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FB5114" w:rsidRDefault="009260DE" w:rsidP="009260DE">
      <w:pPr>
        <w:pStyle w:val="Titel"/>
        <w:tabs>
          <w:tab w:val="right" w:pos="9356"/>
        </w:tabs>
        <w:jc w:val="left"/>
        <w:rPr>
          <w:szCs w:val="24"/>
          <w:lang w:eastAsia="en-US"/>
        </w:rPr>
      </w:pPr>
      <w:r w:rsidRPr="00FB5114">
        <w:rPr>
          <w:szCs w:val="24"/>
          <w:lang w:eastAsia="en-US"/>
        </w:rPr>
        <w:tab/>
      </w:r>
      <w:r w:rsidR="00FB5114" w:rsidRPr="00FB5114">
        <w:rPr>
          <w:szCs w:val="24"/>
        </w:rPr>
        <w:t>3</w:t>
      </w:r>
      <w:r w:rsidR="003C0C92" w:rsidRPr="00FB5114">
        <w:rPr>
          <w:szCs w:val="24"/>
        </w:rPr>
        <w:t>. marts 2022</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EE1373" w:rsidRDefault="009260DE" w:rsidP="009260DE">
      <w:pPr>
        <w:jc w:val="center"/>
        <w:rPr>
          <w:b/>
          <w:sz w:val="24"/>
          <w:szCs w:val="24"/>
        </w:rPr>
      </w:pPr>
      <w:r w:rsidRPr="00EE1373">
        <w:rPr>
          <w:b/>
          <w:sz w:val="24"/>
          <w:szCs w:val="24"/>
        </w:rPr>
        <w:t>PRODUKTRESUMÉ</w:t>
      </w:r>
    </w:p>
    <w:p w:rsidR="009260DE" w:rsidRPr="00EE1373" w:rsidRDefault="009260DE" w:rsidP="009260DE">
      <w:pPr>
        <w:jc w:val="center"/>
        <w:rPr>
          <w:b/>
          <w:sz w:val="24"/>
          <w:szCs w:val="24"/>
        </w:rPr>
      </w:pPr>
    </w:p>
    <w:p w:rsidR="009260DE" w:rsidRPr="00EE1373" w:rsidRDefault="009260DE" w:rsidP="009260DE">
      <w:pPr>
        <w:jc w:val="center"/>
        <w:rPr>
          <w:b/>
          <w:sz w:val="24"/>
          <w:szCs w:val="24"/>
        </w:rPr>
      </w:pPr>
      <w:r w:rsidRPr="00EE1373">
        <w:rPr>
          <w:b/>
          <w:sz w:val="24"/>
          <w:szCs w:val="24"/>
        </w:rPr>
        <w:t>for</w:t>
      </w:r>
    </w:p>
    <w:p w:rsidR="000B058C" w:rsidRPr="00EE1373" w:rsidRDefault="000B058C" w:rsidP="009260DE">
      <w:pPr>
        <w:jc w:val="center"/>
        <w:rPr>
          <w:b/>
          <w:sz w:val="24"/>
          <w:szCs w:val="24"/>
        </w:rPr>
      </w:pPr>
    </w:p>
    <w:p w:rsidR="009260DE" w:rsidRPr="004F67CE" w:rsidRDefault="004B2AB2" w:rsidP="009260DE">
      <w:pPr>
        <w:jc w:val="center"/>
        <w:rPr>
          <w:b/>
          <w:sz w:val="24"/>
          <w:szCs w:val="24"/>
        </w:rPr>
      </w:pPr>
      <w:r w:rsidRPr="004F67CE">
        <w:rPr>
          <w:b/>
          <w:sz w:val="24"/>
          <w:szCs w:val="24"/>
        </w:rPr>
        <w:t>Ca</w:t>
      </w:r>
      <w:r w:rsidR="004F67CE" w:rsidRPr="004F67CE">
        <w:rPr>
          <w:b/>
          <w:sz w:val="24"/>
          <w:szCs w:val="24"/>
        </w:rPr>
        <w:t>r</w:t>
      </w:r>
      <w:r w:rsidRPr="004F67CE">
        <w:rPr>
          <w:b/>
          <w:sz w:val="24"/>
          <w:szCs w:val="24"/>
        </w:rPr>
        <w:t xml:space="preserve">mustin </w:t>
      </w:r>
      <w:r w:rsidR="00687638">
        <w:rPr>
          <w:b/>
          <w:sz w:val="24"/>
          <w:szCs w:val="24"/>
        </w:rPr>
        <w:t>"</w:t>
      </w:r>
      <w:r w:rsidRPr="004F67CE">
        <w:rPr>
          <w:b/>
          <w:sz w:val="24"/>
          <w:szCs w:val="24"/>
        </w:rPr>
        <w:t>Waymade</w:t>
      </w:r>
      <w:r w:rsidR="00E12F6F">
        <w:rPr>
          <w:b/>
          <w:sz w:val="24"/>
          <w:szCs w:val="24"/>
        </w:rPr>
        <w:t>"</w:t>
      </w:r>
      <w:r w:rsidR="004F67CE" w:rsidRPr="004F67CE">
        <w:rPr>
          <w:b/>
          <w:sz w:val="24"/>
          <w:szCs w:val="24"/>
        </w:rPr>
        <w:t>, pulver og solvens til koncentrat til infusionsvæske, opløsning</w:t>
      </w:r>
    </w:p>
    <w:p w:rsidR="009260DE" w:rsidRPr="004F67CE" w:rsidRDefault="009260DE" w:rsidP="009260DE">
      <w:pPr>
        <w:jc w:val="both"/>
        <w:rPr>
          <w:sz w:val="24"/>
          <w:szCs w:val="24"/>
        </w:rPr>
      </w:pPr>
    </w:p>
    <w:p w:rsidR="009260DE" w:rsidRPr="004F67CE" w:rsidRDefault="009260DE" w:rsidP="009260DE">
      <w:pPr>
        <w:jc w:val="both"/>
        <w:rPr>
          <w:sz w:val="24"/>
          <w:szCs w:val="24"/>
        </w:rPr>
      </w:pPr>
    </w:p>
    <w:p w:rsidR="009260DE" w:rsidRPr="00EE1373" w:rsidRDefault="009260DE" w:rsidP="009260DE">
      <w:pPr>
        <w:tabs>
          <w:tab w:val="left" w:pos="851"/>
        </w:tabs>
        <w:ind w:left="851" w:hanging="851"/>
        <w:rPr>
          <w:b/>
          <w:sz w:val="24"/>
          <w:szCs w:val="24"/>
        </w:rPr>
      </w:pPr>
      <w:r w:rsidRPr="00EE1373">
        <w:rPr>
          <w:b/>
          <w:sz w:val="24"/>
          <w:szCs w:val="24"/>
        </w:rPr>
        <w:t>0.</w:t>
      </w:r>
      <w:r w:rsidRPr="00EE1373">
        <w:rPr>
          <w:b/>
          <w:sz w:val="24"/>
          <w:szCs w:val="24"/>
        </w:rPr>
        <w:tab/>
        <w:t>D.SP.NR.</w:t>
      </w:r>
    </w:p>
    <w:p w:rsidR="009260DE" w:rsidRPr="00C84483" w:rsidRDefault="0065526F" w:rsidP="009260DE">
      <w:pPr>
        <w:tabs>
          <w:tab w:val="left" w:pos="851"/>
        </w:tabs>
        <w:ind w:left="851"/>
        <w:rPr>
          <w:sz w:val="24"/>
          <w:szCs w:val="24"/>
        </w:rPr>
      </w:pPr>
      <w:r>
        <w:rPr>
          <w:sz w:val="24"/>
          <w:szCs w:val="24"/>
        </w:rPr>
        <w:t>32183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687638" w:rsidP="009260DE">
      <w:pPr>
        <w:tabs>
          <w:tab w:val="left" w:pos="851"/>
        </w:tabs>
        <w:ind w:left="851"/>
        <w:rPr>
          <w:sz w:val="24"/>
          <w:szCs w:val="24"/>
        </w:rPr>
      </w:pPr>
      <w:r w:rsidRPr="00687638">
        <w:rPr>
          <w:sz w:val="24"/>
          <w:szCs w:val="24"/>
        </w:rPr>
        <w:t>Carmustin "Waymade"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687638" w:rsidRDefault="00687638" w:rsidP="00687638">
      <w:pPr>
        <w:tabs>
          <w:tab w:val="left" w:pos="851"/>
        </w:tabs>
        <w:ind w:left="851"/>
        <w:rPr>
          <w:sz w:val="24"/>
          <w:szCs w:val="24"/>
        </w:rPr>
      </w:pPr>
      <w:r w:rsidRPr="00687638">
        <w:rPr>
          <w:sz w:val="24"/>
          <w:szCs w:val="24"/>
        </w:rPr>
        <w:t>Hvert hætteglas med pulver til koncentrat til infusionsvæske, opløsning, indeholder 100 mg carmustin.</w:t>
      </w:r>
    </w:p>
    <w:p w:rsidR="00EE1373" w:rsidRDefault="00EE1373" w:rsidP="00687638">
      <w:pPr>
        <w:tabs>
          <w:tab w:val="left" w:pos="851"/>
        </w:tabs>
        <w:ind w:left="851"/>
        <w:rPr>
          <w:sz w:val="24"/>
          <w:szCs w:val="24"/>
        </w:rPr>
      </w:pPr>
    </w:p>
    <w:p w:rsidR="00EE1373" w:rsidRPr="00EE1373" w:rsidRDefault="00EE1373" w:rsidP="00EE1373">
      <w:pPr>
        <w:tabs>
          <w:tab w:val="left" w:pos="851"/>
        </w:tabs>
        <w:ind w:left="851"/>
        <w:rPr>
          <w:sz w:val="24"/>
          <w:szCs w:val="24"/>
        </w:rPr>
      </w:pPr>
      <w:r w:rsidRPr="00EE1373">
        <w:rPr>
          <w:sz w:val="24"/>
          <w:szCs w:val="24"/>
        </w:rPr>
        <w:t xml:space="preserve">Efter rekonstitution og fortynding (se pkt. 6.6) indeholder </w:t>
      </w:r>
      <w:r>
        <w:rPr>
          <w:sz w:val="24"/>
          <w:szCs w:val="24"/>
        </w:rPr>
        <w:t>1</w:t>
      </w:r>
      <w:r w:rsidRPr="00EE1373">
        <w:rPr>
          <w:sz w:val="24"/>
          <w:szCs w:val="24"/>
        </w:rPr>
        <w:t xml:space="preserve"> ml opløsning 3,3 mg carmustin.</w:t>
      </w:r>
    </w:p>
    <w:p w:rsidR="00687638" w:rsidRPr="00687638" w:rsidRDefault="00687638" w:rsidP="00687638">
      <w:pPr>
        <w:tabs>
          <w:tab w:val="left" w:pos="851"/>
        </w:tabs>
        <w:ind w:left="851"/>
        <w:rPr>
          <w:sz w:val="24"/>
          <w:szCs w:val="24"/>
        </w:rPr>
      </w:pPr>
    </w:p>
    <w:p w:rsidR="00687638" w:rsidRPr="00687638" w:rsidRDefault="00687638" w:rsidP="00687638">
      <w:pPr>
        <w:tabs>
          <w:tab w:val="left" w:pos="851"/>
        </w:tabs>
        <w:ind w:left="851"/>
        <w:rPr>
          <w:iCs/>
          <w:sz w:val="24"/>
          <w:szCs w:val="24"/>
          <w:u w:val="single"/>
        </w:rPr>
      </w:pPr>
      <w:r w:rsidRPr="00687638">
        <w:rPr>
          <w:iCs/>
          <w:sz w:val="24"/>
          <w:szCs w:val="24"/>
          <w:u w:val="single"/>
        </w:rPr>
        <w:t>Hjælpestof, som behandleren skal være opmærksom på</w:t>
      </w:r>
    </w:p>
    <w:p w:rsidR="00687638" w:rsidRDefault="007F0868" w:rsidP="00687638">
      <w:pPr>
        <w:tabs>
          <w:tab w:val="left" w:pos="851"/>
        </w:tabs>
        <w:ind w:left="851"/>
        <w:rPr>
          <w:sz w:val="24"/>
          <w:szCs w:val="24"/>
        </w:rPr>
      </w:pPr>
      <w:r>
        <w:rPr>
          <w:sz w:val="24"/>
          <w:szCs w:val="24"/>
        </w:rPr>
        <w:t>Hvert h</w:t>
      </w:r>
      <w:r w:rsidR="00687638" w:rsidRPr="00687638">
        <w:rPr>
          <w:sz w:val="24"/>
          <w:szCs w:val="24"/>
        </w:rPr>
        <w:t>ætteglas med opløsning indeholder 3 ml ethanol</w:t>
      </w:r>
      <w:r w:rsidR="000E0C10">
        <w:rPr>
          <w:sz w:val="24"/>
          <w:szCs w:val="24"/>
        </w:rPr>
        <w:t>,</w:t>
      </w:r>
      <w:r w:rsidR="00687638" w:rsidRPr="00687638">
        <w:rPr>
          <w:sz w:val="24"/>
          <w:szCs w:val="24"/>
        </w:rPr>
        <w:t xml:space="preserve"> vandfrit (svarer til 2,37 g).</w:t>
      </w:r>
    </w:p>
    <w:p w:rsidR="00687638" w:rsidRPr="00687638" w:rsidRDefault="00687638" w:rsidP="00687638">
      <w:pPr>
        <w:tabs>
          <w:tab w:val="left" w:pos="851"/>
        </w:tabs>
        <w:ind w:left="851"/>
        <w:rPr>
          <w:sz w:val="24"/>
          <w:szCs w:val="24"/>
        </w:rPr>
      </w:pPr>
    </w:p>
    <w:p w:rsidR="00687638" w:rsidRPr="00687638" w:rsidRDefault="00687638" w:rsidP="00687638">
      <w:pPr>
        <w:tabs>
          <w:tab w:val="left" w:pos="851"/>
        </w:tabs>
        <w:ind w:left="851"/>
        <w:rPr>
          <w:sz w:val="24"/>
          <w:szCs w:val="24"/>
        </w:rPr>
      </w:pPr>
      <w:r w:rsidRPr="00687638">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7F0868" w:rsidRDefault="007F0868" w:rsidP="007F0868">
      <w:pPr>
        <w:tabs>
          <w:tab w:val="left" w:pos="851"/>
        </w:tabs>
        <w:ind w:left="851"/>
        <w:rPr>
          <w:sz w:val="24"/>
          <w:szCs w:val="24"/>
        </w:rPr>
      </w:pPr>
      <w:r w:rsidRPr="007F0868">
        <w:rPr>
          <w:sz w:val="24"/>
          <w:szCs w:val="24"/>
        </w:rPr>
        <w:t>Pulver og solvens til koncentrat til infusionsvæske, opløsning</w:t>
      </w:r>
    </w:p>
    <w:p w:rsidR="007F0868" w:rsidRPr="007F0868" w:rsidRDefault="007F0868" w:rsidP="007F0868">
      <w:pPr>
        <w:tabs>
          <w:tab w:val="left" w:pos="851"/>
        </w:tabs>
        <w:ind w:left="851"/>
        <w:rPr>
          <w:sz w:val="24"/>
          <w:szCs w:val="24"/>
        </w:rPr>
      </w:pPr>
    </w:p>
    <w:p w:rsidR="007F0868" w:rsidRPr="007F0868" w:rsidRDefault="007F0868" w:rsidP="007F0868">
      <w:pPr>
        <w:tabs>
          <w:tab w:val="left" w:pos="851"/>
        </w:tabs>
        <w:ind w:left="851"/>
        <w:rPr>
          <w:sz w:val="24"/>
          <w:szCs w:val="24"/>
        </w:rPr>
      </w:pPr>
      <w:r w:rsidRPr="007F0868">
        <w:rPr>
          <w:sz w:val="24"/>
          <w:szCs w:val="24"/>
        </w:rPr>
        <w:t xml:space="preserve">Pulver: </w:t>
      </w:r>
      <w:r>
        <w:rPr>
          <w:sz w:val="24"/>
          <w:szCs w:val="24"/>
        </w:rPr>
        <w:t>F</w:t>
      </w:r>
      <w:r w:rsidRPr="007F0868">
        <w:rPr>
          <w:sz w:val="24"/>
          <w:szCs w:val="24"/>
        </w:rPr>
        <w:t>rysetørrede lysgule flager eller størknet masse.</w:t>
      </w:r>
    </w:p>
    <w:p w:rsidR="007F0868" w:rsidRPr="007F0868" w:rsidRDefault="007F0868" w:rsidP="007F0868">
      <w:pPr>
        <w:tabs>
          <w:tab w:val="left" w:pos="851"/>
        </w:tabs>
        <w:ind w:left="851"/>
        <w:rPr>
          <w:sz w:val="24"/>
          <w:szCs w:val="24"/>
        </w:rPr>
      </w:pPr>
      <w:r w:rsidRPr="007F0868">
        <w:rPr>
          <w:sz w:val="24"/>
          <w:szCs w:val="24"/>
        </w:rPr>
        <w:t xml:space="preserve">Solvens: </w:t>
      </w:r>
      <w:r>
        <w:rPr>
          <w:sz w:val="24"/>
          <w:szCs w:val="24"/>
        </w:rPr>
        <w:t>K</w:t>
      </w:r>
      <w:r w:rsidRPr="007F0868">
        <w:rPr>
          <w:sz w:val="24"/>
          <w:szCs w:val="24"/>
        </w:rPr>
        <w:t>lar, farveløs væske.</w:t>
      </w:r>
    </w:p>
    <w:p w:rsidR="007F0868" w:rsidRPr="007F0868" w:rsidRDefault="007F0868" w:rsidP="007F0868">
      <w:pPr>
        <w:tabs>
          <w:tab w:val="left" w:pos="851"/>
        </w:tabs>
        <w:ind w:left="851"/>
        <w:rPr>
          <w:sz w:val="24"/>
          <w:szCs w:val="24"/>
        </w:rPr>
      </w:pPr>
      <w:r w:rsidRPr="007F0868">
        <w:rPr>
          <w:sz w:val="24"/>
          <w:szCs w:val="24"/>
        </w:rPr>
        <w:t>pH-værdien for infusionsklare opløsninger er 4,0 - 6,8.</w:t>
      </w:r>
    </w:p>
    <w:p w:rsidR="007F0868" w:rsidRPr="007F0868" w:rsidRDefault="007F0868" w:rsidP="007F0868">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F0868" w:rsidRPr="007F0868" w:rsidRDefault="007F0868" w:rsidP="007F0868">
      <w:pPr>
        <w:tabs>
          <w:tab w:val="left" w:pos="851"/>
        </w:tabs>
        <w:ind w:left="851"/>
        <w:rPr>
          <w:sz w:val="24"/>
          <w:szCs w:val="24"/>
        </w:rPr>
      </w:pPr>
      <w:r w:rsidRPr="007F0868">
        <w:rPr>
          <w:sz w:val="24"/>
          <w:szCs w:val="24"/>
        </w:rPr>
        <w:t xml:space="preserve">Carmustin er som eneste middel eller i kombination med andre antineoplastiske midler og/eller andre behandlingstiltag (røntgenterapi, kirurgi) effektivt til behandling af følgende maligne neoplasmer: </w:t>
      </w:r>
    </w:p>
    <w:p w:rsidR="007F0868" w:rsidRPr="007F0868" w:rsidRDefault="007F0868" w:rsidP="007F0868">
      <w:pPr>
        <w:numPr>
          <w:ilvl w:val="0"/>
          <w:numId w:val="6"/>
        </w:numPr>
        <w:tabs>
          <w:tab w:val="left" w:pos="851"/>
        </w:tabs>
        <w:ind w:left="1134" w:hanging="283"/>
        <w:rPr>
          <w:sz w:val="24"/>
          <w:szCs w:val="24"/>
        </w:rPr>
      </w:pPr>
      <w:r w:rsidRPr="007F0868">
        <w:rPr>
          <w:sz w:val="24"/>
          <w:szCs w:val="24"/>
        </w:rPr>
        <w:t xml:space="preserve">Hjernesvulster (glioblastom, hjernestamme-gliom, medulloblastom, astrocytom og ependymom), hjernemetastaser </w:t>
      </w:r>
    </w:p>
    <w:p w:rsidR="007F0868" w:rsidRPr="007F0868" w:rsidRDefault="007F0868" w:rsidP="007F0868">
      <w:pPr>
        <w:numPr>
          <w:ilvl w:val="0"/>
          <w:numId w:val="6"/>
        </w:numPr>
        <w:tabs>
          <w:tab w:val="left" w:pos="851"/>
        </w:tabs>
        <w:ind w:left="1134" w:hanging="283"/>
        <w:rPr>
          <w:sz w:val="24"/>
          <w:szCs w:val="24"/>
        </w:rPr>
      </w:pPr>
      <w:r w:rsidRPr="007F0868">
        <w:rPr>
          <w:sz w:val="24"/>
          <w:szCs w:val="24"/>
        </w:rPr>
        <w:lastRenderedPageBreak/>
        <w:t xml:space="preserve">Non-Hodgkins lymfom og Hodgkins sygdom som sekundær behandling </w:t>
      </w:r>
    </w:p>
    <w:p w:rsidR="007F0868" w:rsidRPr="007F0868" w:rsidRDefault="007F0868" w:rsidP="007F0868">
      <w:pPr>
        <w:numPr>
          <w:ilvl w:val="0"/>
          <w:numId w:val="6"/>
        </w:numPr>
        <w:tabs>
          <w:tab w:val="left" w:pos="851"/>
        </w:tabs>
        <w:ind w:left="1134" w:hanging="283"/>
        <w:rPr>
          <w:sz w:val="24"/>
          <w:szCs w:val="24"/>
        </w:rPr>
      </w:pPr>
      <w:r w:rsidRPr="007F0868">
        <w:rPr>
          <w:sz w:val="24"/>
          <w:szCs w:val="24"/>
        </w:rPr>
        <w:t>som forbehandling forud for autolog hæmatopoietisk stamcelletransplantation (</w:t>
      </w:r>
      <w:r w:rsidR="006776AB">
        <w:rPr>
          <w:sz w:val="24"/>
          <w:szCs w:val="24"/>
        </w:rPr>
        <w:t>S</w:t>
      </w:r>
      <w:r w:rsidRPr="007F0868">
        <w:rPr>
          <w:sz w:val="24"/>
          <w:szCs w:val="24"/>
        </w:rPr>
        <w:t>CT) ved ondartede hæmatologiske sygdomme (Hodgkins sygdom/Non-Hodgkins lymfom).</w:t>
      </w:r>
    </w:p>
    <w:p w:rsidR="007F0868" w:rsidRPr="006776AB" w:rsidRDefault="00EE1373" w:rsidP="007F0868">
      <w:pPr>
        <w:numPr>
          <w:ilvl w:val="0"/>
          <w:numId w:val="6"/>
        </w:numPr>
        <w:tabs>
          <w:tab w:val="left" w:pos="851"/>
        </w:tabs>
        <w:ind w:left="1134" w:hanging="283"/>
        <w:rPr>
          <w:sz w:val="24"/>
          <w:szCs w:val="24"/>
        </w:rPr>
      </w:pPr>
      <w:r>
        <w:rPr>
          <w:sz w:val="24"/>
          <w:szCs w:val="24"/>
        </w:rPr>
        <w:t xml:space="preserve">Multiple </w:t>
      </w:r>
      <w:r w:rsidR="006776AB">
        <w:rPr>
          <w:sz w:val="24"/>
          <w:szCs w:val="24"/>
        </w:rPr>
        <w:t>m</w:t>
      </w:r>
      <w:r w:rsidR="007F0868" w:rsidRPr="007F0868">
        <w:rPr>
          <w:sz w:val="24"/>
          <w:szCs w:val="24"/>
        </w:rPr>
        <w:t>yelome</w:t>
      </w:r>
      <w:r w:rsidR="006776AB">
        <w:rPr>
          <w:sz w:val="24"/>
          <w:szCs w:val="24"/>
        </w:rPr>
        <w:t>r</w:t>
      </w:r>
      <w:r w:rsidR="007F0868" w:rsidRPr="007F0868">
        <w:rPr>
          <w:sz w:val="24"/>
          <w:szCs w:val="24"/>
        </w:rPr>
        <w:t xml:space="preserve"> - kombineret med glucocorticoid som fx. </w:t>
      </w:r>
      <w:r w:rsidR="007F0868" w:rsidRPr="006776AB">
        <w:rPr>
          <w:sz w:val="24"/>
          <w:szCs w:val="24"/>
        </w:rPr>
        <w:t>Prednisone.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BE0F23" w:rsidRPr="00BE0F23" w:rsidRDefault="00BE0F23" w:rsidP="00BE0F23">
      <w:pPr>
        <w:tabs>
          <w:tab w:val="left" w:pos="851"/>
        </w:tabs>
        <w:ind w:left="851"/>
        <w:rPr>
          <w:sz w:val="24"/>
          <w:szCs w:val="24"/>
        </w:rPr>
      </w:pPr>
      <w:r>
        <w:rPr>
          <w:sz w:val="24"/>
          <w:szCs w:val="24"/>
        </w:rPr>
        <w:t>Carmustin "Waymade"</w:t>
      </w:r>
      <w:r w:rsidRPr="00BE0F23">
        <w:rPr>
          <w:sz w:val="24"/>
          <w:szCs w:val="24"/>
        </w:rPr>
        <w:t xml:space="preserve"> må kun administreres af specialister i kemoterapi og under </w:t>
      </w:r>
      <w:r w:rsidR="006776AB">
        <w:rPr>
          <w:sz w:val="24"/>
          <w:szCs w:val="24"/>
        </w:rPr>
        <w:t>passende</w:t>
      </w:r>
      <w:r w:rsidRPr="00BE0F23">
        <w:rPr>
          <w:sz w:val="24"/>
          <w:szCs w:val="24"/>
        </w:rPr>
        <w:t xml:space="preserve"> medicinsk opsyn.</w:t>
      </w:r>
    </w:p>
    <w:p w:rsidR="00BE0F23" w:rsidRPr="00BE0F23" w:rsidRDefault="00BE0F23" w:rsidP="00BE0F23">
      <w:pPr>
        <w:tabs>
          <w:tab w:val="left" w:pos="851"/>
        </w:tabs>
        <w:ind w:left="851"/>
        <w:rPr>
          <w:sz w:val="24"/>
          <w:szCs w:val="24"/>
        </w:rPr>
      </w:pPr>
    </w:p>
    <w:p w:rsidR="00BE0F23" w:rsidRPr="00BE0F23" w:rsidRDefault="00BE0F23" w:rsidP="00BE0F23">
      <w:pPr>
        <w:tabs>
          <w:tab w:val="left" w:pos="851"/>
        </w:tabs>
        <w:ind w:left="851"/>
        <w:rPr>
          <w:b/>
          <w:sz w:val="24"/>
          <w:szCs w:val="24"/>
        </w:rPr>
      </w:pPr>
      <w:r w:rsidRPr="00BE0F23">
        <w:rPr>
          <w:b/>
          <w:sz w:val="24"/>
          <w:szCs w:val="24"/>
        </w:rPr>
        <w:t>Dosering</w:t>
      </w:r>
    </w:p>
    <w:p w:rsidR="00BE0F23" w:rsidRPr="00BE0F23" w:rsidRDefault="00BE0F23" w:rsidP="00BE0F23">
      <w:pPr>
        <w:tabs>
          <w:tab w:val="left" w:pos="851"/>
        </w:tabs>
        <w:ind w:left="851"/>
        <w:rPr>
          <w:sz w:val="24"/>
          <w:szCs w:val="24"/>
        </w:rPr>
      </w:pPr>
    </w:p>
    <w:p w:rsidR="00BE0F23" w:rsidRPr="00BE0F23" w:rsidRDefault="00BE0F23" w:rsidP="00BE0F23">
      <w:pPr>
        <w:tabs>
          <w:tab w:val="left" w:pos="851"/>
        </w:tabs>
        <w:ind w:left="851"/>
        <w:rPr>
          <w:sz w:val="24"/>
          <w:szCs w:val="24"/>
          <w:u w:val="single"/>
        </w:rPr>
      </w:pPr>
      <w:r w:rsidRPr="00BE0F23">
        <w:rPr>
          <w:iCs/>
          <w:sz w:val="24"/>
          <w:szCs w:val="24"/>
          <w:u w:val="single"/>
        </w:rPr>
        <w:t>Initialdoser</w:t>
      </w:r>
      <w:r w:rsidRPr="00BE0F23">
        <w:rPr>
          <w:sz w:val="24"/>
          <w:szCs w:val="24"/>
          <w:u w:val="single"/>
        </w:rPr>
        <w:t xml:space="preserve"> </w:t>
      </w:r>
    </w:p>
    <w:p w:rsidR="00BE0F23" w:rsidRPr="00BE0F23" w:rsidRDefault="00BE0F23" w:rsidP="00BE0F23">
      <w:pPr>
        <w:tabs>
          <w:tab w:val="left" w:pos="851"/>
        </w:tabs>
        <w:ind w:left="851"/>
        <w:rPr>
          <w:sz w:val="24"/>
          <w:szCs w:val="24"/>
        </w:rPr>
      </w:pPr>
      <w:r w:rsidRPr="00BE0F23">
        <w:rPr>
          <w:sz w:val="24"/>
          <w:szCs w:val="24"/>
        </w:rPr>
        <w:t>Den anbefalede dosis Carmustin "Waymade" som eneste behandling hos tidligere ubehandlede patienter er 150 til 200 mg/m</w:t>
      </w:r>
      <w:r w:rsidRPr="00BE0F23">
        <w:rPr>
          <w:sz w:val="24"/>
          <w:szCs w:val="24"/>
          <w:vertAlign w:val="superscript"/>
        </w:rPr>
        <w:t>2</w:t>
      </w:r>
      <w:r w:rsidRPr="00BE0F23">
        <w:rPr>
          <w:sz w:val="24"/>
          <w:szCs w:val="24"/>
        </w:rPr>
        <w:t xml:space="preserve"> intravenøst hver 6. uge. Den kan gives som en enkeltdosis eller opdelt i daglige infusioner såsom 75 til 100 mg/m</w:t>
      </w:r>
      <w:r w:rsidRPr="00BE0F23">
        <w:rPr>
          <w:sz w:val="24"/>
          <w:szCs w:val="24"/>
          <w:vertAlign w:val="superscript"/>
        </w:rPr>
        <w:t>2</w:t>
      </w:r>
      <w:r w:rsidRPr="00BE0F23">
        <w:rPr>
          <w:sz w:val="24"/>
          <w:szCs w:val="24"/>
        </w:rPr>
        <w:t xml:space="preserve"> i to på hinanden følgende dage. </w:t>
      </w:r>
    </w:p>
    <w:p w:rsidR="00BE0F23" w:rsidRPr="00BE0F23" w:rsidRDefault="00BE0F23" w:rsidP="00BE0F23">
      <w:pPr>
        <w:tabs>
          <w:tab w:val="left" w:pos="851"/>
        </w:tabs>
        <w:ind w:left="851"/>
        <w:rPr>
          <w:sz w:val="24"/>
          <w:szCs w:val="24"/>
        </w:rPr>
      </w:pPr>
    </w:p>
    <w:p w:rsidR="00BE0F23" w:rsidRPr="00BE0F23" w:rsidRDefault="00BE0F23" w:rsidP="00BE0F23">
      <w:pPr>
        <w:tabs>
          <w:tab w:val="left" w:pos="851"/>
        </w:tabs>
        <w:ind w:left="851"/>
        <w:rPr>
          <w:sz w:val="24"/>
          <w:szCs w:val="24"/>
        </w:rPr>
      </w:pPr>
      <w:r w:rsidRPr="00BE0F23">
        <w:rPr>
          <w:sz w:val="24"/>
          <w:szCs w:val="24"/>
        </w:rPr>
        <w:t>Når Carmustin "Waymade" anvendes i kombination med andre myelosuppressive lægemidler eller hos patienter, hvis knoglemarvsreserve er depleteret, bør doserne justeres i henhold til patientens hæmatologiske profil som vist nedenfor.</w:t>
      </w:r>
    </w:p>
    <w:p w:rsidR="00BE0F23" w:rsidRPr="00BE0F23" w:rsidRDefault="00BE0F23" w:rsidP="00BE0F23">
      <w:pPr>
        <w:tabs>
          <w:tab w:val="left" w:pos="851"/>
        </w:tabs>
        <w:ind w:left="851"/>
        <w:rPr>
          <w:sz w:val="24"/>
          <w:szCs w:val="24"/>
        </w:rPr>
      </w:pPr>
    </w:p>
    <w:p w:rsidR="00BE0F23" w:rsidRPr="00BE0F23" w:rsidRDefault="00BE0F23" w:rsidP="00BE0F23">
      <w:pPr>
        <w:tabs>
          <w:tab w:val="left" w:pos="851"/>
        </w:tabs>
        <w:ind w:left="851"/>
        <w:rPr>
          <w:iCs/>
          <w:sz w:val="24"/>
          <w:szCs w:val="24"/>
          <w:u w:val="single"/>
        </w:rPr>
      </w:pPr>
      <w:r w:rsidRPr="00BE0F23">
        <w:rPr>
          <w:iCs/>
          <w:sz w:val="24"/>
          <w:szCs w:val="24"/>
          <w:u w:val="single"/>
        </w:rPr>
        <w:t xml:space="preserve">Overvågning og efterfølgende doser </w:t>
      </w:r>
    </w:p>
    <w:p w:rsidR="00BE0F23" w:rsidRPr="00BE0F23" w:rsidRDefault="00BE0F23" w:rsidP="00BE0F23">
      <w:pPr>
        <w:tabs>
          <w:tab w:val="left" w:pos="851"/>
        </w:tabs>
        <w:ind w:left="851"/>
        <w:rPr>
          <w:sz w:val="24"/>
          <w:szCs w:val="24"/>
        </w:rPr>
      </w:pPr>
      <w:r w:rsidRPr="00BE0F23">
        <w:rPr>
          <w:sz w:val="24"/>
          <w:szCs w:val="24"/>
        </w:rPr>
        <w:t>Der bør ikke gives en ny cyklus af Carmustin "Waymade", før de cirkulerende blodelementer igen har et acceptabelt niveau (blodplader over 100 000/mm</w:t>
      </w:r>
      <w:r w:rsidRPr="00BE0F23">
        <w:rPr>
          <w:sz w:val="24"/>
          <w:szCs w:val="24"/>
          <w:vertAlign w:val="superscript"/>
        </w:rPr>
        <w:t>3</w:t>
      </w:r>
      <w:r w:rsidRPr="00BE0F23">
        <w:rPr>
          <w:sz w:val="24"/>
          <w:szCs w:val="24"/>
        </w:rPr>
        <w:t>, leukocytter over 4 000/mm</w:t>
      </w:r>
      <w:r w:rsidRPr="00BE0F23">
        <w:rPr>
          <w:sz w:val="24"/>
          <w:szCs w:val="24"/>
          <w:vertAlign w:val="superscript"/>
        </w:rPr>
        <w:t>3</w:t>
      </w:r>
      <w:r w:rsidRPr="00BE0F23">
        <w:rPr>
          <w:sz w:val="24"/>
          <w:szCs w:val="24"/>
        </w:rPr>
        <w:t>), og det er sædvanligvis i løbet af seks uger. Der bør hyppigt foretages blodtælling, og nye behandlingsforløb bør først gives efter seks uger på grund af forsinket hæmatologisk toksicitet.</w:t>
      </w:r>
    </w:p>
    <w:p w:rsidR="00BE0F23" w:rsidRPr="00BE0F23" w:rsidRDefault="00BE0F23" w:rsidP="00BE0F23">
      <w:pPr>
        <w:tabs>
          <w:tab w:val="left" w:pos="851"/>
        </w:tabs>
        <w:ind w:left="851"/>
        <w:rPr>
          <w:sz w:val="24"/>
          <w:szCs w:val="24"/>
        </w:rPr>
      </w:pPr>
    </w:p>
    <w:p w:rsidR="00BE0F23" w:rsidRPr="00BE0F23" w:rsidRDefault="00BE0F23" w:rsidP="00BE0F23">
      <w:pPr>
        <w:tabs>
          <w:tab w:val="left" w:pos="851"/>
        </w:tabs>
        <w:ind w:left="851"/>
        <w:rPr>
          <w:sz w:val="24"/>
          <w:szCs w:val="24"/>
          <w:lang w:val="en-US"/>
        </w:rPr>
      </w:pPr>
      <w:r w:rsidRPr="00BE0F23">
        <w:rPr>
          <w:sz w:val="24"/>
          <w:szCs w:val="24"/>
        </w:rPr>
        <w:t xml:space="preserve">Doser efter initialdosis bør justeres i henhold til patientens hæmatologiske respons på den foregående dosis, både ved monoterapi og ved kombinationsbehandling med andre myelosuppressive lægemidler. </w:t>
      </w:r>
      <w:r w:rsidRPr="00BE0F23">
        <w:rPr>
          <w:sz w:val="24"/>
          <w:szCs w:val="24"/>
          <w:lang w:val="en-GB"/>
        </w:rPr>
        <w:t>Følgende plan foreslås som vejledning for dosisjustering:</w:t>
      </w:r>
    </w:p>
    <w:p w:rsidR="00BE0F23" w:rsidRPr="00BE0F23" w:rsidRDefault="00BE0F23" w:rsidP="00BE0F23">
      <w:pPr>
        <w:tabs>
          <w:tab w:val="left" w:pos="851"/>
        </w:tabs>
        <w:ind w:left="851"/>
        <w:rPr>
          <w:sz w:val="24"/>
          <w:szCs w:val="24"/>
          <w:lang w:val="en-U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1"/>
        <w:gridCol w:w="3544"/>
      </w:tblGrid>
      <w:tr w:rsidR="00BE0F23" w:rsidRPr="00BE0F23" w:rsidTr="003F6821">
        <w:trPr>
          <w:trHeight w:val="274"/>
        </w:trPr>
        <w:tc>
          <w:tcPr>
            <w:tcW w:w="4819" w:type="dxa"/>
            <w:gridSpan w:val="2"/>
            <w:tcBorders>
              <w:top w:val="single" w:sz="4" w:space="0" w:color="auto"/>
              <w:left w:val="single" w:sz="4" w:space="0" w:color="auto"/>
              <w:bottom w:val="single" w:sz="4" w:space="0" w:color="auto"/>
              <w:right w:val="single" w:sz="4" w:space="0" w:color="auto"/>
            </w:tcBorders>
            <w:hideMark/>
          </w:tcPr>
          <w:p w:rsidR="00BE0F23" w:rsidRPr="00BE0F23" w:rsidRDefault="00BE0F23" w:rsidP="008A3CCE">
            <w:pPr>
              <w:ind w:left="174"/>
              <w:rPr>
                <w:sz w:val="24"/>
                <w:szCs w:val="24"/>
                <w:lang w:val="en-GB"/>
              </w:rPr>
            </w:pPr>
            <w:r w:rsidRPr="00BE0F23">
              <w:rPr>
                <w:i/>
                <w:iCs/>
                <w:sz w:val="24"/>
                <w:szCs w:val="24"/>
                <w:lang w:val="en-GB"/>
              </w:rPr>
              <w:t xml:space="preserve">Lavpunkt efter forudgående dosis </w:t>
            </w:r>
          </w:p>
        </w:tc>
        <w:tc>
          <w:tcPr>
            <w:tcW w:w="3544" w:type="dxa"/>
            <w:vMerge w:val="restart"/>
            <w:tcBorders>
              <w:top w:val="single" w:sz="4" w:space="0" w:color="auto"/>
              <w:left w:val="single" w:sz="4" w:space="0" w:color="auto"/>
              <w:bottom w:val="single" w:sz="4" w:space="0" w:color="auto"/>
              <w:right w:val="single" w:sz="4" w:space="0" w:color="auto"/>
            </w:tcBorders>
            <w:hideMark/>
          </w:tcPr>
          <w:p w:rsidR="00BE0F23" w:rsidRPr="00BE0F23" w:rsidRDefault="00BE0F23" w:rsidP="003F6821">
            <w:pPr>
              <w:ind w:left="174" w:right="-110"/>
              <w:rPr>
                <w:sz w:val="24"/>
                <w:szCs w:val="24"/>
              </w:rPr>
            </w:pPr>
            <w:r w:rsidRPr="00BE0F23">
              <w:rPr>
                <w:i/>
                <w:iCs/>
                <w:sz w:val="24"/>
                <w:szCs w:val="24"/>
              </w:rPr>
              <w:t xml:space="preserve">Procentdel af tidligere dosis, der bør gives </w:t>
            </w:r>
          </w:p>
        </w:tc>
      </w:tr>
      <w:tr w:rsidR="00BE0F23" w:rsidRPr="00BE0F23" w:rsidTr="003F6821">
        <w:trPr>
          <w:trHeight w:val="155"/>
        </w:trPr>
        <w:tc>
          <w:tcPr>
            <w:tcW w:w="2268" w:type="dxa"/>
            <w:tcBorders>
              <w:top w:val="single" w:sz="4" w:space="0" w:color="auto"/>
              <w:left w:val="single" w:sz="4" w:space="0" w:color="auto"/>
              <w:bottom w:val="single" w:sz="4" w:space="0" w:color="auto"/>
              <w:right w:val="single" w:sz="4" w:space="0" w:color="auto"/>
            </w:tcBorders>
            <w:hideMark/>
          </w:tcPr>
          <w:p w:rsidR="00BE0F23" w:rsidRPr="00BE0F23" w:rsidRDefault="00BE0F23" w:rsidP="008A3CCE">
            <w:pPr>
              <w:ind w:left="174"/>
              <w:rPr>
                <w:sz w:val="24"/>
                <w:szCs w:val="24"/>
                <w:lang w:val="en-GB"/>
              </w:rPr>
            </w:pPr>
            <w:r w:rsidRPr="00BE0F23">
              <w:rPr>
                <w:i/>
                <w:iCs/>
                <w:sz w:val="24"/>
                <w:szCs w:val="24"/>
                <w:lang w:val="en-GB"/>
              </w:rPr>
              <w:t>Leukocytter/mm</w:t>
            </w:r>
            <w:r w:rsidRPr="00BE0F23">
              <w:rPr>
                <w:i/>
                <w:iCs/>
                <w:sz w:val="24"/>
                <w:szCs w:val="24"/>
                <w:vertAlign w:val="superscript"/>
                <w:lang w:val="en-GB"/>
              </w:rPr>
              <w:t xml:space="preserve">3 </w:t>
            </w:r>
          </w:p>
        </w:tc>
        <w:tc>
          <w:tcPr>
            <w:tcW w:w="2551" w:type="dxa"/>
            <w:tcBorders>
              <w:top w:val="single" w:sz="4" w:space="0" w:color="auto"/>
              <w:left w:val="single" w:sz="4" w:space="0" w:color="auto"/>
              <w:bottom w:val="single" w:sz="4" w:space="0" w:color="auto"/>
              <w:right w:val="single" w:sz="4" w:space="0" w:color="auto"/>
            </w:tcBorders>
            <w:hideMark/>
          </w:tcPr>
          <w:p w:rsidR="00BE0F23" w:rsidRPr="00BE0F23" w:rsidRDefault="00BE0F23" w:rsidP="008A3CCE">
            <w:pPr>
              <w:ind w:left="174"/>
              <w:rPr>
                <w:sz w:val="24"/>
                <w:szCs w:val="24"/>
                <w:lang w:val="en-GB"/>
              </w:rPr>
            </w:pPr>
            <w:r w:rsidRPr="00BE0F23">
              <w:rPr>
                <w:i/>
                <w:iCs/>
                <w:sz w:val="24"/>
                <w:szCs w:val="24"/>
                <w:lang w:val="en-GB"/>
              </w:rPr>
              <w:t>Trombocytter/mm</w:t>
            </w:r>
            <w:r w:rsidRPr="00BE0F23">
              <w:rPr>
                <w:i/>
                <w:iCs/>
                <w:sz w:val="24"/>
                <w:szCs w:val="24"/>
                <w:vertAlign w:val="superscript"/>
                <w:lang w:val="en-GB"/>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E0F23" w:rsidRPr="00BE0F23" w:rsidRDefault="00BE0F23" w:rsidP="008A3CCE">
            <w:pPr>
              <w:tabs>
                <w:tab w:val="left" w:pos="851"/>
              </w:tabs>
              <w:ind w:left="851" w:right="-110" w:hanging="820"/>
              <w:rPr>
                <w:sz w:val="24"/>
                <w:szCs w:val="24"/>
              </w:rPr>
            </w:pPr>
          </w:p>
        </w:tc>
      </w:tr>
      <w:tr w:rsidR="00BE0F23" w:rsidRPr="00BE0F23" w:rsidTr="003F6821">
        <w:trPr>
          <w:trHeight w:val="148"/>
        </w:trPr>
        <w:tc>
          <w:tcPr>
            <w:tcW w:w="2268" w:type="dxa"/>
            <w:tcBorders>
              <w:top w:val="single" w:sz="4" w:space="0" w:color="auto"/>
              <w:left w:val="single" w:sz="4" w:space="0" w:color="auto"/>
              <w:bottom w:val="single" w:sz="4" w:space="0" w:color="auto"/>
              <w:right w:val="single" w:sz="4" w:space="0" w:color="auto"/>
            </w:tcBorders>
            <w:hideMark/>
          </w:tcPr>
          <w:p w:rsidR="00BE0F23" w:rsidRPr="00BE0F23" w:rsidRDefault="00BE0F23" w:rsidP="008A3CCE">
            <w:pPr>
              <w:ind w:left="174"/>
              <w:rPr>
                <w:sz w:val="24"/>
                <w:szCs w:val="24"/>
                <w:lang w:val="en-GB"/>
              </w:rPr>
            </w:pPr>
            <w:r w:rsidRPr="00BE0F23">
              <w:rPr>
                <w:sz w:val="24"/>
                <w:szCs w:val="24"/>
                <w:lang w:val="en-GB"/>
              </w:rPr>
              <w:t xml:space="preserve">&gt;4 000 </w:t>
            </w:r>
          </w:p>
        </w:tc>
        <w:tc>
          <w:tcPr>
            <w:tcW w:w="2551" w:type="dxa"/>
            <w:tcBorders>
              <w:top w:val="single" w:sz="4" w:space="0" w:color="auto"/>
              <w:left w:val="single" w:sz="4" w:space="0" w:color="auto"/>
              <w:bottom w:val="single" w:sz="4" w:space="0" w:color="auto"/>
              <w:right w:val="single" w:sz="4" w:space="0" w:color="auto"/>
            </w:tcBorders>
            <w:hideMark/>
          </w:tcPr>
          <w:p w:rsidR="00BE0F23" w:rsidRPr="00BE0F23" w:rsidRDefault="00BE0F23" w:rsidP="008A3CCE">
            <w:pPr>
              <w:ind w:left="174"/>
              <w:rPr>
                <w:sz w:val="24"/>
                <w:szCs w:val="24"/>
                <w:lang w:val="en-GB"/>
              </w:rPr>
            </w:pPr>
            <w:r w:rsidRPr="00BE0F23">
              <w:rPr>
                <w:sz w:val="24"/>
                <w:szCs w:val="24"/>
                <w:lang w:val="en-GB"/>
              </w:rPr>
              <w:t xml:space="preserve">&gt;100 000 </w:t>
            </w:r>
          </w:p>
        </w:tc>
        <w:tc>
          <w:tcPr>
            <w:tcW w:w="3544" w:type="dxa"/>
            <w:tcBorders>
              <w:top w:val="single" w:sz="4" w:space="0" w:color="auto"/>
              <w:left w:val="single" w:sz="4" w:space="0" w:color="auto"/>
              <w:bottom w:val="single" w:sz="4" w:space="0" w:color="auto"/>
              <w:right w:val="single" w:sz="4" w:space="0" w:color="auto"/>
            </w:tcBorders>
            <w:hideMark/>
          </w:tcPr>
          <w:p w:rsidR="00BE0F23" w:rsidRPr="00BE0F23" w:rsidRDefault="00BE0F23" w:rsidP="008A3CCE">
            <w:pPr>
              <w:tabs>
                <w:tab w:val="left" w:pos="851"/>
              </w:tabs>
              <w:ind w:left="851" w:right="-110" w:hanging="820"/>
              <w:rPr>
                <w:sz w:val="24"/>
                <w:szCs w:val="24"/>
                <w:lang w:val="en-GB"/>
              </w:rPr>
            </w:pPr>
            <w:r w:rsidRPr="00BE0F23">
              <w:rPr>
                <w:sz w:val="24"/>
                <w:szCs w:val="24"/>
                <w:lang w:val="en-GB"/>
              </w:rPr>
              <w:t xml:space="preserve">100 % </w:t>
            </w:r>
          </w:p>
        </w:tc>
      </w:tr>
      <w:tr w:rsidR="00BE0F23" w:rsidRPr="00BE0F23" w:rsidTr="003F6821">
        <w:trPr>
          <w:trHeight w:val="148"/>
        </w:trPr>
        <w:tc>
          <w:tcPr>
            <w:tcW w:w="2268" w:type="dxa"/>
            <w:tcBorders>
              <w:top w:val="single" w:sz="4" w:space="0" w:color="auto"/>
              <w:left w:val="single" w:sz="4" w:space="0" w:color="auto"/>
              <w:bottom w:val="single" w:sz="4" w:space="0" w:color="auto"/>
              <w:right w:val="single" w:sz="4" w:space="0" w:color="auto"/>
            </w:tcBorders>
            <w:hideMark/>
          </w:tcPr>
          <w:p w:rsidR="00BE0F23" w:rsidRPr="00BE0F23" w:rsidRDefault="00BE0F23" w:rsidP="008A3CCE">
            <w:pPr>
              <w:ind w:left="174"/>
              <w:rPr>
                <w:sz w:val="24"/>
                <w:szCs w:val="24"/>
                <w:lang w:val="en-GB"/>
              </w:rPr>
            </w:pPr>
            <w:r w:rsidRPr="00BE0F23">
              <w:rPr>
                <w:sz w:val="24"/>
                <w:szCs w:val="24"/>
                <w:lang w:val="en-GB"/>
              </w:rPr>
              <w:t xml:space="preserve">3 000-3 999 </w:t>
            </w:r>
          </w:p>
        </w:tc>
        <w:tc>
          <w:tcPr>
            <w:tcW w:w="2551" w:type="dxa"/>
            <w:tcBorders>
              <w:top w:val="single" w:sz="4" w:space="0" w:color="auto"/>
              <w:left w:val="single" w:sz="4" w:space="0" w:color="auto"/>
              <w:bottom w:val="single" w:sz="4" w:space="0" w:color="auto"/>
              <w:right w:val="single" w:sz="4" w:space="0" w:color="auto"/>
            </w:tcBorders>
            <w:hideMark/>
          </w:tcPr>
          <w:p w:rsidR="00BE0F23" w:rsidRPr="00BE0F23" w:rsidRDefault="00BE0F23" w:rsidP="008A3CCE">
            <w:pPr>
              <w:ind w:left="174"/>
              <w:rPr>
                <w:sz w:val="24"/>
                <w:szCs w:val="24"/>
                <w:lang w:val="en-GB"/>
              </w:rPr>
            </w:pPr>
            <w:r w:rsidRPr="00BE0F23">
              <w:rPr>
                <w:sz w:val="24"/>
                <w:szCs w:val="24"/>
                <w:lang w:val="en-GB"/>
              </w:rPr>
              <w:t xml:space="preserve">75 000-99 999 </w:t>
            </w:r>
          </w:p>
        </w:tc>
        <w:tc>
          <w:tcPr>
            <w:tcW w:w="3544" w:type="dxa"/>
            <w:tcBorders>
              <w:top w:val="single" w:sz="4" w:space="0" w:color="auto"/>
              <w:left w:val="single" w:sz="4" w:space="0" w:color="auto"/>
              <w:bottom w:val="single" w:sz="4" w:space="0" w:color="auto"/>
              <w:right w:val="single" w:sz="4" w:space="0" w:color="auto"/>
            </w:tcBorders>
            <w:hideMark/>
          </w:tcPr>
          <w:p w:rsidR="00BE0F23" w:rsidRPr="00BE0F23" w:rsidRDefault="00BE0F23" w:rsidP="008A3CCE">
            <w:pPr>
              <w:tabs>
                <w:tab w:val="left" w:pos="851"/>
              </w:tabs>
              <w:ind w:left="851" w:right="-110" w:hanging="820"/>
              <w:rPr>
                <w:sz w:val="24"/>
                <w:szCs w:val="24"/>
                <w:lang w:val="en-GB"/>
              </w:rPr>
            </w:pPr>
            <w:r w:rsidRPr="00BE0F23">
              <w:rPr>
                <w:sz w:val="24"/>
                <w:szCs w:val="24"/>
                <w:lang w:val="en-GB"/>
              </w:rPr>
              <w:t xml:space="preserve">100 % </w:t>
            </w:r>
          </w:p>
        </w:tc>
      </w:tr>
      <w:tr w:rsidR="00BE0F23" w:rsidRPr="00BE0F23" w:rsidTr="003F6821">
        <w:trPr>
          <w:trHeight w:val="148"/>
        </w:trPr>
        <w:tc>
          <w:tcPr>
            <w:tcW w:w="2268" w:type="dxa"/>
            <w:tcBorders>
              <w:top w:val="single" w:sz="4" w:space="0" w:color="auto"/>
              <w:left w:val="single" w:sz="4" w:space="0" w:color="auto"/>
              <w:bottom w:val="single" w:sz="4" w:space="0" w:color="auto"/>
              <w:right w:val="single" w:sz="4" w:space="0" w:color="auto"/>
            </w:tcBorders>
            <w:hideMark/>
          </w:tcPr>
          <w:p w:rsidR="00BE0F23" w:rsidRPr="00BE0F23" w:rsidRDefault="00BE0F23" w:rsidP="008A3CCE">
            <w:pPr>
              <w:ind w:left="174"/>
              <w:rPr>
                <w:sz w:val="24"/>
                <w:szCs w:val="24"/>
                <w:lang w:val="en-GB"/>
              </w:rPr>
            </w:pPr>
            <w:r w:rsidRPr="00BE0F23">
              <w:rPr>
                <w:sz w:val="24"/>
                <w:szCs w:val="24"/>
                <w:lang w:val="en-GB"/>
              </w:rPr>
              <w:t xml:space="preserve">2 000-2 999 </w:t>
            </w:r>
          </w:p>
        </w:tc>
        <w:tc>
          <w:tcPr>
            <w:tcW w:w="2551" w:type="dxa"/>
            <w:tcBorders>
              <w:top w:val="single" w:sz="4" w:space="0" w:color="auto"/>
              <w:left w:val="single" w:sz="4" w:space="0" w:color="auto"/>
              <w:bottom w:val="single" w:sz="4" w:space="0" w:color="auto"/>
              <w:right w:val="single" w:sz="4" w:space="0" w:color="auto"/>
            </w:tcBorders>
            <w:hideMark/>
          </w:tcPr>
          <w:p w:rsidR="00BE0F23" w:rsidRPr="00BE0F23" w:rsidRDefault="00BE0F23" w:rsidP="008A3CCE">
            <w:pPr>
              <w:ind w:left="174"/>
              <w:rPr>
                <w:sz w:val="24"/>
                <w:szCs w:val="24"/>
                <w:lang w:val="en-GB"/>
              </w:rPr>
            </w:pPr>
            <w:r w:rsidRPr="00BE0F23">
              <w:rPr>
                <w:sz w:val="24"/>
                <w:szCs w:val="24"/>
                <w:lang w:val="en-GB"/>
              </w:rPr>
              <w:t xml:space="preserve">25 000-74 999 </w:t>
            </w:r>
          </w:p>
        </w:tc>
        <w:tc>
          <w:tcPr>
            <w:tcW w:w="3544" w:type="dxa"/>
            <w:tcBorders>
              <w:top w:val="single" w:sz="4" w:space="0" w:color="auto"/>
              <w:left w:val="single" w:sz="4" w:space="0" w:color="auto"/>
              <w:bottom w:val="single" w:sz="4" w:space="0" w:color="auto"/>
              <w:right w:val="single" w:sz="4" w:space="0" w:color="auto"/>
            </w:tcBorders>
            <w:hideMark/>
          </w:tcPr>
          <w:p w:rsidR="00BE0F23" w:rsidRPr="00BE0F23" w:rsidRDefault="00BE0F23" w:rsidP="008A3CCE">
            <w:pPr>
              <w:tabs>
                <w:tab w:val="left" w:pos="851"/>
              </w:tabs>
              <w:ind w:left="851" w:right="-110" w:hanging="820"/>
              <w:rPr>
                <w:sz w:val="24"/>
                <w:szCs w:val="24"/>
                <w:lang w:val="en-GB"/>
              </w:rPr>
            </w:pPr>
            <w:r w:rsidRPr="00BE0F23">
              <w:rPr>
                <w:sz w:val="24"/>
                <w:szCs w:val="24"/>
                <w:lang w:val="en-GB"/>
              </w:rPr>
              <w:t xml:space="preserve">70 % </w:t>
            </w:r>
          </w:p>
        </w:tc>
      </w:tr>
      <w:tr w:rsidR="00BE0F23" w:rsidRPr="00BE0F23" w:rsidTr="003F6821">
        <w:trPr>
          <w:trHeight w:val="148"/>
        </w:trPr>
        <w:tc>
          <w:tcPr>
            <w:tcW w:w="2268" w:type="dxa"/>
            <w:tcBorders>
              <w:top w:val="single" w:sz="4" w:space="0" w:color="auto"/>
              <w:left w:val="single" w:sz="4" w:space="0" w:color="auto"/>
              <w:bottom w:val="single" w:sz="4" w:space="0" w:color="auto"/>
              <w:right w:val="single" w:sz="4" w:space="0" w:color="auto"/>
            </w:tcBorders>
            <w:hideMark/>
          </w:tcPr>
          <w:p w:rsidR="00BE0F23" w:rsidRPr="00BE0F23" w:rsidRDefault="00BE0F23" w:rsidP="008A3CCE">
            <w:pPr>
              <w:ind w:left="174"/>
              <w:rPr>
                <w:sz w:val="24"/>
                <w:szCs w:val="24"/>
                <w:lang w:val="en-GB"/>
              </w:rPr>
            </w:pPr>
            <w:r w:rsidRPr="00BE0F23">
              <w:rPr>
                <w:sz w:val="24"/>
                <w:szCs w:val="24"/>
                <w:lang w:val="en-GB"/>
              </w:rPr>
              <w:t xml:space="preserve">&lt;2 000 </w:t>
            </w:r>
          </w:p>
        </w:tc>
        <w:tc>
          <w:tcPr>
            <w:tcW w:w="2551" w:type="dxa"/>
            <w:tcBorders>
              <w:top w:val="single" w:sz="4" w:space="0" w:color="auto"/>
              <w:left w:val="single" w:sz="4" w:space="0" w:color="auto"/>
              <w:bottom w:val="single" w:sz="4" w:space="0" w:color="auto"/>
              <w:right w:val="single" w:sz="4" w:space="0" w:color="auto"/>
            </w:tcBorders>
            <w:hideMark/>
          </w:tcPr>
          <w:p w:rsidR="00BE0F23" w:rsidRPr="00BE0F23" w:rsidRDefault="00BE0F23" w:rsidP="008A3CCE">
            <w:pPr>
              <w:ind w:left="174"/>
              <w:rPr>
                <w:sz w:val="24"/>
                <w:szCs w:val="24"/>
                <w:lang w:val="en-GB"/>
              </w:rPr>
            </w:pPr>
            <w:r w:rsidRPr="00BE0F23">
              <w:rPr>
                <w:sz w:val="24"/>
                <w:szCs w:val="24"/>
                <w:lang w:val="en-GB"/>
              </w:rPr>
              <w:t xml:space="preserve">&lt;25 000 </w:t>
            </w:r>
          </w:p>
        </w:tc>
        <w:tc>
          <w:tcPr>
            <w:tcW w:w="3544" w:type="dxa"/>
            <w:tcBorders>
              <w:top w:val="single" w:sz="4" w:space="0" w:color="auto"/>
              <w:left w:val="single" w:sz="4" w:space="0" w:color="auto"/>
              <w:bottom w:val="single" w:sz="4" w:space="0" w:color="auto"/>
              <w:right w:val="single" w:sz="4" w:space="0" w:color="auto"/>
            </w:tcBorders>
            <w:hideMark/>
          </w:tcPr>
          <w:p w:rsidR="00BE0F23" w:rsidRPr="00BE0F23" w:rsidRDefault="00BE0F23" w:rsidP="008A3CCE">
            <w:pPr>
              <w:tabs>
                <w:tab w:val="left" w:pos="851"/>
              </w:tabs>
              <w:ind w:left="851" w:right="-110" w:hanging="820"/>
              <w:rPr>
                <w:sz w:val="24"/>
                <w:szCs w:val="24"/>
                <w:lang w:val="en-GB"/>
              </w:rPr>
            </w:pPr>
            <w:r w:rsidRPr="00BE0F23">
              <w:rPr>
                <w:sz w:val="24"/>
                <w:szCs w:val="24"/>
                <w:lang w:val="en-GB"/>
              </w:rPr>
              <w:t xml:space="preserve">50 % </w:t>
            </w:r>
          </w:p>
        </w:tc>
      </w:tr>
    </w:tbl>
    <w:p w:rsidR="00BE0F23" w:rsidRPr="00BE0F23" w:rsidRDefault="00BE0F23" w:rsidP="00BE0F23">
      <w:pPr>
        <w:tabs>
          <w:tab w:val="left" w:pos="851"/>
        </w:tabs>
        <w:ind w:left="851"/>
        <w:rPr>
          <w:sz w:val="24"/>
          <w:szCs w:val="24"/>
          <w:lang w:val="en-US"/>
        </w:rPr>
      </w:pPr>
    </w:p>
    <w:p w:rsidR="00BE0F23" w:rsidRPr="00BE0F23" w:rsidRDefault="00BE0F23" w:rsidP="00BE0F23">
      <w:pPr>
        <w:tabs>
          <w:tab w:val="left" w:pos="851"/>
        </w:tabs>
        <w:ind w:left="851"/>
        <w:rPr>
          <w:sz w:val="24"/>
          <w:szCs w:val="24"/>
        </w:rPr>
      </w:pPr>
      <w:r w:rsidRPr="00BE0F23">
        <w:rPr>
          <w:sz w:val="24"/>
          <w:szCs w:val="24"/>
        </w:rPr>
        <w:t xml:space="preserve">I tilfælde, hvor lavpunktet efter den indledende dosis ikke falder i samme række for leukocytter og blodplader (f.eks. leukocytter &gt;4 000 og blodplader &lt;25 000), bør der anvendes den værdi, der giver den laveste procentdel af den tidligere anvendte dosis, (hvis blodplader f.eks. &lt;25 000, bør der højst gives 50 % af den tidligere dosis). </w:t>
      </w:r>
    </w:p>
    <w:p w:rsidR="00BE0F23" w:rsidRPr="00BE0F23" w:rsidRDefault="00BE0F23" w:rsidP="00BE0F23">
      <w:pPr>
        <w:tabs>
          <w:tab w:val="left" w:pos="851"/>
        </w:tabs>
        <w:ind w:left="851"/>
        <w:rPr>
          <w:sz w:val="24"/>
          <w:szCs w:val="24"/>
        </w:rPr>
      </w:pPr>
    </w:p>
    <w:p w:rsidR="00BE0F23" w:rsidRPr="00BE0F23" w:rsidRDefault="00BE0F23" w:rsidP="00BE0F23">
      <w:pPr>
        <w:tabs>
          <w:tab w:val="left" w:pos="851"/>
        </w:tabs>
        <w:ind w:left="851"/>
        <w:rPr>
          <w:sz w:val="24"/>
          <w:szCs w:val="24"/>
        </w:rPr>
      </w:pPr>
      <w:r w:rsidRPr="00BE0F23">
        <w:rPr>
          <w:sz w:val="24"/>
          <w:szCs w:val="24"/>
        </w:rPr>
        <w:t>Der er ingen begrænsninger for varigheden af behandlingen med carmustin. Hvis tumoren viser sig at være uhelbredelig, eller der opstår alvorlige eller uacceptable bivirkninger, skal carmustin seponeres.</w:t>
      </w:r>
    </w:p>
    <w:p w:rsidR="003F6821" w:rsidRDefault="003F6821">
      <w:pPr>
        <w:rPr>
          <w:sz w:val="24"/>
          <w:szCs w:val="24"/>
        </w:rPr>
      </w:pPr>
      <w:r>
        <w:rPr>
          <w:sz w:val="24"/>
          <w:szCs w:val="24"/>
        </w:rPr>
        <w:br w:type="page"/>
      </w:r>
    </w:p>
    <w:p w:rsidR="00BE0F23" w:rsidRPr="00BE0F23" w:rsidRDefault="00BE0F23" w:rsidP="00BE0F23">
      <w:pPr>
        <w:tabs>
          <w:tab w:val="left" w:pos="851"/>
        </w:tabs>
        <w:ind w:left="851"/>
        <w:rPr>
          <w:sz w:val="24"/>
          <w:szCs w:val="24"/>
        </w:rPr>
      </w:pPr>
    </w:p>
    <w:p w:rsidR="00BE0F23" w:rsidRPr="003F6821" w:rsidRDefault="00BE0F23" w:rsidP="00BE0F23">
      <w:pPr>
        <w:tabs>
          <w:tab w:val="left" w:pos="851"/>
        </w:tabs>
        <w:ind w:left="851"/>
        <w:rPr>
          <w:iCs/>
          <w:sz w:val="24"/>
          <w:szCs w:val="24"/>
          <w:u w:val="single"/>
        </w:rPr>
      </w:pPr>
      <w:r w:rsidRPr="003F6821">
        <w:rPr>
          <w:iCs/>
          <w:sz w:val="24"/>
          <w:szCs w:val="24"/>
          <w:u w:val="single"/>
        </w:rPr>
        <w:t>Forbehandling forud for HPCT</w:t>
      </w:r>
    </w:p>
    <w:p w:rsidR="00BE0F23" w:rsidRPr="00BE0F23" w:rsidRDefault="00BE0F23" w:rsidP="00BE0F23">
      <w:pPr>
        <w:tabs>
          <w:tab w:val="left" w:pos="851"/>
        </w:tabs>
        <w:ind w:left="851"/>
        <w:rPr>
          <w:sz w:val="24"/>
          <w:szCs w:val="24"/>
        </w:rPr>
      </w:pPr>
      <w:r w:rsidRPr="00BE0F23">
        <w:rPr>
          <w:sz w:val="24"/>
          <w:szCs w:val="24"/>
        </w:rPr>
        <w:t>Carmustin gives i kombination med andre kemoterapeutiske midler til patienter med ondartede hæmatologiske sygdomme før HPCT i en dosis på 300 - 600 mg/m</w:t>
      </w:r>
      <w:r w:rsidRPr="00BE0F23">
        <w:rPr>
          <w:sz w:val="24"/>
          <w:szCs w:val="24"/>
          <w:vertAlign w:val="superscript"/>
        </w:rPr>
        <w:t>2</w:t>
      </w:r>
      <w:r w:rsidRPr="00BE0F23">
        <w:rPr>
          <w:sz w:val="24"/>
          <w:szCs w:val="24"/>
        </w:rPr>
        <w:t xml:space="preserve"> intravenøst.</w:t>
      </w:r>
    </w:p>
    <w:p w:rsidR="00BE0F23" w:rsidRPr="00BE0F23" w:rsidRDefault="00BE0F23" w:rsidP="00BE0F23">
      <w:pPr>
        <w:tabs>
          <w:tab w:val="left" w:pos="851"/>
        </w:tabs>
        <w:ind w:left="851"/>
        <w:rPr>
          <w:sz w:val="24"/>
          <w:szCs w:val="24"/>
        </w:rPr>
      </w:pPr>
    </w:p>
    <w:p w:rsidR="00BE0F23" w:rsidRPr="00BE0F23" w:rsidRDefault="00BE0F23" w:rsidP="00BE0F23">
      <w:pPr>
        <w:tabs>
          <w:tab w:val="left" w:pos="851"/>
        </w:tabs>
        <w:ind w:left="851"/>
        <w:rPr>
          <w:sz w:val="24"/>
          <w:szCs w:val="24"/>
          <w:u w:val="single"/>
        </w:rPr>
      </w:pPr>
      <w:r w:rsidRPr="00BE0F23">
        <w:rPr>
          <w:sz w:val="24"/>
          <w:szCs w:val="24"/>
          <w:u w:val="single"/>
        </w:rPr>
        <w:t>Særlige populationer</w:t>
      </w:r>
    </w:p>
    <w:p w:rsidR="00BE0F23" w:rsidRPr="00BE0F23" w:rsidRDefault="00BE0F23" w:rsidP="00BE0F23">
      <w:pPr>
        <w:tabs>
          <w:tab w:val="left" w:pos="851"/>
        </w:tabs>
        <w:ind w:left="851"/>
        <w:rPr>
          <w:sz w:val="24"/>
          <w:szCs w:val="24"/>
        </w:rPr>
      </w:pPr>
    </w:p>
    <w:p w:rsidR="00BE0F23" w:rsidRPr="003F6821" w:rsidRDefault="00BE0F23" w:rsidP="00BE0F23">
      <w:pPr>
        <w:tabs>
          <w:tab w:val="left" w:pos="851"/>
        </w:tabs>
        <w:ind w:left="851"/>
        <w:rPr>
          <w:i/>
          <w:iCs/>
          <w:sz w:val="24"/>
          <w:szCs w:val="24"/>
        </w:rPr>
      </w:pPr>
      <w:r w:rsidRPr="003F6821">
        <w:rPr>
          <w:i/>
          <w:iCs/>
          <w:sz w:val="24"/>
          <w:szCs w:val="24"/>
        </w:rPr>
        <w:t xml:space="preserve">Pædiatrisk population </w:t>
      </w:r>
    </w:p>
    <w:p w:rsidR="00BE0F23" w:rsidRPr="00BE0F23" w:rsidRDefault="00BE0F23" w:rsidP="00BE0F23">
      <w:pPr>
        <w:tabs>
          <w:tab w:val="left" w:pos="851"/>
        </w:tabs>
        <w:ind w:left="851"/>
        <w:rPr>
          <w:sz w:val="24"/>
          <w:szCs w:val="24"/>
        </w:rPr>
      </w:pPr>
      <w:r w:rsidRPr="00BE0F23">
        <w:rPr>
          <w:sz w:val="24"/>
          <w:szCs w:val="24"/>
        </w:rPr>
        <w:t>Carmustin er kontraindiceret hos børn og unge &lt;18 år (se pkt. 4.3)</w:t>
      </w:r>
    </w:p>
    <w:p w:rsidR="00BE0F23" w:rsidRPr="00BE0F23" w:rsidRDefault="00BE0F23" w:rsidP="00BE0F23">
      <w:pPr>
        <w:tabs>
          <w:tab w:val="left" w:pos="851"/>
        </w:tabs>
        <w:ind w:left="851"/>
        <w:rPr>
          <w:sz w:val="24"/>
          <w:szCs w:val="24"/>
        </w:rPr>
      </w:pPr>
    </w:p>
    <w:p w:rsidR="00BE0F23" w:rsidRPr="003F6821" w:rsidRDefault="00BE0F23" w:rsidP="00BE0F23">
      <w:pPr>
        <w:tabs>
          <w:tab w:val="left" w:pos="851"/>
        </w:tabs>
        <w:ind w:left="851"/>
        <w:rPr>
          <w:i/>
          <w:iCs/>
          <w:sz w:val="24"/>
          <w:szCs w:val="24"/>
        </w:rPr>
      </w:pPr>
      <w:r w:rsidRPr="003F6821">
        <w:rPr>
          <w:i/>
          <w:iCs/>
          <w:sz w:val="24"/>
          <w:szCs w:val="24"/>
        </w:rPr>
        <w:t>Ældre</w:t>
      </w:r>
    </w:p>
    <w:p w:rsidR="00BE0F23" w:rsidRPr="00BE0F23" w:rsidRDefault="00BE0F23" w:rsidP="00BE0F23">
      <w:pPr>
        <w:tabs>
          <w:tab w:val="left" w:pos="851"/>
        </w:tabs>
        <w:ind w:left="851"/>
        <w:rPr>
          <w:sz w:val="24"/>
          <w:szCs w:val="24"/>
        </w:rPr>
      </w:pPr>
      <w:r w:rsidRPr="00BE0F23">
        <w:rPr>
          <w:sz w:val="24"/>
          <w:szCs w:val="24"/>
        </w:rPr>
        <w:t>Generelt bør der udvises forsigtighed ved valg af dosis til ældre, idet der sædvanligvis begyndes i den lave ende af dosisområdet som afspejling af den større hyppighed af nedsat lever-, nyre- eller hjertefunktion og hensyn til samtidig sygdom eller behandling med andre lægemidler. Da ældre patienter har større sandsynlighed for at have nedsat nyrefunktion, bør der udvises forsigtighed ved valg af dosis, og den glomerulære filtreringshastighed bør overvåges, og dosis reduceres i overensstemmelse dermed.</w:t>
      </w:r>
    </w:p>
    <w:p w:rsidR="00BE0F23" w:rsidRPr="00BE0F23" w:rsidRDefault="00BE0F23" w:rsidP="00BE0F23">
      <w:pPr>
        <w:tabs>
          <w:tab w:val="left" w:pos="851"/>
        </w:tabs>
        <w:ind w:left="851"/>
        <w:rPr>
          <w:sz w:val="24"/>
          <w:szCs w:val="24"/>
        </w:rPr>
      </w:pPr>
    </w:p>
    <w:p w:rsidR="00BE0F23" w:rsidRPr="003F6821" w:rsidRDefault="00BE0F23" w:rsidP="00BE0F23">
      <w:pPr>
        <w:tabs>
          <w:tab w:val="left" w:pos="851"/>
        </w:tabs>
        <w:ind w:left="851"/>
        <w:rPr>
          <w:sz w:val="24"/>
          <w:szCs w:val="24"/>
        </w:rPr>
      </w:pPr>
      <w:r w:rsidRPr="003F6821">
        <w:rPr>
          <w:i/>
          <w:iCs/>
          <w:sz w:val="24"/>
          <w:szCs w:val="24"/>
        </w:rPr>
        <w:t xml:space="preserve">Nedsat nyrefunktion </w:t>
      </w:r>
    </w:p>
    <w:p w:rsidR="00BE0F23" w:rsidRPr="00BE0F23" w:rsidRDefault="00BE0F23" w:rsidP="00BE0F23">
      <w:pPr>
        <w:tabs>
          <w:tab w:val="left" w:pos="851"/>
        </w:tabs>
        <w:ind w:left="851"/>
        <w:rPr>
          <w:sz w:val="24"/>
          <w:szCs w:val="24"/>
        </w:rPr>
      </w:pPr>
      <w:r w:rsidRPr="00BE0F23">
        <w:rPr>
          <w:sz w:val="24"/>
          <w:szCs w:val="24"/>
        </w:rPr>
        <w:t>For patienter med nedsat nyrefunktion bør dosis af Carmustin "Waymade" reduceres, hvis den glomerulære filtreringshastighed er reduceret.</w:t>
      </w:r>
    </w:p>
    <w:p w:rsidR="00BE0F23" w:rsidRPr="00BE0F23" w:rsidRDefault="00BE0F23" w:rsidP="00BE0F23">
      <w:pPr>
        <w:tabs>
          <w:tab w:val="left" w:pos="851"/>
        </w:tabs>
        <w:ind w:left="851"/>
        <w:rPr>
          <w:sz w:val="24"/>
          <w:szCs w:val="24"/>
        </w:rPr>
      </w:pPr>
    </w:p>
    <w:p w:rsidR="00BE0F23" w:rsidRPr="003F6821" w:rsidRDefault="00BE0F23" w:rsidP="00BE0F23">
      <w:pPr>
        <w:tabs>
          <w:tab w:val="left" w:pos="851"/>
        </w:tabs>
        <w:ind w:left="851"/>
        <w:rPr>
          <w:b/>
          <w:iCs/>
          <w:sz w:val="24"/>
          <w:szCs w:val="24"/>
        </w:rPr>
      </w:pPr>
      <w:r w:rsidRPr="003F6821">
        <w:rPr>
          <w:b/>
          <w:iCs/>
          <w:sz w:val="24"/>
          <w:szCs w:val="24"/>
        </w:rPr>
        <w:t xml:space="preserve">Administration </w:t>
      </w:r>
    </w:p>
    <w:p w:rsidR="00BE0F23" w:rsidRPr="00BE0F23" w:rsidRDefault="00BE0F23" w:rsidP="00BE0F23">
      <w:pPr>
        <w:tabs>
          <w:tab w:val="left" w:pos="851"/>
        </w:tabs>
        <w:ind w:left="851"/>
        <w:rPr>
          <w:sz w:val="24"/>
          <w:szCs w:val="24"/>
        </w:rPr>
      </w:pPr>
      <w:r>
        <w:rPr>
          <w:sz w:val="24"/>
          <w:szCs w:val="24"/>
        </w:rPr>
        <w:t>Carmustin "Waymade"</w:t>
      </w:r>
      <w:r w:rsidRPr="00BE0F23">
        <w:rPr>
          <w:sz w:val="24"/>
          <w:szCs w:val="24"/>
        </w:rPr>
        <w:t xml:space="preserve"> er til intravenøs anvendelse efter rekonstitution og yderligere fortynding.</w:t>
      </w:r>
    </w:p>
    <w:p w:rsidR="00BE0F23" w:rsidRPr="00BE0F23" w:rsidRDefault="00BE0F23" w:rsidP="00BE0F23">
      <w:pPr>
        <w:tabs>
          <w:tab w:val="left" w:pos="851"/>
        </w:tabs>
        <w:ind w:left="851"/>
        <w:rPr>
          <w:sz w:val="24"/>
          <w:szCs w:val="24"/>
        </w:rPr>
      </w:pPr>
    </w:p>
    <w:p w:rsidR="00BE0F23" w:rsidRPr="00BE0F23" w:rsidRDefault="0015622D" w:rsidP="00BE0F23">
      <w:pPr>
        <w:tabs>
          <w:tab w:val="left" w:pos="851"/>
        </w:tabs>
        <w:ind w:left="851"/>
        <w:rPr>
          <w:sz w:val="24"/>
          <w:szCs w:val="24"/>
        </w:rPr>
      </w:pPr>
      <w:r w:rsidRPr="0015622D">
        <w:rPr>
          <w:sz w:val="24"/>
          <w:szCs w:val="24"/>
        </w:rPr>
        <w:t xml:space="preserve">Ved at rekonstituere pulveret med solvensen skal der fremstilles en opløsning, idet der tilsættes yderligere 27 ml </w:t>
      </w:r>
      <w:r w:rsidR="00E71515">
        <w:rPr>
          <w:sz w:val="24"/>
          <w:szCs w:val="24"/>
        </w:rPr>
        <w:t xml:space="preserve">sterilt </w:t>
      </w:r>
      <w:r w:rsidRPr="0015622D">
        <w:rPr>
          <w:sz w:val="24"/>
          <w:szCs w:val="24"/>
        </w:rPr>
        <w:t>vand til injektionsvæsker</w:t>
      </w:r>
      <w:r w:rsidR="00BE0F23" w:rsidRPr="00BE0F23">
        <w:rPr>
          <w:sz w:val="24"/>
          <w:szCs w:val="24"/>
        </w:rPr>
        <w:t xml:space="preserve">. Den rekonstituerede </w:t>
      </w:r>
      <w:r>
        <w:rPr>
          <w:sz w:val="24"/>
          <w:szCs w:val="24"/>
        </w:rPr>
        <w:t>opløsning</w:t>
      </w:r>
      <w:r w:rsidR="00BE0F23" w:rsidRPr="00BE0F23">
        <w:rPr>
          <w:sz w:val="24"/>
          <w:szCs w:val="24"/>
        </w:rPr>
        <w:t xml:space="preserve"> er</w:t>
      </w:r>
      <w:r>
        <w:rPr>
          <w:sz w:val="24"/>
          <w:szCs w:val="24"/>
        </w:rPr>
        <w:t xml:space="preserve"> en</w:t>
      </w:r>
      <w:r w:rsidR="00BE0F23" w:rsidRPr="00BE0F23">
        <w:rPr>
          <w:sz w:val="24"/>
          <w:szCs w:val="24"/>
        </w:rPr>
        <w:t xml:space="preserve"> klar</w:t>
      </w:r>
      <w:r>
        <w:rPr>
          <w:sz w:val="24"/>
          <w:szCs w:val="24"/>
        </w:rPr>
        <w:t>,</w:t>
      </w:r>
      <w:r w:rsidR="00BE0F23" w:rsidRPr="00BE0F23">
        <w:rPr>
          <w:sz w:val="24"/>
          <w:szCs w:val="24"/>
        </w:rPr>
        <w:t xml:space="preserve"> farveløs til lysgul </w:t>
      </w:r>
      <w:r>
        <w:rPr>
          <w:sz w:val="24"/>
          <w:szCs w:val="24"/>
        </w:rPr>
        <w:t>opløsning</w:t>
      </w:r>
      <w:r w:rsidR="00BE0F23" w:rsidRPr="00BE0F23">
        <w:rPr>
          <w:sz w:val="24"/>
          <w:szCs w:val="24"/>
        </w:rPr>
        <w:t xml:space="preserve">. Den rekonstituerede </w:t>
      </w:r>
      <w:r w:rsidR="007A02EC">
        <w:rPr>
          <w:sz w:val="24"/>
          <w:szCs w:val="24"/>
        </w:rPr>
        <w:t>opløsning</w:t>
      </w:r>
      <w:r w:rsidR="00BE0F23" w:rsidRPr="00BE0F23">
        <w:rPr>
          <w:sz w:val="24"/>
          <w:szCs w:val="24"/>
        </w:rPr>
        <w:t xml:space="preserve"> skal yderligere fortyndes med 500 ml natrium</w:t>
      </w:r>
      <w:r w:rsidR="007A02EC">
        <w:rPr>
          <w:sz w:val="24"/>
          <w:szCs w:val="24"/>
        </w:rPr>
        <w:t>ch</w:t>
      </w:r>
      <w:r w:rsidR="00BE0F23" w:rsidRPr="00BE0F23">
        <w:rPr>
          <w:sz w:val="24"/>
          <w:szCs w:val="24"/>
        </w:rPr>
        <w:t xml:space="preserve">lorid 9 mg/ml (0,9 %) injektionsvæske eller </w:t>
      </w:r>
      <w:r w:rsidR="007A02EC">
        <w:rPr>
          <w:sz w:val="24"/>
          <w:szCs w:val="24"/>
        </w:rPr>
        <w:t>glucose</w:t>
      </w:r>
      <w:r w:rsidR="00BE0F23" w:rsidRPr="00BE0F23">
        <w:rPr>
          <w:sz w:val="24"/>
          <w:szCs w:val="24"/>
        </w:rPr>
        <w:t xml:space="preserve"> 50 mg/ml (5</w:t>
      </w:r>
      <w:r w:rsidR="007A02EC">
        <w:rPr>
          <w:sz w:val="24"/>
          <w:szCs w:val="24"/>
        </w:rPr>
        <w:t xml:space="preserve"> </w:t>
      </w:r>
      <w:r w:rsidR="00BE0F23" w:rsidRPr="00BE0F23">
        <w:rPr>
          <w:sz w:val="24"/>
          <w:szCs w:val="24"/>
        </w:rPr>
        <w:t>%) injektionsvæske.</w:t>
      </w:r>
    </w:p>
    <w:p w:rsidR="00BE0F23" w:rsidRPr="00BE0F23" w:rsidRDefault="00BE0F23" w:rsidP="00BE0F23">
      <w:pPr>
        <w:tabs>
          <w:tab w:val="left" w:pos="851"/>
        </w:tabs>
        <w:ind w:left="851"/>
        <w:rPr>
          <w:sz w:val="24"/>
          <w:szCs w:val="24"/>
        </w:rPr>
      </w:pPr>
    </w:p>
    <w:p w:rsidR="00BE0F23" w:rsidRPr="00BE0F23" w:rsidRDefault="00BE0F23" w:rsidP="00BE0F23">
      <w:pPr>
        <w:tabs>
          <w:tab w:val="left" w:pos="851"/>
        </w:tabs>
        <w:ind w:left="851"/>
        <w:rPr>
          <w:sz w:val="24"/>
          <w:szCs w:val="24"/>
        </w:rPr>
      </w:pPr>
      <w:r w:rsidRPr="00BE0F23">
        <w:rPr>
          <w:sz w:val="24"/>
          <w:szCs w:val="24"/>
        </w:rPr>
        <w:t xml:space="preserve">Den resulterende brugsklare infusionsvæske, opløsning, bør derefter administreres straks med intravenøst drop i løbet af en periode på 1-2 timer, beskyttet mod lys. Infusionsvarigheden bør ikke være mindre end én time, da infusionen ellers medfører brændende fornemmelse og smerter i det injicerede område. Det injicerede område skal overvåges under administrationen. </w:t>
      </w:r>
    </w:p>
    <w:p w:rsidR="00BE0F23" w:rsidRPr="00BE0F23" w:rsidRDefault="00BE0F23" w:rsidP="00BE0F23">
      <w:pPr>
        <w:tabs>
          <w:tab w:val="left" w:pos="851"/>
        </w:tabs>
        <w:ind w:left="851"/>
        <w:rPr>
          <w:sz w:val="24"/>
          <w:szCs w:val="24"/>
        </w:rPr>
      </w:pPr>
    </w:p>
    <w:p w:rsidR="00BE0F23" w:rsidRPr="00BE0F23" w:rsidRDefault="00BE0F23" w:rsidP="00BE0F23">
      <w:pPr>
        <w:tabs>
          <w:tab w:val="left" w:pos="851"/>
        </w:tabs>
        <w:ind w:left="851"/>
        <w:rPr>
          <w:sz w:val="24"/>
          <w:szCs w:val="24"/>
        </w:rPr>
      </w:pPr>
      <w:r w:rsidRPr="00BE0F23">
        <w:rPr>
          <w:sz w:val="24"/>
          <w:szCs w:val="24"/>
        </w:rPr>
        <w:t>For instruktioner om rekonstitution og fortynding af lægemidlet før administration, se pkt. 6.6.</w:t>
      </w:r>
    </w:p>
    <w:p w:rsidR="00BE0F23" w:rsidRPr="00BE0F23" w:rsidRDefault="00BE0F23" w:rsidP="00BE0F23">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8B27F8" w:rsidRPr="008B27F8" w:rsidRDefault="007A02EC" w:rsidP="008B27F8">
      <w:pPr>
        <w:numPr>
          <w:ilvl w:val="0"/>
          <w:numId w:val="7"/>
        </w:numPr>
        <w:tabs>
          <w:tab w:val="left" w:pos="851"/>
        </w:tabs>
        <w:ind w:left="1134" w:hanging="283"/>
        <w:rPr>
          <w:sz w:val="24"/>
          <w:szCs w:val="24"/>
        </w:rPr>
      </w:pPr>
      <w:r>
        <w:rPr>
          <w:sz w:val="24"/>
          <w:szCs w:val="24"/>
        </w:rPr>
        <w:t>Overfølsomhed</w:t>
      </w:r>
      <w:r w:rsidR="008B27F8" w:rsidRPr="008B27F8">
        <w:rPr>
          <w:sz w:val="24"/>
          <w:szCs w:val="24"/>
        </w:rPr>
        <w:t xml:space="preserve"> over for </w:t>
      </w:r>
      <w:r>
        <w:rPr>
          <w:sz w:val="24"/>
          <w:szCs w:val="24"/>
        </w:rPr>
        <w:t xml:space="preserve">det </w:t>
      </w:r>
      <w:r w:rsidR="008B27F8" w:rsidRPr="008B27F8">
        <w:rPr>
          <w:sz w:val="24"/>
          <w:szCs w:val="24"/>
        </w:rPr>
        <w:t xml:space="preserve">aktive stof eller </w:t>
      </w:r>
      <w:r>
        <w:rPr>
          <w:sz w:val="24"/>
          <w:szCs w:val="24"/>
        </w:rPr>
        <w:t xml:space="preserve">et eller flere af </w:t>
      </w:r>
      <w:r w:rsidR="008B27F8" w:rsidRPr="008B27F8">
        <w:rPr>
          <w:sz w:val="24"/>
          <w:szCs w:val="24"/>
        </w:rPr>
        <w:t>hjælpestoffer</w:t>
      </w:r>
      <w:r>
        <w:rPr>
          <w:sz w:val="24"/>
          <w:szCs w:val="24"/>
        </w:rPr>
        <w:t>ne</w:t>
      </w:r>
      <w:r w:rsidR="008B27F8" w:rsidRPr="008B27F8">
        <w:rPr>
          <w:sz w:val="24"/>
          <w:szCs w:val="24"/>
        </w:rPr>
        <w:t xml:space="preserve"> </w:t>
      </w:r>
      <w:r w:rsidR="006C3D51">
        <w:rPr>
          <w:sz w:val="24"/>
          <w:szCs w:val="24"/>
        </w:rPr>
        <w:t>anført</w:t>
      </w:r>
      <w:r w:rsidR="008B27F8" w:rsidRPr="008B27F8">
        <w:rPr>
          <w:sz w:val="24"/>
          <w:szCs w:val="24"/>
        </w:rPr>
        <w:t xml:space="preserve"> i </w:t>
      </w:r>
      <w:r w:rsidR="008B27F8">
        <w:rPr>
          <w:sz w:val="24"/>
          <w:szCs w:val="24"/>
        </w:rPr>
        <w:t>pkt.</w:t>
      </w:r>
      <w:r w:rsidR="008B27F8" w:rsidRPr="008B27F8">
        <w:rPr>
          <w:sz w:val="24"/>
          <w:szCs w:val="24"/>
        </w:rPr>
        <w:t xml:space="preserve"> 6.1. </w:t>
      </w:r>
    </w:p>
    <w:p w:rsidR="008B27F8" w:rsidRPr="008B27F8" w:rsidRDefault="008B27F8" w:rsidP="008B27F8">
      <w:pPr>
        <w:numPr>
          <w:ilvl w:val="0"/>
          <w:numId w:val="7"/>
        </w:numPr>
        <w:tabs>
          <w:tab w:val="left" w:pos="851"/>
        </w:tabs>
        <w:ind w:left="1134" w:hanging="283"/>
        <w:rPr>
          <w:sz w:val="24"/>
          <w:szCs w:val="24"/>
          <w:lang w:val="en-GB"/>
        </w:rPr>
      </w:pPr>
      <w:r w:rsidRPr="008B27F8">
        <w:rPr>
          <w:sz w:val="24"/>
          <w:szCs w:val="24"/>
          <w:lang w:val="en-GB"/>
        </w:rPr>
        <w:t xml:space="preserve">Svær knoglemarvsdepression </w:t>
      </w:r>
    </w:p>
    <w:p w:rsidR="008B27F8" w:rsidRPr="008B27F8" w:rsidRDefault="008B27F8" w:rsidP="008B27F8">
      <w:pPr>
        <w:numPr>
          <w:ilvl w:val="0"/>
          <w:numId w:val="7"/>
        </w:numPr>
        <w:tabs>
          <w:tab w:val="left" w:pos="851"/>
        </w:tabs>
        <w:ind w:left="1134" w:hanging="283"/>
        <w:rPr>
          <w:sz w:val="24"/>
          <w:szCs w:val="24"/>
          <w:lang w:val="en-GB"/>
        </w:rPr>
      </w:pPr>
      <w:r w:rsidRPr="008B27F8">
        <w:rPr>
          <w:sz w:val="24"/>
          <w:szCs w:val="24"/>
          <w:lang w:val="en-GB"/>
        </w:rPr>
        <w:t xml:space="preserve">Svær (terminal) nyrefunktionsnedsættelse </w:t>
      </w:r>
    </w:p>
    <w:p w:rsidR="008B27F8" w:rsidRPr="008B27F8" w:rsidRDefault="008B27F8" w:rsidP="008B27F8">
      <w:pPr>
        <w:numPr>
          <w:ilvl w:val="0"/>
          <w:numId w:val="7"/>
        </w:numPr>
        <w:tabs>
          <w:tab w:val="left" w:pos="851"/>
        </w:tabs>
        <w:ind w:left="1134" w:hanging="283"/>
        <w:rPr>
          <w:sz w:val="24"/>
          <w:szCs w:val="24"/>
          <w:lang w:val="en-GB"/>
        </w:rPr>
      </w:pPr>
      <w:r w:rsidRPr="008B27F8">
        <w:rPr>
          <w:sz w:val="24"/>
          <w:szCs w:val="24"/>
          <w:lang w:val="en-GB"/>
        </w:rPr>
        <w:t xml:space="preserve">Børn og unge </w:t>
      </w:r>
    </w:p>
    <w:p w:rsidR="008B27F8" w:rsidRPr="008B27F8" w:rsidRDefault="008B27F8" w:rsidP="008B27F8">
      <w:pPr>
        <w:numPr>
          <w:ilvl w:val="0"/>
          <w:numId w:val="7"/>
        </w:numPr>
        <w:tabs>
          <w:tab w:val="left" w:pos="851"/>
        </w:tabs>
        <w:ind w:left="1134" w:hanging="283"/>
        <w:rPr>
          <w:sz w:val="24"/>
          <w:szCs w:val="24"/>
          <w:lang w:val="en-US"/>
        </w:rPr>
      </w:pPr>
      <w:r w:rsidRPr="008B27F8">
        <w:rPr>
          <w:sz w:val="24"/>
          <w:szCs w:val="24"/>
          <w:lang w:val="en-GB"/>
        </w:rPr>
        <w:t>Amning</w:t>
      </w:r>
    </w:p>
    <w:p w:rsidR="00962083" w:rsidRDefault="00962083">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62083" w:rsidRPr="00962083" w:rsidRDefault="00962083" w:rsidP="00962083">
      <w:pPr>
        <w:tabs>
          <w:tab w:val="left" w:pos="851"/>
        </w:tabs>
        <w:ind w:left="851"/>
        <w:rPr>
          <w:sz w:val="24"/>
          <w:szCs w:val="24"/>
        </w:rPr>
      </w:pPr>
      <w:r w:rsidRPr="00962083">
        <w:rPr>
          <w:sz w:val="24"/>
          <w:szCs w:val="24"/>
        </w:rPr>
        <w:t>Pulmonal toksicitet kendetegnet af lungeinfiltrater og/eller -fibrose er beskrevet at forekomme med en hyppighed på op til 30 %. Dette kan forekomme inden for 3 års behandling og synes at være dosisrelateret, idet kumulative doser på 1200-1</w:t>
      </w:r>
      <w:r w:rsidR="00643069">
        <w:rPr>
          <w:sz w:val="24"/>
          <w:szCs w:val="24"/>
        </w:rPr>
        <w:t>5</w:t>
      </w:r>
      <w:r w:rsidRPr="00962083">
        <w:rPr>
          <w:sz w:val="24"/>
          <w:szCs w:val="24"/>
        </w:rPr>
        <w:t>00 mg/m</w:t>
      </w:r>
      <w:r w:rsidRPr="00962083">
        <w:rPr>
          <w:sz w:val="24"/>
          <w:szCs w:val="24"/>
          <w:vertAlign w:val="superscript"/>
        </w:rPr>
        <w:t>2</w:t>
      </w:r>
      <w:r w:rsidRPr="00962083">
        <w:rPr>
          <w:sz w:val="24"/>
          <w:szCs w:val="24"/>
        </w:rPr>
        <w:t xml:space="preserve"> er forbundet med forhøjet sandsynlighed for lungefibrose. Til risikofaktorerne hører rygning, luftvejssygdomme, præeksisterende radiografiske abnormiteter, sekventiel eller samtidig thoraxbestråling og sammenhæng med andre stoffer, der forårsager lungebeskadigelse. Ved baseline bør der foretages undersøgelse af lungefunktion og røntgen af thorax, og under behandlingen hyppige lungefunktionstests. Patienter med en baselineværdi på under 70 % af den forventede tvungne vitalkapacitet (FVC) eller carbonmonoxid-diffusionsevne (DLCO) har særlig risiko. </w:t>
      </w:r>
    </w:p>
    <w:p w:rsidR="00962083" w:rsidRPr="00962083" w:rsidRDefault="00962083" w:rsidP="00962083">
      <w:pPr>
        <w:tabs>
          <w:tab w:val="left" w:pos="851"/>
        </w:tabs>
        <w:ind w:left="851"/>
        <w:rPr>
          <w:sz w:val="24"/>
          <w:szCs w:val="24"/>
        </w:rPr>
      </w:pPr>
    </w:p>
    <w:p w:rsidR="00962083" w:rsidRPr="00962083" w:rsidRDefault="00962083" w:rsidP="00962083">
      <w:pPr>
        <w:tabs>
          <w:tab w:val="left" w:pos="851"/>
        </w:tabs>
        <w:ind w:left="851"/>
        <w:rPr>
          <w:sz w:val="24"/>
          <w:szCs w:val="24"/>
        </w:rPr>
      </w:pPr>
      <w:r w:rsidRPr="00962083">
        <w:rPr>
          <w:sz w:val="24"/>
          <w:szCs w:val="24"/>
        </w:rPr>
        <w:t xml:space="preserve">Der er rapporteret om en øget risiko for pulmonal toksicitet ved forbehandling og HPCT for kvinder. Indtil videre er denne øgede risiko beskrevet for selve behandlingen inklusive forbehandling uden carmustin (f.eks. TBI eller busulfan-cyclophosphamid) eller med carmustin (BEAM: </w:t>
      </w:r>
      <w:r>
        <w:rPr>
          <w:sz w:val="24"/>
          <w:szCs w:val="24"/>
        </w:rPr>
        <w:t>C</w:t>
      </w:r>
      <w:r w:rsidRPr="00962083">
        <w:rPr>
          <w:sz w:val="24"/>
          <w:szCs w:val="24"/>
        </w:rPr>
        <w:t xml:space="preserve">armustin, etopsid, cytarabin og melphalan eller CBV: </w:t>
      </w:r>
      <w:r>
        <w:rPr>
          <w:sz w:val="24"/>
          <w:szCs w:val="24"/>
        </w:rPr>
        <w:t>C</w:t>
      </w:r>
      <w:r w:rsidRPr="00962083">
        <w:rPr>
          <w:sz w:val="24"/>
          <w:szCs w:val="24"/>
        </w:rPr>
        <w:t>yclophosphamid, carmustin og etoposid).</w:t>
      </w:r>
    </w:p>
    <w:p w:rsidR="00962083" w:rsidRPr="00962083" w:rsidRDefault="00962083" w:rsidP="00962083">
      <w:pPr>
        <w:tabs>
          <w:tab w:val="left" w:pos="851"/>
        </w:tabs>
        <w:ind w:left="851"/>
        <w:rPr>
          <w:sz w:val="24"/>
          <w:szCs w:val="24"/>
        </w:rPr>
      </w:pPr>
      <w:r w:rsidRPr="00962083">
        <w:rPr>
          <w:sz w:val="24"/>
          <w:szCs w:val="24"/>
        </w:rPr>
        <w:t xml:space="preserve"> </w:t>
      </w:r>
    </w:p>
    <w:p w:rsidR="00962083" w:rsidRPr="00962083" w:rsidRDefault="00962083" w:rsidP="00962083">
      <w:pPr>
        <w:tabs>
          <w:tab w:val="left" w:pos="851"/>
        </w:tabs>
        <w:ind w:left="851"/>
        <w:rPr>
          <w:sz w:val="24"/>
          <w:szCs w:val="24"/>
        </w:rPr>
      </w:pPr>
      <w:r w:rsidRPr="00962083">
        <w:rPr>
          <w:sz w:val="24"/>
          <w:szCs w:val="24"/>
        </w:rPr>
        <w:t>Højdosisbehandling med carmustin (især med 600 mg/m</w:t>
      </w:r>
      <w:r w:rsidRPr="00962083">
        <w:rPr>
          <w:sz w:val="24"/>
          <w:szCs w:val="24"/>
          <w:vertAlign w:val="superscript"/>
        </w:rPr>
        <w:t>2</w:t>
      </w:r>
      <w:r w:rsidRPr="00962083">
        <w:rPr>
          <w:sz w:val="24"/>
          <w:szCs w:val="24"/>
        </w:rPr>
        <w:t xml:space="preserve">) inden hæmatopoietisk stamcelletransplantation har vist sig at øge risikoen for forekomst og sværhedsgrad af pulmonal toksicitet. Hos patienter med andre risici for pulmonal toksicitet skal brugen af carmustin derfor afvejes mod risiciene. </w:t>
      </w:r>
    </w:p>
    <w:p w:rsidR="00962083" w:rsidRPr="00962083" w:rsidRDefault="00962083" w:rsidP="00962083">
      <w:pPr>
        <w:tabs>
          <w:tab w:val="left" w:pos="851"/>
        </w:tabs>
        <w:ind w:left="851"/>
        <w:rPr>
          <w:sz w:val="24"/>
          <w:szCs w:val="24"/>
        </w:rPr>
      </w:pPr>
    </w:p>
    <w:p w:rsidR="00962083" w:rsidRPr="00962083" w:rsidRDefault="00962083" w:rsidP="00962083">
      <w:pPr>
        <w:tabs>
          <w:tab w:val="left" w:pos="851"/>
        </w:tabs>
        <w:ind w:left="851"/>
        <w:rPr>
          <w:sz w:val="24"/>
          <w:szCs w:val="24"/>
        </w:rPr>
      </w:pPr>
      <w:r w:rsidRPr="00962083">
        <w:rPr>
          <w:sz w:val="24"/>
          <w:szCs w:val="24"/>
        </w:rPr>
        <w:t>Ved højdosisbehandling med carmustin stiger risikoen og sværhedsgraden for infektioner, hjerte-, lever-, gastrointestinal og nyretoksicitet, sygdomme i nervesystemet og elektrolyt-abnormiteter (hypokalæmi, hypomagnesæmi og hypophosphatemia).</w:t>
      </w:r>
    </w:p>
    <w:p w:rsidR="00962083" w:rsidRPr="00962083" w:rsidRDefault="00962083" w:rsidP="00962083">
      <w:pPr>
        <w:tabs>
          <w:tab w:val="left" w:pos="851"/>
        </w:tabs>
        <w:ind w:left="851"/>
        <w:rPr>
          <w:sz w:val="24"/>
          <w:szCs w:val="24"/>
        </w:rPr>
      </w:pPr>
    </w:p>
    <w:p w:rsidR="00962083" w:rsidRPr="00962083" w:rsidRDefault="00962083" w:rsidP="00962083">
      <w:pPr>
        <w:tabs>
          <w:tab w:val="left" w:pos="851"/>
        </w:tabs>
        <w:ind w:left="851"/>
        <w:rPr>
          <w:sz w:val="24"/>
          <w:szCs w:val="24"/>
        </w:rPr>
      </w:pPr>
      <w:r w:rsidRPr="00962083">
        <w:rPr>
          <w:sz w:val="24"/>
          <w:szCs w:val="24"/>
        </w:rPr>
        <w:t xml:space="preserve">Patienter med comorbiditeter og værre sygdomsstatus har en højere risiko for bivirkninger. Dette skal respekteres, især for ældre patienter. </w:t>
      </w:r>
    </w:p>
    <w:p w:rsidR="00962083" w:rsidRPr="00962083" w:rsidRDefault="00962083" w:rsidP="00962083">
      <w:pPr>
        <w:tabs>
          <w:tab w:val="left" w:pos="851"/>
        </w:tabs>
        <w:ind w:left="851"/>
        <w:rPr>
          <w:sz w:val="24"/>
          <w:szCs w:val="24"/>
        </w:rPr>
      </w:pPr>
    </w:p>
    <w:p w:rsidR="00962083" w:rsidRPr="00962083" w:rsidRDefault="00962083" w:rsidP="00962083">
      <w:pPr>
        <w:tabs>
          <w:tab w:val="left" w:pos="851"/>
        </w:tabs>
        <w:ind w:left="851"/>
        <w:rPr>
          <w:sz w:val="24"/>
          <w:szCs w:val="24"/>
        </w:rPr>
      </w:pPr>
      <w:r w:rsidRPr="00962083">
        <w:rPr>
          <w:sz w:val="24"/>
          <w:szCs w:val="24"/>
        </w:rPr>
        <w:t xml:space="preserve">Lever- og nyrefunktion bør ligeledes kontrolleres før behandling og overvåges regelmæssigt under behandlingen (se pkt. 4.8). </w:t>
      </w:r>
    </w:p>
    <w:p w:rsidR="00962083" w:rsidRPr="00962083" w:rsidRDefault="00962083" w:rsidP="00962083">
      <w:pPr>
        <w:tabs>
          <w:tab w:val="left" w:pos="851"/>
        </w:tabs>
        <w:ind w:left="851"/>
        <w:rPr>
          <w:sz w:val="24"/>
          <w:szCs w:val="24"/>
        </w:rPr>
      </w:pPr>
    </w:p>
    <w:p w:rsidR="00962083" w:rsidRPr="00962083" w:rsidRDefault="00962083" w:rsidP="00962083">
      <w:pPr>
        <w:tabs>
          <w:tab w:val="left" w:pos="851"/>
        </w:tabs>
        <w:ind w:left="851"/>
        <w:rPr>
          <w:sz w:val="24"/>
          <w:szCs w:val="24"/>
        </w:rPr>
      </w:pPr>
      <w:r w:rsidRPr="00962083">
        <w:rPr>
          <w:sz w:val="24"/>
          <w:szCs w:val="24"/>
        </w:rPr>
        <w:t xml:space="preserve">Neutropen enterokolitis kan forekomme som behandlingsrelateret bivirkning efter behandling med kemoterapeutiske midler. </w:t>
      </w:r>
    </w:p>
    <w:p w:rsidR="00962083" w:rsidRPr="00962083" w:rsidRDefault="00962083" w:rsidP="00962083">
      <w:pPr>
        <w:tabs>
          <w:tab w:val="left" w:pos="851"/>
        </w:tabs>
        <w:ind w:left="851"/>
        <w:rPr>
          <w:sz w:val="24"/>
          <w:szCs w:val="24"/>
        </w:rPr>
      </w:pPr>
    </w:p>
    <w:p w:rsidR="00962083" w:rsidRPr="00962083" w:rsidRDefault="00962083" w:rsidP="00962083">
      <w:pPr>
        <w:tabs>
          <w:tab w:val="left" w:pos="851"/>
        </w:tabs>
        <w:ind w:left="851"/>
        <w:rPr>
          <w:sz w:val="24"/>
          <w:szCs w:val="24"/>
        </w:rPr>
      </w:pPr>
      <w:r w:rsidRPr="00962083">
        <w:rPr>
          <w:sz w:val="24"/>
          <w:szCs w:val="24"/>
        </w:rPr>
        <w:t>Carmustin er karcinogent hos rotter og mus i doser, der er mindre end den anbefalede humane dosis baseret på legemsoverflade (se pkt. 5.3).</w:t>
      </w:r>
    </w:p>
    <w:p w:rsidR="00962083" w:rsidRPr="00962083" w:rsidRDefault="00962083" w:rsidP="00962083">
      <w:pPr>
        <w:tabs>
          <w:tab w:val="left" w:pos="851"/>
        </w:tabs>
        <w:ind w:left="851"/>
        <w:rPr>
          <w:sz w:val="24"/>
          <w:szCs w:val="24"/>
        </w:rPr>
      </w:pPr>
    </w:p>
    <w:p w:rsidR="00962083" w:rsidRPr="00962083" w:rsidRDefault="00962083" w:rsidP="00962083">
      <w:pPr>
        <w:tabs>
          <w:tab w:val="left" w:pos="851"/>
        </w:tabs>
        <w:ind w:left="851"/>
        <w:rPr>
          <w:sz w:val="24"/>
          <w:szCs w:val="24"/>
        </w:rPr>
      </w:pPr>
      <w:r w:rsidRPr="00962083">
        <w:rPr>
          <w:sz w:val="24"/>
          <w:szCs w:val="24"/>
        </w:rPr>
        <w:t xml:space="preserve">Knoglemarvstoksicitet er en almindelig, svær toksisk bivirkning af carmustin. Komplet blodtælling bør foretages hyppigt i mindst seks uger efter en dosis. Ved nedsat antal blodplader, leukocytter eller erytrocytter i kredsløbet, enten som resultat af tidligere kemoterapi eller af anden årsag, bør dosis justeres, se tabel 1, pkt. 4.2. Lever-, nyre- og lungefunktion bør kontrolleres og overvåges regelmæssigt under behandlingen (se pkt. 4.8). </w:t>
      </w:r>
    </w:p>
    <w:p w:rsidR="00962083" w:rsidRPr="00962083" w:rsidRDefault="00962083" w:rsidP="00962083">
      <w:pPr>
        <w:tabs>
          <w:tab w:val="left" w:pos="851"/>
        </w:tabs>
        <w:ind w:left="851"/>
        <w:rPr>
          <w:sz w:val="24"/>
          <w:szCs w:val="24"/>
        </w:rPr>
      </w:pPr>
    </w:p>
    <w:p w:rsidR="00962083" w:rsidRPr="00962083" w:rsidRDefault="00962083" w:rsidP="00962083">
      <w:pPr>
        <w:tabs>
          <w:tab w:val="left" w:pos="851"/>
        </w:tabs>
        <w:ind w:left="851"/>
        <w:rPr>
          <w:sz w:val="24"/>
          <w:szCs w:val="24"/>
        </w:rPr>
      </w:pPr>
      <w:r w:rsidRPr="00962083">
        <w:rPr>
          <w:sz w:val="24"/>
          <w:szCs w:val="24"/>
        </w:rPr>
        <w:t>Doseringen med Carmustin "Waymade" må ikke gentages hyppigere end hver sjette uge. Knoglemarvstoksiciteten af carmustin er kumulativ, hvorfor der skal tages stilling til dosisjustering på basis af lavpunktet af blodtælling ved forudgående doser (se pkt. 4.2).</w:t>
      </w:r>
    </w:p>
    <w:p w:rsidR="00962083" w:rsidRPr="00962083" w:rsidRDefault="00962083" w:rsidP="00962083">
      <w:pPr>
        <w:tabs>
          <w:tab w:val="left" w:pos="851"/>
        </w:tabs>
        <w:ind w:left="851"/>
        <w:rPr>
          <w:sz w:val="24"/>
          <w:szCs w:val="24"/>
        </w:rPr>
      </w:pPr>
    </w:p>
    <w:p w:rsidR="00962083" w:rsidRPr="00962083" w:rsidRDefault="00962083" w:rsidP="00962083">
      <w:pPr>
        <w:tabs>
          <w:tab w:val="left" w:pos="851"/>
        </w:tabs>
        <w:ind w:left="851"/>
        <w:rPr>
          <w:sz w:val="24"/>
          <w:szCs w:val="24"/>
        </w:rPr>
      </w:pPr>
      <w:r w:rsidRPr="00962083">
        <w:rPr>
          <w:sz w:val="24"/>
          <w:szCs w:val="24"/>
        </w:rPr>
        <w:t>Administration af carmustin direkte i arteria carotis anses for eksperimentel og er blevet sat i forbindelse med okulær toksicitet.</w:t>
      </w:r>
    </w:p>
    <w:p w:rsidR="00962083" w:rsidRPr="00962083" w:rsidRDefault="00962083" w:rsidP="00962083">
      <w:pPr>
        <w:tabs>
          <w:tab w:val="left" w:pos="851"/>
        </w:tabs>
        <w:ind w:left="851"/>
        <w:rPr>
          <w:sz w:val="24"/>
          <w:szCs w:val="24"/>
        </w:rPr>
      </w:pPr>
    </w:p>
    <w:p w:rsidR="00962083" w:rsidRPr="00962083" w:rsidRDefault="00962083" w:rsidP="00962083">
      <w:pPr>
        <w:tabs>
          <w:tab w:val="left" w:pos="851"/>
        </w:tabs>
        <w:ind w:left="851"/>
        <w:rPr>
          <w:sz w:val="24"/>
          <w:szCs w:val="24"/>
        </w:rPr>
      </w:pPr>
      <w:r w:rsidRPr="00962083">
        <w:rPr>
          <w:sz w:val="24"/>
          <w:szCs w:val="24"/>
        </w:rPr>
        <w:t>En dosis på 200 mg/mg</w:t>
      </w:r>
      <w:r w:rsidRPr="00962083">
        <w:rPr>
          <w:sz w:val="24"/>
          <w:szCs w:val="24"/>
          <w:vertAlign w:val="superscript"/>
        </w:rPr>
        <w:t>2</w:t>
      </w:r>
      <w:r w:rsidRPr="00962083">
        <w:rPr>
          <w:sz w:val="24"/>
          <w:szCs w:val="24"/>
        </w:rPr>
        <w:t xml:space="preserve"> af dette lægemiddel administreret til en voksen, der vejer 70 kg, ville resultere i eksponering for 109.7 mg/kg ethanol, hvilket kan forårsage en stigning i blodalkoholkoncentration (BAC) på ca. 18.3 mg/100 ml. Til sammenligning er BAC for en voksen, der drikker et glas vin eller 500 ml øl, sandsynligvis ca. 50 mg/100 ml. Samtidig administration med medicin, der indeholder f.eks. propylenglykol eller ethanol, kan føre til ophobning af ethanol og fremkalde bivirkninger. Da dette lægemiddel normalt gives langsomt over 6 timer, kan virkningen af alkohol være reduceret.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D42B76" w:rsidRPr="00D42B76" w:rsidRDefault="00D42B76" w:rsidP="00D42B76">
      <w:pPr>
        <w:tabs>
          <w:tab w:val="left" w:pos="851"/>
        </w:tabs>
        <w:ind w:left="851"/>
        <w:rPr>
          <w:sz w:val="24"/>
          <w:szCs w:val="24"/>
        </w:rPr>
      </w:pPr>
    </w:p>
    <w:p w:rsidR="00D42B76" w:rsidRPr="00D42B76" w:rsidRDefault="00D42B76" w:rsidP="00D42B76">
      <w:pPr>
        <w:tabs>
          <w:tab w:val="left" w:pos="851"/>
        </w:tabs>
        <w:ind w:left="851"/>
        <w:rPr>
          <w:iCs/>
          <w:sz w:val="24"/>
          <w:szCs w:val="24"/>
          <w:u w:val="single"/>
        </w:rPr>
      </w:pPr>
      <w:r w:rsidRPr="00D42B76">
        <w:rPr>
          <w:iCs/>
          <w:sz w:val="24"/>
          <w:szCs w:val="24"/>
          <w:u w:val="single"/>
        </w:rPr>
        <w:t xml:space="preserve">Phenytoin og dexamethason </w:t>
      </w:r>
    </w:p>
    <w:p w:rsidR="00D42B76" w:rsidRPr="00D42B76" w:rsidRDefault="00D42B76" w:rsidP="00D42B76">
      <w:pPr>
        <w:tabs>
          <w:tab w:val="left" w:pos="851"/>
        </w:tabs>
        <w:ind w:left="851"/>
        <w:rPr>
          <w:sz w:val="24"/>
          <w:szCs w:val="24"/>
        </w:rPr>
      </w:pPr>
      <w:r w:rsidRPr="00D42B76">
        <w:rPr>
          <w:sz w:val="24"/>
          <w:szCs w:val="24"/>
        </w:rPr>
        <w:t xml:space="preserve">Antiepileptika i kombination med kemoterapeutika må forventes at have reduceret aktivitet. </w:t>
      </w:r>
    </w:p>
    <w:p w:rsidR="00D42B76" w:rsidRPr="00D42B76" w:rsidRDefault="00D42B76" w:rsidP="00D42B76">
      <w:pPr>
        <w:tabs>
          <w:tab w:val="left" w:pos="851"/>
        </w:tabs>
        <w:ind w:left="851"/>
        <w:rPr>
          <w:sz w:val="24"/>
          <w:szCs w:val="24"/>
        </w:rPr>
      </w:pPr>
    </w:p>
    <w:p w:rsidR="00D42B76" w:rsidRPr="00D42B76" w:rsidRDefault="00D42B76" w:rsidP="00D42B76">
      <w:pPr>
        <w:tabs>
          <w:tab w:val="left" w:pos="851"/>
        </w:tabs>
        <w:ind w:left="851"/>
        <w:rPr>
          <w:iCs/>
          <w:sz w:val="24"/>
          <w:szCs w:val="24"/>
          <w:u w:val="single"/>
        </w:rPr>
      </w:pPr>
      <w:r w:rsidRPr="00D42B76">
        <w:rPr>
          <w:iCs/>
          <w:sz w:val="24"/>
          <w:szCs w:val="24"/>
          <w:u w:val="single"/>
        </w:rPr>
        <w:t xml:space="preserve">Cimetidin </w:t>
      </w:r>
    </w:p>
    <w:p w:rsidR="00D42B76" w:rsidRPr="00D42B76" w:rsidRDefault="00D42B76" w:rsidP="00D42B76">
      <w:pPr>
        <w:tabs>
          <w:tab w:val="left" w:pos="851"/>
        </w:tabs>
        <w:ind w:left="851"/>
        <w:rPr>
          <w:sz w:val="24"/>
          <w:szCs w:val="24"/>
        </w:rPr>
      </w:pPr>
      <w:r w:rsidRPr="00D42B76">
        <w:rPr>
          <w:sz w:val="24"/>
          <w:szCs w:val="24"/>
        </w:rPr>
        <w:t xml:space="preserve">Samtidig brug af cimetidin fører til forsinket, kraftig og formodentlig toksisk virkning af carmustin (som følge af hæmningen af metaboliseringen af carmustin). </w:t>
      </w:r>
    </w:p>
    <w:p w:rsidR="00D42B76" w:rsidRPr="00D42B76" w:rsidRDefault="00D42B76" w:rsidP="00D42B76">
      <w:pPr>
        <w:tabs>
          <w:tab w:val="left" w:pos="851"/>
        </w:tabs>
        <w:ind w:left="851"/>
        <w:rPr>
          <w:sz w:val="24"/>
          <w:szCs w:val="24"/>
        </w:rPr>
      </w:pPr>
    </w:p>
    <w:p w:rsidR="00D42B76" w:rsidRPr="00D42B76" w:rsidRDefault="00D42B76" w:rsidP="00D42B76">
      <w:pPr>
        <w:tabs>
          <w:tab w:val="left" w:pos="851"/>
        </w:tabs>
        <w:ind w:left="851"/>
        <w:rPr>
          <w:iCs/>
          <w:sz w:val="24"/>
          <w:szCs w:val="24"/>
          <w:u w:val="single"/>
        </w:rPr>
      </w:pPr>
      <w:r w:rsidRPr="00D42B76">
        <w:rPr>
          <w:iCs/>
          <w:sz w:val="24"/>
          <w:szCs w:val="24"/>
          <w:u w:val="single"/>
        </w:rPr>
        <w:t xml:space="preserve">Digoxin </w:t>
      </w:r>
    </w:p>
    <w:p w:rsidR="00D42B76" w:rsidRPr="00D42B76" w:rsidRDefault="00D42B76" w:rsidP="00D42B76">
      <w:pPr>
        <w:tabs>
          <w:tab w:val="left" w:pos="851"/>
        </w:tabs>
        <w:ind w:left="851"/>
        <w:rPr>
          <w:sz w:val="24"/>
          <w:szCs w:val="24"/>
        </w:rPr>
      </w:pPr>
      <w:r w:rsidRPr="00D42B76">
        <w:rPr>
          <w:sz w:val="24"/>
          <w:szCs w:val="24"/>
        </w:rPr>
        <w:t xml:space="preserve">Samtidig brug af digoxin medfører forsinket, moderat og formodentlig nedsat virkning af digoxin (som følge af nedsat digoxinabsorption). </w:t>
      </w:r>
    </w:p>
    <w:p w:rsidR="00D42B76" w:rsidRPr="00D42B76" w:rsidRDefault="00D42B76" w:rsidP="00D42B76">
      <w:pPr>
        <w:tabs>
          <w:tab w:val="left" w:pos="851"/>
        </w:tabs>
        <w:ind w:left="851"/>
        <w:rPr>
          <w:sz w:val="24"/>
          <w:szCs w:val="24"/>
        </w:rPr>
      </w:pPr>
    </w:p>
    <w:p w:rsidR="00D42B76" w:rsidRPr="00D42B76" w:rsidRDefault="00D42B76" w:rsidP="00D42B76">
      <w:pPr>
        <w:tabs>
          <w:tab w:val="left" w:pos="851"/>
        </w:tabs>
        <w:ind w:left="851"/>
        <w:rPr>
          <w:iCs/>
          <w:sz w:val="24"/>
          <w:szCs w:val="24"/>
          <w:u w:val="single"/>
        </w:rPr>
      </w:pPr>
      <w:r w:rsidRPr="00D42B76">
        <w:rPr>
          <w:iCs/>
          <w:sz w:val="24"/>
          <w:szCs w:val="24"/>
          <w:u w:val="single"/>
        </w:rPr>
        <w:t xml:space="preserve">Melphalan </w:t>
      </w:r>
    </w:p>
    <w:p w:rsidR="00D42B76" w:rsidRPr="00D42B76" w:rsidRDefault="00D42B76" w:rsidP="00D42B76">
      <w:pPr>
        <w:tabs>
          <w:tab w:val="left" w:pos="851"/>
        </w:tabs>
        <w:ind w:left="851"/>
        <w:rPr>
          <w:sz w:val="24"/>
          <w:szCs w:val="24"/>
        </w:rPr>
      </w:pPr>
      <w:r w:rsidRPr="00D42B76">
        <w:rPr>
          <w:sz w:val="24"/>
          <w:szCs w:val="24"/>
        </w:rPr>
        <w:t>Samtidig brug af melphalan øger risikoen for pulmonal toksicitet.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041AB5" w:rsidRPr="00041AB5" w:rsidRDefault="00041AB5" w:rsidP="00041AB5">
      <w:pPr>
        <w:tabs>
          <w:tab w:val="left" w:pos="851"/>
        </w:tabs>
        <w:ind w:left="851"/>
        <w:rPr>
          <w:sz w:val="24"/>
          <w:szCs w:val="24"/>
          <w:u w:val="single"/>
        </w:rPr>
      </w:pPr>
    </w:p>
    <w:p w:rsidR="00041AB5" w:rsidRPr="00041AB5" w:rsidRDefault="00041AB5" w:rsidP="00041AB5">
      <w:pPr>
        <w:tabs>
          <w:tab w:val="left" w:pos="851"/>
        </w:tabs>
        <w:ind w:left="851"/>
        <w:rPr>
          <w:iCs/>
          <w:sz w:val="24"/>
          <w:szCs w:val="24"/>
          <w:u w:val="single"/>
        </w:rPr>
      </w:pPr>
      <w:r w:rsidRPr="00041AB5">
        <w:rPr>
          <w:iCs/>
          <w:sz w:val="24"/>
          <w:szCs w:val="24"/>
          <w:u w:val="single"/>
        </w:rPr>
        <w:t xml:space="preserve">Kvinder i den fødedygtige alder/antikonception til mænd og kvinder </w:t>
      </w:r>
    </w:p>
    <w:p w:rsidR="00041AB5" w:rsidRPr="00041AB5" w:rsidRDefault="00041AB5" w:rsidP="00041AB5">
      <w:pPr>
        <w:tabs>
          <w:tab w:val="left" w:pos="851"/>
        </w:tabs>
        <w:ind w:left="851"/>
        <w:rPr>
          <w:sz w:val="24"/>
          <w:szCs w:val="24"/>
        </w:rPr>
      </w:pPr>
      <w:r w:rsidRPr="00041AB5">
        <w:rPr>
          <w:sz w:val="24"/>
          <w:szCs w:val="24"/>
        </w:rPr>
        <w:t xml:space="preserve">Kvinder bør anvende effektiv prævention for at undgå at blive gravide under behandlingen og i mindst 6 måneder efter behandlingen. </w:t>
      </w:r>
    </w:p>
    <w:p w:rsidR="00041AB5" w:rsidRPr="00041AB5" w:rsidRDefault="00041AB5" w:rsidP="00041AB5">
      <w:pPr>
        <w:tabs>
          <w:tab w:val="left" w:pos="851"/>
        </w:tabs>
        <w:ind w:left="851"/>
        <w:rPr>
          <w:sz w:val="24"/>
          <w:szCs w:val="24"/>
        </w:rPr>
      </w:pPr>
    </w:p>
    <w:p w:rsidR="00041AB5" w:rsidRPr="00041AB5" w:rsidRDefault="00041AB5" w:rsidP="00041AB5">
      <w:pPr>
        <w:tabs>
          <w:tab w:val="left" w:pos="851"/>
        </w:tabs>
        <w:ind w:left="851"/>
        <w:rPr>
          <w:sz w:val="24"/>
          <w:szCs w:val="24"/>
        </w:rPr>
      </w:pPr>
      <w:r w:rsidRPr="00041AB5">
        <w:rPr>
          <w:sz w:val="24"/>
          <w:szCs w:val="24"/>
        </w:rPr>
        <w:t>Mandlige patienter bør tilrådes at anvende tilstrækkelig prævention under behandlingen med carmustin og i mindst 6 måneder efter behandlingen.</w:t>
      </w:r>
    </w:p>
    <w:p w:rsidR="00041AB5" w:rsidRPr="00041AB5" w:rsidRDefault="00041AB5" w:rsidP="00041AB5">
      <w:pPr>
        <w:tabs>
          <w:tab w:val="left" w:pos="851"/>
        </w:tabs>
        <w:ind w:left="851"/>
        <w:rPr>
          <w:sz w:val="24"/>
          <w:szCs w:val="24"/>
          <w:u w:val="single"/>
        </w:rPr>
      </w:pPr>
    </w:p>
    <w:p w:rsidR="00041AB5" w:rsidRPr="00041AB5" w:rsidRDefault="00041AB5" w:rsidP="00041AB5">
      <w:pPr>
        <w:tabs>
          <w:tab w:val="left" w:pos="851"/>
        </w:tabs>
        <w:ind w:left="851"/>
        <w:rPr>
          <w:iCs/>
          <w:sz w:val="24"/>
          <w:szCs w:val="24"/>
          <w:u w:val="single"/>
        </w:rPr>
      </w:pPr>
      <w:r w:rsidRPr="00041AB5">
        <w:rPr>
          <w:iCs/>
          <w:sz w:val="24"/>
          <w:szCs w:val="24"/>
          <w:u w:val="single"/>
        </w:rPr>
        <w:t xml:space="preserve">Graviditet </w:t>
      </w:r>
    </w:p>
    <w:p w:rsidR="00041AB5" w:rsidRPr="00041AB5" w:rsidRDefault="00041AB5" w:rsidP="00041AB5">
      <w:pPr>
        <w:tabs>
          <w:tab w:val="left" w:pos="851"/>
        </w:tabs>
        <w:ind w:left="851"/>
        <w:rPr>
          <w:sz w:val="24"/>
          <w:szCs w:val="24"/>
        </w:rPr>
      </w:pPr>
      <w:r w:rsidRPr="00041AB5">
        <w:rPr>
          <w:sz w:val="24"/>
          <w:szCs w:val="24"/>
        </w:rPr>
        <w:t>Carmustin bør ikke administreres til gravide patienter. Der er ikke fastlagt sikker anvendelse under graviditet, hvorfor fordelene skal afvejes nøje mod risikoen for toksicitet. Carmustin er embryotoksisk hos rotter og kaniner og teratogent hos rotter i doser ækvivalente med den humane dosis (se pkt. 5.3). Hvis Carmustin "Waymade" anvendes under graviditet, eller hvis patienten bliver gravid under behandlingen, bør patienten advares om den mulige risiko for barnet.</w:t>
      </w:r>
    </w:p>
    <w:p w:rsidR="00041AB5" w:rsidRPr="00041AB5" w:rsidRDefault="00041AB5" w:rsidP="00041AB5">
      <w:pPr>
        <w:tabs>
          <w:tab w:val="left" w:pos="851"/>
        </w:tabs>
        <w:ind w:left="851"/>
        <w:rPr>
          <w:sz w:val="24"/>
          <w:szCs w:val="24"/>
        </w:rPr>
      </w:pPr>
    </w:p>
    <w:p w:rsidR="00041AB5" w:rsidRPr="00041AB5" w:rsidRDefault="00041AB5" w:rsidP="00041AB5">
      <w:pPr>
        <w:tabs>
          <w:tab w:val="left" w:pos="851"/>
        </w:tabs>
        <w:ind w:left="851"/>
        <w:rPr>
          <w:iCs/>
          <w:sz w:val="24"/>
          <w:szCs w:val="24"/>
          <w:u w:val="single"/>
        </w:rPr>
      </w:pPr>
      <w:r w:rsidRPr="00041AB5">
        <w:rPr>
          <w:iCs/>
          <w:sz w:val="24"/>
          <w:szCs w:val="24"/>
          <w:u w:val="single"/>
        </w:rPr>
        <w:t xml:space="preserve">Amning </w:t>
      </w:r>
    </w:p>
    <w:p w:rsidR="00041AB5" w:rsidRPr="00041AB5" w:rsidRDefault="00041AB5" w:rsidP="00041AB5">
      <w:pPr>
        <w:tabs>
          <w:tab w:val="left" w:pos="851"/>
        </w:tabs>
        <w:ind w:left="851"/>
        <w:rPr>
          <w:sz w:val="24"/>
          <w:szCs w:val="24"/>
        </w:rPr>
      </w:pPr>
      <w:r w:rsidRPr="00041AB5">
        <w:rPr>
          <w:sz w:val="24"/>
          <w:szCs w:val="24"/>
        </w:rPr>
        <w:t xml:space="preserve">Det er ukendt, om </w:t>
      </w:r>
      <w:r w:rsidR="009460B1">
        <w:rPr>
          <w:sz w:val="24"/>
          <w:szCs w:val="24"/>
        </w:rPr>
        <w:t>carmustin</w:t>
      </w:r>
      <w:r w:rsidRPr="00041AB5">
        <w:rPr>
          <w:sz w:val="24"/>
          <w:szCs w:val="24"/>
        </w:rPr>
        <w:t xml:space="preserve">/metabolitter udskilles i human mælk. En risiko for nyfødte/spædbørn kan ikke udelukkes. Carmustin "Waymade" er kontraindiceret under amning. Amning må ikke påbegyndes under og </w:t>
      </w:r>
      <w:r w:rsidR="009460B1">
        <w:rPr>
          <w:sz w:val="24"/>
          <w:szCs w:val="24"/>
        </w:rPr>
        <w:t>i op til</w:t>
      </w:r>
      <w:r w:rsidRPr="00041AB5">
        <w:rPr>
          <w:sz w:val="24"/>
          <w:szCs w:val="24"/>
        </w:rPr>
        <w:t xml:space="preserve"> syv dage efter behandling (se pkt. 4.3).</w:t>
      </w:r>
    </w:p>
    <w:p w:rsidR="00041AB5" w:rsidRPr="00041AB5" w:rsidRDefault="00041AB5" w:rsidP="00041AB5">
      <w:pPr>
        <w:tabs>
          <w:tab w:val="left" w:pos="851"/>
        </w:tabs>
        <w:ind w:left="851"/>
        <w:rPr>
          <w:sz w:val="24"/>
          <w:szCs w:val="24"/>
          <w:u w:val="single"/>
        </w:rPr>
      </w:pPr>
    </w:p>
    <w:p w:rsidR="00041AB5" w:rsidRPr="009460B1" w:rsidRDefault="00041AB5" w:rsidP="00041AB5">
      <w:pPr>
        <w:tabs>
          <w:tab w:val="left" w:pos="851"/>
        </w:tabs>
        <w:ind w:left="851"/>
        <w:rPr>
          <w:iCs/>
          <w:sz w:val="24"/>
          <w:szCs w:val="24"/>
          <w:u w:val="single"/>
        </w:rPr>
      </w:pPr>
      <w:r w:rsidRPr="009460B1">
        <w:rPr>
          <w:iCs/>
          <w:sz w:val="24"/>
          <w:szCs w:val="24"/>
          <w:u w:val="single"/>
        </w:rPr>
        <w:t xml:space="preserve">Fertilitet </w:t>
      </w:r>
    </w:p>
    <w:p w:rsidR="00041AB5" w:rsidRPr="00041AB5" w:rsidRDefault="00041AB5" w:rsidP="00041AB5">
      <w:pPr>
        <w:tabs>
          <w:tab w:val="left" w:pos="851"/>
        </w:tabs>
        <w:ind w:left="851"/>
        <w:rPr>
          <w:sz w:val="24"/>
          <w:szCs w:val="24"/>
        </w:rPr>
      </w:pPr>
      <w:r w:rsidRPr="00041AB5">
        <w:rPr>
          <w:sz w:val="24"/>
          <w:szCs w:val="24"/>
        </w:rPr>
        <w:t>Carmustin kan nedsætte den mandlige fertilitet. Mænd bør oplyses om den potentielle risiko for infertilitet og rådes til at søge rådgivning om fertilitet/familieplanlægning inden behandlingen med carmustin.</w:t>
      </w:r>
    </w:p>
    <w:p w:rsidR="00041AB5" w:rsidRPr="00041AB5" w:rsidRDefault="00041AB5" w:rsidP="00041AB5">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9260DE" w:rsidRDefault="009961EA" w:rsidP="009260DE">
      <w:pPr>
        <w:tabs>
          <w:tab w:val="left" w:pos="851"/>
        </w:tabs>
        <w:ind w:left="851"/>
        <w:rPr>
          <w:sz w:val="24"/>
          <w:szCs w:val="24"/>
        </w:rPr>
      </w:pPr>
      <w:r>
        <w:rPr>
          <w:sz w:val="24"/>
          <w:szCs w:val="24"/>
        </w:rPr>
        <w:t>Ikke mærkning.</w:t>
      </w:r>
    </w:p>
    <w:p w:rsidR="009961EA" w:rsidRPr="009961EA" w:rsidRDefault="009961EA" w:rsidP="009961EA">
      <w:pPr>
        <w:tabs>
          <w:tab w:val="left" w:pos="851"/>
        </w:tabs>
        <w:ind w:left="851"/>
        <w:rPr>
          <w:sz w:val="24"/>
          <w:szCs w:val="24"/>
        </w:rPr>
      </w:pPr>
      <w:r w:rsidRPr="009961EA">
        <w:rPr>
          <w:sz w:val="24"/>
          <w:szCs w:val="24"/>
        </w:rPr>
        <w:t>Carmustin "Waymade" påvirker ikke eller kun i ubetydelig grad evnen til at føre motorkøretøj eller betjene maskiner. Dog må der tages hensyn til, at alkoholindholdet i disse lægemidler kan påvirke evnen til at føre motorkøretøj eller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AE4A28" w:rsidRPr="00E21746" w:rsidRDefault="00AE4A28" w:rsidP="00E21746">
      <w:pPr>
        <w:pStyle w:val="Ingenafstand"/>
        <w:ind w:left="851" w:firstLine="142"/>
        <w:rPr>
          <w:sz w:val="24"/>
          <w:szCs w:val="24"/>
          <w:lang w:val="da-DK"/>
        </w:rPr>
      </w:pPr>
    </w:p>
    <w:p w:rsidR="00AE4A28" w:rsidRPr="00E21746" w:rsidRDefault="00AE4A28" w:rsidP="00E21746">
      <w:pPr>
        <w:pStyle w:val="Ingenafstand"/>
        <w:ind w:left="851"/>
        <w:rPr>
          <w:iCs/>
          <w:sz w:val="24"/>
          <w:szCs w:val="24"/>
          <w:u w:val="single"/>
          <w:lang w:val="da-DK"/>
        </w:rPr>
      </w:pPr>
      <w:r w:rsidRPr="00E21746">
        <w:rPr>
          <w:iCs/>
          <w:sz w:val="24"/>
          <w:szCs w:val="24"/>
          <w:u w:val="single"/>
          <w:lang w:val="da-DK"/>
        </w:rPr>
        <w:t xml:space="preserve">Resumé af sikkerhedsprofilen </w:t>
      </w:r>
    </w:p>
    <w:p w:rsidR="00AE4A28" w:rsidRPr="00E21746" w:rsidRDefault="00AE4A28" w:rsidP="00E21746">
      <w:pPr>
        <w:pStyle w:val="Ingenafstand"/>
        <w:ind w:left="851"/>
        <w:rPr>
          <w:sz w:val="24"/>
          <w:szCs w:val="24"/>
          <w:lang w:val="da-DK"/>
        </w:rPr>
      </w:pPr>
      <w:r w:rsidRPr="00E21746">
        <w:rPr>
          <w:sz w:val="24"/>
          <w:szCs w:val="24"/>
          <w:lang w:val="da-DK"/>
        </w:rPr>
        <w:t>Tabellen indeholder bivirkninger, som er angivet i løbet af behandlingen med dette lægemiddel, men som ikke nødvendigvis har årsagssammenhæng med lægemidlet. Da de kliniske undersøgelser er udført under meget specifikke betingelser, afspejler de observerede bivirkningsfrekvenser ikke nødvendigvis de hyppigheder, der ses i klinisk praksis. Generelt er der medtaget bivirkninger, der er rapporteret hos mere end 1 % af patienterne i studierne vedrørende produktmonografien eller i de pivotale studier og/eller er udpeget som klinisk vigtige. Når der foreligger placebokontrollerede forsøg, medtages bivirkninger, hvis hyppighed er ≥ 5 % højere i behandlingsgruppen.</w:t>
      </w:r>
    </w:p>
    <w:p w:rsidR="00AE4A28" w:rsidRPr="00E21746" w:rsidRDefault="00AE4A28" w:rsidP="00E21746">
      <w:pPr>
        <w:pStyle w:val="Ingenafstand"/>
        <w:ind w:left="851" w:firstLine="142"/>
        <w:rPr>
          <w:sz w:val="24"/>
          <w:szCs w:val="24"/>
          <w:lang w:val="da-DK"/>
        </w:rPr>
      </w:pPr>
    </w:p>
    <w:p w:rsidR="00AE4A28" w:rsidRPr="00E21746" w:rsidRDefault="00AE4A28" w:rsidP="00E21746">
      <w:pPr>
        <w:pStyle w:val="Ingenafstand"/>
        <w:ind w:left="851"/>
        <w:rPr>
          <w:rFonts w:eastAsia="ArialMT"/>
          <w:sz w:val="24"/>
          <w:szCs w:val="24"/>
          <w:u w:val="single"/>
          <w:lang w:val="da-DK"/>
        </w:rPr>
      </w:pPr>
      <w:r w:rsidRPr="00E21746">
        <w:rPr>
          <w:rFonts w:eastAsia="ArialMT"/>
          <w:sz w:val="24"/>
          <w:szCs w:val="24"/>
          <w:u w:val="single"/>
          <w:lang w:val="da-DK"/>
        </w:rPr>
        <w:t xml:space="preserve">Liste over bivirkninger </w:t>
      </w:r>
    </w:p>
    <w:p w:rsidR="00AE4A28" w:rsidRPr="00E21746" w:rsidRDefault="00AE4A28" w:rsidP="00E21746">
      <w:pPr>
        <w:pStyle w:val="Ingenafstand"/>
        <w:ind w:left="851"/>
        <w:rPr>
          <w:rFonts w:eastAsia="ArialMT"/>
          <w:sz w:val="24"/>
          <w:szCs w:val="24"/>
          <w:lang w:val="da-DK"/>
        </w:rPr>
      </w:pPr>
      <w:r w:rsidRPr="00E21746">
        <w:rPr>
          <w:rFonts w:eastAsia="ArialMT"/>
          <w:sz w:val="24"/>
          <w:szCs w:val="24"/>
          <w:lang w:val="da-DK"/>
        </w:rPr>
        <w:t xml:space="preserve">Følgende tabel indeholder bivirkninger af carmustin angivet i henhold til MedDRA's systemorganklasse og hyppighedskonvention og efter faldende alvorlighed: </w:t>
      </w:r>
    </w:p>
    <w:p w:rsidR="00AE4A28" w:rsidRPr="00E21746" w:rsidRDefault="00AE4A28" w:rsidP="00E21746">
      <w:pPr>
        <w:pStyle w:val="Ingenafstand"/>
        <w:numPr>
          <w:ilvl w:val="0"/>
          <w:numId w:val="8"/>
        </w:numPr>
        <w:ind w:left="851" w:firstLine="142"/>
        <w:rPr>
          <w:rFonts w:eastAsia="ArialMT"/>
          <w:sz w:val="24"/>
          <w:szCs w:val="24"/>
          <w:lang w:val="en-GB"/>
        </w:rPr>
      </w:pPr>
      <w:r w:rsidRPr="00E21746">
        <w:rPr>
          <w:rFonts w:eastAsia="ArialMT"/>
          <w:sz w:val="24"/>
          <w:szCs w:val="24"/>
          <w:lang w:val="en-GB"/>
        </w:rPr>
        <w:t>Meget almindelig (≥1/10)</w:t>
      </w:r>
    </w:p>
    <w:p w:rsidR="00AE4A28" w:rsidRPr="00E21746" w:rsidRDefault="003029B2" w:rsidP="00E21746">
      <w:pPr>
        <w:pStyle w:val="Ingenafstand"/>
        <w:numPr>
          <w:ilvl w:val="0"/>
          <w:numId w:val="8"/>
        </w:numPr>
        <w:ind w:left="851" w:firstLine="142"/>
        <w:rPr>
          <w:rFonts w:eastAsia="ArialMT"/>
          <w:sz w:val="24"/>
          <w:szCs w:val="24"/>
          <w:lang w:val="en-GB"/>
        </w:rPr>
      </w:pPr>
      <w:r>
        <w:rPr>
          <w:rFonts w:eastAsia="ArialMT"/>
          <w:sz w:val="24"/>
          <w:szCs w:val="24"/>
          <w:lang w:val="en-GB"/>
        </w:rPr>
        <w:t>A</w:t>
      </w:r>
      <w:r w:rsidR="00AE4A28" w:rsidRPr="00E21746">
        <w:rPr>
          <w:rFonts w:eastAsia="ArialMT"/>
          <w:sz w:val="24"/>
          <w:szCs w:val="24"/>
          <w:lang w:val="en-GB"/>
        </w:rPr>
        <w:t>lmindelig (≥1/100 til &lt;1/10)</w:t>
      </w:r>
    </w:p>
    <w:p w:rsidR="00AE4A28" w:rsidRPr="00E21746" w:rsidRDefault="003029B2" w:rsidP="00E21746">
      <w:pPr>
        <w:pStyle w:val="Ingenafstand"/>
        <w:numPr>
          <w:ilvl w:val="0"/>
          <w:numId w:val="8"/>
        </w:numPr>
        <w:ind w:left="851" w:firstLine="142"/>
        <w:rPr>
          <w:rFonts w:eastAsia="ArialMT"/>
          <w:sz w:val="24"/>
          <w:szCs w:val="24"/>
          <w:lang w:val="en-GB"/>
        </w:rPr>
      </w:pPr>
      <w:r>
        <w:rPr>
          <w:rFonts w:eastAsia="ArialMT"/>
          <w:sz w:val="24"/>
          <w:szCs w:val="24"/>
          <w:lang w:val="en-GB"/>
        </w:rPr>
        <w:t>I</w:t>
      </w:r>
      <w:r w:rsidR="00AE4A28" w:rsidRPr="00E21746">
        <w:rPr>
          <w:rFonts w:eastAsia="ArialMT"/>
          <w:sz w:val="24"/>
          <w:szCs w:val="24"/>
          <w:lang w:val="en-GB"/>
        </w:rPr>
        <w:t>kke almindelig (≥1/1 000 til &lt;1/100)</w:t>
      </w:r>
    </w:p>
    <w:p w:rsidR="00AE4A28" w:rsidRPr="00E21746" w:rsidRDefault="003029B2" w:rsidP="00E21746">
      <w:pPr>
        <w:pStyle w:val="Ingenafstand"/>
        <w:numPr>
          <w:ilvl w:val="0"/>
          <w:numId w:val="8"/>
        </w:numPr>
        <w:ind w:left="851" w:firstLine="142"/>
        <w:rPr>
          <w:rFonts w:eastAsia="ArialMT"/>
          <w:sz w:val="24"/>
          <w:szCs w:val="24"/>
          <w:lang w:val="en-GB"/>
        </w:rPr>
      </w:pPr>
      <w:r>
        <w:rPr>
          <w:rFonts w:eastAsia="ArialMT"/>
          <w:sz w:val="24"/>
          <w:szCs w:val="24"/>
          <w:lang w:val="en-GB"/>
        </w:rPr>
        <w:t>S</w:t>
      </w:r>
      <w:r w:rsidR="00AE4A28" w:rsidRPr="00E21746">
        <w:rPr>
          <w:rFonts w:eastAsia="ArialMT"/>
          <w:sz w:val="24"/>
          <w:szCs w:val="24"/>
          <w:lang w:val="en-GB"/>
        </w:rPr>
        <w:t>jælden (≥1/10 000 til &lt;1/1 000)</w:t>
      </w:r>
    </w:p>
    <w:p w:rsidR="00AE4A28" w:rsidRPr="00E21746" w:rsidRDefault="003029B2" w:rsidP="00E21746">
      <w:pPr>
        <w:pStyle w:val="Ingenafstand"/>
        <w:numPr>
          <w:ilvl w:val="0"/>
          <w:numId w:val="8"/>
        </w:numPr>
        <w:ind w:left="851" w:firstLine="142"/>
        <w:rPr>
          <w:rFonts w:eastAsia="ArialMT"/>
          <w:sz w:val="24"/>
          <w:szCs w:val="24"/>
          <w:lang w:val="en-GB"/>
        </w:rPr>
      </w:pPr>
      <w:r>
        <w:rPr>
          <w:rFonts w:eastAsia="ArialMT"/>
          <w:sz w:val="24"/>
          <w:szCs w:val="24"/>
          <w:lang w:val="en-GB"/>
        </w:rPr>
        <w:t>M</w:t>
      </w:r>
      <w:r w:rsidR="00AE4A28" w:rsidRPr="00E21746">
        <w:rPr>
          <w:rFonts w:eastAsia="ArialMT"/>
          <w:sz w:val="24"/>
          <w:szCs w:val="24"/>
          <w:lang w:val="en-GB"/>
        </w:rPr>
        <w:t>eget sjælden (&lt;1/10 000)</w:t>
      </w:r>
    </w:p>
    <w:p w:rsidR="00AE4A28" w:rsidRPr="00E21746" w:rsidRDefault="003029B2" w:rsidP="00E21746">
      <w:pPr>
        <w:pStyle w:val="Ingenafstand"/>
        <w:numPr>
          <w:ilvl w:val="0"/>
          <w:numId w:val="8"/>
        </w:numPr>
        <w:ind w:left="851" w:firstLine="142"/>
        <w:rPr>
          <w:rFonts w:eastAsia="ArialMT"/>
          <w:sz w:val="24"/>
          <w:szCs w:val="24"/>
          <w:lang w:val="da-DK"/>
        </w:rPr>
      </w:pPr>
      <w:r>
        <w:rPr>
          <w:rFonts w:eastAsia="ArialMT"/>
          <w:sz w:val="24"/>
          <w:szCs w:val="24"/>
          <w:lang w:val="da-DK"/>
        </w:rPr>
        <w:t>I</w:t>
      </w:r>
      <w:r w:rsidR="00AE4A28" w:rsidRPr="00E21746">
        <w:rPr>
          <w:rFonts w:eastAsia="ArialMT"/>
          <w:sz w:val="24"/>
          <w:szCs w:val="24"/>
          <w:lang w:val="da-DK"/>
        </w:rPr>
        <w:t>kke kendt (kan ikke estimeres ud fra forhåndenværende data)</w:t>
      </w:r>
    </w:p>
    <w:p w:rsidR="00AE4A28" w:rsidRPr="00E21746" w:rsidRDefault="00AE4A28" w:rsidP="00E21746">
      <w:pPr>
        <w:pStyle w:val="Ingenafstand"/>
        <w:ind w:left="851" w:firstLine="142"/>
        <w:rPr>
          <w:rFonts w:eastAsia="ArialMT"/>
          <w:sz w:val="24"/>
          <w:szCs w:val="24"/>
          <w:lang w:val="da-DK"/>
        </w:rPr>
      </w:pPr>
    </w:p>
    <w:p w:rsidR="00AE4A28" w:rsidRPr="00E21746" w:rsidRDefault="00AE4A28" w:rsidP="003029B2">
      <w:pPr>
        <w:pStyle w:val="Ingenafstand"/>
        <w:ind w:left="851"/>
        <w:rPr>
          <w:rFonts w:eastAsia="ArialMT"/>
          <w:sz w:val="24"/>
          <w:szCs w:val="24"/>
          <w:u w:val="single"/>
          <w:lang w:val="en-GB"/>
        </w:rPr>
      </w:pPr>
      <w:r w:rsidRPr="00E21746">
        <w:rPr>
          <w:rFonts w:eastAsia="ArialMT"/>
          <w:sz w:val="24"/>
          <w:szCs w:val="24"/>
          <w:u w:val="single"/>
          <w:lang w:val="da-DK"/>
        </w:rPr>
        <w:t xml:space="preserve">Inden for hver hyppighedsgruppe er bivirkningerne opstillet efter, hvor alvorlige de er. </w:t>
      </w:r>
      <w:r w:rsidRPr="00E21746">
        <w:rPr>
          <w:rFonts w:eastAsia="ArialMT"/>
          <w:sz w:val="24"/>
          <w:szCs w:val="24"/>
          <w:u w:val="single"/>
          <w:lang w:val="en-GB"/>
        </w:rPr>
        <w:t>De alvorligste bivirkninger er anført først</w:t>
      </w:r>
    </w:p>
    <w:p w:rsidR="00AE4A28" w:rsidRDefault="00AE4A28" w:rsidP="00AE4A28">
      <w:pPr>
        <w:pStyle w:val="Ingenafstand"/>
        <w:rPr>
          <w:rFonts w:eastAsia="ArialMT"/>
          <w:lang w:val="en-GB"/>
        </w:rPr>
      </w:pPr>
    </w:p>
    <w:tbl>
      <w:tblPr>
        <w:tblW w:w="88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984"/>
        <w:gridCol w:w="4819"/>
      </w:tblGrid>
      <w:tr w:rsidR="00AE4A28" w:rsidTr="003029B2">
        <w:trPr>
          <w:trHeight w:val="261"/>
        </w:trPr>
        <w:tc>
          <w:tcPr>
            <w:tcW w:w="2092"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b/>
                <w:bCs/>
                <w:color w:val="000000"/>
                <w:lang w:val="en-GB"/>
              </w:rPr>
              <w:t xml:space="preserve">MedDRA systemorganklasse </w:t>
            </w:r>
          </w:p>
        </w:tc>
        <w:tc>
          <w:tcPr>
            <w:tcW w:w="1984"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b/>
                <w:bCs/>
                <w:color w:val="000000"/>
                <w:lang w:val="en-GB"/>
              </w:rPr>
              <w:t xml:space="preserve">Hyppighed </w:t>
            </w:r>
          </w:p>
        </w:tc>
        <w:tc>
          <w:tcPr>
            <w:tcW w:w="4819"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b/>
                <w:bCs/>
                <w:color w:val="000000"/>
                <w:lang w:val="en-GB"/>
              </w:rPr>
              <w:t xml:space="preserve">Bivirkninger </w:t>
            </w:r>
          </w:p>
        </w:tc>
      </w:tr>
      <w:tr w:rsidR="00AE4A28" w:rsidTr="003029B2">
        <w:trPr>
          <w:trHeight w:val="365"/>
        </w:trPr>
        <w:tc>
          <w:tcPr>
            <w:tcW w:w="2092"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rPr>
            </w:pPr>
            <w:r>
              <w:rPr>
                <w:rFonts w:eastAsiaTheme="minorHAnsi"/>
                <w:color w:val="000000"/>
              </w:rPr>
              <w:t xml:space="preserve">Benigne, maligne og uspecificerede tumorer (inkl. cyster og polypper) </w:t>
            </w:r>
          </w:p>
        </w:tc>
        <w:tc>
          <w:tcPr>
            <w:tcW w:w="1984"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Almindelig </w:t>
            </w:r>
          </w:p>
        </w:tc>
        <w:tc>
          <w:tcPr>
            <w:tcW w:w="4819"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rPr>
            </w:pPr>
            <w:r>
              <w:rPr>
                <w:rFonts w:eastAsiaTheme="minorHAnsi"/>
                <w:color w:val="000000"/>
              </w:rPr>
              <w:t xml:space="preserve">Akut leukæmi, knoglemarvsdysplasi – efter langvarig anvendelse. </w:t>
            </w:r>
          </w:p>
        </w:tc>
      </w:tr>
      <w:tr w:rsidR="00AE4A28" w:rsidTr="003029B2">
        <w:trPr>
          <w:trHeight w:val="427"/>
        </w:trPr>
        <w:tc>
          <w:tcPr>
            <w:tcW w:w="2092" w:type="dxa"/>
            <w:vMerge w:val="restart"/>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Blod og lymfesystem </w:t>
            </w:r>
          </w:p>
        </w:tc>
        <w:tc>
          <w:tcPr>
            <w:tcW w:w="1984"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Meget almindelig </w:t>
            </w:r>
          </w:p>
        </w:tc>
        <w:tc>
          <w:tcPr>
            <w:tcW w:w="4819"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Myelosuppression. </w:t>
            </w:r>
          </w:p>
        </w:tc>
      </w:tr>
      <w:tr w:rsidR="00AE4A28" w:rsidTr="003029B2">
        <w:trPr>
          <w:trHeight w:val="353"/>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AE4A28" w:rsidRDefault="00AE4A28">
            <w:pPr>
              <w:rPr>
                <w:rFonts w:eastAsiaTheme="minorHAnsi"/>
                <w:color w:val="000000"/>
                <w:sz w:val="22"/>
                <w:szCs w:val="22"/>
                <w:lang w:val="en-GB"/>
              </w:rPr>
            </w:pPr>
          </w:p>
        </w:tc>
        <w:tc>
          <w:tcPr>
            <w:tcW w:w="1984"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Almindelig </w:t>
            </w:r>
          </w:p>
        </w:tc>
        <w:tc>
          <w:tcPr>
            <w:tcW w:w="4819"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Anæmi.</w:t>
            </w:r>
          </w:p>
        </w:tc>
      </w:tr>
      <w:tr w:rsidR="00AE4A28" w:rsidTr="003029B2">
        <w:trPr>
          <w:trHeight w:val="331"/>
        </w:trPr>
        <w:tc>
          <w:tcPr>
            <w:tcW w:w="2092" w:type="dxa"/>
            <w:vMerge w:val="restart"/>
            <w:tcBorders>
              <w:top w:val="single" w:sz="4" w:space="0" w:color="auto"/>
              <w:left w:val="single" w:sz="4" w:space="0" w:color="auto"/>
              <w:bottom w:val="single" w:sz="4" w:space="0" w:color="auto"/>
              <w:right w:val="single" w:sz="4" w:space="0" w:color="auto"/>
            </w:tcBorders>
            <w:hideMark/>
          </w:tcPr>
          <w:p w:rsidR="00AE4A28" w:rsidRDefault="00AE4A28">
            <w:pPr>
              <w:pStyle w:val="Ingenafstand"/>
              <w:rPr>
                <w:rFonts w:eastAsiaTheme="minorHAnsi"/>
                <w:color w:val="000000"/>
                <w:lang w:val="en-GB"/>
              </w:rPr>
            </w:pPr>
            <w:r>
              <w:rPr>
                <w:rFonts w:eastAsiaTheme="minorHAnsi"/>
                <w:color w:val="000000"/>
                <w:lang w:val="en-GB"/>
              </w:rPr>
              <w:t xml:space="preserve">Nervesystemet </w:t>
            </w:r>
          </w:p>
        </w:tc>
        <w:tc>
          <w:tcPr>
            <w:tcW w:w="1984" w:type="dxa"/>
            <w:tcBorders>
              <w:top w:val="single" w:sz="4" w:space="0" w:color="auto"/>
              <w:left w:val="single" w:sz="4" w:space="0" w:color="auto"/>
              <w:bottom w:val="single" w:sz="4" w:space="0" w:color="auto"/>
              <w:right w:val="single" w:sz="4" w:space="0" w:color="auto"/>
            </w:tcBorders>
            <w:hideMark/>
          </w:tcPr>
          <w:p w:rsidR="00AE4A28" w:rsidRDefault="00AE4A28">
            <w:pPr>
              <w:pStyle w:val="Ingenafstand"/>
              <w:rPr>
                <w:rFonts w:eastAsiaTheme="minorHAnsi"/>
                <w:color w:val="000000"/>
                <w:lang w:val="en-GB"/>
              </w:rPr>
            </w:pPr>
            <w:r>
              <w:rPr>
                <w:rFonts w:eastAsiaTheme="minorHAnsi"/>
                <w:color w:val="000000"/>
                <w:lang w:val="en-GB"/>
              </w:rPr>
              <w:t xml:space="preserve">Meget almindelig </w:t>
            </w:r>
          </w:p>
        </w:tc>
        <w:tc>
          <w:tcPr>
            <w:tcW w:w="4819" w:type="dxa"/>
            <w:tcBorders>
              <w:top w:val="single" w:sz="4" w:space="0" w:color="auto"/>
              <w:left w:val="single" w:sz="4" w:space="0" w:color="auto"/>
              <w:bottom w:val="single" w:sz="4" w:space="0" w:color="auto"/>
              <w:right w:val="single" w:sz="4" w:space="0" w:color="auto"/>
            </w:tcBorders>
            <w:hideMark/>
          </w:tcPr>
          <w:p w:rsidR="00AE4A28" w:rsidRDefault="00AE4A28">
            <w:pPr>
              <w:pStyle w:val="Ingenafstand"/>
              <w:rPr>
                <w:rFonts w:eastAsiaTheme="minorHAnsi"/>
                <w:color w:val="000000"/>
                <w:lang w:val="en-GB"/>
              </w:rPr>
            </w:pPr>
            <w:r>
              <w:rPr>
                <w:rFonts w:eastAsiaTheme="minorHAnsi"/>
                <w:color w:val="000000"/>
                <w:lang w:val="en-GB"/>
              </w:rPr>
              <w:t xml:space="preserve">Ataksi, svimmelhed, hovedpine. </w:t>
            </w:r>
          </w:p>
        </w:tc>
      </w:tr>
      <w:tr w:rsidR="00AE4A28" w:rsidTr="003029B2">
        <w:trPr>
          <w:trHeight w:val="252"/>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AE4A28" w:rsidRDefault="00AE4A28">
            <w:pPr>
              <w:rPr>
                <w:rFonts w:eastAsiaTheme="minorHAnsi"/>
                <w:color w:val="000000"/>
                <w:sz w:val="22"/>
                <w:szCs w:val="22"/>
                <w:lang w:val="en-GB"/>
              </w:rPr>
            </w:pPr>
          </w:p>
        </w:tc>
        <w:tc>
          <w:tcPr>
            <w:tcW w:w="1984" w:type="dxa"/>
            <w:tcBorders>
              <w:top w:val="single" w:sz="4" w:space="0" w:color="auto"/>
              <w:left w:val="single" w:sz="4" w:space="0" w:color="auto"/>
              <w:bottom w:val="single" w:sz="4" w:space="0" w:color="auto"/>
              <w:right w:val="single" w:sz="4" w:space="0" w:color="auto"/>
            </w:tcBorders>
            <w:hideMark/>
          </w:tcPr>
          <w:p w:rsidR="00AE4A28" w:rsidRDefault="00AE4A28">
            <w:pPr>
              <w:pStyle w:val="Ingenafstand"/>
              <w:rPr>
                <w:rFonts w:eastAsiaTheme="minorHAnsi"/>
                <w:color w:val="000000"/>
                <w:lang w:val="en-GB"/>
              </w:rPr>
            </w:pPr>
            <w:r>
              <w:rPr>
                <w:rFonts w:eastAsiaTheme="minorHAnsi"/>
                <w:color w:val="000000"/>
                <w:lang w:val="en-GB"/>
              </w:rPr>
              <w:t>Almindelig</w:t>
            </w:r>
          </w:p>
        </w:tc>
        <w:tc>
          <w:tcPr>
            <w:tcW w:w="4819" w:type="dxa"/>
            <w:tcBorders>
              <w:top w:val="single" w:sz="4" w:space="0" w:color="auto"/>
              <w:left w:val="single" w:sz="4" w:space="0" w:color="auto"/>
              <w:bottom w:val="single" w:sz="4" w:space="0" w:color="auto"/>
              <w:right w:val="single" w:sz="4" w:space="0" w:color="auto"/>
            </w:tcBorders>
            <w:hideMark/>
          </w:tcPr>
          <w:p w:rsidR="00AE4A28" w:rsidRDefault="00AE4A28">
            <w:pPr>
              <w:pStyle w:val="Ingenafstand"/>
              <w:rPr>
                <w:rFonts w:eastAsiaTheme="minorHAnsi"/>
                <w:color w:val="000000"/>
                <w:lang w:val="en-GB"/>
              </w:rPr>
            </w:pPr>
            <w:r>
              <w:rPr>
                <w:rFonts w:eastAsiaTheme="minorHAnsi"/>
                <w:color w:val="000000"/>
                <w:lang w:val="en-GB"/>
              </w:rPr>
              <w:t xml:space="preserve">Encefalopati (højdosisbehandling og dosisbegrænsende). </w:t>
            </w:r>
          </w:p>
        </w:tc>
      </w:tr>
      <w:tr w:rsidR="00AE4A28" w:rsidTr="003029B2">
        <w:trPr>
          <w:trHeight w:val="253"/>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AE4A28" w:rsidRDefault="00AE4A28">
            <w:pPr>
              <w:rPr>
                <w:rFonts w:eastAsiaTheme="minorHAnsi"/>
                <w:color w:val="000000"/>
                <w:sz w:val="22"/>
                <w:szCs w:val="22"/>
                <w:lang w:val="en-GB"/>
              </w:rPr>
            </w:pPr>
          </w:p>
        </w:tc>
        <w:tc>
          <w:tcPr>
            <w:tcW w:w="1984" w:type="dxa"/>
            <w:tcBorders>
              <w:top w:val="single" w:sz="4" w:space="0" w:color="auto"/>
              <w:left w:val="single" w:sz="4" w:space="0" w:color="auto"/>
              <w:bottom w:val="single" w:sz="4" w:space="0" w:color="auto"/>
              <w:right w:val="single" w:sz="4" w:space="0" w:color="auto"/>
            </w:tcBorders>
            <w:hideMark/>
          </w:tcPr>
          <w:p w:rsidR="00AE4A28" w:rsidRDefault="00AE4A28">
            <w:pPr>
              <w:pStyle w:val="Ingenafstand"/>
              <w:rPr>
                <w:rFonts w:eastAsiaTheme="minorHAnsi"/>
                <w:color w:val="000000"/>
                <w:lang w:val="en-GB"/>
              </w:rPr>
            </w:pPr>
            <w:r>
              <w:rPr>
                <w:rFonts w:eastAsiaTheme="minorHAnsi"/>
                <w:color w:val="000000"/>
                <w:lang w:val="en-GB"/>
              </w:rPr>
              <w:t>Ikke kendt</w:t>
            </w:r>
          </w:p>
        </w:tc>
        <w:tc>
          <w:tcPr>
            <w:tcW w:w="4819" w:type="dxa"/>
            <w:tcBorders>
              <w:top w:val="single" w:sz="4" w:space="0" w:color="auto"/>
              <w:left w:val="single" w:sz="4" w:space="0" w:color="auto"/>
              <w:bottom w:val="single" w:sz="4" w:space="0" w:color="auto"/>
              <w:right w:val="single" w:sz="4" w:space="0" w:color="auto"/>
            </w:tcBorders>
            <w:hideMark/>
          </w:tcPr>
          <w:p w:rsidR="00AE4A28" w:rsidRDefault="00AE4A28">
            <w:pPr>
              <w:pStyle w:val="Ingenafstand"/>
              <w:rPr>
                <w:rFonts w:eastAsiaTheme="minorHAnsi"/>
                <w:color w:val="000000"/>
                <w:lang w:val="da-DK"/>
              </w:rPr>
            </w:pPr>
            <w:r>
              <w:rPr>
                <w:rFonts w:eastAsiaTheme="minorHAnsi"/>
                <w:color w:val="000000"/>
                <w:lang w:val="da-DK"/>
              </w:rPr>
              <w:t xml:space="preserve">Muskelsmerter, status epilepticus, krampeanfald, grand mal anfald. </w:t>
            </w:r>
          </w:p>
        </w:tc>
      </w:tr>
      <w:tr w:rsidR="00AE4A28" w:rsidTr="003029B2">
        <w:trPr>
          <w:trHeight w:val="370"/>
        </w:trPr>
        <w:tc>
          <w:tcPr>
            <w:tcW w:w="2092" w:type="dxa"/>
            <w:tcBorders>
              <w:top w:val="single" w:sz="4" w:space="0" w:color="auto"/>
              <w:left w:val="single" w:sz="4" w:space="0" w:color="auto"/>
              <w:bottom w:val="single" w:sz="4" w:space="0" w:color="auto"/>
              <w:right w:val="single" w:sz="4" w:space="0" w:color="auto"/>
            </w:tcBorders>
            <w:hideMark/>
          </w:tcPr>
          <w:p w:rsidR="00AE4A28" w:rsidRDefault="00AE4A28">
            <w:pPr>
              <w:pStyle w:val="Ingenafstand"/>
              <w:rPr>
                <w:rFonts w:eastAsiaTheme="minorHAnsi"/>
                <w:color w:val="000000"/>
                <w:lang w:val="en-GB"/>
              </w:rPr>
            </w:pPr>
            <w:r>
              <w:rPr>
                <w:rFonts w:eastAsiaTheme="minorHAnsi"/>
                <w:color w:val="000000"/>
                <w:lang w:val="en-GB"/>
              </w:rPr>
              <w:t xml:space="preserve">Øjne </w:t>
            </w:r>
          </w:p>
        </w:tc>
        <w:tc>
          <w:tcPr>
            <w:tcW w:w="1984" w:type="dxa"/>
            <w:tcBorders>
              <w:top w:val="single" w:sz="4" w:space="0" w:color="auto"/>
              <w:left w:val="single" w:sz="4" w:space="0" w:color="auto"/>
              <w:bottom w:val="single" w:sz="4" w:space="0" w:color="auto"/>
              <w:right w:val="single" w:sz="4" w:space="0" w:color="auto"/>
            </w:tcBorders>
            <w:hideMark/>
          </w:tcPr>
          <w:p w:rsidR="00AE4A28" w:rsidRDefault="00AE4A28">
            <w:pPr>
              <w:pStyle w:val="Ingenafstand"/>
              <w:rPr>
                <w:rFonts w:eastAsiaTheme="minorHAnsi"/>
                <w:color w:val="000000"/>
                <w:lang w:val="en-GB"/>
              </w:rPr>
            </w:pPr>
            <w:r>
              <w:rPr>
                <w:rFonts w:eastAsiaTheme="minorHAnsi"/>
                <w:color w:val="000000"/>
                <w:lang w:val="en-GB"/>
              </w:rPr>
              <w:t xml:space="preserve">Meget almindelig </w:t>
            </w:r>
          </w:p>
        </w:tc>
        <w:tc>
          <w:tcPr>
            <w:tcW w:w="4819" w:type="dxa"/>
            <w:tcBorders>
              <w:top w:val="single" w:sz="4" w:space="0" w:color="auto"/>
              <w:left w:val="single" w:sz="4" w:space="0" w:color="auto"/>
              <w:bottom w:val="single" w:sz="4" w:space="0" w:color="auto"/>
              <w:right w:val="single" w:sz="4" w:space="0" w:color="auto"/>
            </w:tcBorders>
            <w:hideMark/>
          </w:tcPr>
          <w:p w:rsidR="00AE4A28" w:rsidRDefault="00AE4A28">
            <w:pPr>
              <w:pStyle w:val="Ingenafstand"/>
              <w:rPr>
                <w:rFonts w:eastAsiaTheme="minorHAnsi"/>
                <w:color w:val="000000"/>
                <w:lang w:val="da-DK"/>
              </w:rPr>
            </w:pPr>
            <w:r>
              <w:rPr>
                <w:rFonts w:eastAsiaTheme="minorHAnsi"/>
                <w:color w:val="000000"/>
                <w:lang w:val="da-DK"/>
              </w:rPr>
              <w:t xml:space="preserve">Okulær toksicitet, forbigående rødme af konjunktiva og sløret syn som følge af retinal blødning. </w:t>
            </w:r>
          </w:p>
        </w:tc>
      </w:tr>
      <w:tr w:rsidR="00AE4A28" w:rsidTr="003029B2">
        <w:trPr>
          <w:trHeight w:val="547"/>
        </w:trPr>
        <w:tc>
          <w:tcPr>
            <w:tcW w:w="2092" w:type="dxa"/>
            <w:vMerge w:val="restart"/>
            <w:tcBorders>
              <w:top w:val="single" w:sz="4" w:space="0" w:color="auto"/>
              <w:left w:val="single" w:sz="4" w:space="0" w:color="auto"/>
              <w:bottom w:val="single" w:sz="4" w:space="0" w:color="auto"/>
              <w:right w:val="single" w:sz="4" w:space="0" w:color="auto"/>
            </w:tcBorders>
            <w:hideMark/>
          </w:tcPr>
          <w:p w:rsidR="00AE4A28" w:rsidRDefault="00AE4A28">
            <w:pPr>
              <w:pStyle w:val="Ingenafstand"/>
              <w:rPr>
                <w:rFonts w:eastAsiaTheme="minorHAnsi"/>
                <w:color w:val="000000"/>
                <w:lang w:val="en-GB"/>
              </w:rPr>
            </w:pPr>
            <w:r>
              <w:rPr>
                <w:rFonts w:eastAsiaTheme="minorHAnsi"/>
                <w:color w:val="000000"/>
                <w:lang w:val="en-GB"/>
              </w:rPr>
              <w:t xml:space="preserve">Hjerte </w:t>
            </w:r>
          </w:p>
        </w:tc>
        <w:tc>
          <w:tcPr>
            <w:tcW w:w="1984" w:type="dxa"/>
            <w:tcBorders>
              <w:top w:val="single" w:sz="4" w:space="0" w:color="auto"/>
              <w:left w:val="single" w:sz="4" w:space="0" w:color="auto"/>
              <w:bottom w:val="single" w:sz="4" w:space="0" w:color="auto"/>
              <w:right w:val="single" w:sz="4" w:space="0" w:color="auto"/>
            </w:tcBorders>
            <w:hideMark/>
          </w:tcPr>
          <w:p w:rsidR="00AE4A28" w:rsidRDefault="00AE4A28">
            <w:pPr>
              <w:pStyle w:val="Ingenafstand"/>
              <w:rPr>
                <w:rFonts w:eastAsiaTheme="minorHAnsi"/>
                <w:color w:val="000000"/>
                <w:lang w:val="en-GB"/>
              </w:rPr>
            </w:pPr>
            <w:r>
              <w:rPr>
                <w:rFonts w:eastAsiaTheme="minorHAnsi"/>
                <w:color w:val="000000"/>
                <w:lang w:val="en-GB"/>
              </w:rPr>
              <w:t xml:space="preserve">Meget almindelig </w:t>
            </w:r>
          </w:p>
        </w:tc>
        <w:tc>
          <w:tcPr>
            <w:tcW w:w="4819" w:type="dxa"/>
            <w:tcBorders>
              <w:top w:val="single" w:sz="4" w:space="0" w:color="auto"/>
              <w:left w:val="single" w:sz="4" w:space="0" w:color="auto"/>
              <w:bottom w:val="single" w:sz="4" w:space="0" w:color="auto"/>
              <w:right w:val="single" w:sz="4" w:space="0" w:color="auto"/>
            </w:tcBorders>
            <w:hideMark/>
          </w:tcPr>
          <w:p w:rsidR="00AE4A28" w:rsidRDefault="00AE4A28">
            <w:pPr>
              <w:pStyle w:val="Ingenafstand"/>
              <w:rPr>
                <w:rFonts w:eastAsiaTheme="minorHAnsi"/>
                <w:color w:val="000000"/>
                <w:lang w:val="da-DK"/>
              </w:rPr>
            </w:pPr>
            <w:r>
              <w:rPr>
                <w:rFonts w:eastAsiaTheme="minorHAnsi"/>
                <w:color w:val="000000"/>
                <w:lang w:val="da-DK"/>
              </w:rPr>
              <w:t xml:space="preserve">Hypotension som følge af alkoholindholdet i solvenset (højdosisbehandling). </w:t>
            </w:r>
          </w:p>
        </w:tc>
      </w:tr>
      <w:tr w:rsidR="00AE4A28" w:rsidTr="003029B2">
        <w:trPr>
          <w:trHeight w:val="413"/>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AE4A28" w:rsidRPr="00AE4A28" w:rsidRDefault="00AE4A28">
            <w:pPr>
              <w:rPr>
                <w:rFonts w:eastAsiaTheme="minorHAns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AE4A28" w:rsidRDefault="00AE4A28">
            <w:pPr>
              <w:pStyle w:val="Ingenafstand"/>
              <w:rPr>
                <w:rFonts w:eastAsia="ArialMT"/>
                <w:lang w:val="en-GB"/>
              </w:rPr>
            </w:pPr>
            <w:r>
              <w:rPr>
                <w:rFonts w:eastAsia="ArialMT"/>
                <w:lang w:val="en-GB"/>
              </w:rPr>
              <w:t>Ikke kendt</w:t>
            </w:r>
          </w:p>
        </w:tc>
        <w:tc>
          <w:tcPr>
            <w:tcW w:w="4819" w:type="dxa"/>
            <w:tcBorders>
              <w:top w:val="single" w:sz="4" w:space="0" w:color="auto"/>
              <w:left w:val="single" w:sz="4" w:space="0" w:color="auto"/>
              <w:bottom w:val="single" w:sz="4" w:space="0" w:color="auto"/>
              <w:right w:val="single" w:sz="4" w:space="0" w:color="auto"/>
            </w:tcBorders>
            <w:hideMark/>
          </w:tcPr>
          <w:p w:rsidR="00AE4A28" w:rsidRDefault="00AE4A28">
            <w:pPr>
              <w:pStyle w:val="Ingenafstand"/>
              <w:rPr>
                <w:rFonts w:eastAsia="ArialMT"/>
                <w:lang w:val="en-GB"/>
              </w:rPr>
            </w:pPr>
            <w:r>
              <w:rPr>
                <w:rFonts w:eastAsia="ArialMT"/>
                <w:lang w:val="en-GB"/>
              </w:rPr>
              <w:t>Takykardi</w:t>
            </w:r>
            <w:r w:rsidR="003029B2">
              <w:rPr>
                <w:rFonts w:eastAsia="ArialMT"/>
                <w:lang w:val="en-GB"/>
              </w:rPr>
              <w:t>.</w:t>
            </w:r>
          </w:p>
        </w:tc>
      </w:tr>
      <w:tr w:rsidR="00AE4A28" w:rsidTr="003029B2">
        <w:trPr>
          <w:trHeight w:val="277"/>
        </w:trPr>
        <w:tc>
          <w:tcPr>
            <w:tcW w:w="2092" w:type="dxa"/>
            <w:vMerge w:val="restart"/>
            <w:tcBorders>
              <w:top w:val="single" w:sz="4" w:space="0" w:color="auto"/>
              <w:left w:val="single" w:sz="4" w:space="0" w:color="auto"/>
              <w:bottom w:val="single" w:sz="4" w:space="0" w:color="auto"/>
              <w:right w:val="single" w:sz="4" w:space="0" w:color="auto"/>
            </w:tcBorders>
            <w:hideMark/>
          </w:tcPr>
          <w:p w:rsidR="00AE4A28" w:rsidRDefault="00AE4A28">
            <w:pPr>
              <w:pStyle w:val="Ingenafstand"/>
              <w:rPr>
                <w:rFonts w:eastAsia="ArialMT"/>
                <w:lang w:val="en-GB"/>
              </w:rPr>
            </w:pPr>
            <w:r>
              <w:rPr>
                <w:rFonts w:eastAsia="ArialMT"/>
                <w:lang w:val="en-GB"/>
              </w:rPr>
              <w:t xml:space="preserve">Vaskulære sygdomme </w:t>
            </w:r>
          </w:p>
        </w:tc>
        <w:tc>
          <w:tcPr>
            <w:tcW w:w="1984" w:type="dxa"/>
            <w:tcBorders>
              <w:top w:val="single" w:sz="4" w:space="0" w:color="auto"/>
              <w:left w:val="single" w:sz="4" w:space="0" w:color="auto"/>
              <w:bottom w:val="single" w:sz="4" w:space="0" w:color="auto"/>
              <w:right w:val="single" w:sz="4" w:space="0" w:color="auto"/>
            </w:tcBorders>
            <w:hideMark/>
          </w:tcPr>
          <w:p w:rsidR="00AE4A28" w:rsidRDefault="00AE4A28">
            <w:pPr>
              <w:pStyle w:val="Ingenafstand"/>
              <w:rPr>
                <w:rFonts w:eastAsia="ArialMT"/>
                <w:lang w:val="en-GB"/>
              </w:rPr>
            </w:pPr>
            <w:r>
              <w:rPr>
                <w:rFonts w:eastAsia="ArialMT"/>
                <w:lang w:val="en-GB"/>
              </w:rPr>
              <w:t xml:space="preserve">Meget almindelig </w:t>
            </w:r>
          </w:p>
        </w:tc>
        <w:tc>
          <w:tcPr>
            <w:tcW w:w="4819" w:type="dxa"/>
            <w:tcBorders>
              <w:top w:val="single" w:sz="4" w:space="0" w:color="auto"/>
              <w:left w:val="single" w:sz="4" w:space="0" w:color="auto"/>
              <w:bottom w:val="single" w:sz="4" w:space="0" w:color="auto"/>
              <w:right w:val="single" w:sz="4" w:space="0" w:color="auto"/>
            </w:tcBorders>
            <w:hideMark/>
          </w:tcPr>
          <w:p w:rsidR="00AE4A28" w:rsidRDefault="00AE4A28">
            <w:pPr>
              <w:pStyle w:val="Ingenafstand"/>
              <w:rPr>
                <w:rFonts w:eastAsia="ArialMT"/>
                <w:lang w:val="en-GB"/>
              </w:rPr>
            </w:pPr>
            <w:r>
              <w:rPr>
                <w:rFonts w:eastAsia="ArialMT"/>
                <w:lang w:val="en-GB"/>
              </w:rPr>
              <w:t xml:space="preserve">Flebitis. </w:t>
            </w:r>
          </w:p>
        </w:tc>
      </w:tr>
      <w:tr w:rsidR="00AE4A28" w:rsidTr="003029B2">
        <w:trPr>
          <w:trHeight w:val="436"/>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AE4A28" w:rsidRDefault="00AE4A28">
            <w:pPr>
              <w:rPr>
                <w:rFonts w:eastAsia="ArialMT"/>
                <w:sz w:val="22"/>
                <w:szCs w:val="22"/>
                <w:lang w:val="en-GB"/>
              </w:rPr>
            </w:pPr>
          </w:p>
        </w:tc>
        <w:tc>
          <w:tcPr>
            <w:tcW w:w="1984" w:type="dxa"/>
            <w:tcBorders>
              <w:top w:val="single" w:sz="4" w:space="0" w:color="auto"/>
              <w:left w:val="single" w:sz="4" w:space="0" w:color="auto"/>
              <w:bottom w:val="single" w:sz="4" w:space="0" w:color="auto"/>
              <w:right w:val="single" w:sz="4" w:space="0" w:color="auto"/>
            </w:tcBorders>
            <w:hideMark/>
          </w:tcPr>
          <w:p w:rsidR="00AE4A28" w:rsidRDefault="00AE4A28">
            <w:pPr>
              <w:pStyle w:val="Ingenafstand"/>
              <w:rPr>
                <w:rFonts w:eastAsia="ArialMT"/>
                <w:lang w:val="en-GB"/>
              </w:rPr>
            </w:pPr>
            <w:r>
              <w:rPr>
                <w:rFonts w:eastAsia="ArialMT"/>
                <w:lang w:val="en-GB"/>
              </w:rPr>
              <w:t>Sjælden</w:t>
            </w:r>
          </w:p>
        </w:tc>
        <w:tc>
          <w:tcPr>
            <w:tcW w:w="4819" w:type="dxa"/>
            <w:tcBorders>
              <w:top w:val="single" w:sz="4" w:space="0" w:color="auto"/>
              <w:left w:val="single" w:sz="4" w:space="0" w:color="auto"/>
              <w:bottom w:val="single" w:sz="4" w:space="0" w:color="auto"/>
              <w:right w:val="single" w:sz="4" w:space="0" w:color="auto"/>
            </w:tcBorders>
            <w:hideMark/>
          </w:tcPr>
          <w:p w:rsidR="00AE4A28" w:rsidRDefault="00AE4A28">
            <w:pPr>
              <w:pStyle w:val="Ingenafstand"/>
              <w:rPr>
                <w:rFonts w:eastAsia="ArialMT"/>
                <w:lang w:val="en-GB"/>
              </w:rPr>
            </w:pPr>
            <w:r>
              <w:rPr>
                <w:rFonts w:eastAsia="ArialMT"/>
                <w:lang w:val="en-GB"/>
              </w:rPr>
              <w:t xml:space="preserve">Veno-okklusiv sygdom (højdosisbehandling). </w:t>
            </w:r>
          </w:p>
        </w:tc>
      </w:tr>
      <w:tr w:rsidR="00AE4A28" w:rsidTr="003029B2">
        <w:trPr>
          <w:trHeight w:val="381"/>
        </w:trPr>
        <w:tc>
          <w:tcPr>
            <w:tcW w:w="2092" w:type="dxa"/>
            <w:vMerge w:val="restart"/>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Luftveje, thorax og mediastinum </w:t>
            </w:r>
          </w:p>
        </w:tc>
        <w:tc>
          <w:tcPr>
            <w:tcW w:w="1984"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Meget </w:t>
            </w:r>
          </w:p>
          <w:p w:rsidR="00AE4A28" w:rsidRDefault="00AE4A28">
            <w:pPr>
              <w:adjustRightInd w:val="0"/>
              <w:rPr>
                <w:rFonts w:eastAsiaTheme="minorHAnsi"/>
                <w:color w:val="000000"/>
                <w:lang w:val="en-GB"/>
              </w:rPr>
            </w:pPr>
            <w:r>
              <w:rPr>
                <w:rFonts w:eastAsiaTheme="minorHAnsi"/>
                <w:color w:val="000000"/>
                <w:lang w:val="en-GB"/>
              </w:rPr>
              <w:t xml:space="preserve">Almindelig </w:t>
            </w:r>
          </w:p>
        </w:tc>
        <w:tc>
          <w:tcPr>
            <w:tcW w:w="4819"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rPr>
            </w:pPr>
            <w:r>
              <w:rPr>
                <w:rFonts w:eastAsiaTheme="minorHAnsi"/>
                <w:color w:val="000000"/>
              </w:rPr>
              <w:t xml:space="preserve">Pulmonal toksicitet, interstitiel fibrose (ved langtidsbehandling og ved kumulativ dosis)* </w:t>
            </w:r>
          </w:p>
          <w:p w:rsidR="00AE4A28" w:rsidRDefault="00AE4A28">
            <w:pPr>
              <w:adjustRightInd w:val="0"/>
              <w:rPr>
                <w:rFonts w:eastAsiaTheme="minorHAnsi"/>
                <w:color w:val="000000"/>
                <w:lang w:val="en-GB"/>
              </w:rPr>
            </w:pPr>
            <w:r>
              <w:rPr>
                <w:rFonts w:eastAsiaTheme="minorHAnsi"/>
                <w:color w:val="000000"/>
                <w:lang w:val="en-GB"/>
              </w:rPr>
              <w:t xml:space="preserve">Pneumonitis. </w:t>
            </w:r>
          </w:p>
        </w:tc>
      </w:tr>
      <w:tr w:rsidR="00AE4A28" w:rsidTr="003029B2">
        <w:trPr>
          <w:trHeight w:val="469"/>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AE4A28" w:rsidRDefault="00AE4A28">
            <w:pPr>
              <w:rPr>
                <w:rFonts w:eastAsiaTheme="minorHAnsi"/>
                <w:color w:val="000000"/>
                <w:sz w:val="22"/>
                <w:szCs w:val="22"/>
                <w:lang w:val="en-GB"/>
              </w:rPr>
            </w:pPr>
          </w:p>
        </w:tc>
        <w:tc>
          <w:tcPr>
            <w:tcW w:w="1984"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Sjælden</w:t>
            </w:r>
          </w:p>
        </w:tc>
        <w:tc>
          <w:tcPr>
            <w:tcW w:w="4819"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rPr>
            </w:pPr>
            <w:r>
              <w:rPr>
                <w:rFonts w:eastAsiaTheme="minorHAnsi"/>
                <w:color w:val="000000"/>
              </w:rPr>
              <w:t xml:space="preserve">Interstitiel fibrose (ved lavere doser). </w:t>
            </w:r>
          </w:p>
        </w:tc>
      </w:tr>
      <w:tr w:rsidR="00AE4A28" w:rsidTr="003029B2">
        <w:trPr>
          <w:trHeight w:val="208"/>
        </w:trPr>
        <w:tc>
          <w:tcPr>
            <w:tcW w:w="2092" w:type="dxa"/>
            <w:vMerge w:val="restart"/>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Mave-tarm-kanalen </w:t>
            </w:r>
          </w:p>
        </w:tc>
        <w:tc>
          <w:tcPr>
            <w:tcW w:w="1984"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Meget almindelig </w:t>
            </w:r>
          </w:p>
        </w:tc>
        <w:tc>
          <w:tcPr>
            <w:tcW w:w="4819"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rPr>
            </w:pPr>
            <w:r>
              <w:rPr>
                <w:rFonts w:eastAsiaTheme="minorHAnsi"/>
                <w:color w:val="000000"/>
              </w:rPr>
              <w:t xml:space="preserve">Emetogent potentiale. </w:t>
            </w:r>
          </w:p>
          <w:p w:rsidR="00AE4A28" w:rsidRDefault="00AE4A28">
            <w:pPr>
              <w:adjustRightInd w:val="0"/>
              <w:rPr>
                <w:rFonts w:eastAsiaTheme="minorHAnsi"/>
                <w:color w:val="000000"/>
              </w:rPr>
            </w:pPr>
            <w:r>
              <w:rPr>
                <w:rFonts w:eastAsiaTheme="minorHAnsi"/>
                <w:color w:val="000000"/>
              </w:rPr>
              <w:t>Kvalme og opkastning af svær grad</w:t>
            </w:r>
            <w:r w:rsidR="003029B2">
              <w:rPr>
                <w:rFonts w:eastAsiaTheme="minorHAnsi"/>
                <w:color w:val="000000"/>
              </w:rPr>
              <w:t>.</w:t>
            </w:r>
          </w:p>
        </w:tc>
      </w:tr>
      <w:tr w:rsidR="00AE4A28" w:rsidTr="003029B2">
        <w:trPr>
          <w:trHeight w:val="326"/>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AE4A28" w:rsidRPr="00AE4A28" w:rsidRDefault="00AE4A28">
            <w:pPr>
              <w:rPr>
                <w:rFonts w:eastAsiaTheme="minorHAns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Almindelig</w:t>
            </w:r>
          </w:p>
        </w:tc>
        <w:tc>
          <w:tcPr>
            <w:tcW w:w="4819"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Anoreksi, konstipation, diarré, stomatitis. </w:t>
            </w:r>
          </w:p>
        </w:tc>
      </w:tr>
      <w:tr w:rsidR="00AE4A28" w:rsidTr="003029B2">
        <w:trPr>
          <w:trHeight w:val="764"/>
        </w:trPr>
        <w:tc>
          <w:tcPr>
            <w:tcW w:w="2092"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Lever og galdeveje </w:t>
            </w:r>
          </w:p>
        </w:tc>
        <w:tc>
          <w:tcPr>
            <w:tcW w:w="1984"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Almindelig </w:t>
            </w:r>
          </w:p>
        </w:tc>
        <w:tc>
          <w:tcPr>
            <w:tcW w:w="4819" w:type="dxa"/>
            <w:tcBorders>
              <w:top w:val="single" w:sz="4" w:space="0" w:color="auto"/>
              <w:left w:val="single" w:sz="4" w:space="0" w:color="auto"/>
              <w:bottom w:val="single" w:sz="4" w:space="0" w:color="auto"/>
              <w:right w:val="single" w:sz="4" w:space="0" w:color="auto"/>
            </w:tcBorders>
          </w:tcPr>
          <w:p w:rsidR="00AE4A28" w:rsidRDefault="00AE4A28">
            <w:pPr>
              <w:adjustRightInd w:val="0"/>
              <w:rPr>
                <w:rFonts w:eastAsiaTheme="minorHAnsi"/>
                <w:color w:val="000000"/>
              </w:rPr>
            </w:pPr>
            <w:r>
              <w:rPr>
                <w:rFonts w:eastAsiaTheme="minorHAnsi"/>
                <w:color w:val="000000"/>
              </w:rPr>
              <w:t xml:space="preserve">Hepatotoksicitet, reversibel, forsinket op til 60 dage efter administration (højdosisbehandling og dosisbegrænsende), manifesteret ved: </w:t>
            </w:r>
          </w:p>
          <w:p w:rsidR="00AE4A28" w:rsidRDefault="00AE4A28">
            <w:pPr>
              <w:adjustRightInd w:val="0"/>
              <w:rPr>
                <w:rFonts w:eastAsiaTheme="minorHAnsi"/>
                <w:color w:val="000000"/>
              </w:rPr>
            </w:pPr>
            <w:r>
              <w:rPr>
                <w:rFonts w:eastAsiaTheme="minorHAnsi"/>
                <w:color w:val="000000"/>
              </w:rPr>
              <w:t xml:space="preserve">- bilirubin, reversibel stigning </w:t>
            </w:r>
          </w:p>
          <w:p w:rsidR="00AE4A28" w:rsidRDefault="00AE4A28">
            <w:pPr>
              <w:adjustRightInd w:val="0"/>
              <w:rPr>
                <w:rFonts w:eastAsiaTheme="minorHAnsi"/>
                <w:color w:val="000000"/>
              </w:rPr>
            </w:pPr>
            <w:r>
              <w:rPr>
                <w:rFonts w:eastAsiaTheme="minorHAnsi"/>
                <w:color w:val="000000"/>
              </w:rPr>
              <w:t xml:space="preserve">- alkalisk fosfatase, reversibel stigning </w:t>
            </w:r>
          </w:p>
          <w:p w:rsidR="00AE4A28" w:rsidRDefault="00AE4A28">
            <w:pPr>
              <w:adjustRightInd w:val="0"/>
              <w:rPr>
                <w:rFonts w:eastAsiaTheme="minorHAnsi"/>
                <w:color w:val="000000"/>
                <w:lang w:val="en-GB"/>
              </w:rPr>
            </w:pPr>
            <w:r>
              <w:rPr>
                <w:rFonts w:eastAsiaTheme="minorHAnsi"/>
                <w:color w:val="000000"/>
                <w:lang w:val="en-GB"/>
              </w:rPr>
              <w:t xml:space="preserve">- ASAT, reversibel stigning. </w:t>
            </w:r>
          </w:p>
          <w:p w:rsidR="00AE4A28" w:rsidRDefault="00AE4A28">
            <w:pPr>
              <w:adjustRightInd w:val="0"/>
              <w:rPr>
                <w:rFonts w:eastAsiaTheme="minorHAnsi"/>
                <w:color w:val="000000"/>
                <w:lang w:val="en-GB"/>
              </w:rPr>
            </w:pPr>
          </w:p>
        </w:tc>
      </w:tr>
      <w:tr w:rsidR="00AE4A28" w:rsidTr="003029B2">
        <w:trPr>
          <w:trHeight w:val="636"/>
        </w:trPr>
        <w:tc>
          <w:tcPr>
            <w:tcW w:w="2092" w:type="dxa"/>
            <w:vMerge w:val="restart"/>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Hud og subkutane væv </w:t>
            </w:r>
          </w:p>
        </w:tc>
        <w:tc>
          <w:tcPr>
            <w:tcW w:w="1984"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Meget almindelig </w:t>
            </w:r>
          </w:p>
        </w:tc>
        <w:tc>
          <w:tcPr>
            <w:tcW w:w="4819"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rPr>
            </w:pPr>
            <w:r>
              <w:rPr>
                <w:rFonts w:eastAsiaTheme="minorHAnsi"/>
                <w:color w:val="000000"/>
              </w:rPr>
              <w:t xml:space="preserve">Dermatitis ved topikal anvendelse bedres ved nedsat koncentration af tilberedt produkt, hyperpigmentering, forbigående, ved accidentiel hudkontakt. </w:t>
            </w:r>
          </w:p>
        </w:tc>
      </w:tr>
      <w:tr w:rsidR="00AE4A28" w:rsidTr="003029B2">
        <w:trPr>
          <w:trHeight w:val="506"/>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AE4A28" w:rsidRPr="00AE4A28" w:rsidRDefault="00AE4A28">
            <w:pPr>
              <w:rPr>
                <w:rFonts w:eastAsiaTheme="minorHAns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Almindelig </w:t>
            </w:r>
          </w:p>
        </w:tc>
        <w:tc>
          <w:tcPr>
            <w:tcW w:w="4819"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rPr>
            </w:pPr>
            <w:r>
              <w:rPr>
                <w:rFonts w:eastAsiaTheme="minorHAnsi"/>
                <w:color w:val="000000"/>
              </w:rPr>
              <w:t xml:space="preserve">Alopeci, rødme (som følge af alkoholindholdet i solvenset; øget ved administrationstid &lt;1-2 timer), reaktion på injektionsstedet. </w:t>
            </w:r>
          </w:p>
        </w:tc>
      </w:tr>
      <w:tr w:rsidR="00AE4A28" w:rsidTr="003029B2">
        <w:trPr>
          <w:trHeight w:val="397"/>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AE4A28" w:rsidRPr="00AE4A28" w:rsidRDefault="00AE4A28">
            <w:pPr>
              <w:rPr>
                <w:rFonts w:eastAsiaTheme="minorHAns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Ikke kendt </w:t>
            </w:r>
          </w:p>
        </w:tc>
        <w:tc>
          <w:tcPr>
            <w:tcW w:w="4819"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Risiko ved ekstravasation: </w:t>
            </w:r>
            <w:r w:rsidR="004C2D8C">
              <w:rPr>
                <w:rFonts w:eastAsiaTheme="minorHAnsi"/>
                <w:color w:val="000000"/>
                <w:lang w:val="en-GB"/>
              </w:rPr>
              <w:t>B</w:t>
            </w:r>
            <w:r>
              <w:rPr>
                <w:rFonts w:eastAsiaTheme="minorHAnsi"/>
                <w:color w:val="000000"/>
                <w:lang w:val="en-GB"/>
              </w:rPr>
              <w:t>læredanne</w:t>
            </w:r>
            <w:r w:rsidR="004C2D8C">
              <w:rPr>
                <w:rFonts w:eastAsiaTheme="minorHAnsi"/>
                <w:color w:val="000000"/>
                <w:lang w:val="en-GB"/>
              </w:rPr>
              <w:t>lse.</w:t>
            </w:r>
          </w:p>
        </w:tc>
      </w:tr>
      <w:tr w:rsidR="00AE4A28" w:rsidTr="003029B2">
        <w:trPr>
          <w:trHeight w:val="415"/>
        </w:trPr>
        <w:tc>
          <w:tcPr>
            <w:tcW w:w="2092"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Nyrer og urinveje </w:t>
            </w:r>
          </w:p>
        </w:tc>
        <w:tc>
          <w:tcPr>
            <w:tcW w:w="1984"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Sjælden </w:t>
            </w:r>
          </w:p>
        </w:tc>
        <w:tc>
          <w:tcPr>
            <w:tcW w:w="4819"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Renal toksicitet. </w:t>
            </w:r>
          </w:p>
        </w:tc>
      </w:tr>
      <w:tr w:rsidR="00AE4A28" w:rsidTr="003029B2">
        <w:trPr>
          <w:trHeight w:val="433"/>
        </w:trPr>
        <w:tc>
          <w:tcPr>
            <w:tcW w:w="2092" w:type="dxa"/>
            <w:vMerge w:val="restart"/>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rPr>
            </w:pPr>
            <w:r>
              <w:rPr>
                <w:rFonts w:eastAsiaTheme="minorHAnsi"/>
                <w:color w:val="000000"/>
              </w:rPr>
              <w:t xml:space="preserve">Det reproduktive system og mammae </w:t>
            </w:r>
          </w:p>
        </w:tc>
        <w:tc>
          <w:tcPr>
            <w:tcW w:w="1984"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Sjælden </w:t>
            </w:r>
          </w:p>
        </w:tc>
        <w:tc>
          <w:tcPr>
            <w:tcW w:w="4819"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Gynækomasti. </w:t>
            </w:r>
          </w:p>
        </w:tc>
      </w:tr>
      <w:tr w:rsidR="00AE4A28" w:rsidTr="003029B2">
        <w:trPr>
          <w:trHeight w:val="148"/>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AE4A28" w:rsidRDefault="00AE4A28">
            <w:pPr>
              <w:rPr>
                <w:rFonts w:eastAsiaTheme="minorHAns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Ikke kendt </w:t>
            </w:r>
          </w:p>
        </w:tc>
        <w:tc>
          <w:tcPr>
            <w:tcW w:w="4819"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Infertilitet, teratogenese. </w:t>
            </w:r>
          </w:p>
        </w:tc>
      </w:tr>
      <w:tr w:rsidR="00AE4A28" w:rsidTr="003029B2">
        <w:trPr>
          <w:trHeight w:val="283"/>
        </w:trPr>
        <w:tc>
          <w:tcPr>
            <w:tcW w:w="2092"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Metabolisme og ernæringslidelser </w:t>
            </w:r>
          </w:p>
        </w:tc>
        <w:tc>
          <w:tcPr>
            <w:tcW w:w="1984"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lang w:val="en-GB"/>
              </w:rPr>
            </w:pPr>
            <w:r>
              <w:rPr>
                <w:rFonts w:eastAsiaTheme="minorHAnsi"/>
                <w:color w:val="000000"/>
                <w:lang w:val="en-GB"/>
              </w:rPr>
              <w:t xml:space="preserve">Ikke kendt </w:t>
            </w:r>
          </w:p>
        </w:tc>
        <w:tc>
          <w:tcPr>
            <w:tcW w:w="4819" w:type="dxa"/>
            <w:tcBorders>
              <w:top w:val="single" w:sz="4" w:space="0" w:color="auto"/>
              <w:left w:val="single" w:sz="4" w:space="0" w:color="auto"/>
              <w:bottom w:val="single" w:sz="4" w:space="0" w:color="auto"/>
              <w:right w:val="single" w:sz="4" w:space="0" w:color="auto"/>
            </w:tcBorders>
            <w:hideMark/>
          </w:tcPr>
          <w:p w:rsidR="00AE4A28" w:rsidRDefault="00AE4A28">
            <w:pPr>
              <w:adjustRightInd w:val="0"/>
              <w:rPr>
                <w:rFonts w:eastAsiaTheme="minorHAnsi"/>
                <w:color w:val="000000"/>
              </w:rPr>
            </w:pPr>
            <w:r>
              <w:rPr>
                <w:rFonts w:eastAsiaTheme="minorHAnsi"/>
                <w:color w:val="000000"/>
              </w:rPr>
              <w:t>Elektrolyt-abnormiteter (hypokalæmi, hypomagnesemia og hypofosfatæmi)</w:t>
            </w:r>
            <w:r w:rsidR="004C2D8C">
              <w:rPr>
                <w:rFonts w:eastAsiaTheme="minorHAnsi"/>
                <w:color w:val="000000"/>
              </w:rPr>
              <w:t>.</w:t>
            </w:r>
          </w:p>
        </w:tc>
      </w:tr>
    </w:tbl>
    <w:p w:rsidR="00AE4A28" w:rsidRDefault="00AE4A28" w:rsidP="00AE4A28">
      <w:pPr>
        <w:pStyle w:val="Ingenafstand"/>
        <w:rPr>
          <w:lang w:val="da-DK"/>
        </w:rPr>
      </w:pPr>
    </w:p>
    <w:p w:rsidR="00AE4A28" w:rsidRPr="004C2D8C" w:rsidRDefault="00AE4A28" w:rsidP="004C2D8C">
      <w:pPr>
        <w:pStyle w:val="Ingenafstand"/>
        <w:ind w:left="993" w:hanging="142"/>
        <w:rPr>
          <w:sz w:val="20"/>
          <w:szCs w:val="20"/>
          <w:lang w:val="da-DK"/>
        </w:rPr>
      </w:pPr>
      <w:r w:rsidRPr="004C2D8C">
        <w:rPr>
          <w:sz w:val="20"/>
          <w:szCs w:val="20"/>
          <w:lang w:val="da-DK"/>
        </w:rPr>
        <w:t>* Der er rapporteret om en øget risiko for pulmonal toksicitet ved forbehandling og HPCT for kvinder. Indtil videre er denne øgede risiko beskrevet for selve behandlingen inklusive forbehandling uden carmustin (f.eks. TBI eller busulfan-cyclophosphamid) eller med carmustin (BEAM: carmustin, etopsid, cytarabin og melphalan eller CBV: cyclophosphamid, carmustin og etoposid).</w:t>
      </w:r>
    </w:p>
    <w:p w:rsidR="00AE4A28" w:rsidRPr="00AE4A28" w:rsidRDefault="00AE4A28" w:rsidP="00AE4A28">
      <w:pPr>
        <w:pStyle w:val="Ingenafstand"/>
        <w:ind w:left="851"/>
        <w:rPr>
          <w:sz w:val="24"/>
          <w:szCs w:val="24"/>
          <w:lang w:val="da-DK"/>
        </w:rPr>
      </w:pPr>
    </w:p>
    <w:p w:rsidR="00AE4A28" w:rsidRPr="00AE4A28" w:rsidRDefault="00AE4A28" w:rsidP="00AE4A28">
      <w:pPr>
        <w:adjustRightInd w:val="0"/>
        <w:ind w:left="851"/>
        <w:rPr>
          <w:rFonts w:eastAsia="ArialMT"/>
          <w:sz w:val="24"/>
          <w:szCs w:val="24"/>
          <w:u w:val="single"/>
        </w:rPr>
      </w:pPr>
      <w:r w:rsidRPr="00AE4A28">
        <w:rPr>
          <w:rFonts w:eastAsia="ArialMT"/>
          <w:sz w:val="24"/>
          <w:szCs w:val="24"/>
          <w:u w:val="single"/>
        </w:rPr>
        <w:t>Beskrivelse af udvalgte bivirkninger</w:t>
      </w:r>
    </w:p>
    <w:p w:rsidR="00AE4A28" w:rsidRPr="00AE4A28" w:rsidRDefault="00AE4A28" w:rsidP="00AE4A28">
      <w:pPr>
        <w:adjustRightInd w:val="0"/>
        <w:ind w:left="851"/>
        <w:rPr>
          <w:rFonts w:eastAsia="ArialMT"/>
          <w:sz w:val="24"/>
          <w:szCs w:val="24"/>
          <w:u w:val="single"/>
        </w:rPr>
      </w:pPr>
    </w:p>
    <w:p w:rsidR="00AE4A28" w:rsidRPr="004C2D8C" w:rsidRDefault="00AE4A28" w:rsidP="00AE4A28">
      <w:pPr>
        <w:adjustRightInd w:val="0"/>
        <w:ind w:left="851"/>
        <w:rPr>
          <w:rFonts w:eastAsia="ArialMT"/>
          <w:i/>
          <w:iCs/>
          <w:sz w:val="24"/>
          <w:szCs w:val="24"/>
          <w:lang w:bidi="he-IL"/>
        </w:rPr>
      </w:pPr>
      <w:r w:rsidRPr="004C2D8C">
        <w:rPr>
          <w:rFonts w:eastAsia="ArialMT"/>
          <w:i/>
          <w:iCs/>
          <w:sz w:val="24"/>
          <w:szCs w:val="24"/>
          <w:lang w:bidi="he-IL"/>
        </w:rPr>
        <w:t>Myelosuppression</w:t>
      </w:r>
    </w:p>
    <w:p w:rsidR="00AE4A28" w:rsidRPr="00AE4A28" w:rsidRDefault="00AE4A28" w:rsidP="00AE4A28">
      <w:pPr>
        <w:adjustRightInd w:val="0"/>
        <w:ind w:left="851"/>
        <w:rPr>
          <w:rFonts w:eastAsia="ArialMT"/>
          <w:sz w:val="24"/>
          <w:szCs w:val="24"/>
        </w:rPr>
      </w:pPr>
      <w:r w:rsidRPr="00AE4A28">
        <w:rPr>
          <w:rFonts w:eastAsia="ArialMT"/>
          <w:sz w:val="24"/>
          <w:szCs w:val="24"/>
        </w:rPr>
        <w:t xml:space="preserve">Myelosuppression er meget almindelig og begynder 7-14 dage efter administration, med restitution 42-56 dage efter administration. Myelosuppressionen er afhængig af dosis og kumulativ dosis, og er ofte bifasisk. </w:t>
      </w:r>
    </w:p>
    <w:p w:rsidR="00AE4A28" w:rsidRPr="00AE4A28" w:rsidRDefault="00AE4A28" w:rsidP="00AE4A28">
      <w:pPr>
        <w:adjustRightInd w:val="0"/>
        <w:ind w:left="851"/>
        <w:rPr>
          <w:rFonts w:eastAsia="ArialMT"/>
          <w:sz w:val="24"/>
          <w:szCs w:val="24"/>
        </w:rPr>
      </w:pPr>
    </w:p>
    <w:p w:rsidR="00AE4A28" w:rsidRPr="00AE4A28" w:rsidRDefault="00AE4A28" w:rsidP="00AE4A28">
      <w:pPr>
        <w:adjustRightInd w:val="0"/>
        <w:ind w:left="851"/>
        <w:rPr>
          <w:rFonts w:eastAsia="ArialMT"/>
          <w:sz w:val="24"/>
          <w:szCs w:val="24"/>
        </w:rPr>
      </w:pPr>
      <w:r w:rsidRPr="00AE4A28">
        <w:rPr>
          <w:rFonts w:eastAsia="ArialMT"/>
          <w:sz w:val="24"/>
          <w:szCs w:val="24"/>
        </w:rPr>
        <w:t xml:space="preserve">Luftveje, thorax og mediastinum </w:t>
      </w:r>
    </w:p>
    <w:p w:rsidR="00AE4A28" w:rsidRPr="00AE4A28" w:rsidRDefault="00AE4A28" w:rsidP="00AE4A28">
      <w:pPr>
        <w:adjustRightInd w:val="0"/>
        <w:ind w:left="851"/>
        <w:rPr>
          <w:rFonts w:eastAsia="ArialMT"/>
          <w:sz w:val="24"/>
          <w:szCs w:val="24"/>
        </w:rPr>
      </w:pPr>
    </w:p>
    <w:p w:rsidR="00AE4A28" w:rsidRPr="00AE4A28" w:rsidRDefault="00AE4A28" w:rsidP="00AE4A28">
      <w:pPr>
        <w:adjustRightInd w:val="0"/>
        <w:ind w:left="851"/>
        <w:rPr>
          <w:rFonts w:eastAsia="ArialMT"/>
          <w:sz w:val="24"/>
          <w:szCs w:val="24"/>
        </w:rPr>
      </w:pPr>
      <w:r w:rsidRPr="00AE4A28">
        <w:rPr>
          <w:rFonts w:eastAsia="ArialMT"/>
          <w:sz w:val="24"/>
          <w:szCs w:val="24"/>
        </w:rPr>
        <w:t>Pulmonal fibrose (med dødeligt udfald), pulmonal infiltration.</w:t>
      </w:r>
    </w:p>
    <w:p w:rsidR="006F2B59" w:rsidRDefault="006F2B59" w:rsidP="00AE4A28">
      <w:pPr>
        <w:adjustRightInd w:val="0"/>
        <w:ind w:left="851"/>
        <w:rPr>
          <w:rFonts w:eastAsia="ArialMT"/>
          <w:sz w:val="24"/>
          <w:szCs w:val="24"/>
        </w:rPr>
      </w:pPr>
    </w:p>
    <w:p w:rsidR="00AE4A28" w:rsidRPr="00AE4A28" w:rsidRDefault="00AE4A28" w:rsidP="00AE4A28">
      <w:pPr>
        <w:adjustRightInd w:val="0"/>
        <w:ind w:left="851"/>
        <w:rPr>
          <w:rFonts w:eastAsia="ArialMT"/>
          <w:sz w:val="24"/>
          <w:szCs w:val="24"/>
        </w:rPr>
      </w:pPr>
      <w:r w:rsidRPr="00AE4A28">
        <w:rPr>
          <w:rFonts w:eastAsia="ArialMT"/>
          <w:sz w:val="24"/>
          <w:szCs w:val="24"/>
        </w:rPr>
        <w:t>Pulmonal toksicitet er iagttaget hos op til 30 % af patienterne. I tilfælde hvor den pulmonale toksicitet satte ind tidligt (inden for 3 års behandling) forekom der pulmonale infiltrater og/eller pulmonal fibrose, som i nogle tilfælde var dødelig. Patienterne var mellem 22 måneder og 72 år. Risikofaktorer omfatter rygning, luftvejssygdom, eksisterende radiografiske abnormiteter, sekventiel eller samtidig bestråling af thorax samt kombination med andre aktive stoffer, der kan forårsage lungebeskadigelse. Incidensen af bivirkninger er sandsynligvis dosisrelateret; kumulative doser på 1200-1500 mg/m</w:t>
      </w:r>
      <w:r w:rsidRPr="00AE4A28">
        <w:rPr>
          <w:rFonts w:eastAsia="ArialMT"/>
          <w:sz w:val="24"/>
          <w:szCs w:val="24"/>
          <w:vertAlign w:val="superscript"/>
        </w:rPr>
        <w:t>2</w:t>
      </w:r>
      <w:r w:rsidRPr="00AE4A28">
        <w:rPr>
          <w:rFonts w:eastAsia="ArialMT"/>
          <w:sz w:val="24"/>
          <w:szCs w:val="24"/>
        </w:rPr>
        <w:t xml:space="preserve"> er sat i forbindelse med øget sandsynlighed for pulmonal fibrose. Under behandlingen bør der regelmæssigt foretages lungefunktionstests (FVC, DLCO). Risikoen gælder navnlig patienter med en baselineværdi på &lt;70 % af den forventede tvungne vitalkapacitet eller carbonmonoxiddiffusionskapacitet i disse tests.</w:t>
      </w:r>
    </w:p>
    <w:p w:rsidR="00AE4A28" w:rsidRPr="00AE4A28" w:rsidRDefault="00AE4A28" w:rsidP="00AE4A28">
      <w:pPr>
        <w:adjustRightInd w:val="0"/>
        <w:ind w:left="851"/>
        <w:rPr>
          <w:rFonts w:eastAsia="ArialMT"/>
          <w:sz w:val="24"/>
          <w:szCs w:val="24"/>
        </w:rPr>
      </w:pPr>
    </w:p>
    <w:p w:rsidR="00AE4A28" w:rsidRPr="00AE4A28" w:rsidRDefault="00AE4A28" w:rsidP="00AE4A28">
      <w:pPr>
        <w:adjustRightInd w:val="0"/>
        <w:ind w:left="851"/>
        <w:rPr>
          <w:rFonts w:eastAsia="ArialMT"/>
          <w:sz w:val="24"/>
          <w:szCs w:val="24"/>
        </w:rPr>
      </w:pPr>
      <w:r w:rsidRPr="00AE4A28">
        <w:rPr>
          <w:rFonts w:eastAsia="ArialMT"/>
          <w:sz w:val="24"/>
          <w:szCs w:val="24"/>
        </w:rPr>
        <w:t xml:space="preserve">Hos patienter, der har fået carmustin i barndommen eller som unge, er der beskrevet tilfælde af ekstremt sent indsættende lungefibrose (op til 17 år efter behandlingen). </w:t>
      </w:r>
    </w:p>
    <w:p w:rsidR="00AE4A28" w:rsidRPr="00AE4A28" w:rsidRDefault="00AE4A28" w:rsidP="00AE4A28">
      <w:pPr>
        <w:adjustRightInd w:val="0"/>
        <w:ind w:left="851"/>
        <w:rPr>
          <w:rFonts w:eastAsia="ArialMT"/>
          <w:sz w:val="24"/>
          <w:szCs w:val="24"/>
        </w:rPr>
      </w:pPr>
      <w:r w:rsidRPr="00AE4A28">
        <w:rPr>
          <w:rFonts w:eastAsia="ArialMT"/>
          <w:sz w:val="24"/>
          <w:szCs w:val="24"/>
        </w:rPr>
        <w:t xml:space="preserve">Langsigtet opfølgende overvågning af 17 patienter, som overlevede hjernetumorer i barndommen, viste, at 8 af dem bukkede under for lungefibrose. To af disse 8 dødsfald fandt sted inden for de første 3 års behandling, og 6 af dem fandt sted 8-13 år efter behandlingen. Medianalderen af de patienter, der døde under behandlingen, var 2,5 år (1-12 år), Medianalderen af de langtidsoverlevende efter behandlingen var 10 år (5-16 år). Alle patienter, der på behandlingstidspunktet var yngre end 5 år, døde af lungefibrose; hverken dosis af carmustin eller en supplerende vincristindosis eller spinal bestråling havde betydning for det dødelige udfald. </w:t>
      </w:r>
    </w:p>
    <w:p w:rsidR="00AE4A28" w:rsidRPr="00AE4A28" w:rsidRDefault="00AE4A28" w:rsidP="00AE4A28">
      <w:pPr>
        <w:adjustRightInd w:val="0"/>
        <w:ind w:left="851"/>
        <w:rPr>
          <w:rFonts w:eastAsia="ArialMT"/>
          <w:sz w:val="24"/>
          <w:szCs w:val="24"/>
        </w:rPr>
      </w:pPr>
    </w:p>
    <w:p w:rsidR="00AE4A28" w:rsidRPr="00AE4A28" w:rsidRDefault="00AE4A28" w:rsidP="00AE4A28">
      <w:pPr>
        <w:adjustRightInd w:val="0"/>
        <w:ind w:left="851"/>
        <w:rPr>
          <w:rFonts w:eastAsia="ArialMT"/>
          <w:sz w:val="24"/>
          <w:szCs w:val="24"/>
        </w:rPr>
      </w:pPr>
      <w:r w:rsidRPr="00AE4A28">
        <w:rPr>
          <w:rFonts w:eastAsia="ArialMT"/>
          <w:sz w:val="24"/>
          <w:szCs w:val="24"/>
        </w:rPr>
        <w:t xml:space="preserve">Alle tilbageværende overlevende, der var til rådighed for opfølgning, blev diagnosticeret med lungefibrose. Carmustin er kontraindiceret til børn og unge &lt;18 år (se pkt. 4.3). </w:t>
      </w:r>
    </w:p>
    <w:p w:rsidR="00AE4A28" w:rsidRPr="00AE4A28" w:rsidRDefault="00AE4A28" w:rsidP="00AE4A28">
      <w:pPr>
        <w:adjustRightInd w:val="0"/>
        <w:ind w:left="851"/>
        <w:rPr>
          <w:rFonts w:eastAsia="ArialMT"/>
          <w:sz w:val="24"/>
          <w:szCs w:val="24"/>
        </w:rPr>
      </w:pPr>
    </w:p>
    <w:p w:rsidR="00AE4A28" w:rsidRPr="00AE4A28" w:rsidRDefault="00AE4A28" w:rsidP="00AE4A28">
      <w:pPr>
        <w:adjustRightInd w:val="0"/>
        <w:ind w:left="851"/>
        <w:rPr>
          <w:rFonts w:eastAsia="ArialMT"/>
          <w:sz w:val="24"/>
          <w:szCs w:val="24"/>
        </w:rPr>
      </w:pPr>
      <w:r w:rsidRPr="00AE4A28">
        <w:rPr>
          <w:rFonts w:eastAsia="ArialMT"/>
          <w:sz w:val="24"/>
          <w:szCs w:val="24"/>
        </w:rPr>
        <w:t>Den pulmonale toksicitet manifesterede sig i post-marketingfasen også som pneumonitis og interstitiel lungesygdom. Pneumonitis ses for doser &gt;450 mg/m</w:t>
      </w:r>
      <w:r w:rsidRPr="00AE4A28">
        <w:rPr>
          <w:rFonts w:eastAsia="ArialMT"/>
          <w:sz w:val="24"/>
          <w:szCs w:val="24"/>
          <w:vertAlign w:val="superscript"/>
        </w:rPr>
        <w:t>2</w:t>
      </w:r>
      <w:r w:rsidRPr="00AE4A28">
        <w:rPr>
          <w:rFonts w:eastAsia="ArialMT"/>
          <w:sz w:val="24"/>
          <w:szCs w:val="24"/>
        </w:rPr>
        <w:t>, og interstitiel lungesygdom ses ved langvarig behandling og kumulativ dosis &gt;1400 mg/m</w:t>
      </w:r>
      <w:r w:rsidRPr="00AE4A28">
        <w:rPr>
          <w:rFonts w:eastAsia="ArialMT"/>
          <w:sz w:val="24"/>
          <w:szCs w:val="24"/>
          <w:vertAlign w:val="superscript"/>
        </w:rPr>
        <w:t>2</w:t>
      </w:r>
      <w:r w:rsidRPr="00AE4A28">
        <w:rPr>
          <w:rFonts w:eastAsia="ArialMT"/>
          <w:sz w:val="24"/>
          <w:szCs w:val="24"/>
        </w:rPr>
        <w:t>.</w:t>
      </w:r>
    </w:p>
    <w:p w:rsidR="00AE4A28" w:rsidRPr="00AE4A28" w:rsidRDefault="00AE4A28" w:rsidP="00AE4A28">
      <w:pPr>
        <w:adjustRightInd w:val="0"/>
        <w:ind w:left="851"/>
        <w:rPr>
          <w:rFonts w:eastAsia="ArialMT"/>
          <w:i/>
          <w:iCs/>
          <w:sz w:val="24"/>
          <w:szCs w:val="24"/>
          <w:lang w:bidi="he-IL"/>
        </w:rPr>
      </w:pPr>
    </w:p>
    <w:p w:rsidR="00AE4A28" w:rsidRPr="00F817ED" w:rsidRDefault="00AE4A28" w:rsidP="00AE4A28">
      <w:pPr>
        <w:adjustRightInd w:val="0"/>
        <w:ind w:left="851"/>
        <w:rPr>
          <w:rFonts w:eastAsia="ArialMT"/>
          <w:iCs/>
          <w:sz w:val="24"/>
          <w:szCs w:val="24"/>
          <w:u w:val="single"/>
          <w:lang w:bidi="he-IL"/>
        </w:rPr>
      </w:pPr>
      <w:r w:rsidRPr="00F817ED">
        <w:rPr>
          <w:rFonts w:eastAsia="ArialMT"/>
          <w:iCs/>
          <w:sz w:val="24"/>
          <w:szCs w:val="24"/>
          <w:u w:val="single"/>
          <w:lang w:bidi="he-IL"/>
        </w:rPr>
        <w:t xml:space="preserve">Emetogent potentiale </w:t>
      </w:r>
    </w:p>
    <w:p w:rsidR="00AE4A28" w:rsidRPr="00AE4A28" w:rsidRDefault="00AE4A28" w:rsidP="00AE4A28">
      <w:pPr>
        <w:adjustRightInd w:val="0"/>
        <w:ind w:left="851"/>
        <w:rPr>
          <w:rFonts w:eastAsia="ArialMT"/>
          <w:sz w:val="24"/>
          <w:szCs w:val="24"/>
        </w:rPr>
      </w:pPr>
      <w:r w:rsidRPr="00AE4A28">
        <w:rPr>
          <w:rFonts w:eastAsia="ArialMT"/>
          <w:sz w:val="24"/>
          <w:szCs w:val="24"/>
        </w:rPr>
        <w:t>Det emetogene potentiale er højt i doser &gt;250 mg/m</w:t>
      </w:r>
      <w:r w:rsidRPr="00AE4A28">
        <w:rPr>
          <w:rFonts w:eastAsia="ArialMT"/>
          <w:sz w:val="24"/>
          <w:szCs w:val="24"/>
          <w:vertAlign w:val="superscript"/>
        </w:rPr>
        <w:t>2</w:t>
      </w:r>
      <w:r w:rsidRPr="00AE4A28">
        <w:rPr>
          <w:rFonts w:eastAsia="ArialMT"/>
          <w:sz w:val="24"/>
          <w:szCs w:val="24"/>
        </w:rPr>
        <w:t xml:space="preserve"> og højt til moderat i doser ≤250 mg/m</w:t>
      </w:r>
      <w:r w:rsidRPr="00AE4A28">
        <w:rPr>
          <w:rFonts w:eastAsia="ArialMT"/>
          <w:sz w:val="24"/>
          <w:szCs w:val="24"/>
          <w:vertAlign w:val="superscript"/>
        </w:rPr>
        <w:t>2</w:t>
      </w:r>
      <w:r w:rsidRPr="00AE4A28">
        <w:rPr>
          <w:rFonts w:eastAsia="ArialMT"/>
          <w:sz w:val="24"/>
          <w:szCs w:val="24"/>
        </w:rPr>
        <w:t>. Kvalme og opkastning er af svær grad, begynder inden for 2-4 timer af administration og varer i 4-6 timer.</w:t>
      </w:r>
    </w:p>
    <w:p w:rsidR="00AE4A28" w:rsidRPr="00AE4A28" w:rsidRDefault="00AE4A28" w:rsidP="00AE4A28">
      <w:pPr>
        <w:adjustRightInd w:val="0"/>
        <w:ind w:left="851"/>
        <w:rPr>
          <w:rFonts w:eastAsia="ArialMT"/>
          <w:i/>
          <w:iCs/>
          <w:sz w:val="24"/>
          <w:szCs w:val="24"/>
          <w:lang w:bidi="he-IL"/>
        </w:rPr>
      </w:pPr>
    </w:p>
    <w:p w:rsidR="00AE4A28" w:rsidRPr="00F817ED" w:rsidRDefault="00AE4A28" w:rsidP="00AE4A28">
      <w:pPr>
        <w:pStyle w:val="Ingenafstand"/>
        <w:ind w:left="851"/>
        <w:rPr>
          <w:rFonts w:eastAsia="ArialMT"/>
          <w:iCs/>
          <w:sz w:val="24"/>
          <w:szCs w:val="24"/>
          <w:u w:val="single"/>
          <w:lang w:val="da-DK" w:bidi="he-IL"/>
        </w:rPr>
      </w:pPr>
      <w:r w:rsidRPr="00F817ED">
        <w:rPr>
          <w:rFonts w:eastAsia="ArialMT"/>
          <w:iCs/>
          <w:sz w:val="24"/>
          <w:szCs w:val="24"/>
          <w:u w:val="single"/>
          <w:lang w:val="da-DK" w:bidi="he-IL"/>
        </w:rPr>
        <w:t>Renal toksicitet</w:t>
      </w:r>
    </w:p>
    <w:p w:rsidR="00AE4A28" w:rsidRPr="00AE4A28" w:rsidRDefault="00AE4A28" w:rsidP="00AE4A28">
      <w:pPr>
        <w:pStyle w:val="Ingenafstand"/>
        <w:ind w:left="851"/>
        <w:rPr>
          <w:sz w:val="24"/>
          <w:szCs w:val="24"/>
          <w:lang w:val="da-DK"/>
        </w:rPr>
      </w:pPr>
      <w:r w:rsidRPr="00AE4A28">
        <w:rPr>
          <w:rFonts w:eastAsia="ArialMT"/>
          <w:sz w:val="24"/>
          <w:szCs w:val="24"/>
          <w:lang w:val="da-DK"/>
        </w:rPr>
        <w:t>Renal toksicitet er sjælden, men forekommer ved kumulative doser &lt;1000 mg/m</w:t>
      </w:r>
      <w:r w:rsidRPr="00AE4A28">
        <w:rPr>
          <w:rFonts w:eastAsia="ArialMT"/>
          <w:sz w:val="24"/>
          <w:szCs w:val="24"/>
          <w:vertAlign w:val="superscript"/>
          <w:lang w:val="da-DK"/>
        </w:rPr>
        <w:t>2</w:t>
      </w:r>
      <w:r w:rsidRPr="00AE4A28">
        <w:rPr>
          <w:rFonts w:eastAsia="ArialMT"/>
          <w:sz w:val="24"/>
          <w:szCs w:val="24"/>
          <w:lang w:val="da-DK"/>
        </w:rPr>
        <w:t>.</w:t>
      </w:r>
    </w:p>
    <w:p w:rsidR="00AE4A28" w:rsidRPr="00AE4A28" w:rsidRDefault="00AE4A28" w:rsidP="00AE4A28">
      <w:pPr>
        <w:pStyle w:val="Ingenafstand"/>
        <w:ind w:left="851"/>
        <w:rPr>
          <w:sz w:val="24"/>
          <w:szCs w:val="24"/>
          <w:lang w:val="da-DK"/>
        </w:rPr>
      </w:pPr>
    </w:p>
    <w:p w:rsidR="00781F4C" w:rsidRDefault="00781F4C" w:rsidP="00781F4C">
      <w:pPr>
        <w:autoSpaceDE w:val="0"/>
        <w:autoSpaceDN w:val="0"/>
        <w:ind w:left="851"/>
        <w:rPr>
          <w:sz w:val="24"/>
          <w:szCs w:val="24"/>
          <w:u w:val="single"/>
          <w:lang w:eastAsia="da-DK"/>
        </w:rPr>
      </w:pPr>
      <w:bookmarkStart w:id="0" w:name="_Hlk81310344"/>
      <w:r>
        <w:rPr>
          <w:sz w:val="24"/>
          <w:szCs w:val="24"/>
          <w:u w:val="single"/>
          <w:lang w:eastAsia="da-DK"/>
        </w:rPr>
        <w:t>Indberetning af formodede bivirkninger</w:t>
      </w:r>
    </w:p>
    <w:p w:rsidR="00781F4C" w:rsidRDefault="00781F4C" w:rsidP="00781F4C">
      <w:pPr>
        <w:ind w:left="851"/>
        <w:rPr>
          <w:sz w:val="24"/>
          <w:szCs w:val="24"/>
          <w:lang w:eastAsia="da-DK"/>
        </w:rPr>
      </w:pPr>
      <w:r>
        <w:rPr>
          <w:sz w:val="24"/>
          <w:szCs w:val="24"/>
          <w:lang w:eastAsia="da-DK"/>
        </w:rPr>
        <w:t>Når lægemidlet er godkendt, er indberetning af formodede bivirkninger vigtig. Det muliggør løbende overvågning af benefit/risk-forholdet for lægemidlet. Sundhedspersoner anmodes om at indberette alle formodede bivirkninger via:</w:t>
      </w:r>
    </w:p>
    <w:p w:rsidR="00781F4C" w:rsidRDefault="00781F4C" w:rsidP="00781F4C">
      <w:pPr>
        <w:ind w:left="851"/>
        <w:rPr>
          <w:sz w:val="24"/>
          <w:szCs w:val="24"/>
          <w:lang w:eastAsia="da-DK"/>
        </w:rPr>
      </w:pPr>
    </w:p>
    <w:p w:rsidR="00781F4C" w:rsidRDefault="00781F4C" w:rsidP="00781F4C">
      <w:pPr>
        <w:ind w:left="851"/>
        <w:rPr>
          <w:sz w:val="24"/>
          <w:szCs w:val="24"/>
          <w:lang w:eastAsia="da-DK"/>
        </w:rPr>
      </w:pPr>
      <w:bookmarkStart w:id="1" w:name="_Hlk79581812"/>
      <w:r>
        <w:rPr>
          <w:sz w:val="24"/>
          <w:szCs w:val="24"/>
          <w:lang w:eastAsia="da-DK"/>
        </w:rPr>
        <w:t>Lægemiddelstyrelsen</w:t>
      </w:r>
    </w:p>
    <w:p w:rsidR="00781F4C" w:rsidRDefault="00781F4C" w:rsidP="00781F4C">
      <w:pPr>
        <w:ind w:left="851"/>
        <w:rPr>
          <w:sz w:val="24"/>
          <w:szCs w:val="24"/>
          <w:lang w:eastAsia="da-DK"/>
        </w:rPr>
      </w:pPr>
      <w:r>
        <w:rPr>
          <w:sz w:val="24"/>
          <w:szCs w:val="24"/>
          <w:lang w:eastAsia="da-DK"/>
        </w:rPr>
        <w:t>Axel Heides Gade 1</w:t>
      </w:r>
    </w:p>
    <w:p w:rsidR="00781F4C" w:rsidRDefault="00781F4C" w:rsidP="00781F4C">
      <w:pPr>
        <w:ind w:left="851"/>
        <w:rPr>
          <w:sz w:val="24"/>
          <w:szCs w:val="24"/>
          <w:lang w:eastAsia="da-DK"/>
        </w:rPr>
      </w:pPr>
      <w:r>
        <w:rPr>
          <w:sz w:val="24"/>
          <w:szCs w:val="24"/>
          <w:lang w:eastAsia="da-DK"/>
        </w:rPr>
        <w:t>DK-2300 København S</w:t>
      </w:r>
    </w:p>
    <w:p w:rsidR="00781F4C" w:rsidRDefault="00781F4C" w:rsidP="00781F4C">
      <w:pPr>
        <w:ind w:left="851"/>
        <w:rPr>
          <w:sz w:val="24"/>
          <w:szCs w:val="24"/>
          <w:lang w:eastAsia="da-DK"/>
        </w:rPr>
      </w:pPr>
      <w:r>
        <w:rPr>
          <w:sz w:val="24"/>
          <w:szCs w:val="24"/>
          <w:lang w:eastAsia="da-DK"/>
        </w:rPr>
        <w:t xml:space="preserve">Websted: </w:t>
      </w:r>
      <w:r>
        <w:rPr>
          <w:sz w:val="24"/>
          <w:lang w:eastAsia="da-DK"/>
        </w:rPr>
        <w:t>www.meldenbivirkning.dk</w:t>
      </w:r>
      <w:bookmarkEnd w:id="0"/>
      <w:bookmarkEnd w:id="1"/>
    </w:p>
    <w:p w:rsidR="00781F4C" w:rsidRDefault="00781F4C">
      <w:pPr>
        <w:rPr>
          <w:sz w:val="24"/>
          <w:szCs w:val="24"/>
        </w:rPr>
      </w:pPr>
      <w:r>
        <w:rPr>
          <w:sz w:val="24"/>
          <w:szCs w:val="24"/>
        </w:rPr>
        <w:br w:type="page"/>
      </w:r>
    </w:p>
    <w:p w:rsidR="009260DE" w:rsidRPr="00AE4A28" w:rsidRDefault="009260DE" w:rsidP="00AE4A28">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781F4C" w:rsidRPr="00781F4C" w:rsidRDefault="00781F4C" w:rsidP="00781F4C">
      <w:pPr>
        <w:tabs>
          <w:tab w:val="left" w:pos="851"/>
        </w:tabs>
        <w:ind w:left="851"/>
        <w:rPr>
          <w:sz w:val="24"/>
          <w:szCs w:val="24"/>
        </w:rPr>
      </w:pPr>
      <w:r w:rsidRPr="00781F4C">
        <w:rPr>
          <w:sz w:val="24"/>
          <w:szCs w:val="24"/>
        </w:rPr>
        <w:t xml:space="preserve">Det vigtigste symptom på forgiftning er myelosuppression. Derudover kan der forekomme følgende alvorlige bivirkninger: </w:t>
      </w:r>
      <w:r>
        <w:rPr>
          <w:sz w:val="24"/>
          <w:szCs w:val="24"/>
        </w:rPr>
        <w:t>L</w:t>
      </w:r>
      <w:r w:rsidRPr="00781F4C">
        <w:rPr>
          <w:sz w:val="24"/>
          <w:szCs w:val="24"/>
        </w:rPr>
        <w:t>evernekrose, interstitiel pneumonitis, encefalomyelitis. Der er ingen specifik antidot.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6F2B59"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33534" w:rsidRPr="00933534" w:rsidRDefault="00933534" w:rsidP="00933534">
      <w:pPr>
        <w:tabs>
          <w:tab w:val="left" w:pos="851"/>
        </w:tabs>
        <w:ind w:left="851"/>
        <w:rPr>
          <w:sz w:val="24"/>
          <w:szCs w:val="24"/>
        </w:rPr>
      </w:pPr>
      <w:r w:rsidRPr="00933534">
        <w:rPr>
          <w:sz w:val="24"/>
          <w:szCs w:val="24"/>
        </w:rPr>
        <w:t>ATC-kode L</w:t>
      </w:r>
      <w:r>
        <w:rPr>
          <w:sz w:val="24"/>
          <w:szCs w:val="24"/>
        </w:rPr>
        <w:t xml:space="preserve"> </w:t>
      </w:r>
      <w:r w:rsidRPr="00933534">
        <w:rPr>
          <w:sz w:val="24"/>
          <w:szCs w:val="24"/>
        </w:rPr>
        <w:t>01</w:t>
      </w:r>
      <w:r>
        <w:rPr>
          <w:sz w:val="24"/>
          <w:szCs w:val="24"/>
        </w:rPr>
        <w:t xml:space="preserve"> </w:t>
      </w:r>
      <w:r w:rsidRPr="00933534">
        <w:rPr>
          <w:sz w:val="24"/>
          <w:szCs w:val="24"/>
        </w:rPr>
        <w:t>AD</w:t>
      </w:r>
      <w:r>
        <w:rPr>
          <w:sz w:val="24"/>
          <w:szCs w:val="24"/>
        </w:rPr>
        <w:t xml:space="preserve"> </w:t>
      </w:r>
      <w:r w:rsidRPr="00933534">
        <w:rPr>
          <w:sz w:val="24"/>
          <w:szCs w:val="24"/>
        </w:rPr>
        <w:t>01</w:t>
      </w:r>
      <w:r>
        <w:rPr>
          <w:sz w:val="24"/>
          <w:szCs w:val="24"/>
        </w:rPr>
        <w:t xml:space="preserve">. </w:t>
      </w:r>
      <w:r w:rsidRPr="00933534">
        <w:rPr>
          <w:sz w:val="24"/>
          <w:szCs w:val="24"/>
        </w:rPr>
        <w:t>Antineoplastisk</w:t>
      </w:r>
      <w:r w:rsidR="003259EE">
        <w:rPr>
          <w:sz w:val="24"/>
          <w:szCs w:val="24"/>
        </w:rPr>
        <w:t>e stoffer</w:t>
      </w:r>
      <w:r w:rsidRPr="00933534">
        <w:rPr>
          <w:sz w:val="24"/>
          <w:szCs w:val="24"/>
        </w:rPr>
        <w:t>, alkyleringsmidler, nitrosoureastoffer</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BC0C73" w:rsidRPr="00BC0C73" w:rsidRDefault="00BC0C73" w:rsidP="00BC0C73">
      <w:pPr>
        <w:tabs>
          <w:tab w:val="left" w:pos="851"/>
        </w:tabs>
        <w:ind w:left="851"/>
        <w:rPr>
          <w:sz w:val="24"/>
          <w:szCs w:val="24"/>
        </w:rPr>
      </w:pPr>
    </w:p>
    <w:p w:rsidR="00BC0C73" w:rsidRPr="00BC0C73" w:rsidRDefault="00BC0C73" w:rsidP="00BC0C73">
      <w:pPr>
        <w:tabs>
          <w:tab w:val="left" w:pos="851"/>
        </w:tabs>
        <w:ind w:left="851"/>
        <w:rPr>
          <w:iCs/>
          <w:sz w:val="24"/>
          <w:szCs w:val="24"/>
          <w:u w:val="single"/>
        </w:rPr>
      </w:pPr>
      <w:r w:rsidRPr="00BC0C73">
        <w:rPr>
          <w:iCs/>
          <w:sz w:val="24"/>
          <w:szCs w:val="24"/>
          <w:u w:val="single"/>
        </w:rPr>
        <w:t xml:space="preserve">Virkningsmekanisme </w:t>
      </w:r>
    </w:p>
    <w:p w:rsidR="00BC0C73" w:rsidRPr="00BC0C73" w:rsidRDefault="00BC0C73" w:rsidP="00BC0C73">
      <w:pPr>
        <w:tabs>
          <w:tab w:val="left" w:pos="851"/>
        </w:tabs>
        <w:ind w:left="851"/>
        <w:rPr>
          <w:sz w:val="24"/>
          <w:szCs w:val="24"/>
        </w:rPr>
      </w:pPr>
      <w:r w:rsidRPr="00BC0C73">
        <w:rPr>
          <w:sz w:val="24"/>
          <w:szCs w:val="24"/>
        </w:rPr>
        <w:t>Carmustin er et cellecyklusfase-uspecifikt antineoplastisk middel af nitrosoureastof-typen, som udøver tumorcytotoksicitet via flere mekanismer. Som et alkylerende middel kan det alkylere reaktive steder på nukleoproteiner og således interferere med DNA- og RNA-syntesen og DNA-reparation. Det er i stand til at danne tværbindinger mellem kæderne i DNA, hvilket forhindrer DNA-replikation og transkription. Derudover vides carmustin at bevirke carbamoylering af lysinrester på proteiner, hvilket forårsager irreversibel inaktivering af enzymer, herunder glutathionreduktase. Den carbamoylerende aktivitet af carmustin anses sædvanligvis for at have mindre betydning end den alkylerende aktivitet for dets virkning på tumorer, men carbamoylering kan tjene til at hæmme DNA-reparation.</w:t>
      </w:r>
    </w:p>
    <w:p w:rsidR="00BC0C73" w:rsidRPr="00BC0C73" w:rsidRDefault="00BC0C73" w:rsidP="00BC0C73">
      <w:pPr>
        <w:tabs>
          <w:tab w:val="left" w:pos="851"/>
        </w:tabs>
        <w:ind w:left="851"/>
        <w:rPr>
          <w:sz w:val="24"/>
          <w:szCs w:val="24"/>
          <w:u w:val="single"/>
        </w:rPr>
      </w:pPr>
    </w:p>
    <w:p w:rsidR="00BC0C73" w:rsidRPr="00BC0C73" w:rsidRDefault="00BC0C73" w:rsidP="00BC0C73">
      <w:pPr>
        <w:tabs>
          <w:tab w:val="left" w:pos="851"/>
        </w:tabs>
        <w:ind w:left="851"/>
        <w:rPr>
          <w:iCs/>
          <w:sz w:val="24"/>
          <w:szCs w:val="24"/>
          <w:u w:val="single"/>
        </w:rPr>
      </w:pPr>
      <w:r w:rsidRPr="00BC0C73">
        <w:rPr>
          <w:iCs/>
          <w:sz w:val="24"/>
          <w:szCs w:val="24"/>
          <w:u w:val="single"/>
        </w:rPr>
        <w:t xml:space="preserve">Farmakodynamiske virkninger </w:t>
      </w:r>
    </w:p>
    <w:p w:rsidR="00BC0C73" w:rsidRPr="00BC0C73" w:rsidRDefault="00BC0C73" w:rsidP="00BC0C73">
      <w:pPr>
        <w:tabs>
          <w:tab w:val="left" w:pos="851"/>
        </w:tabs>
        <w:ind w:left="851"/>
        <w:rPr>
          <w:sz w:val="24"/>
          <w:szCs w:val="24"/>
        </w:rPr>
      </w:pPr>
      <w:r w:rsidRPr="00BC0C73">
        <w:rPr>
          <w:sz w:val="24"/>
          <w:szCs w:val="24"/>
        </w:rPr>
        <w:t xml:space="preserve">Den antineoplastiske og toksiske aktivitet af carmustin kan skyldes dets metabolitter. Carmustin og beslægtede nitrosoureastoffer er ustabile i vandig opløsning og nedbrydes spontant til reaktive mellemprodukter, der er i stand til at alkylere og carbamylere. De alkylerende mellemprodukter menes at være ansvarlige for carmustins antitumorvirkning. Der er imidlertid delte meninger om de carbamoylerende mellemprodukters rolle som mediatorer af nitrosoureastoffernes biologiske virkninger. På den ene side er deres carbamylerende aktivitet beskrevet at bidrage til moderstoffernes cytotoksiske egenskaber ved at hæmme enzymer til DNA-reparation. På den anden side er det blevet foreslået, at den carbamoylerende beskaffenhed kan mediere nogle af de toksiske virkninger af carmustin. </w:t>
      </w:r>
    </w:p>
    <w:p w:rsidR="00BC0C73" w:rsidRPr="00BC0C73" w:rsidRDefault="00BC0C73" w:rsidP="00BC0C73">
      <w:pPr>
        <w:tabs>
          <w:tab w:val="left" w:pos="851"/>
        </w:tabs>
        <w:ind w:left="851"/>
        <w:rPr>
          <w:sz w:val="24"/>
          <w:szCs w:val="24"/>
        </w:rPr>
      </w:pPr>
    </w:p>
    <w:p w:rsidR="00BC0C73" w:rsidRPr="00BC0C73" w:rsidRDefault="00BC0C73" w:rsidP="00BC0C73">
      <w:pPr>
        <w:tabs>
          <w:tab w:val="left" w:pos="851"/>
        </w:tabs>
        <w:ind w:left="851"/>
        <w:rPr>
          <w:sz w:val="24"/>
          <w:szCs w:val="24"/>
        </w:rPr>
      </w:pPr>
      <w:r w:rsidRPr="00BC0C73">
        <w:rPr>
          <w:sz w:val="24"/>
          <w:szCs w:val="24"/>
        </w:rPr>
        <w:t>Carmustin krydser let blod-hjernebarrieren på grund af sin lipofile natur.</w:t>
      </w:r>
    </w:p>
    <w:p w:rsidR="00BC0C73" w:rsidRPr="00BC0C73" w:rsidRDefault="00BC0C73" w:rsidP="00BC0C73">
      <w:pPr>
        <w:tabs>
          <w:tab w:val="left" w:pos="851"/>
        </w:tabs>
        <w:ind w:left="851"/>
        <w:rPr>
          <w:sz w:val="24"/>
          <w:szCs w:val="24"/>
          <w:u w:val="single"/>
        </w:rPr>
      </w:pPr>
    </w:p>
    <w:p w:rsidR="00BC0C73" w:rsidRPr="00BC0C73" w:rsidRDefault="00BC0C73" w:rsidP="00BC0C73">
      <w:pPr>
        <w:tabs>
          <w:tab w:val="left" w:pos="851"/>
        </w:tabs>
        <w:ind w:left="851"/>
        <w:rPr>
          <w:iCs/>
          <w:sz w:val="24"/>
          <w:szCs w:val="24"/>
          <w:u w:val="single"/>
        </w:rPr>
      </w:pPr>
      <w:r w:rsidRPr="00BC0C73">
        <w:rPr>
          <w:iCs/>
          <w:sz w:val="24"/>
          <w:szCs w:val="24"/>
          <w:u w:val="single"/>
        </w:rPr>
        <w:t xml:space="preserve">Pædiatrisk population </w:t>
      </w:r>
    </w:p>
    <w:p w:rsidR="00BC0C73" w:rsidRPr="00BC0C73" w:rsidRDefault="00BC0C73" w:rsidP="00BC0C73">
      <w:pPr>
        <w:tabs>
          <w:tab w:val="left" w:pos="851"/>
        </w:tabs>
        <w:ind w:left="851"/>
        <w:rPr>
          <w:sz w:val="24"/>
          <w:szCs w:val="24"/>
        </w:rPr>
      </w:pPr>
      <w:r w:rsidRPr="00BC0C73">
        <w:rPr>
          <w:sz w:val="24"/>
          <w:szCs w:val="24"/>
        </w:rPr>
        <w:t>Carmustin "Waymade" bør ikke anvendes hos børn og unge på grund af høj risiko for pulmonal toksicitet.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D316B5" w:rsidRPr="00D316B5" w:rsidRDefault="00D316B5" w:rsidP="00D316B5">
      <w:pPr>
        <w:tabs>
          <w:tab w:val="left" w:pos="851"/>
        </w:tabs>
        <w:ind w:left="851"/>
        <w:rPr>
          <w:sz w:val="24"/>
          <w:szCs w:val="24"/>
        </w:rPr>
      </w:pPr>
    </w:p>
    <w:p w:rsidR="00D316B5" w:rsidRPr="00D316B5" w:rsidRDefault="00D316B5" w:rsidP="00D316B5">
      <w:pPr>
        <w:tabs>
          <w:tab w:val="left" w:pos="851"/>
        </w:tabs>
        <w:ind w:left="851"/>
        <w:rPr>
          <w:iCs/>
          <w:sz w:val="24"/>
          <w:szCs w:val="24"/>
          <w:u w:val="single"/>
        </w:rPr>
      </w:pPr>
      <w:r w:rsidRPr="00D316B5">
        <w:rPr>
          <w:iCs/>
          <w:sz w:val="24"/>
          <w:szCs w:val="24"/>
          <w:u w:val="single"/>
        </w:rPr>
        <w:t xml:space="preserve">Fordeling </w:t>
      </w:r>
    </w:p>
    <w:p w:rsidR="00D316B5" w:rsidRPr="00D316B5" w:rsidRDefault="00D316B5" w:rsidP="00D316B5">
      <w:pPr>
        <w:tabs>
          <w:tab w:val="left" w:pos="851"/>
        </w:tabs>
        <w:ind w:left="851"/>
        <w:rPr>
          <w:sz w:val="24"/>
          <w:szCs w:val="24"/>
        </w:rPr>
      </w:pPr>
      <w:r w:rsidRPr="00D316B5">
        <w:rPr>
          <w:sz w:val="24"/>
          <w:szCs w:val="24"/>
        </w:rPr>
        <w:t xml:space="preserve">Efter intravenøs administration nedbrydes carmustin hurtigt, så der ikke kan detekteres intakt stof efter 15 minutter. Som følge af sin høje lipidopløselighed og manglende ionisering ved fysiologisk pH passerer carmustin meget let blod-hjernebarrieren. Koncentrationen af radioaktivitet i cerebrospinalvæsken er mindst 50 % højere end den, der samtidig kan måles i plasma. Kinetikken af carmustin hos mennesker kan beskrives ved en to-compartment model. Efter intravenøs infusion i løbet af 1 time falder plasmaniveauet af carmustin med et bifasisk forløb. Halveringstiden </w:t>
      </w:r>
      <w:r w:rsidRPr="00D316B5">
        <w:rPr>
          <w:sz w:val="24"/>
          <w:szCs w:val="24"/>
          <w:lang w:val="en-GB"/>
        </w:rPr>
        <w:t>α</w:t>
      </w:r>
      <w:r w:rsidRPr="00D316B5">
        <w:rPr>
          <w:sz w:val="24"/>
          <w:szCs w:val="24"/>
        </w:rPr>
        <w:t xml:space="preserve"> er 1-4 minutter, og halveringstiden </w:t>
      </w:r>
      <w:r w:rsidRPr="00D316B5">
        <w:rPr>
          <w:sz w:val="24"/>
          <w:szCs w:val="24"/>
          <w:lang w:val="en-GB"/>
        </w:rPr>
        <w:t>β</w:t>
      </w:r>
      <w:r w:rsidRPr="00D316B5">
        <w:rPr>
          <w:sz w:val="24"/>
          <w:szCs w:val="24"/>
        </w:rPr>
        <w:t xml:space="preserve"> er 18-69 minutter.</w:t>
      </w:r>
    </w:p>
    <w:p w:rsidR="00D316B5" w:rsidRPr="00D316B5" w:rsidRDefault="00D316B5" w:rsidP="00D316B5">
      <w:pPr>
        <w:tabs>
          <w:tab w:val="left" w:pos="851"/>
        </w:tabs>
        <w:ind w:left="851"/>
        <w:rPr>
          <w:sz w:val="24"/>
          <w:szCs w:val="24"/>
        </w:rPr>
      </w:pPr>
    </w:p>
    <w:p w:rsidR="00D316B5" w:rsidRPr="00D316B5" w:rsidRDefault="00D316B5" w:rsidP="00D316B5">
      <w:pPr>
        <w:tabs>
          <w:tab w:val="left" w:pos="851"/>
        </w:tabs>
        <w:ind w:left="851"/>
        <w:rPr>
          <w:iCs/>
          <w:sz w:val="24"/>
          <w:szCs w:val="24"/>
          <w:u w:val="single"/>
        </w:rPr>
      </w:pPr>
      <w:r w:rsidRPr="00D316B5">
        <w:rPr>
          <w:iCs/>
          <w:sz w:val="24"/>
          <w:szCs w:val="24"/>
          <w:u w:val="single"/>
        </w:rPr>
        <w:t xml:space="preserve">Biotransformation </w:t>
      </w:r>
    </w:p>
    <w:p w:rsidR="00D316B5" w:rsidRPr="00D316B5" w:rsidRDefault="00D316B5" w:rsidP="00D316B5">
      <w:pPr>
        <w:tabs>
          <w:tab w:val="left" w:pos="851"/>
        </w:tabs>
        <w:ind w:left="851"/>
        <w:rPr>
          <w:sz w:val="24"/>
          <w:szCs w:val="24"/>
        </w:rPr>
      </w:pPr>
      <w:r w:rsidRPr="00D316B5">
        <w:rPr>
          <w:sz w:val="24"/>
          <w:szCs w:val="24"/>
        </w:rPr>
        <w:t xml:space="preserve">Carmustins metabolitter formodes at være årsag til dets antineoplastiske og toksiske aktivitet. </w:t>
      </w:r>
    </w:p>
    <w:p w:rsidR="00D316B5" w:rsidRPr="00D316B5" w:rsidRDefault="00D316B5" w:rsidP="00D316B5">
      <w:pPr>
        <w:tabs>
          <w:tab w:val="left" w:pos="851"/>
        </w:tabs>
        <w:ind w:left="851"/>
        <w:rPr>
          <w:sz w:val="24"/>
          <w:szCs w:val="24"/>
        </w:rPr>
      </w:pPr>
    </w:p>
    <w:p w:rsidR="00D316B5" w:rsidRPr="00D316B5" w:rsidRDefault="00D316B5" w:rsidP="00D316B5">
      <w:pPr>
        <w:tabs>
          <w:tab w:val="left" w:pos="851"/>
        </w:tabs>
        <w:ind w:left="851"/>
        <w:rPr>
          <w:iCs/>
          <w:sz w:val="24"/>
          <w:szCs w:val="24"/>
          <w:u w:val="single"/>
        </w:rPr>
      </w:pPr>
      <w:r w:rsidRPr="00D316B5">
        <w:rPr>
          <w:iCs/>
          <w:sz w:val="24"/>
          <w:szCs w:val="24"/>
          <w:u w:val="single"/>
        </w:rPr>
        <w:t xml:space="preserve">Elimination </w:t>
      </w:r>
    </w:p>
    <w:p w:rsidR="00D316B5" w:rsidRPr="00D316B5" w:rsidRDefault="00D316B5" w:rsidP="00D316B5">
      <w:pPr>
        <w:tabs>
          <w:tab w:val="left" w:pos="851"/>
        </w:tabs>
        <w:ind w:left="851"/>
        <w:rPr>
          <w:sz w:val="24"/>
          <w:szCs w:val="24"/>
        </w:rPr>
      </w:pPr>
      <w:r w:rsidRPr="00D316B5">
        <w:rPr>
          <w:sz w:val="24"/>
          <w:szCs w:val="24"/>
        </w:rPr>
        <w:t>Ca. 60-70 % af den totale dosis udskilles i urinen i løbet af 96 timer, og ca. 10 % som CO</w:t>
      </w:r>
      <w:r w:rsidRPr="00D316B5">
        <w:rPr>
          <w:sz w:val="24"/>
          <w:szCs w:val="24"/>
          <w:vertAlign w:val="subscript"/>
        </w:rPr>
        <w:t>2</w:t>
      </w:r>
      <w:r w:rsidRPr="00D316B5">
        <w:rPr>
          <w:sz w:val="24"/>
          <w:szCs w:val="24"/>
        </w:rPr>
        <w:t xml:space="preserve"> gennem respirationen. Det er ikke fastlagt, hvad der sker med den resterende del. </w:t>
      </w:r>
    </w:p>
    <w:p w:rsidR="00D316B5" w:rsidRPr="00D316B5" w:rsidRDefault="00D316B5" w:rsidP="00D316B5">
      <w:pPr>
        <w:tabs>
          <w:tab w:val="left" w:pos="851"/>
        </w:tabs>
        <w:ind w:left="851"/>
        <w:rPr>
          <w:b/>
          <w:bCs/>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7E6ECD" w:rsidRPr="007E6ECD" w:rsidRDefault="007E6ECD" w:rsidP="007E6ECD">
      <w:pPr>
        <w:tabs>
          <w:tab w:val="left" w:pos="851"/>
        </w:tabs>
        <w:ind w:left="851"/>
        <w:rPr>
          <w:sz w:val="24"/>
          <w:szCs w:val="24"/>
        </w:rPr>
      </w:pPr>
      <w:bookmarkStart w:id="2" w:name="_Hlk97125719"/>
      <w:r w:rsidRPr="007E6ECD">
        <w:rPr>
          <w:sz w:val="24"/>
          <w:szCs w:val="24"/>
        </w:rPr>
        <w:t>Carmustin var embryotoksisk og teratogent hos rotter og embryotoksisk hos kaniner ved dosisniveauer ækvivalente med den humane dosis. Carmustin påvirkede fertiliteten hos hanrotter ved doser over den humane dosis. Carmustin var ved klinisk relevante dosisniveauer karcinogent hos rotter og mus.</w:t>
      </w:r>
      <w:bookmarkEnd w:id="2"/>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221E2C" w:rsidRPr="00EE1373" w:rsidRDefault="00221E2C" w:rsidP="00221E2C">
      <w:pPr>
        <w:tabs>
          <w:tab w:val="left" w:pos="851"/>
        </w:tabs>
        <w:ind w:left="851"/>
        <w:rPr>
          <w:sz w:val="24"/>
          <w:szCs w:val="24"/>
        </w:rPr>
      </w:pPr>
    </w:p>
    <w:p w:rsidR="00221E2C" w:rsidRPr="00221E2C" w:rsidRDefault="00221E2C" w:rsidP="00221E2C">
      <w:pPr>
        <w:tabs>
          <w:tab w:val="left" w:pos="851"/>
        </w:tabs>
        <w:ind w:left="851"/>
        <w:rPr>
          <w:iCs/>
          <w:sz w:val="24"/>
          <w:szCs w:val="24"/>
          <w:u w:val="single"/>
        </w:rPr>
      </w:pPr>
      <w:r w:rsidRPr="00221E2C">
        <w:rPr>
          <w:iCs/>
          <w:sz w:val="24"/>
          <w:szCs w:val="24"/>
          <w:u w:val="single"/>
        </w:rPr>
        <w:t xml:space="preserve">Pulver </w:t>
      </w:r>
    </w:p>
    <w:p w:rsidR="00221E2C" w:rsidRDefault="00221E2C" w:rsidP="00221E2C">
      <w:pPr>
        <w:tabs>
          <w:tab w:val="left" w:pos="851"/>
        </w:tabs>
        <w:ind w:left="851"/>
        <w:rPr>
          <w:sz w:val="24"/>
          <w:szCs w:val="24"/>
        </w:rPr>
      </w:pPr>
      <w:r w:rsidRPr="00221E2C">
        <w:rPr>
          <w:sz w:val="24"/>
          <w:szCs w:val="24"/>
        </w:rPr>
        <w:t>Ingen hjælpestoffer</w:t>
      </w:r>
      <w:r w:rsidR="007D4763">
        <w:rPr>
          <w:sz w:val="24"/>
          <w:szCs w:val="24"/>
        </w:rPr>
        <w:t>.</w:t>
      </w:r>
    </w:p>
    <w:p w:rsidR="00221E2C" w:rsidRPr="00221E2C" w:rsidRDefault="00221E2C" w:rsidP="00221E2C">
      <w:pPr>
        <w:tabs>
          <w:tab w:val="left" w:pos="851"/>
        </w:tabs>
        <w:ind w:left="851"/>
        <w:rPr>
          <w:sz w:val="24"/>
          <w:szCs w:val="24"/>
        </w:rPr>
      </w:pPr>
    </w:p>
    <w:p w:rsidR="00221E2C" w:rsidRPr="00221E2C" w:rsidRDefault="00221E2C" w:rsidP="00221E2C">
      <w:pPr>
        <w:tabs>
          <w:tab w:val="left" w:pos="851"/>
        </w:tabs>
        <w:ind w:left="851"/>
        <w:rPr>
          <w:iCs/>
          <w:sz w:val="24"/>
          <w:szCs w:val="24"/>
          <w:u w:val="single"/>
        </w:rPr>
      </w:pPr>
      <w:r w:rsidRPr="00221E2C">
        <w:rPr>
          <w:iCs/>
          <w:sz w:val="24"/>
          <w:szCs w:val="24"/>
          <w:u w:val="single"/>
        </w:rPr>
        <w:t xml:space="preserve">Opløsningsmiddel </w:t>
      </w:r>
    </w:p>
    <w:p w:rsidR="00221E2C" w:rsidRPr="00221E2C" w:rsidRDefault="00221E2C" w:rsidP="00221E2C">
      <w:pPr>
        <w:tabs>
          <w:tab w:val="left" w:pos="851"/>
        </w:tabs>
        <w:ind w:left="851"/>
        <w:rPr>
          <w:sz w:val="24"/>
          <w:szCs w:val="24"/>
        </w:rPr>
      </w:pPr>
      <w:r w:rsidRPr="00221E2C">
        <w:rPr>
          <w:sz w:val="24"/>
          <w:szCs w:val="24"/>
        </w:rPr>
        <w:t>Ethanol, vandfri</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221E2C" w:rsidRDefault="00221E2C" w:rsidP="00221E2C">
      <w:pPr>
        <w:tabs>
          <w:tab w:val="left" w:pos="851"/>
        </w:tabs>
        <w:ind w:left="851"/>
        <w:rPr>
          <w:i/>
          <w:iCs/>
          <w:sz w:val="24"/>
          <w:szCs w:val="24"/>
          <w:u w:val="single"/>
        </w:rPr>
      </w:pPr>
    </w:p>
    <w:p w:rsidR="00221E2C" w:rsidRPr="001874DB" w:rsidRDefault="00221E2C" w:rsidP="00221E2C">
      <w:pPr>
        <w:tabs>
          <w:tab w:val="left" w:pos="851"/>
        </w:tabs>
        <w:ind w:left="851"/>
        <w:rPr>
          <w:iCs/>
          <w:sz w:val="24"/>
          <w:szCs w:val="24"/>
        </w:rPr>
      </w:pPr>
      <w:r w:rsidRPr="001874DB">
        <w:rPr>
          <w:iCs/>
          <w:sz w:val="24"/>
          <w:szCs w:val="24"/>
          <w:u w:val="single"/>
        </w:rPr>
        <w:t>Kompatibilitet/</w:t>
      </w:r>
      <w:r w:rsidR="00091E8D">
        <w:rPr>
          <w:iCs/>
          <w:sz w:val="24"/>
          <w:szCs w:val="24"/>
          <w:u w:val="single"/>
        </w:rPr>
        <w:t>i</w:t>
      </w:r>
      <w:r w:rsidRPr="001874DB">
        <w:rPr>
          <w:iCs/>
          <w:sz w:val="24"/>
          <w:szCs w:val="24"/>
          <w:u w:val="single"/>
        </w:rPr>
        <w:t>nkompatibilitet med beholdere</w:t>
      </w:r>
    </w:p>
    <w:p w:rsidR="00221E2C" w:rsidRDefault="00221E2C" w:rsidP="00221E2C">
      <w:pPr>
        <w:tabs>
          <w:tab w:val="left" w:pos="851"/>
        </w:tabs>
        <w:ind w:left="851"/>
        <w:rPr>
          <w:sz w:val="24"/>
          <w:szCs w:val="24"/>
        </w:rPr>
      </w:pPr>
      <w:r w:rsidRPr="00221E2C">
        <w:rPr>
          <w:sz w:val="24"/>
          <w:szCs w:val="24"/>
        </w:rPr>
        <w:t xml:space="preserve">Den intravenøse opløsning er ustabil i beholdere af polyvinylchlorid. Carmustin-opløsningen må kun administreres fra glasflasker eller polypropylenbeholdere. </w:t>
      </w:r>
    </w:p>
    <w:p w:rsidR="001874DB" w:rsidRPr="00221E2C" w:rsidRDefault="001874DB" w:rsidP="00221E2C">
      <w:pPr>
        <w:tabs>
          <w:tab w:val="left" w:pos="851"/>
        </w:tabs>
        <w:ind w:left="851"/>
        <w:rPr>
          <w:sz w:val="24"/>
          <w:szCs w:val="24"/>
        </w:rPr>
      </w:pPr>
    </w:p>
    <w:p w:rsidR="00221E2C" w:rsidRPr="00221E2C" w:rsidRDefault="00221E2C" w:rsidP="00221E2C">
      <w:pPr>
        <w:tabs>
          <w:tab w:val="left" w:pos="851"/>
        </w:tabs>
        <w:ind w:left="851"/>
        <w:rPr>
          <w:sz w:val="24"/>
          <w:szCs w:val="24"/>
        </w:rPr>
      </w:pPr>
      <w:r w:rsidRPr="00221E2C">
        <w:rPr>
          <w:sz w:val="24"/>
          <w:szCs w:val="24"/>
        </w:rPr>
        <w:t>Dette lægemiddel må ikke blandes med andre lægemidler end dem, der er anført under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D1E89" w:rsidRPr="009D1E89" w:rsidRDefault="009D1E89" w:rsidP="009D1E89">
      <w:pPr>
        <w:tabs>
          <w:tab w:val="left" w:pos="851"/>
        </w:tabs>
        <w:ind w:left="851"/>
        <w:rPr>
          <w:sz w:val="24"/>
          <w:szCs w:val="24"/>
        </w:rPr>
      </w:pPr>
    </w:p>
    <w:p w:rsidR="009D1E89" w:rsidRPr="009D1E89" w:rsidRDefault="009D1E89" w:rsidP="009D1E89">
      <w:pPr>
        <w:tabs>
          <w:tab w:val="left" w:pos="851"/>
        </w:tabs>
        <w:ind w:left="851"/>
        <w:rPr>
          <w:iCs/>
          <w:sz w:val="24"/>
          <w:szCs w:val="24"/>
          <w:u w:val="single"/>
        </w:rPr>
      </w:pPr>
      <w:r w:rsidRPr="009D1E89">
        <w:rPr>
          <w:iCs/>
          <w:sz w:val="24"/>
          <w:szCs w:val="24"/>
          <w:u w:val="single"/>
        </w:rPr>
        <w:t>Uåbne</w:t>
      </w:r>
      <w:r w:rsidR="00F4182B">
        <w:rPr>
          <w:iCs/>
          <w:sz w:val="24"/>
          <w:szCs w:val="24"/>
          <w:u w:val="single"/>
        </w:rPr>
        <w:t>t</w:t>
      </w:r>
      <w:r w:rsidRPr="009D1E89">
        <w:rPr>
          <w:iCs/>
          <w:sz w:val="24"/>
          <w:szCs w:val="24"/>
          <w:u w:val="single"/>
        </w:rPr>
        <w:t xml:space="preserve"> hætteglas</w:t>
      </w:r>
    </w:p>
    <w:p w:rsidR="009D1E89" w:rsidRPr="009D1E89" w:rsidRDefault="009D1E89" w:rsidP="009D1E89">
      <w:pPr>
        <w:tabs>
          <w:tab w:val="left" w:pos="851"/>
        </w:tabs>
        <w:ind w:left="851"/>
        <w:rPr>
          <w:sz w:val="24"/>
          <w:szCs w:val="24"/>
        </w:rPr>
      </w:pPr>
      <w:r w:rsidRPr="009D1E89">
        <w:rPr>
          <w:sz w:val="24"/>
          <w:szCs w:val="24"/>
        </w:rPr>
        <w:t>3 år.</w:t>
      </w:r>
    </w:p>
    <w:p w:rsidR="009D1E89" w:rsidRPr="009D1E89" w:rsidRDefault="009D1E89" w:rsidP="009D1E89">
      <w:pPr>
        <w:tabs>
          <w:tab w:val="left" w:pos="851"/>
        </w:tabs>
        <w:ind w:left="851"/>
        <w:rPr>
          <w:sz w:val="24"/>
          <w:szCs w:val="24"/>
          <w:u w:val="single"/>
        </w:rPr>
      </w:pPr>
    </w:p>
    <w:p w:rsidR="009D1E89" w:rsidRPr="009D1E89" w:rsidRDefault="009D1E89" w:rsidP="009D1E89">
      <w:pPr>
        <w:tabs>
          <w:tab w:val="left" w:pos="851"/>
        </w:tabs>
        <w:ind w:left="851"/>
        <w:rPr>
          <w:iCs/>
          <w:sz w:val="24"/>
          <w:szCs w:val="24"/>
          <w:u w:val="single"/>
        </w:rPr>
      </w:pPr>
      <w:r w:rsidRPr="009D1E89">
        <w:rPr>
          <w:iCs/>
          <w:sz w:val="24"/>
          <w:szCs w:val="24"/>
          <w:u w:val="single"/>
        </w:rPr>
        <w:t>Efter rekonstitution og fortynding</w:t>
      </w:r>
    </w:p>
    <w:p w:rsidR="009D1E89" w:rsidRPr="009D1E89" w:rsidRDefault="009D1E89" w:rsidP="009D1E89">
      <w:pPr>
        <w:tabs>
          <w:tab w:val="left" w:pos="851"/>
        </w:tabs>
        <w:ind w:left="851"/>
        <w:rPr>
          <w:sz w:val="24"/>
          <w:szCs w:val="24"/>
        </w:rPr>
      </w:pPr>
      <w:r w:rsidRPr="009D1E89">
        <w:rPr>
          <w:sz w:val="24"/>
          <w:szCs w:val="24"/>
        </w:rPr>
        <w:t>Efter den anbefalede rekonstitu</w:t>
      </w:r>
      <w:r w:rsidR="00F4182B">
        <w:rPr>
          <w:sz w:val="24"/>
          <w:szCs w:val="24"/>
        </w:rPr>
        <w:t>tion</w:t>
      </w:r>
      <w:r w:rsidRPr="009D1E89">
        <w:rPr>
          <w:sz w:val="24"/>
          <w:szCs w:val="24"/>
        </w:rPr>
        <w:t xml:space="preserve"> er Carmustin "Waymade" stabil i 24 timer ved nedkøling (2</w:t>
      </w:r>
      <w:r w:rsidR="00F4182B">
        <w:rPr>
          <w:sz w:val="24"/>
          <w:szCs w:val="24"/>
        </w:rPr>
        <w:t xml:space="preserve"> </w:t>
      </w:r>
      <w:r w:rsidRPr="009D1E89">
        <w:rPr>
          <w:sz w:val="24"/>
          <w:szCs w:val="24"/>
        </w:rPr>
        <w:t>°C</w:t>
      </w:r>
      <w:r w:rsidRPr="009D1E89">
        <w:rPr>
          <w:sz w:val="24"/>
          <w:szCs w:val="24"/>
        </w:rPr>
        <w:noBreakHyphen/>
        <w:t>8</w:t>
      </w:r>
      <w:r w:rsidR="00F4182B">
        <w:rPr>
          <w:sz w:val="24"/>
          <w:szCs w:val="24"/>
        </w:rPr>
        <w:t xml:space="preserve"> </w:t>
      </w:r>
      <w:r w:rsidRPr="009D1E89">
        <w:rPr>
          <w:sz w:val="24"/>
          <w:szCs w:val="24"/>
        </w:rPr>
        <w:t>°C) i glasbeholder og beskyttet mod lys.</w:t>
      </w:r>
    </w:p>
    <w:p w:rsidR="009D1E89" w:rsidRPr="009D1E89" w:rsidRDefault="009D1E89" w:rsidP="009D1E89">
      <w:pPr>
        <w:tabs>
          <w:tab w:val="left" w:pos="851"/>
        </w:tabs>
        <w:ind w:left="851"/>
        <w:rPr>
          <w:sz w:val="24"/>
          <w:szCs w:val="24"/>
        </w:rPr>
      </w:pPr>
    </w:p>
    <w:p w:rsidR="007D4763" w:rsidRPr="007D4763" w:rsidRDefault="007D4763" w:rsidP="007D4763">
      <w:pPr>
        <w:tabs>
          <w:tab w:val="left" w:pos="851"/>
        </w:tabs>
        <w:ind w:left="851"/>
        <w:rPr>
          <w:sz w:val="24"/>
          <w:szCs w:val="24"/>
        </w:rPr>
      </w:pPr>
      <w:r w:rsidRPr="007D4763">
        <w:rPr>
          <w:sz w:val="24"/>
          <w:szCs w:val="24"/>
        </w:rPr>
        <w:t>Den rekonstituerede blanding skal yderligere fortyndes med enten en natriumchlorid 9</w:t>
      </w:r>
      <w:r>
        <w:rPr>
          <w:sz w:val="24"/>
          <w:szCs w:val="24"/>
        </w:rPr>
        <w:t xml:space="preserve"> </w:t>
      </w:r>
      <w:r w:rsidRPr="007D4763">
        <w:rPr>
          <w:sz w:val="24"/>
          <w:szCs w:val="24"/>
        </w:rPr>
        <w:t>mg/ml (0,9 %) injektionsvæske, opløsning, eller en 500 ml glucose 50 mg/ml (5</w:t>
      </w:r>
      <w:r>
        <w:rPr>
          <w:sz w:val="24"/>
          <w:szCs w:val="24"/>
        </w:rPr>
        <w:t xml:space="preserve"> </w:t>
      </w:r>
      <w:r w:rsidRPr="007D4763">
        <w:rPr>
          <w:sz w:val="24"/>
          <w:szCs w:val="24"/>
        </w:rPr>
        <w:t>%) injektionsvæske, opløsning i en glas- eller polypropylenbeholder. Den bør opbevares beskyttet mod lys ved stuetemperatur og skal anvendes inden for 4 timer. Disse opløsninger er også stabile i 24 timer ved nedkøling (2 °C-8 °C) og yderligere 6 timer ved stuetemperatur beskyttet mod lys.</w:t>
      </w:r>
    </w:p>
    <w:p w:rsidR="007D4763" w:rsidRPr="007D4763" w:rsidRDefault="007D4763" w:rsidP="007D4763">
      <w:pPr>
        <w:tabs>
          <w:tab w:val="left" w:pos="851"/>
        </w:tabs>
        <w:ind w:left="851"/>
        <w:rPr>
          <w:sz w:val="24"/>
          <w:szCs w:val="24"/>
        </w:rPr>
      </w:pPr>
    </w:p>
    <w:p w:rsidR="001E6886" w:rsidRDefault="007D4763" w:rsidP="007D4763">
      <w:pPr>
        <w:tabs>
          <w:tab w:val="left" w:pos="851"/>
        </w:tabs>
        <w:ind w:left="851"/>
        <w:rPr>
          <w:sz w:val="24"/>
          <w:szCs w:val="24"/>
        </w:rPr>
      </w:pPr>
      <w:r w:rsidRPr="007D4763">
        <w:rPr>
          <w:sz w:val="24"/>
          <w:szCs w:val="24"/>
        </w:rPr>
        <w:t>Ud fra et mikrobiologisk synspunkt, med mindre åbning/rekonstitution/fortynding udelukker ris</w:t>
      </w:r>
      <w:r w:rsidR="001E6886">
        <w:rPr>
          <w:sz w:val="24"/>
          <w:szCs w:val="24"/>
        </w:rPr>
        <w:t>i</w:t>
      </w:r>
      <w:r w:rsidRPr="007D4763">
        <w:rPr>
          <w:sz w:val="24"/>
          <w:szCs w:val="24"/>
        </w:rPr>
        <w:t>ko for mikrobiel kontaminering, skal præparatet anvendes med det samme. Anvendes det ikke med det samme, er brugeren ansvarlig for opbevaringstider og</w:t>
      </w:r>
    </w:p>
    <w:p w:rsidR="007D4763" w:rsidRPr="007D4763" w:rsidRDefault="001E6886" w:rsidP="007D4763">
      <w:pPr>
        <w:tabs>
          <w:tab w:val="left" w:pos="851"/>
        </w:tabs>
        <w:ind w:left="851"/>
        <w:rPr>
          <w:sz w:val="24"/>
          <w:szCs w:val="24"/>
        </w:rPr>
      </w:pPr>
      <w:r>
        <w:rPr>
          <w:sz w:val="24"/>
          <w:szCs w:val="24"/>
        </w:rPr>
        <w:t>-b</w:t>
      </w:r>
      <w:r w:rsidR="007D4763" w:rsidRPr="007D4763">
        <w:rPr>
          <w:sz w:val="24"/>
          <w:szCs w:val="24"/>
        </w:rPr>
        <w:t>etingelser.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4347CD" w:rsidRDefault="004347CD" w:rsidP="004347CD">
      <w:pPr>
        <w:tabs>
          <w:tab w:val="left" w:pos="851"/>
        </w:tabs>
        <w:ind w:left="851"/>
        <w:rPr>
          <w:sz w:val="24"/>
          <w:szCs w:val="24"/>
        </w:rPr>
      </w:pPr>
      <w:r w:rsidRPr="004347CD">
        <w:rPr>
          <w:sz w:val="24"/>
          <w:szCs w:val="24"/>
        </w:rPr>
        <w:t>Opbevares i køleskab (2 °C-8 °C). Må ikke nedfryses.</w:t>
      </w:r>
    </w:p>
    <w:p w:rsidR="004347CD" w:rsidRPr="004347CD" w:rsidRDefault="004347CD" w:rsidP="004347CD">
      <w:pPr>
        <w:tabs>
          <w:tab w:val="left" w:pos="851"/>
        </w:tabs>
        <w:ind w:left="851"/>
        <w:rPr>
          <w:sz w:val="24"/>
          <w:szCs w:val="24"/>
        </w:rPr>
      </w:pPr>
    </w:p>
    <w:p w:rsidR="00AB75E7" w:rsidRDefault="00EA397B" w:rsidP="004347CD">
      <w:pPr>
        <w:tabs>
          <w:tab w:val="left" w:pos="851"/>
        </w:tabs>
        <w:ind w:left="851"/>
        <w:rPr>
          <w:sz w:val="24"/>
          <w:szCs w:val="24"/>
        </w:rPr>
      </w:pPr>
      <w:r>
        <w:rPr>
          <w:sz w:val="24"/>
          <w:szCs w:val="24"/>
        </w:rPr>
        <w:t>Opbevar hætteglas med p</w:t>
      </w:r>
      <w:r w:rsidR="004347CD" w:rsidRPr="004347CD">
        <w:rPr>
          <w:sz w:val="24"/>
          <w:szCs w:val="24"/>
        </w:rPr>
        <w:t xml:space="preserve">ulver og </w:t>
      </w:r>
      <w:r>
        <w:rPr>
          <w:sz w:val="24"/>
          <w:szCs w:val="24"/>
        </w:rPr>
        <w:t>solvens</w:t>
      </w:r>
      <w:r w:rsidR="004347CD" w:rsidRPr="004347CD">
        <w:rPr>
          <w:sz w:val="24"/>
          <w:szCs w:val="24"/>
        </w:rPr>
        <w:t xml:space="preserve"> i den ydre emballage for at beskytte mod lys.</w:t>
      </w:r>
    </w:p>
    <w:p w:rsidR="00AB75E7" w:rsidRDefault="00AB75E7" w:rsidP="004347CD">
      <w:pPr>
        <w:tabs>
          <w:tab w:val="left" w:pos="851"/>
        </w:tabs>
        <w:ind w:left="851"/>
        <w:rPr>
          <w:sz w:val="24"/>
          <w:szCs w:val="24"/>
        </w:rPr>
      </w:pPr>
    </w:p>
    <w:p w:rsidR="004347CD" w:rsidRPr="004347CD" w:rsidRDefault="004347CD" w:rsidP="004347CD">
      <w:pPr>
        <w:tabs>
          <w:tab w:val="left" w:pos="851"/>
        </w:tabs>
        <w:ind w:left="851"/>
        <w:rPr>
          <w:sz w:val="24"/>
          <w:szCs w:val="24"/>
        </w:rPr>
      </w:pPr>
      <w:r w:rsidRPr="004347CD">
        <w:rPr>
          <w:sz w:val="24"/>
          <w:szCs w:val="24"/>
        </w:rPr>
        <w:t>Opbevaringsforhold efter rekonstitution og yderligere fortynding af lægemidlet, se pkt. 6.3.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AB75E7" w:rsidRDefault="00AB75E7" w:rsidP="00AB75E7">
      <w:pPr>
        <w:tabs>
          <w:tab w:val="left" w:pos="851"/>
        </w:tabs>
        <w:ind w:left="851"/>
        <w:rPr>
          <w:i/>
          <w:iCs/>
          <w:sz w:val="24"/>
          <w:szCs w:val="24"/>
          <w:u w:val="single"/>
        </w:rPr>
      </w:pPr>
    </w:p>
    <w:p w:rsidR="00AB75E7" w:rsidRPr="00AB75E7" w:rsidRDefault="00AB75E7" w:rsidP="00AB75E7">
      <w:pPr>
        <w:tabs>
          <w:tab w:val="left" w:pos="851"/>
        </w:tabs>
        <w:ind w:left="851"/>
        <w:rPr>
          <w:iCs/>
          <w:sz w:val="24"/>
          <w:szCs w:val="24"/>
          <w:u w:val="single"/>
        </w:rPr>
      </w:pPr>
      <w:r w:rsidRPr="00AB75E7">
        <w:rPr>
          <w:iCs/>
          <w:sz w:val="24"/>
          <w:szCs w:val="24"/>
          <w:u w:val="single"/>
        </w:rPr>
        <w:t>Pulver</w:t>
      </w:r>
    </w:p>
    <w:p w:rsidR="00AB75E7" w:rsidRPr="00AB75E7" w:rsidRDefault="00AB75E7" w:rsidP="00AB75E7">
      <w:pPr>
        <w:tabs>
          <w:tab w:val="left" w:pos="851"/>
        </w:tabs>
        <w:ind w:left="851"/>
        <w:rPr>
          <w:sz w:val="24"/>
          <w:szCs w:val="24"/>
        </w:rPr>
      </w:pPr>
      <w:r w:rsidRPr="00AB75E7">
        <w:rPr>
          <w:sz w:val="24"/>
          <w:szCs w:val="24"/>
        </w:rPr>
        <w:t>Type I gulligt hætteglas (30 ml) med grå 20 mm bromobutyl-gummiprop og matblå flip-off-topforsegling.</w:t>
      </w:r>
    </w:p>
    <w:p w:rsidR="00AB75E7" w:rsidRPr="00AB75E7" w:rsidRDefault="00AB75E7" w:rsidP="00AB75E7">
      <w:pPr>
        <w:tabs>
          <w:tab w:val="left" w:pos="851"/>
        </w:tabs>
        <w:ind w:left="851"/>
        <w:rPr>
          <w:sz w:val="24"/>
          <w:szCs w:val="24"/>
        </w:rPr>
      </w:pPr>
    </w:p>
    <w:p w:rsidR="00AB75E7" w:rsidRPr="00AB75E7" w:rsidRDefault="00AB75E7" w:rsidP="00AB75E7">
      <w:pPr>
        <w:tabs>
          <w:tab w:val="left" w:pos="851"/>
        </w:tabs>
        <w:ind w:left="851"/>
        <w:rPr>
          <w:iCs/>
          <w:sz w:val="24"/>
          <w:szCs w:val="24"/>
          <w:u w:val="single"/>
        </w:rPr>
      </w:pPr>
      <w:r w:rsidRPr="00AB75E7">
        <w:rPr>
          <w:iCs/>
          <w:sz w:val="24"/>
          <w:szCs w:val="24"/>
          <w:u w:val="single"/>
        </w:rPr>
        <w:t>Solvens</w:t>
      </w:r>
    </w:p>
    <w:p w:rsidR="00AB75E7" w:rsidRPr="00AB75E7" w:rsidRDefault="00AB75E7" w:rsidP="00AB75E7">
      <w:pPr>
        <w:tabs>
          <w:tab w:val="left" w:pos="851"/>
        </w:tabs>
        <w:ind w:left="851"/>
        <w:rPr>
          <w:sz w:val="24"/>
          <w:szCs w:val="24"/>
        </w:rPr>
      </w:pPr>
      <w:r w:rsidRPr="00AB75E7">
        <w:rPr>
          <w:sz w:val="24"/>
          <w:szCs w:val="24"/>
        </w:rPr>
        <w:t>Type I klart hætteglas (5 ml) med grå 13 mm chlorobutyl-gummiprop og matblå flip-off-topforsegling.</w:t>
      </w:r>
    </w:p>
    <w:p w:rsidR="00AB75E7" w:rsidRPr="00AB75E7" w:rsidRDefault="00AB75E7" w:rsidP="00AB75E7">
      <w:pPr>
        <w:tabs>
          <w:tab w:val="left" w:pos="851"/>
        </w:tabs>
        <w:ind w:left="851"/>
        <w:rPr>
          <w:sz w:val="24"/>
          <w:szCs w:val="24"/>
        </w:rPr>
      </w:pPr>
    </w:p>
    <w:p w:rsidR="00AB75E7" w:rsidRPr="000472B8" w:rsidRDefault="00AB75E7" w:rsidP="00AB75E7">
      <w:pPr>
        <w:tabs>
          <w:tab w:val="left" w:pos="851"/>
        </w:tabs>
        <w:ind w:left="851"/>
        <w:rPr>
          <w:sz w:val="24"/>
          <w:szCs w:val="24"/>
          <w:u w:val="single"/>
        </w:rPr>
      </w:pPr>
      <w:r w:rsidRPr="000472B8">
        <w:rPr>
          <w:sz w:val="24"/>
          <w:szCs w:val="24"/>
          <w:u w:val="single"/>
        </w:rPr>
        <w:t>Pakningsstørrelser</w:t>
      </w:r>
    </w:p>
    <w:p w:rsidR="00032A1A" w:rsidRDefault="00032A1A" w:rsidP="00D8044C">
      <w:pPr>
        <w:tabs>
          <w:tab w:val="left" w:pos="851"/>
          <w:tab w:val="left" w:pos="3261"/>
        </w:tabs>
        <w:ind w:left="851"/>
        <w:rPr>
          <w:sz w:val="24"/>
          <w:szCs w:val="24"/>
        </w:rPr>
      </w:pPr>
    </w:p>
    <w:p w:rsidR="00032A1A" w:rsidRPr="00032A1A" w:rsidRDefault="00AB75E7" w:rsidP="00D8044C">
      <w:pPr>
        <w:tabs>
          <w:tab w:val="left" w:pos="851"/>
          <w:tab w:val="left" w:pos="3261"/>
        </w:tabs>
        <w:ind w:left="851"/>
        <w:rPr>
          <w:i/>
          <w:sz w:val="24"/>
          <w:szCs w:val="24"/>
        </w:rPr>
      </w:pPr>
      <w:r w:rsidRPr="00032A1A">
        <w:rPr>
          <w:i/>
          <w:sz w:val="24"/>
          <w:szCs w:val="24"/>
        </w:rPr>
        <w:t>En pak</w:t>
      </w:r>
      <w:r w:rsidR="008B7311" w:rsidRPr="00032A1A">
        <w:rPr>
          <w:i/>
          <w:sz w:val="24"/>
          <w:szCs w:val="24"/>
        </w:rPr>
        <w:t>ning</w:t>
      </w:r>
      <w:r w:rsidRPr="00032A1A">
        <w:rPr>
          <w:i/>
          <w:sz w:val="24"/>
          <w:szCs w:val="24"/>
        </w:rPr>
        <w:t xml:space="preserve"> indeholder</w:t>
      </w:r>
      <w:r w:rsidR="00D8044C" w:rsidRPr="00032A1A">
        <w:rPr>
          <w:i/>
          <w:sz w:val="24"/>
          <w:szCs w:val="24"/>
        </w:rPr>
        <w:t>:</w:t>
      </w:r>
    </w:p>
    <w:p w:rsidR="00032A1A" w:rsidRDefault="008B7311" w:rsidP="00032A1A">
      <w:pPr>
        <w:tabs>
          <w:tab w:val="left" w:pos="851"/>
        </w:tabs>
        <w:ind w:left="851"/>
        <w:rPr>
          <w:sz w:val="24"/>
          <w:szCs w:val="24"/>
        </w:rPr>
      </w:pPr>
      <w:r>
        <w:rPr>
          <w:sz w:val="24"/>
          <w:szCs w:val="24"/>
        </w:rPr>
        <w:t>1</w:t>
      </w:r>
      <w:r w:rsidR="00AB75E7" w:rsidRPr="00AB75E7">
        <w:rPr>
          <w:sz w:val="24"/>
          <w:szCs w:val="24"/>
        </w:rPr>
        <w:t xml:space="preserve"> hætteglas med 100 mg </w:t>
      </w:r>
      <w:r w:rsidR="00D8044C">
        <w:rPr>
          <w:sz w:val="24"/>
          <w:szCs w:val="24"/>
        </w:rPr>
        <w:t>pulver til koncentrat til</w:t>
      </w:r>
      <w:r w:rsidR="00AB75E7" w:rsidRPr="00AB75E7">
        <w:rPr>
          <w:sz w:val="24"/>
          <w:szCs w:val="24"/>
        </w:rPr>
        <w:t xml:space="preserve"> infusion</w:t>
      </w:r>
      <w:r w:rsidR="00032A1A">
        <w:rPr>
          <w:sz w:val="24"/>
          <w:szCs w:val="24"/>
        </w:rPr>
        <w:t>svæske, opløsning, og</w:t>
      </w:r>
    </w:p>
    <w:p w:rsidR="00AB75E7" w:rsidRDefault="008B7311" w:rsidP="00032A1A">
      <w:pPr>
        <w:tabs>
          <w:tab w:val="left" w:pos="851"/>
        </w:tabs>
        <w:ind w:left="851"/>
        <w:rPr>
          <w:sz w:val="24"/>
          <w:szCs w:val="24"/>
        </w:rPr>
      </w:pPr>
      <w:r>
        <w:rPr>
          <w:sz w:val="24"/>
          <w:szCs w:val="24"/>
        </w:rPr>
        <w:t>1</w:t>
      </w:r>
      <w:r w:rsidR="00AB75E7" w:rsidRPr="00AB75E7">
        <w:rPr>
          <w:sz w:val="24"/>
          <w:szCs w:val="24"/>
        </w:rPr>
        <w:t xml:space="preserve"> hætteglas med 3 ml </w:t>
      </w:r>
      <w:r w:rsidR="00D8044C">
        <w:rPr>
          <w:sz w:val="24"/>
          <w:szCs w:val="24"/>
        </w:rPr>
        <w:t>solvens</w:t>
      </w:r>
      <w:r w:rsidR="00AB75E7" w:rsidRPr="00AB75E7">
        <w:rPr>
          <w:sz w:val="24"/>
          <w:szCs w:val="24"/>
        </w:rPr>
        <w:t>.</w:t>
      </w:r>
    </w:p>
    <w:p w:rsidR="000472B8" w:rsidRDefault="000472B8" w:rsidP="00AB75E7">
      <w:pPr>
        <w:tabs>
          <w:tab w:val="left" w:pos="851"/>
        </w:tabs>
        <w:ind w:left="851"/>
        <w:rPr>
          <w:sz w:val="24"/>
          <w:szCs w:val="24"/>
        </w:rPr>
      </w:pPr>
    </w:p>
    <w:p w:rsidR="000472B8" w:rsidRPr="00AB75E7" w:rsidRDefault="000472B8" w:rsidP="00AB75E7">
      <w:pPr>
        <w:tabs>
          <w:tab w:val="left" w:pos="851"/>
        </w:tabs>
        <w:ind w:left="851"/>
        <w:rPr>
          <w:sz w:val="24"/>
          <w:szCs w:val="24"/>
        </w:rPr>
      </w:pPr>
      <w:r>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EE5719" w:rsidRPr="00EE5719" w:rsidRDefault="00EE5719" w:rsidP="00EE5719">
      <w:pPr>
        <w:tabs>
          <w:tab w:val="left" w:pos="851"/>
        </w:tabs>
        <w:ind w:left="851"/>
        <w:rPr>
          <w:sz w:val="24"/>
          <w:szCs w:val="24"/>
        </w:rPr>
      </w:pPr>
      <w:r w:rsidRPr="00EE5719">
        <w:rPr>
          <w:sz w:val="24"/>
          <w:szCs w:val="24"/>
        </w:rPr>
        <w:t>Carmustin pulver til koncentrat til infusionsvæske, opløsning, indeholder intet konserveringsstof og er ikke bestemt til at være et flerdosishætteglas. Rekonstitution og yderligere fortynding bør finde sted under aseptiske betingelser.</w:t>
      </w:r>
    </w:p>
    <w:p w:rsidR="00EE5719" w:rsidRPr="00EE5719" w:rsidRDefault="00EE5719" w:rsidP="00EE5719">
      <w:pPr>
        <w:tabs>
          <w:tab w:val="left" w:pos="851"/>
        </w:tabs>
        <w:ind w:left="851"/>
        <w:rPr>
          <w:sz w:val="24"/>
          <w:szCs w:val="24"/>
        </w:rPr>
      </w:pPr>
    </w:p>
    <w:p w:rsidR="00EE5719" w:rsidRPr="00EE5719" w:rsidRDefault="00EE5719" w:rsidP="00EE5719">
      <w:pPr>
        <w:tabs>
          <w:tab w:val="left" w:pos="851"/>
        </w:tabs>
        <w:ind w:left="851"/>
        <w:rPr>
          <w:sz w:val="24"/>
          <w:szCs w:val="24"/>
        </w:rPr>
      </w:pPr>
      <w:r w:rsidRPr="00EE5719">
        <w:rPr>
          <w:sz w:val="24"/>
          <w:szCs w:val="24"/>
        </w:rPr>
        <w:t>Det frysetørrede produkt indeholder ikke konserveringsmidler og er kun til engangsbrug. Det frysetørrede pulver fremstår enten som tørre flager eller en tør, størknet masse. Tilstedeværelsen af en olieagtig film kan være et tegn på smeltning af lægemidlet. Sådanne produkter må ikke anvendes på grund af risikoen for temperaturudsving til over 30 °C. Dette lægemiddel må ikke anvendes længere. Hvis det ikke er klart, om produktet er tilstrækkeligt afkølet, skal hvert eneste hætteglas i kartonen straks inspiceres. Til verifikation heraf holdes hætteglasset i skarpt lys.</w:t>
      </w:r>
    </w:p>
    <w:p w:rsidR="00280702" w:rsidRDefault="00280702">
      <w:pPr>
        <w:rPr>
          <w:sz w:val="24"/>
          <w:szCs w:val="24"/>
        </w:rPr>
      </w:pPr>
      <w:r>
        <w:rPr>
          <w:sz w:val="24"/>
          <w:szCs w:val="24"/>
        </w:rPr>
        <w:br w:type="page"/>
      </w:r>
    </w:p>
    <w:p w:rsidR="00EE5719" w:rsidRPr="00EE5719" w:rsidRDefault="00EE5719" w:rsidP="00EE5719">
      <w:pPr>
        <w:tabs>
          <w:tab w:val="left" w:pos="851"/>
        </w:tabs>
        <w:ind w:left="851"/>
        <w:rPr>
          <w:sz w:val="24"/>
          <w:szCs w:val="24"/>
        </w:rPr>
      </w:pPr>
    </w:p>
    <w:p w:rsidR="00EE5719" w:rsidRPr="00280702" w:rsidRDefault="00EE5719" w:rsidP="00EE5719">
      <w:pPr>
        <w:tabs>
          <w:tab w:val="left" w:pos="851"/>
        </w:tabs>
        <w:ind w:left="851"/>
        <w:rPr>
          <w:iCs/>
          <w:sz w:val="24"/>
          <w:szCs w:val="24"/>
          <w:u w:val="single"/>
        </w:rPr>
      </w:pPr>
      <w:r w:rsidRPr="00280702">
        <w:rPr>
          <w:iCs/>
          <w:sz w:val="24"/>
          <w:szCs w:val="24"/>
          <w:u w:val="single"/>
        </w:rPr>
        <w:t xml:space="preserve">Rekonstituering og fortynding til infusion </w:t>
      </w:r>
    </w:p>
    <w:p w:rsidR="00EE5719" w:rsidRPr="00EE5719" w:rsidRDefault="00EE5719" w:rsidP="00EE5719">
      <w:pPr>
        <w:tabs>
          <w:tab w:val="left" w:pos="851"/>
        </w:tabs>
        <w:ind w:left="851"/>
        <w:rPr>
          <w:sz w:val="24"/>
          <w:szCs w:val="24"/>
        </w:rPr>
      </w:pPr>
      <w:r w:rsidRPr="00EE5719">
        <w:rPr>
          <w:sz w:val="24"/>
          <w:szCs w:val="24"/>
        </w:rPr>
        <w:t>Opløs 100 ml frysetørret carmustin-pulver i 3 ml af den i emballagen medfølgende sterile, nedkølede</w:t>
      </w:r>
      <w:r w:rsidR="000A0A07">
        <w:rPr>
          <w:sz w:val="24"/>
          <w:szCs w:val="24"/>
        </w:rPr>
        <w:t>,</w:t>
      </w:r>
      <w:r w:rsidRPr="00EE5719">
        <w:rPr>
          <w:sz w:val="24"/>
          <w:szCs w:val="24"/>
        </w:rPr>
        <w:t xml:space="preserve"> vandfrie ethanolopløsning. Carmustin skal være fuldstændig opløst i vandfrit ethanol, før der tilsættes </w:t>
      </w:r>
      <w:r w:rsidR="00E71515">
        <w:rPr>
          <w:sz w:val="24"/>
          <w:szCs w:val="24"/>
        </w:rPr>
        <w:t xml:space="preserve">sterilt </w:t>
      </w:r>
      <w:bookmarkStart w:id="3" w:name="_GoBack"/>
      <w:bookmarkEnd w:id="3"/>
      <w:r w:rsidRPr="00EE5719">
        <w:rPr>
          <w:sz w:val="24"/>
          <w:szCs w:val="24"/>
        </w:rPr>
        <w:t xml:space="preserve">vand til injektionsvæsker. </w:t>
      </w:r>
    </w:p>
    <w:p w:rsidR="00EE5719" w:rsidRPr="00EE5719" w:rsidRDefault="00EE5719" w:rsidP="00EE5719">
      <w:pPr>
        <w:tabs>
          <w:tab w:val="left" w:pos="851"/>
        </w:tabs>
        <w:ind w:left="851"/>
        <w:rPr>
          <w:sz w:val="24"/>
          <w:szCs w:val="24"/>
        </w:rPr>
      </w:pPr>
      <w:r w:rsidRPr="00EE5719">
        <w:rPr>
          <w:sz w:val="24"/>
          <w:szCs w:val="24"/>
        </w:rPr>
        <w:t xml:space="preserve">Derefter tilsættes aseptisk 27 ml sterilt vand til den alkoholiske opløsning. De 30 ml stamopløsning skal blandes omhyggeligt. Den anbefalede rekonstituering resulterer i en klar, farveløs til lysgul opløsning. </w:t>
      </w:r>
    </w:p>
    <w:p w:rsidR="00EE5719" w:rsidRPr="00EE5719" w:rsidRDefault="00EE5719" w:rsidP="00EE5719">
      <w:pPr>
        <w:tabs>
          <w:tab w:val="left" w:pos="851"/>
        </w:tabs>
        <w:ind w:left="851"/>
        <w:rPr>
          <w:sz w:val="24"/>
          <w:szCs w:val="24"/>
        </w:rPr>
      </w:pPr>
      <w:r w:rsidRPr="00EE5719">
        <w:rPr>
          <w:sz w:val="24"/>
          <w:szCs w:val="24"/>
        </w:rPr>
        <w:t xml:space="preserve">Før anvendelsen skal de rekonstituerede hætteglas undersøges for </w:t>
      </w:r>
      <w:r w:rsidR="00873BB6">
        <w:rPr>
          <w:sz w:val="24"/>
          <w:szCs w:val="24"/>
        </w:rPr>
        <w:t>eventuel</w:t>
      </w:r>
      <w:r w:rsidRPr="00EE5719">
        <w:rPr>
          <w:sz w:val="24"/>
          <w:szCs w:val="24"/>
        </w:rPr>
        <w:t xml:space="preserve"> udkrystallisering. Hvis udkrystallisering forekommer, kan </w:t>
      </w:r>
      <w:r w:rsidR="00873BB6">
        <w:rPr>
          <w:sz w:val="24"/>
          <w:szCs w:val="24"/>
        </w:rPr>
        <w:t>den</w:t>
      </w:r>
      <w:r w:rsidRPr="00EE5719">
        <w:rPr>
          <w:sz w:val="24"/>
          <w:szCs w:val="24"/>
        </w:rPr>
        <w:t xml:space="preserve"> genopløses ved at opvarme hætteglasset til stuetemperatur under omrystning. Efter rekonstituering er Carmustin </w:t>
      </w:r>
      <w:r w:rsidR="00873BB6">
        <w:rPr>
          <w:sz w:val="24"/>
          <w:szCs w:val="24"/>
        </w:rPr>
        <w:t>"</w:t>
      </w:r>
      <w:r w:rsidRPr="00EE5719">
        <w:rPr>
          <w:sz w:val="24"/>
          <w:szCs w:val="24"/>
        </w:rPr>
        <w:t>Waymade</w:t>
      </w:r>
      <w:r w:rsidR="00873BB6">
        <w:rPr>
          <w:sz w:val="24"/>
          <w:szCs w:val="24"/>
        </w:rPr>
        <w:t>"</w:t>
      </w:r>
      <w:r w:rsidRPr="00EE5719">
        <w:rPr>
          <w:sz w:val="24"/>
          <w:szCs w:val="24"/>
        </w:rPr>
        <w:t xml:space="preserve"> stabil i 24 timer ved nedkøling (2</w:t>
      </w:r>
      <w:r w:rsidR="00280702">
        <w:rPr>
          <w:sz w:val="24"/>
          <w:szCs w:val="24"/>
        </w:rPr>
        <w:t xml:space="preserve"> </w:t>
      </w:r>
      <w:r w:rsidRPr="00EE5719">
        <w:rPr>
          <w:sz w:val="24"/>
          <w:szCs w:val="24"/>
        </w:rPr>
        <w:t>°C-8 °C), opbevaret i glasbeholder og beskyttet mod lys.</w:t>
      </w:r>
    </w:p>
    <w:p w:rsidR="00EE5719" w:rsidRPr="00EE5719" w:rsidRDefault="00EE5719" w:rsidP="00EE5719">
      <w:pPr>
        <w:tabs>
          <w:tab w:val="left" w:pos="851"/>
        </w:tabs>
        <w:ind w:left="851"/>
        <w:rPr>
          <w:sz w:val="24"/>
          <w:szCs w:val="24"/>
        </w:rPr>
      </w:pPr>
    </w:p>
    <w:p w:rsidR="00EE5719" w:rsidRPr="00EE5719" w:rsidRDefault="00EE5719" w:rsidP="00EE5719">
      <w:pPr>
        <w:tabs>
          <w:tab w:val="left" w:pos="851"/>
        </w:tabs>
        <w:ind w:left="851"/>
        <w:rPr>
          <w:sz w:val="24"/>
          <w:szCs w:val="24"/>
        </w:rPr>
      </w:pPr>
      <w:r w:rsidRPr="00EE5719">
        <w:rPr>
          <w:sz w:val="24"/>
          <w:szCs w:val="24"/>
        </w:rPr>
        <w:t>Den rekonstituerede blanding skal yderligere fortyndes med 500 ml natriumchlorid 9 mg/ml (0,9 %) injektionsvæske, opløsning</w:t>
      </w:r>
      <w:r w:rsidR="00FD09F1">
        <w:rPr>
          <w:sz w:val="24"/>
          <w:szCs w:val="24"/>
        </w:rPr>
        <w:t>,</w:t>
      </w:r>
      <w:r w:rsidRPr="00EE5719">
        <w:rPr>
          <w:sz w:val="24"/>
          <w:szCs w:val="24"/>
        </w:rPr>
        <w:t xml:space="preserve"> eller 500 ml glucose 50 mg/ml (5</w:t>
      </w:r>
      <w:r w:rsidR="00684B52">
        <w:rPr>
          <w:sz w:val="24"/>
          <w:szCs w:val="24"/>
        </w:rPr>
        <w:t xml:space="preserve"> </w:t>
      </w:r>
      <w:r w:rsidRPr="00EE5719">
        <w:rPr>
          <w:sz w:val="24"/>
          <w:szCs w:val="24"/>
        </w:rPr>
        <w:t>%) injektionsvæske, opløsning. Den rekonstituerede og fortyndede opløsning (dvs. den infusionsklare opløsning) bør blandes i mindst 10 sekunder</w:t>
      </w:r>
      <w:r w:rsidR="00684B52">
        <w:rPr>
          <w:sz w:val="24"/>
          <w:szCs w:val="24"/>
        </w:rPr>
        <w:t>,</w:t>
      </w:r>
      <w:r w:rsidRPr="00EE5719">
        <w:rPr>
          <w:sz w:val="24"/>
          <w:szCs w:val="24"/>
        </w:rPr>
        <w:t xml:space="preserve"> før den administreres.  Den infusionsklare opløsning bør opbevares beskyttet mod lys ved stuetemperatur i en glas- eller polypropylenbeholder og skal anvendes inden for 4 timer. Disse opløsninger er også stabile i 24 timer ved nedkøling (2 °C-8 °C) og yderligere 6 timer ved stuetemperatur </w:t>
      </w:r>
      <w:r w:rsidR="00ED716B">
        <w:rPr>
          <w:sz w:val="24"/>
          <w:szCs w:val="24"/>
        </w:rPr>
        <w:t xml:space="preserve">og </w:t>
      </w:r>
      <w:r w:rsidRPr="00EE5719">
        <w:rPr>
          <w:sz w:val="24"/>
          <w:szCs w:val="24"/>
        </w:rPr>
        <w:t>beskyttet mod lys.</w:t>
      </w:r>
    </w:p>
    <w:p w:rsidR="00EE5719" w:rsidRPr="00EE5719" w:rsidRDefault="00EE5719" w:rsidP="00EE5719">
      <w:pPr>
        <w:tabs>
          <w:tab w:val="left" w:pos="851"/>
        </w:tabs>
        <w:ind w:left="851"/>
        <w:rPr>
          <w:sz w:val="24"/>
          <w:szCs w:val="24"/>
        </w:rPr>
      </w:pPr>
    </w:p>
    <w:p w:rsidR="00EE5719" w:rsidRPr="00EE5719" w:rsidRDefault="00EE5719" w:rsidP="00EE5719">
      <w:pPr>
        <w:tabs>
          <w:tab w:val="left" w:pos="851"/>
        </w:tabs>
        <w:ind w:left="851"/>
        <w:rPr>
          <w:sz w:val="24"/>
          <w:szCs w:val="24"/>
        </w:rPr>
      </w:pPr>
      <w:r w:rsidRPr="00EE5719">
        <w:rPr>
          <w:sz w:val="24"/>
          <w:szCs w:val="24"/>
        </w:rPr>
        <w:t>Den rekonstituerede og fortyndede opløsning (dvs. den infusionsklare opløsning) skal administreres intravenøst via drop over et 1-2-timers tids- og administrationsforløb. Infusionen skal administreres via et PVC-frit PE-infusionssæt eller beholdere. Under administration af lægemidlet må beholderen kun være af passende glas eller polypropylen. Det skal sikres, at den anvendte polypropylenbeholder er PVC- og DEHP-fri. Carmustin har et lavt smeltepunkt (30,5 °C</w:t>
      </w:r>
      <w:r w:rsidR="00E466A6">
        <w:rPr>
          <w:sz w:val="24"/>
          <w:szCs w:val="24"/>
        </w:rPr>
        <w:t>-</w:t>
      </w:r>
      <w:r w:rsidRPr="00EE5719">
        <w:rPr>
          <w:sz w:val="24"/>
          <w:szCs w:val="24"/>
        </w:rPr>
        <w:t>32,0 °C). Udsættes dette lægemiddel for disse temperaturer eller højere, vil det flyde ud og fremstå som en olieagtig film i hætteglassene. Dette er tegn på nedbrydning, og hætteglassene skal da kasseres.</w:t>
      </w:r>
    </w:p>
    <w:p w:rsidR="00EE5719" w:rsidRPr="00EE5719" w:rsidRDefault="00EE5719" w:rsidP="00EE5719">
      <w:pPr>
        <w:tabs>
          <w:tab w:val="left" w:pos="851"/>
        </w:tabs>
        <w:ind w:left="851"/>
        <w:rPr>
          <w:sz w:val="24"/>
          <w:szCs w:val="24"/>
        </w:rPr>
      </w:pPr>
    </w:p>
    <w:p w:rsidR="00EE5719" w:rsidRPr="00EE5719" w:rsidRDefault="00EE5719" w:rsidP="00EE5719">
      <w:pPr>
        <w:tabs>
          <w:tab w:val="left" w:pos="851"/>
        </w:tabs>
        <w:ind w:left="851"/>
        <w:rPr>
          <w:sz w:val="24"/>
          <w:szCs w:val="24"/>
        </w:rPr>
      </w:pPr>
      <w:r w:rsidRPr="00EE5719">
        <w:rPr>
          <w:sz w:val="24"/>
          <w:szCs w:val="24"/>
        </w:rPr>
        <w:t xml:space="preserve">Foretages infusionen af Carmustin </w:t>
      </w:r>
      <w:r w:rsidR="00E466A6">
        <w:rPr>
          <w:sz w:val="24"/>
          <w:szCs w:val="24"/>
        </w:rPr>
        <w:t>"</w:t>
      </w:r>
      <w:r w:rsidRPr="00EE5719">
        <w:rPr>
          <w:sz w:val="24"/>
          <w:szCs w:val="24"/>
        </w:rPr>
        <w:t>Waymade</w:t>
      </w:r>
      <w:r w:rsidR="00E466A6">
        <w:rPr>
          <w:sz w:val="24"/>
          <w:szCs w:val="24"/>
        </w:rPr>
        <w:t>"</w:t>
      </w:r>
      <w:r w:rsidRPr="00EE5719">
        <w:rPr>
          <w:sz w:val="24"/>
          <w:szCs w:val="24"/>
        </w:rPr>
        <w:t xml:space="preserve"> over et kortere tidsforløb, kan det forårsage intens smerte og brændende fornemmelse ved injektionsstedet. Injektionsstedet bør overvåges under administrationen (se </w:t>
      </w:r>
      <w:r w:rsidR="00E466A6">
        <w:rPr>
          <w:sz w:val="24"/>
          <w:szCs w:val="24"/>
        </w:rPr>
        <w:t>pkt.</w:t>
      </w:r>
      <w:r w:rsidRPr="00EE5719">
        <w:rPr>
          <w:sz w:val="24"/>
          <w:szCs w:val="24"/>
        </w:rPr>
        <w:t xml:space="preserve"> 4.2).</w:t>
      </w:r>
    </w:p>
    <w:p w:rsidR="00EE5719" w:rsidRPr="00EE5719" w:rsidRDefault="00EE5719" w:rsidP="00EE5719">
      <w:pPr>
        <w:tabs>
          <w:tab w:val="left" w:pos="851"/>
        </w:tabs>
        <w:ind w:left="851"/>
        <w:rPr>
          <w:sz w:val="24"/>
          <w:szCs w:val="24"/>
        </w:rPr>
      </w:pPr>
    </w:p>
    <w:p w:rsidR="00EE5719" w:rsidRPr="00EE5719" w:rsidRDefault="00EE5719" w:rsidP="00EE5719">
      <w:pPr>
        <w:tabs>
          <w:tab w:val="left" w:pos="851"/>
        </w:tabs>
        <w:ind w:left="851"/>
        <w:rPr>
          <w:sz w:val="24"/>
          <w:szCs w:val="24"/>
        </w:rPr>
      </w:pPr>
      <w:r w:rsidRPr="00EE5719">
        <w:rPr>
          <w:sz w:val="24"/>
          <w:szCs w:val="24"/>
        </w:rPr>
        <w:t>Retningslinjer for sikker håndtering og bortskaffelse af antineoplastiske midler skal overholdes.</w:t>
      </w:r>
    </w:p>
    <w:p w:rsidR="00EE5719" w:rsidRPr="00EE5719" w:rsidRDefault="00EE5719" w:rsidP="00EE5719">
      <w:pPr>
        <w:tabs>
          <w:tab w:val="left" w:pos="851"/>
        </w:tabs>
        <w:ind w:left="851"/>
        <w:rPr>
          <w:sz w:val="24"/>
          <w:szCs w:val="24"/>
        </w:rPr>
      </w:pPr>
      <w:r w:rsidRPr="00EE5719">
        <w:rPr>
          <w:sz w:val="24"/>
          <w:szCs w:val="24"/>
        </w:rPr>
        <w:t xml:space="preserve"> </w:t>
      </w:r>
    </w:p>
    <w:p w:rsidR="00085899" w:rsidRDefault="00EE5719" w:rsidP="00EE5719">
      <w:pPr>
        <w:tabs>
          <w:tab w:val="left" w:pos="851"/>
        </w:tabs>
        <w:ind w:left="851"/>
        <w:rPr>
          <w:sz w:val="24"/>
          <w:szCs w:val="24"/>
        </w:rPr>
      </w:pPr>
      <w:r w:rsidRPr="00EE5719">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A7186" w:rsidRPr="00BA7186" w:rsidRDefault="00BA7186" w:rsidP="00BA7186">
      <w:pPr>
        <w:tabs>
          <w:tab w:val="left" w:pos="851"/>
        </w:tabs>
        <w:ind w:left="851"/>
        <w:rPr>
          <w:sz w:val="24"/>
          <w:szCs w:val="24"/>
        </w:rPr>
      </w:pPr>
      <w:r w:rsidRPr="00BA7186">
        <w:rPr>
          <w:sz w:val="24"/>
          <w:szCs w:val="24"/>
        </w:rPr>
        <w:t>Waymade B.V.</w:t>
      </w:r>
    </w:p>
    <w:p w:rsidR="00BA7186" w:rsidRPr="00BA7186" w:rsidRDefault="00BA7186" w:rsidP="00BA7186">
      <w:pPr>
        <w:tabs>
          <w:tab w:val="left" w:pos="851"/>
        </w:tabs>
        <w:ind w:left="851"/>
        <w:rPr>
          <w:sz w:val="24"/>
          <w:szCs w:val="24"/>
        </w:rPr>
      </w:pPr>
      <w:bookmarkStart w:id="4" w:name="_Hlk64576577"/>
      <w:r w:rsidRPr="00BA7186">
        <w:rPr>
          <w:sz w:val="24"/>
          <w:szCs w:val="24"/>
        </w:rPr>
        <w:t>Herikerbergweg 88</w:t>
      </w:r>
    </w:p>
    <w:p w:rsidR="00BA7186" w:rsidRPr="00BA7186" w:rsidRDefault="00BA7186" w:rsidP="00BA7186">
      <w:pPr>
        <w:tabs>
          <w:tab w:val="left" w:pos="851"/>
        </w:tabs>
        <w:ind w:left="851"/>
        <w:rPr>
          <w:sz w:val="24"/>
          <w:szCs w:val="24"/>
        </w:rPr>
      </w:pPr>
      <w:r w:rsidRPr="00BA7186">
        <w:rPr>
          <w:sz w:val="24"/>
          <w:szCs w:val="24"/>
        </w:rPr>
        <w:t>1101CM Amsterdam</w:t>
      </w:r>
    </w:p>
    <w:bookmarkEnd w:id="4"/>
    <w:p w:rsidR="00BA7186" w:rsidRPr="00BA7186" w:rsidRDefault="00BA7186" w:rsidP="00BA7186">
      <w:pPr>
        <w:tabs>
          <w:tab w:val="left" w:pos="851"/>
        </w:tabs>
        <w:ind w:left="851"/>
        <w:rPr>
          <w:sz w:val="24"/>
          <w:szCs w:val="24"/>
        </w:rPr>
      </w:pPr>
      <w:r w:rsidRPr="00BA7186">
        <w:rPr>
          <w:sz w:val="24"/>
          <w:szCs w:val="24"/>
        </w:rPr>
        <w:t>Holland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BA7186" w:rsidP="009260DE">
      <w:pPr>
        <w:tabs>
          <w:tab w:val="left" w:pos="851"/>
        </w:tabs>
        <w:ind w:left="851"/>
        <w:rPr>
          <w:sz w:val="24"/>
          <w:szCs w:val="24"/>
        </w:rPr>
      </w:pPr>
      <w:r>
        <w:rPr>
          <w:sz w:val="24"/>
          <w:szCs w:val="24"/>
        </w:rPr>
        <w:t>64913</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BA7186" w:rsidP="009260DE">
      <w:pPr>
        <w:tabs>
          <w:tab w:val="left" w:pos="851"/>
        </w:tabs>
        <w:ind w:left="851"/>
        <w:rPr>
          <w:sz w:val="24"/>
          <w:szCs w:val="24"/>
        </w:rPr>
      </w:pPr>
      <w:r>
        <w:rPr>
          <w:sz w:val="24"/>
          <w:szCs w:val="24"/>
        </w:rPr>
        <w:t>9. november 2021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FB5114" w:rsidP="009260DE">
      <w:pPr>
        <w:tabs>
          <w:tab w:val="left" w:pos="851"/>
        </w:tabs>
        <w:ind w:left="851"/>
        <w:rPr>
          <w:sz w:val="24"/>
          <w:szCs w:val="24"/>
        </w:rPr>
      </w:pPr>
      <w:r>
        <w:rPr>
          <w:sz w:val="24"/>
          <w:szCs w:val="24"/>
        </w:rPr>
        <w:t>3. marts 2022</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719" w:rsidRDefault="00EE5719">
      <w:r>
        <w:separator/>
      </w:r>
    </w:p>
  </w:endnote>
  <w:endnote w:type="continuationSeparator" w:id="0">
    <w:p w:rsidR="00EE5719" w:rsidRDefault="00EE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719" w:rsidRDefault="00EE5719">
    <w:pPr>
      <w:pStyle w:val="Sidefod"/>
      <w:pBdr>
        <w:bottom w:val="single" w:sz="6" w:space="1" w:color="auto"/>
      </w:pBdr>
    </w:pPr>
  </w:p>
  <w:p w:rsidR="00EE5719" w:rsidRDefault="00EE5719" w:rsidP="00C42586">
    <w:pPr>
      <w:pStyle w:val="Sidefod"/>
      <w:tabs>
        <w:tab w:val="clear" w:pos="4819"/>
        <w:tab w:val="left" w:pos="8505"/>
      </w:tabs>
      <w:rPr>
        <w:i/>
        <w:sz w:val="18"/>
        <w:szCs w:val="18"/>
      </w:rPr>
    </w:pPr>
  </w:p>
  <w:p w:rsidR="00EE5719" w:rsidRPr="00B373D7" w:rsidRDefault="00EE571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Carmustin "Waymade", pulver og solvens til koncentrat til infusionsvæske, opløsning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719" w:rsidRDefault="00EE5719">
      <w:r>
        <w:separator/>
      </w:r>
    </w:p>
  </w:footnote>
  <w:footnote w:type="continuationSeparator" w:id="0">
    <w:p w:rsidR="00EE5719" w:rsidRDefault="00EE5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B3A1174"/>
    <w:multiLevelType w:val="hybridMultilevel"/>
    <w:tmpl w:val="8946B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6365186"/>
    <w:multiLevelType w:val="hybridMultilevel"/>
    <w:tmpl w:val="6F4AC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FA63EB1"/>
    <w:multiLevelType w:val="hybridMultilevel"/>
    <w:tmpl w:val="A9E2F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92"/>
    <w:rsid w:val="00000F2E"/>
    <w:rsid w:val="000259B9"/>
    <w:rsid w:val="00032A1A"/>
    <w:rsid w:val="00041491"/>
    <w:rsid w:val="00041AB5"/>
    <w:rsid w:val="000472B8"/>
    <w:rsid w:val="00050D16"/>
    <w:rsid w:val="000730CA"/>
    <w:rsid w:val="00074F2A"/>
    <w:rsid w:val="00085899"/>
    <w:rsid w:val="00091E8D"/>
    <w:rsid w:val="000A0A07"/>
    <w:rsid w:val="000A1CA8"/>
    <w:rsid w:val="000A466B"/>
    <w:rsid w:val="000B058C"/>
    <w:rsid w:val="000E0C10"/>
    <w:rsid w:val="000E4EE6"/>
    <w:rsid w:val="000F7C03"/>
    <w:rsid w:val="001035C6"/>
    <w:rsid w:val="00104CA4"/>
    <w:rsid w:val="001454E2"/>
    <w:rsid w:val="0015622D"/>
    <w:rsid w:val="001874DB"/>
    <w:rsid w:val="00190CA3"/>
    <w:rsid w:val="001A44A0"/>
    <w:rsid w:val="001E6886"/>
    <w:rsid w:val="00206CE8"/>
    <w:rsid w:val="0021526C"/>
    <w:rsid w:val="00221E2C"/>
    <w:rsid w:val="00246F91"/>
    <w:rsid w:val="00280702"/>
    <w:rsid w:val="00283A2B"/>
    <w:rsid w:val="002A2474"/>
    <w:rsid w:val="002B30AD"/>
    <w:rsid w:val="002C2C01"/>
    <w:rsid w:val="002D1A76"/>
    <w:rsid w:val="003029B2"/>
    <w:rsid w:val="003259EE"/>
    <w:rsid w:val="00336D50"/>
    <w:rsid w:val="00382333"/>
    <w:rsid w:val="003A29AE"/>
    <w:rsid w:val="003A32D7"/>
    <w:rsid w:val="003B4074"/>
    <w:rsid w:val="003C0C92"/>
    <w:rsid w:val="003C769A"/>
    <w:rsid w:val="003F1838"/>
    <w:rsid w:val="003F6821"/>
    <w:rsid w:val="0040343E"/>
    <w:rsid w:val="00406A2E"/>
    <w:rsid w:val="004347CD"/>
    <w:rsid w:val="0045746C"/>
    <w:rsid w:val="004668D0"/>
    <w:rsid w:val="00480BF9"/>
    <w:rsid w:val="00490810"/>
    <w:rsid w:val="0049104B"/>
    <w:rsid w:val="004B2AB2"/>
    <w:rsid w:val="004B6584"/>
    <w:rsid w:val="004C2D8C"/>
    <w:rsid w:val="004E3B12"/>
    <w:rsid w:val="004F67CE"/>
    <w:rsid w:val="005272CA"/>
    <w:rsid w:val="00532310"/>
    <w:rsid w:val="00565F0F"/>
    <w:rsid w:val="00583B2E"/>
    <w:rsid w:val="00594A86"/>
    <w:rsid w:val="00596D86"/>
    <w:rsid w:val="005E2793"/>
    <w:rsid w:val="00637F5A"/>
    <w:rsid w:val="00642658"/>
    <w:rsid w:val="00643069"/>
    <w:rsid w:val="0065526F"/>
    <w:rsid w:val="006560B1"/>
    <w:rsid w:val="006756DD"/>
    <w:rsid w:val="006776AB"/>
    <w:rsid w:val="00684B52"/>
    <w:rsid w:val="00686BAB"/>
    <w:rsid w:val="00687638"/>
    <w:rsid w:val="006C3D51"/>
    <w:rsid w:val="006F0476"/>
    <w:rsid w:val="006F2B59"/>
    <w:rsid w:val="00712CEC"/>
    <w:rsid w:val="00737275"/>
    <w:rsid w:val="00740EEC"/>
    <w:rsid w:val="0077141D"/>
    <w:rsid w:val="0078011A"/>
    <w:rsid w:val="007814BA"/>
    <w:rsid w:val="00781F4C"/>
    <w:rsid w:val="00782AF4"/>
    <w:rsid w:val="00790EE7"/>
    <w:rsid w:val="007A02EC"/>
    <w:rsid w:val="007B6649"/>
    <w:rsid w:val="007D4763"/>
    <w:rsid w:val="007E6ECD"/>
    <w:rsid w:val="007F0868"/>
    <w:rsid w:val="007F6294"/>
    <w:rsid w:val="00814FE3"/>
    <w:rsid w:val="0082576E"/>
    <w:rsid w:val="00873BB6"/>
    <w:rsid w:val="008A3CCE"/>
    <w:rsid w:val="008B27F8"/>
    <w:rsid w:val="008B7311"/>
    <w:rsid w:val="00904E18"/>
    <w:rsid w:val="00907F75"/>
    <w:rsid w:val="009260DE"/>
    <w:rsid w:val="0093258A"/>
    <w:rsid w:val="00933534"/>
    <w:rsid w:val="009460B1"/>
    <w:rsid w:val="00962083"/>
    <w:rsid w:val="00970872"/>
    <w:rsid w:val="009961EA"/>
    <w:rsid w:val="009C7BA3"/>
    <w:rsid w:val="009D1E89"/>
    <w:rsid w:val="009D1F5A"/>
    <w:rsid w:val="00A10294"/>
    <w:rsid w:val="00A402E9"/>
    <w:rsid w:val="00AB75E7"/>
    <w:rsid w:val="00AE4A28"/>
    <w:rsid w:val="00B003BF"/>
    <w:rsid w:val="00B373D7"/>
    <w:rsid w:val="00B86AF8"/>
    <w:rsid w:val="00BA7186"/>
    <w:rsid w:val="00BC0C73"/>
    <w:rsid w:val="00BE0F23"/>
    <w:rsid w:val="00C1236B"/>
    <w:rsid w:val="00C3230F"/>
    <w:rsid w:val="00C36276"/>
    <w:rsid w:val="00C42586"/>
    <w:rsid w:val="00C60CCD"/>
    <w:rsid w:val="00C84483"/>
    <w:rsid w:val="00C95551"/>
    <w:rsid w:val="00CB20D7"/>
    <w:rsid w:val="00CF1283"/>
    <w:rsid w:val="00D020B0"/>
    <w:rsid w:val="00D11748"/>
    <w:rsid w:val="00D316B5"/>
    <w:rsid w:val="00D366CF"/>
    <w:rsid w:val="00D42B76"/>
    <w:rsid w:val="00D8044C"/>
    <w:rsid w:val="00D9023E"/>
    <w:rsid w:val="00DD42E7"/>
    <w:rsid w:val="00DF55CA"/>
    <w:rsid w:val="00E00514"/>
    <w:rsid w:val="00E108AA"/>
    <w:rsid w:val="00E12F6F"/>
    <w:rsid w:val="00E21746"/>
    <w:rsid w:val="00E253EC"/>
    <w:rsid w:val="00E3749A"/>
    <w:rsid w:val="00E466A6"/>
    <w:rsid w:val="00E71515"/>
    <w:rsid w:val="00E71FB4"/>
    <w:rsid w:val="00E7437F"/>
    <w:rsid w:val="00E865B8"/>
    <w:rsid w:val="00E971F8"/>
    <w:rsid w:val="00EA397B"/>
    <w:rsid w:val="00EC0B9B"/>
    <w:rsid w:val="00ED5E9F"/>
    <w:rsid w:val="00ED716B"/>
    <w:rsid w:val="00EE1373"/>
    <w:rsid w:val="00EE5719"/>
    <w:rsid w:val="00F3048A"/>
    <w:rsid w:val="00F4182B"/>
    <w:rsid w:val="00F424BA"/>
    <w:rsid w:val="00F6188F"/>
    <w:rsid w:val="00F66D4F"/>
    <w:rsid w:val="00F817ED"/>
    <w:rsid w:val="00F972E9"/>
    <w:rsid w:val="00FB5114"/>
    <w:rsid w:val="00FB6D01"/>
    <w:rsid w:val="00FC5509"/>
    <w:rsid w:val="00FD09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11B78"/>
  <w15:chartTrackingRefBased/>
  <w15:docId w15:val="{B6F4564F-8529-4146-9D0A-7137F171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AE4A28"/>
    <w:pPr>
      <w:widowControl w:val="0"/>
      <w:autoSpaceDE w:val="0"/>
      <w:autoSpaceDN w:val="0"/>
    </w:pPr>
    <w:rPr>
      <w:sz w:val="22"/>
      <w:szCs w:val="22"/>
      <w:lang w:val="en-US" w:eastAsia="en-US"/>
    </w:rPr>
  </w:style>
  <w:style w:type="character" w:styleId="Hyperlink">
    <w:name w:val="Hyperlink"/>
    <w:basedOn w:val="Standardskrifttypeiafsnit"/>
    <w:uiPriority w:val="99"/>
    <w:semiHidden/>
    <w:unhideWhenUsed/>
    <w:rsid w:val="00AE4A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2516">
      <w:bodyDiv w:val="1"/>
      <w:marLeft w:val="0"/>
      <w:marRight w:val="0"/>
      <w:marTop w:val="0"/>
      <w:marBottom w:val="0"/>
      <w:divBdr>
        <w:top w:val="none" w:sz="0" w:space="0" w:color="auto"/>
        <w:left w:val="none" w:sz="0" w:space="0" w:color="auto"/>
        <w:bottom w:val="none" w:sz="0" w:space="0" w:color="auto"/>
        <w:right w:val="none" w:sz="0" w:space="0" w:color="auto"/>
      </w:divBdr>
    </w:div>
    <w:div w:id="89081117">
      <w:bodyDiv w:val="1"/>
      <w:marLeft w:val="0"/>
      <w:marRight w:val="0"/>
      <w:marTop w:val="0"/>
      <w:marBottom w:val="0"/>
      <w:divBdr>
        <w:top w:val="none" w:sz="0" w:space="0" w:color="auto"/>
        <w:left w:val="none" w:sz="0" w:space="0" w:color="auto"/>
        <w:bottom w:val="none" w:sz="0" w:space="0" w:color="auto"/>
        <w:right w:val="none" w:sz="0" w:space="0" w:color="auto"/>
      </w:divBdr>
    </w:div>
    <w:div w:id="14505589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2354036">
      <w:bodyDiv w:val="1"/>
      <w:marLeft w:val="0"/>
      <w:marRight w:val="0"/>
      <w:marTop w:val="0"/>
      <w:marBottom w:val="0"/>
      <w:divBdr>
        <w:top w:val="none" w:sz="0" w:space="0" w:color="auto"/>
        <w:left w:val="none" w:sz="0" w:space="0" w:color="auto"/>
        <w:bottom w:val="none" w:sz="0" w:space="0" w:color="auto"/>
        <w:right w:val="none" w:sz="0" w:space="0" w:color="auto"/>
      </w:divBdr>
    </w:div>
    <w:div w:id="240602205">
      <w:bodyDiv w:val="1"/>
      <w:marLeft w:val="0"/>
      <w:marRight w:val="0"/>
      <w:marTop w:val="0"/>
      <w:marBottom w:val="0"/>
      <w:divBdr>
        <w:top w:val="none" w:sz="0" w:space="0" w:color="auto"/>
        <w:left w:val="none" w:sz="0" w:space="0" w:color="auto"/>
        <w:bottom w:val="none" w:sz="0" w:space="0" w:color="auto"/>
        <w:right w:val="none" w:sz="0" w:space="0" w:color="auto"/>
      </w:divBdr>
    </w:div>
    <w:div w:id="259870699">
      <w:bodyDiv w:val="1"/>
      <w:marLeft w:val="0"/>
      <w:marRight w:val="0"/>
      <w:marTop w:val="0"/>
      <w:marBottom w:val="0"/>
      <w:divBdr>
        <w:top w:val="none" w:sz="0" w:space="0" w:color="auto"/>
        <w:left w:val="none" w:sz="0" w:space="0" w:color="auto"/>
        <w:bottom w:val="none" w:sz="0" w:space="0" w:color="auto"/>
        <w:right w:val="none" w:sz="0" w:space="0" w:color="auto"/>
      </w:divBdr>
    </w:div>
    <w:div w:id="287859744">
      <w:bodyDiv w:val="1"/>
      <w:marLeft w:val="0"/>
      <w:marRight w:val="0"/>
      <w:marTop w:val="0"/>
      <w:marBottom w:val="0"/>
      <w:divBdr>
        <w:top w:val="none" w:sz="0" w:space="0" w:color="auto"/>
        <w:left w:val="none" w:sz="0" w:space="0" w:color="auto"/>
        <w:bottom w:val="none" w:sz="0" w:space="0" w:color="auto"/>
        <w:right w:val="none" w:sz="0" w:space="0" w:color="auto"/>
      </w:divBdr>
    </w:div>
    <w:div w:id="339429987">
      <w:bodyDiv w:val="1"/>
      <w:marLeft w:val="0"/>
      <w:marRight w:val="0"/>
      <w:marTop w:val="0"/>
      <w:marBottom w:val="0"/>
      <w:divBdr>
        <w:top w:val="none" w:sz="0" w:space="0" w:color="auto"/>
        <w:left w:val="none" w:sz="0" w:space="0" w:color="auto"/>
        <w:bottom w:val="none" w:sz="0" w:space="0" w:color="auto"/>
        <w:right w:val="none" w:sz="0" w:space="0" w:color="auto"/>
      </w:divBdr>
    </w:div>
    <w:div w:id="398213027">
      <w:bodyDiv w:val="1"/>
      <w:marLeft w:val="0"/>
      <w:marRight w:val="0"/>
      <w:marTop w:val="0"/>
      <w:marBottom w:val="0"/>
      <w:divBdr>
        <w:top w:val="none" w:sz="0" w:space="0" w:color="auto"/>
        <w:left w:val="none" w:sz="0" w:space="0" w:color="auto"/>
        <w:bottom w:val="none" w:sz="0" w:space="0" w:color="auto"/>
        <w:right w:val="none" w:sz="0" w:space="0" w:color="auto"/>
      </w:divBdr>
    </w:div>
    <w:div w:id="461923319">
      <w:bodyDiv w:val="1"/>
      <w:marLeft w:val="0"/>
      <w:marRight w:val="0"/>
      <w:marTop w:val="0"/>
      <w:marBottom w:val="0"/>
      <w:divBdr>
        <w:top w:val="none" w:sz="0" w:space="0" w:color="auto"/>
        <w:left w:val="none" w:sz="0" w:space="0" w:color="auto"/>
        <w:bottom w:val="none" w:sz="0" w:space="0" w:color="auto"/>
        <w:right w:val="none" w:sz="0" w:space="0" w:color="auto"/>
      </w:divBdr>
    </w:div>
    <w:div w:id="491019971">
      <w:bodyDiv w:val="1"/>
      <w:marLeft w:val="0"/>
      <w:marRight w:val="0"/>
      <w:marTop w:val="0"/>
      <w:marBottom w:val="0"/>
      <w:divBdr>
        <w:top w:val="none" w:sz="0" w:space="0" w:color="auto"/>
        <w:left w:val="none" w:sz="0" w:space="0" w:color="auto"/>
        <w:bottom w:val="none" w:sz="0" w:space="0" w:color="auto"/>
        <w:right w:val="none" w:sz="0" w:space="0" w:color="auto"/>
      </w:divBdr>
    </w:div>
    <w:div w:id="517352599">
      <w:bodyDiv w:val="1"/>
      <w:marLeft w:val="0"/>
      <w:marRight w:val="0"/>
      <w:marTop w:val="0"/>
      <w:marBottom w:val="0"/>
      <w:divBdr>
        <w:top w:val="none" w:sz="0" w:space="0" w:color="auto"/>
        <w:left w:val="none" w:sz="0" w:space="0" w:color="auto"/>
        <w:bottom w:val="none" w:sz="0" w:space="0" w:color="auto"/>
        <w:right w:val="none" w:sz="0" w:space="0" w:color="auto"/>
      </w:divBdr>
    </w:div>
    <w:div w:id="535430021">
      <w:bodyDiv w:val="1"/>
      <w:marLeft w:val="0"/>
      <w:marRight w:val="0"/>
      <w:marTop w:val="0"/>
      <w:marBottom w:val="0"/>
      <w:divBdr>
        <w:top w:val="none" w:sz="0" w:space="0" w:color="auto"/>
        <w:left w:val="none" w:sz="0" w:space="0" w:color="auto"/>
        <w:bottom w:val="none" w:sz="0" w:space="0" w:color="auto"/>
        <w:right w:val="none" w:sz="0" w:space="0" w:color="auto"/>
      </w:divBdr>
    </w:div>
    <w:div w:id="618726538">
      <w:bodyDiv w:val="1"/>
      <w:marLeft w:val="0"/>
      <w:marRight w:val="0"/>
      <w:marTop w:val="0"/>
      <w:marBottom w:val="0"/>
      <w:divBdr>
        <w:top w:val="none" w:sz="0" w:space="0" w:color="auto"/>
        <w:left w:val="none" w:sz="0" w:space="0" w:color="auto"/>
        <w:bottom w:val="none" w:sz="0" w:space="0" w:color="auto"/>
        <w:right w:val="none" w:sz="0" w:space="0" w:color="auto"/>
      </w:divBdr>
    </w:div>
    <w:div w:id="633755089">
      <w:bodyDiv w:val="1"/>
      <w:marLeft w:val="0"/>
      <w:marRight w:val="0"/>
      <w:marTop w:val="0"/>
      <w:marBottom w:val="0"/>
      <w:divBdr>
        <w:top w:val="none" w:sz="0" w:space="0" w:color="auto"/>
        <w:left w:val="none" w:sz="0" w:space="0" w:color="auto"/>
        <w:bottom w:val="none" w:sz="0" w:space="0" w:color="auto"/>
        <w:right w:val="none" w:sz="0" w:space="0" w:color="auto"/>
      </w:divBdr>
    </w:div>
    <w:div w:id="691421302">
      <w:bodyDiv w:val="1"/>
      <w:marLeft w:val="0"/>
      <w:marRight w:val="0"/>
      <w:marTop w:val="0"/>
      <w:marBottom w:val="0"/>
      <w:divBdr>
        <w:top w:val="none" w:sz="0" w:space="0" w:color="auto"/>
        <w:left w:val="none" w:sz="0" w:space="0" w:color="auto"/>
        <w:bottom w:val="none" w:sz="0" w:space="0" w:color="auto"/>
        <w:right w:val="none" w:sz="0" w:space="0" w:color="auto"/>
      </w:divBdr>
    </w:div>
    <w:div w:id="729380267">
      <w:bodyDiv w:val="1"/>
      <w:marLeft w:val="0"/>
      <w:marRight w:val="0"/>
      <w:marTop w:val="0"/>
      <w:marBottom w:val="0"/>
      <w:divBdr>
        <w:top w:val="none" w:sz="0" w:space="0" w:color="auto"/>
        <w:left w:val="none" w:sz="0" w:space="0" w:color="auto"/>
        <w:bottom w:val="none" w:sz="0" w:space="0" w:color="auto"/>
        <w:right w:val="none" w:sz="0" w:space="0" w:color="auto"/>
      </w:divBdr>
    </w:div>
    <w:div w:id="787705770">
      <w:bodyDiv w:val="1"/>
      <w:marLeft w:val="0"/>
      <w:marRight w:val="0"/>
      <w:marTop w:val="0"/>
      <w:marBottom w:val="0"/>
      <w:divBdr>
        <w:top w:val="none" w:sz="0" w:space="0" w:color="auto"/>
        <w:left w:val="none" w:sz="0" w:space="0" w:color="auto"/>
        <w:bottom w:val="none" w:sz="0" w:space="0" w:color="auto"/>
        <w:right w:val="none" w:sz="0" w:space="0" w:color="auto"/>
      </w:divBdr>
    </w:div>
    <w:div w:id="806703741">
      <w:bodyDiv w:val="1"/>
      <w:marLeft w:val="0"/>
      <w:marRight w:val="0"/>
      <w:marTop w:val="0"/>
      <w:marBottom w:val="0"/>
      <w:divBdr>
        <w:top w:val="none" w:sz="0" w:space="0" w:color="auto"/>
        <w:left w:val="none" w:sz="0" w:space="0" w:color="auto"/>
        <w:bottom w:val="none" w:sz="0" w:space="0" w:color="auto"/>
        <w:right w:val="none" w:sz="0" w:space="0" w:color="auto"/>
      </w:divBdr>
    </w:div>
    <w:div w:id="883828036">
      <w:bodyDiv w:val="1"/>
      <w:marLeft w:val="0"/>
      <w:marRight w:val="0"/>
      <w:marTop w:val="0"/>
      <w:marBottom w:val="0"/>
      <w:divBdr>
        <w:top w:val="none" w:sz="0" w:space="0" w:color="auto"/>
        <w:left w:val="none" w:sz="0" w:space="0" w:color="auto"/>
        <w:bottom w:val="none" w:sz="0" w:space="0" w:color="auto"/>
        <w:right w:val="none" w:sz="0" w:space="0" w:color="auto"/>
      </w:divBdr>
    </w:div>
    <w:div w:id="1025398894">
      <w:bodyDiv w:val="1"/>
      <w:marLeft w:val="0"/>
      <w:marRight w:val="0"/>
      <w:marTop w:val="0"/>
      <w:marBottom w:val="0"/>
      <w:divBdr>
        <w:top w:val="none" w:sz="0" w:space="0" w:color="auto"/>
        <w:left w:val="none" w:sz="0" w:space="0" w:color="auto"/>
        <w:bottom w:val="none" w:sz="0" w:space="0" w:color="auto"/>
        <w:right w:val="none" w:sz="0" w:space="0" w:color="auto"/>
      </w:divBdr>
    </w:div>
    <w:div w:id="1043211541">
      <w:bodyDiv w:val="1"/>
      <w:marLeft w:val="0"/>
      <w:marRight w:val="0"/>
      <w:marTop w:val="0"/>
      <w:marBottom w:val="0"/>
      <w:divBdr>
        <w:top w:val="none" w:sz="0" w:space="0" w:color="auto"/>
        <w:left w:val="none" w:sz="0" w:space="0" w:color="auto"/>
        <w:bottom w:val="none" w:sz="0" w:space="0" w:color="auto"/>
        <w:right w:val="none" w:sz="0" w:space="0" w:color="auto"/>
      </w:divBdr>
    </w:div>
    <w:div w:id="1128015052">
      <w:bodyDiv w:val="1"/>
      <w:marLeft w:val="0"/>
      <w:marRight w:val="0"/>
      <w:marTop w:val="0"/>
      <w:marBottom w:val="0"/>
      <w:divBdr>
        <w:top w:val="none" w:sz="0" w:space="0" w:color="auto"/>
        <w:left w:val="none" w:sz="0" w:space="0" w:color="auto"/>
        <w:bottom w:val="none" w:sz="0" w:space="0" w:color="auto"/>
        <w:right w:val="none" w:sz="0" w:space="0" w:color="auto"/>
      </w:divBdr>
    </w:div>
    <w:div w:id="1133670220">
      <w:bodyDiv w:val="1"/>
      <w:marLeft w:val="0"/>
      <w:marRight w:val="0"/>
      <w:marTop w:val="0"/>
      <w:marBottom w:val="0"/>
      <w:divBdr>
        <w:top w:val="none" w:sz="0" w:space="0" w:color="auto"/>
        <w:left w:val="none" w:sz="0" w:space="0" w:color="auto"/>
        <w:bottom w:val="none" w:sz="0" w:space="0" w:color="auto"/>
        <w:right w:val="none" w:sz="0" w:space="0" w:color="auto"/>
      </w:divBdr>
    </w:div>
    <w:div w:id="1167091803">
      <w:bodyDiv w:val="1"/>
      <w:marLeft w:val="0"/>
      <w:marRight w:val="0"/>
      <w:marTop w:val="0"/>
      <w:marBottom w:val="0"/>
      <w:divBdr>
        <w:top w:val="none" w:sz="0" w:space="0" w:color="auto"/>
        <w:left w:val="none" w:sz="0" w:space="0" w:color="auto"/>
        <w:bottom w:val="none" w:sz="0" w:space="0" w:color="auto"/>
        <w:right w:val="none" w:sz="0" w:space="0" w:color="auto"/>
      </w:divBdr>
    </w:div>
    <w:div w:id="1198816978">
      <w:bodyDiv w:val="1"/>
      <w:marLeft w:val="0"/>
      <w:marRight w:val="0"/>
      <w:marTop w:val="0"/>
      <w:marBottom w:val="0"/>
      <w:divBdr>
        <w:top w:val="none" w:sz="0" w:space="0" w:color="auto"/>
        <w:left w:val="none" w:sz="0" w:space="0" w:color="auto"/>
        <w:bottom w:val="none" w:sz="0" w:space="0" w:color="auto"/>
        <w:right w:val="none" w:sz="0" w:space="0" w:color="auto"/>
      </w:divBdr>
    </w:div>
    <w:div w:id="1230964654">
      <w:bodyDiv w:val="1"/>
      <w:marLeft w:val="0"/>
      <w:marRight w:val="0"/>
      <w:marTop w:val="0"/>
      <w:marBottom w:val="0"/>
      <w:divBdr>
        <w:top w:val="none" w:sz="0" w:space="0" w:color="auto"/>
        <w:left w:val="none" w:sz="0" w:space="0" w:color="auto"/>
        <w:bottom w:val="none" w:sz="0" w:space="0" w:color="auto"/>
        <w:right w:val="none" w:sz="0" w:space="0" w:color="auto"/>
      </w:divBdr>
    </w:div>
    <w:div w:id="1263799604">
      <w:bodyDiv w:val="1"/>
      <w:marLeft w:val="0"/>
      <w:marRight w:val="0"/>
      <w:marTop w:val="0"/>
      <w:marBottom w:val="0"/>
      <w:divBdr>
        <w:top w:val="none" w:sz="0" w:space="0" w:color="auto"/>
        <w:left w:val="none" w:sz="0" w:space="0" w:color="auto"/>
        <w:bottom w:val="none" w:sz="0" w:space="0" w:color="auto"/>
        <w:right w:val="none" w:sz="0" w:space="0" w:color="auto"/>
      </w:divBdr>
    </w:div>
    <w:div w:id="1391270127">
      <w:bodyDiv w:val="1"/>
      <w:marLeft w:val="0"/>
      <w:marRight w:val="0"/>
      <w:marTop w:val="0"/>
      <w:marBottom w:val="0"/>
      <w:divBdr>
        <w:top w:val="none" w:sz="0" w:space="0" w:color="auto"/>
        <w:left w:val="none" w:sz="0" w:space="0" w:color="auto"/>
        <w:bottom w:val="none" w:sz="0" w:space="0" w:color="auto"/>
        <w:right w:val="none" w:sz="0" w:space="0" w:color="auto"/>
      </w:divBdr>
    </w:div>
    <w:div w:id="1397388914">
      <w:bodyDiv w:val="1"/>
      <w:marLeft w:val="0"/>
      <w:marRight w:val="0"/>
      <w:marTop w:val="0"/>
      <w:marBottom w:val="0"/>
      <w:divBdr>
        <w:top w:val="none" w:sz="0" w:space="0" w:color="auto"/>
        <w:left w:val="none" w:sz="0" w:space="0" w:color="auto"/>
        <w:bottom w:val="none" w:sz="0" w:space="0" w:color="auto"/>
        <w:right w:val="none" w:sz="0" w:space="0" w:color="auto"/>
      </w:divBdr>
    </w:div>
    <w:div w:id="1420643013">
      <w:bodyDiv w:val="1"/>
      <w:marLeft w:val="0"/>
      <w:marRight w:val="0"/>
      <w:marTop w:val="0"/>
      <w:marBottom w:val="0"/>
      <w:divBdr>
        <w:top w:val="none" w:sz="0" w:space="0" w:color="auto"/>
        <w:left w:val="none" w:sz="0" w:space="0" w:color="auto"/>
        <w:bottom w:val="none" w:sz="0" w:space="0" w:color="auto"/>
        <w:right w:val="none" w:sz="0" w:space="0" w:color="auto"/>
      </w:divBdr>
    </w:div>
    <w:div w:id="1423912919">
      <w:bodyDiv w:val="1"/>
      <w:marLeft w:val="0"/>
      <w:marRight w:val="0"/>
      <w:marTop w:val="0"/>
      <w:marBottom w:val="0"/>
      <w:divBdr>
        <w:top w:val="none" w:sz="0" w:space="0" w:color="auto"/>
        <w:left w:val="none" w:sz="0" w:space="0" w:color="auto"/>
        <w:bottom w:val="none" w:sz="0" w:space="0" w:color="auto"/>
        <w:right w:val="none" w:sz="0" w:space="0" w:color="auto"/>
      </w:divBdr>
    </w:div>
    <w:div w:id="1581986742">
      <w:bodyDiv w:val="1"/>
      <w:marLeft w:val="0"/>
      <w:marRight w:val="0"/>
      <w:marTop w:val="0"/>
      <w:marBottom w:val="0"/>
      <w:divBdr>
        <w:top w:val="none" w:sz="0" w:space="0" w:color="auto"/>
        <w:left w:val="none" w:sz="0" w:space="0" w:color="auto"/>
        <w:bottom w:val="none" w:sz="0" w:space="0" w:color="auto"/>
        <w:right w:val="none" w:sz="0" w:space="0" w:color="auto"/>
      </w:divBdr>
    </w:div>
    <w:div w:id="1667712405">
      <w:bodyDiv w:val="1"/>
      <w:marLeft w:val="0"/>
      <w:marRight w:val="0"/>
      <w:marTop w:val="0"/>
      <w:marBottom w:val="0"/>
      <w:divBdr>
        <w:top w:val="none" w:sz="0" w:space="0" w:color="auto"/>
        <w:left w:val="none" w:sz="0" w:space="0" w:color="auto"/>
        <w:bottom w:val="none" w:sz="0" w:space="0" w:color="auto"/>
        <w:right w:val="none" w:sz="0" w:space="0" w:color="auto"/>
      </w:divBdr>
    </w:div>
    <w:div w:id="1668245973">
      <w:bodyDiv w:val="1"/>
      <w:marLeft w:val="0"/>
      <w:marRight w:val="0"/>
      <w:marTop w:val="0"/>
      <w:marBottom w:val="0"/>
      <w:divBdr>
        <w:top w:val="none" w:sz="0" w:space="0" w:color="auto"/>
        <w:left w:val="none" w:sz="0" w:space="0" w:color="auto"/>
        <w:bottom w:val="none" w:sz="0" w:space="0" w:color="auto"/>
        <w:right w:val="none" w:sz="0" w:space="0" w:color="auto"/>
      </w:divBdr>
    </w:div>
    <w:div w:id="1675641981">
      <w:bodyDiv w:val="1"/>
      <w:marLeft w:val="0"/>
      <w:marRight w:val="0"/>
      <w:marTop w:val="0"/>
      <w:marBottom w:val="0"/>
      <w:divBdr>
        <w:top w:val="none" w:sz="0" w:space="0" w:color="auto"/>
        <w:left w:val="none" w:sz="0" w:space="0" w:color="auto"/>
        <w:bottom w:val="none" w:sz="0" w:space="0" w:color="auto"/>
        <w:right w:val="none" w:sz="0" w:space="0" w:color="auto"/>
      </w:divBdr>
    </w:div>
    <w:div w:id="1727988705">
      <w:bodyDiv w:val="1"/>
      <w:marLeft w:val="0"/>
      <w:marRight w:val="0"/>
      <w:marTop w:val="0"/>
      <w:marBottom w:val="0"/>
      <w:divBdr>
        <w:top w:val="none" w:sz="0" w:space="0" w:color="auto"/>
        <w:left w:val="none" w:sz="0" w:space="0" w:color="auto"/>
        <w:bottom w:val="none" w:sz="0" w:space="0" w:color="auto"/>
        <w:right w:val="none" w:sz="0" w:space="0" w:color="auto"/>
      </w:divBdr>
    </w:div>
    <w:div w:id="1839885264">
      <w:bodyDiv w:val="1"/>
      <w:marLeft w:val="0"/>
      <w:marRight w:val="0"/>
      <w:marTop w:val="0"/>
      <w:marBottom w:val="0"/>
      <w:divBdr>
        <w:top w:val="none" w:sz="0" w:space="0" w:color="auto"/>
        <w:left w:val="none" w:sz="0" w:space="0" w:color="auto"/>
        <w:bottom w:val="none" w:sz="0" w:space="0" w:color="auto"/>
        <w:right w:val="none" w:sz="0" w:space="0" w:color="auto"/>
      </w:divBdr>
    </w:div>
    <w:div w:id="1919169848">
      <w:bodyDiv w:val="1"/>
      <w:marLeft w:val="0"/>
      <w:marRight w:val="0"/>
      <w:marTop w:val="0"/>
      <w:marBottom w:val="0"/>
      <w:divBdr>
        <w:top w:val="none" w:sz="0" w:space="0" w:color="auto"/>
        <w:left w:val="none" w:sz="0" w:space="0" w:color="auto"/>
        <w:bottom w:val="none" w:sz="0" w:space="0" w:color="auto"/>
        <w:right w:val="none" w:sz="0" w:space="0" w:color="auto"/>
      </w:divBdr>
    </w:div>
    <w:div w:id="1926332295">
      <w:bodyDiv w:val="1"/>
      <w:marLeft w:val="0"/>
      <w:marRight w:val="0"/>
      <w:marTop w:val="0"/>
      <w:marBottom w:val="0"/>
      <w:divBdr>
        <w:top w:val="none" w:sz="0" w:space="0" w:color="auto"/>
        <w:left w:val="none" w:sz="0" w:space="0" w:color="auto"/>
        <w:bottom w:val="none" w:sz="0" w:space="0" w:color="auto"/>
        <w:right w:val="none" w:sz="0" w:space="0" w:color="auto"/>
      </w:divBdr>
    </w:div>
    <w:div w:id="1930850057">
      <w:bodyDiv w:val="1"/>
      <w:marLeft w:val="0"/>
      <w:marRight w:val="0"/>
      <w:marTop w:val="0"/>
      <w:marBottom w:val="0"/>
      <w:divBdr>
        <w:top w:val="none" w:sz="0" w:space="0" w:color="auto"/>
        <w:left w:val="none" w:sz="0" w:space="0" w:color="auto"/>
        <w:bottom w:val="none" w:sz="0" w:space="0" w:color="auto"/>
        <w:right w:val="none" w:sz="0" w:space="0" w:color="auto"/>
      </w:divBdr>
    </w:div>
    <w:div w:id="2064863272">
      <w:bodyDiv w:val="1"/>
      <w:marLeft w:val="0"/>
      <w:marRight w:val="0"/>
      <w:marTop w:val="0"/>
      <w:marBottom w:val="0"/>
      <w:divBdr>
        <w:top w:val="none" w:sz="0" w:space="0" w:color="auto"/>
        <w:left w:val="none" w:sz="0" w:space="0" w:color="auto"/>
        <w:bottom w:val="none" w:sz="0" w:space="0" w:color="auto"/>
        <w:right w:val="none" w:sz="0" w:space="0" w:color="auto"/>
      </w:divBdr>
    </w:div>
    <w:div w:id="2081243631">
      <w:bodyDiv w:val="1"/>
      <w:marLeft w:val="0"/>
      <w:marRight w:val="0"/>
      <w:marTop w:val="0"/>
      <w:marBottom w:val="0"/>
      <w:divBdr>
        <w:top w:val="none" w:sz="0" w:space="0" w:color="auto"/>
        <w:left w:val="none" w:sz="0" w:space="0" w:color="auto"/>
        <w:bottom w:val="none" w:sz="0" w:space="0" w:color="auto"/>
        <w:right w:val="none" w:sz="0" w:space="0" w:color="auto"/>
      </w:divBdr>
    </w:div>
    <w:div w:id="21260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151</TotalTime>
  <Pages>13</Pages>
  <Words>3719</Words>
  <Characters>24418</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2021120978 nu ønskes dansk produktinformation</dc:description>
  <cp:lastModifiedBy>Hanne Thy Iversen</cp:lastModifiedBy>
  <cp:revision>34</cp:revision>
  <cp:lastPrinted>2012-08-22T08:53:00Z</cp:lastPrinted>
  <dcterms:created xsi:type="dcterms:W3CDTF">2022-03-02T12:35:00Z</dcterms:created>
  <dcterms:modified xsi:type="dcterms:W3CDTF">2022-03-03T10:25:00Z</dcterms:modified>
</cp:coreProperties>
</file>