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566" w:rsidRPr="00C84483" w:rsidRDefault="00912566" w:rsidP="00912566">
      <w:pPr>
        <w:rPr>
          <w:sz w:val="24"/>
          <w:szCs w:val="24"/>
        </w:rPr>
      </w:pPr>
      <w:r>
        <w:fldChar w:fldCharType="begin"/>
      </w:r>
      <w:r>
        <w:instrText xml:space="preserve"> INCLUDEPICTURE  "cid:image004.jpg@01D117E9.E5553340"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"cid:image004.jpg@01D117E9.E5553340"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"cid:image004.jpg@01D117E9.E5553340"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"cid:image004.jpg@01D117E9.E5553340" \* MERGEFORMATINET </w:instrText>
      </w:r>
      <w:r>
        <w:fldChar w:fldCharType="separate"/>
      </w:r>
      <w:r w:rsidR="003173FB">
        <w:fldChar w:fldCharType="begin"/>
      </w:r>
      <w:r w:rsidR="003173FB">
        <w:instrText xml:space="preserve"> INCLUDEPICTURE  "cid:image004.jpg@01D117E9.E5553340" \* MERGEFORMATINET </w:instrText>
      </w:r>
      <w:r w:rsidR="003173FB">
        <w:fldChar w:fldCharType="separate"/>
      </w:r>
      <w:r w:rsidR="00781C1D">
        <w:fldChar w:fldCharType="begin"/>
      </w:r>
      <w:r w:rsidR="00781C1D">
        <w:instrText xml:space="preserve"> </w:instrText>
      </w:r>
      <w:r w:rsidR="00781C1D">
        <w:instrText>INCLUDEPICTURE  "cid:image004.jpg@01D117E9.E5553340" \* MERGEFORMATINET</w:instrText>
      </w:r>
      <w:r w:rsidR="00781C1D">
        <w:instrText xml:space="preserve"> </w:instrText>
      </w:r>
      <w:r w:rsidR="00781C1D">
        <w:fldChar w:fldCharType="separate"/>
      </w:r>
      <w:r w:rsidR="00525C9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lede 1" o:spid="_x0000_i1025" type="#_x0000_t75" alt="LMST_auto_stor" style="width:193.2pt;height:55.2pt">
            <v:imagedata r:id="rId7" r:href="rId8"/>
          </v:shape>
        </w:pict>
      </w:r>
      <w:r w:rsidR="00781C1D">
        <w:fldChar w:fldCharType="end"/>
      </w:r>
      <w:r w:rsidR="003173FB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912566" w:rsidRDefault="00912566" w:rsidP="00912566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</w:p>
    <w:p w:rsidR="00912566" w:rsidRPr="00C84483" w:rsidRDefault="00912566" w:rsidP="00912566">
      <w:pPr>
        <w:pStyle w:val="Titel"/>
        <w:tabs>
          <w:tab w:val="right" w:pos="9356"/>
        </w:tabs>
        <w:jc w:val="right"/>
        <w:rPr>
          <w:b w:val="0"/>
          <w:szCs w:val="24"/>
          <w:lang w:eastAsia="en-US"/>
        </w:rPr>
      </w:pPr>
      <w:r w:rsidRPr="00C84483">
        <w:rPr>
          <w:b w:val="0"/>
          <w:szCs w:val="24"/>
          <w:lang w:eastAsia="en-US"/>
        </w:rPr>
        <w:tab/>
      </w:r>
      <w:r w:rsidR="00781C1D">
        <w:rPr>
          <w:szCs w:val="24"/>
        </w:rPr>
        <w:t>2</w:t>
      </w:r>
      <w:r>
        <w:rPr>
          <w:szCs w:val="24"/>
        </w:rPr>
        <w:t>. december 20</w:t>
      </w:r>
      <w:r w:rsidR="00781C1D">
        <w:rPr>
          <w:szCs w:val="24"/>
        </w:rPr>
        <w:t>20</w:t>
      </w:r>
    </w:p>
    <w:p w:rsidR="00912566" w:rsidRPr="00C84483" w:rsidRDefault="00912566" w:rsidP="00912566">
      <w:pPr>
        <w:pStyle w:val="Titel"/>
        <w:tabs>
          <w:tab w:val="left" w:pos="8222"/>
        </w:tabs>
        <w:jc w:val="left"/>
        <w:rPr>
          <w:b w:val="0"/>
          <w:szCs w:val="24"/>
        </w:rPr>
      </w:pPr>
      <w:r>
        <w:rPr>
          <w:b w:val="0"/>
          <w:szCs w:val="24"/>
        </w:rPr>
        <w:tab/>
      </w:r>
    </w:p>
    <w:p w:rsidR="00912566" w:rsidRPr="00C84483" w:rsidRDefault="00912566" w:rsidP="00912566">
      <w:pPr>
        <w:pStyle w:val="Titel"/>
        <w:jc w:val="left"/>
        <w:rPr>
          <w:b w:val="0"/>
          <w:szCs w:val="24"/>
        </w:rPr>
      </w:pPr>
    </w:p>
    <w:p w:rsidR="00912566" w:rsidRPr="00C84483" w:rsidRDefault="00912566" w:rsidP="00912566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PRODUKTRESUMÉ</w:t>
      </w:r>
    </w:p>
    <w:p w:rsidR="00912566" w:rsidRPr="00C84483" w:rsidRDefault="00912566" w:rsidP="00912566">
      <w:pPr>
        <w:jc w:val="center"/>
        <w:rPr>
          <w:b/>
          <w:sz w:val="24"/>
          <w:szCs w:val="24"/>
        </w:rPr>
      </w:pPr>
    </w:p>
    <w:p w:rsidR="00912566" w:rsidRPr="00C84483" w:rsidRDefault="00912566" w:rsidP="00912566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for</w:t>
      </w:r>
    </w:p>
    <w:p w:rsidR="00912566" w:rsidRPr="00C84483" w:rsidRDefault="00912566" w:rsidP="00912566">
      <w:pPr>
        <w:jc w:val="center"/>
        <w:rPr>
          <w:b/>
          <w:sz w:val="24"/>
          <w:szCs w:val="24"/>
        </w:rPr>
      </w:pPr>
    </w:p>
    <w:p w:rsidR="00912566" w:rsidRPr="00C84483" w:rsidRDefault="00912566" w:rsidP="00912566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Casenlax</w:t>
      </w:r>
      <w:proofErr w:type="spellEnd"/>
      <w:r>
        <w:rPr>
          <w:b/>
          <w:sz w:val="24"/>
          <w:szCs w:val="24"/>
        </w:rPr>
        <w:t>, pulver til oral opløsning, breve 4 g</w:t>
      </w:r>
    </w:p>
    <w:p w:rsidR="00912566" w:rsidRPr="00C84483" w:rsidRDefault="00912566" w:rsidP="00912566">
      <w:pPr>
        <w:jc w:val="both"/>
        <w:rPr>
          <w:sz w:val="24"/>
          <w:szCs w:val="24"/>
        </w:rPr>
      </w:pPr>
    </w:p>
    <w:p w:rsidR="00912566" w:rsidRPr="00C84483" w:rsidRDefault="00912566" w:rsidP="00912566">
      <w:pPr>
        <w:jc w:val="both"/>
        <w:rPr>
          <w:sz w:val="24"/>
          <w:szCs w:val="24"/>
        </w:rPr>
      </w:pPr>
    </w:p>
    <w:p w:rsidR="00912566" w:rsidRPr="00C84483" w:rsidRDefault="00912566" w:rsidP="0091256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0.</w:t>
      </w:r>
      <w:r w:rsidRPr="00C84483">
        <w:rPr>
          <w:b/>
          <w:sz w:val="24"/>
          <w:szCs w:val="24"/>
        </w:rPr>
        <w:tab/>
        <w:t>D.SP.NR.</w:t>
      </w:r>
    </w:p>
    <w:p w:rsidR="00912566" w:rsidRPr="00C84483" w:rsidRDefault="00912566" w:rsidP="00912566">
      <w:pPr>
        <w:tabs>
          <w:tab w:val="left" w:pos="851"/>
        </w:tabs>
        <w:rPr>
          <w:sz w:val="24"/>
          <w:szCs w:val="24"/>
        </w:rPr>
      </w:pPr>
      <w:r w:rsidRPr="00C84483">
        <w:rPr>
          <w:sz w:val="24"/>
          <w:szCs w:val="24"/>
        </w:rPr>
        <w:tab/>
      </w:r>
      <w:r>
        <w:rPr>
          <w:sz w:val="24"/>
          <w:szCs w:val="24"/>
        </w:rPr>
        <w:t>28713</w:t>
      </w:r>
    </w:p>
    <w:p w:rsidR="00912566" w:rsidRPr="00C84483" w:rsidRDefault="00912566" w:rsidP="00912566">
      <w:pPr>
        <w:tabs>
          <w:tab w:val="left" w:pos="851"/>
        </w:tabs>
        <w:rPr>
          <w:sz w:val="24"/>
          <w:szCs w:val="24"/>
        </w:rPr>
      </w:pPr>
    </w:p>
    <w:p w:rsidR="00912566" w:rsidRPr="00C84483" w:rsidRDefault="00912566" w:rsidP="0091256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1.</w:t>
      </w:r>
      <w:r w:rsidRPr="00C84483">
        <w:rPr>
          <w:b/>
          <w:sz w:val="24"/>
          <w:szCs w:val="24"/>
        </w:rPr>
        <w:tab/>
        <w:t>LÆGEMIDLETS NAVN</w:t>
      </w:r>
    </w:p>
    <w:p w:rsidR="00912566" w:rsidRPr="00C84483" w:rsidRDefault="00912566" w:rsidP="00912566">
      <w:pPr>
        <w:tabs>
          <w:tab w:val="left" w:pos="851"/>
        </w:tabs>
        <w:rPr>
          <w:sz w:val="24"/>
          <w:szCs w:val="24"/>
        </w:rPr>
      </w:pPr>
      <w:r w:rsidRPr="00C84483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Casenlax</w:t>
      </w:r>
      <w:proofErr w:type="spellEnd"/>
    </w:p>
    <w:p w:rsidR="00912566" w:rsidRPr="00C84483" w:rsidRDefault="00912566" w:rsidP="00912566">
      <w:pPr>
        <w:tabs>
          <w:tab w:val="left" w:pos="851"/>
        </w:tabs>
        <w:rPr>
          <w:sz w:val="24"/>
          <w:szCs w:val="24"/>
        </w:rPr>
      </w:pPr>
      <w:r w:rsidRPr="00C84483">
        <w:rPr>
          <w:sz w:val="24"/>
          <w:szCs w:val="24"/>
        </w:rPr>
        <w:tab/>
      </w:r>
    </w:p>
    <w:p w:rsidR="00912566" w:rsidRPr="00C84483" w:rsidRDefault="00912566" w:rsidP="0091256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2.</w:t>
      </w:r>
      <w:r w:rsidRPr="00C84483">
        <w:rPr>
          <w:b/>
          <w:sz w:val="24"/>
          <w:szCs w:val="24"/>
        </w:rPr>
        <w:tab/>
        <w:t>KVALITATIV OG KVANTITATIV SAMMENSÆTNING</w:t>
      </w:r>
    </w:p>
    <w:p w:rsidR="00912566" w:rsidRPr="004C01D0" w:rsidRDefault="00912566" w:rsidP="00912566">
      <w:pPr>
        <w:ind w:left="851"/>
        <w:rPr>
          <w:sz w:val="24"/>
          <w:szCs w:val="24"/>
        </w:rPr>
      </w:pPr>
      <w:r w:rsidRPr="004C01D0">
        <w:rPr>
          <w:sz w:val="24"/>
          <w:szCs w:val="24"/>
        </w:rPr>
        <w:t xml:space="preserve">Hvert brev indeholder 4 g </w:t>
      </w:r>
      <w:proofErr w:type="spellStart"/>
      <w:r w:rsidRPr="004C01D0">
        <w:rPr>
          <w:sz w:val="24"/>
          <w:szCs w:val="24"/>
        </w:rPr>
        <w:t>macrogol</w:t>
      </w:r>
      <w:proofErr w:type="spellEnd"/>
      <w:r w:rsidRPr="004C01D0">
        <w:rPr>
          <w:sz w:val="24"/>
          <w:szCs w:val="24"/>
        </w:rPr>
        <w:t xml:space="preserve"> 4000. </w:t>
      </w:r>
    </w:p>
    <w:p w:rsidR="00912566" w:rsidRPr="004C01D0" w:rsidRDefault="00912566" w:rsidP="00912566">
      <w:pPr>
        <w:ind w:left="851"/>
        <w:rPr>
          <w:sz w:val="24"/>
          <w:szCs w:val="24"/>
        </w:rPr>
      </w:pPr>
    </w:p>
    <w:p w:rsidR="00912566" w:rsidRPr="00DA598C" w:rsidRDefault="00912566" w:rsidP="00912566">
      <w:pPr>
        <w:ind w:left="851"/>
        <w:rPr>
          <w:sz w:val="24"/>
          <w:szCs w:val="24"/>
          <w:u w:val="single"/>
        </w:rPr>
      </w:pPr>
      <w:r w:rsidRPr="00DA598C">
        <w:rPr>
          <w:sz w:val="24"/>
          <w:szCs w:val="24"/>
          <w:u w:val="single"/>
        </w:rPr>
        <w:t>Hjælpestof(fer), som beh</w:t>
      </w:r>
      <w:r>
        <w:rPr>
          <w:sz w:val="24"/>
          <w:szCs w:val="24"/>
          <w:u w:val="single"/>
        </w:rPr>
        <w:t>andleren skal være opmærksom på</w:t>
      </w:r>
    </w:p>
    <w:p w:rsidR="00781C1D" w:rsidRDefault="00781C1D" w:rsidP="00781C1D">
      <w:pPr>
        <w:ind w:left="851"/>
        <w:rPr>
          <w:sz w:val="24"/>
          <w:szCs w:val="24"/>
        </w:rPr>
      </w:pPr>
      <w:r>
        <w:rPr>
          <w:sz w:val="24"/>
          <w:szCs w:val="24"/>
        </w:rPr>
        <w:t>Dette lægemiddel indeholder 0,00064 mg svovldioxid og mindre end 1 mmol (23 mg) natrium pr.</w:t>
      </w:r>
      <w:r>
        <w:t xml:space="preserve"> </w:t>
      </w:r>
      <w:r>
        <w:rPr>
          <w:sz w:val="24"/>
          <w:szCs w:val="24"/>
        </w:rPr>
        <w:t>brev.</w:t>
      </w:r>
    </w:p>
    <w:p w:rsidR="00912566" w:rsidRPr="004C01D0" w:rsidRDefault="00912566" w:rsidP="00912566">
      <w:pPr>
        <w:ind w:left="851"/>
        <w:rPr>
          <w:sz w:val="24"/>
          <w:szCs w:val="24"/>
        </w:rPr>
      </w:pPr>
      <w:r w:rsidRPr="004C01D0">
        <w:rPr>
          <w:sz w:val="24"/>
          <w:szCs w:val="24"/>
        </w:rPr>
        <w:t>Alle hjælpestoffer er anført under pkt. 6.1.</w:t>
      </w:r>
    </w:p>
    <w:p w:rsidR="00912566" w:rsidRPr="00C84483" w:rsidRDefault="00912566" w:rsidP="00912566">
      <w:pPr>
        <w:tabs>
          <w:tab w:val="left" w:pos="851"/>
        </w:tabs>
        <w:ind w:left="851" w:hanging="851"/>
        <w:rPr>
          <w:sz w:val="24"/>
          <w:szCs w:val="24"/>
        </w:rPr>
      </w:pPr>
      <w:r w:rsidRPr="00C84483">
        <w:rPr>
          <w:sz w:val="24"/>
          <w:szCs w:val="24"/>
        </w:rPr>
        <w:tab/>
      </w:r>
    </w:p>
    <w:p w:rsidR="00912566" w:rsidRPr="00C84483" w:rsidRDefault="00912566" w:rsidP="0091256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3.</w:t>
      </w:r>
      <w:r w:rsidRPr="00C84483">
        <w:rPr>
          <w:b/>
          <w:sz w:val="24"/>
          <w:szCs w:val="24"/>
        </w:rPr>
        <w:tab/>
        <w:t>LÆGEMIDDELFORM</w:t>
      </w:r>
    </w:p>
    <w:p w:rsidR="00912566" w:rsidRPr="007B3077" w:rsidRDefault="00912566" w:rsidP="00912566">
      <w:pPr>
        <w:pStyle w:val="ammcorpstexte"/>
        <w:ind w:left="851"/>
        <w:rPr>
          <w:rFonts w:ascii="Times New Roman" w:hAnsi="Times New Roman" w:cs="Times New Roman"/>
        </w:rPr>
      </w:pPr>
      <w:bookmarkStart w:id="0" w:name="RcpIndicTherap"/>
      <w:r w:rsidRPr="007B3077">
        <w:rPr>
          <w:rFonts w:ascii="Times New Roman" w:hAnsi="Times New Roman" w:cs="Times New Roman"/>
        </w:rPr>
        <w:t>Pulver til oral opløsning i brev.</w:t>
      </w:r>
    </w:p>
    <w:p w:rsidR="00912566" w:rsidRPr="007B3077" w:rsidRDefault="00912566" w:rsidP="00912566">
      <w:pPr>
        <w:pStyle w:val="ammcorpstexte"/>
        <w:ind w:left="851"/>
        <w:rPr>
          <w:rFonts w:ascii="Times New Roman" w:hAnsi="Times New Roman" w:cs="Times New Roman"/>
        </w:rPr>
      </w:pPr>
      <w:r w:rsidRPr="007B3077">
        <w:rPr>
          <w:rFonts w:ascii="Times New Roman" w:hAnsi="Times New Roman" w:cs="Times New Roman"/>
        </w:rPr>
        <w:t>Hvidt pulver med jordbærduft.</w:t>
      </w:r>
      <w:bookmarkEnd w:id="0"/>
    </w:p>
    <w:p w:rsidR="00912566" w:rsidRPr="00C84483" w:rsidRDefault="00912566" w:rsidP="00912566">
      <w:pPr>
        <w:tabs>
          <w:tab w:val="left" w:pos="851"/>
        </w:tabs>
        <w:rPr>
          <w:sz w:val="24"/>
          <w:szCs w:val="24"/>
        </w:rPr>
      </w:pPr>
    </w:p>
    <w:p w:rsidR="00912566" w:rsidRPr="00C84483" w:rsidRDefault="00912566" w:rsidP="00912566">
      <w:pPr>
        <w:tabs>
          <w:tab w:val="left" w:pos="851"/>
        </w:tabs>
        <w:rPr>
          <w:sz w:val="24"/>
          <w:szCs w:val="24"/>
        </w:rPr>
      </w:pPr>
    </w:p>
    <w:p w:rsidR="00912566" w:rsidRPr="00C84483" w:rsidRDefault="00912566" w:rsidP="0091256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</w:t>
      </w:r>
      <w:r w:rsidRPr="00C84483">
        <w:rPr>
          <w:b/>
          <w:sz w:val="24"/>
          <w:szCs w:val="24"/>
        </w:rPr>
        <w:tab/>
        <w:t>KLINISKE OPLYSNINGER</w:t>
      </w:r>
    </w:p>
    <w:p w:rsidR="00912566" w:rsidRPr="00C84483" w:rsidRDefault="00912566" w:rsidP="00912566">
      <w:pPr>
        <w:tabs>
          <w:tab w:val="left" w:pos="851"/>
        </w:tabs>
        <w:rPr>
          <w:b/>
          <w:sz w:val="24"/>
          <w:szCs w:val="24"/>
        </w:rPr>
      </w:pPr>
    </w:p>
    <w:p w:rsidR="00912566" w:rsidRPr="00C84483" w:rsidRDefault="00912566" w:rsidP="00912566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C84483">
        <w:rPr>
          <w:b/>
          <w:sz w:val="24"/>
          <w:szCs w:val="24"/>
        </w:rPr>
        <w:t>4.1</w:t>
      </w:r>
      <w:r w:rsidRPr="00C84483">
        <w:rPr>
          <w:b/>
          <w:sz w:val="24"/>
          <w:szCs w:val="24"/>
        </w:rPr>
        <w:tab/>
        <w:t>Terapeutiske indikationer</w:t>
      </w:r>
    </w:p>
    <w:p w:rsidR="00912566" w:rsidRPr="004C01D0" w:rsidRDefault="00912566" w:rsidP="00912566">
      <w:pPr>
        <w:pStyle w:val="ammcorpstexte"/>
        <w:ind w:left="851"/>
        <w:rPr>
          <w:rFonts w:ascii="Times New Roman" w:hAnsi="Times New Roman" w:cs="Times New Roman"/>
        </w:rPr>
      </w:pPr>
      <w:r w:rsidRPr="004C01D0">
        <w:rPr>
          <w:rFonts w:ascii="Times New Roman" w:hAnsi="Times New Roman" w:cs="Times New Roman"/>
        </w:rPr>
        <w:t>Symptomatisk behandling af forstoppelse hos børn i alderen 6 måneder til 8 år.</w:t>
      </w:r>
    </w:p>
    <w:p w:rsidR="00912566" w:rsidRPr="004C01D0" w:rsidRDefault="00912566" w:rsidP="00912566">
      <w:pPr>
        <w:pStyle w:val="ammcorpstexte"/>
        <w:ind w:left="851"/>
        <w:rPr>
          <w:rFonts w:ascii="Times New Roman" w:hAnsi="Times New Roman" w:cs="Times New Roman"/>
        </w:rPr>
      </w:pPr>
    </w:p>
    <w:p w:rsidR="00912566" w:rsidRPr="00B220AD" w:rsidRDefault="00912566" w:rsidP="00912566">
      <w:pPr>
        <w:pStyle w:val="ammcorpstexte"/>
        <w:ind w:left="851"/>
        <w:rPr>
          <w:rFonts w:ascii="Times New Roman" w:hAnsi="Times New Roman" w:cs="Times New Roman"/>
        </w:rPr>
      </w:pPr>
      <w:r w:rsidRPr="004C01D0">
        <w:rPr>
          <w:rFonts w:ascii="Times New Roman" w:hAnsi="Times New Roman" w:cs="Times New Roman"/>
        </w:rPr>
        <w:t xml:space="preserve">En læge bør udelukke organisk sygdom, før behandlingen påbegyndes, især hos børn under 2 år. </w:t>
      </w:r>
      <w:proofErr w:type="spellStart"/>
      <w:r w:rsidRPr="004C01D0">
        <w:rPr>
          <w:rFonts w:ascii="Times New Roman" w:hAnsi="Times New Roman" w:cs="Times New Roman"/>
        </w:rPr>
        <w:t>Casenlax</w:t>
      </w:r>
      <w:proofErr w:type="spellEnd"/>
      <w:r w:rsidRPr="004C01D0">
        <w:rPr>
          <w:rFonts w:ascii="Times New Roman" w:hAnsi="Times New Roman" w:cs="Times New Roman"/>
        </w:rPr>
        <w:t xml:space="preserve"> bør kun være en midlertidig behandling af forstoppelse, ikke længere end 3 måneder, i kombination med en sund livsstil og kost. Hvis symptomerne varer ved til trods for, at en sund levevis og kost opretholdes, bør en underliggende årsag mistænkes og behandles.</w:t>
      </w:r>
    </w:p>
    <w:p w:rsidR="00912566" w:rsidRPr="00C84483" w:rsidRDefault="00912566" w:rsidP="00912566">
      <w:pPr>
        <w:tabs>
          <w:tab w:val="left" w:pos="851"/>
        </w:tabs>
        <w:rPr>
          <w:sz w:val="24"/>
          <w:szCs w:val="24"/>
        </w:rPr>
      </w:pPr>
    </w:p>
    <w:p w:rsidR="00912566" w:rsidRPr="00C84483" w:rsidRDefault="00912566" w:rsidP="0091256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4.2</w:t>
      </w:r>
      <w:r w:rsidRPr="00C84483">
        <w:rPr>
          <w:b/>
          <w:sz w:val="24"/>
          <w:szCs w:val="24"/>
        </w:rPr>
        <w:tab/>
        <w:t>Dosering og indgivelsesmåde</w:t>
      </w:r>
    </w:p>
    <w:p w:rsidR="00912566" w:rsidRDefault="00912566" w:rsidP="00912566">
      <w:pPr>
        <w:keepNext/>
        <w:ind w:left="851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Dosering</w:t>
      </w:r>
    </w:p>
    <w:p w:rsidR="00912566" w:rsidRDefault="00912566" w:rsidP="00912566">
      <w:pPr>
        <w:keepNext/>
        <w:ind w:left="851"/>
        <w:rPr>
          <w:sz w:val="22"/>
          <w:szCs w:val="22"/>
          <w:u w:val="single"/>
        </w:rPr>
      </w:pPr>
    </w:p>
    <w:p w:rsidR="00912566" w:rsidRDefault="00912566" w:rsidP="00912566">
      <w:pPr>
        <w:keepNext/>
        <w:ind w:left="851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Pædiatrisk population</w:t>
      </w:r>
    </w:p>
    <w:p w:rsidR="00912566" w:rsidRDefault="00912566" w:rsidP="00912566">
      <w:pPr>
        <w:pStyle w:val="ammcorpstexte"/>
        <w:keepNext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912566" w:rsidRDefault="00912566" w:rsidP="00912566">
      <w:pPr>
        <w:pStyle w:val="ammcorpstexte"/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Fra 6 måneder til 1 år: 1 brev dagligt.</w:t>
      </w:r>
    </w:p>
    <w:p w:rsidR="00912566" w:rsidRDefault="00912566" w:rsidP="00912566">
      <w:pPr>
        <w:pStyle w:val="ammcorpstexte"/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Fra 1 år til 4 år: 1-2 breve dagligt.</w:t>
      </w:r>
    </w:p>
    <w:p w:rsidR="00912566" w:rsidRDefault="00912566" w:rsidP="00912566">
      <w:pPr>
        <w:pStyle w:val="ammcorpstexte"/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Fra 4 år til 8 år: 2-4 breve dagligt.</w:t>
      </w:r>
    </w:p>
    <w:p w:rsidR="00912566" w:rsidRDefault="00912566" w:rsidP="00912566">
      <w:pPr>
        <w:pStyle w:val="ammcorpstexte"/>
        <w:ind w:left="851"/>
        <w:rPr>
          <w:rFonts w:ascii="Times New Roman" w:hAnsi="Times New Roman" w:cs="Times New Roman"/>
        </w:rPr>
      </w:pPr>
    </w:p>
    <w:p w:rsidR="00912566" w:rsidRDefault="00912566" w:rsidP="00912566">
      <w:pPr>
        <w:pStyle w:val="ammcorpstexte"/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Hos børn bør behandlingen ikke vare længere end 3 måneder på grund af manglende kliniske data ud over 3 måneder. Behandlingsinduceret genoprettelse af afføringsmønstret opretholdes med kost- og livsstilsændringer. </w:t>
      </w:r>
    </w:p>
    <w:p w:rsidR="00912566" w:rsidRDefault="00912566" w:rsidP="00912566">
      <w:pPr>
        <w:pStyle w:val="ammcorpstexte"/>
        <w:ind w:left="851"/>
        <w:rPr>
          <w:rFonts w:ascii="Times New Roman" w:hAnsi="Times New Roman" w:cs="Times New Roman"/>
        </w:rPr>
      </w:pPr>
    </w:p>
    <w:p w:rsidR="00912566" w:rsidRDefault="00912566" w:rsidP="00912566">
      <w:pPr>
        <w:pStyle w:val="ammcorpstexte"/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Behandlingen bør stoppes gradvist og genoptages, hvis forstoppelsen vender tilbage.</w:t>
      </w:r>
    </w:p>
    <w:p w:rsidR="00912566" w:rsidRDefault="00912566" w:rsidP="00912566">
      <w:pPr>
        <w:pStyle w:val="ammcorpstexte"/>
        <w:ind w:left="851"/>
        <w:rPr>
          <w:rFonts w:ascii="Times New Roman" w:hAnsi="Times New Roman" w:cs="Times New Roman"/>
        </w:rPr>
      </w:pPr>
    </w:p>
    <w:p w:rsidR="00912566" w:rsidRDefault="00912566" w:rsidP="00912566">
      <w:pPr>
        <w:pStyle w:val="ammcorpstexte"/>
        <w:keepNext/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Administration</w:t>
      </w:r>
    </w:p>
    <w:p w:rsidR="00912566" w:rsidRDefault="00912566" w:rsidP="00912566">
      <w:pPr>
        <w:pStyle w:val="ammcorpstexte"/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Oral anvendelse.</w:t>
      </w:r>
    </w:p>
    <w:p w:rsidR="00912566" w:rsidRDefault="00912566" w:rsidP="00912566">
      <w:pPr>
        <w:pStyle w:val="ammcorpstexte"/>
        <w:keepNext/>
        <w:ind w:left="851"/>
        <w:rPr>
          <w:rFonts w:ascii="Times New Roman" w:hAnsi="Times New Roman" w:cs="Times New Roman"/>
        </w:rPr>
      </w:pPr>
    </w:p>
    <w:p w:rsidR="00912566" w:rsidRDefault="00912566" w:rsidP="00912566">
      <w:pPr>
        <w:pStyle w:val="ammcorpstexte"/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Indholdet af hvert brev skal opløses i ca. 50 ml vand umiddelbart før brug. Den færdige opløsning vil være klar og gennemsigtig som vand. Behandlingen bør administreres om morgenen ved en dosering på et brev dagligt eller deles i morgen- og aftendoser ved større doser.</w:t>
      </w:r>
    </w:p>
    <w:p w:rsidR="00912566" w:rsidRDefault="00912566" w:rsidP="00912566">
      <w:pPr>
        <w:pStyle w:val="ammcorpstexte"/>
        <w:ind w:left="851"/>
        <w:rPr>
          <w:rFonts w:ascii="Times New Roman" w:hAnsi="Times New Roman" w:cs="Times New Roman"/>
        </w:rPr>
      </w:pPr>
    </w:p>
    <w:p w:rsidR="00912566" w:rsidRPr="00853F5D" w:rsidRDefault="00912566" w:rsidP="00912566">
      <w:pPr>
        <w:pStyle w:val="ammcorpstexte"/>
        <w:ind w:left="851"/>
        <w:rPr>
          <w:rFonts w:ascii="Times New Roman" w:hAnsi="Times New Roman" w:cs="Times New Roman"/>
        </w:rPr>
      </w:pPr>
      <w:r w:rsidRPr="00853F5D">
        <w:rPr>
          <w:rFonts w:ascii="Times New Roman" w:hAnsi="Times New Roman" w:cs="Times New Roman"/>
        </w:rPr>
        <w:t>Det anbefales at drikke 125 ml ekstra væske (f.eks. vand) efter hver produktindtagelse.</w:t>
      </w:r>
    </w:p>
    <w:p w:rsidR="00912566" w:rsidRDefault="00912566" w:rsidP="00912566">
      <w:pPr>
        <w:pStyle w:val="ammcorpstexte"/>
        <w:ind w:left="851"/>
        <w:rPr>
          <w:rFonts w:ascii="Times New Roman" w:hAnsi="Times New Roman" w:cs="Times New Roman"/>
        </w:rPr>
      </w:pPr>
    </w:p>
    <w:p w:rsidR="00912566" w:rsidRDefault="00912566" w:rsidP="00912566">
      <w:pPr>
        <w:pStyle w:val="ammcorpstexte"/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Virkningen af </w:t>
      </w:r>
      <w:proofErr w:type="spellStart"/>
      <w:r>
        <w:rPr>
          <w:rFonts w:ascii="Times New Roman" w:hAnsi="Times New Roman" w:cs="Times New Roman"/>
        </w:rPr>
        <w:t>Casenlax</w:t>
      </w:r>
      <w:proofErr w:type="spellEnd"/>
      <w:r>
        <w:rPr>
          <w:rFonts w:ascii="Times New Roman" w:hAnsi="Times New Roman" w:cs="Times New Roman"/>
        </w:rPr>
        <w:t xml:space="preserve"> viser sig i løbet af 24-48 timer efter administration.</w:t>
      </w:r>
    </w:p>
    <w:p w:rsidR="00912566" w:rsidRDefault="00912566" w:rsidP="00912566">
      <w:pPr>
        <w:pStyle w:val="ammcorpstexte"/>
        <w:ind w:left="851"/>
        <w:rPr>
          <w:rFonts w:ascii="Times New Roman" w:hAnsi="Times New Roman" w:cs="Times New Roman"/>
        </w:rPr>
      </w:pPr>
    </w:p>
    <w:p w:rsidR="00912566" w:rsidRDefault="00912566" w:rsidP="00912566">
      <w:pPr>
        <w:pStyle w:val="ammcorpstexte"/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Den daglige dosis bør tilpasses efter den opnåede kliniske virkning.</w:t>
      </w:r>
    </w:p>
    <w:p w:rsidR="00912566" w:rsidRDefault="00912566" w:rsidP="00912566">
      <w:pPr>
        <w:tabs>
          <w:tab w:val="left" w:pos="851"/>
        </w:tabs>
        <w:rPr>
          <w:sz w:val="24"/>
          <w:szCs w:val="24"/>
        </w:rPr>
      </w:pPr>
    </w:p>
    <w:p w:rsidR="00912566" w:rsidRDefault="00912566" w:rsidP="00912566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4.3</w:t>
      </w:r>
      <w:r>
        <w:rPr>
          <w:b/>
          <w:sz w:val="24"/>
          <w:szCs w:val="24"/>
        </w:rPr>
        <w:tab/>
        <w:t>Kontraindikationer</w:t>
      </w:r>
    </w:p>
    <w:p w:rsidR="00912566" w:rsidRDefault="00912566" w:rsidP="00912566">
      <w:pPr>
        <w:pStyle w:val="ammlistepuces1"/>
        <w:numPr>
          <w:ilvl w:val="0"/>
          <w:numId w:val="6"/>
        </w:numPr>
        <w:snapToGrid w:val="0"/>
        <w:spacing w:before="0" w:beforeAutospacing="0" w:after="0" w:afterAutospacing="0"/>
        <w:ind w:left="1134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Overfølsomhed over for det (de) aktive stof(fer) eller over for et eller flere af hjælpestofferne anført i pkt. 6.1.</w:t>
      </w:r>
    </w:p>
    <w:p w:rsidR="00912566" w:rsidRDefault="00912566" w:rsidP="00912566">
      <w:pPr>
        <w:pStyle w:val="ammlistepuces1"/>
        <w:numPr>
          <w:ilvl w:val="0"/>
          <w:numId w:val="6"/>
        </w:numPr>
        <w:snapToGrid w:val="0"/>
        <w:spacing w:before="0" w:beforeAutospacing="0" w:after="0" w:afterAutospacing="0"/>
        <w:ind w:left="1134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Svær inflammatorisk tarmsygdom (såsom ulcerøs </w:t>
      </w:r>
      <w:proofErr w:type="spellStart"/>
      <w:r>
        <w:rPr>
          <w:rFonts w:ascii="Times New Roman" w:hAnsi="Times New Roman" w:cs="Times New Roman"/>
        </w:rPr>
        <w:t>kolitis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Crohns</w:t>
      </w:r>
      <w:proofErr w:type="spellEnd"/>
      <w:r>
        <w:rPr>
          <w:rFonts w:ascii="Times New Roman" w:hAnsi="Times New Roman" w:cs="Times New Roman"/>
        </w:rPr>
        <w:t xml:space="preserve"> sygdom osv.) eller toksisk megakolon forbundet med symptomatisk stenose.</w:t>
      </w:r>
    </w:p>
    <w:p w:rsidR="00912566" w:rsidRDefault="00912566" w:rsidP="00912566">
      <w:pPr>
        <w:pStyle w:val="ammlistepuces1"/>
        <w:numPr>
          <w:ilvl w:val="0"/>
          <w:numId w:val="6"/>
        </w:numPr>
        <w:snapToGrid w:val="0"/>
        <w:spacing w:before="0" w:beforeAutospacing="0" w:after="0" w:afterAutospacing="0"/>
        <w:ind w:left="1134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Mave-tarm-perforation eller risiko for mave-tarm-perforation.</w:t>
      </w:r>
    </w:p>
    <w:p w:rsidR="00912566" w:rsidRDefault="00912566" w:rsidP="00912566">
      <w:pPr>
        <w:pStyle w:val="ammlistepuces1"/>
        <w:numPr>
          <w:ilvl w:val="0"/>
          <w:numId w:val="6"/>
        </w:numPr>
        <w:snapToGrid w:val="0"/>
        <w:spacing w:before="0" w:beforeAutospacing="0" w:after="0" w:afterAutospacing="0"/>
        <w:ind w:left="1134" w:hanging="28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Ileus</w:t>
      </w:r>
      <w:proofErr w:type="spellEnd"/>
      <w:r>
        <w:rPr>
          <w:rFonts w:ascii="Times New Roman" w:hAnsi="Times New Roman" w:cs="Times New Roman"/>
        </w:rPr>
        <w:t xml:space="preserve"> eller mistanke om mave-tarm-obstruktion.</w:t>
      </w:r>
    </w:p>
    <w:p w:rsidR="00912566" w:rsidRDefault="00912566" w:rsidP="00912566">
      <w:pPr>
        <w:pStyle w:val="ammlistepuces1"/>
        <w:numPr>
          <w:ilvl w:val="0"/>
          <w:numId w:val="6"/>
        </w:numPr>
        <w:snapToGrid w:val="0"/>
        <w:spacing w:before="0" w:beforeAutospacing="0" w:after="0" w:afterAutospacing="0"/>
        <w:ind w:left="1134" w:hanging="283"/>
        <w:rPr>
          <w:rFonts w:ascii="Times New Roman" w:hAnsi="Times New Roman" w:cs="Times New Roman"/>
        </w:rPr>
      </w:pPr>
      <w:bookmarkStart w:id="1" w:name="RcpMisesEnGarde"/>
      <w:proofErr w:type="spellStart"/>
      <w:r>
        <w:rPr>
          <w:rFonts w:ascii="Times New Roman" w:hAnsi="Times New Roman" w:cs="Times New Roman"/>
        </w:rPr>
        <w:t>Abdominale</w:t>
      </w:r>
      <w:proofErr w:type="spellEnd"/>
      <w:r>
        <w:rPr>
          <w:rFonts w:ascii="Times New Roman" w:hAnsi="Times New Roman" w:cs="Times New Roman"/>
        </w:rPr>
        <w:t xml:space="preserve"> smertesyndromer af ubestemt årsag.</w:t>
      </w:r>
    </w:p>
    <w:bookmarkEnd w:id="1"/>
    <w:p w:rsidR="00912566" w:rsidRDefault="00912566" w:rsidP="00912566">
      <w:pPr>
        <w:tabs>
          <w:tab w:val="left" w:pos="851"/>
        </w:tabs>
        <w:ind w:left="851" w:hanging="851"/>
        <w:rPr>
          <w:b/>
          <w:sz w:val="24"/>
          <w:szCs w:val="24"/>
        </w:rPr>
      </w:pPr>
    </w:p>
    <w:p w:rsidR="00912566" w:rsidRDefault="00912566" w:rsidP="00912566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4.4</w:t>
      </w:r>
      <w:r>
        <w:rPr>
          <w:b/>
          <w:sz w:val="24"/>
          <w:szCs w:val="24"/>
        </w:rPr>
        <w:tab/>
        <w:t>Særlige advarsler og forsigtighedsregler vedrørende brugen</w:t>
      </w:r>
    </w:p>
    <w:p w:rsidR="00912566" w:rsidRDefault="00912566" w:rsidP="00912566">
      <w:pPr>
        <w:pStyle w:val="ammcorpstexte"/>
        <w:keepNext/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Der er kun indhentet data for virkning hos børn under 2 år for et begrænset antal patienter.</w:t>
      </w:r>
    </w:p>
    <w:p w:rsidR="00912566" w:rsidRDefault="00912566" w:rsidP="00912566">
      <w:pPr>
        <w:pStyle w:val="ammcorpstexte"/>
        <w:keepNext/>
        <w:ind w:left="851"/>
        <w:rPr>
          <w:rFonts w:ascii="Times New Roman" w:hAnsi="Times New Roman" w:cs="Times New Roman"/>
        </w:rPr>
      </w:pPr>
    </w:p>
    <w:p w:rsidR="00912566" w:rsidRDefault="00912566" w:rsidP="00912566">
      <w:pPr>
        <w:pStyle w:val="ammcorpstexte"/>
        <w:keepNext/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Behandling af forstoppelse med et afføringsmiddel bør være </w:t>
      </w:r>
      <w:proofErr w:type="spellStart"/>
      <w:r>
        <w:rPr>
          <w:rFonts w:ascii="Times New Roman" w:hAnsi="Times New Roman" w:cs="Times New Roman"/>
        </w:rPr>
        <w:t>adjuvans</w:t>
      </w:r>
      <w:proofErr w:type="spellEnd"/>
      <w:r>
        <w:rPr>
          <w:rFonts w:ascii="Times New Roman" w:hAnsi="Times New Roman" w:cs="Times New Roman"/>
        </w:rPr>
        <w:t xml:space="preserve"> til en sund livsstil og kost. </w:t>
      </w:r>
    </w:p>
    <w:p w:rsidR="00912566" w:rsidRDefault="00912566" w:rsidP="00912566">
      <w:pPr>
        <w:pStyle w:val="ammcorpstexte"/>
        <w:ind w:left="851"/>
        <w:rPr>
          <w:rFonts w:ascii="Times New Roman" w:hAnsi="Times New Roman" w:cs="Times New Roman"/>
        </w:rPr>
      </w:pPr>
    </w:p>
    <w:p w:rsidR="00912566" w:rsidRDefault="00912566" w:rsidP="00912566">
      <w:pPr>
        <w:pStyle w:val="ammcorpstexte"/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organisk sygdom skal udelukkes, før behandlingen påbegyndes.</w:t>
      </w:r>
    </w:p>
    <w:p w:rsidR="00912566" w:rsidRDefault="00912566" w:rsidP="00912566">
      <w:pPr>
        <w:pStyle w:val="ammcorpstexte"/>
        <w:ind w:left="851"/>
        <w:rPr>
          <w:rFonts w:ascii="Times New Roman" w:hAnsi="Times New Roman" w:cs="Times New Roman"/>
        </w:rPr>
      </w:pPr>
    </w:p>
    <w:p w:rsidR="00912566" w:rsidRDefault="00912566" w:rsidP="00912566">
      <w:pPr>
        <w:pStyle w:val="ammcorpstexte"/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Efter 3 måneders behandling bør der udføres en medicinsk undersøgelse af forstoppelsen.</w:t>
      </w:r>
    </w:p>
    <w:p w:rsidR="00912566" w:rsidRDefault="00912566" w:rsidP="00912566">
      <w:pPr>
        <w:pStyle w:val="ammcorpstexte"/>
        <w:ind w:left="851"/>
        <w:rPr>
          <w:rFonts w:ascii="Times New Roman" w:hAnsi="Times New Roman" w:cs="Times New Roman"/>
        </w:rPr>
      </w:pPr>
    </w:p>
    <w:p w:rsidR="00912566" w:rsidRDefault="00912566" w:rsidP="00912566">
      <w:pPr>
        <w:pStyle w:val="ammcorpstexte"/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 dette lægemiddel indeholder svovldioxid, kan </w:t>
      </w:r>
      <w:proofErr w:type="spellStart"/>
      <w:r>
        <w:rPr>
          <w:rFonts w:ascii="Times New Roman" w:hAnsi="Times New Roman" w:cs="Times New Roman"/>
        </w:rPr>
        <w:t>Casenlax</w:t>
      </w:r>
      <w:proofErr w:type="spellEnd"/>
      <w:r>
        <w:rPr>
          <w:rFonts w:ascii="Times New Roman" w:hAnsi="Times New Roman" w:cs="Times New Roman"/>
        </w:rPr>
        <w:t xml:space="preserve"> i sjældne tilfælde medføre svære overfølsomhedsreaktioner og vejrtrækningsbesvær.</w:t>
      </w:r>
    </w:p>
    <w:p w:rsidR="00912566" w:rsidRDefault="00912566" w:rsidP="00912566">
      <w:pPr>
        <w:pStyle w:val="ammcorpstexte"/>
        <w:ind w:left="851"/>
        <w:rPr>
          <w:rFonts w:ascii="Times New Roman" w:hAnsi="Times New Roman" w:cs="Times New Roman"/>
        </w:rPr>
      </w:pPr>
    </w:p>
    <w:p w:rsidR="00912566" w:rsidRDefault="00912566" w:rsidP="00912566">
      <w:pPr>
        <w:pStyle w:val="ammcorpstexte"/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tilfælde af diarré, skal der udvises forsigtighed hos patienter med tendens til forstyrrelser i væske- og/eller elektrolytbalancen (f.eks. ældre, patienter med nedsat lever- eller nyrefunktion eller patienter, der tager </w:t>
      </w:r>
      <w:proofErr w:type="spellStart"/>
      <w:r>
        <w:rPr>
          <w:rFonts w:ascii="Times New Roman" w:hAnsi="Times New Roman" w:cs="Times New Roman"/>
        </w:rPr>
        <w:t>diuretika</w:t>
      </w:r>
      <w:proofErr w:type="spellEnd"/>
      <w:r>
        <w:rPr>
          <w:rFonts w:ascii="Times New Roman" w:hAnsi="Times New Roman" w:cs="Times New Roman"/>
        </w:rPr>
        <w:t>), og der bør overvejes elektrolytkontrol.</w:t>
      </w:r>
    </w:p>
    <w:p w:rsidR="00912566" w:rsidRDefault="00912566" w:rsidP="00912566">
      <w:pPr>
        <w:pStyle w:val="ammcorpstexte"/>
        <w:ind w:left="851"/>
        <w:rPr>
          <w:rFonts w:ascii="Times New Roman" w:hAnsi="Times New Roman" w:cs="Times New Roman"/>
        </w:rPr>
      </w:pPr>
    </w:p>
    <w:p w:rsidR="00912566" w:rsidRDefault="00912566" w:rsidP="00912566">
      <w:pPr>
        <w:pStyle w:val="ammcorpstexte"/>
        <w:ind w:left="851"/>
        <w:rPr>
          <w:rFonts w:ascii="Times New Roman" w:hAnsi="Times New Roman" w:cs="Times New Roman"/>
        </w:rPr>
      </w:pPr>
      <w:bookmarkStart w:id="2" w:name="RcpInteractions"/>
      <w:r>
        <w:rPr>
          <w:rFonts w:ascii="Times New Roman" w:hAnsi="Times New Roman" w:cs="Times New Roman"/>
        </w:rPr>
        <w:t xml:space="preserve">Overfølsomhedsreaktioner (udslæt, </w:t>
      </w:r>
      <w:proofErr w:type="spellStart"/>
      <w:r>
        <w:rPr>
          <w:rFonts w:ascii="Times New Roman" w:hAnsi="Times New Roman" w:cs="Times New Roman"/>
        </w:rPr>
        <w:t>urticaria</w:t>
      </w:r>
      <w:proofErr w:type="spellEnd"/>
      <w:r>
        <w:rPr>
          <w:rFonts w:ascii="Times New Roman" w:hAnsi="Times New Roman" w:cs="Times New Roman"/>
        </w:rPr>
        <w:t xml:space="preserve">, ødem) er rapporteret for lægemidler, der indeholder </w:t>
      </w:r>
      <w:proofErr w:type="spellStart"/>
      <w:r>
        <w:rPr>
          <w:rFonts w:ascii="Times New Roman" w:hAnsi="Times New Roman" w:cs="Times New Roman"/>
        </w:rPr>
        <w:t>macrogol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polyethylenglycol</w:t>
      </w:r>
      <w:proofErr w:type="spellEnd"/>
      <w:r>
        <w:rPr>
          <w:rFonts w:ascii="Times New Roman" w:hAnsi="Times New Roman" w:cs="Times New Roman"/>
        </w:rPr>
        <w:t xml:space="preserve">). Undtagelsesvise tilfælde af </w:t>
      </w:r>
      <w:proofErr w:type="spellStart"/>
      <w:r>
        <w:rPr>
          <w:rFonts w:ascii="Times New Roman" w:hAnsi="Times New Roman" w:cs="Times New Roman"/>
        </w:rPr>
        <w:t>anafylaktisk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shock</w:t>
      </w:r>
      <w:proofErr w:type="spellEnd"/>
      <w:r>
        <w:rPr>
          <w:rFonts w:ascii="Times New Roman" w:hAnsi="Times New Roman" w:cs="Times New Roman"/>
        </w:rPr>
        <w:t xml:space="preserve"> er blevet rapporteret.</w:t>
      </w:r>
    </w:p>
    <w:p w:rsidR="00912566" w:rsidRDefault="00912566" w:rsidP="00912566">
      <w:pPr>
        <w:pStyle w:val="ammcorpstexte"/>
        <w:ind w:left="851"/>
        <w:rPr>
          <w:rFonts w:ascii="Times New Roman" w:hAnsi="Times New Roman" w:cs="Times New Roman"/>
        </w:rPr>
      </w:pPr>
    </w:p>
    <w:bookmarkEnd w:id="2"/>
    <w:p w:rsidR="00912566" w:rsidRDefault="00912566" w:rsidP="00912566">
      <w:pPr>
        <w:pStyle w:val="ammcorpstexte"/>
        <w:ind w:left="851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Casenlax</w:t>
      </w:r>
      <w:proofErr w:type="spellEnd"/>
      <w:r>
        <w:rPr>
          <w:rFonts w:ascii="Times New Roman" w:hAnsi="Times New Roman" w:cs="Times New Roman"/>
        </w:rPr>
        <w:t xml:space="preserve"> indeholder en ikke signifikant mængde sukker eller </w:t>
      </w:r>
      <w:proofErr w:type="spellStart"/>
      <w:r>
        <w:rPr>
          <w:rFonts w:ascii="Times New Roman" w:hAnsi="Times New Roman" w:cs="Times New Roman"/>
        </w:rPr>
        <w:t>polyoler</w:t>
      </w:r>
      <w:proofErr w:type="spellEnd"/>
      <w:r>
        <w:rPr>
          <w:rFonts w:ascii="Times New Roman" w:hAnsi="Times New Roman" w:cs="Times New Roman"/>
        </w:rPr>
        <w:t xml:space="preserve"> og kan derfor ordineres til diabetikere eller til patienter på en </w:t>
      </w:r>
      <w:proofErr w:type="spellStart"/>
      <w:r>
        <w:rPr>
          <w:rFonts w:ascii="Times New Roman" w:hAnsi="Times New Roman" w:cs="Times New Roman"/>
        </w:rPr>
        <w:t>galactose</w:t>
      </w:r>
      <w:proofErr w:type="spellEnd"/>
      <w:r>
        <w:rPr>
          <w:rFonts w:ascii="Times New Roman" w:hAnsi="Times New Roman" w:cs="Times New Roman"/>
        </w:rPr>
        <w:t>-fri kost.</w:t>
      </w:r>
    </w:p>
    <w:p w:rsidR="00781C1D" w:rsidRDefault="00781C1D" w:rsidP="00912566">
      <w:pPr>
        <w:pStyle w:val="ammcorpstexte"/>
        <w:ind w:left="851"/>
        <w:rPr>
          <w:rFonts w:ascii="Times New Roman" w:hAnsi="Times New Roman" w:cs="Times New Roman"/>
        </w:rPr>
      </w:pPr>
    </w:p>
    <w:p w:rsidR="00781C1D" w:rsidRDefault="00781C1D" w:rsidP="00912566">
      <w:pPr>
        <w:pStyle w:val="ammcorpstexte"/>
        <w:ind w:left="851"/>
        <w:rPr>
          <w:rFonts w:ascii="Times New Roman" w:hAnsi="Times New Roman" w:cs="Times New Roman"/>
        </w:rPr>
      </w:pPr>
      <w:r w:rsidRPr="00781C1D">
        <w:rPr>
          <w:rFonts w:ascii="Times New Roman" w:hAnsi="Times New Roman" w:cs="Times New Roman"/>
        </w:rPr>
        <w:t>Dette lægemiddel indeholder mindre end 1 mmol (23 mg) natrium pr. brev, dvs. det er i det væsentlige natriumfrit.</w:t>
      </w:r>
    </w:p>
    <w:p w:rsidR="00912566" w:rsidRDefault="00912566" w:rsidP="00912566">
      <w:pPr>
        <w:pStyle w:val="ammcorpstexte"/>
        <w:ind w:left="851"/>
        <w:rPr>
          <w:rFonts w:ascii="Times New Roman" w:hAnsi="Times New Roman" w:cs="Times New Roman"/>
        </w:rPr>
      </w:pPr>
    </w:p>
    <w:p w:rsidR="00912566" w:rsidRPr="00853F5D" w:rsidRDefault="00912566" w:rsidP="00912566">
      <w:pPr>
        <w:ind w:left="851"/>
        <w:rPr>
          <w:sz w:val="24"/>
          <w:szCs w:val="24"/>
        </w:rPr>
      </w:pPr>
      <w:r w:rsidRPr="00853F5D">
        <w:rPr>
          <w:sz w:val="24"/>
          <w:szCs w:val="24"/>
        </w:rPr>
        <w:t xml:space="preserve">Det anbefales at indtage væske under behandlingen med dette lægemiddel på grund af </w:t>
      </w:r>
      <w:proofErr w:type="spellStart"/>
      <w:r w:rsidRPr="00853F5D">
        <w:rPr>
          <w:sz w:val="24"/>
          <w:szCs w:val="24"/>
        </w:rPr>
        <w:t>macrogols</w:t>
      </w:r>
      <w:proofErr w:type="spellEnd"/>
      <w:r w:rsidRPr="00853F5D">
        <w:rPr>
          <w:sz w:val="24"/>
          <w:szCs w:val="24"/>
        </w:rPr>
        <w:t xml:space="preserve"> virkningsmekanisme (se pkt. 5.1). </w:t>
      </w:r>
    </w:p>
    <w:p w:rsidR="00912566" w:rsidRPr="00853F5D" w:rsidRDefault="00912566" w:rsidP="00912566">
      <w:pPr>
        <w:rPr>
          <w:sz w:val="24"/>
          <w:szCs w:val="24"/>
        </w:rPr>
      </w:pPr>
    </w:p>
    <w:p w:rsidR="00912566" w:rsidRDefault="00912566" w:rsidP="00912566">
      <w:pPr>
        <w:pStyle w:val="ammcorpstexte"/>
        <w:ind w:left="851"/>
        <w:rPr>
          <w:rFonts w:ascii="Times New Roman" w:hAnsi="Times New Roman" w:cs="Times New Roman"/>
        </w:rPr>
      </w:pPr>
      <w:r w:rsidRPr="00853F5D">
        <w:rPr>
          <w:rFonts w:ascii="Times New Roman" w:hAnsi="Times New Roman" w:cs="Times New Roman"/>
        </w:rPr>
        <w:t xml:space="preserve">Absorptionen af andre lægemidler kan midlertidigt blive reduceret på grund af øget </w:t>
      </w:r>
      <w:proofErr w:type="spellStart"/>
      <w:r w:rsidRPr="00853F5D">
        <w:rPr>
          <w:rFonts w:ascii="Times New Roman" w:hAnsi="Times New Roman" w:cs="Times New Roman"/>
        </w:rPr>
        <w:t>gastrointestinal</w:t>
      </w:r>
      <w:proofErr w:type="spellEnd"/>
      <w:r w:rsidRPr="00853F5D">
        <w:rPr>
          <w:rFonts w:ascii="Times New Roman" w:hAnsi="Times New Roman" w:cs="Times New Roman"/>
        </w:rPr>
        <w:t xml:space="preserve"> transittid induceret af </w:t>
      </w:r>
      <w:proofErr w:type="spellStart"/>
      <w:r w:rsidRPr="00853F5D">
        <w:rPr>
          <w:rFonts w:ascii="Times New Roman" w:hAnsi="Times New Roman" w:cs="Times New Roman"/>
        </w:rPr>
        <w:t>macrogol</w:t>
      </w:r>
      <w:proofErr w:type="spellEnd"/>
      <w:r w:rsidRPr="00853F5D">
        <w:rPr>
          <w:rFonts w:ascii="Times New Roman" w:hAnsi="Times New Roman" w:cs="Times New Roman"/>
        </w:rPr>
        <w:t xml:space="preserve"> (se pkt. 4.5).</w:t>
      </w:r>
    </w:p>
    <w:p w:rsidR="00912566" w:rsidRDefault="00912566" w:rsidP="00912566">
      <w:pPr>
        <w:pStyle w:val="ammcorpstexte"/>
        <w:ind w:left="851"/>
        <w:rPr>
          <w:rFonts w:ascii="Times New Roman" w:hAnsi="Times New Roman" w:cs="Times New Roman"/>
        </w:rPr>
      </w:pPr>
    </w:p>
    <w:p w:rsidR="00912566" w:rsidRDefault="00912566" w:rsidP="00912566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4.5</w:t>
      </w:r>
      <w:r>
        <w:rPr>
          <w:b/>
          <w:sz w:val="24"/>
          <w:szCs w:val="24"/>
        </w:rPr>
        <w:tab/>
        <w:t>Interaktion med andre lægemidler og andre former for interaktion</w:t>
      </w:r>
    </w:p>
    <w:p w:rsidR="00912566" w:rsidRPr="00E55C84" w:rsidRDefault="00912566" w:rsidP="00912566">
      <w:pPr>
        <w:pStyle w:val="ammcorpstexte"/>
        <w:ind w:left="851"/>
        <w:rPr>
          <w:rFonts w:ascii="Times New Roman" w:hAnsi="Times New Roman" w:cs="Times New Roman"/>
        </w:rPr>
      </w:pPr>
      <w:r w:rsidRPr="007F325C">
        <w:rPr>
          <w:rFonts w:ascii="Times New Roman" w:hAnsi="Times New Roman" w:cs="Times New Roman"/>
        </w:rPr>
        <w:t xml:space="preserve">Der er en mulighed for, at absorptionen af andre lægemidler midlertidigt kan blive reduceret under anvendelse sammen med </w:t>
      </w:r>
      <w:proofErr w:type="spellStart"/>
      <w:r w:rsidRPr="007F325C">
        <w:rPr>
          <w:rFonts w:ascii="Times New Roman" w:hAnsi="Times New Roman" w:cs="Times New Roman"/>
        </w:rPr>
        <w:t>Casenlax</w:t>
      </w:r>
      <w:proofErr w:type="spellEnd"/>
      <w:r w:rsidRPr="007F325C">
        <w:rPr>
          <w:rFonts w:ascii="Times New Roman" w:hAnsi="Times New Roman" w:cs="Times New Roman"/>
        </w:rPr>
        <w:t xml:space="preserve">. Den terapeutiske virkning af lægemidler med et smalt, terapeutisk indeks kan blive særligt påvirket (f.eks. </w:t>
      </w:r>
      <w:proofErr w:type="spellStart"/>
      <w:r w:rsidRPr="007F325C">
        <w:rPr>
          <w:rFonts w:ascii="Times New Roman" w:hAnsi="Times New Roman" w:cs="Times New Roman"/>
        </w:rPr>
        <w:t>antiepileptika</w:t>
      </w:r>
      <w:proofErr w:type="spellEnd"/>
      <w:r w:rsidRPr="007F325C">
        <w:rPr>
          <w:rFonts w:ascii="Times New Roman" w:hAnsi="Times New Roman" w:cs="Times New Roman"/>
        </w:rPr>
        <w:t xml:space="preserve">, </w:t>
      </w:r>
      <w:proofErr w:type="spellStart"/>
      <w:r w:rsidRPr="007F325C">
        <w:rPr>
          <w:rFonts w:ascii="Times New Roman" w:hAnsi="Times New Roman" w:cs="Times New Roman"/>
        </w:rPr>
        <w:t>digoxin</w:t>
      </w:r>
      <w:proofErr w:type="spellEnd"/>
      <w:r w:rsidRPr="007F325C">
        <w:rPr>
          <w:rFonts w:ascii="Times New Roman" w:hAnsi="Times New Roman" w:cs="Times New Roman"/>
        </w:rPr>
        <w:t xml:space="preserve"> og immunsupprimerende midler).</w:t>
      </w:r>
    </w:p>
    <w:p w:rsidR="00912566" w:rsidRDefault="00912566" w:rsidP="00912566">
      <w:pPr>
        <w:tabs>
          <w:tab w:val="left" w:pos="851"/>
        </w:tabs>
        <w:rPr>
          <w:sz w:val="24"/>
          <w:szCs w:val="24"/>
        </w:rPr>
      </w:pPr>
    </w:p>
    <w:p w:rsidR="00912566" w:rsidRDefault="00912566" w:rsidP="00912566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4.6</w:t>
      </w:r>
      <w:r>
        <w:rPr>
          <w:b/>
          <w:sz w:val="24"/>
          <w:szCs w:val="24"/>
        </w:rPr>
        <w:tab/>
        <w:t>Graviditet og amning</w:t>
      </w:r>
    </w:p>
    <w:p w:rsidR="00912566" w:rsidRPr="00F178EB" w:rsidRDefault="00912566" w:rsidP="00912566">
      <w:pPr>
        <w:pStyle w:val="Titel"/>
        <w:tabs>
          <w:tab w:val="right" w:pos="9356"/>
        </w:tabs>
        <w:ind w:left="851"/>
        <w:jc w:val="left"/>
        <w:rPr>
          <w:b w:val="0"/>
          <w:szCs w:val="24"/>
          <w:u w:val="single"/>
          <w:lang w:eastAsia="en-US"/>
        </w:rPr>
      </w:pPr>
      <w:r w:rsidRPr="00F178EB">
        <w:rPr>
          <w:b w:val="0"/>
          <w:szCs w:val="24"/>
          <w:u w:val="single"/>
          <w:lang w:eastAsia="en-US"/>
        </w:rPr>
        <w:t>Graviditet</w:t>
      </w:r>
    </w:p>
    <w:p w:rsidR="00912566" w:rsidRPr="00F178EB" w:rsidRDefault="00912566" w:rsidP="00912566">
      <w:pPr>
        <w:pStyle w:val="Titel"/>
        <w:tabs>
          <w:tab w:val="right" w:pos="9356"/>
        </w:tabs>
        <w:ind w:left="851"/>
        <w:jc w:val="left"/>
        <w:rPr>
          <w:b w:val="0"/>
          <w:szCs w:val="24"/>
          <w:lang w:eastAsia="en-US"/>
        </w:rPr>
      </w:pPr>
      <w:r w:rsidRPr="00F178EB">
        <w:rPr>
          <w:b w:val="0"/>
          <w:szCs w:val="24"/>
          <w:lang w:eastAsia="en-US"/>
        </w:rPr>
        <w:t xml:space="preserve">Der forventes ingen virkning på graviditeten, da systemisk eksponering ved </w:t>
      </w:r>
      <w:proofErr w:type="spellStart"/>
      <w:r w:rsidRPr="00F178EB">
        <w:rPr>
          <w:b w:val="0"/>
          <w:szCs w:val="24"/>
          <w:lang w:eastAsia="en-US"/>
        </w:rPr>
        <w:t>Casenlax</w:t>
      </w:r>
      <w:proofErr w:type="spellEnd"/>
      <w:r w:rsidRPr="00F178EB">
        <w:rPr>
          <w:b w:val="0"/>
          <w:szCs w:val="24"/>
          <w:lang w:eastAsia="en-US"/>
        </w:rPr>
        <w:t xml:space="preserve"> er ubetydelig. </w:t>
      </w:r>
      <w:proofErr w:type="spellStart"/>
      <w:r w:rsidRPr="00F178EB">
        <w:rPr>
          <w:b w:val="0"/>
          <w:szCs w:val="24"/>
          <w:lang w:eastAsia="en-US"/>
        </w:rPr>
        <w:t>Casenlax</w:t>
      </w:r>
      <w:proofErr w:type="spellEnd"/>
      <w:r w:rsidRPr="00F178EB">
        <w:rPr>
          <w:b w:val="0"/>
          <w:szCs w:val="24"/>
          <w:lang w:eastAsia="en-US"/>
        </w:rPr>
        <w:t xml:space="preserve"> kan anvendes under graviditet.</w:t>
      </w:r>
    </w:p>
    <w:p w:rsidR="00912566" w:rsidRPr="00F178EB" w:rsidRDefault="00912566" w:rsidP="00912566">
      <w:pPr>
        <w:pStyle w:val="Titel"/>
        <w:tabs>
          <w:tab w:val="right" w:pos="9356"/>
        </w:tabs>
        <w:ind w:left="851"/>
        <w:jc w:val="left"/>
        <w:rPr>
          <w:b w:val="0"/>
          <w:szCs w:val="24"/>
          <w:lang w:eastAsia="en-US"/>
        </w:rPr>
      </w:pPr>
      <w:bookmarkStart w:id="3" w:name="RcpConduite"/>
    </w:p>
    <w:p w:rsidR="00912566" w:rsidRPr="00F178EB" w:rsidRDefault="00912566" w:rsidP="00912566">
      <w:pPr>
        <w:pStyle w:val="Titel"/>
        <w:tabs>
          <w:tab w:val="right" w:pos="9356"/>
        </w:tabs>
        <w:ind w:left="851"/>
        <w:jc w:val="left"/>
        <w:rPr>
          <w:b w:val="0"/>
          <w:szCs w:val="24"/>
          <w:u w:val="single"/>
          <w:lang w:eastAsia="en-US"/>
        </w:rPr>
      </w:pPr>
      <w:r w:rsidRPr="00F178EB">
        <w:rPr>
          <w:b w:val="0"/>
          <w:szCs w:val="24"/>
          <w:u w:val="single"/>
          <w:lang w:eastAsia="en-US"/>
        </w:rPr>
        <w:t>Amning</w:t>
      </w:r>
      <w:bookmarkEnd w:id="3"/>
    </w:p>
    <w:p w:rsidR="00912566" w:rsidRPr="00F178EB" w:rsidRDefault="00912566" w:rsidP="00912566">
      <w:pPr>
        <w:pStyle w:val="Titel"/>
        <w:tabs>
          <w:tab w:val="right" w:pos="9356"/>
        </w:tabs>
        <w:ind w:left="851"/>
        <w:jc w:val="left"/>
        <w:rPr>
          <w:b w:val="0"/>
          <w:szCs w:val="24"/>
          <w:lang w:eastAsia="en-US"/>
        </w:rPr>
      </w:pPr>
      <w:r w:rsidRPr="00F178EB">
        <w:rPr>
          <w:b w:val="0"/>
          <w:szCs w:val="24"/>
          <w:lang w:eastAsia="en-US"/>
        </w:rPr>
        <w:t xml:space="preserve">Der forventes ingen virkning ved amning af nyfødte/spædbørn, da den systemiske eksponering ved </w:t>
      </w:r>
      <w:proofErr w:type="spellStart"/>
      <w:r w:rsidRPr="00F178EB">
        <w:rPr>
          <w:b w:val="0"/>
          <w:szCs w:val="24"/>
          <w:lang w:eastAsia="en-US"/>
        </w:rPr>
        <w:t>Macrogol</w:t>
      </w:r>
      <w:proofErr w:type="spellEnd"/>
      <w:r w:rsidRPr="00F178EB">
        <w:rPr>
          <w:b w:val="0"/>
          <w:szCs w:val="24"/>
          <w:lang w:eastAsia="en-US"/>
        </w:rPr>
        <w:t xml:space="preserve"> 4000 for den ammende kvinde er ubetydelig. </w:t>
      </w:r>
      <w:proofErr w:type="spellStart"/>
      <w:r w:rsidRPr="00F178EB">
        <w:rPr>
          <w:b w:val="0"/>
          <w:szCs w:val="24"/>
          <w:lang w:eastAsia="en-US"/>
        </w:rPr>
        <w:t>Casenlax</w:t>
      </w:r>
      <w:proofErr w:type="spellEnd"/>
      <w:r w:rsidRPr="00F178EB">
        <w:rPr>
          <w:b w:val="0"/>
          <w:szCs w:val="24"/>
          <w:lang w:eastAsia="en-US"/>
        </w:rPr>
        <w:t xml:space="preserve"> kan anvendes under amning.</w:t>
      </w:r>
    </w:p>
    <w:p w:rsidR="00912566" w:rsidRDefault="00912566" w:rsidP="00912566">
      <w:pPr>
        <w:pStyle w:val="Titel"/>
        <w:tabs>
          <w:tab w:val="right" w:pos="9356"/>
        </w:tabs>
        <w:ind w:left="851"/>
        <w:jc w:val="left"/>
        <w:rPr>
          <w:b w:val="0"/>
          <w:szCs w:val="24"/>
          <w:lang w:eastAsia="en-US"/>
        </w:rPr>
      </w:pPr>
    </w:p>
    <w:p w:rsidR="00912566" w:rsidRPr="00F178EB" w:rsidRDefault="00912566" w:rsidP="00912566">
      <w:pPr>
        <w:pStyle w:val="Titel"/>
        <w:tabs>
          <w:tab w:val="right" w:pos="9356"/>
        </w:tabs>
        <w:ind w:left="851"/>
        <w:jc w:val="left"/>
        <w:rPr>
          <w:b w:val="0"/>
          <w:szCs w:val="24"/>
          <w:u w:val="single"/>
          <w:lang w:eastAsia="en-US"/>
        </w:rPr>
      </w:pPr>
      <w:r w:rsidRPr="00F178EB">
        <w:rPr>
          <w:b w:val="0"/>
          <w:szCs w:val="24"/>
          <w:u w:val="single"/>
          <w:lang w:eastAsia="en-US"/>
        </w:rPr>
        <w:t>Fertilitet:</w:t>
      </w:r>
    </w:p>
    <w:p w:rsidR="00912566" w:rsidRPr="00F178EB" w:rsidRDefault="00912566" w:rsidP="00912566">
      <w:pPr>
        <w:pStyle w:val="Titel"/>
        <w:tabs>
          <w:tab w:val="right" w:pos="9356"/>
        </w:tabs>
        <w:ind w:left="851"/>
        <w:jc w:val="left"/>
        <w:rPr>
          <w:b w:val="0"/>
          <w:szCs w:val="24"/>
          <w:lang w:eastAsia="en-US"/>
        </w:rPr>
      </w:pPr>
      <w:r w:rsidRPr="00F178EB">
        <w:rPr>
          <w:b w:val="0"/>
          <w:szCs w:val="24"/>
          <w:lang w:eastAsia="en-US"/>
        </w:rPr>
        <w:t xml:space="preserve">Der er ikke udført fertilitetsstudier med </w:t>
      </w:r>
      <w:proofErr w:type="spellStart"/>
      <w:r w:rsidRPr="00F178EB">
        <w:rPr>
          <w:b w:val="0"/>
          <w:szCs w:val="24"/>
          <w:lang w:eastAsia="en-US"/>
        </w:rPr>
        <w:t>Casenlax</w:t>
      </w:r>
      <w:proofErr w:type="spellEnd"/>
      <w:r w:rsidRPr="00F178EB">
        <w:rPr>
          <w:b w:val="0"/>
          <w:szCs w:val="24"/>
          <w:lang w:eastAsia="en-US"/>
        </w:rPr>
        <w:t>, men der forventes</w:t>
      </w:r>
      <w:r>
        <w:rPr>
          <w:b w:val="0"/>
          <w:szCs w:val="24"/>
          <w:lang w:eastAsia="en-US"/>
        </w:rPr>
        <w:t xml:space="preserve"> ingen effekt på fertilitet, da </w:t>
      </w:r>
      <w:proofErr w:type="spellStart"/>
      <w:r w:rsidRPr="00F178EB">
        <w:rPr>
          <w:b w:val="0"/>
          <w:szCs w:val="24"/>
          <w:lang w:eastAsia="en-US"/>
        </w:rPr>
        <w:t>macrogol</w:t>
      </w:r>
      <w:proofErr w:type="spellEnd"/>
      <w:r w:rsidRPr="00F178EB">
        <w:rPr>
          <w:b w:val="0"/>
          <w:szCs w:val="24"/>
          <w:lang w:eastAsia="en-US"/>
        </w:rPr>
        <w:t xml:space="preserve"> 4000 ikke absorberes i betydelig grad.</w:t>
      </w:r>
    </w:p>
    <w:p w:rsidR="00912566" w:rsidRPr="00F178EB" w:rsidRDefault="00912566" w:rsidP="00912566">
      <w:pPr>
        <w:pStyle w:val="Titel"/>
        <w:tabs>
          <w:tab w:val="right" w:pos="9356"/>
        </w:tabs>
        <w:jc w:val="right"/>
        <w:rPr>
          <w:b w:val="0"/>
          <w:szCs w:val="24"/>
          <w:lang w:eastAsia="en-US"/>
        </w:rPr>
      </w:pPr>
    </w:p>
    <w:p w:rsidR="00912566" w:rsidRDefault="00912566" w:rsidP="00912566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4.7</w:t>
      </w:r>
      <w:r>
        <w:rPr>
          <w:b/>
          <w:sz w:val="24"/>
          <w:szCs w:val="24"/>
        </w:rPr>
        <w:tab/>
        <w:t>Virkninger på evnen til at føre motorkøretøj eller betjene maskiner</w:t>
      </w:r>
    </w:p>
    <w:p w:rsidR="00912566" w:rsidRDefault="00912566" w:rsidP="00912566">
      <w:pPr>
        <w:pStyle w:val="ammcorpstexte"/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Ikke mærkning.</w:t>
      </w:r>
    </w:p>
    <w:p w:rsidR="00912566" w:rsidRDefault="00912566" w:rsidP="00912566">
      <w:pPr>
        <w:pStyle w:val="ammcorpstexte"/>
        <w:ind w:left="851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Casenlex</w:t>
      </w:r>
      <w:proofErr w:type="spellEnd"/>
      <w:r>
        <w:rPr>
          <w:rFonts w:ascii="Times New Roman" w:hAnsi="Times New Roman" w:cs="Times New Roman"/>
        </w:rPr>
        <w:t xml:space="preserve"> påvirker ikke evnen til at føre motorkøretøj og betjene maskiner.</w:t>
      </w:r>
    </w:p>
    <w:p w:rsidR="00912566" w:rsidRDefault="00912566" w:rsidP="00912566">
      <w:pPr>
        <w:tabs>
          <w:tab w:val="left" w:pos="851"/>
        </w:tabs>
        <w:rPr>
          <w:sz w:val="24"/>
          <w:szCs w:val="24"/>
        </w:rPr>
      </w:pPr>
    </w:p>
    <w:p w:rsidR="00912566" w:rsidRDefault="00912566" w:rsidP="00912566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4.8</w:t>
      </w:r>
      <w:r>
        <w:rPr>
          <w:b/>
          <w:sz w:val="24"/>
          <w:szCs w:val="24"/>
        </w:rPr>
        <w:tab/>
        <w:t>Bivirkninger</w:t>
      </w:r>
    </w:p>
    <w:p w:rsidR="00912566" w:rsidRPr="00F178EB" w:rsidRDefault="00912566" w:rsidP="00912566">
      <w:pPr>
        <w:pStyle w:val="ammcorpstexte"/>
        <w:ind w:left="851"/>
        <w:jc w:val="both"/>
        <w:rPr>
          <w:rFonts w:ascii="Times New Roman" w:hAnsi="Times New Roman" w:cs="Times New Roman"/>
          <w:color w:val="auto"/>
          <w:szCs w:val="22"/>
        </w:rPr>
      </w:pPr>
      <w:r w:rsidRPr="00F178EB">
        <w:rPr>
          <w:rFonts w:ascii="Times New Roman" w:hAnsi="Times New Roman" w:cs="Times New Roman"/>
          <w:color w:val="auto"/>
          <w:szCs w:val="22"/>
        </w:rPr>
        <w:t>Bivirkninger er opstillet under de følgende kategorier af hyppigheder:</w:t>
      </w:r>
    </w:p>
    <w:p w:rsidR="00912566" w:rsidRPr="00F178EB" w:rsidRDefault="00912566" w:rsidP="00912566">
      <w:pPr>
        <w:pStyle w:val="ammcorpstexte"/>
        <w:ind w:left="851"/>
        <w:jc w:val="both"/>
        <w:rPr>
          <w:rFonts w:ascii="Times New Roman" w:hAnsi="Times New Roman" w:cs="Times New Roman"/>
          <w:color w:val="auto"/>
          <w:szCs w:val="22"/>
        </w:rPr>
      </w:pPr>
      <w:r w:rsidRPr="00F178EB">
        <w:rPr>
          <w:rFonts w:ascii="Times New Roman" w:hAnsi="Times New Roman" w:cs="Times New Roman"/>
          <w:color w:val="auto"/>
          <w:szCs w:val="22"/>
        </w:rPr>
        <w:t>Meget almindelig (≥1/10), almindelig (≥1/100 til &lt;1/10), ikke almindelig (≥1/1.000 til &lt;1/100), sjælden (≥1/10.000 til &lt;1/1.000), meget sjælden (&lt;1/10.000), ikke kendt (kan ikke estimeres ud fra forhåndenværende data).</w:t>
      </w:r>
    </w:p>
    <w:p w:rsidR="00912566" w:rsidRDefault="00912566" w:rsidP="00912566">
      <w:pPr>
        <w:pStyle w:val="ammcorpstexte"/>
        <w:ind w:left="851"/>
        <w:jc w:val="both"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</w:p>
    <w:p w:rsidR="00912566" w:rsidRPr="00B973DE" w:rsidRDefault="00912566" w:rsidP="00912566">
      <w:pPr>
        <w:pStyle w:val="ammcorpstexte"/>
        <w:keepNext/>
        <w:ind w:left="851"/>
        <w:jc w:val="both"/>
        <w:rPr>
          <w:rFonts w:ascii="Times New Roman" w:hAnsi="Times New Roman" w:cs="Times New Roman"/>
          <w:b/>
          <w:color w:val="auto"/>
          <w:szCs w:val="22"/>
          <w:u w:val="single"/>
        </w:rPr>
      </w:pPr>
      <w:r w:rsidRPr="00B973DE">
        <w:rPr>
          <w:rFonts w:ascii="Times New Roman" w:hAnsi="Times New Roman" w:cs="Times New Roman"/>
          <w:b/>
          <w:color w:val="auto"/>
          <w:szCs w:val="22"/>
          <w:u w:val="single"/>
        </w:rPr>
        <w:t>Pædiatrisk population:</w:t>
      </w:r>
    </w:p>
    <w:p w:rsidR="00912566" w:rsidRDefault="00912566" w:rsidP="00912566">
      <w:pPr>
        <w:pStyle w:val="ammcorpstexte"/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Bivirkningerne opstillet i den nedenstående tabel er blevet rapporteret i løbet af kliniske studier med 147 børn i alderen 6 måneder til 15 år og fra brug efter markedsføring. Generelt har bivirkningerne været lette og forbigående, og de har primært involveret mave-tarm-kanalen.</w:t>
      </w:r>
    </w:p>
    <w:p w:rsidR="00912566" w:rsidRDefault="00912566" w:rsidP="00912566">
      <w:pPr>
        <w:pStyle w:val="ammcorpstexte"/>
        <w:ind w:left="851"/>
        <w:rPr>
          <w:rFonts w:ascii="Times New Roman" w:hAnsi="Times New Roman" w:cs="Times New Roman"/>
        </w:rPr>
      </w:pPr>
    </w:p>
    <w:tbl>
      <w:tblPr>
        <w:tblW w:w="0" w:type="auto"/>
        <w:tblInd w:w="10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8"/>
        <w:gridCol w:w="3686"/>
      </w:tblGrid>
      <w:tr w:rsidR="00912566" w:rsidTr="003B4BCE">
        <w:trPr>
          <w:tblHeader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566" w:rsidRDefault="00912566" w:rsidP="003B4BCE">
            <w:pPr>
              <w:pStyle w:val="ammcorpstext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SYSTEMORGANKLASSE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566" w:rsidRDefault="00912566" w:rsidP="003B4BCE">
            <w:pPr>
              <w:pStyle w:val="ammcorpstext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BIVIRKNINGER</w:t>
            </w:r>
          </w:p>
        </w:tc>
      </w:tr>
      <w:tr w:rsidR="00912566" w:rsidTr="003B4BCE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566" w:rsidRDefault="00912566" w:rsidP="003B4BCE">
            <w:pPr>
              <w:pStyle w:val="ammcorpstext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Immunsystemet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66" w:rsidRDefault="00912566" w:rsidP="003B4BCE">
            <w:pPr>
              <w:pStyle w:val="ammcorpstexte"/>
              <w:rPr>
                <w:rFonts w:ascii="Times New Roman" w:hAnsi="Times New Roman" w:cs="Times New Roman"/>
              </w:rPr>
            </w:pPr>
          </w:p>
        </w:tc>
      </w:tr>
      <w:tr w:rsidR="00912566" w:rsidTr="003B4BCE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566" w:rsidRDefault="00912566" w:rsidP="003B4BCE">
            <w:pPr>
              <w:pStyle w:val="ammcorpstext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Ikke kendt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566" w:rsidRPr="00A2215C" w:rsidRDefault="00912566" w:rsidP="003B4BCE">
            <w:pPr>
              <w:pStyle w:val="ammcorpstexte"/>
              <w:rPr>
                <w:rFonts w:ascii="Times New Roman" w:hAnsi="Times New Roman" w:cs="Times New Roman"/>
              </w:rPr>
            </w:pPr>
            <w:r w:rsidRPr="00A2215C">
              <w:rPr>
                <w:rFonts w:ascii="Times New Roman" w:hAnsi="Times New Roman" w:cs="Times New Roman"/>
              </w:rPr>
              <w:t>Overfølsomhedsreaktioner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2B31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1A2B31">
              <w:rPr>
                <w:rFonts w:ascii="Times New Roman" w:hAnsi="Times New Roman" w:cs="Times New Roman"/>
                <w:sz w:val="22"/>
                <w:szCs w:val="22"/>
              </w:rPr>
              <w:t>Anafylaktisk</w:t>
            </w:r>
            <w:proofErr w:type="spellEnd"/>
            <w:r w:rsidRPr="001A2B3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A2B31">
              <w:rPr>
                <w:rFonts w:ascii="Times New Roman" w:hAnsi="Times New Roman" w:cs="Times New Roman"/>
                <w:sz w:val="22"/>
                <w:szCs w:val="22"/>
              </w:rPr>
              <w:t>shock</w:t>
            </w:r>
            <w:proofErr w:type="spellEnd"/>
            <w:r w:rsidRPr="001A2B3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1A2B31">
              <w:rPr>
                <w:rFonts w:ascii="Times New Roman" w:hAnsi="Times New Roman" w:cs="Times New Roman"/>
                <w:sz w:val="22"/>
                <w:szCs w:val="22"/>
              </w:rPr>
              <w:t>angioødem</w:t>
            </w:r>
            <w:proofErr w:type="spellEnd"/>
            <w:r w:rsidRPr="001A2B3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1A2B31">
              <w:rPr>
                <w:rFonts w:ascii="Times New Roman" w:hAnsi="Times New Roman" w:cs="Times New Roman"/>
                <w:sz w:val="22"/>
                <w:szCs w:val="22"/>
              </w:rPr>
              <w:t>urticaria</w:t>
            </w:r>
            <w:proofErr w:type="spellEnd"/>
            <w:r w:rsidRPr="001A2B31">
              <w:rPr>
                <w:rFonts w:ascii="Times New Roman" w:hAnsi="Times New Roman" w:cs="Times New Roman"/>
                <w:sz w:val="22"/>
                <w:szCs w:val="22"/>
              </w:rPr>
              <w:t xml:space="preserve">, udslæt, </w:t>
            </w:r>
            <w:proofErr w:type="spellStart"/>
            <w:r w:rsidRPr="001A2B31">
              <w:rPr>
                <w:rFonts w:ascii="Times New Roman" w:hAnsi="Times New Roman" w:cs="Times New Roman"/>
                <w:sz w:val="22"/>
                <w:szCs w:val="22"/>
              </w:rPr>
              <w:t>pruritus</w:t>
            </w:r>
            <w:proofErr w:type="spellEnd"/>
            <w:r w:rsidRPr="001A2B31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912566" w:rsidTr="003B4BCE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566" w:rsidRDefault="00912566" w:rsidP="003B4BCE">
            <w:pPr>
              <w:pStyle w:val="ammcorpstext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Mave-tarm-kanalen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66" w:rsidRDefault="00912566" w:rsidP="003B4BCE">
            <w:pPr>
              <w:pStyle w:val="ammcorpstexte"/>
              <w:rPr>
                <w:rFonts w:ascii="Times New Roman" w:hAnsi="Times New Roman" w:cs="Times New Roman"/>
              </w:rPr>
            </w:pPr>
          </w:p>
        </w:tc>
      </w:tr>
      <w:tr w:rsidR="00912566" w:rsidTr="003B4BCE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566" w:rsidRDefault="00912566" w:rsidP="003B4BCE">
            <w:pPr>
              <w:pStyle w:val="ammcorpstext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Almindelig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566" w:rsidRDefault="00912566" w:rsidP="003B4BCE">
            <w:pPr>
              <w:pStyle w:val="ammcorpstexte"/>
              <w:keepNext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Abdominalsmerter</w:t>
            </w:r>
            <w:proofErr w:type="spellEnd"/>
          </w:p>
          <w:p w:rsidR="00912566" w:rsidRDefault="00912566" w:rsidP="003B4BCE">
            <w:pPr>
              <w:pStyle w:val="ammcorpstexte"/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Diarré*</w:t>
            </w:r>
          </w:p>
        </w:tc>
      </w:tr>
      <w:tr w:rsidR="00912566" w:rsidTr="003B4BCE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566" w:rsidRDefault="00912566" w:rsidP="003B4BCE">
            <w:pPr>
              <w:pStyle w:val="ammcorpstext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Ikke almindelig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566" w:rsidRDefault="00912566" w:rsidP="003B4BCE">
            <w:pPr>
              <w:pStyle w:val="ammcorpstext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Opkastning</w:t>
            </w:r>
          </w:p>
          <w:p w:rsidR="00912566" w:rsidRDefault="00912566" w:rsidP="003B4BCE">
            <w:pPr>
              <w:pStyle w:val="ammcorpstext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Oppustet følelse</w:t>
            </w:r>
          </w:p>
          <w:p w:rsidR="00912566" w:rsidRDefault="00912566" w:rsidP="003B4BCE">
            <w:pPr>
              <w:pStyle w:val="ammcorpstext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Kvalme</w:t>
            </w:r>
          </w:p>
        </w:tc>
      </w:tr>
    </w:tbl>
    <w:p w:rsidR="00912566" w:rsidRDefault="00912566" w:rsidP="00912566">
      <w:pPr>
        <w:pStyle w:val="ammcorpstexte"/>
        <w:ind w:left="851" w:firstLine="4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*Diarré kan forårsage perianal ømhed.</w:t>
      </w:r>
    </w:p>
    <w:p w:rsidR="00912566" w:rsidRDefault="00912566" w:rsidP="00912566">
      <w:pPr>
        <w:pStyle w:val="ammcorpstexte"/>
        <w:ind w:firstLine="851"/>
        <w:rPr>
          <w:rFonts w:ascii="Times New Roman" w:hAnsi="Times New Roman" w:cs="Times New Roman"/>
        </w:rPr>
      </w:pPr>
    </w:p>
    <w:p w:rsidR="00912566" w:rsidRDefault="00912566" w:rsidP="00912566">
      <w:pPr>
        <w:pStyle w:val="ammcorpstexte"/>
        <w:ind w:firstLine="851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Voksen population:</w:t>
      </w:r>
    </w:p>
    <w:p w:rsidR="00912566" w:rsidRDefault="00912566" w:rsidP="00912566">
      <w:pPr>
        <w:pStyle w:val="ammcorpstexte"/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Hos voksne er følgende bivirkninger blevet observeret i løbet af kliniske studier og ved brug efter markedsføring</w:t>
      </w:r>
    </w:p>
    <w:p w:rsidR="00912566" w:rsidRDefault="00912566" w:rsidP="00912566">
      <w:pPr>
        <w:pStyle w:val="ammcorpstexte"/>
        <w:ind w:left="851"/>
        <w:rPr>
          <w:rFonts w:ascii="Times New Roman" w:hAnsi="Times New Roman" w:cs="Times New Roman"/>
          <w:b/>
          <w:u w:val="single"/>
        </w:rPr>
      </w:pPr>
    </w:p>
    <w:tbl>
      <w:tblPr>
        <w:tblW w:w="0" w:type="auto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6"/>
        <w:gridCol w:w="4247"/>
      </w:tblGrid>
      <w:tr w:rsidR="00912566" w:rsidTr="003B4BCE">
        <w:trPr>
          <w:cantSplit/>
          <w:trHeight w:val="2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12566" w:rsidRDefault="00912566" w:rsidP="003B4BCE">
            <w:pPr>
              <w:pStyle w:val="ammtableautitre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 w:val="0"/>
                <w:caps/>
              </w:rPr>
            </w:pPr>
            <w:r>
              <w:rPr>
                <w:rFonts w:ascii="Times New Roman" w:hAnsi="Times New Roman" w:cs="Times New Roman"/>
                <w:bCs w:val="0"/>
                <w:caps/>
              </w:rPr>
              <w:t>Systemorganklasse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12566" w:rsidRDefault="00912566" w:rsidP="003B4BCE">
            <w:pPr>
              <w:pStyle w:val="ammtableautitre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 w:val="0"/>
                <w:caps/>
              </w:rPr>
            </w:pPr>
            <w:r>
              <w:rPr>
                <w:rFonts w:ascii="Times New Roman" w:hAnsi="Times New Roman" w:cs="Times New Roman"/>
                <w:bCs w:val="0"/>
                <w:caps/>
              </w:rPr>
              <w:t>Bivirkninger</w:t>
            </w:r>
          </w:p>
        </w:tc>
      </w:tr>
      <w:tr w:rsidR="00912566" w:rsidTr="003B4BCE">
        <w:trPr>
          <w:cantSplit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12566" w:rsidRDefault="00912566" w:rsidP="003B4BCE">
            <w:pPr>
              <w:pStyle w:val="ammcorpstexte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Immunsystemet</w:t>
            </w:r>
          </w:p>
        </w:tc>
      </w:tr>
      <w:tr w:rsidR="00912566" w:rsidTr="003B4BCE">
        <w:trPr>
          <w:cantSplit/>
          <w:trHeight w:val="2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12566" w:rsidRDefault="00912566" w:rsidP="003B4BCE">
            <w:pPr>
              <w:pStyle w:val="ammcorpstexte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Meget sjælden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12566" w:rsidRDefault="00912566" w:rsidP="003B4BCE">
            <w:r>
              <w:t>Overfølsomhedsreaktioner (</w:t>
            </w:r>
            <w:proofErr w:type="spellStart"/>
            <w:r>
              <w:t>pruritus</w:t>
            </w:r>
            <w:proofErr w:type="spellEnd"/>
            <w:r>
              <w:t xml:space="preserve">, udslæt, ansigtsødem, </w:t>
            </w:r>
            <w:proofErr w:type="spellStart"/>
            <w:r>
              <w:t>Quinckes</w:t>
            </w:r>
            <w:proofErr w:type="spellEnd"/>
            <w:r>
              <w:t xml:space="preserve"> ødem, </w:t>
            </w:r>
            <w:proofErr w:type="spellStart"/>
            <w:r>
              <w:t>urticaria</w:t>
            </w:r>
            <w:proofErr w:type="spellEnd"/>
            <w:r>
              <w:t xml:space="preserve">, </w:t>
            </w:r>
            <w:proofErr w:type="spellStart"/>
            <w:r>
              <w:t>anafylaktisk</w:t>
            </w:r>
            <w:proofErr w:type="spellEnd"/>
            <w:r>
              <w:t xml:space="preserve"> </w:t>
            </w:r>
            <w:proofErr w:type="spellStart"/>
            <w:r>
              <w:t>shock</w:t>
            </w:r>
            <w:proofErr w:type="spellEnd"/>
            <w:r>
              <w:t>)</w:t>
            </w:r>
          </w:p>
        </w:tc>
      </w:tr>
      <w:tr w:rsidR="00912566" w:rsidTr="003B4BCE">
        <w:trPr>
          <w:cantSplit/>
          <w:trHeight w:val="24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2566" w:rsidRDefault="00912566" w:rsidP="003B4B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2566" w:rsidRDefault="00912566" w:rsidP="003B4BCE"/>
        </w:tc>
      </w:tr>
      <w:tr w:rsidR="00912566" w:rsidTr="003B4BCE">
        <w:trPr>
          <w:cantSplit/>
          <w:trHeight w:val="24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2566" w:rsidRPr="004D532F" w:rsidRDefault="00912566" w:rsidP="003B4BCE">
            <w:pPr>
              <w:jc w:val="both"/>
              <w:rPr>
                <w:sz w:val="24"/>
                <w:szCs w:val="24"/>
              </w:rPr>
            </w:pPr>
            <w:r w:rsidRPr="00332D3D">
              <w:rPr>
                <w:sz w:val="24"/>
                <w:szCs w:val="24"/>
              </w:rPr>
              <w:t>Ikke kendt</w:t>
            </w:r>
          </w:p>
        </w:tc>
        <w:tc>
          <w:tcPr>
            <w:tcW w:w="4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2566" w:rsidRPr="004D532F" w:rsidRDefault="00912566" w:rsidP="003B4BCE">
            <w:pPr>
              <w:rPr>
                <w:sz w:val="24"/>
                <w:szCs w:val="24"/>
              </w:rPr>
            </w:pPr>
            <w:proofErr w:type="spellStart"/>
            <w:r w:rsidRPr="00332D3D">
              <w:rPr>
                <w:sz w:val="24"/>
                <w:szCs w:val="24"/>
              </w:rPr>
              <w:t>Erytem</w:t>
            </w:r>
            <w:proofErr w:type="spellEnd"/>
          </w:p>
        </w:tc>
      </w:tr>
      <w:tr w:rsidR="00912566" w:rsidTr="003B4BCE">
        <w:trPr>
          <w:cantSplit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12566" w:rsidRDefault="00912566" w:rsidP="003B4BCE">
            <w:pPr>
              <w:pStyle w:val="ammcorpstexte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Mave-tarm-kanalen</w:t>
            </w:r>
          </w:p>
        </w:tc>
      </w:tr>
      <w:tr w:rsidR="00912566" w:rsidTr="003B4BCE">
        <w:trPr>
          <w:cantSplit/>
          <w:trHeight w:val="2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12566" w:rsidRDefault="00912566" w:rsidP="003B4BCE">
            <w:pPr>
              <w:pStyle w:val="ammcorpstexte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Almindelig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12566" w:rsidRDefault="00912566" w:rsidP="003B4BCE">
            <w:pPr>
              <w:pStyle w:val="ammcorpstexte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Abdominale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smerter og/eller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distension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912566" w:rsidTr="003B4BCE">
        <w:trPr>
          <w:cantSplit/>
          <w:trHeight w:val="24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2566" w:rsidRDefault="00912566" w:rsidP="003B4B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12566" w:rsidRDefault="00912566" w:rsidP="003B4BCE">
            <w:pPr>
              <w:pStyle w:val="ammcorpstexte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Kvalme, diarré</w:t>
            </w:r>
          </w:p>
        </w:tc>
      </w:tr>
      <w:tr w:rsidR="00912566" w:rsidTr="003B4BCE">
        <w:trPr>
          <w:cantSplit/>
          <w:trHeight w:val="2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12566" w:rsidRDefault="00912566" w:rsidP="003B4BCE">
            <w:pPr>
              <w:pStyle w:val="ammcorpstexte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Ikke almindelig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12566" w:rsidRPr="00332D3D" w:rsidRDefault="00912566" w:rsidP="003B4BCE">
            <w:pPr>
              <w:pStyle w:val="ammcorpstexte"/>
              <w:rPr>
                <w:rFonts w:ascii="Times New Roman" w:hAnsi="Times New Roman" w:cs="Times New Roman"/>
              </w:rPr>
            </w:pPr>
            <w:r w:rsidRPr="00332D3D">
              <w:rPr>
                <w:rFonts w:ascii="Times New Roman" w:hAnsi="Times New Roman" w:cs="Times New Roman"/>
              </w:rPr>
              <w:t>Opkastning</w:t>
            </w:r>
          </w:p>
          <w:p w:rsidR="00912566" w:rsidRPr="00F36BA5" w:rsidRDefault="00912566" w:rsidP="003B4BCE">
            <w:pPr>
              <w:pStyle w:val="ammcorpstexte"/>
              <w:rPr>
                <w:rFonts w:ascii="Times New Roman" w:hAnsi="Times New Roman" w:cs="Times New Roman"/>
                <w:color w:val="auto"/>
              </w:rPr>
            </w:pPr>
            <w:r w:rsidRPr="00F36BA5">
              <w:rPr>
                <w:rFonts w:ascii="Times New Roman" w:hAnsi="Times New Roman" w:cs="Times New Roman"/>
              </w:rPr>
              <w:t>Presserende afføringstrang og fækal inkontinens</w:t>
            </w:r>
          </w:p>
        </w:tc>
      </w:tr>
      <w:tr w:rsidR="00912566" w:rsidTr="003B4BCE">
        <w:trPr>
          <w:cantSplit/>
          <w:trHeight w:val="240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12566" w:rsidRPr="00F178EB" w:rsidRDefault="00912566" w:rsidP="003B4BCE">
            <w:pPr>
              <w:pStyle w:val="ammcorpstexte"/>
              <w:rPr>
                <w:rFonts w:ascii="Times New Roman" w:hAnsi="Times New Roman" w:cs="Times New Roman"/>
                <w:color w:val="auto"/>
              </w:rPr>
            </w:pPr>
            <w:r w:rsidRPr="00F178EB">
              <w:rPr>
                <w:rFonts w:ascii="Times New Roman" w:hAnsi="Times New Roman" w:cs="Times New Roman"/>
                <w:b/>
                <w:color w:val="auto"/>
              </w:rPr>
              <w:t>Metabolisme og ernæring</w:t>
            </w:r>
          </w:p>
        </w:tc>
      </w:tr>
      <w:tr w:rsidR="00912566" w:rsidTr="003B4BCE">
        <w:trPr>
          <w:cantSplit/>
          <w:trHeight w:val="2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12566" w:rsidRDefault="00912566" w:rsidP="003B4BCE">
            <w:pPr>
              <w:pStyle w:val="ammcorpstexte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Ikke kendt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12566" w:rsidRDefault="00912566" w:rsidP="003B4BCE">
            <w:pPr>
              <w:pStyle w:val="ammcorpstexte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Elektrolytforstyrrelser (</w:t>
            </w:r>
            <w:proofErr w:type="spellStart"/>
            <w:r>
              <w:rPr>
                <w:rFonts w:ascii="Times New Roman" w:hAnsi="Times New Roman" w:cs="Times New Roman"/>
              </w:rPr>
              <w:t>hyponatriæmi</w:t>
            </w:r>
            <w:proofErr w:type="spellEnd"/>
            <w:r>
              <w:rPr>
                <w:rFonts w:ascii="Times New Roman" w:hAnsi="Times New Roman" w:cs="Times New Roman"/>
              </w:rPr>
              <w:t xml:space="preserve"> og </w:t>
            </w:r>
            <w:proofErr w:type="spellStart"/>
            <w:r>
              <w:rPr>
                <w:rFonts w:ascii="Times New Roman" w:hAnsi="Times New Roman" w:cs="Times New Roman"/>
              </w:rPr>
              <w:t>hypokaliæmi</w:t>
            </w:r>
            <w:proofErr w:type="spellEnd"/>
            <w:r>
              <w:rPr>
                <w:rFonts w:ascii="Times New Roman" w:hAnsi="Times New Roman" w:cs="Times New Roman"/>
              </w:rPr>
              <w:t>) og/eller dehydrering, især hos ældre patienter</w:t>
            </w:r>
          </w:p>
        </w:tc>
      </w:tr>
    </w:tbl>
    <w:p w:rsidR="00912566" w:rsidRDefault="00912566" w:rsidP="00912566">
      <w:pPr>
        <w:pStyle w:val="ammannexetitre2"/>
        <w:spacing w:before="0" w:beforeAutospacing="0" w:after="0" w:afterAutospacing="0"/>
        <w:jc w:val="both"/>
        <w:rPr>
          <w:rFonts w:ascii="Times New Roman" w:hAnsi="Times New Roman" w:cs="Times New Roman"/>
          <w:bCs w:val="0"/>
          <w:color w:val="auto"/>
        </w:rPr>
      </w:pPr>
    </w:p>
    <w:p w:rsidR="00912566" w:rsidRPr="008C3B60" w:rsidRDefault="00912566" w:rsidP="00912566">
      <w:pPr>
        <w:autoSpaceDE w:val="0"/>
        <w:autoSpaceDN w:val="0"/>
        <w:ind w:left="851"/>
        <w:rPr>
          <w:sz w:val="24"/>
          <w:szCs w:val="24"/>
          <w:u w:val="single"/>
          <w:lang w:eastAsia="da-DK"/>
        </w:rPr>
      </w:pPr>
      <w:r w:rsidRPr="008C3B60">
        <w:rPr>
          <w:sz w:val="24"/>
          <w:szCs w:val="24"/>
          <w:u w:val="single"/>
          <w:lang w:eastAsia="da-DK"/>
        </w:rPr>
        <w:t>Indberetning af formodede bivirkninger</w:t>
      </w:r>
    </w:p>
    <w:p w:rsidR="00912566" w:rsidRPr="008C3B60" w:rsidRDefault="00912566" w:rsidP="00912566">
      <w:pPr>
        <w:ind w:left="851"/>
        <w:rPr>
          <w:sz w:val="24"/>
          <w:szCs w:val="24"/>
          <w:lang w:eastAsia="da-DK"/>
        </w:rPr>
      </w:pPr>
      <w:r w:rsidRPr="008C3B60">
        <w:rPr>
          <w:sz w:val="24"/>
          <w:szCs w:val="24"/>
          <w:lang w:eastAsia="da-DK"/>
        </w:rPr>
        <w:t>Når lægemidlet er godkendt, er indberetning af formodede bivirkninger vigtig. Det muliggør løbende overvågning af benefit/</w:t>
      </w:r>
      <w:proofErr w:type="spellStart"/>
      <w:r w:rsidRPr="008C3B60">
        <w:rPr>
          <w:sz w:val="24"/>
          <w:szCs w:val="24"/>
          <w:lang w:eastAsia="da-DK"/>
        </w:rPr>
        <w:t>risk</w:t>
      </w:r>
      <w:proofErr w:type="spellEnd"/>
      <w:r w:rsidRPr="008C3B60">
        <w:rPr>
          <w:sz w:val="24"/>
          <w:szCs w:val="24"/>
          <w:lang w:eastAsia="da-DK"/>
        </w:rPr>
        <w:t xml:space="preserve">-forholdet for lægemidlet. </w:t>
      </w:r>
      <w:r w:rsidR="00781C1D">
        <w:rPr>
          <w:sz w:val="24"/>
          <w:szCs w:val="24"/>
          <w:lang w:eastAsia="da-DK"/>
        </w:rPr>
        <w:t>S</w:t>
      </w:r>
      <w:r w:rsidRPr="008C3B60">
        <w:rPr>
          <w:sz w:val="24"/>
          <w:szCs w:val="24"/>
          <w:lang w:eastAsia="da-DK"/>
        </w:rPr>
        <w:t>undhedsperson</w:t>
      </w:r>
      <w:r w:rsidR="00781C1D">
        <w:rPr>
          <w:sz w:val="24"/>
          <w:szCs w:val="24"/>
          <w:lang w:eastAsia="da-DK"/>
        </w:rPr>
        <w:t>er</w:t>
      </w:r>
      <w:r w:rsidRPr="008C3B60">
        <w:rPr>
          <w:sz w:val="24"/>
          <w:szCs w:val="24"/>
          <w:lang w:eastAsia="da-DK"/>
        </w:rPr>
        <w:t xml:space="preserve"> anmodes om at indberette alle formodede bivirkninger via:</w:t>
      </w:r>
    </w:p>
    <w:p w:rsidR="00912566" w:rsidRPr="008C3B60" w:rsidRDefault="00912566" w:rsidP="00912566">
      <w:pPr>
        <w:ind w:left="851"/>
        <w:rPr>
          <w:sz w:val="24"/>
          <w:szCs w:val="24"/>
          <w:lang w:eastAsia="da-DK"/>
        </w:rPr>
      </w:pPr>
    </w:p>
    <w:p w:rsidR="00912566" w:rsidRPr="008C3B60" w:rsidRDefault="00912566" w:rsidP="00912566">
      <w:pPr>
        <w:ind w:left="851"/>
        <w:rPr>
          <w:sz w:val="24"/>
          <w:szCs w:val="24"/>
          <w:lang w:eastAsia="da-DK"/>
        </w:rPr>
      </w:pPr>
      <w:r w:rsidRPr="008C3B60">
        <w:rPr>
          <w:sz w:val="24"/>
          <w:szCs w:val="24"/>
          <w:lang w:eastAsia="da-DK"/>
        </w:rPr>
        <w:t>Lægemiddelstyrelsen</w:t>
      </w:r>
    </w:p>
    <w:p w:rsidR="00912566" w:rsidRPr="008C3B60" w:rsidRDefault="00912566" w:rsidP="00912566">
      <w:pPr>
        <w:ind w:left="851"/>
        <w:rPr>
          <w:sz w:val="24"/>
          <w:szCs w:val="24"/>
          <w:lang w:eastAsia="da-DK"/>
        </w:rPr>
      </w:pPr>
      <w:r w:rsidRPr="008C3B60">
        <w:rPr>
          <w:sz w:val="24"/>
          <w:szCs w:val="24"/>
          <w:lang w:eastAsia="da-DK"/>
        </w:rPr>
        <w:t>Axel Heides Gade 1</w:t>
      </w:r>
    </w:p>
    <w:p w:rsidR="00912566" w:rsidRPr="008C3B60" w:rsidRDefault="00912566" w:rsidP="00912566">
      <w:pPr>
        <w:ind w:left="851"/>
        <w:rPr>
          <w:sz w:val="24"/>
          <w:szCs w:val="24"/>
          <w:lang w:eastAsia="da-DK"/>
        </w:rPr>
      </w:pPr>
      <w:r w:rsidRPr="008C3B60">
        <w:rPr>
          <w:sz w:val="24"/>
          <w:szCs w:val="24"/>
          <w:lang w:eastAsia="da-DK"/>
        </w:rPr>
        <w:t>DK-2300 København S</w:t>
      </w:r>
    </w:p>
    <w:p w:rsidR="00912566" w:rsidRPr="008C3B60" w:rsidRDefault="00912566" w:rsidP="00912566">
      <w:pPr>
        <w:ind w:left="851"/>
        <w:rPr>
          <w:sz w:val="24"/>
          <w:szCs w:val="24"/>
          <w:lang w:val="en-US" w:eastAsia="da-DK"/>
        </w:rPr>
      </w:pPr>
      <w:proofErr w:type="spellStart"/>
      <w:r w:rsidRPr="008C3B60">
        <w:rPr>
          <w:sz w:val="24"/>
          <w:szCs w:val="24"/>
          <w:lang w:val="en-US" w:eastAsia="da-DK"/>
        </w:rPr>
        <w:t>Websted</w:t>
      </w:r>
      <w:proofErr w:type="spellEnd"/>
      <w:r w:rsidRPr="008C3B60">
        <w:rPr>
          <w:sz w:val="24"/>
          <w:szCs w:val="24"/>
          <w:lang w:val="en-US" w:eastAsia="da-DK"/>
        </w:rPr>
        <w:t xml:space="preserve">: </w:t>
      </w:r>
      <w:hyperlink r:id="rId9" w:history="1">
        <w:r w:rsidRPr="008C3B60">
          <w:rPr>
            <w:color w:val="0000FF"/>
            <w:sz w:val="24"/>
            <w:szCs w:val="24"/>
            <w:u w:val="single"/>
            <w:lang w:val="en-US" w:eastAsia="da-DK"/>
          </w:rPr>
          <w:t>www.meldenbivirkning.dk</w:t>
        </w:r>
      </w:hyperlink>
    </w:p>
    <w:p w:rsidR="00912566" w:rsidRDefault="00912566" w:rsidP="00912566">
      <w:pPr>
        <w:tabs>
          <w:tab w:val="left" w:pos="851"/>
        </w:tabs>
        <w:ind w:left="851" w:hanging="851"/>
        <w:rPr>
          <w:b/>
          <w:sz w:val="24"/>
          <w:szCs w:val="24"/>
          <w:lang w:val="en-US"/>
        </w:rPr>
      </w:pPr>
    </w:p>
    <w:p w:rsidR="00912566" w:rsidRDefault="00912566" w:rsidP="00912566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4.9</w:t>
      </w:r>
      <w:r>
        <w:rPr>
          <w:b/>
          <w:sz w:val="24"/>
          <w:szCs w:val="24"/>
        </w:rPr>
        <w:tab/>
        <w:t>Overdosering</w:t>
      </w:r>
    </w:p>
    <w:p w:rsidR="00912566" w:rsidRPr="004C01D0" w:rsidRDefault="00912566" w:rsidP="00912566">
      <w:pPr>
        <w:pStyle w:val="ammcorpstexte"/>
        <w:ind w:left="851"/>
        <w:rPr>
          <w:rFonts w:ascii="Times New Roman" w:hAnsi="Times New Roman" w:cs="Times New Roman"/>
        </w:rPr>
      </w:pPr>
      <w:r w:rsidRPr="004C01D0">
        <w:rPr>
          <w:rFonts w:ascii="Times New Roman" w:hAnsi="Times New Roman" w:cs="Times New Roman"/>
        </w:rPr>
        <w:t xml:space="preserve">Overdosering kan føre til diarré, </w:t>
      </w:r>
      <w:r w:rsidRPr="00332D3D">
        <w:rPr>
          <w:rFonts w:ascii="Times New Roman" w:hAnsi="Times New Roman" w:cs="Times New Roman"/>
        </w:rPr>
        <w:t>mavesmerter samt opkastning,</w:t>
      </w:r>
      <w:r>
        <w:t xml:space="preserve"> </w:t>
      </w:r>
      <w:r w:rsidRPr="004C01D0">
        <w:rPr>
          <w:rFonts w:ascii="Times New Roman" w:hAnsi="Times New Roman" w:cs="Times New Roman"/>
        </w:rPr>
        <w:t>som forsvinder, når beh</w:t>
      </w:r>
      <w:r>
        <w:rPr>
          <w:rFonts w:ascii="Times New Roman" w:hAnsi="Times New Roman" w:cs="Times New Roman"/>
        </w:rPr>
        <w:t>andlingen afbrydes midlertidigt</w:t>
      </w:r>
      <w:r w:rsidRPr="004C01D0">
        <w:rPr>
          <w:rFonts w:ascii="Times New Roman" w:hAnsi="Times New Roman" w:cs="Times New Roman"/>
        </w:rPr>
        <w:t xml:space="preserve"> eller når doseringen reduceres.</w:t>
      </w:r>
    </w:p>
    <w:p w:rsidR="00912566" w:rsidRDefault="00912566" w:rsidP="00912566">
      <w:pPr>
        <w:pStyle w:val="ammcorpstexte"/>
        <w:ind w:left="851"/>
        <w:rPr>
          <w:rFonts w:ascii="Times New Roman" w:hAnsi="Times New Roman" w:cs="Times New Roman"/>
        </w:rPr>
      </w:pPr>
    </w:p>
    <w:p w:rsidR="00912566" w:rsidRDefault="00912566" w:rsidP="00912566">
      <w:pPr>
        <w:pStyle w:val="ammcorpstexte"/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Omfattende væsketab pga. diarré eller opkastning kan kræve korrektion af elektrolytforstyrrelser.</w:t>
      </w:r>
    </w:p>
    <w:p w:rsidR="00912566" w:rsidRDefault="00912566" w:rsidP="00912566">
      <w:pPr>
        <w:pStyle w:val="ammcorpstexte"/>
        <w:ind w:left="851"/>
        <w:rPr>
          <w:rFonts w:ascii="Times New Roman" w:hAnsi="Times New Roman" w:cs="Times New Roman"/>
        </w:rPr>
      </w:pPr>
    </w:p>
    <w:p w:rsidR="00912566" w:rsidRDefault="00912566" w:rsidP="00912566">
      <w:pPr>
        <w:pStyle w:val="ammcorpstexte"/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Tilfælde af aspiration er blevet rapporteret, når omfattende voluminer af </w:t>
      </w:r>
      <w:proofErr w:type="spellStart"/>
      <w:r>
        <w:rPr>
          <w:rFonts w:ascii="Times New Roman" w:hAnsi="Times New Roman" w:cs="Times New Roman"/>
        </w:rPr>
        <w:t>macrogol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polyethylenglycol</w:t>
      </w:r>
      <w:proofErr w:type="spellEnd"/>
      <w:r>
        <w:rPr>
          <w:rFonts w:ascii="Times New Roman" w:hAnsi="Times New Roman" w:cs="Times New Roman"/>
        </w:rPr>
        <w:t xml:space="preserve">) og elektrolytter blev administreret via en </w:t>
      </w:r>
      <w:proofErr w:type="spellStart"/>
      <w:r>
        <w:rPr>
          <w:rFonts w:ascii="Times New Roman" w:hAnsi="Times New Roman" w:cs="Times New Roman"/>
        </w:rPr>
        <w:t>nasogastrisk</w:t>
      </w:r>
      <w:proofErr w:type="spellEnd"/>
      <w:r>
        <w:rPr>
          <w:rFonts w:ascii="Times New Roman" w:hAnsi="Times New Roman" w:cs="Times New Roman"/>
        </w:rPr>
        <w:t xml:space="preserve"> sonde. Neurologisk hæmmede børn med motoriske sygdomme har især risiko for aspiration.</w:t>
      </w:r>
    </w:p>
    <w:p w:rsidR="00912566" w:rsidRDefault="00912566" w:rsidP="00912566">
      <w:pPr>
        <w:pStyle w:val="ammcorpstexte"/>
        <w:ind w:left="851"/>
        <w:rPr>
          <w:rFonts w:ascii="Times New Roman" w:hAnsi="Times New Roman" w:cs="Times New Roman"/>
        </w:rPr>
      </w:pPr>
    </w:p>
    <w:p w:rsidR="00912566" w:rsidRDefault="00912566" w:rsidP="00912566">
      <w:pPr>
        <w:pStyle w:val="ammcorpstexte"/>
        <w:ind w:left="851"/>
        <w:rPr>
          <w:rFonts w:ascii="Times New Roman" w:hAnsi="Times New Roman" w:cs="Times New Roman"/>
        </w:rPr>
      </w:pPr>
      <w:bookmarkStart w:id="4" w:name="RcpPropPharmacologie"/>
      <w:bookmarkStart w:id="5" w:name="RcpPropPharmacodynamie"/>
      <w:r>
        <w:rPr>
          <w:rFonts w:ascii="Times New Roman" w:hAnsi="Times New Roman" w:cs="Times New Roman"/>
        </w:rPr>
        <w:t xml:space="preserve">Tilfælde af inflammation og perianal ømhed er blevet rapporteret, når omfattende voluminer af </w:t>
      </w:r>
      <w:proofErr w:type="spellStart"/>
      <w:r>
        <w:rPr>
          <w:rFonts w:ascii="Times New Roman" w:hAnsi="Times New Roman" w:cs="Times New Roman"/>
        </w:rPr>
        <w:t>macrogolopløsninger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polyethylenglycol</w:t>
      </w:r>
      <w:proofErr w:type="spellEnd"/>
      <w:r>
        <w:rPr>
          <w:rFonts w:ascii="Times New Roman" w:hAnsi="Times New Roman" w:cs="Times New Roman"/>
        </w:rPr>
        <w:t xml:space="preserve">) (4 til 11 liter) blev administreret, ved skylning af kolon før en </w:t>
      </w:r>
      <w:proofErr w:type="spellStart"/>
      <w:r>
        <w:rPr>
          <w:rFonts w:ascii="Times New Roman" w:hAnsi="Times New Roman" w:cs="Times New Roman"/>
        </w:rPr>
        <w:t>kolonoskopi</w:t>
      </w:r>
      <w:proofErr w:type="spellEnd"/>
      <w:r>
        <w:rPr>
          <w:rFonts w:ascii="Times New Roman" w:hAnsi="Times New Roman" w:cs="Times New Roman"/>
        </w:rPr>
        <w:t xml:space="preserve"> eller ved rensning af kolon i tilfælde af </w:t>
      </w:r>
      <w:proofErr w:type="spellStart"/>
      <w:r>
        <w:rPr>
          <w:rFonts w:ascii="Times New Roman" w:hAnsi="Times New Roman" w:cs="Times New Roman"/>
        </w:rPr>
        <w:t>enkoprese</w:t>
      </w:r>
      <w:proofErr w:type="spellEnd"/>
      <w:r>
        <w:rPr>
          <w:rFonts w:ascii="Times New Roman" w:hAnsi="Times New Roman" w:cs="Times New Roman"/>
        </w:rPr>
        <w:t>.</w:t>
      </w:r>
      <w:bookmarkEnd w:id="4"/>
      <w:bookmarkEnd w:id="5"/>
    </w:p>
    <w:p w:rsidR="00912566" w:rsidRDefault="00912566" w:rsidP="00912566">
      <w:pPr>
        <w:tabs>
          <w:tab w:val="left" w:pos="851"/>
        </w:tabs>
        <w:rPr>
          <w:sz w:val="24"/>
          <w:szCs w:val="24"/>
        </w:rPr>
      </w:pPr>
    </w:p>
    <w:p w:rsidR="00912566" w:rsidRDefault="00912566" w:rsidP="00912566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4.10</w:t>
      </w:r>
      <w:r>
        <w:rPr>
          <w:b/>
          <w:sz w:val="24"/>
          <w:szCs w:val="24"/>
        </w:rPr>
        <w:tab/>
        <w:t>Udlevering</w:t>
      </w:r>
    </w:p>
    <w:p w:rsidR="00912566" w:rsidRDefault="00912566" w:rsidP="00912566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>HA</w:t>
      </w:r>
    </w:p>
    <w:p w:rsidR="00912566" w:rsidRDefault="00912566" w:rsidP="00912566">
      <w:pPr>
        <w:tabs>
          <w:tab w:val="left" w:pos="851"/>
        </w:tabs>
        <w:rPr>
          <w:sz w:val="24"/>
          <w:szCs w:val="24"/>
        </w:rPr>
      </w:pPr>
    </w:p>
    <w:p w:rsidR="00912566" w:rsidRDefault="00912566" w:rsidP="00912566">
      <w:pPr>
        <w:tabs>
          <w:tab w:val="left" w:pos="851"/>
        </w:tabs>
        <w:rPr>
          <w:sz w:val="24"/>
          <w:szCs w:val="24"/>
        </w:rPr>
      </w:pPr>
    </w:p>
    <w:p w:rsidR="00912566" w:rsidRDefault="00912566" w:rsidP="00912566">
      <w:pPr>
        <w:keepNext/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b/>
          <w:sz w:val="24"/>
          <w:szCs w:val="24"/>
        </w:rPr>
        <w:tab/>
        <w:t>FARMAKOLOGISKE EGENSKABER</w:t>
      </w:r>
    </w:p>
    <w:p w:rsidR="00912566" w:rsidRDefault="00912566" w:rsidP="00912566">
      <w:pPr>
        <w:keepNext/>
        <w:tabs>
          <w:tab w:val="left" w:pos="851"/>
        </w:tabs>
        <w:rPr>
          <w:sz w:val="24"/>
          <w:szCs w:val="24"/>
        </w:rPr>
      </w:pPr>
    </w:p>
    <w:p w:rsidR="00912566" w:rsidRDefault="00912566" w:rsidP="00912566">
      <w:pPr>
        <w:keepNext/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5.0</w:t>
      </w:r>
      <w:r>
        <w:rPr>
          <w:b/>
          <w:sz w:val="24"/>
          <w:szCs w:val="24"/>
        </w:rPr>
        <w:tab/>
        <w:t>Terapeutisk klassifikation</w:t>
      </w:r>
    </w:p>
    <w:p w:rsidR="00912566" w:rsidRDefault="00912566" w:rsidP="00912566">
      <w:pPr>
        <w:keepNext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ATC-kode: A 06 AD 15. Midler mod obstipation. Osmotisk virkende </w:t>
      </w:r>
      <w:proofErr w:type="spellStart"/>
      <w:r>
        <w:rPr>
          <w:sz w:val="24"/>
          <w:szCs w:val="24"/>
        </w:rPr>
        <w:t>laksantia</w:t>
      </w:r>
      <w:proofErr w:type="spellEnd"/>
      <w:r>
        <w:rPr>
          <w:sz w:val="24"/>
          <w:szCs w:val="24"/>
        </w:rPr>
        <w:t>.</w:t>
      </w:r>
    </w:p>
    <w:p w:rsidR="00912566" w:rsidRDefault="00912566" w:rsidP="00912566">
      <w:pPr>
        <w:keepNext/>
        <w:tabs>
          <w:tab w:val="left" w:pos="851"/>
        </w:tabs>
        <w:rPr>
          <w:sz w:val="24"/>
          <w:szCs w:val="24"/>
        </w:rPr>
      </w:pPr>
    </w:p>
    <w:p w:rsidR="00912566" w:rsidRDefault="00912566" w:rsidP="00912566">
      <w:pPr>
        <w:tabs>
          <w:tab w:val="num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5.1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Farmakodynamiske</w:t>
      </w:r>
      <w:proofErr w:type="spellEnd"/>
      <w:r>
        <w:rPr>
          <w:b/>
          <w:sz w:val="24"/>
          <w:szCs w:val="24"/>
        </w:rPr>
        <w:t xml:space="preserve"> egenskaber</w:t>
      </w:r>
    </w:p>
    <w:p w:rsidR="00912566" w:rsidRDefault="00912566" w:rsidP="00912566">
      <w:pPr>
        <w:tabs>
          <w:tab w:val="num" w:pos="851"/>
        </w:tabs>
        <w:ind w:left="851" w:hanging="851"/>
        <w:rPr>
          <w:b/>
          <w:sz w:val="24"/>
          <w:szCs w:val="24"/>
        </w:rPr>
      </w:pPr>
    </w:p>
    <w:p w:rsidR="00912566" w:rsidRPr="004C01D0" w:rsidRDefault="00912566" w:rsidP="00912566">
      <w:pPr>
        <w:ind w:left="851"/>
        <w:rPr>
          <w:sz w:val="24"/>
          <w:szCs w:val="24"/>
        </w:rPr>
      </w:pPr>
      <w:bookmarkStart w:id="6" w:name="RcpSecuritePreclinique"/>
      <w:r w:rsidRPr="004C01D0">
        <w:rPr>
          <w:sz w:val="24"/>
          <w:szCs w:val="24"/>
        </w:rPr>
        <w:t xml:space="preserve">Højmolekylære (4000) </w:t>
      </w:r>
      <w:proofErr w:type="spellStart"/>
      <w:r w:rsidRPr="004C01D0">
        <w:rPr>
          <w:sz w:val="24"/>
          <w:szCs w:val="24"/>
        </w:rPr>
        <w:t>macrogoler</w:t>
      </w:r>
      <w:proofErr w:type="spellEnd"/>
      <w:r w:rsidRPr="004C01D0">
        <w:rPr>
          <w:sz w:val="24"/>
          <w:szCs w:val="24"/>
        </w:rPr>
        <w:t xml:space="preserve"> er lange, lineære polymerer, som tilbageholder vandmolekyler ved hjælp af hydrogenbindinger. Når de administreres oralt, fører de til et øget volumen af tarmvæske. </w:t>
      </w:r>
      <w:r w:rsidRPr="00162FC3">
        <w:rPr>
          <w:sz w:val="24"/>
          <w:szCs w:val="24"/>
        </w:rPr>
        <w:t>Det er grunden til, at adækvat hydrering er vigtig under behandlingen.</w:t>
      </w:r>
    </w:p>
    <w:p w:rsidR="00912566" w:rsidRDefault="00912566" w:rsidP="00912566">
      <w:pPr>
        <w:ind w:left="851"/>
        <w:rPr>
          <w:sz w:val="24"/>
          <w:szCs w:val="24"/>
        </w:rPr>
      </w:pPr>
      <w:r>
        <w:rPr>
          <w:sz w:val="24"/>
          <w:szCs w:val="24"/>
        </w:rPr>
        <w:t>Dette volumen af ikke-absorberet tarmvæske udgør opløsningens afførende egenskaber.</w:t>
      </w:r>
      <w:bookmarkEnd w:id="6"/>
    </w:p>
    <w:p w:rsidR="00912566" w:rsidRDefault="00912566" w:rsidP="00912566">
      <w:pPr>
        <w:tabs>
          <w:tab w:val="left" w:pos="851"/>
        </w:tabs>
        <w:rPr>
          <w:sz w:val="24"/>
          <w:szCs w:val="24"/>
        </w:rPr>
      </w:pPr>
    </w:p>
    <w:p w:rsidR="00912566" w:rsidRDefault="00912566" w:rsidP="00912566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5.2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Farmakokinetiske</w:t>
      </w:r>
      <w:proofErr w:type="spellEnd"/>
      <w:r>
        <w:rPr>
          <w:b/>
          <w:sz w:val="24"/>
          <w:szCs w:val="24"/>
        </w:rPr>
        <w:t xml:space="preserve"> egenskaber</w:t>
      </w:r>
    </w:p>
    <w:p w:rsidR="00912566" w:rsidRDefault="00912566" w:rsidP="00912566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De </w:t>
      </w:r>
      <w:proofErr w:type="spellStart"/>
      <w:r>
        <w:rPr>
          <w:sz w:val="24"/>
          <w:szCs w:val="24"/>
        </w:rPr>
        <w:t>farmakokinetiske</w:t>
      </w:r>
      <w:proofErr w:type="spellEnd"/>
      <w:r>
        <w:rPr>
          <w:sz w:val="24"/>
          <w:szCs w:val="24"/>
        </w:rPr>
        <w:t xml:space="preserve"> data bekræfter, at </w:t>
      </w:r>
      <w:proofErr w:type="spellStart"/>
      <w:r>
        <w:rPr>
          <w:sz w:val="24"/>
          <w:szCs w:val="24"/>
        </w:rPr>
        <w:t>macrogol</w:t>
      </w:r>
      <w:proofErr w:type="spellEnd"/>
      <w:r>
        <w:rPr>
          <w:sz w:val="24"/>
          <w:szCs w:val="24"/>
        </w:rPr>
        <w:t xml:space="preserve"> 4000 hverken gennemgår mave-tarm-</w:t>
      </w:r>
      <w:proofErr w:type="spellStart"/>
      <w:r>
        <w:rPr>
          <w:sz w:val="24"/>
          <w:szCs w:val="24"/>
        </w:rPr>
        <w:t>reabsorption</w:t>
      </w:r>
      <w:proofErr w:type="spellEnd"/>
      <w:r>
        <w:rPr>
          <w:sz w:val="24"/>
          <w:szCs w:val="24"/>
        </w:rPr>
        <w:t xml:space="preserve"> eller biotransformation efter oral indtagelse.</w:t>
      </w:r>
    </w:p>
    <w:p w:rsidR="00912566" w:rsidRDefault="00912566" w:rsidP="00912566">
      <w:pPr>
        <w:tabs>
          <w:tab w:val="left" w:pos="851"/>
        </w:tabs>
        <w:rPr>
          <w:sz w:val="24"/>
          <w:szCs w:val="24"/>
        </w:rPr>
      </w:pPr>
    </w:p>
    <w:p w:rsidR="00912566" w:rsidRDefault="00912566" w:rsidP="00912566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5.3</w:t>
      </w:r>
      <w:r>
        <w:rPr>
          <w:b/>
          <w:sz w:val="24"/>
          <w:szCs w:val="24"/>
        </w:rPr>
        <w:tab/>
        <w:t>Prækliniske sikkerhedsdata</w:t>
      </w:r>
    </w:p>
    <w:p w:rsidR="00912566" w:rsidRDefault="00912566" w:rsidP="00912566">
      <w:pPr>
        <w:ind w:left="851"/>
        <w:rPr>
          <w:sz w:val="24"/>
          <w:szCs w:val="24"/>
        </w:rPr>
      </w:pPr>
      <w:r>
        <w:rPr>
          <w:sz w:val="24"/>
          <w:szCs w:val="24"/>
        </w:rPr>
        <w:t>Toksikologiske studier udført hos forskellige dyrearter afdækkede ingen tegn på systemisk eller lokal mave-tarm-toksicitet.</w:t>
      </w:r>
      <w:r>
        <w:rPr>
          <w:b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Macrogol</w:t>
      </w:r>
      <w:proofErr w:type="spellEnd"/>
      <w:r>
        <w:rPr>
          <w:sz w:val="24"/>
          <w:szCs w:val="24"/>
        </w:rPr>
        <w:t xml:space="preserve"> 4000 havde ingen </w:t>
      </w:r>
      <w:proofErr w:type="spellStart"/>
      <w:r>
        <w:rPr>
          <w:sz w:val="24"/>
          <w:szCs w:val="24"/>
        </w:rPr>
        <w:t>teratogen</w:t>
      </w:r>
      <w:proofErr w:type="spellEnd"/>
      <w:r>
        <w:rPr>
          <w:sz w:val="24"/>
          <w:szCs w:val="24"/>
        </w:rPr>
        <w:t xml:space="preserve"> eller mutagen virkning. </w:t>
      </w:r>
    </w:p>
    <w:p w:rsidR="00912566" w:rsidRDefault="00912566" w:rsidP="00912566">
      <w:pPr>
        <w:ind w:left="851"/>
        <w:rPr>
          <w:sz w:val="24"/>
          <w:szCs w:val="24"/>
        </w:rPr>
      </w:pPr>
    </w:p>
    <w:p w:rsidR="00912566" w:rsidRDefault="00912566" w:rsidP="00912566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Der er ikke udført studier af </w:t>
      </w:r>
      <w:proofErr w:type="spellStart"/>
      <w:r>
        <w:rPr>
          <w:sz w:val="24"/>
          <w:szCs w:val="24"/>
        </w:rPr>
        <w:t>karcinogenicitet</w:t>
      </w:r>
      <w:proofErr w:type="spellEnd"/>
      <w:r>
        <w:rPr>
          <w:sz w:val="24"/>
          <w:szCs w:val="24"/>
        </w:rPr>
        <w:t>.</w:t>
      </w:r>
    </w:p>
    <w:p w:rsidR="00912566" w:rsidRDefault="00912566" w:rsidP="00912566">
      <w:pPr>
        <w:ind w:left="851"/>
        <w:rPr>
          <w:sz w:val="24"/>
          <w:szCs w:val="24"/>
        </w:rPr>
      </w:pPr>
    </w:p>
    <w:p w:rsidR="00912566" w:rsidRDefault="00912566" w:rsidP="00912566">
      <w:pPr>
        <w:pStyle w:val="ammcorpstexte"/>
        <w:ind w:left="851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Macrogol</w:t>
      </w:r>
      <w:proofErr w:type="spellEnd"/>
      <w:r>
        <w:rPr>
          <w:rFonts w:ascii="Times New Roman" w:hAnsi="Times New Roman" w:cs="Times New Roman"/>
        </w:rPr>
        <w:t xml:space="preserve"> 4000 var ikke </w:t>
      </w:r>
      <w:proofErr w:type="spellStart"/>
      <w:r>
        <w:rPr>
          <w:rFonts w:ascii="Times New Roman" w:hAnsi="Times New Roman" w:cs="Times New Roman"/>
        </w:rPr>
        <w:t>teratogent</w:t>
      </w:r>
      <w:proofErr w:type="spellEnd"/>
      <w:r>
        <w:rPr>
          <w:rFonts w:ascii="Times New Roman" w:hAnsi="Times New Roman" w:cs="Times New Roman"/>
        </w:rPr>
        <w:t xml:space="preserve"> hos rotter eller kaniner.</w:t>
      </w:r>
    </w:p>
    <w:p w:rsidR="00912566" w:rsidRDefault="00912566" w:rsidP="00912566">
      <w:pPr>
        <w:tabs>
          <w:tab w:val="left" w:pos="851"/>
        </w:tabs>
        <w:rPr>
          <w:sz w:val="24"/>
          <w:szCs w:val="24"/>
        </w:rPr>
      </w:pPr>
    </w:p>
    <w:p w:rsidR="00912566" w:rsidRDefault="00912566" w:rsidP="00912566">
      <w:pPr>
        <w:tabs>
          <w:tab w:val="left" w:pos="851"/>
        </w:tabs>
        <w:rPr>
          <w:sz w:val="24"/>
          <w:szCs w:val="24"/>
        </w:rPr>
      </w:pPr>
    </w:p>
    <w:p w:rsidR="00912566" w:rsidRDefault="00912566" w:rsidP="00912566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6.</w:t>
      </w:r>
      <w:r>
        <w:rPr>
          <w:b/>
          <w:sz w:val="24"/>
          <w:szCs w:val="24"/>
        </w:rPr>
        <w:tab/>
        <w:t>FARMACEUTISKE OPLYSNINGER</w:t>
      </w:r>
    </w:p>
    <w:p w:rsidR="00912566" w:rsidRDefault="00912566" w:rsidP="00912566">
      <w:pPr>
        <w:tabs>
          <w:tab w:val="left" w:pos="851"/>
        </w:tabs>
        <w:rPr>
          <w:b/>
          <w:sz w:val="24"/>
          <w:szCs w:val="24"/>
        </w:rPr>
      </w:pPr>
    </w:p>
    <w:p w:rsidR="00912566" w:rsidRDefault="00912566" w:rsidP="00912566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6.1</w:t>
      </w:r>
      <w:r>
        <w:rPr>
          <w:b/>
          <w:sz w:val="24"/>
          <w:szCs w:val="24"/>
        </w:rPr>
        <w:tab/>
        <w:t>Hjælpestoffer</w:t>
      </w:r>
    </w:p>
    <w:p w:rsidR="00912566" w:rsidRDefault="00912566" w:rsidP="00912566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Saccharinnatrium</w:t>
      </w:r>
      <w:proofErr w:type="spellEnd"/>
      <w:r>
        <w:rPr>
          <w:sz w:val="24"/>
          <w:szCs w:val="24"/>
        </w:rPr>
        <w:t xml:space="preserve"> (E954)</w:t>
      </w:r>
    </w:p>
    <w:p w:rsidR="00781C1D" w:rsidRDefault="00781C1D" w:rsidP="00781C1D">
      <w:pPr>
        <w:ind w:left="851"/>
        <w:rPr>
          <w:sz w:val="24"/>
          <w:szCs w:val="24"/>
        </w:rPr>
      </w:pPr>
      <w:r>
        <w:rPr>
          <w:sz w:val="24"/>
          <w:szCs w:val="24"/>
        </w:rPr>
        <w:t>Jordbæraroma (</w:t>
      </w:r>
      <w:proofErr w:type="spellStart"/>
      <w:r>
        <w:rPr>
          <w:sz w:val="24"/>
          <w:szCs w:val="24"/>
        </w:rPr>
        <w:t>maltodextrin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triethylcitrat</w:t>
      </w:r>
      <w:proofErr w:type="spellEnd"/>
      <w:r>
        <w:rPr>
          <w:sz w:val="24"/>
          <w:szCs w:val="24"/>
        </w:rPr>
        <w:t xml:space="preserve"> E1505, gummi </w:t>
      </w:r>
      <w:proofErr w:type="spellStart"/>
      <w:r>
        <w:rPr>
          <w:sz w:val="24"/>
          <w:szCs w:val="24"/>
        </w:rPr>
        <w:t>arabicum</w:t>
      </w:r>
      <w:proofErr w:type="spellEnd"/>
      <w:r>
        <w:rPr>
          <w:sz w:val="24"/>
          <w:szCs w:val="24"/>
        </w:rPr>
        <w:t xml:space="preserve"> E414, svovldioxid E220 og eddikesyre E260)</w:t>
      </w:r>
    </w:p>
    <w:p w:rsidR="00912566" w:rsidRDefault="00912566" w:rsidP="00912566">
      <w:pPr>
        <w:tabs>
          <w:tab w:val="left" w:pos="851"/>
        </w:tabs>
        <w:rPr>
          <w:sz w:val="24"/>
          <w:szCs w:val="24"/>
        </w:rPr>
      </w:pPr>
    </w:p>
    <w:p w:rsidR="00912566" w:rsidRDefault="00912566" w:rsidP="00912566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6.2</w:t>
      </w:r>
      <w:r>
        <w:rPr>
          <w:b/>
          <w:sz w:val="24"/>
          <w:szCs w:val="24"/>
        </w:rPr>
        <w:tab/>
        <w:t>Uforligeligheder</w:t>
      </w:r>
    </w:p>
    <w:p w:rsidR="00912566" w:rsidRDefault="00912566" w:rsidP="00912566">
      <w:pPr>
        <w:pStyle w:val="ammcorpstexte"/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Ikke relevant.</w:t>
      </w:r>
    </w:p>
    <w:p w:rsidR="00912566" w:rsidRDefault="00912566" w:rsidP="00912566">
      <w:pPr>
        <w:tabs>
          <w:tab w:val="left" w:pos="851"/>
        </w:tabs>
        <w:rPr>
          <w:sz w:val="24"/>
          <w:szCs w:val="24"/>
        </w:rPr>
      </w:pPr>
    </w:p>
    <w:p w:rsidR="00912566" w:rsidRDefault="00912566" w:rsidP="00912566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6.3</w:t>
      </w:r>
      <w:r>
        <w:rPr>
          <w:b/>
          <w:sz w:val="24"/>
          <w:szCs w:val="24"/>
        </w:rPr>
        <w:tab/>
        <w:t>Opbevaringstid</w:t>
      </w:r>
    </w:p>
    <w:p w:rsidR="00912566" w:rsidRDefault="00912566" w:rsidP="00912566">
      <w:pPr>
        <w:pStyle w:val="ammcorpstexte"/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 år.</w:t>
      </w:r>
    </w:p>
    <w:p w:rsidR="00912566" w:rsidRDefault="00912566" w:rsidP="00912566">
      <w:pPr>
        <w:tabs>
          <w:tab w:val="left" w:pos="851"/>
        </w:tabs>
        <w:rPr>
          <w:sz w:val="24"/>
          <w:szCs w:val="24"/>
        </w:rPr>
      </w:pPr>
    </w:p>
    <w:p w:rsidR="00912566" w:rsidRDefault="00912566" w:rsidP="00912566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6.4</w:t>
      </w:r>
      <w:r>
        <w:rPr>
          <w:b/>
          <w:sz w:val="24"/>
          <w:szCs w:val="24"/>
        </w:rPr>
        <w:tab/>
        <w:t>Særlige opbevaringsforhold</w:t>
      </w:r>
    </w:p>
    <w:p w:rsidR="00912566" w:rsidRDefault="00912566" w:rsidP="00912566">
      <w:pPr>
        <w:pStyle w:val="ammcorpstexte"/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Dette lægemiddel kræver ingen særlige forholdsregler vedrørende opbevaringen.</w:t>
      </w:r>
    </w:p>
    <w:p w:rsidR="00912566" w:rsidRDefault="00912566" w:rsidP="00912566">
      <w:pPr>
        <w:tabs>
          <w:tab w:val="left" w:pos="851"/>
        </w:tabs>
        <w:rPr>
          <w:sz w:val="24"/>
          <w:szCs w:val="24"/>
        </w:rPr>
      </w:pPr>
    </w:p>
    <w:p w:rsidR="00912566" w:rsidRDefault="00912566" w:rsidP="00912566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6.5</w:t>
      </w:r>
      <w:r>
        <w:rPr>
          <w:b/>
          <w:sz w:val="24"/>
          <w:szCs w:val="24"/>
        </w:rPr>
        <w:tab/>
        <w:t>Emballagetype og pakningsstørrelser</w:t>
      </w:r>
    </w:p>
    <w:p w:rsidR="00912566" w:rsidRDefault="00912566" w:rsidP="00912566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Brev (eksternt polyesterlag, mellemlag af aluminium og indre lag af </w:t>
      </w:r>
      <w:proofErr w:type="spellStart"/>
      <w:r>
        <w:rPr>
          <w:sz w:val="24"/>
          <w:szCs w:val="24"/>
        </w:rPr>
        <w:t>polyethylen</w:t>
      </w:r>
      <w:proofErr w:type="spellEnd"/>
      <w:r>
        <w:rPr>
          <w:sz w:val="24"/>
          <w:szCs w:val="24"/>
        </w:rPr>
        <w:t>).</w:t>
      </w:r>
    </w:p>
    <w:p w:rsidR="00912566" w:rsidRDefault="00912566" w:rsidP="00912566">
      <w:pPr>
        <w:ind w:left="851"/>
        <w:rPr>
          <w:sz w:val="24"/>
          <w:szCs w:val="24"/>
        </w:rPr>
      </w:pPr>
    </w:p>
    <w:p w:rsidR="00912566" w:rsidRDefault="00912566" w:rsidP="00912566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Pakningsstørrelser: Æsker med 10, 20, 30 og 50 breve. </w:t>
      </w:r>
    </w:p>
    <w:p w:rsidR="00912566" w:rsidRDefault="00912566" w:rsidP="00912566">
      <w:pPr>
        <w:ind w:left="851"/>
        <w:rPr>
          <w:sz w:val="24"/>
          <w:szCs w:val="24"/>
        </w:rPr>
      </w:pPr>
      <w:r>
        <w:rPr>
          <w:sz w:val="24"/>
          <w:szCs w:val="24"/>
        </w:rPr>
        <w:t>Ikke alle pakningsstørrelser er nødvendigvis markedsført.</w:t>
      </w:r>
    </w:p>
    <w:p w:rsidR="00912566" w:rsidRDefault="00912566" w:rsidP="00912566">
      <w:pPr>
        <w:tabs>
          <w:tab w:val="left" w:pos="851"/>
        </w:tabs>
        <w:rPr>
          <w:sz w:val="24"/>
          <w:szCs w:val="24"/>
        </w:rPr>
      </w:pPr>
    </w:p>
    <w:p w:rsidR="00912566" w:rsidRDefault="00912566" w:rsidP="00912566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6.6</w:t>
      </w:r>
      <w:r>
        <w:rPr>
          <w:b/>
          <w:sz w:val="24"/>
          <w:szCs w:val="24"/>
        </w:rPr>
        <w:tab/>
        <w:t>Regler for destruktion og anden håndtering</w:t>
      </w:r>
    </w:p>
    <w:p w:rsidR="00912566" w:rsidRDefault="00912566" w:rsidP="00912566">
      <w:pPr>
        <w:pStyle w:val="ammcorpstexte"/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Ingen særlige forholdsregler.</w:t>
      </w:r>
    </w:p>
    <w:p w:rsidR="00912566" w:rsidRDefault="00912566" w:rsidP="00912566">
      <w:pPr>
        <w:pStyle w:val="ammcorpstexte"/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Ikke anvendt lægemiddel samt affald heraf skal bortskaffes i henhold til lokale retningslinjer.</w:t>
      </w:r>
    </w:p>
    <w:p w:rsidR="00912566" w:rsidRDefault="00912566" w:rsidP="00912566">
      <w:pPr>
        <w:pStyle w:val="ammcorpstexte"/>
        <w:ind w:left="851"/>
        <w:rPr>
          <w:rFonts w:ascii="Times New Roman" w:hAnsi="Times New Roman" w:cs="Times New Roman"/>
        </w:rPr>
      </w:pPr>
    </w:p>
    <w:p w:rsidR="00912566" w:rsidRPr="00C84483" w:rsidRDefault="00912566" w:rsidP="00912566">
      <w:pPr>
        <w:tabs>
          <w:tab w:val="left" w:pos="851"/>
        </w:tabs>
        <w:jc w:val="both"/>
        <w:rPr>
          <w:sz w:val="24"/>
          <w:szCs w:val="24"/>
        </w:rPr>
      </w:pPr>
    </w:p>
    <w:p w:rsidR="00912566" w:rsidRPr="00C84483" w:rsidRDefault="00912566" w:rsidP="0091256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7.</w:t>
      </w:r>
      <w:r w:rsidRPr="00C84483">
        <w:rPr>
          <w:b/>
          <w:sz w:val="24"/>
          <w:szCs w:val="24"/>
        </w:rPr>
        <w:tab/>
        <w:t>INDEHAVER AF MARKEDSFØRINGSTILLADELSEN</w:t>
      </w:r>
    </w:p>
    <w:p w:rsidR="00912566" w:rsidRPr="008236F4" w:rsidRDefault="00912566" w:rsidP="00912566">
      <w:pPr>
        <w:ind w:left="851"/>
        <w:rPr>
          <w:sz w:val="24"/>
          <w:szCs w:val="24"/>
        </w:rPr>
      </w:pPr>
      <w:r w:rsidRPr="008236F4">
        <w:rPr>
          <w:sz w:val="24"/>
          <w:szCs w:val="24"/>
        </w:rPr>
        <w:t xml:space="preserve">Casen </w:t>
      </w:r>
      <w:proofErr w:type="spellStart"/>
      <w:r w:rsidRPr="008236F4">
        <w:rPr>
          <w:sz w:val="24"/>
          <w:szCs w:val="24"/>
        </w:rPr>
        <w:t>Recordati</w:t>
      </w:r>
      <w:proofErr w:type="spellEnd"/>
      <w:r w:rsidRPr="008236F4">
        <w:rPr>
          <w:sz w:val="24"/>
          <w:szCs w:val="24"/>
        </w:rPr>
        <w:t>, S.L.</w:t>
      </w:r>
    </w:p>
    <w:p w:rsidR="00912566" w:rsidRPr="004C01D0" w:rsidRDefault="00912566" w:rsidP="00912566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Autovía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Logroño</w:t>
      </w:r>
      <w:proofErr w:type="spellEnd"/>
      <w:r>
        <w:rPr>
          <w:sz w:val="24"/>
          <w:szCs w:val="24"/>
        </w:rPr>
        <w:t>, km 13,300</w:t>
      </w:r>
    </w:p>
    <w:p w:rsidR="00912566" w:rsidRDefault="00912566" w:rsidP="00912566">
      <w:pPr>
        <w:ind w:left="851"/>
        <w:rPr>
          <w:sz w:val="24"/>
          <w:szCs w:val="24"/>
        </w:rPr>
      </w:pPr>
      <w:r w:rsidRPr="004C01D0">
        <w:rPr>
          <w:sz w:val="24"/>
          <w:szCs w:val="24"/>
        </w:rPr>
        <w:t xml:space="preserve">50180 </w:t>
      </w:r>
      <w:proofErr w:type="spellStart"/>
      <w:r w:rsidRPr="004C01D0">
        <w:rPr>
          <w:sz w:val="24"/>
          <w:szCs w:val="24"/>
        </w:rPr>
        <w:t>U</w:t>
      </w:r>
      <w:r>
        <w:rPr>
          <w:sz w:val="24"/>
          <w:szCs w:val="24"/>
        </w:rPr>
        <w:t>tebo</w:t>
      </w:r>
      <w:proofErr w:type="spellEnd"/>
      <w:r>
        <w:rPr>
          <w:sz w:val="24"/>
          <w:szCs w:val="24"/>
        </w:rPr>
        <w:t>-Zaragoza</w:t>
      </w:r>
    </w:p>
    <w:p w:rsidR="00912566" w:rsidRPr="004528A1" w:rsidRDefault="00912566" w:rsidP="00912566">
      <w:pPr>
        <w:ind w:left="851"/>
        <w:rPr>
          <w:sz w:val="24"/>
          <w:szCs w:val="24"/>
        </w:rPr>
      </w:pPr>
      <w:r w:rsidRPr="004528A1">
        <w:rPr>
          <w:sz w:val="24"/>
          <w:szCs w:val="24"/>
        </w:rPr>
        <w:t>Spanien</w:t>
      </w:r>
    </w:p>
    <w:p w:rsidR="00912566" w:rsidRPr="004528A1" w:rsidRDefault="00912566" w:rsidP="00912566">
      <w:pPr>
        <w:ind w:left="851"/>
        <w:rPr>
          <w:sz w:val="24"/>
          <w:szCs w:val="24"/>
        </w:rPr>
      </w:pPr>
    </w:p>
    <w:p w:rsidR="00912566" w:rsidRPr="00C84483" w:rsidRDefault="00912566" w:rsidP="0091256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8.</w:t>
      </w:r>
      <w:r w:rsidRPr="00C84483">
        <w:rPr>
          <w:b/>
          <w:sz w:val="24"/>
          <w:szCs w:val="24"/>
        </w:rPr>
        <w:tab/>
        <w:t>MARKEDSFØRINGSTILLADELSESNUMMER (NUMRE)</w:t>
      </w:r>
    </w:p>
    <w:p w:rsidR="00912566" w:rsidRPr="00C84483" w:rsidRDefault="00912566" w:rsidP="00912566">
      <w:pPr>
        <w:tabs>
          <w:tab w:val="left" w:pos="851"/>
        </w:tabs>
        <w:ind w:left="851" w:hanging="851"/>
        <w:rPr>
          <w:sz w:val="24"/>
          <w:szCs w:val="24"/>
        </w:rPr>
      </w:pPr>
      <w:r w:rsidRPr="00C84483">
        <w:rPr>
          <w:sz w:val="24"/>
          <w:szCs w:val="24"/>
        </w:rPr>
        <w:tab/>
      </w:r>
      <w:r>
        <w:rPr>
          <w:sz w:val="24"/>
          <w:szCs w:val="24"/>
        </w:rPr>
        <w:t>53123</w:t>
      </w:r>
    </w:p>
    <w:p w:rsidR="00912566" w:rsidRPr="00C84483" w:rsidRDefault="00912566" w:rsidP="00912566">
      <w:pPr>
        <w:tabs>
          <w:tab w:val="left" w:pos="851"/>
        </w:tabs>
        <w:jc w:val="both"/>
        <w:rPr>
          <w:sz w:val="24"/>
          <w:szCs w:val="24"/>
        </w:rPr>
      </w:pPr>
    </w:p>
    <w:p w:rsidR="00912566" w:rsidRPr="00C84483" w:rsidRDefault="00912566" w:rsidP="0091256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9.</w:t>
      </w:r>
      <w:r w:rsidRPr="00C84483">
        <w:rPr>
          <w:b/>
          <w:sz w:val="24"/>
          <w:szCs w:val="24"/>
        </w:rPr>
        <w:tab/>
        <w:t>DATO FOR FØRSTE MARKEDSFØRINGSTILLADELSE</w:t>
      </w:r>
    </w:p>
    <w:p w:rsidR="00912566" w:rsidRPr="00C84483" w:rsidRDefault="00912566" w:rsidP="00912566">
      <w:pPr>
        <w:tabs>
          <w:tab w:val="left" w:pos="851"/>
        </w:tabs>
        <w:rPr>
          <w:sz w:val="24"/>
          <w:szCs w:val="24"/>
        </w:rPr>
      </w:pPr>
      <w:r w:rsidRPr="00C84483">
        <w:rPr>
          <w:sz w:val="24"/>
          <w:szCs w:val="24"/>
        </w:rPr>
        <w:tab/>
      </w:r>
      <w:r>
        <w:rPr>
          <w:sz w:val="24"/>
          <w:szCs w:val="24"/>
        </w:rPr>
        <w:t>18. juni 2013 (pulver til oral opløsning, breve 10 g)</w:t>
      </w:r>
    </w:p>
    <w:p w:rsidR="00912566" w:rsidRPr="00C84483" w:rsidRDefault="00912566" w:rsidP="00912566">
      <w:pPr>
        <w:tabs>
          <w:tab w:val="left" w:pos="851"/>
        </w:tabs>
        <w:rPr>
          <w:sz w:val="24"/>
          <w:szCs w:val="24"/>
        </w:rPr>
      </w:pPr>
    </w:p>
    <w:p w:rsidR="00912566" w:rsidRPr="00C84483" w:rsidRDefault="00912566" w:rsidP="0091256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10.</w:t>
      </w:r>
      <w:r w:rsidRPr="00C84483">
        <w:rPr>
          <w:b/>
          <w:sz w:val="24"/>
          <w:szCs w:val="24"/>
        </w:rPr>
        <w:tab/>
        <w:t>DATO FOR ÆNDRING AF TEKSTEN</w:t>
      </w:r>
    </w:p>
    <w:p w:rsidR="00912566" w:rsidRPr="00C84483" w:rsidRDefault="00912566" w:rsidP="00912566">
      <w:pPr>
        <w:tabs>
          <w:tab w:val="left" w:pos="851"/>
        </w:tabs>
        <w:rPr>
          <w:sz w:val="24"/>
          <w:szCs w:val="24"/>
        </w:rPr>
      </w:pPr>
      <w:r w:rsidRPr="00C84483">
        <w:rPr>
          <w:sz w:val="24"/>
          <w:szCs w:val="24"/>
        </w:rPr>
        <w:tab/>
      </w:r>
      <w:r w:rsidR="00781C1D">
        <w:rPr>
          <w:sz w:val="24"/>
          <w:szCs w:val="24"/>
        </w:rPr>
        <w:t>2</w:t>
      </w:r>
      <w:r>
        <w:rPr>
          <w:sz w:val="24"/>
          <w:szCs w:val="24"/>
        </w:rPr>
        <w:t>. december 20</w:t>
      </w:r>
      <w:r w:rsidR="00781C1D">
        <w:rPr>
          <w:sz w:val="24"/>
          <w:szCs w:val="24"/>
        </w:rPr>
        <w:t>20</w:t>
      </w:r>
      <w:bookmarkStart w:id="7" w:name="_GoBack"/>
      <w:bookmarkEnd w:id="7"/>
    </w:p>
    <w:p w:rsidR="00912566" w:rsidRPr="00FB5A80" w:rsidRDefault="00912566" w:rsidP="00912566"/>
    <w:p w:rsidR="00912566" w:rsidRPr="008E4052" w:rsidRDefault="00912566" w:rsidP="00912566"/>
    <w:p w:rsidR="009260DE" w:rsidRPr="00912566" w:rsidRDefault="009260DE" w:rsidP="00912566"/>
    <w:sectPr w:rsidR="009260DE" w:rsidRPr="00912566" w:rsidSect="000259B9">
      <w:footerReference w:type="default" r:id="rId10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2566" w:rsidRDefault="00912566">
      <w:r>
        <w:separator/>
      </w:r>
    </w:p>
  </w:endnote>
  <w:endnote w:type="continuationSeparator" w:id="0">
    <w:p w:rsidR="00912566" w:rsidRDefault="00912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781C1D">
      <w:rPr>
        <w:i/>
        <w:noProof/>
        <w:sz w:val="18"/>
        <w:szCs w:val="18"/>
      </w:rPr>
      <w:t>Casenlax, pulver til oral opløsning, breve 4 g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2566" w:rsidRDefault="00912566">
      <w:r>
        <w:separator/>
      </w:r>
    </w:p>
  </w:footnote>
  <w:footnote w:type="continuationSeparator" w:id="0">
    <w:p w:rsidR="00912566" w:rsidRDefault="00912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5E1B7DA3"/>
    <w:multiLevelType w:val="hybridMultilevel"/>
    <w:tmpl w:val="627CC39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566"/>
    <w:rsid w:val="000259B9"/>
    <w:rsid w:val="00041491"/>
    <w:rsid w:val="00050D16"/>
    <w:rsid w:val="00074F2A"/>
    <w:rsid w:val="000A1CA8"/>
    <w:rsid w:val="000A466B"/>
    <w:rsid w:val="000B058C"/>
    <w:rsid w:val="000E4EE6"/>
    <w:rsid w:val="001454E2"/>
    <w:rsid w:val="00206CE8"/>
    <w:rsid w:val="0021526C"/>
    <w:rsid w:val="00283A2B"/>
    <w:rsid w:val="002B30AD"/>
    <w:rsid w:val="002C2C01"/>
    <w:rsid w:val="003173FB"/>
    <w:rsid w:val="003A29AE"/>
    <w:rsid w:val="003A32D7"/>
    <w:rsid w:val="003B4074"/>
    <w:rsid w:val="003C769A"/>
    <w:rsid w:val="003F1838"/>
    <w:rsid w:val="0045746C"/>
    <w:rsid w:val="0049104B"/>
    <w:rsid w:val="004E3B12"/>
    <w:rsid w:val="00525C9B"/>
    <w:rsid w:val="00532310"/>
    <w:rsid w:val="00560ECC"/>
    <w:rsid w:val="00565F0F"/>
    <w:rsid w:val="00594A86"/>
    <w:rsid w:val="00596D86"/>
    <w:rsid w:val="00637F5A"/>
    <w:rsid w:val="006560B1"/>
    <w:rsid w:val="006756DD"/>
    <w:rsid w:val="00737275"/>
    <w:rsid w:val="00740EEC"/>
    <w:rsid w:val="0078011A"/>
    <w:rsid w:val="00781C1D"/>
    <w:rsid w:val="00782AF4"/>
    <w:rsid w:val="00790EE7"/>
    <w:rsid w:val="007B6649"/>
    <w:rsid w:val="0081546F"/>
    <w:rsid w:val="0082576E"/>
    <w:rsid w:val="00907F75"/>
    <w:rsid w:val="00912566"/>
    <w:rsid w:val="009260DE"/>
    <w:rsid w:val="0093258A"/>
    <w:rsid w:val="009C7BA3"/>
    <w:rsid w:val="009D1F5A"/>
    <w:rsid w:val="00B003BF"/>
    <w:rsid w:val="00B373D7"/>
    <w:rsid w:val="00C36276"/>
    <w:rsid w:val="00C42586"/>
    <w:rsid w:val="00C60CCD"/>
    <w:rsid w:val="00C84483"/>
    <w:rsid w:val="00C95551"/>
    <w:rsid w:val="00CB20D7"/>
    <w:rsid w:val="00D020B0"/>
    <w:rsid w:val="00D11748"/>
    <w:rsid w:val="00D366CF"/>
    <w:rsid w:val="00E108AA"/>
    <w:rsid w:val="00E31812"/>
    <w:rsid w:val="00E3749A"/>
    <w:rsid w:val="00E7437F"/>
    <w:rsid w:val="00E865B8"/>
    <w:rsid w:val="00EC0B9B"/>
    <w:rsid w:val="00ED5E9F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3952970"/>
  <w15:chartTrackingRefBased/>
  <w15:docId w15:val="{0D3AECBB-A703-45EE-B279-6B3558019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customStyle="1" w:styleId="ammcorpstexte">
    <w:name w:val="ammcorpstexte"/>
    <w:basedOn w:val="Normal"/>
    <w:rsid w:val="00912566"/>
    <w:rPr>
      <w:rFonts w:ascii="Arial" w:hAnsi="Arial" w:cs="Arial"/>
      <w:snapToGrid w:val="0"/>
      <w:color w:val="000000"/>
      <w:sz w:val="24"/>
      <w:szCs w:val="24"/>
      <w:lang w:eastAsia="en-GB"/>
    </w:rPr>
  </w:style>
  <w:style w:type="paragraph" w:customStyle="1" w:styleId="ammlistepuces1">
    <w:name w:val="ammlistepuces1"/>
    <w:basedOn w:val="Normal"/>
    <w:rsid w:val="00912566"/>
    <w:pPr>
      <w:spacing w:before="100" w:beforeAutospacing="1" w:after="100" w:afterAutospacing="1"/>
    </w:pPr>
    <w:rPr>
      <w:rFonts w:ascii="Arial" w:hAnsi="Arial" w:cs="Arial"/>
      <w:snapToGrid w:val="0"/>
      <w:sz w:val="24"/>
      <w:szCs w:val="24"/>
      <w:lang w:eastAsia="en-GB"/>
    </w:rPr>
  </w:style>
  <w:style w:type="paragraph" w:customStyle="1" w:styleId="ammannexetitre2">
    <w:name w:val="ammannexetitre2"/>
    <w:basedOn w:val="Normal"/>
    <w:rsid w:val="00912566"/>
    <w:pPr>
      <w:spacing w:before="100" w:beforeAutospacing="1" w:after="100" w:afterAutospacing="1"/>
    </w:pPr>
    <w:rPr>
      <w:rFonts w:ascii="Arial" w:hAnsi="Arial" w:cs="Arial"/>
      <w:b/>
      <w:bCs/>
      <w:snapToGrid w:val="0"/>
      <w:color w:val="0000A0"/>
      <w:sz w:val="24"/>
      <w:szCs w:val="24"/>
      <w:lang w:eastAsia="en-GB"/>
    </w:rPr>
  </w:style>
  <w:style w:type="paragraph" w:customStyle="1" w:styleId="ammtableautitre1">
    <w:name w:val="ammtableautitre1"/>
    <w:basedOn w:val="Normal"/>
    <w:rsid w:val="00912566"/>
    <w:pPr>
      <w:spacing w:before="100" w:beforeAutospacing="1" w:after="100" w:afterAutospacing="1"/>
    </w:pPr>
    <w:rPr>
      <w:rFonts w:ascii="Arial" w:hAnsi="Arial" w:cs="Arial"/>
      <w:b/>
      <w:bCs/>
      <w:snapToGrid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jpg@01D117E9.E555334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eldenbivirkning.d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Hum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Hum</Template>
  <TotalTime>0</TotalTime>
  <Pages>6</Pages>
  <Words>1293</Words>
  <Characters>9121</Characters>
  <Application>Microsoft Office Word</Application>
  <DocSecurity>0</DocSecurity>
  <Lines>76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OPTION</Company>
  <LinksUpToDate>false</LinksUpToDate>
  <CharactersWithSpaces>10394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NSJE@dkma.dk</dc:creator>
  <cp:keywords/>
  <dc:description>2020091538 spc. pkr. 6.1 ændring i jordbær aroma</dc:description>
  <cp:lastModifiedBy>Naja Støckel Jessen</cp:lastModifiedBy>
  <cp:revision>2</cp:revision>
  <cp:lastPrinted>2012-08-22T08:53:00Z</cp:lastPrinted>
  <dcterms:created xsi:type="dcterms:W3CDTF">2020-12-02T10:17:00Z</dcterms:created>
  <dcterms:modified xsi:type="dcterms:W3CDTF">2020-12-02T10:17:00Z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