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3BF" w:rsidRPr="00C84483" w:rsidRDefault="005F4651" w:rsidP="00B003BF">
      <w:pPr>
        <w:rPr>
          <w:sz w:val="24"/>
          <w:szCs w:val="24"/>
        </w:rPr>
      </w:pP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" o:spid="_x0000_i1025" type="#_x0000_t75" alt="LMST_auto_stor" style="width:192.75pt;height:54.75pt">
            <v:imagedata r:id="rId7" r:href="rId8"/>
          </v:shape>
        </w:pict>
      </w:r>
      <w:r>
        <w:fldChar w:fldCharType="end"/>
      </w:r>
      <w:r>
        <w:fldChar w:fldCharType="end"/>
      </w:r>
    </w:p>
    <w:p w:rsidR="00B003BF" w:rsidRPr="00C84483" w:rsidRDefault="00B003BF" w:rsidP="00B003BF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B003BF" w:rsidRPr="00C84483" w:rsidRDefault="005F4651" w:rsidP="005F4651">
      <w:pPr>
        <w:pStyle w:val="Titel"/>
        <w:tabs>
          <w:tab w:val="right" w:pos="9356"/>
        </w:tabs>
        <w:jc w:val="right"/>
        <w:rPr>
          <w:b w:val="0"/>
          <w:szCs w:val="24"/>
          <w:lang w:eastAsia="en-US"/>
        </w:rPr>
      </w:pPr>
      <w:r>
        <w:rPr>
          <w:b w:val="0"/>
          <w:szCs w:val="24"/>
          <w:lang w:eastAsia="en-US"/>
        </w:rPr>
        <w:t>25. januar 2019</w:t>
      </w:r>
    </w:p>
    <w:p w:rsidR="00B003BF" w:rsidRPr="00C84483" w:rsidRDefault="00B003BF" w:rsidP="00B003BF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B003BF" w:rsidRPr="00C84483" w:rsidRDefault="00B003BF" w:rsidP="00B003BF">
      <w:pPr>
        <w:pStyle w:val="Titel"/>
        <w:jc w:val="left"/>
        <w:rPr>
          <w:b w:val="0"/>
          <w:szCs w:val="24"/>
        </w:rPr>
      </w:pPr>
    </w:p>
    <w:p w:rsidR="00B003BF" w:rsidRPr="00C84483" w:rsidRDefault="00B003BF" w:rsidP="00B003BF">
      <w:pPr>
        <w:pStyle w:val="Titel"/>
        <w:jc w:val="left"/>
        <w:rPr>
          <w:b w:val="0"/>
          <w:szCs w:val="24"/>
        </w:rPr>
      </w:pPr>
      <w:bookmarkStart w:id="0" w:name="_GoBack"/>
      <w:bookmarkEnd w:id="0"/>
    </w:p>
    <w:p w:rsidR="00B003BF" w:rsidRPr="00C84483" w:rsidRDefault="00B003BF" w:rsidP="00B003BF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B003BF" w:rsidRPr="00C84483" w:rsidRDefault="00B003BF" w:rsidP="00B003BF">
      <w:pPr>
        <w:jc w:val="center"/>
        <w:rPr>
          <w:b/>
          <w:sz w:val="24"/>
          <w:szCs w:val="24"/>
        </w:rPr>
      </w:pPr>
    </w:p>
    <w:p w:rsidR="00B003BF" w:rsidRPr="00C84483" w:rsidRDefault="00B003BF" w:rsidP="00B003BF">
      <w:pPr>
        <w:jc w:val="center"/>
        <w:rPr>
          <w:b/>
          <w:sz w:val="24"/>
          <w:szCs w:val="24"/>
        </w:rPr>
      </w:pPr>
      <w:proofErr w:type="gramStart"/>
      <w:r w:rsidRPr="00C84483">
        <w:rPr>
          <w:b/>
          <w:sz w:val="24"/>
          <w:szCs w:val="24"/>
        </w:rPr>
        <w:t>for</w:t>
      </w:r>
      <w:proofErr w:type="gramEnd"/>
    </w:p>
    <w:p w:rsidR="00B003BF" w:rsidRPr="00C84483" w:rsidRDefault="00B003BF" w:rsidP="00B003BF">
      <w:pPr>
        <w:jc w:val="center"/>
        <w:rPr>
          <w:b/>
          <w:sz w:val="24"/>
          <w:szCs w:val="24"/>
        </w:rPr>
      </w:pPr>
    </w:p>
    <w:p w:rsidR="00B003BF" w:rsidRPr="000871EA" w:rsidRDefault="007F145E" w:rsidP="00B003BF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Cefazolin</w:t>
      </w:r>
      <w:proofErr w:type="spellEnd"/>
      <w:r>
        <w:rPr>
          <w:b/>
          <w:sz w:val="24"/>
          <w:szCs w:val="24"/>
        </w:rPr>
        <w:t xml:space="preserve"> ”MIP”</w:t>
      </w:r>
      <w:r w:rsidR="00546C71" w:rsidRPr="000871EA">
        <w:rPr>
          <w:b/>
          <w:sz w:val="24"/>
          <w:szCs w:val="24"/>
        </w:rPr>
        <w:t>, pulver til injektions-</w:t>
      </w:r>
      <w:r w:rsidR="000871EA" w:rsidRPr="000871EA">
        <w:rPr>
          <w:b/>
          <w:sz w:val="24"/>
          <w:szCs w:val="24"/>
        </w:rPr>
        <w:t>/</w:t>
      </w:r>
      <w:r w:rsidR="00546C71" w:rsidRPr="000871EA">
        <w:rPr>
          <w:b/>
          <w:sz w:val="24"/>
          <w:szCs w:val="24"/>
        </w:rPr>
        <w:t>infusionsvæske, opløsning</w:t>
      </w:r>
    </w:p>
    <w:p w:rsidR="00B003BF" w:rsidRPr="00C84483" w:rsidRDefault="00B003BF" w:rsidP="00B003BF">
      <w:pPr>
        <w:jc w:val="both"/>
        <w:rPr>
          <w:sz w:val="24"/>
          <w:szCs w:val="24"/>
        </w:rPr>
      </w:pPr>
    </w:p>
    <w:p w:rsidR="00B003BF" w:rsidRPr="00C84483" w:rsidRDefault="00B003BF" w:rsidP="00B003BF">
      <w:pPr>
        <w:jc w:val="both"/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  <w:r w:rsidRPr="00C84483">
        <w:rPr>
          <w:sz w:val="24"/>
          <w:szCs w:val="24"/>
        </w:rPr>
        <w:tab/>
      </w:r>
      <w:r w:rsidR="00244581">
        <w:rPr>
          <w:sz w:val="24"/>
          <w:szCs w:val="24"/>
        </w:rPr>
        <w:t>28147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  <w:r w:rsidRPr="00C84483">
        <w:rPr>
          <w:sz w:val="24"/>
          <w:szCs w:val="24"/>
        </w:rPr>
        <w:tab/>
      </w:r>
      <w:proofErr w:type="spellStart"/>
      <w:r w:rsidR="007F145E">
        <w:rPr>
          <w:sz w:val="24"/>
          <w:szCs w:val="24"/>
        </w:rPr>
        <w:t>Cefazolin</w:t>
      </w:r>
      <w:proofErr w:type="spellEnd"/>
      <w:r w:rsidR="007F145E">
        <w:rPr>
          <w:sz w:val="24"/>
          <w:szCs w:val="24"/>
        </w:rPr>
        <w:t xml:space="preserve"> ”MIP”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  <w:r w:rsidRPr="00C84483">
        <w:rPr>
          <w:sz w:val="24"/>
          <w:szCs w:val="24"/>
        </w:rPr>
        <w:tab/>
      </w: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2C3F7D" w:rsidRPr="008952C1" w:rsidRDefault="002C3F7D" w:rsidP="002C3F7D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 xml:space="preserve">Et hætteglas indeholder 2096,72 mg </w:t>
      </w:r>
      <w:proofErr w:type="spellStart"/>
      <w:r w:rsidRPr="008952C1">
        <w:rPr>
          <w:sz w:val="24"/>
          <w:szCs w:val="24"/>
        </w:rPr>
        <w:t>cefazolin</w:t>
      </w:r>
      <w:proofErr w:type="spellEnd"/>
      <w:r w:rsidRPr="008952C1">
        <w:rPr>
          <w:sz w:val="24"/>
          <w:szCs w:val="24"/>
        </w:rPr>
        <w:t xml:space="preserve"> natrium svarende til 2000 mg </w:t>
      </w:r>
      <w:proofErr w:type="spellStart"/>
      <w:r w:rsidRPr="008952C1">
        <w:rPr>
          <w:sz w:val="24"/>
          <w:szCs w:val="24"/>
        </w:rPr>
        <w:t>cefazolin</w:t>
      </w:r>
      <w:proofErr w:type="spellEnd"/>
      <w:r w:rsidRPr="008952C1">
        <w:rPr>
          <w:sz w:val="24"/>
          <w:szCs w:val="24"/>
        </w:rPr>
        <w:t>.</w:t>
      </w:r>
    </w:p>
    <w:p w:rsidR="002C3F7D" w:rsidRPr="008952C1" w:rsidRDefault="002C3F7D" w:rsidP="002C3F7D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>Et hætteglas indeholder 101,6 mg natrium, svarende til 4,4 mmol.</w:t>
      </w:r>
    </w:p>
    <w:p w:rsidR="002C3F7D" w:rsidRPr="008952C1" w:rsidRDefault="002C3F7D" w:rsidP="002C3F7D">
      <w:pPr>
        <w:ind w:left="851"/>
        <w:rPr>
          <w:sz w:val="24"/>
          <w:szCs w:val="24"/>
        </w:rPr>
      </w:pPr>
    </w:p>
    <w:p w:rsidR="002C3F7D" w:rsidRPr="008952C1" w:rsidRDefault="002C3F7D" w:rsidP="002C3F7D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>Alle hjælpestoffer er anført under pkt. 6.1.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2C3F7D" w:rsidRPr="008952C1" w:rsidRDefault="002C3F7D" w:rsidP="002C3F7D">
      <w:pPr>
        <w:pStyle w:val="Kommentartekst"/>
        <w:ind w:left="851"/>
        <w:rPr>
          <w:sz w:val="24"/>
          <w:szCs w:val="24"/>
        </w:rPr>
      </w:pPr>
      <w:r w:rsidRPr="008952C1">
        <w:rPr>
          <w:sz w:val="24"/>
          <w:szCs w:val="24"/>
        </w:rPr>
        <w:t xml:space="preserve">Pulver til injektions- </w:t>
      </w:r>
      <w:r>
        <w:rPr>
          <w:sz w:val="24"/>
          <w:szCs w:val="24"/>
        </w:rPr>
        <w:t>og</w:t>
      </w:r>
      <w:r w:rsidRPr="008952C1">
        <w:rPr>
          <w:sz w:val="24"/>
          <w:szCs w:val="24"/>
        </w:rPr>
        <w:t xml:space="preserve"> infusionsvæske, opløsning.</w:t>
      </w:r>
    </w:p>
    <w:p w:rsidR="005A06BD" w:rsidRPr="008952C1" w:rsidRDefault="005A06BD" w:rsidP="005A06BD">
      <w:pPr>
        <w:pStyle w:val="Kommentartekst"/>
        <w:ind w:left="851"/>
        <w:rPr>
          <w:sz w:val="24"/>
          <w:szCs w:val="24"/>
        </w:rPr>
      </w:pPr>
      <w:r w:rsidRPr="008952C1">
        <w:rPr>
          <w:sz w:val="24"/>
          <w:szCs w:val="24"/>
        </w:rPr>
        <w:t>Hvidt eller næsten hvidt pulver.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B003BF" w:rsidRPr="00C84483" w:rsidRDefault="00B003BF" w:rsidP="00B003BF">
      <w:pPr>
        <w:tabs>
          <w:tab w:val="left" w:pos="851"/>
        </w:tabs>
        <w:rPr>
          <w:b/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5A06BD" w:rsidRPr="000871EA" w:rsidRDefault="005A06BD" w:rsidP="005A06BD">
      <w:pPr>
        <w:ind w:left="851"/>
        <w:rPr>
          <w:sz w:val="24"/>
          <w:szCs w:val="24"/>
        </w:rPr>
      </w:pPr>
    </w:p>
    <w:p w:rsidR="005A06BD" w:rsidRPr="008952C1" w:rsidRDefault="007F145E" w:rsidP="005A06BD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Cefazolin</w:t>
      </w:r>
      <w:proofErr w:type="spellEnd"/>
      <w:r>
        <w:rPr>
          <w:sz w:val="24"/>
          <w:szCs w:val="24"/>
        </w:rPr>
        <w:t xml:space="preserve"> ”MIP”</w:t>
      </w:r>
      <w:r w:rsidR="005A06BD" w:rsidRPr="008952C1">
        <w:rPr>
          <w:sz w:val="24"/>
          <w:szCs w:val="24"/>
        </w:rPr>
        <w:t xml:space="preserve"> er indiceret til behandlingen af følgende infektioner, der skyldes </w:t>
      </w:r>
      <w:proofErr w:type="spellStart"/>
      <w:r w:rsidR="005A06BD" w:rsidRPr="008952C1">
        <w:rPr>
          <w:sz w:val="24"/>
          <w:szCs w:val="24"/>
        </w:rPr>
        <w:t>cefazolin</w:t>
      </w:r>
      <w:proofErr w:type="spellEnd"/>
      <w:r w:rsidR="005A06BD" w:rsidRPr="008952C1">
        <w:rPr>
          <w:sz w:val="24"/>
          <w:szCs w:val="24"/>
        </w:rPr>
        <w:t>-følsomme mikroorganismer</w:t>
      </w:r>
      <w:r w:rsidR="005A06BD">
        <w:rPr>
          <w:sz w:val="24"/>
          <w:szCs w:val="24"/>
        </w:rPr>
        <w:t>:</w:t>
      </w:r>
    </w:p>
    <w:p w:rsidR="005A06BD" w:rsidRPr="008952C1" w:rsidRDefault="005A06BD" w:rsidP="005A06BD">
      <w:pPr>
        <w:numPr>
          <w:ilvl w:val="0"/>
          <w:numId w:val="6"/>
        </w:numPr>
        <w:tabs>
          <w:tab w:val="clear" w:pos="644"/>
          <w:tab w:val="num" w:pos="1134"/>
        </w:tabs>
        <w:ind w:left="851" w:firstLine="0"/>
        <w:rPr>
          <w:sz w:val="24"/>
          <w:szCs w:val="24"/>
        </w:rPr>
      </w:pPr>
      <w:r w:rsidRPr="008952C1">
        <w:rPr>
          <w:sz w:val="24"/>
          <w:szCs w:val="24"/>
        </w:rPr>
        <w:t>Infektioner i huden og bløddelsvæv</w:t>
      </w:r>
    </w:p>
    <w:p w:rsidR="005A06BD" w:rsidRPr="008952C1" w:rsidRDefault="005A06BD" w:rsidP="005A06BD">
      <w:pPr>
        <w:numPr>
          <w:ilvl w:val="0"/>
          <w:numId w:val="6"/>
        </w:numPr>
        <w:tabs>
          <w:tab w:val="clear" w:pos="644"/>
          <w:tab w:val="num" w:pos="1134"/>
        </w:tabs>
        <w:ind w:left="851" w:firstLine="0"/>
        <w:rPr>
          <w:sz w:val="24"/>
          <w:szCs w:val="24"/>
        </w:rPr>
      </w:pPr>
      <w:r w:rsidRPr="008952C1">
        <w:rPr>
          <w:sz w:val="24"/>
          <w:szCs w:val="24"/>
        </w:rPr>
        <w:t>Infektioner i knogler og led</w:t>
      </w:r>
    </w:p>
    <w:p w:rsidR="005A06BD" w:rsidRPr="008952C1" w:rsidRDefault="005A06BD" w:rsidP="005A06BD">
      <w:pPr>
        <w:ind w:left="851"/>
        <w:rPr>
          <w:sz w:val="24"/>
          <w:szCs w:val="24"/>
        </w:rPr>
      </w:pPr>
    </w:p>
    <w:p w:rsidR="005A06BD" w:rsidRPr="008952C1" w:rsidRDefault="005A06BD" w:rsidP="005A06BD">
      <w:pPr>
        <w:ind w:left="851"/>
        <w:rPr>
          <w:sz w:val="24"/>
          <w:szCs w:val="24"/>
        </w:rPr>
      </w:pPr>
      <w:r w:rsidRPr="000871EA">
        <w:rPr>
          <w:sz w:val="24"/>
          <w:szCs w:val="24"/>
        </w:rPr>
        <w:t xml:space="preserve">Perioperativ profylakse. </w:t>
      </w:r>
      <w:r w:rsidRPr="008952C1">
        <w:rPr>
          <w:sz w:val="24"/>
          <w:szCs w:val="24"/>
        </w:rPr>
        <w:t xml:space="preserve">Ved kirurgiske operationer med øget risiko for infektioner med </w:t>
      </w:r>
      <w:proofErr w:type="spellStart"/>
      <w:r w:rsidRPr="008952C1">
        <w:rPr>
          <w:sz w:val="24"/>
          <w:szCs w:val="24"/>
        </w:rPr>
        <w:t>anaerobe</w:t>
      </w:r>
      <w:proofErr w:type="spellEnd"/>
      <w:r w:rsidRPr="008952C1">
        <w:rPr>
          <w:sz w:val="24"/>
          <w:szCs w:val="24"/>
        </w:rPr>
        <w:t xml:space="preserve"> </w:t>
      </w:r>
      <w:proofErr w:type="spellStart"/>
      <w:r w:rsidRPr="008952C1">
        <w:rPr>
          <w:sz w:val="24"/>
          <w:szCs w:val="24"/>
        </w:rPr>
        <w:t>patogener</w:t>
      </w:r>
      <w:proofErr w:type="spellEnd"/>
      <w:r w:rsidRPr="008952C1">
        <w:rPr>
          <w:sz w:val="24"/>
          <w:szCs w:val="24"/>
        </w:rPr>
        <w:t xml:space="preserve">, f.eks. </w:t>
      </w:r>
      <w:proofErr w:type="spellStart"/>
      <w:r w:rsidRPr="008952C1">
        <w:rPr>
          <w:sz w:val="24"/>
          <w:szCs w:val="24"/>
        </w:rPr>
        <w:t>kolorektalt</w:t>
      </w:r>
      <w:proofErr w:type="spellEnd"/>
      <w:r w:rsidRPr="008952C1">
        <w:rPr>
          <w:sz w:val="24"/>
          <w:szCs w:val="24"/>
        </w:rPr>
        <w:t xml:space="preserve"> indgreb, anbefales en kombination med et passende lægemiddel med aktivitet mod </w:t>
      </w:r>
      <w:proofErr w:type="spellStart"/>
      <w:r w:rsidRPr="008952C1">
        <w:rPr>
          <w:sz w:val="24"/>
          <w:szCs w:val="24"/>
        </w:rPr>
        <w:t>anaerober</w:t>
      </w:r>
      <w:proofErr w:type="spellEnd"/>
      <w:r w:rsidRPr="008952C1">
        <w:rPr>
          <w:sz w:val="24"/>
          <w:szCs w:val="24"/>
        </w:rPr>
        <w:t>.</w:t>
      </w:r>
    </w:p>
    <w:p w:rsidR="005A06BD" w:rsidRPr="008952C1" w:rsidRDefault="005A06BD" w:rsidP="005A06BD">
      <w:pPr>
        <w:ind w:left="851"/>
        <w:rPr>
          <w:sz w:val="24"/>
          <w:szCs w:val="24"/>
        </w:rPr>
      </w:pPr>
    </w:p>
    <w:p w:rsidR="005A06BD" w:rsidRPr="008952C1" w:rsidRDefault="005A06BD" w:rsidP="005A06BD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 xml:space="preserve">Anvendelsen af </w:t>
      </w:r>
      <w:proofErr w:type="spellStart"/>
      <w:r w:rsidRPr="008952C1">
        <w:rPr>
          <w:sz w:val="24"/>
          <w:szCs w:val="24"/>
        </w:rPr>
        <w:t>cefazolin</w:t>
      </w:r>
      <w:proofErr w:type="spellEnd"/>
      <w:r w:rsidRPr="008952C1">
        <w:rPr>
          <w:sz w:val="24"/>
          <w:szCs w:val="24"/>
        </w:rPr>
        <w:t xml:space="preserve"> bør begrænses til tilfælde, hvor parenteral behandling er nødvendig.</w:t>
      </w:r>
    </w:p>
    <w:p w:rsidR="005A06BD" w:rsidRPr="008952C1" w:rsidRDefault="005A06BD" w:rsidP="005A06BD">
      <w:pPr>
        <w:ind w:left="851"/>
        <w:rPr>
          <w:sz w:val="24"/>
          <w:szCs w:val="24"/>
        </w:rPr>
      </w:pPr>
    </w:p>
    <w:p w:rsidR="005A06BD" w:rsidRPr="008952C1" w:rsidRDefault="005A06BD" w:rsidP="005A06BD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>Følsomhed for kausale organismer over for behandlingen bør testes (om muligt), selvom terapi kan indledes, inden resultaterne foreligger.</w:t>
      </w:r>
    </w:p>
    <w:p w:rsidR="005A06BD" w:rsidRPr="008952C1" w:rsidRDefault="005A06BD" w:rsidP="005A06BD">
      <w:pPr>
        <w:ind w:left="851"/>
        <w:rPr>
          <w:sz w:val="24"/>
          <w:szCs w:val="24"/>
        </w:rPr>
      </w:pPr>
    </w:p>
    <w:p w:rsidR="00B003BF" w:rsidRPr="00C84483" w:rsidRDefault="005A06BD" w:rsidP="005A06BD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lastRenderedPageBreak/>
        <w:t>Offentlig vejledning om passende anvendelse af antibakterielle midler bør tages i betragtning.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>Dosering og indgivelsesmåde</w:t>
      </w:r>
    </w:p>
    <w:p w:rsidR="005A06BD" w:rsidRPr="008952C1" w:rsidRDefault="005A06BD" w:rsidP="005A06BD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>Doseringen såvel som administrationsmåden er afhængig af lokaliteten og infektionens sværhedsgrad og af den kliniske og bakteriologiske progression.</w:t>
      </w:r>
    </w:p>
    <w:p w:rsidR="005A06BD" w:rsidRPr="008952C1" w:rsidRDefault="005A06BD" w:rsidP="005A06BD">
      <w:pPr>
        <w:ind w:left="851"/>
        <w:rPr>
          <w:sz w:val="24"/>
          <w:szCs w:val="24"/>
        </w:rPr>
      </w:pPr>
    </w:p>
    <w:p w:rsidR="005A06BD" w:rsidRPr="00A90F98" w:rsidRDefault="005A06BD" w:rsidP="005A06BD">
      <w:pPr>
        <w:ind w:left="851"/>
        <w:rPr>
          <w:b/>
          <w:iCs/>
          <w:sz w:val="24"/>
          <w:szCs w:val="24"/>
        </w:rPr>
      </w:pPr>
      <w:r w:rsidRPr="00A90F98">
        <w:rPr>
          <w:b/>
          <w:iCs/>
          <w:sz w:val="24"/>
          <w:szCs w:val="24"/>
        </w:rPr>
        <w:t>Voksne og unge (over 12 år gamle og ≥ 40 kg legemsvægt)</w:t>
      </w:r>
    </w:p>
    <w:p w:rsidR="005A06BD" w:rsidRPr="008952C1" w:rsidRDefault="005A06BD" w:rsidP="00A90F98">
      <w:pPr>
        <w:numPr>
          <w:ilvl w:val="0"/>
          <w:numId w:val="8"/>
        </w:numPr>
        <w:tabs>
          <w:tab w:val="clear" w:pos="57"/>
          <w:tab w:val="num" w:pos="1134"/>
        </w:tabs>
        <w:ind w:left="1134" w:hanging="283"/>
        <w:rPr>
          <w:rStyle w:val="longtext"/>
          <w:color w:val="000000"/>
          <w:sz w:val="24"/>
          <w:szCs w:val="24"/>
          <w:shd w:val="clear" w:color="auto" w:fill="FFFFFF"/>
        </w:rPr>
      </w:pPr>
      <w:r w:rsidRPr="008952C1">
        <w:rPr>
          <w:rStyle w:val="longtext"/>
          <w:color w:val="000000"/>
          <w:sz w:val="24"/>
          <w:szCs w:val="24"/>
          <w:shd w:val="clear" w:color="auto" w:fill="FFFFFF"/>
        </w:rPr>
        <w:t xml:space="preserve">Infektioner, der skyldes følsomme mikroorganismer: 1 g - 2 g </w:t>
      </w:r>
      <w:proofErr w:type="spellStart"/>
      <w:r w:rsidRPr="008952C1">
        <w:rPr>
          <w:rStyle w:val="longtext"/>
          <w:color w:val="000000"/>
          <w:sz w:val="24"/>
          <w:szCs w:val="24"/>
          <w:shd w:val="clear" w:color="auto" w:fill="FFFFFF"/>
        </w:rPr>
        <w:t>cefazolin</w:t>
      </w:r>
      <w:proofErr w:type="spellEnd"/>
      <w:r w:rsidRPr="008952C1">
        <w:rPr>
          <w:rStyle w:val="longtext"/>
          <w:color w:val="000000"/>
          <w:sz w:val="24"/>
          <w:szCs w:val="24"/>
          <w:shd w:val="clear" w:color="auto" w:fill="FFFFFF"/>
        </w:rPr>
        <w:t xml:space="preserve"> pr. dag opdelt i 2-3 lige store doser.</w:t>
      </w:r>
    </w:p>
    <w:p w:rsidR="005A06BD" w:rsidRPr="008952C1" w:rsidRDefault="005A06BD" w:rsidP="00A90F98">
      <w:pPr>
        <w:numPr>
          <w:ilvl w:val="0"/>
          <w:numId w:val="8"/>
        </w:numPr>
        <w:tabs>
          <w:tab w:val="clear" w:pos="57"/>
          <w:tab w:val="num" w:pos="1134"/>
        </w:tabs>
        <w:ind w:left="1134" w:hanging="283"/>
        <w:rPr>
          <w:rStyle w:val="longtext"/>
          <w:color w:val="000000"/>
          <w:sz w:val="24"/>
          <w:szCs w:val="24"/>
          <w:shd w:val="clear" w:color="auto" w:fill="FFFFFF"/>
        </w:rPr>
      </w:pPr>
      <w:r w:rsidRPr="008952C1">
        <w:rPr>
          <w:sz w:val="24"/>
          <w:szCs w:val="24"/>
        </w:rPr>
        <w:t>Infektioner, der skyldes moderat</w:t>
      </w:r>
      <w:r w:rsidRPr="008952C1">
        <w:rPr>
          <w:rStyle w:val="longtext"/>
          <w:color w:val="000000"/>
          <w:sz w:val="24"/>
          <w:szCs w:val="24"/>
          <w:shd w:val="clear" w:color="auto" w:fill="FFFFFF"/>
        </w:rPr>
        <w:t xml:space="preserve"> følsomme </w:t>
      </w:r>
      <w:proofErr w:type="gramStart"/>
      <w:r w:rsidRPr="008952C1">
        <w:rPr>
          <w:rStyle w:val="longtext"/>
          <w:color w:val="000000"/>
          <w:sz w:val="24"/>
          <w:szCs w:val="24"/>
          <w:shd w:val="clear" w:color="auto" w:fill="FFFFFF"/>
        </w:rPr>
        <w:t xml:space="preserve">mikroorganismer </w:t>
      </w:r>
      <w:r w:rsidRPr="008952C1">
        <w:rPr>
          <w:sz w:val="24"/>
          <w:szCs w:val="24"/>
        </w:rPr>
        <w:t>:</w:t>
      </w:r>
      <w:proofErr w:type="gramEnd"/>
      <w:r w:rsidRPr="008952C1">
        <w:rPr>
          <w:sz w:val="24"/>
          <w:szCs w:val="24"/>
        </w:rPr>
        <w:t xml:space="preserve"> </w:t>
      </w:r>
      <w:r w:rsidRPr="008952C1">
        <w:rPr>
          <w:sz w:val="24"/>
          <w:szCs w:val="24"/>
          <w:shd w:val="clear" w:color="auto" w:fill="FFFFFF"/>
        </w:rPr>
        <w:t xml:space="preserve">3 g - 4 g </w:t>
      </w:r>
      <w:proofErr w:type="spellStart"/>
      <w:r w:rsidRPr="008952C1">
        <w:rPr>
          <w:sz w:val="24"/>
          <w:szCs w:val="24"/>
          <w:shd w:val="clear" w:color="auto" w:fill="FFFFFF"/>
        </w:rPr>
        <w:t>cefazolin</w:t>
      </w:r>
      <w:proofErr w:type="spellEnd"/>
      <w:r w:rsidRPr="008952C1">
        <w:rPr>
          <w:sz w:val="24"/>
          <w:szCs w:val="24"/>
          <w:shd w:val="clear" w:color="auto" w:fill="FFFFFF"/>
        </w:rPr>
        <w:t xml:space="preserve"> pr. dag opdelt i </w:t>
      </w:r>
      <w:r w:rsidRPr="008952C1">
        <w:rPr>
          <w:rStyle w:val="longtext"/>
          <w:color w:val="000000"/>
          <w:sz w:val="24"/>
          <w:szCs w:val="24"/>
          <w:shd w:val="clear" w:color="auto" w:fill="FFFFFF"/>
        </w:rPr>
        <w:t>3-4 lige store doser</w:t>
      </w:r>
      <w:r w:rsidRPr="008952C1">
        <w:rPr>
          <w:rStyle w:val="longtext"/>
          <w:color w:val="000000"/>
          <w:sz w:val="24"/>
          <w:szCs w:val="24"/>
        </w:rPr>
        <w:t>.</w:t>
      </w:r>
    </w:p>
    <w:p w:rsidR="005A06BD" w:rsidRPr="008952C1" w:rsidRDefault="005A06BD" w:rsidP="005A06BD">
      <w:pPr>
        <w:ind w:left="851" w:hanging="180"/>
        <w:rPr>
          <w:rStyle w:val="longtext"/>
          <w:color w:val="000000"/>
          <w:sz w:val="24"/>
          <w:szCs w:val="24"/>
          <w:shd w:val="clear" w:color="auto" w:fill="FFFFFF"/>
        </w:rPr>
      </w:pPr>
    </w:p>
    <w:p w:rsidR="005A06BD" w:rsidRPr="008952C1" w:rsidRDefault="005A06BD" w:rsidP="005A06BD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>Ved svære infektioner kan doser op til 6 g pr. dag administreres i tre eller fire lige store doseringer (én dosis hver 6. eller 8. time).</w:t>
      </w:r>
    </w:p>
    <w:p w:rsidR="005A06BD" w:rsidRPr="008952C1" w:rsidRDefault="005A06BD" w:rsidP="005A06BD">
      <w:pPr>
        <w:ind w:left="851"/>
        <w:rPr>
          <w:sz w:val="24"/>
          <w:szCs w:val="24"/>
        </w:rPr>
      </w:pPr>
    </w:p>
    <w:p w:rsidR="005A06BD" w:rsidRPr="008952C1" w:rsidRDefault="005A06BD" w:rsidP="005A06BD">
      <w:pPr>
        <w:ind w:left="851"/>
        <w:rPr>
          <w:b/>
          <w:sz w:val="24"/>
          <w:szCs w:val="24"/>
          <w:lang w:val="en-GB"/>
        </w:rPr>
      </w:pPr>
      <w:proofErr w:type="spellStart"/>
      <w:r w:rsidRPr="008952C1">
        <w:rPr>
          <w:b/>
          <w:sz w:val="24"/>
          <w:szCs w:val="24"/>
          <w:lang w:val="en-GB"/>
        </w:rPr>
        <w:t>Særlige</w:t>
      </w:r>
      <w:proofErr w:type="spellEnd"/>
      <w:r w:rsidRPr="008952C1">
        <w:rPr>
          <w:b/>
          <w:sz w:val="24"/>
          <w:szCs w:val="24"/>
          <w:lang w:val="en-GB"/>
        </w:rPr>
        <w:t xml:space="preserve"> </w:t>
      </w:r>
      <w:proofErr w:type="spellStart"/>
      <w:r w:rsidRPr="008952C1">
        <w:rPr>
          <w:b/>
          <w:sz w:val="24"/>
          <w:szCs w:val="24"/>
          <w:lang w:val="en-GB"/>
        </w:rPr>
        <w:t>doseringsanbefalinger</w:t>
      </w:r>
      <w:proofErr w:type="spellEnd"/>
    </w:p>
    <w:p w:rsidR="00A90F98" w:rsidRDefault="00A90F98" w:rsidP="005A06BD">
      <w:pPr>
        <w:ind w:left="851"/>
        <w:rPr>
          <w:sz w:val="24"/>
          <w:szCs w:val="24"/>
          <w:u w:val="single"/>
          <w:lang w:val="en-GB"/>
        </w:rPr>
      </w:pPr>
    </w:p>
    <w:p w:rsidR="005A06BD" w:rsidRPr="008952C1" w:rsidRDefault="005A06BD" w:rsidP="005A06BD">
      <w:pPr>
        <w:ind w:left="851"/>
        <w:rPr>
          <w:sz w:val="24"/>
          <w:szCs w:val="24"/>
          <w:u w:val="single"/>
          <w:lang w:val="en-GB"/>
        </w:rPr>
      </w:pPr>
      <w:proofErr w:type="spellStart"/>
      <w:r w:rsidRPr="008952C1">
        <w:rPr>
          <w:sz w:val="24"/>
          <w:szCs w:val="24"/>
          <w:u w:val="single"/>
          <w:lang w:val="en-GB"/>
        </w:rPr>
        <w:t>Perioperativ</w:t>
      </w:r>
      <w:proofErr w:type="spellEnd"/>
      <w:r w:rsidRPr="008952C1">
        <w:rPr>
          <w:sz w:val="24"/>
          <w:szCs w:val="24"/>
          <w:u w:val="single"/>
          <w:lang w:val="en-GB"/>
        </w:rPr>
        <w:t xml:space="preserve"> </w:t>
      </w:r>
      <w:proofErr w:type="spellStart"/>
      <w:r w:rsidRPr="008952C1">
        <w:rPr>
          <w:sz w:val="24"/>
          <w:szCs w:val="24"/>
          <w:u w:val="single"/>
          <w:lang w:val="en-GB"/>
        </w:rPr>
        <w:t>profylakse</w:t>
      </w:r>
      <w:proofErr w:type="spellEnd"/>
    </w:p>
    <w:p w:rsidR="005A06BD" w:rsidRPr="000871EA" w:rsidRDefault="005A06BD" w:rsidP="00A90F98">
      <w:pPr>
        <w:numPr>
          <w:ilvl w:val="0"/>
          <w:numId w:val="8"/>
        </w:numPr>
        <w:tabs>
          <w:tab w:val="clear" w:pos="57"/>
          <w:tab w:val="num" w:pos="1134"/>
        </w:tabs>
        <w:ind w:left="1134" w:hanging="283"/>
        <w:rPr>
          <w:sz w:val="24"/>
          <w:szCs w:val="24"/>
        </w:rPr>
      </w:pPr>
      <w:r w:rsidRPr="000871EA">
        <w:rPr>
          <w:sz w:val="24"/>
          <w:szCs w:val="24"/>
        </w:rPr>
        <w:t xml:space="preserve">For at forhindre postoperativ infektion ved kontamineret eller potentielt kontamineret kirurgi, er de anbefalede doseringer: 1 g </w:t>
      </w:r>
      <w:proofErr w:type="spellStart"/>
      <w:r w:rsidRPr="000871EA">
        <w:rPr>
          <w:sz w:val="24"/>
          <w:szCs w:val="24"/>
        </w:rPr>
        <w:t>cefazolin</w:t>
      </w:r>
      <w:proofErr w:type="spellEnd"/>
      <w:r w:rsidRPr="000871EA">
        <w:rPr>
          <w:sz w:val="24"/>
          <w:szCs w:val="24"/>
        </w:rPr>
        <w:t xml:space="preserve"> 30 - 60 minutter inden operationen. </w:t>
      </w:r>
    </w:p>
    <w:p w:rsidR="005A06BD" w:rsidRPr="008952C1" w:rsidRDefault="005A06BD" w:rsidP="00A90F98">
      <w:pPr>
        <w:numPr>
          <w:ilvl w:val="0"/>
          <w:numId w:val="9"/>
        </w:numPr>
        <w:tabs>
          <w:tab w:val="clear" w:pos="57"/>
          <w:tab w:val="num" w:pos="1134"/>
        </w:tabs>
        <w:ind w:left="1134" w:hanging="283"/>
        <w:rPr>
          <w:sz w:val="24"/>
          <w:szCs w:val="24"/>
        </w:rPr>
      </w:pPr>
      <w:r w:rsidRPr="008952C1">
        <w:rPr>
          <w:sz w:val="24"/>
          <w:szCs w:val="24"/>
        </w:rPr>
        <w:t xml:space="preserve">I tilfælde af længerevarende kirurgiske interventioner (2 timer eller mere) yderligere 0,5 - 1 g </w:t>
      </w:r>
      <w:proofErr w:type="spellStart"/>
      <w:r w:rsidRPr="008952C1">
        <w:rPr>
          <w:sz w:val="24"/>
          <w:szCs w:val="24"/>
        </w:rPr>
        <w:t>cefazolin</w:t>
      </w:r>
      <w:proofErr w:type="spellEnd"/>
      <w:r w:rsidRPr="008952C1">
        <w:rPr>
          <w:sz w:val="24"/>
          <w:szCs w:val="24"/>
        </w:rPr>
        <w:t xml:space="preserve"> under interventionen.</w:t>
      </w:r>
    </w:p>
    <w:p w:rsidR="005A06BD" w:rsidRPr="008952C1" w:rsidRDefault="005A06BD" w:rsidP="00A90F98">
      <w:pPr>
        <w:numPr>
          <w:ilvl w:val="0"/>
          <w:numId w:val="9"/>
        </w:numPr>
        <w:tabs>
          <w:tab w:val="clear" w:pos="57"/>
          <w:tab w:val="num" w:pos="1134"/>
        </w:tabs>
        <w:ind w:left="1134" w:hanging="283"/>
        <w:rPr>
          <w:sz w:val="24"/>
          <w:szCs w:val="24"/>
        </w:rPr>
      </w:pPr>
      <w:r w:rsidRPr="008952C1">
        <w:rPr>
          <w:sz w:val="24"/>
          <w:szCs w:val="24"/>
        </w:rPr>
        <w:t>Forlænget fortsættelse af administration ud over den kirurgiske intervention bør understøttes af national, official vejledning.</w:t>
      </w:r>
    </w:p>
    <w:p w:rsidR="005A06BD" w:rsidRPr="008952C1" w:rsidRDefault="005A06BD" w:rsidP="005A06BD">
      <w:pPr>
        <w:ind w:left="851"/>
        <w:rPr>
          <w:sz w:val="24"/>
          <w:szCs w:val="24"/>
        </w:rPr>
      </w:pPr>
    </w:p>
    <w:p w:rsidR="005A06BD" w:rsidRPr="008952C1" w:rsidRDefault="005A06BD" w:rsidP="005A06BD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 xml:space="preserve">Det er vigtigt, at (1) den præoperative dosis gives lige (30 min. til 1 time) forud for starten af indgrebet, således at tilstrækkelige antibiotiske niveauer er tilstede i serum og væv på tidspunktet for den indledende kirurgiske </w:t>
      </w:r>
      <w:proofErr w:type="spellStart"/>
      <w:r w:rsidRPr="008952C1">
        <w:rPr>
          <w:sz w:val="24"/>
          <w:szCs w:val="24"/>
        </w:rPr>
        <w:t>incision</w:t>
      </w:r>
      <w:proofErr w:type="spellEnd"/>
      <w:r w:rsidRPr="008952C1">
        <w:rPr>
          <w:sz w:val="24"/>
          <w:szCs w:val="24"/>
        </w:rPr>
        <w:t xml:space="preserve">; og (2) </w:t>
      </w:r>
      <w:proofErr w:type="spellStart"/>
      <w:r w:rsidRPr="008952C1">
        <w:rPr>
          <w:sz w:val="24"/>
          <w:szCs w:val="24"/>
        </w:rPr>
        <w:t>cefazolin</w:t>
      </w:r>
      <w:proofErr w:type="spellEnd"/>
      <w:r w:rsidRPr="008952C1">
        <w:rPr>
          <w:sz w:val="24"/>
          <w:szCs w:val="24"/>
        </w:rPr>
        <w:t xml:space="preserve"> administreres, om nødvendigt, med passende intervaller under operationen for at sørge for tilstrækkelige niveauer af antibiotikum på de formodede tidspunkter med størst eksponering over for </w:t>
      </w:r>
      <w:proofErr w:type="spellStart"/>
      <w:r w:rsidRPr="008952C1">
        <w:rPr>
          <w:sz w:val="24"/>
          <w:szCs w:val="24"/>
        </w:rPr>
        <w:t>infektive</w:t>
      </w:r>
      <w:proofErr w:type="spellEnd"/>
      <w:r w:rsidRPr="008952C1">
        <w:rPr>
          <w:sz w:val="24"/>
          <w:szCs w:val="24"/>
        </w:rPr>
        <w:t xml:space="preserve"> organismer. </w:t>
      </w:r>
    </w:p>
    <w:p w:rsidR="005A06BD" w:rsidRPr="008952C1" w:rsidRDefault="005A06BD" w:rsidP="005A06BD">
      <w:pPr>
        <w:ind w:left="851"/>
        <w:rPr>
          <w:sz w:val="24"/>
          <w:szCs w:val="24"/>
        </w:rPr>
      </w:pPr>
    </w:p>
    <w:p w:rsidR="005A06BD" w:rsidRPr="00A90F98" w:rsidRDefault="005A06BD" w:rsidP="005A06BD">
      <w:pPr>
        <w:ind w:left="851"/>
        <w:rPr>
          <w:b/>
          <w:sz w:val="24"/>
          <w:szCs w:val="24"/>
        </w:rPr>
      </w:pPr>
      <w:r w:rsidRPr="00A90F98">
        <w:rPr>
          <w:b/>
          <w:sz w:val="24"/>
          <w:szCs w:val="24"/>
        </w:rPr>
        <w:t>Voksne patienter med nedsat nyrefunktion</w:t>
      </w:r>
    </w:p>
    <w:p w:rsidR="005A06BD" w:rsidRPr="008952C1" w:rsidRDefault="005A06BD" w:rsidP="005A06BD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>Voksne med nedsat nyrefunktion kan have behov for en lavere dosis for at undgå overlapning.</w:t>
      </w:r>
    </w:p>
    <w:p w:rsidR="005A06BD" w:rsidRDefault="005A06BD" w:rsidP="005A06BD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>Denne lavere dosis kan styres ved at bestemme niveauer i blodet. Hvis dette ikke er muligt, kan dose</w:t>
      </w:r>
      <w:r w:rsidR="004C0D7A">
        <w:rPr>
          <w:sz w:val="24"/>
          <w:szCs w:val="24"/>
        </w:rPr>
        <w:t xml:space="preserve">ringen fastlægges ved </w:t>
      </w:r>
      <w:proofErr w:type="spellStart"/>
      <w:r w:rsidR="004C0D7A">
        <w:rPr>
          <w:sz w:val="24"/>
          <w:szCs w:val="24"/>
        </w:rPr>
        <w:t>kreatinin</w:t>
      </w:r>
      <w:r w:rsidRPr="008952C1">
        <w:rPr>
          <w:sz w:val="24"/>
          <w:szCs w:val="24"/>
        </w:rPr>
        <w:t>clearance</w:t>
      </w:r>
      <w:proofErr w:type="spellEnd"/>
      <w:r w:rsidRPr="008952C1">
        <w:rPr>
          <w:sz w:val="24"/>
          <w:szCs w:val="24"/>
        </w:rPr>
        <w:t>.</w:t>
      </w:r>
    </w:p>
    <w:p w:rsidR="00A343CF" w:rsidRPr="008952C1" w:rsidRDefault="00A343CF" w:rsidP="005A06BD">
      <w:pPr>
        <w:ind w:left="851"/>
        <w:rPr>
          <w:sz w:val="24"/>
          <w:szCs w:val="24"/>
        </w:rPr>
      </w:pPr>
    </w:p>
    <w:p w:rsidR="005A06BD" w:rsidRPr="008952C1" w:rsidRDefault="005A06BD" w:rsidP="005A06BD">
      <w:pPr>
        <w:ind w:left="851"/>
        <w:rPr>
          <w:sz w:val="24"/>
          <w:szCs w:val="24"/>
        </w:rPr>
      </w:pPr>
    </w:p>
    <w:p w:rsidR="005A06BD" w:rsidRPr="00A343CF" w:rsidRDefault="005A06BD" w:rsidP="005A06BD">
      <w:pPr>
        <w:ind w:left="851"/>
        <w:rPr>
          <w:b/>
          <w:i/>
          <w:sz w:val="24"/>
          <w:szCs w:val="24"/>
        </w:rPr>
      </w:pPr>
      <w:proofErr w:type="spellStart"/>
      <w:r w:rsidRPr="00A343CF">
        <w:rPr>
          <w:b/>
          <w:sz w:val="24"/>
          <w:szCs w:val="24"/>
        </w:rPr>
        <w:t>Cefazolin</w:t>
      </w:r>
      <w:proofErr w:type="spellEnd"/>
      <w:r w:rsidRPr="00A343CF">
        <w:rPr>
          <w:b/>
          <w:sz w:val="24"/>
          <w:szCs w:val="24"/>
        </w:rPr>
        <w:t xml:space="preserve"> vedligeholdelsesterapi hos patienter med nedsat nyrefunktion</w:t>
      </w:r>
    </w:p>
    <w:p w:rsidR="005A06BD" w:rsidRPr="008952C1" w:rsidRDefault="005A06BD" w:rsidP="005A06BD">
      <w:pPr>
        <w:ind w:left="851"/>
        <w:rPr>
          <w:sz w:val="24"/>
          <w:szCs w:val="24"/>
        </w:rPr>
      </w:pPr>
    </w:p>
    <w:tbl>
      <w:tblPr>
        <w:tblW w:w="955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2252"/>
        <w:gridCol w:w="4919"/>
      </w:tblGrid>
      <w:tr w:rsidR="005A06BD" w:rsidRPr="008952C1" w:rsidTr="00CA2173">
        <w:trPr>
          <w:jc w:val="center"/>
        </w:trPr>
        <w:tc>
          <w:tcPr>
            <w:tcW w:w="23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6BD" w:rsidRPr="008952C1" w:rsidRDefault="004C0D7A" w:rsidP="004C0D7A">
            <w:pPr>
              <w:pStyle w:val="Normal1"/>
              <w:ind w:left="118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Kreatinin</w:t>
            </w:r>
            <w:r w:rsidR="005A06BD" w:rsidRPr="008952C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clearance</w:t>
            </w:r>
            <w:proofErr w:type="spellEnd"/>
          </w:p>
          <w:p w:rsidR="005A06BD" w:rsidRPr="008952C1" w:rsidRDefault="005A06BD" w:rsidP="004C0D7A">
            <w:pPr>
              <w:pStyle w:val="Normal1"/>
              <w:ind w:left="118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952C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[ml/min]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6BD" w:rsidRPr="008952C1" w:rsidRDefault="004C0D7A" w:rsidP="004C0D7A">
            <w:pPr>
              <w:pStyle w:val="Normal1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Serum</w:t>
            </w:r>
            <w:r w:rsidR="005A06BD" w:rsidRPr="008952C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kreatinin</w:t>
            </w:r>
            <w:proofErr w:type="spellEnd"/>
          </w:p>
          <w:p w:rsidR="005A06BD" w:rsidRPr="008952C1" w:rsidRDefault="005A06BD" w:rsidP="004C0D7A">
            <w:pPr>
              <w:pStyle w:val="Normal1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952C1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[mg/dl]</w:t>
            </w:r>
          </w:p>
        </w:tc>
        <w:tc>
          <w:tcPr>
            <w:tcW w:w="4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A06BD" w:rsidRPr="008952C1" w:rsidRDefault="005A06BD" w:rsidP="004C0D7A">
            <w:pPr>
              <w:pStyle w:val="Overskrift31"/>
              <w:numPr>
                <w:ilvl w:val="0"/>
                <w:numId w:val="7"/>
              </w:numPr>
              <w:ind w:left="142"/>
              <w:jc w:val="left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8952C1">
              <w:rPr>
                <w:rFonts w:ascii="Times New Roman" w:hAnsi="Times New Roman"/>
                <w:b/>
                <w:szCs w:val="24"/>
              </w:rPr>
              <w:t>Dosering</w:t>
            </w:r>
            <w:proofErr w:type="spellEnd"/>
            <w:r w:rsidRPr="008952C1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  <w:tr w:rsidR="005A06BD" w:rsidRPr="008952C1" w:rsidTr="00CA2173">
        <w:trPr>
          <w:jc w:val="center"/>
        </w:trPr>
        <w:tc>
          <w:tcPr>
            <w:tcW w:w="2386" w:type="dxa"/>
            <w:tcBorders>
              <w:top w:val="single" w:sz="2" w:space="0" w:color="000000"/>
              <w:right w:val="single" w:sz="2" w:space="0" w:color="000000"/>
            </w:tcBorders>
          </w:tcPr>
          <w:p w:rsidR="005A06BD" w:rsidRPr="008952C1" w:rsidRDefault="005A06BD" w:rsidP="004C0D7A">
            <w:pPr>
              <w:pStyle w:val="Normal1"/>
              <w:ind w:left="118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952C1">
              <w:rPr>
                <w:rFonts w:ascii="Times New Roman" w:hAnsi="Times New Roman"/>
                <w:sz w:val="24"/>
                <w:szCs w:val="24"/>
                <w:lang w:val="en-GB"/>
              </w:rPr>
              <w:t>≥ 55</w:t>
            </w:r>
          </w:p>
        </w:tc>
        <w:tc>
          <w:tcPr>
            <w:tcW w:w="2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5A06BD" w:rsidRPr="008952C1" w:rsidRDefault="005A06BD" w:rsidP="004C0D7A">
            <w:pPr>
              <w:pStyle w:val="Normal1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952C1">
              <w:rPr>
                <w:rFonts w:ascii="Times New Roman" w:hAnsi="Times New Roman"/>
                <w:sz w:val="24"/>
                <w:szCs w:val="24"/>
                <w:lang w:val="en-GB"/>
              </w:rPr>
              <w:t>≤ 1,5</w:t>
            </w:r>
          </w:p>
        </w:tc>
        <w:tc>
          <w:tcPr>
            <w:tcW w:w="4919" w:type="dxa"/>
            <w:tcBorders>
              <w:top w:val="single" w:sz="2" w:space="0" w:color="000000"/>
              <w:left w:val="single" w:sz="2" w:space="0" w:color="000000"/>
            </w:tcBorders>
          </w:tcPr>
          <w:p w:rsidR="005A06BD" w:rsidRPr="008952C1" w:rsidRDefault="005A06BD" w:rsidP="004C0D7A">
            <w:pPr>
              <w:pStyle w:val="Normal1"/>
              <w:ind w:left="142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8952C1">
              <w:rPr>
                <w:rStyle w:val="longtext"/>
                <w:rFonts w:ascii="Times New Roman" w:hAnsi="Times New Roman"/>
                <w:sz w:val="24"/>
                <w:szCs w:val="24"/>
                <w:shd w:val="clear" w:color="auto" w:fill="FFFFFF"/>
                <w:lang w:val="da-DK"/>
              </w:rPr>
              <w:t>Normal dosis og normale doseringsintervaller</w:t>
            </w:r>
          </w:p>
        </w:tc>
      </w:tr>
      <w:tr w:rsidR="005A06BD" w:rsidRPr="008952C1" w:rsidTr="00CA2173">
        <w:trPr>
          <w:jc w:val="center"/>
        </w:trPr>
        <w:tc>
          <w:tcPr>
            <w:tcW w:w="2386" w:type="dxa"/>
            <w:tcBorders>
              <w:right w:val="single" w:sz="2" w:space="0" w:color="000000"/>
            </w:tcBorders>
          </w:tcPr>
          <w:p w:rsidR="005A06BD" w:rsidRPr="008952C1" w:rsidRDefault="005A06BD" w:rsidP="004C0D7A">
            <w:pPr>
              <w:pStyle w:val="Normal1"/>
              <w:ind w:left="118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952C1">
              <w:rPr>
                <w:rFonts w:ascii="Times New Roman" w:hAnsi="Times New Roman"/>
                <w:sz w:val="24"/>
                <w:szCs w:val="24"/>
                <w:lang w:val="en-GB"/>
              </w:rPr>
              <w:t>35 - 54</w:t>
            </w:r>
          </w:p>
        </w:tc>
        <w:tc>
          <w:tcPr>
            <w:tcW w:w="2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A06BD" w:rsidRPr="008952C1" w:rsidRDefault="005A06BD" w:rsidP="004C0D7A">
            <w:pPr>
              <w:pStyle w:val="Normal1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952C1">
              <w:rPr>
                <w:rFonts w:ascii="Times New Roman" w:hAnsi="Times New Roman"/>
                <w:sz w:val="24"/>
                <w:szCs w:val="24"/>
                <w:lang w:val="en-GB"/>
              </w:rPr>
              <w:t>1,6 – 3,0</w:t>
            </w:r>
          </w:p>
        </w:tc>
        <w:tc>
          <w:tcPr>
            <w:tcW w:w="4919" w:type="dxa"/>
            <w:tcBorders>
              <w:left w:val="single" w:sz="2" w:space="0" w:color="000000"/>
            </w:tcBorders>
          </w:tcPr>
          <w:p w:rsidR="005A06BD" w:rsidRPr="008952C1" w:rsidRDefault="005A06BD" w:rsidP="004C0D7A">
            <w:pPr>
              <w:pStyle w:val="Normal1"/>
              <w:ind w:left="142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952C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Normal </w:t>
            </w:r>
            <w:proofErr w:type="spellStart"/>
            <w:r w:rsidRPr="008952C1">
              <w:rPr>
                <w:rFonts w:ascii="Times New Roman" w:hAnsi="Times New Roman"/>
                <w:sz w:val="24"/>
                <w:szCs w:val="24"/>
                <w:lang w:val="en-GB"/>
              </w:rPr>
              <w:t>dosis</w:t>
            </w:r>
            <w:proofErr w:type="spellEnd"/>
            <w:r w:rsidRPr="008952C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8952C1">
              <w:rPr>
                <w:rFonts w:ascii="Times New Roman" w:hAnsi="Times New Roman"/>
                <w:sz w:val="24"/>
                <w:szCs w:val="24"/>
                <w:lang w:val="en-GB"/>
              </w:rPr>
              <w:t>hver</w:t>
            </w:r>
            <w:proofErr w:type="spellEnd"/>
            <w:r w:rsidRPr="008952C1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8. time </w:t>
            </w:r>
          </w:p>
        </w:tc>
      </w:tr>
      <w:tr w:rsidR="005A06BD" w:rsidRPr="008952C1" w:rsidTr="00CA2173">
        <w:trPr>
          <w:jc w:val="center"/>
        </w:trPr>
        <w:tc>
          <w:tcPr>
            <w:tcW w:w="2386" w:type="dxa"/>
            <w:tcBorders>
              <w:right w:val="single" w:sz="2" w:space="0" w:color="000000"/>
            </w:tcBorders>
          </w:tcPr>
          <w:p w:rsidR="005A06BD" w:rsidRPr="008952C1" w:rsidRDefault="005A06BD" w:rsidP="004C0D7A">
            <w:pPr>
              <w:pStyle w:val="Normal1"/>
              <w:ind w:left="118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952C1">
              <w:rPr>
                <w:rFonts w:ascii="Times New Roman" w:hAnsi="Times New Roman"/>
                <w:sz w:val="24"/>
                <w:szCs w:val="24"/>
                <w:lang w:val="en-GB"/>
              </w:rPr>
              <w:t>11 - 34</w:t>
            </w:r>
          </w:p>
        </w:tc>
        <w:tc>
          <w:tcPr>
            <w:tcW w:w="2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A06BD" w:rsidRPr="008952C1" w:rsidRDefault="005A06BD" w:rsidP="004C0D7A">
            <w:pPr>
              <w:pStyle w:val="Normal1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952C1">
              <w:rPr>
                <w:rFonts w:ascii="Times New Roman" w:hAnsi="Times New Roman"/>
                <w:sz w:val="24"/>
                <w:szCs w:val="24"/>
                <w:lang w:val="en-GB"/>
              </w:rPr>
              <w:t>3,1 – 4,5</w:t>
            </w:r>
          </w:p>
        </w:tc>
        <w:tc>
          <w:tcPr>
            <w:tcW w:w="4919" w:type="dxa"/>
            <w:tcBorders>
              <w:left w:val="single" w:sz="2" w:space="0" w:color="000000"/>
            </w:tcBorders>
          </w:tcPr>
          <w:p w:rsidR="005A06BD" w:rsidRPr="008952C1" w:rsidRDefault="005A06BD" w:rsidP="004C0D7A">
            <w:pPr>
              <w:pStyle w:val="Normal1"/>
              <w:ind w:left="142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8952C1">
              <w:rPr>
                <w:rStyle w:val="longtext"/>
                <w:rFonts w:ascii="Times New Roman" w:hAnsi="Times New Roman"/>
                <w:sz w:val="24"/>
                <w:szCs w:val="24"/>
                <w:shd w:val="clear" w:color="auto" w:fill="FFFFFF"/>
                <w:lang w:val="da-DK"/>
              </w:rPr>
              <w:t>Halvdelen af den normale dosis hver</w:t>
            </w:r>
            <w:r w:rsidRPr="008952C1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12. time</w:t>
            </w:r>
          </w:p>
        </w:tc>
      </w:tr>
      <w:tr w:rsidR="005A06BD" w:rsidRPr="008952C1" w:rsidTr="00CA2173">
        <w:trPr>
          <w:jc w:val="center"/>
        </w:trPr>
        <w:tc>
          <w:tcPr>
            <w:tcW w:w="2386" w:type="dxa"/>
            <w:tcBorders>
              <w:right w:val="single" w:sz="2" w:space="0" w:color="000000"/>
            </w:tcBorders>
          </w:tcPr>
          <w:p w:rsidR="005A06BD" w:rsidRPr="008952C1" w:rsidRDefault="005A06BD" w:rsidP="004C0D7A">
            <w:pPr>
              <w:pStyle w:val="Normal1"/>
              <w:ind w:left="118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952C1">
              <w:rPr>
                <w:rFonts w:ascii="Times New Roman" w:hAnsi="Times New Roman"/>
                <w:sz w:val="24"/>
                <w:szCs w:val="24"/>
                <w:lang w:val="en-GB"/>
              </w:rPr>
              <w:t>≤ 10</w:t>
            </w:r>
          </w:p>
        </w:tc>
        <w:tc>
          <w:tcPr>
            <w:tcW w:w="22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06BD" w:rsidRPr="008952C1" w:rsidRDefault="005A06BD" w:rsidP="004C0D7A">
            <w:pPr>
              <w:pStyle w:val="Normal1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952C1">
              <w:rPr>
                <w:rFonts w:ascii="Times New Roman" w:hAnsi="Times New Roman"/>
                <w:sz w:val="24"/>
                <w:szCs w:val="24"/>
                <w:lang w:val="en-GB"/>
              </w:rPr>
              <w:t>≥ 4,6</w:t>
            </w:r>
          </w:p>
        </w:tc>
        <w:tc>
          <w:tcPr>
            <w:tcW w:w="4919" w:type="dxa"/>
            <w:tcBorders>
              <w:left w:val="single" w:sz="2" w:space="0" w:color="000000"/>
            </w:tcBorders>
          </w:tcPr>
          <w:p w:rsidR="005A06BD" w:rsidRPr="008952C1" w:rsidRDefault="005A06BD" w:rsidP="00CA2173">
            <w:pPr>
              <w:pStyle w:val="Normal1"/>
              <w:ind w:left="142"/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8952C1">
              <w:rPr>
                <w:rStyle w:val="longtext"/>
                <w:rFonts w:ascii="Times New Roman" w:hAnsi="Times New Roman"/>
                <w:sz w:val="24"/>
                <w:szCs w:val="24"/>
                <w:shd w:val="clear" w:color="auto" w:fill="FFFFFF"/>
                <w:lang w:val="da-DK"/>
              </w:rPr>
              <w:t>Halvdelen af den normale dosis hver</w:t>
            </w:r>
            <w:r w:rsidRPr="008952C1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18.</w:t>
            </w:r>
            <w:r w:rsidR="00CA2173">
              <w:rPr>
                <w:rFonts w:ascii="Times New Roman" w:hAnsi="Times New Roman"/>
                <w:sz w:val="24"/>
                <w:szCs w:val="24"/>
                <w:lang w:val="da-DK"/>
              </w:rPr>
              <w:t>-</w:t>
            </w:r>
            <w:r w:rsidRPr="008952C1">
              <w:rPr>
                <w:rFonts w:ascii="Times New Roman" w:hAnsi="Times New Roman"/>
                <w:sz w:val="24"/>
                <w:szCs w:val="24"/>
                <w:lang w:val="da-DK"/>
              </w:rPr>
              <w:t>24. time</w:t>
            </w:r>
          </w:p>
        </w:tc>
      </w:tr>
    </w:tbl>
    <w:p w:rsidR="005A06BD" w:rsidRPr="008952C1" w:rsidRDefault="005A06BD" w:rsidP="005A06BD">
      <w:pPr>
        <w:ind w:left="851"/>
        <w:rPr>
          <w:bCs/>
          <w:sz w:val="24"/>
          <w:szCs w:val="24"/>
        </w:rPr>
      </w:pPr>
    </w:p>
    <w:p w:rsidR="005A06BD" w:rsidRPr="008952C1" w:rsidRDefault="005A06BD" w:rsidP="005A06BD">
      <w:pPr>
        <w:ind w:left="851"/>
        <w:rPr>
          <w:bCs/>
          <w:sz w:val="24"/>
          <w:szCs w:val="24"/>
        </w:rPr>
      </w:pPr>
      <w:r w:rsidRPr="008952C1">
        <w:rPr>
          <w:bCs/>
          <w:sz w:val="24"/>
          <w:szCs w:val="24"/>
        </w:rPr>
        <w:t xml:space="preserve">Hos patienter i </w:t>
      </w:r>
      <w:proofErr w:type="spellStart"/>
      <w:r w:rsidRPr="008952C1">
        <w:rPr>
          <w:bCs/>
          <w:sz w:val="24"/>
          <w:szCs w:val="24"/>
        </w:rPr>
        <w:t>hæmodialyse</w:t>
      </w:r>
      <w:proofErr w:type="spellEnd"/>
      <w:r w:rsidRPr="008952C1">
        <w:rPr>
          <w:bCs/>
          <w:sz w:val="24"/>
          <w:szCs w:val="24"/>
        </w:rPr>
        <w:t xml:space="preserve"> afhænger behandlingsskemaet af dialysebetingelserne.</w:t>
      </w:r>
    </w:p>
    <w:p w:rsidR="005A06BD" w:rsidRPr="008952C1" w:rsidRDefault="005A06BD" w:rsidP="005A06BD">
      <w:pPr>
        <w:ind w:left="851"/>
        <w:rPr>
          <w:bCs/>
          <w:sz w:val="24"/>
          <w:szCs w:val="24"/>
        </w:rPr>
      </w:pPr>
    </w:p>
    <w:p w:rsidR="005A06BD" w:rsidRPr="008952C1" w:rsidRDefault="005A06BD" w:rsidP="005A06BD">
      <w:pPr>
        <w:ind w:left="851"/>
        <w:rPr>
          <w:bCs/>
          <w:sz w:val="24"/>
          <w:szCs w:val="24"/>
        </w:rPr>
      </w:pPr>
    </w:p>
    <w:p w:rsidR="005A06BD" w:rsidRDefault="00CA2173" w:rsidP="005A06BD">
      <w:pPr>
        <w:ind w:left="8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Pædiatrisk population</w:t>
      </w:r>
    </w:p>
    <w:p w:rsidR="00CA2173" w:rsidRPr="00CA2173" w:rsidRDefault="00CA2173" w:rsidP="005A06BD">
      <w:pPr>
        <w:ind w:left="851"/>
        <w:rPr>
          <w:b/>
          <w:bCs/>
          <w:sz w:val="24"/>
          <w:szCs w:val="24"/>
        </w:rPr>
      </w:pPr>
    </w:p>
    <w:p w:rsidR="005A06BD" w:rsidRPr="00CA2173" w:rsidRDefault="005A06BD" w:rsidP="005A06BD">
      <w:pPr>
        <w:ind w:left="851"/>
        <w:rPr>
          <w:bCs/>
          <w:sz w:val="24"/>
          <w:szCs w:val="24"/>
          <w:u w:val="single"/>
        </w:rPr>
      </w:pPr>
      <w:r w:rsidRPr="00CA2173">
        <w:rPr>
          <w:bCs/>
          <w:sz w:val="24"/>
          <w:szCs w:val="24"/>
          <w:u w:val="single"/>
        </w:rPr>
        <w:t>Infektioner, der skyldes følsomme mikroorganismer</w:t>
      </w:r>
    </w:p>
    <w:p w:rsidR="005A06BD" w:rsidRPr="008952C1" w:rsidRDefault="005A06BD" w:rsidP="005A06BD">
      <w:pPr>
        <w:ind w:left="851"/>
        <w:rPr>
          <w:bCs/>
          <w:sz w:val="24"/>
          <w:szCs w:val="24"/>
        </w:rPr>
      </w:pPr>
      <w:r w:rsidRPr="008952C1">
        <w:rPr>
          <w:bCs/>
          <w:sz w:val="24"/>
          <w:szCs w:val="24"/>
        </w:rPr>
        <w:t>Der anbefales en dosis på 25-50 mg/kg legemsvægt opdelt i to til fire lige store doser pr. dag (én dosis hver 6., 8. eller 12. time).</w:t>
      </w:r>
    </w:p>
    <w:p w:rsidR="005A06BD" w:rsidRPr="008952C1" w:rsidRDefault="005A06BD" w:rsidP="005A06BD">
      <w:pPr>
        <w:ind w:left="851"/>
        <w:rPr>
          <w:bCs/>
          <w:sz w:val="24"/>
          <w:szCs w:val="24"/>
        </w:rPr>
      </w:pPr>
    </w:p>
    <w:p w:rsidR="005A06BD" w:rsidRPr="00CA2173" w:rsidRDefault="005A06BD" w:rsidP="005A06BD">
      <w:pPr>
        <w:ind w:left="851"/>
        <w:rPr>
          <w:bCs/>
          <w:sz w:val="24"/>
          <w:szCs w:val="24"/>
          <w:u w:val="single"/>
        </w:rPr>
      </w:pPr>
      <w:r w:rsidRPr="00CA2173">
        <w:rPr>
          <w:bCs/>
          <w:sz w:val="24"/>
          <w:szCs w:val="24"/>
          <w:u w:val="single"/>
        </w:rPr>
        <w:t>Infektioner, der skyldes moderat følsomme mikroorganismer</w:t>
      </w:r>
    </w:p>
    <w:p w:rsidR="005A06BD" w:rsidRPr="008952C1" w:rsidRDefault="005A06BD" w:rsidP="005A06BD">
      <w:pPr>
        <w:ind w:left="851"/>
        <w:rPr>
          <w:bCs/>
          <w:sz w:val="24"/>
          <w:szCs w:val="24"/>
        </w:rPr>
      </w:pPr>
      <w:r w:rsidRPr="008952C1">
        <w:rPr>
          <w:bCs/>
          <w:sz w:val="24"/>
          <w:szCs w:val="24"/>
        </w:rPr>
        <w:t>Der anbefales en dosis på op til 100 mg/kg legemsvægt opdelt i tre til fire lige store doser (én dosis hver 6. eller 8. time).</w:t>
      </w:r>
    </w:p>
    <w:p w:rsidR="005A06BD" w:rsidRPr="008952C1" w:rsidRDefault="005A06BD" w:rsidP="005A06BD">
      <w:pPr>
        <w:ind w:left="851"/>
        <w:rPr>
          <w:bCs/>
          <w:sz w:val="24"/>
          <w:szCs w:val="24"/>
        </w:rPr>
      </w:pPr>
    </w:p>
    <w:p w:rsidR="005A06BD" w:rsidRPr="00CA2173" w:rsidRDefault="005A06BD" w:rsidP="005A06BD">
      <w:pPr>
        <w:ind w:left="851"/>
        <w:rPr>
          <w:bCs/>
          <w:sz w:val="24"/>
          <w:szCs w:val="24"/>
          <w:u w:val="single"/>
        </w:rPr>
      </w:pPr>
      <w:r w:rsidRPr="00CA2173">
        <w:rPr>
          <w:bCs/>
          <w:sz w:val="24"/>
          <w:szCs w:val="24"/>
          <w:u w:val="single"/>
        </w:rPr>
        <w:t>Præmature og spædbørn under 1 måned gamle</w:t>
      </w:r>
    </w:p>
    <w:p w:rsidR="005A06BD" w:rsidRPr="008952C1" w:rsidRDefault="005A06BD" w:rsidP="005A06BD">
      <w:pPr>
        <w:ind w:left="851"/>
        <w:rPr>
          <w:bCs/>
          <w:sz w:val="24"/>
          <w:szCs w:val="24"/>
        </w:rPr>
      </w:pPr>
      <w:r w:rsidRPr="008952C1">
        <w:rPr>
          <w:bCs/>
          <w:sz w:val="24"/>
          <w:szCs w:val="24"/>
        </w:rPr>
        <w:t xml:space="preserve">Da sikkerhed ved brugen hos præmature og spædbørn under en måned ikke er fastlagt, anbefales anvendelsen af </w:t>
      </w:r>
      <w:proofErr w:type="spellStart"/>
      <w:r w:rsidRPr="008952C1">
        <w:rPr>
          <w:bCs/>
          <w:sz w:val="24"/>
          <w:szCs w:val="24"/>
        </w:rPr>
        <w:t>cefazolin</w:t>
      </w:r>
      <w:proofErr w:type="spellEnd"/>
      <w:r w:rsidRPr="008952C1">
        <w:rPr>
          <w:bCs/>
          <w:sz w:val="24"/>
          <w:szCs w:val="24"/>
        </w:rPr>
        <w:t xml:space="preserve"> </w:t>
      </w:r>
      <w:r w:rsidR="00721FBF">
        <w:rPr>
          <w:bCs/>
          <w:sz w:val="24"/>
          <w:szCs w:val="24"/>
        </w:rPr>
        <w:t>ikke hos disse patienter</w:t>
      </w:r>
      <w:r w:rsidRPr="008952C1">
        <w:rPr>
          <w:bCs/>
          <w:sz w:val="24"/>
          <w:szCs w:val="24"/>
        </w:rPr>
        <w:t>. Se også pkt. 4.4.</w:t>
      </w:r>
    </w:p>
    <w:p w:rsidR="005A06BD" w:rsidRPr="008952C1" w:rsidRDefault="005A06BD" w:rsidP="005A06BD">
      <w:pPr>
        <w:ind w:left="851"/>
        <w:rPr>
          <w:bCs/>
          <w:sz w:val="24"/>
          <w:szCs w:val="24"/>
        </w:rPr>
      </w:pPr>
    </w:p>
    <w:p w:rsidR="005A06BD" w:rsidRPr="00CA2173" w:rsidRDefault="005A06BD" w:rsidP="005A06BD">
      <w:pPr>
        <w:ind w:left="851"/>
        <w:rPr>
          <w:bCs/>
          <w:sz w:val="24"/>
          <w:szCs w:val="24"/>
          <w:u w:val="single"/>
        </w:rPr>
      </w:pPr>
      <w:r w:rsidRPr="00CA2173">
        <w:rPr>
          <w:bCs/>
          <w:sz w:val="24"/>
          <w:szCs w:val="24"/>
          <w:u w:val="single"/>
        </w:rPr>
        <w:t>Retningslinjer for pædiatrisk dosering</w:t>
      </w:r>
    </w:p>
    <w:p w:rsidR="005A06BD" w:rsidRPr="008952C1" w:rsidRDefault="005A06BD" w:rsidP="005A06BD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 xml:space="preserve">Indholdet af 1 hætteglas (2000 mg </w:t>
      </w:r>
      <w:proofErr w:type="spellStart"/>
      <w:r w:rsidRPr="008952C1">
        <w:rPr>
          <w:sz w:val="24"/>
          <w:szCs w:val="24"/>
        </w:rPr>
        <w:t>cefazolin</w:t>
      </w:r>
      <w:proofErr w:type="spellEnd"/>
      <w:r w:rsidRPr="008952C1">
        <w:rPr>
          <w:sz w:val="24"/>
          <w:szCs w:val="24"/>
        </w:rPr>
        <w:t xml:space="preserve">) opløses i 10 ml af et kompatibelt opløsningsmiddel (dvs. koncentration cirka 200 mg/ml). De respektive mængder af denne opløsning, der skal anvendes, </w:t>
      </w:r>
      <w:r w:rsidR="00721FBF">
        <w:rPr>
          <w:sz w:val="24"/>
          <w:szCs w:val="24"/>
        </w:rPr>
        <w:t xml:space="preserve">samt dosis i mg, </w:t>
      </w:r>
      <w:r w:rsidRPr="008952C1">
        <w:rPr>
          <w:sz w:val="24"/>
          <w:szCs w:val="24"/>
        </w:rPr>
        <w:t xml:space="preserve">er angivet i </w:t>
      </w:r>
      <w:r w:rsidR="00F06524">
        <w:rPr>
          <w:sz w:val="24"/>
          <w:szCs w:val="24"/>
        </w:rPr>
        <w:t>nedenstående</w:t>
      </w:r>
      <w:r w:rsidR="00721FBF">
        <w:rPr>
          <w:sz w:val="24"/>
          <w:szCs w:val="24"/>
        </w:rPr>
        <w:t xml:space="preserve"> tabel.</w:t>
      </w:r>
    </w:p>
    <w:p w:rsidR="005A06BD" w:rsidRPr="008952C1" w:rsidRDefault="005A06BD" w:rsidP="005A06BD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>Alternativt kan dosis gives som intravenøs infusion ved anvendelse af den fortyndede opløsning (10 mg/ml) beskrevet i pkt. 6.6.</w:t>
      </w:r>
    </w:p>
    <w:p w:rsidR="005A06BD" w:rsidRPr="008952C1" w:rsidRDefault="005A06BD" w:rsidP="005A06BD">
      <w:pPr>
        <w:ind w:left="851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134"/>
        <w:gridCol w:w="1134"/>
        <w:gridCol w:w="1134"/>
        <w:gridCol w:w="1049"/>
        <w:gridCol w:w="1049"/>
      </w:tblGrid>
      <w:tr w:rsidR="005A06BD" w:rsidRPr="00F06524" w:rsidTr="00581C6F">
        <w:trPr>
          <w:trHeight w:val="102"/>
        </w:trPr>
        <w:tc>
          <w:tcPr>
            <w:tcW w:w="4219" w:type="dxa"/>
          </w:tcPr>
          <w:p w:rsidR="005A06BD" w:rsidRPr="00F06524" w:rsidRDefault="005A06BD" w:rsidP="00C82E76">
            <w:pPr>
              <w:autoSpaceDE w:val="0"/>
              <w:autoSpaceDN w:val="0"/>
              <w:adjustRightInd w:val="0"/>
              <w:ind w:left="142"/>
              <w:rPr>
                <w:b/>
                <w:color w:val="000000"/>
                <w:sz w:val="24"/>
                <w:szCs w:val="24"/>
              </w:rPr>
            </w:pPr>
            <w:r w:rsidRPr="00F06524">
              <w:rPr>
                <w:b/>
                <w:bCs/>
                <w:color w:val="000000"/>
                <w:sz w:val="24"/>
                <w:szCs w:val="24"/>
              </w:rPr>
              <w:t xml:space="preserve">Legemsvægt </w:t>
            </w:r>
          </w:p>
        </w:tc>
        <w:tc>
          <w:tcPr>
            <w:tcW w:w="1134" w:type="dxa"/>
          </w:tcPr>
          <w:p w:rsidR="005A06BD" w:rsidRPr="00F06524" w:rsidRDefault="005A06BD" w:rsidP="00695FDB">
            <w:pPr>
              <w:tabs>
                <w:tab w:val="left" w:pos="124"/>
              </w:tabs>
              <w:autoSpaceDE w:val="0"/>
              <w:autoSpaceDN w:val="0"/>
              <w:adjustRightInd w:val="0"/>
              <w:ind w:left="175"/>
              <w:rPr>
                <w:b/>
                <w:color w:val="000000"/>
                <w:sz w:val="24"/>
                <w:szCs w:val="24"/>
              </w:rPr>
            </w:pPr>
            <w:r w:rsidRPr="00F06524">
              <w:rPr>
                <w:b/>
                <w:color w:val="000000"/>
                <w:sz w:val="24"/>
                <w:szCs w:val="24"/>
              </w:rPr>
              <w:t xml:space="preserve">5 kg </w:t>
            </w:r>
          </w:p>
        </w:tc>
        <w:tc>
          <w:tcPr>
            <w:tcW w:w="1134" w:type="dxa"/>
          </w:tcPr>
          <w:p w:rsidR="005A06BD" w:rsidRPr="00F06524" w:rsidRDefault="00A95306" w:rsidP="00695FD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F06524">
              <w:rPr>
                <w:b/>
                <w:color w:val="000000"/>
                <w:sz w:val="24"/>
                <w:szCs w:val="24"/>
              </w:rPr>
              <w:t>10 kg</w:t>
            </w:r>
          </w:p>
        </w:tc>
        <w:tc>
          <w:tcPr>
            <w:tcW w:w="1134" w:type="dxa"/>
          </w:tcPr>
          <w:p w:rsidR="005A06BD" w:rsidRPr="00F06524" w:rsidRDefault="005A06BD" w:rsidP="00695FD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F06524">
              <w:rPr>
                <w:b/>
                <w:color w:val="000000"/>
                <w:sz w:val="24"/>
                <w:szCs w:val="24"/>
              </w:rPr>
              <w:t xml:space="preserve">15 kg </w:t>
            </w:r>
          </w:p>
        </w:tc>
        <w:tc>
          <w:tcPr>
            <w:tcW w:w="1049" w:type="dxa"/>
          </w:tcPr>
          <w:p w:rsidR="005A06BD" w:rsidRPr="00F06524" w:rsidRDefault="005A06BD" w:rsidP="00A9530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F06524">
              <w:rPr>
                <w:b/>
                <w:color w:val="000000"/>
                <w:sz w:val="24"/>
                <w:szCs w:val="24"/>
              </w:rPr>
              <w:t xml:space="preserve">20 kg </w:t>
            </w:r>
          </w:p>
        </w:tc>
        <w:tc>
          <w:tcPr>
            <w:tcW w:w="1049" w:type="dxa"/>
          </w:tcPr>
          <w:p w:rsidR="005A06BD" w:rsidRPr="00F06524" w:rsidRDefault="005A06BD" w:rsidP="00A9530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F06524">
              <w:rPr>
                <w:b/>
                <w:color w:val="000000"/>
                <w:sz w:val="24"/>
                <w:szCs w:val="24"/>
              </w:rPr>
              <w:t xml:space="preserve">25 kg </w:t>
            </w:r>
          </w:p>
        </w:tc>
      </w:tr>
      <w:tr w:rsidR="005A06BD" w:rsidRPr="008952C1" w:rsidTr="00581C6F">
        <w:trPr>
          <w:trHeight w:val="364"/>
        </w:trPr>
        <w:tc>
          <w:tcPr>
            <w:tcW w:w="4219" w:type="dxa"/>
          </w:tcPr>
          <w:p w:rsidR="00876CCA" w:rsidRDefault="00876CCA" w:rsidP="00C82E76">
            <w:pPr>
              <w:autoSpaceDE w:val="0"/>
              <w:autoSpaceDN w:val="0"/>
              <w:adjustRightInd w:val="0"/>
              <w:ind w:left="14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Opdelt dosis hver 12. time</w:t>
            </w:r>
          </w:p>
          <w:p w:rsidR="005A06BD" w:rsidRPr="008952C1" w:rsidRDefault="00C82E76" w:rsidP="00C82E76">
            <w:pPr>
              <w:autoSpaceDE w:val="0"/>
              <w:autoSpaceDN w:val="0"/>
              <w:adjustRightInd w:val="0"/>
              <w:ind w:left="14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ved</w:t>
            </w:r>
            <w:proofErr w:type="gramEnd"/>
            <w:r w:rsidR="005A06BD" w:rsidRPr="008952C1">
              <w:rPr>
                <w:bCs/>
                <w:color w:val="000000"/>
                <w:sz w:val="24"/>
                <w:szCs w:val="24"/>
              </w:rPr>
              <w:t xml:space="preserve"> 25 mg/kg legemsvægt pr. dag</w:t>
            </w:r>
          </w:p>
        </w:tc>
        <w:tc>
          <w:tcPr>
            <w:tcW w:w="1134" w:type="dxa"/>
          </w:tcPr>
          <w:p w:rsidR="005A06BD" w:rsidRPr="008952C1" w:rsidRDefault="005A06BD" w:rsidP="00A95306">
            <w:pPr>
              <w:tabs>
                <w:tab w:val="left" w:pos="12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>63 mg;</w:t>
            </w:r>
          </w:p>
          <w:p w:rsidR="005A06BD" w:rsidRPr="008952C1" w:rsidRDefault="005A06BD" w:rsidP="00A95306">
            <w:pPr>
              <w:tabs>
                <w:tab w:val="left" w:pos="12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 xml:space="preserve">0,3 ml </w:t>
            </w:r>
          </w:p>
        </w:tc>
        <w:tc>
          <w:tcPr>
            <w:tcW w:w="1134" w:type="dxa"/>
          </w:tcPr>
          <w:p w:rsidR="005A06BD" w:rsidRPr="008952C1" w:rsidRDefault="00AA0A34" w:rsidP="00AA0A3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125 </w:t>
            </w:r>
            <w:r w:rsidR="005A06BD" w:rsidRPr="008952C1">
              <w:rPr>
                <w:color w:val="000000"/>
                <w:sz w:val="24"/>
                <w:szCs w:val="24"/>
              </w:rPr>
              <w:t>mg;</w:t>
            </w:r>
          </w:p>
          <w:p w:rsidR="005A06BD" w:rsidRPr="008952C1" w:rsidRDefault="005A06BD" w:rsidP="00AA0A3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 xml:space="preserve">0,65 ml </w:t>
            </w:r>
          </w:p>
        </w:tc>
        <w:tc>
          <w:tcPr>
            <w:tcW w:w="1134" w:type="dxa"/>
          </w:tcPr>
          <w:p w:rsidR="005A06BD" w:rsidRPr="008952C1" w:rsidRDefault="005A06BD" w:rsidP="00A9530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>188 mg;</w:t>
            </w:r>
          </w:p>
          <w:p w:rsidR="005A06BD" w:rsidRPr="008952C1" w:rsidRDefault="005A06BD" w:rsidP="00A9530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 xml:space="preserve">0,95 ml </w:t>
            </w:r>
          </w:p>
        </w:tc>
        <w:tc>
          <w:tcPr>
            <w:tcW w:w="1049" w:type="dxa"/>
          </w:tcPr>
          <w:p w:rsidR="005A06BD" w:rsidRPr="008952C1" w:rsidRDefault="005A06BD" w:rsidP="00A9530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>250 mg;</w:t>
            </w:r>
          </w:p>
          <w:p w:rsidR="005A06BD" w:rsidRPr="008952C1" w:rsidRDefault="005A06BD" w:rsidP="00A9530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 xml:space="preserve">1,3 ml </w:t>
            </w:r>
          </w:p>
        </w:tc>
        <w:tc>
          <w:tcPr>
            <w:tcW w:w="1049" w:type="dxa"/>
          </w:tcPr>
          <w:p w:rsidR="005A06BD" w:rsidRPr="008952C1" w:rsidRDefault="005A06BD" w:rsidP="00A9530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>313 mg;</w:t>
            </w:r>
          </w:p>
          <w:p w:rsidR="005A06BD" w:rsidRPr="008952C1" w:rsidRDefault="005A06BD" w:rsidP="00A9530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 xml:space="preserve">1,55 ml </w:t>
            </w:r>
          </w:p>
        </w:tc>
      </w:tr>
      <w:tr w:rsidR="005A06BD" w:rsidRPr="008952C1" w:rsidTr="00581C6F">
        <w:trPr>
          <w:trHeight w:val="365"/>
        </w:trPr>
        <w:tc>
          <w:tcPr>
            <w:tcW w:w="4219" w:type="dxa"/>
          </w:tcPr>
          <w:p w:rsidR="00876CCA" w:rsidRDefault="005A06BD" w:rsidP="00C82E76">
            <w:pPr>
              <w:autoSpaceDE w:val="0"/>
              <w:autoSpaceDN w:val="0"/>
              <w:adjustRightInd w:val="0"/>
              <w:ind w:left="142"/>
              <w:rPr>
                <w:bCs/>
                <w:color w:val="000000"/>
                <w:sz w:val="24"/>
                <w:szCs w:val="24"/>
              </w:rPr>
            </w:pPr>
            <w:r w:rsidRPr="008952C1">
              <w:rPr>
                <w:bCs/>
                <w:color w:val="000000"/>
                <w:sz w:val="24"/>
                <w:szCs w:val="24"/>
              </w:rPr>
              <w:t>Opdelt dosis hver 8. ti</w:t>
            </w:r>
            <w:r w:rsidR="00876CCA">
              <w:rPr>
                <w:bCs/>
                <w:color w:val="000000"/>
                <w:sz w:val="24"/>
                <w:szCs w:val="24"/>
              </w:rPr>
              <w:t>me</w:t>
            </w:r>
          </w:p>
          <w:p w:rsidR="005A06BD" w:rsidRPr="008952C1" w:rsidRDefault="00C82E76" w:rsidP="00C82E76">
            <w:pPr>
              <w:autoSpaceDE w:val="0"/>
              <w:autoSpaceDN w:val="0"/>
              <w:adjustRightInd w:val="0"/>
              <w:ind w:left="14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ved</w:t>
            </w:r>
            <w:proofErr w:type="gramEnd"/>
            <w:r w:rsidR="005A06BD" w:rsidRPr="008952C1">
              <w:rPr>
                <w:bCs/>
                <w:color w:val="000000"/>
                <w:sz w:val="24"/>
                <w:szCs w:val="24"/>
              </w:rPr>
              <w:t xml:space="preserve"> 25 mg/kg legemsvægt pr. dag </w:t>
            </w:r>
          </w:p>
        </w:tc>
        <w:tc>
          <w:tcPr>
            <w:tcW w:w="1134" w:type="dxa"/>
          </w:tcPr>
          <w:p w:rsidR="005A06BD" w:rsidRPr="008952C1" w:rsidRDefault="00AA0A34" w:rsidP="00AA0A34">
            <w:pPr>
              <w:tabs>
                <w:tab w:val="left" w:pos="12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5A06BD" w:rsidRPr="008952C1">
              <w:rPr>
                <w:color w:val="000000"/>
                <w:sz w:val="24"/>
                <w:szCs w:val="24"/>
              </w:rPr>
              <w:t>2 mg;</w:t>
            </w:r>
          </w:p>
          <w:p w:rsidR="005A06BD" w:rsidRPr="008952C1" w:rsidRDefault="005A06BD" w:rsidP="00AA0A34">
            <w:pPr>
              <w:tabs>
                <w:tab w:val="left" w:pos="12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 xml:space="preserve">0,2 ml </w:t>
            </w:r>
          </w:p>
        </w:tc>
        <w:tc>
          <w:tcPr>
            <w:tcW w:w="1134" w:type="dxa"/>
          </w:tcPr>
          <w:p w:rsidR="005A06BD" w:rsidRPr="008952C1" w:rsidRDefault="005A06BD" w:rsidP="00AA0A3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>85 mg;</w:t>
            </w:r>
          </w:p>
          <w:p w:rsidR="005A06BD" w:rsidRPr="008952C1" w:rsidRDefault="005A06BD" w:rsidP="00AA0A3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 xml:space="preserve">0,4 ml </w:t>
            </w:r>
          </w:p>
        </w:tc>
        <w:tc>
          <w:tcPr>
            <w:tcW w:w="1134" w:type="dxa"/>
          </w:tcPr>
          <w:p w:rsidR="002220C0" w:rsidRDefault="005A06BD" w:rsidP="002220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>125 mg;</w:t>
            </w:r>
          </w:p>
          <w:p w:rsidR="005A06BD" w:rsidRPr="008952C1" w:rsidRDefault="005A06BD" w:rsidP="002220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 xml:space="preserve">0,65 ml </w:t>
            </w:r>
          </w:p>
        </w:tc>
        <w:tc>
          <w:tcPr>
            <w:tcW w:w="1049" w:type="dxa"/>
          </w:tcPr>
          <w:p w:rsidR="005A06BD" w:rsidRPr="008952C1" w:rsidRDefault="005A06BD" w:rsidP="002220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>167 mg;</w:t>
            </w:r>
          </w:p>
          <w:p w:rsidR="005A06BD" w:rsidRPr="008952C1" w:rsidRDefault="005A06BD" w:rsidP="002220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 xml:space="preserve">0,85 ml </w:t>
            </w:r>
          </w:p>
        </w:tc>
        <w:tc>
          <w:tcPr>
            <w:tcW w:w="1049" w:type="dxa"/>
          </w:tcPr>
          <w:p w:rsidR="005A06BD" w:rsidRPr="008952C1" w:rsidRDefault="005A06BD" w:rsidP="002220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>208 mg;</w:t>
            </w:r>
          </w:p>
          <w:p w:rsidR="005A06BD" w:rsidRPr="008952C1" w:rsidRDefault="005A06BD" w:rsidP="002220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 xml:space="preserve">1,05 ml </w:t>
            </w:r>
          </w:p>
        </w:tc>
      </w:tr>
      <w:tr w:rsidR="005A06BD" w:rsidRPr="008952C1" w:rsidTr="00581C6F">
        <w:trPr>
          <w:trHeight w:val="357"/>
        </w:trPr>
        <w:tc>
          <w:tcPr>
            <w:tcW w:w="4219" w:type="dxa"/>
          </w:tcPr>
          <w:p w:rsidR="00876CCA" w:rsidRDefault="00876CCA" w:rsidP="00C82E76">
            <w:pPr>
              <w:autoSpaceDE w:val="0"/>
              <w:autoSpaceDN w:val="0"/>
              <w:adjustRightInd w:val="0"/>
              <w:ind w:left="14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Opdelt dosis hver 6. time</w:t>
            </w:r>
          </w:p>
          <w:p w:rsidR="005A06BD" w:rsidRPr="008952C1" w:rsidRDefault="00C82E76" w:rsidP="00C82E76">
            <w:pPr>
              <w:autoSpaceDE w:val="0"/>
              <w:autoSpaceDN w:val="0"/>
              <w:adjustRightInd w:val="0"/>
              <w:ind w:left="14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ved</w:t>
            </w:r>
            <w:proofErr w:type="gramEnd"/>
            <w:r w:rsidR="005A06BD" w:rsidRPr="008952C1">
              <w:rPr>
                <w:bCs/>
                <w:color w:val="000000"/>
                <w:sz w:val="24"/>
                <w:szCs w:val="24"/>
              </w:rPr>
              <w:t xml:space="preserve"> 25 mg/kg legemsvægt pr. dag </w:t>
            </w:r>
          </w:p>
        </w:tc>
        <w:tc>
          <w:tcPr>
            <w:tcW w:w="1134" w:type="dxa"/>
          </w:tcPr>
          <w:p w:rsidR="005A06BD" w:rsidRPr="008952C1" w:rsidRDefault="005A06BD" w:rsidP="002220C0">
            <w:pPr>
              <w:tabs>
                <w:tab w:val="left" w:pos="12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>31 mg;</w:t>
            </w:r>
          </w:p>
          <w:p w:rsidR="005A06BD" w:rsidRPr="008952C1" w:rsidRDefault="005A06BD" w:rsidP="002220C0">
            <w:pPr>
              <w:tabs>
                <w:tab w:val="left" w:pos="12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 xml:space="preserve">0,15 ml </w:t>
            </w:r>
          </w:p>
        </w:tc>
        <w:tc>
          <w:tcPr>
            <w:tcW w:w="1134" w:type="dxa"/>
          </w:tcPr>
          <w:p w:rsidR="005A06BD" w:rsidRPr="008952C1" w:rsidRDefault="005A06BD" w:rsidP="002220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>62 mg;</w:t>
            </w:r>
          </w:p>
          <w:p w:rsidR="005A06BD" w:rsidRPr="008952C1" w:rsidRDefault="005A06BD" w:rsidP="002220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 xml:space="preserve">0,3 ml </w:t>
            </w:r>
          </w:p>
        </w:tc>
        <w:tc>
          <w:tcPr>
            <w:tcW w:w="1134" w:type="dxa"/>
          </w:tcPr>
          <w:p w:rsidR="005A06BD" w:rsidRPr="008952C1" w:rsidRDefault="005A06BD" w:rsidP="002220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>94 mg;</w:t>
            </w:r>
          </w:p>
          <w:p w:rsidR="005A06BD" w:rsidRPr="008952C1" w:rsidRDefault="005A06BD" w:rsidP="00581C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 xml:space="preserve">0,45 ml </w:t>
            </w:r>
          </w:p>
        </w:tc>
        <w:tc>
          <w:tcPr>
            <w:tcW w:w="1049" w:type="dxa"/>
          </w:tcPr>
          <w:p w:rsidR="005A06BD" w:rsidRPr="008952C1" w:rsidRDefault="005A06BD" w:rsidP="002220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>125 mg;</w:t>
            </w:r>
          </w:p>
          <w:p w:rsidR="005A06BD" w:rsidRPr="008952C1" w:rsidRDefault="005A06BD" w:rsidP="002220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 xml:space="preserve">0,65 ml </w:t>
            </w:r>
          </w:p>
        </w:tc>
        <w:tc>
          <w:tcPr>
            <w:tcW w:w="1049" w:type="dxa"/>
          </w:tcPr>
          <w:p w:rsidR="005A06BD" w:rsidRPr="008952C1" w:rsidRDefault="005A06BD" w:rsidP="002220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>156 mg;</w:t>
            </w:r>
          </w:p>
          <w:p w:rsidR="005A06BD" w:rsidRPr="008952C1" w:rsidRDefault="005A06BD" w:rsidP="002220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 xml:space="preserve">0,8 ml </w:t>
            </w:r>
          </w:p>
        </w:tc>
      </w:tr>
      <w:tr w:rsidR="005A06BD" w:rsidRPr="008952C1" w:rsidTr="00581C6F">
        <w:trPr>
          <w:trHeight w:val="365"/>
        </w:trPr>
        <w:tc>
          <w:tcPr>
            <w:tcW w:w="4219" w:type="dxa"/>
          </w:tcPr>
          <w:p w:rsidR="00876CCA" w:rsidRDefault="00876CCA" w:rsidP="00C82E76">
            <w:pPr>
              <w:autoSpaceDE w:val="0"/>
              <w:autoSpaceDN w:val="0"/>
              <w:adjustRightInd w:val="0"/>
              <w:ind w:left="14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Opdelt dosis hver 12. time</w:t>
            </w:r>
          </w:p>
          <w:p w:rsidR="005A06BD" w:rsidRPr="008952C1" w:rsidRDefault="00C82E76" w:rsidP="00C82E76">
            <w:pPr>
              <w:autoSpaceDE w:val="0"/>
              <w:autoSpaceDN w:val="0"/>
              <w:adjustRightInd w:val="0"/>
              <w:ind w:left="14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ved</w:t>
            </w:r>
            <w:proofErr w:type="gramEnd"/>
            <w:r w:rsidR="005A06BD" w:rsidRPr="008952C1">
              <w:rPr>
                <w:bCs/>
                <w:color w:val="000000"/>
                <w:sz w:val="24"/>
                <w:szCs w:val="24"/>
              </w:rPr>
              <w:t xml:space="preserve"> 50 mg/kg legemsvægt pr. dag </w:t>
            </w:r>
          </w:p>
        </w:tc>
        <w:tc>
          <w:tcPr>
            <w:tcW w:w="1134" w:type="dxa"/>
          </w:tcPr>
          <w:p w:rsidR="005A06BD" w:rsidRPr="008952C1" w:rsidRDefault="005A06BD" w:rsidP="002220C0">
            <w:pPr>
              <w:tabs>
                <w:tab w:val="left" w:pos="12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>125 mg;</w:t>
            </w:r>
          </w:p>
          <w:p w:rsidR="005A06BD" w:rsidRPr="008952C1" w:rsidRDefault="005A06BD" w:rsidP="00581C6F">
            <w:pPr>
              <w:tabs>
                <w:tab w:val="left" w:pos="12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 xml:space="preserve">0,65 ml </w:t>
            </w:r>
          </w:p>
        </w:tc>
        <w:tc>
          <w:tcPr>
            <w:tcW w:w="1134" w:type="dxa"/>
          </w:tcPr>
          <w:p w:rsidR="005A06BD" w:rsidRPr="008952C1" w:rsidRDefault="005A06BD" w:rsidP="002220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>250 mg;</w:t>
            </w:r>
          </w:p>
          <w:p w:rsidR="005A06BD" w:rsidRPr="008952C1" w:rsidRDefault="005A06BD" w:rsidP="002220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 xml:space="preserve">1,3 ml </w:t>
            </w:r>
          </w:p>
        </w:tc>
        <w:tc>
          <w:tcPr>
            <w:tcW w:w="1134" w:type="dxa"/>
          </w:tcPr>
          <w:p w:rsidR="005A06BD" w:rsidRPr="008952C1" w:rsidRDefault="005A06BD" w:rsidP="002220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>375 mg;</w:t>
            </w:r>
          </w:p>
          <w:p w:rsidR="005A06BD" w:rsidRPr="008952C1" w:rsidRDefault="005A06BD" w:rsidP="00581C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 xml:space="preserve">1,9 ml </w:t>
            </w:r>
          </w:p>
        </w:tc>
        <w:tc>
          <w:tcPr>
            <w:tcW w:w="1049" w:type="dxa"/>
          </w:tcPr>
          <w:p w:rsidR="005A06BD" w:rsidRPr="008952C1" w:rsidRDefault="005A06BD" w:rsidP="002220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>500 mg;</w:t>
            </w:r>
          </w:p>
          <w:p w:rsidR="005A06BD" w:rsidRPr="008952C1" w:rsidRDefault="005A06BD" w:rsidP="002220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 xml:space="preserve">2,5 ml </w:t>
            </w:r>
          </w:p>
        </w:tc>
        <w:tc>
          <w:tcPr>
            <w:tcW w:w="1049" w:type="dxa"/>
          </w:tcPr>
          <w:p w:rsidR="005A06BD" w:rsidRPr="008952C1" w:rsidRDefault="005A06BD" w:rsidP="002220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>625 mg;</w:t>
            </w:r>
          </w:p>
          <w:p w:rsidR="005A06BD" w:rsidRPr="008952C1" w:rsidRDefault="005A06BD" w:rsidP="002220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 xml:space="preserve">3,15 ml </w:t>
            </w:r>
          </w:p>
        </w:tc>
      </w:tr>
      <w:tr w:rsidR="005A06BD" w:rsidRPr="008952C1" w:rsidTr="00581C6F">
        <w:trPr>
          <w:trHeight w:val="364"/>
        </w:trPr>
        <w:tc>
          <w:tcPr>
            <w:tcW w:w="4219" w:type="dxa"/>
          </w:tcPr>
          <w:p w:rsidR="00876CCA" w:rsidRDefault="00876CCA" w:rsidP="00C82E76">
            <w:pPr>
              <w:autoSpaceDE w:val="0"/>
              <w:autoSpaceDN w:val="0"/>
              <w:adjustRightInd w:val="0"/>
              <w:ind w:left="14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Opdelt dosis hver 8. time</w:t>
            </w:r>
          </w:p>
          <w:p w:rsidR="005A06BD" w:rsidRPr="008952C1" w:rsidRDefault="00C82E76" w:rsidP="00C82E76">
            <w:pPr>
              <w:autoSpaceDE w:val="0"/>
              <w:autoSpaceDN w:val="0"/>
              <w:adjustRightInd w:val="0"/>
              <w:ind w:left="14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ved</w:t>
            </w:r>
            <w:proofErr w:type="gramEnd"/>
            <w:r w:rsidR="005A06BD" w:rsidRPr="008952C1">
              <w:rPr>
                <w:bCs/>
                <w:color w:val="000000"/>
                <w:sz w:val="24"/>
                <w:szCs w:val="24"/>
              </w:rPr>
              <w:t xml:space="preserve"> 50 mg/kg legemsvægt pr. dag </w:t>
            </w:r>
          </w:p>
        </w:tc>
        <w:tc>
          <w:tcPr>
            <w:tcW w:w="1134" w:type="dxa"/>
          </w:tcPr>
          <w:p w:rsidR="005A06BD" w:rsidRPr="008952C1" w:rsidRDefault="005A06BD" w:rsidP="00581C6F">
            <w:pPr>
              <w:tabs>
                <w:tab w:val="left" w:pos="12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>83 mg;</w:t>
            </w:r>
          </w:p>
          <w:p w:rsidR="005A06BD" w:rsidRPr="008952C1" w:rsidRDefault="005A06BD" w:rsidP="00581C6F">
            <w:pPr>
              <w:tabs>
                <w:tab w:val="left" w:pos="12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 xml:space="preserve">0,4 ml </w:t>
            </w:r>
          </w:p>
        </w:tc>
        <w:tc>
          <w:tcPr>
            <w:tcW w:w="1134" w:type="dxa"/>
          </w:tcPr>
          <w:p w:rsidR="005A06BD" w:rsidRPr="008952C1" w:rsidRDefault="005A06BD" w:rsidP="00581C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>166 mg;</w:t>
            </w:r>
          </w:p>
          <w:p w:rsidR="005A06BD" w:rsidRPr="008952C1" w:rsidRDefault="005A06BD" w:rsidP="00581C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 xml:space="preserve">0,85 ml </w:t>
            </w:r>
          </w:p>
        </w:tc>
        <w:tc>
          <w:tcPr>
            <w:tcW w:w="1134" w:type="dxa"/>
          </w:tcPr>
          <w:p w:rsidR="005A06BD" w:rsidRPr="008952C1" w:rsidRDefault="005A06BD" w:rsidP="00581C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>250 mg;</w:t>
            </w:r>
          </w:p>
          <w:p w:rsidR="005A06BD" w:rsidRPr="008952C1" w:rsidRDefault="005A06BD" w:rsidP="00581C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 xml:space="preserve">1,3 ml </w:t>
            </w:r>
          </w:p>
        </w:tc>
        <w:tc>
          <w:tcPr>
            <w:tcW w:w="1049" w:type="dxa"/>
          </w:tcPr>
          <w:p w:rsidR="005A06BD" w:rsidRPr="008952C1" w:rsidRDefault="005A06BD" w:rsidP="00581C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>333 mg;</w:t>
            </w:r>
          </w:p>
          <w:p w:rsidR="005A06BD" w:rsidRPr="008952C1" w:rsidRDefault="005A06BD" w:rsidP="00581C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 xml:space="preserve">1,65 ml </w:t>
            </w:r>
          </w:p>
        </w:tc>
        <w:tc>
          <w:tcPr>
            <w:tcW w:w="1049" w:type="dxa"/>
          </w:tcPr>
          <w:p w:rsidR="005A06BD" w:rsidRPr="008952C1" w:rsidRDefault="005A06BD" w:rsidP="00581C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>417 mg;</w:t>
            </w:r>
          </w:p>
          <w:p w:rsidR="005A06BD" w:rsidRPr="008952C1" w:rsidRDefault="005A06BD" w:rsidP="00581C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 xml:space="preserve">2,1 ml </w:t>
            </w:r>
          </w:p>
        </w:tc>
      </w:tr>
      <w:tr w:rsidR="005A06BD" w:rsidRPr="008952C1" w:rsidTr="00581C6F">
        <w:trPr>
          <w:trHeight w:val="357"/>
        </w:trPr>
        <w:tc>
          <w:tcPr>
            <w:tcW w:w="4219" w:type="dxa"/>
          </w:tcPr>
          <w:p w:rsidR="00876CCA" w:rsidRDefault="00876CCA" w:rsidP="00C82E76">
            <w:pPr>
              <w:autoSpaceDE w:val="0"/>
              <w:autoSpaceDN w:val="0"/>
              <w:adjustRightInd w:val="0"/>
              <w:ind w:left="14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Opdelt dosis hver 6. time</w:t>
            </w:r>
          </w:p>
          <w:p w:rsidR="005A06BD" w:rsidRPr="008952C1" w:rsidRDefault="00C82E76" w:rsidP="00C82E76">
            <w:pPr>
              <w:autoSpaceDE w:val="0"/>
              <w:autoSpaceDN w:val="0"/>
              <w:adjustRightInd w:val="0"/>
              <w:ind w:left="14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ved</w:t>
            </w:r>
            <w:proofErr w:type="gramEnd"/>
            <w:r w:rsidR="005A06BD" w:rsidRPr="008952C1">
              <w:rPr>
                <w:bCs/>
                <w:color w:val="000000"/>
                <w:sz w:val="24"/>
                <w:szCs w:val="24"/>
              </w:rPr>
              <w:t xml:space="preserve"> 50 mg/kg legemsvægt pr. dag </w:t>
            </w:r>
          </w:p>
        </w:tc>
        <w:tc>
          <w:tcPr>
            <w:tcW w:w="1134" w:type="dxa"/>
          </w:tcPr>
          <w:p w:rsidR="005A06BD" w:rsidRPr="008952C1" w:rsidRDefault="005A06BD" w:rsidP="00581C6F">
            <w:pPr>
              <w:tabs>
                <w:tab w:val="left" w:pos="12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>63 mg;</w:t>
            </w:r>
          </w:p>
          <w:p w:rsidR="005A06BD" w:rsidRPr="008952C1" w:rsidRDefault="005A06BD" w:rsidP="00581C6F">
            <w:pPr>
              <w:tabs>
                <w:tab w:val="left" w:pos="12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 xml:space="preserve">0,3 ml </w:t>
            </w:r>
          </w:p>
        </w:tc>
        <w:tc>
          <w:tcPr>
            <w:tcW w:w="1134" w:type="dxa"/>
          </w:tcPr>
          <w:p w:rsidR="005A06BD" w:rsidRPr="008952C1" w:rsidRDefault="005A06BD" w:rsidP="00581C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>125 mg;</w:t>
            </w:r>
          </w:p>
          <w:p w:rsidR="005A06BD" w:rsidRPr="008952C1" w:rsidRDefault="005A06BD" w:rsidP="00581C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 xml:space="preserve">0,65 ml </w:t>
            </w:r>
          </w:p>
        </w:tc>
        <w:tc>
          <w:tcPr>
            <w:tcW w:w="1134" w:type="dxa"/>
          </w:tcPr>
          <w:p w:rsidR="005A06BD" w:rsidRPr="008952C1" w:rsidRDefault="005A06BD" w:rsidP="00581C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>188 mg;</w:t>
            </w:r>
          </w:p>
          <w:p w:rsidR="005A06BD" w:rsidRPr="008952C1" w:rsidRDefault="005A06BD" w:rsidP="00581C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 xml:space="preserve">0,95 ml </w:t>
            </w:r>
          </w:p>
        </w:tc>
        <w:tc>
          <w:tcPr>
            <w:tcW w:w="1049" w:type="dxa"/>
          </w:tcPr>
          <w:p w:rsidR="005A06BD" w:rsidRPr="008952C1" w:rsidRDefault="005A06BD" w:rsidP="00581C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>250 mg;</w:t>
            </w:r>
          </w:p>
          <w:p w:rsidR="005A06BD" w:rsidRPr="008952C1" w:rsidRDefault="005A06BD" w:rsidP="00581C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 xml:space="preserve">1,3 ml </w:t>
            </w:r>
          </w:p>
        </w:tc>
        <w:tc>
          <w:tcPr>
            <w:tcW w:w="1049" w:type="dxa"/>
          </w:tcPr>
          <w:p w:rsidR="005A06BD" w:rsidRPr="008952C1" w:rsidRDefault="005A06BD" w:rsidP="00581C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>313 mg;</w:t>
            </w:r>
          </w:p>
          <w:p w:rsidR="005A06BD" w:rsidRPr="008952C1" w:rsidRDefault="005A06BD" w:rsidP="00581C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 xml:space="preserve">1,55 ml </w:t>
            </w:r>
          </w:p>
        </w:tc>
      </w:tr>
      <w:tr w:rsidR="005A06BD" w:rsidRPr="008952C1" w:rsidTr="00581C6F">
        <w:trPr>
          <w:trHeight w:val="364"/>
        </w:trPr>
        <w:tc>
          <w:tcPr>
            <w:tcW w:w="4219" w:type="dxa"/>
          </w:tcPr>
          <w:p w:rsidR="00876CCA" w:rsidRDefault="00876CCA" w:rsidP="00C82E76">
            <w:pPr>
              <w:autoSpaceDE w:val="0"/>
              <w:autoSpaceDN w:val="0"/>
              <w:adjustRightInd w:val="0"/>
              <w:ind w:left="14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Opdelt dosis hver 8. time</w:t>
            </w:r>
          </w:p>
          <w:p w:rsidR="005A06BD" w:rsidRPr="008952C1" w:rsidRDefault="00C82E76" w:rsidP="00C82E76">
            <w:pPr>
              <w:autoSpaceDE w:val="0"/>
              <w:autoSpaceDN w:val="0"/>
              <w:adjustRightInd w:val="0"/>
              <w:ind w:left="14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ved</w:t>
            </w:r>
            <w:proofErr w:type="gramEnd"/>
            <w:r w:rsidR="005A06BD" w:rsidRPr="008952C1">
              <w:rPr>
                <w:bCs/>
                <w:color w:val="000000"/>
                <w:sz w:val="24"/>
                <w:szCs w:val="24"/>
              </w:rPr>
              <w:t xml:space="preserve"> 100 mg/kg legemsvægt pr. dag</w:t>
            </w:r>
          </w:p>
        </w:tc>
        <w:tc>
          <w:tcPr>
            <w:tcW w:w="1134" w:type="dxa"/>
          </w:tcPr>
          <w:p w:rsidR="005A06BD" w:rsidRPr="008952C1" w:rsidRDefault="005A06BD" w:rsidP="00581C6F">
            <w:pPr>
              <w:tabs>
                <w:tab w:val="left" w:pos="12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>167 mg;</w:t>
            </w:r>
          </w:p>
          <w:p w:rsidR="005A06BD" w:rsidRPr="008952C1" w:rsidRDefault="005A06BD" w:rsidP="00581C6F">
            <w:pPr>
              <w:tabs>
                <w:tab w:val="left" w:pos="12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 xml:space="preserve">0,85 ml </w:t>
            </w:r>
          </w:p>
        </w:tc>
        <w:tc>
          <w:tcPr>
            <w:tcW w:w="1134" w:type="dxa"/>
          </w:tcPr>
          <w:p w:rsidR="005A06BD" w:rsidRPr="008952C1" w:rsidRDefault="005A06BD" w:rsidP="00581C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>333 mg;</w:t>
            </w:r>
          </w:p>
          <w:p w:rsidR="005A06BD" w:rsidRPr="008952C1" w:rsidRDefault="005A06BD" w:rsidP="00581C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 xml:space="preserve">1,7 ml </w:t>
            </w:r>
          </w:p>
        </w:tc>
        <w:tc>
          <w:tcPr>
            <w:tcW w:w="1134" w:type="dxa"/>
          </w:tcPr>
          <w:p w:rsidR="005A06BD" w:rsidRPr="008952C1" w:rsidRDefault="005A06BD" w:rsidP="00581C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>500 mg;</w:t>
            </w:r>
          </w:p>
          <w:p w:rsidR="005A06BD" w:rsidRPr="008952C1" w:rsidRDefault="005A06BD" w:rsidP="00581C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 xml:space="preserve">2,5 ml </w:t>
            </w:r>
          </w:p>
        </w:tc>
        <w:tc>
          <w:tcPr>
            <w:tcW w:w="1049" w:type="dxa"/>
          </w:tcPr>
          <w:p w:rsidR="005A06BD" w:rsidRPr="008952C1" w:rsidRDefault="005A06BD" w:rsidP="00581C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>667 mg;</w:t>
            </w:r>
          </w:p>
          <w:p w:rsidR="005A06BD" w:rsidRPr="008952C1" w:rsidRDefault="005A06BD" w:rsidP="00581C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 xml:space="preserve">3,5 ml </w:t>
            </w:r>
          </w:p>
        </w:tc>
        <w:tc>
          <w:tcPr>
            <w:tcW w:w="1049" w:type="dxa"/>
          </w:tcPr>
          <w:p w:rsidR="005A06BD" w:rsidRPr="008952C1" w:rsidRDefault="005A06BD" w:rsidP="00581C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>833 mg;</w:t>
            </w:r>
          </w:p>
          <w:p w:rsidR="005A06BD" w:rsidRPr="008952C1" w:rsidRDefault="005A06BD" w:rsidP="00581C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 xml:space="preserve">4,15 ml </w:t>
            </w:r>
          </w:p>
        </w:tc>
      </w:tr>
      <w:tr w:rsidR="005A06BD" w:rsidRPr="008952C1" w:rsidTr="00581C6F">
        <w:trPr>
          <w:trHeight w:val="365"/>
        </w:trPr>
        <w:tc>
          <w:tcPr>
            <w:tcW w:w="4219" w:type="dxa"/>
          </w:tcPr>
          <w:p w:rsidR="00876CCA" w:rsidRDefault="00876CCA" w:rsidP="00C82E76">
            <w:pPr>
              <w:autoSpaceDE w:val="0"/>
              <w:autoSpaceDN w:val="0"/>
              <w:adjustRightInd w:val="0"/>
              <w:ind w:left="142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Opdelt dosis hver 6. time</w:t>
            </w:r>
          </w:p>
          <w:p w:rsidR="005A06BD" w:rsidRPr="008952C1" w:rsidRDefault="00C82E76" w:rsidP="00C82E76">
            <w:pPr>
              <w:autoSpaceDE w:val="0"/>
              <w:autoSpaceDN w:val="0"/>
              <w:adjustRightInd w:val="0"/>
              <w:ind w:left="14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ved</w:t>
            </w:r>
            <w:proofErr w:type="gramEnd"/>
            <w:r w:rsidR="005A06BD" w:rsidRPr="008952C1">
              <w:rPr>
                <w:bCs/>
                <w:color w:val="000000"/>
                <w:sz w:val="24"/>
                <w:szCs w:val="24"/>
              </w:rPr>
              <w:t xml:space="preserve"> 100 mg/kg legemsvægt pr. dag </w:t>
            </w:r>
          </w:p>
        </w:tc>
        <w:tc>
          <w:tcPr>
            <w:tcW w:w="1134" w:type="dxa"/>
          </w:tcPr>
          <w:p w:rsidR="005A06BD" w:rsidRPr="008952C1" w:rsidRDefault="005A06BD" w:rsidP="00581C6F">
            <w:pPr>
              <w:tabs>
                <w:tab w:val="left" w:pos="12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>125 mg;</w:t>
            </w:r>
          </w:p>
          <w:p w:rsidR="005A06BD" w:rsidRPr="008952C1" w:rsidRDefault="005A06BD" w:rsidP="00581C6F">
            <w:pPr>
              <w:tabs>
                <w:tab w:val="left" w:pos="124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 xml:space="preserve">0,65 ml </w:t>
            </w:r>
          </w:p>
        </w:tc>
        <w:tc>
          <w:tcPr>
            <w:tcW w:w="1134" w:type="dxa"/>
          </w:tcPr>
          <w:p w:rsidR="005A06BD" w:rsidRPr="008952C1" w:rsidRDefault="005A06BD" w:rsidP="00581C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>250 mg;</w:t>
            </w:r>
          </w:p>
          <w:p w:rsidR="005A06BD" w:rsidRPr="008952C1" w:rsidRDefault="005A06BD" w:rsidP="00581C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 xml:space="preserve">1,3 ml </w:t>
            </w:r>
          </w:p>
        </w:tc>
        <w:tc>
          <w:tcPr>
            <w:tcW w:w="1134" w:type="dxa"/>
          </w:tcPr>
          <w:p w:rsidR="005A06BD" w:rsidRPr="008952C1" w:rsidRDefault="005A06BD" w:rsidP="00581C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>375 mg;</w:t>
            </w:r>
          </w:p>
          <w:p w:rsidR="005A06BD" w:rsidRPr="008952C1" w:rsidRDefault="005A06BD" w:rsidP="00581C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 xml:space="preserve">1,9 ml </w:t>
            </w:r>
          </w:p>
        </w:tc>
        <w:tc>
          <w:tcPr>
            <w:tcW w:w="1049" w:type="dxa"/>
          </w:tcPr>
          <w:p w:rsidR="005A06BD" w:rsidRPr="008952C1" w:rsidRDefault="005A06BD" w:rsidP="00581C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>500 mg;</w:t>
            </w:r>
          </w:p>
          <w:p w:rsidR="005A06BD" w:rsidRPr="008952C1" w:rsidRDefault="005A06BD" w:rsidP="00581C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 xml:space="preserve">2,5 ml </w:t>
            </w:r>
          </w:p>
        </w:tc>
        <w:tc>
          <w:tcPr>
            <w:tcW w:w="1049" w:type="dxa"/>
          </w:tcPr>
          <w:p w:rsidR="005A06BD" w:rsidRPr="008952C1" w:rsidRDefault="005A06BD" w:rsidP="00581C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>625 mg;</w:t>
            </w:r>
          </w:p>
          <w:p w:rsidR="005A06BD" w:rsidRPr="008952C1" w:rsidRDefault="005A06BD" w:rsidP="00581C6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 xml:space="preserve">3,15 ml </w:t>
            </w:r>
          </w:p>
        </w:tc>
      </w:tr>
    </w:tbl>
    <w:p w:rsidR="005A06BD" w:rsidRPr="008952C1" w:rsidRDefault="005A06BD" w:rsidP="005A06BD">
      <w:pPr>
        <w:ind w:left="851"/>
        <w:rPr>
          <w:sz w:val="24"/>
          <w:szCs w:val="24"/>
        </w:rPr>
      </w:pPr>
    </w:p>
    <w:p w:rsidR="005A06BD" w:rsidRPr="008952C1" w:rsidRDefault="005A06BD" w:rsidP="005A06BD">
      <w:pPr>
        <w:ind w:left="851"/>
        <w:rPr>
          <w:b/>
          <w:sz w:val="24"/>
          <w:szCs w:val="24"/>
        </w:rPr>
      </w:pPr>
      <w:r w:rsidRPr="008952C1">
        <w:rPr>
          <w:b/>
          <w:sz w:val="24"/>
          <w:szCs w:val="24"/>
        </w:rPr>
        <w:t>Pædiatriske patienter med nedsat nyrefunktion</w:t>
      </w:r>
    </w:p>
    <w:p w:rsidR="005A06BD" w:rsidRPr="008952C1" w:rsidRDefault="005A06BD" w:rsidP="005A06BD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 xml:space="preserve">Børn med nedsat nyrefunktion </w:t>
      </w:r>
      <w:r w:rsidR="00C315FB">
        <w:rPr>
          <w:sz w:val="24"/>
          <w:szCs w:val="24"/>
        </w:rPr>
        <w:t xml:space="preserve">kan </w:t>
      </w:r>
      <w:r w:rsidRPr="008952C1">
        <w:rPr>
          <w:sz w:val="24"/>
          <w:szCs w:val="24"/>
        </w:rPr>
        <w:t>(som voksne) have behov for en lavere dosis for at undgå overlapning.</w:t>
      </w:r>
    </w:p>
    <w:p w:rsidR="005A06BD" w:rsidRPr="008952C1" w:rsidRDefault="005A06BD" w:rsidP="005A06BD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>Denne lavere dosis kan styres ved at bestemme niveauer i blodet. Hvis det ikke er muligt, kan dos</w:t>
      </w:r>
      <w:r w:rsidR="00C315FB">
        <w:rPr>
          <w:sz w:val="24"/>
          <w:szCs w:val="24"/>
        </w:rPr>
        <w:t xml:space="preserve">eringen bestemmes ved </w:t>
      </w:r>
      <w:proofErr w:type="spellStart"/>
      <w:r w:rsidR="00C315FB">
        <w:rPr>
          <w:sz w:val="24"/>
          <w:szCs w:val="24"/>
        </w:rPr>
        <w:t>kreatinin</w:t>
      </w:r>
      <w:r w:rsidRPr="008952C1">
        <w:rPr>
          <w:sz w:val="24"/>
          <w:szCs w:val="24"/>
        </w:rPr>
        <w:t>clearance</w:t>
      </w:r>
      <w:proofErr w:type="spellEnd"/>
      <w:r w:rsidRPr="008952C1">
        <w:rPr>
          <w:sz w:val="24"/>
          <w:szCs w:val="24"/>
        </w:rPr>
        <w:t xml:space="preserve"> i henhold til følgende retningslinjer.</w:t>
      </w:r>
    </w:p>
    <w:p w:rsidR="005A06BD" w:rsidRPr="008952C1" w:rsidRDefault="005A06BD" w:rsidP="005A06BD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>Hos børn med moderat nedsat nyrefunktion (</w:t>
      </w:r>
      <w:proofErr w:type="spellStart"/>
      <w:r w:rsidRPr="008952C1">
        <w:rPr>
          <w:sz w:val="24"/>
          <w:szCs w:val="24"/>
        </w:rPr>
        <w:t>kreatinin</w:t>
      </w:r>
      <w:proofErr w:type="spellEnd"/>
      <w:r w:rsidRPr="008952C1">
        <w:rPr>
          <w:sz w:val="24"/>
          <w:szCs w:val="24"/>
        </w:rPr>
        <w:t xml:space="preserve"> </w:t>
      </w:r>
      <w:proofErr w:type="spellStart"/>
      <w:r w:rsidRPr="008952C1">
        <w:rPr>
          <w:sz w:val="24"/>
          <w:szCs w:val="24"/>
        </w:rPr>
        <w:t>clearance</w:t>
      </w:r>
      <w:proofErr w:type="spellEnd"/>
      <w:r w:rsidRPr="008952C1">
        <w:rPr>
          <w:sz w:val="24"/>
          <w:szCs w:val="24"/>
        </w:rPr>
        <w:t xml:space="preserve"> 40-20 ml/min.)</w:t>
      </w:r>
      <w:r w:rsidR="00C315FB">
        <w:rPr>
          <w:sz w:val="24"/>
          <w:szCs w:val="24"/>
        </w:rPr>
        <w:t xml:space="preserve"> er</w:t>
      </w:r>
      <w:r w:rsidRPr="008952C1">
        <w:rPr>
          <w:sz w:val="24"/>
          <w:szCs w:val="24"/>
        </w:rPr>
        <w:t xml:space="preserve"> 25 % af den normale daglige dosis, opdelt i doser hver 12. time, tilstrækkelig.</w:t>
      </w:r>
    </w:p>
    <w:p w:rsidR="005A06BD" w:rsidRPr="008952C1" w:rsidRDefault="005A06BD" w:rsidP="005A06BD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>Hos børn med kraftig nedsat nyrefunktion (</w:t>
      </w:r>
      <w:proofErr w:type="spellStart"/>
      <w:r w:rsidRPr="008952C1">
        <w:rPr>
          <w:sz w:val="24"/>
          <w:szCs w:val="24"/>
        </w:rPr>
        <w:t>kreatinin</w:t>
      </w:r>
      <w:proofErr w:type="spellEnd"/>
      <w:r w:rsidRPr="008952C1">
        <w:rPr>
          <w:sz w:val="24"/>
          <w:szCs w:val="24"/>
        </w:rPr>
        <w:t xml:space="preserve"> 20-5 ml/min.) vil 10 % af den normale daglige dosis, givet hver 24. time, være tilstrækkelig.</w:t>
      </w:r>
    </w:p>
    <w:p w:rsidR="005A06BD" w:rsidRPr="008952C1" w:rsidRDefault="005A06BD" w:rsidP="005A06BD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>Alle disse retningslinjer er gældende efter en indledende startdosis.</w:t>
      </w:r>
    </w:p>
    <w:p w:rsidR="005A06BD" w:rsidRPr="008952C1" w:rsidRDefault="005A06BD" w:rsidP="005A06BD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>Se også pkt. 4.4.</w:t>
      </w:r>
    </w:p>
    <w:p w:rsidR="005A06BD" w:rsidRPr="008952C1" w:rsidRDefault="005A06BD" w:rsidP="005A06BD">
      <w:pPr>
        <w:ind w:left="851"/>
        <w:rPr>
          <w:sz w:val="24"/>
          <w:szCs w:val="24"/>
        </w:rPr>
      </w:pPr>
    </w:p>
    <w:p w:rsidR="005A06BD" w:rsidRPr="008952C1" w:rsidRDefault="00572C46" w:rsidP="005A06BD">
      <w:pPr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>Ældre patienter</w:t>
      </w:r>
    </w:p>
    <w:p w:rsidR="005A06BD" w:rsidRPr="008952C1" w:rsidRDefault="005A06BD" w:rsidP="005A06BD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>Hos ældre patienter med normal nyrefunktion er det ikke nødvendigt med dosisjustering.</w:t>
      </w:r>
    </w:p>
    <w:p w:rsidR="005A06BD" w:rsidRPr="008952C1" w:rsidRDefault="005A06BD" w:rsidP="005A06BD">
      <w:pPr>
        <w:ind w:left="851"/>
        <w:rPr>
          <w:bCs/>
          <w:sz w:val="24"/>
          <w:szCs w:val="24"/>
        </w:rPr>
      </w:pPr>
    </w:p>
    <w:p w:rsidR="005A06BD" w:rsidRPr="000871EA" w:rsidRDefault="005A06BD" w:rsidP="005A06BD">
      <w:pPr>
        <w:ind w:left="851"/>
        <w:rPr>
          <w:b/>
          <w:bCs/>
          <w:sz w:val="24"/>
          <w:szCs w:val="24"/>
        </w:rPr>
      </w:pPr>
      <w:r w:rsidRPr="000871EA">
        <w:rPr>
          <w:b/>
          <w:bCs/>
          <w:sz w:val="24"/>
          <w:szCs w:val="24"/>
        </w:rPr>
        <w:t>Administration</w:t>
      </w:r>
    </w:p>
    <w:p w:rsidR="005A06BD" w:rsidRPr="008952C1" w:rsidRDefault="007F145E" w:rsidP="005A06BD">
      <w:pPr>
        <w:ind w:left="851"/>
        <w:rPr>
          <w:sz w:val="24"/>
          <w:szCs w:val="24"/>
          <w:highlight w:val="lightGray"/>
        </w:rPr>
      </w:pPr>
      <w:proofErr w:type="spellStart"/>
      <w:r>
        <w:rPr>
          <w:sz w:val="24"/>
          <w:szCs w:val="24"/>
        </w:rPr>
        <w:t>Cefazolin</w:t>
      </w:r>
      <w:proofErr w:type="spellEnd"/>
      <w:r>
        <w:rPr>
          <w:sz w:val="24"/>
          <w:szCs w:val="24"/>
        </w:rPr>
        <w:t xml:space="preserve"> ”MIP”</w:t>
      </w:r>
      <w:r w:rsidR="005A06BD" w:rsidRPr="008952C1">
        <w:rPr>
          <w:sz w:val="24"/>
          <w:szCs w:val="24"/>
        </w:rPr>
        <w:t xml:space="preserve"> kan administreres ved langsom, intravenøs injektion eller ved intravenøs infusion efter fortynding.</w:t>
      </w:r>
    </w:p>
    <w:p w:rsidR="005A06BD" w:rsidRPr="008952C1" w:rsidRDefault="005A06BD" w:rsidP="005A06BD">
      <w:pPr>
        <w:ind w:left="851"/>
        <w:rPr>
          <w:bCs/>
          <w:iCs/>
          <w:sz w:val="24"/>
          <w:szCs w:val="24"/>
        </w:rPr>
      </w:pPr>
      <w:r w:rsidRPr="008952C1">
        <w:rPr>
          <w:bCs/>
          <w:iCs/>
          <w:sz w:val="24"/>
          <w:szCs w:val="24"/>
        </w:rPr>
        <w:t>Mængden af fortyndingsmiddel, der skal anvendes til rekonstituering, er afhængig af administrationsmåden.</w:t>
      </w:r>
    </w:p>
    <w:p w:rsidR="005A06BD" w:rsidRPr="008952C1" w:rsidRDefault="005A06BD" w:rsidP="005A06BD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 xml:space="preserve">For instruktioner om </w:t>
      </w:r>
      <w:proofErr w:type="spellStart"/>
      <w:r w:rsidRPr="008952C1">
        <w:rPr>
          <w:sz w:val="24"/>
          <w:szCs w:val="24"/>
        </w:rPr>
        <w:t>rekonstitueringen</w:t>
      </w:r>
      <w:proofErr w:type="spellEnd"/>
      <w:r w:rsidRPr="008952C1">
        <w:rPr>
          <w:sz w:val="24"/>
          <w:szCs w:val="24"/>
        </w:rPr>
        <w:t xml:space="preserve"> af lægemidlet inden administration, se pkt. 6.6.</w:t>
      </w:r>
    </w:p>
    <w:p w:rsidR="005A06BD" w:rsidRPr="008952C1" w:rsidRDefault="005A06BD" w:rsidP="005A06BD">
      <w:pPr>
        <w:ind w:left="851"/>
        <w:rPr>
          <w:sz w:val="24"/>
          <w:szCs w:val="24"/>
        </w:rPr>
      </w:pPr>
    </w:p>
    <w:p w:rsidR="005A06BD" w:rsidRPr="008952C1" w:rsidRDefault="005A06BD" w:rsidP="005A06BD">
      <w:pPr>
        <w:ind w:left="851"/>
        <w:rPr>
          <w:b/>
          <w:bCs/>
          <w:sz w:val="24"/>
          <w:szCs w:val="24"/>
        </w:rPr>
      </w:pPr>
      <w:r w:rsidRPr="008952C1">
        <w:rPr>
          <w:b/>
          <w:bCs/>
          <w:sz w:val="24"/>
          <w:szCs w:val="24"/>
        </w:rPr>
        <w:t>Varighed af behandlingen</w:t>
      </w:r>
    </w:p>
    <w:p w:rsidR="00B003BF" w:rsidRPr="00C84483" w:rsidRDefault="005A06BD" w:rsidP="00572C46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>Varigheden af behandlingen afhænger af infektionens sværhedsgrad såvel som den kliniske og bakteriologiske progression.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C45AB8" w:rsidRPr="00C45AB8" w:rsidRDefault="00C45AB8" w:rsidP="00C45AB8">
      <w:pPr>
        <w:ind w:left="851"/>
        <w:rPr>
          <w:sz w:val="24"/>
          <w:szCs w:val="24"/>
        </w:rPr>
      </w:pPr>
      <w:r w:rsidRPr="00C45AB8">
        <w:rPr>
          <w:sz w:val="24"/>
          <w:szCs w:val="24"/>
        </w:rPr>
        <w:t xml:space="preserve">Overfølsomhed over for </w:t>
      </w:r>
      <w:proofErr w:type="spellStart"/>
      <w:r w:rsidRPr="00C45AB8">
        <w:rPr>
          <w:sz w:val="24"/>
          <w:szCs w:val="24"/>
        </w:rPr>
        <w:t>cefazolin</w:t>
      </w:r>
      <w:proofErr w:type="spellEnd"/>
      <w:r w:rsidRPr="00C45AB8">
        <w:rPr>
          <w:sz w:val="24"/>
          <w:szCs w:val="24"/>
        </w:rPr>
        <w:t>.</w:t>
      </w:r>
    </w:p>
    <w:p w:rsidR="00C45AB8" w:rsidRPr="008952C1" w:rsidRDefault="00C45AB8" w:rsidP="00C45AB8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 xml:space="preserve">Patienter med kendt overfølsomhed over for </w:t>
      </w:r>
      <w:proofErr w:type="spellStart"/>
      <w:r w:rsidRPr="008952C1">
        <w:rPr>
          <w:sz w:val="24"/>
          <w:szCs w:val="24"/>
        </w:rPr>
        <w:t>cefalosporin</w:t>
      </w:r>
      <w:proofErr w:type="spellEnd"/>
      <w:r w:rsidRPr="008952C1">
        <w:rPr>
          <w:sz w:val="24"/>
          <w:szCs w:val="24"/>
        </w:rPr>
        <w:t>-antibiotika.</w:t>
      </w:r>
    </w:p>
    <w:p w:rsidR="00B003BF" w:rsidRPr="00C84483" w:rsidRDefault="00C45AB8" w:rsidP="00C45AB8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 xml:space="preserve">Anamnese med kraftig overfølsomhed (f.eks. </w:t>
      </w:r>
      <w:proofErr w:type="spellStart"/>
      <w:r w:rsidRPr="008952C1">
        <w:rPr>
          <w:sz w:val="24"/>
          <w:szCs w:val="24"/>
        </w:rPr>
        <w:t>anafylaktisk</w:t>
      </w:r>
      <w:proofErr w:type="spellEnd"/>
      <w:r w:rsidRPr="008952C1">
        <w:rPr>
          <w:sz w:val="24"/>
          <w:szCs w:val="24"/>
        </w:rPr>
        <w:t xml:space="preserve"> reaktion) over for andre typer af beta-</w:t>
      </w:r>
      <w:proofErr w:type="spellStart"/>
      <w:r w:rsidRPr="008952C1">
        <w:rPr>
          <w:sz w:val="24"/>
          <w:szCs w:val="24"/>
        </w:rPr>
        <w:t>laktam</w:t>
      </w:r>
      <w:proofErr w:type="spellEnd"/>
      <w:r w:rsidRPr="008952C1">
        <w:rPr>
          <w:sz w:val="24"/>
          <w:szCs w:val="24"/>
        </w:rPr>
        <w:t xml:space="preserve"> antibakterielle midler (penicilliner, </w:t>
      </w:r>
      <w:proofErr w:type="spellStart"/>
      <w:r w:rsidRPr="008952C1">
        <w:rPr>
          <w:sz w:val="24"/>
          <w:szCs w:val="24"/>
        </w:rPr>
        <w:t>monobaktamer</w:t>
      </w:r>
      <w:proofErr w:type="spellEnd"/>
      <w:r w:rsidRPr="008952C1">
        <w:rPr>
          <w:sz w:val="24"/>
          <w:szCs w:val="24"/>
        </w:rPr>
        <w:t xml:space="preserve"> og </w:t>
      </w:r>
      <w:proofErr w:type="spellStart"/>
      <w:r w:rsidRPr="008952C1">
        <w:rPr>
          <w:sz w:val="24"/>
          <w:szCs w:val="24"/>
        </w:rPr>
        <w:t>carbapenemer</w:t>
      </w:r>
      <w:proofErr w:type="spellEnd"/>
      <w:r w:rsidRPr="008952C1">
        <w:rPr>
          <w:sz w:val="24"/>
          <w:szCs w:val="24"/>
        </w:rPr>
        <w:t>).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C45AB8" w:rsidRDefault="00C45AB8" w:rsidP="00C45AB8">
      <w:pPr>
        <w:ind w:left="851"/>
        <w:rPr>
          <w:sz w:val="24"/>
          <w:szCs w:val="24"/>
          <w:u w:val="single"/>
        </w:rPr>
      </w:pPr>
    </w:p>
    <w:p w:rsidR="00C45AB8" w:rsidRPr="008952C1" w:rsidRDefault="00C45AB8" w:rsidP="00C45AB8">
      <w:pPr>
        <w:ind w:left="851"/>
        <w:rPr>
          <w:sz w:val="24"/>
          <w:szCs w:val="24"/>
          <w:u w:val="single"/>
        </w:rPr>
      </w:pPr>
      <w:r w:rsidRPr="008952C1">
        <w:rPr>
          <w:sz w:val="24"/>
          <w:szCs w:val="24"/>
          <w:u w:val="single"/>
        </w:rPr>
        <w:t>Advarsler</w:t>
      </w:r>
    </w:p>
    <w:p w:rsidR="00C45AB8" w:rsidRPr="008952C1" w:rsidRDefault="00C45AB8" w:rsidP="00C45AB8">
      <w:pPr>
        <w:ind w:left="851"/>
        <w:rPr>
          <w:rStyle w:val="hps"/>
          <w:color w:val="000000"/>
          <w:sz w:val="24"/>
          <w:szCs w:val="24"/>
        </w:rPr>
      </w:pPr>
      <w:r w:rsidRPr="008952C1">
        <w:rPr>
          <w:rStyle w:val="hps"/>
          <w:color w:val="000000"/>
          <w:sz w:val="24"/>
          <w:szCs w:val="24"/>
        </w:rPr>
        <w:t>I tilfælde af enhver kendt overfølsomhed over for penicilliner</w:t>
      </w:r>
      <w:r w:rsidRPr="008952C1">
        <w:rPr>
          <w:rStyle w:val="longtext"/>
          <w:color w:val="000000"/>
          <w:sz w:val="24"/>
          <w:szCs w:val="24"/>
        </w:rPr>
        <w:t xml:space="preserve"> eller andre </w:t>
      </w:r>
      <w:r w:rsidRPr="008952C1">
        <w:rPr>
          <w:rStyle w:val="hps"/>
          <w:color w:val="000000"/>
          <w:sz w:val="24"/>
          <w:szCs w:val="24"/>
        </w:rPr>
        <w:t>beta-</w:t>
      </w:r>
      <w:proofErr w:type="spellStart"/>
      <w:r w:rsidRPr="008952C1">
        <w:rPr>
          <w:rStyle w:val="longtext"/>
          <w:color w:val="000000"/>
          <w:sz w:val="24"/>
          <w:szCs w:val="24"/>
        </w:rPr>
        <w:t>laktam</w:t>
      </w:r>
      <w:proofErr w:type="spellEnd"/>
      <w:r w:rsidRPr="008952C1">
        <w:rPr>
          <w:rStyle w:val="longtext"/>
          <w:color w:val="000000"/>
          <w:sz w:val="24"/>
          <w:szCs w:val="24"/>
        </w:rPr>
        <w:t xml:space="preserve"> </w:t>
      </w:r>
      <w:r w:rsidRPr="008952C1">
        <w:rPr>
          <w:rStyle w:val="hps"/>
          <w:color w:val="000000"/>
          <w:sz w:val="24"/>
          <w:szCs w:val="24"/>
        </w:rPr>
        <w:t>antibiotika,</w:t>
      </w:r>
      <w:r w:rsidRPr="008952C1">
        <w:rPr>
          <w:rStyle w:val="longtext"/>
          <w:color w:val="000000"/>
          <w:sz w:val="24"/>
          <w:szCs w:val="24"/>
        </w:rPr>
        <w:t xml:space="preserve"> skal man være opmærksom på en mulig kryds</w:t>
      </w:r>
      <w:r w:rsidRPr="008952C1">
        <w:rPr>
          <w:rStyle w:val="hps"/>
          <w:color w:val="000000"/>
          <w:sz w:val="24"/>
          <w:szCs w:val="24"/>
        </w:rPr>
        <w:t>-følsomhed (se pkt. 4.3).</w:t>
      </w:r>
    </w:p>
    <w:p w:rsidR="00C45AB8" w:rsidRPr="008952C1" w:rsidRDefault="00C45AB8" w:rsidP="00C45AB8">
      <w:pPr>
        <w:ind w:left="851"/>
        <w:rPr>
          <w:sz w:val="24"/>
          <w:szCs w:val="24"/>
        </w:rPr>
      </w:pPr>
    </w:p>
    <w:p w:rsidR="00C45AB8" w:rsidRPr="008952C1" w:rsidRDefault="00C45AB8" w:rsidP="00C45AB8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>Som med alle beta-</w:t>
      </w:r>
      <w:proofErr w:type="spellStart"/>
      <w:r w:rsidRPr="008952C1">
        <w:rPr>
          <w:sz w:val="24"/>
          <w:szCs w:val="24"/>
        </w:rPr>
        <w:t>laktam</w:t>
      </w:r>
      <w:proofErr w:type="spellEnd"/>
      <w:r w:rsidRPr="008952C1">
        <w:rPr>
          <w:sz w:val="24"/>
          <w:szCs w:val="24"/>
        </w:rPr>
        <w:t xml:space="preserve"> antibakterielle midler er der rapporteret alvorlige og til tider fatale overfølsomhedsreaktioner. I tilfælde af alvorlige overfølsomhedsreaktioner skal behandling med </w:t>
      </w:r>
      <w:proofErr w:type="spellStart"/>
      <w:r>
        <w:rPr>
          <w:sz w:val="24"/>
          <w:szCs w:val="24"/>
        </w:rPr>
        <w:t>c</w:t>
      </w:r>
      <w:r w:rsidRPr="008952C1">
        <w:rPr>
          <w:sz w:val="24"/>
          <w:szCs w:val="24"/>
        </w:rPr>
        <w:t>efazolin</w:t>
      </w:r>
      <w:proofErr w:type="spellEnd"/>
      <w:r w:rsidRPr="008952C1">
        <w:rPr>
          <w:sz w:val="24"/>
          <w:szCs w:val="24"/>
        </w:rPr>
        <w:t xml:space="preserve"> straks seponeres og nødvendige nødforanstaltninger skal iværksættes.</w:t>
      </w:r>
    </w:p>
    <w:p w:rsidR="00C45AB8" w:rsidRPr="008952C1" w:rsidRDefault="00C45AB8" w:rsidP="00C45AB8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 xml:space="preserve">Inden begyndelse af behandlingen bør det fastslås, om patienten har en anamnese med kraftige overfølsomhedsreaktioner over for </w:t>
      </w:r>
      <w:proofErr w:type="spellStart"/>
      <w:r w:rsidRPr="008952C1">
        <w:rPr>
          <w:sz w:val="24"/>
          <w:szCs w:val="24"/>
        </w:rPr>
        <w:t>cefazolin</w:t>
      </w:r>
      <w:proofErr w:type="spellEnd"/>
      <w:r w:rsidRPr="008952C1">
        <w:rPr>
          <w:sz w:val="24"/>
          <w:szCs w:val="24"/>
        </w:rPr>
        <w:t xml:space="preserve">, over for andre </w:t>
      </w:r>
      <w:proofErr w:type="spellStart"/>
      <w:r w:rsidRPr="008952C1">
        <w:rPr>
          <w:sz w:val="24"/>
          <w:szCs w:val="24"/>
        </w:rPr>
        <w:t>cefalosporiner</w:t>
      </w:r>
      <w:proofErr w:type="spellEnd"/>
      <w:r w:rsidRPr="008952C1">
        <w:rPr>
          <w:sz w:val="24"/>
          <w:szCs w:val="24"/>
        </w:rPr>
        <w:t xml:space="preserve"> eller over for nogen anden type midler af beta-</w:t>
      </w:r>
      <w:proofErr w:type="spellStart"/>
      <w:r w:rsidRPr="008952C1">
        <w:rPr>
          <w:sz w:val="24"/>
          <w:szCs w:val="24"/>
        </w:rPr>
        <w:t>laktam</w:t>
      </w:r>
      <w:proofErr w:type="spellEnd"/>
      <w:r w:rsidRPr="008952C1">
        <w:rPr>
          <w:sz w:val="24"/>
          <w:szCs w:val="24"/>
        </w:rPr>
        <w:t xml:space="preserve"> gruppen. Der bør udvises forsigtighed, hvis </w:t>
      </w:r>
      <w:proofErr w:type="spellStart"/>
      <w:r w:rsidRPr="008952C1">
        <w:rPr>
          <w:sz w:val="24"/>
          <w:szCs w:val="24"/>
        </w:rPr>
        <w:t>cefazolin</w:t>
      </w:r>
      <w:proofErr w:type="spellEnd"/>
      <w:r w:rsidRPr="008952C1">
        <w:rPr>
          <w:sz w:val="24"/>
          <w:szCs w:val="24"/>
        </w:rPr>
        <w:t xml:space="preserve"> gives til patienter med en anamnese med ikke-kraftig overfølsomhed over for andre midler af beta-</w:t>
      </w:r>
      <w:proofErr w:type="spellStart"/>
      <w:r w:rsidRPr="008952C1">
        <w:rPr>
          <w:sz w:val="24"/>
          <w:szCs w:val="24"/>
        </w:rPr>
        <w:t>laktam</w:t>
      </w:r>
      <w:proofErr w:type="spellEnd"/>
      <w:r w:rsidRPr="008952C1">
        <w:rPr>
          <w:sz w:val="24"/>
          <w:szCs w:val="24"/>
        </w:rPr>
        <w:t xml:space="preserve"> gruppen.</w:t>
      </w:r>
    </w:p>
    <w:p w:rsidR="00C45AB8" w:rsidRPr="008952C1" w:rsidRDefault="00C45AB8" w:rsidP="00C45AB8">
      <w:pPr>
        <w:ind w:left="851"/>
        <w:rPr>
          <w:sz w:val="24"/>
          <w:szCs w:val="24"/>
        </w:rPr>
      </w:pPr>
      <w:proofErr w:type="spellStart"/>
      <w:r w:rsidRPr="008952C1">
        <w:rPr>
          <w:sz w:val="24"/>
          <w:szCs w:val="24"/>
        </w:rPr>
        <w:t>Cefazolin</w:t>
      </w:r>
      <w:proofErr w:type="spellEnd"/>
      <w:r w:rsidRPr="008952C1">
        <w:rPr>
          <w:sz w:val="24"/>
          <w:szCs w:val="24"/>
        </w:rPr>
        <w:t xml:space="preserve"> bør kun administreres med særlig forsigtighed til patienter med allergisk </w:t>
      </w:r>
      <w:proofErr w:type="spellStart"/>
      <w:r w:rsidRPr="008952C1">
        <w:rPr>
          <w:sz w:val="24"/>
          <w:szCs w:val="24"/>
        </w:rPr>
        <w:t>reaktivitet</w:t>
      </w:r>
      <w:proofErr w:type="spellEnd"/>
      <w:r w:rsidRPr="008952C1">
        <w:rPr>
          <w:sz w:val="24"/>
          <w:szCs w:val="24"/>
        </w:rPr>
        <w:t xml:space="preserve"> (f</w:t>
      </w:r>
      <w:r>
        <w:rPr>
          <w:sz w:val="24"/>
          <w:szCs w:val="24"/>
        </w:rPr>
        <w:t>.</w:t>
      </w:r>
      <w:r w:rsidRPr="008952C1">
        <w:rPr>
          <w:sz w:val="24"/>
          <w:szCs w:val="24"/>
        </w:rPr>
        <w:t xml:space="preserve">eks. allergisk </w:t>
      </w:r>
      <w:proofErr w:type="spellStart"/>
      <w:r w:rsidRPr="008952C1">
        <w:rPr>
          <w:sz w:val="24"/>
          <w:szCs w:val="24"/>
        </w:rPr>
        <w:t>rhinitis</w:t>
      </w:r>
      <w:proofErr w:type="spellEnd"/>
      <w:r w:rsidRPr="008952C1">
        <w:rPr>
          <w:sz w:val="24"/>
          <w:szCs w:val="24"/>
        </w:rPr>
        <w:t xml:space="preserve"> eller bronkial astma), da risikoen for en alvorlig overfølsomhedsreaktion er øget.</w:t>
      </w:r>
    </w:p>
    <w:p w:rsidR="00C45AB8" w:rsidRPr="008952C1" w:rsidRDefault="00C45AB8" w:rsidP="00C45AB8">
      <w:pPr>
        <w:ind w:left="851"/>
        <w:rPr>
          <w:sz w:val="24"/>
          <w:szCs w:val="24"/>
        </w:rPr>
      </w:pPr>
    </w:p>
    <w:p w:rsidR="00C45AB8" w:rsidRPr="008952C1" w:rsidRDefault="00C45AB8" w:rsidP="00C45AB8">
      <w:pPr>
        <w:ind w:left="851"/>
        <w:rPr>
          <w:sz w:val="24"/>
          <w:szCs w:val="24"/>
        </w:rPr>
      </w:pPr>
      <w:proofErr w:type="spellStart"/>
      <w:r w:rsidRPr="008952C1">
        <w:rPr>
          <w:sz w:val="24"/>
          <w:szCs w:val="24"/>
        </w:rPr>
        <w:t>Pseudomembranøs</w:t>
      </w:r>
      <w:proofErr w:type="spellEnd"/>
      <w:r w:rsidRPr="008952C1">
        <w:rPr>
          <w:sz w:val="24"/>
          <w:szCs w:val="24"/>
        </w:rPr>
        <w:t xml:space="preserve"> </w:t>
      </w:r>
      <w:proofErr w:type="spellStart"/>
      <w:r w:rsidRPr="008952C1">
        <w:rPr>
          <w:sz w:val="24"/>
          <w:szCs w:val="24"/>
        </w:rPr>
        <w:t>colitis</w:t>
      </w:r>
      <w:proofErr w:type="spellEnd"/>
      <w:r w:rsidRPr="008952C1">
        <w:rPr>
          <w:sz w:val="24"/>
          <w:szCs w:val="24"/>
        </w:rPr>
        <w:t xml:space="preserve"> i forbindelse med antibakterielle midler er blevet rapporteret ved brugen af </w:t>
      </w:r>
      <w:proofErr w:type="spellStart"/>
      <w:r w:rsidRPr="008952C1">
        <w:rPr>
          <w:sz w:val="24"/>
          <w:szCs w:val="24"/>
        </w:rPr>
        <w:t>cefazolin</w:t>
      </w:r>
      <w:proofErr w:type="spellEnd"/>
      <w:r w:rsidRPr="008952C1">
        <w:rPr>
          <w:sz w:val="24"/>
          <w:szCs w:val="24"/>
        </w:rPr>
        <w:t xml:space="preserve"> og kan strække sig i sværhedsgrad fra mild til livstruende. Denne diagnose bør overvejes hos patienter med diarré under eller efterfølgende administrationen af </w:t>
      </w:r>
      <w:proofErr w:type="spellStart"/>
      <w:r w:rsidRPr="008952C1">
        <w:rPr>
          <w:sz w:val="24"/>
          <w:szCs w:val="24"/>
        </w:rPr>
        <w:t>cefazolin</w:t>
      </w:r>
      <w:proofErr w:type="spellEnd"/>
      <w:r w:rsidRPr="008952C1">
        <w:rPr>
          <w:sz w:val="24"/>
          <w:szCs w:val="24"/>
        </w:rPr>
        <w:t xml:space="preserve"> (se pkt. 4.8). Afbrydelse af behandling med </w:t>
      </w:r>
      <w:proofErr w:type="spellStart"/>
      <w:r w:rsidRPr="008952C1">
        <w:rPr>
          <w:sz w:val="24"/>
          <w:szCs w:val="24"/>
        </w:rPr>
        <w:t>cefazolin</w:t>
      </w:r>
      <w:proofErr w:type="spellEnd"/>
      <w:r w:rsidRPr="008952C1">
        <w:rPr>
          <w:sz w:val="24"/>
          <w:szCs w:val="24"/>
        </w:rPr>
        <w:t xml:space="preserve"> og administration af specifik behandling for </w:t>
      </w:r>
      <w:proofErr w:type="spellStart"/>
      <w:r w:rsidRPr="008952C1">
        <w:rPr>
          <w:i/>
          <w:sz w:val="24"/>
          <w:szCs w:val="24"/>
        </w:rPr>
        <w:t>Clostridium</w:t>
      </w:r>
      <w:proofErr w:type="spellEnd"/>
      <w:r w:rsidRPr="008952C1">
        <w:rPr>
          <w:i/>
          <w:sz w:val="24"/>
          <w:szCs w:val="24"/>
        </w:rPr>
        <w:t xml:space="preserve"> difficile</w:t>
      </w:r>
      <w:r w:rsidRPr="008952C1">
        <w:rPr>
          <w:sz w:val="24"/>
          <w:szCs w:val="24"/>
        </w:rPr>
        <w:t xml:space="preserve"> bør overvejes. Lægemidler, der hæmmer peristaltikken, bør ikke gives.</w:t>
      </w:r>
    </w:p>
    <w:p w:rsidR="00C45AB8" w:rsidRPr="008952C1" w:rsidRDefault="00C45AB8" w:rsidP="00C45AB8">
      <w:pPr>
        <w:ind w:left="851"/>
        <w:rPr>
          <w:sz w:val="24"/>
          <w:szCs w:val="24"/>
        </w:rPr>
      </w:pPr>
    </w:p>
    <w:p w:rsidR="00C45AB8" w:rsidRPr="008952C1" w:rsidRDefault="00C45AB8" w:rsidP="00C45AB8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 xml:space="preserve">Pædiatrisk anvendelse: Da der ikke er tilstrækkelig erfaring tilgængelig for øjeblikket, må </w:t>
      </w:r>
      <w:proofErr w:type="spellStart"/>
      <w:r w:rsidR="007F145E">
        <w:rPr>
          <w:sz w:val="24"/>
          <w:szCs w:val="24"/>
        </w:rPr>
        <w:t>Cefazolin</w:t>
      </w:r>
      <w:proofErr w:type="spellEnd"/>
      <w:r w:rsidR="007F145E">
        <w:rPr>
          <w:sz w:val="24"/>
          <w:szCs w:val="24"/>
        </w:rPr>
        <w:t xml:space="preserve"> ”MIP”</w:t>
      </w:r>
      <w:r w:rsidRPr="008952C1">
        <w:rPr>
          <w:sz w:val="24"/>
          <w:szCs w:val="24"/>
        </w:rPr>
        <w:t xml:space="preserve"> ikke gives til nyfødte og spædbørn i den første levemåned.</w:t>
      </w:r>
    </w:p>
    <w:p w:rsidR="00C45AB8" w:rsidRDefault="00C45AB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45AB8" w:rsidRPr="008952C1" w:rsidRDefault="00C45AB8" w:rsidP="00C45AB8">
      <w:pPr>
        <w:ind w:left="851"/>
        <w:rPr>
          <w:sz w:val="24"/>
          <w:szCs w:val="24"/>
        </w:rPr>
      </w:pPr>
    </w:p>
    <w:p w:rsidR="00C45AB8" w:rsidRPr="008952C1" w:rsidRDefault="00C45AB8" w:rsidP="00C45AB8">
      <w:pPr>
        <w:ind w:left="851"/>
        <w:rPr>
          <w:sz w:val="24"/>
          <w:szCs w:val="24"/>
          <w:u w:val="single"/>
        </w:rPr>
      </w:pPr>
      <w:r w:rsidRPr="008952C1">
        <w:rPr>
          <w:sz w:val="24"/>
          <w:szCs w:val="24"/>
          <w:u w:val="single"/>
        </w:rPr>
        <w:t>Forsigtighedsregler</w:t>
      </w:r>
    </w:p>
    <w:p w:rsidR="00C45AB8" w:rsidRPr="008952C1" w:rsidRDefault="00C45AB8" w:rsidP="00C45AB8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 xml:space="preserve">I tilfælde af en nyreinsufficiens med en </w:t>
      </w:r>
      <w:proofErr w:type="spellStart"/>
      <w:r w:rsidRPr="008952C1">
        <w:rPr>
          <w:sz w:val="24"/>
          <w:szCs w:val="24"/>
        </w:rPr>
        <w:t>glomerulær</w:t>
      </w:r>
      <w:proofErr w:type="spellEnd"/>
      <w:r w:rsidRPr="008952C1">
        <w:rPr>
          <w:sz w:val="24"/>
          <w:szCs w:val="24"/>
        </w:rPr>
        <w:t xml:space="preserve"> filtrationshastighed på under 55 ml/min, skal en akkumulering af </w:t>
      </w:r>
      <w:proofErr w:type="spellStart"/>
      <w:r w:rsidRPr="008952C1">
        <w:rPr>
          <w:sz w:val="24"/>
          <w:szCs w:val="24"/>
        </w:rPr>
        <w:t>cefazolin</w:t>
      </w:r>
      <w:proofErr w:type="spellEnd"/>
      <w:r w:rsidRPr="008952C1">
        <w:rPr>
          <w:sz w:val="24"/>
          <w:szCs w:val="24"/>
        </w:rPr>
        <w:t xml:space="preserve"> tages i betragtning. Doseringen skal derfor reduceres i henhold hertil, eller doseringsintervallet skal forlænges (se pkt. 4.2).</w:t>
      </w:r>
    </w:p>
    <w:p w:rsidR="00C45AB8" w:rsidRPr="008952C1" w:rsidRDefault="00C45AB8" w:rsidP="00C45AB8">
      <w:pPr>
        <w:ind w:left="851"/>
        <w:rPr>
          <w:sz w:val="24"/>
          <w:szCs w:val="24"/>
        </w:rPr>
      </w:pPr>
    </w:p>
    <w:p w:rsidR="00C45AB8" w:rsidRPr="008952C1" w:rsidRDefault="00C45AB8" w:rsidP="00C45AB8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 xml:space="preserve">Hos patienter med nedsat nyrefunktion kan brugen af </w:t>
      </w:r>
      <w:proofErr w:type="spellStart"/>
      <w:r w:rsidRPr="008952C1">
        <w:rPr>
          <w:sz w:val="24"/>
          <w:szCs w:val="24"/>
        </w:rPr>
        <w:t>cefazolin</w:t>
      </w:r>
      <w:proofErr w:type="spellEnd"/>
      <w:r w:rsidRPr="008952C1">
        <w:rPr>
          <w:sz w:val="24"/>
          <w:szCs w:val="24"/>
        </w:rPr>
        <w:t xml:space="preserve"> være forbundet med krampeanfald.</w:t>
      </w:r>
    </w:p>
    <w:p w:rsidR="00C45AB8" w:rsidRPr="008952C1" w:rsidRDefault="00C45AB8" w:rsidP="00C45AB8">
      <w:pPr>
        <w:ind w:left="851"/>
        <w:rPr>
          <w:sz w:val="24"/>
          <w:szCs w:val="24"/>
        </w:rPr>
      </w:pPr>
    </w:p>
    <w:p w:rsidR="00C45AB8" w:rsidRPr="008952C1" w:rsidRDefault="00C45AB8" w:rsidP="00C45AB8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 xml:space="preserve">Forlænget </w:t>
      </w:r>
      <w:proofErr w:type="spellStart"/>
      <w:r w:rsidRPr="008952C1">
        <w:rPr>
          <w:sz w:val="24"/>
          <w:szCs w:val="24"/>
        </w:rPr>
        <w:t>protrombintid</w:t>
      </w:r>
      <w:proofErr w:type="spellEnd"/>
      <w:r w:rsidRPr="008952C1">
        <w:rPr>
          <w:sz w:val="24"/>
          <w:szCs w:val="24"/>
        </w:rPr>
        <w:t xml:space="preserve"> kan forekomme hos patienter med nedsat nyre- eller leverfunktion eller dårlig ernæringsmæssig tilstand, såvel som hos patienter, der får et længerevarende forløb af antimikrobiel behandling, og patienter tidligere stabiliseret på </w:t>
      </w:r>
      <w:proofErr w:type="spellStart"/>
      <w:r w:rsidRPr="008952C1">
        <w:rPr>
          <w:sz w:val="24"/>
          <w:szCs w:val="24"/>
        </w:rPr>
        <w:t>antikoagulationsterapi</w:t>
      </w:r>
      <w:proofErr w:type="spellEnd"/>
      <w:r w:rsidRPr="008952C1">
        <w:rPr>
          <w:sz w:val="24"/>
          <w:szCs w:val="24"/>
        </w:rPr>
        <w:t xml:space="preserve">. Hos disse patienter skal forlængelsen af </w:t>
      </w:r>
      <w:proofErr w:type="spellStart"/>
      <w:r w:rsidRPr="008952C1">
        <w:rPr>
          <w:sz w:val="24"/>
          <w:szCs w:val="24"/>
        </w:rPr>
        <w:t>protrombintid</w:t>
      </w:r>
      <w:proofErr w:type="spellEnd"/>
      <w:r w:rsidRPr="008952C1">
        <w:rPr>
          <w:sz w:val="24"/>
          <w:szCs w:val="24"/>
        </w:rPr>
        <w:t xml:space="preserve"> overvåges under behandling med </w:t>
      </w:r>
      <w:proofErr w:type="spellStart"/>
      <w:r w:rsidRPr="008952C1">
        <w:rPr>
          <w:sz w:val="24"/>
          <w:szCs w:val="24"/>
        </w:rPr>
        <w:t>cefazolin</w:t>
      </w:r>
      <w:proofErr w:type="spellEnd"/>
      <w:r w:rsidRPr="008952C1">
        <w:rPr>
          <w:sz w:val="24"/>
          <w:szCs w:val="24"/>
        </w:rPr>
        <w:t xml:space="preserve">, da det meget sjældent kan medføre </w:t>
      </w:r>
      <w:proofErr w:type="spellStart"/>
      <w:r w:rsidRPr="008952C1">
        <w:rPr>
          <w:sz w:val="24"/>
          <w:szCs w:val="24"/>
        </w:rPr>
        <w:t>plasmatiske</w:t>
      </w:r>
      <w:proofErr w:type="spellEnd"/>
      <w:r w:rsidRPr="008952C1">
        <w:rPr>
          <w:sz w:val="24"/>
          <w:szCs w:val="24"/>
        </w:rPr>
        <w:t xml:space="preserve"> blodkoagulationslidelser (se pkt. 4.5 og 4.8). Derfor </w:t>
      </w:r>
      <w:proofErr w:type="gramStart"/>
      <w:r w:rsidRPr="008952C1">
        <w:rPr>
          <w:sz w:val="24"/>
          <w:szCs w:val="24"/>
        </w:rPr>
        <w:t>skal  INT</w:t>
      </w:r>
      <w:proofErr w:type="gramEnd"/>
      <w:r w:rsidRPr="008952C1">
        <w:rPr>
          <w:sz w:val="24"/>
          <w:szCs w:val="24"/>
        </w:rPr>
        <w:t xml:space="preserve"> (International </w:t>
      </w:r>
      <w:proofErr w:type="spellStart"/>
      <w:r w:rsidRPr="008952C1">
        <w:rPr>
          <w:sz w:val="24"/>
          <w:szCs w:val="24"/>
        </w:rPr>
        <w:t>Normalised</w:t>
      </w:r>
      <w:proofErr w:type="spellEnd"/>
      <w:r w:rsidRPr="008952C1">
        <w:rPr>
          <w:sz w:val="24"/>
          <w:szCs w:val="24"/>
        </w:rPr>
        <w:t xml:space="preserve"> Ratio) måles regelmæssigt hos patienter med lidelser, der kan medføre blødninger (f.eks. </w:t>
      </w:r>
      <w:proofErr w:type="spellStart"/>
      <w:r w:rsidRPr="008952C1">
        <w:rPr>
          <w:sz w:val="24"/>
          <w:szCs w:val="24"/>
        </w:rPr>
        <w:t>gastro-intestinale</w:t>
      </w:r>
      <w:proofErr w:type="spellEnd"/>
      <w:r w:rsidRPr="008952C1">
        <w:rPr>
          <w:sz w:val="24"/>
          <w:szCs w:val="24"/>
        </w:rPr>
        <w:t xml:space="preserve"> </w:t>
      </w:r>
      <w:proofErr w:type="spellStart"/>
      <w:r w:rsidRPr="008952C1">
        <w:rPr>
          <w:sz w:val="24"/>
          <w:szCs w:val="24"/>
        </w:rPr>
        <w:t>ulcera</w:t>
      </w:r>
      <w:proofErr w:type="spellEnd"/>
      <w:r w:rsidRPr="008952C1">
        <w:rPr>
          <w:sz w:val="24"/>
          <w:szCs w:val="24"/>
        </w:rPr>
        <w:t xml:space="preserve">) såvel som hos patienter med koagulationsdefekter (nedarvet: f.eks. hæmofili; erhvervet: f.eks. ved parenteral ernæring, fejlernæring, forstyrret lever- eller nyrefunktion eller </w:t>
      </w:r>
      <w:proofErr w:type="spellStart"/>
      <w:r w:rsidRPr="008952C1">
        <w:rPr>
          <w:sz w:val="24"/>
          <w:szCs w:val="24"/>
        </w:rPr>
        <w:t>trombocytopeni</w:t>
      </w:r>
      <w:proofErr w:type="spellEnd"/>
      <w:r w:rsidRPr="008952C1">
        <w:rPr>
          <w:sz w:val="24"/>
          <w:szCs w:val="24"/>
        </w:rPr>
        <w:t>; lægemid</w:t>
      </w:r>
      <w:r w:rsidR="00102EFB">
        <w:rPr>
          <w:sz w:val="24"/>
          <w:szCs w:val="24"/>
        </w:rPr>
        <w:t>delinduceret</w:t>
      </w:r>
      <w:r w:rsidRPr="008952C1">
        <w:rPr>
          <w:sz w:val="24"/>
          <w:szCs w:val="24"/>
        </w:rPr>
        <w:t>: f.</w:t>
      </w:r>
      <w:r w:rsidR="00102EFB">
        <w:rPr>
          <w:sz w:val="24"/>
          <w:szCs w:val="24"/>
        </w:rPr>
        <w:t xml:space="preserve">eks. fra </w:t>
      </w:r>
      <w:proofErr w:type="spellStart"/>
      <w:r w:rsidR="00102EFB">
        <w:rPr>
          <w:sz w:val="24"/>
          <w:szCs w:val="24"/>
        </w:rPr>
        <w:t>heparin</w:t>
      </w:r>
      <w:proofErr w:type="spellEnd"/>
      <w:r w:rsidR="00102EFB">
        <w:rPr>
          <w:sz w:val="24"/>
          <w:szCs w:val="24"/>
        </w:rPr>
        <w:t xml:space="preserve"> eller andre </w:t>
      </w:r>
      <w:r w:rsidRPr="008952C1">
        <w:rPr>
          <w:sz w:val="24"/>
          <w:szCs w:val="24"/>
        </w:rPr>
        <w:t xml:space="preserve">orale </w:t>
      </w:r>
      <w:proofErr w:type="spellStart"/>
      <w:r w:rsidRPr="008952C1">
        <w:rPr>
          <w:sz w:val="24"/>
          <w:szCs w:val="24"/>
        </w:rPr>
        <w:t>antikoagulantia</w:t>
      </w:r>
      <w:proofErr w:type="spellEnd"/>
      <w:r w:rsidRPr="008952C1">
        <w:rPr>
          <w:sz w:val="24"/>
          <w:szCs w:val="24"/>
        </w:rPr>
        <w:t>). K-vitamin kan erstattes (10 mg pr. uge) om nødvendigt.</w:t>
      </w:r>
    </w:p>
    <w:p w:rsidR="00C45AB8" w:rsidRPr="008952C1" w:rsidRDefault="00C45AB8" w:rsidP="00C45AB8">
      <w:pPr>
        <w:ind w:left="851"/>
        <w:rPr>
          <w:sz w:val="24"/>
          <w:szCs w:val="24"/>
        </w:rPr>
      </w:pPr>
    </w:p>
    <w:p w:rsidR="00C45AB8" w:rsidRPr="008952C1" w:rsidRDefault="00C45AB8" w:rsidP="00C45AB8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>Længerevarende og gentagen administration kan lede til overvækst af resistente organismer. Hvis der forekommer superinfektion under behandlingen, bør der tages passende forholdsregler.</w:t>
      </w:r>
    </w:p>
    <w:p w:rsidR="00C45AB8" w:rsidRPr="008952C1" w:rsidRDefault="00C45AB8" w:rsidP="00C45AB8">
      <w:pPr>
        <w:ind w:left="851"/>
        <w:rPr>
          <w:sz w:val="24"/>
          <w:szCs w:val="24"/>
        </w:rPr>
      </w:pPr>
    </w:p>
    <w:p w:rsidR="00C45AB8" w:rsidRPr="008952C1" w:rsidRDefault="00C45AB8" w:rsidP="00C45AB8">
      <w:pPr>
        <w:ind w:left="851"/>
        <w:rPr>
          <w:sz w:val="24"/>
          <w:szCs w:val="24"/>
          <w:u w:val="single"/>
        </w:rPr>
      </w:pPr>
      <w:r w:rsidRPr="008952C1">
        <w:rPr>
          <w:sz w:val="24"/>
          <w:szCs w:val="24"/>
          <w:u w:val="single"/>
        </w:rPr>
        <w:t>Virkninger på laboratorietest</w:t>
      </w:r>
    </w:p>
    <w:p w:rsidR="00C45AB8" w:rsidRPr="008952C1" w:rsidRDefault="00C45AB8" w:rsidP="00C45AB8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 xml:space="preserve">I sjældne tilfælde kan den non-enzymatiske urinsukkertest og </w:t>
      </w:r>
      <w:proofErr w:type="spellStart"/>
      <w:r w:rsidRPr="008952C1">
        <w:rPr>
          <w:sz w:val="24"/>
          <w:szCs w:val="24"/>
        </w:rPr>
        <w:t>Coombs</w:t>
      </w:r>
      <w:proofErr w:type="spellEnd"/>
      <w:r w:rsidRPr="008952C1">
        <w:rPr>
          <w:sz w:val="24"/>
          <w:szCs w:val="24"/>
        </w:rPr>
        <w:t xml:space="preserve"> test vise falsk positive resultater.</w:t>
      </w:r>
    </w:p>
    <w:p w:rsidR="00C45AB8" w:rsidRPr="008952C1" w:rsidRDefault="00C45AB8" w:rsidP="00C45AB8">
      <w:pPr>
        <w:ind w:left="851"/>
        <w:rPr>
          <w:sz w:val="24"/>
          <w:szCs w:val="24"/>
        </w:rPr>
      </w:pPr>
    </w:p>
    <w:p w:rsidR="005F4651" w:rsidRPr="00C84483" w:rsidRDefault="005F4651" w:rsidP="005F4651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 xml:space="preserve">Dette lægemiddel indeholder </w:t>
      </w:r>
      <w:r>
        <w:rPr>
          <w:sz w:val="24"/>
          <w:szCs w:val="24"/>
        </w:rPr>
        <w:t xml:space="preserve">101,6 </w:t>
      </w:r>
      <w:r w:rsidRPr="008952C1">
        <w:rPr>
          <w:sz w:val="24"/>
          <w:szCs w:val="24"/>
        </w:rPr>
        <w:t>mg natrium pr. 2.000 mg dosis</w:t>
      </w:r>
      <w:r w:rsidRPr="00F40C4F">
        <w:rPr>
          <w:sz w:val="24"/>
          <w:szCs w:val="24"/>
        </w:rPr>
        <w:t xml:space="preserve">, svarende til </w:t>
      </w:r>
      <w:r>
        <w:rPr>
          <w:sz w:val="24"/>
          <w:szCs w:val="24"/>
        </w:rPr>
        <w:t>5,1%</w:t>
      </w:r>
      <w:r w:rsidRPr="00F40C4F">
        <w:rPr>
          <w:sz w:val="24"/>
          <w:szCs w:val="24"/>
        </w:rPr>
        <w:t xml:space="preserve"> af den WHO</w:t>
      </w:r>
      <w:r>
        <w:rPr>
          <w:sz w:val="24"/>
          <w:szCs w:val="24"/>
        </w:rPr>
        <w:t xml:space="preserve"> </w:t>
      </w:r>
      <w:r w:rsidRPr="00F40C4F">
        <w:rPr>
          <w:sz w:val="24"/>
          <w:szCs w:val="24"/>
        </w:rPr>
        <w:t>anbefalede maximale daglige indtagelse af 2 g</w:t>
      </w:r>
      <w:r>
        <w:rPr>
          <w:sz w:val="24"/>
          <w:szCs w:val="24"/>
        </w:rPr>
        <w:t xml:space="preserve"> </w:t>
      </w:r>
      <w:r w:rsidRPr="00F40C4F">
        <w:rPr>
          <w:sz w:val="24"/>
          <w:szCs w:val="24"/>
        </w:rPr>
        <w:t>natrium for en voksen</w:t>
      </w:r>
      <w:r w:rsidRPr="008952C1">
        <w:rPr>
          <w:sz w:val="24"/>
          <w:szCs w:val="24"/>
        </w:rPr>
        <w:t>.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A2488B" w:rsidRDefault="00A2488B" w:rsidP="00A2488B">
      <w:pPr>
        <w:ind w:left="851"/>
        <w:rPr>
          <w:sz w:val="24"/>
          <w:szCs w:val="24"/>
          <w:u w:val="single"/>
        </w:rPr>
      </w:pPr>
    </w:p>
    <w:p w:rsidR="00A2488B" w:rsidRPr="008952C1" w:rsidRDefault="00A2488B" w:rsidP="00A2488B">
      <w:pPr>
        <w:ind w:left="851"/>
        <w:rPr>
          <w:sz w:val="24"/>
          <w:szCs w:val="24"/>
          <w:u w:val="single"/>
        </w:rPr>
      </w:pPr>
      <w:proofErr w:type="spellStart"/>
      <w:r w:rsidRPr="008952C1">
        <w:rPr>
          <w:sz w:val="24"/>
          <w:szCs w:val="24"/>
          <w:u w:val="single"/>
        </w:rPr>
        <w:t>Antikoagulantia</w:t>
      </w:r>
      <w:proofErr w:type="spellEnd"/>
    </w:p>
    <w:p w:rsidR="00A2488B" w:rsidRPr="008952C1" w:rsidRDefault="00A2488B" w:rsidP="00A2488B">
      <w:pPr>
        <w:ind w:left="851"/>
        <w:rPr>
          <w:sz w:val="24"/>
          <w:szCs w:val="24"/>
        </w:rPr>
      </w:pPr>
      <w:proofErr w:type="spellStart"/>
      <w:r w:rsidRPr="008952C1">
        <w:rPr>
          <w:sz w:val="24"/>
          <w:szCs w:val="24"/>
        </w:rPr>
        <w:t>Cefalosporiner</w:t>
      </w:r>
      <w:proofErr w:type="spellEnd"/>
      <w:r w:rsidRPr="008952C1">
        <w:rPr>
          <w:sz w:val="24"/>
          <w:szCs w:val="24"/>
        </w:rPr>
        <w:t xml:space="preserve"> kan meget sjældent medføre blødningsforstyrrelser (se pkt. 4.4). Under samtidig anvendelse med orale </w:t>
      </w:r>
      <w:proofErr w:type="spellStart"/>
      <w:r w:rsidRPr="008952C1">
        <w:rPr>
          <w:sz w:val="24"/>
          <w:szCs w:val="24"/>
        </w:rPr>
        <w:t>antikoagulantia</w:t>
      </w:r>
      <w:proofErr w:type="spellEnd"/>
      <w:r w:rsidRPr="008952C1">
        <w:rPr>
          <w:sz w:val="24"/>
          <w:szCs w:val="24"/>
        </w:rPr>
        <w:t xml:space="preserve"> (f. eks. </w:t>
      </w:r>
      <w:proofErr w:type="spellStart"/>
      <w:r w:rsidRPr="008952C1">
        <w:rPr>
          <w:sz w:val="24"/>
          <w:szCs w:val="24"/>
        </w:rPr>
        <w:t>warfarin</w:t>
      </w:r>
      <w:proofErr w:type="spellEnd"/>
      <w:r w:rsidRPr="008952C1">
        <w:rPr>
          <w:sz w:val="24"/>
          <w:szCs w:val="24"/>
        </w:rPr>
        <w:t xml:space="preserve"> eller </w:t>
      </w:r>
      <w:proofErr w:type="spellStart"/>
      <w:r w:rsidRPr="008952C1">
        <w:rPr>
          <w:sz w:val="24"/>
          <w:szCs w:val="24"/>
        </w:rPr>
        <w:t>heparin</w:t>
      </w:r>
      <w:proofErr w:type="spellEnd"/>
      <w:r w:rsidRPr="008952C1">
        <w:rPr>
          <w:sz w:val="24"/>
          <w:szCs w:val="24"/>
        </w:rPr>
        <w:t>) i høje doser, bør koagulationsparametrene overvåges.</w:t>
      </w:r>
    </w:p>
    <w:p w:rsidR="00A2488B" w:rsidRPr="008952C1" w:rsidRDefault="00A2488B" w:rsidP="00A2488B">
      <w:pPr>
        <w:ind w:left="851"/>
        <w:rPr>
          <w:sz w:val="24"/>
          <w:szCs w:val="24"/>
        </w:rPr>
      </w:pPr>
    </w:p>
    <w:p w:rsidR="00A2488B" w:rsidRPr="000871EA" w:rsidRDefault="00A2488B" w:rsidP="00A2488B">
      <w:pPr>
        <w:ind w:left="851"/>
        <w:rPr>
          <w:sz w:val="24"/>
          <w:szCs w:val="24"/>
          <w:u w:val="single"/>
        </w:rPr>
      </w:pPr>
      <w:r w:rsidRPr="000871EA">
        <w:rPr>
          <w:sz w:val="24"/>
          <w:szCs w:val="24"/>
          <w:u w:val="single"/>
        </w:rPr>
        <w:t>Vitamin K1</w:t>
      </w:r>
    </w:p>
    <w:p w:rsidR="00A2488B" w:rsidRPr="000871EA" w:rsidRDefault="00A2488B" w:rsidP="00A2488B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 xml:space="preserve">Nogle </w:t>
      </w:r>
      <w:proofErr w:type="spellStart"/>
      <w:r w:rsidRPr="008952C1">
        <w:rPr>
          <w:sz w:val="24"/>
          <w:szCs w:val="24"/>
        </w:rPr>
        <w:t>cefalosporiner</w:t>
      </w:r>
      <w:proofErr w:type="spellEnd"/>
      <w:r w:rsidRPr="008952C1">
        <w:rPr>
          <w:sz w:val="24"/>
          <w:szCs w:val="24"/>
        </w:rPr>
        <w:t xml:space="preserve">, såsom </w:t>
      </w:r>
      <w:proofErr w:type="spellStart"/>
      <w:r w:rsidRPr="008952C1">
        <w:rPr>
          <w:sz w:val="24"/>
          <w:szCs w:val="24"/>
        </w:rPr>
        <w:t>cefamandol</w:t>
      </w:r>
      <w:proofErr w:type="spellEnd"/>
      <w:r w:rsidRPr="008952C1">
        <w:rPr>
          <w:sz w:val="24"/>
          <w:szCs w:val="24"/>
        </w:rPr>
        <w:t xml:space="preserve">, </w:t>
      </w:r>
      <w:proofErr w:type="spellStart"/>
      <w:r w:rsidRPr="008952C1">
        <w:rPr>
          <w:sz w:val="24"/>
          <w:szCs w:val="24"/>
        </w:rPr>
        <w:t>cefazolin</w:t>
      </w:r>
      <w:proofErr w:type="spellEnd"/>
      <w:r w:rsidRPr="008952C1">
        <w:rPr>
          <w:sz w:val="24"/>
          <w:szCs w:val="24"/>
        </w:rPr>
        <w:t xml:space="preserve"> og </w:t>
      </w:r>
      <w:proofErr w:type="spellStart"/>
      <w:r w:rsidRPr="008952C1">
        <w:rPr>
          <w:sz w:val="24"/>
          <w:szCs w:val="24"/>
        </w:rPr>
        <w:t>cefotetan</w:t>
      </w:r>
      <w:proofErr w:type="spellEnd"/>
      <w:r w:rsidRPr="008952C1">
        <w:rPr>
          <w:sz w:val="24"/>
          <w:szCs w:val="24"/>
        </w:rPr>
        <w:t xml:space="preserve">, kan medføre interferens i metabolismen af vitamin K1, især i tilfælde af mangel på vitamin K1. Dette kan kræve </w:t>
      </w:r>
      <w:proofErr w:type="gramStart"/>
      <w:r w:rsidRPr="008952C1">
        <w:rPr>
          <w:sz w:val="24"/>
          <w:szCs w:val="24"/>
        </w:rPr>
        <w:t xml:space="preserve">supplerende </w:t>
      </w:r>
      <w:r w:rsidRPr="000871EA">
        <w:rPr>
          <w:sz w:val="24"/>
          <w:szCs w:val="24"/>
        </w:rPr>
        <w:t xml:space="preserve"> vitamin</w:t>
      </w:r>
      <w:proofErr w:type="gramEnd"/>
      <w:r w:rsidRPr="000871EA">
        <w:rPr>
          <w:sz w:val="24"/>
          <w:szCs w:val="24"/>
        </w:rPr>
        <w:t xml:space="preserve"> K1.</w:t>
      </w:r>
    </w:p>
    <w:p w:rsidR="00A2488B" w:rsidRPr="000871EA" w:rsidRDefault="00A2488B" w:rsidP="00A2488B">
      <w:pPr>
        <w:ind w:left="851"/>
        <w:rPr>
          <w:sz w:val="24"/>
          <w:szCs w:val="24"/>
        </w:rPr>
      </w:pPr>
    </w:p>
    <w:p w:rsidR="00A2488B" w:rsidRPr="000871EA" w:rsidRDefault="00A2488B" w:rsidP="00A2488B">
      <w:pPr>
        <w:ind w:left="851"/>
        <w:rPr>
          <w:sz w:val="24"/>
          <w:szCs w:val="24"/>
          <w:u w:val="single"/>
        </w:rPr>
      </w:pPr>
      <w:proofErr w:type="spellStart"/>
      <w:r w:rsidRPr="000871EA">
        <w:rPr>
          <w:sz w:val="24"/>
          <w:szCs w:val="24"/>
          <w:u w:val="single"/>
        </w:rPr>
        <w:t>Probenecid</w:t>
      </w:r>
      <w:proofErr w:type="spellEnd"/>
    </w:p>
    <w:p w:rsidR="00A2488B" w:rsidRPr="008952C1" w:rsidRDefault="00A2488B" w:rsidP="00A2488B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 xml:space="preserve">På grund af dets hæmmende virkning på den </w:t>
      </w:r>
      <w:proofErr w:type="spellStart"/>
      <w:r w:rsidRPr="008952C1">
        <w:rPr>
          <w:sz w:val="24"/>
          <w:szCs w:val="24"/>
        </w:rPr>
        <w:t>renale</w:t>
      </w:r>
      <w:proofErr w:type="spellEnd"/>
      <w:r w:rsidRPr="008952C1">
        <w:rPr>
          <w:sz w:val="24"/>
          <w:szCs w:val="24"/>
        </w:rPr>
        <w:t xml:space="preserve"> diurese, inducerer administrationen </w:t>
      </w:r>
      <w:proofErr w:type="gramStart"/>
      <w:r w:rsidRPr="008952C1">
        <w:rPr>
          <w:sz w:val="24"/>
          <w:szCs w:val="24"/>
        </w:rPr>
        <w:t xml:space="preserve">af  </w:t>
      </w:r>
      <w:proofErr w:type="spellStart"/>
      <w:r w:rsidRPr="008952C1">
        <w:rPr>
          <w:sz w:val="24"/>
          <w:szCs w:val="24"/>
        </w:rPr>
        <w:t>probenicid</w:t>
      </w:r>
      <w:proofErr w:type="spellEnd"/>
      <w:proofErr w:type="gramEnd"/>
      <w:r w:rsidRPr="008952C1">
        <w:rPr>
          <w:sz w:val="24"/>
          <w:szCs w:val="24"/>
        </w:rPr>
        <w:t xml:space="preserve"> en højere koncentration og en længere retentionstid for </w:t>
      </w:r>
      <w:proofErr w:type="spellStart"/>
      <w:r w:rsidRPr="008952C1">
        <w:rPr>
          <w:sz w:val="24"/>
          <w:szCs w:val="24"/>
        </w:rPr>
        <w:t>cefazolin</w:t>
      </w:r>
      <w:proofErr w:type="spellEnd"/>
      <w:r w:rsidRPr="008952C1">
        <w:rPr>
          <w:sz w:val="24"/>
          <w:szCs w:val="24"/>
        </w:rPr>
        <w:t xml:space="preserve"> i blodet.</w:t>
      </w:r>
    </w:p>
    <w:p w:rsidR="00933D0A" w:rsidRDefault="00933D0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2488B" w:rsidRPr="008952C1" w:rsidRDefault="00A2488B" w:rsidP="00A2488B">
      <w:pPr>
        <w:ind w:left="851"/>
        <w:rPr>
          <w:sz w:val="24"/>
          <w:szCs w:val="24"/>
        </w:rPr>
      </w:pPr>
    </w:p>
    <w:p w:rsidR="00A2488B" w:rsidRPr="008952C1" w:rsidRDefault="00A2488B" w:rsidP="00A2488B">
      <w:pPr>
        <w:ind w:left="851"/>
        <w:rPr>
          <w:sz w:val="24"/>
          <w:szCs w:val="24"/>
          <w:u w:val="single"/>
        </w:rPr>
      </w:pPr>
      <w:r w:rsidRPr="008952C1">
        <w:rPr>
          <w:sz w:val="24"/>
          <w:szCs w:val="24"/>
          <w:u w:val="single"/>
        </w:rPr>
        <w:t>Aminoglykosider/</w:t>
      </w:r>
      <w:proofErr w:type="spellStart"/>
      <w:r w:rsidRPr="008952C1">
        <w:rPr>
          <w:sz w:val="24"/>
          <w:szCs w:val="24"/>
          <w:u w:val="single"/>
        </w:rPr>
        <w:t>diuretika</w:t>
      </w:r>
      <w:proofErr w:type="spellEnd"/>
    </w:p>
    <w:p w:rsidR="00B003BF" w:rsidRPr="00C84483" w:rsidRDefault="00A2488B" w:rsidP="00933D0A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 xml:space="preserve">Det kan ikke udelukkes, at </w:t>
      </w:r>
      <w:proofErr w:type="spellStart"/>
      <w:r w:rsidRPr="008952C1">
        <w:rPr>
          <w:sz w:val="24"/>
          <w:szCs w:val="24"/>
        </w:rPr>
        <w:t>cefazolin</w:t>
      </w:r>
      <w:proofErr w:type="spellEnd"/>
      <w:r w:rsidRPr="008952C1">
        <w:rPr>
          <w:sz w:val="24"/>
          <w:szCs w:val="24"/>
        </w:rPr>
        <w:t xml:space="preserve"> intensiverer den nefrotoksiske virkning af aminoglykosider og hurtigtvirkende </w:t>
      </w:r>
      <w:proofErr w:type="spellStart"/>
      <w:r w:rsidRPr="008952C1">
        <w:rPr>
          <w:sz w:val="24"/>
          <w:szCs w:val="24"/>
        </w:rPr>
        <w:t>diuretika</w:t>
      </w:r>
      <w:proofErr w:type="spellEnd"/>
      <w:r w:rsidRPr="008952C1">
        <w:rPr>
          <w:sz w:val="24"/>
          <w:szCs w:val="24"/>
        </w:rPr>
        <w:t xml:space="preserve"> (f.eks. </w:t>
      </w:r>
      <w:proofErr w:type="spellStart"/>
      <w:r w:rsidRPr="008952C1">
        <w:rPr>
          <w:sz w:val="24"/>
          <w:szCs w:val="24"/>
        </w:rPr>
        <w:t>Furosemid</w:t>
      </w:r>
      <w:proofErr w:type="spellEnd"/>
      <w:r w:rsidRPr="008952C1">
        <w:rPr>
          <w:sz w:val="24"/>
          <w:szCs w:val="24"/>
        </w:rPr>
        <w:t xml:space="preserve">). Derfor bør den </w:t>
      </w:r>
      <w:proofErr w:type="spellStart"/>
      <w:r w:rsidRPr="008952C1">
        <w:rPr>
          <w:sz w:val="24"/>
          <w:szCs w:val="24"/>
        </w:rPr>
        <w:t>renale</w:t>
      </w:r>
      <w:proofErr w:type="spellEnd"/>
      <w:r w:rsidRPr="008952C1">
        <w:rPr>
          <w:sz w:val="24"/>
          <w:szCs w:val="24"/>
        </w:rPr>
        <w:t xml:space="preserve"> funktion kontrolleres under en samtidig </w:t>
      </w:r>
      <w:r w:rsidR="00933D0A">
        <w:rPr>
          <w:sz w:val="24"/>
          <w:szCs w:val="24"/>
        </w:rPr>
        <w:t>behandling</w:t>
      </w:r>
      <w:r w:rsidRPr="008952C1">
        <w:rPr>
          <w:sz w:val="24"/>
          <w:szCs w:val="24"/>
        </w:rPr>
        <w:t xml:space="preserve"> med disse lægemidler.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  <w:t>Graviditet og amning</w:t>
      </w:r>
    </w:p>
    <w:p w:rsidR="00E4643A" w:rsidRPr="000871EA" w:rsidRDefault="00E4643A" w:rsidP="00E4643A">
      <w:pPr>
        <w:ind w:left="851"/>
        <w:rPr>
          <w:sz w:val="24"/>
          <w:szCs w:val="24"/>
          <w:u w:val="single"/>
        </w:rPr>
      </w:pPr>
    </w:p>
    <w:p w:rsidR="00E4643A" w:rsidRPr="000871EA" w:rsidRDefault="00E4643A" w:rsidP="00E4643A">
      <w:pPr>
        <w:ind w:left="851"/>
        <w:rPr>
          <w:sz w:val="24"/>
          <w:szCs w:val="24"/>
          <w:u w:val="single"/>
        </w:rPr>
      </w:pPr>
      <w:r w:rsidRPr="000871EA">
        <w:rPr>
          <w:sz w:val="24"/>
          <w:szCs w:val="24"/>
          <w:u w:val="single"/>
        </w:rPr>
        <w:t>Graviditet</w:t>
      </w:r>
    </w:p>
    <w:p w:rsidR="00E4643A" w:rsidRPr="008952C1" w:rsidRDefault="00E4643A" w:rsidP="00E4643A">
      <w:pPr>
        <w:ind w:left="851"/>
        <w:rPr>
          <w:sz w:val="24"/>
          <w:szCs w:val="24"/>
        </w:rPr>
      </w:pPr>
      <w:proofErr w:type="spellStart"/>
      <w:r w:rsidRPr="008952C1">
        <w:rPr>
          <w:sz w:val="24"/>
          <w:szCs w:val="24"/>
        </w:rPr>
        <w:t>Cefazolin</w:t>
      </w:r>
      <w:proofErr w:type="spellEnd"/>
      <w:r w:rsidRPr="008952C1">
        <w:rPr>
          <w:sz w:val="24"/>
          <w:szCs w:val="24"/>
        </w:rPr>
        <w:t xml:space="preserve"> når embryoet/føtus via placenta. Der er ikke tilstrækkelig erfaring med brugen af </w:t>
      </w:r>
      <w:proofErr w:type="spellStart"/>
      <w:r w:rsidRPr="008952C1">
        <w:rPr>
          <w:sz w:val="24"/>
          <w:szCs w:val="24"/>
        </w:rPr>
        <w:t>cefazolin</w:t>
      </w:r>
      <w:proofErr w:type="spellEnd"/>
      <w:r w:rsidRPr="008952C1">
        <w:rPr>
          <w:sz w:val="24"/>
          <w:szCs w:val="24"/>
        </w:rPr>
        <w:t xml:space="preserve"> ved human anvendelse. Som en sikkerhedsforanstaltning bør </w:t>
      </w:r>
      <w:proofErr w:type="spellStart"/>
      <w:r w:rsidRPr="008952C1">
        <w:rPr>
          <w:sz w:val="24"/>
          <w:szCs w:val="24"/>
        </w:rPr>
        <w:t>cefazolin</w:t>
      </w:r>
      <w:proofErr w:type="spellEnd"/>
      <w:r w:rsidRPr="008952C1">
        <w:rPr>
          <w:sz w:val="24"/>
          <w:szCs w:val="24"/>
        </w:rPr>
        <w:t xml:space="preserve"> kun anvendes under graviditet efter en omhyggelig </w:t>
      </w:r>
      <w:proofErr w:type="spellStart"/>
      <w:r w:rsidRPr="008952C1">
        <w:rPr>
          <w:sz w:val="24"/>
          <w:szCs w:val="24"/>
        </w:rPr>
        <w:t>benefit</w:t>
      </w:r>
      <w:proofErr w:type="spellEnd"/>
      <w:r w:rsidRPr="008952C1">
        <w:rPr>
          <w:sz w:val="24"/>
          <w:szCs w:val="24"/>
        </w:rPr>
        <w:t>/</w:t>
      </w:r>
      <w:proofErr w:type="spellStart"/>
      <w:r w:rsidRPr="008952C1">
        <w:rPr>
          <w:sz w:val="24"/>
          <w:szCs w:val="24"/>
        </w:rPr>
        <w:t>risk</w:t>
      </w:r>
      <w:proofErr w:type="spellEnd"/>
      <w:r w:rsidRPr="008952C1">
        <w:rPr>
          <w:sz w:val="24"/>
          <w:szCs w:val="24"/>
        </w:rPr>
        <w:t xml:space="preserve"> vurdering, især under graviditetens første trimester.</w:t>
      </w:r>
    </w:p>
    <w:p w:rsidR="00E4643A" w:rsidRPr="008952C1" w:rsidRDefault="00E4643A" w:rsidP="00E4643A">
      <w:pPr>
        <w:ind w:left="851"/>
        <w:rPr>
          <w:sz w:val="24"/>
          <w:szCs w:val="24"/>
        </w:rPr>
      </w:pPr>
    </w:p>
    <w:p w:rsidR="00E4643A" w:rsidRPr="008952C1" w:rsidRDefault="00E4643A" w:rsidP="00E4643A">
      <w:pPr>
        <w:ind w:left="851"/>
        <w:rPr>
          <w:sz w:val="24"/>
          <w:szCs w:val="24"/>
          <w:u w:val="single"/>
        </w:rPr>
      </w:pPr>
      <w:r w:rsidRPr="008952C1">
        <w:rPr>
          <w:sz w:val="24"/>
          <w:szCs w:val="24"/>
          <w:u w:val="single"/>
        </w:rPr>
        <w:t>Amning</w:t>
      </w:r>
    </w:p>
    <w:p w:rsidR="00B003BF" w:rsidRPr="00C84483" w:rsidRDefault="00E4643A" w:rsidP="00E4643A">
      <w:pPr>
        <w:ind w:left="851"/>
        <w:rPr>
          <w:sz w:val="24"/>
          <w:szCs w:val="24"/>
        </w:rPr>
      </w:pPr>
      <w:proofErr w:type="spellStart"/>
      <w:r w:rsidRPr="008952C1">
        <w:rPr>
          <w:sz w:val="24"/>
          <w:szCs w:val="24"/>
        </w:rPr>
        <w:t>Cefazolin</w:t>
      </w:r>
      <w:proofErr w:type="spellEnd"/>
      <w:r w:rsidRPr="008952C1">
        <w:rPr>
          <w:sz w:val="24"/>
          <w:szCs w:val="24"/>
        </w:rPr>
        <w:t xml:space="preserve"> udskilles i modermælken i lave koncentrationer, og det bør derfor kun anvendes efter en omhyggelig </w:t>
      </w:r>
      <w:proofErr w:type="spellStart"/>
      <w:r w:rsidRPr="008952C1">
        <w:rPr>
          <w:sz w:val="24"/>
          <w:szCs w:val="24"/>
        </w:rPr>
        <w:t>benefit</w:t>
      </w:r>
      <w:proofErr w:type="spellEnd"/>
      <w:r w:rsidRPr="008952C1">
        <w:rPr>
          <w:sz w:val="24"/>
          <w:szCs w:val="24"/>
        </w:rPr>
        <w:t>/</w:t>
      </w:r>
      <w:proofErr w:type="spellStart"/>
      <w:r w:rsidRPr="008952C1">
        <w:rPr>
          <w:sz w:val="24"/>
          <w:szCs w:val="24"/>
        </w:rPr>
        <w:t>risk</w:t>
      </w:r>
      <w:proofErr w:type="spellEnd"/>
      <w:r w:rsidRPr="008952C1">
        <w:rPr>
          <w:sz w:val="24"/>
          <w:szCs w:val="24"/>
        </w:rPr>
        <w:t xml:space="preserve"> vurdering. Diarré og svampeinfektioner af slimhinderne kunne forekomme hos det ammede spædbarn, således at amning må afbrydes. Der må huskes på muligheden for sensibilisering.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>Virkninger på evnen til at føre motorkøretøj eller betjene maskiner</w:t>
      </w:r>
    </w:p>
    <w:p w:rsidR="00B003BF" w:rsidRDefault="00B003BF" w:rsidP="00B003BF">
      <w:pPr>
        <w:tabs>
          <w:tab w:val="left" w:pos="851"/>
        </w:tabs>
        <w:ind w:left="851" w:hanging="851"/>
        <w:rPr>
          <w:sz w:val="24"/>
          <w:szCs w:val="24"/>
        </w:rPr>
      </w:pPr>
      <w:r w:rsidRPr="00C84483">
        <w:rPr>
          <w:sz w:val="24"/>
          <w:szCs w:val="24"/>
        </w:rPr>
        <w:tab/>
      </w:r>
      <w:r w:rsidR="005838F0">
        <w:rPr>
          <w:sz w:val="24"/>
          <w:szCs w:val="24"/>
        </w:rPr>
        <w:t>Ikke mærkning.</w:t>
      </w:r>
    </w:p>
    <w:p w:rsidR="005838F0" w:rsidRPr="00C84483" w:rsidRDefault="005838F0" w:rsidP="005838F0">
      <w:pPr>
        <w:ind w:left="851"/>
        <w:rPr>
          <w:sz w:val="24"/>
          <w:szCs w:val="24"/>
        </w:rPr>
      </w:pPr>
      <w:proofErr w:type="spellStart"/>
      <w:r w:rsidRPr="008952C1">
        <w:rPr>
          <w:sz w:val="24"/>
          <w:szCs w:val="24"/>
        </w:rPr>
        <w:t>Cefazolin</w:t>
      </w:r>
      <w:proofErr w:type="spellEnd"/>
      <w:r w:rsidRPr="008952C1">
        <w:rPr>
          <w:sz w:val="24"/>
          <w:szCs w:val="24"/>
        </w:rPr>
        <w:t xml:space="preserve"> påvirker ikke eller kun i ubetydelig grad evnen til at føre motorkøretøj og betjene maskiner.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976406" w:rsidRPr="008952C1" w:rsidRDefault="00976406" w:rsidP="00976406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>Afhængig af dosis og behandlingens varighed, forventes patienterne at opleve en eller flere af bivirkningerne nævnt nedenfor.</w:t>
      </w:r>
    </w:p>
    <w:p w:rsidR="00976406" w:rsidRPr="008952C1" w:rsidRDefault="00976406" w:rsidP="00976406">
      <w:pPr>
        <w:ind w:left="851"/>
        <w:rPr>
          <w:sz w:val="24"/>
          <w:szCs w:val="24"/>
        </w:rPr>
      </w:pPr>
    </w:p>
    <w:p w:rsidR="00976406" w:rsidRPr="008952C1" w:rsidRDefault="00976406" w:rsidP="00976406">
      <w:pPr>
        <w:ind w:left="851"/>
        <w:rPr>
          <w:sz w:val="24"/>
          <w:szCs w:val="24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4"/>
        <w:gridCol w:w="1536"/>
        <w:gridCol w:w="2005"/>
        <w:gridCol w:w="2005"/>
        <w:gridCol w:w="2005"/>
      </w:tblGrid>
      <w:tr w:rsidR="00976406" w:rsidRPr="008952C1" w:rsidTr="00976406">
        <w:trPr>
          <w:trHeight w:val="816"/>
          <w:tblHeader/>
        </w:trPr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06" w:rsidRPr="005306A2" w:rsidRDefault="00976406" w:rsidP="00D53779">
            <w:pPr>
              <w:ind w:left="72"/>
              <w:rPr>
                <w:b/>
                <w:bCs/>
                <w:sz w:val="24"/>
                <w:szCs w:val="24"/>
                <w:lang w:val="en-US"/>
              </w:rPr>
            </w:pPr>
            <w:r w:rsidRPr="005306A2">
              <w:rPr>
                <w:b/>
                <w:bCs/>
                <w:sz w:val="24"/>
                <w:szCs w:val="24"/>
                <w:lang w:val="en-US"/>
              </w:rPr>
              <w:t>System-</w:t>
            </w:r>
            <w:proofErr w:type="spellStart"/>
            <w:r w:rsidRPr="005306A2">
              <w:rPr>
                <w:b/>
                <w:bCs/>
                <w:sz w:val="24"/>
                <w:szCs w:val="24"/>
                <w:lang w:val="en-US"/>
              </w:rPr>
              <w:t>organklasse</w:t>
            </w:r>
            <w:proofErr w:type="spellEnd"/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6406" w:rsidRPr="008952C1" w:rsidRDefault="00976406" w:rsidP="00976406">
            <w:pPr>
              <w:pStyle w:val="Slutnotetekst"/>
              <w:ind w:left="92"/>
              <w:rPr>
                <w:b/>
                <w:sz w:val="24"/>
                <w:szCs w:val="24"/>
              </w:rPr>
            </w:pPr>
            <w:proofErr w:type="spellStart"/>
            <w:r w:rsidRPr="008952C1">
              <w:rPr>
                <w:b/>
                <w:sz w:val="24"/>
                <w:szCs w:val="24"/>
              </w:rPr>
              <w:t>Almindelig</w:t>
            </w:r>
            <w:proofErr w:type="spellEnd"/>
          </w:p>
          <w:p w:rsidR="00976406" w:rsidRPr="008952C1" w:rsidRDefault="00976406" w:rsidP="00976406">
            <w:pPr>
              <w:pStyle w:val="Slutnotetekst"/>
              <w:ind w:left="92"/>
              <w:rPr>
                <w:b/>
                <w:sz w:val="24"/>
                <w:szCs w:val="24"/>
              </w:rPr>
            </w:pPr>
            <w:r w:rsidRPr="008952C1">
              <w:rPr>
                <w:b/>
                <w:sz w:val="24"/>
                <w:szCs w:val="24"/>
              </w:rPr>
              <w:t xml:space="preserve">(≥1/100 </w:t>
            </w:r>
            <w:proofErr w:type="spellStart"/>
            <w:r w:rsidRPr="008952C1">
              <w:rPr>
                <w:b/>
                <w:sz w:val="24"/>
                <w:szCs w:val="24"/>
              </w:rPr>
              <w:t>til</w:t>
            </w:r>
            <w:proofErr w:type="spellEnd"/>
            <w:r w:rsidRPr="008952C1">
              <w:rPr>
                <w:b/>
                <w:sz w:val="24"/>
                <w:szCs w:val="24"/>
              </w:rPr>
              <w:t xml:space="preserve"> &lt;1/10)</w:t>
            </w:r>
          </w:p>
        </w:tc>
        <w:tc>
          <w:tcPr>
            <w:tcW w:w="1057" w:type="pct"/>
            <w:tcBorders>
              <w:top w:val="single" w:sz="6" w:space="0" w:color="auto"/>
              <w:bottom w:val="single" w:sz="6" w:space="0" w:color="auto"/>
            </w:tcBorders>
          </w:tcPr>
          <w:p w:rsidR="00976406" w:rsidRPr="008952C1" w:rsidRDefault="00976406" w:rsidP="00976406">
            <w:pPr>
              <w:pStyle w:val="Slutnotetekst"/>
              <w:ind w:left="91"/>
              <w:rPr>
                <w:b/>
                <w:sz w:val="24"/>
                <w:szCs w:val="24"/>
                <w:lang w:val="da-DK"/>
              </w:rPr>
            </w:pPr>
            <w:r w:rsidRPr="008952C1">
              <w:rPr>
                <w:b/>
                <w:sz w:val="24"/>
                <w:szCs w:val="24"/>
                <w:lang w:val="da-DK"/>
              </w:rPr>
              <w:t>Ikke almindelig</w:t>
            </w:r>
          </w:p>
          <w:p w:rsidR="00976406" w:rsidRPr="008952C1" w:rsidRDefault="00976406" w:rsidP="00976406">
            <w:pPr>
              <w:pStyle w:val="Slutnotetekst"/>
              <w:ind w:left="91"/>
              <w:rPr>
                <w:b/>
                <w:sz w:val="24"/>
                <w:szCs w:val="24"/>
                <w:lang w:val="da-DK"/>
              </w:rPr>
            </w:pPr>
            <w:r w:rsidRPr="008952C1">
              <w:rPr>
                <w:b/>
                <w:sz w:val="24"/>
                <w:szCs w:val="24"/>
                <w:lang w:val="da-DK"/>
              </w:rPr>
              <w:t>(≥1/1.000 til &lt;1/100)</w:t>
            </w:r>
          </w:p>
        </w:tc>
        <w:tc>
          <w:tcPr>
            <w:tcW w:w="1057" w:type="pct"/>
            <w:tcBorders>
              <w:top w:val="single" w:sz="6" w:space="0" w:color="auto"/>
              <w:bottom w:val="single" w:sz="6" w:space="0" w:color="auto"/>
            </w:tcBorders>
          </w:tcPr>
          <w:p w:rsidR="00976406" w:rsidRPr="008952C1" w:rsidRDefault="00976406" w:rsidP="008E5D32">
            <w:pPr>
              <w:pStyle w:val="Slutnotetekst"/>
              <w:ind w:left="37"/>
              <w:rPr>
                <w:b/>
                <w:sz w:val="24"/>
                <w:szCs w:val="24"/>
                <w:lang w:val="da-DK"/>
              </w:rPr>
            </w:pPr>
            <w:r w:rsidRPr="008952C1">
              <w:rPr>
                <w:b/>
                <w:sz w:val="24"/>
                <w:szCs w:val="24"/>
                <w:lang w:val="da-DK"/>
              </w:rPr>
              <w:t>Sjælden</w:t>
            </w:r>
          </w:p>
          <w:p w:rsidR="00976406" w:rsidRPr="008952C1" w:rsidRDefault="00976406" w:rsidP="008E5D32">
            <w:pPr>
              <w:pStyle w:val="Slutnotetekst"/>
              <w:ind w:left="37"/>
              <w:rPr>
                <w:b/>
                <w:sz w:val="24"/>
                <w:szCs w:val="24"/>
                <w:lang w:val="da-DK"/>
              </w:rPr>
            </w:pPr>
            <w:r w:rsidRPr="008952C1">
              <w:rPr>
                <w:b/>
                <w:sz w:val="24"/>
                <w:szCs w:val="24"/>
                <w:lang w:val="da-DK"/>
              </w:rPr>
              <w:t xml:space="preserve">(≥ 1/10.000 til </w:t>
            </w:r>
          </w:p>
          <w:p w:rsidR="00976406" w:rsidRPr="008952C1" w:rsidRDefault="00976406" w:rsidP="008E5D32">
            <w:pPr>
              <w:pStyle w:val="Slutnotetekst"/>
              <w:ind w:left="37"/>
              <w:rPr>
                <w:b/>
                <w:sz w:val="24"/>
                <w:szCs w:val="24"/>
                <w:lang w:val="da-DK"/>
              </w:rPr>
            </w:pPr>
            <w:r w:rsidRPr="008952C1">
              <w:rPr>
                <w:b/>
                <w:sz w:val="24"/>
                <w:szCs w:val="24"/>
                <w:lang w:val="da-DK"/>
              </w:rPr>
              <w:t>&lt; 1/1.000)</w:t>
            </w:r>
          </w:p>
        </w:tc>
        <w:tc>
          <w:tcPr>
            <w:tcW w:w="105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06" w:rsidRPr="008952C1" w:rsidRDefault="00976406" w:rsidP="00976406">
            <w:pPr>
              <w:pStyle w:val="Slutnotetekst"/>
              <w:ind w:left="126"/>
              <w:rPr>
                <w:b/>
                <w:sz w:val="24"/>
                <w:szCs w:val="24"/>
                <w:lang w:val="da-DK"/>
              </w:rPr>
            </w:pPr>
            <w:r w:rsidRPr="008952C1">
              <w:rPr>
                <w:b/>
                <w:sz w:val="24"/>
                <w:szCs w:val="24"/>
                <w:lang w:val="da-DK"/>
              </w:rPr>
              <w:t>Meget sjælden</w:t>
            </w:r>
          </w:p>
          <w:p w:rsidR="00976406" w:rsidRPr="008952C1" w:rsidRDefault="00976406" w:rsidP="00976406">
            <w:pPr>
              <w:pStyle w:val="Slutnotetekst"/>
              <w:ind w:left="126"/>
              <w:rPr>
                <w:b/>
                <w:sz w:val="24"/>
                <w:szCs w:val="24"/>
                <w:lang w:val="da-DK"/>
              </w:rPr>
            </w:pPr>
            <w:r w:rsidRPr="008952C1">
              <w:rPr>
                <w:b/>
                <w:sz w:val="24"/>
                <w:szCs w:val="24"/>
                <w:lang w:val="da-DK"/>
              </w:rPr>
              <w:t>(&lt; 1/10.000)</w:t>
            </w:r>
          </w:p>
        </w:tc>
      </w:tr>
      <w:tr w:rsidR="00976406" w:rsidRPr="008952C1" w:rsidTr="00976406">
        <w:trPr>
          <w:trHeight w:val="489"/>
        </w:trPr>
        <w:tc>
          <w:tcPr>
            <w:tcW w:w="101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6406" w:rsidRPr="005306A2" w:rsidRDefault="00976406" w:rsidP="00976406">
            <w:pPr>
              <w:ind w:left="72"/>
              <w:rPr>
                <w:b/>
                <w:sz w:val="24"/>
                <w:szCs w:val="24"/>
              </w:rPr>
            </w:pPr>
            <w:r w:rsidRPr="005306A2">
              <w:rPr>
                <w:b/>
                <w:sz w:val="24"/>
                <w:szCs w:val="24"/>
              </w:rPr>
              <w:t>Infektioner og parasitære sygdomme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</w:tcBorders>
          </w:tcPr>
          <w:p w:rsidR="00976406" w:rsidRPr="008952C1" w:rsidRDefault="00976406" w:rsidP="00976406">
            <w:pPr>
              <w:ind w:left="92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top w:val="single" w:sz="6" w:space="0" w:color="auto"/>
            </w:tcBorders>
          </w:tcPr>
          <w:p w:rsidR="00976406" w:rsidRPr="008952C1" w:rsidRDefault="00976406" w:rsidP="00976406">
            <w:pPr>
              <w:ind w:left="91"/>
              <w:rPr>
                <w:sz w:val="24"/>
                <w:szCs w:val="24"/>
                <w:lang w:val="it-IT"/>
              </w:rPr>
            </w:pPr>
            <w:r w:rsidRPr="008952C1">
              <w:rPr>
                <w:sz w:val="24"/>
                <w:szCs w:val="24"/>
                <w:lang w:val="it-IT"/>
              </w:rPr>
              <w:t>Oral candidiasis (længerevarende brug).</w:t>
            </w:r>
          </w:p>
        </w:tc>
        <w:tc>
          <w:tcPr>
            <w:tcW w:w="1057" w:type="pct"/>
            <w:tcBorders>
              <w:top w:val="single" w:sz="6" w:space="0" w:color="auto"/>
            </w:tcBorders>
          </w:tcPr>
          <w:p w:rsidR="00976406" w:rsidRPr="008952C1" w:rsidRDefault="00976406" w:rsidP="008E5D32">
            <w:pPr>
              <w:ind w:left="37"/>
              <w:rPr>
                <w:sz w:val="24"/>
                <w:szCs w:val="24"/>
              </w:rPr>
            </w:pPr>
            <w:r w:rsidRPr="008952C1">
              <w:rPr>
                <w:sz w:val="24"/>
                <w:szCs w:val="24"/>
              </w:rPr>
              <w:t xml:space="preserve">Genital </w:t>
            </w:r>
            <w:proofErr w:type="spellStart"/>
            <w:r w:rsidRPr="008952C1">
              <w:rPr>
                <w:sz w:val="24"/>
                <w:szCs w:val="24"/>
              </w:rPr>
              <w:t>candidiasis</w:t>
            </w:r>
            <w:proofErr w:type="spellEnd"/>
            <w:r w:rsidRPr="008952C1">
              <w:rPr>
                <w:sz w:val="24"/>
                <w:szCs w:val="24"/>
              </w:rPr>
              <w:t xml:space="preserve"> (</w:t>
            </w:r>
            <w:proofErr w:type="spellStart"/>
            <w:r w:rsidRPr="008952C1">
              <w:rPr>
                <w:sz w:val="24"/>
                <w:szCs w:val="24"/>
              </w:rPr>
              <w:t>monoliasis</w:t>
            </w:r>
            <w:proofErr w:type="spellEnd"/>
            <w:r w:rsidRPr="008952C1">
              <w:rPr>
                <w:sz w:val="24"/>
                <w:szCs w:val="24"/>
              </w:rPr>
              <w:t xml:space="preserve">), </w:t>
            </w:r>
            <w:proofErr w:type="spellStart"/>
            <w:r w:rsidRPr="008952C1">
              <w:rPr>
                <w:sz w:val="24"/>
                <w:szCs w:val="24"/>
              </w:rPr>
              <w:t>vaginitis</w:t>
            </w:r>
            <w:proofErr w:type="spellEnd"/>
          </w:p>
        </w:tc>
        <w:tc>
          <w:tcPr>
            <w:tcW w:w="1057" w:type="pct"/>
            <w:tcBorders>
              <w:top w:val="single" w:sz="6" w:space="0" w:color="auto"/>
              <w:right w:val="single" w:sz="6" w:space="0" w:color="auto"/>
            </w:tcBorders>
          </w:tcPr>
          <w:p w:rsidR="00976406" w:rsidRPr="008952C1" w:rsidRDefault="00976406" w:rsidP="00976406">
            <w:pPr>
              <w:ind w:left="126"/>
              <w:rPr>
                <w:sz w:val="24"/>
                <w:szCs w:val="24"/>
              </w:rPr>
            </w:pPr>
          </w:p>
        </w:tc>
      </w:tr>
      <w:tr w:rsidR="00976406" w:rsidRPr="008952C1" w:rsidTr="00976406">
        <w:trPr>
          <w:trHeight w:val="489"/>
        </w:trPr>
        <w:tc>
          <w:tcPr>
            <w:tcW w:w="101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6406" w:rsidRPr="005306A2" w:rsidRDefault="00976406" w:rsidP="00976406">
            <w:pPr>
              <w:ind w:left="72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306A2">
              <w:rPr>
                <w:b/>
                <w:sz w:val="24"/>
                <w:szCs w:val="24"/>
              </w:rPr>
              <w:t>Blo</w:t>
            </w:r>
            <w:proofErr w:type="spellEnd"/>
            <w:r w:rsidRPr="005306A2">
              <w:rPr>
                <w:b/>
                <w:sz w:val="24"/>
                <w:szCs w:val="24"/>
                <w:lang w:val="en-US"/>
              </w:rPr>
              <w:t xml:space="preserve">d og </w:t>
            </w:r>
            <w:proofErr w:type="spellStart"/>
            <w:r w:rsidRPr="005306A2">
              <w:rPr>
                <w:b/>
                <w:sz w:val="24"/>
                <w:szCs w:val="24"/>
                <w:lang w:val="en-US"/>
              </w:rPr>
              <w:t>lymfesystem</w:t>
            </w:r>
            <w:proofErr w:type="spellEnd"/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</w:tcBorders>
          </w:tcPr>
          <w:p w:rsidR="00976406" w:rsidRPr="008952C1" w:rsidRDefault="00976406" w:rsidP="00976406">
            <w:pPr>
              <w:ind w:left="92"/>
              <w:rPr>
                <w:sz w:val="24"/>
                <w:szCs w:val="24"/>
                <w:lang w:val="en-US"/>
              </w:rPr>
            </w:pPr>
          </w:p>
        </w:tc>
        <w:tc>
          <w:tcPr>
            <w:tcW w:w="1057" w:type="pct"/>
            <w:tcBorders>
              <w:top w:val="single" w:sz="6" w:space="0" w:color="auto"/>
            </w:tcBorders>
          </w:tcPr>
          <w:p w:rsidR="00976406" w:rsidRPr="008952C1" w:rsidRDefault="00976406" w:rsidP="00976406">
            <w:pPr>
              <w:ind w:left="91"/>
              <w:rPr>
                <w:sz w:val="24"/>
                <w:szCs w:val="24"/>
                <w:lang w:val="it-IT"/>
              </w:rPr>
            </w:pPr>
          </w:p>
        </w:tc>
        <w:tc>
          <w:tcPr>
            <w:tcW w:w="1057" w:type="pct"/>
            <w:tcBorders>
              <w:top w:val="single" w:sz="6" w:space="0" w:color="auto"/>
            </w:tcBorders>
          </w:tcPr>
          <w:p w:rsidR="00976406" w:rsidRPr="008952C1" w:rsidRDefault="00976406" w:rsidP="008E5D32">
            <w:pPr>
              <w:ind w:left="37"/>
              <w:rPr>
                <w:sz w:val="24"/>
                <w:szCs w:val="24"/>
              </w:rPr>
            </w:pPr>
            <w:r w:rsidRPr="008952C1">
              <w:rPr>
                <w:sz w:val="24"/>
                <w:szCs w:val="24"/>
              </w:rPr>
              <w:t xml:space="preserve">Stigning eller fald i </w:t>
            </w:r>
            <w:proofErr w:type="spellStart"/>
            <w:r w:rsidRPr="008952C1">
              <w:rPr>
                <w:sz w:val="24"/>
                <w:szCs w:val="24"/>
              </w:rPr>
              <w:t>blodsukkerkoncen</w:t>
            </w:r>
            <w:r w:rsidR="008E5D32">
              <w:rPr>
                <w:sz w:val="24"/>
                <w:szCs w:val="24"/>
              </w:rPr>
              <w:t>-</w:t>
            </w:r>
            <w:r w:rsidRPr="008952C1">
              <w:rPr>
                <w:sz w:val="24"/>
                <w:szCs w:val="24"/>
              </w:rPr>
              <w:t>tration</w:t>
            </w:r>
            <w:proofErr w:type="spellEnd"/>
            <w:r w:rsidRPr="008952C1">
              <w:rPr>
                <w:sz w:val="24"/>
                <w:szCs w:val="24"/>
              </w:rPr>
              <w:t xml:space="preserve"> (</w:t>
            </w:r>
            <w:proofErr w:type="spellStart"/>
            <w:r w:rsidRPr="008952C1">
              <w:rPr>
                <w:sz w:val="24"/>
                <w:szCs w:val="24"/>
              </w:rPr>
              <w:t>hyperglycæmi</w:t>
            </w:r>
            <w:proofErr w:type="spellEnd"/>
            <w:r w:rsidRPr="008952C1">
              <w:rPr>
                <w:sz w:val="24"/>
                <w:szCs w:val="24"/>
              </w:rPr>
              <w:t xml:space="preserve"> eller </w:t>
            </w:r>
            <w:proofErr w:type="spellStart"/>
            <w:r w:rsidRPr="008952C1">
              <w:rPr>
                <w:sz w:val="24"/>
                <w:szCs w:val="24"/>
              </w:rPr>
              <w:t>hypoglycæmi</w:t>
            </w:r>
            <w:proofErr w:type="spellEnd"/>
            <w:r w:rsidRPr="008952C1">
              <w:rPr>
                <w:sz w:val="24"/>
                <w:szCs w:val="24"/>
              </w:rPr>
              <w:t>).</w:t>
            </w:r>
          </w:p>
          <w:p w:rsidR="00976406" w:rsidRPr="008952C1" w:rsidRDefault="00976406" w:rsidP="008E5D32">
            <w:pPr>
              <w:ind w:left="37"/>
              <w:rPr>
                <w:sz w:val="24"/>
                <w:szCs w:val="24"/>
                <w:lang w:val="en-US"/>
              </w:rPr>
            </w:pPr>
            <w:proofErr w:type="spellStart"/>
            <w:r w:rsidRPr="008952C1">
              <w:rPr>
                <w:sz w:val="24"/>
                <w:szCs w:val="24"/>
              </w:rPr>
              <w:t>Leukopeni</w:t>
            </w:r>
            <w:proofErr w:type="spellEnd"/>
            <w:r w:rsidRPr="008952C1">
              <w:rPr>
                <w:sz w:val="24"/>
                <w:szCs w:val="24"/>
              </w:rPr>
              <w:t xml:space="preserve">, </w:t>
            </w:r>
            <w:proofErr w:type="spellStart"/>
            <w:r w:rsidRPr="008952C1">
              <w:rPr>
                <w:sz w:val="24"/>
                <w:szCs w:val="24"/>
              </w:rPr>
              <w:t>granulocytopeni</w:t>
            </w:r>
            <w:proofErr w:type="spellEnd"/>
            <w:r w:rsidRPr="008952C1">
              <w:rPr>
                <w:sz w:val="24"/>
                <w:szCs w:val="24"/>
              </w:rPr>
              <w:t xml:space="preserve">, </w:t>
            </w:r>
            <w:proofErr w:type="spellStart"/>
            <w:r w:rsidRPr="008952C1">
              <w:rPr>
                <w:sz w:val="24"/>
                <w:szCs w:val="24"/>
              </w:rPr>
              <w:t>neutropeni</w:t>
            </w:r>
            <w:proofErr w:type="spellEnd"/>
            <w:r w:rsidRPr="008952C1">
              <w:rPr>
                <w:sz w:val="24"/>
                <w:szCs w:val="24"/>
              </w:rPr>
              <w:t xml:space="preserve">, </w:t>
            </w:r>
            <w:proofErr w:type="spellStart"/>
            <w:r w:rsidRPr="008952C1">
              <w:rPr>
                <w:sz w:val="24"/>
                <w:szCs w:val="24"/>
              </w:rPr>
              <w:t>trombocytopeni</w:t>
            </w:r>
            <w:proofErr w:type="spellEnd"/>
            <w:r w:rsidRPr="008952C1">
              <w:rPr>
                <w:sz w:val="24"/>
                <w:szCs w:val="24"/>
              </w:rPr>
              <w:t xml:space="preserve">, leukocytose, </w:t>
            </w:r>
            <w:proofErr w:type="spellStart"/>
            <w:r w:rsidRPr="008952C1">
              <w:rPr>
                <w:sz w:val="24"/>
                <w:szCs w:val="24"/>
              </w:rPr>
              <w:t>granulocytose</w:t>
            </w:r>
            <w:proofErr w:type="spellEnd"/>
            <w:r w:rsidRPr="008952C1">
              <w:rPr>
                <w:sz w:val="24"/>
                <w:szCs w:val="24"/>
              </w:rPr>
              <w:t xml:space="preserve">, </w:t>
            </w:r>
            <w:proofErr w:type="spellStart"/>
            <w:r w:rsidRPr="008952C1">
              <w:rPr>
                <w:sz w:val="24"/>
                <w:szCs w:val="24"/>
              </w:rPr>
              <w:t>monocytose</w:t>
            </w:r>
            <w:proofErr w:type="spellEnd"/>
            <w:r w:rsidRPr="008952C1">
              <w:rPr>
                <w:sz w:val="24"/>
                <w:szCs w:val="24"/>
              </w:rPr>
              <w:t xml:space="preserve">, </w:t>
            </w:r>
            <w:proofErr w:type="spellStart"/>
            <w:r w:rsidRPr="008952C1">
              <w:rPr>
                <w:sz w:val="24"/>
                <w:szCs w:val="24"/>
              </w:rPr>
              <w:t>lymfocytopeni</w:t>
            </w:r>
            <w:proofErr w:type="spellEnd"/>
            <w:r w:rsidRPr="008952C1">
              <w:rPr>
                <w:sz w:val="24"/>
                <w:szCs w:val="24"/>
              </w:rPr>
              <w:t xml:space="preserve">, </w:t>
            </w:r>
            <w:proofErr w:type="spellStart"/>
            <w:r w:rsidRPr="008952C1">
              <w:rPr>
                <w:sz w:val="24"/>
                <w:szCs w:val="24"/>
              </w:rPr>
              <w:t>basofili</w:t>
            </w:r>
            <w:proofErr w:type="spellEnd"/>
            <w:r w:rsidRPr="008952C1">
              <w:rPr>
                <w:sz w:val="24"/>
                <w:szCs w:val="24"/>
              </w:rPr>
              <w:t xml:space="preserve"> og </w:t>
            </w:r>
            <w:proofErr w:type="spellStart"/>
            <w:r w:rsidRPr="008952C1">
              <w:rPr>
                <w:sz w:val="24"/>
                <w:szCs w:val="24"/>
              </w:rPr>
              <w:t>eosinofili</w:t>
            </w:r>
            <w:proofErr w:type="spellEnd"/>
            <w:r w:rsidRPr="008952C1">
              <w:rPr>
                <w:sz w:val="24"/>
                <w:szCs w:val="24"/>
              </w:rPr>
              <w:t xml:space="preserve"> blev observeret i blodtællinger. Disse virkninger er sjældne og reversible</w:t>
            </w:r>
            <w:r w:rsidRPr="008952C1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057" w:type="pct"/>
            <w:tcBorders>
              <w:top w:val="single" w:sz="6" w:space="0" w:color="auto"/>
              <w:right w:val="single" w:sz="6" w:space="0" w:color="auto"/>
            </w:tcBorders>
          </w:tcPr>
          <w:p w:rsidR="00976406" w:rsidRPr="008952C1" w:rsidRDefault="00976406" w:rsidP="00976406">
            <w:pPr>
              <w:ind w:left="126"/>
              <w:rPr>
                <w:sz w:val="24"/>
                <w:szCs w:val="24"/>
              </w:rPr>
            </w:pPr>
            <w:r w:rsidRPr="008952C1">
              <w:rPr>
                <w:sz w:val="24"/>
                <w:szCs w:val="24"/>
              </w:rPr>
              <w:t>Koagulationsfor</w:t>
            </w:r>
            <w:r w:rsidR="00176D19">
              <w:rPr>
                <w:sz w:val="24"/>
                <w:szCs w:val="24"/>
              </w:rPr>
              <w:t>-</w:t>
            </w:r>
            <w:proofErr w:type="spellStart"/>
            <w:r w:rsidRPr="008952C1">
              <w:rPr>
                <w:sz w:val="24"/>
                <w:szCs w:val="24"/>
              </w:rPr>
              <w:t>styrrelser</w:t>
            </w:r>
            <w:proofErr w:type="spellEnd"/>
            <w:r w:rsidRPr="008952C1">
              <w:rPr>
                <w:sz w:val="24"/>
                <w:szCs w:val="24"/>
              </w:rPr>
              <w:t xml:space="preserve"> (blodstørkning) og blødning som en konsekvens. Udsatte for risiko for disse bivirkninger er patienter med en mangel på K </w:t>
            </w:r>
            <w:proofErr w:type="gramStart"/>
            <w:r w:rsidRPr="008952C1">
              <w:rPr>
                <w:sz w:val="24"/>
                <w:szCs w:val="24"/>
              </w:rPr>
              <w:t>vitamin  eller</w:t>
            </w:r>
            <w:proofErr w:type="gramEnd"/>
            <w:r w:rsidRPr="008952C1">
              <w:rPr>
                <w:sz w:val="24"/>
                <w:szCs w:val="24"/>
              </w:rPr>
              <w:t xml:space="preserve"> andre blodstørknende faktorer, eller patienter på kunstig ernæring, utilstrækkelig kost, nedsat lever- og nyrefunktion, </w:t>
            </w:r>
            <w:proofErr w:type="spellStart"/>
            <w:r w:rsidRPr="008952C1">
              <w:rPr>
                <w:sz w:val="24"/>
                <w:szCs w:val="24"/>
              </w:rPr>
              <w:t>trombocytopeni</w:t>
            </w:r>
            <w:proofErr w:type="spellEnd"/>
            <w:r w:rsidRPr="008952C1">
              <w:rPr>
                <w:sz w:val="24"/>
                <w:szCs w:val="24"/>
              </w:rPr>
              <w:t xml:space="preserve"> og patienter med forstyrrelse eller sygdomme, der medfører blødning (f.eks. hæmofili, sår i maven og </w:t>
            </w:r>
            <w:proofErr w:type="spellStart"/>
            <w:r w:rsidRPr="008952C1">
              <w:rPr>
                <w:sz w:val="24"/>
                <w:szCs w:val="24"/>
              </w:rPr>
              <w:t>duodenum</w:t>
            </w:r>
            <w:proofErr w:type="spellEnd"/>
            <w:r w:rsidRPr="008952C1">
              <w:rPr>
                <w:sz w:val="24"/>
                <w:szCs w:val="24"/>
              </w:rPr>
              <w:t>). Se også pkt. 4.4 og 4.5.</w:t>
            </w:r>
          </w:p>
          <w:p w:rsidR="00976406" w:rsidRPr="008952C1" w:rsidRDefault="00976406" w:rsidP="00976406">
            <w:pPr>
              <w:ind w:left="126"/>
              <w:rPr>
                <w:sz w:val="24"/>
                <w:szCs w:val="24"/>
                <w:lang w:val="it-IT"/>
              </w:rPr>
            </w:pPr>
            <w:r w:rsidRPr="008952C1">
              <w:rPr>
                <w:sz w:val="24"/>
                <w:szCs w:val="24"/>
                <w:lang w:val="it-IT"/>
              </w:rPr>
              <w:t>Nedsat hæmoglobin og/eller hæmatokrit, anæmi, agranulocytose, aplastisk anæmi, pancytopeni og hæmolytisk anæmi.</w:t>
            </w:r>
          </w:p>
        </w:tc>
      </w:tr>
      <w:tr w:rsidR="00976406" w:rsidRPr="008952C1" w:rsidTr="00976406">
        <w:trPr>
          <w:trHeight w:val="904"/>
        </w:trPr>
        <w:tc>
          <w:tcPr>
            <w:tcW w:w="1019" w:type="pct"/>
            <w:tcBorders>
              <w:left w:val="single" w:sz="6" w:space="0" w:color="auto"/>
              <w:right w:val="single" w:sz="6" w:space="0" w:color="auto"/>
            </w:tcBorders>
          </w:tcPr>
          <w:p w:rsidR="00976406" w:rsidRPr="005306A2" w:rsidRDefault="00976406" w:rsidP="00976406">
            <w:pPr>
              <w:ind w:left="72"/>
              <w:rPr>
                <w:b/>
                <w:sz w:val="24"/>
                <w:szCs w:val="24"/>
              </w:rPr>
            </w:pPr>
            <w:r w:rsidRPr="005306A2">
              <w:rPr>
                <w:b/>
                <w:sz w:val="24"/>
                <w:szCs w:val="24"/>
              </w:rPr>
              <w:t>Immunsystemet</w:t>
            </w:r>
          </w:p>
        </w:tc>
        <w:tc>
          <w:tcPr>
            <w:tcW w:w="809" w:type="pct"/>
            <w:tcBorders>
              <w:left w:val="single" w:sz="6" w:space="0" w:color="auto"/>
            </w:tcBorders>
          </w:tcPr>
          <w:p w:rsidR="00976406" w:rsidRPr="008952C1" w:rsidRDefault="00976406" w:rsidP="00976406">
            <w:pPr>
              <w:ind w:left="92"/>
              <w:rPr>
                <w:sz w:val="24"/>
                <w:szCs w:val="24"/>
              </w:rPr>
            </w:pPr>
          </w:p>
        </w:tc>
        <w:tc>
          <w:tcPr>
            <w:tcW w:w="1057" w:type="pct"/>
          </w:tcPr>
          <w:p w:rsidR="00976406" w:rsidRPr="008952C1" w:rsidRDefault="00976406" w:rsidP="00976406">
            <w:pPr>
              <w:ind w:left="91"/>
              <w:rPr>
                <w:sz w:val="24"/>
                <w:szCs w:val="24"/>
              </w:rPr>
            </w:pPr>
            <w:proofErr w:type="spellStart"/>
            <w:r w:rsidRPr="008952C1">
              <w:rPr>
                <w:sz w:val="24"/>
                <w:szCs w:val="24"/>
              </w:rPr>
              <w:t>Erytem</w:t>
            </w:r>
            <w:proofErr w:type="spellEnd"/>
            <w:r w:rsidRPr="008952C1">
              <w:rPr>
                <w:sz w:val="24"/>
                <w:szCs w:val="24"/>
              </w:rPr>
              <w:t xml:space="preserve">, </w:t>
            </w:r>
            <w:proofErr w:type="spellStart"/>
            <w:r w:rsidRPr="008952C1">
              <w:rPr>
                <w:sz w:val="24"/>
                <w:szCs w:val="24"/>
              </w:rPr>
              <w:t>erythema</w:t>
            </w:r>
            <w:proofErr w:type="spellEnd"/>
            <w:r w:rsidRPr="008952C1">
              <w:rPr>
                <w:sz w:val="24"/>
                <w:szCs w:val="24"/>
              </w:rPr>
              <w:t xml:space="preserve"> multiforme, </w:t>
            </w:r>
            <w:proofErr w:type="spellStart"/>
            <w:r w:rsidRPr="008952C1">
              <w:rPr>
                <w:sz w:val="24"/>
                <w:szCs w:val="24"/>
              </w:rPr>
              <w:t>exantem</w:t>
            </w:r>
            <w:proofErr w:type="spellEnd"/>
            <w:r w:rsidRPr="008952C1">
              <w:rPr>
                <w:sz w:val="24"/>
                <w:szCs w:val="24"/>
              </w:rPr>
              <w:t xml:space="preserve">, </w:t>
            </w:r>
            <w:proofErr w:type="spellStart"/>
            <w:r w:rsidRPr="008952C1">
              <w:rPr>
                <w:sz w:val="24"/>
                <w:szCs w:val="24"/>
              </w:rPr>
              <w:t>urticaria</w:t>
            </w:r>
            <w:proofErr w:type="spellEnd"/>
            <w:r w:rsidRPr="008952C1">
              <w:rPr>
                <w:sz w:val="24"/>
                <w:szCs w:val="24"/>
              </w:rPr>
              <w:t xml:space="preserve">, reversibel lokal </w:t>
            </w:r>
            <w:proofErr w:type="spellStart"/>
            <w:r w:rsidRPr="008952C1">
              <w:rPr>
                <w:sz w:val="24"/>
                <w:szCs w:val="24"/>
              </w:rPr>
              <w:t>permeabilitet</w:t>
            </w:r>
            <w:proofErr w:type="spellEnd"/>
            <w:r w:rsidRPr="008952C1">
              <w:rPr>
                <w:sz w:val="24"/>
                <w:szCs w:val="24"/>
              </w:rPr>
              <w:t xml:space="preserve"> af blodkarrene, led eller slimhinder (</w:t>
            </w:r>
            <w:proofErr w:type="spellStart"/>
            <w:r w:rsidRPr="008952C1">
              <w:rPr>
                <w:sz w:val="24"/>
                <w:szCs w:val="24"/>
              </w:rPr>
              <w:t>angioødem</w:t>
            </w:r>
            <w:proofErr w:type="spellEnd"/>
            <w:r w:rsidRPr="008952C1">
              <w:rPr>
                <w:sz w:val="24"/>
                <w:szCs w:val="24"/>
              </w:rPr>
              <w:t xml:space="preserve">), </w:t>
            </w:r>
            <w:proofErr w:type="spellStart"/>
            <w:r w:rsidRPr="008952C1">
              <w:rPr>
                <w:sz w:val="24"/>
                <w:szCs w:val="24"/>
              </w:rPr>
              <w:t>lægemiddelindu</w:t>
            </w:r>
            <w:r w:rsidR="00176D19">
              <w:rPr>
                <w:sz w:val="24"/>
                <w:szCs w:val="24"/>
              </w:rPr>
              <w:t>-</w:t>
            </w:r>
            <w:r w:rsidRPr="008952C1">
              <w:rPr>
                <w:sz w:val="24"/>
                <w:szCs w:val="24"/>
              </w:rPr>
              <w:t>ceret</w:t>
            </w:r>
            <w:proofErr w:type="spellEnd"/>
            <w:r w:rsidRPr="008952C1">
              <w:rPr>
                <w:sz w:val="24"/>
                <w:szCs w:val="24"/>
              </w:rPr>
              <w:t xml:space="preserve"> feber og </w:t>
            </w:r>
            <w:proofErr w:type="spellStart"/>
            <w:r w:rsidRPr="008952C1">
              <w:rPr>
                <w:sz w:val="24"/>
                <w:szCs w:val="24"/>
              </w:rPr>
              <w:t>interstitiel</w:t>
            </w:r>
            <w:proofErr w:type="spellEnd"/>
            <w:r w:rsidRPr="008952C1">
              <w:rPr>
                <w:sz w:val="24"/>
                <w:szCs w:val="24"/>
              </w:rPr>
              <w:t xml:space="preserve"> pneumoni eller pneumonitis</w:t>
            </w:r>
          </w:p>
        </w:tc>
        <w:tc>
          <w:tcPr>
            <w:tcW w:w="1057" w:type="pct"/>
          </w:tcPr>
          <w:p w:rsidR="00976406" w:rsidRPr="008952C1" w:rsidRDefault="00976406" w:rsidP="008E5D32">
            <w:pPr>
              <w:ind w:left="37"/>
              <w:rPr>
                <w:sz w:val="24"/>
                <w:szCs w:val="24"/>
              </w:rPr>
            </w:pPr>
            <w:r w:rsidRPr="008952C1">
              <w:rPr>
                <w:sz w:val="24"/>
                <w:szCs w:val="24"/>
              </w:rPr>
              <w:t xml:space="preserve">Toksisk </w:t>
            </w:r>
            <w:proofErr w:type="spellStart"/>
            <w:r w:rsidRPr="008952C1">
              <w:rPr>
                <w:sz w:val="24"/>
                <w:szCs w:val="24"/>
              </w:rPr>
              <w:t>epidermal</w:t>
            </w:r>
            <w:proofErr w:type="spellEnd"/>
            <w:r w:rsidRPr="008952C1">
              <w:rPr>
                <w:sz w:val="24"/>
                <w:szCs w:val="24"/>
              </w:rPr>
              <w:t xml:space="preserve"> </w:t>
            </w:r>
            <w:proofErr w:type="spellStart"/>
            <w:r w:rsidRPr="008952C1">
              <w:rPr>
                <w:sz w:val="24"/>
                <w:szCs w:val="24"/>
              </w:rPr>
              <w:t>nekrolyse</w:t>
            </w:r>
            <w:proofErr w:type="spellEnd"/>
            <w:r w:rsidRPr="008952C1">
              <w:rPr>
                <w:sz w:val="24"/>
                <w:szCs w:val="24"/>
              </w:rPr>
              <w:t xml:space="preserve"> (</w:t>
            </w:r>
            <w:proofErr w:type="spellStart"/>
            <w:r w:rsidRPr="008952C1">
              <w:rPr>
                <w:sz w:val="24"/>
                <w:szCs w:val="24"/>
              </w:rPr>
              <w:t>Lyell's</w:t>
            </w:r>
            <w:proofErr w:type="spellEnd"/>
            <w:r w:rsidRPr="008952C1">
              <w:rPr>
                <w:sz w:val="24"/>
                <w:szCs w:val="24"/>
              </w:rPr>
              <w:t xml:space="preserve"> syndrom), Stevens-</w:t>
            </w:r>
            <w:proofErr w:type="spellStart"/>
            <w:r w:rsidRPr="008952C1">
              <w:rPr>
                <w:sz w:val="24"/>
                <w:szCs w:val="24"/>
              </w:rPr>
              <w:t>Johnson</w:t>
            </w:r>
            <w:r w:rsidR="00176D19">
              <w:rPr>
                <w:sz w:val="24"/>
                <w:szCs w:val="24"/>
              </w:rPr>
              <w:t>'s</w:t>
            </w:r>
            <w:proofErr w:type="spellEnd"/>
            <w:r w:rsidRPr="008952C1">
              <w:rPr>
                <w:sz w:val="24"/>
                <w:szCs w:val="24"/>
              </w:rPr>
              <w:t xml:space="preserve"> syndrom.</w:t>
            </w:r>
          </w:p>
        </w:tc>
        <w:tc>
          <w:tcPr>
            <w:tcW w:w="1057" w:type="pct"/>
            <w:tcBorders>
              <w:right w:val="single" w:sz="6" w:space="0" w:color="auto"/>
            </w:tcBorders>
          </w:tcPr>
          <w:p w:rsidR="00976406" w:rsidRPr="008952C1" w:rsidRDefault="00976406" w:rsidP="00976406">
            <w:pPr>
              <w:ind w:left="126"/>
              <w:rPr>
                <w:sz w:val="24"/>
                <w:szCs w:val="24"/>
              </w:rPr>
            </w:pPr>
            <w:proofErr w:type="spellStart"/>
            <w:r w:rsidRPr="008952C1">
              <w:rPr>
                <w:sz w:val="24"/>
                <w:szCs w:val="24"/>
              </w:rPr>
              <w:t>Anafylaktisk</w:t>
            </w:r>
            <w:proofErr w:type="spellEnd"/>
            <w:r w:rsidRPr="008952C1">
              <w:rPr>
                <w:sz w:val="24"/>
                <w:szCs w:val="24"/>
              </w:rPr>
              <w:t xml:space="preserve"> </w:t>
            </w:r>
            <w:proofErr w:type="spellStart"/>
            <w:r w:rsidRPr="008952C1">
              <w:rPr>
                <w:sz w:val="24"/>
                <w:szCs w:val="24"/>
              </w:rPr>
              <w:t>shock</w:t>
            </w:r>
            <w:proofErr w:type="spellEnd"/>
            <w:r w:rsidRPr="008952C1">
              <w:rPr>
                <w:sz w:val="24"/>
                <w:szCs w:val="24"/>
              </w:rPr>
              <w:t xml:space="preserve">, </w:t>
            </w:r>
            <w:proofErr w:type="spellStart"/>
            <w:r w:rsidRPr="008952C1">
              <w:rPr>
                <w:sz w:val="24"/>
                <w:szCs w:val="24"/>
              </w:rPr>
              <w:t>opsvulmen</w:t>
            </w:r>
            <w:proofErr w:type="spellEnd"/>
            <w:r w:rsidRPr="008952C1">
              <w:rPr>
                <w:sz w:val="24"/>
                <w:szCs w:val="24"/>
              </w:rPr>
              <w:t xml:space="preserve"> af </w:t>
            </w:r>
            <w:proofErr w:type="spellStart"/>
            <w:r w:rsidRPr="008952C1">
              <w:rPr>
                <w:sz w:val="24"/>
                <w:szCs w:val="24"/>
              </w:rPr>
              <w:t>larynx</w:t>
            </w:r>
            <w:proofErr w:type="spellEnd"/>
            <w:r w:rsidRPr="008952C1">
              <w:rPr>
                <w:sz w:val="24"/>
                <w:szCs w:val="24"/>
              </w:rPr>
              <w:t xml:space="preserve"> med indsnævring af </w:t>
            </w:r>
            <w:proofErr w:type="gramStart"/>
            <w:r w:rsidRPr="008952C1">
              <w:rPr>
                <w:sz w:val="24"/>
                <w:szCs w:val="24"/>
              </w:rPr>
              <w:t>luftvejene ,</w:t>
            </w:r>
            <w:proofErr w:type="gramEnd"/>
            <w:r w:rsidRPr="008952C1">
              <w:rPr>
                <w:sz w:val="24"/>
                <w:szCs w:val="24"/>
              </w:rPr>
              <w:t xml:space="preserve"> øget hjertefrekvens, </w:t>
            </w:r>
            <w:proofErr w:type="spellStart"/>
            <w:r w:rsidRPr="008952C1">
              <w:rPr>
                <w:sz w:val="24"/>
                <w:szCs w:val="24"/>
              </w:rPr>
              <w:t>kortåndethed</w:t>
            </w:r>
            <w:proofErr w:type="spellEnd"/>
            <w:r w:rsidRPr="008952C1">
              <w:rPr>
                <w:sz w:val="24"/>
                <w:szCs w:val="24"/>
              </w:rPr>
              <w:t>, faldende blodtryk, opsvulmet tunge, anal pruritus, genital pruritus, ansigtsødem.</w:t>
            </w:r>
          </w:p>
        </w:tc>
      </w:tr>
      <w:tr w:rsidR="00976406" w:rsidRPr="008952C1" w:rsidTr="00976406">
        <w:trPr>
          <w:trHeight w:val="672"/>
        </w:trPr>
        <w:tc>
          <w:tcPr>
            <w:tcW w:w="101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06" w:rsidRPr="005306A2" w:rsidRDefault="00976406" w:rsidP="00976406">
            <w:pPr>
              <w:ind w:left="72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306A2">
              <w:rPr>
                <w:b/>
                <w:sz w:val="24"/>
                <w:szCs w:val="24"/>
                <w:lang w:val="en-US"/>
              </w:rPr>
              <w:t>Nervesystemet</w:t>
            </w:r>
            <w:proofErr w:type="spellEnd"/>
          </w:p>
        </w:tc>
        <w:tc>
          <w:tcPr>
            <w:tcW w:w="809" w:type="pct"/>
            <w:tcBorders>
              <w:left w:val="single" w:sz="6" w:space="0" w:color="auto"/>
              <w:bottom w:val="single" w:sz="6" w:space="0" w:color="auto"/>
            </w:tcBorders>
          </w:tcPr>
          <w:p w:rsidR="00976406" w:rsidRPr="008952C1" w:rsidRDefault="00976406" w:rsidP="00976406">
            <w:pPr>
              <w:ind w:left="92"/>
              <w:rPr>
                <w:sz w:val="24"/>
                <w:szCs w:val="24"/>
                <w:lang w:val="en-US"/>
              </w:rPr>
            </w:pPr>
          </w:p>
        </w:tc>
        <w:tc>
          <w:tcPr>
            <w:tcW w:w="1057" w:type="pct"/>
            <w:tcBorders>
              <w:bottom w:val="single" w:sz="6" w:space="0" w:color="auto"/>
            </w:tcBorders>
          </w:tcPr>
          <w:p w:rsidR="00976406" w:rsidRPr="008952C1" w:rsidRDefault="00976406" w:rsidP="00976406">
            <w:pPr>
              <w:ind w:left="91"/>
              <w:rPr>
                <w:sz w:val="24"/>
                <w:szCs w:val="24"/>
              </w:rPr>
            </w:pPr>
            <w:r w:rsidRPr="008952C1">
              <w:rPr>
                <w:sz w:val="24"/>
                <w:szCs w:val="24"/>
              </w:rPr>
              <w:t xml:space="preserve">Krampeanfald (hos patienter med </w:t>
            </w:r>
            <w:proofErr w:type="spellStart"/>
            <w:r w:rsidRPr="008952C1">
              <w:rPr>
                <w:sz w:val="24"/>
                <w:szCs w:val="24"/>
              </w:rPr>
              <w:t>renal</w:t>
            </w:r>
            <w:proofErr w:type="spellEnd"/>
            <w:r w:rsidRPr="008952C1">
              <w:rPr>
                <w:sz w:val="24"/>
                <w:szCs w:val="24"/>
              </w:rPr>
              <w:t xml:space="preserve"> dysfunktion, med upassende høje behandlede doser).</w:t>
            </w:r>
          </w:p>
        </w:tc>
        <w:tc>
          <w:tcPr>
            <w:tcW w:w="1057" w:type="pct"/>
            <w:tcBorders>
              <w:bottom w:val="single" w:sz="6" w:space="0" w:color="auto"/>
            </w:tcBorders>
          </w:tcPr>
          <w:p w:rsidR="00976406" w:rsidRPr="008952C1" w:rsidRDefault="00976406" w:rsidP="008E5D32">
            <w:pPr>
              <w:ind w:left="37"/>
              <w:rPr>
                <w:sz w:val="24"/>
                <w:szCs w:val="24"/>
              </w:rPr>
            </w:pPr>
            <w:r w:rsidRPr="008952C1">
              <w:rPr>
                <w:sz w:val="24"/>
                <w:szCs w:val="24"/>
              </w:rPr>
              <w:t>Svimmelhed, utilpashed, træthed.</w:t>
            </w:r>
          </w:p>
          <w:p w:rsidR="00976406" w:rsidRPr="008952C1" w:rsidRDefault="00976406" w:rsidP="008E5D32">
            <w:pPr>
              <w:ind w:left="37"/>
              <w:rPr>
                <w:sz w:val="24"/>
                <w:szCs w:val="24"/>
              </w:rPr>
            </w:pPr>
            <w:r w:rsidRPr="008952C1">
              <w:rPr>
                <w:sz w:val="24"/>
                <w:szCs w:val="24"/>
              </w:rPr>
              <w:t xml:space="preserve">Mareridt, </w:t>
            </w:r>
            <w:proofErr w:type="spellStart"/>
            <w:r w:rsidRPr="008952C1">
              <w:rPr>
                <w:sz w:val="24"/>
                <w:szCs w:val="24"/>
              </w:rPr>
              <w:t>vertigo</w:t>
            </w:r>
            <w:proofErr w:type="spellEnd"/>
            <w:r w:rsidRPr="008952C1">
              <w:rPr>
                <w:sz w:val="24"/>
                <w:szCs w:val="24"/>
              </w:rPr>
              <w:t xml:space="preserve">, hyperaktivitet, nervøsitet eller angst, </w:t>
            </w:r>
            <w:proofErr w:type="spellStart"/>
            <w:r w:rsidRPr="008952C1">
              <w:rPr>
                <w:sz w:val="24"/>
                <w:szCs w:val="24"/>
              </w:rPr>
              <w:t>insomnia</w:t>
            </w:r>
            <w:proofErr w:type="spellEnd"/>
            <w:r w:rsidRPr="008952C1">
              <w:rPr>
                <w:sz w:val="24"/>
                <w:szCs w:val="24"/>
              </w:rPr>
              <w:t xml:space="preserve">, sløvhed, svaghed, hedeture, forstyrret farvesyn, konfusion og </w:t>
            </w:r>
            <w:proofErr w:type="spellStart"/>
            <w:r w:rsidRPr="008952C1">
              <w:rPr>
                <w:sz w:val="24"/>
                <w:szCs w:val="24"/>
              </w:rPr>
              <w:t>epileptogen</w:t>
            </w:r>
            <w:proofErr w:type="spellEnd"/>
            <w:r w:rsidRPr="008952C1">
              <w:rPr>
                <w:sz w:val="24"/>
                <w:szCs w:val="24"/>
              </w:rPr>
              <w:t xml:space="preserve"> aktivitet.</w:t>
            </w:r>
          </w:p>
        </w:tc>
        <w:tc>
          <w:tcPr>
            <w:tcW w:w="1057" w:type="pct"/>
            <w:tcBorders>
              <w:bottom w:val="single" w:sz="6" w:space="0" w:color="auto"/>
              <w:right w:val="single" w:sz="6" w:space="0" w:color="auto"/>
            </w:tcBorders>
          </w:tcPr>
          <w:p w:rsidR="00976406" w:rsidRPr="008952C1" w:rsidRDefault="00976406" w:rsidP="00976406">
            <w:pPr>
              <w:ind w:left="126"/>
              <w:rPr>
                <w:sz w:val="24"/>
                <w:szCs w:val="24"/>
              </w:rPr>
            </w:pPr>
          </w:p>
        </w:tc>
      </w:tr>
      <w:tr w:rsidR="00976406" w:rsidRPr="008952C1" w:rsidTr="00976406">
        <w:trPr>
          <w:trHeight w:val="672"/>
        </w:trPr>
        <w:tc>
          <w:tcPr>
            <w:tcW w:w="101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06" w:rsidRPr="005306A2" w:rsidRDefault="00976406" w:rsidP="00976406">
            <w:pPr>
              <w:ind w:left="72"/>
              <w:rPr>
                <w:b/>
                <w:sz w:val="24"/>
                <w:szCs w:val="24"/>
                <w:lang w:val="en-US"/>
              </w:rPr>
            </w:pPr>
            <w:r w:rsidRPr="005306A2">
              <w:rPr>
                <w:b/>
                <w:sz w:val="24"/>
                <w:szCs w:val="24"/>
              </w:rPr>
              <w:t xml:space="preserve">Luftveje, thorax og </w:t>
            </w:r>
            <w:proofErr w:type="spellStart"/>
            <w:r w:rsidRPr="005306A2">
              <w:rPr>
                <w:b/>
                <w:sz w:val="24"/>
                <w:szCs w:val="24"/>
              </w:rPr>
              <w:t>mediastinum</w:t>
            </w:r>
            <w:proofErr w:type="spellEnd"/>
          </w:p>
        </w:tc>
        <w:tc>
          <w:tcPr>
            <w:tcW w:w="809" w:type="pct"/>
            <w:tcBorders>
              <w:left w:val="single" w:sz="6" w:space="0" w:color="auto"/>
              <w:bottom w:val="single" w:sz="6" w:space="0" w:color="auto"/>
            </w:tcBorders>
          </w:tcPr>
          <w:p w:rsidR="00976406" w:rsidRPr="008952C1" w:rsidRDefault="00976406" w:rsidP="00976406">
            <w:pPr>
              <w:ind w:left="92"/>
              <w:rPr>
                <w:sz w:val="24"/>
                <w:szCs w:val="24"/>
                <w:lang w:val="en-US"/>
              </w:rPr>
            </w:pPr>
          </w:p>
        </w:tc>
        <w:tc>
          <w:tcPr>
            <w:tcW w:w="1057" w:type="pct"/>
            <w:tcBorders>
              <w:bottom w:val="single" w:sz="6" w:space="0" w:color="auto"/>
            </w:tcBorders>
          </w:tcPr>
          <w:p w:rsidR="00976406" w:rsidRPr="008952C1" w:rsidRDefault="00976406" w:rsidP="00976406">
            <w:pPr>
              <w:ind w:left="91"/>
              <w:rPr>
                <w:sz w:val="24"/>
                <w:szCs w:val="24"/>
                <w:lang w:val="en-US"/>
              </w:rPr>
            </w:pPr>
          </w:p>
        </w:tc>
        <w:tc>
          <w:tcPr>
            <w:tcW w:w="1057" w:type="pct"/>
            <w:tcBorders>
              <w:bottom w:val="single" w:sz="6" w:space="0" w:color="auto"/>
            </w:tcBorders>
          </w:tcPr>
          <w:p w:rsidR="00976406" w:rsidRPr="008952C1" w:rsidRDefault="00976406" w:rsidP="008E5D32">
            <w:pPr>
              <w:ind w:left="37"/>
              <w:rPr>
                <w:sz w:val="24"/>
                <w:szCs w:val="24"/>
              </w:rPr>
            </w:pPr>
            <w:proofErr w:type="spellStart"/>
            <w:r w:rsidRPr="008952C1">
              <w:rPr>
                <w:sz w:val="24"/>
                <w:szCs w:val="24"/>
              </w:rPr>
              <w:t>Pleural</w:t>
            </w:r>
            <w:proofErr w:type="spellEnd"/>
            <w:r w:rsidRPr="008952C1">
              <w:rPr>
                <w:sz w:val="24"/>
                <w:szCs w:val="24"/>
              </w:rPr>
              <w:t xml:space="preserve"> </w:t>
            </w:r>
            <w:proofErr w:type="spellStart"/>
            <w:r w:rsidRPr="008952C1">
              <w:rPr>
                <w:sz w:val="24"/>
                <w:szCs w:val="24"/>
              </w:rPr>
              <w:t>effusion</w:t>
            </w:r>
            <w:proofErr w:type="spellEnd"/>
            <w:r w:rsidRPr="008952C1">
              <w:rPr>
                <w:sz w:val="24"/>
                <w:szCs w:val="24"/>
              </w:rPr>
              <w:t xml:space="preserve">, brystsmerter, dyspnø eller respiratorisk </w:t>
            </w:r>
            <w:proofErr w:type="spellStart"/>
            <w:r w:rsidRPr="008952C1">
              <w:rPr>
                <w:sz w:val="24"/>
                <w:szCs w:val="24"/>
              </w:rPr>
              <w:t>distress</w:t>
            </w:r>
            <w:proofErr w:type="spellEnd"/>
            <w:r w:rsidRPr="008952C1">
              <w:rPr>
                <w:sz w:val="24"/>
                <w:szCs w:val="24"/>
              </w:rPr>
              <w:t xml:space="preserve">, hoste, </w:t>
            </w:r>
            <w:proofErr w:type="spellStart"/>
            <w:r w:rsidRPr="008952C1">
              <w:rPr>
                <w:sz w:val="24"/>
                <w:szCs w:val="24"/>
              </w:rPr>
              <w:t>rhinitis</w:t>
            </w:r>
            <w:proofErr w:type="spellEnd"/>
            <w:r w:rsidRPr="008952C1">
              <w:rPr>
                <w:sz w:val="24"/>
                <w:szCs w:val="24"/>
              </w:rPr>
              <w:t>.</w:t>
            </w:r>
          </w:p>
        </w:tc>
        <w:tc>
          <w:tcPr>
            <w:tcW w:w="1057" w:type="pct"/>
            <w:tcBorders>
              <w:bottom w:val="single" w:sz="6" w:space="0" w:color="auto"/>
              <w:right w:val="single" w:sz="6" w:space="0" w:color="auto"/>
            </w:tcBorders>
          </w:tcPr>
          <w:p w:rsidR="00976406" w:rsidRPr="008952C1" w:rsidRDefault="00976406" w:rsidP="00976406">
            <w:pPr>
              <w:ind w:left="126"/>
              <w:rPr>
                <w:sz w:val="24"/>
                <w:szCs w:val="24"/>
              </w:rPr>
            </w:pPr>
          </w:p>
        </w:tc>
      </w:tr>
      <w:tr w:rsidR="00976406" w:rsidRPr="008952C1" w:rsidTr="00976406">
        <w:trPr>
          <w:trHeight w:val="672"/>
        </w:trPr>
        <w:tc>
          <w:tcPr>
            <w:tcW w:w="1019" w:type="pct"/>
            <w:tcBorders>
              <w:left w:val="single" w:sz="6" w:space="0" w:color="auto"/>
              <w:right w:val="single" w:sz="6" w:space="0" w:color="auto"/>
            </w:tcBorders>
          </w:tcPr>
          <w:p w:rsidR="00976406" w:rsidRPr="005306A2" w:rsidRDefault="00976406" w:rsidP="00976406">
            <w:pPr>
              <w:ind w:left="72"/>
              <w:rPr>
                <w:b/>
                <w:sz w:val="24"/>
                <w:szCs w:val="24"/>
                <w:lang w:val="en-US"/>
              </w:rPr>
            </w:pPr>
            <w:r w:rsidRPr="005306A2">
              <w:rPr>
                <w:b/>
                <w:sz w:val="24"/>
                <w:szCs w:val="24"/>
              </w:rPr>
              <w:t>Mave-tarm-kanalen</w:t>
            </w:r>
          </w:p>
        </w:tc>
        <w:tc>
          <w:tcPr>
            <w:tcW w:w="809" w:type="pct"/>
            <w:tcBorders>
              <w:left w:val="single" w:sz="6" w:space="0" w:color="auto"/>
            </w:tcBorders>
          </w:tcPr>
          <w:p w:rsidR="00976406" w:rsidRPr="008952C1" w:rsidRDefault="00976406" w:rsidP="00976406">
            <w:pPr>
              <w:ind w:left="92"/>
              <w:rPr>
                <w:sz w:val="24"/>
                <w:szCs w:val="24"/>
              </w:rPr>
            </w:pPr>
            <w:proofErr w:type="spellStart"/>
            <w:r w:rsidRPr="008952C1">
              <w:rPr>
                <w:sz w:val="24"/>
                <w:szCs w:val="24"/>
              </w:rPr>
              <w:t>Appetitløs</w:t>
            </w:r>
            <w:r w:rsidR="008E5D32">
              <w:rPr>
                <w:sz w:val="24"/>
                <w:szCs w:val="24"/>
              </w:rPr>
              <w:t>-</w:t>
            </w:r>
            <w:r w:rsidRPr="008952C1">
              <w:rPr>
                <w:sz w:val="24"/>
                <w:szCs w:val="24"/>
              </w:rPr>
              <w:t>hed</w:t>
            </w:r>
            <w:proofErr w:type="spellEnd"/>
            <w:r w:rsidRPr="008952C1">
              <w:rPr>
                <w:sz w:val="24"/>
                <w:szCs w:val="24"/>
              </w:rPr>
              <w:t xml:space="preserve">, diarré, kvalme og opkastning. Disse symptomer er </w:t>
            </w:r>
            <w:proofErr w:type="gramStart"/>
            <w:r w:rsidRPr="008952C1">
              <w:rPr>
                <w:sz w:val="24"/>
                <w:szCs w:val="24"/>
              </w:rPr>
              <w:t>sædvanligvis  moderate</w:t>
            </w:r>
            <w:proofErr w:type="gramEnd"/>
            <w:r w:rsidRPr="008952C1">
              <w:rPr>
                <w:sz w:val="24"/>
                <w:szCs w:val="24"/>
              </w:rPr>
              <w:t xml:space="preserve"> og forsvinder ofte under eller efter b</w:t>
            </w:r>
            <w:r w:rsidR="008E5D32">
              <w:rPr>
                <w:sz w:val="24"/>
                <w:szCs w:val="24"/>
              </w:rPr>
              <w:t>ehandlingen</w:t>
            </w:r>
          </w:p>
        </w:tc>
        <w:tc>
          <w:tcPr>
            <w:tcW w:w="1057" w:type="pct"/>
          </w:tcPr>
          <w:p w:rsidR="00976406" w:rsidRPr="008952C1" w:rsidRDefault="00976406" w:rsidP="00976406">
            <w:pPr>
              <w:ind w:left="91"/>
              <w:rPr>
                <w:sz w:val="24"/>
                <w:szCs w:val="24"/>
              </w:rPr>
            </w:pPr>
          </w:p>
        </w:tc>
        <w:tc>
          <w:tcPr>
            <w:tcW w:w="1057" w:type="pct"/>
          </w:tcPr>
          <w:p w:rsidR="00976406" w:rsidRPr="008952C1" w:rsidRDefault="00976406" w:rsidP="008E5D32">
            <w:pPr>
              <w:ind w:left="37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right w:val="single" w:sz="6" w:space="0" w:color="auto"/>
            </w:tcBorders>
          </w:tcPr>
          <w:p w:rsidR="00976406" w:rsidRPr="008952C1" w:rsidRDefault="00976406" w:rsidP="008E5D32">
            <w:pPr>
              <w:ind w:left="126"/>
              <w:rPr>
                <w:sz w:val="24"/>
                <w:szCs w:val="24"/>
                <w:lang w:val="fr-FR"/>
              </w:rPr>
            </w:pPr>
            <w:r w:rsidRPr="008952C1">
              <w:rPr>
                <w:sz w:val="24"/>
                <w:szCs w:val="24"/>
                <w:lang w:val="fr-FR"/>
              </w:rPr>
              <w:t>Pseudomembra</w:t>
            </w:r>
            <w:r w:rsidR="008E5D32">
              <w:rPr>
                <w:sz w:val="24"/>
                <w:szCs w:val="24"/>
                <w:lang w:val="fr-FR"/>
              </w:rPr>
              <w:t>-</w:t>
            </w:r>
            <w:r w:rsidRPr="008952C1">
              <w:rPr>
                <w:sz w:val="24"/>
                <w:szCs w:val="24"/>
                <w:lang w:val="fr-FR"/>
              </w:rPr>
              <w:t>nøs</w:t>
            </w:r>
            <w:r w:rsidR="008E5D32">
              <w:rPr>
                <w:sz w:val="24"/>
                <w:szCs w:val="24"/>
                <w:lang w:val="fr-FR"/>
              </w:rPr>
              <w:t xml:space="preserve"> </w:t>
            </w:r>
            <w:r w:rsidRPr="008952C1">
              <w:rPr>
                <w:sz w:val="24"/>
                <w:szCs w:val="24"/>
                <w:lang w:val="fr-FR"/>
              </w:rPr>
              <w:t>colitis (se pkt. 4.4)</w:t>
            </w:r>
          </w:p>
        </w:tc>
      </w:tr>
      <w:tr w:rsidR="00976406" w:rsidRPr="008952C1" w:rsidTr="00976406">
        <w:trPr>
          <w:trHeight w:val="672"/>
        </w:trPr>
        <w:tc>
          <w:tcPr>
            <w:tcW w:w="101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406" w:rsidRPr="005306A2" w:rsidRDefault="00976406" w:rsidP="00976406">
            <w:pPr>
              <w:ind w:left="72"/>
              <w:rPr>
                <w:b/>
                <w:sz w:val="24"/>
                <w:szCs w:val="24"/>
                <w:lang w:val="en-US"/>
              </w:rPr>
            </w:pPr>
            <w:r w:rsidRPr="005306A2">
              <w:rPr>
                <w:b/>
                <w:sz w:val="24"/>
                <w:szCs w:val="24"/>
                <w:lang w:val="en-US"/>
              </w:rPr>
              <w:t xml:space="preserve">Lever og </w:t>
            </w:r>
            <w:proofErr w:type="spellStart"/>
            <w:r w:rsidRPr="005306A2">
              <w:rPr>
                <w:b/>
                <w:sz w:val="24"/>
                <w:szCs w:val="24"/>
                <w:lang w:val="en-US"/>
              </w:rPr>
              <w:t>galdeveje</w:t>
            </w:r>
            <w:proofErr w:type="spellEnd"/>
          </w:p>
        </w:tc>
        <w:tc>
          <w:tcPr>
            <w:tcW w:w="809" w:type="pct"/>
            <w:tcBorders>
              <w:left w:val="single" w:sz="6" w:space="0" w:color="auto"/>
              <w:bottom w:val="single" w:sz="6" w:space="0" w:color="auto"/>
            </w:tcBorders>
          </w:tcPr>
          <w:p w:rsidR="00976406" w:rsidRPr="008952C1" w:rsidRDefault="00976406" w:rsidP="00976406">
            <w:pPr>
              <w:ind w:left="92"/>
              <w:rPr>
                <w:sz w:val="24"/>
                <w:szCs w:val="24"/>
                <w:lang w:val="en-US"/>
              </w:rPr>
            </w:pPr>
          </w:p>
        </w:tc>
        <w:tc>
          <w:tcPr>
            <w:tcW w:w="1057" w:type="pct"/>
            <w:tcBorders>
              <w:bottom w:val="single" w:sz="6" w:space="0" w:color="auto"/>
            </w:tcBorders>
          </w:tcPr>
          <w:p w:rsidR="00976406" w:rsidRPr="008952C1" w:rsidRDefault="00976406" w:rsidP="00976406">
            <w:pPr>
              <w:ind w:left="91"/>
              <w:rPr>
                <w:sz w:val="24"/>
                <w:szCs w:val="24"/>
                <w:lang w:val="en-US"/>
              </w:rPr>
            </w:pPr>
          </w:p>
        </w:tc>
        <w:tc>
          <w:tcPr>
            <w:tcW w:w="1057" w:type="pct"/>
            <w:tcBorders>
              <w:bottom w:val="single" w:sz="6" w:space="0" w:color="auto"/>
            </w:tcBorders>
          </w:tcPr>
          <w:p w:rsidR="00976406" w:rsidRPr="008952C1" w:rsidRDefault="00976406" w:rsidP="008E5D32">
            <w:pPr>
              <w:ind w:left="37"/>
              <w:rPr>
                <w:sz w:val="24"/>
                <w:szCs w:val="24"/>
              </w:rPr>
            </w:pPr>
            <w:r w:rsidRPr="008952C1">
              <w:rPr>
                <w:sz w:val="24"/>
                <w:szCs w:val="24"/>
              </w:rPr>
              <w:t xml:space="preserve">Midlertidig øgning i </w:t>
            </w:r>
            <w:proofErr w:type="spellStart"/>
            <w:r w:rsidRPr="008952C1">
              <w:rPr>
                <w:sz w:val="24"/>
                <w:szCs w:val="24"/>
              </w:rPr>
              <w:t>serumkoncentra</w:t>
            </w:r>
            <w:r w:rsidR="008E5D32">
              <w:rPr>
                <w:sz w:val="24"/>
                <w:szCs w:val="24"/>
              </w:rPr>
              <w:t>-</w:t>
            </w:r>
            <w:r w:rsidRPr="008952C1">
              <w:rPr>
                <w:sz w:val="24"/>
                <w:szCs w:val="24"/>
              </w:rPr>
              <w:t>tioner</w:t>
            </w:r>
            <w:proofErr w:type="spellEnd"/>
            <w:r w:rsidRPr="008952C1">
              <w:rPr>
                <w:sz w:val="24"/>
                <w:szCs w:val="24"/>
              </w:rPr>
              <w:t xml:space="preserve"> af AST, ALT, gamma GT, </w:t>
            </w:r>
            <w:proofErr w:type="spellStart"/>
            <w:r w:rsidRPr="008952C1">
              <w:rPr>
                <w:sz w:val="24"/>
                <w:szCs w:val="24"/>
              </w:rPr>
              <w:t>bilirubin</w:t>
            </w:r>
            <w:proofErr w:type="spellEnd"/>
            <w:r w:rsidRPr="008952C1">
              <w:rPr>
                <w:sz w:val="24"/>
                <w:szCs w:val="24"/>
              </w:rPr>
              <w:t xml:space="preserve"> og/eller LDH og alkalisk fosfatase, forbigående hepatitis, forbigående </w:t>
            </w:r>
            <w:proofErr w:type="spellStart"/>
            <w:r w:rsidRPr="008952C1">
              <w:rPr>
                <w:sz w:val="24"/>
                <w:szCs w:val="24"/>
              </w:rPr>
              <w:t>cholestatisk</w:t>
            </w:r>
            <w:proofErr w:type="spellEnd"/>
            <w:r w:rsidRPr="008952C1">
              <w:rPr>
                <w:sz w:val="24"/>
                <w:szCs w:val="24"/>
              </w:rPr>
              <w:t xml:space="preserve"> gulsot.</w:t>
            </w:r>
          </w:p>
        </w:tc>
        <w:tc>
          <w:tcPr>
            <w:tcW w:w="1057" w:type="pct"/>
            <w:tcBorders>
              <w:bottom w:val="single" w:sz="6" w:space="0" w:color="auto"/>
              <w:right w:val="single" w:sz="6" w:space="0" w:color="auto"/>
            </w:tcBorders>
          </w:tcPr>
          <w:p w:rsidR="00976406" w:rsidRPr="008952C1" w:rsidRDefault="00976406" w:rsidP="00976406">
            <w:pPr>
              <w:ind w:left="126"/>
              <w:rPr>
                <w:sz w:val="24"/>
                <w:szCs w:val="24"/>
              </w:rPr>
            </w:pPr>
          </w:p>
        </w:tc>
      </w:tr>
      <w:tr w:rsidR="00976406" w:rsidRPr="008952C1" w:rsidTr="00976406">
        <w:trPr>
          <w:trHeight w:val="672"/>
        </w:trPr>
        <w:tc>
          <w:tcPr>
            <w:tcW w:w="1019" w:type="pct"/>
            <w:tcBorders>
              <w:left w:val="single" w:sz="6" w:space="0" w:color="auto"/>
              <w:right w:val="single" w:sz="6" w:space="0" w:color="auto"/>
            </w:tcBorders>
          </w:tcPr>
          <w:p w:rsidR="00976406" w:rsidRPr="005306A2" w:rsidRDefault="00976406" w:rsidP="00976406">
            <w:pPr>
              <w:ind w:left="72"/>
              <w:rPr>
                <w:b/>
                <w:sz w:val="24"/>
                <w:szCs w:val="24"/>
                <w:lang w:val="en-US"/>
              </w:rPr>
            </w:pPr>
            <w:r w:rsidRPr="005306A2">
              <w:rPr>
                <w:b/>
                <w:sz w:val="24"/>
                <w:szCs w:val="24"/>
              </w:rPr>
              <w:t>Nyrer og urinveje</w:t>
            </w:r>
          </w:p>
        </w:tc>
        <w:tc>
          <w:tcPr>
            <w:tcW w:w="809" w:type="pct"/>
            <w:tcBorders>
              <w:left w:val="single" w:sz="6" w:space="0" w:color="auto"/>
            </w:tcBorders>
          </w:tcPr>
          <w:p w:rsidR="00976406" w:rsidRPr="008952C1" w:rsidRDefault="00976406" w:rsidP="00976406">
            <w:pPr>
              <w:ind w:left="92"/>
              <w:rPr>
                <w:sz w:val="24"/>
                <w:szCs w:val="24"/>
                <w:lang w:val="en-US"/>
              </w:rPr>
            </w:pPr>
          </w:p>
        </w:tc>
        <w:tc>
          <w:tcPr>
            <w:tcW w:w="1057" w:type="pct"/>
          </w:tcPr>
          <w:p w:rsidR="00976406" w:rsidRPr="008952C1" w:rsidRDefault="00976406" w:rsidP="00976406">
            <w:pPr>
              <w:ind w:left="91"/>
              <w:rPr>
                <w:sz w:val="24"/>
                <w:szCs w:val="24"/>
                <w:lang w:val="en-US"/>
              </w:rPr>
            </w:pPr>
          </w:p>
        </w:tc>
        <w:tc>
          <w:tcPr>
            <w:tcW w:w="1057" w:type="pct"/>
          </w:tcPr>
          <w:p w:rsidR="00976406" w:rsidRPr="008952C1" w:rsidRDefault="00976406" w:rsidP="008E5D32">
            <w:pPr>
              <w:ind w:left="37"/>
              <w:rPr>
                <w:sz w:val="24"/>
                <w:szCs w:val="24"/>
              </w:rPr>
            </w:pPr>
            <w:proofErr w:type="spellStart"/>
            <w:r w:rsidRPr="008952C1">
              <w:rPr>
                <w:sz w:val="24"/>
                <w:szCs w:val="24"/>
              </w:rPr>
              <w:t>Nefrotoksicitet</w:t>
            </w:r>
            <w:proofErr w:type="spellEnd"/>
            <w:r w:rsidRPr="008952C1">
              <w:rPr>
                <w:sz w:val="24"/>
                <w:szCs w:val="24"/>
              </w:rPr>
              <w:t xml:space="preserve">, </w:t>
            </w:r>
            <w:proofErr w:type="spellStart"/>
            <w:r w:rsidRPr="008952C1">
              <w:rPr>
                <w:sz w:val="24"/>
                <w:szCs w:val="24"/>
              </w:rPr>
              <w:t>interstitiel</w:t>
            </w:r>
            <w:proofErr w:type="spellEnd"/>
            <w:r w:rsidRPr="008952C1">
              <w:rPr>
                <w:sz w:val="24"/>
                <w:szCs w:val="24"/>
              </w:rPr>
              <w:t xml:space="preserve"> </w:t>
            </w:r>
            <w:proofErr w:type="spellStart"/>
            <w:r w:rsidRPr="008952C1">
              <w:rPr>
                <w:sz w:val="24"/>
                <w:szCs w:val="24"/>
              </w:rPr>
              <w:t>nefritis</w:t>
            </w:r>
            <w:proofErr w:type="spellEnd"/>
            <w:r w:rsidRPr="008952C1">
              <w:rPr>
                <w:sz w:val="24"/>
                <w:szCs w:val="24"/>
              </w:rPr>
              <w:t xml:space="preserve">, udefineret </w:t>
            </w:r>
            <w:proofErr w:type="spellStart"/>
            <w:r w:rsidRPr="008952C1">
              <w:rPr>
                <w:sz w:val="24"/>
                <w:szCs w:val="24"/>
              </w:rPr>
              <w:t>nefropati</w:t>
            </w:r>
            <w:proofErr w:type="spellEnd"/>
            <w:r w:rsidRPr="008952C1">
              <w:rPr>
                <w:sz w:val="24"/>
                <w:szCs w:val="24"/>
              </w:rPr>
              <w:t xml:space="preserve">, </w:t>
            </w:r>
            <w:proofErr w:type="spellStart"/>
            <w:r w:rsidRPr="008952C1">
              <w:rPr>
                <w:sz w:val="24"/>
                <w:szCs w:val="24"/>
              </w:rPr>
              <w:t>proteinuri</w:t>
            </w:r>
            <w:proofErr w:type="spellEnd"/>
            <w:r w:rsidRPr="008952C1">
              <w:rPr>
                <w:sz w:val="24"/>
                <w:szCs w:val="24"/>
              </w:rPr>
              <w:t xml:space="preserve">, temporær øgning i blod </w:t>
            </w:r>
            <w:proofErr w:type="spellStart"/>
            <w:r w:rsidRPr="008952C1">
              <w:rPr>
                <w:sz w:val="24"/>
                <w:szCs w:val="24"/>
              </w:rPr>
              <w:t>urea</w:t>
            </w:r>
            <w:proofErr w:type="spellEnd"/>
            <w:r w:rsidRPr="008952C1">
              <w:rPr>
                <w:sz w:val="24"/>
                <w:szCs w:val="24"/>
              </w:rPr>
              <w:t xml:space="preserve"> nitrogen (BUN) sædvanligvis hos patienter, der samtidig er behandlet med andre potentielt nefrotoksiske lægemidler.</w:t>
            </w:r>
          </w:p>
        </w:tc>
        <w:tc>
          <w:tcPr>
            <w:tcW w:w="1057" w:type="pct"/>
            <w:tcBorders>
              <w:right w:val="single" w:sz="6" w:space="0" w:color="auto"/>
            </w:tcBorders>
          </w:tcPr>
          <w:p w:rsidR="00976406" w:rsidRPr="008952C1" w:rsidRDefault="00976406" w:rsidP="00976406">
            <w:pPr>
              <w:ind w:left="126"/>
              <w:rPr>
                <w:sz w:val="24"/>
                <w:szCs w:val="24"/>
              </w:rPr>
            </w:pPr>
          </w:p>
        </w:tc>
      </w:tr>
      <w:tr w:rsidR="00976406" w:rsidRPr="008952C1" w:rsidTr="00976406">
        <w:trPr>
          <w:trHeight w:val="672"/>
        </w:trPr>
        <w:tc>
          <w:tcPr>
            <w:tcW w:w="1019" w:type="pct"/>
            <w:tcBorders>
              <w:left w:val="single" w:sz="6" w:space="0" w:color="auto"/>
              <w:right w:val="single" w:sz="6" w:space="0" w:color="auto"/>
            </w:tcBorders>
          </w:tcPr>
          <w:p w:rsidR="00976406" w:rsidRPr="005306A2" w:rsidRDefault="00976406" w:rsidP="00976406">
            <w:pPr>
              <w:ind w:left="72"/>
              <w:rPr>
                <w:b/>
                <w:sz w:val="24"/>
                <w:szCs w:val="24"/>
              </w:rPr>
            </w:pPr>
            <w:r w:rsidRPr="005306A2">
              <w:rPr>
                <w:b/>
                <w:sz w:val="24"/>
                <w:szCs w:val="24"/>
              </w:rPr>
              <w:t>Almene symptomer og reaktioner på administrations-stedet</w:t>
            </w:r>
          </w:p>
        </w:tc>
        <w:tc>
          <w:tcPr>
            <w:tcW w:w="809" w:type="pct"/>
            <w:tcBorders>
              <w:left w:val="single" w:sz="6" w:space="0" w:color="auto"/>
            </w:tcBorders>
          </w:tcPr>
          <w:p w:rsidR="00976406" w:rsidRPr="008952C1" w:rsidRDefault="00976406" w:rsidP="00976406">
            <w:pPr>
              <w:ind w:left="92"/>
              <w:rPr>
                <w:sz w:val="24"/>
                <w:szCs w:val="24"/>
              </w:rPr>
            </w:pPr>
            <w:r w:rsidRPr="008952C1">
              <w:rPr>
                <w:sz w:val="24"/>
                <w:szCs w:val="24"/>
              </w:rPr>
              <w:t xml:space="preserve">Smerter på stedet for </w:t>
            </w:r>
            <w:proofErr w:type="spellStart"/>
            <w:r w:rsidRPr="008952C1">
              <w:rPr>
                <w:sz w:val="24"/>
                <w:szCs w:val="24"/>
              </w:rPr>
              <w:t>intramusku</w:t>
            </w:r>
            <w:r w:rsidR="008627D1">
              <w:rPr>
                <w:sz w:val="24"/>
                <w:szCs w:val="24"/>
              </w:rPr>
              <w:t>-</w:t>
            </w:r>
            <w:r w:rsidRPr="008952C1">
              <w:rPr>
                <w:sz w:val="24"/>
                <w:szCs w:val="24"/>
              </w:rPr>
              <w:t>lær</w:t>
            </w:r>
            <w:proofErr w:type="spellEnd"/>
            <w:r w:rsidRPr="008952C1">
              <w:rPr>
                <w:sz w:val="24"/>
                <w:szCs w:val="24"/>
              </w:rPr>
              <w:t xml:space="preserve"> injektion, nogle gange med </w:t>
            </w:r>
            <w:proofErr w:type="spellStart"/>
            <w:r w:rsidRPr="008952C1">
              <w:rPr>
                <w:sz w:val="24"/>
                <w:szCs w:val="24"/>
              </w:rPr>
              <w:t>induration</w:t>
            </w:r>
            <w:proofErr w:type="spellEnd"/>
          </w:p>
        </w:tc>
        <w:tc>
          <w:tcPr>
            <w:tcW w:w="1057" w:type="pct"/>
          </w:tcPr>
          <w:p w:rsidR="00976406" w:rsidRPr="008952C1" w:rsidRDefault="00976406" w:rsidP="00976406">
            <w:pPr>
              <w:ind w:left="91"/>
              <w:rPr>
                <w:sz w:val="24"/>
                <w:szCs w:val="24"/>
              </w:rPr>
            </w:pPr>
            <w:r w:rsidRPr="008952C1">
              <w:rPr>
                <w:sz w:val="24"/>
                <w:szCs w:val="24"/>
              </w:rPr>
              <w:t xml:space="preserve">Intravenøs administration kan medføre </w:t>
            </w:r>
            <w:proofErr w:type="spellStart"/>
            <w:r w:rsidRPr="008952C1">
              <w:rPr>
                <w:sz w:val="24"/>
                <w:szCs w:val="24"/>
              </w:rPr>
              <w:t>tromboflebitis</w:t>
            </w:r>
            <w:proofErr w:type="spellEnd"/>
            <w:r w:rsidRPr="008952C1">
              <w:rPr>
                <w:sz w:val="24"/>
                <w:szCs w:val="24"/>
              </w:rPr>
              <w:t>.</w:t>
            </w:r>
          </w:p>
        </w:tc>
        <w:tc>
          <w:tcPr>
            <w:tcW w:w="1057" w:type="pct"/>
          </w:tcPr>
          <w:p w:rsidR="00976406" w:rsidRPr="008952C1" w:rsidRDefault="00976406" w:rsidP="008E5D32">
            <w:pPr>
              <w:ind w:left="37"/>
              <w:rPr>
                <w:sz w:val="24"/>
                <w:szCs w:val="24"/>
              </w:rPr>
            </w:pPr>
          </w:p>
        </w:tc>
        <w:tc>
          <w:tcPr>
            <w:tcW w:w="1057" w:type="pct"/>
            <w:tcBorders>
              <w:right w:val="single" w:sz="6" w:space="0" w:color="auto"/>
            </w:tcBorders>
          </w:tcPr>
          <w:p w:rsidR="00976406" w:rsidRPr="008952C1" w:rsidRDefault="00976406" w:rsidP="00976406">
            <w:pPr>
              <w:ind w:left="126"/>
              <w:rPr>
                <w:sz w:val="24"/>
                <w:szCs w:val="24"/>
              </w:rPr>
            </w:pPr>
          </w:p>
        </w:tc>
      </w:tr>
    </w:tbl>
    <w:p w:rsidR="00976406" w:rsidRPr="008952C1" w:rsidRDefault="00976406" w:rsidP="00976406">
      <w:pPr>
        <w:ind w:left="851"/>
        <w:rPr>
          <w:sz w:val="24"/>
          <w:szCs w:val="24"/>
        </w:rPr>
      </w:pPr>
    </w:p>
    <w:p w:rsidR="00976406" w:rsidRPr="008952C1" w:rsidRDefault="00976406" w:rsidP="00976406">
      <w:pPr>
        <w:ind w:left="851"/>
        <w:rPr>
          <w:sz w:val="24"/>
          <w:szCs w:val="24"/>
        </w:rPr>
      </w:pPr>
    </w:p>
    <w:p w:rsidR="005F4651" w:rsidRPr="005F4651" w:rsidRDefault="005F4651" w:rsidP="005F4651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 w:rsidRPr="005F4651">
        <w:rPr>
          <w:sz w:val="24"/>
          <w:szCs w:val="24"/>
          <w:u w:val="single"/>
          <w:lang w:eastAsia="da-DK"/>
        </w:rPr>
        <w:t>Indberetning af formodede bivirkninger</w:t>
      </w:r>
    </w:p>
    <w:p w:rsidR="005F4651" w:rsidRPr="005F4651" w:rsidRDefault="005F4651" w:rsidP="005F4651">
      <w:pPr>
        <w:ind w:left="851"/>
        <w:rPr>
          <w:sz w:val="24"/>
          <w:szCs w:val="24"/>
          <w:lang w:eastAsia="da-DK"/>
        </w:rPr>
      </w:pPr>
      <w:r w:rsidRPr="005F4651">
        <w:rPr>
          <w:sz w:val="24"/>
          <w:szCs w:val="24"/>
          <w:lang w:eastAsia="da-DK"/>
        </w:rPr>
        <w:t xml:space="preserve">Når lægemidlet er godkendt, er indberetning af formodede bivirkninger vigtig. Det muliggør løbende overvågning af </w:t>
      </w:r>
      <w:proofErr w:type="spellStart"/>
      <w:r w:rsidRPr="005F4651">
        <w:rPr>
          <w:sz w:val="24"/>
          <w:szCs w:val="24"/>
          <w:lang w:eastAsia="da-DK"/>
        </w:rPr>
        <w:t>benefit</w:t>
      </w:r>
      <w:proofErr w:type="spellEnd"/>
      <w:r w:rsidRPr="005F4651">
        <w:rPr>
          <w:sz w:val="24"/>
          <w:szCs w:val="24"/>
          <w:lang w:eastAsia="da-DK"/>
        </w:rPr>
        <w:t>/</w:t>
      </w:r>
      <w:proofErr w:type="spellStart"/>
      <w:r w:rsidRPr="005F4651">
        <w:rPr>
          <w:sz w:val="24"/>
          <w:szCs w:val="24"/>
          <w:lang w:eastAsia="da-DK"/>
        </w:rPr>
        <w:t>risk</w:t>
      </w:r>
      <w:proofErr w:type="spellEnd"/>
      <w:r w:rsidRPr="005F4651">
        <w:rPr>
          <w:sz w:val="24"/>
          <w:szCs w:val="24"/>
          <w:lang w:eastAsia="da-DK"/>
        </w:rPr>
        <w:t>-forholdet for lægemidlet. Læger og sundhedspersonale anmodes om at indberette alle formodede bivirkninger via:</w:t>
      </w:r>
    </w:p>
    <w:p w:rsidR="005F4651" w:rsidRPr="005F4651" w:rsidRDefault="005F4651" w:rsidP="005F4651">
      <w:pPr>
        <w:ind w:left="851"/>
        <w:rPr>
          <w:sz w:val="24"/>
          <w:szCs w:val="24"/>
          <w:lang w:eastAsia="da-DK"/>
        </w:rPr>
      </w:pPr>
    </w:p>
    <w:p w:rsidR="005F4651" w:rsidRPr="005F4651" w:rsidRDefault="005F4651" w:rsidP="005F4651">
      <w:pPr>
        <w:ind w:left="851"/>
        <w:rPr>
          <w:sz w:val="24"/>
          <w:szCs w:val="24"/>
          <w:lang w:eastAsia="da-DK"/>
        </w:rPr>
      </w:pPr>
      <w:r w:rsidRPr="005F4651">
        <w:rPr>
          <w:sz w:val="24"/>
          <w:szCs w:val="24"/>
          <w:lang w:eastAsia="da-DK"/>
        </w:rPr>
        <w:t>Lægemiddelstyrelsen</w:t>
      </w:r>
    </w:p>
    <w:p w:rsidR="005F4651" w:rsidRPr="005F4651" w:rsidRDefault="005F4651" w:rsidP="005F4651">
      <w:pPr>
        <w:ind w:left="851"/>
        <w:rPr>
          <w:sz w:val="24"/>
          <w:szCs w:val="24"/>
          <w:lang w:eastAsia="da-DK"/>
        </w:rPr>
      </w:pPr>
      <w:r w:rsidRPr="005F4651">
        <w:rPr>
          <w:sz w:val="24"/>
          <w:szCs w:val="24"/>
          <w:lang w:eastAsia="da-DK"/>
        </w:rPr>
        <w:t>Axel Heides Gade 1</w:t>
      </w:r>
    </w:p>
    <w:p w:rsidR="005F4651" w:rsidRPr="005F4651" w:rsidRDefault="005F4651" w:rsidP="005F4651">
      <w:pPr>
        <w:ind w:left="851"/>
        <w:rPr>
          <w:sz w:val="24"/>
          <w:szCs w:val="24"/>
          <w:lang w:eastAsia="da-DK"/>
        </w:rPr>
      </w:pPr>
      <w:r w:rsidRPr="005F4651">
        <w:rPr>
          <w:sz w:val="24"/>
          <w:szCs w:val="24"/>
          <w:lang w:eastAsia="da-DK"/>
        </w:rPr>
        <w:t>DK-2300 København S</w:t>
      </w:r>
    </w:p>
    <w:p w:rsidR="005F4651" w:rsidRPr="005F4651" w:rsidRDefault="005F4651" w:rsidP="005F4651">
      <w:pPr>
        <w:ind w:left="851"/>
        <w:rPr>
          <w:sz w:val="24"/>
          <w:szCs w:val="24"/>
          <w:lang w:val="en-US" w:eastAsia="da-DK"/>
        </w:rPr>
      </w:pPr>
      <w:proofErr w:type="spellStart"/>
      <w:r w:rsidRPr="005F4651">
        <w:rPr>
          <w:sz w:val="24"/>
          <w:szCs w:val="24"/>
          <w:lang w:val="en-US" w:eastAsia="da-DK"/>
        </w:rPr>
        <w:t>Websted</w:t>
      </w:r>
      <w:proofErr w:type="spellEnd"/>
      <w:r w:rsidRPr="005F4651">
        <w:rPr>
          <w:sz w:val="24"/>
          <w:szCs w:val="24"/>
          <w:lang w:val="en-US" w:eastAsia="da-DK"/>
        </w:rPr>
        <w:t xml:space="preserve">: </w:t>
      </w:r>
      <w:hyperlink r:id="rId9" w:history="1">
        <w:r w:rsidRPr="005F4651">
          <w:rPr>
            <w:color w:val="0000FF"/>
            <w:sz w:val="24"/>
            <w:szCs w:val="24"/>
            <w:u w:val="single"/>
            <w:lang w:val="en-US" w:eastAsia="da-DK"/>
          </w:rPr>
          <w:t>www.meldenbivirkning.dk</w:t>
        </w:r>
      </w:hyperlink>
    </w:p>
    <w:p w:rsidR="00B003BF" w:rsidRDefault="005F4651" w:rsidP="005F4651">
      <w:pPr>
        <w:pStyle w:val="Sidehoved"/>
        <w:tabs>
          <w:tab w:val="left" w:pos="851"/>
        </w:tabs>
        <w:rPr>
          <w:color w:val="0000FF"/>
          <w:szCs w:val="24"/>
          <w:u w:val="single"/>
          <w:lang w:val="en-US"/>
        </w:rPr>
      </w:pPr>
      <w:r>
        <w:rPr>
          <w:szCs w:val="24"/>
          <w:lang w:val="en-US"/>
        </w:rPr>
        <w:tab/>
      </w:r>
      <w:r w:rsidRPr="005F4651">
        <w:rPr>
          <w:szCs w:val="24"/>
          <w:lang w:val="en-US"/>
        </w:rPr>
        <w:t xml:space="preserve">E-mail: </w:t>
      </w:r>
      <w:hyperlink r:id="rId10" w:history="1">
        <w:r w:rsidRPr="0004304C">
          <w:rPr>
            <w:rStyle w:val="Hyperlink"/>
            <w:szCs w:val="24"/>
            <w:lang w:val="en-US"/>
          </w:rPr>
          <w:t>dkma@dkma.dk</w:t>
        </w:r>
      </w:hyperlink>
    </w:p>
    <w:p w:rsidR="005F4651" w:rsidRPr="000871EA" w:rsidRDefault="005F4651" w:rsidP="005F4651">
      <w:pPr>
        <w:pStyle w:val="Sidehoved"/>
        <w:tabs>
          <w:tab w:val="left" w:pos="851"/>
        </w:tabs>
        <w:rPr>
          <w:szCs w:val="24"/>
          <w:lang w:val="en-US"/>
        </w:rPr>
      </w:pPr>
    </w:p>
    <w:p w:rsidR="00B003BF" w:rsidRPr="005F4651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  <w:lang w:val="en-US"/>
        </w:rPr>
      </w:pPr>
      <w:r w:rsidRPr="005F4651">
        <w:rPr>
          <w:b/>
          <w:sz w:val="24"/>
          <w:szCs w:val="24"/>
          <w:lang w:val="en-US"/>
        </w:rPr>
        <w:t>4.9</w:t>
      </w:r>
      <w:r w:rsidRPr="005F4651">
        <w:rPr>
          <w:b/>
          <w:sz w:val="24"/>
          <w:szCs w:val="24"/>
          <w:lang w:val="en-US"/>
        </w:rPr>
        <w:tab/>
      </w:r>
      <w:proofErr w:type="spellStart"/>
      <w:r w:rsidRPr="005F4651">
        <w:rPr>
          <w:b/>
          <w:sz w:val="24"/>
          <w:szCs w:val="24"/>
          <w:lang w:val="en-US"/>
        </w:rPr>
        <w:t>Overdosering</w:t>
      </w:r>
      <w:proofErr w:type="spellEnd"/>
    </w:p>
    <w:p w:rsidR="00B71375" w:rsidRPr="008952C1" w:rsidRDefault="00B71375" w:rsidP="00B71375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 xml:space="preserve">Symptomer på en overdosis er hovedpine, </w:t>
      </w:r>
      <w:proofErr w:type="spellStart"/>
      <w:r w:rsidRPr="008952C1">
        <w:rPr>
          <w:sz w:val="24"/>
          <w:szCs w:val="24"/>
        </w:rPr>
        <w:t>vertigo</w:t>
      </w:r>
      <w:proofErr w:type="spellEnd"/>
      <w:r w:rsidRPr="008952C1">
        <w:rPr>
          <w:sz w:val="24"/>
          <w:szCs w:val="24"/>
        </w:rPr>
        <w:t xml:space="preserve">, </w:t>
      </w:r>
      <w:proofErr w:type="spellStart"/>
      <w:r w:rsidRPr="008952C1">
        <w:rPr>
          <w:sz w:val="24"/>
          <w:szCs w:val="24"/>
        </w:rPr>
        <w:t>paræstesi</w:t>
      </w:r>
      <w:proofErr w:type="spellEnd"/>
      <w:r w:rsidRPr="008952C1">
        <w:rPr>
          <w:sz w:val="24"/>
          <w:szCs w:val="24"/>
        </w:rPr>
        <w:t xml:space="preserve">, centralnervøse tilstande af uro, </w:t>
      </w:r>
      <w:proofErr w:type="spellStart"/>
      <w:r w:rsidRPr="008952C1">
        <w:rPr>
          <w:sz w:val="24"/>
          <w:szCs w:val="24"/>
        </w:rPr>
        <w:t>myokloni</w:t>
      </w:r>
      <w:proofErr w:type="spellEnd"/>
      <w:r w:rsidRPr="008952C1">
        <w:rPr>
          <w:sz w:val="24"/>
          <w:szCs w:val="24"/>
        </w:rPr>
        <w:t xml:space="preserve"> og kramper.</w:t>
      </w:r>
    </w:p>
    <w:p w:rsidR="00B71375" w:rsidRPr="008952C1" w:rsidRDefault="00B71375" w:rsidP="00B71375">
      <w:pPr>
        <w:ind w:left="851"/>
        <w:rPr>
          <w:sz w:val="24"/>
          <w:szCs w:val="24"/>
        </w:rPr>
      </w:pPr>
    </w:p>
    <w:p w:rsidR="00B003BF" w:rsidRPr="00C84483" w:rsidRDefault="00B71375" w:rsidP="00B71375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 xml:space="preserve">I tilfælde af forgiftning, er eliminationsaccelererende tiltag indiceret. En </w:t>
      </w:r>
      <w:proofErr w:type="spellStart"/>
      <w:r w:rsidRPr="008952C1">
        <w:rPr>
          <w:sz w:val="24"/>
          <w:szCs w:val="24"/>
        </w:rPr>
        <w:t>specific</w:t>
      </w:r>
      <w:proofErr w:type="spellEnd"/>
      <w:r w:rsidRPr="008952C1">
        <w:rPr>
          <w:sz w:val="24"/>
          <w:szCs w:val="24"/>
        </w:rPr>
        <w:t xml:space="preserve"> modgift findes ikke. </w:t>
      </w:r>
      <w:proofErr w:type="spellStart"/>
      <w:r w:rsidRPr="008952C1">
        <w:rPr>
          <w:sz w:val="24"/>
          <w:szCs w:val="24"/>
        </w:rPr>
        <w:t>Cefazolin</w:t>
      </w:r>
      <w:proofErr w:type="spellEnd"/>
      <w:r w:rsidRPr="008952C1">
        <w:rPr>
          <w:sz w:val="24"/>
          <w:szCs w:val="24"/>
        </w:rPr>
        <w:t xml:space="preserve"> kan </w:t>
      </w:r>
      <w:proofErr w:type="spellStart"/>
      <w:r w:rsidRPr="008952C1">
        <w:rPr>
          <w:sz w:val="24"/>
          <w:szCs w:val="24"/>
        </w:rPr>
        <w:t>hæmodialysres</w:t>
      </w:r>
      <w:proofErr w:type="spellEnd"/>
      <w:r w:rsidRPr="008952C1">
        <w:rPr>
          <w:sz w:val="24"/>
          <w:szCs w:val="24"/>
        </w:rPr>
        <w:t>.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B003BF" w:rsidRPr="00C84483" w:rsidRDefault="00B003BF" w:rsidP="00B003BF">
      <w:pPr>
        <w:tabs>
          <w:tab w:val="left" w:pos="851"/>
        </w:tabs>
        <w:ind w:left="851" w:hanging="851"/>
        <w:rPr>
          <w:sz w:val="24"/>
          <w:szCs w:val="24"/>
        </w:rPr>
      </w:pPr>
      <w:r w:rsidRPr="00C84483">
        <w:rPr>
          <w:sz w:val="24"/>
          <w:szCs w:val="24"/>
        </w:rPr>
        <w:tab/>
      </w:r>
      <w:r w:rsidR="00B71375">
        <w:rPr>
          <w:sz w:val="24"/>
          <w:szCs w:val="24"/>
        </w:rPr>
        <w:t>B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5.0</w:t>
      </w:r>
      <w:r w:rsidRPr="00C84483">
        <w:rPr>
          <w:b/>
          <w:sz w:val="24"/>
          <w:szCs w:val="24"/>
        </w:rPr>
        <w:tab/>
        <w:t>Terapeutisk klassifikation</w:t>
      </w:r>
    </w:p>
    <w:p w:rsidR="00B003BF" w:rsidRPr="00C84483" w:rsidRDefault="00EE08DC" w:rsidP="00EE08DC">
      <w:pPr>
        <w:ind w:left="851"/>
        <w:rPr>
          <w:sz w:val="24"/>
          <w:szCs w:val="24"/>
        </w:rPr>
      </w:pPr>
      <w:r w:rsidRPr="00EE08DC">
        <w:rPr>
          <w:sz w:val="24"/>
          <w:szCs w:val="24"/>
        </w:rPr>
        <w:t>ATC-kode: J</w:t>
      </w:r>
      <w:r>
        <w:rPr>
          <w:sz w:val="24"/>
          <w:szCs w:val="24"/>
        </w:rPr>
        <w:t xml:space="preserve"> </w:t>
      </w:r>
      <w:r w:rsidRPr="00EE08DC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 w:rsidRPr="00EE08DC">
        <w:rPr>
          <w:sz w:val="24"/>
          <w:szCs w:val="24"/>
        </w:rPr>
        <w:t>DB</w:t>
      </w:r>
      <w:r>
        <w:rPr>
          <w:sz w:val="24"/>
          <w:szCs w:val="24"/>
        </w:rPr>
        <w:t xml:space="preserve"> </w:t>
      </w:r>
      <w:r w:rsidRPr="00EE08DC">
        <w:rPr>
          <w:sz w:val="24"/>
          <w:szCs w:val="24"/>
        </w:rPr>
        <w:t>04.</w:t>
      </w:r>
      <w:r>
        <w:rPr>
          <w:sz w:val="24"/>
          <w:szCs w:val="24"/>
        </w:rPr>
        <w:t xml:space="preserve"> </w:t>
      </w:r>
      <w:r w:rsidRPr="00EE08DC">
        <w:rPr>
          <w:sz w:val="24"/>
          <w:szCs w:val="24"/>
        </w:rPr>
        <w:t xml:space="preserve">Førstegenerations </w:t>
      </w:r>
      <w:proofErr w:type="spellStart"/>
      <w:r w:rsidRPr="00EE08DC">
        <w:rPr>
          <w:sz w:val="24"/>
          <w:szCs w:val="24"/>
        </w:rPr>
        <w:t>cefalosporin</w:t>
      </w:r>
      <w:proofErr w:type="spellEnd"/>
      <w:r w:rsidRPr="00EE08DC">
        <w:rPr>
          <w:sz w:val="24"/>
          <w:szCs w:val="24"/>
        </w:rPr>
        <w:t>.</w:t>
      </w:r>
      <w:r w:rsidRPr="00C84483">
        <w:rPr>
          <w:sz w:val="24"/>
          <w:szCs w:val="24"/>
        </w:rPr>
        <w:t xml:space="preserve"> 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Pr="00C84483" w:rsidRDefault="00B003BF" w:rsidP="00B003BF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5B146A" w:rsidRPr="000871EA" w:rsidRDefault="005B146A" w:rsidP="005B146A">
      <w:pPr>
        <w:ind w:left="851"/>
        <w:rPr>
          <w:sz w:val="24"/>
          <w:szCs w:val="24"/>
        </w:rPr>
      </w:pPr>
    </w:p>
    <w:p w:rsidR="005B146A" w:rsidRPr="005B146A" w:rsidRDefault="005B146A" w:rsidP="005B146A">
      <w:pPr>
        <w:ind w:left="851"/>
        <w:rPr>
          <w:sz w:val="24"/>
          <w:szCs w:val="24"/>
          <w:u w:val="single"/>
        </w:rPr>
      </w:pPr>
      <w:proofErr w:type="spellStart"/>
      <w:r w:rsidRPr="005B146A">
        <w:rPr>
          <w:sz w:val="24"/>
          <w:szCs w:val="24"/>
          <w:u w:val="single"/>
        </w:rPr>
        <w:t>Farmakoterapeutisk</w:t>
      </w:r>
      <w:proofErr w:type="spellEnd"/>
      <w:r w:rsidRPr="005B146A">
        <w:rPr>
          <w:sz w:val="24"/>
          <w:szCs w:val="24"/>
          <w:u w:val="single"/>
        </w:rPr>
        <w:t xml:space="preserve"> klassifikation</w:t>
      </w:r>
    </w:p>
    <w:p w:rsidR="005B146A" w:rsidRPr="008952C1" w:rsidRDefault="005B146A" w:rsidP="005B146A">
      <w:pPr>
        <w:ind w:left="851"/>
        <w:rPr>
          <w:sz w:val="24"/>
          <w:szCs w:val="24"/>
        </w:rPr>
      </w:pPr>
      <w:proofErr w:type="spellStart"/>
      <w:r w:rsidRPr="008952C1">
        <w:rPr>
          <w:sz w:val="24"/>
          <w:szCs w:val="24"/>
        </w:rPr>
        <w:t>Cefazolin</w:t>
      </w:r>
      <w:proofErr w:type="spellEnd"/>
      <w:r w:rsidRPr="008952C1">
        <w:rPr>
          <w:sz w:val="24"/>
          <w:szCs w:val="24"/>
        </w:rPr>
        <w:t xml:space="preserve"> er et baktericidt </w:t>
      </w:r>
      <w:proofErr w:type="spellStart"/>
      <w:r w:rsidRPr="008952C1">
        <w:rPr>
          <w:sz w:val="24"/>
          <w:szCs w:val="24"/>
        </w:rPr>
        <w:t>cefalosporin</w:t>
      </w:r>
      <w:proofErr w:type="spellEnd"/>
      <w:r>
        <w:rPr>
          <w:sz w:val="24"/>
          <w:szCs w:val="24"/>
        </w:rPr>
        <w:t>-</w:t>
      </w:r>
      <w:r w:rsidRPr="008952C1">
        <w:rPr>
          <w:sz w:val="24"/>
          <w:szCs w:val="24"/>
        </w:rPr>
        <w:t>antibiotikum af første generation til parenteral administration.</w:t>
      </w:r>
    </w:p>
    <w:p w:rsidR="005B146A" w:rsidRPr="008952C1" w:rsidRDefault="005B146A" w:rsidP="005B146A">
      <w:pPr>
        <w:ind w:left="851"/>
        <w:rPr>
          <w:sz w:val="24"/>
          <w:szCs w:val="24"/>
        </w:rPr>
      </w:pPr>
    </w:p>
    <w:p w:rsidR="005B146A" w:rsidRPr="005B146A" w:rsidRDefault="005B146A" w:rsidP="005B146A">
      <w:pPr>
        <w:ind w:left="851"/>
        <w:rPr>
          <w:color w:val="000000"/>
          <w:sz w:val="24"/>
          <w:szCs w:val="24"/>
        </w:rPr>
      </w:pPr>
      <w:proofErr w:type="spellStart"/>
      <w:r w:rsidRPr="008952C1">
        <w:rPr>
          <w:color w:val="000000"/>
          <w:sz w:val="24"/>
          <w:szCs w:val="24"/>
        </w:rPr>
        <w:t>Cefalosporiner</w:t>
      </w:r>
      <w:proofErr w:type="spellEnd"/>
      <w:r w:rsidRPr="008952C1">
        <w:rPr>
          <w:color w:val="000000"/>
          <w:sz w:val="24"/>
          <w:szCs w:val="24"/>
        </w:rPr>
        <w:t xml:space="preserve"> hæmmer cellevægssyntesen (i vækststadiet) </w:t>
      </w:r>
      <w:r>
        <w:rPr>
          <w:color w:val="000000"/>
          <w:sz w:val="24"/>
          <w:szCs w:val="24"/>
        </w:rPr>
        <w:t>gennem blokering af</w:t>
      </w:r>
      <w:r w:rsidRPr="008952C1">
        <w:rPr>
          <w:color w:val="000000"/>
          <w:sz w:val="24"/>
          <w:szCs w:val="24"/>
        </w:rPr>
        <w:t xml:space="preserve"> penicillin-bindende proteiner (</w:t>
      </w:r>
      <w:proofErr w:type="spellStart"/>
      <w:r w:rsidRPr="008952C1">
        <w:rPr>
          <w:color w:val="000000"/>
          <w:sz w:val="24"/>
          <w:szCs w:val="24"/>
        </w:rPr>
        <w:t>PBP’er</w:t>
      </w:r>
      <w:proofErr w:type="spellEnd"/>
      <w:r w:rsidRPr="008952C1">
        <w:rPr>
          <w:color w:val="000000"/>
          <w:sz w:val="24"/>
          <w:szCs w:val="24"/>
        </w:rPr>
        <w:t xml:space="preserve">) som </w:t>
      </w:r>
      <w:proofErr w:type="spellStart"/>
      <w:r w:rsidRPr="008952C1">
        <w:rPr>
          <w:color w:val="000000"/>
          <w:sz w:val="24"/>
          <w:szCs w:val="24"/>
        </w:rPr>
        <w:t>transpeptidaser</w:t>
      </w:r>
      <w:proofErr w:type="spellEnd"/>
      <w:r w:rsidRPr="008952C1">
        <w:rPr>
          <w:color w:val="000000"/>
          <w:sz w:val="24"/>
          <w:szCs w:val="24"/>
        </w:rPr>
        <w:t xml:space="preserve">. </w:t>
      </w:r>
      <w:r w:rsidRPr="005B146A">
        <w:rPr>
          <w:color w:val="000000"/>
          <w:sz w:val="24"/>
          <w:szCs w:val="24"/>
        </w:rPr>
        <w:t>Resultatet er en baktericid</w:t>
      </w:r>
      <w:r w:rsidRPr="005B146A" w:rsidDel="00B316C0">
        <w:rPr>
          <w:color w:val="000000"/>
          <w:sz w:val="24"/>
          <w:szCs w:val="24"/>
        </w:rPr>
        <w:t xml:space="preserve"> </w:t>
      </w:r>
      <w:r w:rsidR="002C5FA8">
        <w:rPr>
          <w:color w:val="000000"/>
          <w:sz w:val="24"/>
          <w:szCs w:val="24"/>
        </w:rPr>
        <w:t>re</w:t>
      </w:r>
      <w:r w:rsidRPr="005B146A">
        <w:rPr>
          <w:color w:val="000000"/>
          <w:sz w:val="24"/>
          <w:szCs w:val="24"/>
        </w:rPr>
        <w:t xml:space="preserve">aktion. </w:t>
      </w:r>
    </w:p>
    <w:p w:rsidR="005B146A" w:rsidRPr="005B146A" w:rsidRDefault="005B146A" w:rsidP="005B146A">
      <w:pPr>
        <w:ind w:left="851"/>
        <w:rPr>
          <w:color w:val="000000"/>
          <w:sz w:val="24"/>
          <w:szCs w:val="24"/>
        </w:rPr>
      </w:pPr>
    </w:p>
    <w:p w:rsidR="005B146A" w:rsidRPr="000871EA" w:rsidRDefault="005B146A" w:rsidP="005B146A">
      <w:pPr>
        <w:ind w:left="851"/>
        <w:rPr>
          <w:color w:val="000000"/>
          <w:sz w:val="24"/>
          <w:szCs w:val="24"/>
        </w:rPr>
      </w:pPr>
      <w:r w:rsidRPr="000871EA">
        <w:rPr>
          <w:color w:val="000000"/>
          <w:sz w:val="24"/>
          <w:szCs w:val="24"/>
          <w:u w:val="single"/>
        </w:rPr>
        <w:t>PK/PD-forhold</w:t>
      </w:r>
    </w:p>
    <w:p w:rsidR="005B146A" w:rsidRPr="008952C1" w:rsidRDefault="005B146A" w:rsidP="005B146A">
      <w:pPr>
        <w:ind w:left="851"/>
        <w:rPr>
          <w:color w:val="000000"/>
          <w:sz w:val="24"/>
          <w:szCs w:val="24"/>
        </w:rPr>
      </w:pPr>
      <w:r w:rsidRPr="008952C1">
        <w:rPr>
          <w:color w:val="000000"/>
          <w:sz w:val="24"/>
          <w:szCs w:val="24"/>
        </w:rPr>
        <w:t xml:space="preserve">For </w:t>
      </w:r>
      <w:proofErr w:type="spellStart"/>
      <w:r w:rsidRPr="008952C1">
        <w:rPr>
          <w:color w:val="000000"/>
          <w:sz w:val="24"/>
          <w:szCs w:val="24"/>
        </w:rPr>
        <w:t>cefalosporiner</w:t>
      </w:r>
      <w:proofErr w:type="spellEnd"/>
      <w:r w:rsidRPr="008952C1">
        <w:rPr>
          <w:color w:val="000000"/>
          <w:sz w:val="24"/>
          <w:szCs w:val="24"/>
        </w:rPr>
        <w:t xml:space="preserve"> </w:t>
      </w:r>
      <w:r w:rsidR="004B5D92">
        <w:rPr>
          <w:color w:val="000000"/>
          <w:sz w:val="24"/>
          <w:szCs w:val="24"/>
        </w:rPr>
        <w:t>er det påvist, at</w:t>
      </w:r>
      <w:r w:rsidRPr="008952C1">
        <w:rPr>
          <w:color w:val="000000"/>
          <w:sz w:val="24"/>
          <w:szCs w:val="24"/>
        </w:rPr>
        <w:t xml:space="preserve"> det vigtigste </w:t>
      </w:r>
      <w:proofErr w:type="spellStart"/>
      <w:r w:rsidRPr="008952C1">
        <w:rPr>
          <w:color w:val="000000"/>
          <w:sz w:val="24"/>
          <w:szCs w:val="24"/>
        </w:rPr>
        <w:t>farmakokinetiske-farmakodynamiske</w:t>
      </w:r>
      <w:proofErr w:type="spellEnd"/>
      <w:r w:rsidRPr="008952C1">
        <w:rPr>
          <w:color w:val="000000"/>
          <w:sz w:val="24"/>
          <w:szCs w:val="24"/>
        </w:rPr>
        <w:t xml:space="preserve"> indeks</w:t>
      </w:r>
      <w:r w:rsidR="004B5D92">
        <w:rPr>
          <w:color w:val="000000"/>
          <w:sz w:val="24"/>
          <w:szCs w:val="24"/>
        </w:rPr>
        <w:t>, der</w:t>
      </w:r>
      <w:r w:rsidRPr="008952C1">
        <w:rPr>
          <w:color w:val="000000"/>
          <w:sz w:val="24"/>
          <w:szCs w:val="24"/>
        </w:rPr>
        <w:t xml:space="preserve"> korre</w:t>
      </w:r>
      <w:r w:rsidR="004B5D92">
        <w:rPr>
          <w:color w:val="000000"/>
          <w:sz w:val="24"/>
          <w:szCs w:val="24"/>
        </w:rPr>
        <w:t>l</w:t>
      </w:r>
      <w:r w:rsidRPr="008952C1">
        <w:rPr>
          <w:color w:val="000000"/>
          <w:sz w:val="24"/>
          <w:szCs w:val="24"/>
        </w:rPr>
        <w:t>ere</w:t>
      </w:r>
      <w:r w:rsidR="004B5D92">
        <w:rPr>
          <w:color w:val="000000"/>
          <w:sz w:val="24"/>
          <w:szCs w:val="24"/>
        </w:rPr>
        <w:t>r</w:t>
      </w:r>
      <w:r w:rsidRPr="008952C1">
        <w:rPr>
          <w:color w:val="000000"/>
          <w:sz w:val="24"/>
          <w:szCs w:val="24"/>
        </w:rPr>
        <w:t xml:space="preserve"> med </w:t>
      </w:r>
      <w:r w:rsidR="004B5D92">
        <w:rPr>
          <w:color w:val="000000"/>
          <w:sz w:val="24"/>
          <w:szCs w:val="24"/>
        </w:rPr>
        <w:t xml:space="preserve">effekten af </w:t>
      </w:r>
      <w:r w:rsidRPr="008952C1">
        <w:rPr>
          <w:color w:val="000000"/>
          <w:sz w:val="24"/>
          <w:szCs w:val="24"/>
        </w:rPr>
        <w:t xml:space="preserve">in </w:t>
      </w:r>
      <w:proofErr w:type="spellStart"/>
      <w:r w:rsidRPr="008952C1">
        <w:rPr>
          <w:color w:val="000000"/>
          <w:sz w:val="24"/>
          <w:szCs w:val="24"/>
        </w:rPr>
        <w:t>vivo</w:t>
      </w:r>
      <w:proofErr w:type="spellEnd"/>
      <w:r w:rsidR="004B5D92">
        <w:rPr>
          <w:color w:val="000000"/>
          <w:sz w:val="24"/>
          <w:szCs w:val="24"/>
        </w:rPr>
        <w:t>, er den</w:t>
      </w:r>
      <w:r w:rsidRPr="008952C1">
        <w:rPr>
          <w:color w:val="000000"/>
          <w:sz w:val="24"/>
          <w:szCs w:val="24"/>
        </w:rPr>
        <w:t xml:space="preserve"> procent af </w:t>
      </w:r>
      <w:r w:rsidR="003946EE">
        <w:rPr>
          <w:color w:val="000000"/>
          <w:sz w:val="24"/>
          <w:szCs w:val="24"/>
        </w:rPr>
        <w:t xml:space="preserve">tiden i </w:t>
      </w:r>
      <w:r w:rsidRPr="008952C1">
        <w:rPr>
          <w:color w:val="000000"/>
          <w:sz w:val="24"/>
          <w:szCs w:val="24"/>
        </w:rPr>
        <w:t>dos</w:t>
      </w:r>
      <w:r w:rsidR="004B5D92">
        <w:rPr>
          <w:color w:val="000000"/>
          <w:sz w:val="24"/>
          <w:szCs w:val="24"/>
        </w:rPr>
        <w:t>erings</w:t>
      </w:r>
      <w:r w:rsidRPr="008952C1">
        <w:rPr>
          <w:color w:val="000000"/>
          <w:sz w:val="24"/>
          <w:szCs w:val="24"/>
        </w:rPr>
        <w:t xml:space="preserve">intervallet, </w:t>
      </w:r>
      <w:r w:rsidR="004B5D92">
        <w:rPr>
          <w:color w:val="000000"/>
          <w:sz w:val="24"/>
          <w:szCs w:val="24"/>
        </w:rPr>
        <w:t xml:space="preserve">hvor </w:t>
      </w:r>
      <w:r w:rsidRPr="008952C1">
        <w:rPr>
          <w:color w:val="000000"/>
          <w:sz w:val="24"/>
          <w:szCs w:val="24"/>
        </w:rPr>
        <w:t>den ubundne</w:t>
      </w:r>
      <w:r w:rsidRPr="008952C1">
        <w:rPr>
          <w:sz w:val="24"/>
          <w:szCs w:val="24"/>
        </w:rPr>
        <w:t xml:space="preserve"> k</w:t>
      </w:r>
      <w:r w:rsidRPr="008952C1">
        <w:rPr>
          <w:color w:val="000000"/>
          <w:sz w:val="24"/>
          <w:szCs w:val="24"/>
        </w:rPr>
        <w:t xml:space="preserve">oncentration </w:t>
      </w:r>
      <w:r w:rsidR="003946EE">
        <w:rPr>
          <w:color w:val="000000"/>
          <w:sz w:val="24"/>
          <w:szCs w:val="24"/>
        </w:rPr>
        <w:t>ligger</w:t>
      </w:r>
      <w:r w:rsidRPr="008952C1">
        <w:rPr>
          <w:color w:val="000000"/>
          <w:sz w:val="24"/>
          <w:szCs w:val="24"/>
        </w:rPr>
        <w:t xml:space="preserve"> over den mindst hæmmende koncentration (MIC) af </w:t>
      </w:r>
      <w:proofErr w:type="spellStart"/>
      <w:r w:rsidRPr="008952C1">
        <w:rPr>
          <w:color w:val="000000"/>
          <w:sz w:val="24"/>
          <w:szCs w:val="24"/>
        </w:rPr>
        <w:t>cefazolin</w:t>
      </w:r>
      <w:proofErr w:type="spellEnd"/>
      <w:r w:rsidRPr="008952C1">
        <w:rPr>
          <w:color w:val="000000"/>
          <w:sz w:val="24"/>
          <w:szCs w:val="24"/>
        </w:rPr>
        <w:t xml:space="preserve"> for </w:t>
      </w:r>
      <w:r w:rsidR="003946EE">
        <w:rPr>
          <w:color w:val="000000"/>
          <w:sz w:val="24"/>
          <w:szCs w:val="24"/>
        </w:rPr>
        <w:t xml:space="preserve">de </w:t>
      </w:r>
      <w:r w:rsidRPr="008952C1">
        <w:rPr>
          <w:color w:val="000000"/>
          <w:sz w:val="24"/>
          <w:szCs w:val="24"/>
        </w:rPr>
        <w:t xml:space="preserve">individuelle </w:t>
      </w:r>
      <w:r w:rsidR="003946EE">
        <w:rPr>
          <w:color w:val="000000"/>
          <w:sz w:val="24"/>
          <w:szCs w:val="24"/>
        </w:rPr>
        <w:t>target-</w:t>
      </w:r>
      <w:r w:rsidRPr="008952C1">
        <w:rPr>
          <w:color w:val="000000"/>
          <w:sz w:val="24"/>
          <w:szCs w:val="24"/>
        </w:rPr>
        <w:t>arter (dvs. %T&gt;MIC).</w:t>
      </w:r>
    </w:p>
    <w:p w:rsidR="005B146A" w:rsidRPr="008952C1" w:rsidRDefault="005B146A" w:rsidP="005B146A">
      <w:pPr>
        <w:ind w:left="851"/>
        <w:rPr>
          <w:color w:val="000000"/>
          <w:sz w:val="24"/>
          <w:szCs w:val="24"/>
        </w:rPr>
      </w:pPr>
    </w:p>
    <w:p w:rsidR="005B146A" w:rsidRPr="008952C1" w:rsidRDefault="005B146A" w:rsidP="005B146A">
      <w:pPr>
        <w:ind w:left="851"/>
        <w:rPr>
          <w:color w:val="000000"/>
          <w:sz w:val="24"/>
          <w:szCs w:val="24"/>
          <w:u w:val="single"/>
        </w:rPr>
      </w:pPr>
      <w:r w:rsidRPr="008952C1">
        <w:rPr>
          <w:color w:val="000000"/>
          <w:sz w:val="24"/>
          <w:szCs w:val="24"/>
          <w:u w:val="single"/>
        </w:rPr>
        <w:t>Resistensmekanismer</w:t>
      </w:r>
    </w:p>
    <w:p w:rsidR="005B146A" w:rsidRPr="008952C1" w:rsidRDefault="005B146A" w:rsidP="005B146A">
      <w:pPr>
        <w:ind w:left="851"/>
        <w:rPr>
          <w:color w:val="000000"/>
          <w:sz w:val="24"/>
          <w:szCs w:val="24"/>
        </w:rPr>
      </w:pPr>
      <w:r w:rsidRPr="008952C1">
        <w:rPr>
          <w:color w:val="000000"/>
          <w:sz w:val="24"/>
          <w:szCs w:val="24"/>
        </w:rPr>
        <w:t xml:space="preserve">Resistens over for </w:t>
      </w:r>
      <w:proofErr w:type="spellStart"/>
      <w:r w:rsidRPr="008952C1">
        <w:rPr>
          <w:color w:val="000000"/>
          <w:sz w:val="24"/>
          <w:szCs w:val="24"/>
        </w:rPr>
        <w:t>cefazolin</w:t>
      </w:r>
      <w:proofErr w:type="spellEnd"/>
      <w:r w:rsidRPr="008952C1">
        <w:rPr>
          <w:color w:val="000000"/>
          <w:sz w:val="24"/>
          <w:szCs w:val="24"/>
        </w:rPr>
        <w:t xml:space="preserve"> kan </w:t>
      </w:r>
      <w:r w:rsidR="00107A50">
        <w:rPr>
          <w:color w:val="000000"/>
          <w:sz w:val="24"/>
          <w:szCs w:val="24"/>
        </w:rPr>
        <w:t>bero</w:t>
      </w:r>
      <w:r w:rsidRPr="008952C1">
        <w:rPr>
          <w:color w:val="000000"/>
          <w:sz w:val="24"/>
          <w:szCs w:val="24"/>
        </w:rPr>
        <w:t xml:space="preserve"> på en af følgende mekanismer:</w:t>
      </w:r>
    </w:p>
    <w:p w:rsidR="005B146A" w:rsidRPr="008952C1" w:rsidRDefault="005B146A" w:rsidP="00107A50">
      <w:pPr>
        <w:numPr>
          <w:ilvl w:val="0"/>
          <w:numId w:val="10"/>
        </w:numPr>
        <w:tabs>
          <w:tab w:val="clear" w:pos="720"/>
          <w:tab w:val="num" w:pos="0"/>
        </w:tabs>
        <w:ind w:left="1134" w:hanging="283"/>
        <w:rPr>
          <w:color w:val="000000"/>
          <w:sz w:val="24"/>
          <w:szCs w:val="24"/>
        </w:rPr>
      </w:pPr>
      <w:r w:rsidRPr="008952C1">
        <w:rPr>
          <w:color w:val="000000"/>
          <w:sz w:val="24"/>
          <w:szCs w:val="24"/>
        </w:rPr>
        <w:t>Inaktivering af beta-</w:t>
      </w:r>
      <w:proofErr w:type="spellStart"/>
      <w:r w:rsidRPr="008952C1">
        <w:rPr>
          <w:color w:val="000000"/>
          <w:sz w:val="24"/>
          <w:szCs w:val="24"/>
        </w:rPr>
        <w:t>laktamaser</w:t>
      </w:r>
      <w:proofErr w:type="spellEnd"/>
      <w:r w:rsidRPr="008952C1">
        <w:rPr>
          <w:color w:val="000000"/>
          <w:sz w:val="24"/>
          <w:szCs w:val="24"/>
        </w:rPr>
        <w:t xml:space="preserve">: </w:t>
      </w:r>
      <w:proofErr w:type="spellStart"/>
      <w:r w:rsidRPr="008952C1">
        <w:rPr>
          <w:color w:val="000000"/>
          <w:sz w:val="24"/>
          <w:szCs w:val="24"/>
        </w:rPr>
        <w:t>Cefazolin</w:t>
      </w:r>
      <w:proofErr w:type="spellEnd"/>
      <w:r w:rsidRPr="008952C1">
        <w:rPr>
          <w:color w:val="000000"/>
          <w:sz w:val="24"/>
          <w:szCs w:val="24"/>
        </w:rPr>
        <w:t xml:space="preserve"> har en høj stabilitet </w:t>
      </w:r>
      <w:r w:rsidR="00107A50">
        <w:rPr>
          <w:color w:val="000000"/>
          <w:sz w:val="24"/>
          <w:szCs w:val="24"/>
        </w:rPr>
        <w:t>over for</w:t>
      </w:r>
      <w:r w:rsidRPr="008952C1">
        <w:rPr>
          <w:color w:val="000000"/>
          <w:sz w:val="24"/>
          <w:szCs w:val="24"/>
        </w:rPr>
        <w:t xml:space="preserve"> </w:t>
      </w:r>
      <w:proofErr w:type="spellStart"/>
      <w:r w:rsidRPr="008952C1">
        <w:rPr>
          <w:color w:val="000000"/>
          <w:sz w:val="24"/>
          <w:szCs w:val="24"/>
        </w:rPr>
        <w:t>gram-positive</w:t>
      </w:r>
      <w:proofErr w:type="spellEnd"/>
      <w:r w:rsidRPr="008952C1">
        <w:rPr>
          <w:color w:val="000000"/>
          <w:sz w:val="24"/>
          <w:szCs w:val="24"/>
        </w:rPr>
        <w:t xml:space="preserve"> bakteriers penicillinaser, men kun lav stabilitet </w:t>
      </w:r>
      <w:r w:rsidR="00107A50">
        <w:rPr>
          <w:color w:val="000000"/>
          <w:sz w:val="24"/>
          <w:szCs w:val="24"/>
        </w:rPr>
        <w:t>over for</w:t>
      </w:r>
      <w:r w:rsidRPr="008952C1">
        <w:rPr>
          <w:color w:val="000000"/>
          <w:sz w:val="24"/>
          <w:szCs w:val="24"/>
        </w:rPr>
        <w:t xml:space="preserve"> </w:t>
      </w:r>
      <w:proofErr w:type="spellStart"/>
      <w:r w:rsidRPr="008952C1">
        <w:rPr>
          <w:color w:val="000000"/>
          <w:sz w:val="24"/>
          <w:szCs w:val="24"/>
        </w:rPr>
        <w:t>plasmid</w:t>
      </w:r>
      <w:proofErr w:type="spellEnd"/>
      <w:r w:rsidRPr="008952C1">
        <w:rPr>
          <w:color w:val="000000"/>
          <w:sz w:val="24"/>
          <w:szCs w:val="24"/>
        </w:rPr>
        <w:t>-kodede beta-</w:t>
      </w:r>
      <w:proofErr w:type="spellStart"/>
      <w:r w:rsidRPr="008952C1">
        <w:rPr>
          <w:color w:val="000000"/>
          <w:sz w:val="24"/>
          <w:szCs w:val="24"/>
        </w:rPr>
        <w:t>laktamaser</w:t>
      </w:r>
      <w:proofErr w:type="spellEnd"/>
      <w:r w:rsidRPr="008952C1">
        <w:rPr>
          <w:color w:val="000000"/>
          <w:sz w:val="24"/>
          <w:szCs w:val="24"/>
        </w:rPr>
        <w:t>, f.eks. beta-</w:t>
      </w:r>
      <w:proofErr w:type="spellStart"/>
      <w:r w:rsidRPr="008952C1">
        <w:rPr>
          <w:color w:val="000000"/>
          <w:sz w:val="24"/>
          <w:szCs w:val="24"/>
        </w:rPr>
        <w:t>laktamaser</w:t>
      </w:r>
      <w:proofErr w:type="spellEnd"/>
      <w:r w:rsidRPr="008952C1">
        <w:rPr>
          <w:color w:val="000000"/>
          <w:sz w:val="24"/>
          <w:szCs w:val="24"/>
        </w:rPr>
        <w:t xml:space="preserve"> med udvidet spektrum eller kromosomalt-kodede beta-</w:t>
      </w:r>
      <w:proofErr w:type="spellStart"/>
      <w:r w:rsidRPr="008952C1">
        <w:rPr>
          <w:color w:val="000000"/>
          <w:sz w:val="24"/>
          <w:szCs w:val="24"/>
        </w:rPr>
        <w:t>laktamaser</w:t>
      </w:r>
      <w:proofErr w:type="spellEnd"/>
      <w:r w:rsidRPr="008952C1">
        <w:rPr>
          <w:color w:val="000000"/>
          <w:sz w:val="24"/>
          <w:szCs w:val="24"/>
        </w:rPr>
        <w:t xml:space="preserve"> af </w:t>
      </w:r>
      <w:proofErr w:type="spellStart"/>
      <w:r w:rsidRPr="008952C1">
        <w:rPr>
          <w:color w:val="000000"/>
          <w:sz w:val="24"/>
          <w:szCs w:val="24"/>
        </w:rPr>
        <w:t>AmpC</w:t>
      </w:r>
      <w:proofErr w:type="spellEnd"/>
      <w:r w:rsidRPr="008952C1">
        <w:rPr>
          <w:color w:val="000000"/>
          <w:sz w:val="24"/>
          <w:szCs w:val="24"/>
        </w:rPr>
        <w:t xml:space="preserve">-typen. </w:t>
      </w:r>
    </w:p>
    <w:p w:rsidR="005B146A" w:rsidRPr="008952C1" w:rsidRDefault="005B146A" w:rsidP="00107A50">
      <w:pPr>
        <w:numPr>
          <w:ilvl w:val="0"/>
          <w:numId w:val="10"/>
        </w:numPr>
        <w:tabs>
          <w:tab w:val="clear" w:pos="720"/>
          <w:tab w:val="num" w:pos="0"/>
        </w:tabs>
        <w:ind w:left="1134" w:hanging="283"/>
        <w:rPr>
          <w:color w:val="000000"/>
          <w:sz w:val="24"/>
          <w:szCs w:val="24"/>
        </w:rPr>
      </w:pPr>
      <w:r w:rsidRPr="008952C1">
        <w:rPr>
          <w:color w:val="000000"/>
          <w:sz w:val="24"/>
          <w:szCs w:val="24"/>
        </w:rPr>
        <w:t xml:space="preserve">Reduceret affinitet af </w:t>
      </w:r>
      <w:proofErr w:type="spellStart"/>
      <w:r w:rsidRPr="008952C1">
        <w:rPr>
          <w:color w:val="000000"/>
          <w:sz w:val="24"/>
          <w:szCs w:val="24"/>
        </w:rPr>
        <w:t>PBP’er</w:t>
      </w:r>
      <w:proofErr w:type="spellEnd"/>
      <w:r w:rsidRPr="008952C1">
        <w:rPr>
          <w:color w:val="000000"/>
          <w:sz w:val="24"/>
          <w:szCs w:val="24"/>
        </w:rPr>
        <w:t xml:space="preserve"> til </w:t>
      </w:r>
      <w:proofErr w:type="spellStart"/>
      <w:r w:rsidRPr="008952C1">
        <w:rPr>
          <w:color w:val="000000"/>
          <w:sz w:val="24"/>
          <w:szCs w:val="24"/>
        </w:rPr>
        <w:t>cefazolin</w:t>
      </w:r>
      <w:proofErr w:type="spellEnd"/>
      <w:r w:rsidRPr="008952C1">
        <w:rPr>
          <w:color w:val="000000"/>
          <w:sz w:val="24"/>
          <w:szCs w:val="24"/>
        </w:rPr>
        <w:t xml:space="preserve">: Den erhvervede resistens af </w:t>
      </w:r>
      <w:proofErr w:type="spellStart"/>
      <w:r w:rsidRPr="008952C1">
        <w:rPr>
          <w:color w:val="000000"/>
          <w:sz w:val="24"/>
          <w:szCs w:val="24"/>
        </w:rPr>
        <w:t>pneumokokker</w:t>
      </w:r>
      <w:proofErr w:type="spellEnd"/>
      <w:r w:rsidRPr="008952C1">
        <w:rPr>
          <w:i/>
          <w:color w:val="000000"/>
          <w:sz w:val="24"/>
          <w:szCs w:val="24"/>
        </w:rPr>
        <w:t xml:space="preserve"> </w:t>
      </w:r>
      <w:r w:rsidRPr="008952C1">
        <w:rPr>
          <w:color w:val="000000"/>
          <w:sz w:val="24"/>
          <w:szCs w:val="24"/>
        </w:rPr>
        <w:t xml:space="preserve">og andre streptokokker skyldes modifikationer af </w:t>
      </w:r>
      <w:proofErr w:type="spellStart"/>
      <w:r w:rsidRPr="008952C1">
        <w:rPr>
          <w:color w:val="000000"/>
          <w:sz w:val="24"/>
          <w:szCs w:val="24"/>
        </w:rPr>
        <w:t>PBP’er</w:t>
      </w:r>
      <w:proofErr w:type="spellEnd"/>
      <w:r w:rsidRPr="008952C1">
        <w:rPr>
          <w:color w:val="000000"/>
          <w:sz w:val="24"/>
          <w:szCs w:val="24"/>
        </w:rPr>
        <w:t xml:space="preserve"> på grund af mutationer. Resistensen af </w:t>
      </w:r>
      <w:proofErr w:type="spellStart"/>
      <w:r w:rsidRPr="008952C1">
        <w:rPr>
          <w:color w:val="000000"/>
          <w:sz w:val="24"/>
          <w:szCs w:val="24"/>
        </w:rPr>
        <w:t>methicillin</w:t>
      </w:r>
      <w:proofErr w:type="spellEnd"/>
      <w:r w:rsidRPr="008952C1">
        <w:rPr>
          <w:color w:val="000000"/>
          <w:sz w:val="24"/>
          <w:szCs w:val="24"/>
        </w:rPr>
        <w:t xml:space="preserve"> (</w:t>
      </w:r>
      <w:proofErr w:type="spellStart"/>
      <w:r w:rsidRPr="008952C1">
        <w:rPr>
          <w:color w:val="000000"/>
          <w:sz w:val="24"/>
          <w:szCs w:val="24"/>
        </w:rPr>
        <w:t>oxacillin</w:t>
      </w:r>
      <w:proofErr w:type="spellEnd"/>
      <w:r w:rsidRPr="008952C1">
        <w:rPr>
          <w:color w:val="000000"/>
          <w:sz w:val="24"/>
          <w:szCs w:val="24"/>
        </w:rPr>
        <w:t xml:space="preserve">)-resistente </w:t>
      </w:r>
      <w:r w:rsidR="004D18A4">
        <w:rPr>
          <w:color w:val="000000"/>
          <w:sz w:val="24"/>
          <w:szCs w:val="24"/>
        </w:rPr>
        <w:t>s</w:t>
      </w:r>
      <w:r w:rsidRPr="008952C1">
        <w:rPr>
          <w:color w:val="000000"/>
          <w:sz w:val="24"/>
          <w:szCs w:val="24"/>
        </w:rPr>
        <w:t>ta</w:t>
      </w:r>
      <w:r w:rsidR="004D18A4">
        <w:rPr>
          <w:color w:val="000000"/>
          <w:sz w:val="24"/>
          <w:szCs w:val="24"/>
        </w:rPr>
        <w:t>f</w:t>
      </w:r>
      <w:r w:rsidRPr="008952C1">
        <w:rPr>
          <w:color w:val="000000"/>
          <w:sz w:val="24"/>
          <w:szCs w:val="24"/>
        </w:rPr>
        <w:t>ylo</w:t>
      </w:r>
      <w:r w:rsidR="004D18A4">
        <w:rPr>
          <w:color w:val="000000"/>
          <w:sz w:val="24"/>
          <w:szCs w:val="24"/>
        </w:rPr>
        <w:t>kokker</w:t>
      </w:r>
      <w:r w:rsidRPr="008952C1">
        <w:rPr>
          <w:i/>
          <w:color w:val="000000"/>
          <w:sz w:val="24"/>
          <w:szCs w:val="24"/>
        </w:rPr>
        <w:t xml:space="preserve"> </w:t>
      </w:r>
      <w:r w:rsidRPr="008952C1">
        <w:rPr>
          <w:color w:val="000000"/>
          <w:sz w:val="24"/>
          <w:szCs w:val="24"/>
        </w:rPr>
        <w:t xml:space="preserve">skyldes dannelsen af yderligere en PBP med en lavere affinitet til </w:t>
      </w:r>
      <w:proofErr w:type="spellStart"/>
      <w:r w:rsidRPr="008952C1">
        <w:rPr>
          <w:color w:val="000000"/>
          <w:sz w:val="24"/>
          <w:szCs w:val="24"/>
        </w:rPr>
        <w:t>cefazolin</w:t>
      </w:r>
      <w:proofErr w:type="spellEnd"/>
      <w:r w:rsidRPr="008952C1">
        <w:rPr>
          <w:color w:val="000000"/>
          <w:sz w:val="24"/>
          <w:szCs w:val="24"/>
        </w:rPr>
        <w:t>.</w:t>
      </w:r>
    </w:p>
    <w:p w:rsidR="005B146A" w:rsidRPr="008952C1" w:rsidRDefault="005B146A" w:rsidP="00107A50">
      <w:pPr>
        <w:numPr>
          <w:ilvl w:val="0"/>
          <w:numId w:val="10"/>
        </w:numPr>
        <w:tabs>
          <w:tab w:val="clear" w:pos="720"/>
          <w:tab w:val="num" w:pos="0"/>
        </w:tabs>
        <w:ind w:left="1134" w:hanging="283"/>
        <w:rPr>
          <w:color w:val="000000"/>
          <w:sz w:val="24"/>
          <w:szCs w:val="24"/>
        </w:rPr>
      </w:pPr>
      <w:r w:rsidRPr="008952C1">
        <w:rPr>
          <w:color w:val="000000"/>
          <w:sz w:val="24"/>
          <w:szCs w:val="24"/>
        </w:rPr>
        <w:t xml:space="preserve">Utilstrækkelig penetration af </w:t>
      </w:r>
      <w:proofErr w:type="spellStart"/>
      <w:r w:rsidRPr="008952C1">
        <w:rPr>
          <w:color w:val="000000"/>
          <w:sz w:val="24"/>
          <w:szCs w:val="24"/>
        </w:rPr>
        <w:t>cefazolin</w:t>
      </w:r>
      <w:proofErr w:type="spellEnd"/>
      <w:r w:rsidRPr="008952C1">
        <w:rPr>
          <w:color w:val="000000"/>
          <w:sz w:val="24"/>
          <w:szCs w:val="24"/>
        </w:rPr>
        <w:t xml:space="preserve"> gennem den ydre cellevæg hos </w:t>
      </w:r>
      <w:proofErr w:type="spellStart"/>
      <w:r w:rsidRPr="008952C1">
        <w:rPr>
          <w:color w:val="000000"/>
          <w:sz w:val="24"/>
          <w:szCs w:val="24"/>
        </w:rPr>
        <w:t>gram-negative</w:t>
      </w:r>
      <w:proofErr w:type="spellEnd"/>
      <w:r w:rsidRPr="008952C1">
        <w:rPr>
          <w:color w:val="000000"/>
          <w:sz w:val="24"/>
          <w:szCs w:val="24"/>
        </w:rPr>
        <w:t xml:space="preserve"> bakterier kan lede til utilstrækkelig hæmning af </w:t>
      </w:r>
      <w:proofErr w:type="spellStart"/>
      <w:r w:rsidRPr="008952C1">
        <w:rPr>
          <w:color w:val="000000"/>
          <w:sz w:val="24"/>
          <w:szCs w:val="24"/>
        </w:rPr>
        <w:t>PBP’erne</w:t>
      </w:r>
      <w:proofErr w:type="spellEnd"/>
      <w:r w:rsidRPr="008952C1">
        <w:rPr>
          <w:color w:val="000000"/>
          <w:sz w:val="24"/>
          <w:szCs w:val="24"/>
        </w:rPr>
        <w:t>.</w:t>
      </w:r>
    </w:p>
    <w:p w:rsidR="005B146A" w:rsidRPr="008952C1" w:rsidRDefault="005B146A" w:rsidP="00107A50">
      <w:pPr>
        <w:numPr>
          <w:ilvl w:val="0"/>
          <w:numId w:val="10"/>
        </w:numPr>
        <w:tabs>
          <w:tab w:val="clear" w:pos="720"/>
          <w:tab w:val="num" w:pos="0"/>
        </w:tabs>
        <w:ind w:left="1134" w:hanging="283"/>
        <w:rPr>
          <w:color w:val="000000"/>
          <w:sz w:val="24"/>
          <w:szCs w:val="24"/>
        </w:rPr>
      </w:pPr>
      <w:proofErr w:type="spellStart"/>
      <w:r w:rsidRPr="008952C1">
        <w:rPr>
          <w:color w:val="000000"/>
          <w:sz w:val="24"/>
          <w:szCs w:val="24"/>
        </w:rPr>
        <w:t>Cefazolin</w:t>
      </w:r>
      <w:proofErr w:type="spellEnd"/>
      <w:r w:rsidRPr="008952C1">
        <w:rPr>
          <w:color w:val="000000"/>
          <w:sz w:val="24"/>
          <w:szCs w:val="24"/>
        </w:rPr>
        <w:t xml:space="preserve"> kan </w:t>
      </w:r>
      <w:r w:rsidR="004D18A4">
        <w:rPr>
          <w:color w:val="000000"/>
          <w:sz w:val="24"/>
          <w:szCs w:val="24"/>
        </w:rPr>
        <w:t xml:space="preserve">blive </w:t>
      </w:r>
      <w:proofErr w:type="spellStart"/>
      <w:r w:rsidRPr="008952C1">
        <w:rPr>
          <w:color w:val="000000"/>
          <w:sz w:val="24"/>
          <w:szCs w:val="24"/>
        </w:rPr>
        <w:t>transporte</w:t>
      </w:r>
      <w:r w:rsidR="004D18A4">
        <w:rPr>
          <w:color w:val="000000"/>
          <w:sz w:val="24"/>
          <w:szCs w:val="24"/>
        </w:rPr>
        <w:t>t</w:t>
      </w:r>
      <w:proofErr w:type="spellEnd"/>
      <w:r w:rsidRPr="008952C1">
        <w:rPr>
          <w:color w:val="000000"/>
          <w:sz w:val="24"/>
          <w:szCs w:val="24"/>
        </w:rPr>
        <w:t xml:space="preserve"> ud</w:t>
      </w:r>
      <w:r w:rsidR="004D18A4">
        <w:rPr>
          <w:color w:val="000000"/>
          <w:sz w:val="24"/>
          <w:szCs w:val="24"/>
        </w:rPr>
        <w:t xml:space="preserve"> af cellen</w:t>
      </w:r>
      <w:r w:rsidRPr="008952C1">
        <w:rPr>
          <w:color w:val="000000"/>
          <w:sz w:val="24"/>
          <w:szCs w:val="24"/>
        </w:rPr>
        <w:t xml:space="preserve"> gennem </w:t>
      </w:r>
      <w:proofErr w:type="spellStart"/>
      <w:r w:rsidRPr="008952C1">
        <w:rPr>
          <w:color w:val="000000"/>
          <w:sz w:val="24"/>
          <w:szCs w:val="24"/>
        </w:rPr>
        <w:t>efflux</w:t>
      </w:r>
      <w:proofErr w:type="spellEnd"/>
      <w:r w:rsidRPr="008952C1">
        <w:rPr>
          <w:color w:val="000000"/>
          <w:sz w:val="24"/>
          <w:szCs w:val="24"/>
        </w:rPr>
        <w:t>-pumper.</w:t>
      </w:r>
    </w:p>
    <w:p w:rsidR="005B146A" w:rsidRPr="008952C1" w:rsidRDefault="005B146A" w:rsidP="005B146A">
      <w:pPr>
        <w:ind w:left="851"/>
        <w:rPr>
          <w:color w:val="000000"/>
          <w:sz w:val="24"/>
          <w:szCs w:val="24"/>
        </w:rPr>
      </w:pPr>
    </w:p>
    <w:p w:rsidR="005B146A" w:rsidRPr="008952C1" w:rsidRDefault="005B146A" w:rsidP="005B146A">
      <w:pPr>
        <w:ind w:left="851"/>
        <w:rPr>
          <w:color w:val="000000"/>
          <w:sz w:val="24"/>
          <w:szCs w:val="24"/>
        </w:rPr>
      </w:pPr>
      <w:r w:rsidRPr="008952C1">
        <w:rPr>
          <w:color w:val="000000"/>
          <w:sz w:val="24"/>
          <w:szCs w:val="24"/>
        </w:rPr>
        <w:t xml:space="preserve">Der er en delvis eller total kryds-resistens </w:t>
      </w:r>
      <w:r w:rsidR="004D18A4">
        <w:rPr>
          <w:color w:val="000000"/>
          <w:sz w:val="24"/>
          <w:szCs w:val="24"/>
        </w:rPr>
        <w:t>af</w:t>
      </w:r>
      <w:r w:rsidRPr="008952C1">
        <w:rPr>
          <w:color w:val="000000"/>
          <w:sz w:val="24"/>
          <w:szCs w:val="24"/>
        </w:rPr>
        <w:t xml:space="preserve"> </w:t>
      </w:r>
      <w:proofErr w:type="spellStart"/>
      <w:r w:rsidRPr="008952C1">
        <w:rPr>
          <w:color w:val="000000"/>
          <w:sz w:val="24"/>
          <w:szCs w:val="24"/>
        </w:rPr>
        <w:t>cefazolin</w:t>
      </w:r>
      <w:proofErr w:type="spellEnd"/>
      <w:r w:rsidRPr="008952C1">
        <w:rPr>
          <w:color w:val="000000"/>
          <w:sz w:val="24"/>
          <w:szCs w:val="24"/>
        </w:rPr>
        <w:t xml:space="preserve"> med andre </w:t>
      </w:r>
      <w:proofErr w:type="spellStart"/>
      <w:r w:rsidRPr="008952C1">
        <w:rPr>
          <w:color w:val="000000"/>
          <w:sz w:val="24"/>
          <w:szCs w:val="24"/>
        </w:rPr>
        <w:t>cefalosporiner</w:t>
      </w:r>
      <w:proofErr w:type="spellEnd"/>
      <w:r w:rsidRPr="008952C1">
        <w:rPr>
          <w:color w:val="000000"/>
          <w:sz w:val="24"/>
          <w:szCs w:val="24"/>
        </w:rPr>
        <w:t xml:space="preserve"> og penicilliner.</w:t>
      </w:r>
    </w:p>
    <w:p w:rsidR="005B146A" w:rsidRPr="008952C1" w:rsidRDefault="005B146A" w:rsidP="005B146A">
      <w:pPr>
        <w:ind w:left="851"/>
        <w:textAlignment w:val="top"/>
        <w:rPr>
          <w:color w:val="000000"/>
          <w:sz w:val="24"/>
          <w:szCs w:val="24"/>
        </w:rPr>
      </w:pPr>
    </w:p>
    <w:p w:rsidR="005B146A" w:rsidRPr="008952C1" w:rsidRDefault="005B146A" w:rsidP="005B146A">
      <w:pPr>
        <w:ind w:left="851"/>
        <w:textAlignment w:val="top"/>
        <w:rPr>
          <w:color w:val="000000"/>
          <w:sz w:val="24"/>
          <w:szCs w:val="24"/>
          <w:u w:val="single"/>
          <w:lang w:val="en-GB"/>
        </w:rPr>
      </w:pPr>
      <w:r w:rsidRPr="008952C1">
        <w:rPr>
          <w:color w:val="000000"/>
          <w:sz w:val="24"/>
          <w:szCs w:val="24"/>
          <w:u w:val="single"/>
          <w:lang w:val="en-GB"/>
        </w:rPr>
        <w:t>Breakpoints</w:t>
      </w:r>
    </w:p>
    <w:p w:rsidR="005B146A" w:rsidRPr="008952C1" w:rsidRDefault="005B146A" w:rsidP="005B146A">
      <w:pPr>
        <w:ind w:left="851"/>
        <w:textAlignment w:val="top"/>
        <w:rPr>
          <w:color w:val="000000"/>
          <w:sz w:val="24"/>
          <w:szCs w:val="24"/>
          <w:lang w:val="en-GB"/>
        </w:rPr>
      </w:pPr>
      <w:r w:rsidRPr="008952C1">
        <w:rPr>
          <w:color w:val="000000"/>
          <w:sz w:val="24"/>
          <w:szCs w:val="24"/>
          <w:lang w:val="en-GB"/>
        </w:rPr>
        <w:t xml:space="preserve">Breakpoints for de </w:t>
      </w:r>
      <w:proofErr w:type="spellStart"/>
      <w:r w:rsidR="00930A8B">
        <w:rPr>
          <w:color w:val="000000"/>
          <w:sz w:val="24"/>
          <w:szCs w:val="24"/>
          <w:lang w:val="en-GB"/>
        </w:rPr>
        <w:t>mindst</w:t>
      </w:r>
      <w:proofErr w:type="spellEnd"/>
      <w:r w:rsidRPr="008952C1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8952C1">
        <w:rPr>
          <w:color w:val="000000"/>
          <w:sz w:val="24"/>
          <w:szCs w:val="24"/>
          <w:lang w:val="en-GB"/>
        </w:rPr>
        <w:t>hæmmende</w:t>
      </w:r>
      <w:proofErr w:type="spellEnd"/>
      <w:r w:rsidRPr="008952C1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8952C1">
        <w:rPr>
          <w:color w:val="000000"/>
          <w:sz w:val="24"/>
          <w:szCs w:val="24"/>
          <w:lang w:val="en-GB"/>
        </w:rPr>
        <w:t>koncentrationer</w:t>
      </w:r>
      <w:proofErr w:type="spellEnd"/>
      <w:r w:rsidRPr="008952C1">
        <w:rPr>
          <w:color w:val="000000"/>
          <w:sz w:val="24"/>
          <w:szCs w:val="24"/>
          <w:lang w:val="en-GB"/>
        </w:rPr>
        <w:t xml:space="preserve"> (MIC) i </w:t>
      </w:r>
      <w:proofErr w:type="spellStart"/>
      <w:r w:rsidRPr="008952C1">
        <w:rPr>
          <w:color w:val="000000"/>
          <w:sz w:val="24"/>
          <w:szCs w:val="24"/>
          <w:lang w:val="en-GB"/>
        </w:rPr>
        <w:t>henhold</w:t>
      </w:r>
      <w:proofErr w:type="spellEnd"/>
      <w:r w:rsidRPr="008952C1">
        <w:rPr>
          <w:color w:val="000000"/>
          <w:sz w:val="24"/>
          <w:szCs w:val="24"/>
          <w:lang w:val="en-GB"/>
        </w:rPr>
        <w:t xml:space="preserve"> </w:t>
      </w:r>
      <w:proofErr w:type="spellStart"/>
      <w:r w:rsidRPr="008952C1">
        <w:rPr>
          <w:color w:val="000000"/>
          <w:sz w:val="24"/>
          <w:szCs w:val="24"/>
          <w:lang w:val="en-GB"/>
        </w:rPr>
        <w:t>til</w:t>
      </w:r>
      <w:proofErr w:type="spellEnd"/>
      <w:r w:rsidRPr="008952C1">
        <w:rPr>
          <w:color w:val="000000"/>
          <w:sz w:val="24"/>
          <w:szCs w:val="24"/>
          <w:lang w:val="en-GB"/>
        </w:rPr>
        <w:t xml:space="preserve"> EUCAST (European Committee on Antimicrobial Susceptibility Testing; 2013-02-11) </w:t>
      </w:r>
      <w:proofErr w:type="spellStart"/>
      <w:r w:rsidRPr="008952C1">
        <w:rPr>
          <w:color w:val="000000"/>
          <w:sz w:val="24"/>
          <w:szCs w:val="24"/>
          <w:lang w:val="en-GB"/>
        </w:rPr>
        <w:t>er</w:t>
      </w:r>
      <w:proofErr w:type="spellEnd"/>
      <w:r w:rsidRPr="008952C1">
        <w:rPr>
          <w:color w:val="000000"/>
          <w:sz w:val="24"/>
          <w:szCs w:val="24"/>
          <w:lang w:val="en-GB"/>
        </w:rPr>
        <w:t>:</w:t>
      </w:r>
    </w:p>
    <w:p w:rsidR="005B146A" w:rsidRPr="008952C1" w:rsidRDefault="005B146A" w:rsidP="006C149D">
      <w:pPr>
        <w:ind w:left="142"/>
        <w:textAlignment w:val="top"/>
        <w:rPr>
          <w:color w:val="000000"/>
          <w:sz w:val="24"/>
          <w:szCs w:val="24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8"/>
        <w:gridCol w:w="2482"/>
        <w:gridCol w:w="2480"/>
      </w:tblGrid>
      <w:tr w:rsidR="005B146A" w:rsidRPr="008952C1" w:rsidTr="005B146A">
        <w:tc>
          <w:tcPr>
            <w:tcW w:w="4678" w:type="dxa"/>
            <w:shd w:val="clear" w:color="auto" w:fill="auto"/>
          </w:tcPr>
          <w:p w:rsidR="005B146A" w:rsidRPr="008952C1" w:rsidRDefault="005B146A" w:rsidP="006C149D">
            <w:pPr>
              <w:ind w:left="142"/>
              <w:textAlignment w:val="top"/>
              <w:rPr>
                <w:color w:val="000000"/>
                <w:sz w:val="24"/>
                <w:szCs w:val="24"/>
                <w:lang w:val="en-GB"/>
              </w:rPr>
            </w:pPr>
            <w:proofErr w:type="spellStart"/>
            <w:r w:rsidRPr="008952C1">
              <w:rPr>
                <w:color w:val="000000"/>
                <w:sz w:val="24"/>
                <w:szCs w:val="24"/>
                <w:lang w:val="en-GB"/>
              </w:rPr>
              <w:t>Arter</w:t>
            </w:r>
            <w:proofErr w:type="spellEnd"/>
          </w:p>
        </w:tc>
        <w:tc>
          <w:tcPr>
            <w:tcW w:w="2534" w:type="dxa"/>
            <w:shd w:val="clear" w:color="auto" w:fill="auto"/>
          </w:tcPr>
          <w:p w:rsidR="005B146A" w:rsidRPr="008952C1" w:rsidRDefault="005B146A" w:rsidP="006C149D">
            <w:pPr>
              <w:ind w:left="142"/>
              <w:textAlignment w:val="top"/>
              <w:rPr>
                <w:color w:val="000000"/>
                <w:sz w:val="24"/>
                <w:szCs w:val="24"/>
                <w:lang w:val="en-GB"/>
              </w:rPr>
            </w:pPr>
            <w:proofErr w:type="spellStart"/>
            <w:r w:rsidRPr="008952C1">
              <w:rPr>
                <w:color w:val="000000"/>
                <w:sz w:val="24"/>
                <w:szCs w:val="24"/>
                <w:lang w:val="en-GB"/>
              </w:rPr>
              <w:t>følsomme</w:t>
            </w:r>
            <w:proofErr w:type="spellEnd"/>
          </w:p>
        </w:tc>
        <w:tc>
          <w:tcPr>
            <w:tcW w:w="2534" w:type="dxa"/>
            <w:shd w:val="clear" w:color="auto" w:fill="auto"/>
          </w:tcPr>
          <w:p w:rsidR="005B146A" w:rsidRPr="008952C1" w:rsidRDefault="005B146A" w:rsidP="006C149D">
            <w:pPr>
              <w:ind w:left="142"/>
              <w:textAlignment w:val="top"/>
              <w:rPr>
                <w:color w:val="000000"/>
                <w:sz w:val="24"/>
                <w:szCs w:val="24"/>
                <w:lang w:val="en-GB"/>
              </w:rPr>
            </w:pPr>
            <w:proofErr w:type="spellStart"/>
            <w:r w:rsidRPr="008952C1">
              <w:rPr>
                <w:color w:val="000000"/>
                <w:sz w:val="24"/>
                <w:szCs w:val="24"/>
                <w:lang w:val="en-GB"/>
              </w:rPr>
              <w:t>resistente</w:t>
            </w:r>
            <w:proofErr w:type="spellEnd"/>
          </w:p>
        </w:tc>
      </w:tr>
      <w:tr w:rsidR="005B146A" w:rsidRPr="008952C1" w:rsidTr="005B146A">
        <w:tc>
          <w:tcPr>
            <w:tcW w:w="4678" w:type="dxa"/>
            <w:shd w:val="clear" w:color="auto" w:fill="auto"/>
          </w:tcPr>
          <w:p w:rsidR="005B146A" w:rsidRPr="008952C1" w:rsidRDefault="005B146A" w:rsidP="006C149D">
            <w:pPr>
              <w:ind w:left="142"/>
              <w:textAlignment w:val="top"/>
              <w:rPr>
                <w:color w:val="000000"/>
                <w:sz w:val="24"/>
                <w:szCs w:val="24"/>
                <w:lang w:val="en-GB"/>
              </w:rPr>
            </w:pPr>
            <w:r w:rsidRPr="008952C1">
              <w:rPr>
                <w:i/>
                <w:color w:val="000000"/>
                <w:sz w:val="24"/>
                <w:szCs w:val="24"/>
                <w:lang w:val="en-GB"/>
              </w:rPr>
              <w:t>Staphylococcus</w:t>
            </w:r>
            <w:r w:rsidRPr="008952C1">
              <w:rPr>
                <w:color w:val="000000"/>
                <w:sz w:val="24"/>
                <w:szCs w:val="24"/>
                <w:lang w:val="en-GB"/>
              </w:rPr>
              <w:t xml:space="preserve"> spp.</w:t>
            </w:r>
          </w:p>
        </w:tc>
        <w:tc>
          <w:tcPr>
            <w:tcW w:w="2534" w:type="dxa"/>
            <w:shd w:val="clear" w:color="auto" w:fill="auto"/>
          </w:tcPr>
          <w:p w:rsidR="005B146A" w:rsidRPr="008952C1" w:rsidRDefault="005B146A" w:rsidP="006C149D">
            <w:pPr>
              <w:ind w:left="142"/>
              <w:textAlignment w:val="top"/>
              <w:rPr>
                <w:color w:val="000000"/>
                <w:sz w:val="24"/>
                <w:szCs w:val="24"/>
                <w:lang w:val="en-GB"/>
              </w:rPr>
            </w:pPr>
            <w:r w:rsidRPr="008952C1">
              <w:rPr>
                <w:color w:val="000000"/>
                <w:sz w:val="24"/>
                <w:szCs w:val="24"/>
                <w:lang w:val="en-GB"/>
              </w:rPr>
              <w:t xml:space="preserve">Note </w:t>
            </w:r>
            <w:r w:rsidRPr="008952C1">
              <w:rPr>
                <w:color w:val="000000"/>
                <w:sz w:val="24"/>
                <w:szCs w:val="24"/>
                <w:vertAlign w:val="superscript"/>
                <w:lang w:val="en-GB"/>
              </w:rPr>
              <w:t>A</w:t>
            </w:r>
          </w:p>
        </w:tc>
        <w:tc>
          <w:tcPr>
            <w:tcW w:w="2534" w:type="dxa"/>
            <w:shd w:val="clear" w:color="auto" w:fill="auto"/>
          </w:tcPr>
          <w:p w:rsidR="005B146A" w:rsidRPr="008952C1" w:rsidRDefault="005B146A" w:rsidP="006C149D">
            <w:pPr>
              <w:ind w:left="142"/>
              <w:textAlignment w:val="top"/>
              <w:rPr>
                <w:color w:val="000000"/>
                <w:sz w:val="24"/>
                <w:szCs w:val="24"/>
                <w:lang w:val="en-GB"/>
              </w:rPr>
            </w:pPr>
            <w:r w:rsidRPr="008952C1">
              <w:rPr>
                <w:color w:val="000000"/>
                <w:sz w:val="24"/>
                <w:szCs w:val="24"/>
                <w:lang w:val="en-GB"/>
              </w:rPr>
              <w:t xml:space="preserve">Note </w:t>
            </w:r>
            <w:r w:rsidRPr="008952C1">
              <w:rPr>
                <w:color w:val="000000"/>
                <w:sz w:val="24"/>
                <w:szCs w:val="24"/>
                <w:vertAlign w:val="superscript"/>
                <w:lang w:val="en-GB"/>
              </w:rPr>
              <w:t>A</w:t>
            </w:r>
          </w:p>
        </w:tc>
      </w:tr>
      <w:tr w:rsidR="005B146A" w:rsidRPr="008952C1" w:rsidTr="005B146A">
        <w:tc>
          <w:tcPr>
            <w:tcW w:w="4678" w:type="dxa"/>
            <w:shd w:val="clear" w:color="auto" w:fill="auto"/>
          </w:tcPr>
          <w:p w:rsidR="005B146A" w:rsidRPr="008952C1" w:rsidRDefault="005B146A" w:rsidP="006C149D">
            <w:pPr>
              <w:ind w:left="142"/>
              <w:textAlignment w:val="top"/>
              <w:rPr>
                <w:color w:val="000000"/>
                <w:sz w:val="24"/>
                <w:szCs w:val="24"/>
              </w:rPr>
            </w:pPr>
            <w:proofErr w:type="spellStart"/>
            <w:r w:rsidRPr="008952C1">
              <w:rPr>
                <w:color w:val="000000"/>
                <w:sz w:val="24"/>
                <w:szCs w:val="24"/>
              </w:rPr>
              <w:t>Streptococcus</w:t>
            </w:r>
            <w:proofErr w:type="spellEnd"/>
            <w:r w:rsidRPr="008952C1">
              <w:rPr>
                <w:color w:val="000000"/>
                <w:sz w:val="24"/>
                <w:szCs w:val="24"/>
              </w:rPr>
              <w:t xml:space="preserve"> grupperne A, B, C og G</w:t>
            </w:r>
          </w:p>
        </w:tc>
        <w:tc>
          <w:tcPr>
            <w:tcW w:w="2534" w:type="dxa"/>
            <w:shd w:val="clear" w:color="auto" w:fill="auto"/>
          </w:tcPr>
          <w:p w:rsidR="005B146A" w:rsidRPr="008952C1" w:rsidRDefault="005B146A" w:rsidP="006C149D">
            <w:pPr>
              <w:ind w:left="142"/>
              <w:textAlignment w:val="top"/>
              <w:rPr>
                <w:color w:val="000000"/>
                <w:sz w:val="24"/>
                <w:szCs w:val="24"/>
                <w:lang w:val="en-GB"/>
              </w:rPr>
            </w:pPr>
            <w:r w:rsidRPr="008952C1">
              <w:rPr>
                <w:color w:val="000000"/>
                <w:sz w:val="24"/>
                <w:szCs w:val="24"/>
                <w:lang w:val="en-GB"/>
              </w:rPr>
              <w:t xml:space="preserve">Note </w:t>
            </w:r>
            <w:r w:rsidRPr="008952C1">
              <w:rPr>
                <w:color w:val="000000"/>
                <w:sz w:val="24"/>
                <w:szCs w:val="24"/>
                <w:vertAlign w:val="superscript"/>
                <w:lang w:val="en-GB"/>
              </w:rPr>
              <w:t>B</w:t>
            </w:r>
          </w:p>
        </w:tc>
        <w:tc>
          <w:tcPr>
            <w:tcW w:w="2534" w:type="dxa"/>
            <w:shd w:val="clear" w:color="auto" w:fill="auto"/>
          </w:tcPr>
          <w:p w:rsidR="005B146A" w:rsidRPr="008952C1" w:rsidRDefault="005B146A" w:rsidP="006C149D">
            <w:pPr>
              <w:ind w:left="142"/>
              <w:textAlignment w:val="top"/>
              <w:rPr>
                <w:color w:val="000000"/>
                <w:sz w:val="24"/>
                <w:szCs w:val="24"/>
                <w:lang w:val="en-GB"/>
              </w:rPr>
            </w:pPr>
            <w:r w:rsidRPr="008952C1">
              <w:rPr>
                <w:color w:val="000000"/>
                <w:sz w:val="24"/>
                <w:szCs w:val="24"/>
                <w:lang w:val="en-GB"/>
              </w:rPr>
              <w:t xml:space="preserve">Note </w:t>
            </w:r>
            <w:r w:rsidRPr="008952C1">
              <w:rPr>
                <w:color w:val="000000"/>
                <w:sz w:val="24"/>
                <w:szCs w:val="24"/>
                <w:vertAlign w:val="superscript"/>
                <w:lang w:val="en-GB"/>
              </w:rPr>
              <w:t>B</w:t>
            </w:r>
          </w:p>
        </w:tc>
      </w:tr>
      <w:tr w:rsidR="005B146A" w:rsidRPr="008952C1" w:rsidTr="005B146A">
        <w:tc>
          <w:tcPr>
            <w:tcW w:w="4678" w:type="dxa"/>
            <w:shd w:val="clear" w:color="auto" w:fill="auto"/>
          </w:tcPr>
          <w:p w:rsidR="005B146A" w:rsidRPr="008952C1" w:rsidRDefault="005B146A" w:rsidP="006C149D">
            <w:pPr>
              <w:ind w:left="142"/>
              <w:textAlignment w:val="top"/>
              <w:rPr>
                <w:color w:val="000000"/>
                <w:sz w:val="24"/>
                <w:szCs w:val="24"/>
                <w:lang w:val="en-GB"/>
              </w:rPr>
            </w:pPr>
            <w:proofErr w:type="spellStart"/>
            <w:r w:rsidRPr="008952C1">
              <w:rPr>
                <w:color w:val="000000"/>
                <w:sz w:val="24"/>
                <w:szCs w:val="24"/>
                <w:lang w:val="en-GB"/>
              </w:rPr>
              <w:t>Viridans</w:t>
            </w:r>
            <w:proofErr w:type="spellEnd"/>
            <w:r w:rsidRPr="008952C1">
              <w:rPr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952C1">
              <w:rPr>
                <w:color w:val="000000"/>
                <w:sz w:val="24"/>
                <w:szCs w:val="24"/>
                <w:lang w:val="en-GB"/>
              </w:rPr>
              <w:t>gruppe</w:t>
            </w:r>
            <w:proofErr w:type="spellEnd"/>
            <w:r w:rsidRPr="008952C1">
              <w:rPr>
                <w:color w:val="000000"/>
                <w:sz w:val="24"/>
                <w:szCs w:val="24"/>
                <w:lang w:val="en-GB"/>
              </w:rPr>
              <w:t xml:space="preserve"> streptococci</w:t>
            </w:r>
          </w:p>
        </w:tc>
        <w:tc>
          <w:tcPr>
            <w:tcW w:w="2534" w:type="dxa"/>
            <w:shd w:val="clear" w:color="auto" w:fill="auto"/>
          </w:tcPr>
          <w:p w:rsidR="005B146A" w:rsidRPr="008952C1" w:rsidRDefault="005B146A" w:rsidP="006C149D">
            <w:pPr>
              <w:ind w:left="142"/>
              <w:textAlignment w:val="top"/>
              <w:rPr>
                <w:color w:val="000000"/>
                <w:sz w:val="24"/>
                <w:szCs w:val="24"/>
                <w:lang w:val="en-GB"/>
              </w:rPr>
            </w:pPr>
            <w:r w:rsidRPr="008952C1">
              <w:rPr>
                <w:color w:val="000000"/>
                <w:sz w:val="24"/>
                <w:szCs w:val="24"/>
                <w:lang w:val="en-GB"/>
              </w:rPr>
              <w:t>&lt; 0,5 mg/l</w:t>
            </w:r>
          </w:p>
        </w:tc>
        <w:tc>
          <w:tcPr>
            <w:tcW w:w="2534" w:type="dxa"/>
            <w:shd w:val="clear" w:color="auto" w:fill="auto"/>
          </w:tcPr>
          <w:p w:rsidR="005B146A" w:rsidRPr="008952C1" w:rsidRDefault="005B146A" w:rsidP="006C149D">
            <w:pPr>
              <w:ind w:left="142"/>
              <w:textAlignment w:val="top"/>
              <w:rPr>
                <w:color w:val="000000"/>
                <w:sz w:val="24"/>
                <w:szCs w:val="24"/>
                <w:lang w:val="en-GB"/>
              </w:rPr>
            </w:pPr>
            <w:r w:rsidRPr="008952C1">
              <w:rPr>
                <w:color w:val="000000"/>
                <w:sz w:val="24"/>
                <w:szCs w:val="24"/>
                <w:lang w:val="en-GB"/>
              </w:rPr>
              <w:t>&gt; 0,5 mg/l</w:t>
            </w:r>
          </w:p>
        </w:tc>
      </w:tr>
      <w:tr w:rsidR="005B146A" w:rsidRPr="008952C1" w:rsidTr="005B146A">
        <w:tc>
          <w:tcPr>
            <w:tcW w:w="4678" w:type="dxa"/>
            <w:shd w:val="clear" w:color="auto" w:fill="auto"/>
          </w:tcPr>
          <w:p w:rsidR="005B146A" w:rsidRPr="008952C1" w:rsidRDefault="005B146A" w:rsidP="006C149D">
            <w:pPr>
              <w:ind w:left="142"/>
              <w:textAlignment w:val="top"/>
              <w:rPr>
                <w:color w:val="000000"/>
                <w:sz w:val="24"/>
                <w:szCs w:val="24"/>
              </w:rPr>
            </w:pPr>
            <w:r w:rsidRPr="008952C1">
              <w:rPr>
                <w:color w:val="000000"/>
                <w:sz w:val="24"/>
                <w:szCs w:val="24"/>
              </w:rPr>
              <w:t xml:space="preserve">PK/PD (ikke artsrelaterede) </w:t>
            </w:r>
            <w:proofErr w:type="spellStart"/>
            <w:r w:rsidRPr="008952C1">
              <w:rPr>
                <w:color w:val="000000"/>
                <w:sz w:val="24"/>
                <w:szCs w:val="24"/>
              </w:rPr>
              <w:t>breakpoints</w:t>
            </w:r>
            <w:proofErr w:type="spellEnd"/>
          </w:p>
        </w:tc>
        <w:tc>
          <w:tcPr>
            <w:tcW w:w="2534" w:type="dxa"/>
            <w:shd w:val="clear" w:color="auto" w:fill="auto"/>
          </w:tcPr>
          <w:p w:rsidR="005B146A" w:rsidRPr="008952C1" w:rsidRDefault="005B146A" w:rsidP="006C149D">
            <w:pPr>
              <w:ind w:left="142"/>
              <w:textAlignment w:val="top"/>
              <w:rPr>
                <w:color w:val="000000"/>
                <w:sz w:val="24"/>
                <w:szCs w:val="24"/>
                <w:lang w:val="en-GB"/>
              </w:rPr>
            </w:pPr>
            <w:r w:rsidRPr="008952C1">
              <w:rPr>
                <w:color w:val="000000"/>
                <w:sz w:val="24"/>
                <w:szCs w:val="24"/>
                <w:lang w:val="en-GB"/>
              </w:rPr>
              <w:t>≤ 1 mg/l</w:t>
            </w:r>
          </w:p>
        </w:tc>
        <w:tc>
          <w:tcPr>
            <w:tcW w:w="2534" w:type="dxa"/>
            <w:shd w:val="clear" w:color="auto" w:fill="auto"/>
          </w:tcPr>
          <w:p w:rsidR="005B146A" w:rsidRPr="008952C1" w:rsidRDefault="005B146A" w:rsidP="006C149D">
            <w:pPr>
              <w:ind w:left="142"/>
              <w:textAlignment w:val="top"/>
              <w:rPr>
                <w:color w:val="000000"/>
                <w:sz w:val="24"/>
                <w:szCs w:val="24"/>
                <w:lang w:val="en-GB"/>
              </w:rPr>
            </w:pPr>
            <w:r w:rsidRPr="008952C1">
              <w:rPr>
                <w:color w:val="000000"/>
                <w:sz w:val="24"/>
                <w:szCs w:val="24"/>
                <w:lang w:val="en-GB"/>
              </w:rPr>
              <w:t>&gt; 2 mg/l</w:t>
            </w:r>
          </w:p>
        </w:tc>
      </w:tr>
    </w:tbl>
    <w:p w:rsidR="005B146A" w:rsidRPr="008952C1" w:rsidRDefault="005B146A" w:rsidP="004C7FD7">
      <w:pPr>
        <w:tabs>
          <w:tab w:val="left" w:pos="1134"/>
        </w:tabs>
        <w:ind w:left="1134" w:hanging="283"/>
        <w:textAlignment w:val="top"/>
        <w:rPr>
          <w:color w:val="000000"/>
          <w:sz w:val="24"/>
          <w:szCs w:val="24"/>
          <w:vertAlign w:val="superscript"/>
        </w:rPr>
      </w:pPr>
      <w:r w:rsidRPr="008952C1">
        <w:rPr>
          <w:color w:val="000000"/>
          <w:sz w:val="24"/>
          <w:szCs w:val="24"/>
          <w:vertAlign w:val="superscript"/>
        </w:rPr>
        <w:t>A</w:t>
      </w:r>
      <w:r w:rsidRPr="008952C1">
        <w:rPr>
          <w:color w:val="000000"/>
          <w:sz w:val="24"/>
          <w:szCs w:val="24"/>
          <w:vertAlign w:val="superscript"/>
        </w:rPr>
        <w:tab/>
      </w:r>
      <w:r w:rsidRPr="008952C1">
        <w:rPr>
          <w:color w:val="000000"/>
          <w:sz w:val="24"/>
          <w:szCs w:val="24"/>
        </w:rPr>
        <w:t xml:space="preserve">Stafylokokkers følsomhed over for </w:t>
      </w:r>
      <w:proofErr w:type="spellStart"/>
      <w:r w:rsidRPr="008952C1">
        <w:rPr>
          <w:color w:val="000000"/>
          <w:sz w:val="24"/>
          <w:szCs w:val="24"/>
        </w:rPr>
        <w:t>cefalosporiner</w:t>
      </w:r>
      <w:proofErr w:type="spellEnd"/>
      <w:r w:rsidRPr="008952C1">
        <w:rPr>
          <w:color w:val="000000"/>
          <w:sz w:val="24"/>
          <w:szCs w:val="24"/>
        </w:rPr>
        <w:t xml:space="preserve"> er udledt </w:t>
      </w:r>
      <w:r w:rsidR="00CE75E8">
        <w:rPr>
          <w:color w:val="000000"/>
          <w:sz w:val="24"/>
          <w:szCs w:val="24"/>
        </w:rPr>
        <w:t>af</w:t>
      </w:r>
      <w:r w:rsidR="004C7FD7">
        <w:rPr>
          <w:color w:val="000000"/>
          <w:sz w:val="24"/>
          <w:szCs w:val="24"/>
        </w:rPr>
        <w:t xml:space="preserve"> </w:t>
      </w:r>
      <w:proofErr w:type="spellStart"/>
      <w:r w:rsidR="004C7FD7">
        <w:rPr>
          <w:color w:val="000000"/>
          <w:sz w:val="24"/>
          <w:szCs w:val="24"/>
        </w:rPr>
        <w:t>cefoxitin</w:t>
      </w:r>
      <w:proofErr w:type="spellEnd"/>
      <w:r w:rsidR="004C7FD7">
        <w:rPr>
          <w:color w:val="000000"/>
          <w:sz w:val="24"/>
          <w:szCs w:val="24"/>
        </w:rPr>
        <w:t>-</w:t>
      </w:r>
      <w:r w:rsidRPr="008952C1">
        <w:rPr>
          <w:color w:val="000000"/>
          <w:sz w:val="24"/>
          <w:szCs w:val="24"/>
        </w:rPr>
        <w:t xml:space="preserve">følsomheden undtagen for </w:t>
      </w:r>
      <w:proofErr w:type="spellStart"/>
      <w:r w:rsidRPr="008952C1">
        <w:rPr>
          <w:color w:val="000000"/>
          <w:sz w:val="24"/>
          <w:szCs w:val="24"/>
        </w:rPr>
        <w:t>ceftazidim</w:t>
      </w:r>
      <w:proofErr w:type="spellEnd"/>
      <w:r w:rsidRPr="008952C1">
        <w:rPr>
          <w:color w:val="000000"/>
          <w:sz w:val="24"/>
          <w:szCs w:val="24"/>
        </w:rPr>
        <w:t xml:space="preserve">, </w:t>
      </w:r>
      <w:proofErr w:type="spellStart"/>
      <w:r w:rsidRPr="008952C1">
        <w:rPr>
          <w:color w:val="000000"/>
          <w:sz w:val="24"/>
          <w:szCs w:val="24"/>
        </w:rPr>
        <w:t>cefixim</w:t>
      </w:r>
      <w:proofErr w:type="spellEnd"/>
      <w:r w:rsidRPr="008952C1">
        <w:rPr>
          <w:color w:val="000000"/>
          <w:sz w:val="24"/>
          <w:szCs w:val="24"/>
        </w:rPr>
        <w:t xml:space="preserve"> og </w:t>
      </w:r>
      <w:proofErr w:type="spellStart"/>
      <w:r w:rsidRPr="008952C1">
        <w:rPr>
          <w:color w:val="000000"/>
          <w:sz w:val="24"/>
          <w:szCs w:val="24"/>
        </w:rPr>
        <w:t>ceftibuten</w:t>
      </w:r>
      <w:proofErr w:type="spellEnd"/>
      <w:r w:rsidRPr="008952C1">
        <w:rPr>
          <w:color w:val="000000"/>
          <w:sz w:val="24"/>
          <w:szCs w:val="24"/>
        </w:rPr>
        <w:t xml:space="preserve">, der ikke har </w:t>
      </w:r>
      <w:r w:rsidR="00CE75E8">
        <w:rPr>
          <w:color w:val="000000"/>
          <w:sz w:val="24"/>
          <w:szCs w:val="24"/>
        </w:rPr>
        <w:t>grænseværdier</w:t>
      </w:r>
      <w:r w:rsidRPr="008952C1">
        <w:rPr>
          <w:color w:val="000000"/>
          <w:sz w:val="24"/>
          <w:szCs w:val="24"/>
        </w:rPr>
        <w:t xml:space="preserve"> og </w:t>
      </w:r>
      <w:r w:rsidR="00CE75E8">
        <w:rPr>
          <w:color w:val="000000"/>
          <w:sz w:val="24"/>
          <w:szCs w:val="24"/>
        </w:rPr>
        <w:t xml:space="preserve">derfor </w:t>
      </w:r>
      <w:r w:rsidRPr="008952C1">
        <w:rPr>
          <w:color w:val="000000"/>
          <w:sz w:val="24"/>
          <w:szCs w:val="24"/>
        </w:rPr>
        <w:t xml:space="preserve">ikke bør anvendes til stafylokokinfektioner. Nogle </w:t>
      </w:r>
      <w:proofErr w:type="spellStart"/>
      <w:r w:rsidRPr="008952C1">
        <w:rPr>
          <w:color w:val="000000"/>
          <w:sz w:val="24"/>
          <w:szCs w:val="24"/>
        </w:rPr>
        <w:t>methicillin</w:t>
      </w:r>
      <w:proofErr w:type="spellEnd"/>
      <w:r w:rsidRPr="008952C1">
        <w:rPr>
          <w:color w:val="000000"/>
          <w:sz w:val="24"/>
          <w:szCs w:val="24"/>
        </w:rPr>
        <w:t xml:space="preserve">-resistente </w:t>
      </w:r>
      <w:r w:rsidRPr="008952C1">
        <w:rPr>
          <w:i/>
          <w:color w:val="000000"/>
          <w:sz w:val="24"/>
          <w:szCs w:val="24"/>
        </w:rPr>
        <w:t xml:space="preserve">S. </w:t>
      </w:r>
      <w:proofErr w:type="spellStart"/>
      <w:r w:rsidRPr="008952C1">
        <w:rPr>
          <w:i/>
          <w:color w:val="000000"/>
          <w:sz w:val="24"/>
          <w:szCs w:val="24"/>
        </w:rPr>
        <w:t>aureus</w:t>
      </w:r>
      <w:proofErr w:type="spellEnd"/>
      <w:r w:rsidRPr="008952C1">
        <w:rPr>
          <w:color w:val="000000"/>
          <w:sz w:val="24"/>
          <w:szCs w:val="24"/>
        </w:rPr>
        <w:t xml:space="preserve"> er følsomme for </w:t>
      </w:r>
      <w:proofErr w:type="spellStart"/>
      <w:r w:rsidRPr="008952C1">
        <w:rPr>
          <w:color w:val="000000"/>
          <w:sz w:val="24"/>
          <w:szCs w:val="24"/>
        </w:rPr>
        <w:t>ceftarolin</w:t>
      </w:r>
      <w:proofErr w:type="spellEnd"/>
      <w:r w:rsidRPr="008952C1">
        <w:rPr>
          <w:color w:val="000000"/>
          <w:sz w:val="24"/>
          <w:szCs w:val="24"/>
        </w:rPr>
        <w:t>.</w:t>
      </w:r>
    </w:p>
    <w:p w:rsidR="005B146A" w:rsidRPr="008952C1" w:rsidRDefault="005B146A" w:rsidP="004C7FD7">
      <w:pPr>
        <w:tabs>
          <w:tab w:val="left" w:pos="1134"/>
        </w:tabs>
        <w:ind w:left="1134" w:hanging="283"/>
        <w:textAlignment w:val="top"/>
        <w:rPr>
          <w:color w:val="000000"/>
          <w:sz w:val="24"/>
          <w:szCs w:val="24"/>
        </w:rPr>
      </w:pPr>
      <w:r w:rsidRPr="008952C1">
        <w:rPr>
          <w:color w:val="000000"/>
          <w:sz w:val="24"/>
          <w:szCs w:val="24"/>
          <w:vertAlign w:val="superscript"/>
        </w:rPr>
        <w:t>B</w:t>
      </w:r>
      <w:r w:rsidR="00CE75E8">
        <w:rPr>
          <w:color w:val="000000"/>
          <w:sz w:val="24"/>
          <w:szCs w:val="24"/>
        </w:rPr>
        <w:tab/>
        <w:t>Beta-</w:t>
      </w:r>
      <w:proofErr w:type="spellStart"/>
      <w:r w:rsidR="00CE75E8">
        <w:rPr>
          <w:color w:val="000000"/>
          <w:sz w:val="24"/>
          <w:szCs w:val="24"/>
        </w:rPr>
        <w:t>laktam</w:t>
      </w:r>
      <w:proofErr w:type="spellEnd"/>
      <w:r w:rsidR="00CE75E8">
        <w:rPr>
          <w:color w:val="000000"/>
          <w:sz w:val="24"/>
          <w:szCs w:val="24"/>
        </w:rPr>
        <w:t>-</w:t>
      </w:r>
      <w:r w:rsidRPr="008952C1">
        <w:rPr>
          <w:color w:val="000000"/>
          <w:sz w:val="24"/>
          <w:szCs w:val="24"/>
        </w:rPr>
        <w:t xml:space="preserve">følsomheden </w:t>
      </w:r>
      <w:r w:rsidR="004C7FD7">
        <w:rPr>
          <w:color w:val="000000"/>
          <w:sz w:val="24"/>
          <w:szCs w:val="24"/>
        </w:rPr>
        <w:t>af</w:t>
      </w:r>
      <w:r w:rsidRPr="008952C1">
        <w:rPr>
          <w:color w:val="000000"/>
          <w:sz w:val="24"/>
          <w:szCs w:val="24"/>
        </w:rPr>
        <w:t xml:space="preserve"> </w:t>
      </w:r>
      <w:r w:rsidRPr="008952C1">
        <w:rPr>
          <w:i/>
          <w:color w:val="000000"/>
          <w:sz w:val="24"/>
          <w:szCs w:val="24"/>
        </w:rPr>
        <w:t>strepto</w:t>
      </w:r>
      <w:r w:rsidR="004C7FD7">
        <w:rPr>
          <w:i/>
          <w:color w:val="000000"/>
          <w:sz w:val="24"/>
          <w:szCs w:val="24"/>
        </w:rPr>
        <w:t>kok-</w:t>
      </w:r>
      <w:r w:rsidRPr="008952C1">
        <w:rPr>
          <w:color w:val="000000"/>
          <w:sz w:val="24"/>
          <w:szCs w:val="24"/>
        </w:rPr>
        <w:t xml:space="preserve">grupperne A, B, C og G er udledt </w:t>
      </w:r>
      <w:r w:rsidR="004C7FD7">
        <w:rPr>
          <w:color w:val="000000"/>
          <w:sz w:val="24"/>
          <w:szCs w:val="24"/>
        </w:rPr>
        <w:t>af</w:t>
      </w:r>
      <w:r w:rsidRPr="008952C1">
        <w:rPr>
          <w:color w:val="000000"/>
          <w:sz w:val="24"/>
          <w:szCs w:val="24"/>
        </w:rPr>
        <w:t xml:space="preserve"> penicillin</w:t>
      </w:r>
      <w:r w:rsidR="004C7FD7">
        <w:rPr>
          <w:color w:val="000000"/>
          <w:sz w:val="24"/>
          <w:szCs w:val="24"/>
        </w:rPr>
        <w:t>-</w:t>
      </w:r>
      <w:r w:rsidRPr="008952C1">
        <w:rPr>
          <w:color w:val="000000"/>
          <w:sz w:val="24"/>
          <w:szCs w:val="24"/>
        </w:rPr>
        <w:t>følsomheden.</w:t>
      </w:r>
    </w:p>
    <w:p w:rsidR="005B146A" w:rsidRPr="008952C1" w:rsidRDefault="005B146A" w:rsidP="005B146A">
      <w:pPr>
        <w:tabs>
          <w:tab w:val="left" w:pos="0"/>
        </w:tabs>
        <w:ind w:left="851"/>
        <w:textAlignment w:val="top"/>
        <w:rPr>
          <w:color w:val="000000"/>
          <w:sz w:val="24"/>
          <w:szCs w:val="24"/>
        </w:rPr>
      </w:pPr>
    </w:p>
    <w:p w:rsidR="005B146A" w:rsidRPr="008952C1" w:rsidRDefault="005B146A" w:rsidP="005B146A">
      <w:pPr>
        <w:tabs>
          <w:tab w:val="left" w:pos="0"/>
        </w:tabs>
        <w:ind w:left="851"/>
        <w:textAlignment w:val="top"/>
        <w:rPr>
          <w:color w:val="000000"/>
          <w:sz w:val="24"/>
          <w:szCs w:val="24"/>
          <w:u w:val="single"/>
        </w:rPr>
      </w:pPr>
      <w:r w:rsidRPr="008952C1">
        <w:rPr>
          <w:color w:val="000000"/>
          <w:sz w:val="24"/>
          <w:szCs w:val="24"/>
          <w:u w:val="single"/>
        </w:rPr>
        <w:t>Mikrobiologisk følsomhed</w:t>
      </w:r>
    </w:p>
    <w:p w:rsidR="005B146A" w:rsidRPr="008952C1" w:rsidRDefault="005B146A" w:rsidP="005B146A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 xml:space="preserve">Den følgende tabel viser klinisk relevante </w:t>
      </w:r>
      <w:proofErr w:type="spellStart"/>
      <w:r w:rsidRPr="008952C1">
        <w:rPr>
          <w:sz w:val="24"/>
          <w:szCs w:val="24"/>
        </w:rPr>
        <w:t>patogener</w:t>
      </w:r>
      <w:proofErr w:type="spellEnd"/>
      <w:r w:rsidRPr="008952C1">
        <w:rPr>
          <w:sz w:val="24"/>
          <w:szCs w:val="24"/>
        </w:rPr>
        <w:t xml:space="preserve"> klassificeret som følsomme eller resistente på basis af </w:t>
      </w:r>
      <w:r w:rsidRPr="008952C1">
        <w:rPr>
          <w:i/>
          <w:sz w:val="24"/>
          <w:szCs w:val="24"/>
        </w:rPr>
        <w:t xml:space="preserve">in </w:t>
      </w:r>
      <w:proofErr w:type="spellStart"/>
      <w:r w:rsidRPr="008952C1">
        <w:rPr>
          <w:i/>
          <w:sz w:val="24"/>
          <w:szCs w:val="24"/>
        </w:rPr>
        <w:t>vitro</w:t>
      </w:r>
      <w:proofErr w:type="spellEnd"/>
      <w:r w:rsidRPr="008952C1">
        <w:rPr>
          <w:sz w:val="24"/>
          <w:szCs w:val="24"/>
        </w:rPr>
        <w:t xml:space="preserve"> og </w:t>
      </w:r>
      <w:r w:rsidRPr="008952C1">
        <w:rPr>
          <w:i/>
          <w:sz w:val="24"/>
          <w:szCs w:val="24"/>
        </w:rPr>
        <w:t xml:space="preserve">in </w:t>
      </w:r>
      <w:proofErr w:type="spellStart"/>
      <w:r w:rsidRPr="008952C1">
        <w:rPr>
          <w:i/>
          <w:sz w:val="24"/>
          <w:szCs w:val="24"/>
        </w:rPr>
        <w:t>vivo</w:t>
      </w:r>
      <w:proofErr w:type="spellEnd"/>
      <w:r w:rsidRPr="008952C1">
        <w:rPr>
          <w:sz w:val="24"/>
          <w:szCs w:val="24"/>
        </w:rPr>
        <w:t xml:space="preserve"> data. </w:t>
      </w:r>
      <w:proofErr w:type="spellStart"/>
      <w:r w:rsidRPr="008952C1">
        <w:rPr>
          <w:sz w:val="24"/>
          <w:szCs w:val="24"/>
        </w:rPr>
        <w:t>Cefazolin</w:t>
      </w:r>
      <w:proofErr w:type="spellEnd"/>
      <w:r w:rsidRPr="008952C1">
        <w:rPr>
          <w:sz w:val="24"/>
          <w:szCs w:val="24"/>
        </w:rPr>
        <w:t xml:space="preserve"> er effektiv mod nogle arter </w:t>
      </w:r>
      <w:r w:rsidRPr="008952C1">
        <w:rPr>
          <w:i/>
          <w:sz w:val="24"/>
          <w:szCs w:val="24"/>
        </w:rPr>
        <w:t xml:space="preserve">in </w:t>
      </w:r>
      <w:proofErr w:type="spellStart"/>
      <w:r w:rsidRPr="008952C1">
        <w:rPr>
          <w:i/>
          <w:sz w:val="24"/>
          <w:szCs w:val="24"/>
        </w:rPr>
        <w:t>vitro</w:t>
      </w:r>
      <w:proofErr w:type="spellEnd"/>
      <w:r w:rsidRPr="008952C1">
        <w:rPr>
          <w:sz w:val="24"/>
          <w:szCs w:val="24"/>
        </w:rPr>
        <w:t>, men ikke klinisk, hvorfor disse arter her er klassificeret som resistente.</w:t>
      </w:r>
    </w:p>
    <w:p w:rsidR="005B146A" w:rsidRPr="008952C1" w:rsidRDefault="005B146A" w:rsidP="005B146A">
      <w:pPr>
        <w:ind w:left="851"/>
        <w:rPr>
          <w:bCs/>
          <w:iCs/>
          <w:sz w:val="24"/>
          <w:szCs w:val="24"/>
        </w:rPr>
      </w:pPr>
      <w:r w:rsidRPr="008952C1">
        <w:rPr>
          <w:bCs/>
          <w:iCs/>
          <w:sz w:val="24"/>
          <w:szCs w:val="24"/>
        </w:rPr>
        <w:t xml:space="preserve">Prævalensen af erhvervet resistens kan variere geografisk og </w:t>
      </w:r>
      <w:r w:rsidR="00073417">
        <w:rPr>
          <w:bCs/>
          <w:iCs/>
          <w:sz w:val="24"/>
          <w:szCs w:val="24"/>
        </w:rPr>
        <w:t>over tid</w:t>
      </w:r>
      <w:r w:rsidRPr="008952C1">
        <w:rPr>
          <w:bCs/>
          <w:iCs/>
          <w:sz w:val="24"/>
          <w:szCs w:val="24"/>
        </w:rPr>
        <w:t xml:space="preserve"> for udvalgte arter, og lokale oplysninger er ønskelige, især når der behandles svære infektioner. Om nødvendigt bør der søges ekspertråd, når den lokale prævalens </w:t>
      </w:r>
      <w:r w:rsidR="00073417">
        <w:rPr>
          <w:bCs/>
          <w:iCs/>
          <w:sz w:val="24"/>
          <w:szCs w:val="24"/>
        </w:rPr>
        <w:t>af</w:t>
      </w:r>
      <w:r w:rsidRPr="008952C1">
        <w:rPr>
          <w:bCs/>
          <w:iCs/>
          <w:sz w:val="24"/>
          <w:szCs w:val="24"/>
        </w:rPr>
        <w:t xml:space="preserve"> resistens </w:t>
      </w:r>
      <w:r w:rsidR="00073417">
        <w:rPr>
          <w:bCs/>
          <w:iCs/>
          <w:sz w:val="24"/>
          <w:szCs w:val="24"/>
        </w:rPr>
        <w:t>betyder</w:t>
      </w:r>
      <w:r w:rsidRPr="008952C1">
        <w:rPr>
          <w:bCs/>
          <w:iCs/>
          <w:sz w:val="24"/>
          <w:szCs w:val="24"/>
        </w:rPr>
        <w:t xml:space="preserve">, at der sættes spørgsmålstegn ved effekten af </w:t>
      </w:r>
      <w:proofErr w:type="spellStart"/>
      <w:r w:rsidRPr="008952C1">
        <w:rPr>
          <w:bCs/>
          <w:iCs/>
          <w:sz w:val="24"/>
          <w:szCs w:val="24"/>
        </w:rPr>
        <w:t>cefazolin</w:t>
      </w:r>
      <w:proofErr w:type="spellEnd"/>
      <w:r w:rsidRPr="008952C1">
        <w:rPr>
          <w:bCs/>
          <w:iCs/>
          <w:sz w:val="24"/>
          <w:szCs w:val="24"/>
        </w:rPr>
        <w:t xml:space="preserve">. Især </w:t>
      </w:r>
      <w:r w:rsidR="00073417">
        <w:rPr>
          <w:bCs/>
          <w:iCs/>
          <w:sz w:val="24"/>
          <w:szCs w:val="24"/>
        </w:rPr>
        <w:t>i</w:t>
      </w:r>
      <w:r w:rsidRPr="008952C1">
        <w:rPr>
          <w:bCs/>
          <w:iCs/>
          <w:sz w:val="24"/>
          <w:szCs w:val="24"/>
        </w:rPr>
        <w:t xml:space="preserve"> tilfælde af svære infektioner eller behandlingssvigt bør der gennemføres en mikrobiologisk diagnose, inklusive identifikation af mikroorganismen og dens følsomhed over for </w:t>
      </w:r>
      <w:proofErr w:type="spellStart"/>
      <w:r w:rsidRPr="008952C1">
        <w:rPr>
          <w:bCs/>
          <w:iCs/>
          <w:sz w:val="24"/>
          <w:szCs w:val="24"/>
        </w:rPr>
        <w:t>cefazolin</w:t>
      </w:r>
      <w:proofErr w:type="spellEnd"/>
      <w:r w:rsidRPr="008952C1">
        <w:rPr>
          <w:bCs/>
          <w:iCs/>
          <w:sz w:val="24"/>
          <w:szCs w:val="24"/>
        </w:rPr>
        <w:t>.</w:t>
      </w:r>
    </w:p>
    <w:p w:rsidR="005B146A" w:rsidRPr="008952C1" w:rsidRDefault="005B146A" w:rsidP="005B146A">
      <w:pPr>
        <w:ind w:left="851"/>
        <w:rPr>
          <w:bCs/>
          <w:iCs/>
          <w:sz w:val="24"/>
          <w:szCs w:val="24"/>
        </w:rPr>
      </w:pPr>
    </w:p>
    <w:p w:rsidR="005B146A" w:rsidRPr="008952C1" w:rsidRDefault="005B146A" w:rsidP="005B146A">
      <w:pPr>
        <w:ind w:left="851"/>
        <w:rPr>
          <w:b/>
          <w:bCs/>
          <w:iCs/>
          <w:sz w:val="24"/>
          <w:szCs w:val="24"/>
        </w:rPr>
      </w:pPr>
      <w:r w:rsidRPr="008952C1">
        <w:rPr>
          <w:b/>
          <w:bCs/>
          <w:iCs/>
          <w:sz w:val="24"/>
          <w:szCs w:val="24"/>
        </w:rPr>
        <w:t>Almindelige følsomme arter</w:t>
      </w:r>
    </w:p>
    <w:p w:rsidR="005B146A" w:rsidRPr="004A685D" w:rsidRDefault="005B146A" w:rsidP="005B146A">
      <w:pPr>
        <w:ind w:left="851"/>
        <w:rPr>
          <w:sz w:val="24"/>
          <w:szCs w:val="24"/>
        </w:rPr>
      </w:pPr>
      <w:r w:rsidRPr="004A685D">
        <w:rPr>
          <w:sz w:val="24"/>
          <w:szCs w:val="24"/>
        </w:rPr>
        <w:t xml:space="preserve">Aerobe </w:t>
      </w:r>
      <w:proofErr w:type="spellStart"/>
      <w:r w:rsidRPr="004A685D">
        <w:rPr>
          <w:sz w:val="24"/>
          <w:szCs w:val="24"/>
        </w:rPr>
        <w:t>Gram-positive</w:t>
      </w:r>
      <w:proofErr w:type="spellEnd"/>
    </w:p>
    <w:p w:rsidR="005B146A" w:rsidRPr="008952C1" w:rsidRDefault="005B146A" w:rsidP="005B146A">
      <w:pPr>
        <w:ind w:left="851"/>
        <w:rPr>
          <w:sz w:val="24"/>
          <w:szCs w:val="24"/>
        </w:rPr>
      </w:pPr>
      <w:proofErr w:type="spellStart"/>
      <w:r w:rsidRPr="008952C1">
        <w:rPr>
          <w:i/>
          <w:sz w:val="24"/>
          <w:szCs w:val="24"/>
        </w:rPr>
        <w:t>Staphylococcus</w:t>
      </w:r>
      <w:proofErr w:type="spellEnd"/>
      <w:r w:rsidRPr="008952C1">
        <w:rPr>
          <w:i/>
          <w:sz w:val="24"/>
          <w:szCs w:val="24"/>
        </w:rPr>
        <w:t xml:space="preserve"> </w:t>
      </w:r>
      <w:proofErr w:type="spellStart"/>
      <w:r w:rsidRPr="008952C1">
        <w:rPr>
          <w:i/>
          <w:sz w:val="24"/>
          <w:szCs w:val="24"/>
        </w:rPr>
        <w:t>aureus</w:t>
      </w:r>
      <w:proofErr w:type="spellEnd"/>
      <w:r w:rsidRPr="008952C1">
        <w:rPr>
          <w:sz w:val="24"/>
          <w:szCs w:val="24"/>
        </w:rPr>
        <w:t xml:space="preserve"> (</w:t>
      </w:r>
      <w:proofErr w:type="spellStart"/>
      <w:r w:rsidRPr="008952C1">
        <w:rPr>
          <w:sz w:val="24"/>
          <w:szCs w:val="24"/>
        </w:rPr>
        <w:t>methicillin</w:t>
      </w:r>
      <w:proofErr w:type="spellEnd"/>
      <w:r w:rsidRPr="008952C1">
        <w:rPr>
          <w:sz w:val="24"/>
          <w:szCs w:val="24"/>
        </w:rPr>
        <w:t>-følsomme</w:t>
      </w:r>
      <w:r w:rsidRPr="008952C1">
        <w:rPr>
          <w:i/>
          <w:sz w:val="24"/>
          <w:szCs w:val="24"/>
        </w:rPr>
        <w:t>)</w:t>
      </w:r>
    </w:p>
    <w:p w:rsidR="005B146A" w:rsidRPr="008952C1" w:rsidRDefault="005B146A" w:rsidP="005B146A">
      <w:pPr>
        <w:ind w:left="851"/>
        <w:rPr>
          <w:i/>
          <w:iCs/>
          <w:sz w:val="24"/>
          <w:szCs w:val="24"/>
        </w:rPr>
      </w:pPr>
    </w:p>
    <w:p w:rsidR="005B146A" w:rsidRPr="008952C1" w:rsidRDefault="005B146A" w:rsidP="005B146A">
      <w:pPr>
        <w:ind w:left="851"/>
        <w:rPr>
          <w:b/>
          <w:iCs/>
          <w:sz w:val="24"/>
          <w:szCs w:val="24"/>
        </w:rPr>
      </w:pPr>
      <w:r w:rsidRPr="008952C1">
        <w:rPr>
          <w:b/>
          <w:iCs/>
          <w:sz w:val="24"/>
          <w:szCs w:val="24"/>
        </w:rPr>
        <w:t>Arter, hos hvilke erhvervet resistens kan være et problem</w:t>
      </w:r>
    </w:p>
    <w:p w:rsidR="005B146A" w:rsidRPr="008952C1" w:rsidRDefault="005B146A" w:rsidP="005B146A">
      <w:pPr>
        <w:ind w:left="851"/>
        <w:rPr>
          <w:iCs/>
          <w:sz w:val="24"/>
          <w:szCs w:val="24"/>
        </w:rPr>
      </w:pPr>
      <w:r w:rsidRPr="008952C1">
        <w:rPr>
          <w:iCs/>
          <w:sz w:val="24"/>
          <w:szCs w:val="24"/>
        </w:rPr>
        <w:t xml:space="preserve">Aerobe </w:t>
      </w:r>
      <w:proofErr w:type="spellStart"/>
      <w:r w:rsidRPr="008952C1">
        <w:rPr>
          <w:iCs/>
          <w:sz w:val="24"/>
          <w:szCs w:val="24"/>
        </w:rPr>
        <w:t>Gram-positive</w:t>
      </w:r>
      <w:proofErr w:type="spellEnd"/>
    </w:p>
    <w:p w:rsidR="005B146A" w:rsidRPr="008952C1" w:rsidRDefault="005B146A" w:rsidP="005B146A">
      <w:pPr>
        <w:ind w:left="851"/>
        <w:rPr>
          <w:iCs/>
          <w:sz w:val="24"/>
          <w:szCs w:val="24"/>
        </w:rPr>
      </w:pPr>
      <w:r w:rsidRPr="008952C1">
        <w:rPr>
          <w:iCs/>
          <w:sz w:val="24"/>
          <w:szCs w:val="24"/>
        </w:rPr>
        <w:t>Gruppe A, B, C og G beta-</w:t>
      </w:r>
      <w:proofErr w:type="spellStart"/>
      <w:r w:rsidRPr="008952C1">
        <w:rPr>
          <w:iCs/>
          <w:sz w:val="24"/>
          <w:szCs w:val="24"/>
        </w:rPr>
        <w:t>hæmolytiske</w:t>
      </w:r>
      <w:proofErr w:type="spellEnd"/>
      <w:r w:rsidRPr="008952C1">
        <w:rPr>
          <w:iCs/>
          <w:sz w:val="24"/>
          <w:szCs w:val="24"/>
        </w:rPr>
        <w:t xml:space="preserve"> streptokokker</w:t>
      </w:r>
    </w:p>
    <w:p w:rsidR="005B146A" w:rsidRPr="008952C1" w:rsidRDefault="005B146A" w:rsidP="005B146A">
      <w:pPr>
        <w:ind w:left="851"/>
        <w:rPr>
          <w:i/>
          <w:sz w:val="24"/>
          <w:szCs w:val="24"/>
          <w:lang w:val="en-GB"/>
        </w:rPr>
      </w:pPr>
      <w:r w:rsidRPr="008952C1">
        <w:rPr>
          <w:i/>
          <w:sz w:val="24"/>
          <w:szCs w:val="24"/>
          <w:lang w:val="en-GB"/>
        </w:rPr>
        <w:t xml:space="preserve">Staphylococcus </w:t>
      </w:r>
      <w:proofErr w:type="spellStart"/>
      <w:r w:rsidRPr="008952C1">
        <w:rPr>
          <w:i/>
          <w:sz w:val="24"/>
          <w:szCs w:val="24"/>
          <w:lang w:val="en-GB"/>
        </w:rPr>
        <w:t>epidermidis</w:t>
      </w:r>
      <w:proofErr w:type="spellEnd"/>
      <w:r w:rsidRPr="008952C1">
        <w:rPr>
          <w:sz w:val="24"/>
          <w:szCs w:val="24"/>
          <w:lang w:val="en-GB"/>
        </w:rPr>
        <w:t xml:space="preserve"> (methicillin-</w:t>
      </w:r>
      <w:proofErr w:type="spellStart"/>
      <w:r w:rsidRPr="008952C1">
        <w:rPr>
          <w:sz w:val="24"/>
          <w:szCs w:val="24"/>
          <w:lang w:val="en-GB"/>
        </w:rPr>
        <w:t>følsomme</w:t>
      </w:r>
      <w:proofErr w:type="spellEnd"/>
      <w:r w:rsidRPr="008952C1">
        <w:rPr>
          <w:sz w:val="24"/>
          <w:szCs w:val="24"/>
          <w:lang w:val="en-GB"/>
        </w:rPr>
        <w:t>)</w:t>
      </w:r>
    </w:p>
    <w:p w:rsidR="005B146A" w:rsidRPr="008952C1" w:rsidRDefault="005B146A" w:rsidP="005B146A">
      <w:pPr>
        <w:ind w:left="851"/>
        <w:rPr>
          <w:i/>
          <w:iCs/>
          <w:sz w:val="24"/>
          <w:szCs w:val="24"/>
          <w:lang w:val="en-GB"/>
        </w:rPr>
      </w:pPr>
      <w:r w:rsidRPr="008952C1">
        <w:rPr>
          <w:i/>
          <w:iCs/>
          <w:sz w:val="24"/>
          <w:szCs w:val="24"/>
          <w:lang w:val="en-US"/>
        </w:rPr>
        <w:t xml:space="preserve">Streptococcus </w:t>
      </w:r>
      <w:proofErr w:type="spellStart"/>
      <w:r w:rsidRPr="008952C1">
        <w:rPr>
          <w:i/>
          <w:iCs/>
          <w:sz w:val="24"/>
          <w:szCs w:val="24"/>
          <w:lang w:val="en-US"/>
        </w:rPr>
        <w:t>pneumoniae</w:t>
      </w:r>
      <w:proofErr w:type="spellEnd"/>
    </w:p>
    <w:p w:rsidR="005B146A" w:rsidRPr="008952C1" w:rsidRDefault="005B146A" w:rsidP="005B146A">
      <w:pPr>
        <w:ind w:left="851"/>
        <w:rPr>
          <w:iCs/>
          <w:sz w:val="24"/>
          <w:szCs w:val="24"/>
          <w:lang w:val="en-GB"/>
        </w:rPr>
      </w:pPr>
    </w:p>
    <w:p w:rsidR="005B146A" w:rsidRPr="008952C1" w:rsidRDefault="005B146A" w:rsidP="005B146A">
      <w:pPr>
        <w:ind w:left="851"/>
        <w:rPr>
          <w:iCs/>
          <w:sz w:val="24"/>
          <w:szCs w:val="24"/>
        </w:rPr>
      </w:pPr>
      <w:r w:rsidRPr="008952C1">
        <w:rPr>
          <w:iCs/>
          <w:sz w:val="24"/>
          <w:szCs w:val="24"/>
        </w:rPr>
        <w:t xml:space="preserve">Aerobe </w:t>
      </w:r>
      <w:proofErr w:type="spellStart"/>
      <w:r w:rsidRPr="008952C1">
        <w:rPr>
          <w:iCs/>
          <w:sz w:val="24"/>
          <w:szCs w:val="24"/>
        </w:rPr>
        <w:t>Gram-negative</w:t>
      </w:r>
      <w:proofErr w:type="spellEnd"/>
    </w:p>
    <w:p w:rsidR="005B146A" w:rsidRPr="008952C1" w:rsidRDefault="005B146A" w:rsidP="005B146A">
      <w:pPr>
        <w:ind w:left="851"/>
        <w:rPr>
          <w:i/>
          <w:iCs/>
          <w:sz w:val="24"/>
          <w:szCs w:val="24"/>
        </w:rPr>
      </w:pPr>
      <w:proofErr w:type="spellStart"/>
      <w:r w:rsidRPr="008952C1">
        <w:rPr>
          <w:i/>
          <w:iCs/>
          <w:sz w:val="24"/>
          <w:szCs w:val="24"/>
        </w:rPr>
        <w:t>Haemophilus</w:t>
      </w:r>
      <w:proofErr w:type="spellEnd"/>
      <w:r w:rsidRPr="008952C1">
        <w:rPr>
          <w:i/>
          <w:iCs/>
          <w:sz w:val="24"/>
          <w:szCs w:val="24"/>
        </w:rPr>
        <w:t xml:space="preserve"> </w:t>
      </w:r>
      <w:proofErr w:type="spellStart"/>
      <w:r w:rsidRPr="008952C1">
        <w:rPr>
          <w:i/>
          <w:iCs/>
          <w:sz w:val="24"/>
          <w:szCs w:val="24"/>
        </w:rPr>
        <w:t>influenzae</w:t>
      </w:r>
      <w:proofErr w:type="spellEnd"/>
    </w:p>
    <w:p w:rsidR="005B146A" w:rsidRPr="008952C1" w:rsidRDefault="005B146A" w:rsidP="005B146A">
      <w:pPr>
        <w:ind w:left="851"/>
        <w:rPr>
          <w:b/>
          <w:iCs/>
          <w:sz w:val="24"/>
          <w:szCs w:val="24"/>
        </w:rPr>
      </w:pPr>
    </w:p>
    <w:p w:rsidR="005B146A" w:rsidRPr="008952C1" w:rsidRDefault="005B146A" w:rsidP="005B146A">
      <w:pPr>
        <w:ind w:left="851"/>
        <w:rPr>
          <w:b/>
          <w:iCs/>
          <w:sz w:val="24"/>
          <w:szCs w:val="24"/>
        </w:rPr>
      </w:pPr>
      <w:r w:rsidRPr="008952C1">
        <w:rPr>
          <w:b/>
          <w:iCs/>
          <w:sz w:val="24"/>
          <w:szCs w:val="24"/>
        </w:rPr>
        <w:t>Organismer med erhvervet resistens</w:t>
      </w:r>
    </w:p>
    <w:p w:rsidR="005B146A" w:rsidRPr="008952C1" w:rsidRDefault="005B146A" w:rsidP="005B146A">
      <w:pPr>
        <w:ind w:left="851"/>
        <w:rPr>
          <w:iCs/>
          <w:sz w:val="24"/>
          <w:szCs w:val="24"/>
          <w:lang w:val="en-GB"/>
        </w:rPr>
      </w:pPr>
      <w:r w:rsidRPr="008952C1">
        <w:rPr>
          <w:iCs/>
          <w:sz w:val="24"/>
          <w:szCs w:val="24"/>
          <w:lang w:val="en-GB"/>
        </w:rPr>
        <w:t>Aerobe Gram-positive</w:t>
      </w:r>
    </w:p>
    <w:p w:rsidR="005B146A" w:rsidRPr="008952C1" w:rsidRDefault="005B146A" w:rsidP="005B146A">
      <w:pPr>
        <w:ind w:left="851"/>
        <w:rPr>
          <w:iCs/>
          <w:sz w:val="24"/>
          <w:szCs w:val="24"/>
          <w:lang w:val="en-GB"/>
        </w:rPr>
      </w:pPr>
      <w:r w:rsidRPr="008952C1">
        <w:rPr>
          <w:i/>
          <w:iCs/>
          <w:sz w:val="24"/>
          <w:szCs w:val="24"/>
          <w:lang w:val="en-GB"/>
        </w:rPr>
        <w:t xml:space="preserve">Staphylococcus </w:t>
      </w:r>
      <w:proofErr w:type="spellStart"/>
      <w:r w:rsidRPr="008952C1">
        <w:rPr>
          <w:i/>
          <w:iCs/>
          <w:sz w:val="24"/>
          <w:szCs w:val="24"/>
          <w:lang w:val="en-GB"/>
        </w:rPr>
        <w:t>aureus</w:t>
      </w:r>
      <w:proofErr w:type="spellEnd"/>
      <w:r w:rsidRPr="008952C1">
        <w:rPr>
          <w:iCs/>
          <w:sz w:val="24"/>
          <w:szCs w:val="24"/>
          <w:lang w:val="en-GB"/>
        </w:rPr>
        <w:t>, methicillin-</w:t>
      </w:r>
      <w:proofErr w:type="spellStart"/>
      <w:r w:rsidRPr="008952C1">
        <w:rPr>
          <w:iCs/>
          <w:sz w:val="24"/>
          <w:szCs w:val="24"/>
          <w:lang w:val="en-GB"/>
        </w:rPr>
        <w:t>resistent</w:t>
      </w:r>
      <w:proofErr w:type="spellEnd"/>
    </w:p>
    <w:p w:rsidR="005B146A" w:rsidRPr="008952C1" w:rsidRDefault="005B146A" w:rsidP="005B146A">
      <w:pPr>
        <w:ind w:left="851"/>
        <w:rPr>
          <w:i/>
          <w:iCs/>
          <w:sz w:val="24"/>
          <w:szCs w:val="24"/>
          <w:lang w:val="en-GB"/>
        </w:rPr>
      </w:pPr>
    </w:p>
    <w:p w:rsidR="005B146A" w:rsidRPr="008952C1" w:rsidRDefault="005B146A" w:rsidP="005B146A">
      <w:pPr>
        <w:ind w:left="851"/>
        <w:rPr>
          <w:iCs/>
          <w:sz w:val="24"/>
          <w:szCs w:val="24"/>
          <w:lang w:val="en-GB"/>
        </w:rPr>
      </w:pPr>
      <w:r w:rsidRPr="008952C1">
        <w:rPr>
          <w:iCs/>
          <w:sz w:val="24"/>
          <w:szCs w:val="24"/>
          <w:lang w:val="en-GB"/>
        </w:rPr>
        <w:t>Aerobe Gram-negative</w:t>
      </w:r>
    </w:p>
    <w:p w:rsidR="005B146A" w:rsidRPr="008952C1" w:rsidRDefault="005B146A" w:rsidP="005B146A">
      <w:pPr>
        <w:ind w:left="851"/>
        <w:rPr>
          <w:i/>
          <w:iCs/>
          <w:sz w:val="24"/>
          <w:szCs w:val="24"/>
          <w:lang w:val="en-GB"/>
        </w:rPr>
      </w:pPr>
      <w:proofErr w:type="spellStart"/>
      <w:r w:rsidRPr="008952C1">
        <w:rPr>
          <w:i/>
          <w:iCs/>
          <w:sz w:val="24"/>
          <w:szCs w:val="24"/>
          <w:lang w:val="en-GB"/>
        </w:rPr>
        <w:t>Citrobacter</w:t>
      </w:r>
      <w:proofErr w:type="spellEnd"/>
      <w:r w:rsidRPr="008952C1">
        <w:rPr>
          <w:i/>
          <w:iCs/>
          <w:sz w:val="24"/>
          <w:szCs w:val="24"/>
          <w:lang w:val="en-GB"/>
        </w:rPr>
        <w:t xml:space="preserve"> </w:t>
      </w:r>
      <w:r w:rsidRPr="008952C1">
        <w:rPr>
          <w:iCs/>
          <w:sz w:val="24"/>
          <w:szCs w:val="24"/>
          <w:lang w:val="en-GB"/>
        </w:rPr>
        <w:t>spp.</w:t>
      </w:r>
    </w:p>
    <w:p w:rsidR="005B146A" w:rsidRPr="008952C1" w:rsidRDefault="005B146A" w:rsidP="005B146A">
      <w:pPr>
        <w:ind w:left="851"/>
        <w:rPr>
          <w:i/>
          <w:iCs/>
          <w:sz w:val="24"/>
          <w:szCs w:val="24"/>
          <w:lang w:val="en-GB"/>
        </w:rPr>
      </w:pPr>
      <w:proofErr w:type="spellStart"/>
      <w:r w:rsidRPr="008952C1">
        <w:rPr>
          <w:i/>
          <w:iCs/>
          <w:sz w:val="24"/>
          <w:szCs w:val="24"/>
          <w:lang w:val="en-GB"/>
        </w:rPr>
        <w:t>Enterobacter</w:t>
      </w:r>
      <w:proofErr w:type="spellEnd"/>
      <w:r w:rsidRPr="008952C1">
        <w:rPr>
          <w:i/>
          <w:iCs/>
          <w:sz w:val="24"/>
          <w:szCs w:val="24"/>
          <w:lang w:val="en-GB"/>
        </w:rPr>
        <w:t xml:space="preserve"> </w:t>
      </w:r>
      <w:r w:rsidRPr="008952C1">
        <w:rPr>
          <w:iCs/>
          <w:sz w:val="24"/>
          <w:szCs w:val="24"/>
          <w:lang w:val="en-GB"/>
        </w:rPr>
        <w:t>spp.</w:t>
      </w:r>
    </w:p>
    <w:p w:rsidR="005B146A" w:rsidRPr="000871EA" w:rsidRDefault="005B146A" w:rsidP="005B146A">
      <w:pPr>
        <w:ind w:left="851"/>
        <w:rPr>
          <w:i/>
          <w:iCs/>
          <w:sz w:val="24"/>
          <w:szCs w:val="24"/>
          <w:lang w:val="en-GB"/>
        </w:rPr>
      </w:pPr>
      <w:proofErr w:type="spellStart"/>
      <w:r w:rsidRPr="000871EA">
        <w:rPr>
          <w:i/>
          <w:iCs/>
          <w:sz w:val="24"/>
          <w:szCs w:val="24"/>
          <w:lang w:val="en-GB"/>
        </w:rPr>
        <w:t>Klebsiella</w:t>
      </w:r>
      <w:proofErr w:type="spellEnd"/>
      <w:r w:rsidRPr="000871EA">
        <w:rPr>
          <w:i/>
          <w:iCs/>
          <w:sz w:val="24"/>
          <w:szCs w:val="24"/>
          <w:lang w:val="en-GB"/>
        </w:rPr>
        <w:t xml:space="preserve"> </w:t>
      </w:r>
      <w:proofErr w:type="spellStart"/>
      <w:r w:rsidRPr="000871EA">
        <w:rPr>
          <w:i/>
          <w:iCs/>
          <w:sz w:val="24"/>
          <w:szCs w:val="24"/>
          <w:lang w:val="en-GB"/>
        </w:rPr>
        <w:t>pneumoniae</w:t>
      </w:r>
      <w:proofErr w:type="spellEnd"/>
    </w:p>
    <w:p w:rsidR="005B146A" w:rsidRPr="008952C1" w:rsidRDefault="005B146A" w:rsidP="005B146A">
      <w:pPr>
        <w:ind w:left="851"/>
        <w:rPr>
          <w:i/>
          <w:iCs/>
          <w:sz w:val="24"/>
          <w:szCs w:val="24"/>
          <w:lang w:val="fi-FI"/>
        </w:rPr>
      </w:pPr>
      <w:r w:rsidRPr="008952C1">
        <w:rPr>
          <w:i/>
          <w:iCs/>
          <w:sz w:val="24"/>
          <w:szCs w:val="24"/>
          <w:lang w:val="fi-FI"/>
        </w:rPr>
        <w:t>Morganella morganii</w:t>
      </w:r>
    </w:p>
    <w:p w:rsidR="005B146A" w:rsidRPr="000871EA" w:rsidRDefault="005B146A" w:rsidP="005B146A">
      <w:pPr>
        <w:ind w:left="851"/>
        <w:rPr>
          <w:i/>
          <w:iCs/>
          <w:sz w:val="24"/>
          <w:szCs w:val="24"/>
          <w:lang w:val="en-GB"/>
        </w:rPr>
      </w:pPr>
      <w:r w:rsidRPr="000871EA">
        <w:rPr>
          <w:i/>
          <w:iCs/>
          <w:sz w:val="24"/>
          <w:szCs w:val="24"/>
          <w:lang w:val="en-GB"/>
        </w:rPr>
        <w:t>Proteus mirabilis</w:t>
      </w:r>
    </w:p>
    <w:p w:rsidR="005B146A" w:rsidRPr="008952C1" w:rsidRDefault="005B146A" w:rsidP="005B146A">
      <w:pPr>
        <w:ind w:left="851"/>
        <w:rPr>
          <w:i/>
          <w:iCs/>
          <w:sz w:val="24"/>
          <w:szCs w:val="24"/>
          <w:lang w:val="fi-FI"/>
        </w:rPr>
      </w:pPr>
      <w:r w:rsidRPr="008952C1">
        <w:rPr>
          <w:i/>
          <w:iCs/>
          <w:sz w:val="24"/>
          <w:szCs w:val="24"/>
          <w:lang w:val="fi-FI"/>
        </w:rPr>
        <w:t>Proteus stuartii</w:t>
      </w:r>
    </w:p>
    <w:p w:rsidR="005B146A" w:rsidRPr="008952C1" w:rsidRDefault="005B146A" w:rsidP="005B146A">
      <w:pPr>
        <w:ind w:left="851"/>
        <w:rPr>
          <w:i/>
          <w:iCs/>
          <w:sz w:val="24"/>
          <w:szCs w:val="24"/>
          <w:lang w:val="fi-FI"/>
        </w:rPr>
      </w:pPr>
      <w:r w:rsidRPr="008952C1">
        <w:rPr>
          <w:i/>
          <w:iCs/>
          <w:sz w:val="24"/>
          <w:szCs w:val="24"/>
          <w:lang w:val="fi-FI"/>
        </w:rPr>
        <w:t>Proteus vulgaris</w:t>
      </w:r>
    </w:p>
    <w:p w:rsidR="005B146A" w:rsidRPr="000871EA" w:rsidRDefault="005B146A" w:rsidP="005B146A">
      <w:pPr>
        <w:ind w:left="851"/>
        <w:rPr>
          <w:i/>
          <w:iCs/>
          <w:sz w:val="24"/>
          <w:szCs w:val="24"/>
          <w:lang w:val="en-GB"/>
        </w:rPr>
      </w:pPr>
      <w:r w:rsidRPr="000871EA">
        <w:rPr>
          <w:i/>
          <w:iCs/>
          <w:sz w:val="24"/>
          <w:szCs w:val="24"/>
          <w:lang w:val="en-GB"/>
        </w:rPr>
        <w:t>Pseudomonas aeruginosa</w:t>
      </w:r>
    </w:p>
    <w:p w:rsidR="00B003BF" w:rsidRPr="004A685D" w:rsidRDefault="005B146A" w:rsidP="004A685D">
      <w:pPr>
        <w:ind w:left="851"/>
        <w:rPr>
          <w:iCs/>
          <w:sz w:val="24"/>
          <w:szCs w:val="24"/>
        </w:rPr>
      </w:pPr>
      <w:proofErr w:type="spellStart"/>
      <w:r w:rsidRPr="008952C1">
        <w:rPr>
          <w:i/>
          <w:iCs/>
          <w:sz w:val="24"/>
          <w:szCs w:val="24"/>
        </w:rPr>
        <w:t>Serratia</w:t>
      </w:r>
      <w:proofErr w:type="spellEnd"/>
      <w:r w:rsidRPr="008952C1">
        <w:rPr>
          <w:iCs/>
          <w:sz w:val="24"/>
          <w:szCs w:val="24"/>
        </w:rPr>
        <w:t xml:space="preserve"> </w:t>
      </w:r>
      <w:proofErr w:type="spellStart"/>
      <w:r w:rsidRPr="008952C1">
        <w:rPr>
          <w:iCs/>
          <w:sz w:val="24"/>
          <w:szCs w:val="24"/>
        </w:rPr>
        <w:t>spp</w:t>
      </w:r>
      <w:proofErr w:type="spellEnd"/>
      <w:r w:rsidRPr="008952C1">
        <w:rPr>
          <w:iCs/>
          <w:sz w:val="24"/>
          <w:szCs w:val="24"/>
        </w:rPr>
        <w:t>.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326E13" w:rsidRPr="000871EA" w:rsidRDefault="00326E13" w:rsidP="00326E13">
      <w:pPr>
        <w:ind w:left="851"/>
        <w:rPr>
          <w:sz w:val="24"/>
          <w:szCs w:val="24"/>
        </w:rPr>
      </w:pPr>
    </w:p>
    <w:p w:rsidR="00326E13" w:rsidRPr="00326E13" w:rsidRDefault="00326E13" w:rsidP="00326E13">
      <w:pPr>
        <w:ind w:left="851"/>
        <w:rPr>
          <w:sz w:val="24"/>
          <w:szCs w:val="24"/>
          <w:u w:val="single"/>
        </w:rPr>
      </w:pPr>
      <w:r w:rsidRPr="00326E13">
        <w:rPr>
          <w:iCs/>
          <w:sz w:val="24"/>
          <w:szCs w:val="24"/>
          <w:u w:val="single"/>
        </w:rPr>
        <w:t>Absorption</w:t>
      </w:r>
    </w:p>
    <w:p w:rsidR="00326E13" w:rsidRPr="008952C1" w:rsidRDefault="00326E13" w:rsidP="00326E13">
      <w:pPr>
        <w:ind w:left="851"/>
        <w:rPr>
          <w:sz w:val="24"/>
          <w:szCs w:val="24"/>
        </w:rPr>
      </w:pPr>
      <w:proofErr w:type="spellStart"/>
      <w:r w:rsidRPr="008952C1">
        <w:rPr>
          <w:sz w:val="24"/>
          <w:szCs w:val="24"/>
        </w:rPr>
        <w:t>Cefazolin</w:t>
      </w:r>
      <w:proofErr w:type="spellEnd"/>
      <w:r w:rsidRPr="008952C1">
        <w:rPr>
          <w:sz w:val="24"/>
          <w:szCs w:val="24"/>
        </w:rPr>
        <w:t xml:space="preserve"> indgives </w:t>
      </w:r>
      <w:proofErr w:type="spellStart"/>
      <w:r w:rsidRPr="008952C1">
        <w:rPr>
          <w:sz w:val="24"/>
          <w:szCs w:val="24"/>
        </w:rPr>
        <w:t>parenteralt</w:t>
      </w:r>
      <w:proofErr w:type="spellEnd"/>
      <w:r w:rsidRPr="008952C1">
        <w:rPr>
          <w:sz w:val="24"/>
          <w:szCs w:val="24"/>
        </w:rPr>
        <w:t xml:space="preserve">. Efter administration af 500 mg intramuskulær injektion, var opnåede maksimale serumniveauer efter cirka en time 20-40 mikrogram/ml. Efter administration af 1 g blev maksimale serumniveauer på 37-63 mikrogram/ml opnået. I et forsøg med kontinuerlig, intravenøs infusion af </w:t>
      </w:r>
      <w:proofErr w:type="spellStart"/>
      <w:r w:rsidRPr="008952C1">
        <w:rPr>
          <w:sz w:val="24"/>
          <w:szCs w:val="24"/>
        </w:rPr>
        <w:t>cefazolin</w:t>
      </w:r>
      <w:proofErr w:type="spellEnd"/>
      <w:r w:rsidRPr="008952C1">
        <w:rPr>
          <w:sz w:val="24"/>
          <w:szCs w:val="24"/>
        </w:rPr>
        <w:t xml:space="preserve"> hos raske voksne </w:t>
      </w:r>
      <w:r w:rsidR="00FC1DA4">
        <w:rPr>
          <w:sz w:val="24"/>
          <w:szCs w:val="24"/>
        </w:rPr>
        <w:t>m</w:t>
      </w:r>
      <w:r w:rsidRPr="008952C1">
        <w:rPr>
          <w:sz w:val="24"/>
          <w:szCs w:val="24"/>
        </w:rPr>
        <w:t>ed doser på 3,5 mg/</w:t>
      </w:r>
      <w:proofErr w:type="gramStart"/>
      <w:r w:rsidRPr="008952C1">
        <w:rPr>
          <w:sz w:val="24"/>
          <w:szCs w:val="24"/>
        </w:rPr>
        <w:t>kg  én</w:t>
      </w:r>
      <w:proofErr w:type="gramEnd"/>
      <w:r w:rsidRPr="008952C1">
        <w:rPr>
          <w:sz w:val="24"/>
          <w:szCs w:val="24"/>
        </w:rPr>
        <w:t xml:space="preserve"> time (ca. 250 mg) efterfulgt af  1,5 mg/kg i de næste to timer (ca. 100 mg) blev en stabil serumkoncentration på ca. 28 mikrogram/ml påvist i den </w:t>
      </w:r>
      <w:proofErr w:type="spellStart"/>
      <w:r w:rsidRPr="008952C1">
        <w:rPr>
          <w:sz w:val="24"/>
          <w:szCs w:val="24"/>
        </w:rPr>
        <w:t>tredie</w:t>
      </w:r>
      <w:proofErr w:type="spellEnd"/>
      <w:r w:rsidRPr="008952C1">
        <w:rPr>
          <w:sz w:val="24"/>
          <w:szCs w:val="24"/>
        </w:rPr>
        <w:t xml:space="preserve"> time. </w:t>
      </w:r>
      <w:r w:rsidR="00FC1DA4">
        <w:rPr>
          <w:sz w:val="24"/>
          <w:szCs w:val="24"/>
        </w:rPr>
        <w:t>Den følgende tabel viser middel-</w:t>
      </w:r>
      <w:r w:rsidRPr="008952C1">
        <w:rPr>
          <w:sz w:val="24"/>
          <w:szCs w:val="24"/>
        </w:rPr>
        <w:t xml:space="preserve">serumkoncentrationen af </w:t>
      </w:r>
      <w:proofErr w:type="spellStart"/>
      <w:r w:rsidRPr="008952C1">
        <w:rPr>
          <w:sz w:val="24"/>
          <w:szCs w:val="24"/>
        </w:rPr>
        <w:t>cefazolin</w:t>
      </w:r>
      <w:proofErr w:type="spellEnd"/>
      <w:r w:rsidRPr="008952C1">
        <w:rPr>
          <w:sz w:val="24"/>
          <w:szCs w:val="24"/>
        </w:rPr>
        <w:t xml:space="preserve"> efter intravenøs injektion af en enkelt dosis på 1 g.</w:t>
      </w:r>
    </w:p>
    <w:tbl>
      <w:tblPr>
        <w:tblpPr w:leftFromText="141" w:rightFromText="141" w:vertAnchor="text" w:horzAnchor="margin" w:tblpXSpec="center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3"/>
        <w:gridCol w:w="1294"/>
        <w:gridCol w:w="1294"/>
        <w:gridCol w:w="1294"/>
        <w:gridCol w:w="1294"/>
        <w:gridCol w:w="1294"/>
      </w:tblGrid>
      <w:tr w:rsidR="00326E13" w:rsidRPr="008952C1" w:rsidTr="00326E13">
        <w:trPr>
          <w:trHeight w:val="102"/>
        </w:trPr>
        <w:tc>
          <w:tcPr>
            <w:tcW w:w="7763" w:type="dxa"/>
            <w:gridSpan w:val="6"/>
          </w:tcPr>
          <w:p w:rsidR="00326E13" w:rsidRPr="008952C1" w:rsidRDefault="00326E13" w:rsidP="00326E13">
            <w:pPr>
              <w:rPr>
                <w:sz w:val="24"/>
                <w:szCs w:val="24"/>
              </w:rPr>
            </w:pPr>
            <w:r w:rsidRPr="008952C1">
              <w:rPr>
                <w:b/>
                <w:bCs/>
                <w:sz w:val="24"/>
                <w:szCs w:val="24"/>
              </w:rPr>
              <w:t xml:space="preserve">Serumkoncentration (µg/ml) efter intravenøs administration af 1 g </w:t>
            </w:r>
          </w:p>
        </w:tc>
      </w:tr>
      <w:tr w:rsidR="00326E13" w:rsidRPr="008952C1" w:rsidTr="00326E13">
        <w:trPr>
          <w:trHeight w:val="102"/>
        </w:trPr>
        <w:tc>
          <w:tcPr>
            <w:tcW w:w="1293" w:type="dxa"/>
          </w:tcPr>
          <w:p w:rsidR="00326E13" w:rsidRPr="008952C1" w:rsidRDefault="00326E13" w:rsidP="00326E13">
            <w:pPr>
              <w:rPr>
                <w:sz w:val="24"/>
                <w:szCs w:val="24"/>
              </w:rPr>
            </w:pPr>
            <w:r w:rsidRPr="008952C1">
              <w:rPr>
                <w:sz w:val="24"/>
                <w:szCs w:val="24"/>
              </w:rPr>
              <w:t xml:space="preserve">5 min. </w:t>
            </w:r>
          </w:p>
        </w:tc>
        <w:tc>
          <w:tcPr>
            <w:tcW w:w="1294" w:type="dxa"/>
          </w:tcPr>
          <w:p w:rsidR="00326E13" w:rsidRPr="008952C1" w:rsidRDefault="00326E13" w:rsidP="00326E13">
            <w:pPr>
              <w:rPr>
                <w:sz w:val="24"/>
                <w:szCs w:val="24"/>
              </w:rPr>
            </w:pPr>
            <w:r w:rsidRPr="008952C1">
              <w:rPr>
                <w:sz w:val="24"/>
                <w:szCs w:val="24"/>
              </w:rPr>
              <w:t xml:space="preserve">15 min. </w:t>
            </w:r>
          </w:p>
        </w:tc>
        <w:tc>
          <w:tcPr>
            <w:tcW w:w="1294" w:type="dxa"/>
          </w:tcPr>
          <w:p w:rsidR="00326E13" w:rsidRPr="008952C1" w:rsidRDefault="00326E13" w:rsidP="00326E13">
            <w:pPr>
              <w:rPr>
                <w:sz w:val="24"/>
                <w:szCs w:val="24"/>
              </w:rPr>
            </w:pPr>
            <w:r w:rsidRPr="008952C1">
              <w:rPr>
                <w:sz w:val="24"/>
                <w:szCs w:val="24"/>
              </w:rPr>
              <w:t xml:space="preserve">30 min </w:t>
            </w:r>
          </w:p>
        </w:tc>
        <w:tc>
          <w:tcPr>
            <w:tcW w:w="1294" w:type="dxa"/>
          </w:tcPr>
          <w:p w:rsidR="00326E13" w:rsidRPr="008952C1" w:rsidRDefault="00326E13" w:rsidP="00326E13">
            <w:pPr>
              <w:rPr>
                <w:sz w:val="24"/>
                <w:szCs w:val="24"/>
              </w:rPr>
            </w:pPr>
            <w:r w:rsidRPr="008952C1">
              <w:rPr>
                <w:sz w:val="24"/>
                <w:szCs w:val="24"/>
              </w:rPr>
              <w:t xml:space="preserve">1 time </w:t>
            </w:r>
          </w:p>
        </w:tc>
        <w:tc>
          <w:tcPr>
            <w:tcW w:w="1294" w:type="dxa"/>
          </w:tcPr>
          <w:p w:rsidR="00326E13" w:rsidRPr="008952C1" w:rsidRDefault="00326E13" w:rsidP="00326E13">
            <w:pPr>
              <w:rPr>
                <w:sz w:val="24"/>
                <w:szCs w:val="24"/>
              </w:rPr>
            </w:pPr>
            <w:r w:rsidRPr="008952C1">
              <w:rPr>
                <w:sz w:val="24"/>
                <w:szCs w:val="24"/>
              </w:rPr>
              <w:t xml:space="preserve">2 timer </w:t>
            </w:r>
          </w:p>
        </w:tc>
        <w:tc>
          <w:tcPr>
            <w:tcW w:w="1294" w:type="dxa"/>
          </w:tcPr>
          <w:p w:rsidR="00326E13" w:rsidRPr="008952C1" w:rsidRDefault="00326E13" w:rsidP="00326E13">
            <w:pPr>
              <w:rPr>
                <w:sz w:val="24"/>
                <w:szCs w:val="24"/>
              </w:rPr>
            </w:pPr>
            <w:r w:rsidRPr="008952C1">
              <w:rPr>
                <w:sz w:val="24"/>
                <w:szCs w:val="24"/>
              </w:rPr>
              <w:t xml:space="preserve">4 timer </w:t>
            </w:r>
          </w:p>
        </w:tc>
      </w:tr>
      <w:tr w:rsidR="00326E13" w:rsidRPr="008952C1" w:rsidTr="00326E13">
        <w:trPr>
          <w:trHeight w:val="102"/>
        </w:trPr>
        <w:tc>
          <w:tcPr>
            <w:tcW w:w="1293" w:type="dxa"/>
          </w:tcPr>
          <w:p w:rsidR="00326E13" w:rsidRPr="008952C1" w:rsidRDefault="00326E13" w:rsidP="00326E13">
            <w:pPr>
              <w:rPr>
                <w:sz w:val="24"/>
                <w:szCs w:val="24"/>
              </w:rPr>
            </w:pPr>
            <w:r w:rsidRPr="008952C1">
              <w:rPr>
                <w:sz w:val="24"/>
                <w:szCs w:val="24"/>
              </w:rPr>
              <w:t xml:space="preserve">188,4 </w:t>
            </w:r>
          </w:p>
        </w:tc>
        <w:tc>
          <w:tcPr>
            <w:tcW w:w="1294" w:type="dxa"/>
          </w:tcPr>
          <w:p w:rsidR="00326E13" w:rsidRPr="008952C1" w:rsidRDefault="00326E13" w:rsidP="00326E13">
            <w:pPr>
              <w:rPr>
                <w:sz w:val="24"/>
                <w:szCs w:val="24"/>
              </w:rPr>
            </w:pPr>
            <w:r w:rsidRPr="008952C1">
              <w:rPr>
                <w:sz w:val="24"/>
                <w:szCs w:val="24"/>
              </w:rPr>
              <w:t xml:space="preserve">135,8 </w:t>
            </w:r>
          </w:p>
        </w:tc>
        <w:tc>
          <w:tcPr>
            <w:tcW w:w="1294" w:type="dxa"/>
          </w:tcPr>
          <w:p w:rsidR="00326E13" w:rsidRPr="008952C1" w:rsidRDefault="00326E13" w:rsidP="00326E13">
            <w:pPr>
              <w:rPr>
                <w:sz w:val="24"/>
                <w:szCs w:val="24"/>
              </w:rPr>
            </w:pPr>
            <w:r w:rsidRPr="008952C1">
              <w:rPr>
                <w:sz w:val="24"/>
                <w:szCs w:val="24"/>
              </w:rPr>
              <w:t xml:space="preserve">106,8 </w:t>
            </w:r>
          </w:p>
        </w:tc>
        <w:tc>
          <w:tcPr>
            <w:tcW w:w="1294" w:type="dxa"/>
          </w:tcPr>
          <w:p w:rsidR="00326E13" w:rsidRPr="008952C1" w:rsidRDefault="00326E13" w:rsidP="00326E13">
            <w:pPr>
              <w:rPr>
                <w:sz w:val="24"/>
                <w:szCs w:val="24"/>
              </w:rPr>
            </w:pPr>
            <w:r w:rsidRPr="008952C1">
              <w:rPr>
                <w:sz w:val="24"/>
                <w:szCs w:val="24"/>
              </w:rPr>
              <w:t xml:space="preserve">73,7 </w:t>
            </w:r>
          </w:p>
        </w:tc>
        <w:tc>
          <w:tcPr>
            <w:tcW w:w="1294" w:type="dxa"/>
          </w:tcPr>
          <w:p w:rsidR="00326E13" w:rsidRPr="008952C1" w:rsidRDefault="00326E13" w:rsidP="00326E13">
            <w:pPr>
              <w:rPr>
                <w:sz w:val="24"/>
                <w:szCs w:val="24"/>
              </w:rPr>
            </w:pPr>
            <w:r w:rsidRPr="008952C1">
              <w:rPr>
                <w:sz w:val="24"/>
                <w:szCs w:val="24"/>
              </w:rPr>
              <w:t xml:space="preserve">45,6 </w:t>
            </w:r>
          </w:p>
        </w:tc>
        <w:tc>
          <w:tcPr>
            <w:tcW w:w="1294" w:type="dxa"/>
          </w:tcPr>
          <w:p w:rsidR="00326E13" w:rsidRPr="008952C1" w:rsidRDefault="00326E13" w:rsidP="00326E13">
            <w:pPr>
              <w:rPr>
                <w:sz w:val="24"/>
                <w:szCs w:val="24"/>
              </w:rPr>
            </w:pPr>
            <w:r w:rsidRPr="008952C1">
              <w:rPr>
                <w:sz w:val="24"/>
                <w:szCs w:val="24"/>
              </w:rPr>
              <w:t xml:space="preserve">16,5 </w:t>
            </w:r>
          </w:p>
        </w:tc>
      </w:tr>
    </w:tbl>
    <w:p w:rsidR="00326E13" w:rsidRPr="008952C1" w:rsidRDefault="00326E13" w:rsidP="00326E13">
      <w:pPr>
        <w:ind w:left="851"/>
        <w:rPr>
          <w:sz w:val="24"/>
          <w:szCs w:val="24"/>
        </w:rPr>
      </w:pPr>
    </w:p>
    <w:p w:rsidR="00326E13" w:rsidRDefault="00326E13" w:rsidP="00326E13">
      <w:pPr>
        <w:ind w:left="851"/>
        <w:rPr>
          <w:sz w:val="24"/>
          <w:szCs w:val="24"/>
        </w:rPr>
      </w:pPr>
    </w:p>
    <w:p w:rsidR="00FC1DA4" w:rsidRDefault="00FC1DA4" w:rsidP="00326E13">
      <w:pPr>
        <w:ind w:left="851"/>
        <w:rPr>
          <w:sz w:val="24"/>
          <w:szCs w:val="24"/>
        </w:rPr>
      </w:pPr>
    </w:p>
    <w:p w:rsidR="00FC1DA4" w:rsidRDefault="00FC1DA4" w:rsidP="00326E13">
      <w:pPr>
        <w:ind w:left="851"/>
        <w:rPr>
          <w:sz w:val="24"/>
          <w:szCs w:val="24"/>
        </w:rPr>
      </w:pPr>
    </w:p>
    <w:p w:rsidR="00FC1DA4" w:rsidRPr="008952C1" w:rsidRDefault="00FC1DA4" w:rsidP="00326E13">
      <w:pPr>
        <w:ind w:left="851"/>
        <w:rPr>
          <w:sz w:val="24"/>
          <w:szCs w:val="24"/>
        </w:rPr>
      </w:pPr>
    </w:p>
    <w:p w:rsidR="00326E13" w:rsidRPr="00326E13" w:rsidRDefault="00326E13" w:rsidP="00326E13">
      <w:pPr>
        <w:ind w:left="851"/>
        <w:rPr>
          <w:sz w:val="24"/>
          <w:szCs w:val="24"/>
          <w:u w:val="single"/>
        </w:rPr>
      </w:pPr>
      <w:r w:rsidRPr="00326E13">
        <w:rPr>
          <w:iCs/>
          <w:sz w:val="24"/>
          <w:szCs w:val="24"/>
          <w:u w:val="single"/>
        </w:rPr>
        <w:t>Fordeling</w:t>
      </w:r>
    </w:p>
    <w:p w:rsidR="00326E13" w:rsidRPr="008952C1" w:rsidRDefault="00326E13" w:rsidP="00326E13">
      <w:pPr>
        <w:ind w:left="851"/>
        <w:rPr>
          <w:sz w:val="24"/>
          <w:szCs w:val="24"/>
        </w:rPr>
      </w:pPr>
      <w:proofErr w:type="spellStart"/>
      <w:r w:rsidRPr="000871EA">
        <w:rPr>
          <w:sz w:val="24"/>
          <w:szCs w:val="24"/>
        </w:rPr>
        <w:t>Cefazolin</w:t>
      </w:r>
      <w:proofErr w:type="spellEnd"/>
      <w:r w:rsidRPr="000871EA">
        <w:rPr>
          <w:sz w:val="24"/>
          <w:szCs w:val="24"/>
        </w:rPr>
        <w:t xml:space="preserve"> er for 70 % - 86 % bundet til plasmaproteiner. </w:t>
      </w:r>
      <w:r w:rsidRPr="008952C1">
        <w:rPr>
          <w:sz w:val="24"/>
          <w:szCs w:val="24"/>
        </w:rPr>
        <w:t>Fordelingsvolumen er cirka 11 l/1,73 m</w:t>
      </w:r>
      <w:r w:rsidRPr="008952C1">
        <w:rPr>
          <w:sz w:val="24"/>
          <w:szCs w:val="24"/>
          <w:vertAlign w:val="superscript"/>
        </w:rPr>
        <w:t>2</w:t>
      </w:r>
      <w:r w:rsidRPr="008952C1">
        <w:rPr>
          <w:sz w:val="24"/>
          <w:szCs w:val="24"/>
        </w:rPr>
        <w:t xml:space="preserve">. Når </w:t>
      </w:r>
      <w:proofErr w:type="spellStart"/>
      <w:r w:rsidRPr="008952C1">
        <w:rPr>
          <w:sz w:val="24"/>
          <w:szCs w:val="24"/>
        </w:rPr>
        <w:t>cefazolin</w:t>
      </w:r>
      <w:proofErr w:type="spellEnd"/>
      <w:r w:rsidRPr="008952C1">
        <w:rPr>
          <w:sz w:val="24"/>
          <w:szCs w:val="24"/>
        </w:rPr>
        <w:t xml:space="preserve"> administreres til patienter uden obstruktion af galdevejene, var niveauerne af antibiotikum 90-120 minutter efter administration generelt højere end antibiotikaniveauer i serum. Omvendt, hvor der findes </w:t>
      </w:r>
      <w:proofErr w:type="gramStart"/>
      <w:r w:rsidRPr="008952C1">
        <w:rPr>
          <w:sz w:val="24"/>
          <w:szCs w:val="24"/>
        </w:rPr>
        <w:t>obstruktion,  var</w:t>
      </w:r>
      <w:proofErr w:type="gramEnd"/>
      <w:r w:rsidRPr="008952C1">
        <w:rPr>
          <w:sz w:val="24"/>
          <w:szCs w:val="24"/>
        </w:rPr>
        <w:t xml:space="preserve"> koncentrationerne af antibiotikum i galden meget lavere end serumniveauerne. Efter administration af terapeutiske doser hos patienter med inflammerede </w:t>
      </w:r>
      <w:proofErr w:type="spellStart"/>
      <w:r w:rsidRPr="008952C1">
        <w:rPr>
          <w:sz w:val="24"/>
          <w:szCs w:val="24"/>
        </w:rPr>
        <w:t>meninges</w:t>
      </w:r>
      <w:proofErr w:type="spellEnd"/>
      <w:r w:rsidRPr="008952C1">
        <w:rPr>
          <w:sz w:val="24"/>
          <w:szCs w:val="24"/>
        </w:rPr>
        <w:t xml:space="preserve">, blev varierende koncentrationer af </w:t>
      </w:r>
      <w:proofErr w:type="spellStart"/>
      <w:r w:rsidRPr="008952C1">
        <w:rPr>
          <w:sz w:val="24"/>
          <w:szCs w:val="24"/>
        </w:rPr>
        <w:t>cefazolin</w:t>
      </w:r>
      <w:proofErr w:type="spellEnd"/>
      <w:r w:rsidRPr="008952C1">
        <w:rPr>
          <w:sz w:val="24"/>
          <w:szCs w:val="24"/>
        </w:rPr>
        <w:t xml:space="preserve"> fra 0 to 0,4 mikrogram/ml målt </w:t>
      </w:r>
      <w:proofErr w:type="gramStart"/>
      <w:r w:rsidRPr="008952C1">
        <w:rPr>
          <w:sz w:val="24"/>
          <w:szCs w:val="24"/>
        </w:rPr>
        <w:t xml:space="preserve">i  </w:t>
      </w:r>
      <w:proofErr w:type="spellStart"/>
      <w:r w:rsidRPr="008952C1">
        <w:rPr>
          <w:sz w:val="24"/>
          <w:szCs w:val="24"/>
        </w:rPr>
        <w:t>cerebrospinalvæsken</w:t>
      </w:r>
      <w:proofErr w:type="spellEnd"/>
      <w:proofErr w:type="gramEnd"/>
      <w:r w:rsidRPr="008952C1">
        <w:rPr>
          <w:sz w:val="24"/>
          <w:szCs w:val="24"/>
        </w:rPr>
        <w:t xml:space="preserve">. </w:t>
      </w:r>
      <w:proofErr w:type="spellStart"/>
      <w:r w:rsidRPr="008952C1">
        <w:rPr>
          <w:sz w:val="24"/>
          <w:szCs w:val="24"/>
        </w:rPr>
        <w:t>Cefazolin</w:t>
      </w:r>
      <w:proofErr w:type="spellEnd"/>
      <w:r w:rsidRPr="008952C1">
        <w:rPr>
          <w:sz w:val="24"/>
          <w:szCs w:val="24"/>
        </w:rPr>
        <w:t xml:space="preserve"> kan let passere gennem inflammerede </w:t>
      </w:r>
      <w:proofErr w:type="spellStart"/>
      <w:r w:rsidRPr="008952C1">
        <w:rPr>
          <w:sz w:val="24"/>
          <w:szCs w:val="24"/>
        </w:rPr>
        <w:t>synovialismembraner</w:t>
      </w:r>
      <w:proofErr w:type="spellEnd"/>
      <w:r w:rsidRPr="008952C1">
        <w:rPr>
          <w:sz w:val="24"/>
          <w:szCs w:val="24"/>
        </w:rPr>
        <w:t xml:space="preserve"> og den opnåede antibiotikakoncentration i led er magen til serumniveauerne.</w:t>
      </w:r>
    </w:p>
    <w:p w:rsidR="00326E13" w:rsidRPr="008952C1" w:rsidRDefault="00326E13" w:rsidP="00326E13">
      <w:pPr>
        <w:ind w:left="851"/>
        <w:rPr>
          <w:sz w:val="24"/>
          <w:szCs w:val="24"/>
        </w:rPr>
      </w:pPr>
    </w:p>
    <w:p w:rsidR="00326E13" w:rsidRPr="00326E13" w:rsidRDefault="00326E13" w:rsidP="00326E13">
      <w:pPr>
        <w:ind w:left="851"/>
        <w:rPr>
          <w:sz w:val="24"/>
          <w:szCs w:val="24"/>
          <w:u w:val="single"/>
        </w:rPr>
      </w:pPr>
      <w:r w:rsidRPr="00326E13">
        <w:rPr>
          <w:iCs/>
          <w:sz w:val="24"/>
          <w:szCs w:val="24"/>
          <w:u w:val="single"/>
        </w:rPr>
        <w:t>Biotransformation</w:t>
      </w:r>
    </w:p>
    <w:p w:rsidR="00326E13" w:rsidRPr="008952C1" w:rsidRDefault="00326E13" w:rsidP="00326E13">
      <w:pPr>
        <w:ind w:left="851"/>
        <w:rPr>
          <w:sz w:val="24"/>
          <w:szCs w:val="24"/>
        </w:rPr>
      </w:pPr>
      <w:proofErr w:type="spellStart"/>
      <w:r w:rsidRPr="008952C1">
        <w:rPr>
          <w:sz w:val="24"/>
          <w:szCs w:val="24"/>
        </w:rPr>
        <w:t>Cefazolin</w:t>
      </w:r>
      <w:proofErr w:type="spellEnd"/>
      <w:r w:rsidRPr="008952C1">
        <w:rPr>
          <w:sz w:val="24"/>
          <w:szCs w:val="24"/>
        </w:rPr>
        <w:t xml:space="preserve"> </w:t>
      </w:r>
      <w:proofErr w:type="spellStart"/>
      <w:r w:rsidRPr="008952C1">
        <w:rPr>
          <w:sz w:val="24"/>
          <w:szCs w:val="24"/>
        </w:rPr>
        <w:t>metaboliseres</w:t>
      </w:r>
      <w:proofErr w:type="spellEnd"/>
      <w:r w:rsidRPr="008952C1">
        <w:rPr>
          <w:sz w:val="24"/>
          <w:szCs w:val="24"/>
        </w:rPr>
        <w:t xml:space="preserve"> ikke.</w:t>
      </w:r>
    </w:p>
    <w:p w:rsidR="00326E13" w:rsidRPr="008952C1" w:rsidRDefault="00326E13" w:rsidP="00326E13">
      <w:pPr>
        <w:ind w:left="851"/>
        <w:rPr>
          <w:sz w:val="24"/>
          <w:szCs w:val="24"/>
        </w:rPr>
      </w:pPr>
    </w:p>
    <w:p w:rsidR="00326E13" w:rsidRPr="00326E13" w:rsidRDefault="00326E13" w:rsidP="00326E13">
      <w:pPr>
        <w:ind w:left="851"/>
        <w:rPr>
          <w:sz w:val="24"/>
          <w:szCs w:val="24"/>
          <w:u w:val="single"/>
        </w:rPr>
      </w:pPr>
      <w:r w:rsidRPr="00326E13">
        <w:rPr>
          <w:iCs/>
          <w:sz w:val="24"/>
          <w:szCs w:val="24"/>
          <w:u w:val="single"/>
        </w:rPr>
        <w:t>Elimination</w:t>
      </w:r>
    </w:p>
    <w:p w:rsidR="00B003BF" w:rsidRPr="00C84483" w:rsidRDefault="00326E13" w:rsidP="00326E13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 xml:space="preserve">Serumhalveringstiden er omkring 1 time og 35 minutter. </w:t>
      </w:r>
      <w:proofErr w:type="spellStart"/>
      <w:r w:rsidRPr="008952C1">
        <w:rPr>
          <w:sz w:val="24"/>
          <w:szCs w:val="24"/>
        </w:rPr>
        <w:t>Cefazolin</w:t>
      </w:r>
      <w:proofErr w:type="spellEnd"/>
      <w:r w:rsidRPr="008952C1">
        <w:rPr>
          <w:sz w:val="24"/>
          <w:szCs w:val="24"/>
        </w:rPr>
        <w:t xml:space="preserve"> udskilles i en mikrobiologisk aktiv form i urinen. Cirka 56-89 % af en intramuskulær dosis på 500 mg udskilles i de første seks timer, 80 % til næsten 100 % udskilles inden for 24 timer. Efter intramuskulær administration af 500 mg og 1 g kan urinniveauer nå 500-4000 </w:t>
      </w:r>
      <w:proofErr w:type="spellStart"/>
      <w:r w:rsidRPr="008952C1">
        <w:rPr>
          <w:sz w:val="24"/>
          <w:szCs w:val="24"/>
        </w:rPr>
        <w:t>μg</w:t>
      </w:r>
      <w:proofErr w:type="spellEnd"/>
      <w:r w:rsidRPr="008952C1">
        <w:rPr>
          <w:sz w:val="24"/>
          <w:szCs w:val="24"/>
        </w:rPr>
        <w:t xml:space="preserve">/ml. </w:t>
      </w:r>
      <w:proofErr w:type="spellStart"/>
      <w:r w:rsidRPr="008952C1">
        <w:rPr>
          <w:sz w:val="24"/>
          <w:szCs w:val="24"/>
        </w:rPr>
        <w:t>Cefazolin</w:t>
      </w:r>
      <w:proofErr w:type="spellEnd"/>
      <w:r w:rsidRPr="008952C1">
        <w:rPr>
          <w:sz w:val="24"/>
          <w:szCs w:val="24"/>
        </w:rPr>
        <w:t xml:space="preserve"> fjernes hovedsagelig fra serum ved </w:t>
      </w:r>
      <w:proofErr w:type="spellStart"/>
      <w:r w:rsidRPr="008952C1">
        <w:rPr>
          <w:sz w:val="24"/>
          <w:szCs w:val="24"/>
        </w:rPr>
        <w:t>glomerulær</w:t>
      </w:r>
      <w:proofErr w:type="spellEnd"/>
      <w:r w:rsidRPr="008952C1">
        <w:rPr>
          <w:sz w:val="24"/>
          <w:szCs w:val="24"/>
        </w:rPr>
        <w:t xml:space="preserve"> filtration, den </w:t>
      </w:r>
      <w:proofErr w:type="spellStart"/>
      <w:r w:rsidRPr="008952C1">
        <w:rPr>
          <w:sz w:val="24"/>
          <w:szCs w:val="24"/>
        </w:rPr>
        <w:t>renale</w:t>
      </w:r>
      <w:proofErr w:type="spellEnd"/>
      <w:r w:rsidRPr="008952C1">
        <w:rPr>
          <w:sz w:val="24"/>
          <w:szCs w:val="24"/>
        </w:rPr>
        <w:t xml:space="preserve"> </w:t>
      </w:r>
      <w:proofErr w:type="spellStart"/>
      <w:r w:rsidRPr="008952C1">
        <w:rPr>
          <w:sz w:val="24"/>
          <w:szCs w:val="24"/>
        </w:rPr>
        <w:t>clearance</w:t>
      </w:r>
      <w:proofErr w:type="spellEnd"/>
      <w:r w:rsidRPr="008952C1">
        <w:rPr>
          <w:sz w:val="24"/>
          <w:szCs w:val="24"/>
        </w:rPr>
        <w:t xml:space="preserve"> er 65 ml/min/1,73 m</w:t>
      </w:r>
      <w:r w:rsidRPr="008952C1">
        <w:rPr>
          <w:sz w:val="24"/>
          <w:szCs w:val="24"/>
          <w:vertAlign w:val="superscript"/>
        </w:rPr>
        <w:t>2</w:t>
      </w:r>
      <w:r w:rsidRPr="008952C1">
        <w:rPr>
          <w:sz w:val="24"/>
          <w:szCs w:val="24"/>
        </w:rPr>
        <w:t>.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  <w:t>Prækliniske sikkerhedsdata</w:t>
      </w:r>
    </w:p>
    <w:p w:rsidR="00B003BF" w:rsidRPr="00FC1DA4" w:rsidRDefault="00FC1DA4" w:rsidP="00FC1DA4">
      <w:pPr>
        <w:ind w:left="851"/>
        <w:rPr>
          <w:color w:val="000000"/>
          <w:sz w:val="24"/>
          <w:szCs w:val="24"/>
        </w:rPr>
      </w:pPr>
      <w:r w:rsidRPr="008952C1">
        <w:rPr>
          <w:color w:val="000000"/>
          <w:sz w:val="24"/>
          <w:szCs w:val="24"/>
        </w:rPr>
        <w:t xml:space="preserve">Den akutte toksicitet for </w:t>
      </w:r>
      <w:proofErr w:type="spellStart"/>
      <w:r w:rsidRPr="008952C1">
        <w:rPr>
          <w:color w:val="000000"/>
          <w:sz w:val="24"/>
          <w:szCs w:val="24"/>
        </w:rPr>
        <w:t>cefazolin</w:t>
      </w:r>
      <w:proofErr w:type="spellEnd"/>
      <w:r w:rsidRPr="008952C1">
        <w:rPr>
          <w:color w:val="000000"/>
          <w:sz w:val="24"/>
          <w:szCs w:val="24"/>
        </w:rPr>
        <w:t xml:space="preserve"> er lav. Ved intravenøs applikation er LD50 hos rotter 2400-3700 mg/kg legemsvægt. Studier af kronisk toksicitet hos forskellige dyrearter (rotte, hund) afslørede intet bevis for toksiske virkninger. Imidlertid blev der hos hunde observeret muskelskade ved gentagen intramuskulær administration. Studier af den </w:t>
      </w:r>
      <w:proofErr w:type="spellStart"/>
      <w:r w:rsidRPr="008952C1">
        <w:rPr>
          <w:color w:val="000000"/>
          <w:sz w:val="24"/>
          <w:szCs w:val="24"/>
        </w:rPr>
        <w:t>renale</w:t>
      </w:r>
      <w:proofErr w:type="spellEnd"/>
      <w:r w:rsidRPr="008952C1">
        <w:rPr>
          <w:color w:val="000000"/>
          <w:sz w:val="24"/>
          <w:szCs w:val="24"/>
        </w:rPr>
        <w:t xml:space="preserve"> toksicitet hos kaniner viste et lavt </w:t>
      </w:r>
      <w:proofErr w:type="spellStart"/>
      <w:r w:rsidRPr="008952C1">
        <w:rPr>
          <w:color w:val="000000"/>
          <w:sz w:val="24"/>
          <w:szCs w:val="24"/>
        </w:rPr>
        <w:t>nefrotoksisk</w:t>
      </w:r>
      <w:proofErr w:type="spellEnd"/>
      <w:r w:rsidRPr="008952C1">
        <w:rPr>
          <w:color w:val="000000"/>
          <w:sz w:val="24"/>
          <w:szCs w:val="24"/>
        </w:rPr>
        <w:t xml:space="preserve"> potentiale ved </w:t>
      </w:r>
      <w:proofErr w:type="spellStart"/>
      <w:r w:rsidRPr="008952C1">
        <w:rPr>
          <w:color w:val="000000"/>
          <w:sz w:val="24"/>
          <w:szCs w:val="24"/>
        </w:rPr>
        <w:t>cefazolin</w:t>
      </w:r>
      <w:proofErr w:type="spellEnd"/>
      <w:r w:rsidRPr="008952C1">
        <w:rPr>
          <w:color w:val="000000"/>
          <w:sz w:val="24"/>
          <w:szCs w:val="24"/>
        </w:rPr>
        <w:t xml:space="preserve">. </w:t>
      </w:r>
      <w:proofErr w:type="spellStart"/>
      <w:r w:rsidRPr="008952C1">
        <w:rPr>
          <w:color w:val="000000"/>
          <w:sz w:val="24"/>
          <w:szCs w:val="24"/>
        </w:rPr>
        <w:t>Mutagenicitet</w:t>
      </w:r>
      <w:proofErr w:type="spellEnd"/>
      <w:r w:rsidRPr="008952C1">
        <w:rPr>
          <w:color w:val="000000"/>
          <w:sz w:val="24"/>
          <w:szCs w:val="24"/>
        </w:rPr>
        <w:t xml:space="preserve"> eller </w:t>
      </w:r>
      <w:proofErr w:type="spellStart"/>
      <w:r w:rsidRPr="008952C1">
        <w:rPr>
          <w:color w:val="000000"/>
          <w:sz w:val="24"/>
          <w:szCs w:val="24"/>
        </w:rPr>
        <w:t>eksperimentielle</w:t>
      </w:r>
      <w:proofErr w:type="spellEnd"/>
      <w:r w:rsidRPr="008952C1">
        <w:rPr>
          <w:color w:val="000000"/>
          <w:sz w:val="24"/>
          <w:szCs w:val="24"/>
        </w:rPr>
        <w:t xml:space="preserve"> dyrestudier </w:t>
      </w:r>
      <w:r w:rsidR="00485460">
        <w:rPr>
          <w:color w:val="000000"/>
          <w:sz w:val="24"/>
          <w:szCs w:val="24"/>
        </w:rPr>
        <w:t>af</w:t>
      </w:r>
      <w:r w:rsidRPr="008952C1">
        <w:rPr>
          <w:color w:val="000000"/>
          <w:sz w:val="24"/>
          <w:szCs w:val="24"/>
        </w:rPr>
        <w:t xml:space="preserve"> det </w:t>
      </w:r>
      <w:proofErr w:type="spellStart"/>
      <w:r w:rsidRPr="008952C1">
        <w:rPr>
          <w:color w:val="000000"/>
          <w:sz w:val="24"/>
          <w:szCs w:val="24"/>
        </w:rPr>
        <w:t>tumorigene</w:t>
      </w:r>
      <w:proofErr w:type="spellEnd"/>
      <w:r w:rsidRPr="008952C1">
        <w:rPr>
          <w:color w:val="000000"/>
          <w:sz w:val="24"/>
          <w:szCs w:val="24"/>
        </w:rPr>
        <w:t xml:space="preserve"> potentiale for </w:t>
      </w:r>
      <w:proofErr w:type="spellStart"/>
      <w:r w:rsidRPr="008952C1">
        <w:rPr>
          <w:color w:val="000000"/>
          <w:sz w:val="24"/>
          <w:szCs w:val="24"/>
        </w:rPr>
        <w:t>cefazolin</w:t>
      </w:r>
      <w:proofErr w:type="spellEnd"/>
      <w:r w:rsidRPr="008952C1">
        <w:rPr>
          <w:color w:val="000000"/>
          <w:sz w:val="24"/>
          <w:szCs w:val="24"/>
        </w:rPr>
        <w:t xml:space="preserve"> foreligger ikke. Dyrestudier </w:t>
      </w:r>
      <w:r w:rsidR="000B0B06">
        <w:rPr>
          <w:color w:val="000000"/>
          <w:sz w:val="24"/>
          <w:szCs w:val="24"/>
        </w:rPr>
        <w:t>gav</w:t>
      </w:r>
      <w:r w:rsidRPr="008952C1">
        <w:rPr>
          <w:color w:val="000000"/>
          <w:sz w:val="24"/>
          <w:szCs w:val="24"/>
        </w:rPr>
        <w:t xml:space="preserve"> intet bevis for </w:t>
      </w:r>
      <w:proofErr w:type="spellStart"/>
      <w:r w:rsidRPr="008952C1">
        <w:rPr>
          <w:color w:val="000000"/>
          <w:sz w:val="24"/>
          <w:szCs w:val="24"/>
        </w:rPr>
        <w:t>teratogene</w:t>
      </w:r>
      <w:proofErr w:type="spellEnd"/>
      <w:r w:rsidRPr="008952C1">
        <w:rPr>
          <w:color w:val="000000"/>
          <w:sz w:val="24"/>
          <w:szCs w:val="24"/>
        </w:rPr>
        <w:t xml:space="preserve"> virkninger med </w:t>
      </w:r>
      <w:proofErr w:type="spellStart"/>
      <w:r w:rsidRPr="008952C1">
        <w:rPr>
          <w:color w:val="000000"/>
          <w:sz w:val="24"/>
          <w:szCs w:val="24"/>
        </w:rPr>
        <w:t>cefazolin</w:t>
      </w:r>
      <w:proofErr w:type="spellEnd"/>
      <w:r w:rsidRPr="008952C1">
        <w:rPr>
          <w:color w:val="000000"/>
          <w:sz w:val="24"/>
          <w:szCs w:val="24"/>
        </w:rPr>
        <w:t xml:space="preserve">. Fertilitetsstudier og studier over peri- og </w:t>
      </w:r>
      <w:proofErr w:type="spellStart"/>
      <w:r w:rsidRPr="008952C1">
        <w:rPr>
          <w:color w:val="000000"/>
          <w:sz w:val="24"/>
          <w:szCs w:val="24"/>
        </w:rPr>
        <w:t>postnatal</w:t>
      </w:r>
      <w:proofErr w:type="spellEnd"/>
      <w:r w:rsidRPr="008952C1">
        <w:rPr>
          <w:color w:val="000000"/>
          <w:sz w:val="24"/>
          <w:szCs w:val="24"/>
        </w:rPr>
        <w:t xml:space="preserve"> toksicitet viste ingen tegn på skadelige virkninger af </w:t>
      </w:r>
      <w:proofErr w:type="spellStart"/>
      <w:r w:rsidRPr="008952C1">
        <w:rPr>
          <w:color w:val="000000"/>
          <w:sz w:val="24"/>
          <w:szCs w:val="24"/>
        </w:rPr>
        <w:t>cefazolin</w:t>
      </w:r>
      <w:proofErr w:type="spellEnd"/>
      <w:r w:rsidRPr="008952C1">
        <w:rPr>
          <w:color w:val="000000"/>
          <w:sz w:val="24"/>
          <w:szCs w:val="24"/>
        </w:rPr>
        <w:t>.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B003BF" w:rsidRPr="00C84483" w:rsidRDefault="00B003BF" w:rsidP="00B003BF">
      <w:pPr>
        <w:tabs>
          <w:tab w:val="left" w:pos="851"/>
        </w:tabs>
        <w:rPr>
          <w:b/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B003BF" w:rsidRPr="00C84483" w:rsidRDefault="00B003BF" w:rsidP="00B003BF">
      <w:pPr>
        <w:tabs>
          <w:tab w:val="left" w:pos="851"/>
        </w:tabs>
        <w:ind w:left="851" w:hanging="851"/>
        <w:rPr>
          <w:sz w:val="24"/>
          <w:szCs w:val="24"/>
        </w:rPr>
      </w:pPr>
      <w:r w:rsidRPr="00C84483">
        <w:rPr>
          <w:sz w:val="24"/>
          <w:szCs w:val="24"/>
        </w:rPr>
        <w:tab/>
      </w:r>
      <w:r w:rsidR="000B0B06">
        <w:rPr>
          <w:sz w:val="24"/>
          <w:szCs w:val="24"/>
        </w:rPr>
        <w:t>Ingen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0B0B06" w:rsidRPr="008952C1" w:rsidRDefault="000B0B06" w:rsidP="000B0B06">
      <w:pPr>
        <w:ind w:left="851"/>
        <w:rPr>
          <w:sz w:val="24"/>
          <w:szCs w:val="24"/>
        </w:rPr>
      </w:pPr>
      <w:proofErr w:type="spellStart"/>
      <w:r w:rsidRPr="008952C1">
        <w:rPr>
          <w:sz w:val="24"/>
          <w:szCs w:val="24"/>
        </w:rPr>
        <w:t>Cefazolin</w:t>
      </w:r>
      <w:proofErr w:type="spellEnd"/>
      <w:r w:rsidRPr="008952C1">
        <w:rPr>
          <w:sz w:val="24"/>
          <w:szCs w:val="24"/>
        </w:rPr>
        <w:t xml:space="preserve"> er inkompatibelt med </w:t>
      </w:r>
      <w:proofErr w:type="spellStart"/>
      <w:r w:rsidRPr="008952C1">
        <w:rPr>
          <w:sz w:val="24"/>
          <w:szCs w:val="24"/>
        </w:rPr>
        <w:t>amikacindisulfat</w:t>
      </w:r>
      <w:proofErr w:type="spellEnd"/>
      <w:r w:rsidRPr="008952C1">
        <w:rPr>
          <w:sz w:val="24"/>
          <w:szCs w:val="24"/>
        </w:rPr>
        <w:t xml:space="preserve">, </w:t>
      </w:r>
      <w:proofErr w:type="spellStart"/>
      <w:r w:rsidRPr="008952C1">
        <w:rPr>
          <w:sz w:val="24"/>
          <w:szCs w:val="24"/>
        </w:rPr>
        <w:t>amobarbital</w:t>
      </w:r>
      <w:proofErr w:type="spellEnd"/>
      <w:r w:rsidRPr="008952C1">
        <w:rPr>
          <w:sz w:val="24"/>
          <w:szCs w:val="24"/>
        </w:rPr>
        <w:t xml:space="preserve">-natrium, </w:t>
      </w:r>
      <w:proofErr w:type="spellStart"/>
      <w:r w:rsidRPr="008952C1">
        <w:rPr>
          <w:sz w:val="24"/>
          <w:szCs w:val="24"/>
        </w:rPr>
        <w:t>bleomycinsulfat</w:t>
      </w:r>
      <w:proofErr w:type="spellEnd"/>
      <w:r w:rsidRPr="008952C1">
        <w:rPr>
          <w:sz w:val="24"/>
          <w:szCs w:val="24"/>
        </w:rPr>
        <w:t xml:space="preserve">, </w:t>
      </w:r>
      <w:proofErr w:type="spellStart"/>
      <w:r w:rsidRPr="008952C1">
        <w:rPr>
          <w:sz w:val="24"/>
          <w:szCs w:val="24"/>
        </w:rPr>
        <w:t>calciumgluceptat</w:t>
      </w:r>
      <w:proofErr w:type="spellEnd"/>
      <w:r w:rsidRPr="008952C1">
        <w:rPr>
          <w:sz w:val="24"/>
          <w:szCs w:val="24"/>
        </w:rPr>
        <w:t xml:space="preserve">, </w:t>
      </w:r>
      <w:proofErr w:type="spellStart"/>
      <w:r w:rsidRPr="008952C1">
        <w:rPr>
          <w:sz w:val="24"/>
          <w:szCs w:val="24"/>
        </w:rPr>
        <w:t>calciumgluconat</w:t>
      </w:r>
      <w:proofErr w:type="spellEnd"/>
      <w:r w:rsidRPr="008952C1">
        <w:rPr>
          <w:sz w:val="24"/>
          <w:szCs w:val="24"/>
        </w:rPr>
        <w:t xml:space="preserve">, </w:t>
      </w:r>
      <w:proofErr w:type="spellStart"/>
      <w:r w:rsidRPr="008952C1">
        <w:rPr>
          <w:sz w:val="24"/>
          <w:szCs w:val="24"/>
        </w:rPr>
        <w:t>cimetidinhydrochlorid</w:t>
      </w:r>
      <w:proofErr w:type="spellEnd"/>
      <w:r w:rsidRPr="008952C1">
        <w:rPr>
          <w:sz w:val="24"/>
          <w:szCs w:val="24"/>
        </w:rPr>
        <w:t xml:space="preserve">, </w:t>
      </w:r>
      <w:proofErr w:type="spellStart"/>
      <w:r w:rsidRPr="008952C1">
        <w:rPr>
          <w:sz w:val="24"/>
          <w:szCs w:val="24"/>
        </w:rPr>
        <w:t>colistin</w:t>
      </w:r>
      <w:proofErr w:type="spellEnd"/>
      <w:r w:rsidRPr="008952C1">
        <w:rPr>
          <w:sz w:val="24"/>
          <w:szCs w:val="24"/>
        </w:rPr>
        <w:t xml:space="preserve"> </w:t>
      </w:r>
      <w:proofErr w:type="spellStart"/>
      <w:r w:rsidRPr="008952C1">
        <w:rPr>
          <w:sz w:val="24"/>
          <w:szCs w:val="24"/>
        </w:rPr>
        <w:t>methat</w:t>
      </w:r>
      <w:proofErr w:type="spellEnd"/>
      <w:r w:rsidRPr="008952C1">
        <w:rPr>
          <w:sz w:val="24"/>
          <w:szCs w:val="24"/>
        </w:rPr>
        <w:t xml:space="preserve">-natrium, </w:t>
      </w:r>
      <w:proofErr w:type="spellStart"/>
      <w:r w:rsidRPr="008952C1">
        <w:rPr>
          <w:sz w:val="24"/>
          <w:szCs w:val="24"/>
        </w:rPr>
        <w:t>erythromycingluceptat</w:t>
      </w:r>
      <w:proofErr w:type="spellEnd"/>
      <w:r w:rsidRPr="008952C1">
        <w:rPr>
          <w:sz w:val="24"/>
          <w:szCs w:val="24"/>
        </w:rPr>
        <w:t xml:space="preserve">, </w:t>
      </w:r>
      <w:proofErr w:type="spellStart"/>
      <w:r w:rsidRPr="008952C1">
        <w:rPr>
          <w:sz w:val="24"/>
          <w:szCs w:val="24"/>
        </w:rPr>
        <w:t>kanamycinsulfat</w:t>
      </w:r>
      <w:proofErr w:type="spellEnd"/>
      <w:r w:rsidRPr="008952C1">
        <w:rPr>
          <w:sz w:val="24"/>
          <w:szCs w:val="24"/>
        </w:rPr>
        <w:t xml:space="preserve">, </w:t>
      </w:r>
      <w:proofErr w:type="spellStart"/>
      <w:r w:rsidRPr="008952C1">
        <w:rPr>
          <w:sz w:val="24"/>
          <w:szCs w:val="24"/>
        </w:rPr>
        <w:t>oxytetracyclinhydrochlorid</w:t>
      </w:r>
      <w:proofErr w:type="spellEnd"/>
      <w:r w:rsidRPr="008952C1">
        <w:rPr>
          <w:sz w:val="24"/>
          <w:szCs w:val="24"/>
        </w:rPr>
        <w:t xml:space="preserve">, </w:t>
      </w:r>
      <w:proofErr w:type="spellStart"/>
      <w:r w:rsidRPr="008952C1">
        <w:rPr>
          <w:sz w:val="24"/>
          <w:szCs w:val="24"/>
        </w:rPr>
        <w:t>pentobarbital</w:t>
      </w:r>
      <w:proofErr w:type="spellEnd"/>
      <w:r w:rsidRPr="008952C1">
        <w:rPr>
          <w:sz w:val="24"/>
          <w:szCs w:val="24"/>
        </w:rPr>
        <w:t xml:space="preserve">-natrium, </w:t>
      </w:r>
      <w:proofErr w:type="spellStart"/>
      <w:r w:rsidRPr="008952C1">
        <w:rPr>
          <w:sz w:val="24"/>
          <w:szCs w:val="24"/>
        </w:rPr>
        <w:t>polymyxin</w:t>
      </w:r>
      <w:proofErr w:type="spellEnd"/>
      <w:r w:rsidRPr="008952C1">
        <w:rPr>
          <w:sz w:val="24"/>
          <w:szCs w:val="24"/>
        </w:rPr>
        <w:t xml:space="preserve">-B-sulfat og </w:t>
      </w:r>
      <w:proofErr w:type="spellStart"/>
      <w:r w:rsidRPr="008952C1">
        <w:rPr>
          <w:sz w:val="24"/>
          <w:szCs w:val="24"/>
        </w:rPr>
        <w:t>tetracyclinhydrochlorid</w:t>
      </w:r>
      <w:proofErr w:type="spellEnd"/>
      <w:r w:rsidRPr="008952C1">
        <w:rPr>
          <w:sz w:val="24"/>
          <w:szCs w:val="24"/>
        </w:rPr>
        <w:t>.</w:t>
      </w:r>
    </w:p>
    <w:p w:rsidR="00B003BF" w:rsidRPr="00C84483" w:rsidRDefault="000B0B06" w:rsidP="000B0B06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 xml:space="preserve">Dette lægemiddel må ikke blandes med andre lægemidler </w:t>
      </w:r>
      <w:r w:rsidR="002C5FA8">
        <w:rPr>
          <w:sz w:val="24"/>
          <w:szCs w:val="24"/>
        </w:rPr>
        <w:t>end</w:t>
      </w:r>
      <w:r w:rsidRPr="008952C1">
        <w:rPr>
          <w:sz w:val="24"/>
          <w:szCs w:val="24"/>
        </w:rPr>
        <w:t xml:space="preserve"> dem, der er nævnt </w:t>
      </w:r>
      <w:r w:rsidR="002C5FA8">
        <w:rPr>
          <w:sz w:val="24"/>
          <w:szCs w:val="24"/>
        </w:rPr>
        <w:t>i</w:t>
      </w:r>
      <w:r w:rsidRPr="008952C1">
        <w:rPr>
          <w:sz w:val="24"/>
          <w:szCs w:val="24"/>
        </w:rPr>
        <w:t xml:space="preserve"> pkt. 6.6.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227F5D" w:rsidRPr="000871EA" w:rsidRDefault="00227F5D" w:rsidP="00227F5D">
      <w:pPr>
        <w:ind w:left="851"/>
        <w:rPr>
          <w:sz w:val="24"/>
          <w:szCs w:val="24"/>
        </w:rPr>
      </w:pPr>
      <w:r w:rsidRPr="000871EA">
        <w:rPr>
          <w:sz w:val="24"/>
          <w:szCs w:val="24"/>
        </w:rPr>
        <w:t>3 år.</w:t>
      </w:r>
    </w:p>
    <w:p w:rsidR="00227F5D" w:rsidRPr="000871EA" w:rsidRDefault="00227F5D" w:rsidP="00227F5D">
      <w:pPr>
        <w:ind w:left="851"/>
        <w:rPr>
          <w:sz w:val="24"/>
          <w:szCs w:val="24"/>
        </w:rPr>
      </w:pPr>
    </w:p>
    <w:p w:rsidR="00227F5D" w:rsidRPr="008952C1" w:rsidRDefault="00227F5D" w:rsidP="00227F5D">
      <w:pPr>
        <w:ind w:left="851"/>
        <w:rPr>
          <w:sz w:val="24"/>
          <w:szCs w:val="24"/>
          <w:u w:val="single"/>
        </w:rPr>
      </w:pPr>
      <w:r w:rsidRPr="008952C1">
        <w:rPr>
          <w:sz w:val="24"/>
          <w:szCs w:val="24"/>
          <w:u w:val="single"/>
        </w:rPr>
        <w:t xml:space="preserve">Opbevaringstid for den </w:t>
      </w:r>
      <w:proofErr w:type="spellStart"/>
      <w:r w:rsidRPr="008952C1">
        <w:rPr>
          <w:sz w:val="24"/>
          <w:szCs w:val="24"/>
          <w:u w:val="single"/>
        </w:rPr>
        <w:t>rekonstituerede</w:t>
      </w:r>
      <w:proofErr w:type="spellEnd"/>
      <w:r w:rsidRPr="008952C1">
        <w:rPr>
          <w:sz w:val="24"/>
          <w:szCs w:val="24"/>
          <w:u w:val="single"/>
        </w:rPr>
        <w:t xml:space="preserve"> opløsning til injektion/infusion</w:t>
      </w:r>
    </w:p>
    <w:p w:rsidR="00B003BF" w:rsidRPr="00C84483" w:rsidRDefault="00227F5D" w:rsidP="00227F5D">
      <w:pPr>
        <w:ind w:left="851"/>
        <w:rPr>
          <w:sz w:val="24"/>
          <w:szCs w:val="24"/>
          <w:lang w:eastAsia="fi-FI"/>
        </w:rPr>
      </w:pPr>
      <w:r w:rsidRPr="008952C1">
        <w:rPr>
          <w:sz w:val="24"/>
          <w:szCs w:val="24"/>
        </w:rPr>
        <w:t>Den kemiske og fysiske stabilitet af den klargjorte opløsning er 12 timer ved 25 °C og 24 timer ved 2-8 °C. Fra et mikrobiologisk synspunkt bør den klargjorte opløsning anvendes med det samme. Hvis den ikke a</w:t>
      </w:r>
      <w:r w:rsidR="005170DF">
        <w:rPr>
          <w:sz w:val="24"/>
          <w:szCs w:val="24"/>
        </w:rPr>
        <w:t xml:space="preserve">nvendes med det samme, er </w:t>
      </w:r>
      <w:proofErr w:type="spellStart"/>
      <w:r w:rsidR="005170DF">
        <w:rPr>
          <w:sz w:val="24"/>
          <w:szCs w:val="24"/>
        </w:rPr>
        <w:t>ibrug</w:t>
      </w:r>
      <w:proofErr w:type="spellEnd"/>
      <w:r w:rsidR="005170DF">
        <w:rPr>
          <w:sz w:val="24"/>
          <w:szCs w:val="24"/>
        </w:rPr>
        <w:t>-</w:t>
      </w:r>
      <w:r w:rsidRPr="008952C1">
        <w:rPr>
          <w:sz w:val="24"/>
          <w:szCs w:val="24"/>
        </w:rPr>
        <w:t>opbevaringstider og betingelser brugerens ansvar.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9269D4" w:rsidRDefault="009269D4" w:rsidP="009269D4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 xml:space="preserve">Må ikke opbevares ved </w:t>
      </w:r>
      <w:r>
        <w:rPr>
          <w:sz w:val="24"/>
          <w:szCs w:val="24"/>
        </w:rPr>
        <w:t xml:space="preserve">temperaturer </w:t>
      </w:r>
      <w:r w:rsidRPr="008952C1">
        <w:rPr>
          <w:sz w:val="24"/>
          <w:szCs w:val="24"/>
        </w:rPr>
        <w:t>over 30</w:t>
      </w:r>
      <w:r>
        <w:rPr>
          <w:sz w:val="24"/>
          <w:szCs w:val="24"/>
        </w:rPr>
        <w:t xml:space="preserve"> °C.</w:t>
      </w:r>
    </w:p>
    <w:p w:rsidR="009269D4" w:rsidRPr="008952C1" w:rsidRDefault="009269D4" w:rsidP="009269D4">
      <w:pPr>
        <w:ind w:left="851"/>
        <w:rPr>
          <w:noProof/>
          <w:sz w:val="24"/>
          <w:szCs w:val="24"/>
        </w:rPr>
      </w:pPr>
      <w:r w:rsidRPr="008952C1">
        <w:rPr>
          <w:sz w:val="24"/>
          <w:szCs w:val="24"/>
        </w:rPr>
        <w:t>Opbevar hætteglasset i den ydre karton for at beskytte mod lys</w:t>
      </w:r>
      <w:r w:rsidRPr="008952C1">
        <w:rPr>
          <w:noProof/>
          <w:sz w:val="24"/>
          <w:szCs w:val="24"/>
        </w:rPr>
        <w:t>.</w:t>
      </w:r>
    </w:p>
    <w:p w:rsidR="009269D4" w:rsidRDefault="009269D4" w:rsidP="009269D4">
      <w:pPr>
        <w:ind w:left="851"/>
        <w:rPr>
          <w:noProof/>
          <w:sz w:val="24"/>
          <w:szCs w:val="24"/>
        </w:rPr>
      </w:pPr>
    </w:p>
    <w:p w:rsidR="003852DE" w:rsidRDefault="009269D4" w:rsidP="007F145E">
      <w:pPr>
        <w:ind w:left="851"/>
        <w:rPr>
          <w:noProof/>
          <w:sz w:val="24"/>
          <w:szCs w:val="24"/>
        </w:rPr>
      </w:pPr>
      <w:r w:rsidRPr="008952C1">
        <w:rPr>
          <w:noProof/>
          <w:sz w:val="24"/>
          <w:szCs w:val="24"/>
        </w:rPr>
        <w:t>Se pkt. 6.3 for opbevaringsbetingelser efter rekonstitution.</w:t>
      </w:r>
    </w:p>
    <w:p w:rsidR="00B003BF" w:rsidRPr="00C84483" w:rsidRDefault="00B003BF" w:rsidP="009269D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Emballagetyper og pakningsstørrelser</w:t>
      </w:r>
    </w:p>
    <w:p w:rsidR="009269D4" w:rsidRDefault="009269D4" w:rsidP="009269D4">
      <w:pPr>
        <w:ind w:left="851"/>
        <w:rPr>
          <w:sz w:val="24"/>
          <w:szCs w:val="24"/>
        </w:rPr>
      </w:pPr>
      <w:r w:rsidRPr="008952C1">
        <w:rPr>
          <w:bCs/>
          <w:iCs/>
          <w:sz w:val="24"/>
          <w:szCs w:val="24"/>
        </w:rPr>
        <w:t xml:space="preserve">15 ml (type I) og 100 ml hætteglas af farveløst glas (type II), lukket med en gummiprop af </w:t>
      </w:r>
      <w:proofErr w:type="spellStart"/>
      <w:r w:rsidR="00620DCA">
        <w:rPr>
          <w:bCs/>
          <w:iCs/>
          <w:sz w:val="24"/>
          <w:szCs w:val="24"/>
        </w:rPr>
        <w:t>ch</w:t>
      </w:r>
      <w:r w:rsidRPr="008952C1">
        <w:rPr>
          <w:bCs/>
          <w:iCs/>
          <w:sz w:val="24"/>
          <w:szCs w:val="24"/>
        </w:rPr>
        <w:t>lorobutyl</w:t>
      </w:r>
      <w:proofErr w:type="spellEnd"/>
      <w:r w:rsidRPr="008952C1">
        <w:rPr>
          <w:bCs/>
          <w:iCs/>
          <w:sz w:val="24"/>
          <w:szCs w:val="24"/>
        </w:rPr>
        <w:t>, der er forseglet med en aluminium flip-</w:t>
      </w:r>
      <w:proofErr w:type="spellStart"/>
      <w:r w:rsidRPr="008952C1">
        <w:rPr>
          <w:bCs/>
          <w:iCs/>
          <w:sz w:val="24"/>
          <w:szCs w:val="24"/>
        </w:rPr>
        <w:t>off</w:t>
      </w:r>
      <w:proofErr w:type="spellEnd"/>
      <w:r w:rsidRPr="008952C1">
        <w:rPr>
          <w:bCs/>
          <w:iCs/>
          <w:sz w:val="24"/>
          <w:szCs w:val="24"/>
        </w:rPr>
        <w:t xml:space="preserve"> hætte</w:t>
      </w:r>
      <w:r w:rsidRPr="008952C1">
        <w:rPr>
          <w:sz w:val="24"/>
          <w:szCs w:val="24"/>
        </w:rPr>
        <w:t>.</w:t>
      </w:r>
    </w:p>
    <w:p w:rsidR="00013F0B" w:rsidRPr="008952C1" w:rsidRDefault="00013F0B" w:rsidP="009269D4">
      <w:pPr>
        <w:ind w:left="851"/>
        <w:rPr>
          <w:sz w:val="24"/>
          <w:szCs w:val="24"/>
        </w:rPr>
      </w:pPr>
    </w:p>
    <w:p w:rsidR="009269D4" w:rsidRPr="008952C1" w:rsidRDefault="009269D4" w:rsidP="009269D4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>Pakning</w:t>
      </w:r>
      <w:r w:rsidR="002E1E49">
        <w:rPr>
          <w:sz w:val="24"/>
          <w:szCs w:val="24"/>
        </w:rPr>
        <w:t xml:space="preserve">sstørrelser: </w:t>
      </w:r>
      <w:r w:rsidRPr="008952C1">
        <w:rPr>
          <w:sz w:val="24"/>
          <w:szCs w:val="24"/>
        </w:rPr>
        <w:t>1, 5 og 10 hætteglas.</w:t>
      </w:r>
    </w:p>
    <w:p w:rsidR="009269D4" w:rsidRPr="008952C1" w:rsidRDefault="009269D4" w:rsidP="009269D4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>Ikke alle pakningsstørrelser er nødvendigvis markedsført.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>Regler for destruktion og anden håndtering</w:t>
      </w:r>
    </w:p>
    <w:p w:rsidR="002E1E49" w:rsidRDefault="002E1E49" w:rsidP="002E1E49">
      <w:pPr>
        <w:ind w:left="851"/>
        <w:rPr>
          <w:b/>
          <w:sz w:val="24"/>
          <w:szCs w:val="24"/>
          <w:u w:val="single"/>
        </w:rPr>
      </w:pPr>
    </w:p>
    <w:p w:rsidR="002E1E49" w:rsidRPr="003C4748" w:rsidRDefault="002E1E49" w:rsidP="002E1E49">
      <w:pPr>
        <w:ind w:left="851"/>
        <w:rPr>
          <w:b/>
          <w:sz w:val="24"/>
          <w:szCs w:val="24"/>
        </w:rPr>
      </w:pPr>
      <w:r w:rsidRPr="003C4748">
        <w:rPr>
          <w:b/>
          <w:sz w:val="24"/>
          <w:szCs w:val="24"/>
        </w:rPr>
        <w:t>Klargøring af opløsningen</w:t>
      </w:r>
    </w:p>
    <w:p w:rsidR="002E1E49" w:rsidRPr="008952C1" w:rsidRDefault="002E1E49" w:rsidP="002E1E49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>Se tabellen for tilsatte mængder og opløsningskoncentrationer for hver administrationsvej, hvilket kan være anvendeligt, når små doser er påkrævet.</w:t>
      </w:r>
    </w:p>
    <w:p w:rsidR="002E1E49" w:rsidRPr="008952C1" w:rsidRDefault="002E1E49" w:rsidP="002E1E49">
      <w:pPr>
        <w:ind w:left="851"/>
        <w:rPr>
          <w:sz w:val="24"/>
          <w:szCs w:val="24"/>
        </w:rPr>
      </w:pPr>
    </w:p>
    <w:p w:rsidR="002E1E49" w:rsidRPr="00D91A2B" w:rsidRDefault="002E1E49" w:rsidP="002E1E49">
      <w:pPr>
        <w:ind w:left="851"/>
        <w:rPr>
          <w:sz w:val="24"/>
          <w:szCs w:val="24"/>
          <w:u w:val="single"/>
        </w:rPr>
      </w:pPr>
      <w:r w:rsidRPr="00D91A2B">
        <w:rPr>
          <w:sz w:val="24"/>
          <w:szCs w:val="24"/>
          <w:u w:val="single"/>
        </w:rPr>
        <w:t>Intravenøs injektion</w:t>
      </w:r>
    </w:p>
    <w:p w:rsidR="002E1E49" w:rsidRPr="008952C1" w:rsidRDefault="002E1E49" w:rsidP="002E1E49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>Det tørre pulver opløses i mindst 10 ml vand til injektion</w:t>
      </w:r>
      <w:r w:rsidR="00D91A2B">
        <w:rPr>
          <w:sz w:val="24"/>
          <w:szCs w:val="24"/>
        </w:rPr>
        <w:t>svæsk</w:t>
      </w:r>
      <w:r w:rsidRPr="008952C1">
        <w:rPr>
          <w:sz w:val="24"/>
          <w:szCs w:val="24"/>
        </w:rPr>
        <w:t xml:space="preserve">er, en opløsning af fysiologisk </w:t>
      </w:r>
      <w:proofErr w:type="spellStart"/>
      <w:r w:rsidRPr="008952C1">
        <w:rPr>
          <w:sz w:val="24"/>
          <w:szCs w:val="24"/>
        </w:rPr>
        <w:t>natrium</w:t>
      </w:r>
      <w:r w:rsidR="00D91A2B">
        <w:rPr>
          <w:sz w:val="24"/>
          <w:szCs w:val="24"/>
        </w:rPr>
        <w:t>ch</w:t>
      </w:r>
      <w:r w:rsidRPr="008952C1">
        <w:rPr>
          <w:sz w:val="24"/>
          <w:szCs w:val="24"/>
        </w:rPr>
        <w:t>lorid</w:t>
      </w:r>
      <w:proofErr w:type="spellEnd"/>
      <w:r w:rsidRPr="008952C1">
        <w:rPr>
          <w:sz w:val="24"/>
          <w:szCs w:val="24"/>
        </w:rPr>
        <w:t xml:space="preserve"> (0,9 %) eller 5 % </w:t>
      </w:r>
      <w:proofErr w:type="spellStart"/>
      <w:r w:rsidRPr="008952C1">
        <w:rPr>
          <w:sz w:val="24"/>
          <w:szCs w:val="24"/>
        </w:rPr>
        <w:t>glucoseopløsning</w:t>
      </w:r>
      <w:proofErr w:type="spellEnd"/>
      <w:r w:rsidRPr="008952C1">
        <w:rPr>
          <w:sz w:val="24"/>
          <w:szCs w:val="24"/>
        </w:rPr>
        <w:t>.</w:t>
      </w:r>
    </w:p>
    <w:p w:rsidR="002E1E49" w:rsidRPr="008952C1" w:rsidRDefault="002E1E49" w:rsidP="002E1E49">
      <w:pPr>
        <w:ind w:left="851"/>
        <w:rPr>
          <w:sz w:val="24"/>
          <w:szCs w:val="24"/>
        </w:rPr>
      </w:pPr>
    </w:p>
    <w:p w:rsidR="002E1E49" w:rsidRDefault="002E1E49" w:rsidP="002E1E49">
      <w:pPr>
        <w:ind w:left="851"/>
        <w:rPr>
          <w:sz w:val="24"/>
          <w:szCs w:val="24"/>
          <w:lang w:val="en-GB"/>
        </w:rPr>
      </w:pPr>
      <w:proofErr w:type="spellStart"/>
      <w:r w:rsidRPr="008952C1">
        <w:rPr>
          <w:sz w:val="24"/>
          <w:szCs w:val="24"/>
          <w:lang w:val="en-GB"/>
        </w:rPr>
        <w:t>Rekonstitutionstabel</w:t>
      </w:r>
      <w:proofErr w:type="spellEnd"/>
      <w:r w:rsidRPr="008952C1">
        <w:rPr>
          <w:sz w:val="24"/>
          <w:szCs w:val="24"/>
          <w:lang w:val="en-GB"/>
        </w:rPr>
        <w:t xml:space="preserve"> for </w:t>
      </w:r>
      <w:proofErr w:type="spellStart"/>
      <w:r w:rsidRPr="008952C1">
        <w:rPr>
          <w:sz w:val="24"/>
          <w:szCs w:val="24"/>
          <w:lang w:val="en-GB"/>
        </w:rPr>
        <w:t>intravenøs</w:t>
      </w:r>
      <w:proofErr w:type="spellEnd"/>
      <w:r w:rsidRPr="008952C1">
        <w:rPr>
          <w:sz w:val="24"/>
          <w:szCs w:val="24"/>
          <w:lang w:val="en-GB"/>
        </w:rPr>
        <w:t xml:space="preserve"> </w:t>
      </w:r>
      <w:r w:rsidR="005F4651">
        <w:rPr>
          <w:sz w:val="24"/>
          <w:szCs w:val="24"/>
          <w:lang w:val="en-GB"/>
        </w:rPr>
        <w:t>injection</w:t>
      </w:r>
    </w:p>
    <w:p w:rsidR="005F4651" w:rsidRPr="008952C1" w:rsidRDefault="005F4651" w:rsidP="002E1E49">
      <w:pPr>
        <w:ind w:left="851"/>
        <w:rPr>
          <w:sz w:val="24"/>
          <w:szCs w:val="24"/>
          <w:lang w:val="en-GB"/>
        </w:rPr>
      </w:pPr>
    </w:p>
    <w:tbl>
      <w:tblPr>
        <w:tblW w:w="907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3259"/>
        <w:gridCol w:w="3260"/>
      </w:tblGrid>
      <w:tr w:rsidR="002E1E49" w:rsidRPr="008952C1" w:rsidTr="00EA5ABB">
        <w:tc>
          <w:tcPr>
            <w:tcW w:w="2551" w:type="dxa"/>
            <w:shd w:val="clear" w:color="auto" w:fill="auto"/>
          </w:tcPr>
          <w:p w:rsidR="002E1E49" w:rsidRPr="008952C1" w:rsidRDefault="002E1E49" w:rsidP="00EA5ABB">
            <w:pPr>
              <w:ind w:left="142"/>
              <w:rPr>
                <w:sz w:val="24"/>
                <w:szCs w:val="24"/>
                <w:lang w:val="en-GB"/>
              </w:rPr>
            </w:pPr>
            <w:proofErr w:type="spellStart"/>
            <w:r w:rsidRPr="008952C1">
              <w:rPr>
                <w:sz w:val="24"/>
                <w:szCs w:val="24"/>
                <w:lang w:val="en-GB"/>
              </w:rPr>
              <w:t>Indhold</w:t>
            </w:r>
            <w:proofErr w:type="spellEnd"/>
            <w:r w:rsidRPr="008952C1">
              <w:rPr>
                <w:sz w:val="24"/>
                <w:szCs w:val="24"/>
                <w:lang w:val="en-GB"/>
              </w:rPr>
              <w:t xml:space="preserve"> pr. </w:t>
            </w:r>
            <w:proofErr w:type="spellStart"/>
            <w:r w:rsidRPr="008952C1">
              <w:rPr>
                <w:sz w:val="24"/>
                <w:szCs w:val="24"/>
                <w:lang w:val="en-GB"/>
              </w:rPr>
              <w:t>hætteglas</w:t>
            </w:r>
            <w:proofErr w:type="spellEnd"/>
          </w:p>
        </w:tc>
        <w:tc>
          <w:tcPr>
            <w:tcW w:w="3259" w:type="dxa"/>
            <w:shd w:val="clear" w:color="auto" w:fill="auto"/>
          </w:tcPr>
          <w:p w:rsidR="002E1E49" w:rsidRPr="008952C1" w:rsidRDefault="002E1E49" w:rsidP="00EA5ABB">
            <w:pPr>
              <w:ind w:left="143"/>
              <w:rPr>
                <w:sz w:val="24"/>
                <w:szCs w:val="24"/>
              </w:rPr>
            </w:pPr>
            <w:r w:rsidRPr="008952C1">
              <w:rPr>
                <w:sz w:val="24"/>
                <w:szCs w:val="24"/>
              </w:rPr>
              <w:t>Minimum mængde fortynder, der skal tilsættes</w:t>
            </w:r>
          </w:p>
        </w:tc>
        <w:tc>
          <w:tcPr>
            <w:tcW w:w="3260" w:type="dxa"/>
            <w:shd w:val="clear" w:color="auto" w:fill="auto"/>
          </w:tcPr>
          <w:p w:rsidR="002E1E49" w:rsidRPr="008952C1" w:rsidRDefault="002E1E49" w:rsidP="00D91A2B">
            <w:pPr>
              <w:ind w:left="145"/>
              <w:rPr>
                <w:sz w:val="24"/>
                <w:szCs w:val="24"/>
                <w:lang w:val="en-GB"/>
              </w:rPr>
            </w:pPr>
            <w:proofErr w:type="spellStart"/>
            <w:r w:rsidRPr="008952C1">
              <w:rPr>
                <w:sz w:val="24"/>
                <w:szCs w:val="24"/>
                <w:lang w:val="en-GB"/>
              </w:rPr>
              <w:t>Omtrentlig</w:t>
            </w:r>
            <w:proofErr w:type="spellEnd"/>
            <w:r w:rsidRPr="008952C1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8952C1">
              <w:rPr>
                <w:sz w:val="24"/>
                <w:szCs w:val="24"/>
                <w:lang w:val="en-GB"/>
              </w:rPr>
              <w:t>koncentration</w:t>
            </w:r>
            <w:proofErr w:type="spellEnd"/>
          </w:p>
        </w:tc>
      </w:tr>
      <w:tr w:rsidR="002E1E49" w:rsidRPr="008952C1" w:rsidTr="00EA5ABB">
        <w:tc>
          <w:tcPr>
            <w:tcW w:w="2551" w:type="dxa"/>
            <w:shd w:val="clear" w:color="auto" w:fill="auto"/>
          </w:tcPr>
          <w:p w:rsidR="002E1E49" w:rsidRPr="008952C1" w:rsidRDefault="002E1E49" w:rsidP="00EA5ABB">
            <w:pPr>
              <w:ind w:left="142"/>
              <w:rPr>
                <w:sz w:val="24"/>
                <w:szCs w:val="24"/>
                <w:lang w:val="en-GB"/>
              </w:rPr>
            </w:pPr>
            <w:r w:rsidRPr="008952C1">
              <w:rPr>
                <w:sz w:val="24"/>
                <w:szCs w:val="24"/>
                <w:lang w:val="en-GB"/>
              </w:rPr>
              <w:t>2 g</w:t>
            </w:r>
          </w:p>
        </w:tc>
        <w:tc>
          <w:tcPr>
            <w:tcW w:w="3259" w:type="dxa"/>
            <w:shd w:val="clear" w:color="auto" w:fill="auto"/>
          </w:tcPr>
          <w:p w:rsidR="002E1E49" w:rsidRPr="008952C1" w:rsidRDefault="002E1E49" w:rsidP="00EA5ABB">
            <w:pPr>
              <w:ind w:left="143"/>
              <w:rPr>
                <w:sz w:val="24"/>
                <w:szCs w:val="24"/>
                <w:lang w:val="en-GB"/>
              </w:rPr>
            </w:pPr>
            <w:r w:rsidRPr="008952C1">
              <w:rPr>
                <w:sz w:val="24"/>
                <w:szCs w:val="24"/>
                <w:lang w:val="en-GB"/>
              </w:rPr>
              <w:t>10 ml</w:t>
            </w:r>
          </w:p>
        </w:tc>
        <w:tc>
          <w:tcPr>
            <w:tcW w:w="3260" w:type="dxa"/>
            <w:shd w:val="clear" w:color="auto" w:fill="auto"/>
          </w:tcPr>
          <w:p w:rsidR="002E1E49" w:rsidRPr="008952C1" w:rsidRDefault="002E1E49" w:rsidP="00EA5ABB">
            <w:pPr>
              <w:ind w:left="145"/>
              <w:rPr>
                <w:sz w:val="24"/>
                <w:szCs w:val="24"/>
                <w:lang w:val="en-GB"/>
              </w:rPr>
            </w:pPr>
            <w:r w:rsidRPr="008952C1">
              <w:rPr>
                <w:sz w:val="24"/>
                <w:szCs w:val="24"/>
                <w:lang w:val="en-GB"/>
              </w:rPr>
              <w:t>200 mg/ml</w:t>
            </w:r>
          </w:p>
        </w:tc>
      </w:tr>
    </w:tbl>
    <w:p w:rsidR="002E1E49" w:rsidRPr="008952C1" w:rsidRDefault="002E1E49" w:rsidP="002E1E49">
      <w:pPr>
        <w:ind w:left="851"/>
        <w:rPr>
          <w:sz w:val="24"/>
          <w:szCs w:val="24"/>
          <w:lang w:val="en-GB"/>
        </w:rPr>
      </w:pPr>
    </w:p>
    <w:p w:rsidR="002E1E49" w:rsidRPr="008952C1" w:rsidRDefault="002E1E49" w:rsidP="002E1E49">
      <w:pPr>
        <w:ind w:left="851"/>
        <w:rPr>
          <w:sz w:val="24"/>
          <w:szCs w:val="24"/>
        </w:rPr>
      </w:pPr>
      <w:proofErr w:type="spellStart"/>
      <w:r w:rsidRPr="008952C1">
        <w:rPr>
          <w:sz w:val="24"/>
          <w:szCs w:val="24"/>
        </w:rPr>
        <w:t>Cefazolin</w:t>
      </w:r>
      <w:proofErr w:type="spellEnd"/>
      <w:r w:rsidRPr="008952C1">
        <w:rPr>
          <w:sz w:val="24"/>
          <w:szCs w:val="24"/>
        </w:rPr>
        <w:t xml:space="preserve"> skal injiceres langsomt over tre til fem minutter. Under ingen omstændigheder bør opløsningen injiceres over mindre end 3 minutter. Dette bør ske direkte ind i en vene eller ind i slangen, hvorfra patienten modtager intravenøs opløsning.</w:t>
      </w:r>
    </w:p>
    <w:p w:rsidR="002E1E49" w:rsidRPr="008952C1" w:rsidRDefault="00A13B47" w:rsidP="002E1E49">
      <w:pPr>
        <w:ind w:left="851"/>
        <w:rPr>
          <w:sz w:val="24"/>
          <w:szCs w:val="24"/>
        </w:rPr>
      </w:pPr>
      <w:r>
        <w:rPr>
          <w:sz w:val="24"/>
          <w:szCs w:val="24"/>
        </w:rPr>
        <w:t>E</w:t>
      </w:r>
      <w:r w:rsidR="002E1E49" w:rsidRPr="008952C1">
        <w:rPr>
          <w:sz w:val="24"/>
          <w:szCs w:val="24"/>
        </w:rPr>
        <w:t xml:space="preserve">nkeltdoser på over 1 g </w:t>
      </w:r>
      <w:r w:rsidR="003B7059">
        <w:rPr>
          <w:sz w:val="24"/>
          <w:szCs w:val="24"/>
        </w:rPr>
        <w:t xml:space="preserve">skal gives </w:t>
      </w:r>
      <w:r w:rsidR="002E1E49" w:rsidRPr="008952C1">
        <w:rPr>
          <w:sz w:val="24"/>
          <w:szCs w:val="24"/>
        </w:rPr>
        <w:t>som intravenøs infusion over 30 til 60 minutter.</w:t>
      </w:r>
    </w:p>
    <w:p w:rsidR="002E1E49" w:rsidRPr="008952C1" w:rsidRDefault="002E1E49" w:rsidP="002E1E49">
      <w:pPr>
        <w:ind w:left="851"/>
        <w:rPr>
          <w:sz w:val="24"/>
          <w:szCs w:val="24"/>
        </w:rPr>
      </w:pPr>
    </w:p>
    <w:p w:rsidR="002E1E49" w:rsidRPr="008952C1" w:rsidRDefault="002E1E49" w:rsidP="002E1E49">
      <w:pPr>
        <w:ind w:left="851"/>
        <w:rPr>
          <w:sz w:val="24"/>
          <w:szCs w:val="24"/>
          <w:u w:val="single"/>
        </w:rPr>
      </w:pPr>
      <w:r w:rsidRPr="008952C1">
        <w:rPr>
          <w:sz w:val="24"/>
          <w:szCs w:val="24"/>
          <w:u w:val="single"/>
        </w:rPr>
        <w:t>Intravenøs infusion</w:t>
      </w:r>
    </w:p>
    <w:p w:rsidR="002E1E49" w:rsidRPr="008952C1" w:rsidRDefault="002E1E49" w:rsidP="002E1E49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>Det tørre pulver opløses i 8 ml vand til injektion</w:t>
      </w:r>
      <w:r w:rsidR="003B7059">
        <w:rPr>
          <w:sz w:val="24"/>
          <w:szCs w:val="24"/>
        </w:rPr>
        <w:t>svæsk</w:t>
      </w:r>
      <w:r w:rsidRPr="008952C1">
        <w:rPr>
          <w:sz w:val="24"/>
          <w:szCs w:val="24"/>
        </w:rPr>
        <w:t xml:space="preserve">er og fortyndes til 50-100 ml med et kompatibelt fortyndingsmiddel. Til infusion kan pulveret </w:t>
      </w:r>
      <w:proofErr w:type="spellStart"/>
      <w:r w:rsidRPr="008952C1">
        <w:rPr>
          <w:sz w:val="24"/>
          <w:szCs w:val="24"/>
        </w:rPr>
        <w:t>rekonstitueres</w:t>
      </w:r>
      <w:proofErr w:type="spellEnd"/>
      <w:r w:rsidRPr="008952C1">
        <w:rPr>
          <w:sz w:val="24"/>
          <w:szCs w:val="24"/>
        </w:rPr>
        <w:t xml:space="preserve"> med opløsningsmidlet direkte i hætteglasset.</w:t>
      </w:r>
    </w:p>
    <w:p w:rsidR="002E1E49" w:rsidRPr="008952C1" w:rsidRDefault="002E1E49" w:rsidP="002E1E49">
      <w:pPr>
        <w:ind w:left="851"/>
        <w:rPr>
          <w:sz w:val="24"/>
          <w:szCs w:val="24"/>
        </w:rPr>
      </w:pPr>
    </w:p>
    <w:p w:rsidR="002E1E49" w:rsidRPr="008952C1" w:rsidRDefault="002E1E49" w:rsidP="002E1E49">
      <w:pPr>
        <w:ind w:left="851"/>
        <w:rPr>
          <w:sz w:val="24"/>
          <w:szCs w:val="24"/>
          <w:lang w:val="en-GB"/>
        </w:rPr>
      </w:pPr>
      <w:proofErr w:type="spellStart"/>
      <w:r w:rsidRPr="008952C1">
        <w:rPr>
          <w:sz w:val="24"/>
          <w:szCs w:val="24"/>
          <w:lang w:val="en-GB"/>
        </w:rPr>
        <w:t>Fortyndingstabel</w:t>
      </w:r>
      <w:proofErr w:type="spellEnd"/>
      <w:r w:rsidRPr="008952C1">
        <w:rPr>
          <w:sz w:val="24"/>
          <w:szCs w:val="24"/>
          <w:lang w:val="en-GB"/>
        </w:rPr>
        <w:t xml:space="preserve"> </w:t>
      </w:r>
      <w:proofErr w:type="spellStart"/>
      <w:r w:rsidRPr="008952C1">
        <w:rPr>
          <w:sz w:val="24"/>
          <w:szCs w:val="24"/>
          <w:lang w:val="en-GB"/>
        </w:rPr>
        <w:t>til</w:t>
      </w:r>
      <w:proofErr w:type="spellEnd"/>
      <w:r w:rsidRPr="008952C1">
        <w:rPr>
          <w:sz w:val="24"/>
          <w:szCs w:val="24"/>
          <w:lang w:val="en-GB"/>
        </w:rPr>
        <w:t xml:space="preserve"> </w:t>
      </w:r>
      <w:proofErr w:type="spellStart"/>
      <w:r w:rsidRPr="008952C1">
        <w:rPr>
          <w:sz w:val="24"/>
          <w:szCs w:val="24"/>
          <w:lang w:val="en-GB"/>
        </w:rPr>
        <w:t>intravenøs</w:t>
      </w:r>
      <w:proofErr w:type="spellEnd"/>
      <w:r w:rsidRPr="008952C1">
        <w:rPr>
          <w:sz w:val="24"/>
          <w:szCs w:val="24"/>
          <w:lang w:val="en-GB"/>
        </w:rPr>
        <w:t xml:space="preserve"> infusion</w:t>
      </w:r>
    </w:p>
    <w:tbl>
      <w:tblPr>
        <w:tblW w:w="894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81"/>
        <w:gridCol w:w="2445"/>
        <w:gridCol w:w="1571"/>
      </w:tblGrid>
      <w:tr w:rsidR="002E1E49" w:rsidRPr="008952C1" w:rsidTr="00A13B47">
        <w:tc>
          <w:tcPr>
            <w:tcW w:w="2444" w:type="dxa"/>
            <w:shd w:val="clear" w:color="auto" w:fill="auto"/>
          </w:tcPr>
          <w:p w:rsidR="002E1E49" w:rsidRPr="008952C1" w:rsidRDefault="002E1E49" w:rsidP="00A13B47">
            <w:pPr>
              <w:ind w:left="34"/>
              <w:rPr>
                <w:sz w:val="24"/>
                <w:szCs w:val="24"/>
                <w:lang w:val="en-GB"/>
              </w:rPr>
            </w:pPr>
            <w:proofErr w:type="spellStart"/>
            <w:r w:rsidRPr="008952C1">
              <w:rPr>
                <w:sz w:val="24"/>
                <w:szCs w:val="24"/>
                <w:lang w:val="en-GB"/>
              </w:rPr>
              <w:t>Indhold</w:t>
            </w:r>
            <w:proofErr w:type="spellEnd"/>
            <w:r w:rsidRPr="008952C1">
              <w:rPr>
                <w:sz w:val="24"/>
                <w:szCs w:val="24"/>
                <w:lang w:val="en-GB"/>
              </w:rPr>
              <w:t xml:space="preserve"> pr. </w:t>
            </w:r>
            <w:proofErr w:type="spellStart"/>
            <w:r w:rsidRPr="008952C1">
              <w:rPr>
                <w:sz w:val="24"/>
                <w:szCs w:val="24"/>
                <w:lang w:val="en-GB"/>
              </w:rPr>
              <w:t>hætteglas</w:t>
            </w:r>
            <w:proofErr w:type="spellEnd"/>
          </w:p>
        </w:tc>
        <w:tc>
          <w:tcPr>
            <w:tcW w:w="2481" w:type="dxa"/>
            <w:shd w:val="clear" w:color="auto" w:fill="auto"/>
          </w:tcPr>
          <w:p w:rsidR="002E1E49" w:rsidRPr="008952C1" w:rsidRDefault="002E1E49" w:rsidP="00A13B47">
            <w:pPr>
              <w:ind w:left="141"/>
              <w:rPr>
                <w:sz w:val="24"/>
                <w:szCs w:val="24"/>
                <w:lang w:val="en-GB"/>
              </w:rPr>
            </w:pPr>
            <w:proofErr w:type="spellStart"/>
            <w:r w:rsidRPr="008952C1">
              <w:rPr>
                <w:sz w:val="24"/>
                <w:szCs w:val="24"/>
                <w:lang w:val="en-GB"/>
              </w:rPr>
              <w:t>Rekonstitution</w:t>
            </w:r>
            <w:proofErr w:type="spellEnd"/>
          </w:p>
        </w:tc>
        <w:tc>
          <w:tcPr>
            <w:tcW w:w="2445" w:type="dxa"/>
            <w:shd w:val="clear" w:color="auto" w:fill="auto"/>
          </w:tcPr>
          <w:p w:rsidR="002E1E49" w:rsidRPr="008952C1" w:rsidRDefault="002E1E49" w:rsidP="00A13B47">
            <w:pPr>
              <w:ind w:left="70"/>
              <w:rPr>
                <w:sz w:val="24"/>
                <w:szCs w:val="24"/>
                <w:lang w:val="en-GB"/>
              </w:rPr>
            </w:pPr>
            <w:proofErr w:type="spellStart"/>
            <w:r w:rsidRPr="008952C1">
              <w:rPr>
                <w:sz w:val="24"/>
                <w:szCs w:val="24"/>
                <w:lang w:val="en-GB"/>
              </w:rPr>
              <w:t>Fortynding</w:t>
            </w:r>
            <w:proofErr w:type="spellEnd"/>
          </w:p>
        </w:tc>
        <w:tc>
          <w:tcPr>
            <w:tcW w:w="1571" w:type="dxa"/>
            <w:shd w:val="clear" w:color="auto" w:fill="auto"/>
          </w:tcPr>
          <w:p w:rsidR="002E1E49" w:rsidRPr="008952C1" w:rsidRDefault="00A13B47" w:rsidP="00A13B47">
            <w:pPr>
              <w:ind w:left="35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Omtrentlig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2E1E49" w:rsidRPr="008952C1">
              <w:rPr>
                <w:sz w:val="24"/>
                <w:szCs w:val="24"/>
                <w:lang w:val="en-GB"/>
              </w:rPr>
              <w:t>koncentration</w:t>
            </w:r>
            <w:proofErr w:type="spellEnd"/>
          </w:p>
        </w:tc>
      </w:tr>
      <w:tr w:rsidR="002E1E49" w:rsidRPr="008952C1" w:rsidTr="00A13B47">
        <w:tc>
          <w:tcPr>
            <w:tcW w:w="2444" w:type="dxa"/>
            <w:shd w:val="clear" w:color="auto" w:fill="auto"/>
          </w:tcPr>
          <w:p w:rsidR="002E1E49" w:rsidRPr="008952C1" w:rsidRDefault="002E1E49" w:rsidP="00A13B47">
            <w:pPr>
              <w:ind w:left="34"/>
              <w:rPr>
                <w:sz w:val="24"/>
                <w:szCs w:val="24"/>
                <w:lang w:val="en-GB"/>
              </w:rPr>
            </w:pPr>
          </w:p>
        </w:tc>
        <w:tc>
          <w:tcPr>
            <w:tcW w:w="2481" w:type="dxa"/>
            <w:shd w:val="clear" w:color="auto" w:fill="auto"/>
          </w:tcPr>
          <w:p w:rsidR="002E1E49" w:rsidRPr="008952C1" w:rsidRDefault="002E1E49" w:rsidP="00A13B47">
            <w:pPr>
              <w:ind w:left="141"/>
              <w:rPr>
                <w:sz w:val="24"/>
                <w:szCs w:val="24"/>
              </w:rPr>
            </w:pPr>
            <w:r w:rsidRPr="008952C1">
              <w:rPr>
                <w:sz w:val="24"/>
                <w:szCs w:val="24"/>
              </w:rPr>
              <w:t>Minimum mængde fortynder, der skal tilsættes</w:t>
            </w:r>
          </w:p>
        </w:tc>
        <w:tc>
          <w:tcPr>
            <w:tcW w:w="2445" w:type="dxa"/>
            <w:shd w:val="clear" w:color="auto" w:fill="auto"/>
          </w:tcPr>
          <w:p w:rsidR="002E1E49" w:rsidRPr="008952C1" w:rsidRDefault="002E1E49" w:rsidP="00A13B47">
            <w:pPr>
              <w:ind w:left="70"/>
              <w:rPr>
                <w:sz w:val="24"/>
                <w:szCs w:val="24"/>
              </w:rPr>
            </w:pPr>
            <w:r w:rsidRPr="008952C1">
              <w:rPr>
                <w:sz w:val="24"/>
                <w:szCs w:val="24"/>
              </w:rPr>
              <w:t>Mængde af fortynder, der skal tilsættes</w:t>
            </w:r>
          </w:p>
        </w:tc>
        <w:tc>
          <w:tcPr>
            <w:tcW w:w="1571" w:type="dxa"/>
            <w:shd w:val="clear" w:color="auto" w:fill="auto"/>
          </w:tcPr>
          <w:p w:rsidR="002E1E49" w:rsidRPr="008952C1" w:rsidRDefault="002E1E49" w:rsidP="00A13B47">
            <w:pPr>
              <w:ind w:left="35"/>
              <w:rPr>
                <w:sz w:val="24"/>
                <w:szCs w:val="24"/>
              </w:rPr>
            </w:pPr>
          </w:p>
        </w:tc>
      </w:tr>
      <w:tr w:rsidR="002E1E49" w:rsidRPr="008952C1" w:rsidTr="00A13B47">
        <w:tc>
          <w:tcPr>
            <w:tcW w:w="2444" w:type="dxa"/>
            <w:shd w:val="clear" w:color="auto" w:fill="auto"/>
          </w:tcPr>
          <w:p w:rsidR="002E1E49" w:rsidRPr="008952C1" w:rsidRDefault="002E1E49" w:rsidP="00A13B47">
            <w:pPr>
              <w:ind w:left="34"/>
              <w:rPr>
                <w:sz w:val="24"/>
                <w:szCs w:val="24"/>
                <w:lang w:val="en-GB"/>
              </w:rPr>
            </w:pPr>
            <w:r w:rsidRPr="008952C1">
              <w:rPr>
                <w:sz w:val="24"/>
                <w:szCs w:val="24"/>
                <w:lang w:val="en-GB"/>
              </w:rPr>
              <w:t>2 g</w:t>
            </w:r>
          </w:p>
        </w:tc>
        <w:tc>
          <w:tcPr>
            <w:tcW w:w="2481" w:type="dxa"/>
            <w:shd w:val="clear" w:color="auto" w:fill="auto"/>
          </w:tcPr>
          <w:p w:rsidR="002E1E49" w:rsidRPr="008952C1" w:rsidRDefault="002E1E49" w:rsidP="00A13B47">
            <w:pPr>
              <w:ind w:left="141"/>
              <w:rPr>
                <w:sz w:val="24"/>
                <w:szCs w:val="24"/>
                <w:lang w:val="en-GB"/>
              </w:rPr>
            </w:pPr>
            <w:r w:rsidRPr="008952C1">
              <w:rPr>
                <w:sz w:val="24"/>
                <w:szCs w:val="24"/>
                <w:lang w:val="en-GB"/>
              </w:rPr>
              <w:t>8 ml</w:t>
            </w:r>
          </w:p>
        </w:tc>
        <w:tc>
          <w:tcPr>
            <w:tcW w:w="2445" w:type="dxa"/>
            <w:shd w:val="clear" w:color="auto" w:fill="auto"/>
          </w:tcPr>
          <w:p w:rsidR="002E1E49" w:rsidRPr="008952C1" w:rsidRDefault="002E1E49" w:rsidP="00A13B47">
            <w:pPr>
              <w:ind w:left="70"/>
              <w:rPr>
                <w:sz w:val="24"/>
                <w:szCs w:val="24"/>
                <w:lang w:val="en-GB"/>
              </w:rPr>
            </w:pPr>
            <w:r w:rsidRPr="008952C1">
              <w:rPr>
                <w:sz w:val="24"/>
                <w:szCs w:val="24"/>
                <w:lang w:val="en-GB"/>
              </w:rPr>
              <w:t>50 ml -</w:t>
            </w:r>
          </w:p>
          <w:p w:rsidR="002E1E49" w:rsidRPr="008952C1" w:rsidRDefault="002E1E49" w:rsidP="00A13B47">
            <w:pPr>
              <w:ind w:left="70"/>
              <w:rPr>
                <w:sz w:val="24"/>
                <w:szCs w:val="24"/>
                <w:lang w:val="en-GB"/>
              </w:rPr>
            </w:pPr>
            <w:r w:rsidRPr="008952C1">
              <w:rPr>
                <w:sz w:val="24"/>
                <w:szCs w:val="24"/>
                <w:lang w:val="en-GB"/>
              </w:rPr>
              <w:t>100 ml</w:t>
            </w:r>
          </w:p>
        </w:tc>
        <w:tc>
          <w:tcPr>
            <w:tcW w:w="1571" w:type="dxa"/>
            <w:shd w:val="clear" w:color="auto" w:fill="auto"/>
          </w:tcPr>
          <w:p w:rsidR="002E1E49" w:rsidRPr="008952C1" w:rsidRDefault="002E1E49" w:rsidP="00A13B47">
            <w:pPr>
              <w:ind w:left="35"/>
              <w:rPr>
                <w:sz w:val="24"/>
                <w:szCs w:val="24"/>
                <w:lang w:val="en-GB"/>
              </w:rPr>
            </w:pPr>
            <w:r w:rsidRPr="008952C1">
              <w:rPr>
                <w:sz w:val="24"/>
                <w:szCs w:val="24"/>
                <w:lang w:val="en-GB"/>
              </w:rPr>
              <w:t>34 mg/ml -</w:t>
            </w:r>
          </w:p>
          <w:p w:rsidR="002E1E49" w:rsidRPr="008952C1" w:rsidRDefault="002E1E49" w:rsidP="00A13B47">
            <w:pPr>
              <w:ind w:left="35"/>
              <w:rPr>
                <w:sz w:val="24"/>
                <w:szCs w:val="24"/>
                <w:lang w:val="en-GB"/>
              </w:rPr>
            </w:pPr>
            <w:r w:rsidRPr="008952C1">
              <w:rPr>
                <w:sz w:val="24"/>
                <w:szCs w:val="24"/>
                <w:lang w:val="en-GB"/>
              </w:rPr>
              <w:t>19 mg/ml</w:t>
            </w:r>
          </w:p>
        </w:tc>
      </w:tr>
    </w:tbl>
    <w:p w:rsidR="002E1E49" w:rsidRPr="008952C1" w:rsidRDefault="002E1E49" w:rsidP="002E1E49">
      <w:pPr>
        <w:ind w:left="851"/>
        <w:rPr>
          <w:sz w:val="24"/>
          <w:szCs w:val="24"/>
          <w:lang w:val="en-GB"/>
        </w:rPr>
      </w:pPr>
    </w:p>
    <w:p w:rsidR="006A32C0" w:rsidRDefault="002E1E49" w:rsidP="007F145E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 xml:space="preserve">Hvis der er behov for mindre doser, anbefales det at anvende halvdelen af den </w:t>
      </w:r>
      <w:proofErr w:type="spellStart"/>
      <w:r w:rsidRPr="008952C1">
        <w:rPr>
          <w:sz w:val="24"/>
          <w:szCs w:val="24"/>
        </w:rPr>
        <w:t>rekonstituerede</w:t>
      </w:r>
      <w:proofErr w:type="spellEnd"/>
      <w:r w:rsidRPr="008952C1">
        <w:rPr>
          <w:sz w:val="24"/>
          <w:szCs w:val="24"/>
        </w:rPr>
        <w:t xml:space="preserve"> opløsning (omkring 4 ml med 1 g </w:t>
      </w:r>
      <w:proofErr w:type="spellStart"/>
      <w:r w:rsidRPr="008952C1">
        <w:rPr>
          <w:sz w:val="24"/>
          <w:szCs w:val="24"/>
        </w:rPr>
        <w:t>cefazolin</w:t>
      </w:r>
      <w:proofErr w:type="spellEnd"/>
      <w:r w:rsidRPr="008952C1">
        <w:rPr>
          <w:sz w:val="24"/>
          <w:szCs w:val="24"/>
        </w:rPr>
        <w:t xml:space="preserve">, dvs. halvdelen af hætteglassets indhold) og at tilsætte et kompatibelt fortyndingsmiddel til en endelig mængde på 100 ml (resulterende koncentration på omkring 10 mg/ml). Den </w:t>
      </w:r>
      <w:r w:rsidR="003B7059">
        <w:rPr>
          <w:sz w:val="24"/>
          <w:szCs w:val="24"/>
        </w:rPr>
        <w:t>nødvendige</w:t>
      </w:r>
      <w:r w:rsidRPr="008952C1">
        <w:rPr>
          <w:sz w:val="24"/>
          <w:szCs w:val="24"/>
        </w:rPr>
        <w:t xml:space="preserve"> mængde af denne fortyndede opløsning kan derefter administreres til patienten over den ordinerede tid.</w:t>
      </w:r>
    </w:p>
    <w:p w:rsidR="002E1E49" w:rsidRPr="008952C1" w:rsidRDefault="002E1E49" w:rsidP="002E1E49">
      <w:pPr>
        <w:ind w:left="851"/>
        <w:rPr>
          <w:sz w:val="24"/>
          <w:szCs w:val="24"/>
        </w:rPr>
      </w:pPr>
    </w:p>
    <w:p w:rsidR="002E1E49" w:rsidRPr="008952C1" w:rsidRDefault="002E1E49" w:rsidP="002E1E49">
      <w:pPr>
        <w:ind w:left="851"/>
        <w:rPr>
          <w:sz w:val="24"/>
          <w:szCs w:val="24"/>
          <w:u w:val="single"/>
        </w:rPr>
      </w:pPr>
      <w:r w:rsidRPr="008952C1">
        <w:rPr>
          <w:sz w:val="24"/>
          <w:szCs w:val="24"/>
          <w:u w:val="single"/>
        </w:rPr>
        <w:t>Kompatibilitet med intravenøse væsker</w:t>
      </w:r>
    </w:p>
    <w:p w:rsidR="002E1E49" w:rsidRPr="008952C1" w:rsidRDefault="006A32C0" w:rsidP="002E1E49">
      <w:pPr>
        <w:ind w:left="851"/>
        <w:rPr>
          <w:sz w:val="24"/>
          <w:szCs w:val="24"/>
        </w:rPr>
      </w:pPr>
      <w:r>
        <w:rPr>
          <w:sz w:val="24"/>
          <w:szCs w:val="24"/>
        </w:rPr>
        <w:t>F</w:t>
      </w:r>
      <w:r w:rsidR="002E1E49" w:rsidRPr="008952C1">
        <w:rPr>
          <w:sz w:val="24"/>
          <w:szCs w:val="24"/>
        </w:rPr>
        <w:t>ølgende opløsningsmidler er passende for klargøring af opløsningen:</w:t>
      </w:r>
    </w:p>
    <w:p w:rsidR="002E1E49" w:rsidRPr="008952C1" w:rsidRDefault="002E1E49" w:rsidP="00FF240A">
      <w:pPr>
        <w:tabs>
          <w:tab w:val="left" w:pos="1134"/>
        </w:tabs>
        <w:ind w:left="851"/>
        <w:rPr>
          <w:sz w:val="24"/>
          <w:szCs w:val="24"/>
        </w:rPr>
      </w:pPr>
      <w:r w:rsidRPr="008952C1">
        <w:rPr>
          <w:sz w:val="24"/>
          <w:szCs w:val="24"/>
        </w:rPr>
        <w:t>-</w:t>
      </w:r>
      <w:r w:rsidRPr="008952C1">
        <w:rPr>
          <w:sz w:val="24"/>
          <w:szCs w:val="24"/>
        </w:rPr>
        <w:tab/>
        <w:t>vand til injektion</w:t>
      </w:r>
      <w:r w:rsidR="006A32C0">
        <w:rPr>
          <w:sz w:val="24"/>
          <w:szCs w:val="24"/>
        </w:rPr>
        <w:t>svæsk</w:t>
      </w:r>
      <w:r w:rsidRPr="008952C1">
        <w:rPr>
          <w:sz w:val="24"/>
          <w:szCs w:val="24"/>
        </w:rPr>
        <w:t>er</w:t>
      </w:r>
    </w:p>
    <w:p w:rsidR="002E1E49" w:rsidRPr="008952C1" w:rsidRDefault="002E1E49" w:rsidP="00FF240A">
      <w:pPr>
        <w:tabs>
          <w:tab w:val="left" w:pos="1134"/>
        </w:tabs>
        <w:ind w:left="851"/>
        <w:rPr>
          <w:sz w:val="24"/>
          <w:szCs w:val="24"/>
        </w:rPr>
      </w:pPr>
      <w:r w:rsidRPr="008952C1">
        <w:rPr>
          <w:sz w:val="24"/>
          <w:szCs w:val="24"/>
        </w:rPr>
        <w:t>-</w:t>
      </w:r>
      <w:r w:rsidRPr="008952C1">
        <w:rPr>
          <w:sz w:val="24"/>
          <w:szCs w:val="24"/>
        </w:rPr>
        <w:tab/>
        <w:t xml:space="preserve">50 mg/ml (5 %) </w:t>
      </w:r>
      <w:proofErr w:type="spellStart"/>
      <w:r w:rsidRPr="008952C1">
        <w:rPr>
          <w:sz w:val="24"/>
          <w:szCs w:val="24"/>
        </w:rPr>
        <w:t>glucoseopløsning</w:t>
      </w:r>
      <w:proofErr w:type="spellEnd"/>
    </w:p>
    <w:p w:rsidR="002E1E49" w:rsidRPr="008952C1" w:rsidRDefault="006A32C0" w:rsidP="00FF240A">
      <w:pPr>
        <w:tabs>
          <w:tab w:val="left" w:pos="1134"/>
        </w:tabs>
        <w:ind w:left="851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9 mg/ml (0,</w:t>
      </w:r>
      <w:r w:rsidR="002E1E49" w:rsidRPr="008952C1">
        <w:rPr>
          <w:sz w:val="24"/>
          <w:szCs w:val="24"/>
        </w:rPr>
        <w:t xml:space="preserve">9 %) </w:t>
      </w:r>
      <w:proofErr w:type="spellStart"/>
      <w:r w:rsidR="002E1E49" w:rsidRPr="008952C1">
        <w:rPr>
          <w:sz w:val="24"/>
          <w:szCs w:val="24"/>
        </w:rPr>
        <w:t>natrium</w:t>
      </w:r>
      <w:r w:rsidR="00E447DB">
        <w:rPr>
          <w:sz w:val="24"/>
          <w:szCs w:val="24"/>
        </w:rPr>
        <w:t>ch</w:t>
      </w:r>
      <w:r w:rsidR="002E1E49" w:rsidRPr="008952C1">
        <w:rPr>
          <w:sz w:val="24"/>
          <w:szCs w:val="24"/>
        </w:rPr>
        <w:t>loridopløsning</w:t>
      </w:r>
      <w:proofErr w:type="spellEnd"/>
      <w:r w:rsidR="002E1E49" w:rsidRPr="008952C1">
        <w:rPr>
          <w:sz w:val="24"/>
          <w:szCs w:val="24"/>
        </w:rPr>
        <w:t>.</w:t>
      </w:r>
    </w:p>
    <w:p w:rsidR="002E1E49" w:rsidRPr="008952C1" w:rsidRDefault="002E1E49" w:rsidP="002E1E49">
      <w:pPr>
        <w:ind w:left="851"/>
        <w:rPr>
          <w:sz w:val="24"/>
          <w:szCs w:val="24"/>
        </w:rPr>
      </w:pPr>
    </w:p>
    <w:p w:rsidR="002E1E49" w:rsidRPr="008952C1" w:rsidRDefault="002E1E49" w:rsidP="002E1E49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 xml:space="preserve">Den </w:t>
      </w:r>
      <w:proofErr w:type="spellStart"/>
      <w:r w:rsidRPr="008952C1">
        <w:rPr>
          <w:sz w:val="24"/>
          <w:szCs w:val="24"/>
        </w:rPr>
        <w:t>rekonstituerede</w:t>
      </w:r>
      <w:proofErr w:type="spellEnd"/>
      <w:r w:rsidRPr="008952C1">
        <w:rPr>
          <w:sz w:val="24"/>
          <w:szCs w:val="24"/>
        </w:rPr>
        <w:t xml:space="preserve"> opløsning er klar, lysegul og bør beskyttes mod lys.</w:t>
      </w:r>
    </w:p>
    <w:p w:rsidR="002E1E49" w:rsidRPr="008952C1" w:rsidRDefault="002E1E49" w:rsidP="002E1E49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 xml:space="preserve">Som for alle parenterale lægemidler skal den </w:t>
      </w:r>
      <w:proofErr w:type="spellStart"/>
      <w:r w:rsidRPr="008952C1">
        <w:rPr>
          <w:sz w:val="24"/>
          <w:szCs w:val="24"/>
        </w:rPr>
        <w:t>rekonstituerede</w:t>
      </w:r>
      <w:proofErr w:type="spellEnd"/>
      <w:r w:rsidRPr="008952C1">
        <w:rPr>
          <w:sz w:val="24"/>
          <w:szCs w:val="24"/>
        </w:rPr>
        <w:t xml:space="preserve"> opløsning visuelt inspiceres for småpartikler og misfarvning forud for administration. Opløsningen bør kun anvendes, hvis opløsningen er klar og praktisk taget fri for småpartikler.</w:t>
      </w:r>
    </w:p>
    <w:p w:rsidR="002E1E49" w:rsidRPr="008952C1" w:rsidRDefault="002E1E49" w:rsidP="002E1E49">
      <w:pPr>
        <w:ind w:left="851"/>
        <w:rPr>
          <w:sz w:val="24"/>
          <w:szCs w:val="24"/>
        </w:rPr>
      </w:pPr>
    </w:p>
    <w:p w:rsidR="00B003BF" w:rsidRPr="00C84483" w:rsidRDefault="002E1E49" w:rsidP="003C4748">
      <w:pPr>
        <w:ind w:left="851"/>
        <w:rPr>
          <w:sz w:val="24"/>
          <w:szCs w:val="24"/>
        </w:rPr>
      </w:pPr>
      <w:r w:rsidRPr="008952C1">
        <w:rPr>
          <w:sz w:val="24"/>
          <w:szCs w:val="24"/>
        </w:rPr>
        <w:t xml:space="preserve">Det </w:t>
      </w:r>
      <w:proofErr w:type="spellStart"/>
      <w:r w:rsidRPr="008952C1">
        <w:rPr>
          <w:sz w:val="24"/>
          <w:szCs w:val="24"/>
        </w:rPr>
        <w:t>rekonstituerede</w:t>
      </w:r>
      <w:proofErr w:type="spellEnd"/>
      <w:r w:rsidRPr="008952C1">
        <w:rPr>
          <w:sz w:val="24"/>
          <w:szCs w:val="24"/>
        </w:rPr>
        <w:t xml:space="preserve"> produkt er kun til engangsbrug. Ikke anvendt lægemiddel samt affald heraf skal bortskaffes i henhold til lokale retningslinjer.</w:t>
      </w:r>
    </w:p>
    <w:p w:rsidR="00B003BF" w:rsidRPr="00C84483" w:rsidRDefault="00B003BF" w:rsidP="00B003BF">
      <w:pPr>
        <w:tabs>
          <w:tab w:val="left" w:pos="851"/>
        </w:tabs>
        <w:jc w:val="both"/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E447DB" w:rsidRPr="008952C1" w:rsidRDefault="007F145E" w:rsidP="00E447DB">
      <w:pPr>
        <w:ind w:left="851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MIP Pharma GmbH</w:t>
      </w:r>
    </w:p>
    <w:p w:rsidR="00E447DB" w:rsidRPr="008952C1" w:rsidRDefault="007F145E" w:rsidP="00E447DB">
      <w:pPr>
        <w:ind w:left="851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Kirkeler Strasse 41</w:t>
      </w:r>
    </w:p>
    <w:p w:rsidR="00E447DB" w:rsidRPr="008952C1" w:rsidRDefault="007F145E" w:rsidP="00E447DB">
      <w:pPr>
        <w:ind w:left="851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D-66440 Blieskastel</w:t>
      </w:r>
    </w:p>
    <w:p w:rsidR="00B003BF" w:rsidRPr="00E447DB" w:rsidRDefault="00E447DB" w:rsidP="00E447DB">
      <w:pPr>
        <w:ind w:left="851"/>
        <w:rPr>
          <w:sz w:val="24"/>
          <w:szCs w:val="24"/>
          <w:lang w:val="it-IT"/>
        </w:rPr>
      </w:pPr>
      <w:r w:rsidRPr="008952C1">
        <w:rPr>
          <w:sz w:val="24"/>
          <w:szCs w:val="24"/>
          <w:lang w:val="it-IT"/>
        </w:rPr>
        <w:t>Tyskland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(NUMRE)</w:t>
      </w:r>
    </w:p>
    <w:p w:rsidR="00B003BF" w:rsidRPr="00C84483" w:rsidRDefault="00B003BF" w:rsidP="00B003BF">
      <w:pPr>
        <w:tabs>
          <w:tab w:val="left" w:pos="851"/>
        </w:tabs>
        <w:ind w:left="851" w:hanging="851"/>
        <w:rPr>
          <w:sz w:val="24"/>
          <w:szCs w:val="24"/>
        </w:rPr>
      </w:pPr>
      <w:r w:rsidRPr="00C84483">
        <w:rPr>
          <w:sz w:val="24"/>
          <w:szCs w:val="24"/>
        </w:rPr>
        <w:tab/>
      </w:r>
      <w:r w:rsidR="00FF240A">
        <w:rPr>
          <w:sz w:val="24"/>
          <w:szCs w:val="24"/>
        </w:rPr>
        <w:t>49906</w:t>
      </w:r>
    </w:p>
    <w:p w:rsidR="00B003BF" w:rsidRPr="00C84483" w:rsidRDefault="00B003BF" w:rsidP="00B003BF">
      <w:pPr>
        <w:tabs>
          <w:tab w:val="left" w:pos="851"/>
        </w:tabs>
        <w:jc w:val="both"/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  <w:r w:rsidRPr="00C84483">
        <w:rPr>
          <w:sz w:val="24"/>
          <w:szCs w:val="24"/>
        </w:rPr>
        <w:tab/>
      </w:r>
      <w:r w:rsidR="00244581">
        <w:rPr>
          <w:sz w:val="24"/>
          <w:szCs w:val="24"/>
        </w:rPr>
        <w:t>15. januar 2014</w:t>
      </w:r>
    </w:p>
    <w:p w:rsidR="00B003BF" w:rsidRPr="00C84483" w:rsidRDefault="00B003BF" w:rsidP="00B003BF">
      <w:pPr>
        <w:tabs>
          <w:tab w:val="left" w:pos="851"/>
        </w:tabs>
        <w:rPr>
          <w:sz w:val="24"/>
          <w:szCs w:val="24"/>
        </w:rPr>
      </w:pPr>
    </w:p>
    <w:p w:rsidR="00B003BF" w:rsidRPr="00C84483" w:rsidRDefault="00B003BF" w:rsidP="00B003B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790EE7" w:rsidRPr="00C84483" w:rsidRDefault="00B003BF" w:rsidP="00244581">
      <w:pPr>
        <w:tabs>
          <w:tab w:val="left" w:pos="851"/>
        </w:tabs>
        <w:rPr>
          <w:sz w:val="24"/>
          <w:szCs w:val="24"/>
        </w:rPr>
      </w:pPr>
      <w:r w:rsidRPr="00C84483">
        <w:rPr>
          <w:sz w:val="24"/>
          <w:szCs w:val="24"/>
        </w:rPr>
        <w:tab/>
      </w:r>
      <w:r w:rsidR="005F4651">
        <w:rPr>
          <w:sz w:val="24"/>
          <w:szCs w:val="24"/>
        </w:rPr>
        <w:t>25. januar 2019</w:t>
      </w:r>
    </w:p>
    <w:sectPr w:rsidR="00790EE7" w:rsidRPr="00C84483" w:rsidSect="000259B9">
      <w:footerReference w:type="default" r:id="rId11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FA8" w:rsidRDefault="002C5FA8">
      <w:r>
        <w:separator/>
      </w:r>
    </w:p>
  </w:endnote>
  <w:endnote w:type="continuationSeparator" w:id="0">
    <w:p w:rsidR="002C5FA8" w:rsidRDefault="002C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FA8" w:rsidRDefault="002C5FA8">
    <w:pPr>
      <w:pStyle w:val="Sidefod"/>
      <w:pBdr>
        <w:bottom w:val="single" w:sz="6" w:space="1" w:color="auto"/>
      </w:pBdr>
    </w:pPr>
  </w:p>
  <w:p w:rsidR="002C5FA8" w:rsidRDefault="002C5FA8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2C5FA8" w:rsidRPr="00B373D7" w:rsidRDefault="002A2ED7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2C5FA8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7F145E">
      <w:rPr>
        <w:i/>
        <w:noProof/>
        <w:sz w:val="18"/>
        <w:szCs w:val="18"/>
      </w:rPr>
      <w:t>Cefazolin MIP, pulver til injektions- og infusionsvæske, opløsning 2 g</w:t>
    </w:r>
    <w:r w:rsidRPr="00B373D7">
      <w:rPr>
        <w:i/>
        <w:sz w:val="18"/>
        <w:szCs w:val="18"/>
      </w:rPr>
      <w:fldChar w:fldCharType="end"/>
    </w:r>
    <w:r w:rsidR="002C5FA8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2C5FA8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D85C8A">
      <w:rPr>
        <w:rStyle w:val="Sidetal"/>
        <w:i/>
        <w:noProof/>
        <w:sz w:val="18"/>
        <w:szCs w:val="18"/>
      </w:rPr>
      <w:t>14</w:t>
    </w:r>
    <w:r w:rsidRPr="00B373D7">
      <w:rPr>
        <w:rStyle w:val="Sidetal"/>
        <w:i/>
        <w:sz w:val="18"/>
        <w:szCs w:val="18"/>
      </w:rPr>
      <w:fldChar w:fldCharType="end"/>
    </w:r>
    <w:r w:rsidR="002C5FA8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2C5FA8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D85C8A">
      <w:rPr>
        <w:rStyle w:val="Sidetal"/>
        <w:i/>
        <w:noProof/>
        <w:sz w:val="18"/>
        <w:szCs w:val="18"/>
      </w:rPr>
      <w:t>14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FA8" w:rsidRDefault="002C5FA8">
      <w:r>
        <w:separator/>
      </w:r>
    </w:p>
  </w:footnote>
  <w:footnote w:type="continuationSeparator" w:id="0">
    <w:p w:rsidR="002C5FA8" w:rsidRDefault="002C5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35519C1"/>
    <w:multiLevelType w:val="hybridMultilevel"/>
    <w:tmpl w:val="095A3DD8"/>
    <w:lvl w:ilvl="0" w:tplc="33D625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E19CA"/>
    <w:multiLevelType w:val="hybridMultilevel"/>
    <w:tmpl w:val="6E2042D2"/>
    <w:lvl w:ilvl="0" w:tplc="E1F8AA58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96FCAC44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53DA5DEE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16E896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6026E654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AFD4FB10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1FC63450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47C48490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B8AF8FC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6" w15:restartNumberingAfterBreak="0">
    <w:nsid w:val="366623C2"/>
    <w:multiLevelType w:val="hybridMultilevel"/>
    <w:tmpl w:val="2A0219C4"/>
    <w:lvl w:ilvl="0" w:tplc="E9669DD0">
      <w:start w:val="1"/>
      <w:numFmt w:val="bullet"/>
      <w:lvlText w:val=""/>
      <w:lvlJc w:val="left"/>
      <w:pPr>
        <w:tabs>
          <w:tab w:val="num" w:pos="57"/>
        </w:tabs>
        <w:ind w:left="341" w:hanging="341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6277C"/>
    <w:multiLevelType w:val="hybridMultilevel"/>
    <w:tmpl w:val="0554CF4C"/>
    <w:lvl w:ilvl="0" w:tplc="E9669DD0">
      <w:start w:val="1"/>
      <w:numFmt w:val="bullet"/>
      <w:lvlText w:val=""/>
      <w:lvlJc w:val="left"/>
      <w:pPr>
        <w:tabs>
          <w:tab w:val="num" w:pos="57"/>
        </w:tabs>
        <w:ind w:left="341" w:hanging="341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91"/>
    <w:rsid w:val="00013F0B"/>
    <w:rsid w:val="000259B9"/>
    <w:rsid w:val="00041491"/>
    <w:rsid w:val="00050D16"/>
    <w:rsid w:val="00073417"/>
    <w:rsid w:val="00074F2A"/>
    <w:rsid w:val="000871EA"/>
    <w:rsid w:val="000A1CA8"/>
    <w:rsid w:val="000A466B"/>
    <w:rsid w:val="000B0B06"/>
    <w:rsid w:val="000E31B2"/>
    <w:rsid w:val="000E4EE6"/>
    <w:rsid w:val="00102EFB"/>
    <w:rsid w:val="00107A50"/>
    <w:rsid w:val="001663CC"/>
    <w:rsid w:val="00176D19"/>
    <w:rsid w:val="00206CE8"/>
    <w:rsid w:val="002220C0"/>
    <w:rsid w:val="00227F5D"/>
    <w:rsid w:val="00244581"/>
    <w:rsid w:val="00283A2B"/>
    <w:rsid w:val="002A2ED7"/>
    <w:rsid w:val="002B30AD"/>
    <w:rsid w:val="002C2C01"/>
    <w:rsid w:val="002C3F7D"/>
    <w:rsid w:val="002C5FA8"/>
    <w:rsid w:val="002E1E49"/>
    <w:rsid w:val="00326E13"/>
    <w:rsid w:val="003852DE"/>
    <w:rsid w:val="003946EE"/>
    <w:rsid w:val="003A29AE"/>
    <w:rsid w:val="003A32D7"/>
    <w:rsid w:val="003B4074"/>
    <w:rsid w:val="003B7059"/>
    <w:rsid w:val="003C4748"/>
    <w:rsid w:val="003C769A"/>
    <w:rsid w:val="0045746C"/>
    <w:rsid w:val="00485460"/>
    <w:rsid w:val="0049104B"/>
    <w:rsid w:val="004A685D"/>
    <w:rsid w:val="004B5D92"/>
    <w:rsid w:val="004C0D7A"/>
    <w:rsid w:val="004C7FD7"/>
    <w:rsid w:val="004D18A4"/>
    <w:rsid w:val="004E3B12"/>
    <w:rsid w:val="005170DF"/>
    <w:rsid w:val="005306A2"/>
    <w:rsid w:val="00546C71"/>
    <w:rsid w:val="00565F0F"/>
    <w:rsid w:val="00572C46"/>
    <w:rsid w:val="00581C6F"/>
    <w:rsid w:val="005838F0"/>
    <w:rsid w:val="00594A86"/>
    <w:rsid w:val="00596D86"/>
    <w:rsid w:val="005A06BD"/>
    <w:rsid w:val="005B146A"/>
    <w:rsid w:val="005F4651"/>
    <w:rsid w:val="00620DCA"/>
    <w:rsid w:val="006560B1"/>
    <w:rsid w:val="006756DD"/>
    <w:rsid w:val="00695FDB"/>
    <w:rsid w:val="006A32C0"/>
    <w:rsid w:val="006C149D"/>
    <w:rsid w:val="00712E43"/>
    <w:rsid w:val="00721FBF"/>
    <w:rsid w:val="00740EEC"/>
    <w:rsid w:val="00750ED1"/>
    <w:rsid w:val="0078011A"/>
    <w:rsid w:val="00782AF4"/>
    <w:rsid w:val="00790EE7"/>
    <w:rsid w:val="007B6649"/>
    <w:rsid w:val="007F145E"/>
    <w:rsid w:val="0082576E"/>
    <w:rsid w:val="008627D1"/>
    <w:rsid w:val="00876CCA"/>
    <w:rsid w:val="00894265"/>
    <w:rsid w:val="008C7579"/>
    <w:rsid w:val="008E33E1"/>
    <w:rsid w:val="008E5D32"/>
    <w:rsid w:val="00907F75"/>
    <w:rsid w:val="009269D4"/>
    <w:rsid w:val="00930A8B"/>
    <w:rsid w:val="0093258A"/>
    <w:rsid w:val="00933D0A"/>
    <w:rsid w:val="00976406"/>
    <w:rsid w:val="009C7BA3"/>
    <w:rsid w:val="009D1F5A"/>
    <w:rsid w:val="00A13B47"/>
    <w:rsid w:val="00A2488B"/>
    <w:rsid w:val="00A343CF"/>
    <w:rsid w:val="00A90F98"/>
    <w:rsid w:val="00A95306"/>
    <w:rsid w:val="00A9539C"/>
    <w:rsid w:val="00AA0A34"/>
    <w:rsid w:val="00B003BF"/>
    <w:rsid w:val="00B373D7"/>
    <w:rsid w:val="00B71375"/>
    <w:rsid w:val="00BA1D91"/>
    <w:rsid w:val="00C315FB"/>
    <w:rsid w:val="00C36276"/>
    <w:rsid w:val="00C42586"/>
    <w:rsid w:val="00C45AB8"/>
    <w:rsid w:val="00C54DDB"/>
    <w:rsid w:val="00C82E76"/>
    <w:rsid w:val="00C84483"/>
    <w:rsid w:val="00C95551"/>
    <w:rsid w:val="00CA2173"/>
    <w:rsid w:val="00CB20D7"/>
    <w:rsid w:val="00CB7402"/>
    <w:rsid w:val="00CE75E8"/>
    <w:rsid w:val="00D020B0"/>
    <w:rsid w:val="00D11748"/>
    <w:rsid w:val="00D366CF"/>
    <w:rsid w:val="00D53779"/>
    <w:rsid w:val="00D85C8A"/>
    <w:rsid w:val="00D91A2B"/>
    <w:rsid w:val="00E108AA"/>
    <w:rsid w:val="00E3749A"/>
    <w:rsid w:val="00E447DB"/>
    <w:rsid w:val="00E4643A"/>
    <w:rsid w:val="00E7437F"/>
    <w:rsid w:val="00E865B8"/>
    <w:rsid w:val="00EA5ABB"/>
    <w:rsid w:val="00EB560E"/>
    <w:rsid w:val="00EC0B9B"/>
    <w:rsid w:val="00ED5E9F"/>
    <w:rsid w:val="00EE08DC"/>
    <w:rsid w:val="00EE6C2D"/>
    <w:rsid w:val="00F06524"/>
    <w:rsid w:val="00FB6D01"/>
    <w:rsid w:val="00FC1DA4"/>
    <w:rsid w:val="00FE3445"/>
    <w:rsid w:val="00FF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C4B880-12F5-4DCC-90F7-107205A7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qFormat/>
    <w:rsid w:val="005A06BD"/>
    <w:pPr>
      <w:keepNext/>
      <w:spacing w:before="120" w:after="120"/>
      <w:outlineLvl w:val="1"/>
    </w:pPr>
    <w:rPr>
      <w:rFonts w:ascii="Arial" w:hAnsi="Arial"/>
      <w:b/>
      <w:bCs/>
      <w:iCs/>
      <w:sz w:val="22"/>
      <w:szCs w:val="28"/>
      <w:lang w:val="de-DE" w:eastAsia="de-DE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Overskrift4">
    <w:name w:val="heading 4"/>
    <w:basedOn w:val="Normal"/>
    <w:next w:val="Normal"/>
    <w:link w:val="Overskrift4Tegn"/>
    <w:qFormat/>
    <w:rsid w:val="005A06BD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  <w:lang w:val="de-DE" w:eastAsia="de-DE"/>
    </w:rPr>
  </w:style>
  <w:style w:type="paragraph" w:styleId="Overskrift5">
    <w:name w:val="heading 5"/>
    <w:basedOn w:val="Normal"/>
    <w:next w:val="Normal"/>
    <w:link w:val="Overskrift5Tegn"/>
    <w:qFormat/>
    <w:rsid w:val="005A06BD"/>
    <w:pPr>
      <w:tabs>
        <w:tab w:val="num" w:pos="1008"/>
      </w:tabs>
      <w:spacing w:before="240" w:after="60"/>
      <w:ind w:left="1008" w:hanging="1008"/>
      <w:outlineLvl w:val="4"/>
    </w:pPr>
    <w:rPr>
      <w:rFonts w:ascii="Arial" w:hAnsi="Arial"/>
      <w:b/>
      <w:bCs/>
      <w:i/>
      <w:iCs/>
      <w:sz w:val="26"/>
      <w:szCs w:val="26"/>
      <w:lang w:val="de-DE" w:eastAsia="de-DE"/>
    </w:rPr>
  </w:style>
  <w:style w:type="paragraph" w:styleId="Overskrift6">
    <w:name w:val="heading 6"/>
    <w:basedOn w:val="Normal"/>
    <w:next w:val="Normal"/>
    <w:link w:val="Overskrift6Tegn"/>
    <w:qFormat/>
    <w:rsid w:val="005A06BD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de-DE" w:eastAsia="de-DE"/>
    </w:rPr>
  </w:style>
  <w:style w:type="paragraph" w:styleId="Overskrift7">
    <w:name w:val="heading 7"/>
    <w:basedOn w:val="Normal"/>
    <w:next w:val="Normal"/>
    <w:link w:val="Overskrift7Tegn"/>
    <w:qFormat/>
    <w:rsid w:val="005A06BD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  <w:lang w:val="de-DE" w:eastAsia="de-DE"/>
    </w:rPr>
  </w:style>
  <w:style w:type="paragraph" w:styleId="Overskrift8">
    <w:name w:val="heading 8"/>
    <w:basedOn w:val="Normal"/>
    <w:next w:val="Normal"/>
    <w:link w:val="Overskrift8Tegn"/>
    <w:qFormat/>
    <w:rsid w:val="005A06BD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  <w:lang w:val="de-DE" w:eastAsia="de-DE"/>
    </w:rPr>
  </w:style>
  <w:style w:type="paragraph" w:styleId="Overskrift9">
    <w:name w:val="heading 9"/>
    <w:basedOn w:val="Normal"/>
    <w:next w:val="Normal"/>
    <w:link w:val="Overskrift9Tegn"/>
    <w:qFormat/>
    <w:rsid w:val="005A06B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de-DE" w:eastAsia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basedOn w:val="Standardskrifttypeiafsnit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basedOn w:val="Standardskrifttypeiafsnit"/>
    <w:link w:val="Sidehoved"/>
    <w:rsid w:val="00B003BF"/>
    <w:rPr>
      <w:sz w:val="24"/>
    </w:rPr>
  </w:style>
  <w:style w:type="character" w:customStyle="1" w:styleId="TitelTegn">
    <w:name w:val="Titel Tegn"/>
    <w:basedOn w:val="Standardskrifttypeiafsnit"/>
    <w:link w:val="Titel"/>
    <w:rsid w:val="00B003BF"/>
    <w:rPr>
      <w:b/>
      <w:sz w:val="24"/>
    </w:rPr>
  </w:style>
  <w:style w:type="character" w:customStyle="1" w:styleId="Overskrift2Tegn">
    <w:name w:val="Overskrift 2 Tegn"/>
    <w:basedOn w:val="Standardskrifttypeiafsnit"/>
    <w:link w:val="Overskrift2"/>
    <w:rsid w:val="005A06BD"/>
    <w:rPr>
      <w:rFonts w:ascii="Arial" w:hAnsi="Arial"/>
      <w:b/>
      <w:bCs/>
      <w:iCs/>
      <w:sz w:val="22"/>
      <w:szCs w:val="28"/>
      <w:lang w:val="de-DE" w:eastAsia="de-DE"/>
    </w:rPr>
  </w:style>
  <w:style w:type="character" w:customStyle="1" w:styleId="Overskrift4Tegn">
    <w:name w:val="Overskrift 4 Tegn"/>
    <w:basedOn w:val="Standardskrifttypeiafsnit"/>
    <w:link w:val="Overskrift4"/>
    <w:rsid w:val="005A06BD"/>
    <w:rPr>
      <w:b/>
      <w:bCs/>
      <w:sz w:val="28"/>
      <w:szCs w:val="28"/>
      <w:lang w:val="de-DE" w:eastAsia="de-DE"/>
    </w:rPr>
  </w:style>
  <w:style w:type="character" w:customStyle="1" w:styleId="Overskrift5Tegn">
    <w:name w:val="Overskrift 5 Tegn"/>
    <w:basedOn w:val="Standardskrifttypeiafsnit"/>
    <w:link w:val="Overskrift5"/>
    <w:rsid w:val="005A06BD"/>
    <w:rPr>
      <w:rFonts w:ascii="Arial" w:hAnsi="Arial"/>
      <w:b/>
      <w:bCs/>
      <w:i/>
      <w:iCs/>
      <w:sz w:val="26"/>
      <w:szCs w:val="26"/>
      <w:lang w:val="de-DE" w:eastAsia="de-DE"/>
    </w:rPr>
  </w:style>
  <w:style w:type="character" w:customStyle="1" w:styleId="Overskrift6Tegn">
    <w:name w:val="Overskrift 6 Tegn"/>
    <w:basedOn w:val="Standardskrifttypeiafsnit"/>
    <w:link w:val="Overskrift6"/>
    <w:rsid w:val="005A06BD"/>
    <w:rPr>
      <w:b/>
      <w:bCs/>
      <w:sz w:val="22"/>
      <w:szCs w:val="22"/>
      <w:lang w:val="de-DE" w:eastAsia="de-DE"/>
    </w:rPr>
  </w:style>
  <w:style w:type="character" w:customStyle="1" w:styleId="Overskrift7Tegn">
    <w:name w:val="Overskrift 7 Tegn"/>
    <w:basedOn w:val="Standardskrifttypeiafsnit"/>
    <w:link w:val="Overskrift7"/>
    <w:rsid w:val="005A06BD"/>
    <w:rPr>
      <w:sz w:val="24"/>
      <w:szCs w:val="24"/>
      <w:lang w:val="de-DE" w:eastAsia="de-DE"/>
    </w:rPr>
  </w:style>
  <w:style w:type="character" w:customStyle="1" w:styleId="Overskrift8Tegn">
    <w:name w:val="Overskrift 8 Tegn"/>
    <w:basedOn w:val="Standardskrifttypeiafsnit"/>
    <w:link w:val="Overskrift8"/>
    <w:rsid w:val="005A06BD"/>
    <w:rPr>
      <w:i/>
      <w:iCs/>
      <w:sz w:val="24"/>
      <w:szCs w:val="24"/>
      <w:lang w:val="de-DE" w:eastAsia="de-DE"/>
    </w:rPr>
  </w:style>
  <w:style w:type="character" w:customStyle="1" w:styleId="Overskrift9Tegn">
    <w:name w:val="Overskrift 9 Tegn"/>
    <w:basedOn w:val="Standardskrifttypeiafsnit"/>
    <w:link w:val="Overskrift9"/>
    <w:rsid w:val="005A06BD"/>
    <w:rPr>
      <w:rFonts w:ascii="Arial" w:hAnsi="Arial"/>
      <w:sz w:val="22"/>
      <w:szCs w:val="22"/>
      <w:lang w:val="de-DE" w:eastAsia="de-DE"/>
    </w:rPr>
  </w:style>
  <w:style w:type="character" w:customStyle="1" w:styleId="longtext">
    <w:name w:val="long_text"/>
    <w:basedOn w:val="Standardskrifttypeiafsnit"/>
    <w:rsid w:val="005A06BD"/>
  </w:style>
  <w:style w:type="paragraph" w:customStyle="1" w:styleId="Normal1">
    <w:name w:val="Normal1"/>
    <w:basedOn w:val="Normal"/>
    <w:rsid w:val="005A06BD"/>
    <w:pPr>
      <w:widowControl w:val="0"/>
      <w:suppressAutoHyphens/>
    </w:pPr>
    <w:rPr>
      <w:rFonts w:ascii="Thorndale" w:eastAsia="HG Mincho Light J" w:hAnsi="Thorndale"/>
      <w:color w:val="000000"/>
      <w:sz w:val="20"/>
      <w:lang w:val="hu-HU" w:eastAsia="da-DK"/>
    </w:rPr>
  </w:style>
  <w:style w:type="paragraph" w:customStyle="1" w:styleId="Overskrift31">
    <w:name w:val="Overskrift 31"/>
    <w:basedOn w:val="Normal1"/>
    <w:next w:val="Normal1"/>
    <w:rsid w:val="005A06BD"/>
    <w:pPr>
      <w:keepNext/>
      <w:tabs>
        <w:tab w:val="num" w:pos="855"/>
      </w:tabs>
      <w:ind w:left="855" w:hanging="855"/>
      <w:jc w:val="center"/>
    </w:pPr>
    <w:rPr>
      <w:sz w:val="24"/>
      <w:lang w:val="en-GB"/>
    </w:rPr>
  </w:style>
  <w:style w:type="character" w:customStyle="1" w:styleId="hps">
    <w:name w:val="hps"/>
    <w:basedOn w:val="Standardskrifttypeiafsnit"/>
    <w:rsid w:val="00C45AB8"/>
  </w:style>
  <w:style w:type="paragraph" w:styleId="Slutnotetekst">
    <w:name w:val="endnote text"/>
    <w:basedOn w:val="Normal"/>
    <w:link w:val="SlutnotetekstTegn"/>
    <w:semiHidden/>
    <w:rsid w:val="00976406"/>
    <w:rPr>
      <w:sz w:val="18"/>
      <w:lang w:val="en-GB"/>
    </w:rPr>
  </w:style>
  <w:style w:type="character" w:customStyle="1" w:styleId="SlutnotetekstTegn">
    <w:name w:val="Slutnotetekst Tegn"/>
    <w:basedOn w:val="Standardskrifttypeiafsnit"/>
    <w:link w:val="Slutnotetekst"/>
    <w:semiHidden/>
    <w:rsid w:val="00976406"/>
    <w:rPr>
      <w:sz w:val="18"/>
      <w:lang w:val="en-GB" w:eastAsia="en-US"/>
    </w:rPr>
  </w:style>
  <w:style w:type="character" w:styleId="Hyperlink">
    <w:name w:val="Hyperlink"/>
    <w:basedOn w:val="Standardskrifttypeiafsnit"/>
    <w:uiPriority w:val="99"/>
    <w:unhideWhenUsed/>
    <w:rsid w:val="005F46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kma@dkma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ldenbivirkning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3699</Words>
  <Characters>23919</Characters>
  <Application>Microsoft Office Word</Application>
  <DocSecurity>0</DocSecurity>
  <Lines>199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27563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Venn </dc:creator>
  <cp:keywords/>
  <dc:description>2018032796: MT forlængelse</dc:description>
  <cp:lastModifiedBy>Helle Venn</cp:lastModifiedBy>
  <cp:revision>4</cp:revision>
  <cp:lastPrinted>2015-05-20T12:19:00Z</cp:lastPrinted>
  <dcterms:created xsi:type="dcterms:W3CDTF">2019-01-25T12:54:00Z</dcterms:created>
  <dcterms:modified xsi:type="dcterms:W3CDTF">2019-01-25T12:58:00Z</dcterms:modified>
</cp:coreProperties>
</file>