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A5F4E" w14:textId="77777777" w:rsidR="009260DE" w:rsidRPr="008F49E1" w:rsidRDefault="0021526C" w:rsidP="00955704">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F4896F5" wp14:editId="2ED4210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2370D2C" w14:textId="77777777" w:rsidR="009260DE" w:rsidRPr="00C84483" w:rsidRDefault="009260DE" w:rsidP="00955704">
      <w:pPr>
        <w:pStyle w:val="Titel"/>
        <w:tabs>
          <w:tab w:val="right" w:pos="9356"/>
        </w:tabs>
        <w:jc w:val="left"/>
        <w:rPr>
          <w:b w:val="0"/>
          <w:szCs w:val="24"/>
          <w:lang w:eastAsia="en-US"/>
        </w:rPr>
      </w:pPr>
    </w:p>
    <w:p w14:paraId="45014905" w14:textId="395E5A23" w:rsidR="009260DE" w:rsidRPr="00C84483" w:rsidRDefault="009260DE" w:rsidP="00955704">
      <w:pPr>
        <w:pStyle w:val="Titel"/>
        <w:tabs>
          <w:tab w:val="right" w:pos="9356"/>
        </w:tabs>
        <w:jc w:val="left"/>
        <w:rPr>
          <w:b w:val="0"/>
          <w:szCs w:val="24"/>
          <w:lang w:eastAsia="en-US"/>
        </w:rPr>
      </w:pPr>
      <w:r w:rsidRPr="00C84483">
        <w:rPr>
          <w:b w:val="0"/>
          <w:szCs w:val="24"/>
          <w:lang w:eastAsia="en-US"/>
        </w:rPr>
        <w:tab/>
      </w:r>
      <w:r w:rsidR="00AC75D5">
        <w:rPr>
          <w:szCs w:val="24"/>
        </w:rPr>
        <w:t>28. januar 2026</w:t>
      </w:r>
    </w:p>
    <w:p w14:paraId="5D5B1E5B" w14:textId="77777777" w:rsidR="009260DE" w:rsidRPr="00C84483" w:rsidRDefault="009260DE" w:rsidP="00955704">
      <w:pPr>
        <w:pStyle w:val="Titel"/>
        <w:tabs>
          <w:tab w:val="left" w:pos="8222"/>
        </w:tabs>
        <w:jc w:val="left"/>
        <w:rPr>
          <w:b w:val="0"/>
          <w:szCs w:val="24"/>
        </w:rPr>
      </w:pPr>
    </w:p>
    <w:p w14:paraId="0BA86539" w14:textId="77777777" w:rsidR="009260DE" w:rsidRPr="00C84483" w:rsidRDefault="009260DE" w:rsidP="00955704">
      <w:pPr>
        <w:pStyle w:val="Titel"/>
        <w:jc w:val="left"/>
        <w:rPr>
          <w:b w:val="0"/>
          <w:szCs w:val="24"/>
        </w:rPr>
      </w:pPr>
    </w:p>
    <w:p w14:paraId="563FFF37" w14:textId="77777777" w:rsidR="009260DE" w:rsidRPr="00C84483" w:rsidRDefault="009260DE" w:rsidP="00955704">
      <w:pPr>
        <w:pStyle w:val="Titel"/>
        <w:jc w:val="left"/>
        <w:rPr>
          <w:b w:val="0"/>
          <w:szCs w:val="24"/>
        </w:rPr>
      </w:pPr>
    </w:p>
    <w:p w14:paraId="702ED411" w14:textId="77777777" w:rsidR="009260DE" w:rsidRPr="00C84483" w:rsidRDefault="009260DE" w:rsidP="00955704">
      <w:pPr>
        <w:jc w:val="center"/>
        <w:rPr>
          <w:b/>
          <w:sz w:val="24"/>
          <w:szCs w:val="24"/>
        </w:rPr>
      </w:pPr>
      <w:r w:rsidRPr="00C84483">
        <w:rPr>
          <w:b/>
          <w:sz w:val="24"/>
          <w:szCs w:val="24"/>
        </w:rPr>
        <w:t>PRODUKTRESUMÉ</w:t>
      </w:r>
    </w:p>
    <w:p w14:paraId="4F8A9061" w14:textId="77777777" w:rsidR="009260DE" w:rsidRPr="00C84483" w:rsidRDefault="009260DE" w:rsidP="00955704">
      <w:pPr>
        <w:jc w:val="center"/>
        <w:rPr>
          <w:b/>
          <w:sz w:val="24"/>
          <w:szCs w:val="24"/>
        </w:rPr>
      </w:pPr>
    </w:p>
    <w:p w14:paraId="11D1AAFD" w14:textId="77777777" w:rsidR="009260DE" w:rsidRDefault="009260DE" w:rsidP="00955704">
      <w:pPr>
        <w:jc w:val="center"/>
        <w:rPr>
          <w:b/>
          <w:sz w:val="24"/>
          <w:szCs w:val="24"/>
        </w:rPr>
      </w:pPr>
      <w:r w:rsidRPr="00C84483">
        <w:rPr>
          <w:b/>
          <w:sz w:val="24"/>
          <w:szCs w:val="24"/>
        </w:rPr>
        <w:t>for</w:t>
      </w:r>
    </w:p>
    <w:p w14:paraId="339965E8" w14:textId="77777777" w:rsidR="000B058C" w:rsidRPr="00C84483" w:rsidRDefault="000B058C" w:rsidP="00955704">
      <w:pPr>
        <w:jc w:val="center"/>
        <w:rPr>
          <w:b/>
          <w:sz w:val="24"/>
          <w:szCs w:val="24"/>
        </w:rPr>
      </w:pPr>
    </w:p>
    <w:p w14:paraId="1EE73F63" w14:textId="4203BDED" w:rsidR="009260DE" w:rsidRPr="00C84483" w:rsidRDefault="00F33F78" w:rsidP="00955704">
      <w:pPr>
        <w:jc w:val="center"/>
        <w:rPr>
          <w:b/>
          <w:sz w:val="24"/>
          <w:szCs w:val="24"/>
        </w:rPr>
      </w:pPr>
      <w:r>
        <w:rPr>
          <w:b/>
          <w:sz w:val="24"/>
          <w:szCs w:val="24"/>
        </w:rPr>
        <w:t xml:space="preserve">Cefazolin "Noridem", </w:t>
      </w:r>
      <w:r w:rsidR="00233FCE">
        <w:rPr>
          <w:b/>
          <w:sz w:val="24"/>
          <w:szCs w:val="24"/>
        </w:rPr>
        <w:t xml:space="preserve">pulver til </w:t>
      </w:r>
      <w:r>
        <w:rPr>
          <w:b/>
          <w:sz w:val="24"/>
          <w:szCs w:val="24"/>
        </w:rPr>
        <w:t>injektions-/infusionsvæske, opløsning</w:t>
      </w:r>
    </w:p>
    <w:p w14:paraId="28778518" w14:textId="77777777" w:rsidR="009260DE" w:rsidRPr="00C84483" w:rsidRDefault="009260DE" w:rsidP="00955704">
      <w:pPr>
        <w:jc w:val="both"/>
        <w:rPr>
          <w:sz w:val="24"/>
          <w:szCs w:val="24"/>
        </w:rPr>
      </w:pPr>
    </w:p>
    <w:p w14:paraId="0C39B22E" w14:textId="77777777" w:rsidR="009260DE" w:rsidRPr="00C84483" w:rsidRDefault="009260DE" w:rsidP="00955704">
      <w:pPr>
        <w:jc w:val="both"/>
        <w:rPr>
          <w:sz w:val="24"/>
          <w:szCs w:val="24"/>
        </w:rPr>
      </w:pPr>
    </w:p>
    <w:p w14:paraId="1C7534A1" w14:textId="77777777" w:rsidR="009260DE" w:rsidRPr="00C84483" w:rsidRDefault="009260DE" w:rsidP="00955704">
      <w:pPr>
        <w:tabs>
          <w:tab w:val="left" w:pos="851"/>
        </w:tabs>
        <w:ind w:left="851" w:hanging="851"/>
        <w:rPr>
          <w:b/>
          <w:sz w:val="24"/>
          <w:szCs w:val="24"/>
        </w:rPr>
      </w:pPr>
      <w:r w:rsidRPr="00C84483">
        <w:rPr>
          <w:b/>
          <w:sz w:val="24"/>
          <w:szCs w:val="24"/>
        </w:rPr>
        <w:t>0.</w:t>
      </w:r>
      <w:r w:rsidRPr="00C84483">
        <w:rPr>
          <w:b/>
          <w:sz w:val="24"/>
          <w:szCs w:val="24"/>
        </w:rPr>
        <w:tab/>
        <w:t>D.SP.NR.</w:t>
      </w:r>
    </w:p>
    <w:p w14:paraId="5770B484" w14:textId="2CDB714C" w:rsidR="009260DE" w:rsidRPr="00C84483" w:rsidRDefault="004566BB" w:rsidP="00955704">
      <w:pPr>
        <w:tabs>
          <w:tab w:val="left" w:pos="851"/>
        </w:tabs>
        <w:ind w:left="851"/>
        <w:rPr>
          <w:sz w:val="24"/>
          <w:szCs w:val="24"/>
        </w:rPr>
      </w:pPr>
      <w:r>
        <w:rPr>
          <w:sz w:val="24"/>
          <w:szCs w:val="24"/>
        </w:rPr>
        <w:t>34432</w:t>
      </w:r>
    </w:p>
    <w:p w14:paraId="19CA165B" w14:textId="77777777" w:rsidR="009260DE" w:rsidRPr="00C84483" w:rsidRDefault="009260DE" w:rsidP="00955704">
      <w:pPr>
        <w:tabs>
          <w:tab w:val="left" w:pos="851"/>
        </w:tabs>
        <w:ind w:left="851"/>
        <w:rPr>
          <w:sz w:val="24"/>
          <w:szCs w:val="24"/>
        </w:rPr>
      </w:pPr>
    </w:p>
    <w:p w14:paraId="78C851D5" w14:textId="77777777" w:rsidR="009260DE" w:rsidRPr="00C84483" w:rsidRDefault="009260DE" w:rsidP="00955704">
      <w:pPr>
        <w:tabs>
          <w:tab w:val="left" w:pos="851"/>
        </w:tabs>
        <w:ind w:left="851" w:hanging="851"/>
        <w:rPr>
          <w:b/>
          <w:sz w:val="24"/>
          <w:szCs w:val="24"/>
        </w:rPr>
      </w:pPr>
      <w:r w:rsidRPr="00C84483">
        <w:rPr>
          <w:b/>
          <w:sz w:val="24"/>
          <w:szCs w:val="24"/>
        </w:rPr>
        <w:t>1.</w:t>
      </w:r>
      <w:r w:rsidRPr="00C84483">
        <w:rPr>
          <w:b/>
          <w:sz w:val="24"/>
          <w:szCs w:val="24"/>
        </w:rPr>
        <w:tab/>
        <w:t>LÆGEMIDLETS NAVN</w:t>
      </w:r>
    </w:p>
    <w:p w14:paraId="37F86219" w14:textId="18B19BCB" w:rsidR="009260DE" w:rsidRPr="004566BB" w:rsidRDefault="004566BB" w:rsidP="00955704">
      <w:pPr>
        <w:tabs>
          <w:tab w:val="left" w:pos="851"/>
        </w:tabs>
        <w:ind w:left="851"/>
        <w:rPr>
          <w:sz w:val="24"/>
          <w:szCs w:val="24"/>
        </w:rPr>
      </w:pPr>
      <w:r w:rsidRPr="004566BB">
        <w:rPr>
          <w:sz w:val="24"/>
          <w:szCs w:val="24"/>
        </w:rPr>
        <w:t>Cefazolin "Noridem"</w:t>
      </w:r>
    </w:p>
    <w:p w14:paraId="4ED82D87" w14:textId="77777777" w:rsidR="009260DE" w:rsidRPr="00C84483" w:rsidRDefault="009260DE" w:rsidP="00955704">
      <w:pPr>
        <w:tabs>
          <w:tab w:val="left" w:pos="851"/>
        </w:tabs>
        <w:ind w:left="851"/>
        <w:rPr>
          <w:sz w:val="24"/>
          <w:szCs w:val="24"/>
        </w:rPr>
      </w:pPr>
    </w:p>
    <w:p w14:paraId="565762B7" w14:textId="77777777" w:rsidR="009260DE" w:rsidRPr="00C84483" w:rsidRDefault="009260DE" w:rsidP="00955704">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A1FBAFF" w14:textId="77777777" w:rsidR="004566BB" w:rsidRDefault="004566BB" w:rsidP="00955704">
      <w:pPr>
        <w:tabs>
          <w:tab w:val="left" w:pos="851"/>
        </w:tabs>
        <w:ind w:left="851"/>
        <w:rPr>
          <w:sz w:val="24"/>
          <w:szCs w:val="24"/>
          <w:u w:val="single"/>
        </w:rPr>
      </w:pPr>
    </w:p>
    <w:p w14:paraId="0E9E1B80" w14:textId="11FC60F1" w:rsidR="004566BB" w:rsidRPr="004566BB" w:rsidRDefault="004566BB" w:rsidP="00955704">
      <w:pPr>
        <w:tabs>
          <w:tab w:val="left" w:pos="851"/>
        </w:tabs>
        <w:ind w:left="851"/>
        <w:rPr>
          <w:sz w:val="24"/>
          <w:szCs w:val="24"/>
          <w:u w:val="single"/>
        </w:rPr>
      </w:pPr>
      <w:r w:rsidRPr="004566BB">
        <w:rPr>
          <w:sz w:val="24"/>
          <w:szCs w:val="24"/>
          <w:u w:val="single"/>
        </w:rPr>
        <w:t xml:space="preserve">1 g </w:t>
      </w:r>
      <w:bookmarkStart w:id="1" w:name="_Hlk220403736"/>
      <w:r w:rsidRPr="004566BB">
        <w:rPr>
          <w:sz w:val="24"/>
          <w:szCs w:val="24"/>
          <w:u w:val="single"/>
        </w:rPr>
        <w:t>pulver til injektions-/infusionsvæske, opløsning</w:t>
      </w:r>
      <w:bookmarkEnd w:id="1"/>
    </w:p>
    <w:p w14:paraId="6291C475" w14:textId="77777777" w:rsidR="004566BB" w:rsidRPr="004566BB" w:rsidRDefault="004566BB" w:rsidP="00955704">
      <w:pPr>
        <w:tabs>
          <w:tab w:val="left" w:pos="851"/>
        </w:tabs>
        <w:ind w:left="851"/>
        <w:rPr>
          <w:sz w:val="24"/>
          <w:szCs w:val="24"/>
        </w:rPr>
      </w:pPr>
      <w:r w:rsidRPr="004566BB">
        <w:rPr>
          <w:sz w:val="24"/>
          <w:szCs w:val="24"/>
        </w:rPr>
        <w:t>Hvert hætteglas indeholder 1 g cefazolin (som cefazolinnatrium).</w:t>
      </w:r>
    </w:p>
    <w:p w14:paraId="0D2A96DF" w14:textId="77777777" w:rsidR="004566BB" w:rsidRPr="004566BB" w:rsidRDefault="004566BB" w:rsidP="00955704">
      <w:pPr>
        <w:tabs>
          <w:tab w:val="left" w:pos="851"/>
        </w:tabs>
        <w:ind w:left="851"/>
        <w:rPr>
          <w:sz w:val="24"/>
          <w:szCs w:val="24"/>
        </w:rPr>
      </w:pPr>
    </w:p>
    <w:p w14:paraId="35EA9EBC" w14:textId="4E557A04" w:rsidR="004566BB" w:rsidRPr="004566BB" w:rsidRDefault="004566BB" w:rsidP="00955704">
      <w:pPr>
        <w:tabs>
          <w:tab w:val="left" w:pos="851"/>
        </w:tabs>
        <w:ind w:left="851"/>
        <w:rPr>
          <w:i/>
          <w:sz w:val="24"/>
          <w:szCs w:val="24"/>
        </w:rPr>
      </w:pPr>
      <w:r w:rsidRPr="004566BB">
        <w:rPr>
          <w:i/>
          <w:sz w:val="24"/>
          <w:szCs w:val="24"/>
        </w:rPr>
        <w:t>Hjælpestof, som behandleren skal være opmærksom på</w:t>
      </w:r>
    </w:p>
    <w:p w14:paraId="04D87535" w14:textId="77777777" w:rsidR="004566BB" w:rsidRPr="004566BB" w:rsidRDefault="004566BB" w:rsidP="00955704">
      <w:pPr>
        <w:tabs>
          <w:tab w:val="left" w:pos="851"/>
        </w:tabs>
        <w:ind w:left="851"/>
        <w:rPr>
          <w:sz w:val="24"/>
          <w:szCs w:val="24"/>
        </w:rPr>
      </w:pPr>
      <w:r w:rsidRPr="004566BB">
        <w:rPr>
          <w:sz w:val="24"/>
          <w:szCs w:val="24"/>
        </w:rPr>
        <w:t xml:space="preserve">Dette lægemiddel indeholder 2,2 mmol (eller 50,6 mg) natrium pr. hætteglas. </w:t>
      </w:r>
    </w:p>
    <w:p w14:paraId="7F151CBC" w14:textId="77777777" w:rsidR="004566BB" w:rsidRPr="004566BB" w:rsidRDefault="004566BB" w:rsidP="00955704">
      <w:pPr>
        <w:tabs>
          <w:tab w:val="left" w:pos="851"/>
        </w:tabs>
        <w:ind w:left="851"/>
        <w:rPr>
          <w:sz w:val="24"/>
          <w:szCs w:val="24"/>
        </w:rPr>
      </w:pPr>
    </w:p>
    <w:p w14:paraId="67FC581F" w14:textId="77777777" w:rsidR="004566BB" w:rsidRPr="004566BB" w:rsidRDefault="004566BB" w:rsidP="00955704">
      <w:pPr>
        <w:tabs>
          <w:tab w:val="left" w:pos="851"/>
        </w:tabs>
        <w:ind w:left="851"/>
        <w:rPr>
          <w:sz w:val="24"/>
          <w:szCs w:val="24"/>
          <w:u w:val="single"/>
        </w:rPr>
      </w:pPr>
      <w:r w:rsidRPr="004566BB">
        <w:rPr>
          <w:sz w:val="24"/>
          <w:szCs w:val="24"/>
          <w:u w:val="single"/>
        </w:rPr>
        <w:t>2 g pulver til injektions-/infusionsvæske, opløsning</w:t>
      </w:r>
    </w:p>
    <w:p w14:paraId="56CD98F8" w14:textId="77777777" w:rsidR="004566BB" w:rsidRPr="004566BB" w:rsidRDefault="004566BB" w:rsidP="00955704">
      <w:pPr>
        <w:tabs>
          <w:tab w:val="left" w:pos="851"/>
        </w:tabs>
        <w:ind w:left="851"/>
        <w:rPr>
          <w:sz w:val="24"/>
          <w:szCs w:val="24"/>
        </w:rPr>
      </w:pPr>
      <w:r w:rsidRPr="004566BB">
        <w:rPr>
          <w:sz w:val="24"/>
          <w:szCs w:val="24"/>
        </w:rPr>
        <w:t>Hvert hætteglas indeholder 2 g cefazolin (som cefazolinnatrium).</w:t>
      </w:r>
      <w:r w:rsidRPr="004566BB">
        <w:rPr>
          <w:sz w:val="24"/>
          <w:szCs w:val="24"/>
        </w:rPr>
        <w:tab/>
      </w:r>
    </w:p>
    <w:p w14:paraId="287237AA" w14:textId="77777777" w:rsidR="004566BB" w:rsidRPr="004566BB" w:rsidRDefault="004566BB" w:rsidP="00955704">
      <w:pPr>
        <w:tabs>
          <w:tab w:val="left" w:pos="851"/>
        </w:tabs>
        <w:ind w:left="851"/>
        <w:rPr>
          <w:sz w:val="24"/>
          <w:szCs w:val="24"/>
        </w:rPr>
      </w:pPr>
    </w:p>
    <w:p w14:paraId="40CE38DE" w14:textId="4036B9D4" w:rsidR="004566BB" w:rsidRPr="004566BB" w:rsidRDefault="004566BB" w:rsidP="00955704">
      <w:pPr>
        <w:tabs>
          <w:tab w:val="left" w:pos="851"/>
        </w:tabs>
        <w:ind w:left="851"/>
        <w:rPr>
          <w:i/>
          <w:sz w:val="24"/>
          <w:szCs w:val="24"/>
        </w:rPr>
      </w:pPr>
      <w:r w:rsidRPr="004566BB">
        <w:rPr>
          <w:i/>
          <w:sz w:val="24"/>
          <w:szCs w:val="24"/>
        </w:rPr>
        <w:t>Hjælpestof, som behandleren skal være opmærksom på</w:t>
      </w:r>
    </w:p>
    <w:p w14:paraId="42687AC2" w14:textId="77777777" w:rsidR="004566BB" w:rsidRPr="004566BB" w:rsidRDefault="004566BB" w:rsidP="00955704">
      <w:pPr>
        <w:tabs>
          <w:tab w:val="left" w:pos="851"/>
        </w:tabs>
        <w:ind w:left="851"/>
        <w:rPr>
          <w:sz w:val="24"/>
          <w:szCs w:val="24"/>
        </w:rPr>
      </w:pPr>
      <w:r w:rsidRPr="004566BB">
        <w:rPr>
          <w:sz w:val="24"/>
          <w:szCs w:val="24"/>
        </w:rPr>
        <w:t xml:space="preserve">Dette lægemiddel indeholder 4,4 mmol (eller 101,2 mg) natrium pr. hætteglas.  </w:t>
      </w:r>
    </w:p>
    <w:p w14:paraId="3D3A43B6" w14:textId="77777777" w:rsidR="004566BB" w:rsidRPr="004566BB" w:rsidRDefault="004566BB" w:rsidP="00955704">
      <w:pPr>
        <w:tabs>
          <w:tab w:val="left" w:pos="851"/>
        </w:tabs>
        <w:ind w:left="851"/>
        <w:rPr>
          <w:sz w:val="24"/>
          <w:szCs w:val="24"/>
        </w:rPr>
      </w:pPr>
    </w:p>
    <w:p w14:paraId="7F4471C8" w14:textId="77777777" w:rsidR="004566BB" w:rsidRPr="004566BB" w:rsidRDefault="004566BB" w:rsidP="00955704">
      <w:pPr>
        <w:tabs>
          <w:tab w:val="left" w:pos="851"/>
        </w:tabs>
        <w:ind w:left="851"/>
        <w:rPr>
          <w:sz w:val="24"/>
          <w:szCs w:val="24"/>
        </w:rPr>
      </w:pPr>
      <w:r w:rsidRPr="004566BB">
        <w:rPr>
          <w:sz w:val="24"/>
          <w:szCs w:val="24"/>
        </w:rPr>
        <w:t>Alle hjælpestoffer er anført under pkt. 6.1.</w:t>
      </w:r>
    </w:p>
    <w:p w14:paraId="633C0B9C" w14:textId="77777777" w:rsidR="009260DE" w:rsidRPr="00C84483" w:rsidRDefault="009260DE" w:rsidP="00955704">
      <w:pPr>
        <w:tabs>
          <w:tab w:val="left" w:pos="851"/>
        </w:tabs>
        <w:ind w:left="851"/>
        <w:rPr>
          <w:sz w:val="24"/>
          <w:szCs w:val="24"/>
        </w:rPr>
      </w:pPr>
    </w:p>
    <w:p w14:paraId="119642CE" w14:textId="77777777" w:rsidR="009260DE" w:rsidRPr="00C84483" w:rsidRDefault="009260DE" w:rsidP="00955704">
      <w:pPr>
        <w:tabs>
          <w:tab w:val="left" w:pos="851"/>
        </w:tabs>
        <w:ind w:left="851" w:hanging="851"/>
        <w:rPr>
          <w:b/>
          <w:sz w:val="24"/>
          <w:szCs w:val="24"/>
        </w:rPr>
      </w:pPr>
      <w:r w:rsidRPr="00C84483">
        <w:rPr>
          <w:b/>
          <w:sz w:val="24"/>
          <w:szCs w:val="24"/>
        </w:rPr>
        <w:t>3.</w:t>
      </w:r>
      <w:r w:rsidRPr="00C84483">
        <w:rPr>
          <w:b/>
          <w:sz w:val="24"/>
          <w:szCs w:val="24"/>
        </w:rPr>
        <w:tab/>
        <w:t>LÆGEMIDDELFORM</w:t>
      </w:r>
    </w:p>
    <w:p w14:paraId="4C8D983A" w14:textId="12B799EF" w:rsidR="009260DE" w:rsidRPr="00233FCE" w:rsidRDefault="00233FCE" w:rsidP="00955704">
      <w:pPr>
        <w:tabs>
          <w:tab w:val="left" w:pos="851"/>
        </w:tabs>
        <w:ind w:left="851"/>
        <w:rPr>
          <w:sz w:val="24"/>
          <w:szCs w:val="24"/>
        </w:rPr>
      </w:pPr>
      <w:r>
        <w:rPr>
          <w:sz w:val="24"/>
          <w:szCs w:val="24"/>
        </w:rPr>
        <w:t>P</w:t>
      </w:r>
      <w:r w:rsidRPr="00233FCE">
        <w:rPr>
          <w:sz w:val="24"/>
          <w:szCs w:val="24"/>
        </w:rPr>
        <w:t>ulver til injektions-/infusionsvæske, opløsning</w:t>
      </w:r>
    </w:p>
    <w:p w14:paraId="6F15B62B" w14:textId="01E837BC" w:rsidR="009260DE" w:rsidRDefault="009260DE" w:rsidP="00955704">
      <w:pPr>
        <w:tabs>
          <w:tab w:val="left" w:pos="851"/>
        </w:tabs>
        <w:ind w:left="851"/>
        <w:rPr>
          <w:sz w:val="24"/>
          <w:szCs w:val="24"/>
        </w:rPr>
      </w:pPr>
    </w:p>
    <w:p w14:paraId="20D0844C" w14:textId="77777777" w:rsidR="00233FCE" w:rsidRPr="00233FCE" w:rsidRDefault="00233FCE" w:rsidP="00955704">
      <w:pPr>
        <w:tabs>
          <w:tab w:val="left" w:pos="851"/>
        </w:tabs>
        <w:ind w:left="851"/>
        <w:rPr>
          <w:sz w:val="24"/>
          <w:szCs w:val="24"/>
        </w:rPr>
      </w:pPr>
      <w:r w:rsidRPr="00233FCE">
        <w:rPr>
          <w:sz w:val="24"/>
          <w:szCs w:val="24"/>
        </w:rPr>
        <w:t>Hvidt til næsten hvidt pulver.</w:t>
      </w:r>
    </w:p>
    <w:p w14:paraId="44AEE3B0" w14:textId="77777777" w:rsidR="00233FCE" w:rsidRPr="00C84483" w:rsidRDefault="00233FCE" w:rsidP="00955704">
      <w:pPr>
        <w:tabs>
          <w:tab w:val="left" w:pos="851"/>
        </w:tabs>
        <w:ind w:left="851"/>
        <w:rPr>
          <w:sz w:val="24"/>
          <w:szCs w:val="24"/>
        </w:rPr>
      </w:pPr>
    </w:p>
    <w:p w14:paraId="2EFA8C4E" w14:textId="77777777" w:rsidR="009260DE" w:rsidRPr="00C84483" w:rsidRDefault="009260DE" w:rsidP="00955704">
      <w:pPr>
        <w:tabs>
          <w:tab w:val="left" w:pos="851"/>
        </w:tabs>
        <w:ind w:left="851"/>
        <w:rPr>
          <w:sz w:val="24"/>
          <w:szCs w:val="24"/>
        </w:rPr>
      </w:pPr>
    </w:p>
    <w:p w14:paraId="5CE54967" w14:textId="77777777" w:rsidR="009260DE" w:rsidRPr="00C84483" w:rsidRDefault="009260DE" w:rsidP="00955704">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33DCFAE" w14:textId="77777777" w:rsidR="009260DE" w:rsidRPr="00C84483" w:rsidRDefault="009260DE" w:rsidP="00955704">
      <w:pPr>
        <w:tabs>
          <w:tab w:val="left" w:pos="851"/>
        </w:tabs>
        <w:ind w:left="851"/>
        <w:rPr>
          <w:b/>
          <w:sz w:val="24"/>
          <w:szCs w:val="24"/>
        </w:rPr>
      </w:pPr>
    </w:p>
    <w:p w14:paraId="55552931" w14:textId="77777777" w:rsidR="009260DE" w:rsidRPr="00C84483" w:rsidRDefault="009260DE" w:rsidP="00955704">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6EF4C95" w14:textId="72B7566D" w:rsidR="00233FCE" w:rsidRPr="00233FCE" w:rsidRDefault="00233FCE" w:rsidP="00955704">
      <w:pPr>
        <w:tabs>
          <w:tab w:val="left" w:pos="851"/>
        </w:tabs>
        <w:ind w:left="851"/>
        <w:rPr>
          <w:sz w:val="24"/>
          <w:szCs w:val="24"/>
        </w:rPr>
      </w:pPr>
      <w:r w:rsidRPr="00233FCE">
        <w:rPr>
          <w:sz w:val="24"/>
          <w:szCs w:val="24"/>
        </w:rPr>
        <w:t>Cefazolin </w:t>
      </w:r>
      <w:r>
        <w:rPr>
          <w:sz w:val="24"/>
          <w:szCs w:val="24"/>
        </w:rPr>
        <w:t>"</w:t>
      </w:r>
      <w:r w:rsidRPr="00233FCE">
        <w:rPr>
          <w:sz w:val="24"/>
          <w:szCs w:val="24"/>
        </w:rPr>
        <w:t>Noridem</w:t>
      </w:r>
      <w:r>
        <w:rPr>
          <w:sz w:val="24"/>
          <w:szCs w:val="24"/>
        </w:rPr>
        <w:t>"</w:t>
      </w:r>
      <w:r w:rsidRPr="00233FCE">
        <w:rPr>
          <w:sz w:val="24"/>
          <w:szCs w:val="24"/>
        </w:rPr>
        <w:t xml:space="preserve"> er indiceret til behandling af følgende infektioner forårsaget af mikroorganismer, der er følsomme over for cefazolin: </w:t>
      </w:r>
    </w:p>
    <w:p w14:paraId="7559A3FA" w14:textId="77777777" w:rsidR="00233FCE" w:rsidRPr="00233FCE" w:rsidRDefault="00233FCE" w:rsidP="00955704">
      <w:pPr>
        <w:tabs>
          <w:tab w:val="left" w:pos="851"/>
        </w:tabs>
        <w:ind w:left="851"/>
        <w:rPr>
          <w:sz w:val="24"/>
          <w:szCs w:val="24"/>
        </w:rPr>
      </w:pPr>
    </w:p>
    <w:p w14:paraId="0AF4A256" w14:textId="77777777" w:rsidR="00233FCE" w:rsidRPr="00233FCE" w:rsidRDefault="00233FCE" w:rsidP="00955704">
      <w:pPr>
        <w:numPr>
          <w:ilvl w:val="0"/>
          <w:numId w:val="6"/>
        </w:numPr>
        <w:tabs>
          <w:tab w:val="left" w:pos="851"/>
        </w:tabs>
        <w:ind w:left="1134" w:hanging="283"/>
        <w:rPr>
          <w:sz w:val="24"/>
          <w:szCs w:val="24"/>
        </w:rPr>
      </w:pPr>
      <w:r w:rsidRPr="00233FCE">
        <w:rPr>
          <w:sz w:val="24"/>
          <w:szCs w:val="24"/>
        </w:rPr>
        <w:lastRenderedPageBreak/>
        <w:t>hud- og bløddelsinfektioner.</w:t>
      </w:r>
    </w:p>
    <w:p w14:paraId="66048219" w14:textId="77777777" w:rsidR="00233FCE" w:rsidRPr="00233FCE" w:rsidRDefault="00233FCE" w:rsidP="00955704">
      <w:pPr>
        <w:numPr>
          <w:ilvl w:val="0"/>
          <w:numId w:val="6"/>
        </w:numPr>
        <w:tabs>
          <w:tab w:val="left" w:pos="851"/>
        </w:tabs>
        <w:ind w:left="1134" w:hanging="283"/>
        <w:rPr>
          <w:sz w:val="24"/>
          <w:szCs w:val="24"/>
        </w:rPr>
      </w:pPr>
      <w:r w:rsidRPr="00233FCE">
        <w:rPr>
          <w:sz w:val="24"/>
          <w:szCs w:val="24"/>
        </w:rPr>
        <w:t>knogle- og ledinfektioner.</w:t>
      </w:r>
    </w:p>
    <w:p w14:paraId="55FFF683" w14:textId="77777777" w:rsidR="00233FCE" w:rsidRPr="00233FCE" w:rsidRDefault="00233FCE" w:rsidP="00955704">
      <w:pPr>
        <w:tabs>
          <w:tab w:val="left" w:pos="851"/>
        </w:tabs>
        <w:ind w:left="851"/>
        <w:rPr>
          <w:sz w:val="24"/>
          <w:szCs w:val="24"/>
        </w:rPr>
      </w:pPr>
    </w:p>
    <w:p w14:paraId="57A0DBFA" w14:textId="77777777" w:rsidR="00233FCE" w:rsidRPr="00233FCE" w:rsidRDefault="00233FCE" w:rsidP="00955704">
      <w:pPr>
        <w:tabs>
          <w:tab w:val="left" w:pos="851"/>
        </w:tabs>
        <w:ind w:left="851"/>
        <w:rPr>
          <w:sz w:val="24"/>
          <w:szCs w:val="24"/>
        </w:rPr>
      </w:pPr>
      <w:r w:rsidRPr="00233FCE">
        <w:rPr>
          <w:sz w:val="24"/>
          <w:szCs w:val="24"/>
        </w:rPr>
        <w:t>Perioperativ profylakse. Ved kirurgiske indgreb med øget risiko for infektioner med anaerobe patogener, f.eks. kolorektal kirurgi, anbefales kombination med et egnet lægemiddel med aktivitet over for anaerobe mikroorganismer.</w:t>
      </w:r>
    </w:p>
    <w:p w14:paraId="5123DE3C" w14:textId="77777777" w:rsidR="00233FCE" w:rsidRPr="00233FCE" w:rsidRDefault="00233FCE" w:rsidP="00955704">
      <w:pPr>
        <w:tabs>
          <w:tab w:val="left" w:pos="851"/>
        </w:tabs>
        <w:ind w:left="851"/>
        <w:rPr>
          <w:sz w:val="24"/>
          <w:szCs w:val="24"/>
        </w:rPr>
      </w:pPr>
    </w:p>
    <w:p w14:paraId="68118A85" w14:textId="77777777" w:rsidR="00233FCE" w:rsidRPr="00233FCE" w:rsidRDefault="00233FCE" w:rsidP="00955704">
      <w:pPr>
        <w:tabs>
          <w:tab w:val="left" w:pos="851"/>
        </w:tabs>
        <w:ind w:left="851"/>
        <w:rPr>
          <w:sz w:val="24"/>
          <w:szCs w:val="24"/>
        </w:rPr>
      </w:pPr>
      <w:r w:rsidRPr="00233FCE">
        <w:rPr>
          <w:sz w:val="24"/>
          <w:szCs w:val="24"/>
        </w:rPr>
        <w:t>Anvendelsen af cefazolin bør begrænses til tilfælde, hvor parenteral behandling er nødvendig.</w:t>
      </w:r>
    </w:p>
    <w:p w14:paraId="03FC11A6" w14:textId="77777777" w:rsidR="00233FCE" w:rsidRPr="00233FCE" w:rsidRDefault="00233FCE" w:rsidP="00955704">
      <w:pPr>
        <w:tabs>
          <w:tab w:val="left" w:pos="851"/>
        </w:tabs>
        <w:ind w:left="851"/>
        <w:rPr>
          <w:sz w:val="24"/>
          <w:szCs w:val="24"/>
        </w:rPr>
      </w:pPr>
    </w:p>
    <w:p w14:paraId="783DAE0C" w14:textId="77777777" w:rsidR="00233FCE" w:rsidRPr="00233FCE" w:rsidRDefault="00233FCE" w:rsidP="00955704">
      <w:pPr>
        <w:tabs>
          <w:tab w:val="left" w:pos="851"/>
        </w:tabs>
        <w:ind w:left="851"/>
        <w:rPr>
          <w:sz w:val="24"/>
          <w:szCs w:val="24"/>
        </w:rPr>
      </w:pPr>
      <w:r w:rsidRPr="00233FCE">
        <w:rPr>
          <w:sz w:val="24"/>
          <w:szCs w:val="24"/>
        </w:rPr>
        <w:t>Hvor det er muligt, bør den ætiologiske mikroorganismes følsomhed over for cefazolin testes, selvom behandling kan påbegyndes, før resultaterne foreligger.</w:t>
      </w:r>
    </w:p>
    <w:p w14:paraId="714AEAA8" w14:textId="77777777" w:rsidR="00233FCE" w:rsidRPr="00233FCE" w:rsidRDefault="00233FCE" w:rsidP="00955704">
      <w:pPr>
        <w:tabs>
          <w:tab w:val="left" w:pos="851"/>
        </w:tabs>
        <w:ind w:left="851"/>
        <w:rPr>
          <w:sz w:val="24"/>
          <w:szCs w:val="24"/>
        </w:rPr>
      </w:pPr>
    </w:p>
    <w:p w14:paraId="6219293D" w14:textId="77777777" w:rsidR="00233FCE" w:rsidRPr="00233FCE" w:rsidRDefault="00233FCE" w:rsidP="00955704">
      <w:pPr>
        <w:tabs>
          <w:tab w:val="left" w:pos="851"/>
        </w:tabs>
        <w:ind w:left="851"/>
        <w:rPr>
          <w:sz w:val="24"/>
          <w:szCs w:val="24"/>
        </w:rPr>
      </w:pPr>
      <w:r w:rsidRPr="00233FCE">
        <w:rPr>
          <w:sz w:val="24"/>
          <w:szCs w:val="24"/>
        </w:rPr>
        <w:t>Behandlingen skal ske under hensyntagen til officielle retningslinjer for korrekt anvendelse af antibakterielle midler.</w:t>
      </w:r>
    </w:p>
    <w:p w14:paraId="6695C6BD" w14:textId="77777777" w:rsidR="009260DE" w:rsidRPr="00C84483" w:rsidRDefault="009260DE" w:rsidP="00955704">
      <w:pPr>
        <w:tabs>
          <w:tab w:val="left" w:pos="851"/>
        </w:tabs>
        <w:ind w:left="851"/>
        <w:rPr>
          <w:sz w:val="24"/>
          <w:szCs w:val="24"/>
        </w:rPr>
      </w:pPr>
    </w:p>
    <w:p w14:paraId="1AF63C98" w14:textId="77777777" w:rsidR="009260DE" w:rsidRPr="00C84483" w:rsidRDefault="009260DE" w:rsidP="00955704">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C2BF473"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Doseringen såvel som administrationsmåden afhænger af infektionens lokalisation og sværhedsgrad samt af den kliniske og bakteriologiske udvikling. Lokale terapeutiske retningslinjer bør tages i betragtning.</w:t>
      </w:r>
    </w:p>
    <w:p w14:paraId="7D4DBB1D" w14:textId="77777777" w:rsidR="00233FCE" w:rsidRPr="00233FCE" w:rsidRDefault="00233FCE" w:rsidP="00955704">
      <w:pPr>
        <w:widowControl w:val="0"/>
        <w:tabs>
          <w:tab w:val="left" w:pos="567"/>
        </w:tabs>
        <w:ind w:left="851"/>
        <w:rPr>
          <w:rFonts w:eastAsia="Courier New"/>
          <w:sz w:val="24"/>
          <w:szCs w:val="24"/>
        </w:rPr>
      </w:pPr>
    </w:p>
    <w:p w14:paraId="2A10317C" w14:textId="77777777" w:rsidR="00233FCE" w:rsidRPr="00233FCE" w:rsidRDefault="00233FCE" w:rsidP="00955704">
      <w:pPr>
        <w:widowControl w:val="0"/>
        <w:tabs>
          <w:tab w:val="left" w:pos="567"/>
        </w:tabs>
        <w:ind w:left="851"/>
        <w:rPr>
          <w:rFonts w:eastAsia="Courier New"/>
          <w:b/>
          <w:sz w:val="24"/>
          <w:szCs w:val="24"/>
          <w:u w:val="single"/>
        </w:rPr>
      </w:pPr>
      <w:r w:rsidRPr="00233FCE">
        <w:rPr>
          <w:b/>
          <w:sz w:val="24"/>
          <w:szCs w:val="24"/>
          <w:u w:val="single"/>
        </w:rPr>
        <w:t>Voksne og unge (i alderen over 12 år og med en legemsvægt ≥ 40 kg)</w:t>
      </w:r>
    </w:p>
    <w:p w14:paraId="4A4735E4" w14:textId="77777777" w:rsidR="00233FCE" w:rsidRPr="00233FCE" w:rsidRDefault="00233FCE" w:rsidP="00955704">
      <w:pPr>
        <w:widowControl w:val="0"/>
        <w:tabs>
          <w:tab w:val="left" w:pos="567"/>
        </w:tabs>
        <w:ind w:left="851"/>
        <w:rPr>
          <w:rFonts w:eastAsia="Courier New"/>
          <w:bCs/>
          <w:sz w:val="24"/>
          <w:szCs w:val="24"/>
          <w:u w:val="single"/>
        </w:rPr>
      </w:pPr>
    </w:p>
    <w:p w14:paraId="28EB4F7C" w14:textId="5E2421C9" w:rsidR="00233FCE" w:rsidRPr="00233FCE" w:rsidRDefault="00233FCE" w:rsidP="00955704">
      <w:pPr>
        <w:widowControl w:val="0"/>
        <w:tabs>
          <w:tab w:val="left" w:pos="1134"/>
        </w:tabs>
        <w:ind w:left="1134" w:hanging="283"/>
        <w:rPr>
          <w:rFonts w:eastAsia="Courier New"/>
          <w:sz w:val="24"/>
          <w:szCs w:val="24"/>
        </w:rPr>
      </w:pPr>
      <w:r w:rsidRPr="00233FCE">
        <w:rPr>
          <w:sz w:val="24"/>
          <w:szCs w:val="24"/>
        </w:rPr>
        <w:t>•</w:t>
      </w:r>
      <w:r>
        <w:rPr>
          <w:sz w:val="24"/>
          <w:szCs w:val="24"/>
        </w:rPr>
        <w:tab/>
      </w:r>
      <w:r w:rsidRPr="00233FCE">
        <w:rPr>
          <w:sz w:val="24"/>
          <w:szCs w:val="24"/>
        </w:rPr>
        <w:t>Infektioner forårsaget af følsomme mikroorganismer: 1 g</w:t>
      </w:r>
      <w:r w:rsidRPr="00233FCE">
        <w:rPr>
          <w:sz w:val="24"/>
          <w:szCs w:val="24"/>
        </w:rPr>
        <w:noBreakHyphen/>
        <w:t xml:space="preserve">2 g cefazolin pr. dag fordelt </w:t>
      </w:r>
      <w:r>
        <w:rPr>
          <w:sz w:val="24"/>
          <w:szCs w:val="24"/>
        </w:rPr>
        <w:t>p</w:t>
      </w:r>
      <w:r w:rsidRPr="00233FCE">
        <w:rPr>
          <w:sz w:val="24"/>
          <w:szCs w:val="24"/>
        </w:rPr>
        <w:t>å 2</w:t>
      </w:r>
      <w:r w:rsidRPr="00233FCE">
        <w:rPr>
          <w:sz w:val="24"/>
          <w:szCs w:val="24"/>
        </w:rPr>
        <w:noBreakHyphen/>
        <w:t>3 lige store doser.</w:t>
      </w:r>
    </w:p>
    <w:p w14:paraId="665511D9" w14:textId="1126A128" w:rsidR="00233FCE" w:rsidRPr="00233FCE" w:rsidRDefault="00233FCE" w:rsidP="00955704">
      <w:pPr>
        <w:widowControl w:val="0"/>
        <w:tabs>
          <w:tab w:val="left" w:pos="1134"/>
        </w:tabs>
        <w:ind w:left="1134" w:hanging="283"/>
        <w:rPr>
          <w:rFonts w:eastAsia="Courier New"/>
          <w:sz w:val="24"/>
          <w:szCs w:val="24"/>
        </w:rPr>
      </w:pPr>
      <w:r w:rsidRPr="00233FCE">
        <w:rPr>
          <w:sz w:val="24"/>
          <w:szCs w:val="24"/>
        </w:rPr>
        <w:t>•</w:t>
      </w:r>
      <w:r>
        <w:rPr>
          <w:sz w:val="24"/>
          <w:szCs w:val="24"/>
        </w:rPr>
        <w:tab/>
      </w:r>
      <w:r w:rsidRPr="00233FCE">
        <w:rPr>
          <w:sz w:val="24"/>
          <w:szCs w:val="24"/>
        </w:rPr>
        <w:t>Infektioner forårsaget af moderat følsomme mikroorganismer: 3 g</w:t>
      </w:r>
      <w:r w:rsidRPr="00233FCE">
        <w:rPr>
          <w:sz w:val="24"/>
          <w:szCs w:val="24"/>
        </w:rPr>
        <w:noBreakHyphen/>
        <w:t>4 g cefazolin pr. dag fordelt på 3</w:t>
      </w:r>
      <w:r w:rsidRPr="00233FCE">
        <w:rPr>
          <w:sz w:val="24"/>
          <w:szCs w:val="24"/>
        </w:rPr>
        <w:noBreakHyphen/>
        <w:t>4 lige store doser.</w:t>
      </w:r>
    </w:p>
    <w:p w14:paraId="689AAECF" w14:textId="77777777" w:rsidR="00233FCE" w:rsidRPr="00233FCE" w:rsidRDefault="00233FCE" w:rsidP="00955704">
      <w:pPr>
        <w:widowControl w:val="0"/>
        <w:tabs>
          <w:tab w:val="left" w:pos="567"/>
        </w:tabs>
        <w:ind w:left="851"/>
        <w:rPr>
          <w:rFonts w:eastAsia="Courier New"/>
          <w:sz w:val="24"/>
          <w:szCs w:val="24"/>
        </w:rPr>
      </w:pPr>
    </w:p>
    <w:p w14:paraId="11313A81"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Ved svære infektioner kan der administreres op til 6 g pr. dag fordelt på tre eller fire lige store doser (én dosis hver 6. eller 8. time).</w:t>
      </w:r>
    </w:p>
    <w:p w14:paraId="289E31A5" w14:textId="77777777" w:rsidR="00233FCE" w:rsidRPr="00233FCE" w:rsidRDefault="00233FCE" w:rsidP="00955704">
      <w:pPr>
        <w:widowControl w:val="0"/>
        <w:tabs>
          <w:tab w:val="left" w:pos="567"/>
        </w:tabs>
        <w:ind w:left="851"/>
        <w:rPr>
          <w:rFonts w:eastAsia="Courier New"/>
          <w:bCs/>
          <w:sz w:val="24"/>
          <w:szCs w:val="24"/>
          <w:u w:val="single"/>
        </w:rPr>
      </w:pPr>
    </w:p>
    <w:p w14:paraId="57E3450E"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Særlige doseringsanbefalinger</w:t>
      </w:r>
    </w:p>
    <w:p w14:paraId="44DD1A2E" w14:textId="77777777" w:rsidR="00233FCE" w:rsidRPr="00233FCE" w:rsidRDefault="00233FCE" w:rsidP="00955704">
      <w:pPr>
        <w:widowControl w:val="0"/>
        <w:tabs>
          <w:tab w:val="left" w:pos="567"/>
        </w:tabs>
        <w:ind w:left="851"/>
        <w:rPr>
          <w:sz w:val="24"/>
          <w:szCs w:val="24"/>
          <w:u w:val="single"/>
        </w:rPr>
      </w:pPr>
    </w:p>
    <w:p w14:paraId="7142265B" w14:textId="77777777" w:rsidR="00233FCE" w:rsidRPr="00233FCE" w:rsidRDefault="00233FCE" w:rsidP="00955704">
      <w:pPr>
        <w:widowControl w:val="0"/>
        <w:tabs>
          <w:tab w:val="left" w:pos="567"/>
        </w:tabs>
        <w:ind w:left="851"/>
        <w:rPr>
          <w:sz w:val="24"/>
          <w:szCs w:val="24"/>
          <w:u w:val="single"/>
        </w:rPr>
      </w:pPr>
      <w:r w:rsidRPr="00233FCE">
        <w:rPr>
          <w:sz w:val="24"/>
          <w:szCs w:val="24"/>
          <w:u w:val="single"/>
        </w:rPr>
        <w:t>Perioperativ profylakse</w:t>
      </w:r>
    </w:p>
    <w:p w14:paraId="11C6747C" w14:textId="1FDDE797" w:rsidR="00233FCE" w:rsidRPr="00233FCE" w:rsidRDefault="00233FCE" w:rsidP="00955704">
      <w:pPr>
        <w:widowControl w:val="0"/>
        <w:tabs>
          <w:tab w:val="left" w:pos="1134"/>
        </w:tabs>
        <w:ind w:left="1134" w:hanging="283"/>
        <w:rPr>
          <w:sz w:val="24"/>
          <w:szCs w:val="24"/>
        </w:rPr>
      </w:pPr>
      <w:r w:rsidRPr="00233FCE">
        <w:rPr>
          <w:sz w:val="24"/>
          <w:szCs w:val="24"/>
        </w:rPr>
        <w:t>•</w:t>
      </w:r>
      <w:r>
        <w:rPr>
          <w:sz w:val="24"/>
          <w:szCs w:val="24"/>
        </w:rPr>
        <w:tab/>
      </w:r>
      <w:r w:rsidRPr="00233FCE">
        <w:rPr>
          <w:sz w:val="24"/>
          <w:szCs w:val="24"/>
        </w:rPr>
        <w:t>For at forebygge postoperativ infektion ved kontamineret eller potentielt kontamineret kirurgi anbefales: 1 g cefazolin 30</w:t>
      </w:r>
      <w:r w:rsidRPr="00233FCE">
        <w:rPr>
          <w:sz w:val="24"/>
          <w:szCs w:val="24"/>
        </w:rPr>
        <w:noBreakHyphen/>
        <w:t>60 minutter før operationen.</w:t>
      </w:r>
    </w:p>
    <w:p w14:paraId="056F839B" w14:textId="687702AD" w:rsidR="00233FCE" w:rsidRPr="00233FCE" w:rsidRDefault="00233FCE" w:rsidP="00955704">
      <w:pPr>
        <w:widowControl w:val="0"/>
        <w:tabs>
          <w:tab w:val="left" w:pos="1134"/>
        </w:tabs>
        <w:ind w:left="1134" w:hanging="283"/>
        <w:rPr>
          <w:sz w:val="24"/>
          <w:szCs w:val="24"/>
        </w:rPr>
      </w:pPr>
      <w:r w:rsidRPr="00233FCE">
        <w:rPr>
          <w:sz w:val="24"/>
          <w:szCs w:val="24"/>
        </w:rPr>
        <w:t>•</w:t>
      </w:r>
      <w:r>
        <w:rPr>
          <w:sz w:val="24"/>
          <w:szCs w:val="24"/>
        </w:rPr>
        <w:tab/>
      </w:r>
      <w:r w:rsidRPr="00233FCE">
        <w:rPr>
          <w:sz w:val="24"/>
          <w:szCs w:val="24"/>
        </w:rPr>
        <w:t>Ved længerevarende kirurgiske indgreb (2 timer eller mere) gives yderligere 0,5</w:t>
      </w:r>
      <w:r w:rsidRPr="00233FCE">
        <w:rPr>
          <w:sz w:val="24"/>
          <w:szCs w:val="24"/>
        </w:rPr>
        <w:noBreakHyphen/>
        <w:t>1 g cefazolin under indgrebet.</w:t>
      </w:r>
    </w:p>
    <w:p w14:paraId="22187A85" w14:textId="1D31E795" w:rsidR="00233FCE" w:rsidRPr="00233FCE" w:rsidRDefault="00233FCE" w:rsidP="00955704">
      <w:pPr>
        <w:widowControl w:val="0"/>
        <w:tabs>
          <w:tab w:val="left" w:pos="1134"/>
        </w:tabs>
        <w:ind w:left="1134" w:hanging="283"/>
        <w:rPr>
          <w:sz w:val="24"/>
          <w:szCs w:val="24"/>
        </w:rPr>
      </w:pPr>
      <w:r w:rsidRPr="00233FCE">
        <w:rPr>
          <w:sz w:val="24"/>
          <w:szCs w:val="24"/>
        </w:rPr>
        <w:t>•</w:t>
      </w:r>
      <w:r>
        <w:rPr>
          <w:sz w:val="24"/>
          <w:szCs w:val="24"/>
        </w:rPr>
        <w:tab/>
      </w:r>
      <w:r w:rsidRPr="00233FCE">
        <w:rPr>
          <w:sz w:val="24"/>
          <w:szCs w:val="24"/>
        </w:rPr>
        <w:t>Forlænget fortsættelse af administration ud over det kirurgiske indgreb bør være i overensstemmelse med nationale officielle retningslinjer.</w:t>
      </w:r>
    </w:p>
    <w:p w14:paraId="20211669" w14:textId="77777777" w:rsidR="00233FCE" w:rsidRPr="00233FCE" w:rsidRDefault="00233FCE" w:rsidP="00955704">
      <w:pPr>
        <w:widowControl w:val="0"/>
        <w:tabs>
          <w:tab w:val="left" w:pos="567"/>
        </w:tabs>
        <w:ind w:left="851"/>
        <w:rPr>
          <w:sz w:val="24"/>
          <w:szCs w:val="24"/>
        </w:rPr>
      </w:pPr>
    </w:p>
    <w:p w14:paraId="306588AC" w14:textId="77777777" w:rsidR="00233FCE" w:rsidRPr="00233FCE" w:rsidRDefault="00233FCE" w:rsidP="00955704">
      <w:pPr>
        <w:widowControl w:val="0"/>
        <w:tabs>
          <w:tab w:val="left" w:pos="567"/>
        </w:tabs>
        <w:ind w:left="851"/>
        <w:rPr>
          <w:sz w:val="24"/>
          <w:szCs w:val="24"/>
        </w:rPr>
      </w:pPr>
      <w:r w:rsidRPr="00233FCE">
        <w:rPr>
          <w:sz w:val="24"/>
          <w:szCs w:val="24"/>
        </w:rPr>
        <w:t>Det er vigtigt, at (1) den præoperative dosis administreres umiddelbart (30 minutter til 1 time) før operationens start, så der er tilstrækkelige antibiotikaniveauer i serum og væv på tidspunktet for det initiale kirurgiske snit; og at (2) cefazolin, om nødvendigt, administreres med passende intervaller under operationen for at sikre tilstrækkelige niveauer af antibiotika på de forventede tidspunkter med størst eksponering for infektiøse mikroorganismer.</w:t>
      </w:r>
    </w:p>
    <w:p w14:paraId="4238EFBF" w14:textId="77777777" w:rsidR="00233FCE" w:rsidRPr="00233FCE" w:rsidRDefault="00233FCE" w:rsidP="00955704">
      <w:pPr>
        <w:widowControl w:val="0"/>
        <w:tabs>
          <w:tab w:val="left" w:pos="567"/>
        </w:tabs>
        <w:ind w:left="851"/>
        <w:rPr>
          <w:rFonts w:eastAsia="Calibri"/>
          <w:strike/>
          <w:sz w:val="24"/>
          <w:szCs w:val="24"/>
        </w:rPr>
      </w:pPr>
    </w:p>
    <w:p w14:paraId="1D52543F" w14:textId="77777777" w:rsidR="00233FCE" w:rsidRPr="00233FCE" w:rsidRDefault="00233FCE" w:rsidP="00955704">
      <w:pPr>
        <w:widowControl w:val="0"/>
        <w:tabs>
          <w:tab w:val="left" w:pos="567"/>
        </w:tabs>
        <w:ind w:left="851"/>
        <w:rPr>
          <w:rFonts w:eastAsia="Calibri"/>
          <w:b/>
          <w:sz w:val="24"/>
          <w:szCs w:val="24"/>
        </w:rPr>
      </w:pPr>
      <w:r w:rsidRPr="00233FCE">
        <w:rPr>
          <w:b/>
          <w:sz w:val="24"/>
          <w:szCs w:val="24"/>
        </w:rPr>
        <w:t>Voksne patienter med nedsat nyrefunktion</w:t>
      </w:r>
    </w:p>
    <w:p w14:paraId="7A76B0E7"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Voksne med nedsat nyrefunktion kan have behov for en lavere dosis for at undgå akkumulering.</w:t>
      </w:r>
    </w:p>
    <w:p w14:paraId="366D7AB7"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lastRenderedPageBreak/>
        <w:t>Denne lavere dosis kan vejledes af bestemmelse af koncentrationen i blodet. Hvis dette ikke er muligt, kan doseringen fastsættes på grundlag af kreatininclearance.</w:t>
      </w:r>
    </w:p>
    <w:p w14:paraId="21098E6E" w14:textId="77777777" w:rsidR="00233FCE" w:rsidRPr="008F08EF" w:rsidRDefault="00233FCE" w:rsidP="00955704">
      <w:pPr>
        <w:widowControl w:val="0"/>
        <w:tabs>
          <w:tab w:val="left" w:pos="567"/>
        </w:tabs>
        <w:rPr>
          <w:bCs/>
          <w:strike/>
        </w:rPr>
      </w:pPr>
    </w:p>
    <w:p w14:paraId="06A9E489" w14:textId="77777777" w:rsidR="00233FCE" w:rsidRPr="00233FCE" w:rsidRDefault="00233FCE" w:rsidP="00955704">
      <w:pPr>
        <w:widowControl w:val="0"/>
        <w:tabs>
          <w:tab w:val="left" w:pos="567"/>
        </w:tabs>
        <w:ind w:left="851"/>
        <w:rPr>
          <w:rFonts w:eastAsia="Calibri"/>
          <w:b/>
          <w:sz w:val="24"/>
          <w:szCs w:val="24"/>
        </w:rPr>
      </w:pPr>
      <w:r w:rsidRPr="00233FCE">
        <w:rPr>
          <w:b/>
          <w:sz w:val="24"/>
          <w:szCs w:val="24"/>
        </w:rPr>
        <w:t>Vedligeholdelsesbehandling med cefazolin hos patienter med nedsat nyrefunktion</w:t>
      </w:r>
    </w:p>
    <w:p w14:paraId="3EB115B1" w14:textId="77777777" w:rsidR="00233FCE" w:rsidRPr="008F08EF" w:rsidRDefault="00233FCE" w:rsidP="00955704">
      <w:pPr>
        <w:widowControl w:val="0"/>
        <w:tabs>
          <w:tab w:val="left" w:pos="567"/>
        </w:tabs>
        <w:rPr>
          <w:rFonts w:eastAsia="Courier New"/>
          <w:bCs/>
          <w:strike/>
        </w:rPr>
      </w:pPr>
    </w:p>
    <w:tbl>
      <w:tblPr>
        <w:tblOverlap w:val="never"/>
        <w:tblW w:w="9057" w:type="dxa"/>
        <w:tblInd w:w="846" w:type="dxa"/>
        <w:tblLayout w:type="fixed"/>
        <w:tblCellMar>
          <w:left w:w="10" w:type="dxa"/>
          <w:right w:w="10" w:type="dxa"/>
        </w:tblCellMar>
        <w:tblLook w:val="04A0" w:firstRow="1" w:lastRow="0" w:firstColumn="1" w:lastColumn="0" w:noHBand="0" w:noVBand="1"/>
      </w:tblPr>
      <w:tblGrid>
        <w:gridCol w:w="3019"/>
        <w:gridCol w:w="3019"/>
        <w:gridCol w:w="3019"/>
      </w:tblGrid>
      <w:tr w:rsidR="00233FCE" w:rsidRPr="008F08EF" w14:paraId="1CAB9007" w14:textId="77777777" w:rsidTr="00233FCE">
        <w:trPr>
          <w:trHeight w:val="506"/>
        </w:trPr>
        <w:tc>
          <w:tcPr>
            <w:tcW w:w="3019" w:type="dxa"/>
            <w:tcBorders>
              <w:top w:val="single" w:sz="4" w:space="0" w:color="auto"/>
              <w:left w:val="single" w:sz="4" w:space="0" w:color="auto"/>
            </w:tcBorders>
            <w:shd w:val="clear" w:color="auto" w:fill="FFFFFF"/>
            <w:vAlign w:val="center"/>
          </w:tcPr>
          <w:p w14:paraId="2A99EA70" w14:textId="77777777" w:rsidR="00233FCE" w:rsidRPr="008F08EF" w:rsidRDefault="00233FCE" w:rsidP="00955704">
            <w:pPr>
              <w:widowControl w:val="0"/>
              <w:tabs>
                <w:tab w:val="left" w:pos="567"/>
              </w:tabs>
              <w:jc w:val="center"/>
              <w:rPr>
                <w:rFonts w:eastAsia="Courier New"/>
                <w:b/>
              </w:rPr>
            </w:pPr>
            <w:r w:rsidRPr="008F08EF">
              <w:rPr>
                <w:b/>
              </w:rPr>
              <w:t>Kreatininclearance (ml/min)</w:t>
            </w:r>
          </w:p>
        </w:tc>
        <w:tc>
          <w:tcPr>
            <w:tcW w:w="3019" w:type="dxa"/>
            <w:tcBorders>
              <w:top w:val="single" w:sz="4" w:space="0" w:color="auto"/>
              <w:left w:val="single" w:sz="4" w:space="0" w:color="auto"/>
            </w:tcBorders>
            <w:shd w:val="clear" w:color="auto" w:fill="FFFFFF"/>
            <w:vAlign w:val="center"/>
          </w:tcPr>
          <w:p w14:paraId="6DC39AEF" w14:textId="77777777" w:rsidR="00233FCE" w:rsidRPr="008F08EF" w:rsidRDefault="00233FCE" w:rsidP="00955704">
            <w:pPr>
              <w:widowControl w:val="0"/>
              <w:tabs>
                <w:tab w:val="left" w:pos="567"/>
              </w:tabs>
              <w:jc w:val="center"/>
              <w:rPr>
                <w:rFonts w:eastAsia="Calibri"/>
                <w:b/>
              </w:rPr>
            </w:pPr>
            <w:r w:rsidRPr="008F08EF">
              <w:rPr>
                <w:b/>
              </w:rPr>
              <w:t>Serumkreatinin</w:t>
            </w:r>
          </w:p>
          <w:p w14:paraId="041BB146" w14:textId="77777777" w:rsidR="00233FCE" w:rsidRPr="008F08EF" w:rsidRDefault="00233FCE" w:rsidP="00955704">
            <w:pPr>
              <w:widowControl w:val="0"/>
              <w:tabs>
                <w:tab w:val="left" w:pos="567"/>
              </w:tabs>
              <w:jc w:val="center"/>
              <w:rPr>
                <w:rFonts w:eastAsia="Courier New"/>
                <w:b/>
                <w:strike/>
              </w:rPr>
            </w:pPr>
            <w:r w:rsidRPr="008F08EF">
              <w:rPr>
                <w:b/>
              </w:rPr>
              <w:t>(mg/dl)</w:t>
            </w:r>
          </w:p>
        </w:tc>
        <w:tc>
          <w:tcPr>
            <w:tcW w:w="3019" w:type="dxa"/>
            <w:tcBorders>
              <w:top w:val="single" w:sz="4" w:space="0" w:color="auto"/>
              <w:left w:val="single" w:sz="4" w:space="0" w:color="auto"/>
              <w:right w:val="single" w:sz="4" w:space="0" w:color="auto"/>
            </w:tcBorders>
            <w:shd w:val="clear" w:color="auto" w:fill="FFFFFF"/>
            <w:vAlign w:val="center"/>
          </w:tcPr>
          <w:p w14:paraId="356C7404" w14:textId="77777777" w:rsidR="00233FCE" w:rsidRPr="008F08EF" w:rsidRDefault="00233FCE" w:rsidP="00955704">
            <w:pPr>
              <w:widowControl w:val="0"/>
              <w:tabs>
                <w:tab w:val="left" w:pos="567"/>
              </w:tabs>
              <w:jc w:val="center"/>
              <w:rPr>
                <w:rFonts w:eastAsia="Courier New"/>
                <w:b/>
              </w:rPr>
            </w:pPr>
            <w:r w:rsidRPr="008F08EF">
              <w:rPr>
                <w:b/>
              </w:rPr>
              <w:t>Dosering</w:t>
            </w:r>
          </w:p>
        </w:tc>
      </w:tr>
      <w:tr w:rsidR="00233FCE" w:rsidRPr="008F08EF" w14:paraId="307C2034" w14:textId="77777777" w:rsidTr="00233FCE">
        <w:trPr>
          <w:trHeight w:val="506"/>
        </w:trPr>
        <w:tc>
          <w:tcPr>
            <w:tcW w:w="3019" w:type="dxa"/>
            <w:tcBorders>
              <w:top w:val="single" w:sz="4" w:space="0" w:color="auto"/>
              <w:left w:val="single" w:sz="4" w:space="0" w:color="auto"/>
            </w:tcBorders>
            <w:shd w:val="clear" w:color="auto" w:fill="FFFFFF"/>
            <w:vAlign w:val="center"/>
          </w:tcPr>
          <w:p w14:paraId="7CC11676" w14:textId="77777777" w:rsidR="00233FCE" w:rsidRPr="008F08EF" w:rsidRDefault="00233FCE" w:rsidP="00955704">
            <w:pPr>
              <w:widowControl w:val="0"/>
              <w:tabs>
                <w:tab w:val="left" w:pos="567"/>
              </w:tabs>
              <w:rPr>
                <w:rFonts w:eastAsia="Calibri"/>
                <w:strike/>
              </w:rPr>
            </w:pPr>
          </w:p>
          <w:p w14:paraId="1687965E" w14:textId="77777777" w:rsidR="00233FCE" w:rsidRPr="008F08EF" w:rsidRDefault="00233FCE" w:rsidP="00955704">
            <w:pPr>
              <w:widowControl w:val="0"/>
              <w:tabs>
                <w:tab w:val="left" w:pos="567"/>
              </w:tabs>
              <w:jc w:val="center"/>
              <w:rPr>
                <w:rFonts w:eastAsia="Courier New"/>
              </w:rPr>
            </w:pPr>
            <w:r w:rsidRPr="008F08EF">
              <w:t>≥ 55</w:t>
            </w:r>
          </w:p>
        </w:tc>
        <w:tc>
          <w:tcPr>
            <w:tcW w:w="3019" w:type="dxa"/>
            <w:tcBorders>
              <w:top w:val="single" w:sz="4" w:space="0" w:color="auto"/>
              <w:left w:val="single" w:sz="4" w:space="0" w:color="auto"/>
            </w:tcBorders>
            <w:shd w:val="clear" w:color="auto" w:fill="FFFFFF"/>
            <w:vAlign w:val="center"/>
          </w:tcPr>
          <w:p w14:paraId="6AA06465" w14:textId="77777777" w:rsidR="00233FCE" w:rsidRPr="008F08EF" w:rsidRDefault="00233FCE" w:rsidP="00955704">
            <w:pPr>
              <w:widowControl w:val="0"/>
              <w:tabs>
                <w:tab w:val="left" w:pos="567"/>
              </w:tabs>
              <w:jc w:val="center"/>
              <w:rPr>
                <w:rFonts w:eastAsia="Calibri"/>
                <w:strike/>
              </w:rPr>
            </w:pPr>
          </w:p>
          <w:p w14:paraId="26386523" w14:textId="77777777" w:rsidR="00233FCE" w:rsidRPr="008F08EF" w:rsidRDefault="00233FCE" w:rsidP="00955704">
            <w:pPr>
              <w:widowControl w:val="0"/>
              <w:tabs>
                <w:tab w:val="left" w:pos="567"/>
              </w:tabs>
              <w:jc w:val="center"/>
              <w:rPr>
                <w:rFonts w:eastAsia="Courier New"/>
              </w:rPr>
            </w:pPr>
            <w:r w:rsidRPr="008F08EF">
              <w:t>≤ 1,5</w:t>
            </w:r>
          </w:p>
        </w:tc>
        <w:tc>
          <w:tcPr>
            <w:tcW w:w="3019" w:type="dxa"/>
            <w:tcBorders>
              <w:top w:val="single" w:sz="4" w:space="0" w:color="auto"/>
              <w:left w:val="single" w:sz="4" w:space="0" w:color="auto"/>
              <w:right w:val="single" w:sz="4" w:space="0" w:color="auto"/>
            </w:tcBorders>
            <w:shd w:val="clear" w:color="auto" w:fill="FFFFFF"/>
            <w:vAlign w:val="center"/>
          </w:tcPr>
          <w:p w14:paraId="5C8CBF83" w14:textId="77777777" w:rsidR="00233FCE" w:rsidRPr="008F08EF" w:rsidRDefault="00233FCE" w:rsidP="00955704">
            <w:pPr>
              <w:widowControl w:val="0"/>
              <w:tabs>
                <w:tab w:val="left" w:pos="567"/>
              </w:tabs>
              <w:rPr>
                <w:rFonts w:eastAsia="Courier New"/>
                <w:strike/>
              </w:rPr>
            </w:pPr>
          </w:p>
          <w:p w14:paraId="1E9BEF97" w14:textId="77777777" w:rsidR="00233FCE" w:rsidRPr="008F08EF" w:rsidRDefault="00233FCE" w:rsidP="00955704">
            <w:pPr>
              <w:widowControl w:val="0"/>
              <w:tabs>
                <w:tab w:val="left" w:pos="567"/>
              </w:tabs>
              <w:jc w:val="center"/>
              <w:rPr>
                <w:rFonts w:eastAsia="Courier New"/>
              </w:rPr>
            </w:pPr>
            <w:r w:rsidRPr="008F08EF">
              <w:t>Normal dosis og normalt doseringsinterval</w:t>
            </w:r>
          </w:p>
          <w:p w14:paraId="5F433604" w14:textId="77777777" w:rsidR="00233FCE" w:rsidRPr="008F08EF" w:rsidRDefault="00233FCE" w:rsidP="00955704">
            <w:pPr>
              <w:widowControl w:val="0"/>
              <w:tabs>
                <w:tab w:val="left" w:pos="567"/>
              </w:tabs>
              <w:jc w:val="center"/>
              <w:rPr>
                <w:rFonts w:eastAsia="Courier New"/>
                <w:strike/>
              </w:rPr>
            </w:pPr>
          </w:p>
        </w:tc>
      </w:tr>
      <w:tr w:rsidR="00233FCE" w:rsidRPr="008F08EF" w14:paraId="1F232942" w14:textId="77777777" w:rsidTr="00233FCE">
        <w:trPr>
          <w:trHeight w:val="506"/>
        </w:trPr>
        <w:tc>
          <w:tcPr>
            <w:tcW w:w="3019" w:type="dxa"/>
            <w:tcBorders>
              <w:top w:val="single" w:sz="4" w:space="0" w:color="auto"/>
              <w:left w:val="single" w:sz="4" w:space="0" w:color="auto"/>
            </w:tcBorders>
            <w:shd w:val="clear" w:color="auto" w:fill="FFFFFF"/>
            <w:vAlign w:val="center"/>
          </w:tcPr>
          <w:p w14:paraId="24EC422F" w14:textId="77777777" w:rsidR="00233FCE" w:rsidRPr="008F08EF" w:rsidRDefault="00233FCE" w:rsidP="00955704">
            <w:pPr>
              <w:widowControl w:val="0"/>
              <w:tabs>
                <w:tab w:val="left" w:pos="567"/>
              </w:tabs>
              <w:jc w:val="center"/>
              <w:rPr>
                <w:rFonts w:eastAsia="Calibri"/>
                <w:strike/>
              </w:rPr>
            </w:pPr>
          </w:p>
          <w:p w14:paraId="16B3D001" w14:textId="77777777" w:rsidR="00233FCE" w:rsidRPr="008F08EF" w:rsidRDefault="00233FCE" w:rsidP="00955704">
            <w:pPr>
              <w:widowControl w:val="0"/>
              <w:tabs>
                <w:tab w:val="left" w:pos="567"/>
              </w:tabs>
              <w:jc w:val="center"/>
              <w:rPr>
                <w:rFonts w:eastAsia="Courier New"/>
              </w:rPr>
            </w:pPr>
            <w:r w:rsidRPr="008F08EF">
              <w:t>35</w:t>
            </w:r>
            <w:r w:rsidRPr="008F08EF">
              <w:noBreakHyphen/>
              <w:t>54</w:t>
            </w:r>
          </w:p>
        </w:tc>
        <w:tc>
          <w:tcPr>
            <w:tcW w:w="3019" w:type="dxa"/>
            <w:tcBorders>
              <w:top w:val="single" w:sz="4" w:space="0" w:color="auto"/>
              <w:left w:val="single" w:sz="4" w:space="0" w:color="auto"/>
            </w:tcBorders>
            <w:shd w:val="clear" w:color="auto" w:fill="FFFFFF"/>
            <w:vAlign w:val="center"/>
          </w:tcPr>
          <w:p w14:paraId="0B3F826B" w14:textId="77777777" w:rsidR="00233FCE" w:rsidRPr="008F08EF" w:rsidRDefault="00233FCE" w:rsidP="00955704">
            <w:pPr>
              <w:widowControl w:val="0"/>
              <w:tabs>
                <w:tab w:val="left" w:pos="567"/>
              </w:tabs>
              <w:jc w:val="center"/>
              <w:rPr>
                <w:rFonts w:eastAsia="Calibri"/>
                <w:strike/>
              </w:rPr>
            </w:pPr>
          </w:p>
          <w:p w14:paraId="1E7B045C" w14:textId="77777777" w:rsidR="00233FCE" w:rsidRPr="008F08EF" w:rsidRDefault="00233FCE" w:rsidP="00955704">
            <w:pPr>
              <w:widowControl w:val="0"/>
              <w:tabs>
                <w:tab w:val="left" w:pos="567"/>
              </w:tabs>
              <w:jc w:val="center"/>
              <w:rPr>
                <w:rFonts w:eastAsia="Courier New"/>
              </w:rPr>
            </w:pPr>
            <w:r w:rsidRPr="008F08EF">
              <w:t>1,6</w:t>
            </w:r>
            <w:r w:rsidRPr="008F08EF">
              <w:noBreakHyphen/>
              <w:t>3,0</w:t>
            </w:r>
          </w:p>
        </w:tc>
        <w:tc>
          <w:tcPr>
            <w:tcW w:w="3019" w:type="dxa"/>
            <w:tcBorders>
              <w:top w:val="single" w:sz="4" w:space="0" w:color="auto"/>
              <w:left w:val="single" w:sz="4" w:space="0" w:color="auto"/>
              <w:right w:val="single" w:sz="4" w:space="0" w:color="auto"/>
            </w:tcBorders>
            <w:shd w:val="clear" w:color="auto" w:fill="FFFFFF"/>
            <w:vAlign w:val="center"/>
          </w:tcPr>
          <w:p w14:paraId="70630DD1" w14:textId="77777777" w:rsidR="00233FCE" w:rsidRPr="008F08EF" w:rsidRDefault="00233FCE" w:rsidP="00955704">
            <w:pPr>
              <w:widowControl w:val="0"/>
              <w:tabs>
                <w:tab w:val="left" w:pos="567"/>
              </w:tabs>
              <w:rPr>
                <w:rFonts w:eastAsia="Courier New"/>
                <w:strike/>
              </w:rPr>
            </w:pPr>
          </w:p>
          <w:p w14:paraId="2316074F" w14:textId="77777777" w:rsidR="00233FCE" w:rsidRPr="008F08EF" w:rsidRDefault="00233FCE" w:rsidP="00955704">
            <w:pPr>
              <w:widowControl w:val="0"/>
              <w:tabs>
                <w:tab w:val="left" w:pos="567"/>
              </w:tabs>
              <w:jc w:val="center"/>
              <w:rPr>
                <w:rFonts w:eastAsia="Courier New"/>
              </w:rPr>
            </w:pPr>
            <w:r w:rsidRPr="008F08EF">
              <w:t>Normal dosis, hver 8. time</w:t>
            </w:r>
          </w:p>
        </w:tc>
      </w:tr>
      <w:tr w:rsidR="00233FCE" w:rsidRPr="008F08EF" w14:paraId="6D8ED308" w14:textId="77777777" w:rsidTr="00233FCE">
        <w:trPr>
          <w:trHeight w:val="506"/>
        </w:trPr>
        <w:tc>
          <w:tcPr>
            <w:tcW w:w="3019" w:type="dxa"/>
            <w:tcBorders>
              <w:top w:val="single" w:sz="4" w:space="0" w:color="auto"/>
              <w:left w:val="single" w:sz="4" w:space="0" w:color="auto"/>
            </w:tcBorders>
            <w:shd w:val="clear" w:color="auto" w:fill="FFFFFF"/>
            <w:vAlign w:val="center"/>
          </w:tcPr>
          <w:p w14:paraId="22F28E5D" w14:textId="77777777" w:rsidR="00233FCE" w:rsidRPr="008F08EF" w:rsidRDefault="00233FCE" w:rsidP="00955704">
            <w:pPr>
              <w:widowControl w:val="0"/>
              <w:tabs>
                <w:tab w:val="left" w:pos="567"/>
              </w:tabs>
              <w:jc w:val="center"/>
              <w:rPr>
                <w:rFonts w:eastAsia="Calibri"/>
                <w:strike/>
              </w:rPr>
            </w:pPr>
          </w:p>
          <w:p w14:paraId="4E4C40E7" w14:textId="77777777" w:rsidR="00233FCE" w:rsidRPr="008F08EF" w:rsidRDefault="00233FCE" w:rsidP="00955704">
            <w:pPr>
              <w:widowControl w:val="0"/>
              <w:tabs>
                <w:tab w:val="left" w:pos="567"/>
              </w:tabs>
              <w:jc w:val="center"/>
              <w:rPr>
                <w:rFonts w:eastAsia="Courier New"/>
              </w:rPr>
            </w:pPr>
            <w:r w:rsidRPr="008F08EF">
              <w:t>11</w:t>
            </w:r>
            <w:r w:rsidRPr="008F08EF">
              <w:noBreakHyphen/>
              <w:t>34</w:t>
            </w:r>
          </w:p>
        </w:tc>
        <w:tc>
          <w:tcPr>
            <w:tcW w:w="3019" w:type="dxa"/>
            <w:tcBorders>
              <w:top w:val="single" w:sz="4" w:space="0" w:color="auto"/>
              <w:left w:val="single" w:sz="4" w:space="0" w:color="auto"/>
            </w:tcBorders>
            <w:shd w:val="clear" w:color="auto" w:fill="FFFFFF"/>
            <w:vAlign w:val="center"/>
          </w:tcPr>
          <w:p w14:paraId="5E62C3D2" w14:textId="77777777" w:rsidR="00233FCE" w:rsidRPr="008F08EF" w:rsidRDefault="00233FCE" w:rsidP="00955704">
            <w:pPr>
              <w:widowControl w:val="0"/>
              <w:tabs>
                <w:tab w:val="left" w:pos="567"/>
              </w:tabs>
              <w:jc w:val="center"/>
              <w:rPr>
                <w:rFonts w:eastAsia="Calibri"/>
                <w:strike/>
              </w:rPr>
            </w:pPr>
          </w:p>
          <w:p w14:paraId="0DFF2A55" w14:textId="77777777" w:rsidR="00233FCE" w:rsidRPr="008F08EF" w:rsidRDefault="00233FCE" w:rsidP="00955704">
            <w:pPr>
              <w:widowControl w:val="0"/>
              <w:tabs>
                <w:tab w:val="left" w:pos="567"/>
              </w:tabs>
              <w:jc w:val="center"/>
              <w:rPr>
                <w:rFonts w:eastAsia="Courier New"/>
              </w:rPr>
            </w:pPr>
            <w:r w:rsidRPr="008F08EF">
              <w:t>3,1</w:t>
            </w:r>
            <w:r w:rsidRPr="008F08EF">
              <w:noBreakHyphen/>
              <w:t>4,5</w:t>
            </w:r>
          </w:p>
        </w:tc>
        <w:tc>
          <w:tcPr>
            <w:tcW w:w="3019" w:type="dxa"/>
            <w:tcBorders>
              <w:top w:val="single" w:sz="4" w:space="0" w:color="auto"/>
              <w:left w:val="single" w:sz="4" w:space="0" w:color="auto"/>
              <w:right w:val="single" w:sz="4" w:space="0" w:color="auto"/>
            </w:tcBorders>
            <w:shd w:val="clear" w:color="auto" w:fill="FFFFFF"/>
            <w:vAlign w:val="center"/>
          </w:tcPr>
          <w:p w14:paraId="1107A698" w14:textId="77777777" w:rsidR="00233FCE" w:rsidRPr="008F08EF" w:rsidRDefault="00233FCE" w:rsidP="00955704">
            <w:pPr>
              <w:widowControl w:val="0"/>
              <w:tabs>
                <w:tab w:val="left" w:pos="567"/>
              </w:tabs>
              <w:jc w:val="center"/>
              <w:rPr>
                <w:rFonts w:eastAsia="Courier New"/>
              </w:rPr>
            </w:pPr>
            <w:r w:rsidRPr="008F08EF">
              <w:t>Halvdelen af den normale dosis hver 12. time</w:t>
            </w:r>
          </w:p>
        </w:tc>
      </w:tr>
      <w:tr w:rsidR="00233FCE" w:rsidRPr="008F08EF" w14:paraId="48104AA0" w14:textId="77777777" w:rsidTr="00233FCE">
        <w:trPr>
          <w:trHeight w:val="506"/>
        </w:trPr>
        <w:tc>
          <w:tcPr>
            <w:tcW w:w="3019" w:type="dxa"/>
            <w:tcBorders>
              <w:top w:val="single" w:sz="4" w:space="0" w:color="auto"/>
              <w:left w:val="single" w:sz="4" w:space="0" w:color="auto"/>
              <w:bottom w:val="single" w:sz="4" w:space="0" w:color="auto"/>
            </w:tcBorders>
            <w:shd w:val="clear" w:color="auto" w:fill="FFFFFF"/>
            <w:vAlign w:val="center"/>
          </w:tcPr>
          <w:p w14:paraId="1B42D47E" w14:textId="77777777" w:rsidR="00233FCE" w:rsidRPr="008F08EF" w:rsidRDefault="00233FCE" w:rsidP="00955704">
            <w:pPr>
              <w:widowControl w:val="0"/>
              <w:tabs>
                <w:tab w:val="left" w:pos="567"/>
              </w:tabs>
              <w:jc w:val="center"/>
              <w:rPr>
                <w:rFonts w:eastAsia="Courier New"/>
              </w:rPr>
            </w:pPr>
            <w:r w:rsidRPr="008F08EF">
              <w:t>≤ 10</w:t>
            </w:r>
          </w:p>
        </w:tc>
        <w:tc>
          <w:tcPr>
            <w:tcW w:w="3019" w:type="dxa"/>
            <w:tcBorders>
              <w:top w:val="single" w:sz="4" w:space="0" w:color="auto"/>
              <w:left w:val="single" w:sz="4" w:space="0" w:color="auto"/>
              <w:bottom w:val="single" w:sz="4" w:space="0" w:color="auto"/>
            </w:tcBorders>
            <w:shd w:val="clear" w:color="auto" w:fill="FFFFFF"/>
            <w:vAlign w:val="center"/>
          </w:tcPr>
          <w:p w14:paraId="6DDE9F8A" w14:textId="77777777" w:rsidR="00233FCE" w:rsidRPr="008F08EF" w:rsidRDefault="00233FCE" w:rsidP="00955704">
            <w:pPr>
              <w:widowControl w:val="0"/>
              <w:tabs>
                <w:tab w:val="left" w:pos="567"/>
              </w:tabs>
              <w:jc w:val="center"/>
              <w:rPr>
                <w:rFonts w:eastAsia="Courier New"/>
                <w:strike/>
              </w:rPr>
            </w:pPr>
            <w:r w:rsidRPr="008F08EF">
              <w:t>≥ 4,6</w:t>
            </w:r>
          </w:p>
        </w:tc>
        <w:tc>
          <w:tcPr>
            <w:tcW w:w="3019" w:type="dxa"/>
            <w:tcBorders>
              <w:top w:val="single" w:sz="4" w:space="0" w:color="auto"/>
              <w:left w:val="single" w:sz="4" w:space="0" w:color="auto"/>
              <w:bottom w:val="single" w:sz="4" w:space="0" w:color="auto"/>
              <w:right w:val="single" w:sz="4" w:space="0" w:color="auto"/>
            </w:tcBorders>
            <w:shd w:val="clear" w:color="auto" w:fill="FFFFFF"/>
            <w:vAlign w:val="center"/>
          </w:tcPr>
          <w:p w14:paraId="109B7310" w14:textId="77777777" w:rsidR="00233FCE" w:rsidRPr="008F08EF" w:rsidRDefault="00233FCE" w:rsidP="00955704">
            <w:pPr>
              <w:widowControl w:val="0"/>
              <w:tabs>
                <w:tab w:val="left" w:pos="567"/>
              </w:tabs>
              <w:jc w:val="center"/>
              <w:rPr>
                <w:rFonts w:eastAsia="Courier New"/>
              </w:rPr>
            </w:pPr>
            <w:r w:rsidRPr="008F08EF">
              <w:t>Halvdelen af den normale dosis hver 18.</w:t>
            </w:r>
            <w:r w:rsidRPr="008F08EF">
              <w:noBreakHyphen/>
              <w:t xml:space="preserve">24. time </w:t>
            </w:r>
          </w:p>
          <w:p w14:paraId="3699DF17" w14:textId="77777777" w:rsidR="00233FCE" w:rsidRPr="008F08EF" w:rsidRDefault="00233FCE" w:rsidP="00955704">
            <w:pPr>
              <w:widowControl w:val="0"/>
              <w:tabs>
                <w:tab w:val="left" w:pos="567"/>
              </w:tabs>
              <w:jc w:val="center"/>
              <w:rPr>
                <w:rFonts w:eastAsia="Courier New"/>
              </w:rPr>
            </w:pPr>
          </w:p>
        </w:tc>
      </w:tr>
    </w:tbl>
    <w:p w14:paraId="340BAABA" w14:textId="77777777" w:rsidR="00233FCE" w:rsidRPr="008F08EF" w:rsidRDefault="00233FCE" w:rsidP="00955704">
      <w:pPr>
        <w:widowControl w:val="0"/>
        <w:tabs>
          <w:tab w:val="left" w:pos="567"/>
        </w:tabs>
        <w:rPr>
          <w:rFonts w:eastAsia="Courier New"/>
        </w:rPr>
      </w:pPr>
    </w:p>
    <w:p w14:paraId="3EA169CD"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Hos hæmodialysepatienter afhænger doseringsskemaet af dialyseforholdene.</w:t>
      </w:r>
    </w:p>
    <w:p w14:paraId="5164BB35" w14:textId="77777777" w:rsidR="00233FCE" w:rsidRPr="00233FCE" w:rsidRDefault="00233FCE" w:rsidP="00955704">
      <w:pPr>
        <w:widowControl w:val="0"/>
        <w:tabs>
          <w:tab w:val="left" w:pos="567"/>
        </w:tabs>
        <w:ind w:left="851"/>
        <w:rPr>
          <w:rFonts w:eastAsia="Courier New"/>
          <w:bCs/>
          <w:i/>
          <w:sz w:val="24"/>
          <w:szCs w:val="24"/>
        </w:rPr>
      </w:pPr>
    </w:p>
    <w:p w14:paraId="206EC303"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Retningslinjer for dosering hos voksne</w:t>
      </w:r>
    </w:p>
    <w:p w14:paraId="543C0D00" w14:textId="77777777" w:rsidR="00233FCE" w:rsidRPr="00233FCE" w:rsidRDefault="00233FCE" w:rsidP="00955704">
      <w:pPr>
        <w:widowControl w:val="0"/>
        <w:tabs>
          <w:tab w:val="left" w:pos="567"/>
        </w:tabs>
        <w:ind w:left="851"/>
        <w:rPr>
          <w:rFonts w:eastAsia="Courier New"/>
          <w:bCs/>
          <w:i/>
          <w:sz w:val="24"/>
          <w:szCs w:val="24"/>
        </w:rPr>
      </w:pPr>
    </w:p>
    <w:p w14:paraId="1ECB9AB5"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Rekonstitutionstabel til intramuskulær injektion</w:t>
      </w:r>
    </w:p>
    <w:p w14:paraId="03FAE634" w14:textId="77777777" w:rsidR="00233FCE" w:rsidRPr="00B84678" w:rsidRDefault="00233FCE" w:rsidP="00955704">
      <w:pPr>
        <w:widowControl w:val="0"/>
        <w:tabs>
          <w:tab w:val="left" w:pos="567"/>
        </w:tabs>
        <w:rPr>
          <w:rFonts w:eastAsia="Calibri"/>
        </w:rPr>
      </w:pPr>
    </w:p>
    <w:tbl>
      <w:tblPr>
        <w:tblStyle w:val="Tabel-Gitter"/>
        <w:tblW w:w="9287" w:type="dxa"/>
        <w:tblInd w:w="846" w:type="dxa"/>
        <w:tblLook w:val="04A0" w:firstRow="1" w:lastRow="0" w:firstColumn="1" w:lastColumn="0" w:noHBand="0" w:noVBand="1"/>
      </w:tblPr>
      <w:tblGrid>
        <w:gridCol w:w="3095"/>
        <w:gridCol w:w="3096"/>
        <w:gridCol w:w="3096"/>
      </w:tblGrid>
      <w:tr w:rsidR="00233FCE" w:rsidRPr="008F08EF" w14:paraId="76BC3B39" w14:textId="77777777" w:rsidTr="00233FCE">
        <w:tc>
          <w:tcPr>
            <w:tcW w:w="3095" w:type="dxa"/>
          </w:tcPr>
          <w:p w14:paraId="4B5E0134"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Indhold pr. hætteglas</w:t>
            </w:r>
          </w:p>
        </w:tc>
        <w:tc>
          <w:tcPr>
            <w:tcW w:w="3096" w:type="dxa"/>
          </w:tcPr>
          <w:p w14:paraId="7060F716"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Mængde fortyndingsmiddel, der skal tilsættes</w:t>
            </w:r>
          </w:p>
        </w:tc>
        <w:tc>
          <w:tcPr>
            <w:tcW w:w="3096" w:type="dxa"/>
          </w:tcPr>
          <w:p w14:paraId="52F406F8"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Omtrentlig koncentration</w:t>
            </w:r>
          </w:p>
        </w:tc>
      </w:tr>
      <w:tr w:rsidR="00233FCE" w:rsidRPr="008F08EF" w14:paraId="77E5615A" w14:textId="77777777" w:rsidTr="00233FCE">
        <w:tc>
          <w:tcPr>
            <w:tcW w:w="3095" w:type="dxa"/>
          </w:tcPr>
          <w:p w14:paraId="2E38DF76"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1 g</w:t>
            </w:r>
          </w:p>
        </w:tc>
        <w:tc>
          <w:tcPr>
            <w:tcW w:w="3096" w:type="dxa"/>
          </w:tcPr>
          <w:p w14:paraId="56E17F1E"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2,5</w:t>
            </w:r>
            <w:r>
              <w:rPr>
                <w:rFonts w:ascii="Times New Roman" w:hAnsi="Times New Roman"/>
              </w:rPr>
              <w:t> ml</w:t>
            </w:r>
          </w:p>
        </w:tc>
        <w:tc>
          <w:tcPr>
            <w:tcW w:w="3096" w:type="dxa"/>
          </w:tcPr>
          <w:p w14:paraId="23D68628"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330</w:t>
            </w:r>
            <w:r>
              <w:rPr>
                <w:rFonts w:ascii="Times New Roman" w:hAnsi="Times New Roman"/>
              </w:rPr>
              <w:t> mg</w:t>
            </w:r>
            <w:r w:rsidRPr="008F08EF">
              <w:rPr>
                <w:rFonts w:ascii="Times New Roman" w:hAnsi="Times New Roman"/>
              </w:rPr>
              <w:t>/ml</w:t>
            </w:r>
          </w:p>
        </w:tc>
      </w:tr>
    </w:tbl>
    <w:p w14:paraId="35D4BC12" w14:textId="77777777" w:rsidR="00233FCE" w:rsidRPr="008F08EF" w:rsidRDefault="00233FCE" w:rsidP="00955704">
      <w:pPr>
        <w:widowControl w:val="0"/>
        <w:tabs>
          <w:tab w:val="left" w:pos="567"/>
        </w:tabs>
        <w:rPr>
          <w:rFonts w:eastAsia="Courier New"/>
          <w:bCs/>
          <w:i/>
        </w:rPr>
      </w:pPr>
    </w:p>
    <w:p w14:paraId="3D3FDA7A" w14:textId="77777777" w:rsidR="00233FCE" w:rsidRPr="008F08EF" w:rsidRDefault="00233FCE" w:rsidP="00955704">
      <w:pPr>
        <w:widowControl w:val="0"/>
        <w:tabs>
          <w:tab w:val="left" w:pos="567"/>
        </w:tabs>
        <w:ind w:left="851"/>
        <w:rPr>
          <w:rFonts w:eastAsia="Calibri"/>
        </w:rPr>
      </w:pPr>
      <w:r w:rsidRPr="008F08EF">
        <w:t>Rekonstitutionstabel til intravenøs injektion</w:t>
      </w:r>
    </w:p>
    <w:p w14:paraId="55AD4F4A" w14:textId="77777777" w:rsidR="00233FCE" w:rsidRPr="008F08EF" w:rsidRDefault="00233FCE" w:rsidP="00955704">
      <w:pPr>
        <w:widowControl w:val="0"/>
        <w:tabs>
          <w:tab w:val="left" w:pos="567"/>
        </w:tabs>
        <w:rPr>
          <w:rFonts w:eastAsia="Calibri"/>
        </w:rPr>
      </w:pPr>
    </w:p>
    <w:tbl>
      <w:tblPr>
        <w:tblStyle w:val="Tabel-Gitter"/>
        <w:tblW w:w="9287" w:type="dxa"/>
        <w:tblInd w:w="846" w:type="dxa"/>
        <w:tblLook w:val="04A0" w:firstRow="1" w:lastRow="0" w:firstColumn="1" w:lastColumn="0" w:noHBand="0" w:noVBand="1"/>
      </w:tblPr>
      <w:tblGrid>
        <w:gridCol w:w="3095"/>
        <w:gridCol w:w="3096"/>
        <w:gridCol w:w="3096"/>
      </w:tblGrid>
      <w:tr w:rsidR="00233FCE" w:rsidRPr="008F08EF" w14:paraId="0329C637" w14:textId="77777777" w:rsidTr="00233FCE">
        <w:tc>
          <w:tcPr>
            <w:tcW w:w="3095" w:type="dxa"/>
          </w:tcPr>
          <w:p w14:paraId="74C7A2F8"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Indhold pr. hætteglas</w:t>
            </w:r>
          </w:p>
        </w:tc>
        <w:tc>
          <w:tcPr>
            <w:tcW w:w="3096" w:type="dxa"/>
          </w:tcPr>
          <w:p w14:paraId="29C4032C"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Mindste mængde fortyndingsmiddel, der skal tilsættes</w:t>
            </w:r>
          </w:p>
          <w:p w14:paraId="5FBA8B38" w14:textId="77777777" w:rsidR="00233FCE" w:rsidRPr="008F08EF" w:rsidRDefault="00233FCE" w:rsidP="00955704">
            <w:pPr>
              <w:widowControl w:val="0"/>
              <w:tabs>
                <w:tab w:val="left" w:pos="567"/>
              </w:tabs>
              <w:rPr>
                <w:rFonts w:ascii="Times New Roman" w:eastAsia="Calibri" w:hAnsi="Times New Roman" w:cs="Times New Roman"/>
              </w:rPr>
            </w:pPr>
          </w:p>
        </w:tc>
        <w:tc>
          <w:tcPr>
            <w:tcW w:w="3096" w:type="dxa"/>
          </w:tcPr>
          <w:p w14:paraId="127BD430"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Omtrentlig koncentration</w:t>
            </w:r>
          </w:p>
          <w:p w14:paraId="3387FE0B" w14:textId="77777777" w:rsidR="00233FCE" w:rsidRPr="008F08EF" w:rsidRDefault="00233FCE" w:rsidP="00955704">
            <w:pPr>
              <w:widowControl w:val="0"/>
              <w:tabs>
                <w:tab w:val="left" w:pos="567"/>
              </w:tabs>
              <w:rPr>
                <w:rFonts w:ascii="Times New Roman" w:eastAsia="Calibri" w:hAnsi="Times New Roman" w:cs="Times New Roman"/>
              </w:rPr>
            </w:pPr>
          </w:p>
        </w:tc>
      </w:tr>
      <w:tr w:rsidR="00233FCE" w:rsidRPr="008F08EF" w14:paraId="5E61796B" w14:textId="77777777" w:rsidTr="00233FCE">
        <w:tc>
          <w:tcPr>
            <w:tcW w:w="3095" w:type="dxa"/>
          </w:tcPr>
          <w:p w14:paraId="74A5D3C4"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1 g</w:t>
            </w:r>
          </w:p>
        </w:tc>
        <w:tc>
          <w:tcPr>
            <w:tcW w:w="3096" w:type="dxa"/>
          </w:tcPr>
          <w:p w14:paraId="18B9F15B"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 xml:space="preserve"> 4</w:t>
            </w:r>
            <w:r>
              <w:rPr>
                <w:rFonts w:ascii="Times New Roman" w:hAnsi="Times New Roman"/>
              </w:rPr>
              <w:t> ml</w:t>
            </w:r>
          </w:p>
        </w:tc>
        <w:tc>
          <w:tcPr>
            <w:tcW w:w="3096" w:type="dxa"/>
          </w:tcPr>
          <w:p w14:paraId="306CF0DF" w14:textId="77777777" w:rsidR="00233FCE" w:rsidRPr="008F08EF" w:rsidRDefault="00233FCE" w:rsidP="00955704">
            <w:pPr>
              <w:widowControl w:val="0"/>
              <w:tabs>
                <w:tab w:val="left" w:pos="567"/>
              </w:tabs>
              <w:rPr>
                <w:rFonts w:ascii="Times New Roman" w:eastAsia="Calibri" w:hAnsi="Times New Roman" w:cs="Times New Roman"/>
              </w:rPr>
            </w:pPr>
            <w:r w:rsidRPr="008F08EF">
              <w:rPr>
                <w:rFonts w:ascii="Times New Roman" w:hAnsi="Times New Roman"/>
              </w:rPr>
              <w:t xml:space="preserve"> 220</w:t>
            </w:r>
            <w:r>
              <w:rPr>
                <w:rFonts w:ascii="Times New Roman" w:hAnsi="Times New Roman"/>
              </w:rPr>
              <w:t> mg</w:t>
            </w:r>
            <w:r w:rsidRPr="008F08EF">
              <w:rPr>
                <w:rFonts w:ascii="Times New Roman" w:hAnsi="Times New Roman"/>
              </w:rPr>
              <w:t>/ml</w:t>
            </w:r>
          </w:p>
        </w:tc>
      </w:tr>
    </w:tbl>
    <w:p w14:paraId="5C7BF8FA" w14:textId="77777777" w:rsidR="00233FCE" w:rsidRPr="00233FCE" w:rsidRDefault="00233FCE" w:rsidP="00955704">
      <w:pPr>
        <w:widowControl w:val="0"/>
        <w:tabs>
          <w:tab w:val="left" w:pos="567"/>
        </w:tabs>
        <w:ind w:left="851"/>
        <w:rPr>
          <w:rFonts w:eastAsia="Courier New"/>
          <w:bCs/>
          <w:iCs/>
          <w:sz w:val="24"/>
          <w:szCs w:val="24"/>
        </w:rPr>
      </w:pPr>
    </w:p>
    <w:p w14:paraId="1B0B795F" w14:textId="51CD54C6" w:rsidR="00233FCE" w:rsidRDefault="00233FCE" w:rsidP="00955704">
      <w:pPr>
        <w:widowControl w:val="0"/>
        <w:tabs>
          <w:tab w:val="left" w:pos="567"/>
        </w:tabs>
        <w:ind w:left="851"/>
        <w:rPr>
          <w:b/>
          <w:sz w:val="24"/>
          <w:szCs w:val="24"/>
          <w:u w:val="single"/>
        </w:rPr>
      </w:pPr>
      <w:r w:rsidRPr="00233FCE">
        <w:rPr>
          <w:b/>
          <w:sz w:val="24"/>
          <w:szCs w:val="24"/>
          <w:u w:val="single"/>
        </w:rPr>
        <w:t>Pædiatrisk population</w:t>
      </w:r>
    </w:p>
    <w:p w14:paraId="4D3A105D" w14:textId="77777777" w:rsidR="00233FCE" w:rsidRPr="00233FCE" w:rsidRDefault="00233FCE" w:rsidP="00955704">
      <w:pPr>
        <w:widowControl w:val="0"/>
        <w:tabs>
          <w:tab w:val="left" w:pos="567"/>
        </w:tabs>
        <w:ind w:left="851"/>
        <w:rPr>
          <w:rFonts w:eastAsia="Courier New"/>
          <w:b/>
          <w:sz w:val="24"/>
          <w:szCs w:val="24"/>
          <w:u w:val="single"/>
        </w:rPr>
      </w:pPr>
    </w:p>
    <w:p w14:paraId="223BF03B"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Infektioner forårsaget af følsomme mikroorganismer</w:t>
      </w:r>
    </w:p>
    <w:p w14:paraId="707BBC2E"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Der anbefales en dosis på 25</w:t>
      </w:r>
      <w:r w:rsidRPr="00233FCE">
        <w:rPr>
          <w:sz w:val="24"/>
          <w:szCs w:val="24"/>
        </w:rPr>
        <w:noBreakHyphen/>
        <w:t>50 mg/kg legemsvægt pr. dag, fordelt på to til fire lige store doser (én dosis hver 6., 8. eller 12. time).</w:t>
      </w:r>
    </w:p>
    <w:p w14:paraId="55EF2C1E" w14:textId="77777777" w:rsidR="00233FCE" w:rsidRPr="00233FCE" w:rsidRDefault="00233FCE" w:rsidP="00955704">
      <w:pPr>
        <w:widowControl w:val="0"/>
        <w:tabs>
          <w:tab w:val="left" w:pos="567"/>
        </w:tabs>
        <w:ind w:left="851"/>
        <w:rPr>
          <w:rFonts w:eastAsia="Courier New"/>
          <w:sz w:val="24"/>
          <w:szCs w:val="24"/>
        </w:rPr>
      </w:pPr>
    </w:p>
    <w:p w14:paraId="537C5B08"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Infektioner forårsaget af moderat følsomme mikroorganismer</w:t>
      </w:r>
    </w:p>
    <w:p w14:paraId="64BD1D77"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Der anbefales en dosis på op til 100 mg/kg legemsvægt pr. dag, fordelt på tre eller fire lige store doser (én dosis hver 6. eller 8. time).</w:t>
      </w:r>
    </w:p>
    <w:p w14:paraId="46205D16" w14:textId="77777777" w:rsidR="00233FCE" w:rsidRPr="00233FCE" w:rsidRDefault="00233FCE" w:rsidP="00955704">
      <w:pPr>
        <w:widowControl w:val="0"/>
        <w:tabs>
          <w:tab w:val="left" w:pos="567"/>
        </w:tabs>
        <w:ind w:left="851"/>
        <w:rPr>
          <w:rFonts w:eastAsia="Courier New"/>
          <w:sz w:val="24"/>
          <w:szCs w:val="24"/>
        </w:rPr>
      </w:pPr>
    </w:p>
    <w:p w14:paraId="629FDC52"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Præmature og spædbørn i alderen op til 1 måned</w:t>
      </w:r>
    </w:p>
    <w:p w14:paraId="29D432FF"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Cefazolin "Noridem"s sikkerhed hos spædbørn i alderen under 1 måned er ikke klarlagt. Anvendelse hos denne population frarådes derfor. Se også pkt. 4.4</w:t>
      </w:r>
    </w:p>
    <w:p w14:paraId="4CB5281E" w14:textId="479290DC" w:rsidR="00233FCE" w:rsidRDefault="00233FCE" w:rsidP="00955704">
      <w:pPr>
        <w:rPr>
          <w:rFonts w:eastAsia="Courier New"/>
          <w:sz w:val="24"/>
          <w:szCs w:val="24"/>
        </w:rPr>
      </w:pPr>
      <w:r>
        <w:rPr>
          <w:rFonts w:eastAsia="Courier New"/>
          <w:sz w:val="24"/>
          <w:szCs w:val="24"/>
        </w:rPr>
        <w:br w:type="page"/>
      </w:r>
    </w:p>
    <w:p w14:paraId="5CCC0FED" w14:textId="77777777" w:rsidR="00233FCE" w:rsidRPr="00233FCE" w:rsidRDefault="00233FCE" w:rsidP="00955704">
      <w:pPr>
        <w:widowControl w:val="0"/>
        <w:tabs>
          <w:tab w:val="left" w:pos="567"/>
        </w:tabs>
        <w:ind w:left="851"/>
        <w:rPr>
          <w:rFonts w:eastAsia="Courier New"/>
          <w:sz w:val="24"/>
          <w:szCs w:val="24"/>
        </w:rPr>
      </w:pPr>
    </w:p>
    <w:p w14:paraId="5CD0EBAD"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Retningslinjer for dosering hos børn</w:t>
      </w:r>
    </w:p>
    <w:p w14:paraId="55EE3173" w14:textId="77777777" w:rsidR="00233FCE" w:rsidRPr="00233FCE" w:rsidRDefault="00233FCE" w:rsidP="00955704">
      <w:pPr>
        <w:widowControl w:val="0"/>
        <w:tabs>
          <w:tab w:val="left" w:pos="567"/>
        </w:tabs>
        <w:ind w:left="851"/>
        <w:rPr>
          <w:rFonts w:eastAsia="Courier New"/>
          <w:sz w:val="24"/>
          <w:szCs w:val="24"/>
        </w:rPr>
      </w:pPr>
    </w:p>
    <w:p w14:paraId="2DEBEE4E" w14:textId="77777777" w:rsidR="00233FCE" w:rsidRPr="00233FCE" w:rsidRDefault="00233FCE" w:rsidP="00955704">
      <w:pPr>
        <w:widowControl w:val="0"/>
        <w:tabs>
          <w:tab w:val="left" w:pos="567"/>
        </w:tabs>
        <w:ind w:left="851"/>
        <w:rPr>
          <w:rFonts w:eastAsia="Courier New"/>
          <w:sz w:val="24"/>
          <w:szCs w:val="24"/>
          <w:u w:val="single"/>
        </w:rPr>
      </w:pPr>
      <w:r w:rsidRPr="00233FCE">
        <w:rPr>
          <w:sz w:val="24"/>
          <w:szCs w:val="24"/>
          <w:u w:val="single"/>
        </w:rPr>
        <w:t>Intravenøs injektion</w:t>
      </w:r>
    </w:p>
    <w:p w14:paraId="4F2204E5" w14:textId="77777777" w:rsidR="00233FCE" w:rsidRPr="00233FCE" w:rsidRDefault="00233FCE" w:rsidP="00955704">
      <w:pPr>
        <w:pStyle w:val="Listeafsnit"/>
        <w:widowControl w:val="0"/>
        <w:numPr>
          <w:ilvl w:val="0"/>
          <w:numId w:val="7"/>
        </w:numPr>
        <w:tabs>
          <w:tab w:val="left" w:pos="567"/>
        </w:tabs>
        <w:spacing w:after="0" w:line="240" w:lineRule="auto"/>
        <w:ind w:left="1134" w:hanging="283"/>
        <w:rPr>
          <w:rFonts w:ascii="Times New Roman" w:eastAsia="Courier New" w:hAnsi="Times New Roman" w:cs="Times New Roman"/>
          <w:sz w:val="24"/>
          <w:szCs w:val="24"/>
        </w:rPr>
      </w:pPr>
      <w:r w:rsidRPr="00233FCE">
        <w:rPr>
          <w:rFonts w:ascii="Times New Roman" w:hAnsi="Times New Roman"/>
          <w:sz w:val="24"/>
          <w:szCs w:val="24"/>
        </w:rPr>
        <w:t>1 g hætteglas: Indholdet af 1 hætteglas (1.000 mg cefazolin) opløses i 4 ml kompatibel solvens (dvs. koncentration ca. 220 mg/ml). De respektive mængder af denne opløsning, der skal anvendes, er sammen med dosis i mg angivet i tabel 1.</w:t>
      </w:r>
    </w:p>
    <w:p w14:paraId="6722A7DF" w14:textId="77777777" w:rsidR="00233FCE" w:rsidRPr="00233FCE" w:rsidRDefault="00233FCE" w:rsidP="00955704">
      <w:pPr>
        <w:pStyle w:val="Listeafsnit"/>
        <w:widowControl w:val="0"/>
        <w:numPr>
          <w:ilvl w:val="0"/>
          <w:numId w:val="7"/>
        </w:numPr>
        <w:tabs>
          <w:tab w:val="left" w:pos="567"/>
        </w:tabs>
        <w:spacing w:after="0" w:line="240" w:lineRule="auto"/>
        <w:ind w:left="1134" w:hanging="283"/>
        <w:rPr>
          <w:rFonts w:ascii="Times New Roman" w:eastAsia="Courier New" w:hAnsi="Times New Roman" w:cs="Times New Roman"/>
          <w:sz w:val="24"/>
          <w:szCs w:val="24"/>
        </w:rPr>
      </w:pPr>
      <w:r w:rsidRPr="00233FCE">
        <w:rPr>
          <w:rFonts w:ascii="Times New Roman" w:hAnsi="Times New Roman"/>
          <w:sz w:val="24"/>
          <w:szCs w:val="24"/>
        </w:rPr>
        <w:t>2 g hætteglas: Indholdet af 1 hætteglas (2.000 mg cefazolin) opløses i 10 ml kompatibel solvens (dvs. koncentration ca. 180 mg/ml). De respektive mængder af denne opløsning, der skal anvendes, er sammen med dosis i mg angivet i tabel 2.</w:t>
      </w:r>
    </w:p>
    <w:p w14:paraId="378EF852" w14:textId="77777777" w:rsidR="00233FCE" w:rsidRPr="00233FCE" w:rsidRDefault="00233FCE" w:rsidP="00955704">
      <w:pPr>
        <w:widowControl w:val="0"/>
        <w:tabs>
          <w:tab w:val="left" w:pos="567"/>
        </w:tabs>
        <w:ind w:left="851"/>
        <w:rPr>
          <w:rFonts w:eastAsia="Courier New"/>
          <w:sz w:val="24"/>
          <w:szCs w:val="24"/>
        </w:rPr>
      </w:pPr>
    </w:p>
    <w:p w14:paraId="02D92142"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 xml:space="preserve">Lidocainopløsninger må under ingen omstændigheder administreres intravenøst.  </w:t>
      </w:r>
    </w:p>
    <w:p w14:paraId="5EDD8EAE" w14:textId="77777777" w:rsidR="00233FCE" w:rsidRPr="008F08EF" w:rsidRDefault="00233FCE" w:rsidP="00955704">
      <w:pPr>
        <w:widowControl w:val="0"/>
        <w:tabs>
          <w:tab w:val="left" w:pos="567"/>
        </w:tabs>
        <w:rPr>
          <w:rFonts w:eastAsia="Courier New"/>
        </w:rPr>
      </w:pPr>
    </w:p>
    <w:p w14:paraId="74B7A1C5" w14:textId="59E22A46" w:rsidR="00233FCE" w:rsidRDefault="00233FCE" w:rsidP="00955704">
      <w:pPr>
        <w:widowControl w:val="0"/>
        <w:tabs>
          <w:tab w:val="left" w:pos="567"/>
        </w:tabs>
        <w:rPr>
          <w:sz w:val="24"/>
          <w:szCs w:val="24"/>
        </w:rPr>
      </w:pPr>
      <w:r w:rsidRPr="00233FCE">
        <w:rPr>
          <w:sz w:val="24"/>
          <w:szCs w:val="24"/>
        </w:rPr>
        <w:t>Tabel 1: Anbefalede volumener til intravenøs og intramuskulær injektion hos pædiatriske patienter for Cefazolin "Noridem" 1 g, pulver til injektions-/infusionsvæske, opløsning</w:t>
      </w:r>
    </w:p>
    <w:p w14:paraId="547C97D8" w14:textId="77777777" w:rsidR="00233FCE" w:rsidRPr="00233FCE" w:rsidRDefault="00233FCE" w:rsidP="00955704">
      <w:pPr>
        <w:widowControl w:val="0"/>
        <w:tabs>
          <w:tab w:val="left" w:pos="567"/>
        </w:tabs>
        <w:rPr>
          <w:rFonts w:eastAsia="Courier New"/>
          <w:sz w:val="24"/>
          <w:szCs w:val="24"/>
        </w:rPr>
      </w:pPr>
    </w:p>
    <w:tbl>
      <w:tblPr>
        <w:tblStyle w:val="Tabel-Gitter"/>
        <w:tblW w:w="0" w:type="auto"/>
        <w:tblLook w:val="04A0" w:firstRow="1" w:lastRow="0" w:firstColumn="1" w:lastColumn="0" w:noHBand="0" w:noVBand="1"/>
      </w:tblPr>
      <w:tblGrid>
        <w:gridCol w:w="2051"/>
        <w:gridCol w:w="1129"/>
        <w:gridCol w:w="1126"/>
        <w:gridCol w:w="1126"/>
        <w:gridCol w:w="1126"/>
        <w:gridCol w:w="1259"/>
        <w:gridCol w:w="1258"/>
      </w:tblGrid>
      <w:tr w:rsidR="00233FCE" w:rsidRPr="008F08EF" w14:paraId="509B2FB0" w14:textId="77777777" w:rsidTr="00A24D20">
        <w:tc>
          <w:tcPr>
            <w:tcW w:w="2051" w:type="dxa"/>
          </w:tcPr>
          <w:p w14:paraId="43C5FD60"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 xml:space="preserve">Legemsvægt </w:t>
            </w:r>
          </w:p>
          <w:p w14:paraId="1D961AA1" w14:textId="77777777" w:rsidR="00233FCE" w:rsidRPr="008F08EF" w:rsidRDefault="00233FCE" w:rsidP="00955704">
            <w:pPr>
              <w:widowControl w:val="0"/>
              <w:tabs>
                <w:tab w:val="left" w:pos="567"/>
              </w:tabs>
              <w:rPr>
                <w:rFonts w:ascii="Times New Roman" w:eastAsia="Courier New" w:hAnsi="Times New Roman" w:cs="Times New Roman"/>
                <w:b/>
              </w:rPr>
            </w:pPr>
          </w:p>
        </w:tc>
        <w:tc>
          <w:tcPr>
            <w:tcW w:w="1129" w:type="dxa"/>
          </w:tcPr>
          <w:p w14:paraId="2288424B"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Styrke</w:t>
            </w:r>
          </w:p>
        </w:tc>
        <w:tc>
          <w:tcPr>
            <w:tcW w:w="1126" w:type="dxa"/>
          </w:tcPr>
          <w:p w14:paraId="60640CBD"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5 kg</w:t>
            </w:r>
          </w:p>
        </w:tc>
        <w:tc>
          <w:tcPr>
            <w:tcW w:w="1126" w:type="dxa"/>
          </w:tcPr>
          <w:p w14:paraId="79499229"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10 kg</w:t>
            </w:r>
          </w:p>
        </w:tc>
        <w:tc>
          <w:tcPr>
            <w:tcW w:w="1126" w:type="dxa"/>
          </w:tcPr>
          <w:p w14:paraId="1679377E"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15 kg</w:t>
            </w:r>
          </w:p>
        </w:tc>
        <w:tc>
          <w:tcPr>
            <w:tcW w:w="1259" w:type="dxa"/>
          </w:tcPr>
          <w:p w14:paraId="43529558"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20 kg</w:t>
            </w:r>
          </w:p>
        </w:tc>
        <w:tc>
          <w:tcPr>
            <w:tcW w:w="1258" w:type="dxa"/>
          </w:tcPr>
          <w:p w14:paraId="52383020"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25 kg</w:t>
            </w:r>
          </w:p>
        </w:tc>
      </w:tr>
      <w:tr w:rsidR="00233FCE" w:rsidRPr="008F08EF" w14:paraId="0AD889C3" w14:textId="77777777" w:rsidTr="00A24D20">
        <w:trPr>
          <w:trHeight w:val="423"/>
        </w:trPr>
        <w:tc>
          <w:tcPr>
            <w:tcW w:w="2051" w:type="dxa"/>
            <w:vMerge w:val="restart"/>
          </w:tcPr>
          <w:p w14:paraId="6C815AA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w:t>
            </w:r>
            <w:r>
              <w:rPr>
                <w:rFonts w:ascii="Times New Roman" w:hAnsi="Times New Roman"/>
              </w:rPr>
              <w:t> mg</w:t>
            </w:r>
            <w:r w:rsidRPr="008F08EF">
              <w:rPr>
                <w:rFonts w:ascii="Times New Roman" w:hAnsi="Times New Roman"/>
              </w:rPr>
              <w:t>/kg legemsvægt pr. dag, fordelt på doser hver 12. time</w:t>
            </w:r>
          </w:p>
        </w:tc>
        <w:tc>
          <w:tcPr>
            <w:tcW w:w="1129" w:type="dxa"/>
            <w:vMerge w:val="restart"/>
            <w:vAlign w:val="center"/>
          </w:tcPr>
          <w:p w14:paraId="397F080A"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tc>
        <w:tc>
          <w:tcPr>
            <w:tcW w:w="1126" w:type="dxa"/>
          </w:tcPr>
          <w:p w14:paraId="596445F7"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63</w:t>
            </w:r>
            <w:r>
              <w:rPr>
                <w:rFonts w:ascii="Times New Roman" w:hAnsi="Times New Roman"/>
              </w:rPr>
              <w:t> mg</w:t>
            </w:r>
          </w:p>
          <w:p w14:paraId="76DD08DE"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18AA1B52"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125</w:t>
            </w:r>
            <w:r>
              <w:rPr>
                <w:rFonts w:ascii="Times New Roman" w:hAnsi="Times New Roman"/>
              </w:rPr>
              <w:t> mg</w:t>
            </w:r>
            <w:r w:rsidRPr="008F08EF">
              <w:rPr>
                <w:rFonts w:ascii="Times New Roman" w:hAnsi="Times New Roman"/>
              </w:rPr>
              <w:t>;</w:t>
            </w:r>
          </w:p>
          <w:p w14:paraId="50E6D734"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42DACB7E"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188</w:t>
            </w:r>
            <w:r>
              <w:rPr>
                <w:rFonts w:ascii="Times New Roman" w:hAnsi="Times New Roman"/>
              </w:rPr>
              <w:t> mg</w:t>
            </w:r>
            <w:r w:rsidRPr="008F08EF">
              <w:rPr>
                <w:rFonts w:ascii="Times New Roman" w:hAnsi="Times New Roman"/>
              </w:rPr>
              <w:t>;</w:t>
            </w:r>
          </w:p>
          <w:p w14:paraId="5EBD864D"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9" w:type="dxa"/>
          </w:tcPr>
          <w:p w14:paraId="27D61689"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250</w:t>
            </w:r>
            <w:r>
              <w:rPr>
                <w:rFonts w:ascii="Times New Roman" w:hAnsi="Times New Roman"/>
              </w:rPr>
              <w:t> mg</w:t>
            </w:r>
            <w:r w:rsidRPr="008F08EF">
              <w:rPr>
                <w:rFonts w:ascii="Times New Roman" w:hAnsi="Times New Roman"/>
              </w:rPr>
              <w:t>;</w:t>
            </w:r>
          </w:p>
          <w:p w14:paraId="5B2B4216"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8" w:type="dxa"/>
          </w:tcPr>
          <w:p w14:paraId="2593284D"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313</w:t>
            </w:r>
            <w:r>
              <w:rPr>
                <w:rFonts w:ascii="Times New Roman" w:hAnsi="Times New Roman"/>
              </w:rPr>
              <w:t> mg</w:t>
            </w:r>
            <w:r w:rsidRPr="008F08EF">
              <w:rPr>
                <w:rFonts w:ascii="Times New Roman" w:hAnsi="Times New Roman"/>
              </w:rPr>
              <w:t>;</w:t>
            </w:r>
          </w:p>
          <w:p w14:paraId="197DD171" w14:textId="77777777" w:rsidR="00233FCE" w:rsidRPr="008F08EF" w:rsidRDefault="00233FCE" w:rsidP="00955704">
            <w:pPr>
              <w:widowControl w:val="0"/>
              <w:tabs>
                <w:tab w:val="left" w:pos="567"/>
              </w:tabs>
              <w:rPr>
                <w:rFonts w:ascii="Times New Roman" w:eastAsia="Courier New" w:hAnsi="Times New Roman" w:cs="Times New Roman"/>
              </w:rPr>
            </w:pPr>
          </w:p>
        </w:tc>
      </w:tr>
      <w:tr w:rsidR="00233FCE" w:rsidRPr="008F08EF" w14:paraId="529E1BA8" w14:textId="77777777" w:rsidTr="00A24D20">
        <w:trPr>
          <w:trHeight w:val="373"/>
        </w:trPr>
        <w:tc>
          <w:tcPr>
            <w:tcW w:w="2051" w:type="dxa"/>
            <w:vMerge/>
          </w:tcPr>
          <w:p w14:paraId="3029A9AD"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vAlign w:val="center"/>
          </w:tcPr>
          <w:p w14:paraId="495F0F4A" w14:textId="77777777" w:rsidR="00233FCE" w:rsidRPr="008F08EF" w:rsidRDefault="00233FCE" w:rsidP="00955704">
            <w:pPr>
              <w:widowControl w:val="0"/>
              <w:tabs>
                <w:tab w:val="left" w:pos="567"/>
              </w:tabs>
              <w:jc w:val="center"/>
              <w:rPr>
                <w:rFonts w:ascii="Times New Roman" w:eastAsia="Courier New" w:hAnsi="Times New Roman" w:cs="Times New Roman"/>
                <w:highlight w:val="lightGray"/>
                <w:lang w:val="el-GR"/>
              </w:rPr>
            </w:pPr>
          </w:p>
        </w:tc>
        <w:tc>
          <w:tcPr>
            <w:tcW w:w="1126" w:type="dxa"/>
          </w:tcPr>
          <w:p w14:paraId="5EDA619F"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0,29</w:t>
            </w:r>
            <w:r>
              <w:rPr>
                <w:rFonts w:ascii="Times New Roman" w:hAnsi="Times New Roman"/>
              </w:rPr>
              <w:t> ml</w:t>
            </w:r>
          </w:p>
        </w:tc>
        <w:tc>
          <w:tcPr>
            <w:tcW w:w="1126" w:type="dxa"/>
          </w:tcPr>
          <w:p w14:paraId="7AE0057F"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0,57</w:t>
            </w:r>
            <w:r>
              <w:rPr>
                <w:rFonts w:ascii="Times New Roman" w:hAnsi="Times New Roman"/>
              </w:rPr>
              <w:t> ml</w:t>
            </w:r>
          </w:p>
        </w:tc>
        <w:tc>
          <w:tcPr>
            <w:tcW w:w="1126" w:type="dxa"/>
          </w:tcPr>
          <w:p w14:paraId="7F3FD930"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0,85</w:t>
            </w:r>
            <w:r>
              <w:rPr>
                <w:rFonts w:ascii="Times New Roman" w:hAnsi="Times New Roman"/>
              </w:rPr>
              <w:t> ml</w:t>
            </w:r>
          </w:p>
        </w:tc>
        <w:tc>
          <w:tcPr>
            <w:tcW w:w="1259" w:type="dxa"/>
          </w:tcPr>
          <w:p w14:paraId="4F7BF09C"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1,14</w:t>
            </w:r>
            <w:r>
              <w:rPr>
                <w:rFonts w:ascii="Times New Roman" w:hAnsi="Times New Roman"/>
              </w:rPr>
              <w:t> ml</w:t>
            </w:r>
          </w:p>
        </w:tc>
        <w:tc>
          <w:tcPr>
            <w:tcW w:w="1258" w:type="dxa"/>
          </w:tcPr>
          <w:p w14:paraId="60CA7958"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1,42</w:t>
            </w:r>
            <w:r>
              <w:rPr>
                <w:rFonts w:ascii="Times New Roman" w:hAnsi="Times New Roman"/>
              </w:rPr>
              <w:t> ml</w:t>
            </w:r>
          </w:p>
        </w:tc>
      </w:tr>
      <w:tr w:rsidR="00233FCE" w:rsidRPr="008F08EF" w14:paraId="05CD3D4A" w14:textId="77777777" w:rsidTr="00A24D20">
        <w:trPr>
          <w:trHeight w:val="423"/>
        </w:trPr>
        <w:tc>
          <w:tcPr>
            <w:tcW w:w="2051" w:type="dxa"/>
            <w:vMerge w:val="restart"/>
          </w:tcPr>
          <w:p w14:paraId="1697CB15"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w:t>
            </w:r>
            <w:r>
              <w:rPr>
                <w:rFonts w:ascii="Times New Roman" w:hAnsi="Times New Roman"/>
              </w:rPr>
              <w:t> mg</w:t>
            </w:r>
            <w:r w:rsidRPr="008F08EF">
              <w:rPr>
                <w:rFonts w:ascii="Times New Roman" w:hAnsi="Times New Roman"/>
              </w:rPr>
              <w:t>/kg legemsvægt pr. dag, fordelt på doser hver 8. time</w:t>
            </w:r>
          </w:p>
        </w:tc>
        <w:tc>
          <w:tcPr>
            <w:tcW w:w="1129" w:type="dxa"/>
            <w:vMerge w:val="restart"/>
            <w:vAlign w:val="center"/>
          </w:tcPr>
          <w:p w14:paraId="5856B04E"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tc>
        <w:tc>
          <w:tcPr>
            <w:tcW w:w="1126" w:type="dxa"/>
          </w:tcPr>
          <w:p w14:paraId="10B68BB6"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42</w:t>
            </w:r>
            <w:r>
              <w:rPr>
                <w:rFonts w:ascii="Times New Roman" w:hAnsi="Times New Roman"/>
              </w:rPr>
              <w:t> mg</w:t>
            </w:r>
            <w:r w:rsidRPr="008F08EF">
              <w:rPr>
                <w:rFonts w:ascii="Times New Roman" w:hAnsi="Times New Roman"/>
              </w:rPr>
              <w:t>;</w:t>
            </w:r>
          </w:p>
          <w:p w14:paraId="461A83C2"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023D7DA0"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85</w:t>
            </w:r>
            <w:r>
              <w:rPr>
                <w:rFonts w:ascii="Times New Roman" w:hAnsi="Times New Roman"/>
              </w:rPr>
              <w:t> mg</w:t>
            </w:r>
            <w:r w:rsidRPr="008F08EF">
              <w:rPr>
                <w:rFonts w:ascii="Times New Roman" w:hAnsi="Times New Roman"/>
              </w:rPr>
              <w:t>;</w:t>
            </w:r>
          </w:p>
          <w:p w14:paraId="0C0915EE"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539B04C8"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125</w:t>
            </w:r>
            <w:r>
              <w:rPr>
                <w:rFonts w:ascii="Times New Roman" w:hAnsi="Times New Roman"/>
              </w:rPr>
              <w:t> mg</w:t>
            </w:r>
            <w:r w:rsidRPr="008F08EF">
              <w:rPr>
                <w:rFonts w:ascii="Times New Roman" w:hAnsi="Times New Roman"/>
              </w:rPr>
              <w:t>;</w:t>
            </w:r>
          </w:p>
          <w:p w14:paraId="7D135BC3"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9" w:type="dxa"/>
          </w:tcPr>
          <w:p w14:paraId="6AB44711"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167</w:t>
            </w:r>
            <w:r>
              <w:rPr>
                <w:rFonts w:ascii="Times New Roman" w:hAnsi="Times New Roman"/>
              </w:rPr>
              <w:t> mg</w:t>
            </w:r>
            <w:r w:rsidRPr="008F08EF">
              <w:rPr>
                <w:rFonts w:ascii="Times New Roman" w:hAnsi="Times New Roman"/>
              </w:rPr>
              <w:t>;</w:t>
            </w:r>
          </w:p>
          <w:p w14:paraId="21174180"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8" w:type="dxa"/>
          </w:tcPr>
          <w:p w14:paraId="14389BAD"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208</w:t>
            </w:r>
            <w:r>
              <w:rPr>
                <w:rFonts w:ascii="Times New Roman" w:hAnsi="Times New Roman"/>
              </w:rPr>
              <w:t> mg</w:t>
            </w:r>
            <w:r w:rsidRPr="008F08EF">
              <w:rPr>
                <w:rFonts w:ascii="Times New Roman" w:hAnsi="Times New Roman"/>
              </w:rPr>
              <w:t>;</w:t>
            </w:r>
          </w:p>
          <w:p w14:paraId="5AB8FCF6" w14:textId="77777777" w:rsidR="00233FCE" w:rsidRPr="008F08EF" w:rsidRDefault="00233FCE" w:rsidP="00955704">
            <w:pPr>
              <w:widowControl w:val="0"/>
              <w:tabs>
                <w:tab w:val="left" w:pos="567"/>
              </w:tabs>
              <w:rPr>
                <w:rFonts w:ascii="Times New Roman" w:eastAsia="Courier New" w:hAnsi="Times New Roman" w:cs="Times New Roman"/>
              </w:rPr>
            </w:pPr>
          </w:p>
        </w:tc>
      </w:tr>
      <w:tr w:rsidR="00233FCE" w:rsidRPr="008F08EF" w14:paraId="0898D6BB" w14:textId="77777777" w:rsidTr="00A24D20">
        <w:trPr>
          <w:trHeight w:val="557"/>
        </w:trPr>
        <w:tc>
          <w:tcPr>
            <w:tcW w:w="2051" w:type="dxa"/>
            <w:vMerge/>
          </w:tcPr>
          <w:p w14:paraId="2DB50425"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vAlign w:val="center"/>
          </w:tcPr>
          <w:p w14:paraId="146CC521" w14:textId="77777777" w:rsidR="00233FCE" w:rsidRPr="008F08EF" w:rsidRDefault="00233FCE" w:rsidP="00955704">
            <w:pPr>
              <w:widowControl w:val="0"/>
              <w:tabs>
                <w:tab w:val="left" w:pos="567"/>
              </w:tabs>
              <w:jc w:val="center"/>
              <w:rPr>
                <w:rFonts w:ascii="Times New Roman" w:eastAsia="Courier New" w:hAnsi="Times New Roman" w:cs="Times New Roman"/>
                <w:lang w:val="el-GR"/>
              </w:rPr>
            </w:pPr>
          </w:p>
        </w:tc>
        <w:tc>
          <w:tcPr>
            <w:tcW w:w="1126" w:type="dxa"/>
          </w:tcPr>
          <w:p w14:paraId="2BD3339E"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0,19</w:t>
            </w:r>
            <w:r>
              <w:rPr>
                <w:rFonts w:ascii="Times New Roman" w:hAnsi="Times New Roman"/>
              </w:rPr>
              <w:t> ml</w:t>
            </w:r>
          </w:p>
        </w:tc>
        <w:tc>
          <w:tcPr>
            <w:tcW w:w="1126" w:type="dxa"/>
          </w:tcPr>
          <w:p w14:paraId="607009D1"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0,439</w:t>
            </w:r>
            <w:r>
              <w:rPr>
                <w:rFonts w:ascii="Times New Roman" w:hAnsi="Times New Roman"/>
              </w:rPr>
              <w:t> ml</w:t>
            </w:r>
          </w:p>
        </w:tc>
        <w:tc>
          <w:tcPr>
            <w:tcW w:w="1126" w:type="dxa"/>
          </w:tcPr>
          <w:p w14:paraId="45357376"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0,57</w:t>
            </w:r>
            <w:r>
              <w:rPr>
                <w:rFonts w:ascii="Times New Roman" w:hAnsi="Times New Roman"/>
              </w:rPr>
              <w:t> ml</w:t>
            </w:r>
          </w:p>
        </w:tc>
        <w:tc>
          <w:tcPr>
            <w:tcW w:w="1259" w:type="dxa"/>
          </w:tcPr>
          <w:p w14:paraId="2E9B5C38"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0,76</w:t>
            </w:r>
            <w:r>
              <w:rPr>
                <w:rFonts w:ascii="Times New Roman" w:hAnsi="Times New Roman"/>
              </w:rPr>
              <w:t> ml</w:t>
            </w:r>
          </w:p>
        </w:tc>
        <w:tc>
          <w:tcPr>
            <w:tcW w:w="1258" w:type="dxa"/>
          </w:tcPr>
          <w:p w14:paraId="192DAED5"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0,94</w:t>
            </w:r>
            <w:r>
              <w:rPr>
                <w:rFonts w:ascii="Times New Roman" w:hAnsi="Times New Roman"/>
              </w:rPr>
              <w:t> ml</w:t>
            </w:r>
          </w:p>
        </w:tc>
      </w:tr>
      <w:tr w:rsidR="00233FCE" w:rsidRPr="008F08EF" w14:paraId="137A6810" w14:textId="77777777" w:rsidTr="00A24D20">
        <w:trPr>
          <w:trHeight w:val="423"/>
        </w:trPr>
        <w:tc>
          <w:tcPr>
            <w:tcW w:w="2051" w:type="dxa"/>
            <w:vMerge w:val="restart"/>
          </w:tcPr>
          <w:p w14:paraId="6A7283F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w:t>
            </w:r>
            <w:r>
              <w:rPr>
                <w:rFonts w:ascii="Times New Roman" w:hAnsi="Times New Roman"/>
              </w:rPr>
              <w:t> mg</w:t>
            </w:r>
            <w:r w:rsidRPr="008F08EF">
              <w:rPr>
                <w:rFonts w:ascii="Times New Roman" w:hAnsi="Times New Roman"/>
              </w:rPr>
              <w:t>/kg legemsvægt pr. dag, fordelt på doser hver 6. time</w:t>
            </w:r>
          </w:p>
        </w:tc>
        <w:tc>
          <w:tcPr>
            <w:tcW w:w="1129" w:type="dxa"/>
            <w:vMerge w:val="restart"/>
            <w:vAlign w:val="center"/>
          </w:tcPr>
          <w:p w14:paraId="463EB317"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p w14:paraId="6E6950F2" w14:textId="77777777" w:rsidR="00233FCE" w:rsidRPr="008F08EF" w:rsidRDefault="00233FCE" w:rsidP="00955704">
            <w:pPr>
              <w:widowControl w:val="0"/>
              <w:tabs>
                <w:tab w:val="left" w:pos="567"/>
              </w:tabs>
              <w:jc w:val="center"/>
              <w:rPr>
                <w:rFonts w:ascii="Times New Roman" w:eastAsia="Courier New" w:hAnsi="Times New Roman" w:cs="Times New Roman"/>
              </w:rPr>
            </w:pPr>
          </w:p>
        </w:tc>
        <w:tc>
          <w:tcPr>
            <w:tcW w:w="1126" w:type="dxa"/>
          </w:tcPr>
          <w:p w14:paraId="59533AB7"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31</w:t>
            </w:r>
            <w:r>
              <w:rPr>
                <w:rFonts w:ascii="Times New Roman" w:hAnsi="Times New Roman"/>
              </w:rPr>
              <w:t> mg</w:t>
            </w:r>
            <w:r w:rsidRPr="008F08EF">
              <w:rPr>
                <w:rFonts w:ascii="Times New Roman" w:hAnsi="Times New Roman"/>
              </w:rPr>
              <w:t>;</w:t>
            </w:r>
          </w:p>
          <w:p w14:paraId="69006069"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4E7F857E"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62</w:t>
            </w:r>
            <w:r>
              <w:rPr>
                <w:rFonts w:ascii="Times New Roman" w:hAnsi="Times New Roman"/>
              </w:rPr>
              <w:t> mg</w:t>
            </w:r>
            <w:r w:rsidRPr="008F08EF">
              <w:rPr>
                <w:rFonts w:ascii="Times New Roman" w:hAnsi="Times New Roman"/>
              </w:rPr>
              <w:t>;</w:t>
            </w:r>
          </w:p>
          <w:p w14:paraId="0D311B74"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2FF6DB1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94</w:t>
            </w:r>
            <w:r>
              <w:rPr>
                <w:rFonts w:ascii="Times New Roman" w:hAnsi="Times New Roman"/>
              </w:rPr>
              <w:t> mg</w:t>
            </w:r>
            <w:r w:rsidRPr="008F08EF">
              <w:rPr>
                <w:rFonts w:ascii="Times New Roman" w:hAnsi="Times New Roman"/>
              </w:rPr>
              <w:t>;</w:t>
            </w:r>
          </w:p>
          <w:p w14:paraId="2C40437F"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9" w:type="dxa"/>
          </w:tcPr>
          <w:p w14:paraId="386A2AD1"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125</w:t>
            </w:r>
            <w:r>
              <w:rPr>
                <w:rFonts w:ascii="Times New Roman" w:hAnsi="Times New Roman"/>
              </w:rPr>
              <w:t> mg</w:t>
            </w:r>
            <w:r w:rsidRPr="008F08EF">
              <w:rPr>
                <w:rFonts w:ascii="Times New Roman" w:hAnsi="Times New Roman"/>
              </w:rPr>
              <w:t>;</w:t>
            </w:r>
          </w:p>
          <w:p w14:paraId="5BF958EF"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8" w:type="dxa"/>
          </w:tcPr>
          <w:p w14:paraId="07D5ADD5"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156</w:t>
            </w:r>
            <w:r>
              <w:rPr>
                <w:rFonts w:ascii="Times New Roman" w:hAnsi="Times New Roman"/>
              </w:rPr>
              <w:t> mg</w:t>
            </w:r>
            <w:r w:rsidRPr="008F08EF">
              <w:rPr>
                <w:rFonts w:ascii="Times New Roman" w:hAnsi="Times New Roman"/>
              </w:rPr>
              <w:t>;</w:t>
            </w:r>
          </w:p>
          <w:p w14:paraId="2B7A7229" w14:textId="77777777" w:rsidR="00233FCE" w:rsidRPr="008F08EF" w:rsidRDefault="00233FCE" w:rsidP="00955704">
            <w:pPr>
              <w:widowControl w:val="0"/>
              <w:tabs>
                <w:tab w:val="left" w:pos="567"/>
              </w:tabs>
              <w:rPr>
                <w:rFonts w:ascii="Times New Roman" w:eastAsia="Courier New" w:hAnsi="Times New Roman" w:cs="Times New Roman"/>
              </w:rPr>
            </w:pPr>
          </w:p>
        </w:tc>
      </w:tr>
      <w:tr w:rsidR="00233FCE" w:rsidRPr="008F08EF" w14:paraId="4F1E05D9" w14:textId="77777777" w:rsidTr="00A24D20">
        <w:trPr>
          <w:trHeight w:val="473"/>
        </w:trPr>
        <w:tc>
          <w:tcPr>
            <w:tcW w:w="2051" w:type="dxa"/>
            <w:vMerge/>
          </w:tcPr>
          <w:p w14:paraId="59F6E722"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vAlign w:val="center"/>
          </w:tcPr>
          <w:p w14:paraId="700DDB77" w14:textId="77777777" w:rsidR="00233FCE" w:rsidRPr="008F08EF" w:rsidRDefault="00233FCE" w:rsidP="00955704">
            <w:pPr>
              <w:widowControl w:val="0"/>
              <w:tabs>
                <w:tab w:val="left" w:pos="567"/>
              </w:tabs>
              <w:jc w:val="center"/>
              <w:rPr>
                <w:rFonts w:ascii="Times New Roman" w:eastAsia="Courier New" w:hAnsi="Times New Roman" w:cs="Times New Roman"/>
                <w:strike/>
                <w:highlight w:val="lightGray"/>
                <w:lang w:val="el-GR"/>
              </w:rPr>
            </w:pPr>
          </w:p>
        </w:tc>
        <w:tc>
          <w:tcPr>
            <w:tcW w:w="1126" w:type="dxa"/>
          </w:tcPr>
          <w:p w14:paraId="5EA95572"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0,14</w:t>
            </w:r>
            <w:r>
              <w:rPr>
                <w:rFonts w:ascii="Times New Roman" w:hAnsi="Times New Roman"/>
              </w:rPr>
              <w:t> ml</w:t>
            </w:r>
          </w:p>
        </w:tc>
        <w:tc>
          <w:tcPr>
            <w:tcW w:w="1126" w:type="dxa"/>
          </w:tcPr>
          <w:p w14:paraId="213FE1F0"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0,28</w:t>
            </w:r>
            <w:r>
              <w:rPr>
                <w:rFonts w:ascii="Times New Roman" w:hAnsi="Times New Roman"/>
              </w:rPr>
              <w:t> ml</w:t>
            </w:r>
          </w:p>
        </w:tc>
        <w:tc>
          <w:tcPr>
            <w:tcW w:w="1126" w:type="dxa"/>
          </w:tcPr>
          <w:p w14:paraId="2ACB80C4"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0,43</w:t>
            </w:r>
            <w:r>
              <w:rPr>
                <w:rFonts w:ascii="Times New Roman" w:hAnsi="Times New Roman"/>
              </w:rPr>
              <w:t> ml</w:t>
            </w:r>
          </w:p>
        </w:tc>
        <w:tc>
          <w:tcPr>
            <w:tcW w:w="1259" w:type="dxa"/>
          </w:tcPr>
          <w:p w14:paraId="5C17AB1B"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0,57</w:t>
            </w:r>
            <w:r>
              <w:rPr>
                <w:rFonts w:ascii="Times New Roman" w:hAnsi="Times New Roman"/>
              </w:rPr>
              <w:t> ml</w:t>
            </w:r>
          </w:p>
        </w:tc>
        <w:tc>
          <w:tcPr>
            <w:tcW w:w="1258" w:type="dxa"/>
          </w:tcPr>
          <w:p w14:paraId="130C04BA"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0,71</w:t>
            </w:r>
            <w:r>
              <w:rPr>
                <w:rFonts w:ascii="Times New Roman" w:hAnsi="Times New Roman"/>
              </w:rPr>
              <w:t> ml</w:t>
            </w:r>
          </w:p>
        </w:tc>
      </w:tr>
      <w:tr w:rsidR="00233FCE" w:rsidRPr="008F08EF" w14:paraId="7DE6E0BB" w14:textId="77777777" w:rsidTr="00A24D20">
        <w:trPr>
          <w:trHeight w:val="740"/>
        </w:trPr>
        <w:tc>
          <w:tcPr>
            <w:tcW w:w="2051" w:type="dxa"/>
            <w:vMerge w:val="restart"/>
          </w:tcPr>
          <w:p w14:paraId="4DD32B1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w:t>
            </w:r>
            <w:r>
              <w:rPr>
                <w:rFonts w:ascii="Times New Roman" w:hAnsi="Times New Roman"/>
              </w:rPr>
              <w:t> mg</w:t>
            </w:r>
            <w:r w:rsidRPr="008F08EF">
              <w:rPr>
                <w:rFonts w:ascii="Times New Roman" w:hAnsi="Times New Roman"/>
              </w:rPr>
              <w:t>/kg legemsvægt pr. dag, fordelt på doser hver 12. time</w:t>
            </w:r>
          </w:p>
        </w:tc>
        <w:tc>
          <w:tcPr>
            <w:tcW w:w="1129" w:type="dxa"/>
            <w:vMerge w:val="restart"/>
            <w:vAlign w:val="center"/>
          </w:tcPr>
          <w:p w14:paraId="3929530C" w14:textId="77777777" w:rsidR="00233FCE" w:rsidRPr="00B84678" w:rsidRDefault="00233FCE" w:rsidP="00955704">
            <w:pPr>
              <w:widowControl w:val="0"/>
              <w:tabs>
                <w:tab w:val="left" w:pos="567"/>
              </w:tabs>
              <w:jc w:val="center"/>
              <w:rPr>
                <w:rFonts w:ascii="Times New Roman" w:eastAsia="Courier New" w:hAnsi="Times New Roman" w:cs="Times New Roman"/>
                <w:strike/>
                <w:highlight w:val="lightGray"/>
              </w:rPr>
            </w:pPr>
          </w:p>
          <w:p w14:paraId="0163BB98"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tc>
        <w:tc>
          <w:tcPr>
            <w:tcW w:w="1126" w:type="dxa"/>
          </w:tcPr>
          <w:p w14:paraId="6A206D97"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125</w:t>
            </w:r>
            <w:r>
              <w:rPr>
                <w:rFonts w:ascii="Times New Roman" w:hAnsi="Times New Roman"/>
              </w:rPr>
              <w:t> mg</w:t>
            </w:r>
            <w:r w:rsidRPr="008F08EF">
              <w:rPr>
                <w:rFonts w:ascii="Times New Roman" w:hAnsi="Times New Roman"/>
              </w:rPr>
              <w:t>;</w:t>
            </w:r>
          </w:p>
        </w:tc>
        <w:tc>
          <w:tcPr>
            <w:tcW w:w="1126" w:type="dxa"/>
          </w:tcPr>
          <w:p w14:paraId="79191C9C"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250</w:t>
            </w:r>
            <w:r>
              <w:rPr>
                <w:rFonts w:ascii="Times New Roman" w:hAnsi="Times New Roman"/>
              </w:rPr>
              <w:t> mg</w:t>
            </w:r>
            <w:r w:rsidRPr="008F08EF">
              <w:rPr>
                <w:rFonts w:ascii="Times New Roman" w:hAnsi="Times New Roman"/>
              </w:rPr>
              <w:t>;</w:t>
            </w:r>
          </w:p>
        </w:tc>
        <w:tc>
          <w:tcPr>
            <w:tcW w:w="1126" w:type="dxa"/>
          </w:tcPr>
          <w:p w14:paraId="536B8169"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375</w:t>
            </w:r>
            <w:r>
              <w:rPr>
                <w:rFonts w:ascii="Times New Roman" w:hAnsi="Times New Roman"/>
              </w:rPr>
              <w:t> mg</w:t>
            </w:r>
            <w:r w:rsidRPr="008F08EF">
              <w:rPr>
                <w:rFonts w:ascii="Times New Roman" w:hAnsi="Times New Roman"/>
              </w:rPr>
              <w:t>;</w:t>
            </w:r>
          </w:p>
        </w:tc>
        <w:tc>
          <w:tcPr>
            <w:tcW w:w="1259" w:type="dxa"/>
          </w:tcPr>
          <w:p w14:paraId="5E5072FB"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500</w:t>
            </w:r>
            <w:r>
              <w:rPr>
                <w:rFonts w:ascii="Times New Roman" w:hAnsi="Times New Roman"/>
              </w:rPr>
              <w:t> mg</w:t>
            </w:r>
            <w:r w:rsidRPr="008F08EF">
              <w:rPr>
                <w:rFonts w:ascii="Times New Roman" w:hAnsi="Times New Roman"/>
              </w:rPr>
              <w:t>;</w:t>
            </w:r>
          </w:p>
        </w:tc>
        <w:tc>
          <w:tcPr>
            <w:tcW w:w="1258" w:type="dxa"/>
          </w:tcPr>
          <w:p w14:paraId="4F57FF38"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625</w:t>
            </w:r>
            <w:r>
              <w:rPr>
                <w:rFonts w:ascii="Times New Roman" w:hAnsi="Times New Roman"/>
              </w:rPr>
              <w:t> mg</w:t>
            </w:r>
            <w:r w:rsidRPr="008F08EF">
              <w:rPr>
                <w:rFonts w:ascii="Times New Roman" w:hAnsi="Times New Roman"/>
              </w:rPr>
              <w:t>;</w:t>
            </w:r>
          </w:p>
        </w:tc>
      </w:tr>
      <w:tr w:rsidR="00233FCE" w:rsidRPr="008F08EF" w14:paraId="51B0C0A3" w14:textId="77777777" w:rsidTr="00A24D20">
        <w:trPr>
          <w:trHeight w:val="506"/>
        </w:trPr>
        <w:tc>
          <w:tcPr>
            <w:tcW w:w="2051" w:type="dxa"/>
            <w:vMerge/>
          </w:tcPr>
          <w:p w14:paraId="1D485A86"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vAlign w:val="center"/>
          </w:tcPr>
          <w:p w14:paraId="7BC5926E" w14:textId="77777777" w:rsidR="00233FCE" w:rsidRPr="008F08EF" w:rsidRDefault="00233FCE" w:rsidP="00955704">
            <w:pPr>
              <w:widowControl w:val="0"/>
              <w:tabs>
                <w:tab w:val="left" w:pos="567"/>
              </w:tabs>
              <w:jc w:val="center"/>
              <w:rPr>
                <w:rFonts w:ascii="Times New Roman" w:eastAsia="Courier New" w:hAnsi="Times New Roman" w:cs="Times New Roman"/>
                <w:highlight w:val="lightGray"/>
                <w:lang w:val="el-GR"/>
              </w:rPr>
            </w:pPr>
          </w:p>
        </w:tc>
        <w:tc>
          <w:tcPr>
            <w:tcW w:w="1126" w:type="dxa"/>
          </w:tcPr>
          <w:p w14:paraId="658F784D"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0,57</w:t>
            </w:r>
            <w:r>
              <w:rPr>
                <w:rFonts w:ascii="Times New Roman" w:hAnsi="Times New Roman"/>
              </w:rPr>
              <w:t> ml</w:t>
            </w:r>
            <w:r w:rsidRPr="008F08EF">
              <w:rPr>
                <w:rFonts w:ascii="Times New Roman" w:hAnsi="Times New Roman"/>
                <w:highlight w:val="lightGray"/>
              </w:rPr>
              <w:t xml:space="preserve"> </w:t>
            </w:r>
          </w:p>
          <w:p w14:paraId="4C070301" w14:textId="77777777" w:rsidR="00233FCE" w:rsidRPr="008F08EF" w:rsidRDefault="00233FCE" w:rsidP="00955704">
            <w:pPr>
              <w:widowControl w:val="0"/>
              <w:tabs>
                <w:tab w:val="left" w:pos="567"/>
              </w:tabs>
              <w:rPr>
                <w:rFonts w:ascii="Times New Roman" w:eastAsia="Courier New" w:hAnsi="Times New Roman" w:cs="Times New Roman"/>
                <w:strike/>
                <w:highlight w:val="lightGray"/>
              </w:rPr>
            </w:pPr>
          </w:p>
        </w:tc>
        <w:tc>
          <w:tcPr>
            <w:tcW w:w="1126" w:type="dxa"/>
          </w:tcPr>
          <w:p w14:paraId="440B1FD2"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1,14</w:t>
            </w:r>
            <w:r>
              <w:rPr>
                <w:rFonts w:ascii="Times New Roman" w:hAnsi="Times New Roman"/>
              </w:rPr>
              <w:t> ml</w:t>
            </w:r>
          </w:p>
          <w:p w14:paraId="79D088B0" w14:textId="77777777" w:rsidR="00233FCE" w:rsidRPr="008F08EF" w:rsidRDefault="00233FCE" w:rsidP="00955704">
            <w:pPr>
              <w:widowControl w:val="0"/>
              <w:tabs>
                <w:tab w:val="left" w:pos="567"/>
              </w:tabs>
              <w:rPr>
                <w:rFonts w:ascii="Times New Roman" w:eastAsia="Courier New" w:hAnsi="Times New Roman" w:cs="Times New Roman"/>
                <w:strike/>
                <w:highlight w:val="lightGray"/>
                <w:lang w:val="el-GR"/>
              </w:rPr>
            </w:pPr>
          </w:p>
        </w:tc>
        <w:tc>
          <w:tcPr>
            <w:tcW w:w="1126" w:type="dxa"/>
          </w:tcPr>
          <w:p w14:paraId="5018BA21"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1,7</w:t>
            </w:r>
            <w:r>
              <w:rPr>
                <w:rFonts w:ascii="Times New Roman" w:hAnsi="Times New Roman"/>
              </w:rPr>
              <w:t> ml</w:t>
            </w:r>
          </w:p>
          <w:p w14:paraId="5FA956EF" w14:textId="77777777" w:rsidR="00233FCE" w:rsidRPr="008F08EF" w:rsidRDefault="00233FCE" w:rsidP="00955704">
            <w:pPr>
              <w:widowControl w:val="0"/>
              <w:tabs>
                <w:tab w:val="left" w:pos="567"/>
              </w:tabs>
              <w:rPr>
                <w:rFonts w:ascii="Times New Roman" w:eastAsia="Courier New" w:hAnsi="Times New Roman" w:cs="Times New Roman"/>
                <w:strike/>
                <w:highlight w:val="lightGray"/>
              </w:rPr>
            </w:pPr>
          </w:p>
        </w:tc>
        <w:tc>
          <w:tcPr>
            <w:tcW w:w="1259" w:type="dxa"/>
          </w:tcPr>
          <w:p w14:paraId="7E78EB95"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2,27</w:t>
            </w:r>
            <w:r>
              <w:rPr>
                <w:rFonts w:ascii="Times New Roman" w:hAnsi="Times New Roman"/>
              </w:rPr>
              <w:t> ml</w:t>
            </w:r>
            <w:r w:rsidRPr="008F08EF">
              <w:rPr>
                <w:rFonts w:ascii="Times New Roman" w:hAnsi="Times New Roman"/>
              </w:rPr>
              <w:t>*</w:t>
            </w:r>
          </w:p>
          <w:p w14:paraId="7FF2AE62" w14:textId="77777777" w:rsidR="00233FCE" w:rsidRPr="008F08EF" w:rsidRDefault="00233FCE" w:rsidP="00955704">
            <w:pPr>
              <w:widowControl w:val="0"/>
              <w:tabs>
                <w:tab w:val="left" w:pos="567"/>
              </w:tabs>
              <w:rPr>
                <w:rFonts w:ascii="Times New Roman" w:eastAsia="Courier New" w:hAnsi="Times New Roman" w:cs="Times New Roman"/>
                <w:strike/>
                <w:highlight w:val="lightGray"/>
              </w:rPr>
            </w:pPr>
          </w:p>
        </w:tc>
        <w:tc>
          <w:tcPr>
            <w:tcW w:w="1258" w:type="dxa"/>
          </w:tcPr>
          <w:p w14:paraId="1C18DE2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2,84</w:t>
            </w:r>
            <w:r>
              <w:rPr>
                <w:rFonts w:ascii="Times New Roman" w:hAnsi="Times New Roman"/>
              </w:rPr>
              <w:t> ml</w:t>
            </w:r>
            <w:r w:rsidRPr="008F08EF">
              <w:rPr>
                <w:rFonts w:ascii="Times New Roman" w:hAnsi="Times New Roman"/>
              </w:rPr>
              <w:t>*</w:t>
            </w:r>
          </w:p>
          <w:p w14:paraId="010FAEC7" w14:textId="77777777" w:rsidR="00233FCE" w:rsidRPr="008F08EF" w:rsidRDefault="00233FCE" w:rsidP="00955704">
            <w:pPr>
              <w:widowControl w:val="0"/>
              <w:tabs>
                <w:tab w:val="left" w:pos="567"/>
              </w:tabs>
              <w:rPr>
                <w:rFonts w:ascii="Times New Roman" w:eastAsia="Courier New" w:hAnsi="Times New Roman" w:cs="Times New Roman"/>
                <w:strike/>
                <w:highlight w:val="lightGray"/>
              </w:rPr>
            </w:pPr>
          </w:p>
        </w:tc>
      </w:tr>
      <w:tr w:rsidR="00233FCE" w:rsidRPr="008F08EF" w14:paraId="68C57700" w14:textId="77777777" w:rsidTr="00A24D20">
        <w:trPr>
          <w:trHeight w:val="423"/>
        </w:trPr>
        <w:tc>
          <w:tcPr>
            <w:tcW w:w="2051" w:type="dxa"/>
            <w:vMerge w:val="restart"/>
          </w:tcPr>
          <w:p w14:paraId="04DB1DD6"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w:t>
            </w:r>
            <w:r>
              <w:rPr>
                <w:rFonts w:ascii="Times New Roman" w:hAnsi="Times New Roman"/>
              </w:rPr>
              <w:t> mg</w:t>
            </w:r>
            <w:r w:rsidRPr="008F08EF">
              <w:rPr>
                <w:rFonts w:ascii="Times New Roman" w:hAnsi="Times New Roman"/>
              </w:rPr>
              <w:t>/kg legemsvægt pr. dag, fordelt på doser hver 8. time</w:t>
            </w:r>
          </w:p>
        </w:tc>
        <w:tc>
          <w:tcPr>
            <w:tcW w:w="1129" w:type="dxa"/>
            <w:vMerge w:val="restart"/>
            <w:vAlign w:val="center"/>
          </w:tcPr>
          <w:p w14:paraId="651459E8"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p w14:paraId="58C9F7D7" w14:textId="77777777" w:rsidR="00233FCE" w:rsidRPr="008F08EF" w:rsidRDefault="00233FCE" w:rsidP="00955704">
            <w:pPr>
              <w:widowControl w:val="0"/>
              <w:tabs>
                <w:tab w:val="left" w:pos="567"/>
              </w:tabs>
              <w:jc w:val="center"/>
              <w:rPr>
                <w:rFonts w:ascii="Times New Roman" w:eastAsia="Courier New" w:hAnsi="Times New Roman" w:cs="Times New Roman"/>
              </w:rPr>
            </w:pPr>
          </w:p>
        </w:tc>
        <w:tc>
          <w:tcPr>
            <w:tcW w:w="1126" w:type="dxa"/>
          </w:tcPr>
          <w:p w14:paraId="5735D5C9"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83</w:t>
            </w:r>
            <w:r>
              <w:rPr>
                <w:rFonts w:ascii="Times New Roman" w:hAnsi="Times New Roman"/>
              </w:rPr>
              <w:t> mg</w:t>
            </w:r>
            <w:r w:rsidRPr="008F08EF">
              <w:rPr>
                <w:rFonts w:ascii="Times New Roman" w:hAnsi="Times New Roman"/>
              </w:rPr>
              <w:t>;</w:t>
            </w:r>
          </w:p>
          <w:p w14:paraId="47576253"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7E63EFF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166</w:t>
            </w:r>
            <w:r>
              <w:rPr>
                <w:rFonts w:ascii="Times New Roman" w:hAnsi="Times New Roman"/>
              </w:rPr>
              <w:t> mg</w:t>
            </w:r>
            <w:r w:rsidRPr="008F08EF">
              <w:rPr>
                <w:rFonts w:ascii="Times New Roman" w:hAnsi="Times New Roman"/>
              </w:rPr>
              <w:t>;</w:t>
            </w:r>
          </w:p>
          <w:p w14:paraId="5AFA4440"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4E1943F5"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250</w:t>
            </w:r>
            <w:r>
              <w:rPr>
                <w:rFonts w:ascii="Times New Roman" w:hAnsi="Times New Roman"/>
              </w:rPr>
              <w:t> mg</w:t>
            </w:r>
            <w:r w:rsidRPr="008F08EF">
              <w:rPr>
                <w:rFonts w:ascii="Times New Roman" w:hAnsi="Times New Roman"/>
              </w:rPr>
              <w:t>;</w:t>
            </w:r>
          </w:p>
          <w:p w14:paraId="3A50FFBF"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9" w:type="dxa"/>
          </w:tcPr>
          <w:p w14:paraId="507011E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333</w:t>
            </w:r>
            <w:r>
              <w:rPr>
                <w:rFonts w:ascii="Times New Roman" w:hAnsi="Times New Roman"/>
              </w:rPr>
              <w:t> mg</w:t>
            </w:r>
            <w:r w:rsidRPr="008F08EF">
              <w:rPr>
                <w:rFonts w:ascii="Times New Roman" w:hAnsi="Times New Roman"/>
              </w:rPr>
              <w:t>;</w:t>
            </w:r>
          </w:p>
          <w:p w14:paraId="766B0096"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8" w:type="dxa"/>
          </w:tcPr>
          <w:p w14:paraId="02027381"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417</w:t>
            </w:r>
            <w:r>
              <w:rPr>
                <w:rFonts w:ascii="Times New Roman" w:hAnsi="Times New Roman"/>
              </w:rPr>
              <w:t> mg</w:t>
            </w:r>
            <w:r w:rsidRPr="008F08EF">
              <w:rPr>
                <w:rFonts w:ascii="Times New Roman" w:hAnsi="Times New Roman"/>
              </w:rPr>
              <w:t>;</w:t>
            </w:r>
          </w:p>
          <w:p w14:paraId="3315DCD4" w14:textId="77777777" w:rsidR="00233FCE" w:rsidRPr="008F08EF" w:rsidRDefault="00233FCE" w:rsidP="00955704">
            <w:pPr>
              <w:widowControl w:val="0"/>
              <w:tabs>
                <w:tab w:val="left" w:pos="567"/>
              </w:tabs>
              <w:rPr>
                <w:rFonts w:ascii="Times New Roman" w:eastAsia="Courier New" w:hAnsi="Times New Roman" w:cs="Times New Roman"/>
              </w:rPr>
            </w:pPr>
          </w:p>
        </w:tc>
      </w:tr>
      <w:tr w:rsidR="00233FCE" w:rsidRPr="008F08EF" w14:paraId="13A6B396" w14:textId="77777777" w:rsidTr="00A24D20">
        <w:trPr>
          <w:trHeight w:val="463"/>
        </w:trPr>
        <w:tc>
          <w:tcPr>
            <w:tcW w:w="2051" w:type="dxa"/>
            <w:vMerge/>
          </w:tcPr>
          <w:p w14:paraId="7A731E80"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vAlign w:val="center"/>
          </w:tcPr>
          <w:p w14:paraId="2D661D19" w14:textId="77777777" w:rsidR="00233FCE" w:rsidRPr="008F08EF" w:rsidRDefault="00233FCE" w:rsidP="00955704">
            <w:pPr>
              <w:widowControl w:val="0"/>
              <w:tabs>
                <w:tab w:val="left" w:pos="567"/>
              </w:tabs>
              <w:jc w:val="center"/>
              <w:rPr>
                <w:rFonts w:ascii="Times New Roman" w:eastAsia="Courier New" w:hAnsi="Times New Roman" w:cs="Times New Roman"/>
                <w:strike/>
                <w:highlight w:val="lightGray"/>
                <w:lang w:val="el-GR"/>
              </w:rPr>
            </w:pPr>
          </w:p>
        </w:tc>
        <w:tc>
          <w:tcPr>
            <w:tcW w:w="1126" w:type="dxa"/>
          </w:tcPr>
          <w:p w14:paraId="417700A7"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0,438</w:t>
            </w:r>
            <w:r>
              <w:rPr>
                <w:rFonts w:ascii="Times New Roman" w:hAnsi="Times New Roman"/>
              </w:rPr>
              <w:t> ml</w:t>
            </w:r>
          </w:p>
        </w:tc>
        <w:tc>
          <w:tcPr>
            <w:tcW w:w="1126" w:type="dxa"/>
          </w:tcPr>
          <w:p w14:paraId="0D60E5D5"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0,75</w:t>
            </w:r>
            <w:r>
              <w:rPr>
                <w:rFonts w:ascii="Times New Roman" w:hAnsi="Times New Roman"/>
              </w:rPr>
              <w:t> ml</w:t>
            </w:r>
          </w:p>
        </w:tc>
        <w:tc>
          <w:tcPr>
            <w:tcW w:w="1126" w:type="dxa"/>
          </w:tcPr>
          <w:p w14:paraId="595DC3B7" w14:textId="77777777" w:rsidR="00233FCE" w:rsidRPr="008F08EF" w:rsidRDefault="00233FCE" w:rsidP="00955704">
            <w:pPr>
              <w:widowControl w:val="0"/>
              <w:tabs>
                <w:tab w:val="left" w:pos="567"/>
              </w:tabs>
              <w:rPr>
                <w:rFonts w:ascii="Times New Roman" w:eastAsia="Courier New" w:hAnsi="Times New Roman" w:cs="Times New Roman"/>
                <w:strike/>
                <w:highlight w:val="lightGray"/>
              </w:rPr>
            </w:pPr>
            <w:r w:rsidRPr="008F08EF">
              <w:rPr>
                <w:rFonts w:ascii="Times New Roman" w:hAnsi="Times New Roman"/>
              </w:rPr>
              <w:t>1,14</w:t>
            </w:r>
            <w:r>
              <w:rPr>
                <w:rFonts w:ascii="Times New Roman" w:hAnsi="Times New Roman"/>
              </w:rPr>
              <w:t> ml</w:t>
            </w:r>
          </w:p>
        </w:tc>
        <w:tc>
          <w:tcPr>
            <w:tcW w:w="1259" w:type="dxa"/>
          </w:tcPr>
          <w:p w14:paraId="7D2A2B2E"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1,51</w:t>
            </w:r>
            <w:r>
              <w:rPr>
                <w:rFonts w:ascii="Times New Roman" w:hAnsi="Times New Roman"/>
              </w:rPr>
              <w:t> ml</w:t>
            </w:r>
          </w:p>
          <w:p w14:paraId="55C76C89" w14:textId="77777777" w:rsidR="00233FCE" w:rsidRPr="008F08EF" w:rsidRDefault="00233FCE" w:rsidP="00955704">
            <w:pPr>
              <w:widowControl w:val="0"/>
              <w:tabs>
                <w:tab w:val="left" w:pos="567"/>
              </w:tabs>
              <w:rPr>
                <w:rFonts w:ascii="Times New Roman" w:eastAsia="Courier New" w:hAnsi="Times New Roman" w:cs="Times New Roman"/>
                <w:strike/>
                <w:highlight w:val="lightGray"/>
                <w:lang w:val="el-GR"/>
              </w:rPr>
            </w:pPr>
          </w:p>
        </w:tc>
        <w:tc>
          <w:tcPr>
            <w:tcW w:w="1258" w:type="dxa"/>
          </w:tcPr>
          <w:p w14:paraId="5E9BA21A"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1,89</w:t>
            </w:r>
            <w:r>
              <w:rPr>
                <w:rFonts w:ascii="Times New Roman" w:hAnsi="Times New Roman"/>
              </w:rPr>
              <w:t> ml</w:t>
            </w:r>
          </w:p>
        </w:tc>
      </w:tr>
      <w:tr w:rsidR="00233FCE" w:rsidRPr="008F08EF" w14:paraId="67E07B66" w14:textId="77777777" w:rsidTr="00A24D20">
        <w:trPr>
          <w:trHeight w:val="423"/>
        </w:trPr>
        <w:tc>
          <w:tcPr>
            <w:tcW w:w="2051" w:type="dxa"/>
            <w:vMerge w:val="restart"/>
          </w:tcPr>
          <w:p w14:paraId="7D4449CB"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w:t>
            </w:r>
            <w:r>
              <w:rPr>
                <w:rFonts w:ascii="Times New Roman" w:hAnsi="Times New Roman"/>
              </w:rPr>
              <w:t> mg</w:t>
            </w:r>
            <w:r w:rsidRPr="008F08EF">
              <w:rPr>
                <w:rFonts w:ascii="Times New Roman" w:hAnsi="Times New Roman"/>
              </w:rPr>
              <w:t>/kg legemsvægt pr. dag, fordelt på doser hver 6. time</w:t>
            </w:r>
          </w:p>
        </w:tc>
        <w:tc>
          <w:tcPr>
            <w:tcW w:w="1129" w:type="dxa"/>
            <w:vMerge w:val="restart"/>
            <w:vAlign w:val="center"/>
          </w:tcPr>
          <w:p w14:paraId="3FCFFBD0"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tc>
        <w:tc>
          <w:tcPr>
            <w:tcW w:w="1126" w:type="dxa"/>
          </w:tcPr>
          <w:p w14:paraId="28FC393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63</w:t>
            </w:r>
            <w:r>
              <w:rPr>
                <w:rFonts w:ascii="Times New Roman" w:hAnsi="Times New Roman"/>
              </w:rPr>
              <w:t> mg</w:t>
            </w:r>
            <w:r w:rsidRPr="008F08EF">
              <w:rPr>
                <w:rFonts w:ascii="Times New Roman" w:hAnsi="Times New Roman"/>
              </w:rPr>
              <w:t>;</w:t>
            </w:r>
          </w:p>
          <w:p w14:paraId="6F2B1CCF"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63FD35B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125</w:t>
            </w:r>
            <w:r>
              <w:rPr>
                <w:rFonts w:ascii="Times New Roman" w:hAnsi="Times New Roman"/>
              </w:rPr>
              <w:t> mg</w:t>
            </w:r>
            <w:r w:rsidRPr="008F08EF">
              <w:rPr>
                <w:rFonts w:ascii="Times New Roman" w:hAnsi="Times New Roman"/>
              </w:rPr>
              <w:t>;</w:t>
            </w:r>
          </w:p>
          <w:p w14:paraId="0403C6AB"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1FE93F47"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188</w:t>
            </w:r>
            <w:r>
              <w:rPr>
                <w:rFonts w:ascii="Times New Roman" w:hAnsi="Times New Roman"/>
              </w:rPr>
              <w:t> mg</w:t>
            </w:r>
            <w:r w:rsidRPr="008F08EF">
              <w:rPr>
                <w:rFonts w:ascii="Times New Roman" w:hAnsi="Times New Roman"/>
              </w:rPr>
              <w:t>;</w:t>
            </w:r>
          </w:p>
          <w:p w14:paraId="522D4043"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9" w:type="dxa"/>
          </w:tcPr>
          <w:p w14:paraId="2D073065"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250</w:t>
            </w:r>
            <w:r>
              <w:rPr>
                <w:rFonts w:ascii="Times New Roman" w:hAnsi="Times New Roman"/>
              </w:rPr>
              <w:t> mg</w:t>
            </w:r>
            <w:r w:rsidRPr="008F08EF">
              <w:rPr>
                <w:rFonts w:ascii="Times New Roman" w:hAnsi="Times New Roman"/>
              </w:rPr>
              <w:t>;</w:t>
            </w:r>
          </w:p>
          <w:p w14:paraId="07D8554E"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8" w:type="dxa"/>
          </w:tcPr>
          <w:p w14:paraId="114D572C"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313</w:t>
            </w:r>
            <w:r>
              <w:rPr>
                <w:rFonts w:ascii="Times New Roman" w:hAnsi="Times New Roman"/>
              </w:rPr>
              <w:t> mg</w:t>
            </w:r>
            <w:r w:rsidRPr="008F08EF">
              <w:rPr>
                <w:rFonts w:ascii="Times New Roman" w:hAnsi="Times New Roman"/>
              </w:rPr>
              <w:t>;</w:t>
            </w:r>
          </w:p>
          <w:p w14:paraId="5F15F18C" w14:textId="77777777" w:rsidR="00233FCE" w:rsidRPr="008F08EF" w:rsidRDefault="00233FCE" w:rsidP="00955704">
            <w:pPr>
              <w:widowControl w:val="0"/>
              <w:tabs>
                <w:tab w:val="left" w:pos="567"/>
              </w:tabs>
              <w:rPr>
                <w:rFonts w:ascii="Times New Roman" w:eastAsia="Courier New" w:hAnsi="Times New Roman" w:cs="Times New Roman"/>
              </w:rPr>
            </w:pPr>
          </w:p>
        </w:tc>
      </w:tr>
      <w:tr w:rsidR="00233FCE" w:rsidRPr="008F08EF" w14:paraId="52292D19" w14:textId="77777777" w:rsidTr="00A24D20">
        <w:trPr>
          <w:trHeight w:val="563"/>
        </w:trPr>
        <w:tc>
          <w:tcPr>
            <w:tcW w:w="2051" w:type="dxa"/>
            <w:vMerge/>
          </w:tcPr>
          <w:p w14:paraId="29EAD558"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vAlign w:val="center"/>
          </w:tcPr>
          <w:p w14:paraId="310749EA" w14:textId="77777777" w:rsidR="00233FCE" w:rsidRPr="008F08EF" w:rsidRDefault="00233FCE" w:rsidP="00955704">
            <w:pPr>
              <w:widowControl w:val="0"/>
              <w:tabs>
                <w:tab w:val="left" w:pos="567"/>
              </w:tabs>
              <w:jc w:val="center"/>
              <w:rPr>
                <w:rFonts w:ascii="Times New Roman" w:eastAsia="Courier New" w:hAnsi="Times New Roman" w:cs="Times New Roman"/>
                <w:highlight w:val="lightGray"/>
                <w:lang w:val="el-GR"/>
              </w:rPr>
            </w:pPr>
          </w:p>
        </w:tc>
        <w:tc>
          <w:tcPr>
            <w:tcW w:w="1126" w:type="dxa"/>
          </w:tcPr>
          <w:p w14:paraId="7FAB71A4"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0,29</w:t>
            </w:r>
            <w:r>
              <w:rPr>
                <w:rFonts w:ascii="Times New Roman" w:hAnsi="Times New Roman"/>
              </w:rPr>
              <w:t> ml</w:t>
            </w:r>
          </w:p>
        </w:tc>
        <w:tc>
          <w:tcPr>
            <w:tcW w:w="1126" w:type="dxa"/>
          </w:tcPr>
          <w:p w14:paraId="6F33A666"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0,57</w:t>
            </w:r>
            <w:r>
              <w:rPr>
                <w:rFonts w:ascii="Times New Roman" w:hAnsi="Times New Roman"/>
              </w:rPr>
              <w:t> ml</w:t>
            </w:r>
          </w:p>
        </w:tc>
        <w:tc>
          <w:tcPr>
            <w:tcW w:w="1126" w:type="dxa"/>
          </w:tcPr>
          <w:p w14:paraId="2B8380C8"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0,85</w:t>
            </w:r>
            <w:r>
              <w:rPr>
                <w:rFonts w:ascii="Times New Roman" w:hAnsi="Times New Roman"/>
              </w:rPr>
              <w:t> ml</w:t>
            </w:r>
          </w:p>
        </w:tc>
        <w:tc>
          <w:tcPr>
            <w:tcW w:w="1259" w:type="dxa"/>
          </w:tcPr>
          <w:p w14:paraId="6EF03785"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1,14</w:t>
            </w:r>
            <w:r>
              <w:rPr>
                <w:rFonts w:ascii="Times New Roman" w:hAnsi="Times New Roman"/>
              </w:rPr>
              <w:t> ml</w:t>
            </w:r>
          </w:p>
        </w:tc>
        <w:tc>
          <w:tcPr>
            <w:tcW w:w="1258" w:type="dxa"/>
          </w:tcPr>
          <w:p w14:paraId="108ED25E"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1,42</w:t>
            </w:r>
            <w:r>
              <w:rPr>
                <w:rFonts w:ascii="Times New Roman" w:hAnsi="Times New Roman"/>
              </w:rPr>
              <w:t> ml</w:t>
            </w:r>
          </w:p>
        </w:tc>
      </w:tr>
      <w:tr w:rsidR="00233FCE" w:rsidRPr="008F08EF" w14:paraId="78E6CDD8" w14:textId="77777777" w:rsidTr="00A24D20">
        <w:trPr>
          <w:trHeight w:val="570"/>
        </w:trPr>
        <w:tc>
          <w:tcPr>
            <w:tcW w:w="2051" w:type="dxa"/>
            <w:vMerge w:val="restart"/>
          </w:tcPr>
          <w:p w14:paraId="10B406D4"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100</w:t>
            </w:r>
            <w:r>
              <w:rPr>
                <w:rFonts w:ascii="Times New Roman" w:hAnsi="Times New Roman"/>
              </w:rPr>
              <w:t> mg</w:t>
            </w:r>
            <w:r w:rsidRPr="008F08EF">
              <w:rPr>
                <w:rFonts w:ascii="Times New Roman" w:hAnsi="Times New Roman"/>
              </w:rPr>
              <w:t>/kg legemsvægt pr. dag, fordelt på doser hver 8. time</w:t>
            </w:r>
          </w:p>
        </w:tc>
        <w:tc>
          <w:tcPr>
            <w:tcW w:w="1129" w:type="dxa"/>
            <w:vMerge w:val="restart"/>
            <w:vAlign w:val="center"/>
          </w:tcPr>
          <w:p w14:paraId="6576B853" w14:textId="77777777" w:rsidR="00233FCE" w:rsidRPr="008F08EF" w:rsidRDefault="00233FCE" w:rsidP="00955704">
            <w:pPr>
              <w:widowControl w:val="0"/>
              <w:tabs>
                <w:tab w:val="left" w:pos="567"/>
              </w:tabs>
              <w:jc w:val="center"/>
              <w:rPr>
                <w:rFonts w:ascii="Times New Roman" w:eastAsia="Courier New" w:hAnsi="Times New Roman" w:cs="Times New Roman"/>
              </w:rPr>
            </w:pPr>
            <w:r w:rsidRPr="008F08EF">
              <w:rPr>
                <w:rFonts w:ascii="Times New Roman" w:hAnsi="Times New Roman"/>
              </w:rPr>
              <w:t>1 g hætteglas</w:t>
            </w:r>
          </w:p>
        </w:tc>
        <w:tc>
          <w:tcPr>
            <w:tcW w:w="1126" w:type="dxa"/>
          </w:tcPr>
          <w:p w14:paraId="168A22AB"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167</w:t>
            </w:r>
            <w:r>
              <w:rPr>
                <w:rFonts w:ascii="Times New Roman" w:hAnsi="Times New Roman"/>
              </w:rPr>
              <w:t> mg</w:t>
            </w:r>
            <w:r w:rsidRPr="008F08EF">
              <w:rPr>
                <w:rFonts w:ascii="Times New Roman" w:hAnsi="Times New Roman"/>
              </w:rPr>
              <w:t>;</w:t>
            </w:r>
          </w:p>
        </w:tc>
        <w:tc>
          <w:tcPr>
            <w:tcW w:w="1126" w:type="dxa"/>
          </w:tcPr>
          <w:p w14:paraId="4C60BDC8"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333</w:t>
            </w:r>
            <w:r>
              <w:rPr>
                <w:rFonts w:ascii="Times New Roman" w:hAnsi="Times New Roman"/>
              </w:rPr>
              <w:t> mg</w:t>
            </w:r>
            <w:r w:rsidRPr="008F08EF">
              <w:rPr>
                <w:rFonts w:ascii="Times New Roman" w:hAnsi="Times New Roman"/>
              </w:rPr>
              <w:t>;</w:t>
            </w:r>
          </w:p>
          <w:p w14:paraId="365D7C52"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6" w:type="dxa"/>
          </w:tcPr>
          <w:p w14:paraId="3B77276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500</w:t>
            </w:r>
            <w:r>
              <w:rPr>
                <w:rFonts w:ascii="Times New Roman" w:hAnsi="Times New Roman"/>
              </w:rPr>
              <w:t> mg</w:t>
            </w:r>
            <w:r w:rsidRPr="008F08EF">
              <w:rPr>
                <w:rFonts w:ascii="Times New Roman" w:hAnsi="Times New Roman"/>
              </w:rPr>
              <w:t>;</w:t>
            </w:r>
          </w:p>
          <w:p w14:paraId="652ED362"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9" w:type="dxa"/>
          </w:tcPr>
          <w:p w14:paraId="50704F4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667</w:t>
            </w:r>
            <w:r>
              <w:rPr>
                <w:rFonts w:ascii="Times New Roman" w:hAnsi="Times New Roman"/>
              </w:rPr>
              <w:t> mg</w:t>
            </w:r>
            <w:r w:rsidRPr="008F08EF">
              <w:rPr>
                <w:rFonts w:ascii="Times New Roman" w:hAnsi="Times New Roman"/>
              </w:rPr>
              <w:t>;</w:t>
            </w:r>
          </w:p>
          <w:p w14:paraId="7F9F7B70" w14:textId="77777777" w:rsidR="00233FCE" w:rsidRPr="008F08EF" w:rsidRDefault="00233FCE" w:rsidP="00955704">
            <w:pPr>
              <w:widowControl w:val="0"/>
              <w:tabs>
                <w:tab w:val="left" w:pos="567"/>
              </w:tabs>
              <w:rPr>
                <w:rFonts w:ascii="Times New Roman" w:eastAsia="Courier New" w:hAnsi="Times New Roman" w:cs="Times New Roman"/>
              </w:rPr>
            </w:pPr>
          </w:p>
        </w:tc>
        <w:tc>
          <w:tcPr>
            <w:tcW w:w="1258" w:type="dxa"/>
          </w:tcPr>
          <w:p w14:paraId="244F6D8D"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833</w:t>
            </w:r>
            <w:r>
              <w:rPr>
                <w:rFonts w:ascii="Times New Roman" w:hAnsi="Times New Roman"/>
              </w:rPr>
              <w:t> mg</w:t>
            </w:r>
            <w:r w:rsidRPr="008F08EF">
              <w:rPr>
                <w:rFonts w:ascii="Times New Roman" w:hAnsi="Times New Roman"/>
              </w:rPr>
              <w:t>;</w:t>
            </w:r>
          </w:p>
          <w:p w14:paraId="162A896D" w14:textId="77777777" w:rsidR="00233FCE" w:rsidRPr="008F08EF" w:rsidRDefault="00233FCE" w:rsidP="00955704">
            <w:pPr>
              <w:widowControl w:val="0"/>
              <w:tabs>
                <w:tab w:val="left" w:pos="567"/>
              </w:tabs>
              <w:rPr>
                <w:rFonts w:ascii="Times New Roman" w:eastAsia="Courier New" w:hAnsi="Times New Roman" w:cs="Times New Roman"/>
              </w:rPr>
            </w:pPr>
          </w:p>
        </w:tc>
      </w:tr>
      <w:tr w:rsidR="00233FCE" w:rsidRPr="008F08EF" w14:paraId="65ED23DF" w14:textId="77777777" w:rsidTr="00A24D20">
        <w:trPr>
          <w:trHeight w:val="864"/>
        </w:trPr>
        <w:tc>
          <w:tcPr>
            <w:tcW w:w="2051" w:type="dxa"/>
            <w:vMerge/>
          </w:tcPr>
          <w:p w14:paraId="4973E0F6"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tcPr>
          <w:p w14:paraId="7D8A2331" w14:textId="77777777" w:rsidR="00233FCE" w:rsidRPr="008F08EF" w:rsidRDefault="00233FCE" w:rsidP="00955704">
            <w:pPr>
              <w:widowControl w:val="0"/>
              <w:tabs>
                <w:tab w:val="left" w:pos="567"/>
              </w:tabs>
              <w:rPr>
                <w:rFonts w:ascii="Times New Roman" w:eastAsia="Courier New" w:hAnsi="Times New Roman" w:cs="Times New Roman"/>
                <w:lang w:val="el-GR"/>
              </w:rPr>
            </w:pPr>
          </w:p>
        </w:tc>
        <w:tc>
          <w:tcPr>
            <w:tcW w:w="1126" w:type="dxa"/>
          </w:tcPr>
          <w:p w14:paraId="3775093C"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0,76</w:t>
            </w:r>
            <w:r>
              <w:rPr>
                <w:rFonts w:ascii="Times New Roman" w:hAnsi="Times New Roman"/>
              </w:rPr>
              <w:t> ml</w:t>
            </w:r>
          </w:p>
        </w:tc>
        <w:tc>
          <w:tcPr>
            <w:tcW w:w="1126" w:type="dxa"/>
          </w:tcPr>
          <w:p w14:paraId="1FF01525"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1,51</w:t>
            </w:r>
            <w:r>
              <w:rPr>
                <w:rFonts w:ascii="Times New Roman" w:hAnsi="Times New Roman"/>
              </w:rPr>
              <w:t> ml</w:t>
            </w:r>
          </w:p>
        </w:tc>
        <w:tc>
          <w:tcPr>
            <w:tcW w:w="1126" w:type="dxa"/>
          </w:tcPr>
          <w:p w14:paraId="5867F7D1"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2,27</w:t>
            </w:r>
            <w:r>
              <w:rPr>
                <w:rFonts w:ascii="Times New Roman" w:hAnsi="Times New Roman"/>
              </w:rPr>
              <w:t> ml</w:t>
            </w:r>
            <w:r w:rsidRPr="008F08EF">
              <w:rPr>
                <w:rFonts w:ascii="Times New Roman" w:hAnsi="Times New Roman"/>
              </w:rPr>
              <w:t>*</w:t>
            </w:r>
          </w:p>
        </w:tc>
        <w:tc>
          <w:tcPr>
            <w:tcW w:w="1259" w:type="dxa"/>
          </w:tcPr>
          <w:p w14:paraId="279B02C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3,03</w:t>
            </w:r>
            <w:r>
              <w:rPr>
                <w:rFonts w:ascii="Times New Roman" w:hAnsi="Times New Roman"/>
              </w:rPr>
              <w:t> ml</w:t>
            </w:r>
            <w:r w:rsidRPr="008F08EF">
              <w:rPr>
                <w:rFonts w:ascii="Times New Roman" w:hAnsi="Times New Roman"/>
              </w:rPr>
              <w:t>*</w:t>
            </w:r>
          </w:p>
        </w:tc>
        <w:tc>
          <w:tcPr>
            <w:tcW w:w="1258" w:type="dxa"/>
          </w:tcPr>
          <w:p w14:paraId="00C6CE8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3,79</w:t>
            </w:r>
            <w:r>
              <w:rPr>
                <w:rFonts w:ascii="Times New Roman" w:hAnsi="Times New Roman"/>
              </w:rPr>
              <w:t> ml</w:t>
            </w:r>
            <w:r w:rsidRPr="008F08EF">
              <w:rPr>
                <w:rFonts w:ascii="Times New Roman" w:hAnsi="Times New Roman"/>
              </w:rPr>
              <w:t>*</w:t>
            </w:r>
          </w:p>
        </w:tc>
      </w:tr>
      <w:tr w:rsidR="00233FCE" w:rsidRPr="008F08EF" w14:paraId="1902DD29" w14:textId="77777777" w:rsidTr="00A24D20">
        <w:trPr>
          <w:trHeight w:val="423"/>
        </w:trPr>
        <w:tc>
          <w:tcPr>
            <w:tcW w:w="2051" w:type="dxa"/>
            <w:vMerge w:val="restart"/>
          </w:tcPr>
          <w:p w14:paraId="5586094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100</w:t>
            </w:r>
            <w:r>
              <w:rPr>
                <w:rFonts w:ascii="Times New Roman" w:hAnsi="Times New Roman"/>
              </w:rPr>
              <w:t> mg</w:t>
            </w:r>
            <w:r w:rsidRPr="008F08EF">
              <w:rPr>
                <w:rFonts w:ascii="Times New Roman" w:hAnsi="Times New Roman"/>
              </w:rPr>
              <w:t>/kg legemsvægt pr. dag, fordelt på doser hver 6. time</w:t>
            </w:r>
          </w:p>
        </w:tc>
        <w:tc>
          <w:tcPr>
            <w:tcW w:w="1129" w:type="dxa"/>
            <w:vMerge w:val="restart"/>
          </w:tcPr>
          <w:p w14:paraId="121E402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 g hætteglas</w:t>
            </w:r>
          </w:p>
        </w:tc>
        <w:tc>
          <w:tcPr>
            <w:tcW w:w="1126" w:type="dxa"/>
          </w:tcPr>
          <w:p w14:paraId="2D9113AE"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125</w:t>
            </w:r>
            <w:r>
              <w:rPr>
                <w:rFonts w:ascii="Times New Roman" w:hAnsi="Times New Roman"/>
              </w:rPr>
              <w:t> mg</w:t>
            </w:r>
            <w:r w:rsidRPr="008F08EF">
              <w:rPr>
                <w:rFonts w:ascii="Times New Roman" w:hAnsi="Times New Roman"/>
              </w:rPr>
              <w:t>;</w:t>
            </w:r>
          </w:p>
        </w:tc>
        <w:tc>
          <w:tcPr>
            <w:tcW w:w="1126" w:type="dxa"/>
          </w:tcPr>
          <w:p w14:paraId="31ACD46D"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250</w:t>
            </w:r>
            <w:r>
              <w:rPr>
                <w:rFonts w:ascii="Times New Roman" w:hAnsi="Times New Roman"/>
              </w:rPr>
              <w:t> mg</w:t>
            </w:r>
            <w:r w:rsidRPr="008F08EF">
              <w:rPr>
                <w:rFonts w:ascii="Times New Roman" w:hAnsi="Times New Roman"/>
              </w:rPr>
              <w:t>;</w:t>
            </w:r>
          </w:p>
        </w:tc>
        <w:tc>
          <w:tcPr>
            <w:tcW w:w="1126" w:type="dxa"/>
          </w:tcPr>
          <w:p w14:paraId="4E5E27B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375</w:t>
            </w:r>
            <w:r>
              <w:rPr>
                <w:rFonts w:ascii="Times New Roman" w:hAnsi="Times New Roman"/>
              </w:rPr>
              <w:t> mg</w:t>
            </w:r>
            <w:r w:rsidRPr="008F08EF">
              <w:rPr>
                <w:rFonts w:ascii="Times New Roman" w:hAnsi="Times New Roman"/>
              </w:rPr>
              <w:t>;</w:t>
            </w:r>
          </w:p>
        </w:tc>
        <w:tc>
          <w:tcPr>
            <w:tcW w:w="1259" w:type="dxa"/>
          </w:tcPr>
          <w:p w14:paraId="0D27B58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500</w:t>
            </w:r>
            <w:r>
              <w:rPr>
                <w:rFonts w:ascii="Times New Roman" w:hAnsi="Times New Roman"/>
              </w:rPr>
              <w:t> mg</w:t>
            </w:r>
            <w:r w:rsidRPr="008F08EF">
              <w:rPr>
                <w:rFonts w:ascii="Times New Roman" w:hAnsi="Times New Roman"/>
              </w:rPr>
              <w:t>;</w:t>
            </w:r>
          </w:p>
        </w:tc>
        <w:tc>
          <w:tcPr>
            <w:tcW w:w="1258" w:type="dxa"/>
          </w:tcPr>
          <w:p w14:paraId="476C18DE"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625</w:t>
            </w:r>
            <w:r>
              <w:rPr>
                <w:rFonts w:ascii="Times New Roman" w:hAnsi="Times New Roman"/>
              </w:rPr>
              <w:t> mg</w:t>
            </w:r>
          </w:p>
        </w:tc>
      </w:tr>
      <w:tr w:rsidR="00233FCE" w:rsidRPr="008F08EF" w14:paraId="3A8E050C" w14:textId="77777777" w:rsidTr="00A24D20">
        <w:trPr>
          <w:trHeight w:val="511"/>
        </w:trPr>
        <w:tc>
          <w:tcPr>
            <w:tcW w:w="2051" w:type="dxa"/>
            <w:vMerge/>
          </w:tcPr>
          <w:p w14:paraId="1DEB1F93"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29" w:type="dxa"/>
            <w:vMerge/>
          </w:tcPr>
          <w:p w14:paraId="60270E49" w14:textId="77777777" w:rsidR="00233FCE" w:rsidRPr="008F08EF" w:rsidRDefault="00233FCE" w:rsidP="00955704">
            <w:pPr>
              <w:widowControl w:val="0"/>
              <w:tabs>
                <w:tab w:val="left" w:pos="567"/>
              </w:tabs>
              <w:rPr>
                <w:rFonts w:ascii="Times New Roman" w:eastAsia="Courier New" w:hAnsi="Times New Roman" w:cs="Times New Roman"/>
                <w:lang w:val="el-GR"/>
              </w:rPr>
            </w:pPr>
          </w:p>
        </w:tc>
        <w:tc>
          <w:tcPr>
            <w:tcW w:w="1126" w:type="dxa"/>
          </w:tcPr>
          <w:p w14:paraId="555BF616"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0,57</w:t>
            </w:r>
            <w:r>
              <w:rPr>
                <w:rFonts w:ascii="Times New Roman" w:hAnsi="Times New Roman"/>
              </w:rPr>
              <w:t> ml</w:t>
            </w:r>
          </w:p>
        </w:tc>
        <w:tc>
          <w:tcPr>
            <w:tcW w:w="1126" w:type="dxa"/>
          </w:tcPr>
          <w:p w14:paraId="43FC9597"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1,14</w:t>
            </w:r>
            <w:r>
              <w:rPr>
                <w:rFonts w:ascii="Times New Roman" w:hAnsi="Times New Roman"/>
              </w:rPr>
              <w:t> ml</w:t>
            </w:r>
          </w:p>
        </w:tc>
        <w:tc>
          <w:tcPr>
            <w:tcW w:w="1126" w:type="dxa"/>
          </w:tcPr>
          <w:p w14:paraId="4C039566" w14:textId="77777777" w:rsidR="00233FCE" w:rsidRPr="008F08EF" w:rsidRDefault="00233FCE" w:rsidP="00955704">
            <w:pPr>
              <w:widowControl w:val="0"/>
              <w:tabs>
                <w:tab w:val="left" w:pos="567"/>
              </w:tabs>
              <w:rPr>
                <w:rFonts w:ascii="Times New Roman" w:eastAsia="Courier New" w:hAnsi="Times New Roman" w:cs="Times New Roman"/>
                <w:highlight w:val="lightGray"/>
              </w:rPr>
            </w:pPr>
            <w:r w:rsidRPr="008F08EF">
              <w:rPr>
                <w:rFonts w:ascii="Times New Roman" w:hAnsi="Times New Roman"/>
              </w:rPr>
              <w:t>1,7</w:t>
            </w:r>
            <w:r>
              <w:rPr>
                <w:rFonts w:ascii="Times New Roman" w:hAnsi="Times New Roman"/>
              </w:rPr>
              <w:t> ml</w:t>
            </w:r>
          </w:p>
        </w:tc>
        <w:tc>
          <w:tcPr>
            <w:tcW w:w="1259" w:type="dxa"/>
          </w:tcPr>
          <w:p w14:paraId="4087583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2,27</w:t>
            </w:r>
            <w:r>
              <w:rPr>
                <w:rFonts w:ascii="Times New Roman" w:hAnsi="Times New Roman"/>
              </w:rPr>
              <w:t> ml</w:t>
            </w:r>
            <w:r w:rsidRPr="008F08EF">
              <w:rPr>
                <w:rFonts w:ascii="Times New Roman" w:hAnsi="Times New Roman"/>
              </w:rPr>
              <w:t>*</w:t>
            </w:r>
          </w:p>
        </w:tc>
        <w:tc>
          <w:tcPr>
            <w:tcW w:w="1258" w:type="dxa"/>
          </w:tcPr>
          <w:p w14:paraId="234F76D1"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2,84</w:t>
            </w:r>
            <w:r>
              <w:rPr>
                <w:rFonts w:ascii="Times New Roman" w:hAnsi="Times New Roman"/>
              </w:rPr>
              <w:t> ml</w:t>
            </w:r>
            <w:r w:rsidRPr="008F08EF">
              <w:rPr>
                <w:rFonts w:ascii="Times New Roman" w:hAnsi="Times New Roman"/>
              </w:rPr>
              <w:t>*</w:t>
            </w:r>
          </w:p>
        </w:tc>
      </w:tr>
    </w:tbl>
    <w:p w14:paraId="75645E05" w14:textId="77777777" w:rsidR="00233FCE" w:rsidRPr="00233FCE" w:rsidRDefault="00233FCE" w:rsidP="00955704">
      <w:pPr>
        <w:widowControl w:val="0"/>
        <w:tabs>
          <w:tab w:val="left" w:pos="567"/>
        </w:tabs>
        <w:rPr>
          <w:rFonts w:eastAsia="Courier New"/>
          <w:sz w:val="20"/>
        </w:rPr>
      </w:pPr>
      <w:r w:rsidRPr="00233FCE">
        <w:rPr>
          <w:sz w:val="20"/>
        </w:rPr>
        <w:lastRenderedPageBreak/>
        <w:t>* Ved intramuskulær administration, hvis det beregnede volumen for den enkelte dosis overstiger 2 ml, foretrækkes det at vælge et doseringsregime med flere daglige doser (3 eller 4), eller at dele det volumen, der skal administreres, i lige store dele mellem to forskellige injektionssteder.</w:t>
      </w:r>
    </w:p>
    <w:p w14:paraId="2677DCA8" w14:textId="77777777" w:rsidR="00233FCE" w:rsidRPr="00B84678" w:rsidRDefault="00233FCE" w:rsidP="00955704">
      <w:pPr>
        <w:widowControl w:val="0"/>
        <w:tabs>
          <w:tab w:val="left" w:pos="567"/>
        </w:tabs>
        <w:rPr>
          <w:rFonts w:eastAsia="Courier New"/>
        </w:rPr>
      </w:pPr>
    </w:p>
    <w:p w14:paraId="5F58CFCD" w14:textId="67938EA9" w:rsidR="00233FCE" w:rsidRPr="00233FCE" w:rsidRDefault="00233FCE" w:rsidP="00955704">
      <w:pPr>
        <w:widowControl w:val="0"/>
        <w:tabs>
          <w:tab w:val="left" w:pos="567"/>
        </w:tabs>
        <w:rPr>
          <w:sz w:val="24"/>
          <w:szCs w:val="24"/>
        </w:rPr>
      </w:pPr>
      <w:r w:rsidRPr="00233FCE">
        <w:rPr>
          <w:sz w:val="24"/>
          <w:szCs w:val="24"/>
        </w:rPr>
        <w:t>Tabel 2: Anbefalede volumener til intravenøs injektion hos pædiatriske patienter for Cefazolin "Noridem" 2 g, pulver til injektions-/infusionsvæske, opløsning</w:t>
      </w:r>
    </w:p>
    <w:p w14:paraId="22D4CD0D" w14:textId="77777777" w:rsidR="00233FCE" w:rsidRPr="008F08EF" w:rsidRDefault="00233FCE" w:rsidP="00955704">
      <w:pPr>
        <w:widowControl w:val="0"/>
        <w:tabs>
          <w:tab w:val="left" w:pos="567"/>
        </w:tabs>
        <w:rPr>
          <w:rFonts w:eastAsia="Courier New"/>
        </w:rPr>
      </w:pPr>
    </w:p>
    <w:tbl>
      <w:tblPr>
        <w:tblStyle w:val="Tabel-Gitter"/>
        <w:tblW w:w="0" w:type="auto"/>
        <w:tblLook w:val="04A0" w:firstRow="1" w:lastRow="0" w:firstColumn="1" w:lastColumn="0" w:noHBand="0" w:noVBand="1"/>
      </w:tblPr>
      <w:tblGrid>
        <w:gridCol w:w="2093"/>
        <w:gridCol w:w="1134"/>
        <w:gridCol w:w="1134"/>
        <w:gridCol w:w="1134"/>
        <w:gridCol w:w="1174"/>
        <w:gridCol w:w="1309"/>
        <w:gridCol w:w="1202"/>
      </w:tblGrid>
      <w:tr w:rsidR="00233FCE" w:rsidRPr="008F08EF" w14:paraId="37D9453A" w14:textId="77777777" w:rsidTr="00A24D20">
        <w:tc>
          <w:tcPr>
            <w:tcW w:w="2093" w:type="dxa"/>
          </w:tcPr>
          <w:p w14:paraId="6D28E335" w14:textId="77777777" w:rsidR="00233FCE" w:rsidRPr="008F08EF" w:rsidRDefault="00233FCE" w:rsidP="00955704">
            <w:pPr>
              <w:widowControl w:val="0"/>
              <w:tabs>
                <w:tab w:val="left" w:pos="567"/>
              </w:tabs>
              <w:rPr>
                <w:rFonts w:ascii="Times New Roman" w:eastAsia="Courier New" w:hAnsi="Times New Roman" w:cs="Times New Roman"/>
                <w:b/>
              </w:rPr>
            </w:pPr>
            <w:r w:rsidRPr="008F08EF">
              <w:rPr>
                <w:rFonts w:ascii="Times New Roman" w:hAnsi="Times New Roman"/>
                <w:b/>
              </w:rPr>
              <w:t xml:space="preserve">Legemsvægt </w:t>
            </w:r>
          </w:p>
          <w:p w14:paraId="54A14C22" w14:textId="77777777" w:rsidR="00233FCE" w:rsidRPr="008F08EF" w:rsidRDefault="00233FCE" w:rsidP="00955704">
            <w:pPr>
              <w:widowControl w:val="0"/>
              <w:tabs>
                <w:tab w:val="left" w:pos="567"/>
              </w:tabs>
              <w:rPr>
                <w:rFonts w:ascii="Times New Roman" w:eastAsia="Courier New" w:hAnsi="Times New Roman" w:cs="Times New Roman"/>
                <w:b/>
              </w:rPr>
            </w:pPr>
          </w:p>
        </w:tc>
        <w:tc>
          <w:tcPr>
            <w:tcW w:w="1134" w:type="dxa"/>
          </w:tcPr>
          <w:p w14:paraId="4AF29323" w14:textId="77777777" w:rsidR="00233FCE" w:rsidRPr="00B84678" w:rsidRDefault="00233FCE" w:rsidP="00955704">
            <w:pPr>
              <w:widowControl w:val="0"/>
              <w:tabs>
                <w:tab w:val="left" w:pos="567"/>
              </w:tabs>
              <w:rPr>
                <w:rFonts w:ascii="Times New Roman" w:eastAsia="Courier New" w:hAnsi="Times New Roman" w:cs="Times New Roman"/>
                <w:b/>
              </w:rPr>
            </w:pPr>
            <w:r w:rsidRPr="00B84678">
              <w:rPr>
                <w:rFonts w:ascii="Times New Roman" w:hAnsi="Times New Roman"/>
                <w:b/>
              </w:rPr>
              <w:t>Styrke</w:t>
            </w:r>
          </w:p>
        </w:tc>
        <w:tc>
          <w:tcPr>
            <w:tcW w:w="1134" w:type="dxa"/>
          </w:tcPr>
          <w:p w14:paraId="570376F0" w14:textId="77777777" w:rsidR="00233FCE" w:rsidRPr="00B84678" w:rsidRDefault="00233FCE" w:rsidP="00955704">
            <w:pPr>
              <w:widowControl w:val="0"/>
              <w:tabs>
                <w:tab w:val="left" w:pos="567"/>
              </w:tabs>
              <w:rPr>
                <w:rFonts w:ascii="Times New Roman" w:eastAsia="Courier New" w:hAnsi="Times New Roman" w:cs="Times New Roman"/>
                <w:b/>
              </w:rPr>
            </w:pPr>
            <w:r w:rsidRPr="00B84678">
              <w:rPr>
                <w:rFonts w:ascii="Times New Roman" w:hAnsi="Times New Roman"/>
                <w:b/>
              </w:rPr>
              <w:t>5 kg</w:t>
            </w:r>
          </w:p>
        </w:tc>
        <w:tc>
          <w:tcPr>
            <w:tcW w:w="1134" w:type="dxa"/>
          </w:tcPr>
          <w:p w14:paraId="3AF6AB22" w14:textId="77777777" w:rsidR="00233FCE" w:rsidRPr="00B84678" w:rsidRDefault="00233FCE" w:rsidP="00955704">
            <w:pPr>
              <w:widowControl w:val="0"/>
              <w:tabs>
                <w:tab w:val="left" w:pos="567"/>
              </w:tabs>
              <w:rPr>
                <w:rFonts w:ascii="Times New Roman" w:eastAsia="Courier New" w:hAnsi="Times New Roman" w:cs="Times New Roman"/>
                <w:b/>
              </w:rPr>
            </w:pPr>
            <w:r w:rsidRPr="00B84678">
              <w:rPr>
                <w:rFonts w:ascii="Times New Roman" w:hAnsi="Times New Roman"/>
                <w:b/>
              </w:rPr>
              <w:t>10 kg</w:t>
            </w:r>
          </w:p>
        </w:tc>
        <w:tc>
          <w:tcPr>
            <w:tcW w:w="1174" w:type="dxa"/>
          </w:tcPr>
          <w:p w14:paraId="240FF7F1" w14:textId="77777777" w:rsidR="00233FCE" w:rsidRPr="00B84678" w:rsidRDefault="00233FCE" w:rsidP="00955704">
            <w:pPr>
              <w:widowControl w:val="0"/>
              <w:tabs>
                <w:tab w:val="left" w:pos="567"/>
              </w:tabs>
              <w:rPr>
                <w:rFonts w:ascii="Times New Roman" w:eastAsia="Courier New" w:hAnsi="Times New Roman" w:cs="Times New Roman"/>
                <w:b/>
              </w:rPr>
            </w:pPr>
            <w:r w:rsidRPr="00B84678">
              <w:rPr>
                <w:rFonts w:ascii="Times New Roman" w:hAnsi="Times New Roman"/>
                <w:b/>
              </w:rPr>
              <w:t>15 kg</w:t>
            </w:r>
          </w:p>
        </w:tc>
        <w:tc>
          <w:tcPr>
            <w:tcW w:w="1309" w:type="dxa"/>
          </w:tcPr>
          <w:p w14:paraId="13A7A20F" w14:textId="77777777" w:rsidR="00233FCE" w:rsidRPr="00B84678" w:rsidRDefault="00233FCE" w:rsidP="00955704">
            <w:pPr>
              <w:widowControl w:val="0"/>
              <w:tabs>
                <w:tab w:val="left" w:pos="567"/>
              </w:tabs>
              <w:rPr>
                <w:rFonts w:ascii="Times New Roman" w:eastAsia="Courier New" w:hAnsi="Times New Roman" w:cs="Times New Roman"/>
                <w:b/>
              </w:rPr>
            </w:pPr>
            <w:r w:rsidRPr="00B84678">
              <w:rPr>
                <w:rFonts w:ascii="Times New Roman" w:hAnsi="Times New Roman"/>
                <w:b/>
              </w:rPr>
              <w:t>20 kg</w:t>
            </w:r>
          </w:p>
        </w:tc>
        <w:tc>
          <w:tcPr>
            <w:tcW w:w="1202" w:type="dxa"/>
          </w:tcPr>
          <w:p w14:paraId="2100D432" w14:textId="77777777" w:rsidR="00233FCE" w:rsidRPr="00B84678" w:rsidRDefault="00233FCE" w:rsidP="00955704">
            <w:pPr>
              <w:widowControl w:val="0"/>
              <w:tabs>
                <w:tab w:val="left" w:pos="567"/>
              </w:tabs>
              <w:rPr>
                <w:rFonts w:ascii="Times New Roman" w:eastAsia="Courier New" w:hAnsi="Times New Roman" w:cs="Times New Roman"/>
                <w:b/>
              </w:rPr>
            </w:pPr>
            <w:r w:rsidRPr="00B84678">
              <w:rPr>
                <w:rFonts w:ascii="Times New Roman" w:hAnsi="Times New Roman"/>
                <w:b/>
              </w:rPr>
              <w:t>25 kg</w:t>
            </w:r>
          </w:p>
        </w:tc>
      </w:tr>
      <w:tr w:rsidR="00233FCE" w:rsidRPr="008F08EF" w14:paraId="403F250D" w14:textId="77777777" w:rsidTr="00A24D20">
        <w:trPr>
          <w:trHeight w:val="423"/>
        </w:trPr>
        <w:tc>
          <w:tcPr>
            <w:tcW w:w="2093" w:type="dxa"/>
            <w:vMerge w:val="restart"/>
          </w:tcPr>
          <w:p w14:paraId="25418B5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w:t>
            </w:r>
            <w:r>
              <w:rPr>
                <w:rFonts w:ascii="Times New Roman" w:hAnsi="Times New Roman"/>
              </w:rPr>
              <w:t> mg</w:t>
            </w:r>
            <w:r w:rsidRPr="008F08EF">
              <w:rPr>
                <w:rFonts w:ascii="Times New Roman" w:hAnsi="Times New Roman"/>
              </w:rPr>
              <w:t>/kg legemsvægt pr. dag, fordelt på doser hver 12. time</w:t>
            </w:r>
          </w:p>
        </w:tc>
        <w:tc>
          <w:tcPr>
            <w:tcW w:w="1134" w:type="dxa"/>
            <w:vMerge w:val="restart"/>
            <w:vAlign w:val="center"/>
          </w:tcPr>
          <w:p w14:paraId="5E8BC7E5" w14:textId="77777777" w:rsidR="00233FCE" w:rsidRPr="00B84678" w:rsidRDefault="00233FCE" w:rsidP="00955704">
            <w:pPr>
              <w:widowControl w:val="0"/>
              <w:tabs>
                <w:tab w:val="left" w:pos="567"/>
              </w:tabs>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338091FB"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63 mg;</w:t>
            </w:r>
          </w:p>
          <w:p w14:paraId="666D1256"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34" w:type="dxa"/>
          </w:tcPr>
          <w:p w14:paraId="01656A60"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125 mg;</w:t>
            </w:r>
          </w:p>
          <w:p w14:paraId="2AAEA564"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74" w:type="dxa"/>
          </w:tcPr>
          <w:p w14:paraId="090BAFDF"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188 mg;</w:t>
            </w:r>
          </w:p>
          <w:p w14:paraId="2066A204" w14:textId="77777777" w:rsidR="00233FCE" w:rsidRPr="00B84678" w:rsidRDefault="00233FCE" w:rsidP="00955704">
            <w:pPr>
              <w:widowControl w:val="0"/>
              <w:tabs>
                <w:tab w:val="left" w:pos="567"/>
              </w:tabs>
              <w:rPr>
                <w:rFonts w:ascii="Times New Roman" w:eastAsia="Courier New" w:hAnsi="Times New Roman" w:cs="Times New Roman"/>
              </w:rPr>
            </w:pPr>
          </w:p>
        </w:tc>
        <w:tc>
          <w:tcPr>
            <w:tcW w:w="1309" w:type="dxa"/>
          </w:tcPr>
          <w:p w14:paraId="1C6244CA"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250 mg;</w:t>
            </w:r>
          </w:p>
          <w:p w14:paraId="00F5C69A" w14:textId="77777777" w:rsidR="00233FCE" w:rsidRPr="00B84678" w:rsidRDefault="00233FCE" w:rsidP="00955704">
            <w:pPr>
              <w:widowControl w:val="0"/>
              <w:tabs>
                <w:tab w:val="left" w:pos="567"/>
              </w:tabs>
              <w:rPr>
                <w:rFonts w:ascii="Times New Roman" w:eastAsia="Courier New" w:hAnsi="Times New Roman" w:cs="Times New Roman"/>
              </w:rPr>
            </w:pPr>
          </w:p>
        </w:tc>
        <w:tc>
          <w:tcPr>
            <w:tcW w:w="1202" w:type="dxa"/>
          </w:tcPr>
          <w:p w14:paraId="6FD0A92B"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313 mg;</w:t>
            </w:r>
          </w:p>
          <w:p w14:paraId="32F6C70E" w14:textId="77777777" w:rsidR="00233FCE" w:rsidRPr="00B84678" w:rsidRDefault="00233FCE" w:rsidP="00955704">
            <w:pPr>
              <w:widowControl w:val="0"/>
              <w:tabs>
                <w:tab w:val="left" w:pos="567"/>
              </w:tabs>
              <w:rPr>
                <w:rFonts w:ascii="Times New Roman" w:eastAsia="Courier New" w:hAnsi="Times New Roman" w:cs="Times New Roman"/>
              </w:rPr>
            </w:pPr>
          </w:p>
        </w:tc>
      </w:tr>
      <w:tr w:rsidR="00233FCE" w:rsidRPr="008F08EF" w14:paraId="53FBA998" w14:textId="77777777" w:rsidTr="00A24D20">
        <w:trPr>
          <w:trHeight w:val="621"/>
        </w:trPr>
        <w:tc>
          <w:tcPr>
            <w:tcW w:w="2093" w:type="dxa"/>
            <w:vMerge/>
          </w:tcPr>
          <w:p w14:paraId="517D29B4"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49B5D141" w14:textId="77777777" w:rsidR="00233FCE" w:rsidRPr="00A24D20" w:rsidRDefault="00233FCE" w:rsidP="00955704">
            <w:pPr>
              <w:widowControl w:val="0"/>
              <w:tabs>
                <w:tab w:val="left" w:pos="567"/>
              </w:tabs>
              <w:jc w:val="center"/>
              <w:rPr>
                <w:rFonts w:ascii="Times New Roman" w:eastAsia="Courier New" w:hAnsi="Times New Roman" w:cs="Times New Roman"/>
                <w:lang w:val="el-GR"/>
              </w:rPr>
            </w:pPr>
          </w:p>
        </w:tc>
        <w:tc>
          <w:tcPr>
            <w:tcW w:w="1134" w:type="dxa"/>
          </w:tcPr>
          <w:p w14:paraId="5F2995E9"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0,35 ml</w:t>
            </w:r>
          </w:p>
        </w:tc>
        <w:tc>
          <w:tcPr>
            <w:tcW w:w="1134" w:type="dxa"/>
          </w:tcPr>
          <w:p w14:paraId="5968E9AE"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0,69 ml</w:t>
            </w:r>
          </w:p>
        </w:tc>
        <w:tc>
          <w:tcPr>
            <w:tcW w:w="1174" w:type="dxa"/>
          </w:tcPr>
          <w:p w14:paraId="28D9907A"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1,04 ml</w:t>
            </w:r>
          </w:p>
        </w:tc>
        <w:tc>
          <w:tcPr>
            <w:tcW w:w="1309" w:type="dxa"/>
          </w:tcPr>
          <w:p w14:paraId="3D88711C"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1,39 ml</w:t>
            </w:r>
          </w:p>
        </w:tc>
        <w:tc>
          <w:tcPr>
            <w:tcW w:w="1202" w:type="dxa"/>
          </w:tcPr>
          <w:p w14:paraId="36682261"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1,74 ml</w:t>
            </w:r>
          </w:p>
        </w:tc>
      </w:tr>
      <w:tr w:rsidR="00233FCE" w:rsidRPr="008F08EF" w14:paraId="3316A37F" w14:textId="77777777" w:rsidTr="00A24D20">
        <w:trPr>
          <w:trHeight w:val="423"/>
        </w:trPr>
        <w:tc>
          <w:tcPr>
            <w:tcW w:w="2093" w:type="dxa"/>
            <w:vMerge w:val="restart"/>
          </w:tcPr>
          <w:p w14:paraId="78A61B8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w:t>
            </w:r>
            <w:r>
              <w:rPr>
                <w:rFonts w:ascii="Times New Roman" w:hAnsi="Times New Roman"/>
              </w:rPr>
              <w:t> mg</w:t>
            </w:r>
            <w:r w:rsidRPr="008F08EF">
              <w:rPr>
                <w:rFonts w:ascii="Times New Roman" w:hAnsi="Times New Roman"/>
              </w:rPr>
              <w:t>/kg legemsvægt pr. dag, fordelt på doser hver 8. time</w:t>
            </w:r>
          </w:p>
        </w:tc>
        <w:tc>
          <w:tcPr>
            <w:tcW w:w="1134" w:type="dxa"/>
            <w:vMerge w:val="restart"/>
            <w:vAlign w:val="center"/>
          </w:tcPr>
          <w:p w14:paraId="177C3A02" w14:textId="77777777" w:rsidR="00233FCE" w:rsidRPr="00B84678" w:rsidRDefault="00233FCE" w:rsidP="00955704">
            <w:pPr>
              <w:widowControl w:val="0"/>
              <w:tabs>
                <w:tab w:val="left" w:pos="567"/>
              </w:tabs>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13CA1859"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42 mg;</w:t>
            </w:r>
          </w:p>
          <w:p w14:paraId="4B14DBF5"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34" w:type="dxa"/>
          </w:tcPr>
          <w:p w14:paraId="7A4726BC"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85 mg;</w:t>
            </w:r>
          </w:p>
          <w:p w14:paraId="16A5E73F"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74" w:type="dxa"/>
          </w:tcPr>
          <w:p w14:paraId="75A5138E"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125 mg;</w:t>
            </w:r>
          </w:p>
          <w:p w14:paraId="58EC2D37" w14:textId="77777777" w:rsidR="00233FCE" w:rsidRPr="00B84678" w:rsidRDefault="00233FCE" w:rsidP="00955704">
            <w:pPr>
              <w:widowControl w:val="0"/>
              <w:tabs>
                <w:tab w:val="left" w:pos="567"/>
              </w:tabs>
              <w:rPr>
                <w:rFonts w:ascii="Times New Roman" w:eastAsia="Courier New" w:hAnsi="Times New Roman" w:cs="Times New Roman"/>
              </w:rPr>
            </w:pPr>
          </w:p>
        </w:tc>
        <w:tc>
          <w:tcPr>
            <w:tcW w:w="1309" w:type="dxa"/>
          </w:tcPr>
          <w:p w14:paraId="778F6FEB"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167 mg;</w:t>
            </w:r>
          </w:p>
          <w:p w14:paraId="54C57B83" w14:textId="77777777" w:rsidR="00233FCE" w:rsidRPr="00B84678" w:rsidRDefault="00233FCE" w:rsidP="00955704">
            <w:pPr>
              <w:widowControl w:val="0"/>
              <w:tabs>
                <w:tab w:val="left" w:pos="567"/>
              </w:tabs>
              <w:rPr>
                <w:rFonts w:ascii="Times New Roman" w:eastAsia="Courier New" w:hAnsi="Times New Roman" w:cs="Times New Roman"/>
              </w:rPr>
            </w:pPr>
          </w:p>
        </w:tc>
        <w:tc>
          <w:tcPr>
            <w:tcW w:w="1202" w:type="dxa"/>
          </w:tcPr>
          <w:p w14:paraId="37203538"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208 mg;</w:t>
            </w:r>
          </w:p>
          <w:p w14:paraId="69A67D02" w14:textId="77777777" w:rsidR="00233FCE" w:rsidRPr="00B84678" w:rsidRDefault="00233FCE" w:rsidP="00955704">
            <w:pPr>
              <w:widowControl w:val="0"/>
              <w:tabs>
                <w:tab w:val="left" w:pos="567"/>
              </w:tabs>
              <w:rPr>
                <w:rFonts w:ascii="Times New Roman" w:eastAsia="Courier New" w:hAnsi="Times New Roman" w:cs="Times New Roman"/>
              </w:rPr>
            </w:pPr>
          </w:p>
        </w:tc>
      </w:tr>
      <w:tr w:rsidR="00233FCE" w:rsidRPr="008F08EF" w14:paraId="614D2CD6" w14:textId="77777777" w:rsidTr="00A24D20">
        <w:trPr>
          <w:trHeight w:val="387"/>
        </w:trPr>
        <w:tc>
          <w:tcPr>
            <w:tcW w:w="2093" w:type="dxa"/>
            <w:vMerge/>
          </w:tcPr>
          <w:p w14:paraId="068B1CF3"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21E259A4" w14:textId="77777777" w:rsidR="00233FCE" w:rsidRPr="00B84678" w:rsidRDefault="00233FCE" w:rsidP="00955704">
            <w:pPr>
              <w:widowControl w:val="0"/>
              <w:tabs>
                <w:tab w:val="left" w:pos="567"/>
              </w:tabs>
              <w:jc w:val="center"/>
              <w:rPr>
                <w:rFonts w:ascii="Times New Roman" w:eastAsia="Courier New" w:hAnsi="Times New Roman" w:cs="Times New Roman"/>
                <w:lang w:val="el-GR"/>
              </w:rPr>
            </w:pPr>
          </w:p>
        </w:tc>
        <w:tc>
          <w:tcPr>
            <w:tcW w:w="1134" w:type="dxa"/>
          </w:tcPr>
          <w:p w14:paraId="0395A75F"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0,23 ml</w:t>
            </w:r>
          </w:p>
        </w:tc>
        <w:tc>
          <w:tcPr>
            <w:tcW w:w="1134" w:type="dxa"/>
          </w:tcPr>
          <w:p w14:paraId="1F42A33B"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0.47 ml</w:t>
            </w:r>
          </w:p>
        </w:tc>
        <w:tc>
          <w:tcPr>
            <w:tcW w:w="1174" w:type="dxa"/>
          </w:tcPr>
          <w:p w14:paraId="5A7CDF5B"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0,69 ml</w:t>
            </w:r>
          </w:p>
        </w:tc>
        <w:tc>
          <w:tcPr>
            <w:tcW w:w="1309" w:type="dxa"/>
          </w:tcPr>
          <w:p w14:paraId="0391867F"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0,93 ml</w:t>
            </w:r>
          </w:p>
        </w:tc>
        <w:tc>
          <w:tcPr>
            <w:tcW w:w="1202" w:type="dxa"/>
          </w:tcPr>
          <w:p w14:paraId="00E160DA"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1,15 ml</w:t>
            </w:r>
          </w:p>
        </w:tc>
      </w:tr>
      <w:tr w:rsidR="00233FCE" w:rsidRPr="008F08EF" w14:paraId="5944C791" w14:textId="77777777" w:rsidTr="00A24D20">
        <w:trPr>
          <w:trHeight w:val="423"/>
        </w:trPr>
        <w:tc>
          <w:tcPr>
            <w:tcW w:w="2093" w:type="dxa"/>
            <w:vMerge w:val="restart"/>
          </w:tcPr>
          <w:p w14:paraId="68BDFCEF"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25</w:t>
            </w:r>
            <w:r>
              <w:rPr>
                <w:rFonts w:ascii="Times New Roman" w:hAnsi="Times New Roman"/>
              </w:rPr>
              <w:t> mg</w:t>
            </w:r>
            <w:r w:rsidRPr="008F08EF">
              <w:rPr>
                <w:rFonts w:ascii="Times New Roman" w:hAnsi="Times New Roman"/>
              </w:rPr>
              <w:t>/kg legemsvægt pr. dag, fordelt på doser hver 6. time</w:t>
            </w:r>
          </w:p>
        </w:tc>
        <w:tc>
          <w:tcPr>
            <w:tcW w:w="1134" w:type="dxa"/>
            <w:vMerge w:val="restart"/>
            <w:vAlign w:val="center"/>
          </w:tcPr>
          <w:p w14:paraId="5B9D5768" w14:textId="77777777" w:rsidR="00233FCE" w:rsidRPr="00B84678" w:rsidRDefault="00233FCE" w:rsidP="00955704">
            <w:pPr>
              <w:widowControl w:val="0"/>
              <w:tabs>
                <w:tab w:val="left" w:pos="567"/>
              </w:tabs>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3E2F10EA"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31 mg;</w:t>
            </w:r>
          </w:p>
          <w:p w14:paraId="2EA8BC92"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34" w:type="dxa"/>
          </w:tcPr>
          <w:p w14:paraId="1A570588"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62 mg;</w:t>
            </w:r>
          </w:p>
          <w:p w14:paraId="177BF9BE"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74" w:type="dxa"/>
          </w:tcPr>
          <w:p w14:paraId="0A289E81"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94 mg;</w:t>
            </w:r>
          </w:p>
          <w:p w14:paraId="53558258" w14:textId="77777777" w:rsidR="00233FCE" w:rsidRPr="00B84678" w:rsidRDefault="00233FCE" w:rsidP="00955704">
            <w:pPr>
              <w:widowControl w:val="0"/>
              <w:tabs>
                <w:tab w:val="left" w:pos="567"/>
              </w:tabs>
              <w:rPr>
                <w:rFonts w:ascii="Times New Roman" w:eastAsia="Courier New" w:hAnsi="Times New Roman" w:cs="Times New Roman"/>
              </w:rPr>
            </w:pPr>
          </w:p>
        </w:tc>
        <w:tc>
          <w:tcPr>
            <w:tcW w:w="1309" w:type="dxa"/>
          </w:tcPr>
          <w:p w14:paraId="12764EC0"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125 mg;</w:t>
            </w:r>
          </w:p>
          <w:p w14:paraId="5FB7DAFD" w14:textId="77777777" w:rsidR="00233FCE" w:rsidRPr="00B84678" w:rsidRDefault="00233FCE" w:rsidP="00955704">
            <w:pPr>
              <w:widowControl w:val="0"/>
              <w:tabs>
                <w:tab w:val="left" w:pos="567"/>
              </w:tabs>
              <w:rPr>
                <w:rFonts w:ascii="Times New Roman" w:eastAsia="Courier New" w:hAnsi="Times New Roman" w:cs="Times New Roman"/>
              </w:rPr>
            </w:pPr>
          </w:p>
        </w:tc>
        <w:tc>
          <w:tcPr>
            <w:tcW w:w="1202" w:type="dxa"/>
          </w:tcPr>
          <w:p w14:paraId="2B590171"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156 mg;</w:t>
            </w:r>
          </w:p>
          <w:p w14:paraId="10990440" w14:textId="77777777" w:rsidR="00233FCE" w:rsidRPr="00B84678" w:rsidRDefault="00233FCE" w:rsidP="00955704">
            <w:pPr>
              <w:widowControl w:val="0"/>
              <w:tabs>
                <w:tab w:val="left" w:pos="567"/>
              </w:tabs>
              <w:rPr>
                <w:rFonts w:ascii="Times New Roman" w:eastAsia="Courier New" w:hAnsi="Times New Roman" w:cs="Times New Roman"/>
              </w:rPr>
            </w:pPr>
          </w:p>
        </w:tc>
      </w:tr>
      <w:tr w:rsidR="00233FCE" w:rsidRPr="008F08EF" w14:paraId="2FF14249" w14:textId="77777777" w:rsidTr="00A24D20">
        <w:trPr>
          <w:trHeight w:val="415"/>
        </w:trPr>
        <w:tc>
          <w:tcPr>
            <w:tcW w:w="2093" w:type="dxa"/>
            <w:vMerge/>
          </w:tcPr>
          <w:p w14:paraId="3EA8E7FB"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70D86E02" w14:textId="77777777" w:rsidR="00233FCE" w:rsidRPr="00A24D20" w:rsidRDefault="00233FCE" w:rsidP="00955704">
            <w:pPr>
              <w:widowControl w:val="0"/>
              <w:tabs>
                <w:tab w:val="left" w:pos="567"/>
              </w:tabs>
              <w:jc w:val="center"/>
              <w:rPr>
                <w:rFonts w:ascii="Times New Roman" w:eastAsia="Courier New" w:hAnsi="Times New Roman" w:cs="Times New Roman"/>
                <w:strike/>
                <w:lang w:val="el-GR"/>
              </w:rPr>
            </w:pPr>
          </w:p>
        </w:tc>
        <w:tc>
          <w:tcPr>
            <w:tcW w:w="1134" w:type="dxa"/>
          </w:tcPr>
          <w:p w14:paraId="3A013D29"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0,17 ml</w:t>
            </w:r>
          </w:p>
        </w:tc>
        <w:tc>
          <w:tcPr>
            <w:tcW w:w="1134" w:type="dxa"/>
          </w:tcPr>
          <w:p w14:paraId="5C94203D"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0,34 ml</w:t>
            </w:r>
          </w:p>
        </w:tc>
        <w:tc>
          <w:tcPr>
            <w:tcW w:w="1174" w:type="dxa"/>
          </w:tcPr>
          <w:p w14:paraId="39A5B5E7"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0,52 ml</w:t>
            </w:r>
          </w:p>
        </w:tc>
        <w:tc>
          <w:tcPr>
            <w:tcW w:w="1309" w:type="dxa"/>
          </w:tcPr>
          <w:p w14:paraId="25402E6B"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0,69 ml</w:t>
            </w:r>
          </w:p>
        </w:tc>
        <w:tc>
          <w:tcPr>
            <w:tcW w:w="1202" w:type="dxa"/>
          </w:tcPr>
          <w:p w14:paraId="2A418DFF"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0,87 ml</w:t>
            </w:r>
          </w:p>
        </w:tc>
      </w:tr>
      <w:tr w:rsidR="00233FCE" w:rsidRPr="008F08EF" w14:paraId="595CBD8F" w14:textId="77777777" w:rsidTr="00A24D20">
        <w:trPr>
          <w:trHeight w:val="740"/>
        </w:trPr>
        <w:tc>
          <w:tcPr>
            <w:tcW w:w="2093" w:type="dxa"/>
            <w:vMerge w:val="restart"/>
          </w:tcPr>
          <w:p w14:paraId="5588AB68"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w:t>
            </w:r>
            <w:r>
              <w:rPr>
                <w:rFonts w:ascii="Times New Roman" w:hAnsi="Times New Roman"/>
              </w:rPr>
              <w:t> mg</w:t>
            </w:r>
            <w:r w:rsidRPr="008F08EF">
              <w:rPr>
                <w:rFonts w:ascii="Times New Roman" w:hAnsi="Times New Roman"/>
              </w:rPr>
              <w:t>/kg legemsvægt pr. dag, fordelt på doser hver 12. time</w:t>
            </w:r>
          </w:p>
        </w:tc>
        <w:tc>
          <w:tcPr>
            <w:tcW w:w="1134" w:type="dxa"/>
            <w:vMerge w:val="restart"/>
            <w:vAlign w:val="center"/>
          </w:tcPr>
          <w:p w14:paraId="77249A28" w14:textId="77777777" w:rsidR="00233FCE" w:rsidRPr="00B84678" w:rsidRDefault="00233FCE" w:rsidP="00955704">
            <w:pPr>
              <w:widowControl w:val="0"/>
              <w:tabs>
                <w:tab w:val="left" w:pos="567"/>
              </w:tabs>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523AE784"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125 mg;</w:t>
            </w:r>
          </w:p>
        </w:tc>
        <w:tc>
          <w:tcPr>
            <w:tcW w:w="1134" w:type="dxa"/>
          </w:tcPr>
          <w:p w14:paraId="38D09DE0"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250 mg;</w:t>
            </w:r>
          </w:p>
        </w:tc>
        <w:tc>
          <w:tcPr>
            <w:tcW w:w="1174" w:type="dxa"/>
          </w:tcPr>
          <w:p w14:paraId="36457BEF"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375 mg;</w:t>
            </w:r>
          </w:p>
        </w:tc>
        <w:tc>
          <w:tcPr>
            <w:tcW w:w="1309" w:type="dxa"/>
          </w:tcPr>
          <w:p w14:paraId="22B04655"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500 mg;</w:t>
            </w:r>
          </w:p>
        </w:tc>
        <w:tc>
          <w:tcPr>
            <w:tcW w:w="1202" w:type="dxa"/>
          </w:tcPr>
          <w:p w14:paraId="5F8701CB"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625 mg;</w:t>
            </w:r>
          </w:p>
        </w:tc>
      </w:tr>
      <w:tr w:rsidR="00233FCE" w:rsidRPr="008F08EF" w14:paraId="3D44BBFB" w14:textId="77777777" w:rsidTr="00A24D20">
        <w:trPr>
          <w:trHeight w:val="503"/>
        </w:trPr>
        <w:tc>
          <w:tcPr>
            <w:tcW w:w="2093" w:type="dxa"/>
            <w:vMerge/>
          </w:tcPr>
          <w:p w14:paraId="55E0F79B"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3287DB4A" w14:textId="77777777" w:rsidR="00233FCE" w:rsidRPr="00A24D20" w:rsidRDefault="00233FCE" w:rsidP="00955704">
            <w:pPr>
              <w:widowControl w:val="0"/>
              <w:tabs>
                <w:tab w:val="left" w:pos="567"/>
              </w:tabs>
              <w:jc w:val="center"/>
              <w:rPr>
                <w:rFonts w:ascii="Times New Roman" w:eastAsia="Courier New" w:hAnsi="Times New Roman" w:cs="Times New Roman"/>
                <w:lang w:val="el-GR"/>
              </w:rPr>
            </w:pPr>
          </w:p>
        </w:tc>
        <w:tc>
          <w:tcPr>
            <w:tcW w:w="1134" w:type="dxa"/>
          </w:tcPr>
          <w:p w14:paraId="20F46187"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0,69 ml</w:t>
            </w:r>
          </w:p>
        </w:tc>
        <w:tc>
          <w:tcPr>
            <w:tcW w:w="1134" w:type="dxa"/>
          </w:tcPr>
          <w:p w14:paraId="5A4E41FF"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1,39 ml</w:t>
            </w:r>
          </w:p>
        </w:tc>
        <w:tc>
          <w:tcPr>
            <w:tcW w:w="1174" w:type="dxa"/>
          </w:tcPr>
          <w:p w14:paraId="0746B832"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2,08 ml</w:t>
            </w:r>
          </w:p>
        </w:tc>
        <w:tc>
          <w:tcPr>
            <w:tcW w:w="1309" w:type="dxa"/>
          </w:tcPr>
          <w:p w14:paraId="3F150080"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2,78 ml</w:t>
            </w:r>
          </w:p>
        </w:tc>
        <w:tc>
          <w:tcPr>
            <w:tcW w:w="1202" w:type="dxa"/>
          </w:tcPr>
          <w:p w14:paraId="23C0FA08"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3,47 ml</w:t>
            </w:r>
          </w:p>
        </w:tc>
      </w:tr>
      <w:tr w:rsidR="00233FCE" w:rsidRPr="008F08EF" w14:paraId="1D024F4E" w14:textId="77777777" w:rsidTr="00A24D20">
        <w:trPr>
          <w:trHeight w:val="423"/>
        </w:trPr>
        <w:tc>
          <w:tcPr>
            <w:tcW w:w="2093" w:type="dxa"/>
            <w:vMerge w:val="restart"/>
          </w:tcPr>
          <w:p w14:paraId="10EC5312"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w:t>
            </w:r>
            <w:r>
              <w:rPr>
                <w:rFonts w:ascii="Times New Roman" w:hAnsi="Times New Roman"/>
              </w:rPr>
              <w:t> mg</w:t>
            </w:r>
            <w:r w:rsidRPr="008F08EF">
              <w:rPr>
                <w:rFonts w:ascii="Times New Roman" w:hAnsi="Times New Roman"/>
              </w:rPr>
              <w:t>/kg legemsvægt pr. dag, fordelt på doser hver 8. time</w:t>
            </w:r>
          </w:p>
        </w:tc>
        <w:tc>
          <w:tcPr>
            <w:tcW w:w="1134" w:type="dxa"/>
            <w:vMerge w:val="restart"/>
            <w:vAlign w:val="center"/>
          </w:tcPr>
          <w:p w14:paraId="553B8692" w14:textId="77777777" w:rsidR="00233FCE" w:rsidRPr="00B84678" w:rsidRDefault="00233FCE" w:rsidP="00955704">
            <w:pPr>
              <w:widowControl w:val="0"/>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67A66F3F"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83 mg</w:t>
            </w:r>
          </w:p>
          <w:p w14:paraId="7706A66A"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34" w:type="dxa"/>
          </w:tcPr>
          <w:p w14:paraId="552B2B3D"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166 mg;</w:t>
            </w:r>
          </w:p>
          <w:p w14:paraId="7426B160"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74" w:type="dxa"/>
          </w:tcPr>
          <w:p w14:paraId="0B6FB780"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250 mg;</w:t>
            </w:r>
          </w:p>
          <w:p w14:paraId="57DF5448" w14:textId="77777777" w:rsidR="00233FCE" w:rsidRPr="00B84678" w:rsidRDefault="00233FCE" w:rsidP="00955704">
            <w:pPr>
              <w:widowControl w:val="0"/>
              <w:tabs>
                <w:tab w:val="left" w:pos="567"/>
              </w:tabs>
              <w:rPr>
                <w:rFonts w:ascii="Times New Roman" w:eastAsia="Courier New" w:hAnsi="Times New Roman" w:cs="Times New Roman"/>
              </w:rPr>
            </w:pPr>
          </w:p>
        </w:tc>
        <w:tc>
          <w:tcPr>
            <w:tcW w:w="1309" w:type="dxa"/>
          </w:tcPr>
          <w:p w14:paraId="2DB1437F"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333 mg;</w:t>
            </w:r>
          </w:p>
          <w:p w14:paraId="047723DA" w14:textId="77777777" w:rsidR="00233FCE" w:rsidRPr="00B84678" w:rsidRDefault="00233FCE" w:rsidP="00955704">
            <w:pPr>
              <w:widowControl w:val="0"/>
              <w:tabs>
                <w:tab w:val="left" w:pos="567"/>
              </w:tabs>
              <w:rPr>
                <w:rFonts w:ascii="Times New Roman" w:eastAsia="Courier New" w:hAnsi="Times New Roman" w:cs="Times New Roman"/>
              </w:rPr>
            </w:pPr>
          </w:p>
        </w:tc>
        <w:tc>
          <w:tcPr>
            <w:tcW w:w="1202" w:type="dxa"/>
          </w:tcPr>
          <w:p w14:paraId="69A704F6"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417 mg;</w:t>
            </w:r>
          </w:p>
          <w:p w14:paraId="477635FF" w14:textId="77777777" w:rsidR="00233FCE" w:rsidRPr="00B84678" w:rsidRDefault="00233FCE" w:rsidP="00955704">
            <w:pPr>
              <w:widowControl w:val="0"/>
              <w:tabs>
                <w:tab w:val="left" w:pos="567"/>
              </w:tabs>
              <w:rPr>
                <w:rFonts w:ascii="Times New Roman" w:eastAsia="Courier New" w:hAnsi="Times New Roman" w:cs="Times New Roman"/>
              </w:rPr>
            </w:pPr>
          </w:p>
        </w:tc>
      </w:tr>
      <w:tr w:rsidR="00233FCE" w:rsidRPr="008F08EF" w14:paraId="70BED909" w14:textId="77777777" w:rsidTr="00A24D20">
        <w:trPr>
          <w:trHeight w:val="333"/>
        </w:trPr>
        <w:tc>
          <w:tcPr>
            <w:tcW w:w="2093" w:type="dxa"/>
            <w:vMerge/>
          </w:tcPr>
          <w:p w14:paraId="7CA92ABD"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00D998D6" w14:textId="77777777" w:rsidR="00233FCE" w:rsidRPr="00A24D20" w:rsidRDefault="00233FCE" w:rsidP="00955704">
            <w:pPr>
              <w:widowControl w:val="0"/>
              <w:tabs>
                <w:tab w:val="left" w:pos="567"/>
              </w:tabs>
              <w:jc w:val="center"/>
              <w:rPr>
                <w:rFonts w:ascii="Times New Roman" w:eastAsia="Courier New" w:hAnsi="Times New Roman" w:cs="Times New Roman"/>
                <w:strike/>
                <w:lang w:val="el-GR"/>
              </w:rPr>
            </w:pPr>
          </w:p>
        </w:tc>
        <w:tc>
          <w:tcPr>
            <w:tcW w:w="1134" w:type="dxa"/>
          </w:tcPr>
          <w:p w14:paraId="36C90D1B"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0,46 ml</w:t>
            </w:r>
          </w:p>
        </w:tc>
        <w:tc>
          <w:tcPr>
            <w:tcW w:w="1134" w:type="dxa"/>
          </w:tcPr>
          <w:p w14:paraId="5A088399"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0,92 ml</w:t>
            </w:r>
          </w:p>
        </w:tc>
        <w:tc>
          <w:tcPr>
            <w:tcW w:w="1174" w:type="dxa"/>
          </w:tcPr>
          <w:p w14:paraId="13AD7221"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1,39 ml</w:t>
            </w:r>
          </w:p>
        </w:tc>
        <w:tc>
          <w:tcPr>
            <w:tcW w:w="1309" w:type="dxa"/>
          </w:tcPr>
          <w:p w14:paraId="000024E6" w14:textId="77777777" w:rsidR="00233FCE" w:rsidRPr="00A24D20" w:rsidRDefault="00233FCE" w:rsidP="00955704">
            <w:pPr>
              <w:widowControl w:val="0"/>
              <w:tabs>
                <w:tab w:val="left" w:pos="567"/>
              </w:tabs>
              <w:rPr>
                <w:rFonts w:ascii="Times New Roman" w:eastAsia="Courier New" w:hAnsi="Times New Roman" w:cs="Times New Roman"/>
                <w:strike/>
              </w:rPr>
            </w:pPr>
            <w:r w:rsidRPr="00A24D20">
              <w:rPr>
                <w:rFonts w:ascii="Times New Roman" w:hAnsi="Times New Roman"/>
              </w:rPr>
              <w:t>1,85 ml</w:t>
            </w:r>
          </w:p>
        </w:tc>
        <w:tc>
          <w:tcPr>
            <w:tcW w:w="1202" w:type="dxa"/>
          </w:tcPr>
          <w:p w14:paraId="209434EB"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2,32 ml</w:t>
            </w:r>
          </w:p>
        </w:tc>
      </w:tr>
      <w:tr w:rsidR="00233FCE" w:rsidRPr="008F08EF" w14:paraId="248F4852" w14:textId="77777777" w:rsidTr="00A24D20">
        <w:trPr>
          <w:trHeight w:val="423"/>
        </w:trPr>
        <w:tc>
          <w:tcPr>
            <w:tcW w:w="2093" w:type="dxa"/>
            <w:vMerge w:val="restart"/>
          </w:tcPr>
          <w:p w14:paraId="649928B3"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50</w:t>
            </w:r>
            <w:r>
              <w:rPr>
                <w:rFonts w:ascii="Times New Roman" w:hAnsi="Times New Roman"/>
              </w:rPr>
              <w:t> mg</w:t>
            </w:r>
            <w:r w:rsidRPr="008F08EF">
              <w:rPr>
                <w:rFonts w:ascii="Times New Roman" w:hAnsi="Times New Roman"/>
              </w:rPr>
              <w:t>/kg legemsvægt pr. dag, fordelt på doser hver 6. time</w:t>
            </w:r>
          </w:p>
        </w:tc>
        <w:tc>
          <w:tcPr>
            <w:tcW w:w="1134" w:type="dxa"/>
            <w:vMerge w:val="restart"/>
            <w:vAlign w:val="center"/>
          </w:tcPr>
          <w:p w14:paraId="62BB53BC" w14:textId="77777777" w:rsidR="00233FCE" w:rsidRPr="00B84678" w:rsidRDefault="00233FCE" w:rsidP="00955704">
            <w:pPr>
              <w:widowControl w:val="0"/>
              <w:tabs>
                <w:tab w:val="left" w:pos="567"/>
              </w:tabs>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4788450A"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63 mg</w:t>
            </w:r>
          </w:p>
          <w:p w14:paraId="51CD6022"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34" w:type="dxa"/>
          </w:tcPr>
          <w:p w14:paraId="4EEDC77A"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125 mg;</w:t>
            </w:r>
          </w:p>
          <w:p w14:paraId="130A65F8"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74" w:type="dxa"/>
          </w:tcPr>
          <w:p w14:paraId="10F69BFC"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188 mg;</w:t>
            </w:r>
          </w:p>
          <w:p w14:paraId="5FCAD18F" w14:textId="77777777" w:rsidR="00233FCE" w:rsidRPr="00B84678" w:rsidRDefault="00233FCE" w:rsidP="00955704">
            <w:pPr>
              <w:widowControl w:val="0"/>
              <w:tabs>
                <w:tab w:val="left" w:pos="567"/>
              </w:tabs>
              <w:rPr>
                <w:rFonts w:ascii="Times New Roman" w:eastAsia="Courier New" w:hAnsi="Times New Roman" w:cs="Times New Roman"/>
              </w:rPr>
            </w:pPr>
          </w:p>
        </w:tc>
        <w:tc>
          <w:tcPr>
            <w:tcW w:w="1309" w:type="dxa"/>
          </w:tcPr>
          <w:p w14:paraId="02D651F0"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250 mg;</w:t>
            </w:r>
          </w:p>
          <w:p w14:paraId="731228BE" w14:textId="77777777" w:rsidR="00233FCE" w:rsidRPr="00B84678" w:rsidRDefault="00233FCE" w:rsidP="00955704">
            <w:pPr>
              <w:widowControl w:val="0"/>
              <w:tabs>
                <w:tab w:val="left" w:pos="567"/>
              </w:tabs>
              <w:rPr>
                <w:rFonts w:ascii="Times New Roman" w:eastAsia="Courier New" w:hAnsi="Times New Roman" w:cs="Times New Roman"/>
              </w:rPr>
            </w:pPr>
          </w:p>
        </w:tc>
        <w:tc>
          <w:tcPr>
            <w:tcW w:w="1202" w:type="dxa"/>
          </w:tcPr>
          <w:p w14:paraId="1AB208F3"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313 mg;</w:t>
            </w:r>
          </w:p>
          <w:p w14:paraId="3B0E0980" w14:textId="77777777" w:rsidR="00233FCE" w:rsidRPr="00B84678" w:rsidRDefault="00233FCE" w:rsidP="00955704">
            <w:pPr>
              <w:widowControl w:val="0"/>
              <w:tabs>
                <w:tab w:val="left" w:pos="567"/>
              </w:tabs>
              <w:rPr>
                <w:rFonts w:ascii="Times New Roman" w:eastAsia="Courier New" w:hAnsi="Times New Roman" w:cs="Times New Roman"/>
              </w:rPr>
            </w:pPr>
          </w:p>
        </w:tc>
      </w:tr>
      <w:tr w:rsidR="00233FCE" w:rsidRPr="008F08EF" w14:paraId="615AABC2" w14:textId="77777777" w:rsidTr="00A24D20">
        <w:trPr>
          <w:trHeight w:val="503"/>
        </w:trPr>
        <w:tc>
          <w:tcPr>
            <w:tcW w:w="2093" w:type="dxa"/>
            <w:vMerge/>
          </w:tcPr>
          <w:p w14:paraId="27D63CF2"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60ECCA82" w14:textId="77777777" w:rsidR="00233FCE" w:rsidRPr="00A24D20" w:rsidRDefault="00233FCE" w:rsidP="00955704">
            <w:pPr>
              <w:widowControl w:val="0"/>
              <w:tabs>
                <w:tab w:val="left" w:pos="567"/>
              </w:tabs>
              <w:jc w:val="center"/>
              <w:rPr>
                <w:rFonts w:ascii="Times New Roman" w:eastAsia="Courier New" w:hAnsi="Times New Roman" w:cs="Times New Roman"/>
                <w:lang w:val="el-GR"/>
              </w:rPr>
            </w:pPr>
          </w:p>
        </w:tc>
        <w:tc>
          <w:tcPr>
            <w:tcW w:w="1134" w:type="dxa"/>
          </w:tcPr>
          <w:p w14:paraId="7721B8B6"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0,35 ml</w:t>
            </w:r>
          </w:p>
        </w:tc>
        <w:tc>
          <w:tcPr>
            <w:tcW w:w="1134" w:type="dxa"/>
          </w:tcPr>
          <w:p w14:paraId="63B81600"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0,69 ml</w:t>
            </w:r>
          </w:p>
        </w:tc>
        <w:tc>
          <w:tcPr>
            <w:tcW w:w="1174" w:type="dxa"/>
          </w:tcPr>
          <w:p w14:paraId="2830EFD1"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1,04 ml</w:t>
            </w:r>
          </w:p>
        </w:tc>
        <w:tc>
          <w:tcPr>
            <w:tcW w:w="1309" w:type="dxa"/>
          </w:tcPr>
          <w:p w14:paraId="786CFB64"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1,39 ml</w:t>
            </w:r>
          </w:p>
        </w:tc>
        <w:tc>
          <w:tcPr>
            <w:tcW w:w="1202" w:type="dxa"/>
          </w:tcPr>
          <w:p w14:paraId="07F51CB3"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1,74 ml</w:t>
            </w:r>
          </w:p>
        </w:tc>
      </w:tr>
      <w:tr w:rsidR="00233FCE" w:rsidRPr="008F08EF" w14:paraId="7458D8CF" w14:textId="77777777" w:rsidTr="00A24D20">
        <w:trPr>
          <w:trHeight w:val="423"/>
        </w:trPr>
        <w:tc>
          <w:tcPr>
            <w:tcW w:w="2093" w:type="dxa"/>
            <w:vMerge w:val="restart"/>
          </w:tcPr>
          <w:p w14:paraId="6E7C1C2C"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100</w:t>
            </w:r>
            <w:r>
              <w:rPr>
                <w:rFonts w:ascii="Times New Roman" w:hAnsi="Times New Roman"/>
              </w:rPr>
              <w:t> mg</w:t>
            </w:r>
            <w:r w:rsidRPr="008F08EF">
              <w:rPr>
                <w:rFonts w:ascii="Times New Roman" w:hAnsi="Times New Roman"/>
              </w:rPr>
              <w:t>/kg legemsvægt pr. dag, fordelt på doser hver 8. time</w:t>
            </w:r>
          </w:p>
        </w:tc>
        <w:tc>
          <w:tcPr>
            <w:tcW w:w="1134" w:type="dxa"/>
            <w:vMerge w:val="restart"/>
            <w:vAlign w:val="center"/>
          </w:tcPr>
          <w:p w14:paraId="2A51B700" w14:textId="77777777" w:rsidR="00233FCE" w:rsidRPr="00B84678" w:rsidRDefault="00233FCE" w:rsidP="00955704">
            <w:pPr>
              <w:widowControl w:val="0"/>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1BE64DF3"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167 mg;</w:t>
            </w:r>
          </w:p>
          <w:p w14:paraId="6D4919AC"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34" w:type="dxa"/>
          </w:tcPr>
          <w:p w14:paraId="286AD6BE"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333 mg;</w:t>
            </w:r>
          </w:p>
          <w:p w14:paraId="25BD0939" w14:textId="77777777" w:rsidR="00233FCE" w:rsidRPr="00B84678" w:rsidRDefault="00233FCE" w:rsidP="00955704">
            <w:pPr>
              <w:widowControl w:val="0"/>
              <w:tabs>
                <w:tab w:val="left" w:pos="567"/>
              </w:tabs>
              <w:rPr>
                <w:rFonts w:ascii="Times New Roman" w:eastAsia="Courier New" w:hAnsi="Times New Roman" w:cs="Times New Roman"/>
              </w:rPr>
            </w:pPr>
          </w:p>
        </w:tc>
        <w:tc>
          <w:tcPr>
            <w:tcW w:w="1174" w:type="dxa"/>
          </w:tcPr>
          <w:p w14:paraId="60178D26"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500 mg;</w:t>
            </w:r>
          </w:p>
          <w:p w14:paraId="028EC28D" w14:textId="77777777" w:rsidR="00233FCE" w:rsidRPr="00B84678" w:rsidRDefault="00233FCE" w:rsidP="00955704">
            <w:pPr>
              <w:widowControl w:val="0"/>
              <w:tabs>
                <w:tab w:val="left" w:pos="567"/>
              </w:tabs>
              <w:rPr>
                <w:rFonts w:ascii="Times New Roman" w:eastAsia="Courier New" w:hAnsi="Times New Roman" w:cs="Times New Roman"/>
              </w:rPr>
            </w:pPr>
          </w:p>
        </w:tc>
        <w:tc>
          <w:tcPr>
            <w:tcW w:w="1309" w:type="dxa"/>
          </w:tcPr>
          <w:p w14:paraId="39CA433C"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667 mg;</w:t>
            </w:r>
          </w:p>
          <w:p w14:paraId="1F822E7E" w14:textId="77777777" w:rsidR="00233FCE" w:rsidRPr="00B84678" w:rsidRDefault="00233FCE" w:rsidP="00955704">
            <w:pPr>
              <w:widowControl w:val="0"/>
              <w:tabs>
                <w:tab w:val="left" w:pos="567"/>
              </w:tabs>
              <w:rPr>
                <w:rFonts w:ascii="Times New Roman" w:eastAsia="Courier New" w:hAnsi="Times New Roman" w:cs="Times New Roman"/>
              </w:rPr>
            </w:pPr>
          </w:p>
        </w:tc>
        <w:tc>
          <w:tcPr>
            <w:tcW w:w="1202" w:type="dxa"/>
          </w:tcPr>
          <w:p w14:paraId="603E4C26"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833 mg;</w:t>
            </w:r>
          </w:p>
          <w:p w14:paraId="50FC265F" w14:textId="77777777" w:rsidR="00233FCE" w:rsidRPr="00B84678" w:rsidRDefault="00233FCE" w:rsidP="00955704">
            <w:pPr>
              <w:widowControl w:val="0"/>
              <w:tabs>
                <w:tab w:val="left" w:pos="567"/>
              </w:tabs>
              <w:rPr>
                <w:rFonts w:ascii="Times New Roman" w:eastAsia="Courier New" w:hAnsi="Times New Roman" w:cs="Times New Roman"/>
              </w:rPr>
            </w:pPr>
          </w:p>
        </w:tc>
      </w:tr>
      <w:tr w:rsidR="00233FCE" w:rsidRPr="008F08EF" w14:paraId="5B400250" w14:textId="77777777" w:rsidTr="00A24D20">
        <w:trPr>
          <w:trHeight w:val="461"/>
        </w:trPr>
        <w:tc>
          <w:tcPr>
            <w:tcW w:w="2093" w:type="dxa"/>
            <w:vMerge/>
          </w:tcPr>
          <w:p w14:paraId="0F827649"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vAlign w:val="center"/>
          </w:tcPr>
          <w:p w14:paraId="1B009661" w14:textId="77777777" w:rsidR="00233FCE" w:rsidRPr="00B84678" w:rsidRDefault="00233FCE" w:rsidP="00955704">
            <w:pPr>
              <w:widowControl w:val="0"/>
              <w:tabs>
                <w:tab w:val="left" w:pos="567"/>
              </w:tabs>
              <w:jc w:val="center"/>
              <w:rPr>
                <w:rFonts w:ascii="Times New Roman" w:eastAsia="Courier New" w:hAnsi="Times New Roman" w:cs="Times New Roman"/>
                <w:lang w:val="el-GR"/>
              </w:rPr>
            </w:pPr>
          </w:p>
        </w:tc>
        <w:tc>
          <w:tcPr>
            <w:tcW w:w="1134" w:type="dxa"/>
          </w:tcPr>
          <w:p w14:paraId="0095C223"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0,93 ml</w:t>
            </w:r>
          </w:p>
        </w:tc>
        <w:tc>
          <w:tcPr>
            <w:tcW w:w="1134" w:type="dxa"/>
          </w:tcPr>
          <w:p w14:paraId="0C45635A"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1,85 ml</w:t>
            </w:r>
          </w:p>
        </w:tc>
        <w:tc>
          <w:tcPr>
            <w:tcW w:w="1174" w:type="dxa"/>
          </w:tcPr>
          <w:p w14:paraId="5D0134BC"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2,78 ml</w:t>
            </w:r>
          </w:p>
        </w:tc>
        <w:tc>
          <w:tcPr>
            <w:tcW w:w="1309" w:type="dxa"/>
          </w:tcPr>
          <w:p w14:paraId="1250E8C1"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3,7 ml</w:t>
            </w:r>
          </w:p>
        </w:tc>
        <w:tc>
          <w:tcPr>
            <w:tcW w:w="1202" w:type="dxa"/>
          </w:tcPr>
          <w:p w14:paraId="44FDE4D1"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4,63 ml</w:t>
            </w:r>
          </w:p>
        </w:tc>
      </w:tr>
      <w:tr w:rsidR="00233FCE" w:rsidRPr="008F08EF" w14:paraId="349283F8" w14:textId="77777777" w:rsidTr="00A24D20">
        <w:trPr>
          <w:trHeight w:val="423"/>
        </w:trPr>
        <w:tc>
          <w:tcPr>
            <w:tcW w:w="2093" w:type="dxa"/>
            <w:vMerge w:val="restart"/>
          </w:tcPr>
          <w:p w14:paraId="41A58F7A" w14:textId="77777777" w:rsidR="00233FCE" w:rsidRPr="008F08EF" w:rsidRDefault="00233FCE" w:rsidP="00955704">
            <w:pPr>
              <w:widowControl w:val="0"/>
              <w:tabs>
                <w:tab w:val="left" w:pos="567"/>
              </w:tabs>
              <w:rPr>
                <w:rFonts w:ascii="Times New Roman" w:eastAsia="Courier New" w:hAnsi="Times New Roman" w:cs="Times New Roman"/>
              </w:rPr>
            </w:pPr>
            <w:r w:rsidRPr="008F08EF">
              <w:rPr>
                <w:rFonts w:ascii="Times New Roman" w:hAnsi="Times New Roman"/>
              </w:rPr>
              <w:t>100</w:t>
            </w:r>
            <w:r>
              <w:rPr>
                <w:rFonts w:ascii="Times New Roman" w:hAnsi="Times New Roman"/>
              </w:rPr>
              <w:t> mg</w:t>
            </w:r>
            <w:r w:rsidRPr="008F08EF">
              <w:rPr>
                <w:rFonts w:ascii="Times New Roman" w:hAnsi="Times New Roman"/>
              </w:rPr>
              <w:t>/kg legemsvægt pr. dag, fordelt på doser hver 6. time</w:t>
            </w:r>
          </w:p>
        </w:tc>
        <w:tc>
          <w:tcPr>
            <w:tcW w:w="1134" w:type="dxa"/>
            <w:vMerge w:val="restart"/>
            <w:vAlign w:val="center"/>
          </w:tcPr>
          <w:p w14:paraId="077E220D" w14:textId="77777777" w:rsidR="00233FCE" w:rsidRPr="00B84678" w:rsidRDefault="00233FCE" w:rsidP="00955704">
            <w:pPr>
              <w:widowControl w:val="0"/>
              <w:tabs>
                <w:tab w:val="left" w:pos="567"/>
              </w:tabs>
              <w:jc w:val="center"/>
              <w:rPr>
                <w:rFonts w:ascii="Times New Roman" w:eastAsia="Courier New" w:hAnsi="Times New Roman" w:cs="Times New Roman"/>
              </w:rPr>
            </w:pPr>
            <w:r w:rsidRPr="00A24D20">
              <w:rPr>
                <w:rFonts w:ascii="Times New Roman" w:hAnsi="Times New Roman"/>
              </w:rPr>
              <w:t>2 g hætteglas</w:t>
            </w:r>
          </w:p>
        </w:tc>
        <w:tc>
          <w:tcPr>
            <w:tcW w:w="1134" w:type="dxa"/>
          </w:tcPr>
          <w:p w14:paraId="0CED0153"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125 mg;</w:t>
            </w:r>
          </w:p>
        </w:tc>
        <w:tc>
          <w:tcPr>
            <w:tcW w:w="1134" w:type="dxa"/>
          </w:tcPr>
          <w:p w14:paraId="7B589442"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250 mg;</w:t>
            </w:r>
          </w:p>
        </w:tc>
        <w:tc>
          <w:tcPr>
            <w:tcW w:w="1174" w:type="dxa"/>
          </w:tcPr>
          <w:p w14:paraId="103C9048"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375 mg;</w:t>
            </w:r>
          </w:p>
        </w:tc>
        <w:tc>
          <w:tcPr>
            <w:tcW w:w="1309" w:type="dxa"/>
          </w:tcPr>
          <w:p w14:paraId="7E77C7A2"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500 mg;</w:t>
            </w:r>
          </w:p>
        </w:tc>
        <w:tc>
          <w:tcPr>
            <w:tcW w:w="1202" w:type="dxa"/>
          </w:tcPr>
          <w:p w14:paraId="54329BDE" w14:textId="77777777" w:rsidR="00233FCE" w:rsidRPr="00B84678" w:rsidRDefault="00233FCE" w:rsidP="00955704">
            <w:pPr>
              <w:widowControl w:val="0"/>
              <w:tabs>
                <w:tab w:val="left" w:pos="567"/>
              </w:tabs>
              <w:rPr>
                <w:rFonts w:ascii="Times New Roman" w:eastAsia="Courier New" w:hAnsi="Times New Roman" w:cs="Times New Roman"/>
              </w:rPr>
            </w:pPr>
            <w:r w:rsidRPr="00B84678">
              <w:rPr>
                <w:rFonts w:ascii="Times New Roman" w:hAnsi="Times New Roman"/>
              </w:rPr>
              <w:t>625 mg;</w:t>
            </w:r>
          </w:p>
        </w:tc>
      </w:tr>
      <w:tr w:rsidR="00233FCE" w:rsidRPr="008F08EF" w14:paraId="13416609" w14:textId="77777777" w:rsidTr="00A24D20">
        <w:trPr>
          <w:trHeight w:val="545"/>
        </w:trPr>
        <w:tc>
          <w:tcPr>
            <w:tcW w:w="2093" w:type="dxa"/>
            <w:vMerge/>
          </w:tcPr>
          <w:p w14:paraId="73DD7F48" w14:textId="77777777" w:rsidR="00233FCE" w:rsidRPr="008F08EF" w:rsidRDefault="00233FCE" w:rsidP="00955704">
            <w:pPr>
              <w:widowControl w:val="0"/>
              <w:tabs>
                <w:tab w:val="left" w:pos="567"/>
              </w:tabs>
              <w:rPr>
                <w:rFonts w:ascii="Times New Roman" w:eastAsia="Courier New" w:hAnsi="Times New Roman" w:cs="Times New Roman"/>
              </w:rPr>
            </w:pPr>
          </w:p>
        </w:tc>
        <w:tc>
          <w:tcPr>
            <w:tcW w:w="1134" w:type="dxa"/>
            <w:vMerge/>
          </w:tcPr>
          <w:p w14:paraId="1368E438" w14:textId="77777777" w:rsidR="00233FCE" w:rsidRPr="00B84678" w:rsidRDefault="00233FCE" w:rsidP="00955704">
            <w:pPr>
              <w:widowControl w:val="0"/>
              <w:tabs>
                <w:tab w:val="left" w:pos="567"/>
              </w:tabs>
              <w:rPr>
                <w:rFonts w:ascii="Times New Roman" w:eastAsia="Courier New" w:hAnsi="Times New Roman" w:cs="Times New Roman"/>
                <w:lang w:val="el-GR"/>
              </w:rPr>
            </w:pPr>
          </w:p>
        </w:tc>
        <w:tc>
          <w:tcPr>
            <w:tcW w:w="1134" w:type="dxa"/>
          </w:tcPr>
          <w:p w14:paraId="3A0803F2"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0,69 ml</w:t>
            </w:r>
          </w:p>
        </w:tc>
        <w:tc>
          <w:tcPr>
            <w:tcW w:w="1134" w:type="dxa"/>
          </w:tcPr>
          <w:p w14:paraId="608C3F51"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1,39 ml</w:t>
            </w:r>
          </w:p>
        </w:tc>
        <w:tc>
          <w:tcPr>
            <w:tcW w:w="1174" w:type="dxa"/>
          </w:tcPr>
          <w:p w14:paraId="7F65EF8C" w14:textId="77777777" w:rsidR="00233FCE" w:rsidRPr="00A24D20"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2,08 ml</w:t>
            </w:r>
          </w:p>
        </w:tc>
        <w:tc>
          <w:tcPr>
            <w:tcW w:w="1309" w:type="dxa"/>
          </w:tcPr>
          <w:p w14:paraId="04A3C7FF"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2,78 ml</w:t>
            </w:r>
          </w:p>
        </w:tc>
        <w:tc>
          <w:tcPr>
            <w:tcW w:w="1202" w:type="dxa"/>
          </w:tcPr>
          <w:p w14:paraId="1A3C381D" w14:textId="77777777" w:rsidR="00233FCE" w:rsidRPr="00B84678" w:rsidRDefault="00233FCE" w:rsidP="00955704">
            <w:pPr>
              <w:widowControl w:val="0"/>
              <w:tabs>
                <w:tab w:val="left" w:pos="567"/>
              </w:tabs>
              <w:rPr>
                <w:rFonts w:ascii="Times New Roman" w:eastAsia="Courier New" w:hAnsi="Times New Roman" w:cs="Times New Roman"/>
              </w:rPr>
            </w:pPr>
            <w:r w:rsidRPr="00A24D20">
              <w:rPr>
                <w:rFonts w:ascii="Times New Roman" w:hAnsi="Times New Roman"/>
              </w:rPr>
              <w:t>3,47 ml</w:t>
            </w:r>
          </w:p>
        </w:tc>
      </w:tr>
    </w:tbl>
    <w:p w14:paraId="4EF43545" w14:textId="77777777" w:rsidR="00233FCE" w:rsidRPr="00233FCE" w:rsidRDefault="00233FCE" w:rsidP="00955704">
      <w:pPr>
        <w:widowControl w:val="0"/>
        <w:tabs>
          <w:tab w:val="left" w:pos="567"/>
        </w:tabs>
        <w:ind w:left="851"/>
        <w:rPr>
          <w:rFonts w:eastAsia="Courier New"/>
          <w:sz w:val="24"/>
          <w:szCs w:val="24"/>
          <w:lang w:val="en-US"/>
        </w:rPr>
      </w:pPr>
    </w:p>
    <w:p w14:paraId="09AC7548"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For volumener under 1 ml bør der anvendes en 0,5 ml sprøjte for bedre doseringsnøjagtighed.</w:t>
      </w:r>
    </w:p>
    <w:p w14:paraId="381BFD22" w14:textId="77777777" w:rsidR="00233FCE" w:rsidRPr="00233FCE" w:rsidRDefault="00233FCE" w:rsidP="00955704">
      <w:pPr>
        <w:widowControl w:val="0"/>
        <w:tabs>
          <w:tab w:val="left" w:pos="567"/>
        </w:tabs>
        <w:ind w:left="851"/>
        <w:rPr>
          <w:rFonts w:eastAsia="Courier New"/>
          <w:sz w:val="24"/>
          <w:szCs w:val="24"/>
        </w:rPr>
      </w:pPr>
    </w:p>
    <w:p w14:paraId="24CAE11D" w14:textId="77777777" w:rsidR="00233FCE" w:rsidRPr="00233FCE" w:rsidRDefault="00233FCE" w:rsidP="00955704">
      <w:pPr>
        <w:widowControl w:val="0"/>
        <w:tabs>
          <w:tab w:val="left" w:pos="567"/>
        </w:tabs>
        <w:ind w:left="851"/>
        <w:rPr>
          <w:rFonts w:eastAsia="Courier New"/>
          <w:sz w:val="24"/>
          <w:szCs w:val="24"/>
          <w:u w:val="single"/>
        </w:rPr>
      </w:pPr>
      <w:r w:rsidRPr="00233FCE">
        <w:rPr>
          <w:sz w:val="24"/>
          <w:szCs w:val="24"/>
          <w:u w:val="single"/>
        </w:rPr>
        <w:t>Intramuskulær injektion</w:t>
      </w:r>
    </w:p>
    <w:p w14:paraId="033780B7"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 xml:space="preserve">Indholdet af 1 hætteglas (1.000 mg cefazolin) opløses i 4 ml kompatibel solvens (dvs. koncentration ca. 220 mg/ml), og et passende volumen (som angivet i tabel 1) trækkes op fra den rekonstituerede opløsning og administreres som intramuskulær injektion. </w:t>
      </w:r>
    </w:p>
    <w:p w14:paraId="03518B94" w14:textId="77777777" w:rsidR="00233FCE" w:rsidRPr="00233FCE" w:rsidRDefault="00233FCE" w:rsidP="00955704">
      <w:pPr>
        <w:widowControl w:val="0"/>
        <w:tabs>
          <w:tab w:val="left" w:pos="567"/>
        </w:tabs>
        <w:ind w:left="851"/>
        <w:rPr>
          <w:rFonts w:eastAsia="Calibri"/>
          <w:sz w:val="24"/>
          <w:szCs w:val="24"/>
        </w:rPr>
      </w:pPr>
    </w:p>
    <w:p w14:paraId="6A646EDA"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Ved administration til børn under 30 måneder må cefazolin ikke opløses i lidocainopløsning (se pkt. 4.4).</w:t>
      </w:r>
    </w:p>
    <w:p w14:paraId="29FD99FA" w14:textId="77777777" w:rsidR="00233FCE" w:rsidRPr="00233FCE" w:rsidRDefault="00233FCE" w:rsidP="00955704">
      <w:pPr>
        <w:widowControl w:val="0"/>
        <w:tabs>
          <w:tab w:val="left" w:pos="567"/>
        </w:tabs>
        <w:ind w:left="851"/>
        <w:rPr>
          <w:rFonts w:eastAsia="Courier New"/>
          <w:sz w:val="24"/>
          <w:szCs w:val="24"/>
        </w:rPr>
      </w:pPr>
    </w:p>
    <w:p w14:paraId="0108D687" w14:textId="77777777" w:rsidR="00233FCE" w:rsidRPr="00233FCE" w:rsidDel="009C0BBA" w:rsidRDefault="00233FCE" w:rsidP="00955704">
      <w:pPr>
        <w:widowControl w:val="0"/>
        <w:tabs>
          <w:tab w:val="left" w:pos="567"/>
        </w:tabs>
        <w:ind w:left="851"/>
        <w:rPr>
          <w:rFonts w:eastAsia="Courier New"/>
          <w:sz w:val="24"/>
          <w:szCs w:val="24"/>
          <w:u w:val="single"/>
        </w:rPr>
      </w:pPr>
      <w:r w:rsidRPr="00233FCE">
        <w:rPr>
          <w:sz w:val="24"/>
          <w:szCs w:val="24"/>
          <w:u w:val="single"/>
        </w:rPr>
        <w:t>Intravenøs infusion</w:t>
      </w:r>
    </w:p>
    <w:p w14:paraId="59E615A7"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Dosis kan gives som intravenøs infusion ved anvendelse af den rekonstituerede og yderligere fortyndede opløsning (10 mg/ml) som beskrevet i pkt. 6.6.</w:t>
      </w:r>
    </w:p>
    <w:p w14:paraId="6AD98267" w14:textId="77777777" w:rsidR="00233FCE" w:rsidRPr="00233FCE" w:rsidRDefault="00233FCE" w:rsidP="00955704">
      <w:pPr>
        <w:widowControl w:val="0"/>
        <w:tabs>
          <w:tab w:val="left" w:pos="567"/>
        </w:tabs>
        <w:ind w:left="851"/>
        <w:rPr>
          <w:rFonts w:eastAsia="Courier New"/>
          <w:sz w:val="24"/>
          <w:szCs w:val="24"/>
        </w:rPr>
      </w:pPr>
    </w:p>
    <w:p w14:paraId="356CA859" w14:textId="77777777" w:rsidR="00233FCE" w:rsidRPr="00233FCE" w:rsidRDefault="00233FCE" w:rsidP="00955704">
      <w:pPr>
        <w:widowControl w:val="0"/>
        <w:tabs>
          <w:tab w:val="left" w:pos="567"/>
        </w:tabs>
        <w:ind w:left="851"/>
        <w:rPr>
          <w:rFonts w:eastAsia="Courier New"/>
          <w:b/>
          <w:sz w:val="24"/>
          <w:szCs w:val="24"/>
        </w:rPr>
      </w:pPr>
      <w:r w:rsidRPr="00233FCE">
        <w:rPr>
          <w:b/>
          <w:sz w:val="24"/>
          <w:szCs w:val="24"/>
        </w:rPr>
        <w:t>Pædiatriske patienter med nedsat nyrefunktion</w:t>
      </w:r>
    </w:p>
    <w:p w14:paraId="24832CC9"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Børn med nedsat nyrefunktion kan (som voksne) have behov for en lavere dosis for at undgå akkumulering.</w:t>
      </w:r>
    </w:p>
    <w:p w14:paraId="5759D550"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Denne lavere dosis kan vejledes af bestemmelse af koncentrationen i blodet. Hvis dette ikke er muligt, kan doseringen fastsættes på grundlag af kreatininclearance i henhold til følgende retningslinjer.</w:t>
      </w:r>
    </w:p>
    <w:p w14:paraId="2C59440B" w14:textId="77777777" w:rsidR="00233FCE" w:rsidRPr="00233FCE" w:rsidRDefault="00233FCE" w:rsidP="00955704">
      <w:pPr>
        <w:widowControl w:val="0"/>
        <w:tabs>
          <w:tab w:val="left" w:pos="567"/>
        </w:tabs>
        <w:ind w:left="851"/>
        <w:rPr>
          <w:rFonts w:eastAsia="Courier New"/>
          <w:sz w:val="24"/>
          <w:szCs w:val="24"/>
        </w:rPr>
      </w:pPr>
    </w:p>
    <w:p w14:paraId="779415A3"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Hos børn med moderat nedsat nyrefunktion (kreatininclearance 40</w:t>
      </w:r>
      <w:r w:rsidRPr="00233FCE">
        <w:rPr>
          <w:sz w:val="24"/>
          <w:szCs w:val="24"/>
        </w:rPr>
        <w:noBreakHyphen/>
        <w:t>20 ml/min) er 25 % af den normale døgndosis, fordelt på doser hver 12. time, tilstrækkeligt.</w:t>
      </w:r>
    </w:p>
    <w:p w14:paraId="070EFE89"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Hos børn med svært nedsat nyrefunktion (kreatininclearance 20</w:t>
      </w:r>
      <w:r w:rsidRPr="00233FCE">
        <w:rPr>
          <w:sz w:val="24"/>
          <w:szCs w:val="24"/>
        </w:rPr>
        <w:noBreakHyphen/>
        <w:t>5 ml/min) er 10 % af den normale døgndosis, givet hver 24. time, tilstrækkeligt.</w:t>
      </w:r>
    </w:p>
    <w:p w14:paraId="65478C08"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Alle disse retningslinjer gælder efter en indledende startdosis. Se også pkt. 4.4</w:t>
      </w:r>
    </w:p>
    <w:p w14:paraId="04D40CF1" w14:textId="77777777" w:rsidR="00233FCE" w:rsidRPr="00233FCE" w:rsidRDefault="00233FCE" w:rsidP="00955704">
      <w:pPr>
        <w:widowControl w:val="0"/>
        <w:tabs>
          <w:tab w:val="left" w:pos="567"/>
        </w:tabs>
        <w:ind w:left="851"/>
        <w:rPr>
          <w:rFonts w:eastAsia="Courier New"/>
          <w:sz w:val="24"/>
          <w:szCs w:val="24"/>
        </w:rPr>
      </w:pPr>
    </w:p>
    <w:p w14:paraId="56011A98" w14:textId="101009E4" w:rsidR="00233FCE" w:rsidRPr="00233FCE" w:rsidRDefault="00233FCE" w:rsidP="00955704">
      <w:pPr>
        <w:widowControl w:val="0"/>
        <w:tabs>
          <w:tab w:val="left" w:pos="567"/>
        </w:tabs>
        <w:ind w:left="851"/>
        <w:rPr>
          <w:rFonts w:eastAsia="Courier New"/>
          <w:i/>
          <w:sz w:val="24"/>
          <w:szCs w:val="24"/>
        </w:rPr>
      </w:pPr>
      <w:r w:rsidRPr="00233FCE">
        <w:rPr>
          <w:i/>
          <w:sz w:val="24"/>
          <w:szCs w:val="24"/>
        </w:rPr>
        <w:t>Ældre patienter</w:t>
      </w:r>
    </w:p>
    <w:p w14:paraId="03661708"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Hos ældre patienter med normal nyrefunktion er dosisjustering ikke nødvendig.</w:t>
      </w:r>
    </w:p>
    <w:p w14:paraId="7E8E5143" w14:textId="77777777" w:rsidR="00233FCE" w:rsidRPr="00233FCE" w:rsidRDefault="00233FCE" w:rsidP="00955704">
      <w:pPr>
        <w:widowControl w:val="0"/>
        <w:tabs>
          <w:tab w:val="left" w:pos="567"/>
        </w:tabs>
        <w:ind w:left="851"/>
        <w:rPr>
          <w:rFonts w:eastAsia="Courier New"/>
          <w:sz w:val="24"/>
          <w:szCs w:val="24"/>
        </w:rPr>
      </w:pPr>
    </w:p>
    <w:p w14:paraId="34D082DB" w14:textId="77777777" w:rsidR="00233FCE" w:rsidRPr="00233FCE" w:rsidRDefault="00233FCE" w:rsidP="00955704">
      <w:pPr>
        <w:widowControl w:val="0"/>
        <w:tabs>
          <w:tab w:val="left" w:pos="567"/>
        </w:tabs>
        <w:ind w:left="851"/>
        <w:rPr>
          <w:bCs/>
          <w:sz w:val="24"/>
          <w:szCs w:val="24"/>
          <w:u w:val="single"/>
        </w:rPr>
      </w:pPr>
      <w:r w:rsidRPr="00233FCE">
        <w:rPr>
          <w:sz w:val="24"/>
          <w:szCs w:val="24"/>
          <w:u w:val="single"/>
        </w:rPr>
        <w:t>Administration</w:t>
      </w:r>
    </w:p>
    <w:p w14:paraId="29073D3E"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 xml:space="preserve">Cefazolin "Noridem" 1 g kan administreres som dyb intramuskulær injektion eller som langsom intravenøs injektion eller intravenøs infusion efter fortynding. </w:t>
      </w:r>
    </w:p>
    <w:p w14:paraId="15C54BB8" w14:textId="77777777" w:rsidR="00233FCE" w:rsidRPr="00233FCE" w:rsidRDefault="00233FCE" w:rsidP="00955704">
      <w:pPr>
        <w:widowControl w:val="0"/>
        <w:tabs>
          <w:tab w:val="left" w:pos="567"/>
        </w:tabs>
        <w:ind w:left="851"/>
        <w:rPr>
          <w:rFonts w:eastAsia="Courier New"/>
          <w:sz w:val="24"/>
          <w:szCs w:val="24"/>
        </w:rPr>
      </w:pPr>
      <w:r w:rsidRPr="00233FCE">
        <w:rPr>
          <w:sz w:val="24"/>
          <w:szCs w:val="24"/>
        </w:rPr>
        <w:t>Cefazolin "Noridem" 2 g kan administreres som langsom intravenøs injektion eller intravenøs infusion efter fortynding. Enkeltdoser over 1 g bør gives som intravenøs infusion.</w:t>
      </w:r>
    </w:p>
    <w:p w14:paraId="4CF67D4D" w14:textId="77777777" w:rsidR="00233FCE" w:rsidRPr="00233FCE" w:rsidRDefault="00233FCE" w:rsidP="00955704">
      <w:pPr>
        <w:widowControl w:val="0"/>
        <w:tabs>
          <w:tab w:val="left" w:pos="567"/>
        </w:tabs>
        <w:ind w:left="851"/>
        <w:rPr>
          <w:sz w:val="24"/>
          <w:szCs w:val="24"/>
        </w:rPr>
      </w:pPr>
    </w:p>
    <w:p w14:paraId="2731DA4D"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Mængden og typen af solvens til rekonstitution afhænger af administrationsmåden.</w:t>
      </w:r>
    </w:p>
    <w:p w14:paraId="3E9081F5"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For instruktioner om rekonstitution af lægemidlet før administration, se pkt. 6.6.</w:t>
      </w:r>
    </w:p>
    <w:p w14:paraId="48D66081" w14:textId="77777777" w:rsidR="00233FCE" w:rsidRPr="00233FCE" w:rsidRDefault="00233FCE" w:rsidP="00955704">
      <w:pPr>
        <w:widowControl w:val="0"/>
        <w:tabs>
          <w:tab w:val="left" w:pos="567"/>
        </w:tabs>
        <w:ind w:left="851"/>
        <w:rPr>
          <w:rFonts w:eastAsia="Courier New"/>
          <w:b/>
          <w:sz w:val="24"/>
          <w:szCs w:val="24"/>
        </w:rPr>
      </w:pPr>
    </w:p>
    <w:p w14:paraId="63412029"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Hvis lidocain anvendes som solvens, må den resulterende opløsning aldrig administreres intravenøst (se pkt. 4.3). Oplysningerne i produktresuméet for lidocain bør konsulteres.</w:t>
      </w:r>
    </w:p>
    <w:p w14:paraId="547BA2EE" w14:textId="77777777" w:rsidR="00233FCE" w:rsidRPr="00233FCE" w:rsidRDefault="00233FCE" w:rsidP="00955704">
      <w:pPr>
        <w:widowControl w:val="0"/>
        <w:tabs>
          <w:tab w:val="left" w:pos="567"/>
        </w:tabs>
        <w:ind w:left="851"/>
        <w:rPr>
          <w:rFonts w:eastAsia="Courier New"/>
          <w:b/>
          <w:sz w:val="24"/>
          <w:szCs w:val="24"/>
        </w:rPr>
      </w:pPr>
    </w:p>
    <w:p w14:paraId="26265CBA" w14:textId="77777777" w:rsidR="00233FCE" w:rsidRPr="00233FCE" w:rsidRDefault="00233FCE" w:rsidP="00955704">
      <w:pPr>
        <w:widowControl w:val="0"/>
        <w:tabs>
          <w:tab w:val="left" w:pos="567"/>
        </w:tabs>
        <w:ind w:left="851"/>
        <w:rPr>
          <w:rFonts w:eastAsia="Calibri"/>
          <w:b/>
          <w:sz w:val="24"/>
          <w:szCs w:val="24"/>
        </w:rPr>
      </w:pPr>
      <w:r w:rsidRPr="00233FCE">
        <w:rPr>
          <w:b/>
          <w:sz w:val="24"/>
          <w:szCs w:val="24"/>
        </w:rPr>
        <w:t>Behandlingsvarighed</w:t>
      </w:r>
    </w:p>
    <w:p w14:paraId="28C0245D" w14:textId="77777777" w:rsidR="00233FCE" w:rsidRPr="00233FCE" w:rsidRDefault="00233FCE" w:rsidP="00955704">
      <w:pPr>
        <w:widowControl w:val="0"/>
        <w:tabs>
          <w:tab w:val="left" w:pos="567"/>
        </w:tabs>
        <w:ind w:left="851"/>
        <w:rPr>
          <w:rFonts w:eastAsia="Calibri"/>
          <w:sz w:val="24"/>
          <w:szCs w:val="24"/>
        </w:rPr>
      </w:pPr>
      <w:r w:rsidRPr="00233FCE">
        <w:rPr>
          <w:sz w:val="24"/>
          <w:szCs w:val="24"/>
        </w:rPr>
        <w:t>Varigheden af behandlingen afhænger af infektionens sværhedsgrad såvel som den kliniske og bakteriologiske progression.</w:t>
      </w:r>
    </w:p>
    <w:p w14:paraId="77460F9F" w14:textId="77777777" w:rsidR="009260DE" w:rsidRPr="00C84483" w:rsidRDefault="009260DE" w:rsidP="00955704">
      <w:pPr>
        <w:tabs>
          <w:tab w:val="left" w:pos="851"/>
        </w:tabs>
        <w:ind w:left="851"/>
        <w:rPr>
          <w:sz w:val="24"/>
          <w:szCs w:val="24"/>
        </w:rPr>
      </w:pPr>
    </w:p>
    <w:p w14:paraId="55D24C5C" w14:textId="77777777" w:rsidR="009260DE" w:rsidRPr="00C84483" w:rsidRDefault="009260DE" w:rsidP="00955704">
      <w:pPr>
        <w:tabs>
          <w:tab w:val="left" w:pos="851"/>
        </w:tabs>
        <w:ind w:left="851" w:hanging="851"/>
        <w:rPr>
          <w:b/>
          <w:sz w:val="24"/>
          <w:szCs w:val="24"/>
        </w:rPr>
      </w:pPr>
      <w:r w:rsidRPr="00C84483">
        <w:rPr>
          <w:b/>
          <w:sz w:val="24"/>
          <w:szCs w:val="24"/>
        </w:rPr>
        <w:t>4.3</w:t>
      </w:r>
      <w:r w:rsidRPr="00C84483">
        <w:rPr>
          <w:b/>
          <w:sz w:val="24"/>
          <w:szCs w:val="24"/>
        </w:rPr>
        <w:tab/>
        <w:t>Kontraindikationer</w:t>
      </w:r>
    </w:p>
    <w:p w14:paraId="5C073CC6" w14:textId="77777777" w:rsidR="007C214E" w:rsidRPr="007C214E" w:rsidRDefault="007C214E" w:rsidP="00955704">
      <w:pPr>
        <w:numPr>
          <w:ilvl w:val="0"/>
          <w:numId w:val="8"/>
        </w:numPr>
        <w:tabs>
          <w:tab w:val="left" w:pos="851"/>
        </w:tabs>
        <w:ind w:left="1134" w:hanging="283"/>
        <w:rPr>
          <w:sz w:val="24"/>
          <w:szCs w:val="24"/>
        </w:rPr>
      </w:pPr>
      <w:r w:rsidRPr="007C214E">
        <w:rPr>
          <w:sz w:val="24"/>
          <w:szCs w:val="24"/>
        </w:rPr>
        <w:t>Overfølsomhed over for cefazolinnatrium.</w:t>
      </w:r>
    </w:p>
    <w:p w14:paraId="1CB3657A" w14:textId="77777777" w:rsidR="007C214E" w:rsidRPr="007C214E" w:rsidRDefault="007C214E" w:rsidP="00955704">
      <w:pPr>
        <w:numPr>
          <w:ilvl w:val="0"/>
          <w:numId w:val="8"/>
        </w:numPr>
        <w:tabs>
          <w:tab w:val="left" w:pos="851"/>
        </w:tabs>
        <w:ind w:left="1134" w:hanging="283"/>
        <w:rPr>
          <w:sz w:val="24"/>
          <w:szCs w:val="24"/>
        </w:rPr>
      </w:pPr>
      <w:r w:rsidRPr="007C214E">
        <w:rPr>
          <w:sz w:val="24"/>
          <w:szCs w:val="24"/>
        </w:rPr>
        <w:t>Anamnese med svær overfølsomhed (f.eks. anafylaktisk reaktion) over for andre typer af beta-laktamantibiotika (penicilliner, monobaktamer og carbapenemer).</w:t>
      </w:r>
    </w:p>
    <w:p w14:paraId="2948C23A" w14:textId="77777777" w:rsidR="007C214E" w:rsidRPr="007C214E" w:rsidRDefault="007C214E" w:rsidP="00955704">
      <w:pPr>
        <w:tabs>
          <w:tab w:val="left" w:pos="851"/>
        </w:tabs>
        <w:ind w:left="851"/>
        <w:rPr>
          <w:sz w:val="24"/>
          <w:szCs w:val="24"/>
        </w:rPr>
      </w:pPr>
    </w:p>
    <w:p w14:paraId="674FFACB" w14:textId="77777777" w:rsidR="007C214E" w:rsidRPr="007C214E" w:rsidRDefault="007C214E" w:rsidP="00955704">
      <w:pPr>
        <w:tabs>
          <w:tab w:val="left" w:pos="851"/>
        </w:tabs>
        <w:ind w:left="851"/>
        <w:rPr>
          <w:sz w:val="24"/>
          <w:szCs w:val="24"/>
        </w:rPr>
      </w:pPr>
      <w:r w:rsidRPr="007C214E">
        <w:rPr>
          <w:sz w:val="24"/>
          <w:szCs w:val="24"/>
        </w:rPr>
        <w:t>Kontraindikationer for lidocain skal udelukkes før intramuskulær injektion af cefazolin, når lidocainopløsning anvendes som solvens (se pkt. 4.4). Se oplysningerne i produktresuméet for lidocain, især kontraindikationer. Cefazolinopløsninger, der indeholder lidocain, må aldrig administreres intravenøst.</w:t>
      </w:r>
    </w:p>
    <w:p w14:paraId="025521C8" w14:textId="71C63A1B" w:rsidR="00BF0A7C" w:rsidRDefault="00BF0A7C">
      <w:pPr>
        <w:rPr>
          <w:sz w:val="24"/>
          <w:szCs w:val="24"/>
        </w:rPr>
      </w:pPr>
      <w:r>
        <w:rPr>
          <w:sz w:val="24"/>
          <w:szCs w:val="24"/>
        </w:rPr>
        <w:br w:type="page"/>
      </w:r>
    </w:p>
    <w:p w14:paraId="5CB0000A" w14:textId="77777777" w:rsidR="007C214E" w:rsidRPr="007C214E" w:rsidRDefault="007C214E" w:rsidP="00955704">
      <w:pPr>
        <w:tabs>
          <w:tab w:val="left" w:pos="851"/>
        </w:tabs>
        <w:ind w:left="851"/>
        <w:rPr>
          <w:sz w:val="24"/>
          <w:szCs w:val="24"/>
        </w:rPr>
      </w:pPr>
    </w:p>
    <w:p w14:paraId="380B8F11" w14:textId="77777777" w:rsidR="009260DE" w:rsidRPr="00C84483" w:rsidRDefault="009260DE" w:rsidP="00955704">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FBC2FB2" w14:textId="77777777" w:rsidR="007C214E" w:rsidRDefault="007C214E" w:rsidP="00955704">
      <w:pPr>
        <w:tabs>
          <w:tab w:val="left" w:pos="851"/>
        </w:tabs>
        <w:ind w:left="851"/>
        <w:rPr>
          <w:i/>
          <w:sz w:val="24"/>
          <w:szCs w:val="24"/>
        </w:rPr>
      </w:pPr>
    </w:p>
    <w:p w14:paraId="675529CE" w14:textId="5BDE71AF" w:rsidR="007C214E" w:rsidRPr="007C214E" w:rsidRDefault="007C214E" w:rsidP="00955704">
      <w:pPr>
        <w:tabs>
          <w:tab w:val="left" w:pos="851"/>
        </w:tabs>
        <w:ind w:left="851"/>
        <w:rPr>
          <w:bCs/>
          <w:i/>
          <w:iCs/>
          <w:sz w:val="24"/>
          <w:szCs w:val="24"/>
        </w:rPr>
      </w:pPr>
      <w:r w:rsidRPr="007C214E">
        <w:rPr>
          <w:i/>
          <w:sz w:val="24"/>
          <w:szCs w:val="24"/>
        </w:rPr>
        <w:t>Overfølsomhed</w:t>
      </w:r>
    </w:p>
    <w:p w14:paraId="4931A564" w14:textId="77777777" w:rsidR="007C214E" w:rsidRPr="007C214E" w:rsidRDefault="007C214E" w:rsidP="00955704">
      <w:pPr>
        <w:tabs>
          <w:tab w:val="left" w:pos="851"/>
        </w:tabs>
        <w:ind w:left="851"/>
        <w:rPr>
          <w:sz w:val="24"/>
          <w:szCs w:val="24"/>
        </w:rPr>
      </w:pPr>
      <w:r w:rsidRPr="007C214E">
        <w:rPr>
          <w:sz w:val="24"/>
          <w:szCs w:val="24"/>
        </w:rPr>
        <w:t>Før behandling påbegyndes, skal det sikres, at patienten ikke tidligere har udvist overfølsomhed efter administration af cefalosporiner, penicilliner eller andre lægemiddelstoffer. Cefazolin skal administreres med forsigtighed til patienter med tendens til allergi. Krydsallergi mellem penicilliner og cefalosporiner er dokumenteret.</w:t>
      </w:r>
    </w:p>
    <w:p w14:paraId="10A2DA34" w14:textId="77777777" w:rsidR="007C214E" w:rsidRPr="007C214E" w:rsidRDefault="007C214E" w:rsidP="00955704">
      <w:pPr>
        <w:tabs>
          <w:tab w:val="left" w:pos="851"/>
        </w:tabs>
        <w:ind w:left="851"/>
        <w:rPr>
          <w:sz w:val="24"/>
          <w:szCs w:val="24"/>
        </w:rPr>
      </w:pPr>
      <w:r w:rsidRPr="007C214E">
        <w:rPr>
          <w:sz w:val="24"/>
          <w:szCs w:val="24"/>
        </w:rPr>
        <w:t>Som for alle beta</w:t>
      </w:r>
      <w:r w:rsidRPr="007C214E">
        <w:rPr>
          <w:sz w:val="24"/>
          <w:szCs w:val="24"/>
        </w:rPr>
        <w:noBreakHyphen/>
        <w:t>laktam-antibakterielle midler er alvorlige overfølsomhedsreaktioner, herunder med fatal udgang, rapporteret, dog ikke ofte. Ved alvorlige overfølsomhedsreaktioner skal behandlingen med cefazolin straks seponeres, og passende akutte tiltag skal iværksættes. Forud for administration skal det afklares, om patienten tidligere har haft en svær overfølsomhedsreaktion over for cefazolin, andre cefalosporiner eller andre beta</w:t>
      </w:r>
      <w:r w:rsidRPr="007C214E">
        <w:rPr>
          <w:sz w:val="24"/>
          <w:szCs w:val="24"/>
        </w:rPr>
        <w:noBreakHyphen/>
        <w:t>laktamer. Cefazolin skal anvendes med forsigtighed til patienter med tidligere ikke-alvorlige overfølsomhedsreaktioner over for andre beta</w:t>
      </w:r>
      <w:r w:rsidRPr="007C214E">
        <w:rPr>
          <w:sz w:val="24"/>
          <w:szCs w:val="24"/>
        </w:rPr>
        <w:noBreakHyphen/>
        <w:t>laktamer.</w:t>
      </w:r>
    </w:p>
    <w:p w14:paraId="5299AD71" w14:textId="77777777" w:rsidR="007C214E" w:rsidRPr="007C214E" w:rsidRDefault="007C214E" w:rsidP="00955704">
      <w:pPr>
        <w:tabs>
          <w:tab w:val="left" w:pos="851"/>
        </w:tabs>
        <w:ind w:left="851"/>
        <w:rPr>
          <w:sz w:val="24"/>
          <w:szCs w:val="24"/>
        </w:rPr>
      </w:pPr>
    </w:p>
    <w:p w14:paraId="6C9FBCDD" w14:textId="77777777" w:rsidR="007C214E" w:rsidRPr="007C214E" w:rsidRDefault="007C214E" w:rsidP="00955704">
      <w:pPr>
        <w:tabs>
          <w:tab w:val="left" w:pos="851"/>
        </w:tabs>
        <w:ind w:left="851"/>
        <w:rPr>
          <w:i/>
          <w:iCs/>
          <w:sz w:val="24"/>
          <w:szCs w:val="24"/>
        </w:rPr>
      </w:pPr>
      <w:r w:rsidRPr="007C214E">
        <w:rPr>
          <w:i/>
          <w:iCs/>
          <w:sz w:val="24"/>
          <w:szCs w:val="24"/>
        </w:rPr>
        <w:t>Antibiotika-associeret pseudomembranøs colitis</w:t>
      </w:r>
    </w:p>
    <w:p w14:paraId="471D4AF1" w14:textId="5EBC2A59" w:rsidR="007C214E" w:rsidRPr="007C214E" w:rsidRDefault="007C214E" w:rsidP="00955704">
      <w:pPr>
        <w:tabs>
          <w:tab w:val="left" w:pos="851"/>
        </w:tabs>
        <w:ind w:left="851"/>
        <w:rPr>
          <w:sz w:val="24"/>
          <w:szCs w:val="24"/>
        </w:rPr>
      </w:pPr>
      <w:r w:rsidRPr="007C214E">
        <w:rPr>
          <w:sz w:val="24"/>
          <w:szCs w:val="24"/>
        </w:rPr>
        <w:t>Ved svær og vedvarende diarré skal muligheden for antibiotika-associeret pseudomembranøs colitis overvejes. Tilstanden kan være livstruende, og behandlingen med cefazolin skal derfor straks seponeres, og passende behandling skal iværksættes. Peristaltikhæmmende midler er kontraindicerede. Se også pkt. 4</w:t>
      </w:r>
      <w:r>
        <w:rPr>
          <w:sz w:val="24"/>
          <w:szCs w:val="24"/>
        </w:rPr>
        <w:t>.</w:t>
      </w:r>
      <w:r w:rsidRPr="007C214E">
        <w:rPr>
          <w:sz w:val="24"/>
          <w:szCs w:val="24"/>
        </w:rPr>
        <w:t>8.</w:t>
      </w:r>
    </w:p>
    <w:p w14:paraId="25AAA3F3" w14:textId="77777777" w:rsidR="007C214E" w:rsidRDefault="007C214E" w:rsidP="00955704">
      <w:pPr>
        <w:tabs>
          <w:tab w:val="left" w:pos="851"/>
        </w:tabs>
        <w:ind w:left="851"/>
        <w:rPr>
          <w:i/>
          <w:iCs/>
          <w:sz w:val="24"/>
          <w:szCs w:val="24"/>
        </w:rPr>
      </w:pPr>
    </w:p>
    <w:p w14:paraId="49D0E5AE" w14:textId="717EB9CB" w:rsidR="007C214E" w:rsidRPr="007C214E" w:rsidRDefault="007C214E" w:rsidP="00955704">
      <w:pPr>
        <w:tabs>
          <w:tab w:val="left" w:pos="851"/>
        </w:tabs>
        <w:ind w:left="851"/>
        <w:rPr>
          <w:i/>
          <w:iCs/>
          <w:sz w:val="24"/>
          <w:szCs w:val="24"/>
        </w:rPr>
      </w:pPr>
      <w:r w:rsidRPr="007C214E">
        <w:rPr>
          <w:i/>
          <w:iCs/>
          <w:sz w:val="24"/>
          <w:szCs w:val="24"/>
        </w:rPr>
        <w:t>Nedsat nyrefunktion</w:t>
      </w:r>
    </w:p>
    <w:p w14:paraId="6E080DCA" w14:textId="73B1711F" w:rsidR="007C214E" w:rsidRDefault="007C214E" w:rsidP="00955704">
      <w:pPr>
        <w:tabs>
          <w:tab w:val="left" w:pos="851"/>
        </w:tabs>
        <w:ind w:left="851"/>
        <w:rPr>
          <w:sz w:val="24"/>
          <w:szCs w:val="24"/>
        </w:rPr>
      </w:pPr>
      <w:r w:rsidRPr="007C214E">
        <w:rPr>
          <w:sz w:val="24"/>
          <w:szCs w:val="24"/>
        </w:rPr>
        <w:t>Hos patienter med nedsat nyrefunktion skal dosis og/eller doseringshyppigheden justeres efter graden af nyrefunktionsnedsættelse (se pkt. 4.2). Selvom behandling med cefazolin sjældent medfører nyrepåvirkning, anbefales det at overvåge nyrefunktionen, især hos svært syge patienter, der modtager maksimale doser, og hos patienter, som samtidig behandles med potentielt nefrotoksiske lægemidler, såsom aminoglykosider eller potente diuretika (f.eks. furosemid).</w:t>
      </w:r>
    </w:p>
    <w:p w14:paraId="794D9577" w14:textId="77777777" w:rsidR="007C214E" w:rsidRPr="007C214E" w:rsidRDefault="007C214E" w:rsidP="00955704">
      <w:pPr>
        <w:tabs>
          <w:tab w:val="left" w:pos="851"/>
        </w:tabs>
        <w:ind w:left="851"/>
        <w:rPr>
          <w:sz w:val="24"/>
          <w:szCs w:val="24"/>
        </w:rPr>
      </w:pPr>
    </w:p>
    <w:p w14:paraId="4605E675" w14:textId="77777777" w:rsidR="007C214E" w:rsidRPr="007C214E" w:rsidRDefault="007C214E" w:rsidP="00955704">
      <w:pPr>
        <w:tabs>
          <w:tab w:val="left" w:pos="851"/>
        </w:tabs>
        <w:ind w:left="851"/>
        <w:rPr>
          <w:i/>
          <w:iCs/>
          <w:sz w:val="24"/>
          <w:szCs w:val="24"/>
        </w:rPr>
      </w:pPr>
      <w:r w:rsidRPr="007C214E">
        <w:rPr>
          <w:i/>
          <w:iCs/>
          <w:sz w:val="24"/>
          <w:szCs w:val="24"/>
        </w:rPr>
        <w:t>Intratekal anvendelse</w:t>
      </w:r>
    </w:p>
    <w:p w14:paraId="6B66FBE1" w14:textId="306BE2F4" w:rsidR="007C214E" w:rsidRDefault="007C214E" w:rsidP="00955704">
      <w:pPr>
        <w:tabs>
          <w:tab w:val="left" w:pos="851"/>
        </w:tabs>
        <w:ind w:left="851"/>
        <w:rPr>
          <w:sz w:val="24"/>
          <w:szCs w:val="24"/>
        </w:rPr>
      </w:pPr>
      <w:r w:rsidRPr="007C214E">
        <w:rPr>
          <w:sz w:val="24"/>
          <w:szCs w:val="24"/>
        </w:rPr>
        <w:t>Må ikke administreres intratekalt. Alvorlig intoksikation af centralnervesystemet (inkl. kramper) er rapporteret efter intratekal administration af cefazolin.</w:t>
      </w:r>
    </w:p>
    <w:p w14:paraId="35EE73B2" w14:textId="77777777" w:rsidR="007C214E" w:rsidRPr="007C214E" w:rsidRDefault="007C214E" w:rsidP="00955704">
      <w:pPr>
        <w:tabs>
          <w:tab w:val="left" w:pos="851"/>
        </w:tabs>
        <w:ind w:left="851"/>
        <w:rPr>
          <w:sz w:val="24"/>
          <w:szCs w:val="24"/>
        </w:rPr>
      </w:pPr>
    </w:p>
    <w:p w14:paraId="68D9DDB9" w14:textId="77777777" w:rsidR="007C214E" w:rsidRPr="007C214E" w:rsidRDefault="007C214E" w:rsidP="00955704">
      <w:pPr>
        <w:tabs>
          <w:tab w:val="left" w:pos="851"/>
        </w:tabs>
        <w:ind w:left="851"/>
        <w:rPr>
          <w:i/>
          <w:iCs/>
          <w:sz w:val="24"/>
          <w:szCs w:val="24"/>
        </w:rPr>
      </w:pPr>
      <w:r w:rsidRPr="007C214E">
        <w:rPr>
          <w:i/>
          <w:iCs/>
          <w:sz w:val="24"/>
          <w:szCs w:val="24"/>
        </w:rPr>
        <w:t>Bakteriel resistens og superinfektioner</w:t>
      </w:r>
    </w:p>
    <w:p w14:paraId="091BED22" w14:textId="17D95154" w:rsidR="007C214E" w:rsidRDefault="007C214E" w:rsidP="00955704">
      <w:pPr>
        <w:tabs>
          <w:tab w:val="left" w:pos="851"/>
        </w:tabs>
        <w:ind w:left="851"/>
        <w:rPr>
          <w:sz w:val="24"/>
          <w:szCs w:val="24"/>
        </w:rPr>
      </w:pPr>
      <w:r w:rsidRPr="007C214E">
        <w:rPr>
          <w:sz w:val="24"/>
          <w:szCs w:val="24"/>
        </w:rPr>
        <w:t>Langtidsbehandling med cefazolin kan medføre cefazolin-resistente bakterier. Patienterne skal overvåges nøje for eventuelle superinfektioner. Hvis disse opstår, skal passende tiltag iværksættes.</w:t>
      </w:r>
    </w:p>
    <w:p w14:paraId="0711B8F1" w14:textId="77777777" w:rsidR="007C214E" w:rsidRPr="007C214E" w:rsidRDefault="007C214E" w:rsidP="00955704">
      <w:pPr>
        <w:tabs>
          <w:tab w:val="left" w:pos="851"/>
        </w:tabs>
        <w:ind w:left="851"/>
        <w:rPr>
          <w:sz w:val="24"/>
          <w:szCs w:val="24"/>
        </w:rPr>
      </w:pPr>
    </w:p>
    <w:p w14:paraId="0F64EC8C" w14:textId="77777777" w:rsidR="007C214E" w:rsidRPr="007C214E" w:rsidRDefault="007C214E" w:rsidP="00955704">
      <w:pPr>
        <w:tabs>
          <w:tab w:val="left" w:pos="851"/>
        </w:tabs>
        <w:ind w:left="851"/>
        <w:rPr>
          <w:i/>
          <w:iCs/>
          <w:sz w:val="24"/>
          <w:szCs w:val="24"/>
        </w:rPr>
      </w:pPr>
      <w:r w:rsidRPr="007C214E">
        <w:rPr>
          <w:i/>
          <w:iCs/>
          <w:sz w:val="24"/>
          <w:szCs w:val="24"/>
        </w:rPr>
        <w:t>Koagulationsforstyrrelser</w:t>
      </w:r>
    </w:p>
    <w:p w14:paraId="2DD37D5E" w14:textId="4DF0BC95" w:rsidR="007C214E" w:rsidRDefault="007C214E" w:rsidP="00955704">
      <w:pPr>
        <w:tabs>
          <w:tab w:val="left" w:pos="851"/>
        </w:tabs>
        <w:ind w:left="851"/>
        <w:rPr>
          <w:sz w:val="24"/>
          <w:szCs w:val="24"/>
        </w:rPr>
      </w:pPr>
      <w:r w:rsidRPr="007C214E">
        <w:rPr>
          <w:sz w:val="24"/>
          <w:szCs w:val="24"/>
        </w:rPr>
        <w:t>Behandling med cefazolin kan i sjældne tilfælde føre til koagulationsforstyrrelser. Risikofaktorer er K</w:t>
      </w:r>
      <w:r w:rsidRPr="007C214E">
        <w:rPr>
          <w:sz w:val="24"/>
          <w:szCs w:val="24"/>
        </w:rPr>
        <w:noBreakHyphen/>
        <w:t>vitamin-mangel hos patienten eller påvirkning af andre koagulationsmekanismer (parenteral ernæring, underernæring, nedsat lever- og nyrefunktion, trombocytopeni). Blodets koagulation kan endvidere være nedsat ved ledsagende sygdomme (hæmofili, ventrikel- og duodenalsår), som kan forårsage eller forværre blødning. Patienter med disse tilstande skal derfor monitoreres for protrombintid. Ved betydelig reduktion kan der gives et tilskud af K</w:t>
      </w:r>
      <w:r w:rsidRPr="007C214E">
        <w:rPr>
          <w:sz w:val="24"/>
          <w:szCs w:val="24"/>
        </w:rPr>
        <w:noBreakHyphen/>
        <w:t>vitamin (10 mg/uge).</w:t>
      </w:r>
    </w:p>
    <w:p w14:paraId="277F8176" w14:textId="77777777" w:rsidR="007C214E" w:rsidRPr="007C214E" w:rsidRDefault="007C214E" w:rsidP="00955704">
      <w:pPr>
        <w:tabs>
          <w:tab w:val="left" w:pos="851"/>
        </w:tabs>
        <w:ind w:left="851"/>
        <w:rPr>
          <w:sz w:val="24"/>
          <w:szCs w:val="24"/>
        </w:rPr>
      </w:pPr>
    </w:p>
    <w:p w14:paraId="257D5611" w14:textId="77777777" w:rsidR="007C214E" w:rsidRPr="007C214E" w:rsidRDefault="007C214E" w:rsidP="00955704">
      <w:pPr>
        <w:tabs>
          <w:tab w:val="left" w:pos="851"/>
        </w:tabs>
        <w:ind w:left="851"/>
        <w:rPr>
          <w:i/>
          <w:iCs/>
          <w:sz w:val="24"/>
          <w:szCs w:val="24"/>
        </w:rPr>
      </w:pPr>
      <w:r w:rsidRPr="007C214E">
        <w:rPr>
          <w:i/>
          <w:iCs/>
          <w:sz w:val="24"/>
          <w:szCs w:val="24"/>
        </w:rPr>
        <w:t>Hypertension eller hjertesvigt</w:t>
      </w:r>
    </w:p>
    <w:p w14:paraId="545B98A0" w14:textId="619663D5" w:rsidR="007C214E" w:rsidRDefault="007C214E" w:rsidP="00955704">
      <w:pPr>
        <w:tabs>
          <w:tab w:val="left" w:pos="851"/>
        </w:tabs>
        <w:ind w:left="851"/>
        <w:rPr>
          <w:sz w:val="24"/>
          <w:szCs w:val="24"/>
        </w:rPr>
      </w:pPr>
      <w:r w:rsidRPr="007C214E">
        <w:rPr>
          <w:sz w:val="24"/>
          <w:szCs w:val="24"/>
        </w:rPr>
        <w:t>Hos patienter med hypertension eller hjertesvigt bør natriumindholdet i injektionsvæsken tages i betragtning.</w:t>
      </w:r>
    </w:p>
    <w:p w14:paraId="6180C5A8" w14:textId="77777777" w:rsidR="007C214E" w:rsidRPr="007C214E" w:rsidRDefault="007C214E" w:rsidP="00955704">
      <w:pPr>
        <w:tabs>
          <w:tab w:val="left" w:pos="851"/>
        </w:tabs>
        <w:ind w:left="851"/>
        <w:rPr>
          <w:sz w:val="24"/>
          <w:szCs w:val="24"/>
        </w:rPr>
      </w:pPr>
    </w:p>
    <w:p w14:paraId="58FB12C8" w14:textId="77777777" w:rsidR="007C214E" w:rsidRPr="007C214E" w:rsidRDefault="007C214E" w:rsidP="00955704">
      <w:pPr>
        <w:tabs>
          <w:tab w:val="left" w:pos="851"/>
        </w:tabs>
        <w:ind w:left="851"/>
        <w:rPr>
          <w:i/>
          <w:iCs/>
          <w:sz w:val="24"/>
          <w:szCs w:val="24"/>
        </w:rPr>
      </w:pPr>
      <w:r w:rsidRPr="007C214E">
        <w:rPr>
          <w:i/>
          <w:sz w:val="24"/>
          <w:szCs w:val="24"/>
        </w:rPr>
        <w:t>Anvendelse af lidocain</w:t>
      </w:r>
    </w:p>
    <w:p w14:paraId="330C68A3" w14:textId="77777777" w:rsidR="007C214E" w:rsidRPr="007C214E" w:rsidRDefault="007C214E" w:rsidP="00955704">
      <w:pPr>
        <w:tabs>
          <w:tab w:val="left" w:pos="851"/>
        </w:tabs>
        <w:ind w:left="851"/>
        <w:rPr>
          <w:sz w:val="24"/>
          <w:szCs w:val="24"/>
        </w:rPr>
      </w:pPr>
      <w:r w:rsidRPr="007C214E">
        <w:rPr>
          <w:sz w:val="24"/>
          <w:szCs w:val="24"/>
        </w:rPr>
        <w:t>Hvis en lidocainopløsning anvendes som solvens, må cefazolinopløsningen kun anvendes til intramuskulær injektion. Kontraindikationer, advarsler og anden relevant information for lidocain er angivet i produktresuméet for lidocain og skal konsulteres før anvendelse (se pkt. 4.3).</w:t>
      </w:r>
    </w:p>
    <w:p w14:paraId="7E16F0DB" w14:textId="77777777" w:rsidR="007C214E" w:rsidRPr="007C214E" w:rsidRDefault="007C214E" w:rsidP="00955704">
      <w:pPr>
        <w:tabs>
          <w:tab w:val="left" w:pos="851"/>
        </w:tabs>
        <w:ind w:left="851"/>
        <w:rPr>
          <w:sz w:val="24"/>
          <w:szCs w:val="24"/>
        </w:rPr>
      </w:pPr>
    </w:p>
    <w:p w14:paraId="5122F1E0" w14:textId="77777777" w:rsidR="007C214E" w:rsidRPr="007C214E" w:rsidRDefault="007C214E" w:rsidP="00955704">
      <w:pPr>
        <w:tabs>
          <w:tab w:val="left" w:pos="851"/>
        </w:tabs>
        <w:ind w:left="851"/>
        <w:rPr>
          <w:sz w:val="24"/>
          <w:szCs w:val="24"/>
        </w:rPr>
      </w:pPr>
      <w:r w:rsidRPr="007C214E">
        <w:rPr>
          <w:sz w:val="24"/>
          <w:szCs w:val="24"/>
        </w:rPr>
        <w:t>En lidocainopløsning må aldrig administreres intravenøst.</w:t>
      </w:r>
    </w:p>
    <w:p w14:paraId="44A60301" w14:textId="77777777" w:rsidR="007C214E" w:rsidRPr="007C214E" w:rsidRDefault="007C214E" w:rsidP="00955704">
      <w:pPr>
        <w:tabs>
          <w:tab w:val="left" w:pos="851"/>
        </w:tabs>
        <w:ind w:left="851"/>
        <w:rPr>
          <w:sz w:val="24"/>
          <w:szCs w:val="24"/>
        </w:rPr>
      </w:pPr>
      <w:bookmarkStart w:id="2" w:name="bookmark0"/>
    </w:p>
    <w:p w14:paraId="2FCE1508" w14:textId="77777777" w:rsidR="007C214E" w:rsidRPr="007C214E" w:rsidRDefault="007C214E" w:rsidP="00955704">
      <w:pPr>
        <w:tabs>
          <w:tab w:val="left" w:pos="851"/>
        </w:tabs>
        <w:ind w:left="851"/>
        <w:rPr>
          <w:sz w:val="24"/>
          <w:szCs w:val="24"/>
          <w:u w:val="single"/>
        </w:rPr>
      </w:pPr>
      <w:r w:rsidRPr="007C214E">
        <w:rPr>
          <w:sz w:val="24"/>
          <w:szCs w:val="24"/>
          <w:u w:val="single"/>
        </w:rPr>
        <w:t>Pædiatrisk population</w:t>
      </w:r>
    </w:p>
    <w:p w14:paraId="3B4DCB11" w14:textId="77777777" w:rsidR="007C214E" w:rsidRDefault="007C214E" w:rsidP="00955704">
      <w:pPr>
        <w:tabs>
          <w:tab w:val="left" w:pos="851"/>
        </w:tabs>
        <w:ind w:left="851"/>
        <w:rPr>
          <w:i/>
          <w:iCs/>
          <w:sz w:val="24"/>
          <w:szCs w:val="24"/>
        </w:rPr>
      </w:pPr>
    </w:p>
    <w:p w14:paraId="10099B51" w14:textId="242BB1B9" w:rsidR="007C214E" w:rsidRPr="007C214E" w:rsidRDefault="007C214E" w:rsidP="00955704">
      <w:pPr>
        <w:tabs>
          <w:tab w:val="left" w:pos="851"/>
        </w:tabs>
        <w:ind w:left="851"/>
        <w:rPr>
          <w:i/>
          <w:iCs/>
          <w:sz w:val="24"/>
          <w:szCs w:val="24"/>
        </w:rPr>
      </w:pPr>
      <w:r w:rsidRPr="007C214E">
        <w:rPr>
          <w:i/>
          <w:iCs/>
          <w:sz w:val="24"/>
          <w:szCs w:val="24"/>
        </w:rPr>
        <w:t>Præmature og spædbørn i alderen under 1 måned</w:t>
      </w:r>
    </w:p>
    <w:p w14:paraId="5B9829DF" w14:textId="77777777" w:rsidR="007C214E" w:rsidRPr="007C214E" w:rsidRDefault="007C214E" w:rsidP="00955704">
      <w:pPr>
        <w:tabs>
          <w:tab w:val="left" w:pos="851"/>
        </w:tabs>
        <w:ind w:left="851"/>
        <w:rPr>
          <w:sz w:val="24"/>
          <w:szCs w:val="24"/>
        </w:rPr>
      </w:pPr>
      <w:r w:rsidRPr="007C214E">
        <w:rPr>
          <w:sz w:val="24"/>
          <w:szCs w:val="24"/>
        </w:rPr>
        <w:t>Cefazolin må ikke gives til præmature og spædbørn under 1 måned, da der ikke foreligger tilstrækkelig relevant erfaring.</w:t>
      </w:r>
      <w:bookmarkEnd w:id="2"/>
    </w:p>
    <w:p w14:paraId="2C5280E9" w14:textId="77777777" w:rsidR="007C214E" w:rsidRDefault="007C214E" w:rsidP="00955704">
      <w:pPr>
        <w:tabs>
          <w:tab w:val="left" w:pos="851"/>
        </w:tabs>
        <w:ind w:left="851"/>
        <w:rPr>
          <w:sz w:val="24"/>
          <w:szCs w:val="24"/>
          <w:u w:val="single"/>
        </w:rPr>
      </w:pPr>
    </w:p>
    <w:p w14:paraId="778B39BC" w14:textId="3274223E" w:rsidR="007C214E" w:rsidRPr="007C214E" w:rsidRDefault="007C214E" w:rsidP="00955704">
      <w:pPr>
        <w:tabs>
          <w:tab w:val="left" w:pos="851"/>
        </w:tabs>
        <w:ind w:left="851"/>
        <w:rPr>
          <w:sz w:val="24"/>
          <w:szCs w:val="24"/>
          <w:u w:val="single"/>
        </w:rPr>
      </w:pPr>
      <w:r w:rsidRPr="007C214E">
        <w:rPr>
          <w:sz w:val="24"/>
          <w:szCs w:val="24"/>
          <w:u w:val="single"/>
        </w:rPr>
        <w:t>1 g pulver til injektions-/infusionsvæske, opløsning</w:t>
      </w:r>
    </w:p>
    <w:p w14:paraId="3332C674" w14:textId="77777777" w:rsidR="007C214E" w:rsidRPr="007C214E" w:rsidRDefault="007C214E" w:rsidP="00955704">
      <w:pPr>
        <w:tabs>
          <w:tab w:val="left" w:pos="851"/>
        </w:tabs>
        <w:ind w:left="851"/>
        <w:rPr>
          <w:sz w:val="24"/>
          <w:szCs w:val="24"/>
        </w:rPr>
      </w:pPr>
      <w:r w:rsidRPr="007C214E">
        <w:rPr>
          <w:sz w:val="24"/>
          <w:szCs w:val="24"/>
        </w:rPr>
        <w:t>Dette lægemiddel indeholder 50,6 mg natrium pr. hætteglas (1.000 mg), svarende til 2,5 % af den WHO anbefalede maksimale daglige indtagelse af 2 g natrium for en voksen.</w:t>
      </w:r>
    </w:p>
    <w:p w14:paraId="3DF40C02" w14:textId="77777777" w:rsidR="007C214E" w:rsidRPr="007C214E" w:rsidRDefault="007C214E" w:rsidP="00955704">
      <w:pPr>
        <w:tabs>
          <w:tab w:val="left" w:pos="851"/>
        </w:tabs>
        <w:ind w:left="851"/>
        <w:rPr>
          <w:sz w:val="24"/>
          <w:szCs w:val="24"/>
        </w:rPr>
      </w:pPr>
      <w:r w:rsidRPr="007C214E">
        <w:rPr>
          <w:sz w:val="24"/>
          <w:szCs w:val="24"/>
        </w:rPr>
        <w:t>Dette skal tages i betragtning hos patienter, der er på en kontrolleret natriumdiæt.</w:t>
      </w:r>
    </w:p>
    <w:p w14:paraId="567D8796" w14:textId="77777777" w:rsidR="007C214E" w:rsidRPr="007C214E" w:rsidRDefault="007C214E" w:rsidP="00955704">
      <w:pPr>
        <w:tabs>
          <w:tab w:val="left" w:pos="851"/>
        </w:tabs>
        <w:ind w:left="851"/>
        <w:rPr>
          <w:sz w:val="24"/>
          <w:szCs w:val="24"/>
        </w:rPr>
      </w:pPr>
    </w:p>
    <w:p w14:paraId="28C75DAF" w14:textId="77777777" w:rsidR="007C214E" w:rsidRPr="007C214E" w:rsidRDefault="007C214E" w:rsidP="00955704">
      <w:pPr>
        <w:tabs>
          <w:tab w:val="left" w:pos="851"/>
        </w:tabs>
        <w:ind w:left="851"/>
        <w:rPr>
          <w:sz w:val="24"/>
          <w:szCs w:val="24"/>
          <w:u w:val="single"/>
        </w:rPr>
      </w:pPr>
      <w:r w:rsidRPr="007C214E">
        <w:rPr>
          <w:sz w:val="24"/>
          <w:szCs w:val="24"/>
          <w:u w:val="single"/>
        </w:rPr>
        <w:t>2 g pulver til injektions-/infusionsvæske, opløsning</w:t>
      </w:r>
    </w:p>
    <w:p w14:paraId="0361D466" w14:textId="77777777" w:rsidR="007C214E" w:rsidRPr="007C214E" w:rsidRDefault="007C214E" w:rsidP="00955704">
      <w:pPr>
        <w:tabs>
          <w:tab w:val="left" w:pos="851"/>
        </w:tabs>
        <w:ind w:left="851"/>
        <w:rPr>
          <w:sz w:val="24"/>
          <w:szCs w:val="24"/>
        </w:rPr>
      </w:pPr>
      <w:r w:rsidRPr="007C214E">
        <w:rPr>
          <w:sz w:val="24"/>
          <w:szCs w:val="24"/>
        </w:rPr>
        <w:t>Dette lægemiddel indeholder 101,2 mg natrium pr. hætteglas (2.000 mg), svarende til 5 % af den WHO anbefalede maksimale daglige indtagelse af 2 g natrium for en voksen.</w:t>
      </w:r>
    </w:p>
    <w:p w14:paraId="5B1E0E04" w14:textId="77777777" w:rsidR="007C214E" w:rsidRPr="007C214E" w:rsidRDefault="007C214E" w:rsidP="00955704">
      <w:pPr>
        <w:tabs>
          <w:tab w:val="left" w:pos="851"/>
        </w:tabs>
        <w:ind w:left="851"/>
        <w:rPr>
          <w:sz w:val="24"/>
          <w:szCs w:val="24"/>
        </w:rPr>
      </w:pPr>
      <w:r w:rsidRPr="007C214E">
        <w:rPr>
          <w:sz w:val="24"/>
          <w:szCs w:val="24"/>
        </w:rPr>
        <w:t>Dette skal tages i betragtning hos patienter, der er på en kontrolleret natriumdiæt.</w:t>
      </w:r>
    </w:p>
    <w:p w14:paraId="6FF78816" w14:textId="77777777" w:rsidR="009260DE" w:rsidRPr="00C84483" w:rsidRDefault="009260DE" w:rsidP="00955704">
      <w:pPr>
        <w:tabs>
          <w:tab w:val="left" w:pos="851"/>
        </w:tabs>
        <w:ind w:left="851"/>
        <w:rPr>
          <w:sz w:val="24"/>
          <w:szCs w:val="24"/>
        </w:rPr>
      </w:pPr>
    </w:p>
    <w:p w14:paraId="062C94CE" w14:textId="77777777" w:rsidR="009260DE" w:rsidRPr="00C84483" w:rsidRDefault="009260DE" w:rsidP="00955704">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EC59E7C" w14:textId="77777777" w:rsidR="004B1404" w:rsidRDefault="004B1404" w:rsidP="00955704">
      <w:pPr>
        <w:tabs>
          <w:tab w:val="left" w:pos="851"/>
        </w:tabs>
        <w:ind w:left="851"/>
        <w:rPr>
          <w:sz w:val="24"/>
          <w:szCs w:val="24"/>
          <w:u w:val="single"/>
        </w:rPr>
      </w:pPr>
    </w:p>
    <w:p w14:paraId="59465017" w14:textId="5ED43A18" w:rsidR="004B1404" w:rsidRPr="004B1404" w:rsidRDefault="004B1404" w:rsidP="00955704">
      <w:pPr>
        <w:tabs>
          <w:tab w:val="left" w:pos="851"/>
        </w:tabs>
        <w:ind w:left="851"/>
        <w:rPr>
          <w:sz w:val="24"/>
          <w:szCs w:val="24"/>
          <w:u w:val="single"/>
        </w:rPr>
      </w:pPr>
      <w:r w:rsidRPr="004B1404">
        <w:rPr>
          <w:sz w:val="24"/>
          <w:szCs w:val="24"/>
          <w:u w:val="single"/>
        </w:rPr>
        <w:t>Antibiotika</w:t>
      </w:r>
    </w:p>
    <w:p w14:paraId="797B784A" w14:textId="77777777" w:rsidR="004B1404" w:rsidRPr="004B1404" w:rsidRDefault="004B1404" w:rsidP="00955704">
      <w:pPr>
        <w:tabs>
          <w:tab w:val="left" w:pos="851"/>
        </w:tabs>
        <w:ind w:left="851"/>
        <w:rPr>
          <w:sz w:val="24"/>
          <w:szCs w:val="24"/>
        </w:rPr>
      </w:pPr>
      <w:r w:rsidRPr="004B1404">
        <w:rPr>
          <w:sz w:val="24"/>
          <w:szCs w:val="24"/>
        </w:rPr>
        <w:t xml:space="preserve">Ved samtidig anvendelse med cefazolin skal mulige </w:t>
      </w:r>
      <w:r w:rsidRPr="004B1404">
        <w:rPr>
          <w:i/>
          <w:iCs/>
          <w:sz w:val="24"/>
          <w:szCs w:val="24"/>
        </w:rPr>
        <w:t>in vitro</w:t>
      </w:r>
      <w:r w:rsidRPr="004B1404">
        <w:rPr>
          <w:sz w:val="24"/>
          <w:szCs w:val="24"/>
        </w:rPr>
        <w:t>-observerede antagonistiske virkninger af bakteriostatiske antibiotika (f.eks. tetracykliner, sulfonamider, erythromycin, chloramphenicol) tages i betragtning.</w:t>
      </w:r>
    </w:p>
    <w:p w14:paraId="7EA35251" w14:textId="77777777" w:rsidR="004B1404" w:rsidRDefault="004B1404" w:rsidP="00955704">
      <w:pPr>
        <w:tabs>
          <w:tab w:val="left" w:pos="851"/>
        </w:tabs>
        <w:ind w:left="851"/>
        <w:rPr>
          <w:sz w:val="24"/>
          <w:szCs w:val="24"/>
          <w:u w:val="single"/>
        </w:rPr>
      </w:pPr>
    </w:p>
    <w:p w14:paraId="10C2AB58" w14:textId="4E5DC6E0" w:rsidR="004B1404" w:rsidRPr="004B1404" w:rsidRDefault="004B1404" w:rsidP="00955704">
      <w:pPr>
        <w:tabs>
          <w:tab w:val="left" w:pos="851"/>
        </w:tabs>
        <w:ind w:left="851"/>
        <w:rPr>
          <w:sz w:val="24"/>
          <w:szCs w:val="24"/>
          <w:u w:val="single"/>
        </w:rPr>
      </w:pPr>
      <w:r w:rsidRPr="004B1404">
        <w:rPr>
          <w:sz w:val="24"/>
          <w:szCs w:val="24"/>
          <w:u w:val="single"/>
        </w:rPr>
        <w:t>Probenecid</w:t>
      </w:r>
    </w:p>
    <w:p w14:paraId="1733F735" w14:textId="77777777" w:rsidR="004B1404" w:rsidRPr="004B1404" w:rsidRDefault="004B1404" w:rsidP="00955704">
      <w:pPr>
        <w:tabs>
          <w:tab w:val="left" w:pos="851"/>
        </w:tabs>
        <w:ind w:left="851"/>
        <w:rPr>
          <w:sz w:val="24"/>
          <w:szCs w:val="24"/>
        </w:rPr>
      </w:pPr>
      <w:r w:rsidRPr="004B1404">
        <w:rPr>
          <w:sz w:val="24"/>
          <w:szCs w:val="24"/>
        </w:rPr>
        <w:t>Den renale udskillelse af cefazolin reduceres ved samtidig administration med probenecid.</w:t>
      </w:r>
    </w:p>
    <w:p w14:paraId="5EAE2644" w14:textId="77777777" w:rsidR="004B1404" w:rsidRDefault="004B1404" w:rsidP="00955704">
      <w:pPr>
        <w:tabs>
          <w:tab w:val="left" w:pos="851"/>
        </w:tabs>
        <w:ind w:left="851"/>
        <w:rPr>
          <w:sz w:val="24"/>
          <w:szCs w:val="24"/>
          <w:u w:val="single"/>
        </w:rPr>
      </w:pPr>
    </w:p>
    <w:p w14:paraId="3F9F747C" w14:textId="5A99F08D" w:rsidR="004B1404" w:rsidRPr="004B1404" w:rsidRDefault="004B1404" w:rsidP="00955704">
      <w:pPr>
        <w:tabs>
          <w:tab w:val="left" w:pos="851"/>
        </w:tabs>
        <w:ind w:left="851"/>
        <w:rPr>
          <w:sz w:val="24"/>
          <w:szCs w:val="24"/>
          <w:u w:val="single"/>
        </w:rPr>
      </w:pPr>
      <w:r w:rsidRPr="004B1404">
        <w:rPr>
          <w:sz w:val="24"/>
          <w:szCs w:val="24"/>
          <w:u w:val="single"/>
        </w:rPr>
        <w:t>K1</w:t>
      </w:r>
      <w:r w:rsidRPr="004B1404">
        <w:rPr>
          <w:sz w:val="24"/>
          <w:szCs w:val="24"/>
          <w:u w:val="single"/>
        </w:rPr>
        <w:noBreakHyphen/>
        <w:t>vitamin</w:t>
      </w:r>
    </w:p>
    <w:p w14:paraId="634496C8" w14:textId="77777777" w:rsidR="004B1404" w:rsidRPr="004B1404" w:rsidRDefault="004B1404" w:rsidP="00955704">
      <w:pPr>
        <w:tabs>
          <w:tab w:val="left" w:pos="851"/>
        </w:tabs>
        <w:ind w:left="851"/>
        <w:rPr>
          <w:sz w:val="24"/>
          <w:szCs w:val="24"/>
        </w:rPr>
      </w:pPr>
      <w:r w:rsidRPr="004B1404">
        <w:rPr>
          <w:sz w:val="24"/>
          <w:szCs w:val="24"/>
        </w:rPr>
        <w:t>Visse cefalosporiner, såsom cefamandol, cefazolin og cefotetan, kan påvirke K1</w:t>
      </w:r>
      <w:r w:rsidRPr="004B1404">
        <w:rPr>
          <w:sz w:val="24"/>
          <w:szCs w:val="24"/>
        </w:rPr>
        <w:noBreakHyphen/>
        <w:t>vitamin-omsætningen, især ved K1</w:t>
      </w:r>
      <w:r w:rsidRPr="004B1404">
        <w:rPr>
          <w:sz w:val="24"/>
          <w:szCs w:val="24"/>
        </w:rPr>
        <w:noBreakHyphen/>
        <w:t>vitamin-mangel. Dette kan nødvendiggøre tilskud af K1</w:t>
      </w:r>
      <w:r w:rsidRPr="004B1404">
        <w:rPr>
          <w:sz w:val="24"/>
          <w:szCs w:val="24"/>
        </w:rPr>
        <w:noBreakHyphen/>
        <w:t>vitamin.</w:t>
      </w:r>
    </w:p>
    <w:p w14:paraId="21B4B370" w14:textId="77777777" w:rsidR="004B1404" w:rsidRDefault="004B1404" w:rsidP="00955704">
      <w:pPr>
        <w:tabs>
          <w:tab w:val="left" w:pos="851"/>
        </w:tabs>
        <w:ind w:left="851"/>
        <w:rPr>
          <w:sz w:val="24"/>
          <w:szCs w:val="24"/>
          <w:u w:val="single"/>
        </w:rPr>
      </w:pPr>
    </w:p>
    <w:p w14:paraId="59595969" w14:textId="59FEDEC3" w:rsidR="004B1404" w:rsidRPr="004B1404" w:rsidRDefault="004B1404" w:rsidP="00955704">
      <w:pPr>
        <w:tabs>
          <w:tab w:val="left" w:pos="851"/>
        </w:tabs>
        <w:ind w:left="851"/>
        <w:rPr>
          <w:sz w:val="24"/>
          <w:szCs w:val="24"/>
          <w:u w:val="single"/>
        </w:rPr>
      </w:pPr>
      <w:r w:rsidRPr="004B1404">
        <w:rPr>
          <w:sz w:val="24"/>
          <w:szCs w:val="24"/>
          <w:u w:val="single"/>
        </w:rPr>
        <w:t>Antikoagulantia</w:t>
      </w:r>
    </w:p>
    <w:p w14:paraId="53C7FA6B" w14:textId="77777777" w:rsidR="004B1404" w:rsidRPr="004B1404" w:rsidRDefault="004B1404" w:rsidP="00955704">
      <w:pPr>
        <w:tabs>
          <w:tab w:val="left" w:pos="851"/>
        </w:tabs>
        <w:ind w:left="851"/>
        <w:rPr>
          <w:sz w:val="24"/>
          <w:szCs w:val="24"/>
        </w:rPr>
      </w:pPr>
      <w:r w:rsidRPr="004B1404">
        <w:rPr>
          <w:sz w:val="24"/>
          <w:szCs w:val="24"/>
        </w:rPr>
        <w:t>Cefalosporiner kan i meget sjældne tilfælde medføre koagulationsforstyrrelser (se pkt. 4.4). Ved samtidig anvendelse af antikoagulantia (f.eks. warfarin eller heparin) i høje doser skal koagulationsparametrene overvåges. Der er i mange tilfælde rapporteret øget antikoagulerende virkning af orale antikoagulantia hos patienter, der behandles med antibiotika. Infektion og inflammation, alder samt patientens almene tilstand udgør sandsynligvis risikofaktorer.</w:t>
      </w:r>
    </w:p>
    <w:p w14:paraId="39DEBC94" w14:textId="77777777" w:rsidR="004B1404" w:rsidRPr="004B1404" w:rsidRDefault="004B1404" w:rsidP="00955704">
      <w:pPr>
        <w:tabs>
          <w:tab w:val="left" w:pos="851"/>
        </w:tabs>
        <w:ind w:left="851"/>
        <w:rPr>
          <w:sz w:val="24"/>
          <w:szCs w:val="24"/>
        </w:rPr>
      </w:pPr>
      <w:r w:rsidRPr="004B1404">
        <w:rPr>
          <w:sz w:val="24"/>
          <w:szCs w:val="24"/>
        </w:rPr>
        <w:t>Under disse omstændigheder er det vanskeligt at fastslå, hvilken rolle den infektiøse sygdom og dens behandling spiller, når der opstår INR</w:t>
      </w:r>
      <w:r w:rsidRPr="004B1404">
        <w:rPr>
          <w:sz w:val="24"/>
          <w:szCs w:val="24"/>
        </w:rPr>
        <w:noBreakHyphen/>
        <w:t>ubalance. Dog synes visse antibiotikaklasser hyppigere at være involveret, især fluorquinoloner, makrolider, tetracykliner, co-trimoxazol og visse cefalosporiner.</w:t>
      </w:r>
    </w:p>
    <w:p w14:paraId="30F54E36" w14:textId="77777777" w:rsidR="004B1404" w:rsidRPr="004B1404" w:rsidRDefault="004B1404" w:rsidP="00955704">
      <w:pPr>
        <w:tabs>
          <w:tab w:val="left" w:pos="851"/>
        </w:tabs>
        <w:ind w:left="851"/>
        <w:rPr>
          <w:sz w:val="24"/>
          <w:szCs w:val="24"/>
        </w:rPr>
      </w:pPr>
    </w:p>
    <w:p w14:paraId="4DC63C4B" w14:textId="2C5485F0" w:rsidR="004B1404" w:rsidRPr="004B1404" w:rsidRDefault="004B1404" w:rsidP="00955704">
      <w:pPr>
        <w:tabs>
          <w:tab w:val="left" w:pos="851"/>
        </w:tabs>
        <w:ind w:left="851"/>
        <w:rPr>
          <w:sz w:val="24"/>
          <w:szCs w:val="24"/>
          <w:u w:val="single"/>
        </w:rPr>
      </w:pPr>
      <w:r w:rsidRPr="004B1404">
        <w:rPr>
          <w:sz w:val="24"/>
          <w:szCs w:val="24"/>
          <w:u w:val="single"/>
        </w:rPr>
        <w:t>Nefrotoksiske stoffer</w:t>
      </w:r>
    </w:p>
    <w:p w14:paraId="4903D872" w14:textId="77777777" w:rsidR="004B1404" w:rsidRPr="004B1404" w:rsidRDefault="004B1404" w:rsidP="00955704">
      <w:pPr>
        <w:tabs>
          <w:tab w:val="left" w:pos="851"/>
        </w:tabs>
        <w:ind w:left="851"/>
        <w:rPr>
          <w:sz w:val="24"/>
          <w:szCs w:val="24"/>
        </w:rPr>
      </w:pPr>
      <w:r w:rsidRPr="004B1404">
        <w:rPr>
          <w:sz w:val="24"/>
          <w:szCs w:val="24"/>
        </w:rPr>
        <w:t>Det kan ikke udelukkes, at den nefrotoksiske effekt af antibiotika (f.eks. aminoglykosider, colistin, polymyxin B), jodholdige kontrastmidler, organoplatinforbindelser, højdosis methotrexat, visse antivirale lægemidler (f.eks. aciclovir, foscarnet), pentamidin, ciclosporin, tacrolimus og diuretika (f.eks. furosemid) øges.</w:t>
      </w:r>
    </w:p>
    <w:p w14:paraId="33936708" w14:textId="77777777" w:rsidR="004B1404" w:rsidRPr="004B1404" w:rsidRDefault="004B1404" w:rsidP="00955704">
      <w:pPr>
        <w:tabs>
          <w:tab w:val="left" w:pos="851"/>
        </w:tabs>
        <w:ind w:left="851"/>
        <w:rPr>
          <w:sz w:val="24"/>
          <w:szCs w:val="24"/>
        </w:rPr>
      </w:pPr>
      <w:r w:rsidRPr="004B1404">
        <w:rPr>
          <w:sz w:val="24"/>
          <w:szCs w:val="24"/>
        </w:rPr>
        <w:t>Ved samtidig administration med cefazolin skal nyrefunktionen monitoreres nøje.</w:t>
      </w:r>
    </w:p>
    <w:p w14:paraId="38E45AAD" w14:textId="77777777" w:rsidR="004B1404" w:rsidRPr="004B1404" w:rsidRDefault="004B1404" w:rsidP="00955704">
      <w:pPr>
        <w:tabs>
          <w:tab w:val="left" w:pos="851"/>
        </w:tabs>
        <w:ind w:left="851"/>
        <w:rPr>
          <w:sz w:val="24"/>
          <w:szCs w:val="24"/>
        </w:rPr>
      </w:pPr>
    </w:p>
    <w:p w14:paraId="2B775E3D" w14:textId="77777777" w:rsidR="004B1404" w:rsidRPr="004B1404" w:rsidRDefault="004B1404" w:rsidP="00955704">
      <w:pPr>
        <w:tabs>
          <w:tab w:val="left" w:pos="851"/>
        </w:tabs>
        <w:ind w:left="851"/>
        <w:rPr>
          <w:sz w:val="24"/>
          <w:szCs w:val="24"/>
          <w:u w:val="single"/>
        </w:rPr>
      </w:pPr>
      <w:r w:rsidRPr="004B1404">
        <w:rPr>
          <w:sz w:val="24"/>
          <w:szCs w:val="24"/>
          <w:u w:val="single"/>
        </w:rPr>
        <w:t>Laboratorieundersøgelser</w:t>
      </w:r>
    </w:p>
    <w:p w14:paraId="1D671744" w14:textId="77777777" w:rsidR="004B1404" w:rsidRPr="004B1404" w:rsidRDefault="004B1404" w:rsidP="00955704">
      <w:pPr>
        <w:tabs>
          <w:tab w:val="left" w:pos="851"/>
        </w:tabs>
        <w:ind w:left="851"/>
        <w:rPr>
          <w:sz w:val="24"/>
          <w:szCs w:val="24"/>
        </w:rPr>
      </w:pPr>
      <w:r w:rsidRPr="004B1404">
        <w:rPr>
          <w:sz w:val="24"/>
          <w:szCs w:val="24"/>
        </w:rPr>
        <w:t>Ved brug af Benedicts opløsning eller Fehlings opløsning kan der forekomme falsk-positive reaktioner for glukose i urin hos patienter i behandling med cefazolin. Cefazolin påvirker ikke enzymatiske målinger af glukose i urin.</w:t>
      </w:r>
    </w:p>
    <w:p w14:paraId="16F43BA9" w14:textId="77777777" w:rsidR="004B1404" w:rsidRPr="004B1404" w:rsidRDefault="004B1404" w:rsidP="00955704">
      <w:pPr>
        <w:tabs>
          <w:tab w:val="left" w:pos="851"/>
        </w:tabs>
        <w:ind w:left="851"/>
        <w:rPr>
          <w:sz w:val="24"/>
          <w:szCs w:val="24"/>
        </w:rPr>
      </w:pPr>
      <w:r w:rsidRPr="004B1404">
        <w:rPr>
          <w:sz w:val="24"/>
          <w:szCs w:val="24"/>
        </w:rPr>
        <w:t>Den indirekte og direkte Coombs-test kan ligeledes give falsk-positive resultater. Dette kan også gælde for nyfødte, hvis mødre har været i behandling med cefalosporiner.</w:t>
      </w:r>
    </w:p>
    <w:p w14:paraId="1E05A1F2" w14:textId="77777777" w:rsidR="009260DE" w:rsidRPr="00C84483" w:rsidRDefault="009260DE" w:rsidP="00955704">
      <w:pPr>
        <w:tabs>
          <w:tab w:val="left" w:pos="851"/>
        </w:tabs>
        <w:ind w:left="851"/>
        <w:rPr>
          <w:sz w:val="24"/>
          <w:szCs w:val="24"/>
        </w:rPr>
      </w:pPr>
    </w:p>
    <w:p w14:paraId="59228BC4" w14:textId="77777777" w:rsidR="009260DE" w:rsidRPr="00C84483" w:rsidRDefault="009260DE" w:rsidP="00955704">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5CAF570" w14:textId="77777777" w:rsidR="00983F3F" w:rsidRDefault="00983F3F" w:rsidP="00955704">
      <w:pPr>
        <w:tabs>
          <w:tab w:val="left" w:pos="851"/>
        </w:tabs>
        <w:ind w:left="851"/>
        <w:rPr>
          <w:sz w:val="24"/>
          <w:szCs w:val="24"/>
          <w:u w:val="single"/>
        </w:rPr>
      </w:pPr>
    </w:p>
    <w:p w14:paraId="580767BE" w14:textId="6833C9A0" w:rsidR="00983F3F" w:rsidRPr="00983F3F" w:rsidRDefault="00983F3F" w:rsidP="00955704">
      <w:pPr>
        <w:tabs>
          <w:tab w:val="left" w:pos="851"/>
        </w:tabs>
        <w:ind w:left="851"/>
        <w:rPr>
          <w:sz w:val="24"/>
          <w:szCs w:val="24"/>
          <w:u w:val="single"/>
        </w:rPr>
      </w:pPr>
      <w:r w:rsidRPr="00983F3F">
        <w:rPr>
          <w:sz w:val="24"/>
          <w:szCs w:val="24"/>
          <w:u w:val="single"/>
        </w:rPr>
        <w:t>Graviditet</w:t>
      </w:r>
    </w:p>
    <w:p w14:paraId="2F23D578" w14:textId="77777777" w:rsidR="00983F3F" w:rsidRPr="00983F3F" w:rsidRDefault="00983F3F" w:rsidP="00955704">
      <w:pPr>
        <w:tabs>
          <w:tab w:val="left" w:pos="851"/>
        </w:tabs>
        <w:ind w:left="851"/>
        <w:rPr>
          <w:sz w:val="24"/>
          <w:szCs w:val="24"/>
        </w:rPr>
      </w:pPr>
      <w:r w:rsidRPr="00983F3F">
        <w:rPr>
          <w:sz w:val="24"/>
          <w:szCs w:val="24"/>
        </w:rPr>
        <w:t xml:space="preserve">Dyreforsøg indikerer hverken direkte eller indirekte skadelige virkninger hvad angår reproduktionstoksicitet. </w:t>
      </w:r>
    </w:p>
    <w:p w14:paraId="0CC1273A" w14:textId="77777777" w:rsidR="00983F3F" w:rsidRPr="00983F3F" w:rsidRDefault="00983F3F" w:rsidP="00955704">
      <w:pPr>
        <w:tabs>
          <w:tab w:val="left" w:pos="851"/>
        </w:tabs>
        <w:ind w:left="851"/>
        <w:rPr>
          <w:sz w:val="24"/>
          <w:szCs w:val="24"/>
        </w:rPr>
      </w:pPr>
    </w:p>
    <w:p w14:paraId="690A8C3F" w14:textId="77777777" w:rsidR="00983F3F" w:rsidRPr="00983F3F" w:rsidRDefault="00983F3F" w:rsidP="00955704">
      <w:pPr>
        <w:tabs>
          <w:tab w:val="left" w:pos="851"/>
        </w:tabs>
        <w:ind w:left="851"/>
        <w:rPr>
          <w:sz w:val="24"/>
          <w:szCs w:val="24"/>
        </w:rPr>
      </w:pPr>
      <w:r w:rsidRPr="00983F3F">
        <w:rPr>
          <w:sz w:val="24"/>
          <w:szCs w:val="24"/>
        </w:rPr>
        <w:t>Cefazolin "Noridem" bør kun anvendes under graviditet, især i første trimester, efter en omhyggelig vurdering af fordele og risici, da der er utilstrækkelig erfaring, og cefazolin passerer placenta.</w:t>
      </w:r>
    </w:p>
    <w:p w14:paraId="54B34538" w14:textId="77777777" w:rsidR="00983F3F" w:rsidRPr="00983F3F" w:rsidRDefault="00983F3F" w:rsidP="00955704">
      <w:pPr>
        <w:tabs>
          <w:tab w:val="left" w:pos="851"/>
        </w:tabs>
        <w:ind w:left="851"/>
        <w:rPr>
          <w:sz w:val="24"/>
          <w:szCs w:val="24"/>
        </w:rPr>
      </w:pPr>
      <w:r w:rsidRPr="00983F3F">
        <w:rPr>
          <w:sz w:val="24"/>
          <w:szCs w:val="24"/>
        </w:rPr>
        <w:t xml:space="preserve">Anvendelse af cefazolin under graviditet bør undgås, medmindre det er absolut nødvendigt. </w:t>
      </w:r>
    </w:p>
    <w:p w14:paraId="7C736A9A" w14:textId="77777777" w:rsidR="00983F3F" w:rsidRPr="00983F3F" w:rsidRDefault="00983F3F" w:rsidP="00955704">
      <w:pPr>
        <w:tabs>
          <w:tab w:val="left" w:pos="851"/>
        </w:tabs>
        <w:ind w:left="851"/>
        <w:rPr>
          <w:b/>
          <w:sz w:val="24"/>
          <w:szCs w:val="24"/>
        </w:rPr>
      </w:pPr>
    </w:p>
    <w:p w14:paraId="72CDA069" w14:textId="77777777" w:rsidR="00983F3F" w:rsidRPr="00983F3F" w:rsidRDefault="00983F3F" w:rsidP="00955704">
      <w:pPr>
        <w:tabs>
          <w:tab w:val="left" w:pos="851"/>
        </w:tabs>
        <w:ind w:left="851"/>
        <w:rPr>
          <w:sz w:val="24"/>
          <w:szCs w:val="24"/>
          <w:u w:val="single"/>
        </w:rPr>
      </w:pPr>
      <w:r w:rsidRPr="00983F3F">
        <w:rPr>
          <w:sz w:val="24"/>
          <w:szCs w:val="24"/>
          <w:u w:val="single"/>
        </w:rPr>
        <w:t>Amning</w:t>
      </w:r>
    </w:p>
    <w:p w14:paraId="558FCFC2" w14:textId="77777777" w:rsidR="00983F3F" w:rsidRPr="00983F3F" w:rsidRDefault="00983F3F" w:rsidP="00955704">
      <w:pPr>
        <w:tabs>
          <w:tab w:val="left" w:pos="851"/>
        </w:tabs>
        <w:ind w:left="851"/>
        <w:rPr>
          <w:sz w:val="24"/>
          <w:szCs w:val="24"/>
        </w:rPr>
      </w:pPr>
      <w:r w:rsidRPr="00983F3F">
        <w:rPr>
          <w:sz w:val="24"/>
          <w:szCs w:val="24"/>
        </w:rPr>
        <w:t xml:space="preserve">Cefazolin udskilles i human mælk i meget lave koncentrationer og bør derfor kun anvendes efter en omhyggelig vurdering fordele og ulemper. Hvis der opstår diarré eller candidiasis hos det ammede barn, skal det besluttes, om amning af barnet skal ophøre eller behandling med cefazolin skal seponeres. </w:t>
      </w:r>
    </w:p>
    <w:p w14:paraId="092229CF" w14:textId="77777777" w:rsidR="00983F3F" w:rsidRPr="00983F3F" w:rsidRDefault="00983F3F" w:rsidP="00955704">
      <w:pPr>
        <w:tabs>
          <w:tab w:val="left" w:pos="851"/>
        </w:tabs>
        <w:ind w:left="851"/>
        <w:rPr>
          <w:sz w:val="24"/>
          <w:szCs w:val="24"/>
        </w:rPr>
      </w:pPr>
    </w:p>
    <w:p w14:paraId="7EAAA5FD" w14:textId="77777777" w:rsidR="00983F3F" w:rsidRPr="00983F3F" w:rsidRDefault="00983F3F" w:rsidP="00955704">
      <w:pPr>
        <w:tabs>
          <w:tab w:val="left" w:pos="851"/>
        </w:tabs>
        <w:ind w:left="851"/>
        <w:rPr>
          <w:sz w:val="24"/>
          <w:szCs w:val="24"/>
          <w:u w:val="single"/>
        </w:rPr>
      </w:pPr>
      <w:r w:rsidRPr="00983F3F">
        <w:rPr>
          <w:sz w:val="24"/>
          <w:szCs w:val="24"/>
          <w:u w:val="single"/>
        </w:rPr>
        <w:t>Fertilitet</w:t>
      </w:r>
    </w:p>
    <w:p w14:paraId="73AED929" w14:textId="77777777" w:rsidR="00983F3F" w:rsidRPr="00983F3F" w:rsidRDefault="00983F3F" w:rsidP="00955704">
      <w:pPr>
        <w:tabs>
          <w:tab w:val="left" w:pos="851"/>
        </w:tabs>
        <w:ind w:left="851"/>
        <w:rPr>
          <w:sz w:val="24"/>
          <w:szCs w:val="24"/>
        </w:rPr>
      </w:pPr>
      <w:r w:rsidRPr="00983F3F">
        <w:rPr>
          <w:sz w:val="24"/>
          <w:szCs w:val="24"/>
        </w:rPr>
        <w:t>Dyreforsøg indikerer ingen påvirkning af fertiliteten.</w:t>
      </w:r>
    </w:p>
    <w:p w14:paraId="723CD146" w14:textId="77777777" w:rsidR="009260DE" w:rsidRPr="00C84483" w:rsidRDefault="009260DE" w:rsidP="00955704">
      <w:pPr>
        <w:tabs>
          <w:tab w:val="left" w:pos="851"/>
        </w:tabs>
        <w:ind w:left="851"/>
        <w:rPr>
          <w:sz w:val="24"/>
          <w:szCs w:val="24"/>
        </w:rPr>
      </w:pPr>
    </w:p>
    <w:p w14:paraId="223560D2" w14:textId="77777777" w:rsidR="009260DE" w:rsidRPr="00C84483" w:rsidRDefault="009260DE" w:rsidP="00955704">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E926AAB" w14:textId="77777777" w:rsidR="00BF0A7C" w:rsidRDefault="00BF0A7C" w:rsidP="00955704">
      <w:pPr>
        <w:tabs>
          <w:tab w:val="left" w:pos="851"/>
        </w:tabs>
        <w:ind w:left="851"/>
        <w:rPr>
          <w:sz w:val="24"/>
          <w:szCs w:val="24"/>
        </w:rPr>
      </w:pPr>
      <w:r>
        <w:rPr>
          <w:sz w:val="24"/>
          <w:szCs w:val="24"/>
        </w:rPr>
        <w:t>Ikke mærkning.</w:t>
      </w:r>
    </w:p>
    <w:p w14:paraId="10A1FE9E" w14:textId="1D1F8DDF" w:rsidR="00983F3F" w:rsidRPr="00983F3F" w:rsidRDefault="00983F3F" w:rsidP="00955704">
      <w:pPr>
        <w:tabs>
          <w:tab w:val="left" w:pos="851"/>
        </w:tabs>
        <w:ind w:left="851"/>
        <w:rPr>
          <w:sz w:val="24"/>
          <w:szCs w:val="24"/>
        </w:rPr>
      </w:pPr>
      <w:r w:rsidRPr="00983F3F">
        <w:rPr>
          <w:sz w:val="24"/>
          <w:szCs w:val="24"/>
        </w:rPr>
        <w:t>Cefazolin påvirker ikke evnen til at føre motorkøretøj og betjene maskiner. Der kan imidlertid forekomme bivirkninger (se også pkt. 4.8), som kan påvirke evnen til at føre motorkøretøj og betjene maskiner.</w:t>
      </w:r>
    </w:p>
    <w:p w14:paraId="6C54B064" w14:textId="77777777" w:rsidR="009260DE" w:rsidRPr="00C84483" w:rsidRDefault="009260DE" w:rsidP="00955704">
      <w:pPr>
        <w:tabs>
          <w:tab w:val="left" w:pos="851"/>
        </w:tabs>
        <w:ind w:left="851"/>
        <w:rPr>
          <w:sz w:val="24"/>
          <w:szCs w:val="24"/>
        </w:rPr>
      </w:pPr>
    </w:p>
    <w:p w14:paraId="07FFD65B" w14:textId="77777777" w:rsidR="009260DE" w:rsidRPr="00C84483" w:rsidRDefault="009260DE" w:rsidP="00955704">
      <w:pPr>
        <w:tabs>
          <w:tab w:val="left" w:pos="851"/>
        </w:tabs>
        <w:ind w:left="851" w:hanging="851"/>
        <w:rPr>
          <w:b/>
          <w:sz w:val="24"/>
          <w:szCs w:val="24"/>
        </w:rPr>
      </w:pPr>
      <w:r w:rsidRPr="00C84483">
        <w:rPr>
          <w:b/>
          <w:sz w:val="24"/>
          <w:szCs w:val="24"/>
        </w:rPr>
        <w:t>4.8</w:t>
      </w:r>
      <w:r w:rsidRPr="00C84483">
        <w:rPr>
          <w:b/>
          <w:sz w:val="24"/>
          <w:szCs w:val="24"/>
        </w:rPr>
        <w:tab/>
        <w:t>Bivirkninger</w:t>
      </w:r>
    </w:p>
    <w:p w14:paraId="7A48A3D7" w14:textId="321306FA" w:rsidR="00983F3F" w:rsidRDefault="00983F3F" w:rsidP="00955704">
      <w:pPr>
        <w:widowControl w:val="0"/>
        <w:tabs>
          <w:tab w:val="left" w:pos="851"/>
        </w:tabs>
        <w:ind w:left="851"/>
        <w:rPr>
          <w:sz w:val="24"/>
          <w:szCs w:val="24"/>
        </w:rPr>
      </w:pPr>
      <w:bookmarkStart w:id="3" w:name="_Hlk167114060"/>
      <w:r w:rsidRPr="00983F3F">
        <w:rPr>
          <w:sz w:val="24"/>
          <w:szCs w:val="24"/>
        </w:rPr>
        <w:t>Inden for hver hyppighedskategori er bivirkningerne anført i rækkefølge efter aftagende alvorlighed. Hyppigheden af bivirkninger er kategoriseret som følger:</w:t>
      </w:r>
    </w:p>
    <w:p w14:paraId="1EFF6B08" w14:textId="77777777" w:rsidR="00BF0A7C" w:rsidRPr="00983F3F" w:rsidRDefault="00BF0A7C" w:rsidP="00955704">
      <w:pPr>
        <w:widowControl w:val="0"/>
        <w:tabs>
          <w:tab w:val="left" w:pos="851"/>
        </w:tabs>
        <w:ind w:left="851"/>
        <w:rPr>
          <w:rFonts w:eastAsia="Courier New"/>
          <w:sz w:val="24"/>
          <w:szCs w:val="24"/>
        </w:rPr>
      </w:pPr>
    </w:p>
    <w:p w14:paraId="4FC25DA0" w14:textId="77777777" w:rsidR="00983F3F" w:rsidRPr="00983F3F" w:rsidRDefault="00983F3F" w:rsidP="00955704">
      <w:pPr>
        <w:widowControl w:val="0"/>
        <w:tabs>
          <w:tab w:val="left" w:pos="851"/>
        </w:tabs>
        <w:ind w:left="851"/>
        <w:rPr>
          <w:rFonts w:eastAsia="Courier New"/>
          <w:sz w:val="24"/>
          <w:szCs w:val="24"/>
        </w:rPr>
      </w:pPr>
      <w:r w:rsidRPr="00983F3F">
        <w:rPr>
          <w:sz w:val="24"/>
          <w:szCs w:val="24"/>
        </w:rPr>
        <w:t>Meget almindelig (≥ 1/10)</w:t>
      </w:r>
    </w:p>
    <w:p w14:paraId="6E8E99F7" w14:textId="77777777" w:rsidR="00983F3F" w:rsidRPr="00983F3F" w:rsidRDefault="00983F3F" w:rsidP="00955704">
      <w:pPr>
        <w:widowControl w:val="0"/>
        <w:tabs>
          <w:tab w:val="left" w:pos="851"/>
        </w:tabs>
        <w:ind w:left="851"/>
        <w:rPr>
          <w:rFonts w:eastAsia="Courier New"/>
          <w:sz w:val="24"/>
          <w:szCs w:val="24"/>
        </w:rPr>
      </w:pPr>
      <w:r w:rsidRPr="00983F3F">
        <w:rPr>
          <w:sz w:val="24"/>
          <w:szCs w:val="24"/>
        </w:rPr>
        <w:t>Almindelig (≥ 1/100 til &lt; 1/10)</w:t>
      </w:r>
    </w:p>
    <w:p w14:paraId="6FB58693" w14:textId="77777777" w:rsidR="00983F3F" w:rsidRPr="00983F3F" w:rsidRDefault="00983F3F" w:rsidP="00955704">
      <w:pPr>
        <w:widowControl w:val="0"/>
        <w:tabs>
          <w:tab w:val="left" w:pos="851"/>
        </w:tabs>
        <w:ind w:left="851"/>
        <w:rPr>
          <w:rFonts w:eastAsia="Courier New"/>
          <w:sz w:val="24"/>
          <w:szCs w:val="24"/>
        </w:rPr>
      </w:pPr>
      <w:r w:rsidRPr="00983F3F">
        <w:rPr>
          <w:sz w:val="24"/>
          <w:szCs w:val="24"/>
        </w:rPr>
        <w:t>Ikke almindelig (≥ 1/1.000 til &lt; 1/100)</w:t>
      </w:r>
    </w:p>
    <w:p w14:paraId="21F89A55" w14:textId="77777777" w:rsidR="00983F3F" w:rsidRPr="00983F3F" w:rsidRDefault="00983F3F" w:rsidP="00955704">
      <w:pPr>
        <w:widowControl w:val="0"/>
        <w:tabs>
          <w:tab w:val="left" w:pos="851"/>
        </w:tabs>
        <w:ind w:left="851"/>
        <w:rPr>
          <w:rFonts w:eastAsia="Courier New"/>
          <w:sz w:val="24"/>
          <w:szCs w:val="24"/>
        </w:rPr>
      </w:pPr>
      <w:r w:rsidRPr="00983F3F">
        <w:rPr>
          <w:sz w:val="24"/>
          <w:szCs w:val="24"/>
        </w:rPr>
        <w:t>Sjælden (≥ 1/10.000 til &lt; 1/1.000)</w:t>
      </w:r>
    </w:p>
    <w:p w14:paraId="59457C21" w14:textId="77777777" w:rsidR="00983F3F" w:rsidRPr="00983F3F" w:rsidRDefault="00983F3F" w:rsidP="00955704">
      <w:pPr>
        <w:widowControl w:val="0"/>
        <w:tabs>
          <w:tab w:val="left" w:pos="851"/>
        </w:tabs>
        <w:ind w:left="851"/>
        <w:rPr>
          <w:rFonts w:eastAsia="Courier New"/>
          <w:sz w:val="24"/>
          <w:szCs w:val="24"/>
        </w:rPr>
      </w:pPr>
      <w:r w:rsidRPr="00983F3F">
        <w:rPr>
          <w:sz w:val="24"/>
          <w:szCs w:val="24"/>
        </w:rPr>
        <w:t>Meget sjælden (&lt; 1/10.000).</w:t>
      </w:r>
    </w:p>
    <w:p w14:paraId="59B7E23E" w14:textId="77777777" w:rsidR="00983F3F" w:rsidRPr="008F08EF" w:rsidRDefault="00983F3F" w:rsidP="00955704">
      <w:pPr>
        <w:widowControl w:val="0"/>
        <w:tabs>
          <w:tab w:val="left" w:pos="567"/>
        </w:tabs>
        <w:rPr>
          <w:rFonts w:eastAsia="Courier New"/>
        </w:rPr>
      </w:pPr>
    </w:p>
    <w:tbl>
      <w:tblPr>
        <w:tblStyle w:val="Tabel-Gitter"/>
        <w:tblW w:w="0" w:type="auto"/>
        <w:tblLook w:val="04A0" w:firstRow="1" w:lastRow="0" w:firstColumn="1" w:lastColumn="0" w:noHBand="0" w:noVBand="1"/>
      </w:tblPr>
      <w:tblGrid>
        <w:gridCol w:w="2718"/>
        <w:gridCol w:w="1620"/>
        <w:gridCol w:w="4949"/>
      </w:tblGrid>
      <w:tr w:rsidR="00983F3F" w:rsidRPr="008F08EF" w14:paraId="44ACC844" w14:textId="77777777" w:rsidTr="00A24D20">
        <w:tc>
          <w:tcPr>
            <w:tcW w:w="2718" w:type="dxa"/>
          </w:tcPr>
          <w:p w14:paraId="7E6F3FB5"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MedDRA</w:t>
            </w:r>
          </w:p>
          <w:p w14:paraId="0CEC052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Systemorganklasse</w:t>
            </w:r>
          </w:p>
        </w:tc>
        <w:tc>
          <w:tcPr>
            <w:tcW w:w="1620" w:type="dxa"/>
          </w:tcPr>
          <w:p w14:paraId="558D9EED"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Hyppighed</w:t>
            </w:r>
          </w:p>
        </w:tc>
        <w:tc>
          <w:tcPr>
            <w:tcW w:w="4949" w:type="dxa"/>
          </w:tcPr>
          <w:p w14:paraId="3516BF11"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Bivirkning</w:t>
            </w:r>
          </w:p>
        </w:tc>
      </w:tr>
      <w:tr w:rsidR="00983F3F" w:rsidRPr="008F08EF" w14:paraId="767C9D45" w14:textId="77777777" w:rsidTr="00A24D20">
        <w:tc>
          <w:tcPr>
            <w:tcW w:w="2718" w:type="dxa"/>
            <w:vMerge w:val="restart"/>
          </w:tcPr>
          <w:p w14:paraId="338BB16B"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Infektioner og parasitære sygdomme</w:t>
            </w:r>
          </w:p>
        </w:tc>
        <w:tc>
          <w:tcPr>
            <w:tcW w:w="1620" w:type="dxa"/>
          </w:tcPr>
          <w:p w14:paraId="1122321C"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Ikke almindelig</w:t>
            </w:r>
          </w:p>
        </w:tc>
        <w:tc>
          <w:tcPr>
            <w:tcW w:w="4949" w:type="dxa"/>
          </w:tcPr>
          <w:p w14:paraId="67E926A6"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Oral candidiasis.</w:t>
            </w:r>
          </w:p>
        </w:tc>
      </w:tr>
      <w:tr w:rsidR="00983F3F" w:rsidRPr="008F08EF" w14:paraId="38AF0F6B" w14:textId="77777777" w:rsidTr="00A24D20">
        <w:tc>
          <w:tcPr>
            <w:tcW w:w="2718" w:type="dxa"/>
            <w:vMerge/>
          </w:tcPr>
          <w:p w14:paraId="25AA60A5"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144A681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0588258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Genital candidiasis (monoliasis), vaginitis.</w:t>
            </w:r>
          </w:p>
          <w:p w14:paraId="531395F6"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Som med alle antibiotika kan langvarig anvendelse føre til overvækst af ikke-følsomme bakterier.</w:t>
            </w:r>
          </w:p>
          <w:p w14:paraId="316CDEE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Rhinitis.</w:t>
            </w:r>
          </w:p>
        </w:tc>
      </w:tr>
      <w:tr w:rsidR="00983F3F" w:rsidRPr="008F08EF" w14:paraId="48DF032B" w14:textId="77777777" w:rsidTr="00A24D20">
        <w:tc>
          <w:tcPr>
            <w:tcW w:w="2718" w:type="dxa"/>
            <w:vMerge w:val="restart"/>
          </w:tcPr>
          <w:p w14:paraId="2EEF3FC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Blod og lymfesystem</w:t>
            </w:r>
          </w:p>
        </w:tc>
        <w:tc>
          <w:tcPr>
            <w:tcW w:w="1620" w:type="dxa"/>
          </w:tcPr>
          <w:p w14:paraId="2B6DBEA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2C3904C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Leukopeni, granulocytopeni, neutropeni, trombocytopeni, leukocytose, granulocytose, monocytose, lymfocytopeni, basofili og eosinofili er blevet observeret i blodprøver.</w:t>
            </w:r>
          </w:p>
          <w:p w14:paraId="227A4CB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Disse virkninger er sjældne og reversible.</w:t>
            </w:r>
          </w:p>
        </w:tc>
      </w:tr>
      <w:tr w:rsidR="00983F3F" w:rsidRPr="008F08EF" w14:paraId="56D4391F" w14:textId="77777777" w:rsidTr="00A24D20">
        <w:tc>
          <w:tcPr>
            <w:tcW w:w="2718" w:type="dxa"/>
            <w:vMerge/>
          </w:tcPr>
          <w:p w14:paraId="2E8962E9"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67A459C3"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Meget sjælden</w:t>
            </w:r>
          </w:p>
        </w:tc>
        <w:tc>
          <w:tcPr>
            <w:tcW w:w="4949" w:type="dxa"/>
          </w:tcPr>
          <w:p w14:paraId="271474DE"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Koagulationsforstyrrelser med efterfølgende blødning (se pkt. 4.4).</w:t>
            </w:r>
          </w:p>
        </w:tc>
      </w:tr>
      <w:tr w:rsidR="00983F3F" w:rsidRPr="008F08EF" w14:paraId="73F5B8B2" w14:textId="77777777" w:rsidTr="00A24D20">
        <w:tc>
          <w:tcPr>
            <w:tcW w:w="2718" w:type="dxa"/>
            <w:vMerge w:val="restart"/>
          </w:tcPr>
          <w:p w14:paraId="26A0374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Immunsystemet</w:t>
            </w:r>
          </w:p>
        </w:tc>
        <w:tc>
          <w:tcPr>
            <w:tcW w:w="1620" w:type="dxa"/>
          </w:tcPr>
          <w:p w14:paraId="6B7455A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Ikke almindelig</w:t>
            </w:r>
          </w:p>
        </w:tc>
        <w:tc>
          <w:tcPr>
            <w:tcW w:w="4949" w:type="dxa"/>
          </w:tcPr>
          <w:p w14:paraId="690806B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Pyreksi</w:t>
            </w:r>
            <w:r>
              <w:rPr>
                <w:rFonts w:ascii="Times New Roman" w:hAnsi="Times New Roman"/>
              </w:rPr>
              <w:t>.</w:t>
            </w:r>
          </w:p>
        </w:tc>
      </w:tr>
      <w:tr w:rsidR="00983F3F" w:rsidRPr="008F08EF" w14:paraId="5FE88375" w14:textId="77777777" w:rsidTr="00A24D20">
        <w:tc>
          <w:tcPr>
            <w:tcW w:w="2718" w:type="dxa"/>
            <w:vMerge/>
          </w:tcPr>
          <w:p w14:paraId="34BB834B"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18A8AD3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Meget sjælden</w:t>
            </w:r>
          </w:p>
        </w:tc>
        <w:tc>
          <w:tcPr>
            <w:tcW w:w="4949" w:type="dxa"/>
          </w:tcPr>
          <w:p w14:paraId="1A08D53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Anafylaktisk shock (hævelse af larynx med forsnævring af luftvejene, øget hjertefrekvens, åndenød, blodtryksfald, hævet tunge, anal kløe, genital kløe, ansigtsødem).</w:t>
            </w:r>
          </w:p>
        </w:tc>
      </w:tr>
      <w:tr w:rsidR="00983F3F" w:rsidRPr="008F08EF" w14:paraId="68098E06" w14:textId="77777777" w:rsidTr="00A24D20">
        <w:tc>
          <w:tcPr>
            <w:tcW w:w="2718" w:type="dxa"/>
          </w:tcPr>
          <w:p w14:paraId="76080F9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Metabolisme og ernæring</w:t>
            </w:r>
          </w:p>
          <w:p w14:paraId="2E4B303B"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15862493"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5635C669"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Hyperglykæmi, hypoglykæmi.</w:t>
            </w:r>
          </w:p>
        </w:tc>
      </w:tr>
      <w:tr w:rsidR="00983F3F" w:rsidRPr="008F08EF" w14:paraId="79E42EE0" w14:textId="77777777" w:rsidTr="00A24D20">
        <w:tc>
          <w:tcPr>
            <w:tcW w:w="2718" w:type="dxa"/>
            <w:vMerge w:val="restart"/>
          </w:tcPr>
          <w:p w14:paraId="519A5AE3"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Nervesystemet</w:t>
            </w:r>
          </w:p>
        </w:tc>
        <w:tc>
          <w:tcPr>
            <w:tcW w:w="1620" w:type="dxa"/>
          </w:tcPr>
          <w:p w14:paraId="299DA715"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Ikke almindelig</w:t>
            </w:r>
          </w:p>
        </w:tc>
        <w:tc>
          <w:tcPr>
            <w:tcW w:w="4949" w:type="dxa"/>
          </w:tcPr>
          <w:p w14:paraId="201FAAB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Kramper (hos patienter med nedsat nyrefunktion, behandlet med uhensigtsmæssigt høje doser).</w:t>
            </w:r>
          </w:p>
        </w:tc>
      </w:tr>
      <w:tr w:rsidR="00983F3F" w:rsidRPr="008F08EF" w14:paraId="0A9FAED2" w14:textId="77777777" w:rsidTr="00A24D20">
        <w:tc>
          <w:tcPr>
            <w:tcW w:w="2718" w:type="dxa"/>
            <w:vMerge/>
          </w:tcPr>
          <w:p w14:paraId="41E73AC4"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5EC6408D" w14:textId="77777777" w:rsidR="00983F3F" w:rsidRPr="008F08EF" w:rsidRDefault="00983F3F" w:rsidP="00955704">
            <w:pPr>
              <w:widowControl w:val="0"/>
              <w:tabs>
                <w:tab w:val="left" w:pos="567"/>
              </w:tabs>
              <w:rPr>
                <w:rFonts w:asciiTheme="majorBidi" w:eastAsia="Courier New" w:hAnsiTheme="majorBidi" w:cstheme="majorBidi"/>
              </w:rPr>
            </w:pPr>
            <w:r w:rsidRPr="008F08EF">
              <w:rPr>
                <w:rFonts w:asciiTheme="majorBidi" w:hAnsiTheme="majorBidi"/>
              </w:rPr>
              <w:t>Sjælden</w:t>
            </w:r>
          </w:p>
        </w:tc>
        <w:tc>
          <w:tcPr>
            <w:tcW w:w="4949" w:type="dxa"/>
          </w:tcPr>
          <w:p w14:paraId="76A748C5" w14:textId="77777777" w:rsidR="00983F3F" w:rsidRPr="008F08EF" w:rsidRDefault="00983F3F" w:rsidP="00955704">
            <w:pPr>
              <w:widowControl w:val="0"/>
              <w:tabs>
                <w:tab w:val="left" w:pos="567"/>
              </w:tabs>
              <w:rPr>
                <w:rFonts w:asciiTheme="majorBidi" w:eastAsia="Courier New" w:hAnsiTheme="majorBidi" w:cstheme="majorBidi"/>
              </w:rPr>
            </w:pPr>
            <w:r w:rsidRPr="008F08EF">
              <w:rPr>
                <w:rFonts w:asciiTheme="majorBidi" w:hAnsiTheme="majorBidi"/>
              </w:rPr>
              <w:t>Svimmelhed</w:t>
            </w:r>
          </w:p>
        </w:tc>
      </w:tr>
      <w:tr w:rsidR="00983F3F" w:rsidRPr="008F08EF" w14:paraId="7ED386E5" w14:textId="77777777" w:rsidTr="00A24D20">
        <w:tc>
          <w:tcPr>
            <w:tcW w:w="2718" w:type="dxa"/>
          </w:tcPr>
          <w:p w14:paraId="2B026E81"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Vaskulære sygdomme</w:t>
            </w:r>
          </w:p>
        </w:tc>
        <w:tc>
          <w:tcPr>
            <w:tcW w:w="1620" w:type="dxa"/>
          </w:tcPr>
          <w:p w14:paraId="175617E4"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Ikke almindelig</w:t>
            </w:r>
          </w:p>
        </w:tc>
        <w:tc>
          <w:tcPr>
            <w:tcW w:w="4949" w:type="dxa"/>
          </w:tcPr>
          <w:p w14:paraId="5CDF552D"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Tromboflebitis</w:t>
            </w:r>
          </w:p>
        </w:tc>
      </w:tr>
      <w:tr w:rsidR="00983F3F" w:rsidRPr="008F08EF" w14:paraId="29FCED4E" w14:textId="77777777" w:rsidTr="00A24D20">
        <w:tc>
          <w:tcPr>
            <w:tcW w:w="2718" w:type="dxa"/>
          </w:tcPr>
          <w:p w14:paraId="13EB007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Luftveje, thorax og mediastinum</w:t>
            </w:r>
          </w:p>
        </w:tc>
        <w:tc>
          <w:tcPr>
            <w:tcW w:w="1620" w:type="dxa"/>
          </w:tcPr>
          <w:p w14:paraId="397CD5A1"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051C4E85"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Pleuraeffusion, dyspnø eller respirationsbesvær, hoste.</w:t>
            </w:r>
          </w:p>
        </w:tc>
      </w:tr>
      <w:tr w:rsidR="00983F3F" w:rsidRPr="008F08EF" w14:paraId="767780C4" w14:textId="77777777" w:rsidTr="00A24D20">
        <w:tc>
          <w:tcPr>
            <w:tcW w:w="2718" w:type="dxa"/>
            <w:vMerge w:val="restart"/>
          </w:tcPr>
          <w:p w14:paraId="67288A86"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Mave-tarm-kanalen</w:t>
            </w:r>
          </w:p>
        </w:tc>
        <w:tc>
          <w:tcPr>
            <w:tcW w:w="1620" w:type="dxa"/>
          </w:tcPr>
          <w:p w14:paraId="1957119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Almindelig</w:t>
            </w:r>
          </w:p>
        </w:tc>
        <w:tc>
          <w:tcPr>
            <w:tcW w:w="4949" w:type="dxa"/>
          </w:tcPr>
          <w:p w14:paraId="3C49CE2E"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Kvalme, opkastning, diarré.</w:t>
            </w:r>
          </w:p>
        </w:tc>
      </w:tr>
      <w:tr w:rsidR="00983F3F" w:rsidRPr="008F08EF" w14:paraId="0B880B55" w14:textId="77777777" w:rsidTr="00A24D20">
        <w:tc>
          <w:tcPr>
            <w:tcW w:w="2718" w:type="dxa"/>
            <w:vMerge/>
          </w:tcPr>
          <w:p w14:paraId="6193D909"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7FFA159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381B5491"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Appetitløshed (anoreksi)</w:t>
            </w:r>
          </w:p>
        </w:tc>
      </w:tr>
      <w:tr w:rsidR="00983F3F" w:rsidRPr="008F08EF" w14:paraId="703C3D77" w14:textId="77777777" w:rsidTr="00A24D20">
        <w:tc>
          <w:tcPr>
            <w:tcW w:w="2718" w:type="dxa"/>
            <w:vMerge/>
          </w:tcPr>
          <w:p w14:paraId="7D276862"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6BDC73C1"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Meget sjælden</w:t>
            </w:r>
          </w:p>
        </w:tc>
        <w:tc>
          <w:tcPr>
            <w:tcW w:w="4949" w:type="dxa"/>
          </w:tcPr>
          <w:p w14:paraId="0351B29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Pseudomembranøs colitis (denne komplikation skal behandles straks, hvis diarréen er forbundet med antibiotikabehandling).</w:t>
            </w:r>
          </w:p>
        </w:tc>
      </w:tr>
      <w:tr w:rsidR="00983F3F" w:rsidRPr="008F08EF" w14:paraId="4116139F" w14:textId="77777777" w:rsidTr="00A24D20">
        <w:tc>
          <w:tcPr>
            <w:tcW w:w="2718" w:type="dxa"/>
          </w:tcPr>
          <w:p w14:paraId="520EE17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Lever og galdeveje</w:t>
            </w:r>
          </w:p>
        </w:tc>
        <w:tc>
          <w:tcPr>
            <w:tcW w:w="1620" w:type="dxa"/>
          </w:tcPr>
          <w:p w14:paraId="1FEB632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2446898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Forbigående stigning af aspartataminotransferase, alaninaminotransferase eller alkalisk fosfatase, gamma-glutamyltransferase, bilirubin og/eller laktatdehydrogenase, forbigående hepatitis og forbigående kolestatisk ikterus.</w:t>
            </w:r>
          </w:p>
        </w:tc>
      </w:tr>
      <w:tr w:rsidR="00983F3F" w:rsidRPr="008F08EF" w14:paraId="507413FE" w14:textId="77777777" w:rsidTr="00A24D20">
        <w:tc>
          <w:tcPr>
            <w:tcW w:w="2718" w:type="dxa"/>
            <w:vMerge w:val="restart"/>
          </w:tcPr>
          <w:p w14:paraId="06FB9AF9"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Hud og subkutane væv</w:t>
            </w:r>
          </w:p>
        </w:tc>
        <w:tc>
          <w:tcPr>
            <w:tcW w:w="1620" w:type="dxa"/>
          </w:tcPr>
          <w:p w14:paraId="7D74FE9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Almindelig</w:t>
            </w:r>
          </w:p>
        </w:tc>
        <w:tc>
          <w:tcPr>
            <w:tcW w:w="4949" w:type="dxa"/>
          </w:tcPr>
          <w:p w14:paraId="0C59147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Udslæt.</w:t>
            </w:r>
          </w:p>
        </w:tc>
      </w:tr>
      <w:tr w:rsidR="00983F3F" w:rsidRPr="008F08EF" w14:paraId="7FE4FD3D" w14:textId="77777777" w:rsidTr="00A24D20">
        <w:tc>
          <w:tcPr>
            <w:tcW w:w="2718" w:type="dxa"/>
            <w:vMerge/>
          </w:tcPr>
          <w:p w14:paraId="102FD889"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1692AA6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Ikke almindelig</w:t>
            </w:r>
          </w:p>
        </w:tc>
        <w:tc>
          <w:tcPr>
            <w:tcW w:w="4949" w:type="dxa"/>
          </w:tcPr>
          <w:p w14:paraId="13A018D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 xml:space="preserve">Erytem, </w:t>
            </w:r>
            <w:r w:rsidRPr="008F08EF">
              <w:rPr>
                <w:rFonts w:ascii="Times New Roman" w:hAnsi="Times New Roman"/>
                <w:i/>
                <w:iCs/>
              </w:rPr>
              <w:t>erythema multiforme</w:t>
            </w:r>
            <w:r w:rsidRPr="008F08EF">
              <w:rPr>
                <w:rFonts w:ascii="Times New Roman" w:hAnsi="Times New Roman"/>
              </w:rPr>
              <w:t>, nældefeber, angioødem.</w:t>
            </w:r>
          </w:p>
        </w:tc>
      </w:tr>
      <w:tr w:rsidR="00983F3F" w:rsidRPr="008F08EF" w14:paraId="0680FB1B" w14:textId="77777777" w:rsidTr="00A24D20">
        <w:tc>
          <w:tcPr>
            <w:tcW w:w="2718" w:type="dxa"/>
            <w:vMerge/>
          </w:tcPr>
          <w:p w14:paraId="0ED3FBE8"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7573B8BD"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7383131B"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Toksisk epidermal nekrolyse, Stevens</w:t>
            </w:r>
            <w:r w:rsidRPr="008F08EF">
              <w:rPr>
                <w:rFonts w:ascii="Times New Roman" w:hAnsi="Times New Roman"/>
              </w:rPr>
              <w:noBreakHyphen/>
              <w:t>Johnsons syndrom.</w:t>
            </w:r>
          </w:p>
        </w:tc>
      </w:tr>
      <w:tr w:rsidR="00983F3F" w:rsidRPr="008F08EF" w14:paraId="4A681533" w14:textId="77777777" w:rsidTr="00A24D20">
        <w:tc>
          <w:tcPr>
            <w:tcW w:w="2718" w:type="dxa"/>
          </w:tcPr>
          <w:p w14:paraId="1D2DFDDF"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Nyrer og urinveje</w:t>
            </w:r>
          </w:p>
        </w:tc>
        <w:tc>
          <w:tcPr>
            <w:tcW w:w="1620" w:type="dxa"/>
          </w:tcPr>
          <w:p w14:paraId="08711D4C"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767D927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Nefrotoksicitet, interstitiel nefritis, uspecificeret nefropati, proteinuri, forbigående stigning i blod-urea-nitrogen (BUN), sædvanligvis hos patienter, der samtidig behandles med andre potentielt nefrotoksiske lægemidler.</w:t>
            </w:r>
          </w:p>
        </w:tc>
      </w:tr>
      <w:tr w:rsidR="00983F3F" w:rsidRPr="008F08EF" w14:paraId="3D79C07A" w14:textId="77777777" w:rsidTr="00A24D20">
        <w:tc>
          <w:tcPr>
            <w:tcW w:w="2718" w:type="dxa"/>
          </w:tcPr>
          <w:p w14:paraId="1602340D"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Det reproduktive system og mammae</w:t>
            </w:r>
          </w:p>
        </w:tc>
        <w:tc>
          <w:tcPr>
            <w:tcW w:w="1620" w:type="dxa"/>
          </w:tcPr>
          <w:p w14:paraId="6D93872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Meget sjælden</w:t>
            </w:r>
          </w:p>
        </w:tc>
        <w:tc>
          <w:tcPr>
            <w:tcW w:w="4949" w:type="dxa"/>
          </w:tcPr>
          <w:p w14:paraId="4FB3BD80"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Vulvovaginal pruritus</w:t>
            </w:r>
          </w:p>
        </w:tc>
      </w:tr>
      <w:tr w:rsidR="00983F3F" w:rsidRPr="008F08EF" w14:paraId="698929E4" w14:textId="77777777" w:rsidTr="00A24D20">
        <w:tc>
          <w:tcPr>
            <w:tcW w:w="2718" w:type="dxa"/>
            <w:vMerge w:val="restart"/>
          </w:tcPr>
          <w:p w14:paraId="02D9CE2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lastRenderedPageBreak/>
              <w:t>Almene symptomer og reaktioner på administrationsstedet</w:t>
            </w:r>
          </w:p>
          <w:p w14:paraId="78C69318"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7505F342"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Almindelig</w:t>
            </w:r>
          </w:p>
        </w:tc>
        <w:tc>
          <w:tcPr>
            <w:tcW w:w="4949" w:type="dxa"/>
          </w:tcPr>
          <w:p w14:paraId="00521F58"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Smerter på det intramuskulære injektionssted, undertiden med induration.</w:t>
            </w:r>
          </w:p>
        </w:tc>
      </w:tr>
      <w:tr w:rsidR="00983F3F" w:rsidRPr="008F08EF" w14:paraId="14BAADC1" w14:textId="77777777" w:rsidTr="00A24D20">
        <w:tc>
          <w:tcPr>
            <w:tcW w:w="2718" w:type="dxa"/>
            <w:vMerge/>
          </w:tcPr>
          <w:p w14:paraId="4E18EF23" w14:textId="77777777" w:rsidR="00983F3F" w:rsidRPr="008F08EF" w:rsidRDefault="00983F3F" w:rsidP="00955704">
            <w:pPr>
              <w:widowControl w:val="0"/>
              <w:tabs>
                <w:tab w:val="left" w:pos="567"/>
              </w:tabs>
              <w:rPr>
                <w:rFonts w:ascii="Times New Roman" w:eastAsia="Courier New" w:hAnsi="Times New Roman" w:cs="Times New Roman"/>
              </w:rPr>
            </w:pPr>
          </w:p>
        </w:tc>
        <w:tc>
          <w:tcPr>
            <w:tcW w:w="1620" w:type="dxa"/>
          </w:tcPr>
          <w:p w14:paraId="2D9AFBBD"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Sjælden</w:t>
            </w:r>
          </w:p>
        </w:tc>
        <w:tc>
          <w:tcPr>
            <w:tcW w:w="4949" w:type="dxa"/>
          </w:tcPr>
          <w:p w14:paraId="2DB85C53" w14:textId="77777777" w:rsidR="00983F3F" w:rsidRPr="008F08EF" w:rsidRDefault="00983F3F" w:rsidP="00955704">
            <w:pPr>
              <w:widowControl w:val="0"/>
              <w:tabs>
                <w:tab w:val="left" w:pos="567"/>
              </w:tabs>
              <w:rPr>
                <w:rFonts w:ascii="Times New Roman" w:eastAsia="Courier New" w:hAnsi="Times New Roman" w:cs="Times New Roman"/>
              </w:rPr>
            </w:pPr>
            <w:r w:rsidRPr="008F08EF">
              <w:rPr>
                <w:rFonts w:ascii="Times New Roman" w:hAnsi="Times New Roman"/>
              </w:rPr>
              <w:t>Almen utilpashed, træthed, brystsmerter.</w:t>
            </w:r>
          </w:p>
        </w:tc>
      </w:tr>
    </w:tbl>
    <w:p w14:paraId="58A8712C" w14:textId="77777777" w:rsidR="00983F3F" w:rsidRPr="008F08EF" w:rsidRDefault="00983F3F" w:rsidP="00955704">
      <w:pPr>
        <w:widowControl w:val="0"/>
        <w:tabs>
          <w:tab w:val="left" w:pos="567"/>
        </w:tabs>
        <w:rPr>
          <w:rFonts w:eastAsia="Courier New"/>
        </w:rPr>
      </w:pPr>
    </w:p>
    <w:p w14:paraId="510A7754" w14:textId="77777777" w:rsidR="00983F3F" w:rsidRPr="00983F3F" w:rsidRDefault="00983F3F" w:rsidP="00955704">
      <w:pPr>
        <w:ind w:left="851"/>
        <w:rPr>
          <w:rFonts w:asciiTheme="majorBidi" w:hAnsiTheme="majorBidi" w:cstheme="majorBidi"/>
          <w:sz w:val="24"/>
          <w:szCs w:val="24"/>
        </w:rPr>
      </w:pPr>
      <w:r w:rsidRPr="00983F3F">
        <w:rPr>
          <w:rFonts w:asciiTheme="majorBidi" w:hAnsiTheme="majorBidi"/>
          <w:sz w:val="24"/>
          <w:szCs w:val="24"/>
        </w:rPr>
        <w:t>Ved svær og vedvarende diarré under eller efter behandling med cefazolin bør lægen kontaktes, da diarré kan være et symptom på en alvorlig tilstand (pseudomembranøs colitis), som kræver øjeblikkelig behandling. Patienten må under ingen omstændigheder selvmedicinere med antiperistaltiske midler (se pkt. 4.4).</w:t>
      </w:r>
    </w:p>
    <w:p w14:paraId="1990C342" w14:textId="77777777" w:rsidR="00983F3F" w:rsidRPr="00983F3F" w:rsidRDefault="00983F3F" w:rsidP="00955704">
      <w:pPr>
        <w:ind w:left="851"/>
        <w:rPr>
          <w:rFonts w:asciiTheme="majorBidi" w:hAnsiTheme="majorBidi" w:cstheme="majorBidi"/>
          <w:sz w:val="24"/>
          <w:szCs w:val="24"/>
        </w:rPr>
      </w:pPr>
      <w:r w:rsidRPr="00983F3F">
        <w:rPr>
          <w:rFonts w:asciiTheme="majorBidi" w:hAnsiTheme="majorBidi"/>
          <w:sz w:val="24"/>
          <w:szCs w:val="24"/>
        </w:rPr>
        <w:t xml:space="preserve">Langvarig anvendelse af cefalosporiner kan medføre overvækst af cefazolin-resistente mikroorganismer, især </w:t>
      </w:r>
      <w:r w:rsidRPr="00983F3F">
        <w:rPr>
          <w:rStyle w:val="Bodytext2Italic"/>
          <w:rFonts w:asciiTheme="majorBidi" w:eastAsiaTheme="minorHAnsi" w:hAnsiTheme="majorBidi"/>
          <w:color w:val="auto"/>
          <w:sz w:val="24"/>
          <w:szCs w:val="24"/>
        </w:rPr>
        <w:t>Enterobacter, Citrobacter, Pseudomonas, Enterococcus</w:t>
      </w:r>
      <w:r w:rsidRPr="00983F3F">
        <w:rPr>
          <w:rFonts w:asciiTheme="majorBidi" w:hAnsiTheme="majorBidi"/>
          <w:sz w:val="24"/>
          <w:szCs w:val="24"/>
        </w:rPr>
        <w:t xml:space="preserve"> og </w:t>
      </w:r>
      <w:r w:rsidRPr="00983F3F">
        <w:rPr>
          <w:rStyle w:val="Bodytext2Italic"/>
          <w:rFonts w:asciiTheme="majorBidi" w:eastAsiaTheme="minorHAnsi" w:hAnsiTheme="majorBidi"/>
          <w:color w:val="auto"/>
          <w:sz w:val="24"/>
          <w:szCs w:val="24"/>
        </w:rPr>
        <w:t>Candida</w:t>
      </w:r>
      <w:r w:rsidRPr="00983F3F">
        <w:rPr>
          <w:rFonts w:asciiTheme="majorBidi" w:hAnsiTheme="majorBidi"/>
          <w:sz w:val="24"/>
          <w:szCs w:val="24"/>
        </w:rPr>
        <w:t>. Dette kan føre til superinfektioner eller kolonisering med resistente mikroorganismer eller gærsvampe (se pkt. 4.4).</w:t>
      </w:r>
    </w:p>
    <w:p w14:paraId="619F8A79" w14:textId="77777777" w:rsidR="00983F3F" w:rsidRPr="00983F3F" w:rsidRDefault="00983F3F" w:rsidP="00955704">
      <w:pPr>
        <w:ind w:left="851"/>
        <w:rPr>
          <w:rFonts w:asciiTheme="majorBidi" w:hAnsiTheme="majorBidi" w:cstheme="majorBidi"/>
          <w:sz w:val="24"/>
          <w:szCs w:val="24"/>
        </w:rPr>
      </w:pPr>
    </w:p>
    <w:p w14:paraId="40903972" w14:textId="77777777" w:rsidR="00983F3F" w:rsidRPr="00983F3F" w:rsidRDefault="00983F3F" w:rsidP="00955704">
      <w:pPr>
        <w:ind w:left="851"/>
        <w:rPr>
          <w:rFonts w:asciiTheme="majorBidi" w:hAnsiTheme="majorBidi" w:cstheme="majorBidi"/>
          <w:sz w:val="24"/>
          <w:szCs w:val="24"/>
          <w:u w:val="single"/>
        </w:rPr>
      </w:pPr>
      <w:r w:rsidRPr="00983F3F">
        <w:rPr>
          <w:rFonts w:asciiTheme="majorBidi" w:hAnsiTheme="majorBidi"/>
          <w:sz w:val="24"/>
          <w:szCs w:val="24"/>
          <w:u w:val="single"/>
        </w:rPr>
        <w:t>Studier</w:t>
      </w:r>
    </w:p>
    <w:p w14:paraId="77F89D0F" w14:textId="77777777" w:rsidR="00983F3F" w:rsidRPr="00983F3F" w:rsidRDefault="00983F3F" w:rsidP="00955704">
      <w:pPr>
        <w:ind w:left="851" w:right="300"/>
        <w:rPr>
          <w:rFonts w:asciiTheme="majorBidi" w:hAnsiTheme="majorBidi" w:cstheme="majorBidi"/>
          <w:sz w:val="24"/>
          <w:szCs w:val="24"/>
        </w:rPr>
      </w:pPr>
      <w:r w:rsidRPr="00983F3F">
        <w:rPr>
          <w:rFonts w:asciiTheme="majorBidi" w:hAnsiTheme="majorBidi"/>
          <w:sz w:val="24"/>
          <w:szCs w:val="24"/>
        </w:rPr>
        <w:t>Forbigående stigning i AST, ALT, blodurinstof og alkalisk fosfatase uden kliniske tegn på nyre- eller leverskade.</w:t>
      </w:r>
    </w:p>
    <w:p w14:paraId="17AE2FB4" w14:textId="29B9B544" w:rsidR="00983F3F" w:rsidRDefault="00983F3F" w:rsidP="00955704">
      <w:pPr>
        <w:ind w:left="851" w:right="300"/>
        <w:rPr>
          <w:rFonts w:asciiTheme="majorBidi" w:hAnsiTheme="majorBidi"/>
          <w:sz w:val="24"/>
          <w:szCs w:val="24"/>
        </w:rPr>
      </w:pPr>
      <w:r w:rsidRPr="00983F3F">
        <w:rPr>
          <w:rFonts w:asciiTheme="majorBidi" w:hAnsiTheme="majorBidi"/>
          <w:sz w:val="24"/>
          <w:szCs w:val="24"/>
        </w:rPr>
        <w:t>Dyreforsøg har vist, at cefazolin potentielt kan være nefrotoksisk. Selvom dette ikke er påvist hos mennesker, bør muligheden tages i betragtning, især hos patienter, der får høje doser over længere tid. Interstitiel nefritis og uspecificeret nefropati er rapporteret i sjældne tilfælde. De berørte patienter var alvorligt syge og blev behandlet med flere lægemidler. Cefazolins rolle i udviklingen af interstitiel nefritis eller andre nefropatier er ikke klarlagt.</w:t>
      </w:r>
    </w:p>
    <w:p w14:paraId="546BC09A" w14:textId="77777777" w:rsidR="00BF0A7C" w:rsidRPr="00983F3F" w:rsidRDefault="00BF0A7C" w:rsidP="00955704">
      <w:pPr>
        <w:ind w:left="851" w:right="300"/>
        <w:rPr>
          <w:rFonts w:asciiTheme="majorBidi" w:hAnsiTheme="majorBidi" w:cstheme="majorBidi"/>
          <w:sz w:val="24"/>
          <w:szCs w:val="24"/>
        </w:rPr>
      </w:pPr>
    </w:p>
    <w:p w14:paraId="1068CB8F" w14:textId="77777777" w:rsidR="00983F3F" w:rsidRPr="008F08EF" w:rsidRDefault="00983F3F" w:rsidP="00BF0A7C">
      <w:pPr>
        <w:ind w:left="851"/>
        <w:rPr>
          <w:rFonts w:asciiTheme="majorBidi" w:hAnsiTheme="majorBidi" w:cstheme="majorBidi"/>
        </w:rPr>
      </w:pPr>
      <w:r w:rsidRPr="008F08EF">
        <w:rPr>
          <w:rFonts w:asciiTheme="majorBidi" w:hAnsiTheme="majorBidi"/>
        </w:rPr>
        <w:t>I sjældne tilfælde er følgende rapporteret under behandling:</w:t>
      </w:r>
    </w:p>
    <w:p w14:paraId="1F55E526" w14:textId="77777777" w:rsidR="00983F3F" w:rsidRPr="008F08EF" w:rsidRDefault="00983F3F" w:rsidP="00BF0A7C">
      <w:pPr>
        <w:pStyle w:val="Listeafsnit"/>
        <w:widowControl w:val="0"/>
        <w:numPr>
          <w:ilvl w:val="0"/>
          <w:numId w:val="9"/>
        </w:numPr>
        <w:tabs>
          <w:tab w:val="left" w:pos="1134"/>
        </w:tabs>
        <w:spacing w:after="0" w:line="240" w:lineRule="auto"/>
        <w:ind w:left="1134" w:hanging="283"/>
        <w:rPr>
          <w:rFonts w:asciiTheme="majorBidi" w:hAnsiTheme="majorBidi" w:cstheme="majorBidi"/>
        </w:rPr>
      </w:pPr>
      <w:r w:rsidRPr="008F08EF">
        <w:rPr>
          <w:rFonts w:asciiTheme="majorBidi" w:hAnsiTheme="majorBidi"/>
        </w:rPr>
        <w:t>nedsat hæmoglobin og/eller hæmatokrit, anæmi, agranulocytose, aplastisk anæmi, pancytopeni og hæmolytisk anæmi.</w:t>
      </w:r>
    </w:p>
    <w:p w14:paraId="3D449F1F" w14:textId="77777777" w:rsidR="00983F3F" w:rsidRPr="008F08EF" w:rsidRDefault="00983F3F" w:rsidP="00BF0A7C">
      <w:pPr>
        <w:ind w:left="851"/>
        <w:rPr>
          <w:rFonts w:asciiTheme="majorBidi" w:hAnsiTheme="majorBidi" w:cstheme="majorBidi"/>
        </w:rPr>
      </w:pPr>
      <w:r w:rsidRPr="008F08EF">
        <w:rPr>
          <w:rFonts w:asciiTheme="majorBidi" w:hAnsiTheme="majorBidi"/>
        </w:rPr>
        <w:t>Følgende er rapporteret ved behandling med visse cefalosporiner:</w:t>
      </w:r>
    </w:p>
    <w:p w14:paraId="0C994A92" w14:textId="77777777" w:rsidR="00983F3F" w:rsidRPr="008F08EF" w:rsidRDefault="00983F3F" w:rsidP="00BF0A7C">
      <w:pPr>
        <w:pStyle w:val="Listeafsnit"/>
        <w:widowControl w:val="0"/>
        <w:numPr>
          <w:ilvl w:val="0"/>
          <w:numId w:val="9"/>
        </w:numPr>
        <w:tabs>
          <w:tab w:val="left" w:pos="851"/>
        </w:tabs>
        <w:spacing w:after="0" w:line="240" w:lineRule="auto"/>
        <w:ind w:left="1134" w:hanging="283"/>
        <w:rPr>
          <w:rFonts w:asciiTheme="majorBidi" w:hAnsiTheme="majorBidi" w:cstheme="majorBidi"/>
        </w:rPr>
      </w:pPr>
      <w:r w:rsidRPr="008F08EF">
        <w:rPr>
          <w:rFonts w:asciiTheme="majorBidi" w:hAnsiTheme="majorBidi"/>
        </w:rPr>
        <w:t>mareridt, svimmelhed, hyperaktivitet, nervøsitet eller angst, insomni, døsighed, svaghed, rødme, nedsat farvesyn, konfusion og epileptisk aktivitet.</w:t>
      </w:r>
    </w:p>
    <w:bookmarkEnd w:id="3"/>
    <w:p w14:paraId="6FCE8280" w14:textId="77777777" w:rsidR="00983F3F" w:rsidRPr="008F08EF" w:rsidRDefault="00983F3F" w:rsidP="00BF0A7C">
      <w:pPr>
        <w:widowControl w:val="0"/>
        <w:tabs>
          <w:tab w:val="left" w:pos="567"/>
        </w:tabs>
        <w:ind w:left="851"/>
        <w:rPr>
          <w:rFonts w:eastAsia="Courier New"/>
        </w:rPr>
      </w:pPr>
    </w:p>
    <w:p w14:paraId="607162EE" w14:textId="77777777" w:rsidR="00983F3F" w:rsidRPr="008F08EF" w:rsidRDefault="00983F3F" w:rsidP="00BF0A7C">
      <w:pPr>
        <w:shd w:val="clear" w:color="auto" w:fill="FFFFFF"/>
        <w:ind w:left="851"/>
        <w:rPr>
          <w:bCs/>
          <w:u w:val="single"/>
        </w:rPr>
      </w:pPr>
      <w:r w:rsidRPr="008F08EF">
        <w:rPr>
          <w:u w:val="single"/>
        </w:rPr>
        <w:t>Indberetning af formodede bivirkninger</w:t>
      </w:r>
    </w:p>
    <w:p w14:paraId="78ED3D2B" w14:textId="625F944E" w:rsidR="00983F3F" w:rsidRDefault="00983F3F" w:rsidP="00BF0A7C">
      <w:pPr>
        <w:autoSpaceDE w:val="0"/>
        <w:autoSpaceDN w:val="0"/>
        <w:adjustRightInd w:val="0"/>
        <w:ind w:left="851"/>
      </w:pPr>
      <w:r w:rsidRPr="008F08EF">
        <w:t>Når lægemidlet er godkendt, er indberetning af formodede bivirkninger vigtig. Det muliggør løbende overvågning af benefit/risk-forholdet for lægemidlet. Sundhedspersoner anmodes om at indberette alle formodede bivirkninger via</w:t>
      </w:r>
      <w:r w:rsidR="00BF0A7C">
        <w:t>:</w:t>
      </w:r>
    </w:p>
    <w:p w14:paraId="07C9505A" w14:textId="77777777" w:rsidR="00BF0A7C" w:rsidRDefault="00BF0A7C" w:rsidP="00BF0A7C">
      <w:pPr>
        <w:autoSpaceDE w:val="0"/>
        <w:autoSpaceDN w:val="0"/>
        <w:adjustRightInd w:val="0"/>
        <w:ind w:left="851"/>
      </w:pPr>
    </w:p>
    <w:p w14:paraId="40508C5D" w14:textId="77777777" w:rsidR="00983F3F" w:rsidRPr="00305CAC" w:rsidRDefault="00983F3F" w:rsidP="00BF0A7C">
      <w:pPr>
        <w:ind w:left="851"/>
      </w:pPr>
      <w:r w:rsidRPr="00305CAC">
        <w:t>Lægemiddelstyrelsen</w:t>
      </w:r>
    </w:p>
    <w:p w14:paraId="6D259B6E" w14:textId="77777777" w:rsidR="00983F3F" w:rsidRPr="00305CAC" w:rsidRDefault="00983F3F" w:rsidP="00BF0A7C">
      <w:pPr>
        <w:ind w:left="851"/>
      </w:pPr>
      <w:r w:rsidRPr="00305CAC">
        <w:t>Axel Heides Gade 1</w:t>
      </w:r>
    </w:p>
    <w:p w14:paraId="56C8CE62" w14:textId="77777777" w:rsidR="00983F3F" w:rsidRPr="00305CAC" w:rsidRDefault="00983F3F" w:rsidP="00BF0A7C">
      <w:pPr>
        <w:ind w:left="851"/>
      </w:pPr>
      <w:r w:rsidRPr="00305CAC">
        <w:t>DK-2300 København S</w:t>
      </w:r>
    </w:p>
    <w:p w14:paraId="70A27684" w14:textId="44272609" w:rsidR="00983F3F" w:rsidRDefault="00983F3F" w:rsidP="00BF0A7C">
      <w:pPr>
        <w:ind w:left="851"/>
      </w:pPr>
      <w:r w:rsidRPr="00305CAC">
        <w:t xml:space="preserve">Websted: </w:t>
      </w:r>
      <w:r w:rsidRPr="00BF0A7C">
        <w:t>www.meldenbivirkning.dk</w:t>
      </w:r>
    </w:p>
    <w:p w14:paraId="2F761BE4" w14:textId="77777777" w:rsidR="009260DE" w:rsidRPr="00A10294" w:rsidRDefault="009260DE" w:rsidP="00BF0A7C">
      <w:pPr>
        <w:tabs>
          <w:tab w:val="left" w:pos="851"/>
        </w:tabs>
        <w:ind w:left="851"/>
        <w:rPr>
          <w:sz w:val="24"/>
          <w:szCs w:val="24"/>
        </w:rPr>
      </w:pPr>
    </w:p>
    <w:p w14:paraId="6118C847" w14:textId="77777777" w:rsidR="009260DE" w:rsidRPr="00C84483" w:rsidRDefault="009260DE" w:rsidP="00955704">
      <w:pPr>
        <w:tabs>
          <w:tab w:val="left" w:pos="851"/>
        </w:tabs>
        <w:ind w:left="851" w:hanging="851"/>
        <w:rPr>
          <w:b/>
          <w:sz w:val="24"/>
          <w:szCs w:val="24"/>
        </w:rPr>
      </w:pPr>
      <w:r w:rsidRPr="00C84483">
        <w:rPr>
          <w:b/>
          <w:sz w:val="24"/>
          <w:szCs w:val="24"/>
        </w:rPr>
        <w:t>4.9</w:t>
      </w:r>
      <w:r w:rsidRPr="00C84483">
        <w:rPr>
          <w:b/>
          <w:sz w:val="24"/>
          <w:szCs w:val="24"/>
        </w:rPr>
        <w:tab/>
        <w:t>Overdosering</w:t>
      </w:r>
    </w:p>
    <w:p w14:paraId="34F1AB69" w14:textId="77777777" w:rsidR="004D68BA" w:rsidRDefault="004D68BA" w:rsidP="004D68BA">
      <w:pPr>
        <w:tabs>
          <w:tab w:val="left" w:pos="851"/>
        </w:tabs>
        <w:ind w:left="851"/>
        <w:rPr>
          <w:sz w:val="24"/>
          <w:szCs w:val="24"/>
          <w:u w:val="single"/>
        </w:rPr>
      </w:pPr>
      <w:bookmarkStart w:id="4" w:name="_Hlk167114202"/>
    </w:p>
    <w:p w14:paraId="1DB099E4" w14:textId="26DE305A" w:rsidR="004D68BA" w:rsidRPr="004D68BA" w:rsidRDefault="004D68BA" w:rsidP="004D68BA">
      <w:pPr>
        <w:tabs>
          <w:tab w:val="left" w:pos="851"/>
        </w:tabs>
        <w:ind w:left="851"/>
        <w:rPr>
          <w:sz w:val="24"/>
          <w:szCs w:val="24"/>
        </w:rPr>
      </w:pPr>
      <w:r w:rsidRPr="004D68BA">
        <w:rPr>
          <w:sz w:val="24"/>
          <w:szCs w:val="24"/>
          <w:u w:val="single"/>
        </w:rPr>
        <w:t>Symptomer på overdosering</w:t>
      </w:r>
    </w:p>
    <w:p w14:paraId="1B0C7AA7" w14:textId="77777777" w:rsidR="004D68BA" w:rsidRPr="004D68BA" w:rsidRDefault="004D68BA" w:rsidP="004D68BA">
      <w:pPr>
        <w:tabs>
          <w:tab w:val="left" w:pos="851"/>
        </w:tabs>
        <w:ind w:left="851"/>
        <w:rPr>
          <w:sz w:val="24"/>
          <w:szCs w:val="24"/>
        </w:rPr>
      </w:pPr>
      <w:r w:rsidRPr="004D68BA">
        <w:rPr>
          <w:sz w:val="24"/>
          <w:szCs w:val="24"/>
        </w:rPr>
        <w:t>En overdosis kan forårsage smerter, inflammatoriske reaktioner og flebitis på injektionsstedet. Parenteral administration af høje doser cefalosporiner kan give svimmelhed, paræstesi og hovedpine. Efter overdosering med cefalosporiner kan der forekomme kramper, især hos patienter med nyresygdom.</w:t>
      </w:r>
    </w:p>
    <w:p w14:paraId="48CA07D6" w14:textId="77777777" w:rsidR="004D68BA" w:rsidRPr="004D68BA" w:rsidRDefault="004D68BA" w:rsidP="004D68BA">
      <w:pPr>
        <w:tabs>
          <w:tab w:val="left" w:pos="851"/>
        </w:tabs>
        <w:ind w:left="851"/>
        <w:rPr>
          <w:sz w:val="24"/>
          <w:szCs w:val="24"/>
        </w:rPr>
      </w:pPr>
    </w:p>
    <w:p w14:paraId="099B708E" w14:textId="77777777" w:rsidR="004D68BA" w:rsidRPr="004D68BA" w:rsidRDefault="004D68BA" w:rsidP="004D68BA">
      <w:pPr>
        <w:tabs>
          <w:tab w:val="left" w:pos="851"/>
        </w:tabs>
        <w:ind w:left="851"/>
        <w:rPr>
          <w:sz w:val="24"/>
          <w:szCs w:val="24"/>
        </w:rPr>
      </w:pPr>
      <w:r w:rsidRPr="004D68BA">
        <w:rPr>
          <w:sz w:val="24"/>
          <w:szCs w:val="24"/>
        </w:rPr>
        <w:t>Efter en overdosis kan følgende abnorme laboratorieværdier forekomme: forhøjede kreatininniveauer, BUN, leverenzymer og bilirubin, positiv Coombs-test, trombocytose og trombocytopeni, eosinofili, leukopeni samt forlænget protrombintid.</w:t>
      </w:r>
    </w:p>
    <w:p w14:paraId="2B399E40" w14:textId="77777777" w:rsidR="004D68BA" w:rsidRPr="004D68BA" w:rsidRDefault="004D68BA" w:rsidP="004D68BA">
      <w:pPr>
        <w:tabs>
          <w:tab w:val="left" w:pos="851"/>
        </w:tabs>
        <w:ind w:left="851"/>
        <w:rPr>
          <w:sz w:val="24"/>
          <w:szCs w:val="24"/>
        </w:rPr>
      </w:pPr>
    </w:p>
    <w:p w14:paraId="5C78CC99" w14:textId="77777777" w:rsidR="004D68BA" w:rsidRPr="004D68BA" w:rsidRDefault="004D68BA" w:rsidP="004D68BA">
      <w:pPr>
        <w:tabs>
          <w:tab w:val="left" w:pos="851"/>
        </w:tabs>
        <w:ind w:left="851"/>
        <w:rPr>
          <w:sz w:val="24"/>
          <w:szCs w:val="24"/>
          <w:u w:val="single"/>
        </w:rPr>
      </w:pPr>
      <w:r w:rsidRPr="004D68BA">
        <w:rPr>
          <w:sz w:val="24"/>
          <w:szCs w:val="24"/>
          <w:u w:val="single"/>
        </w:rPr>
        <w:t>Behandling af overdosering</w:t>
      </w:r>
    </w:p>
    <w:p w14:paraId="214DF123" w14:textId="77777777" w:rsidR="004D68BA" w:rsidRPr="004D68BA" w:rsidRDefault="004D68BA" w:rsidP="004D68BA">
      <w:pPr>
        <w:tabs>
          <w:tab w:val="left" w:pos="851"/>
        </w:tabs>
        <w:ind w:left="851"/>
        <w:rPr>
          <w:sz w:val="24"/>
          <w:szCs w:val="24"/>
        </w:rPr>
      </w:pPr>
      <w:r w:rsidRPr="004D68BA">
        <w:rPr>
          <w:sz w:val="24"/>
          <w:szCs w:val="24"/>
        </w:rPr>
        <w:t>Hvis der opstår kramper, skal behandlingen med lægemidlet straks seponeres. Behandling med antiepileptika kan være indiceret. Vitale funktioner og parametre skal overvåges nøje. Ved svær overdosering, hvor patienten ikke længere responderer på anden behandling, kan hæmodialyse med hæmoperfusion være en mulighed, selv om effektiviteten af dette ikke er påvist.</w:t>
      </w:r>
      <w:bookmarkEnd w:id="4"/>
    </w:p>
    <w:p w14:paraId="305E1DC2" w14:textId="77777777" w:rsidR="009260DE" w:rsidRPr="00C84483" w:rsidRDefault="009260DE" w:rsidP="00955704">
      <w:pPr>
        <w:tabs>
          <w:tab w:val="left" w:pos="851"/>
        </w:tabs>
        <w:ind w:left="851"/>
        <w:rPr>
          <w:sz w:val="24"/>
          <w:szCs w:val="24"/>
        </w:rPr>
      </w:pPr>
    </w:p>
    <w:p w14:paraId="25A8571F" w14:textId="77777777" w:rsidR="009260DE" w:rsidRPr="00C84483" w:rsidRDefault="009260DE" w:rsidP="00955704">
      <w:pPr>
        <w:tabs>
          <w:tab w:val="left" w:pos="851"/>
        </w:tabs>
        <w:ind w:left="851" w:hanging="851"/>
        <w:rPr>
          <w:b/>
          <w:sz w:val="24"/>
          <w:szCs w:val="24"/>
        </w:rPr>
      </w:pPr>
      <w:r w:rsidRPr="00C84483">
        <w:rPr>
          <w:b/>
          <w:sz w:val="24"/>
          <w:szCs w:val="24"/>
        </w:rPr>
        <w:t>4.10</w:t>
      </w:r>
      <w:r w:rsidRPr="00C84483">
        <w:rPr>
          <w:b/>
          <w:sz w:val="24"/>
          <w:szCs w:val="24"/>
        </w:rPr>
        <w:tab/>
        <w:t>Udlevering</w:t>
      </w:r>
    </w:p>
    <w:p w14:paraId="46230A37" w14:textId="44E1D705" w:rsidR="009260DE" w:rsidRPr="00C84483" w:rsidRDefault="004D68BA" w:rsidP="00955704">
      <w:pPr>
        <w:tabs>
          <w:tab w:val="left" w:pos="851"/>
        </w:tabs>
        <w:ind w:left="851"/>
        <w:rPr>
          <w:sz w:val="24"/>
          <w:szCs w:val="24"/>
        </w:rPr>
      </w:pPr>
      <w:r>
        <w:rPr>
          <w:sz w:val="24"/>
          <w:szCs w:val="24"/>
        </w:rPr>
        <w:t>B</w:t>
      </w:r>
    </w:p>
    <w:p w14:paraId="494BC489" w14:textId="77777777" w:rsidR="009260DE" w:rsidRPr="00C84483" w:rsidRDefault="009260DE" w:rsidP="00955704">
      <w:pPr>
        <w:tabs>
          <w:tab w:val="left" w:pos="851"/>
        </w:tabs>
        <w:ind w:left="851"/>
        <w:rPr>
          <w:sz w:val="24"/>
          <w:szCs w:val="24"/>
        </w:rPr>
      </w:pPr>
    </w:p>
    <w:p w14:paraId="7ABF8C77" w14:textId="77777777" w:rsidR="009260DE" w:rsidRPr="00C84483" w:rsidRDefault="009260DE" w:rsidP="00955704">
      <w:pPr>
        <w:tabs>
          <w:tab w:val="left" w:pos="851"/>
        </w:tabs>
        <w:ind w:left="851"/>
        <w:rPr>
          <w:sz w:val="24"/>
          <w:szCs w:val="24"/>
        </w:rPr>
      </w:pPr>
    </w:p>
    <w:p w14:paraId="217CA320" w14:textId="77777777" w:rsidR="009260DE" w:rsidRPr="00C84483" w:rsidRDefault="009260DE" w:rsidP="00955704">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58AB9B3" w14:textId="77777777" w:rsidR="009260DE" w:rsidRPr="00C84483" w:rsidRDefault="009260DE" w:rsidP="00955704">
      <w:pPr>
        <w:tabs>
          <w:tab w:val="left" w:pos="851"/>
        </w:tabs>
        <w:ind w:left="851"/>
        <w:rPr>
          <w:sz w:val="24"/>
          <w:szCs w:val="24"/>
        </w:rPr>
      </w:pPr>
    </w:p>
    <w:p w14:paraId="7602CEE8" w14:textId="77777777" w:rsidR="009260DE" w:rsidRPr="00C84483" w:rsidRDefault="009260DE" w:rsidP="00955704">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26215D4" w14:textId="50B1D6B8" w:rsidR="00800E93" w:rsidRPr="00800E93" w:rsidRDefault="00800E93" w:rsidP="00800E93">
      <w:pPr>
        <w:widowControl w:val="0"/>
        <w:tabs>
          <w:tab w:val="left" w:pos="851"/>
        </w:tabs>
        <w:ind w:left="851"/>
        <w:rPr>
          <w:rFonts w:eastAsia="Courier New"/>
          <w:sz w:val="24"/>
          <w:szCs w:val="24"/>
        </w:rPr>
      </w:pPr>
      <w:r w:rsidRPr="00800E93">
        <w:rPr>
          <w:sz w:val="24"/>
          <w:szCs w:val="24"/>
        </w:rPr>
        <w:t>Farmakoterapeutisk klassifikation: Antibakterielle midler til systemisk brug, andre beta</w:t>
      </w:r>
      <w:r w:rsidRPr="00800E93">
        <w:rPr>
          <w:sz w:val="24"/>
          <w:szCs w:val="24"/>
        </w:rPr>
        <w:noBreakHyphen/>
        <w:t>laktam antibacterica, 1. Generation cephalosporiner, ATC</w:t>
      </w:r>
      <w:r w:rsidRPr="00800E93">
        <w:rPr>
          <w:sz w:val="24"/>
          <w:szCs w:val="24"/>
        </w:rPr>
        <w:noBreakHyphen/>
        <w:t>kode: J01DB04</w:t>
      </w:r>
      <w:r>
        <w:rPr>
          <w:sz w:val="24"/>
          <w:szCs w:val="24"/>
        </w:rPr>
        <w:t>.</w:t>
      </w:r>
    </w:p>
    <w:p w14:paraId="57EC2DA5" w14:textId="77777777" w:rsidR="00800E93" w:rsidRPr="00800E93" w:rsidRDefault="00800E93" w:rsidP="00800E93">
      <w:pPr>
        <w:widowControl w:val="0"/>
        <w:tabs>
          <w:tab w:val="left" w:pos="851"/>
        </w:tabs>
        <w:ind w:left="851"/>
        <w:rPr>
          <w:rFonts w:eastAsia="Courier New"/>
          <w:b/>
          <w:sz w:val="24"/>
          <w:szCs w:val="24"/>
          <w:lang w:val="fr-FR"/>
        </w:rPr>
      </w:pPr>
    </w:p>
    <w:p w14:paraId="1AA005A9" w14:textId="77777777" w:rsidR="00800E93" w:rsidRPr="00800E93" w:rsidRDefault="00800E93" w:rsidP="00800E93">
      <w:pPr>
        <w:widowControl w:val="0"/>
        <w:tabs>
          <w:tab w:val="left" w:pos="851"/>
        </w:tabs>
        <w:ind w:left="851"/>
        <w:rPr>
          <w:rFonts w:eastAsia="Calibri"/>
          <w:sz w:val="24"/>
          <w:szCs w:val="24"/>
          <w:u w:val="single"/>
        </w:rPr>
      </w:pPr>
      <w:r w:rsidRPr="00800E93">
        <w:rPr>
          <w:sz w:val="24"/>
          <w:szCs w:val="24"/>
          <w:u w:val="single"/>
        </w:rPr>
        <w:t>Virkningsmekanisme</w:t>
      </w:r>
    </w:p>
    <w:p w14:paraId="0805DB65" w14:textId="77777777" w:rsidR="00800E93" w:rsidRPr="00800E93" w:rsidRDefault="00800E93" w:rsidP="00800E93">
      <w:pPr>
        <w:widowControl w:val="0"/>
        <w:tabs>
          <w:tab w:val="left" w:pos="851"/>
        </w:tabs>
        <w:ind w:left="851"/>
        <w:rPr>
          <w:rFonts w:eastAsia="Calibri"/>
          <w:sz w:val="24"/>
          <w:szCs w:val="24"/>
        </w:rPr>
      </w:pPr>
      <w:r w:rsidRPr="00800E93">
        <w:rPr>
          <w:sz w:val="24"/>
          <w:szCs w:val="24"/>
        </w:rPr>
        <w:t>Alle cefalosporiner (beta-laktam-antibiotika) hæmmer cellevægssyntesen og er selektive hæmmere af syntesen af peptidoglykan.</w:t>
      </w:r>
    </w:p>
    <w:p w14:paraId="63BE719A" w14:textId="51873E03" w:rsidR="00800E93" w:rsidRPr="00800E93" w:rsidRDefault="00800E93" w:rsidP="00800E93">
      <w:pPr>
        <w:widowControl w:val="0"/>
        <w:tabs>
          <w:tab w:val="left" w:pos="851"/>
        </w:tabs>
        <w:ind w:left="851"/>
        <w:rPr>
          <w:rFonts w:eastAsia="Calibri"/>
          <w:sz w:val="24"/>
          <w:szCs w:val="24"/>
        </w:rPr>
      </w:pPr>
      <w:r w:rsidRPr="00800E93">
        <w:rPr>
          <w:sz w:val="24"/>
          <w:szCs w:val="24"/>
        </w:rPr>
        <w:t>Første trin er binding af lægemidlet til penicillinbindende proteiner.</w:t>
      </w:r>
    </w:p>
    <w:p w14:paraId="1C191ED4" w14:textId="4C62EBE1" w:rsidR="00800E93" w:rsidRPr="00800E93" w:rsidRDefault="00800E93" w:rsidP="00800E93">
      <w:pPr>
        <w:widowControl w:val="0"/>
        <w:tabs>
          <w:tab w:val="left" w:pos="851"/>
        </w:tabs>
        <w:ind w:left="851"/>
        <w:rPr>
          <w:rFonts w:eastAsia="Calibri"/>
          <w:sz w:val="24"/>
          <w:szCs w:val="24"/>
        </w:rPr>
      </w:pPr>
      <w:r w:rsidRPr="00800E93">
        <w:rPr>
          <w:sz w:val="24"/>
          <w:szCs w:val="24"/>
        </w:rPr>
        <w:t>Efter denne binding blokeres transpeptidasereaktionen, og syntesen af peptidoglykan hæmmes.</w:t>
      </w:r>
    </w:p>
    <w:p w14:paraId="0AC0647D" w14:textId="09FFFB12" w:rsidR="00800E93" w:rsidRPr="00800E93" w:rsidRDefault="00800E93" w:rsidP="00800E93">
      <w:pPr>
        <w:widowControl w:val="0"/>
        <w:tabs>
          <w:tab w:val="left" w:pos="851"/>
        </w:tabs>
        <w:ind w:left="851"/>
        <w:rPr>
          <w:rFonts w:eastAsia="Calibri"/>
          <w:sz w:val="24"/>
          <w:szCs w:val="24"/>
        </w:rPr>
      </w:pPr>
      <w:r w:rsidRPr="00800E93">
        <w:rPr>
          <w:sz w:val="24"/>
          <w:szCs w:val="24"/>
        </w:rPr>
        <w:t>Denne proces medfører bakteriel lyse.</w:t>
      </w:r>
    </w:p>
    <w:p w14:paraId="11DBCF1A" w14:textId="77777777" w:rsidR="00800E93" w:rsidRPr="00800E93" w:rsidRDefault="00800E93" w:rsidP="00800E93">
      <w:pPr>
        <w:widowControl w:val="0"/>
        <w:tabs>
          <w:tab w:val="left" w:pos="851"/>
        </w:tabs>
        <w:ind w:left="851"/>
        <w:rPr>
          <w:rFonts w:eastAsia="Calibri"/>
          <w:sz w:val="24"/>
          <w:szCs w:val="24"/>
          <w:lang w:val="fr-FR"/>
        </w:rPr>
      </w:pPr>
    </w:p>
    <w:p w14:paraId="38A4DB0F" w14:textId="77777777" w:rsidR="00800E93" w:rsidRPr="00800E93" w:rsidRDefault="00800E93" w:rsidP="00800E93">
      <w:pPr>
        <w:widowControl w:val="0"/>
        <w:tabs>
          <w:tab w:val="left" w:pos="851"/>
        </w:tabs>
        <w:ind w:left="851"/>
        <w:rPr>
          <w:rFonts w:eastAsia="Calibri"/>
          <w:b/>
          <w:bCs/>
          <w:sz w:val="24"/>
          <w:szCs w:val="24"/>
          <w:u w:val="single"/>
        </w:rPr>
      </w:pPr>
      <w:r w:rsidRPr="00800E93">
        <w:rPr>
          <w:b/>
          <w:sz w:val="24"/>
          <w:szCs w:val="24"/>
          <w:u w:val="single"/>
        </w:rPr>
        <w:t>PK/PD-forhold</w:t>
      </w:r>
    </w:p>
    <w:p w14:paraId="27749449" w14:textId="77777777" w:rsidR="00800E93" w:rsidRPr="00800E93" w:rsidRDefault="00800E93" w:rsidP="00800E93">
      <w:pPr>
        <w:widowControl w:val="0"/>
        <w:tabs>
          <w:tab w:val="left" w:pos="851"/>
        </w:tabs>
        <w:ind w:left="851"/>
        <w:rPr>
          <w:rFonts w:eastAsia="Calibri"/>
          <w:sz w:val="24"/>
          <w:szCs w:val="24"/>
        </w:rPr>
      </w:pPr>
      <w:r w:rsidRPr="00800E93">
        <w:rPr>
          <w:sz w:val="24"/>
          <w:szCs w:val="24"/>
        </w:rPr>
        <w:t xml:space="preserve">For cefalosporiner er det vigtigste farmakokinetisk-farmakodynamiske indeks, der korrelerer med virkning </w:t>
      </w:r>
      <w:r w:rsidRPr="00800E93">
        <w:rPr>
          <w:i/>
          <w:iCs/>
          <w:sz w:val="24"/>
          <w:szCs w:val="24"/>
        </w:rPr>
        <w:t>in vivo</w:t>
      </w:r>
      <w:r w:rsidRPr="00800E93">
        <w:rPr>
          <w:sz w:val="24"/>
          <w:szCs w:val="24"/>
        </w:rPr>
        <w:t>, den procentdel af doseringsintervallet, hvor koncentrationen af det frie aktive stof ligger over den mindste hæmmende koncentration (MIC) for den pågældende mikroorganisme (%T&gt;MIC).</w:t>
      </w:r>
    </w:p>
    <w:p w14:paraId="3E697316" w14:textId="77777777" w:rsidR="00800E93" w:rsidRPr="00800E93" w:rsidRDefault="00800E93" w:rsidP="00800E93">
      <w:pPr>
        <w:widowControl w:val="0"/>
        <w:tabs>
          <w:tab w:val="left" w:pos="851"/>
        </w:tabs>
        <w:ind w:left="851"/>
        <w:rPr>
          <w:rFonts w:eastAsia="Calibri"/>
          <w:sz w:val="24"/>
          <w:szCs w:val="24"/>
          <w:lang w:val="fr-FR"/>
        </w:rPr>
      </w:pPr>
    </w:p>
    <w:p w14:paraId="6E70E02A" w14:textId="77777777" w:rsidR="00800E93" w:rsidRPr="00800E93" w:rsidRDefault="00800E93" w:rsidP="00800E93">
      <w:pPr>
        <w:widowControl w:val="0"/>
        <w:tabs>
          <w:tab w:val="left" w:pos="851"/>
        </w:tabs>
        <w:ind w:left="851"/>
        <w:rPr>
          <w:rFonts w:eastAsia="Courier New"/>
          <w:sz w:val="24"/>
          <w:szCs w:val="24"/>
          <w:u w:val="single"/>
        </w:rPr>
      </w:pPr>
      <w:r w:rsidRPr="00800E93">
        <w:rPr>
          <w:sz w:val="24"/>
          <w:szCs w:val="24"/>
          <w:u w:val="single"/>
        </w:rPr>
        <w:t>Resistensmekanisme</w:t>
      </w:r>
    </w:p>
    <w:p w14:paraId="7B54AEE7" w14:textId="77777777" w:rsidR="00800E93" w:rsidRPr="00800E93" w:rsidRDefault="00800E93" w:rsidP="00800E93">
      <w:pPr>
        <w:widowControl w:val="0"/>
        <w:tabs>
          <w:tab w:val="left" w:pos="851"/>
        </w:tabs>
        <w:ind w:left="851"/>
        <w:rPr>
          <w:rFonts w:eastAsia="Courier New"/>
          <w:sz w:val="24"/>
          <w:szCs w:val="24"/>
        </w:rPr>
      </w:pPr>
      <w:r w:rsidRPr="00800E93">
        <w:rPr>
          <w:sz w:val="24"/>
          <w:szCs w:val="24"/>
        </w:rPr>
        <w:t>Beta</w:t>
      </w:r>
      <w:r w:rsidRPr="00800E93">
        <w:rPr>
          <w:sz w:val="24"/>
          <w:szCs w:val="24"/>
        </w:rPr>
        <w:noBreakHyphen/>
        <w:t>laktam-antibiotika indeholder en såkaldt beta</w:t>
      </w:r>
      <w:r w:rsidRPr="00800E93">
        <w:rPr>
          <w:sz w:val="24"/>
          <w:szCs w:val="24"/>
        </w:rPr>
        <w:noBreakHyphen/>
        <w:t>laktamring, som er afgørende for den antimikrobielle effekt. Spaltes ringen, mister stoffet sin antibiotiske virkning. Forskellige bakterier har enzymer (beta</w:t>
      </w:r>
      <w:r w:rsidRPr="00800E93">
        <w:rPr>
          <w:sz w:val="24"/>
          <w:szCs w:val="24"/>
        </w:rPr>
        <w:noBreakHyphen/>
        <w:t xml:space="preserve">laktamaser), der kan spalte denne ring; herved opnås resistens over for denne type antibiotika. </w:t>
      </w:r>
    </w:p>
    <w:p w14:paraId="7AC6D9A9" w14:textId="77777777" w:rsidR="00800E93" w:rsidRPr="00800E93" w:rsidRDefault="00800E93" w:rsidP="00800E93">
      <w:pPr>
        <w:widowControl w:val="0"/>
        <w:tabs>
          <w:tab w:val="left" w:pos="851"/>
        </w:tabs>
        <w:ind w:left="851"/>
        <w:rPr>
          <w:rFonts w:eastAsia="Courier New"/>
          <w:sz w:val="24"/>
          <w:szCs w:val="24"/>
          <w:lang w:val="fr-FR"/>
        </w:rPr>
      </w:pPr>
    </w:p>
    <w:p w14:paraId="39993170" w14:textId="77777777" w:rsidR="00800E93" w:rsidRPr="00800E93" w:rsidRDefault="00800E93" w:rsidP="00800E93">
      <w:pPr>
        <w:widowControl w:val="0"/>
        <w:tabs>
          <w:tab w:val="left" w:pos="851"/>
        </w:tabs>
        <w:ind w:left="851"/>
        <w:rPr>
          <w:rFonts w:eastAsia="Courier New"/>
          <w:sz w:val="24"/>
          <w:szCs w:val="24"/>
        </w:rPr>
      </w:pPr>
      <w:r w:rsidRPr="00800E93">
        <w:rPr>
          <w:sz w:val="24"/>
          <w:szCs w:val="24"/>
        </w:rPr>
        <w:t>Som for alle cefalosporiner og andre beta</w:t>
      </w:r>
      <w:r w:rsidRPr="00800E93">
        <w:rPr>
          <w:sz w:val="24"/>
          <w:szCs w:val="24"/>
        </w:rPr>
        <w:noBreakHyphen/>
        <w:t>laktam-antibiotika kan bakterier erhverve forskellige resistensmekanismer: ændringer i målet (penicillinbindende proteiner, PBP), enzymatisk nedbrydning af den centrale struktur ved beta</w:t>
      </w:r>
      <w:r w:rsidRPr="00800E93">
        <w:rPr>
          <w:sz w:val="24"/>
          <w:szCs w:val="24"/>
        </w:rPr>
        <w:noBreakHyphen/>
        <w:t>laktamaser og ændret adgang til målet (f.eks. nedsat permeabilitet/efflux). Der er krydsresistens mellem cefalosporiner og penicilliner. Gram-negative mikroorganismer kan indeholde inducerbare, kromosomalt kodede beta</w:t>
      </w:r>
      <w:r w:rsidRPr="00800E93">
        <w:rPr>
          <w:sz w:val="24"/>
          <w:szCs w:val="24"/>
        </w:rPr>
        <w:noBreakHyphen/>
        <w:t xml:space="preserve">laktamaser (f.eks. </w:t>
      </w:r>
      <w:r w:rsidRPr="00800E93">
        <w:rPr>
          <w:i/>
          <w:iCs/>
          <w:sz w:val="24"/>
          <w:szCs w:val="24"/>
        </w:rPr>
        <w:t>Enterobacter</w:t>
      </w:r>
      <w:r w:rsidRPr="00800E93">
        <w:rPr>
          <w:sz w:val="24"/>
          <w:szCs w:val="24"/>
        </w:rPr>
        <w:t xml:space="preserve"> spp., </w:t>
      </w:r>
      <w:r w:rsidRPr="00800E93">
        <w:rPr>
          <w:i/>
          <w:iCs/>
          <w:sz w:val="24"/>
          <w:szCs w:val="24"/>
        </w:rPr>
        <w:t>Serratia</w:t>
      </w:r>
      <w:r w:rsidRPr="00800E93">
        <w:rPr>
          <w:sz w:val="24"/>
          <w:szCs w:val="24"/>
        </w:rPr>
        <w:t xml:space="preserve"> spp., </w:t>
      </w:r>
      <w:r w:rsidRPr="00800E93">
        <w:rPr>
          <w:i/>
          <w:iCs/>
          <w:sz w:val="24"/>
          <w:szCs w:val="24"/>
        </w:rPr>
        <w:t>Citrobacter</w:t>
      </w:r>
      <w:r w:rsidRPr="00800E93">
        <w:rPr>
          <w:sz w:val="24"/>
          <w:szCs w:val="24"/>
        </w:rPr>
        <w:t xml:space="preserve"> spp. og </w:t>
      </w:r>
      <w:r w:rsidRPr="00800E93">
        <w:rPr>
          <w:i/>
          <w:iCs/>
          <w:sz w:val="24"/>
          <w:szCs w:val="24"/>
        </w:rPr>
        <w:t>Providencia</w:t>
      </w:r>
      <w:r w:rsidRPr="00800E93">
        <w:rPr>
          <w:sz w:val="24"/>
          <w:szCs w:val="24"/>
        </w:rPr>
        <w:t xml:space="preserve"> spp.); disse bør betragtes som resistente over for cefazolin, selv ved følsomhed in vitro.</w:t>
      </w:r>
    </w:p>
    <w:p w14:paraId="450A7812" w14:textId="77777777" w:rsidR="00800E93" w:rsidRPr="00800E93" w:rsidRDefault="00800E93" w:rsidP="00800E93">
      <w:pPr>
        <w:widowControl w:val="0"/>
        <w:tabs>
          <w:tab w:val="left" w:pos="851"/>
        </w:tabs>
        <w:ind w:left="851"/>
        <w:rPr>
          <w:rFonts w:eastAsia="Courier New"/>
          <w:sz w:val="24"/>
          <w:szCs w:val="24"/>
          <w:lang w:val="fr-FR"/>
        </w:rPr>
      </w:pPr>
    </w:p>
    <w:p w14:paraId="3DAD10F9" w14:textId="77777777" w:rsidR="00800E93" w:rsidRPr="00800E93" w:rsidRDefault="00800E93" w:rsidP="00800E93">
      <w:pPr>
        <w:widowControl w:val="0"/>
        <w:tabs>
          <w:tab w:val="left" w:pos="851"/>
        </w:tabs>
        <w:ind w:left="851"/>
        <w:rPr>
          <w:rFonts w:eastAsia="Courier New"/>
          <w:sz w:val="24"/>
          <w:szCs w:val="24"/>
          <w:u w:val="single"/>
        </w:rPr>
      </w:pPr>
      <w:r w:rsidRPr="00800E93">
        <w:rPr>
          <w:sz w:val="24"/>
          <w:szCs w:val="24"/>
          <w:u w:val="single"/>
        </w:rPr>
        <w:t xml:space="preserve">Breakpoints for følsomhedstestning </w:t>
      </w:r>
    </w:p>
    <w:p w14:paraId="3370F068" w14:textId="77777777" w:rsidR="00800E93" w:rsidRPr="00800E93" w:rsidRDefault="00800E93" w:rsidP="00800E93">
      <w:pPr>
        <w:widowControl w:val="0"/>
        <w:tabs>
          <w:tab w:val="left" w:pos="851"/>
        </w:tabs>
        <w:ind w:left="851"/>
        <w:rPr>
          <w:rFonts w:eastAsia="Courier New"/>
          <w:b/>
          <w:sz w:val="24"/>
          <w:szCs w:val="24"/>
        </w:rPr>
      </w:pPr>
      <w:r w:rsidRPr="00800E93">
        <w:rPr>
          <w:sz w:val="24"/>
          <w:szCs w:val="24"/>
        </w:rPr>
        <w:t xml:space="preserve">MIC (mindste hæmmende koncentration)-fortolkningskriterier for følsomhedsbestemmelse er blevet fastlagt af European Committee on Antimicrobial Susceptibility Testing (EUCAST) for cefazolin og er tilgængelige her: </w:t>
      </w:r>
      <w:hyperlink r:id="rId8" w:history="1">
        <w:r w:rsidRPr="00800E93">
          <w:rPr>
            <w:rStyle w:val="Hyperlink"/>
            <w:color w:val="auto"/>
            <w:sz w:val="24"/>
            <w:szCs w:val="24"/>
          </w:rPr>
          <w:t>https://www.ema.europa.eu/documents/other/minimum-inhibitory-concentration-mic-breakpoints_en.xlsx</w:t>
        </w:r>
      </w:hyperlink>
      <w:r w:rsidRPr="00800E93">
        <w:rPr>
          <w:sz w:val="24"/>
          <w:szCs w:val="24"/>
        </w:rPr>
        <w:t xml:space="preserve"> </w:t>
      </w:r>
    </w:p>
    <w:p w14:paraId="0EC3985B" w14:textId="77777777" w:rsidR="00800E93" w:rsidRPr="00800E93" w:rsidRDefault="00800E93" w:rsidP="00800E93">
      <w:pPr>
        <w:widowControl w:val="0"/>
        <w:tabs>
          <w:tab w:val="left" w:pos="851"/>
        </w:tabs>
        <w:ind w:left="851"/>
        <w:rPr>
          <w:rFonts w:eastAsia="Courier New"/>
          <w:b/>
          <w:sz w:val="24"/>
          <w:szCs w:val="24"/>
          <w:lang w:val="fr-FR"/>
        </w:rPr>
      </w:pPr>
    </w:p>
    <w:p w14:paraId="00B894FB" w14:textId="77777777" w:rsidR="00800E93" w:rsidRPr="00800E93" w:rsidRDefault="00800E93" w:rsidP="00800E93">
      <w:pPr>
        <w:widowControl w:val="0"/>
        <w:tabs>
          <w:tab w:val="left" w:pos="851"/>
        </w:tabs>
        <w:ind w:left="851"/>
        <w:rPr>
          <w:rFonts w:eastAsia="Courier New"/>
          <w:sz w:val="24"/>
          <w:szCs w:val="24"/>
          <w:u w:val="single"/>
        </w:rPr>
      </w:pPr>
      <w:r w:rsidRPr="00800E93">
        <w:rPr>
          <w:sz w:val="24"/>
          <w:szCs w:val="24"/>
          <w:u w:val="single"/>
        </w:rPr>
        <w:t>Mikrobiologisk følsomhed</w:t>
      </w:r>
    </w:p>
    <w:p w14:paraId="44382452" w14:textId="77777777" w:rsidR="00800E93" w:rsidRPr="00800E93" w:rsidRDefault="00800E93" w:rsidP="00800E93">
      <w:pPr>
        <w:widowControl w:val="0"/>
        <w:tabs>
          <w:tab w:val="left" w:pos="851"/>
        </w:tabs>
        <w:ind w:left="851"/>
        <w:rPr>
          <w:rFonts w:eastAsia="Courier New"/>
          <w:sz w:val="24"/>
          <w:szCs w:val="24"/>
        </w:rPr>
      </w:pPr>
      <w:r w:rsidRPr="00800E93">
        <w:rPr>
          <w:sz w:val="24"/>
          <w:szCs w:val="24"/>
        </w:rPr>
        <w:t>Forekomsten af erhvervet resistens for visse stammer kan variere afhængigt af geografisk område og tidspunktet for testning.</w:t>
      </w:r>
    </w:p>
    <w:p w14:paraId="38D62E0A" w14:textId="3C4F9D55" w:rsidR="00800E93" w:rsidRPr="00800E93" w:rsidRDefault="00800E93" w:rsidP="00800E93">
      <w:pPr>
        <w:widowControl w:val="0"/>
        <w:tabs>
          <w:tab w:val="left" w:pos="851"/>
        </w:tabs>
        <w:ind w:left="851"/>
        <w:rPr>
          <w:rFonts w:eastAsia="Courier New"/>
          <w:sz w:val="24"/>
          <w:szCs w:val="24"/>
        </w:rPr>
      </w:pPr>
      <w:r w:rsidRPr="00800E93">
        <w:rPr>
          <w:sz w:val="24"/>
          <w:szCs w:val="24"/>
        </w:rPr>
        <w:t>Lokal resistensinformation er derfor ønskelig, især ved behandling af alvorlige infektioner.</w:t>
      </w:r>
    </w:p>
    <w:p w14:paraId="0BB1092E" w14:textId="55539DC5" w:rsidR="00800E93" w:rsidRPr="00800E93" w:rsidRDefault="00800E93" w:rsidP="00800E93">
      <w:pPr>
        <w:widowControl w:val="0"/>
        <w:tabs>
          <w:tab w:val="left" w:pos="851"/>
        </w:tabs>
        <w:ind w:left="851"/>
        <w:rPr>
          <w:rFonts w:eastAsia="Courier New"/>
          <w:sz w:val="24"/>
          <w:szCs w:val="24"/>
        </w:rPr>
      </w:pPr>
      <w:r w:rsidRPr="00800E93">
        <w:rPr>
          <w:sz w:val="24"/>
          <w:szCs w:val="24"/>
        </w:rPr>
        <w:t>Hvis virkningen på baggrund af de lokale resistensforhold er tvivlsom, bør der indhentes ekspertbistand.</w:t>
      </w:r>
    </w:p>
    <w:p w14:paraId="7572490F" w14:textId="77777777" w:rsidR="00800E93" w:rsidRPr="008F08EF" w:rsidRDefault="00800E93" w:rsidP="00800E93">
      <w:pPr>
        <w:widowControl w:val="0"/>
        <w:tabs>
          <w:tab w:val="left" w:pos="567"/>
        </w:tabs>
        <w:rPr>
          <w:rFonts w:eastAsia="Courier New"/>
          <w:b/>
          <w:lang w:val="fr-FR"/>
        </w:rPr>
      </w:pPr>
    </w:p>
    <w:tbl>
      <w:tblPr>
        <w:tblStyle w:val="Tabel-Gitter"/>
        <w:tblW w:w="8363" w:type="dxa"/>
        <w:tblInd w:w="846" w:type="dxa"/>
        <w:tblLook w:val="04A0" w:firstRow="1" w:lastRow="0" w:firstColumn="1" w:lastColumn="0" w:noHBand="0" w:noVBand="1"/>
      </w:tblPr>
      <w:tblGrid>
        <w:gridCol w:w="8363"/>
      </w:tblGrid>
      <w:tr w:rsidR="00800E93" w:rsidRPr="008F08EF" w14:paraId="3FF4F47D" w14:textId="77777777" w:rsidTr="00800E93">
        <w:tc>
          <w:tcPr>
            <w:tcW w:w="8363" w:type="dxa"/>
          </w:tcPr>
          <w:p w14:paraId="3C69BFEE" w14:textId="77777777" w:rsidR="00800E93" w:rsidRPr="008F08EF" w:rsidRDefault="00800E93" w:rsidP="00A24D20">
            <w:pPr>
              <w:widowControl w:val="0"/>
              <w:tabs>
                <w:tab w:val="left" w:pos="567"/>
                <w:tab w:val="left" w:pos="3869"/>
              </w:tabs>
              <w:rPr>
                <w:rFonts w:ascii="Times New Roman" w:eastAsia="Courier New" w:hAnsi="Times New Roman" w:cs="Times New Roman"/>
                <w:b/>
              </w:rPr>
            </w:pPr>
            <w:r w:rsidRPr="008F08EF">
              <w:rPr>
                <w:rFonts w:ascii="Times New Roman" w:hAnsi="Times New Roman"/>
                <w:b/>
              </w:rPr>
              <w:t>Normalt følsomme arter</w:t>
            </w:r>
          </w:p>
        </w:tc>
      </w:tr>
      <w:tr w:rsidR="00800E93" w:rsidRPr="00AC75D5" w14:paraId="6F980BCA" w14:textId="77777777" w:rsidTr="00800E93">
        <w:trPr>
          <w:trHeight w:val="602"/>
        </w:trPr>
        <w:tc>
          <w:tcPr>
            <w:tcW w:w="8363" w:type="dxa"/>
          </w:tcPr>
          <w:p w14:paraId="33542FE2" w14:textId="77777777" w:rsidR="00800E93" w:rsidRPr="00B84678" w:rsidRDefault="00800E93" w:rsidP="00A24D20">
            <w:pPr>
              <w:widowControl w:val="0"/>
              <w:tabs>
                <w:tab w:val="left" w:pos="567"/>
              </w:tabs>
              <w:rPr>
                <w:rFonts w:ascii="Times New Roman" w:eastAsia="Courier New" w:hAnsi="Times New Roman" w:cs="Times New Roman"/>
                <w:u w:val="single"/>
                <w:lang w:val="en-US"/>
              </w:rPr>
            </w:pPr>
            <w:r w:rsidRPr="00B84678">
              <w:rPr>
                <w:rFonts w:ascii="Times New Roman" w:hAnsi="Times New Roman"/>
                <w:u w:val="single"/>
                <w:lang w:val="en-US"/>
              </w:rPr>
              <w:t>Aerobe grampositive</w:t>
            </w:r>
          </w:p>
          <w:p w14:paraId="3FBDCE17" w14:textId="77777777" w:rsidR="00800E93" w:rsidRPr="00B84678" w:rsidRDefault="00800E93" w:rsidP="00A24D20">
            <w:pPr>
              <w:widowControl w:val="0"/>
              <w:tabs>
                <w:tab w:val="left" w:pos="567"/>
              </w:tabs>
              <w:rPr>
                <w:rFonts w:ascii="Times New Roman" w:eastAsia="Courier New" w:hAnsi="Times New Roman" w:cs="Times New Roman"/>
                <w:u w:val="single"/>
                <w:lang w:val="en-US"/>
              </w:rPr>
            </w:pPr>
            <w:r w:rsidRPr="00B84678">
              <w:rPr>
                <w:rFonts w:ascii="Times New Roman" w:hAnsi="Times New Roman"/>
                <w:i/>
                <w:lang w:val="en-US"/>
              </w:rPr>
              <w:t>Staphylococcus aureus</w:t>
            </w:r>
            <w:r w:rsidRPr="00B84678">
              <w:rPr>
                <w:rFonts w:ascii="Times New Roman" w:hAnsi="Times New Roman"/>
                <w:lang w:val="en-US"/>
              </w:rPr>
              <w:t xml:space="preserve"> (methicillin-følsom)</w:t>
            </w:r>
          </w:p>
        </w:tc>
      </w:tr>
      <w:tr w:rsidR="00800E93" w:rsidRPr="008F08EF" w14:paraId="7696A2E5" w14:textId="77777777" w:rsidTr="00800E93">
        <w:tc>
          <w:tcPr>
            <w:tcW w:w="8363" w:type="dxa"/>
          </w:tcPr>
          <w:p w14:paraId="37093081" w14:textId="77777777" w:rsidR="00800E93" w:rsidRPr="008F08EF" w:rsidRDefault="00800E93" w:rsidP="00A24D20">
            <w:pPr>
              <w:widowControl w:val="0"/>
              <w:tabs>
                <w:tab w:val="left" w:pos="567"/>
              </w:tabs>
              <w:rPr>
                <w:rFonts w:ascii="Times New Roman" w:eastAsia="Courier New" w:hAnsi="Times New Roman" w:cs="Times New Roman"/>
                <w:b/>
              </w:rPr>
            </w:pPr>
            <w:r w:rsidRPr="008F08EF">
              <w:rPr>
                <w:rFonts w:ascii="Times New Roman" w:hAnsi="Times New Roman"/>
                <w:b/>
              </w:rPr>
              <w:t>Arter, for hvilke erhvervet resistens kan være et problem</w:t>
            </w:r>
          </w:p>
        </w:tc>
      </w:tr>
      <w:tr w:rsidR="00800E93" w:rsidRPr="008F08EF" w14:paraId="6B623C18" w14:textId="77777777" w:rsidTr="00800E93">
        <w:trPr>
          <w:trHeight w:val="899"/>
        </w:trPr>
        <w:tc>
          <w:tcPr>
            <w:tcW w:w="8363" w:type="dxa"/>
          </w:tcPr>
          <w:p w14:paraId="0BF429D3" w14:textId="77777777" w:rsidR="00800E93" w:rsidRPr="00B84678" w:rsidRDefault="00800E93" w:rsidP="00A24D20">
            <w:pPr>
              <w:widowControl w:val="0"/>
              <w:tabs>
                <w:tab w:val="left" w:pos="567"/>
              </w:tabs>
              <w:rPr>
                <w:rFonts w:ascii="Times New Roman" w:eastAsia="Courier New" w:hAnsi="Times New Roman" w:cs="Times New Roman"/>
                <w:i/>
                <w:lang w:val="en-US"/>
              </w:rPr>
            </w:pPr>
            <w:r w:rsidRPr="00B84678">
              <w:rPr>
                <w:rFonts w:ascii="Times New Roman" w:hAnsi="Times New Roman"/>
                <w:i/>
                <w:lang w:val="en-US"/>
              </w:rPr>
              <w:t xml:space="preserve">Haemophilus influenzae </w:t>
            </w:r>
          </w:p>
          <w:p w14:paraId="30F5363B" w14:textId="77777777" w:rsidR="00800E93" w:rsidRPr="00B84678" w:rsidRDefault="00800E93" w:rsidP="00A24D20">
            <w:pPr>
              <w:widowControl w:val="0"/>
              <w:tabs>
                <w:tab w:val="left" w:pos="567"/>
              </w:tabs>
              <w:rPr>
                <w:rFonts w:ascii="Times New Roman" w:eastAsia="Courier New" w:hAnsi="Times New Roman" w:cs="Times New Roman"/>
                <w:lang w:val="en-US"/>
              </w:rPr>
            </w:pPr>
            <w:r w:rsidRPr="00B84678">
              <w:rPr>
                <w:rFonts w:ascii="Times New Roman" w:hAnsi="Times New Roman"/>
                <w:i/>
                <w:lang w:val="en-US"/>
              </w:rPr>
              <w:t>Staphylococcus epidermidis</w:t>
            </w:r>
            <w:r w:rsidRPr="00B84678">
              <w:rPr>
                <w:rFonts w:ascii="Times New Roman" w:hAnsi="Times New Roman"/>
                <w:lang w:val="en-US"/>
              </w:rPr>
              <w:t xml:space="preserve"> (methicillin-følsom)</w:t>
            </w:r>
          </w:p>
          <w:p w14:paraId="4A2E4036" w14:textId="77777777" w:rsidR="00800E93" w:rsidRPr="008F08EF" w:rsidRDefault="00800E93" w:rsidP="00A24D20">
            <w:pPr>
              <w:widowControl w:val="0"/>
              <w:tabs>
                <w:tab w:val="left" w:pos="567"/>
              </w:tabs>
              <w:rPr>
                <w:rFonts w:ascii="Times New Roman" w:eastAsia="Courier New" w:hAnsi="Times New Roman" w:cs="Times New Roman"/>
                <w:i/>
              </w:rPr>
            </w:pPr>
            <w:r w:rsidRPr="008F08EF">
              <w:rPr>
                <w:rFonts w:ascii="Times New Roman" w:hAnsi="Times New Roman"/>
                <w:i/>
              </w:rPr>
              <w:t>Streptococcus pneumoniae</w:t>
            </w:r>
          </w:p>
        </w:tc>
      </w:tr>
      <w:tr w:rsidR="00800E93" w:rsidRPr="008F08EF" w14:paraId="7ECA7F35" w14:textId="77777777" w:rsidTr="00800E93">
        <w:tc>
          <w:tcPr>
            <w:tcW w:w="8363" w:type="dxa"/>
          </w:tcPr>
          <w:p w14:paraId="32A854D0" w14:textId="77777777" w:rsidR="00800E93" w:rsidRPr="008F08EF" w:rsidRDefault="00800E93" w:rsidP="00A24D20">
            <w:pPr>
              <w:widowControl w:val="0"/>
              <w:tabs>
                <w:tab w:val="left" w:pos="567"/>
              </w:tabs>
              <w:rPr>
                <w:rFonts w:ascii="Times New Roman" w:eastAsia="Courier New" w:hAnsi="Times New Roman" w:cs="Times New Roman"/>
                <w:b/>
              </w:rPr>
            </w:pPr>
            <w:r w:rsidRPr="008F08EF">
              <w:rPr>
                <w:rFonts w:ascii="Times New Roman" w:hAnsi="Times New Roman"/>
                <w:b/>
              </w:rPr>
              <w:t>Inhærente, resistente organismer</w:t>
            </w:r>
          </w:p>
        </w:tc>
      </w:tr>
      <w:tr w:rsidR="00800E93" w:rsidRPr="008F08EF" w14:paraId="710EF45E" w14:textId="77777777" w:rsidTr="00800E93">
        <w:trPr>
          <w:trHeight w:val="2879"/>
        </w:trPr>
        <w:tc>
          <w:tcPr>
            <w:tcW w:w="8363" w:type="dxa"/>
          </w:tcPr>
          <w:p w14:paraId="397F17AE" w14:textId="77777777" w:rsidR="00800E93" w:rsidRPr="00B84678" w:rsidRDefault="00800E93" w:rsidP="00A24D20">
            <w:pPr>
              <w:widowControl w:val="0"/>
              <w:tabs>
                <w:tab w:val="left" w:pos="567"/>
              </w:tabs>
              <w:rPr>
                <w:rFonts w:ascii="Times New Roman" w:eastAsia="Courier New" w:hAnsi="Times New Roman" w:cs="Times New Roman"/>
                <w:lang w:val="en-US"/>
              </w:rPr>
            </w:pPr>
            <w:r w:rsidRPr="00B84678">
              <w:rPr>
                <w:rFonts w:ascii="Times New Roman" w:hAnsi="Times New Roman"/>
                <w:i/>
                <w:lang w:val="en-US"/>
              </w:rPr>
              <w:t>Citrobacter</w:t>
            </w:r>
            <w:r w:rsidRPr="00B84678">
              <w:rPr>
                <w:rFonts w:ascii="Times New Roman" w:hAnsi="Times New Roman"/>
                <w:lang w:val="en-US"/>
              </w:rPr>
              <w:t xml:space="preserve"> spp.</w:t>
            </w:r>
          </w:p>
          <w:p w14:paraId="5BBC38C3" w14:textId="77777777" w:rsidR="00800E93" w:rsidRPr="00B84678" w:rsidRDefault="00800E93" w:rsidP="00A24D20">
            <w:pPr>
              <w:widowControl w:val="0"/>
              <w:tabs>
                <w:tab w:val="left" w:pos="567"/>
              </w:tabs>
              <w:rPr>
                <w:rFonts w:ascii="Times New Roman" w:eastAsia="Courier New" w:hAnsi="Times New Roman" w:cs="Times New Roman"/>
                <w:lang w:val="en-US"/>
              </w:rPr>
            </w:pPr>
            <w:r w:rsidRPr="00B84678">
              <w:rPr>
                <w:rFonts w:ascii="Times New Roman" w:hAnsi="Times New Roman"/>
                <w:i/>
                <w:lang w:val="en-US"/>
              </w:rPr>
              <w:t>Enterobacter</w:t>
            </w:r>
            <w:r w:rsidRPr="00B84678">
              <w:rPr>
                <w:rFonts w:ascii="Times New Roman" w:hAnsi="Times New Roman"/>
                <w:lang w:val="en-US"/>
              </w:rPr>
              <w:t xml:space="preserve"> spp. </w:t>
            </w:r>
            <w:r w:rsidRPr="00B84678">
              <w:rPr>
                <w:rFonts w:ascii="Times New Roman" w:hAnsi="Times New Roman"/>
                <w:i/>
                <w:lang w:val="en-US"/>
              </w:rPr>
              <w:t>(Enterobacter cloacae, Enterobacter aerogenes)</w:t>
            </w:r>
          </w:p>
          <w:p w14:paraId="5EDA86C7" w14:textId="77777777" w:rsidR="00800E93" w:rsidRPr="00B84678" w:rsidRDefault="00800E93" w:rsidP="00A24D20">
            <w:pPr>
              <w:widowControl w:val="0"/>
              <w:tabs>
                <w:tab w:val="left" w:pos="567"/>
              </w:tabs>
              <w:rPr>
                <w:rFonts w:ascii="Times New Roman" w:eastAsia="Courier New" w:hAnsi="Times New Roman" w:cs="Times New Roman"/>
                <w:i/>
                <w:lang w:val="en-US"/>
              </w:rPr>
            </w:pPr>
            <w:r w:rsidRPr="00B84678">
              <w:rPr>
                <w:rFonts w:ascii="Times New Roman" w:hAnsi="Times New Roman"/>
                <w:i/>
                <w:lang w:val="en-US"/>
              </w:rPr>
              <w:t>Morganella morganii</w:t>
            </w:r>
          </w:p>
          <w:p w14:paraId="00715664" w14:textId="77777777" w:rsidR="00800E93" w:rsidRPr="00B84678" w:rsidRDefault="00800E93" w:rsidP="00A24D20">
            <w:pPr>
              <w:widowControl w:val="0"/>
              <w:tabs>
                <w:tab w:val="left" w:pos="567"/>
              </w:tabs>
              <w:rPr>
                <w:rFonts w:ascii="Times New Roman" w:eastAsia="Courier New" w:hAnsi="Times New Roman" w:cs="Times New Roman"/>
                <w:i/>
                <w:lang w:val="en-US"/>
              </w:rPr>
            </w:pPr>
            <w:r w:rsidRPr="00B84678">
              <w:rPr>
                <w:rFonts w:ascii="Times New Roman" w:hAnsi="Times New Roman"/>
                <w:i/>
                <w:lang w:val="en-US"/>
              </w:rPr>
              <w:t>Proteus stuartii</w:t>
            </w:r>
          </w:p>
          <w:p w14:paraId="170BE27E" w14:textId="77777777" w:rsidR="00800E93" w:rsidRPr="00B84678" w:rsidRDefault="00800E93" w:rsidP="00A24D20">
            <w:pPr>
              <w:widowControl w:val="0"/>
              <w:tabs>
                <w:tab w:val="left" w:pos="567"/>
              </w:tabs>
              <w:rPr>
                <w:rFonts w:ascii="Times New Roman" w:eastAsia="Courier New" w:hAnsi="Times New Roman" w:cs="Times New Roman"/>
                <w:i/>
                <w:lang w:val="en-US"/>
              </w:rPr>
            </w:pPr>
            <w:r w:rsidRPr="00B84678">
              <w:rPr>
                <w:rFonts w:ascii="Times New Roman" w:hAnsi="Times New Roman"/>
                <w:i/>
                <w:lang w:val="en-US"/>
              </w:rPr>
              <w:t>Proteus vulgaris</w:t>
            </w:r>
          </w:p>
          <w:p w14:paraId="3DFCBD0A" w14:textId="77777777" w:rsidR="00800E93" w:rsidRPr="00B84678" w:rsidRDefault="00800E93" w:rsidP="00A24D20">
            <w:pPr>
              <w:widowControl w:val="0"/>
              <w:tabs>
                <w:tab w:val="left" w:pos="567"/>
              </w:tabs>
              <w:rPr>
                <w:rFonts w:ascii="Times New Roman" w:eastAsia="Courier New" w:hAnsi="Times New Roman" w:cs="Times New Roman"/>
                <w:i/>
                <w:lang w:val="en-US"/>
              </w:rPr>
            </w:pPr>
            <w:r w:rsidRPr="00B84678">
              <w:rPr>
                <w:rFonts w:ascii="Times New Roman" w:hAnsi="Times New Roman"/>
                <w:i/>
                <w:lang w:val="en-US"/>
              </w:rPr>
              <w:t>Pseudomonas aeruginosa</w:t>
            </w:r>
          </w:p>
          <w:p w14:paraId="23ECEFA1" w14:textId="77777777" w:rsidR="00800E93" w:rsidRPr="00B84678" w:rsidRDefault="00800E93" w:rsidP="00A24D20">
            <w:pPr>
              <w:widowControl w:val="0"/>
              <w:tabs>
                <w:tab w:val="left" w:pos="567"/>
              </w:tabs>
              <w:rPr>
                <w:rFonts w:ascii="Times New Roman" w:eastAsia="Courier New" w:hAnsi="Times New Roman" w:cs="Times New Roman"/>
                <w:lang w:val="en-US"/>
              </w:rPr>
            </w:pPr>
            <w:r w:rsidRPr="00B84678">
              <w:rPr>
                <w:rFonts w:ascii="Times New Roman" w:hAnsi="Times New Roman"/>
                <w:i/>
                <w:lang w:val="en-US"/>
              </w:rPr>
              <w:t>Serratia</w:t>
            </w:r>
            <w:r w:rsidRPr="00B84678">
              <w:rPr>
                <w:rFonts w:ascii="Times New Roman" w:hAnsi="Times New Roman"/>
                <w:lang w:val="en-US"/>
              </w:rPr>
              <w:t xml:space="preserve"> spp.</w:t>
            </w:r>
          </w:p>
          <w:p w14:paraId="53B1BE1E" w14:textId="77777777" w:rsidR="00800E93" w:rsidRPr="00B84678" w:rsidRDefault="00800E93" w:rsidP="00A24D20">
            <w:pPr>
              <w:widowControl w:val="0"/>
              <w:tabs>
                <w:tab w:val="left" w:pos="567"/>
              </w:tabs>
              <w:rPr>
                <w:rFonts w:ascii="Times New Roman" w:eastAsia="Courier New" w:hAnsi="Times New Roman" w:cs="Times New Roman"/>
                <w:lang w:val="en-US"/>
              </w:rPr>
            </w:pPr>
            <w:r w:rsidRPr="00B84678">
              <w:rPr>
                <w:rFonts w:ascii="Times New Roman" w:hAnsi="Times New Roman"/>
                <w:i/>
                <w:lang w:val="en-US"/>
              </w:rPr>
              <w:t>Staphylococcus aureus</w:t>
            </w:r>
            <w:r w:rsidRPr="00B84678">
              <w:rPr>
                <w:rFonts w:ascii="Times New Roman" w:hAnsi="Times New Roman"/>
                <w:lang w:val="en-US"/>
              </w:rPr>
              <w:t>, methicillin-resistent</w:t>
            </w:r>
          </w:p>
          <w:p w14:paraId="64D75B70" w14:textId="77777777" w:rsidR="00800E93" w:rsidRPr="008F08EF" w:rsidRDefault="00800E93" w:rsidP="00A24D20">
            <w:pPr>
              <w:widowControl w:val="0"/>
              <w:tabs>
                <w:tab w:val="left" w:pos="567"/>
              </w:tabs>
              <w:rPr>
                <w:rFonts w:ascii="Times New Roman" w:eastAsia="Courier New" w:hAnsi="Times New Roman" w:cs="Times New Roman"/>
              </w:rPr>
            </w:pPr>
            <w:r w:rsidRPr="008F08EF">
              <w:rPr>
                <w:rFonts w:ascii="Times New Roman" w:hAnsi="Times New Roman"/>
                <w:i/>
              </w:rPr>
              <w:t>Indole-positive Proteus</w:t>
            </w:r>
            <w:r w:rsidRPr="008F08EF">
              <w:rPr>
                <w:rFonts w:ascii="Times New Roman" w:hAnsi="Times New Roman"/>
              </w:rPr>
              <w:t xml:space="preserve"> spp</w:t>
            </w:r>
          </w:p>
          <w:p w14:paraId="34DBD006" w14:textId="77777777" w:rsidR="00800E93" w:rsidRPr="008F08EF" w:rsidRDefault="00800E93" w:rsidP="00A24D20">
            <w:pPr>
              <w:widowControl w:val="0"/>
              <w:tabs>
                <w:tab w:val="left" w:pos="567"/>
              </w:tabs>
              <w:rPr>
                <w:rFonts w:ascii="Times New Roman" w:eastAsia="Courier New" w:hAnsi="Times New Roman" w:cs="Times New Roman"/>
                <w:i/>
              </w:rPr>
            </w:pPr>
            <w:r w:rsidRPr="008F08EF">
              <w:rPr>
                <w:rFonts w:ascii="Times New Roman" w:hAnsi="Times New Roman"/>
                <w:i/>
              </w:rPr>
              <w:t>Klebsiella pneumoniae</w:t>
            </w:r>
          </w:p>
          <w:p w14:paraId="6FC84514" w14:textId="77777777" w:rsidR="00800E93" w:rsidRPr="008F08EF" w:rsidRDefault="00800E93" w:rsidP="00A24D20">
            <w:pPr>
              <w:widowControl w:val="0"/>
              <w:tabs>
                <w:tab w:val="left" w:pos="567"/>
              </w:tabs>
              <w:rPr>
                <w:rFonts w:ascii="Times New Roman" w:eastAsia="Courier New" w:hAnsi="Times New Roman" w:cs="Times New Roman"/>
                <w:u w:val="single"/>
              </w:rPr>
            </w:pPr>
            <w:r w:rsidRPr="008F08EF">
              <w:rPr>
                <w:rFonts w:ascii="Times New Roman" w:hAnsi="Times New Roman"/>
                <w:i/>
              </w:rPr>
              <w:t>Proteus mirabilis</w:t>
            </w:r>
          </w:p>
        </w:tc>
      </w:tr>
    </w:tbl>
    <w:p w14:paraId="7DE423EA" w14:textId="77777777" w:rsidR="009260DE" w:rsidRPr="00C84483" w:rsidRDefault="009260DE" w:rsidP="00955704">
      <w:pPr>
        <w:tabs>
          <w:tab w:val="left" w:pos="851"/>
        </w:tabs>
        <w:ind w:left="851"/>
        <w:rPr>
          <w:sz w:val="24"/>
          <w:szCs w:val="24"/>
        </w:rPr>
      </w:pPr>
    </w:p>
    <w:p w14:paraId="3442B182" w14:textId="77777777" w:rsidR="009260DE" w:rsidRPr="00C84483" w:rsidRDefault="009260DE" w:rsidP="00955704">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1F379C2" w14:textId="77777777" w:rsidR="00DF565A" w:rsidRDefault="00DF565A" w:rsidP="00DF565A">
      <w:pPr>
        <w:widowControl w:val="0"/>
        <w:tabs>
          <w:tab w:val="left" w:pos="851"/>
        </w:tabs>
        <w:ind w:left="851"/>
        <w:rPr>
          <w:sz w:val="24"/>
          <w:szCs w:val="24"/>
          <w:u w:val="single"/>
        </w:rPr>
      </w:pPr>
    </w:p>
    <w:p w14:paraId="6EE99873" w14:textId="19B7F9B6" w:rsidR="00DF565A" w:rsidRPr="00DF565A" w:rsidRDefault="00DF565A" w:rsidP="00DF565A">
      <w:pPr>
        <w:widowControl w:val="0"/>
        <w:tabs>
          <w:tab w:val="left" w:pos="851"/>
        </w:tabs>
        <w:ind w:left="851"/>
        <w:rPr>
          <w:rFonts w:eastAsia="Courier New"/>
          <w:iCs/>
          <w:sz w:val="24"/>
          <w:szCs w:val="24"/>
          <w:u w:val="single"/>
        </w:rPr>
      </w:pPr>
      <w:r w:rsidRPr="00DF565A">
        <w:rPr>
          <w:sz w:val="24"/>
          <w:szCs w:val="24"/>
          <w:u w:val="single"/>
        </w:rPr>
        <w:t xml:space="preserve">Absorption og fordeling </w:t>
      </w:r>
    </w:p>
    <w:p w14:paraId="128A5D0E" w14:textId="77777777" w:rsidR="00DF565A" w:rsidRPr="00DF565A" w:rsidRDefault="00DF565A" w:rsidP="00DF565A">
      <w:pPr>
        <w:widowControl w:val="0"/>
        <w:tabs>
          <w:tab w:val="left" w:pos="851"/>
        </w:tabs>
        <w:ind w:left="851"/>
        <w:rPr>
          <w:rFonts w:eastAsia="Courier New"/>
          <w:iCs/>
          <w:sz w:val="24"/>
          <w:szCs w:val="24"/>
          <w:u w:val="single"/>
        </w:rPr>
      </w:pPr>
    </w:p>
    <w:p w14:paraId="61209D81" w14:textId="3CF81337" w:rsidR="00DF565A" w:rsidRPr="00DF565A" w:rsidRDefault="00DF565A" w:rsidP="00DF565A">
      <w:pPr>
        <w:pStyle w:val="Bodytext20"/>
        <w:numPr>
          <w:ilvl w:val="0"/>
          <w:numId w:val="9"/>
        </w:numPr>
        <w:shd w:val="clear" w:color="auto" w:fill="auto"/>
        <w:tabs>
          <w:tab w:val="left" w:pos="1134"/>
        </w:tabs>
        <w:spacing w:before="0" w:after="0" w:line="240" w:lineRule="exact"/>
        <w:ind w:left="851" w:firstLine="0"/>
        <w:jc w:val="left"/>
        <w:rPr>
          <w:rFonts w:asciiTheme="majorBidi" w:hAnsiTheme="majorBidi" w:cstheme="majorBidi"/>
          <w:sz w:val="24"/>
          <w:szCs w:val="24"/>
        </w:rPr>
      </w:pPr>
      <w:r w:rsidRPr="00DF565A">
        <w:rPr>
          <w:rFonts w:asciiTheme="majorBidi" w:hAnsiTheme="majorBidi"/>
          <w:sz w:val="24"/>
          <w:szCs w:val="24"/>
        </w:rPr>
        <w:t>I.m. administration</w:t>
      </w:r>
    </w:p>
    <w:p w14:paraId="3B473947" w14:textId="77777777" w:rsidR="00DF565A" w:rsidRPr="00DF565A" w:rsidRDefault="00DF565A" w:rsidP="00DF565A">
      <w:pPr>
        <w:pStyle w:val="Bodytext20"/>
        <w:shd w:val="clear" w:color="auto" w:fill="auto"/>
        <w:tabs>
          <w:tab w:val="left" w:pos="851"/>
        </w:tabs>
        <w:spacing w:before="0" w:after="0" w:line="240" w:lineRule="exact"/>
        <w:ind w:left="851" w:firstLine="0"/>
        <w:jc w:val="left"/>
        <w:rPr>
          <w:rFonts w:asciiTheme="majorBidi" w:hAnsiTheme="majorBidi" w:cstheme="majorBidi"/>
          <w:sz w:val="24"/>
          <w:szCs w:val="24"/>
        </w:rPr>
      </w:pPr>
      <w:r w:rsidRPr="00DF565A">
        <w:rPr>
          <w:rFonts w:asciiTheme="majorBidi" w:hAnsiTheme="majorBidi"/>
          <w:sz w:val="24"/>
          <w:szCs w:val="24"/>
        </w:rPr>
        <w:t>I human farmakologi angives serumkoncentrationerne af cefazolin og virkningsvarigheden efter intramuskulær administration som i følgende tabel.</w:t>
      </w:r>
    </w:p>
    <w:p w14:paraId="366D2359" w14:textId="77777777" w:rsidR="00DF565A" w:rsidRPr="008F08EF" w:rsidRDefault="00DF565A" w:rsidP="00DF565A">
      <w:pPr>
        <w:pStyle w:val="Bodytext20"/>
        <w:shd w:val="clear" w:color="auto" w:fill="auto"/>
        <w:spacing w:before="0" w:after="0" w:line="240" w:lineRule="exact"/>
        <w:ind w:firstLine="0"/>
        <w:jc w:val="left"/>
        <w:rPr>
          <w:rFonts w:asciiTheme="majorBidi" w:hAnsiTheme="majorBidi" w:cstheme="majorBidi"/>
          <w:sz w:val="22"/>
          <w:szCs w:val="22"/>
        </w:rPr>
      </w:pPr>
    </w:p>
    <w:tbl>
      <w:tblPr>
        <w:tblStyle w:val="Tabel-Gitter"/>
        <w:tblW w:w="9287" w:type="dxa"/>
        <w:tblInd w:w="846" w:type="dxa"/>
        <w:tblLook w:val="04A0" w:firstRow="1" w:lastRow="0" w:firstColumn="1" w:lastColumn="0" w:noHBand="0" w:noVBand="1"/>
      </w:tblPr>
      <w:tblGrid>
        <w:gridCol w:w="1728"/>
        <w:gridCol w:w="1260"/>
        <w:gridCol w:w="1260"/>
        <w:gridCol w:w="1170"/>
        <w:gridCol w:w="1260"/>
        <w:gridCol w:w="1350"/>
        <w:gridCol w:w="1259"/>
      </w:tblGrid>
      <w:tr w:rsidR="00DF565A" w:rsidRPr="008F08EF" w14:paraId="6893DF66" w14:textId="77777777" w:rsidTr="00DF565A">
        <w:tc>
          <w:tcPr>
            <w:tcW w:w="1728" w:type="dxa"/>
            <w:vMerge w:val="restart"/>
          </w:tcPr>
          <w:p w14:paraId="13F1DCE9"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Dosering (g)</w:t>
            </w:r>
          </w:p>
        </w:tc>
        <w:tc>
          <w:tcPr>
            <w:tcW w:w="7559" w:type="dxa"/>
            <w:gridSpan w:val="6"/>
          </w:tcPr>
          <w:p w14:paraId="40B48660"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 xml:space="preserve">Serumkoncentration (mikrog./ml) </w:t>
            </w:r>
          </w:p>
        </w:tc>
      </w:tr>
      <w:tr w:rsidR="00DF565A" w:rsidRPr="008F08EF" w14:paraId="5335A7EF" w14:textId="77777777" w:rsidTr="00DF565A">
        <w:tc>
          <w:tcPr>
            <w:tcW w:w="1728" w:type="dxa"/>
            <w:vMerge/>
          </w:tcPr>
          <w:p w14:paraId="0BEE33AF" w14:textId="77777777" w:rsidR="00DF565A" w:rsidRPr="008F08EF" w:rsidRDefault="00DF565A" w:rsidP="00A24D20">
            <w:pPr>
              <w:widowControl w:val="0"/>
              <w:tabs>
                <w:tab w:val="left" w:pos="567"/>
              </w:tabs>
              <w:rPr>
                <w:rFonts w:ascii="Times New Roman" w:eastAsia="Courier New" w:hAnsi="Times New Roman" w:cs="Times New Roman"/>
              </w:rPr>
            </w:pPr>
          </w:p>
        </w:tc>
        <w:tc>
          <w:tcPr>
            <w:tcW w:w="1260" w:type="dxa"/>
          </w:tcPr>
          <w:p w14:paraId="4C417C1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30 min</w:t>
            </w:r>
          </w:p>
        </w:tc>
        <w:tc>
          <w:tcPr>
            <w:tcW w:w="1260" w:type="dxa"/>
          </w:tcPr>
          <w:p w14:paraId="07417A8F"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 time</w:t>
            </w:r>
          </w:p>
        </w:tc>
        <w:tc>
          <w:tcPr>
            <w:tcW w:w="1170" w:type="dxa"/>
          </w:tcPr>
          <w:p w14:paraId="7607866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2 timer</w:t>
            </w:r>
          </w:p>
        </w:tc>
        <w:tc>
          <w:tcPr>
            <w:tcW w:w="1260" w:type="dxa"/>
          </w:tcPr>
          <w:p w14:paraId="19BB2D8D"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4 timer</w:t>
            </w:r>
          </w:p>
        </w:tc>
        <w:tc>
          <w:tcPr>
            <w:tcW w:w="1350" w:type="dxa"/>
          </w:tcPr>
          <w:p w14:paraId="3CCF4CDE"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6 timer</w:t>
            </w:r>
          </w:p>
        </w:tc>
        <w:tc>
          <w:tcPr>
            <w:tcW w:w="1259" w:type="dxa"/>
          </w:tcPr>
          <w:p w14:paraId="77C4C7E6"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8 timer</w:t>
            </w:r>
          </w:p>
        </w:tc>
      </w:tr>
      <w:tr w:rsidR="00DF565A" w:rsidRPr="008F08EF" w14:paraId="0BC641BC" w14:textId="77777777" w:rsidTr="00DF565A">
        <w:tc>
          <w:tcPr>
            <w:tcW w:w="1728" w:type="dxa"/>
          </w:tcPr>
          <w:p w14:paraId="4C784C86"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0,25</w:t>
            </w:r>
          </w:p>
        </w:tc>
        <w:tc>
          <w:tcPr>
            <w:tcW w:w="1260" w:type="dxa"/>
          </w:tcPr>
          <w:p w14:paraId="3E1C7C35"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 xml:space="preserve">15,5 </w:t>
            </w:r>
          </w:p>
        </w:tc>
        <w:tc>
          <w:tcPr>
            <w:tcW w:w="1260" w:type="dxa"/>
          </w:tcPr>
          <w:p w14:paraId="65D5DAB0"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17,0</w:t>
            </w:r>
          </w:p>
        </w:tc>
        <w:tc>
          <w:tcPr>
            <w:tcW w:w="1170" w:type="dxa"/>
          </w:tcPr>
          <w:p w14:paraId="58337F2F"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13,0</w:t>
            </w:r>
          </w:p>
        </w:tc>
        <w:tc>
          <w:tcPr>
            <w:tcW w:w="1260" w:type="dxa"/>
          </w:tcPr>
          <w:p w14:paraId="4AA30178"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5,1</w:t>
            </w:r>
          </w:p>
        </w:tc>
        <w:tc>
          <w:tcPr>
            <w:tcW w:w="1350" w:type="dxa"/>
          </w:tcPr>
          <w:p w14:paraId="6A7C38CD"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2,5</w:t>
            </w:r>
          </w:p>
        </w:tc>
        <w:tc>
          <w:tcPr>
            <w:tcW w:w="1259" w:type="dxa"/>
          </w:tcPr>
          <w:p w14:paraId="3A9BF30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&lt; 1,5</w:t>
            </w:r>
          </w:p>
        </w:tc>
      </w:tr>
      <w:tr w:rsidR="00DF565A" w:rsidRPr="008F08EF" w14:paraId="3E1FB119" w14:textId="77777777" w:rsidTr="00DF565A">
        <w:tc>
          <w:tcPr>
            <w:tcW w:w="1728" w:type="dxa"/>
          </w:tcPr>
          <w:p w14:paraId="4FD4910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0,50</w:t>
            </w:r>
          </w:p>
        </w:tc>
        <w:tc>
          <w:tcPr>
            <w:tcW w:w="1260" w:type="dxa"/>
          </w:tcPr>
          <w:p w14:paraId="28CBA6AF"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36,2</w:t>
            </w:r>
          </w:p>
        </w:tc>
        <w:tc>
          <w:tcPr>
            <w:tcW w:w="1260" w:type="dxa"/>
          </w:tcPr>
          <w:p w14:paraId="27C660D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36,8</w:t>
            </w:r>
          </w:p>
        </w:tc>
        <w:tc>
          <w:tcPr>
            <w:tcW w:w="1170" w:type="dxa"/>
          </w:tcPr>
          <w:p w14:paraId="007CF238"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37,9</w:t>
            </w:r>
          </w:p>
        </w:tc>
        <w:tc>
          <w:tcPr>
            <w:tcW w:w="1260" w:type="dxa"/>
          </w:tcPr>
          <w:p w14:paraId="5464FBF9"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15,5</w:t>
            </w:r>
          </w:p>
        </w:tc>
        <w:tc>
          <w:tcPr>
            <w:tcW w:w="1350" w:type="dxa"/>
          </w:tcPr>
          <w:p w14:paraId="4123710D" w14:textId="77777777" w:rsidR="00DF565A" w:rsidRPr="008F08EF" w:rsidRDefault="00DF565A" w:rsidP="00A24D20">
            <w:pPr>
              <w:widowControl w:val="0"/>
              <w:tabs>
                <w:tab w:val="left" w:pos="567"/>
              </w:tabs>
              <w:rPr>
                <w:rFonts w:ascii="Times New Roman" w:eastAsia="Courier New" w:hAnsi="Times New Roman" w:cs="Times New Roman"/>
                <w:highlight w:val="yellow"/>
              </w:rPr>
            </w:pPr>
            <w:r w:rsidRPr="008F08EF">
              <w:rPr>
                <w:rFonts w:ascii="Times New Roman" w:hAnsi="Times New Roman"/>
              </w:rPr>
              <w:t>6,3</w:t>
            </w:r>
          </w:p>
        </w:tc>
        <w:tc>
          <w:tcPr>
            <w:tcW w:w="1259" w:type="dxa"/>
          </w:tcPr>
          <w:p w14:paraId="07B4CCC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3,0</w:t>
            </w:r>
          </w:p>
        </w:tc>
      </w:tr>
      <w:tr w:rsidR="00DF565A" w:rsidRPr="008F08EF" w14:paraId="73FB5AA3" w14:textId="77777777" w:rsidTr="00DF565A">
        <w:tc>
          <w:tcPr>
            <w:tcW w:w="1728" w:type="dxa"/>
          </w:tcPr>
          <w:p w14:paraId="60D9F3A2"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1,0*</w:t>
            </w:r>
          </w:p>
        </w:tc>
        <w:tc>
          <w:tcPr>
            <w:tcW w:w="1260" w:type="dxa"/>
          </w:tcPr>
          <w:p w14:paraId="246468BE"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60,1</w:t>
            </w:r>
          </w:p>
        </w:tc>
        <w:tc>
          <w:tcPr>
            <w:tcW w:w="1260" w:type="dxa"/>
          </w:tcPr>
          <w:p w14:paraId="3B13012A"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63,8</w:t>
            </w:r>
          </w:p>
        </w:tc>
        <w:tc>
          <w:tcPr>
            <w:tcW w:w="1170" w:type="dxa"/>
          </w:tcPr>
          <w:p w14:paraId="63206E50"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54,3</w:t>
            </w:r>
          </w:p>
        </w:tc>
        <w:tc>
          <w:tcPr>
            <w:tcW w:w="1260" w:type="dxa"/>
          </w:tcPr>
          <w:p w14:paraId="6E34ECE5"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29,3</w:t>
            </w:r>
          </w:p>
        </w:tc>
        <w:tc>
          <w:tcPr>
            <w:tcW w:w="1350" w:type="dxa"/>
          </w:tcPr>
          <w:p w14:paraId="7F70F45D"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13,2</w:t>
            </w:r>
          </w:p>
        </w:tc>
        <w:tc>
          <w:tcPr>
            <w:tcW w:w="1259" w:type="dxa"/>
          </w:tcPr>
          <w:p w14:paraId="2B5B98A2"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7,1</w:t>
            </w:r>
          </w:p>
        </w:tc>
      </w:tr>
    </w:tbl>
    <w:p w14:paraId="0CD10C9D" w14:textId="77777777" w:rsidR="00DF565A" w:rsidRPr="00DF565A" w:rsidRDefault="00DF565A" w:rsidP="00DF565A">
      <w:pPr>
        <w:pStyle w:val="Bodytext20"/>
        <w:shd w:val="clear" w:color="auto" w:fill="auto"/>
        <w:spacing w:before="0" w:after="0" w:line="240" w:lineRule="exact"/>
        <w:ind w:left="851" w:firstLine="0"/>
        <w:jc w:val="left"/>
        <w:rPr>
          <w:rFonts w:asciiTheme="majorBidi" w:hAnsiTheme="majorBidi" w:cstheme="majorBidi"/>
        </w:rPr>
      </w:pPr>
      <w:r w:rsidRPr="00DF565A">
        <w:rPr>
          <w:rFonts w:asciiTheme="majorBidi" w:hAnsiTheme="majorBidi"/>
        </w:rPr>
        <w:t>* Gennemsnit af to studier</w:t>
      </w:r>
    </w:p>
    <w:p w14:paraId="4ADD9E01" w14:textId="77777777" w:rsidR="00DF565A" w:rsidRPr="008F08EF" w:rsidRDefault="00DF565A" w:rsidP="00DF565A">
      <w:pPr>
        <w:pStyle w:val="Bodytext20"/>
        <w:shd w:val="clear" w:color="auto" w:fill="auto"/>
        <w:spacing w:before="0" w:after="0" w:line="240" w:lineRule="exact"/>
        <w:ind w:firstLine="0"/>
        <w:jc w:val="left"/>
        <w:rPr>
          <w:rFonts w:asciiTheme="majorBidi" w:hAnsiTheme="majorBidi" w:cstheme="majorBidi"/>
          <w:sz w:val="22"/>
          <w:szCs w:val="22"/>
        </w:rPr>
      </w:pPr>
    </w:p>
    <w:p w14:paraId="33036455" w14:textId="14060724" w:rsidR="00DF565A" w:rsidRPr="00DF565A" w:rsidRDefault="00DF565A" w:rsidP="00DF565A">
      <w:pPr>
        <w:pStyle w:val="Bodytext20"/>
        <w:numPr>
          <w:ilvl w:val="0"/>
          <w:numId w:val="9"/>
        </w:numPr>
        <w:shd w:val="clear" w:color="auto" w:fill="auto"/>
        <w:tabs>
          <w:tab w:val="left" w:pos="1134"/>
        </w:tabs>
        <w:spacing w:before="0" w:after="0" w:line="240" w:lineRule="exact"/>
        <w:ind w:left="851" w:firstLine="0"/>
        <w:jc w:val="left"/>
        <w:rPr>
          <w:rFonts w:asciiTheme="majorBidi" w:hAnsiTheme="majorBidi" w:cstheme="majorBidi"/>
          <w:sz w:val="24"/>
          <w:szCs w:val="24"/>
        </w:rPr>
      </w:pPr>
      <w:r w:rsidRPr="00DF565A">
        <w:rPr>
          <w:rFonts w:asciiTheme="majorBidi" w:hAnsiTheme="majorBidi"/>
          <w:sz w:val="24"/>
          <w:szCs w:val="24"/>
        </w:rPr>
        <w:t>I.v. administration</w:t>
      </w:r>
    </w:p>
    <w:p w14:paraId="242CCDCC" w14:textId="77777777" w:rsidR="00DF565A" w:rsidRPr="00DF565A" w:rsidRDefault="00DF565A" w:rsidP="00DF565A">
      <w:pPr>
        <w:widowControl w:val="0"/>
        <w:tabs>
          <w:tab w:val="left" w:pos="567"/>
        </w:tabs>
        <w:ind w:left="851"/>
        <w:rPr>
          <w:rFonts w:eastAsia="Courier New"/>
          <w:sz w:val="24"/>
          <w:szCs w:val="24"/>
        </w:rPr>
      </w:pPr>
      <w:r w:rsidRPr="00DF565A">
        <w:rPr>
          <w:sz w:val="24"/>
          <w:szCs w:val="24"/>
        </w:rPr>
        <w:t>Ved kontinuerlig i.v. infusion (hos raske forsøgspersoner) af cefazolin med 3,5 mg/kg i 1 time, efterfulgt af 1,5 mg/kg i de næste 2 timer, sås serumkoncentrationer på omkring 28 mg/ml i den tredje time.</w:t>
      </w:r>
    </w:p>
    <w:p w14:paraId="65DFD86F" w14:textId="77777777" w:rsidR="00DF565A" w:rsidRPr="00DF565A" w:rsidRDefault="00DF565A" w:rsidP="00DF565A">
      <w:pPr>
        <w:widowControl w:val="0"/>
        <w:tabs>
          <w:tab w:val="left" w:pos="567"/>
        </w:tabs>
        <w:ind w:left="851"/>
        <w:rPr>
          <w:rFonts w:eastAsia="Courier New"/>
          <w:sz w:val="24"/>
          <w:szCs w:val="24"/>
        </w:rPr>
      </w:pPr>
      <w:r w:rsidRPr="00DF565A">
        <w:rPr>
          <w:sz w:val="24"/>
          <w:szCs w:val="24"/>
        </w:rPr>
        <w:t>De gennemsnitlige serumkoncentrationer opnået efter intravenøs administration af en enkeltdosis på 1 g er angivet i følgende tabel.</w:t>
      </w:r>
    </w:p>
    <w:p w14:paraId="577F058C" w14:textId="77777777" w:rsidR="00DF565A" w:rsidRPr="008F08EF" w:rsidRDefault="00DF565A" w:rsidP="00DF565A">
      <w:pPr>
        <w:widowControl w:val="0"/>
        <w:tabs>
          <w:tab w:val="left" w:pos="567"/>
        </w:tabs>
        <w:rPr>
          <w:rFonts w:eastAsia="Courier New"/>
        </w:rPr>
      </w:pPr>
    </w:p>
    <w:tbl>
      <w:tblPr>
        <w:tblStyle w:val="Tabel-Gitter"/>
        <w:tblW w:w="9287" w:type="dxa"/>
        <w:tblInd w:w="846" w:type="dxa"/>
        <w:tblLook w:val="04A0" w:firstRow="1" w:lastRow="0" w:firstColumn="1" w:lastColumn="0" w:noHBand="0" w:noVBand="1"/>
      </w:tblPr>
      <w:tblGrid>
        <w:gridCol w:w="1547"/>
        <w:gridCol w:w="1548"/>
        <w:gridCol w:w="1548"/>
        <w:gridCol w:w="1548"/>
        <w:gridCol w:w="1548"/>
        <w:gridCol w:w="1548"/>
      </w:tblGrid>
      <w:tr w:rsidR="00DF565A" w:rsidRPr="008F08EF" w14:paraId="2FEB3A7C" w14:textId="77777777" w:rsidTr="00DF565A">
        <w:tc>
          <w:tcPr>
            <w:tcW w:w="9287" w:type="dxa"/>
            <w:gridSpan w:val="6"/>
          </w:tcPr>
          <w:p w14:paraId="3F04A2ED"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lastRenderedPageBreak/>
              <w:t xml:space="preserve">Serumkoncentration (mikrog./ml) </w:t>
            </w:r>
          </w:p>
        </w:tc>
      </w:tr>
      <w:tr w:rsidR="00DF565A" w:rsidRPr="008F08EF" w14:paraId="4534A2D9" w14:textId="77777777" w:rsidTr="00DF565A">
        <w:tc>
          <w:tcPr>
            <w:tcW w:w="1547" w:type="dxa"/>
          </w:tcPr>
          <w:p w14:paraId="6E2F7F76"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5 min</w:t>
            </w:r>
          </w:p>
        </w:tc>
        <w:tc>
          <w:tcPr>
            <w:tcW w:w="1548" w:type="dxa"/>
          </w:tcPr>
          <w:p w14:paraId="2F39B898"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15 min</w:t>
            </w:r>
          </w:p>
        </w:tc>
        <w:tc>
          <w:tcPr>
            <w:tcW w:w="1548" w:type="dxa"/>
          </w:tcPr>
          <w:p w14:paraId="546B7A41"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30 min</w:t>
            </w:r>
          </w:p>
        </w:tc>
        <w:tc>
          <w:tcPr>
            <w:tcW w:w="1548" w:type="dxa"/>
          </w:tcPr>
          <w:p w14:paraId="3A3E040D"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 time</w:t>
            </w:r>
          </w:p>
        </w:tc>
        <w:tc>
          <w:tcPr>
            <w:tcW w:w="1548" w:type="dxa"/>
          </w:tcPr>
          <w:p w14:paraId="782E4AE6"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2 timer</w:t>
            </w:r>
          </w:p>
        </w:tc>
        <w:tc>
          <w:tcPr>
            <w:tcW w:w="1548" w:type="dxa"/>
          </w:tcPr>
          <w:p w14:paraId="22FC5424"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4 timer</w:t>
            </w:r>
          </w:p>
        </w:tc>
      </w:tr>
      <w:tr w:rsidR="00DF565A" w:rsidRPr="008F08EF" w14:paraId="69B59498" w14:textId="77777777" w:rsidTr="00DF565A">
        <w:tc>
          <w:tcPr>
            <w:tcW w:w="1547" w:type="dxa"/>
          </w:tcPr>
          <w:p w14:paraId="0F583A66"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188,4</w:t>
            </w:r>
          </w:p>
        </w:tc>
        <w:tc>
          <w:tcPr>
            <w:tcW w:w="1548" w:type="dxa"/>
          </w:tcPr>
          <w:p w14:paraId="46C50D2E"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135,8</w:t>
            </w:r>
          </w:p>
        </w:tc>
        <w:tc>
          <w:tcPr>
            <w:tcW w:w="1548" w:type="dxa"/>
          </w:tcPr>
          <w:p w14:paraId="10978B69"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106,8</w:t>
            </w:r>
          </w:p>
        </w:tc>
        <w:tc>
          <w:tcPr>
            <w:tcW w:w="1548" w:type="dxa"/>
          </w:tcPr>
          <w:p w14:paraId="20CBEBA0"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73,7</w:t>
            </w:r>
          </w:p>
        </w:tc>
        <w:tc>
          <w:tcPr>
            <w:tcW w:w="1548" w:type="dxa"/>
          </w:tcPr>
          <w:p w14:paraId="4A1B209B" w14:textId="77777777" w:rsidR="00DF565A" w:rsidRPr="008F08EF" w:rsidRDefault="00DF565A" w:rsidP="00A24D20">
            <w:pPr>
              <w:widowControl w:val="0"/>
              <w:tabs>
                <w:tab w:val="left" w:pos="567"/>
              </w:tabs>
              <w:rPr>
                <w:rFonts w:ascii="Times New Roman" w:eastAsia="Courier New" w:hAnsi="Times New Roman" w:cs="Times New Roman"/>
                <w:highlight w:val="yellow"/>
              </w:rPr>
            </w:pPr>
            <w:r w:rsidRPr="008F08EF">
              <w:rPr>
                <w:rFonts w:ascii="Times New Roman" w:hAnsi="Times New Roman"/>
              </w:rPr>
              <w:t>45,6</w:t>
            </w:r>
          </w:p>
        </w:tc>
        <w:tc>
          <w:tcPr>
            <w:tcW w:w="1548" w:type="dxa"/>
          </w:tcPr>
          <w:p w14:paraId="0DBEBF17" w14:textId="77777777" w:rsidR="00DF565A" w:rsidRPr="008F08EF" w:rsidRDefault="00DF565A" w:rsidP="00A24D20">
            <w:pPr>
              <w:widowControl w:val="0"/>
              <w:tabs>
                <w:tab w:val="left" w:pos="567"/>
              </w:tabs>
              <w:rPr>
                <w:rFonts w:ascii="Times New Roman" w:eastAsia="Courier New" w:hAnsi="Times New Roman" w:cs="Times New Roman"/>
              </w:rPr>
            </w:pPr>
            <w:r w:rsidRPr="008F08EF">
              <w:rPr>
                <w:rFonts w:ascii="Times New Roman" w:hAnsi="Times New Roman"/>
              </w:rPr>
              <w:t>16,5</w:t>
            </w:r>
          </w:p>
        </w:tc>
      </w:tr>
    </w:tbl>
    <w:p w14:paraId="761270BE" w14:textId="77777777" w:rsidR="00DF565A" w:rsidRPr="00DF565A" w:rsidRDefault="00DF565A" w:rsidP="00DF565A">
      <w:pPr>
        <w:widowControl w:val="0"/>
        <w:tabs>
          <w:tab w:val="left" w:pos="567"/>
        </w:tabs>
        <w:ind w:left="851"/>
        <w:rPr>
          <w:rFonts w:eastAsia="Courier New"/>
          <w:sz w:val="24"/>
          <w:szCs w:val="24"/>
        </w:rPr>
      </w:pPr>
    </w:p>
    <w:p w14:paraId="3C7C2DF2" w14:textId="77777777" w:rsidR="00DF565A" w:rsidRPr="00DF565A" w:rsidRDefault="00DF565A" w:rsidP="00DF565A">
      <w:pPr>
        <w:autoSpaceDE w:val="0"/>
        <w:autoSpaceDN w:val="0"/>
        <w:adjustRightInd w:val="0"/>
        <w:ind w:left="851"/>
        <w:rPr>
          <w:rFonts w:eastAsia="Calibri"/>
          <w:sz w:val="24"/>
          <w:szCs w:val="24"/>
        </w:rPr>
      </w:pPr>
      <w:r w:rsidRPr="00DF565A">
        <w:rPr>
          <w:sz w:val="24"/>
          <w:szCs w:val="24"/>
        </w:rPr>
        <w:t>Cefazolin har en gennemsnitlig halveringstid på ca. 1,8 timer, som ved svær nedsat nyrefunktion kan øges med op til 15</w:t>
      </w:r>
      <w:r w:rsidRPr="00DF565A">
        <w:rPr>
          <w:sz w:val="24"/>
          <w:szCs w:val="24"/>
        </w:rPr>
        <w:noBreakHyphen/>
        <w:t>30 timer og kan være længere ved anuri.</w:t>
      </w:r>
    </w:p>
    <w:p w14:paraId="02FB7FC0" w14:textId="77777777" w:rsidR="00DF565A" w:rsidRPr="00DF565A" w:rsidRDefault="00DF565A" w:rsidP="00DF565A">
      <w:pPr>
        <w:autoSpaceDE w:val="0"/>
        <w:autoSpaceDN w:val="0"/>
        <w:adjustRightInd w:val="0"/>
        <w:ind w:left="851"/>
        <w:rPr>
          <w:rFonts w:eastAsia="Calibri"/>
          <w:sz w:val="24"/>
          <w:szCs w:val="24"/>
        </w:rPr>
      </w:pPr>
    </w:p>
    <w:p w14:paraId="05608C45" w14:textId="77777777" w:rsidR="00DF565A" w:rsidRPr="00DF565A" w:rsidRDefault="00DF565A" w:rsidP="00DF565A">
      <w:pPr>
        <w:autoSpaceDE w:val="0"/>
        <w:autoSpaceDN w:val="0"/>
        <w:adjustRightInd w:val="0"/>
        <w:ind w:left="851"/>
        <w:rPr>
          <w:rFonts w:eastAsia="Calibri"/>
          <w:sz w:val="24"/>
          <w:szCs w:val="24"/>
        </w:rPr>
      </w:pPr>
      <w:r w:rsidRPr="00DF565A">
        <w:rPr>
          <w:sz w:val="24"/>
          <w:szCs w:val="24"/>
        </w:rPr>
        <w:t>Peak-plasmakoncentrationer på 63,6 mg/l og 188,4 mg/l blev opnået efter 1</w:t>
      </w:r>
      <w:r w:rsidRPr="00DF565A">
        <w:rPr>
          <w:sz w:val="24"/>
          <w:szCs w:val="24"/>
        </w:rPr>
        <w:noBreakHyphen/>
        <w:t>2 timers kontinuerlig i.v. infusion ved en dosis på 1 g. Halveringstiden er 100 minutter.</w:t>
      </w:r>
    </w:p>
    <w:p w14:paraId="63F1EA4A" w14:textId="77777777" w:rsidR="00DF565A" w:rsidRPr="00DF565A" w:rsidRDefault="00DF565A" w:rsidP="00DF565A">
      <w:pPr>
        <w:autoSpaceDE w:val="0"/>
        <w:autoSpaceDN w:val="0"/>
        <w:adjustRightInd w:val="0"/>
        <w:ind w:left="851"/>
        <w:rPr>
          <w:rFonts w:eastAsia="Calibri"/>
          <w:sz w:val="24"/>
          <w:szCs w:val="24"/>
        </w:rPr>
      </w:pPr>
      <w:r w:rsidRPr="00DF565A">
        <w:rPr>
          <w:sz w:val="24"/>
          <w:szCs w:val="24"/>
        </w:rPr>
        <w:t>Hos patienter uden galdevejsobstruktion opnås koncentrationer i galdeblærevæv og galde, som langt overstiger serumkoncentrationerne.</w:t>
      </w:r>
    </w:p>
    <w:p w14:paraId="52B604B2" w14:textId="77777777" w:rsidR="00DF565A" w:rsidRPr="00DF565A" w:rsidRDefault="00DF565A" w:rsidP="00DF565A">
      <w:pPr>
        <w:autoSpaceDE w:val="0"/>
        <w:autoSpaceDN w:val="0"/>
        <w:adjustRightInd w:val="0"/>
        <w:ind w:left="851"/>
        <w:rPr>
          <w:rFonts w:eastAsia="Calibri"/>
          <w:sz w:val="24"/>
          <w:szCs w:val="24"/>
        </w:rPr>
      </w:pPr>
      <w:r w:rsidRPr="00DF565A">
        <w:rPr>
          <w:sz w:val="24"/>
          <w:szCs w:val="24"/>
        </w:rPr>
        <w:t>Cefazolin passerer let placenta. Mængderne af cefazolin i human mælk er lave.</w:t>
      </w:r>
    </w:p>
    <w:p w14:paraId="2BDEF9D5" w14:textId="77777777" w:rsidR="00DF565A" w:rsidRPr="00DF565A" w:rsidRDefault="00DF565A" w:rsidP="00DF565A">
      <w:pPr>
        <w:autoSpaceDE w:val="0"/>
        <w:autoSpaceDN w:val="0"/>
        <w:adjustRightInd w:val="0"/>
        <w:ind w:left="851"/>
        <w:rPr>
          <w:rFonts w:eastAsia="Calibri"/>
          <w:sz w:val="24"/>
          <w:szCs w:val="24"/>
        </w:rPr>
      </w:pPr>
      <w:r w:rsidRPr="00DF565A">
        <w:rPr>
          <w:sz w:val="24"/>
          <w:szCs w:val="24"/>
        </w:rPr>
        <w:t>Plasmaproteinbindingen er 85</w:t>
      </w:r>
      <w:r w:rsidRPr="00DF565A">
        <w:rPr>
          <w:sz w:val="24"/>
          <w:szCs w:val="24"/>
        </w:rPr>
        <w:noBreakHyphen/>
        <w:t>90 % i humant serum under fysiologiske forhold. Diffusionen af cefazolin til cerebrospinalvæsken er lav.</w:t>
      </w:r>
    </w:p>
    <w:p w14:paraId="242319B3" w14:textId="77777777" w:rsidR="00DF565A" w:rsidRPr="00DF565A" w:rsidRDefault="00DF565A" w:rsidP="00DF565A">
      <w:pPr>
        <w:widowControl w:val="0"/>
        <w:tabs>
          <w:tab w:val="left" w:pos="567"/>
        </w:tabs>
        <w:ind w:left="851"/>
        <w:rPr>
          <w:rFonts w:eastAsia="Courier New"/>
          <w:bCs/>
          <w:sz w:val="24"/>
          <w:szCs w:val="24"/>
        </w:rPr>
      </w:pPr>
    </w:p>
    <w:p w14:paraId="719DC024" w14:textId="77777777" w:rsidR="00DF565A" w:rsidRPr="00DF565A" w:rsidRDefault="00DF565A" w:rsidP="00DF565A">
      <w:pPr>
        <w:widowControl w:val="0"/>
        <w:tabs>
          <w:tab w:val="left" w:pos="567"/>
        </w:tabs>
        <w:ind w:left="851"/>
        <w:rPr>
          <w:rFonts w:eastAsia="Courier New"/>
          <w:iCs/>
          <w:sz w:val="24"/>
          <w:szCs w:val="24"/>
          <w:u w:val="single"/>
        </w:rPr>
      </w:pPr>
      <w:r w:rsidRPr="00DF565A">
        <w:rPr>
          <w:sz w:val="24"/>
          <w:szCs w:val="24"/>
          <w:u w:val="single"/>
        </w:rPr>
        <w:t>Biotransformation</w:t>
      </w:r>
    </w:p>
    <w:p w14:paraId="4BE1164B" w14:textId="77777777" w:rsidR="00DF565A" w:rsidRPr="00DF565A" w:rsidRDefault="00DF565A" w:rsidP="00DF565A">
      <w:pPr>
        <w:widowControl w:val="0"/>
        <w:tabs>
          <w:tab w:val="left" w:pos="567"/>
        </w:tabs>
        <w:ind w:left="851"/>
        <w:rPr>
          <w:rFonts w:eastAsia="Courier New"/>
          <w:sz w:val="24"/>
          <w:szCs w:val="24"/>
        </w:rPr>
      </w:pPr>
      <w:r w:rsidRPr="00DF565A">
        <w:rPr>
          <w:sz w:val="24"/>
          <w:szCs w:val="24"/>
        </w:rPr>
        <w:t>Cefazolin metaboliseres ikke.</w:t>
      </w:r>
    </w:p>
    <w:p w14:paraId="152126C5" w14:textId="77777777" w:rsidR="00DF565A" w:rsidRPr="00DF565A" w:rsidRDefault="00DF565A" w:rsidP="00DF565A">
      <w:pPr>
        <w:widowControl w:val="0"/>
        <w:tabs>
          <w:tab w:val="left" w:pos="567"/>
        </w:tabs>
        <w:ind w:left="851"/>
        <w:rPr>
          <w:rFonts w:eastAsia="Courier New"/>
          <w:bCs/>
          <w:sz w:val="24"/>
          <w:szCs w:val="24"/>
        </w:rPr>
      </w:pPr>
      <w:bookmarkStart w:id="5" w:name="bookmark2"/>
    </w:p>
    <w:p w14:paraId="33D92025" w14:textId="77777777" w:rsidR="00DF565A" w:rsidRPr="00DF565A" w:rsidRDefault="00DF565A" w:rsidP="00DF565A">
      <w:pPr>
        <w:widowControl w:val="0"/>
        <w:tabs>
          <w:tab w:val="left" w:pos="567"/>
        </w:tabs>
        <w:ind w:left="851"/>
        <w:rPr>
          <w:rFonts w:eastAsia="Courier New"/>
          <w:iCs/>
          <w:sz w:val="24"/>
          <w:szCs w:val="24"/>
          <w:u w:val="single"/>
        </w:rPr>
      </w:pPr>
      <w:r w:rsidRPr="00DF565A">
        <w:rPr>
          <w:sz w:val="24"/>
          <w:szCs w:val="24"/>
          <w:u w:val="single"/>
        </w:rPr>
        <w:t>Elimination</w:t>
      </w:r>
      <w:bookmarkEnd w:id="5"/>
    </w:p>
    <w:p w14:paraId="2BB2F758" w14:textId="77777777" w:rsidR="00DF565A" w:rsidRPr="00DF565A" w:rsidRDefault="00DF565A" w:rsidP="00DF565A">
      <w:pPr>
        <w:widowControl w:val="0"/>
        <w:tabs>
          <w:tab w:val="left" w:pos="567"/>
        </w:tabs>
        <w:ind w:left="851"/>
        <w:rPr>
          <w:rFonts w:eastAsia="Courier New"/>
          <w:sz w:val="24"/>
          <w:szCs w:val="24"/>
        </w:rPr>
      </w:pPr>
      <w:r w:rsidRPr="00DF565A">
        <w:rPr>
          <w:sz w:val="24"/>
          <w:szCs w:val="24"/>
        </w:rPr>
        <w:t>Cefazolin udskilles primært via urinen. En lille andel udskilles via galden. Efter intramuskulær injektion af 500 mg udskilles 56</w:t>
      </w:r>
      <w:r w:rsidRPr="00DF565A">
        <w:rPr>
          <w:sz w:val="24"/>
          <w:szCs w:val="24"/>
        </w:rPr>
        <w:noBreakHyphen/>
        <w:t xml:space="preserve">89 % af den administrerede dosis renalt inden for 6 timer og 80 % til næsten 100 % inden for 24 timer. Efter intramuskulær administration af 500 mg og 1 g cefazolin opnås maksimale urinkoncentrationer på over 1.000 og over 4.000 mikrogram/ml, henholdsvis. </w:t>
      </w:r>
    </w:p>
    <w:p w14:paraId="15064867" w14:textId="77777777" w:rsidR="009260DE" w:rsidRPr="00C84483" w:rsidRDefault="009260DE" w:rsidP="00955704">
      <w:pPr>
        <w:tabs>
          <w:tab w:val="left" w:pos="851"/>
        </w:tabs>
        <w:ind w:left="851"/>
        <w:rPr>
          <w:sz w:val="24"/>
          <w:szCs w:val="24"/>
        </w:rPr>
      </w:pPr>
    </w:p>
    <w:p w14:paraId="2D14675E" w14:textId="77777777" w:rsidR="009260DE" w:rsidRPr="00C84483" w:rsidRDefault="009260DE" w:rsidP="00955704">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6443525" w14:textId="77777777" w:rsidR="00502279" w:rsidRPr="00502279" w:rsidRDefault="00502279" w:rsidP="00502279">
      <w:pPr>
        <w:tabs>
          <w:tab w:val="left" w:pos="851"/>
        </w:tabs>
        <w:ind w:left="851"/>
        <w:rPr>
          <w:sz w:val="24"/>
          <w:szCs w:val="24"/>
        </w:rPr>
      </w:pPr>
      <w:r w:rsidRPr="00502279">
        <w:rPr>
          <w:sz w:val="24"/>
          <w:szCs w:val="24"/>
        </w:rPr>
        <w:t xml:space="preserve">Cefazolins akutte toksicitet er lav. </w:t>
      </w:r>
    </w:p>
    <w:p w14:paraId="71B791BF" w14:textId="77777777" w:rsidR="00502279" w:rsidRPr="00502279" w:rsidRDefault="00502279" w:rsidP="00502279">
      <w:pPr>
        <w:tabs>
          <w:tab w:val="left" w:pos="851"/>
        </w:tabs>
        <w:ind w:left="851"/>
        <w:rPr>
          <w:sz w:val="24"/>
          <w:szCs w:val="24"/>
        </w:rPr>
      </w:pPr>
      <w:r w:rsidRPr="00502279">
        <w:rPr>
          <w:sz w:val="24"/>
          <w:szCs w:val="24"/>
        </w:rPr>
        <w:t>Gentagen administration af cefazolin hos hunde og rotter via forskellige injektionsveje i 1</w:t>
      </w:r>
      <w:r w:rsidRPr="00502279">
        <w:rPr>
          <w:sz w:val="24"/>
          <w:szCs w:val="24"/>
        </w:rPr>
        <w:noBreakHyphen/>
        <w:t>6 måneder viste ingen væsentlige virkninger på biokemiske og hæmatologiske værdier. Nefrotoksicitet blev observeret efter gentagne doser hos kaniner, men ikke hos hunde eller rotter. Cefazolin udviste ikke teratogen eller embryotoksisk aktivitet. Der foreligger ingen studier af mutagenicitet eller carcinogenicitet.</w:t>
      </w:r>
    </w:p>
    <w:p w14:paraId="406E9A20" w14:textId="77777777" w:rsidR="009260DE" w:rsidRPr="00C84483" w:rsidRDefault="009260DE" w:rsidP="00955704">
      <w:pPr>
        <w:tabs>
          <w:tab w:val="left" w:pos="851"/>
        </w:tabs>
        <w:ind w:left="851"/>
        <w:rPr>
          <w:sz w:val="24"/>
          <w:szCs w:val="24"/>
        </w:rPr>
      </w:pPr>
    </w:p>
    <w:p w14:paraId="6E1BA720" w14:textId="77777777" w:rsidR="009260DE" w:rsidRPr="00C84483" w:rsidRDefault="009260DE" w:rsidP="00955704">
      <w:pPr>
        <w:tabs>
          <w:tab w:val="left" w:pos="851"/>
        </w:tabs>
        <w:ind w:left="851"/>
        <w:rPr>
          <w:sz w:val="24"/>
          <w:szCs w:val="24"/>
        </w:rPr>
      </w:pPr>
    </w:p>
    <w:p w14:paraId="35E75DE1" w14:textId="77777777" w:rsidR="009260DE" w:rsidRPr="00C84483" w:rsidRDefault="009260DE" w:rsidP="00955704">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8093FE8" w14:textId="77777777" w:rsidR="009260DE" w:rsidRPr="00BA09F1" w:rsidRDefault="009260DE" w:rsidP="00955704">
      <w:pPr>
        <w:tabs>
          <w:tab w:val="left" w:pos="851"/>
        </w:tabs>
        <w:ind w:left="851"/>
        <w:rPr>
          <w:sz w:val="24"/>
          <w:szCs w:val="24"/>
        </w:rPr>
      </w:pPr>
    </w:p>
    <w:p w14:paraId="65E55F7A" w14:textId="77777777" w:rsidR="009260DE" w:rsidRPr="00C84483" w:rsidRDefault="009260DE" w:rsidP="00955704">
      <w:pPr>
        <w:tabs>
          <w:tab w:val="left" w:pos="851"/>
        </w:tabs>
        <w:ind w:left="851" w:hanging="851"/>
        <w:rPr>
          <w:b/>
          <w:sz w:val="24"/>
          <w:szCs w:val="24"/>
        </w:rPr>
      </w:pPr>
      <w:r w:rsidRPr="00C84483">
        <w:rPr>
          <w:b/>
          <w:sz w:val="24"/>
          <w:szCs w:val="24"/>
        </w:rPr>
        <w:t>6.1</w:t>
      </w:r>
      <w:r w:rsidRPr="00C84483">
        <w:rPr>
          <w:b/>
          <w:sz w:val="24"/>
          <w:szCs w:val="24"/>
        </w:rPr>
        <w:tab/>
        <w:t>Hjælpestoffer</w:t>
      </w:r>
    </w:p>
    <w:p w14:paraId="2B8CAE01" w14:textId="030F0B90" w:rsidR="009260DE" w:rsidRPr="00C84483" w:rsidRDefault="00502279" w:rsidP="00502279">
      <w:pPr>
        <w:tabs>
          <w:tab w:val="left" w:pos="851"/>
        </w:tabs>
        <w:ind w:left="851"/>
        <w:rPr>
          <w:sz w:val="24"/>
          <w:szCs w:val="24"/>
        </w:rPr>
      </w:pPr>
      <w:r w:rsidRPr="00502279">
        <w:rPr>
          <w:sz w:val="24"/>
          <w:szCs w:val="24"/>
        </w:rPr>
        <w:t>Ingen</w:t>
      </w:r>
    </w:p>
    <w:p w14:paraId="4EFC184E" w14:textId="77777777" w:rsidR="009260DE" w:rsidRPr="00C84483" w:rsidRDefault="009260DE" w:rsidP="00955704">
      <w:pPr>
        <w:tabs>
          <w:tab w:val="left" w:pos="851"/>
        </w:tabs>
        <w:ind w:left="851"/>
        <w:rPr>
          <w:sz w:val="24"/>
          <w:szCs w:val="24"/>
        </w:rPr>
      </w:pPr>
    </w:p>
    <w:p w14:paraId="383D4E2A" w14:textId="77777777" w:rsidR="009260DE" w:rsidRPr="00C84483" w:rsidRDefault="009260DE" w:rsidP="00955704">
      <w:pPr>
        <w:tabs>
          <w:tab w:val="left" w:pos="851"/>
        </w:tabs>
        <w:ind w:left="851" w:hanging="851"/>
        <w:rPr>
          <w:b/>
          <w:sz w:val="24"/>
          <w:szCs w:val="24"/>
        </w:rPr>
      </w:pPr>
      <w:r w:rsidRPr="00C84483">
        <w:rPr>
          <w:b/>
          <w:sz w:val="24"/>
          <w:szCs w:val="24"/>
        </w:rPr>
        <w:t>6.2</w:t>
      </w:r>
      <w:r w:rsidRPr="00C84483">
        <w:rPr>
          <w:b/>
          <w:sz w:val="24"/>
          <w:szCs w:val="24"/>
        </w:rPr>
        <w:tab/>
        <w:t>Uforligeligheder</w:t>
      </w:r>
    </w:p>
    <w:p w14:paraId="1B5B47F7" w14:textId="77777777" w:rsidR="00502279" w:rsidRPr="00502279" w:rsidRDefault="00502279" w:rsidP="00502279">
      <w:pPr>
        <w:tabs>
          <w:tab w:val="left" w:pos="851"/>
        </w:tabs>
        <w:ind w:left="851"/>
        <w:rPr>
          <w:sz w:val="24"/>
          <w:szCs w:val="24"/>
        </w:rPr>
      </w:pPr>
      <w:r w:rsidRPr="00502279">
        <w:rPr>
          <w:sz w:val="24"/>
          <w:szCs w:val="24"/>
        </w:rPr>
        <w:t>Cefazolin er uforeneligt med amikacin-disulfat, amobarbital-natrium, ascorbinsyre, bleomycin-sulfat, calciumgluceptat, calciumgluconat, cimetidin-hydrochlorid, colistimethat-natrium, erythromycin-gluceptat, kanamycin-sulfat, oxytetracyclin-hydrochlorid, pentobarbital-natrium, polymyxin B-sulfat og tetracyclin-hydrochlorid.</w:t>
      </w:r>
    </w:p>
    <w:p w14:paraId="17E4880E" w14:textId="77777777" w:rsidR="00502279" w:rsidRPr="00502279" w:rsidRDefault="00502279" w:rsidP="00502279">
      <w:pPr>
        <w:tabs>
          <w:tab w:val="left" w:pos="851"/>
        </w:tabs>
        <w:ind w:left="851"/>
        <w:rPr>
          <w:sz w:val="24"/>
          <w:szCs w:val="24"/>
        </w:rPr>
      </w:pPr>
    </w:p>
    <w:p w14:paraId="354432D7" w14:textId="77777777" w:rsidR="00502279" w:rsidRPr="00502279" w:rsidRDefault="00502279" w:rsidP="00502279">
      <w:pPr>
        <w:tabs>
          <w:tab w:val="left" w:pos="851"/>
        </w:tabs>
        <w:ind w:left="851"/>
        <w:rPr>
          <w:sz w:val="24"/>
          <w:szCs w:val="24"/>
        </w:rPr>
      </w:pPr>
      <w:r w:rsidRPr="00502279">
        <w:rPr>
          <w:sz w:val="24"/>
          <w:szCs w:val="24"/>
        </w:rPr>
        <w:t>Dette lægemiddel må ikke blandes med andre lægemidler end dem, der er anført under pkt. 6.6.</w:t>
      </w:r>
    </w:p>
    <w:p w14:paraId="145F2CF6" w14:textId="77777777" w:rsidR="00502279" w:rsidRPr="00502279" w:rsidRDefault="00502279" w:rsidP="00502279">
      <w:pPr>
        <w:tabs>
          <w:tab w:val="left" w:pos="851"/>
        </w:tabs>
        <w:ind w:left="851"/>
        <w:rPr>
          <w:sz w:val="24"/>
          <w:szCs w:val="24"/>
        </w:rPr>
      </w:pPr>
    </w:p>
    <w:p w14:paraId="01DBCEED" w14:textId="77777777" w:rsidR="009260DE" w:rsidRPr="00C84483" w:rsidRDefault="009260DE" w:rsidP="00955704">
      <w:pPr>
        <w:tabs>
          <w:tab w:val="left" w:pos="851"/>
        </w:tabs>
        <w:ind w:left="851" w:hanging="851"/>
        <w:rPr>
          <w:b/>
          <w:sz w:val="24"/>
          <w:szCs w:val="24"/>
        </w:rPr>
      </w:pPr>
      <w:r w:rsidRPr="00C84483">
        <w:rPr>
          <w:b/>
          <w:sz w:val="24"/>
          <w:szCs w:val="24"/>
        </w:rPr>
        <w:t>6.3</w:t>
      </w:r>
      <w:r w:rsidRPr="00C84483">
        <w:rPr>
          <w:b/>
          <w:sz w:val="24"/>
          <w:szCs w:val="24"/>
        </w:rPr>
        <w:tab/>
        <w:t>Opbevaringstid</w:t>
      </w:r>
    </w:p>
    <w:p w14:paraId="417A8127" w14:textId="77777777" w:rsidR="00502279" w:rsidRPr="00502279" w:rsidRDefault="00502279" w:rsidP="00502279">
      <w:pPr>
        <w:tabs>
          <w:tab w:val="left" w:pos="851"/>
        </w:tabs>
        <w:ind w:left="851"/>
        <w:rPr>
          <w:sz w:val="24"/>
          <w:szCs w:val="24"/>
        </w:rPr>
      </w:pPr>
      <w:r w:rsidRPr="00502279">
        <w:rPr>
          <w:sz w:val="24"/>
          <w:szCs w:val="24"/>
        </w:rPr>
        <w:t>3 år.</w:t>
      </w:r>
    </w:p>
    <w:p w14:paraId="13B981BF" w14:textId="77777777" w:rsidR="00502279" w:rsidRPr="00502279" w:rsidRDefault="00502279" w:rsidP="00502279">
      <w:pPr>
        <w:tabs>
          <w:tab w:val="left" w:pos="851"/>
        </w:tabs>
        <w:ind w:left="851"/>
        <w:rPr>
          <w:sz w:val="24"/>
          <w:szCs w:val="24"/>
          <w:u w:val="single"/>
        </w:rPr>
      </w:pPr>
    </w:p>
    <w:p w14:paraId="4EB3484A" w14:textId="77777777" w:rsidR="00502279" w:rsidRPr="00502279" w:rsidRDefault="00502279" w:rsidP="00502279">
      <w:pPr>
        <w:tabs>
          <w:tab w:val="left" w:pos="851"/>
        </w:tabs>
        <w:ind w:left="851"/>
        <w:rPr>
          <w:sz w:val="24"/>
          <w:szCs w:val="24"/>
          <w:u w:val="single"/>
        </w:rPr>
      </w:pPr>
      <w:r w:rsidRPr="00502279">
        <w:rPr>
          <w:sz w:val="24"/>
          <w:szCs w:val="24"/>
          <w:u w:val="single"/>
        </w:rPr>
        <w:lastRenderedPageBreak/>
        <w:t xml:space="preserve">Efter rekonstitution/fortynding </w:t>
      </w:r>
    </w:p>
    <w:p w14:paraId="4EE918CC" w14:textId="532D4E92" w:rsidR="00502279" w:rsidRDefault="00502279" w:rsidP="00502279">
      <w:pPr>
        <w:tabs>
          <w:tab w:val="left" w:pos="851"/>
        </w:tabs>
        <w:ind w:left="851"/>
        <w:rPr>
          <w:sz w:val="24"/>
          <w:szCs w:val="24"/>
        </w:rPr>
      </w:pPr>
      <w:r w:rsidRPr="00502279">
        <w:rPr>
          <w:sz w:val="24"/>
          <w:szCs w:val="24"/>
        </w:rPr>
        <w:t>Kemisk og fysisk stabilitet efter åbning er dokumenteret i 12 timer/dage ved 25 °C og i op til 24 timer ved 2</w:t>
      </w:r>
      <w:r w:rsidRPr="00502279">
        <w:rPr>
          <w:sz w:val="24"/>
          <w:szCs w:val="24"/>
        </w:rPr>
        <w:noBreakHyphen/>
        <w:t>8 °C.</w:t>
      </w:r>
    </w:p>
    <w:p w14:paraId="0C2C0B7D" w14:textId="77777777" w:rsidR="00502279" w:rsidRPr="00502279" w:rsidRDefault="00502279" w:rsidP="00502279">
      <w:pPr>
        <w:tabs>
          <w:tab w:val="left" w:pos="851"/>
        </w:tabs>
        <w:ind w:left="851"/>
        <w:rPr>
          <w:sz w:val="24"/>
          <w:szCs w:val="24"/>
        </w:rPr>
      </w:pPr>
    </w:p>
    <w:p w14:paraId="5F6922BF" w14:textId="77777777" w:rsidR="00502279" w:rsidRPr="00502279" w:rsidRDefault="00502279" w:rsidP="00502279">
      <w:pPr>
        <w:tabs>
          <w:tab w:val="left" w:pos="851"/>
        </w:tabs>
        <w:ind w:left="851"/>
        <w:rPr>
          <w:sz w:val="24"/>
          <w:szCs w:val="24"/>
        </w:rPr>
      </w:pPr>
      <w:r w:rsidRPr="00502279">
        <w:rPr>
          <w:sz w:val="24"/>
          <w:szCs w:val="24"/>
        </w:rPr>
        <w:t>Ud fra et mikrobiologisk synspunkt skal præparatet anvendes med samme, medmindre metoden til åbning/rekonstitution/fortynding udelukker risikoen for mikrobiel kontaminering. Anvendelse af andre opbevaringstider og -betingelser er på brugerens eget ansvar og må normalt ikke være længere end de ovenfor angivne tider for den kemiske og fysiske stabilitet efter åbning.</w:t>
      </w:r>
    </w:p>
    <w:p w14:paraId="122B15B3" w14:textId="77777777" w:rsidR="009260DE" w:rsidRPr="00C84483" w:rsidRDefault="009260DE" w:rsidP="00955704">
      <w:pPr>
        <w:tabs>
          <w:tab w:val="left" w:pos="851"/>
        </w:tabs>
        <w:ind w:left="851"/>
        <w:rPr>
          <w:sz w:val="24"/>
          <w:szCs w:val="24"/>
        </w:rPr>
      </w:pPr>
    </w:p>
    <w:p w14:paraId="19EC3E5C" w14:textId="77777777" w:rsidR="009260DE" w:rsidRPr="00C84483" w:rsidRDefault="009260DE" w:rsidP="00955704">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C5D1E72" w14:textId="77777777" w:rsidR="00502279" w:rsidRPr="00502279" w:rsidRDefault="00502279" w:rsidP="00502279">
      <w:pPr>
        <w:tabs>
          <w:tab w:val="left" w:pos="851"/>
        </w:tabs>
        <w:ind w:left="851"/>
        <w:rPr>
          <w:sz w:val="24"/>
          <w:szCs w:val="24"/>
        </w:rPr>
      </w:pPr>
      <w:r w:rsidRPr="00502279">
        <w:rPr>
          <w:sz w:val="24"/>
          <w:szCs w:val="24"/>
        </w:rPr>
        <w:t>Opbevares ved temperaturer under 30 °C.</w:t>
      </w:r>
    </w:p>
    <w:p w14:paraId="3B65C9E7" w14:textId="79575FE0" w:rsidR="00502279" w:rsidRDefault="00502279" w:rsidP="00502279">
      <w:pPr>
        <w:tabs>
          <w:tab w:val="left" w:pos="851"/>
        </w:tabs>
        <w:ind w:left="851"/>
        <w:rPr>
          <w:sz w:val="24"/>
          <w:szCs w:val="24"/>
        </w:rPr>
      </w:pPr>
      <w:r w:rsidRPr="00502279">
        <w:rPr>
          <w:sz w:val="24"/>
          <w:szCs w:val="24"/>
        </w:rPr>
        <w:t>Opbevar hætteglassene i den ydre karton for at beskytte mod lys.</w:t>
      </w:r>
    </w:p>
    <w:p w14:paraId="2806067E" w14:textId="77777777" w:rsidR="00502279" w:rsidRPr="00502279" w:rsidRDefault="00502279" w:rsidP="00502279">
      <w:pPr>
        <w:tabs>
          <w:tab w:val="left" w:pos="851"/>
        </w:tabs>
        <w:ind w:left="851"/>
        <w:rPr>
          <w:sz w:val="24"/>
          <w:szCs w:val="24"/>
        </w:rPr>
      </w:pPr>
    </w:p>
    <w:p w14:paraId="4AFF73E1" w14:textId="77777777" w:rsidR="00502279" w:rsidRPr="00502279" w:rsidRDefault="00502279" w:rsidP="00502279">
      <w:pPr>
        <w:tabs>
          <w:tab w:val="left" w:pos="851"/>
        </w:tabs>
        <w:ind w:left="851"/>
        <w:rPr>
          <w:sz w:val="24"/>
          <w:szCs w:val="24"/>
        </w:rPr>
      </w:pPr>
      <w:r w:rsidRPr="00502279">
        <w:rPr>
          <w:sz w:val="24"/>
          <w:szCs w:val="24"/>
        </w:rPr>
        <w:t>Opbevaringsforhold efter rekonstitution/fortynding af lægemidlet, se pkt. 6.3.</w:t>
      </w:r>
    </w:p>
    <w:p w14:paraId="698CF6CF" w14:textId="77777777" w:rsidR="009260DE" w:rsidRPr="00C84483" w:rsidRDefault="009260DE" w:rsidP="00955704">
      <w:pPr>
        <w:tabs>
          <w:tab w:val="left" w:pos="851"/>
        </w:tabs>
        <w:ind w:left="851"/>
        <w:rPr>
          <w:sz w:val="24"/>
          <w:szCs w:val="24"/>
        </w:rPr>
      </w:pPr>
    </w:p>
    <w:p w14:paraId="5FE556F6" w14:textId="77777777" w:rsidR="009260DE" w:rsidRPr="00C84483" w:rsidRDefault="009260DE" w:rsidP="00955704">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592C038" w14:textId="0830979B" w:rsidR="00502279" w:rsidRDefault="00502279" w:rsidP="00502279">
      <w:pPr>
        <w:widowControl w:val="0"/>
        <w:tabs>
          <w:tab w:val="left" w:pos="567"/>
        </w:tabs>
        <w:ind w:left="851"/>
        <w:rPr>
          <w:rFonts w:eastAsia="Courier New"/>
        </w:rPr>
      </w:pPr>
      <w:r w:rsidRPr="00502279">
        <w:rPr>
          <w:rFonts w:eastAsia="Courier New"/>
        </w:rPr>
        <w:t>15 ml hætteglas af farveløst glas, type III, lukket med brombutilgummiprop, type I, og forseglet med aluminiumskapsel med flip-off-plasthætte.</w:t>
      </w:r>
    </w:p>
    <w:p w14:paraId="4B34CF14" w14:textId="77777777" w:rsidR="00502279" w:rsidRPr="00502279" w:rsidRDefault="00502279" w:rsidP="00502279">
      <w:pPr>
        <w:widowControl w:val="0"/>
        <w:tabs>
          <w:tab w:val="left" w:pos="567"/>
        </w:tabs>
        <w:ind w:left="851"/>
        <w:rPr>
          <w:rFonts w:eastAsia="Courier New"/>
        </w:rPr>
      </w:pPr>
    </w:p>
    <w:p w14:paraId="79E50539" w14:textId="77777777" w:rsidR="00502279" w:rsidRPr="00502279" w:rsidRDefault="00502279" w:rsidP="00502279">
      <w:pPr>
        <w:widowControl w:val="0"/>
        <w:tabs>
          <w:tab w:val="left" w:pos="567"/>
        </w:tabs>
        <w:ind w:left="851"/>
        <w:rPr>
          <w:rFonts w:eastAsia="Courier New"/>
        </w:rPr>
      </w:pPr>
      <w:r w:rsidRPr="00502279">
        <w:rPr>
          <w:rFonts w:eastAsia="Courier New"/>
        </w:rPr>
        <w:t>20 ml hætteglas af farveløst glas, type III, lukket med brombutilgummiprop, type I, og forseglet med aluminiumskapsel med flip-off-plasthætte.</w:t>
      </w:r>
    </w:p>
    <w:p w14:paraId="62065696" w14:textId="77777777" w:rsidR="00502279" w:rsidRPr="00502279" w:rsidRDefault="00502279" w:rsidP="00502279">
      <w:pPr>
        <w:widowControl w:val="0"/>
        <w:tabs>
          <w:tab w:val="left" w:pos="567"/>
        </w:tabs>
        <w:ind w:left="851"/>
        <w:rPr>
          <w:rFonts w:eastAsia="Courier New"/>
        </w:rPr>
      </w:pPr>
    </w:p>
    <w:p w14:paraId="2834B480" w14:textId="740050B4" w:rsidR="00502279" w:rsidRPr="00502279" w:rsidRDefault="00502279" w:rsidP="00502279">
      <w:pPr>
        <w:widowControl w:val="0"/>
        <w:tabs>
          <w:tab w:val="left" w:pos="567"/>
        </w:tabs>
        <w:ind w:left="851"/>
        <w:rPr>
          <w:rFonts w:eastAsia="Courier New"/>
        </w:rPr>
      </w:pPr>
      <w:r>
        <w:rPr>
          <w:rFonts w:eastAsia="Courier New"/>
        </w:rPr>
        <w:t>P</w:t>
      </w:r>
      <w:r w:rsidRPr="00502279">
        <w:rPr>
          <w:rFonts w:eastAsia="Courier New"/>
        </w:rPr>
        <w:t>akningsstørrelser</w:t>
      </w:r>
      <w:r>
        <w:rPr>
          <w:rFonts w:eastAsia="Courier New"/>
        </w:rPr>
        <w:t xml:space="preserve">: </w:t>
      </w:r>
      <w:r w:rsidRPr="00502279">
        <w:rPr>
          <w:rFonts w:eastAsia="Courier New"/>
        </w:rPr>
        <w:t xml:space="preserve">1, 10 </w:t>
      </w:r>
      <w:r>
        <w:rPr>
          <w:rFonts w:eastAsia="Courier New"/>
        </w:rPr>
        <w:t>og</w:t>
      </w:r>
      <w:r w:rsidRPr="00502279">
        <w:rPr>
          <w:rFonts w:eastAsia="Courier New"/>
        </w:rPr>
        <w:t xml:space="preserve"> 50 </w:t>
      </w:r>
      <w:r>
        <w:rPr>
          <w:rFonts w:eastAsia="Courier New"/>
        </w:rPr>
        <w:t>h</w:t>
      </w:r>
      <w:r w:rsidRPr="00502279">
        <w:rPr>
          <w:rFonts w:eastAsia="Courier New"/>
        </w:rPr>
        <w:t>ætteglas.</w:t>
      </w:r>
    </w:p>
    <w:p w14:paraId="08FD5D95" w14:textId="77777777" w:rsidR="00502279" w:rsidRPr="00502279" w:rsidRDefault="00502279" w:rsidP="00502279">
      <w:pPr>
        <w:widowControl w:val="0"/>
        <w:tabs>
          <w:tab w:val="left" w:pos="567"/>
        </w:tabs>
        <w:ind w:left="851"/>
        <w:rPr>
          <w:rFonts w:eastAsia="Courier New"/>
        </w:rPr>
      </w:pPr>
    </w:p>
    <w:p w14:paraId="7AFBD0C0" w14:textId="77777777" w:rsidR="00502279" w:rsidRPr="00502279" w:rsidRDefault="00502279" w:rsidP="00502279">
      <w:pPr>
        <w:widowControl w:val="0"/>
        <w:tabs>
          <w:tab w:val="left" w:pos="567"/>
        </w:tabs>
        <w:ind w:left="851"/>
        <w:rPr>
          <w:rFonts w:eastAsia="Courier New"/>
          <w:b/>
        </w:rPr>
      </w:pPr>
      <w:r w:rsidRPr="00502279">
        <w:rPr>
          <w:rFonts w:eastAsia="Courier New"/>
        </w:rPr>
        <w:t>Ikke alle pakningsstørrelser er nødvendigvis markedsført.</w:t>
      </w:r>
    </w:p>
    <w:p w14:paraId="2682F9E6" w14:textId="77777777" w:rsidR="009260DE" w:rsidRPr="00C84483" w:rsidRDefault="009260DE" w:rsidP="00955704">
      <w:pPr>
        <w:tabs>
          <w:tab w:val="left" w:pos="851"/>
        </w:tabs>
        <w:ind w:left="851"/>
        <w:rPr>
          <w:sz w:val="24"/>
          <w:szCs w:val="24"/>
        </w:rPr>
      </w:pPr>
    </w:p>
    <w:p w14:paraId="09B9A308" w14:textId="77777777" w:rsidR="009260DE" w:rsidRPr="00C84483" w:rsidRDefault="009260DE" w:rsidP="00955704">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3F7254E" w14:textId="77777777" w:rsidR="008E2050" w:rsidRPr="008E2050" w:rsidRDefault="008E2050" w:rsidP="008E2050">
      <w:pPr>
        <w:widowControl w:val="0"/>
        <w:tabs>
          <w:tab w:val="left" w:pos="567"/>
        </w:tabs>
        <w:ind w:left="851"/>
        <w:rPr>
          <w:rFonts w:eastAsia="Courier New"/>
          <w:sz w:val="24"/>
          <w:szCs w:val="24"/>
        </w:rPr>
      </w:pPr>
    </w:p>
    <w:p w14:paraId="2B5EDE11" w14:textId="77777777" w:rsidR="008E2050" w:rsidRPr="008E2050" w:rsidRDefault="008E2050" w:rsidP="008E2050">
      <w:pPr>
        <w:widowControl w:val="0"/>
        <w:tabs>
          <w:tab w:val="left" w:pos="567"/>
        </w:tabs>
        <w:ind w:left="851"/>
        <w:rPr>
          <w:rFonts w:eastAsia="Calibri"/>
          <w:b/>
          <w:sz w:val="24"/>
          <w:szCs w:val="24"/>
          <w:u w:val="single"/>
        </w:rPr>
      </w:pPr>
      <w:r w:rsidRPr="008E2050">
        <w:rPr>
          <w:b/>
          <w:sz w:val="24"/>
          <w:szCs w:val="24"/>
          <w:u w:val="single"/>
        </w:rPr>
        <w:t>Klargøring af opløsningen</w:t>
      </w:r>
    </w:p>
    <w:p w14:paraId="708F49AE"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For hver administrationsvej henvises til tabellen over tilsætningsvolumener og opløsningskoncentrationer. Disse kan være nyttige, når der er behov for fraktionerede doser.</w:t>
      </w:r>
    </w:p>
    <w:p w14:paraId="440A94D1" w14:textId="77777777" w:rsidR="008E2050" w:rsidRPr="008E2050" w:rsidRDefault="008E2050" w:rsidP="008E2050">
      <w:pPr>
        <w:widowControl w:val="0"/>
        <w:tabs>
          <w:tab w:val="left" w:pos="567"/>
        </w:tabs>
        <w:ind w:left="851"/>
        <w:rPr>
          <w:rFonts w:eastAsia="Calibri"/>
          <w:sz w:val="24"/>
          <w:szCs w:val="24"/>
        </w:rPr>
      </w:pPr>
    </w:p>
    <w:p w14:paraId="64FBF276" w14:textId="77777777" w:rsidR="008E2050" w:rsidRPr="008E2050" w:rsidRDefault="008E2050" w:rsidP="008E2050">
      <w:pPr>
        <w:widowControl w:val="0"/>
        <w:tabs>
          <w:tab w:val="left" w:pos="567"/>
        </w:tabs>
        <w:ind w:left="851"/>
        <w:rPr>
          <w:rFonts w:eastAsia="Calibri"/>
          <w:b/>
          <w:sz w:val="24"/>
          <w:szCs w:val="24"/>
        </w:rPr>
      </w:pPr>
      <w:r w:rsidRPr="008E2050">
        <w:rPr>
          <w:b/>
          <w:sz w:val="24"/>
          <w:szCs w:val="24"/>
        </w:rPr>
        <w:t xml:space="preserve">Intramuskulær injektion </w:t>
      </w:r>
    </w:p>
    <w:p w14:paraId="30917F38" w14:textId="77777777" w:rsidR="008E2050" w:rsidRPr="008E2050" w:rsidRDefault="008E2050" w:rsidP="008E2050">
      <w:pPr>
        <w:widowControl w:val="0"/>
        <w:tabs>
          <w:tab w:val="left" w:pos="567"/>
        </w:tabs>
        <w:ind w:left="851"/>
        <w:rPr>
          <w:rFonts w:eastAsia="Calibri"/>
          <w:strike/>
          <w:sz w:val="24"/>
          <w:szCs w:val="24"/>
        </w:rPr>
      </w:pPr>
    </w:p>
    <w:p w14:paraId="58CA65D4" w14:textId="6CA9FD52" w:rsidR="008E2050" w:rsidRPr="008E2050" w:rsidRDefault="008E2050" w:rsidP="008E2050">
      <w:pPr>
        <w:widowControl w:val="0"/>
        <w:tabs>
          <w:tab w:val="left" w:pos="567"/>
        </w:tabs>
        <w:ind w:left="851"/>
        <w:rPr>
          <w:rFonts w:eastAsia="Calibri"/>
          <w:sz w:val="24"/>
          <w:szCs w:val="24"/>
          <w:u w:val="single"/>
        </w:rPr>
      </w:pPr>
      <w:r w:rsidRPr="008E2050">
        <w:rPr>
          <w:sz w:val="24"/>
          <w:szCs w:val="24"/>
          <w:u w:val="single"/>
        </w:rPr>
        <w:t>Cefazolin "Noridem" 1 g</w:t>
      </w:r>
    </w:p>
    <w:p w14:paraId="67B151BA"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Rekonstituer Cefazolin "Noridem" med en af følgende kompatible opløsningsvæsker i henhold til den efterfølgende fortyndingstabel:</w:t>
      </w:r>
    </w:p>
    <w:p w14:paraId="48464617" w14:textId="77777777" w:rsidR="008E2050" w:rsidRPr="008E2050" w:rsidRDefault="008E2050" w:rsidP="008E2050">
      <w:pPr>
        <w:numPr>
          <w:ilvl w:val="0"/>
          <w:numId w:val="11"/>
        </w:numPr>
        <w:tabs>
          <w:tab w:val="left" w:pos="1134"/>
        </w:tabs>
        <w:autoSpaceDE w:val="0"/>
        <w:autoSpaceDN w:val="0"/>
        <w:adjustRightInd w:val="0"/>
        <w:spacing w:after="20"/>
        <w:ind w:left="851" w:firstLine="0"/>
        <w:rPr>
          <w:rFonts w:eastAsia="Calibri"/>
          <w:sz w:val="24"/>
          <w:szCs w:val="24"/>
        </w:rPr>
      </w:pPr>
      <w:r w:rsidRPr="008E2050">
        <w:rPr>
          <w:sz w:val="24"/>
          <w:szCs w:val="24"/>
        </w:rPr>
        <w:t xml:space="preserve">Vand til injektionsvæsker. </w:t>
      </w:r>
    </w:p>
    <w:p w14:paraId="4AFBB7F2" w14:textId="77777777" w:rsidR="008E2050" w:rsidRPr="008E2050" w:rsidRDefault="008E2050" w:rsidP="008E2050">
      <w:pPr>
        <w:numPr>
          <w:ilvl w:val="0"/>
          <w:numId w:val="11"/>
        </w:numPr>
        <w:tabs>
          <w:tab w:val="left" w:pos="1134"/>
        </w:tabs>
        <w:autoSpaceDE w:val="0"/>
        <w:autoSpaceDN w:val="0"/>
        <w:adjustRightInd w:val="0"/>
        <w:spacing w:after="20"/>
        <w:ind w:left="851" w:firstLine="0"/>
        <w:rPr>
          <w:rFonts w:eastAsia="Calibri"/>
          <w:sz w:val="24"/>
          <w:szCs w:val="24"/>
        </w:rPr>
      </w:pPr>
      <w:r w:rsidRPr="008E2050">
        <w:rPr>
          <w:sz w:val="24"/>
          <w:szCs w:val="24"/>
        </w:rPr>
        <w:t xml:space="preserve">10 % glucoseopløsning. </w:t>
      </w:r>
    </w:p>
    <w:p w14:paraId="35CCA5B7" w14:textId="77777777" w:rsidR="008E2050" w:rsidRPr="008E2050" w:rsidRDefault="008E2050" w:rsidP="008E2050">
      <w:pPr>
        <w:numPr>
          <w:ilvl w:val="0"/>
          <w:numId w:val="11"/>
        </w:numPr>
        <w:tabs>
          <w:tab w:val="left" w:pos="1134"/>
        </w:tabs>
        <w:autoSpaceDE w:val="0"/>
        <w:autoSpaceDN w:val="0"/>
        <w:adjustRightInd w:val="0"/>
        <w:spacing w:after="20"/>
        <w:ind w:left="851" w:firstLine="0"/>
        <w:rPr>
          <w:rFonts w:eastAsia="Calibri"/>
          <w:sz w:val="24"/>
          <w:szCs w:val="24"/>
        </w:rPr>
      </w:pPr>
      <w:r w:rsidRPr="008E2050">
        <w:rPr>
          <w:sz w:val="24"/>
          <w:szCs w:val="24"/>
        </w:rPr>
        <w:t xml:space="preserve">0,9 % natriumchloridopløsning. </w:t>
      </w:r>
    </w:p>
    <w:p w14:paraId="06FE3F6A" w14:textId="77777777" w:rsidR="008E2050" w:rsidRPr="008E2050" w:rsidRDefault="008E2050" w:rsidP="008E2050">
      <w:pPr>
        <w:numPr>
          <w:ilvl w:val="0"/>
          <w:numId w:val="11"/>
        </w:numPr>
        <w:tabs>
          <w:tab w:val="left" w:pos="1134"/>
        </w:tabs>
        <w:autoSpaceDE w:val="0"/>
        <w:autoSpaceDN w:val="0"/>
        <w:adjustRightInd w:val="0"/>
        <w:spacing w:after="20"/>
        <w:ind w:left="851" w:firstLine="0"/>
        <w:rPr>
          <w:rFonts w:eastAsia="Calibri"/>
          <w:sz w:val="24"/>
          <w:szCs w:val="24"/>
        </w:rPr>
      </w:pPr>
      <w:r w:rsidRPr="008E2050">
        <w:rPr>
          <w:sz w:val="24"/>
          <w:szCs w:val="24"/>
        </w:rPr>
        <w:t xml:space="preserve">0,5 % lidocainhydrochloridopløsning. </w:t>
      </w:r>
    </w:p>
    <w:p w14:paraId="62D3887E" w14:textId="77777777" w:rsidR="008E2050" w:rsidRPr="008E2050" w:rsidRDefault="008E2050" w:rsidP="008E2050">
      <w:pPr>
        <w:widowControl w:val="0"/>
        <w:tabs>
          <w:tab w:val="left" w:pos="567"/>
        </w:tabs>
        <w:ind w:left="851"/>
        <w:rPr>
          <w:rFonts w:eastAsia="Calibri"/>
          <w:strike/>
          <w:sz w:val="24"/>
          <w:szCs w:val="24"/>
        </w:rPr>
      </w:pPr>
    </w:p>
    <w:p w14:paraId="68283272" w14:textId="77777777" w:rsidR="008E2050" w:rsidRPr="008E2050" w:rsidRDefault="008E2050" w:rsidP="008E2050">
      <w:pPr>
        <w:widowControl w:val="0"/>
        <w:tabs>
          <w:tab w:val="left" w:pos="567"/>
        </w:tabs>
        <w:ind w:left="851"/>
        <w:rPr>
          <w:rFonts w:eastAsia="Calibri"/>
          <w:strike/>
          <w:sz w:val="24"/>
          <w:szCs w:val="24"/>
        </w:rPr>
      </w:pPr>
      <w:r w:rsidRPr="008E2050">
        <w:rPr>
          <w:sz w:val="24"/>
          <w:szCs w:val="24"/>
        </w:rPr>
        <w:t xml:space="preserve">Ryst, indtil indholdet er helt opløst, og administrér som dyb i.m. injektion. </w:t>
      </w:r>
    </w:p>
    <w:p w14:paraId="69243619" w14:textId="77777777" w:rsidR="008E2050" w:rsidRPr="008E2050" w:rsidRDefault="008E2050" w:rsidP="008E2050">
      <w:pPr>
        <w:widowControl w:val="0"/>
        <w:tabs>
          <w:tab w:val="left" w:pos="567"/>
        </w:tabs>
        <w:ind w:left="851"/>
        <w:rPr>
          <w:rFonts w:eastAsia="Calibri"/>
          <w:sz w:val="24"/>
          <w:szCs w:val="24"/>
        </w:rPr>
      </w:pPr>
    </w:p>
    <w:p w14:paraId="2D3C527F" w14:textId="77777777" w:rsidR="008E2050" w:rsidRPr="008E2050" w:rsidRDefault="008E2050" w:rsidP="008E2050">
      <w:pPr>
        <w:widowControl w:val="0"/>
        <w:tabs>
          <w:tab w:val="left" w:pos="567"/>
        </w:tabs>
        <w:ind w:left="851"/>
        <w:rPr>
          <w:i/>
          <w:sz w:val="24"/>
          <w:szCs w:val="24"/>
        </w:rPr>
      </w:pPr>
      <w:r w:rsidRPr="008E2050">
        <w:rPr>
          <w:i/>
          <w:sz w:val="24"/>
          <w:szCs w:val="24"/>
        </w:rPr>
        <w:t>Rekonstitutionstabel til intramuskulær injektion</w:t>
      </w:r>
    </w:p>
    <w:p w14:paraId="7E359DD0" w14:textId="77777777" w:rsidR="008E2050" w:rsidRPr="008F08EF" w:rsidRDefault="008E2050" w:rsidP="008E2050">
      <w:pPr>
        <w:widowControl w:val="0"/>
        <w:tabs>
          <w:tab w:val="left" w:pos="567"/>
        </w:tabs>
        <w:rPr>
          <w:rFonts w:eastAsia="Calibri"/>
        </w:rPr>
      </w:pPr>
    </w:p>
    <w:tbl>
      <w:tblPr>
        <w:tblStyle w:val="Tabel-Gitter"/>
        <w:tblW w:w="8528" w:type="dxa"/>
        <w:tblInd w:w="846" w:type="dxa"/>
        <w:tblLook w:val="04A0" w:firstRow="1" w:lastRow="0" w:firstColumn="1" w:lastColumn="0" w:noHBand="0" w:noVBand="1"/>
      </w:tblPr>
      <w:tblGrid>
        <w:gridCol w:w="2693"/>
        <w:gridCol w:w="3096"/>
        <w:gridCol w:w="2739"/>
      </w:tblGrid>
      <w:tr w:rsidR="008E2050" w:rsidRPr="008F08EF" w14:paraId="381EB4F3" w14:textId="77777777" w:rsidTr="008E2050">
        <w:tc>
          <w:tcPr>
            <w:tcW w:w="2693" w:type="dxa"/>
          </w:tcPr>
          <w:p w14:paraId="69F41FEF"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Indhold pr. hætteglas</w:t>
            </w:r>
          </w:p>
        </w:tc>
        <w:tc>
          <w:tcPr>
            <w:tcW w:w="3096" w:type="dxa"/>
          </w:tcPr>
          <w:p w14:paraId="5579F8E7"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Mængde fortyndingsmiddel, der skal tilsættes</w:t>
            </w:r>
          </w:p>
        </w:tc>
        <w:tc>
          <w:tcPr>
            <w:tcW w:w="2739" w:type="dxa"/>
          </w:tcPr>
          <w:p w14:paraId="434E9108"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Omtrentlig koncentration</w:t>
            </w:r>
          </w:p>
        </w:tc>
      </w:tr>
      <w:tr w:rsidR="008E2050" w:rsidRPr="008F08EF" w14:paraId="254FF505" w14:textId="77777777" w:rsidTr="008E2050">
        <w:tc>
          <w:tcPr>
            <w:tcW w:w="2693" w:type="dxa"/>
          </w:tcPr>
          <w:p w14:paraId="0D10AE57"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1 g</w:t>
            </w:r>
          </w:p>
        </w:tc>
        <w:tc>
          <w:tcPr>
            <w:tcW w:w="3096" w:type="dxa"/>
          </w:tcPr>
          <w:p w14:paraId="53FCEDD6"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2,5</w:t>
            </w:r>
            <w:r>
              <w:rPr>
                <w:rFonts w:ascii="Times New Roman" w:hAnsi="Times New Roman"/>
              </w:rPr>
              <w:t> ml</w:t>
            </w:r>
          </w:p>
        </w:tc>
        <w:tc>
          <w:tcPr>
            <w:tcW w:w="2739" w:type="dxa"/>
          </w:tcPr>
          <w:p w14:paraId="293D075B"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330</w:t>
            </w:r>
            <w:r>
              <w:rPr>
                <w:rFonts w:ascii="Times New Roman" w:hAnsi="Times New Roman"/>
              </w:rPr>
              <w:t> mg</w:t>
            </w:r>
            <w:r w:rsidRPr="008F08EF">
              <w:rPr>
                <w:rFonts w:ascii="Times New Roman" w:hAnsi="Times New Roman"/>
              </w:rPr>
              <w:t>/ml</w:t>
            </w:r>
          </w:p>
        </w:tc>
      </w:tr>
    </w:tbl>
    <w:p w14:paraId="077774D2" w14:textId="77777777" w:rsidR="008E2050" w:rsidRPr="008F08EF" w:rsidRDefault="008E2050" w:rsidP="008E2050">
      <w:pPr>
        <w:widowControl w:val="0"/>
        <w:tabs>
          <w:tab w:val="left" w:pos="567"/>
        </w:tabs>
        <w:rPr>
          <w:rFonts w:eastAsia="Calibri"/>
          <w:lang w:val="en-US"/>
        </w:rPr>
      </w:pPr>
    </w:p>
    <w:p w14:paraId="0CC95204"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For mængden af fortyndingsmiddel, der skal tilsættes til den pædiatriske population, henvises til pkt. 4.2 – Retningslinjer for dosering hos børn.</w:t>
      </w:r>
    </w:p>
    <w:p w14:paraId="225C1FFF" w14:textId="77777777" w:rsidR="008E2050" w:rsidRPr="008E2050" w:rsidRDefault="008E2050" w:rsidP="008E2050">
      <w:pPr>
        <w:widowControl w:val="0"/>
        <w:tabs>
          <w:tab w:val="left" w:pos="567"/>
        </w:tabs>
        <w:ind w:left="851"/>
        <w:rPr>
          <w:rFonts w:eastAsia="Calibri"/>
          <w:sz w:val="24"/>
          <w:szCs w:val="24"/>
        </w:rPr>
      </w:pPr>
    </w:p>
    <w:p w14:paraId="43444A7C" w14:textId="50682355" w:rsidR="008E2050" w:rsidRPr="008E2050" w:rsidRDefault="008E2050" w:rsidP="008E2050">
      <w:pPr>
        <w:widowControl w:val="0"/>
        <w:tabs>
          <w:tab w:val="left" w:pos="567"/>
        </w:tabs>
        <w:ind w:left="851"/>
        <w:rPr>
          <w:rFonts w:eastAsia="Calibri"/>
          <w:i/>
          <w:sz w:val="24"/>
          <w:szCs w:val="24"/>
        </w:rPr>
      </w:pPr>
      <w:r w:rsidRPr="008E2050">
        <w:rPr>
          <w:i/>
          <w:sz w:val="24"/>
          <w:szCs w:val="24"/>
        </w:rPr>
        <w:t>Anvendelse af lidocain</w:t>
      </w:r>
    </w:p>
    <w:p w14:paraId="2DEA5083"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 xml:space="preserve">Hvis en lidocainopløsning anvendes som solvens, må cefazolinopløsningen kun anvendes til intramuskulær injektion. Kontraindikationer, advarsler og anden relevant information for lidocain er angivet i produktresuméet for lidocain og skal konsulteres før anvendelse. </w:t>
      </w:r>
    </w:p>
    <w:p w14:paraId="111F86C9" w14:textId="77777777" w:rsidR="008E2050" w:rsidRPr="008E2050" w:rsidRDefault="008E2050" w:rsidP="008E2050">
      <w:pPr>
        <w:widowControl w:val="0"/>
        <w:tabs>
          <w:tab w:val="left" w:pos="567"/>
        </w:tabs>
        <w:ind w:left="851"/>
        <w:rPr>
          <w:rFonts w:eastAsia="Calibri"/>
          <w:sz w:val="24"/>
          <w:szCs w:val="24"/>
        </w:rPr>
      </w:pPr>
    </w:p>
    <w:p w14:paraId="018294A8"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En lidocainopløsning må aldrig administreres intravenøst.</w:t>
      </w:r>
    </w:p>
    <w:p w14:paraId="098D9706" w14:textId="77777777" w:rsidR="008E2050" w:rsidRPr="008E2050" w:rsidRDefault="008E2050" w:rsidP="008E2050">
      <w:pPr>
        <w:widowControl w:val="0"/>
        <w:tabs>
          <w:tab w:val="left" w:pos="567"/>
        </w:tabs>
        <w:ind w:left="851"/>
        <w:rPr>
          <w:sz w:val="24"/>
          <w:szCs w:val="24"/>
        </w:rPr>
      </w:pPr>
    </w:p>
    <w:p w14:paraId="17E7782E"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 xml:space="preserve">I.m. injektion med lidocain som solvens er indiceret til børn over 30 måneder.   </w:t>
      </w:r>
    </w:p>
    <w:p w14:paraId="25FA4821" w14:textId="77777777" w:rsidR="008E2050" w:rsidRPr="008E2050" w:rsidRDefault="008E2050" w:rsidP="008E2050">
      <w:pPr>
        <w:widowControl w:val="0"/>
        <w:tabs>
          <w:tab w:val="left" w:pos="567"/>
        </w:tabs>
        <w:ind w:left="851"/>
        <w:rPr>
          <w:rFonts w:eastAsia="Calibri"/>
          <w:i/>
          <w:sz w:val="24"/>
          <w:szCs w:val="24"/>
        </w:rPr>
      </w:pPr>
    </w:p>
    <w:p w14:paraId="0DADD9CB" w14:textId="77777777" w:rsidR="008E2050" w:rsidRPr="008E2050" w:rsidRDefault="008E2050" w:rsidP="008E2050">
      <w:pPr>
        <w:widowControl w:val="0"/>
        <w:tabs>
          <w:tab w:val="left" w:pos="567"/>
        </w:tabs>
        <w:ind w:left="851"/>
        <w:rPr>
          <w:rFonts w:eastAsia="Courier New"/>
          <w:sz w:val="24"/>
          <w:szCs w:val="24"/>
        </w:rPr>
      </w:pPr>
      <w:r w:rsidRPr="008E2050">
        <w:rPr>
          <w:sz w:val="24"/>
          <w:szCs w:val="24"/>
        </w:rPr>
        <w:t xml:space="preserve">Cefazolin "Noridem" 2 g: Må ikke anvendes intramuskulært. </w:t>
      </w:r>
    </w:p>
    <w:p w14:paraId="6188FAA0" w14:textId="77777777" w:rsidR="008E2050" w:rsidRPr="008E2050" w:rsidRDefault="008E2050" w:rsidP="008E2050">
      <w:pPr>
        <w:widowControl w:val="0"/>
        <w:tabs>
          <w:tab w:val="left" w:pos="567"/>
        </w:tabs>
        <w:ind w:left="851"/>
        <w:rPr>
          <w:rFonts w:eastAsia="Calibri"/>
          <w:i/>
          <w:strike/>
          <w:sz w:val="24"/>
          <w:szCs w:val="24"/>
        </w:rPr>
      </w:pPr>
    </w:p>
    <w:p w14:paraId="5F03C552" w14:textId="77777777" w:rsidR="008E2050" w:rsidRPr="008E2050" w:rsidRDefault="008E2050" w:rsidP="008E2050">
      <w:pPr>
        <w:widowControl w:val="0"/>
        <w:tabs>
          <w:tab w:val="left" w:pos="567"/>
        </w:tabs>
        <w:ind w:left="851"/>
        <w:rPr>
          <w:rFonts w:eastAsia="Calibri"/>
          <w:b/>
          <w:sz w:val="24"/>
          <w:szCs w:val="24"/>
        </w:rPr>
      </w:pPr>
      <w:r w:rsidRPr="008E2050">
        <w:rPr>
          <w:b/>
          <w:sz w:val="24"/>
          <w:szCs w:val="24"/>
        </w:rPr>
        <w:t>Intravenøs injektion</w:t>
      </w:r>
    </w:p>
    <w:p w14:paraId="0D9CE21E" w14:textId="77777777" w:rsidR="008E2050" w:rsidRPr="00A94B7C" w:rsidRDefault="008E2050" w:rsidP="008E2050">
      <w:pPr>
        <w:widowControl w:val="0"/>
        <w:tabs>
          <w:tab w:val="left" w:pos="567"/>
        </w:tabs>
        <w:ind w:left="851"/>
        <w:rPr>
          <w:rFonts w:eastAsia="Calibri"/>
          <w:sz w:val="24"/>
          <w:szCs w:val="24"/>
        </w:rPr>
      </w:pPr>
      <w:r w:rsidRPr="008E2050">
        <w:rPr>
          <w:sz w:val="24"/>
          <w:szCs w:val="24"/>
        </w:rPr>
        <w:t xml:space="preserve">Rekonstituer Cefazolin "Noridem" med en af følgende kompatible opløsningsvæsker i </w:t>
      </w:r>
      <w:r w:rsidRPr="00A94B7C">
        <w:rPr>
          <w:sz w:val="24"/>
          <w:szCs w:val="24"/>
        </w:rPr>
        <w:t>henhold til den efterfølgende fortyndingstabel:</w:t>
      </w:r>
    </w:p>
    <w:p w14:paraId="569B5956" w14:textId="77777777" w:rsidR="008E2050" w:rsidRPr="00A94B7C" w:rsidRDefault="008E2050" w:rsidP="00A94B7C">
      <w:pPr>
        <w:widowControl w:val="0"/>
        <w:numPr>
          <w:ilvl w:val="0"/>
          <w:numId w:val="12"/>
        </w:numPr>
        <w:tabs>
          <w:tab w:val="left" w:pos="1134"/>
        </w:tabs>
        <w:ind w:left="1134" w:hanging="283"/>
        <w:contextualSpacing/>
        <w:rPr>
          <w:rFonts w:eastAsia="Calibri"/>
          <w:sz w:val="24"/>
          <w:szCs w:val="24"/>
        </w:rPr>
      </w:pPr>
      <w:r w:rsidRPr="00A94B7C">
        <w:rPr>
          <w:sz w:val="24"/>
          <w:szCs w:val="24"/>
        </w:rPr>
        <w:t xml:space="preserve">Vand til injektionsvæsker. </w:t>
      </w:r>
    </w:p>
    <w:p w14:paraId="20BF1A2D" w14:textId="77777777" w:rsidR="008E2050" w:rsidRPr="00A94B7C" w:rsidRDefault="008E2050" w:rsidP="00A94B7C">
      <w:pPr>
        <w:widowControl w:val="0"/>
        <w:numPr>
          <w:ilvl w:val="0"/>
          <w:numId w:val="12"/>
        </w:numPr>
        <w:tabs>
          <w:tab w:val="left" w:pos="1134"/>
        </w:tabs>
        <w:ind w:left="1134" w:hanging="283"/>
        <w:contextualSpacing/>
        <w:rPr>
          <w:rFonts w:eastAsia="Calibri"/>
          <w:sz w:val="24"/>
          <w:szCs w:val="24"/>
        </w:rPr>
      </w:pPr>
      <w:r w:rsidRPr="00A94B7C">
        <w:rPr>
          <w:sz w:val="24"/>
          <w:szCs w:val="24"/>
        </w:rPr>
        <w:t xml:space="preserve">0,9 % natriumchloridopløsning. </w:t>
      </w:r>
    </w:p>
    <w:p w14:paraId="5E5BF355" w14:textId="77777777" w:rsidR="008E2050" w:rsidRPr="00A94B7C" w:rsidRDefault="008E2050" w:rsidP="00A94B7C">
      <w:pPr>
        <w:widowControl w:val="0"/>
        <w:numPr>
          <w:ilvl w:val="0"/>
          <w:numId w:val="12"/>
        </w:numPr>
        <w:tabs>
          <w:tab w:val="left" w:pos="1134"/>
        </w:tabs>
        <w:ind w:left="1134" w:hanging="283"/>
        <w:contextualSpacing/>
        <w:rPr>
          <w:rFonts w:eastAsia="Calibri"/>
          <w:sz w:val="24"/>
          <w:szCs w:val="24"/>
        </w:rPr>
      </w:pPr>
      <w:r w:rsidRPr="00A94B7C">
        <w:rPr>
          <w:sz w:val="24"/>
          <w:szCs w:val="24"/>
        </w:rPr>
        <w:t>5 % glucoseopløsning.</w:t>
      </w:r>
    </w:p>
    <w:p w14:paraId="0892EC8F" w14:textId="77777777" w:rsidR="008E2050" w:rsidRPr="00A94B7C" w:rsidRDefault="008E2050" w:rsidP="00A94B7C">
      <w:pPr>
        <w:widowControl w:val="0"/>
        <w:numPr>
          <w:ilvl w:val="0"/>
          <w:numId w:val="12"/>
        </w:numPr>
        <w:tabs>
          <w:tab w:val="left" w:pos="1134"/>
        </w:tabs>
        <w:ind w:left="1134" w:hanging="283"/>
        <w:contextualSpacing/>
        <w:rPr>
          <w:rFonts w:eastAsia="Calibri"/>
          <w:sz w:val="24"/>
          <w:szCs w:val="24"/>
        </w:rPr>
      </w:pPr>
      <w:r w:rsidRPr="00A94B7C">
        <w:rPr>
          <w:sz w:val="24"/>
          <w:szCs w:val="24"/>
        </w:rPr>
        <w:t>10 % glucoseopløsning.</w:t>
      </w:r>
    </w:p>
    <w:p w14:paraId="0789D3EA" w14:textId="77777777" w:rsidR="008E2050" w:rsidRPr="008F08EF" w:rsidRDefault="008E2050" w:rsidP="008E2050">
      <w:pPr>
        <w:widowControl w:val="0"/>
        <w:tabs>
          <w:tab w:val="left" w:pos="567"/>
        </w:tabs>
        <w:rPr>
          <w:rFonts w:eastAsia="Calibri"/>
        </w:rPr>
      </w:pPr>
    </w:p>
    <w:p w14:paraId="4D9360B2" w14:textId="77777777" w:rsidR="008E2050" w:rsidRPr="00A94B7C" w:rsidRDefault="008E2050" w:rsidP="00A94B7C">
      <w:pPr>
        <w:widowControl w:val="0"/>
        <w:tabs>
          <w:tab w:val="left" w:pos="567"/>
        </w:tabs>
        <w:ind w:left="851"/>
        <w:rPr>
          <w:rFonts w:eastAsia="Calibri"/>
          <w:i/>
          <w:sz w:val="24"/>
          <w:szCs w:val="24"/>
        </w:rPr>
      </w:pPr>
      <w:r w:rsidRPr="00A94B7C">
        <w:rPr>
          <w:i/>
          <w:sz w:val="24"/>
          <w:szCs w:val="24"/>
        </w:rPr>
        <w:t>Rekonstitutionstabel til intravenøs injektion</w:t>
      </w:r>
    </w:p>
    <w:p w14:paraId="29F15858" w14:textId="77777777" w:rsidR="008E2050" w:rsidRPr="008F08EF" w:rsidRDefault="008E2050" w:rsidP="00A94B7C">
      <w:pPr>
        <w:widowControl w:val="0"/>
        <w:tabs>
          <w:tab w:val="left" w:pos="567"/>
        </w:tabs>
        <w:ind w:left="851"/>
        <w:rPr>
          <w:rFonts w:eastAsia="Calibri"/>
        </w:rPr>
      </w:pPr>
    </w:p>
    <w:tbl>
      <w:tblPr>
        <w:tblStyle w:val="Tabel-Gitter"/>
        <w:tblW w:w="8386" w:type="dxa"/>
        <w:tblInd w:w="846" w:type="dxa"/>
        <w:tblLook w:val="04A0" w:firstRow="1" w:lastRow="0" w:firstColumn="1" w:lastColumn="0" w:noHBand="0" w:noVBand="1"/>
      </w:tblPr>
      <w:tblGrid>
        <w:gridCol w:w="2693"/>
        <w:gridCol w:w="3096"/>
        <w:gridCol w:w="2597"/>
      </w:tblGrid>
      <w:tr w:rsidR="008E2050" w:rsidRPr="008F08EF" w14:paraId="1661FDA7" w14:textId="77777777" w:rsidTr="00A94B7C">
        <w:tc>
          <w:tcPr>
            <w:tcW w:w="2693" w:type="dxa"/>
          </w:tcPr>
          <w:p w14:paraId="2AD6ECFB"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Indhold pr. hætteglas</w:t>
            </w:r>
          </w:p>
        </w:tc>
        <w:tc>
          <w:tcPr>
            <w:tcW w:w="3096" w:type="dxa"/>
          </w:tcPr>
          <w:p w14:paraId="124E17D4"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Mindste mængde fortyndingsmiddel, der skal tilsættes</w:t>
            </w:r>
          </w:p>
          <w:p w14:paraId="58F4CDCC" w14:textId="77777777" w:rsidR="008E2050" w:rsidRPr="008F08EF" w:rsidRDefault="008E2050" w:rsidP="00A24D20">
            <w:pPr>
              <w:widowControl w:val="0"/>
              <w:tabs>
                <w:tab w:val="left" w:pos="567"/>
              </w:tabs>
              <w:rPr>
                <w:rFonts w:ascii="Times New Roman" w:eastAsia="Calibri" w:hAnsi="Times New Roman" w:cs="Times New Roman"/>
              </w:rPr>
            </w:pPr>
          </w:p>
        </w:tc>
        <w:tc>
          <w:tcPr>
            <w:tcW w:w="2597" w:type="dxa"/>
          </w:tcPr>
          <w:p w14:paraId="4287E446"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Omtrentlig koncentration</w:t>
            </w:r>
          </w:p>
          <w:p w14:paraId="724D311C" w14:textId="77777777" w:rsidR="008E2050" w:rsidRPr="008F08EF" w:rsidRDefault="008E2050" w:rsidP="00A24D20">
            <w:pPr>
              <w:widowControl w:val="0"/>
              <w:tabs>
                <w:tab w:val="left" w:pos="567"/>
              </w:tabs>
              <w:rPr>
                <w:rFonts w:ascii="Times New Roman" w:eastAsia="Calibri" w:hAnsi="Times New Roman" w:cs="Times New Roman"/>
              </w:rPr>
            </w:pPr>
          </w:p>
        </w:tc>
      </w:tr>
      <w:tr w:rsidR="008E2050" w:rsidRPr="008F08EF" w14:paraId="57A21296" w14:textId="77777777" w:rsidTr="00A94B7C">
        <w:tc>
          <w:tcPr>
            <w:tcW w:w="2693" w:type="dxa"/>
          </w:tcPr>
          <w:p w14:paraId="484CBA85"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1 g</w:t>
            </w:r>
          </w:p>
        </w:tc>
        <w:tc>
          <w:tcPr>
            <w:tcW w:w="3096" w:type="dxa"/>
          </w:tcPr>
          <w:p w14:paraId="429C6BC4"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 xml:space="preserve"> 4</w:t>
            </w:r>
            <w:r>
              <w:rPr>
                <w:rFonts w:ascii="Times New Roman" w:hAnsi="Times New Roman"/>
              </w:rPr>
              <w:t> ml</w:t>
            </w:r>
          </w:p>
        </w:tc>
        <w:tc>
          <w:tcPr>
            <w:tcW w:w="2597" w:type="dxa"/>
          </w:tcPr>
          <w:p w14:paraId="05DF03D1"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 xml:space="preserve"> 220</w:t>
            </w:r>
            <w:r>
              <w:rPr>
                <w:rFonts w:ascii="Times New Roman" w:hAnsi="Times New Roman"/>
              </w:rPr>
              <w:t> mg</w:t>
            </w:r>
            <w:r w:rsidRPr="008F08EF">
              <w:rPr>
                <w:rFonts w:ascii="Times New Roman" w:hAnsi="Times New Roman"/>
              </w:rPr>
              <w:t>/ml</w:t>
            </w:r>
          </w:p>
        </w:tc>
      </w:tr>
    </w:tbl>
    <w:p w14:paraId="7FAFDE07" w14:textId="77777777" w:rsidR="008E2050" w:rsidRPr="008E2050" w:rsidRDefault="008E2050" w:rsidP="008E2050">
      <w:pPr>
        <w:widowControl w:val="0"/>
        <w:tabs>
          <w:tab w:val="left" w:pos="567"/>
        </w:tabs>
        <w:ind w:left="851"/>
        <w:rPr>
          <w:rFonts w:eastAsia="Calibri"/>
          <w:sz w:val="24"/>
          <w:szCs w:val="24"/>
        </w:rPr>
      </w:pPr>
    </w:p>
    <w:p w14:paraId="18E5B512"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Cefazolin skal injiceres langsomt over 3</w:t>
      </w:r>
      <w:r w:rsidRPr="008E2050">
        <w:rPr>
          <w:sz w:val="24"/>
          <w:szCs w:val="24"/>
        </w:rPr>
        <w:noBreakHyphen/>
        <w:t>5 minutter. Injektionstiden må aldrig være under 3 minutter. Administreres direkte i en vene eller via infusionsslange.</w:t>
      </w:r>
    </w:p>
    <w:p w14:paraId="3F603733"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Enkeltdoser over 1 g skal gives som intravenøs infusion over 30</w:t>
      </w:r>
      <w:r w:rsidRPr="008E2050">
        <w:rPr>
          <w:sz w:val="24"/>
          <w:szCs w:val="24"/>
        </w:rPr>
        <w:noBreakHyphen/>
        <w:t>60 minutter.</w:t>
      </w:r>
    </w:p>
    <w:p w14:paraId="69327A30" w14:textId="77777777" w:rsidR="008E2050" w:rsidRPr="008E2050" w:rsidRDefault="008E2050" w:rsidP="008E2050">
      <w:pPr>
        <w:widowControl w:val="0"/>
        <w:tabs>
          <w:tab w:val="left" w:pos="567"/>
        </w:tabs>
        <w:ind w:left="851"/>
        <w:rPr>
          <w:rFonts w:eastAsia="Calibri"/>
          <w:sz w:val="24"/>
          <w:szCs w:val="24"/>
        </w:rPr>
      </w:pPr>
    </w:p>
    <w:p w14:paraId="50867B66" w14:textId="77777777" w:rsidR="008E2050" w:rsidRPr="00A94B7C" w:rsidRDefault="008E2050" w:rsidP="008E2050">
      <w:pPr>
        <w:widowControl w:val="0"/>
        <w:tabs>
          <w:tab w:val="left" w:pos="567"/>
        </w:tabs>
        <w:ind w:left="851"/>
        <w:rPr>
          <w:rFonts w:eastAsia="Courier New"/>
          <w:sz w:val="24"/>
          <w:szCs w:val="24"/>
        </w:rPr>
      </w:pPr>
      <w:r w:rsidRPr="00A94B7C">
        <w:rPr>
          <w:sz w:val="24"/>
          <w:szCs w:val="24"/>
        </w:rPr>
        <w:t>Retningslinjer for dosering hos børn:</w:t>
      </w:r>
    </w:p>
    <w:p w14:paraId="5238CA7A" w14:textId="77777777" w:rsidR="008E2050" w:rsidRPr="00A94B7C" w:rsidRDefault="008E2050" w:rsidP="00A94B7C">
      <w:pPr>
        <w:pStyle w:val="Listeafsnit"/>
        <w:widowControl w:val="0"/>
        <w:numPr>
          <w:ilvl w:val="0"/>
          <w:numId w:val="13"/>
        </w:numPr>
        <w:tabs>
          <w:tab w:val="left" w:pos="1134"/>
        </w:tabs>
        <w:spacing w:after="0" w:line="240" w:lineRule="auto"/>
        <w:ind w:left="1134" w:hanging="283"/>
        <w:rPr>
          <w:rFonts w:ascii="Times New Roman" w:eastAsia="Courier New" w:hAnsi="Times New Roman" w:cs="Times New Roman"/>
          <w:sz w:val="24"/>
          <w:szCs w:val="24"/>
        </w:rPr>
      </w:pPr>
      <w:r w:rsidRPr="00A94B7C">
        <w:rPr>
          <w:rFonts w:ascii="Times New Roman" w:hAnsi="Times New Roman"/>
          <w:sz w:val="24"/>
          <w:szCs w:val="24"/>
        </w:rPr>
        <w:t>1 g hætteglas: Indholdet af 1 hætteglas (1.000 mg cefazolin) opløses i 4 ml kompatibel solvens (dvs. koncentration ca. 220 mg/ml). De respektive mængder af denne opløsning, der skal anvendes, er sammen med dosis i mg angivet i tabel 1.</w:t>
      </w:r>
    </w:p>
    <w:p w14:paraId="67BC7CAA" w14:textId="77777777" w:rsidR="008E2050" w:rsidRPr="00A94B7C" w:rsidRDefault="008E2050" w:rsidP="00A94B7C">
      <w:pPr>
        <w:pStyle w:val="Listeafsnit"/>
        <w:widowControl w:val="0"/>
        <w:numPr>
          <w:ilvl w:val="0"/>
          <w:numId w:val="13"/>
        </w:numPr>
        <w:tabs>
          <w:tab w:val="left" w:pos="1134"/>
        </w:tabs>
        <w:spacing w:after="0" w:line="240" w:lineRule="auto"/>
        <w:ind w:left="1134" w:hanging="283"/>
        <w:rPr>
          <w:rFonts w:ascii="Times New Roman" w:eastAsia="Courier New" w:hAnsi="Times New Roman" w:cs="Times New Roman"/>
          <w:sz w:val="24"/>
          <w:szCs w:val="24"/>
        </w:rPr>
      </w:pPr>
      <w:r w:rsidRPr="00A94B7C">
        <w:rPr>
          <w:rFonts w:ascii="Times New Roman" w:hAnsi="Times New Roman"/>
          <w:sz w:val="24"/>
          <w:szCs w:val="24"/>
        </w:rPr>
        <w:t>2 g hætteglas: Indholdet af 1 hætteglas (2.000 mg cefazolin) opløses i 10 ml kompatibel solvens (dvs. koncentration ca. 180 mg/ml). Det nødvendige volumen af denne opløsning, der skal anvendes, er sammen med dosis i mg angivet i tabel 2.</w:t>
      </w:r>
    </w:p>
    <w:p w14:paraId="45077780" w14:textId="77777777" w:rsidR="008E2050" w:rsidRPr="00A94B7C" w:rsidRDefault="008E2050" w:rsidP="008E2050">
      <w:pPr>
        <w:widowControl w:val="0"/>
        <w:tabs>
          <w:tab w:val="left" w:pos="567"/>
        </w:tabs>
        <w:ind w:left="851"/>
        <w:rPr>
          <w:rFonts w:eastAsia="Calibri"/>
          <w:sz w:val="24"/>
          <w:szCs w:val="24"/>
        </w:rPr>
      </w:pPr>
    </w:p>
    <w:p w14:paraId="4A803900" w14:textId="77777777" w:rsidR="008E2050" w:rsidRPr="00A94B7C" w:rsidRDefault="008E2050" w:rsidP="008E2050">
      <w:pPr>
        <w:widowControl w:val="0"/>
        <w:tabs>
          <w:tab w:val="left" w:pos="567"/>
        </w:tabs>
        <w:ind w:left="851"/>
        <w:rPr>
          <w:rFonts w:eastAsia="Calibri"/>
          <w:sz w:val="24"/>
          <w:szCs w:val="24"/>
        </w:rPr>
      </w:pPr>
      <w:r w:rsidRPr="00A94B7C">
        <w:rPr>
          <w:sz w:val="24"/>
          <w:szCs w:val="24"/>
        </w:rPr>
        <w:t>For mængden af fortyndingsmiddel, der skal tilsættes til den pædiatriske population, henvises til pkt. 4.2 – Retningslinjer for dosering hos børn. For volumener under 1 ml bør der anvendes en 0,5 ml sprøjte for bedre doseringsnøjagtighed.</w:t>
      </w:r>
    </w:p>
    <w:p w14:paraId="34178420" w14:textId="77777777" w:rsidR="008E2050" w:rsidRPr="00A94B7C" w:rsidRDefault="008E2050" w:rsidP="008E2050">
      <w:pPr>
        <w:widowControl w:val="0"/>
        <w:tabs>
          <w:tab w:val="left" w:pos="567"/>
        </w:tabs>
        <w:ind w:left="851"/>
        <w:rPr>
          <w:rFonts w:eastAsia="Calibri"/>
          <w:sz w:val="24"/>
          <w:szCs w:val="24"/>
        </w:rPr>
      </w:pPr>
    </w:p>
    <w:p w14:paraId="05349246" w14:textId="77777777" w:rsidR="008E2050" w:rsidRPr="00A94B7C" w:rsidRDefault="008E2050" w:rsidP="008E2050">
      <w:pPr>
        <w:widowControl w:val="0"/>
        <w:tabs>
          <w:tab w:val="left" w:pos="567"/>
        </w:tabs>
        <w:ind w:left="851"/>
        <w:rPr>
          <w:rFonts w:eastAsia="Calibri"/>
          <w:sz w:val="24"/>
          <w:szCs w:val="24"/>
          <w:u w:val="single"/>
        </w:rPr>
      </w:pPr>
      <w:r w:rsidRPr="00A94B7C">
        <w:rPr>
          <w:sz w:val="24"/>
          <w:szCs w:val="24"/>
          <w:u w:val="single"/>
        </w:rPr>
        <w:t>Intravenøs infusion</w:t>
      </w:r>
    </w:p>
    <w:p w14:paraId="39CF30CE" w14:textId="77777777" w:rsidR="008E2050" w:rsidRPr="00A94B7C" w:rsidRDefault="008E2050" w:rsidP="008E2050">
      <w:pPr>
        <w:widowControl w:val="0"/>
        <w:tabs>
          <w:tab w:val="left" w:pos="567"/>
        </w:tabs>
        <w:ind w:left="851"/>
        <w:rPr>
          <w:rFonts w:eastAsia="Calibri"/>
          <w:sz w:val="24"/>
          <w:szCs w:val="24"/>
        </w:rPr>
      </w:pPr>
      <w:r w:rsidRPr="00A94B7C">
        <w:rPr>
          <w:sz w:val="24"/>
          <w:szCs w:val="24"/>
        </w:rPr>
        <w:t>Cefazolin "Noridem" skal først rekonstitueres med en af de opløsningsvæsker, der er angivet som kompatible til intravenøs injektion.</w:t>
      </w:r>
    </w:p>
    <w:p w14:paraId="5C901F75" w14:textId="77777777" w:rsidR="008E2050" w:rsidRPr="008E2050" w:rsidRDefault="008E2050" w:rsidP="008E2050">
      <w:pPr>
        <w:widowControl w:val="0"/>
        <w:tabs>
          <w:tab w:val="left" w:pos="567"/>
        </w:tabs>
        <w:ind w:left="851"/>
        <w:rPr>
          <w:rFonts w:eastAsia="Calibri"/>
          <w:sz w:val="24"/>
          <w:szCs w:val="24"/>
        </w:rPr>
      </w:pPr>
      <w:r w:rsidRPr="00A94B7C">
        <w:rPr>
          <w:sz w:val="24"/>
          <w:szCs w:val="24"/>
        </w:rPr>
        <w:t>Yderligere fortynding skal ske med en af følgende kompatible opløsningsvæsker i henhold</w:t>
      </w:r>
      <w:r w:rsidRPr="008E2050">
        <w:rPr>
          <w:sz w:val="24"/>
          <w:szCs w:val="24"/>
        </w:rPr>
        <w:t xml:space="preserve"> </w:t>
      </w:r>
      <w:r w:rsidRPr="008E2050">
        <w:rPr>
          <w:sz w:val="24"/>
          <w:szCs w:val="24"/>
        </w:rPr>
        <w:lastRenderedPageBreak/>
        <w:t>til den efterfølgende fortyndingstabel:</w:t>
      </w:r>
    </w:p>
    <w:p w14:paraId="2F4A5528" w14:textId="77777777" w:rsidR="008E2050" w:rsidRPr="008E2050" w:rsidRDefault="008E2050" w:rsidP="00A94B7C">
      <w:pPr>
        <w:widowControl w:val="0"/>
        <w:numPr>
          <w:ilvl w:val="1"/>
          <w:numId w:val="10"/>
        </w:numPr>
        <w:tabs>
          <w:tab w:val="left" w:pos="1134"/>
        </w:tabs>
        <w:ind w:left="851" w:firstLine="0"/>
        <w:contextualSpacing/>
        <w:rPr>
          <w:rFonts w:eastAsia="Courier New"/>
          <w:sz w:val="24"/>
          <w:szCs w:val="24"/>
        </w:rPr>
      </w:pPr>
      <w:r w:rsidRPr="008E2050">
        <w:rPr>
          <w:sz w:val="24"/>
          <w:szCs w:val="24"/>
        </w:rPr>
        <w:t>Natriumchloridopløsning 0,9 %.</w:t>
      </w:r>
    </w:p>
    <w:p w14:paraId="51B1A60A" w14:textId="77777777" w:rsidR="008E2050" w:rsidRPr="008E2050" w:rsidRDefault="008E2050" w:rsidP="00A94B7C">
      <w:pPr>
        <w:widowControl w:val="0"/>
        <w:numPr>
          <w:ilvl w:val="1"/>
          <w:numId w:val="10"/>
        </w:numPr>
        <w:tabs>
          <w:tab w:val="left" w:pos="1134"/>
        </w:tabs>
        <w:ind w:left="851" w:firstLine="0"/>
        <w:contextualSpacing/>
        <w:rPr>
          <w:rFonts w:eastAsia="Courier New"/>
          <w:sz w:val="24"/>
          <w:szCs w:val="24"/>
        </w:rPr>
      </w:pPr>
      <w:r w:rsidRPr="008E2050">
        <w:rPr>
          <w:sz w:val="24"/>
          <w:szCs w:val="24"/>
        </w:rPr>
        <w:t xml:space="preserve">Glucose 5 %. </w:t>
      </w:r>
    </w:p>
    <w:p w14:paraId="273BA48D" w14:textId="77777777" w:rsidR="008E2050" w:rsidRPr="008E2050" w:rsidRDefault="008E2050" w:rsidP="00A94B7C">
      <w:pPr>
        <w:widowControl w:val="0"/>
        <w:numPr>
          <w:ilvl w:val="1"/>
          <w:numId w:val="10"/>
        </w:numPr>
        <w:tabs>
          <w:tab w:val="left" w:pos="1134"/>
        </w:tabs>
        <w:ind w:left="851" w:firstLine="0"/>
        <w:contextualSpacing/>
        <w:rPr>
          <w:rFonts w:eastAsia="Courier New"/>
          <w:sz w:val="24"/>
          <w:szCs w:val="24"/>
        </w:rPr>
      </w:pPr>
      <w:r w:rsidRPr="008E2050">
        <w:rPr>
          <w:sz w:val="24"/>
          <w:szCs w:val="24"/>
        </w:rPr>
        <w:t>Ringer-opløsning</w:t>
      </w:r>
    </w:p>
    <w:p w14:paraId="362483AC" w14:textId="77777777" w:rsidR="008E2050" w:rsidRPr="008E2050" w:rsidRDefault="008E2050" w:rsidP="00A94B7C">
      <w:pPr>
        <w:widowControl w:val="0"/>
        <w:numPr>
          <w:ilvl w:val="1"/>
          <w:numId w:val="10"/>
        </w:numPr>
        <w:tabs>
          <w:tab w:val="left" w:pos="1134"/>
        </w:tabs>
        <w:ind w:left="851" w:firstLine="0"/>
        <w:contextualSpacing/>
        <w:rPr>
          <w:rFonts w:eastAsia="Courier New"/>
          <w:sz w:val="24"/>
          <w:szCs w:val="24"/>
        </w:rPr>
      </w:pPr>
      <w:r w:rsidRPr="008E2050">
        <w:rPr>
          <w:sz w:val="24"/>
          <w:szCs w:val="24"/>
        </w:rPr>
        <w:t>Ringer-laktatopløsning.</w:t>
      </w:r>
    </w:p>
    <w:p w14:paraId="31DC3E25" w14:textId="77777777" w:rsidR="008E2050" w:rsidRPr="008E2050" w:rsidRDefault="008E2050" w:rsidP="00A94B7C">
      <w:pPr>
        <w:widowControl w:val="0"/>
        <w:numPr>
          <w:ilvl w:val="1"/>
          <w:numId w:val="10"/>
        </w:numPr>
        <w:tabs>
          <w:tab w:val="left" w:pos="1134"/>
        </w:tabs>
        <w:ind w:left="851" w:firstLine="0"/>
        <w:contextualSpacing/>
        <w:rPr>
          <w:rFonts w:eastAsia="Calibri"/>
          <w:sz w:val="24"/>
          <w:szCs w:val="24"/>
        </w:rPr>
      </w:pPr>
      <w:r w:rsidRPr="008E2050">
        <w:rPr>
          <w:sz w:val="24"/>
          <w:szCs w:val="24"/>
        </w:rPr>
        <w:t>Vand til injektionsvæsker.</w:t>
      </w:r>
    </w:p>
    <w:p w14:paraId="6948D10E" w14:textId="77777777" w:rsidR="008E2050" w:rsidRPr="008F08EF" w:rsidRDefault="008E2050" w:rsidP="008E2050">
      <w:pPr>
        <w:widowControl w:val="0"/>
        <w:tabs>
          <w:tab w:val="left" w:pos="567"/>
        </w:tabs>
        <w:rPr>
          <w:rFonts w:eastAsia="Courier New"/>
        </w:rPr>
      </w:pPr>
    </w:p>
    <w:p w14:paraId="2988E818" w14:textId="77777777" w:rsidR="008E2050" w:rsidRPr="00A94B7C" w:rsidRDefault="008E2050" w:rsidP="00A94B7C">
      <w:pPr>
        <w:widowControl w:val="0"/>
        <w:tabs>
          <w:tab w:val="left" w:pos="567"/>
        </w:tabs>
        <w:ind w:left="851"/>
        <w:rPr>
          <w:rFonts w:eastAsia="Calibri"/>
          <w:i/>
          <w:sz w:val="24"/>
          <w:szCs w:val="24"/>
        </w:rPr>
      </w:pPr>
      <w:r w:rsidRPr="00A94B7C">
        <w:rPr>
          <w:i/>
          <w:sz w:val="24"/>
          <w:szCs w:val="24"/>
        </w:rPr>
        <w:t>Fortyndingstabel for intravenøs infusion</w:t>
      </w:r>
    </w:p>
    <w:p w14:paraId="043CAAAD" w14:textId="77777777" w:rsidR="008E2050" w:rsidRPr="008F08EF" w:rsidRDefault="008E2050" w:rsidP="008E2050">
      <w:pPr>
        <w:widowControl w:val="0"/>
        <w:tabs>
          <w:tab w:val="left" w:pos="567"/>
        </w:tabs>
        <w:rPr>
          <w:rFonts w:eastAsia="Calibri"/>
        </w:rPr>
      </w:pPr>
    </w:p>
    <w:tbl>
      <w:tblPr>
        <w:tblStyle w:val="Tabel-Gitter"/>
        <w:tblW w:w="9287" w:type="dxa"/>
        <w:tblInd w:w="846" w:type="dxa"/>
        <w:tblLook w:val="04A0" w:firstRow="1" w:lastRow="0" w:firstColumn="1" w:lastColumn="0" w:noHBand="0" w:noVBand="1"/>
      </w:tblPr>
      <w:tblGrid>
        <w:gridCol w:w="2321"/>
        <w:gridCol w:w="2322"/>
        <w:gridCol w:w="2322"/>
        <w:gridCol w:w="2322"/>
      </w:tblGrid>
      <w:tr w:rsidR="008E2050" w:rsidRPr="008F08EF" w14:paraId="7602686F" w14:textId="77777777" w:rsidTr="00A94B7C">
        <w:tc>
          <w:tcPr>
            <w:tcW w:w="2321" w:type="dxa"/>
          </w:tcPr>
          <w:p w14:paraId="266C6D0A"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Indhold pr. hætteglas</w:t>
            </w:r>
          </w:p>
          <w:p w14:paraId="289FE955" w14:textId="77777777" w:rsidR="008E2050" w:rsidRPr="008F08EF" w:rsidRDefault="008E2050" w:rsidP="00A24D20">
            <w:pPr>
              <w:widowControl w:val="0"/>
              <w:tabs>
                <w:tab w:val="left" w:pos="567"/>
              </w:tabs>
              <w:rPr>
                <w:rFonts w:ascii="Times New Roman" w:eastAsia="Calibri" w:hAnsi="Times New Roman" w:cs="Times New Roman"/>
              </w:rPr>
            </w:pPr>
          </w:p>
        </w:tc>
        <w:tc>
          <w:tcPr>
            <w:tcW w:w="2322" w:type="dxa"/>
          </w:tcPr>
          <w:p w14:paraId="19C72D69"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Rekonstitution</w:t>
            </w:r>
          </w:p>
        </w:tc>
        <w:tc>
          <w:tcPr>
            <w:tcW w:w="2322" w:type="dxa"/>
          </w:tcPr>
          <w:p w14:paraId="0925CC38"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Fortynding</w:t>
            </w:r>
          </w:p>
        </w:tc>
        <w:tc>
          <w:tcPr>
            <w:tcW w:w="2322" w:type="dxa"/>
          </w:tcPr>
          <w:p w14:paraId="0A18473B" w14:textId="77777777" w:rsidR="008E2050" w:rsidRPr="008F08EF" w:rsidRDefault="008E2050" w:rsidP="00A24D20">
            <w:pPr>
              <w:widowControl w:val="0"/>
              <w:tabs>
                <w:tab w:val="left" w:pos="567"/>
              </w:tabs>
              <w:rPr>
                <w:rFonts w:ascii="Times New Roman" w:eastAsia="Calibri" w:hAnsi="Times New Roman" w:cs="Times New Roman"/>
              </w:rPr>
            </w:pPr>
            <w:r w:rsidRPr="008F08EF">
              <w:rPr>
                <w:rFonts w:ascii="Times New Roman" w:hAnsi="Times New Roman"/>
              </w:rPr>
              <w:t>Omtrentlig koncentration</w:t>
            </w:r>
          </w:p>
          <w:p w14:paraId="60714F77" w14:textId="77777777" w:rsidR="008E2050" w:rsidRPr="008F08EF" w:rsidRDefault="008E2050" w:rsidP="00A24D20">
            <w:pPr>
              <w:widowControl w:val="0"/>
              <w:tabs>
                <w:tab w:val="left" w:pos="567"/>
              </w:tabs>
              <w:rPr>
                <w:rFonts w:ascii="Times New Roman" w:eastAsia="Calibri" w:hAnsi="Times New Roman" w:cs="Times New Roman"/>
              </w:rPr>
            </w:pPr>
          </w:p>
        </w:tc>
      </w:tr>
      <w:tr w:rsidR="008E2050" w:rsidRPr="008F08EF" w14:paraId="3BCE0D8A" w14:textId="77777777" w:rsidTr="00A94B7C">
        <w:tc>
          <w:tcPr>
            <w:tcW w:w="2321" w:type="dxa"/>
          </w:tcPr>
          <w:p w14:paraId="556D7338" w14:textId="77777777" w:rsidR="008E2050" w:rsidRPr="00615CE7" w:rsidRDefault="008E2050" w:rsidP="00A24D20">
            <w:pPr>
              <w:widowControl w:val="0"/>
              <w:tabs>
                <w:tab w:val="left" w:pos="567"/>
              </w:tabs>
              <w:rPr>
                <w:rFonts w:ascii="Times New Roman" w:eastAsia="Calibri" w:hAnsi="Times New Roman" w:cs="Times New Roman"/>
              </w:rPr>
            </w:pPr>
          </w:p>
        </w:tc>
        <w:tc>
          <w:tcPr>
            <w:tcW w:w="2322" w:type="dxa"/>
          </w:tcPr>
          <w:p w14:paraId="62E9FFC9"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Mindste mængde fortyndingsmiddel, der skal tilsættes</w:t>
            </w:r>
          </w:p>
          <w:p w14:paraId="4606B70F" w14:textId="77777777" w:rsidR="008E2050" w:rsidRPr="00615CE7" w:rsidRDefault="008E2050" w:rsidP="00A24D20">
            <w:pPr>
              <w:widowControl w:val="0"/>
              <w:tabs>
                <w:tab w:val="left" w:pos="567"/>
              </w:tabs>
              <w:rPr>
                <w:rFonts w:ascii="Times New Roman" w:eastAsia="Calibri" w:hAnsi="Times New Roman" w:cs="Times New Roman"/>
              </w:rPr>
            </w:pPr>
          </w:p>
          <w:p w14:paraId="0AA989A7" w14:textId="77777777" w:rsidR="008E2050" w:rsidRPr="00615CE7" w:rsidRDefault="008E2050" w:rsidP="00A24D20">
            <w:pPr>
              <w:widowControl w:val="0"/>
              <w:tabs>
                <w:tab w:val="left" w:pos="567"/>
              </w:tabs>
              <w:rPr>
                <w:rFonts w:ascii="Times New Roman" w:eastAsia="Calibri" w:hAnsi="Times New Roman" w:cs="Times New Roman"/>
              </w:rPr>
            </w:pPr>
          </w:p>
          <w:p w14:paraId="25127EEC" w14:textId="77777777" w:rsidR="008E2050" w:rsidRPr="00615CE7" w:rsidRDefault="008E2050" w:rsidP="00A24D20">
            <w:pPr>
              <w:widowControl w:val="0"/>
              <w:tabs>
                <w:tab w:val="left" w:pos="567"/>
              </w:tabs>
              <w:rPr>
                <w:rFonts w:ascii="Times New Roman" w:eastAsia="Calibri" w:hAnsi="Times New Roman" w:cs="Times New Roman"/>
              </w:rPr>
            </w:pPr>
          </w:p>
        </w:tc>
        <w:tc>
          <w:tcPr>
            <w:tcW w:w="2322" w:type="dxa"/>
          </w:tcPr>
          <w:p w14:paraId="519BE080"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Mængde fortyndingsmiddel, der skal tilsættes</w:t>
            </w:r>
          </w:p>
          <w:p w14:paraId="64007440" w14:textId="77777777" w:rsidR="008E2050" w:rsidRPr="00615CE7" w:rsidRDefault="008E2050" w:rsidP="00A24D20">
            <w:pPr>
              <w:widowControl w:val="0"/>
              <w:tabs>
                <w:tab w:val="left" w:pos="567"/>
              </w:tabs>
              <w:rPr>
                <w:rFonts w:ascii="Times New Roman" w:eastAsia="Calibri" w:hAnsi="Times New Roman" w:cs="Times New Roman"/>
              </w:rPr>
            </w:pPr>
          </w:p>
          <w:p w14:paraId="0078AEB8" w14:textId="77777777" w:rsidR="008E2050" w:rsidRPr="00615CE7" w:rsidRDefault="008E2050" w:rsidP="00A24D20">
            <w:pPr>
              <w:widowControl w:val="0"/>
              <w:tabs>
                <w:tab w:val="left" w:pos="567"/>
              </w:tabs>
              <w:rPr>
                <w:rFonts w:ascii="Times New Roman" w:eastAsia="Calibri" w:hAnsi="Times New Roman" w:cs="Times New Roman"/>
              </w:rPr>
            </w:pPr>
          </w:p>
        </w:tc>
        <w:tc>
          <w:tcPr>
            <w:tcW w:w="2322" w:type="dxa"/>
          </w:tcPr>
          <w:p w14:paraId="30D378CD" w14:textId="77777777" w:rsidR="008E2050" w:rsidRPr="00615CE7" w:rsidRDefault="008E2050" w:rsidP="00A24D20">
            <w:pPr>
              <w:widowControl w:val="0"/>
              <w:tabs>
                <w:tab w:val="left" w:pos="567"/>
              </w:tabs>
              <w:rPr>
                <w:rFonts w:ascii="Times New Roman" w:eastAsia="Calibri" w:hAnsi="Times New Roman" w:cs="Times New Roman"/>
              </w:rPr>
            </w:pPr>
          </w:p>
        </w:tc>
      </w:tr>
      <w:tr w:rsidR="008E2050" w:rsidRPr="008F08EF" w14:paraId="53128008" w14:textId="77777777" w:rsidTr="00A94B7C">
        <w:tc>
          <w:tcPr>
            <w:tcW w:w="2321" w:type="dxa"/>
          </w:tcPr>
          <w:p w14:paraId="6AEA4DE5"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1 g</w:t>
            </w:r>
          </w:p>
        </w:tc>
        <w:tc>
          <w:tcPr>
            <w:tcW w:w="2322" w:type="dxa"/>
          </w:tcPr>
          <w:p w14:paraId="39BB3BC9"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4 ml</w:t>
            </w:r>
          </w:p>
        </w:tc>
        <w:tc>
          <w:tcPr>
            <w:tcW w:w="2322" w:type="dxa"/>
          </w:tcPr>
          <w:p w14:paraId="5EF14F95"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50 ml</w:t>
            </w:r>
            <w:r w:rsidRPr="00615CE7">
              <w:rPr>
                <w:rFonts w:ascii="Times New Roman" w:hAnsi="Times New Roman"/>
              </w:rPr>
              <w:noBreakHyphen/>
              <w:t>100 ml</w:t>
            </w:r>
          </w:p>
        </w:tc>
        <w:tc>
          <w:tcPr>
            <w:tcW w:w="2322" w:type="dxa"/>
          </w:tcPr>
          <w:p w14:paraId="6A86DE7E"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20 mg/ml</w:t>
            </w:r>
            <w:r w:rsidRPr="00615CE7">
              <w:rPr>
                <w:rFonts w:ascii="Times New Roman" w:hAnsi="Times New Roman"/>
              </w:rPr>
              <w:noBreakHyphen/>
              <w:t>10 mg/ml</w:t>
            </w:r>
          </w:p>
        </w:tc>
      </w:tr>
      <w:tr w:rsidR="008E2050" w:rsidRPr="008F08EF" w14:paraId="4CF3BB5E" w14:textId="77777777" w:rsidTr="00A94B7C">
        <w:tc>
          <w:tcPr>
            <w:tcW w:w="2321" w:type="dxa"/>
          </w:tcPr>
          <w:p w14:paraId="07C6A134" w14:textId="77777777" w:rsidR="008E2050" w:rsidRPr="00A24D20" w:rsidRDefault="008E2050" w:rsidP="00A24D20">
            <w:pPr>
              <w:widowControl w:val="0"/>
              <w:tabs>
                <w:tab w:val="left" w:pos="567"/>
              </w:tabs>
              <w:rPr>
                <w:rFonts w:ascii="Times New Roman" w:eastAsia="Calibri" w:hAnsi="Times New Roman" w:cs="Times New Roman"/>
              </w:rPr>
            </w:pPr>
            <w:r w:rsidRPr="00A24D20">
              <w:rPr>
                <w:rFonts w:ascii="Times New Roman" w:hAnsi="Times New Roman"/>
              </w:rPr>
              <w:t>2 g</w:t>
            </w:r>
          </w:p>
        </w:tc>
        <w:tc>
          <w:tcPr>
            <w:tcW w:w="2322" w:type="dxa"/>
          </w:tcPr>
          <w:p w14:paraId="6A2309C0" w14:textId="77777777" w:rsidR="008E2050" w:rsidRPr="00A24D20" w:rsidRDefault="008E2050" w:rsidP="00A24D20">
            <w:pPr>
              <w:widowControl w:val="0"/>
              <w:tabs>
                <w:tab w:val="left" w:pos="567"/>
              </w:tabs>
              <w:rPr>
                <w:rFonts w:ascii="Times New Roman" w:eastAsia="Calibri" w:hAnsi="Times New Roman" w:cs="Times New Roman"/>
              </w:rPr>
            </w:pPr>
            <w:r w:rsidRPr="00A24D20">
              <w:rPr>
                <w:rFonts w:ascii="Times New Roman" w:hAnsi="Times New Roman"/>
              </w:rPr>
              <w:t>8 ml</w:t>
            </w:r>
          </w:p>
        </w:tc>
        <w:tc>
          <w:tcPr>
            <w:tcW w:w="2322" w:type="dxa"/>
          </w:tcPr>
          <w:p w14:paraId="5D39FDFD" w14:textId="77777777" w:rsidR="008E2050" w:rsidRPr="00A24D20" w:rsidRDefault="008E2050" w:rsidP="00A24D20">
            <w:pPr>
              <w:widowControl w:val="0"/>
              <w:tabs>
                <w:tab w:val="left" w:pos="567"/>
              </w:tabs>
              <w:rPr>
                <w:rFonts w:ascii="Times New Roman" w:eastAsia="Calibri" w:hAnsi="Times New Roman" w:cs="Times New Roman"/>
              </w:rPr>
            </w:pPr>
            <w:r w:rsidRPr="00A24D20">
              <w:rPr>
                <w:rFonts w:ascii="Times New Roman" w:hAnsi="Times New Roman"/>
              </w:rPr>
              <w:t>50 ml</w:t>
            </w:r>
            <w:r w:rsidRPr="00A24D20">
              <w:rPr>
                <w:rFonts w:ascii="Times New Roman" w:hAnsi="Times New Roman"/>
              </w:rPr>
              <w:noBreakHyphen/>
              <w:t>100 ml</w:t>
            </w:r>
          </w:p>
        </w:tc>
        <w:tc>
          <w:tcPr>
            <w:tcW w:w="2322" w:type="dxa"/>
          </w:tcPr>
          <w:p w14:paraId="14D1BAB0" w14:textId="77777777" w:rsidR="008E2050" w:rsidRPr="00615CE7" w:rsidRDefault="008E2050" w:rsidP="00A24D20">
            <w:pPr>
              <w:widowControl w:val="0"/>
              <w:tabs>
                <w:tab w:val="left" w:pos="567"/>
              </w:tabs>
              <w:rPr>
                <w:rFonts w:ascii="Times New Roman" w:eastAsia="Calibri" w:hAnsi="Times New Roman" w:cs="Times New Roman"/>
              </w:rPr>
            </w:pPr>
            <w:r w:rsidRPr="00615CE7">
              <w:rPr>
                <w:rFonts w:ascii="Times New Roman" w:hAnsi="Times New Roman"/>
              </w:rPr>
              <w:t>40 mg/ml</w:t>
            </w:r>
            <w:r w:rsidRPr="00615CE7">
              <w:rPr>
                <w:rFonts w:ascii="Times New Roman" w:hAnsi="Times New Roman"/>
              </w:rPr>
              <w:noBreakHyphen/>
              <w:t>20 mg/ml</w:t>
            </w:r>
          </w:p>
        </w:tc>
      </w:tr>
    </w:tbl>
    <w:p w14:paraId="3D67DF4A" w14:textId="77777777" w:rsidR="008E2050" w:rsidRPr="008E2050" w:rsidRDefault="008E2050" w:rsidP="008E2050">
      <w:pPr>
        <w:widowControl w:val="0"/>
        <w:tabs>
          <w:tab w:val="left" w:pos="567"/>
        </w:tabs>
        <w:ind w:left="851"/>
        <w:rPr>
          <w:rFonts w:eastAsia="Calibri"/>
          <w:sz w:val="24"/>
          <w:szCs w:val="24"/>
        </w:rPr>
      </w:pPr>
    </w:p>
    <w:p w14:paraId="54EDE110"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For cefazolin 2 g: Hvis der er behov for mindre doser, anbefales det at anvende halvdelen af den rekonstituerede opløsning (ca. 4 ml med 1 g cefazolin; dvs. halvdelen af hætteglassets indhold) og tilsætte en kompatibel fortyndingsvæske til et slutvolumen på 100 ml (resulterende koncentration ca. 10 mg/ml). Den nødvendige mængde af denne fortyndede opløsning kan derefter administreres til patienten over den ordinerede tid.</w:t>
      </w:r>
    </w:p>
    <w:p w14:paraId="44E01215" w14:textId="77777777" w:rsidR="008E2050" w:rsidRPr="008E2050" w:rsidRDefault="008E2050" w:rsidP="008E2050">
      <w:pPr>
        <w:widowControl w:val="0"/>
        <w:tabs>
          <w:tab w:val="left" w:pos="567"/>
        </w:tabs>
        <w:ind w:left="851"/>
        <w:rPr>
          <w:rFonts w:eastAsia="Calibri"/>
          <w:i/>
          <w:sz w:val="24"/>
          <w:szCs w:val="24"/>
        </w:rPr>
      </w:pPr>
    </w:p>
    <w:p w14:paraId="63227F5A"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Cefazolin "Noridem"-opløsninger, der indeholder lidocain, må aldrig administreres intravenøst.</w:t>
      </w:r>
    </w:p>
    <w:p w14:paraId="3D7C83BA" w14:textId="77777777" w:rsidR="008E2050" w:rsidRPr="008E2050" w:rsidRDefault="008E2050" w:rsidP="008E2050">
      <w:pPr>
        <w:widowControl w:val="0"/>
        <w:tabs>
          <w:tab w:val="left" w:pos="567"/>
        </w:tabs>
        <w:ind w:left="851"/>
        <w:rPr>
          <w:rFonts w:eastAsia="Courier New"/>
          <w:sz w:val="24"/>
          <w:szCs w:val="24"/>
        </w:rPr>
      </w:pPr>
    </w:p>
    <w:p w14:paraId="6CD63CDA"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Som for alle parenterale lægemidler skal den rekonstituerede opløsning inspiceres visuelt for synlige partikler og misfarvning før administration. Opløsningen må kun anvendes, hvis den er klar og så godt som fri for partikler.</w:t>
      </w:r>
    </w:p>
    <w:p w14:paraId="71E95F91" w14:textId="77777777" w:rsidR="008E2050" w:rsidRPr="008E2050" w:rsidRDefault="008E2050" w:rsidP="008E2050">
      <w:pPr>
        <w:widowControl w:val="0"/>
        <w:tabs>
          <w:tab w:val="left" w:pos="567"/>
        </w:tabs>
        <w:ind w:left="851"/>
        <w:rPr>
          <w:rFonts w:eastAsia="Calibri"/>
          <w:sz w:val="24"/>
          <w:szCs w:val="24"/>
        </w:rPr>
      </w:pPr>
    </w:p>
    <w:p w14:paraId="21043EEE" w14:textId="77777777" w:rsidR="008E2050" w:rsidRPr="008E2050" w:rsidRDefault="008E2050" w:rsidP="008E2050">
      <w:pPr>
        <w:widowControl w:val="0"/>
        <w:tabs>
          <w:tab w:val="left" w:pos="567"/>
        </w:tabs>
        <w:ind w:left="851"/>
        <w:rPr>
          <w:rFonts w:eastAsia="Calibri"/>
          <w:sz w:val="24"/>
          <w:szCs w:val="24"/>
        </w:rPr>
      </w:pPr>
      <w:r w:rsidRPr="008E2050">
        <w:rPr>
          <w:sz w:val="24"/>
          <w:szCs w:val="24"/>
        </w:rPr>
        <w:t xml:space="preserve">Det rekonstituerede produkt er kun til engangsbrug. </w:t>
      </w:r>
    </w:p>
    <w:p w14:paraId="3AEEF0AD" w14:textId="77777777" w:rsidR="008E2050" w:rsidRPr="008E2050" w:rsidRDefault="008E2050" w:rsidP="008E2050">
      <w:pPr>
        <w:widowControl w:val="0"/>
        <w:tabs>
          <w:tab w:val="left" w:pos="567"/>
        </w:tabs>
        <w:ind w:left="851"/>
        <w:rPr>
          <w:rFonts w:eastAsia="Courier New"/>
          <w:sz w:val="24"/>
          <w:szCs w:val="24"/>
        </w:rPr>
      </w:pPr>
    </w:p>
    <w:p w14:paraId="7B93E9DF" w14:textId="77777777" w:rsidR="008E2050" w:rsidRPr="008E2050" w:rsidRDefault="008E2050" w:rsidP="008E2050">
      <w:pPr>
        <w:widowControl w:val="0"/>
        <w:tabs>
          <w:tab w:val="left" w:pos="567"/>
        </w:tabs>
        <w:ind w:left="851"/>
        <w:rPr>
          <w:rFonts w:eastAsia="Courier New"/>
          <w:sz w:val="24"/>
          <w:szCs w:val="24"/>
        </w:rPr>
      </w:pPr>
      <w:r w:rsidRPr="008E2050">
        <w:rPr>
          <w:sz w:val="24"/>
          <w:szCs w:val="24"/>
        </w:rPr>
        <w:t>Ikke anvendt lægemiddel samt affald heraf skal bortskaffes i henhold til lokale retningslinjer.</w:t>
      </w:r>
    </w:p>
    <w:p w14:paraId="748005B9" w14:textId="77777777" w:rsidR="008E2050" w:rsidRPr="008E2050" w:rsidRDefault="008E2050" w:rsidP="008E2050">
      <w:pPr>
        <w:widowControl w:val="0"/>
        <w:tabs>
          <w:tab w:val="left" w:pos="567"/>
        </w:tabs>
        <w:ind w:left="851"/>
        <w:rPr>
          <w:rFonts w:eastAsia="Courier New"/>
          <w:sz w:val="24"/>
          <w:szCs w:val="24"/>
        </w:rPr>
      </w:pPr>
    </w:p>
    <w:p w14:paraId="565823DE" w14:textId="77777777" w:rsidR="009260DE" w:rsidRPr="00C84483" w:rsidRDefault="009260DE" w:rsidP="00955704">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1F154D5" w14:textId="77777777" w:rsidR="000900B3" w:rsidRPr="00AC75D5" w:rsidRDefault="000900B3" w:rsidP="000900B3">
      <w:pPr>
        <w:tabs>
          <w:tab w:val="left" w:pos="851"/>
        </w:tabs>
        <w:ind w:left="851"/>
        <w:rPr>
          <w:sz w:val="24"/>
          <w:szCs w:val="24"/>
        </w:rPr>
      </w:pPr>
      <w:r w:rsidRPr="00AC75D5">
        <w:rPr>
          <w:sz w:val="24"/>
          <w:szCs w:val="24"/>
        </w:rPr>
        <w:t>Noridem Enterprises Limited</w:t>
      </w:r>
    </w:p>
    <w:p w14:paraId="7250385B" w14:textId="77777777" w:rsidR="000900B3" w:rsidRPr="000900B3" w:rsidRDefault="000900B3" w:rsidP="000900B3">
      <w:pPr>
        <w:tabs>
          <w:tab w:val="left" w:pos="851"/>
        </w:tabs>
        <w:ind w:left="851"/>
        <w:rPr>
          <w:sz w:val="24"/>
          <w:szCs w:val="24"/>
          <w:lang w:val="en-US"/>
        </w:rPr>
      </w:pPr>
      <w:r w:rsidRPr="000900B3">
        <w:rPr>
          <w:sz w:val="24"/>
          <w:szCs w:val="24"/>
          <w:lang w:val="en-US"/>
        </w:rPr>
        <w:t>Evagorou &amp; Makariou</w:t>
      </w:r>
    </w:p>
    <w:p w14:paraId="0A8EF81E" w14:textId="77777777" w:rsidR="000900B3" w:rsidRPr="000900B3" w:rsidRDefault="000900B3" w:rsidP="000900B3">
      <w:pPr>
        <w:tabs>
          <w:tab w:val="left" w:pos="851"/>
        </w:tabs>
        <w:ind w:left="851"/>
        <w:rPr>
          <w:sz w:val="24"/>
          <w:szCs w:val="24"/>
          <w:lang w:val="en-US"/>
        </w:rPr>
      </w:pPr>
      <w:r w:rsidRPr="000900B3">
        <w:rPr>
          <w:sz w:val="24"/>
          <w:szCs w:val="24"/>
          <w:lang w:val="en-US"/>
        </w:rPr>
        <w:t>Mitsi Building 3, Office 115</w:t>
      </w:r>
    </w:p>
    <w:p w14:paraId="29D15085" w14:textId="77777777" w:rsidR="000900B3" w:rsidRPr="000900B3" w:rsidRDefault="000900B3" w:rsidP="000900B3">
      <w:pPr>
        <w:tabs>
          <w:tab w:val="left" w:pos="851"/>
        </w:tabs>
        <w:ind w:left="851"/>
        <w:rPr>
          <w:sz w:val="24"/>
          <w:szCs w:val="24"/>
          <w:lang w:val="de-AT"/>
        </w:rPr>
      </w:pPr>
      <w:r w:rsidRPr="000900B3">
        <w:rPr>
          <w:sz w:val="24"/>
          <w:szCs w:val="24"/>
          <w:lang w:val="de-AT"/>
        </w:rPr>
        <w:t xml:space="preserve">1065 Nicosia </w:t>
      </w:r>
    </w:p>
    <w:p w14:paraId="5E0ACBF1" w14:textId="77777777" w:rsidR="000900B3" w:rsidRPr="000900B3" w:rsidRDefault="000900B3" w:rsidP="000900B3">
      <w:pPr>
        <w:tabs>
          <w:tab w:val="left" w:pos="851"/>
        </w:tabs>
        <w:ind w:left="851"/>
        <w:rPr>
          <w:sz w:val="24"/>
          <w:szCs w:val="24"/>
          <w:lang w:val="de-AT"/>
        </w:rPr>
      </w:pPr>
      <w:r w:rsidRPr="000900B3">
        <w:rPr>
          <w:sz w:val="24"/>
          <w:szCs w:val="24"/>
          <w:lang w:val="de-AT"/>
        </w:rPr>
        <w:t>Cypern</w:t>
      </w:r>
    </w:p>
    <w:p w14:paraId="5F3EBD48" w14:textId="77777777" w:rsidR="000900B3" w:rsidRPr="000900B3" w:rsidRDefault="000900B3" w:rsidP="000900B3">
      <w:pPr>
        <w:tabs>
          <w:tab w:val="left" w:pos="851"/>
        </w:tabs>
        <w:ind w:left="851"/>
        <w:rPr>
          <w:sz w:val="24"/>
          <w:szCs w:val="24"/>
          <w:lang w:val="de-AT"/>
        </w:rPr>
      </w:pPr>
    </w:p>
    <w:p w14:paraId="04F0601B" w14:textId="77777777" w:rsidR="000900B3" w:rsidRPr="000900B3" w:rsidRDefault="000900B3" w:rsidP="000900B3">
      <w:pPr>
        <w:tabs>
          <w:tab w:val="left" w:pos="851"/>
        </w:tabs>
        <w:ind w:left="851"/>
        <w:rPr>
          <w:sz w:val="24"/>
          <w:szCs w:val="24"/>
          <w:lang w:val="de-AT"/>
        </w:rPr>
      </w:pPr>
      <w:r w:rsidRPr="000900B3">
        <w:rPr>
          <w:b/>
          <w:sz w:val="24"/>
          <w:szCs w:val="24"/>
          <w:lang w:val="de-AT"/>
        </w:rPr>
        <w:t>Repræsentant</w:t>
      </w:r>
    </w:p>
    <w:p w14:paraId="14A3A355" w14:textId="77777777" w:rsidR="000900B3" w:rsidRPr="000900B3" w:rsidRDefault="000900B3" w:rsidP="000900B3">
      <w:pPr>
        <w:tabs>
          <w:tab w:val="left" w:pos="851"/>
        </w:tabs>
        <w:ind w:left="851"/>
        <w:rPr>
          <w:sz w:val="24"/>
          <w:szCs w:val="24"/>
          <w:lang w:val="sv-SE"/>
        </w:rPr>
      </w:pPr>
      <w:r w:rsidRPr="000900B3">
        <w:rPr>
          <w:sz w:val="24"/>
          <w:szCs w:val="24"/>
          <w:lang w:val="sv-SE"/>
        </w:rPr>
        <w:t>FrostPharma AB</w:t>
      </w:r>
    </w:p>
    <w:p w14:paraId="64BDBE35" w14:textId="77777777" w:rsidR="000900B3" w:rsidRPr="000900B3" w:rsidRDefault="000900B3" w:rsidP="000900B3">
      <w:pPr>
        <w:tabs>
          <w:tab w:val="left" w:pos="851"/>
        </w:tabs>
        <w:ind w:left="851"/>
        <w:rPr>
          <w:sz w:val="24"/>
          <w:szCs w:val="24"/>
          <w:lang w:val="sv-SE"/>
        </w:rPr>
      </w:pPr>
      <w:r w:rsidRPr="000900B3">
        <w:rPr>
          <w:sz w:val="24"/>
          <w:szCs w:val="24"/>
          <w:lang w:val="sv-SE"/>
        </w:rPr>
        <w:t>Berga Backe 2</w:t>
      </w:r>
    </w:p>
    <w:p w14:paraId="5E36D849" w14:textId="77777777" w:rsidR="000900B3" w:rsidRPr="000900B3" w:rsidRDefault="000900B3" w:rsidP="000900B3">
      <w:pPr>
        <w:tabs>
          <w:tab w:val="left" w:pos="851"/>
        </w:tabs>
        <w:ind w:left="851"/>
        <w:rPr>
          <w:sz w:val="24"/>
          <w:szCs w:val="24"/>
        </w:rPr>
      </w:pPr>
      <w:r w:rsidRPr="000900B3">
        <w:rPr>
          <w:sz w:val="24"/>
          <w:szCs w:val="24"/>
        </w:rPr>
        <w:t>182 53 Danderyd</w:t>
      </w:r>
    </w:p>
    <w:p w14:paraId="79144AF9" w14:textId="77777777" w:rsidR="000900B3" w:rsidRPr="000900B3" w:rsidRDefault="000900B3" w:rsidP="000900B3">
      <w:pPr>
        <w:tabs>
          <w:tab w:val="left" w:pos="851"/>
        </w:tabs>
        <w:ind w:left="851"/>
        <w:rPr>
          <w:sz w:val="24"/>
          <w:szCs w:val="24"/>
        </w:rPr>
      </w:pPr>
      <w:r w:rsidRPr="000900B3">
        <w:rPr>
          <w:sz w:val="24"/>
          <w:szCs w:val="24"/>
        </w:rPr>
        <w:t>Sverige</w:t>
      </w:r>
    </w:p>
    <w:p w14:paraId="141B115F" w14:textId="77777777" w:rsidR="00641C65" w:rsidRPr="00641C65" w:rsidRDefault="00641C65" w:rsidP="00955704">
      <w:pPr>
        <w:tabs>
          <w:tab w:val="left" w:pos="851"/>
        </w:tabs>
        <w:ind w:left="851"/>
        <w:rPr>
          <w:sz w:val="24"/>
          <w:szCs w:val="24"/>
        </w:rPr>
      </w:pPr>
    </w:p>
    <w:p w14:paraId="6D762BAC" w14:textId="77777777" w:rsidR="009260DE" w:rsidRPr="00C84483" w:rsidRDefault="009260DE" w:rsidP="00955704">
      <w:pPr>
        <w:tabs>
          <w:tab w:val="left" w:pos="851"/>
        </w:tabs>
        <w:ind w:left="851" w:hanging="851"/>
        <w:rPr>
          <w:b/>
          <w:sz w:val="24"/>
          <w:szCs w:val="24"/>
        </w:rPr>
      </w:pPr>
      <w:r w:rsidRPr="00C84483">
        <w:rPr>
          <w:b/>
          <w:sz w:val="24"/>
          <w:szCs w:val="24"/>
        </w:rPr>
        <w:lastRenderedPageBreak/>
        <w:t>8.</w:t>
      </w:r>
      <w:r w:rsidRPr="00C84483">
        <w:rPr>
          <w:b/>
          <w:sz w:val="24"/>
          <w:szCs w:val="24"/>
        </w:rPr>
        <w:tab/>
        <w:t>MARKEDSFØRINGSTILLADELSESNUMMER (</w:t>
      </w:r>
      <w:r w:rsidR="00BF6243">
        <w:rPr>
          <w:b/>
          <w:sz w:val="24"/>
          <w:szCs w:val="24"/>
        </w:rPr>
        <w:t>-</w:t>
      </w:r>
      <w:r w:rsidRPr="00C84483">
        <w:rPr>
          <w:b/>
          <w:sz w:val="24"/>
          <w:szCs w:val="24"/>
        </w:rPr>
        <w:t>NUMRE)</w:t>
      </w:r>
    </w:p>
    <w:p w14:paraId="69764E3B" w14:textId="4EBAE0C0" w:rsidR="009260DE" w:rsidRDefault="000900B3" w:rsidP="00955704">
      <w:pPr>
        <w:tabs>
          <w:tab w:val="left" w:pos="851"/>
        </w:tabs>
        <w:ind w:left="851"/>
        <w:rPr>
          <w:sz w:val="24"/>
          <w:szCs w:val="24"/>
        </w:rPr>
      </w:pPr>
      <w:r>
        <w:rPr>
          <w:sz w:val="24"/>
          <w:szCs w:val="24"/>
        </w:rPr>
        <w:t>1 g:</w:t>
      </w:r>
      <w:r>
        <w:rPr>
          <w:sz w:val="24"/>
          <w:szCs w:val="24"/>
        </w:rPr>
        <w:tab/>
        <w:t>73295</w:t>
      </w:r>
    </w:p>
    <w:p w14:paraId="55F1A4A8" w14:textId="3BC4713E" w:rsidR="000900B3" w:rsidRPr="00C84483" w:rsidRDefault="000900B3" w:rsidP="00955704">
      <w:pPr>
        <w:tabs>
          <w:tab w:val="left" w:pos="851"/>
        </w:tabs>
        <w:ind w:left="851"/>
        <w:rPr>
          <w:sz w:val="24"/>
          <w:szCs w:val="24"/>
        </w:rPr>
      </w:pPr>
      <w:r>
        <w:rPr>
          <w:sz w:val="24"/>
          <w:szCs w:val="24"/>
        </w:rPr>
        <w:t>2 g:</w:t>
      </w:r>
      <w:r>
        <w:rPr>
          <w:sz w:val="24"/>
          <w:szCs w:val="24"/>
        </w:rPr>
        <w:tab/>
        <w:t>73296</w:t>
      </w:r>
    </w:p>
    <w:p w14:paraId="7AA42B3C" w14:textId="77777777" w:rsidR="009260DE" w:rsidRPr="00C84483" w:rsidRDefault="009260DE" w:rsidP="00955704">
      <w:pPr>
        <w:tabs>
          <w:tab w:val="left" w:pos="851"/>
        </w:tabs>
        <w:ind w:left="851"/>
        <w:jc w:val="both"/>
        <w:rPr>
          <w:sz w:val="24"/>
          <w:szCs w:val="24"/>
        </w:rPr>
      </w:pPr>
    </w:p>
    <w:p w14:paraId="071B9C07" w14:textId="77777777" w:rsidR="009260DE" w:rsidRPr="00C84483" w:rsidRDefault="009260DE" w:rsidP="00955704">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93D7C81" w14:textId="4E4BD9E1" w:rsidR="009260DE" w:rsidRPr="00C84483" w:rsidRDefault="00AC75D5" w:rsidP="00955704">
      <w:pPr>
        <w:tabs>
          <w:tab w:val="left" w:pos="851"/>
        </w:tabs>
        <w:ind w:left="851"/>
        <w:rPr>
          <w:sz w:val="24"/>
          <w:szCs w:val="24"/>
        </w:rPr>
      </w:pPr>
      <w:r>
        <w:rPr>
          <w:sz w:val="24"/>
          <w:szCs w:val="24"/>
        </w:rPr>
        <w:t>28. januar 2026</w:t>
      </w:r>
    </w:p>
    <w:p w14:paraId="56DE3109" w14:textId="77777777" w:rsidR="009260DE" w:rsidRPr="00C84483" w:rsidRDefault="009260DE" w:rsidP="00955704">
      <w:pPr>
        <w:tabs>
          <w:tab w:val="left" w:pos="851"/>
        </w:tabs>
        <w:ind w:left="851"/>
        <w:rPr>
          <w:sz w:val="24"/>
          <w:szCs w:val="24"/>
        </w:rPr>
      </w:pPr>
    </w:p>
    <w:p w14:paraId="250C0DBF" w14:textId="77777777" w:rsidR="009260DE" w:rsidRPr="00C84483" w:rsidRDefault="009260DE" w:rsidP="00955704">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A782C4E" w14:textId="1BB9B4B5" w:rsidR="009260DE" w:rsidRPr="00C84483" w:rsidRDefault="000900B3" w:rsidP="00955704">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D343" w14:textId="77777777" w:rsidR="00F33F78" w:rsidRDefault="00F33F78">
      <w:r>
        <w:separator/>
      </w:r>
    </w:p>
  </w:endnote>
  <w:endnote w:type="continuationSeparator" w:id="0">
    <w:p w14:paraId="159FDA2C" w14:textId="77777777" w:rsidR="00F33F78" w:rsidRDefault="00F3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4BFE" w14:textId="77777777" w:rsidR="000259B9" w:rsidRDefault="000259B9">
    <w:pPr>
      <w:pStyle w:val="Sidefod"/>
      <w:pBdr>
        <w:bottom w:val="single" w:sz="6" w:space="1" w:color="auto"/>
      </w:pBdr>
    </w:pPr>
  </w:p>
  <w:p w14:paraId="3EF0509A" w14:textId="77777777" w:rsidR="000259B9" w:rsidRDefault="000259B9" w:rsidP="00C42586">
    <w:pPr>
      <w:pStyle w:val="Sidefod"/>
      <w:tabs>
        <w:tab w:val="clear" w:pos="4819"/>
        <w:tab w:val="left" w:pos="8505"/>
      </w:tabs>
      <w:rPr>
        <w:i/>
        <w:sz w:val="18"/>
        <w:szCs w:val="18"/>
      </w:rPr>
    </w:pPr>
  </w:p>
  <w:p w14:paraId="2450EB34" w14:textId="0C11E32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33FCE">
      <w:rPr>
        <w:i/>
        <w:noProof/>
        <w:sz w:val="18"/>
        <w:szCs w:val="18"/>
      </w:rPr>
      <w:t>Cefazolin Noridem, pulver til injektions--infusionsvæske, opløsning 1 g og 2 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E508" w14:textId="77777777" w:rsidR="00F33F78" w:rsidRDefault="00F33F78">
      <w:r>
        <w:separator/>
      </w:r>
    </w:p>
  </w:footnote>
  <w:footnote w:type="continuationSeparator" w:id="0">
    <w:p w14:paraId="5052BD4B" w14:textId="77777777" w:rsidR="00F33F78" w:rsidRDefault="00F33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186458D"/>
    <w:multiLevelType w:val="hybridMultilevel"/>
    <w:tmpl w:val="0C009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A64E93"/>
    <w:multiLevelType w:val="hybridMultilevel"/>
    <w:tmpl w:val="54B28F42"/>
    <w:lvl w:ilvl="0" w:tplc="591C0C4E">
      <w:start w:val="1"/>
      <w:numFmt w:val="bullet"/>
      <w:lvlText w:val=""/>
      <w:lvlJc w:val="left"/>
      <w:pPr>
        <w:ind w:left="770" w:hanging="360"/>
      </w:pPr>
      <w:rPr>
        <w:rFonts w:ascii="Wingdings" w:hAnsi="Wingdings" w:hint="default"/>
      </w:rPr>
    </w:lvl>
    <w:lvl w:ilvl="1" w:tplc="FFFFFFFF">
      <w:numFmt w:val="bullet"/>
      <w:lvlText w:val="-"/>
      <w:lvlJc w:val="left"/>
      <w:pPr>
        <w:ind w:left="1490" w:hanging="360"/>
      </w:pPr>
      <w:rPr>
        <w:rFonts w:ascii="Times New Roman" w:hAnsi="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7B73E81"/>
    <w:multiLevelType w:val="hybridMultilevel"/>
    <w:tmpl w:val="221E2928"/>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F6FCF"/>
    <w:multiLevelType w:val="hybridMultilevel"/>
    <w:tmpl w:val="63BA37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9B6538"/>
    <w:multiLevelType w:val="hybridMultilevel"/>
    <w:tmpl w:val="A38223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6F77B0D"/>
    <w:multiLevelType w:val="hybridMultilevel"/>
    <w:tmpl w:val="D61ED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2B5D59"/>
    <w:multiLevelType w:val="hybridMultilevel"/>
    <w:tmpl w:val="44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B693B"/>
    <w:multiLevelType w:val="hybridMultilevel"/>
    <w:tmpl w:val="AB62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11"/>
  </w:num>
  <w:num w:numId="10">
    <w:abstractNumId w:val="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78"/>
    <w:rsid w:val="000259B9"/>
    <w:rsid w:val="00041491"/>
    <w:rsid w:val="00050D16"/>
    <w:rsid w:val="000730CA"/>
    <w:rsid w:val="00074F2A"/>
    <w:rsid w:val="00086F85"/>
    <w:rsid w:val="000900B3"/>
    <w:rsid w:val="000A1CA8"/>
    <w:rsid w:val="000A466B"/>
    <w:rsid w:val="000B058C"/>
    <w:rsid w:val="000D68B0"/>
    <w:rsid w:val="000E4EE6"/>
    <w:rsid w:val="001454E2"/>
    <w:rsid w:val="00206CE8"/>
    <w:rsid w:val="0021526C"/>
    <w:rsid w:val="00233FCE"/>
    <w:rsid w:val="00283A2B"/>
    <w:rsid w:val="002B30AD"/>
    <w:rsid w:val="002C1EC0"/>
    <w:rsid w:val="002C2C01"/>
    <w:rsid w:val="003A29AE"/>
    <w:rsid w:val="003A32D7"/>
    <w:rsid w:val="003B4074"/>
    <w:rsid w:val="003C769A"/>
    <w:rsid w:val="003D3A90"/>
    <w:rsid w:val="003F1838"/>
    <w:rsid w:val="004251C1"/>
    <w:rsid w:val="004566BB"/>
    <w:rsid w:val="0045746C"/>
    <w:rsid w:val="0049104B"/>
    <w:rsid w:val="004B1404"/>
    <w:rsid w:val="004D68BA"/>
    <w:rsid w:val="004E3B12"/>
    <w:rsid w:val="00502279"/>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C214E"/>
    <w:rsid w:val="00800E93"/>
    <w:rsid w:val="0082576E"/>
    <w:rsid w:val="0089346F"/>
    <w:rsid w:val="008E2050"/>
    <w:rsid w:val="00907F75"/>
    <w:rsid w:val="009260DE"/>
    <w:rsid w:val="0093258A"/>
    <w:rsid w:val="00955704"/>
    <w:rsid w:val="00983F3F"/>
    <w:rsid w:val="009C7BA3"/>
    <w:rsid w:val="009D1F5A"/>
    <w:rsid w:val="00A10294"/>
    <w:rsid w:val="00A94B7C"/>
    <w:rsid w:val="00AC75D5"/>
    <w:rsid w:val="00B003BF"/>
    <w:rsid w:val="00B373D7"/>
    <w:rsid w:val="00B55271"/>
    <w:rsid w:val="00BD7931"/>
    <w:rsid w:val="00BF0A7C"/>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565A"/>
    <w:rsid w:val="00E108AA"/>
    <w:rsid w:val="00E3749A"/>
    <w:rsid w:val="00E7437F"/>
    <w:rsid w:val="00E865B8"/>
    <w:rsid w:val="00EC0B9B"/>
    <w:rsid w:val="00ED5E9F"/>
    <w:rsid w:val="00F33F78"/>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E59FA"/>
  <w15:chartTrackingRefBased/>
  <w15:docId w15:val="{4BA61338-FFEF-4820-9225-0318C62E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39"/>
    <w:rsid w:val="00233FCE"/>
    <w:rPr>
      <w:rFonts w:asciiTheme="minorHAnsi" w:eastAsiaTheme="minorHAnsi" w:hAnsiTheme="minorHAnsi" w:cstheme="minorBid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33FCE"/>
    <w:pPr>
      <w:spacing w:after="160" w:line="259" w:lineRule="auto"/>
      <w:ind w:left="720"/>
      <w:contextualSpacing/>
    </w:pPr>
    <w:rPr>
      <w:rFonts w:asciiTheme="minorHAnsi" w:eastAsiaTheme="minorHAnsi" w:hAnsiTheme="minorHAnsi" w:cstheme="minorBidi"/>
      <w:sz w:val="22"/>
      <w:szCs w:val="22"/>
      <w:lang w:eastAsia="en-GB" w:bidi="en-GB"/>
    </w:rPr>
  </w:style>
  <w:style w:type="character" w:customStyle="1" w:styleId="Bodytext2Italic">
    <w:name w:val="Body text (2) + Italic"/>
    <w:basedOn w:val="Standardskrifttypeiafsnit"/>
    <w:rsid w:val="00983F3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da-DK" w:eastAsia="en-US" w:bidi="en-US"/>
    </w:rPr>
  </w:style>
  <w:style w:type="character" w:styleId="Hyperlink">
    <w:name w:val="Hyperlink"/>
    <w:basedOn w:val="Standardskrifttypeiafsnit"/>
    <w:uiPriority w:val="99"/>
    <w:unhideWhenUsed/>
    <w:rsid w:val="00983F3F"/>
    <w:rPr>
      <w:color w:val="0563C1" w:themeColor="hyperlink"/>
      <w:u w:val="single"/>
    </w:rPr>
  </w:style>
  <w:style w:type="character" w:customStyle="1" w:styleId="Bodytext2">
    <w:name w:val="Body text (2)_"/>
    <w:basedOn w:val="Standardskrifttypeiafsnit"/>
    <w:link w:val="Bodytext20"/>
    <w:rsid w:val="00DF565A"/>
    <w:rPr>
      <w:shd w:val="clear" w:color="auto" w:fill="FFFFFF"/>
    </w:rPr>
  </w:style>
  <w:style w:type="paragraph" w:customStyle="1" w:styleId="Bodytext20">
    <w:name w:val="Body text (2)"/>
    <w:basedOn w:val="Normal"/>
    <w:link w:val="Bodytext2"/>
    <w:rsid w:val="00DF565A"/>
    <w:pPr>
      <w:widowControl w:val="0"/>
      <w:shd w:val="clear" w:color="auto" w:fill="FFFFFF"/>
      <w:spacing w:before="260" w:after="480" w:line="222" w:lineRule="exact"/>
      <w:ind w:hanging="580"/>
      <w:jc w:val="both"/>
    </w:pPr>
    <w:rPr>
      <w:sz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810177983">
      <w:bodyDiv w:val="1"/>
      <w:marLeft w:val="0"/>
      <w:marRight w:val="0"/>
      <w:marTop w:val="0"/>
      <w:marBottom w:val="0"/>
      <w:divBdr>
        <w:top w:val="none" w:sz="0" w:space="0" w:color="auto"/>
        <w:left w:val="none" w:sz="0" w:space="0" w:color="auto"/>
        <w:bottom w:val="none" w:sz="0" w:space="0" w:color="auto"/>
        <w:right w:val="none" w:sz="0" w:space="0" w:color="auto"/>
      </w:divBdr>
    </w:div>
    <w:div w:id="8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54</TotalTime>
  <Pages>18</Pages>
  <Words>4930</Words>
  <Characters>32276</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2025020260 mt</dc:description>
  <cp:lastModifiedBy>Hanne Thy Iversen</cp:lastModifiedBy>
  <cp:revision>13</cp:revision>
  <cp:lastPrinted>2012-08-22T08:53:00Z</cp:lastPrinted>
  <dcterms:created xsi:type="dcterms:W3CDTF">2026-01-27T09:46:00Z</dcterms:created>
  <dcterms:modified xsi:type="dcterms:W3CDTF">2026-01-28T10:09:00Z</dcterms:modified>
</cp:coreProperties>
</file>