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A8C43" w14:textId="77777777"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1FD1C76E" wp14:editId="4DDC7E6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5DCCAE4E" w14:textId="1F5E1705"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DA52BE">
        <w:rPr>
          <w:szCs w:val="24"/>
        </w:rPr>
        <w:t>7. maj 2025</w:t>
      </w:r>
    </w:p>
    <w:p w14:paraId="1047E139" w14:textId="77777777" w:rsidR="009260DE" w:rsidRPr="00C84483" w:rsidRDefault="009260DE" w:rsidP="009260DE">
      <w:pPr>
        <w:pStyle w:val="Titel"/>
        <w:tabs>
          <w:tab w:val="left" w:pos="8222"/>
        </w:tabs>
        <w:jc w:val="left"/>
        <w:rPr>
          <w:b w:val="0"/>
          <w:szCs w:val="24"/>
        </w:rPr>
      </w:pPr>
    </w:p>
    <w:p w14:paraId="3097F6FD" w14:textId="77777777" w:rsidR="009260DE" w:rsidRPr="00C84483" w:rsidRDefault="009260DE" w:rsidP="009260DE">
      <w:pPr>
        <w:pStyle w:val="Titel"/>
        <w:jc w:val="left"/>
        <w:rPr>
          <w:b w:val="0"/>
          <w:szCs w:val="24"/>
        </w:rPr>
      </w:pPr>
    </w:p>
    <w:p w14:paraId="50EB12FD" w14:textId="77777777" w:rsidR="009260DE" w:rsidRPr="00C84483" w:rsidRDefault="009260DE" w:rsidP="009260DE">
      <w:pPr>
        <w:pStyle w:val="Titel"/>
        <w:jc w:val="left"/>
        <w:rPr>
          <w:b w:val="0"/>
          <w:szCs w:val="24"/>
        </w:rPr>
      </w:pPr>
    </w:p>
    <w:p w14:paraId="65444DE6" w14:textId="77777777" w:rsidR="009260DE" w:rsidRPr="00C84483" w:rsidRDefault="009260DE" w:rsidP="009260DE">
      <w:pPr>
        <w:jc w:val="center"/>
        <w:rPr>
          <w:b/>
          <w:sz w:val="24"/>
          <w:szCs w:val="24"/>
        </w:rPr>
      </w:pPr>
      <w:r w:rsidRPr="00C84483">
        <w:rPr>
          <w:b/>
          <w:sz w:val="24"/>
          <w:szCs w:val="24"/>
        </w:rPr>
        <w:t>PRODUKTRESUMÉ</w:t>
      </w:r>
    </w:p>
    <w:p w14:paraId="086D502B" w14:textId="77777777" w:rsidR="009260DE" w:rsidRPr="00C84483" w:rsidRDefault="009260DE" w:rsidP="009260DE">
      <w:pPr>
        <w:jc w:val="center"/>
        <w:rPr>
          <w:b/>
          <w:sz w:val="24"/>
          <w:szCs w:val="24"/>
        </w:rPr>
      </w:pPr>
    </w:p>
    <w:p w14:paraId="64A92C67" w14:textId="77777777" w:rsidR="009260DE" w:rsidRDefault="009260DE" w:rsidP="009260DE">
      <w:pPr>
        <w:jc w:val="center"/>
        <w:rPr>
          <w:b/>
          <w:sz w:val="24"/>
          <w:szCs w:val="24"/>
        </w:rPr>
      </w:pPr>
      <w:r w:rsidRPr="00C84483">
        <w:rPr>
          <w:b/>
          <w:sz w:val="24"/>
          <w:szCs w:val="24"/>
        </w:rPr>
        <w:t>for</w:t>
      </w:r>
    </w:p>
    <w:p w14:paraId="491960C1" w14:textId="77777777" w:rsidR="000B058C" w:rsidRPr="00C84483" w:rsidRDefault="000B058C" w:rsidP="009260DE">
      <w:pPr>
        <w:jc w:val="center"/>
        <w:rPr>
          <w:b/>
          <w:sz w:val="24"/>
          <w:szCs w:val="24"/>
        </w:rPr>
      </w:pPr>
    </w:p>
    <w:p w14:paraId="6DA1B72F" w14:textId="77777777" w:rsidR="009260DE" w:rsidRPr="00C84483" w:rsidRDefault="001556C8" w:rsidP="009260DE">
      <w:pPr>
        <w:jc w:val="center"/>
        <w:rPr>
          <w:b/>
          <w:sz w:val="24"/>
          <w:szCs w:val="24"/>
        </w:rPr>
      </w:pPr>
      <w:proofErr w:type="spellStart"/>
      <w:r>
        <w:rPr>
          <w:b/>
          <w:sz w:val="24"/>
          <w:szCs w:val="24"/>
        </w:rPr>
        <w:t>Cefotaxim</w:t>
      </w:r>
      <w:proofErr w:type="spellEnd"/>
      <w:r>
        <w:rPr>
          <w:b/>
          <w:sz w:val="24"/>
          <w:szCs w:val="24"/>
        </w:rPr>
        <w:t xml:space="preserve"> "Hameln", pulver til injektions-/infusionsvæske, opløsning</w:t>
      </w:r>
    </w:p>
    <w:p w14:paraId="6FFD7591" w14:textId="77777777" w:rsidR="009260DE" w:rsidRPr="00C84483" w:rsidRDefault="009260DE" w:rsidP="009260DE">
      <w:pPr>
        <w:jc w:val="both"/>
        <w:rPr>
          <w:sz w:val="24"/>
          <w:szCs w:val="24"/>
        </w:rPr>
      </w:pPr>
    </w:p>
    <w:p w14:paraId="6994204D" w14:textId="77777777" w:rsidR="009260DE" w:rsidRPr="00C84483" w:rsidRDefault="009260DE" w:rsidP="009260DE">
      <w:pPr>
        <w:jc w:val="both"/>
        <w:rPr>
          <w:sz w:val="24"/>
          <w:szCs w:val="24"/>
        </w:rPr>
      </w:pPr>
    </w:p>
    <w:p w14:paraId="72A82813"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381655A4" w14:textId="3224E43A" w:rsidR="009260DE" w:rsidRPr="00C84483" w:rsidRDefault="00692CCC" w:rsidP="009260DE">
      <w:pPr>
        <w:tabs>
          <w:tab w:val="left" w:pos="851"/>
        </w:tabs>
        <w:ind w:left="851"/>
        <w:rPr>
          <w:sz w:val="24"/>
          <w:szCs w:val="24"/>
        </w:rPr>
      </w:pPr>
      <w:r>
        <w:rPr>
          <w:sz w:val="24"/>
          <w:szCs w:val="24"/>
        </w:rPr>
        <w:t>33642</w:t>
      </w:r>
    </w:p>
    <w:p w14:paraId="4BE04E6B" w14:textId="77777777" w:rsidR="009260DE" w:rsidRPr="00C84483" w:rsidRDefault="009260DE" w:rsidP="009260DE">
      <w:pPr>
        <w:tabs>
          <w:tab w:val="left" w:pos="851"/>
        </w:tabs>
        <w:ind w:left="851"/>
        <w:rPr>
          <w:sz w:val="24"/>
          <w:szCs w:val="24"/>
        </w:rPr>
      </w:pPr>
    </w:p>
    <w:p w14:paraId="772D308A"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1BAC1DE3" w14:textId="321F52EC" w:rsidR="009260DE" w:rsidRPr="00C84483" w:rsidRDefault="00692CCC" w:rsidP="009260DE">
      <w:pPr>
        <w:tabs>
          <w:tab w:val="left" w:pos="851"/>
        </w:tabs>
        <w:ind w:left="851"/>
        <w:rPr>
          <w:sz w:val="24"/>
          <w:szCs w:val="24"/>
        </w:rPr>
      </w:pPr>
      <w:proofErr w:type="spellStart"/>
      <w:r>
        <w:rPr>
          <w:sz w:val="24"/>
          <w:szCs w:val="24"/>
        </w:rPr>
        <w:t>Cefotaxim</w:t>
      </w:r>
      <w:proofErr w:type="spellEnd"/>
      <w:r>
        <w:rPr>
          <w:sz w:val="24"/>
          <w:szCs w:val="24"/>
        </w:rPr>
        <w:t xml:space="preserve"> "Hameln"</w:t>
      </w:r>
    </w:p>
    <w:p w14:paraId="35035BC4" w14:textId="77777777" w:rsidR="009260DE" w:rsidRPr="00C84483" w:rsidRDefault="009260DE" w:rsidP="009260DE">
      <w:pPr>
        <w:tabs>
          <w:tab w:val="left" w:pos="851"/>
        </w:tabs>
        <w:ind w:left="851"/>
        <w:rPr>
          <w:sz w:val="24"/>
          <w:szCs w:val="24"/>
        </w:rPr>
      </w:pPr>
    </w:p>
    <w:p w14:paraId="5CE440EC"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636CD8DE" w14:textId="77777777" w:rsidR="00692CCC" w:rsidRDefault="00692CCC" w:rsidP="00692CCC">
      <w:pPr>
        <w:tabs>
          <w:tab w:val="left" w:pos="851"/>
        </w:tabs>
        <w:ind w:left="851"/>
        <w:rPr>
          <w:sz w:val="24"/>
          <w:szCs w:val="24"/>
          <w:u w:val="single"/>
        </w:rPr>
      </w:pPr>
    </w:p>
    <w:p w14:paraId="1C487157" w14:textId="10B63FAC" w:rsidR="00692CCC" w:rsidRPr="00692CCC" w:rsidRDefault="00692CCC" w:rsidP="00692CCC">
      <w:pPr>
        <w:tabs>
          <w:tab w:val="left" w:pos="851"/>
        </w:tabs>
        <w:ind w:left="851"/>
        <w:rPr>
          <w:sz w:val="24"/>
          <w:szCs w:val="24"/>
          <w:u w:val="single"/>
        </w:rPr>
      </w:pPr>
      <w:proofErr w:type="spellStart"/>
      <w:r w:rsidRPr="00692CCC">
        <w:rPr>
          <w:sz w:val="24"/>
          <w:szCs w:val="24"/>
          <w:u w:val="single"/>
        </w:rPr>
        <w:t>Cefotaxim</w:t>
      </w:r>
      <w:proofErr w:type="spellEnd"/>
      <w:r w:rsidRPr="00692CCC">
        <w:rPr>
          <w:sz w:val="24"/>
          <w:szCs w:val="24"/>
          <w:u w:val="single"/>
        </w:rPr>
        <w:t xml:space="preserve"> </w:t>
      </w:r>
      <w:r>
        <w:rPr>
          <w:sz w:val="24"/>
          <w:szCs w:val="24"/>
          <w:u w:val="single"/>
        </w:rPr>
        <w:t>"</w:t>
      </w:r>
      <w:r w:rsidRPr="00692CCC">
        <w:rPr>
          <w:sz w:val="24"/>
          <w:szCs w:val="24"/>
          <w:u w:val="single"/>
        </w:rPr>
        <w:t>Hameln</w:t>
      </w:r>
      <w:r>
        <w:rPr>
          <w:sz w:val="24"/>
          <w:szCs w:val="24"/>
          <w:u w:val="single"/>
        </w:rPr>
        <w:t>"</w:t>
      </w:r>
      <w:r w:rsidRPr="00692CCC">
        <w:rPr>
          <w:sz w:val="24"/>
          <w:szCs w:val="24"/>
          <w:u w:val="single"/>
        </w:rPr>
        <w:t xml:space="preserve"> 1 g pulver til injektions-/infusionsvæske, opløsning</w:t>
      </w:r>
    </w:p>
    <w:p w14:paraId="2230D4A6" w14:textId="77777777" w:rsidR="00692CCC" w:rsidRPr="00692CCC" w:rsidRDefault="00692CCC" w:rsidP="00692CCC">
      <w:pPr>
        <w:tabs>
          <w:tab w:val="left" w:pos="851"/>
        </w:tabs>
        <w:ind w:left="851"/>
        <w:rPr>
          <w:i/>
          <w:sz w:val="24"/>
          <w:szCs w:val="24"/>
        </w:rPr>
      </w:pPr>
      <w:r w:rsidRPr="00692CCC">
        <w:rPr>
          <w:sz w:val="24"/>
          <w:szCs w:val="24"/>
        </w:rPr>
        <w:t xml:space="preserve">Hvert hætteglas indeholder </w:t>
      </w:r>
      <w:proofErr w:type="spellStart"/>
      <w:r w:rsidRPr="00692CCC">
        <w:rPr>
          <w:sz w:val="24"/>
          <w:szCs w:val="24"/>
        </w:rPr>
        <w:t>cefotaximnatrium</w:t>
      </w:r>
      <w:proofErr w:type="spellEnd"/>
      <w:r w:rsidRPr="00692CCC">
        <w:rPr>
          <w:sz w:val="24"/>
          <w:szCs w:val="24"/>
        </w:rPr>
        <w:t xml:space="preserve"> svarende til 1 g </w:t>
      </w:r>
      <w:proofErr w:type="spellStart"/>
      <w:r w:rsidRPr="00692CCC">
        <w:rPr>
          <w:sz w:val="24"/>
          <w:szCs w:val="24"/>
        </w:rPr>
        <w:t>cefotaxim</w:t>
      </w:r>
      <w:proofErr w:type="spellEnd"/>
      <w:r w:rsidRPr="00692CCC">
        <w:rPr>
          <w:sz w:val="24"/>
          <w:szCs w:val="24"/>
        </w:rPr>
        <w:t>.</w:t>
      </w:r>
    </w:p>
    <w:p w14:paraId="465AA711" w14:textId="77777777" w:rsidR="00692CCC" w:rsidRPr="00692CCC" w:rsidRDefault="00692CCC" w:rsidP="00692CCC">
      <w:pPr>
        <w:tabs>
          <w:tab w:val="left" w:pos="851"/>
        </w:tabs>
        <w:ind w:left="851"/>
        <w:rPr>
          <w:sz w:val="24"/>
          <w:szCs w:val="24"/>
        </w:rPr>
      </w:pPr>
    </w:p>
    <w:p w14:paraId="1EC80AF3" w14:textId="77777777" w:rsidR="00692CCC" w:rsidRPr="00692CCC" w:rsidRDefault="00692CCC" w:rsidP="00692CCC">
      <w:pPr>
        <w:tabs>
          <w:tab w:val="left" w:pos="851"/>
        </w:tabs>
        <w:ind w:left="851"/>
        <w:rPr>
          <w:sz w:val="24"/>
          <w:szCs w:val="24"/>
        </w:rPr>
      </w:pPr>
      <w:r w:rsidRPr="00692CCC">
        <w:rPr>
          <w:sz w:val="24"/>
          <w:szCs w:val="24"/>
        </w:rPr>
        <w:t>Hver 1 g pulver indeholder 48 mg natrium (2,09 mmol).</w:t>
      </w:r>
    </w:p>
    <w:p w14:paraId="7B58C299" w14:textId="77777777" w:rsidR="00692CCC" w:rsidRPr="00692CCC" w:rsidRDefault="00692CCC" w:rsidP="00692CCC">
      <w:pPr>
        <w:tabs>
          <w:tab w:val="left" w:pos="851"/>
        </w:tabs>
        <w:ind w:left="851"/>
        <w:rPr>
          <w:sz w:val="24"/>
          <w:szCs w:val="24"/>
        </w:rPr>
      </w:pPr>
    </w:p>
    <w:p w14:paraId="172E5BE0" w14:textId="7C636DE5" w:rsidR="00692CCC" w:rsidRPr="00692CCC" w:rsidRDefault="00692CCC" w:rsidP="00692CCC">
      <w:pPr>
        <w:tabs>
          <w:tab w:val="left" w:pos="851"/>
        </w:tabs>
        <w:ind w:left="851"/>
        <w:rPr>
          <w:sz w:val="24"/>
          <w:szCs w:val="24"/>
          <w:u w:val="single"/>
        </w:rPr>
      </w:pPr>
      <w:proofErr w:type="spellStart"/>
      <w:r w:rsidRPr="00692CCC">
        <w:rPr>
          <w:sz w:val="24"/>
          <w:szCs w:val="24"/>
          <w:u w:val="single"/>
        </w:rPr>
        <w:t>Cefotaxim</w:t>
      </w:r>
      <w:proofErr w:type="spellEnd"/>
      <w:r w:rsidRPr="00692CCC">
        <w:rPr>
          <w:sz w:val="24"/>
          <w:szCs w:val="24"/>
          <w:u w:val="single"/>
        </w:rPr>
        <w:t xml:space="preserve"> </w:t>
      </w:r>
      <w:r>
        <w:rPr>
          <w:sz w:val="24"/>
          <w:szCs w:val="24"/>
          <w:u w:val="single"/>
        </w:rPr>
        <w:t>"</w:t>
      </w:r>
      <w:r w:rsidRPr="00692CCC">
        <w:rPr>
          <w:sz w:val="24"/>
          <w:szCs w:val="24"/>
          <w:u w:val="single"/>
        </w:rPr>
        <w:t>Hameln</w:t>
      </w:r>
      <w:r>
        <w:rPr>
          <w:sz w:val="24"/>
          <w:szCs w:val="24"/>
          <w:u w:val="single"/>
        </w:rPr>
        <w:t>"</w:t>
      </w:r>
      <w:r w:rsidRPr="00692CCC">
        <w:rPr>
          <w:sz w:val="24"/>
          <w:szCs w:val="24"/>
          <w:u w:val="single"/>
        </w:rPr>
        <w:t xml:space="preserve"> 2 g pulver til injektions-/infusionsvæske, opløsning</w:t>
      </w:r>
    </w:p>
    <w:p w14:paraId="68875041" w14:textId="77777777" w:rsidR="00692CCC" w:rsidRPr="00692CCC" w:rsidRDefault="00692CCC" w:rsidP="00692CCC">
      <w:pPr>
        <w:tabs>
          <w:tab w:val="left" w:pos="851"/>
        </w:tabs>
        <w:ind w:left="851"/>
        <w:rPr>
          <w:sz w:val="24"/>
          <w:szCs w:val="24"/>
        </w:rPr>
      </w:pPr>
      <w:r w:rsidRPr="00692CCC">
        <w:rPr>
          <w:sz w:val="24"/>
          <w:szCs w:val="24"/>
        </w:rPr>
        <w:t xml:space="preserve">Hvert hætteglas indeholder </w:t>
      </w:r>
      <w:proofErr w:type="spellStart"/>
      <w:r w:rsidRPr="00692CCC">
        <w:rPr>
          <w:sz w:val="24"/>
          <w:szCs w:val="24"/>
        </w:rPr>
        <w:t>cefotaximnatrium</w:t>
      </w:r>
      <w:proofErr w:type="spellEnd"/>
      <w:r w:rsidRPr="00692CCC">
        <w:rPr>
          <w:sz w:val="24"/>
          <w:szCs w:val="24"/>
        </w:rPr>
        <w:t xml:space="preserve"> svarende til 2 g </w:t>
      </w:r>
      <w:proofErr w:type="spellStart"/>
      <w:r w:rsidRPr="00692CCC">
        <w:rPr>
          <w:sz w:val="24"/>
          <w:szCs w:val="24"/>
        </w:rPr>
        <w:t>cefotaxim</w:t>
      </w:r>
      <w:proofErr w:type="spellEnd"/>
      <w:r w:rsidRPr="00692CCC">
        <w:rPr>
          <w:sz w:val="24"/>
          <w:szCs w:val="24"/>
        </w:rPr>
        <w:t>.</w:t>
      </w:r>
    </w:p>
    <w:p w14:paraId="2A1EAA14" w14:textId="77777777" w:rsidR="00692CCC" w:rsidRPr="00692CCC" w:rsidRDefault="00692CCC" w:rsidP="00692CCC">
      <w:pPr>
        <w:tabs>
          <w:tab w:val="left" w:pos="851"/>
        </w:tabs>
        <w:ind w:left="851"/>
        <w:rPr>
          <w:sz w:val="24"/>
          <w:szCs w:val="24"/>
        </w:rPr>
      </w:pPr>
    </w:p>
    <w:p w14:paraId="756F7A48" w14:textId="77777777" w:rsidR="00692CCC" w:rsidRPr="00692CCC" w:rsidRDefault="00692CCC" w:rsidP="00692CCC">
      <w:pPr>
        <w:tabs>
          <w:tab w:val="left" w:pos="851"/>
        </w:tabs>
        <w:ind w:left="851"/>
        <w:rPr>
          <w:sz w:val="24"/>
          <w:szCs w:val="24"/>
        </w:rPr>
      </w:pPr>
      <w:r w:rsidRPr="00692CCC">
        <w:rPr>
          <w:sz w:val="24"/>
          <w:szCs w:val="24"/>
        </w:rPr>
        <w:t>Hvert hætteglas på 2 g indeholder 96 mg natrium (4,18 mmol).</w:t>
      </w:r>
    </w:p>
    <w:p w14:paraId="5954F0E5" w14:textId="77777777" w:rsidR="009260DE" w:rsidRPr="00C84483" w:rsidRDefault="009260DE" w:rsidP="009260DE">
      <w:pPr>
        <w:tabs>
          <w:tab w:val="left" w:pos="851"/>
        </w:tabs>
        <w:ind w:left="851"/>
        <w:rPr>
          <w:sz w:val="24"/>
          <w:szCs w:val="24"/>
        </w:rPr>
      </w:pPr>
    </w:p>
    <w:p w14:paraId="2AAA788E"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3E4CAF62" w14:textId="3B8D2298" w:rsidR="00692CCC" w:rsidRDefault="00692CCC" w:rsidP="00692CCC">
      <w:pPr>
        <w:tabs>
          <w:tab w:val="left" w:pos="851"/>
        </w:tabs>
        <w:ind w:left="851"/>
        <w:rPr>
          <w:sz w:val="24"/>
          <w:szCs w:val="24"/>
        </w:rPr>
      </w:pPr>
      <w:r w:rsidRPr="00692CCC">
        <w:rPr>
          <w:sz w:val="24"/>
          <w:szCs w:val="24"/>
        </w:rPr>
        <w:t>Pulver til injektions-/infusionsvæske, opløsning</w:t>
      </w:r>
    </w:p>
    <w:p w14:paraId="3074F9EF" w14:textId="77777777" w:rsidR="00692CCC" w:rsidRPr="00692CCC" w:rsidRDefault="00692CCC" w:rsidP="00692CCC">
      <w:pPr>
        <w:tabs>
          <w:tab w:val="left" w:pos="851"/>
        </w:tabs>
        <w:ind w:left="851"/>
        <w:rPr>
          <w:sz w:val="24"/>
          <w:szCs w:val="24"/>
        </w:rPr>
      </w:pPr>
    </w:p>
    <w:p w14:paraId="1EF11DCB" w14:textId="77777777" w:rsidR="00692CCC" w:rsidRPr="00692CCC" w:rsidRDefault="00692CCC" w:rsidP="00692CCC">
      <w:pPr>
        <w:tabs>
          <w:tab w:val="left" w:pos="851"/>
        </w:tabs>
        <w:ind w:left="851"/>
        <w:rPr>
          <w:sz w:val="24"/>
          <w:szCs w:val="24"/>
        </w:rPr>
      </w:pPr>
      <w:r w:rsidRPr="00692CCC">
        <w:rPr>
          <w:sz w:val="24"/>
          <w:szCs w:val="24"/>
        </w:rPr>
        <w:t>Et hvidt eller let gult pulver.</w:t>
      </w:r>
    </w:p>
    <w:p w14:paraId="6621E713" w14:textId="77777777" w:rsidR="009260DE" w:rsidRPr="00C84483" w:rsidRDefault="009260DE" w:rsidP="009260DE">
      <w:pPr>
        <w:tabs>
          <w:tab w:val="left" w:pos="851"/>
        </w:tabs>
        <w:ind w:left="851"/>
        <w:rPr>
          <w:sz w:val="24"/>
          <w:szCs w:val="24"/>
        </w:rPr>
      </w:pPr>
    </w:p>
    <w:p w14:paraId="3DAAB2A6" w14:textId="77777777" w:rsidR="009260DE" w:rsidRPr="00C84483" w:rsidRDefault="009260DE" w:rsidP="009260DE">
      <w:pPr>
        <w:tabs>
          <w:tab w:val="left" w:pos="851"/>
        </w:tabs>
        <w:ind w:left="851"/>
        <w:rPr>
          <w:sz w:val="24"/>
          <w:szCs w:val="24"/>
        </w:rPr>
      </w:pPr>
    </w:p>
    <w:p w14:paraId="58944F9D"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4CBF148C" w14:textId="77777777" w:rsidR="009260DE" w:rsidRPr="00C84483" w:rsidRDefault="009260DE" w:rsidP="009260DE">
      <w:pPr>
        <w:tabs>
          <w:tab w:val="left" w:pos="851"/>
        </w:tabs>
        <w:ind w:left="851"/>
        <w:rPr>
          <w:b/>
          <w:sz w:val="24"/>
          <w:szCs w:val="24"/>
        </w:rPr>
      </w:pPr>
    </w:p>
    <w:p w14:paraId="598428E2"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5068ADF6" w14:textId="77777777" w:rsidR="00692CCC" w:rsidRPr="00692CCC" w:rsidRDefault="00692CCC" w:rsidP="00692CCC">
      <w:pPr>
        <w:tabs>
          <w:tab w:val="left" w:pos="851"/>
        </w:tabs>
        <w:ind w:left="851"/>
        <w:rPr>
          <w:sz w:val="24"/>
          <w:szCs w:val="24"/>
        </w:rPr>
      </w:pPr>
      <w:proofErr w:type="spellStart"/>
      <w:r w:rsidRPr="00692CCC">
        <w:rPr>
          <w:sz w:val="24"/>
          <w:szCs w:val="24"/>
        </w:rPr>
        <w:t>Cefotaxim</w:t>
      </w:r>
      <w:proofErr w:type="spellEnd"/>
      <w:r w:rsidRPr="00692CCC">
        <w:rPr>
          <w:sz w:val="24"/>
          <w:szCs w:val="24"/>
        </w:rPr>
        <w:t xml:space="preserve"> er indiceret til behandling af følgende svære infektioner, enten når det er kendt eller det menes at være meget sandsynligt at infektionen er forårsaget af bakterier, der er følsomme over for </w:t>
      </w:r>
      <w:proofErr w:type="spellStart"/>
      <w:r w:rsidRPr="00692CCC">
        <w:rPr>
          <w:sz w:val="24"/>
          <w:szCs w:val="24"/>
        </w:rPr>
        <w:t>cefotaxim</w:t>
      </w:r>
      <w:proofErr w:type="spellEnd"/>
      <w:r w:rsidRPr="00692CCC">
        <w:rPr>
          <w:sz w:val="24"/>
          <w:szCs w:val="24"/>
        </w:rPr>
        <w:t xml:space="preserve"> (se pkt. 4.4 og 5.1):</w:t>
      </w:r>
    </w:p>
    <w:p w14:paraId="5AE68C89" w14:textId="77777777" w:rsidR="00692CCC" w:rsidRPr="00692CCC" w:rsidRDefault="00692CCC" w:rsidP="00692CCC">
      <w:pPr>
        <w:tabs>
          <w:tab w:val="left" w:pos="1134"/>
        </w:tabs>
        <w:ind w:left="851"/>
        <w:rPr>
          <w:sz w:val="24"/>
          <w:szCs w:val="24"/>
        </w:rPr>
      </w:pPr>
      <w:r w:rsidRPr="00692CCC">
        <w:rPr>
          <w:sz w:val="24"/>
          <w:szCs w:val="24"/>
        </w:rPr>
        <w:t>-</w:t>
      </w:r>
      <w:r w:rsidRPr="00692CCC">
        <w:rPr>
          <w:sz w:val="24"/>
          <w:szCs w:val="24"/>
        </w:rPr>
        <w:tab/>
        <w:t>Bakteriel lungebetændelse</w:t>
      </w:r>
    </w:p>
    <w:p w14:paraId="59AA3943" w14:textId="77777777" w:rsidR="00692CCC" w:rsidRPr="00692CCC" w:rsidRDefault="00692CCC" w:rsidP="00692CCC">
      <w:pPr>
        <w:tabs>
          <w:tab w:val="left" w:pos="1134"/>
        </w:tabs>
        <w:ind w:left="851"/>
        <w:rPr>
          <w:sz w:val="24"/>
          <w:szCs w:val="24"/>
        </w:rPr>
      </w:pPr>
      <w:r w:rsidRPr="00692CCC">
        <w:rPr>
          <w:sz w:val="24"/>
          <w:szCs w:val="24"/>
        </w:rPr>
        <w:t>-</w:t>
      </w:r>
      <w:r w:rsidRPr="00692CCC">
        <w:rPr>
          <w:sz w:val="24"/>
          <w:szCs w:val="24"/>
        </w:rPr>
        <w:tab/>
        <w:t xml:space="preserve">Komplicerede infektioner i urinvejene, herunder </w:t>
      </w:r>
      <w:proofErr w:type="spellStart"/>
      <w:r w:rsidRPr="00692CCC">
        <w:rPr>
          <w:sz w:val="24"/>
          <w:szCs w:val="24"/>
        </w:rPr>
        <w:t>pyelonefritis</w:t>
      </w:r>
      <w:proofErr w:type="spellEnd"/>
    </w:p>
    <w:p w14:paraId="7263A2D8" w14:textId="77777777" w:rsidR="00692CCC" w:rsidRPr="00692CCC" w:rsidRDefault="00692CCC" w:rsidP="00692CCC">
      <w:pPr>
        <w:tabs>
          <w:tab w:val="left" w:pos="1134"/>
        </w:tabs>
        <w:ind w:left="851"/>
        <w:rPr>
          <w:sz w:val="24"/>
          <w:szCs w:val="24"/>
        </w:rPr>
      </w:pPr>
      <w:r w:rsidRPr="00692CCC">
        <w:rPr>
          <w:sz w:val="24"/>
          <w:szCs w:val="24"/>
        </w:rPr>
        <w:t>-</w:t>
      </w:r>
      <w:r w:rsidRPr="00692CCC">
        <w:rPr>
          <w:sz w:val="24"/>
          <w:szCs w:val="24"/>
        </w:rPr>
        <w:tab/>
        <w:t>Svære hud- og bløddelsinfektioner</w:t>
      </w:r>
    </w:p>
    <w:p w14:paraId="736B1AB2" w14:textId="77777777" w:rsidR="00692CCC" w:rsidRPr="00692CCC" w:rsidRDefault="00692CCC" w:rsidP="00692CCC">
      <w:pPr>
        <w:tabs>
          <w:tab w:val="left" w:pos="1134"/>
        </w:tabs>
        <w:ind w:left="851"/>
        <w:rPr>
          <w:sz w:val="24"/>
          <w:szCs w:val="24"/>
        </w:rPr>
      </w:pPr>
      <w:r w:rsidRPr="00692CCC">
        <w:rPr>
          <w:sz w:val="24"/>
          <w:szCs w:val="24"/>
        </w:rPr>
        <w:t>-</w:t>
      </w:r>
      <w:r w:rsidRPr="00692CCC">
        <w:rPr>
          <w:sz w:val="24"/>
          <w:szCs w:val="24"/>
        </w:rPr>
        <w:tab/>
        <w:t xml:space="preserve">Genitale infektioner, herunder </w:t>
      </w:r>
      <w:proofErr w:type="spellStart"/>
      <w:r w:rsidRPr="00692CCC">
        <w:rPr>
          <w:sz w:val="24"/>
          <w:szCs w:val="24"/>
        </w:rPr>
        <w:t>gonoré</w:t>
      </w:r>
      <w:proofErr w:type="spellEnd"/>
    </w:p>
    <w:p w14:paraId="6EEC23F5" w14:textId="77777777" w:rsidR="00692CCC" w:rsidRPr="00692CCC" w:rsidRDefault="00692CCC" w:rsidP="00692CCC">
      <w:pPr>
        <w:tabs>
          <w:tab w:val="left" w:pos="1134"/>
        </w:tabs>
        <w:ind w:left="851"/>
        <w:rPr>
          <w:sz w:val="24"/>
          <w:szCs w:val="24"/>
        </w:rPr>
      </w:pPr>
      <w:r w:rsidRPr="00692CCC">
        <w:rPr>
          <w:sz w:val="24"/>
          <w:szCs w:val="24"/>
        </w:rPr>
        <w:lastRenderedPageBreak/>
        <w:t>-</w:t>
      </w:r>
      <w:r w:rsidRPr="00692CCC">
        <w:rPr>
          <w:sz w:val="24"/>
          <w:szCs w:val="24"/>
        </w:rPr>
        <w:tab/>
      </w:r>
      <w:proofErr w:type="spellStart"/>
      <w:r w:rsidRPr="00692CCC">
        <w:rPr>
          <w:sz w:val="24"/>
          <w:szCs w:val="24"/>
        </w:rPr>
        <w:t>Intraabdominale</w:t>
      </w:r>
      <w:proofErr w:type="spellEnd"/>
      <w:r w:rsidRPr="00692CCC">
        <w:rPr>
          <w:sz w:val="24"/>
          <w:szCs w:val="24"/>
        </w:rPr>
        <w:t xml:space="preserve"> infektioner (såsom </w:t>
      </w:r>
      <w:proofErr w:type="spellStart"/>
      <w:r w:rsidRPr="00692CCC">
        <w:rPr>
          <w:sz w:val="24"/>
          <w:szCs w:val="24"/>
        </w:rPr>
        <w:t>peritonitis</w:t>
      </w:r>
      <w:proofErr w:type="spellEnd"/>
      <w:r w:rsidRPr="00692CCC">
        <w:rPr>
          <w:sz w:val="24"/>
          <w:szCs w:val="24"/>
        </w:rPr>
        <w:t>)</w:t>
      </w:r>
    </w:p>
    <w:p w14:paraId="742C7399" w14:textId="77777777" w:rsidR="00692CCC" w:rsidRPr="00692CCC" w:rsidRDefault="00692CCC" w:rsidP="00692CCC">
      <w:pPr>
        <w:tabs>
          <w:tab w:val="left" w:pos="1134"/>
        </w:tabs>
        <w:ind w:left="851"/>
        <w:rPr>
          <w:sz w:val="24"/>
          <w:szCs w:val="24"/>
        </w:rPr>
      </w:pPr>
      <w:r w:rsidRPr="00692CCC">
        <w:rPr>
          <w:sz w:val="24"/>
          <w:szCs w:val="24"/>
        </w:rPr>
        <w:t>-</w:t>
      </w:r>
      <w:r w:rsidRPr="00692CCC">
        <w:rPr>
          <w:sz w:val="24"/>
          <w:szCs w:val="24"/>
        </w:rPr>
        <w:tab/>
        <w:t>Bakteriel meningitis</w:t>
      </w:r>
    </w:p>
    <w:p w14:paraId="685BAFB0" w14:textId="77777777" w:rsidR="00692CCC" w:rsidRPr="00692CCC" w:rsidRDefault="00692CCC" w:rsidP="00692CCC">
      <w:pPr>
        <w:tabs>
          <w:tab w:val="left" w:pos="1134"/>
        </w:tabs>
        <w:ind w:left="851"/>
        <w:rPr>
          <w:sz w:val="24"/>
          <w:szCs w:val="24"/>
        </w:rPr>
      </w:pPr>
      <w:r w:rsidRPr="00692CCC">
        <w:rPr>
          <w:sz w:val="24"/>
          <w:szCs w:val="24"/>
        </w:rPr>
        <w:t>-</w:t>
      </w:r>
      <w:r w:rsidRPr="00692CCC">
        <w:rPr>
          <w:sz w:val="24"/>
          <w:szCs w:val="24"/>
        </w:rPr>
        <w:tab/>
      </w:r>
      <w:proofErr w:type="spellStart"/>
      <w:r w:rsidRPr="00692CCC">
        <w:rPr>
          <w:sz w:val="24"/>
          <w:szCs w:val="24"/>
        </w:rPr>
        <w:t>Endokarditis</w:t>
      </w:r>
      <w:proofErr w:type="spellEnd"/>
    </w:p>
    <w:p w14:paraId="206FDD90" w14:textId="77777777" w:rsidR="00692CCC" w:rsidRPr="00692CCC" w:rsidRDefault="00692CCC" w:rsidP="00692CCC">
      <w:pPr>
        <w:tabs>
          <w:tab w:val="left" w:pos="1134"/>
        </w:tabs>
        <w:ind w:left="851"/>
        <w:rPr>
          <w:sz w:val="24"/>
          <w:szCs w:val="24"/>
        </w:rPr>
      </w:pPr>
      <w:r w:rsidRPr="00692CCC">
        <w:rPr>
          <w:sz w:val="24"/>
          <w:szCs w:val="24"/>
        </w:rPr>
        <w:t>-</w:t>
      </w:r>
      <w:r w:rsidRPr="00692CCC">
        <w:rPr>
          <w:sz w:val="24"/>
          <w:szCs w:val="24"/>
        </w:rPr>
        <w:tab/>
      </w:r>
      <w:proofErr w:type="spellStart"/>
      <w:r w:rsidRPr="00692CCC">
        <w:rPr>
          <w:sz w:val="24"/>
          <w:szCs w:val="24"/>
        </w:rPr>
        <w:t>Borreliose</w:t>
      </w:r>
      <w:proofErr w:type="spellEnd"/>
    </w:p>
    <w:p w14:paraId="7E93A2FE" w14:textId="77777777" w:rsidR="00692CCC" w:rsidRPr="00692CCC" w:rsidRDefault="00692CCC" w:rsidP="00692CCC">
      <w:pPr>
        <w:tabs>
          <w:tab w:val="left" w:pos="851"/>
        </w:tabs>
        <w:ind w:left="851"/>
        <w:rPr>
          <w:sz w:val="24"/>
          <w:szCs w:val="24"/>
        </w:rPr>
      </w:pPr>
    </w:p>
    <w:p w14:paraId="00E0E7A2" w14:textId="77777777" w:rsidR="00692CCC" w:rsidRPr="00692CCC" w:rsidRDefault="00692CCC" w:rsidP="00692CCC">
      <w:pPr>
        <w:tabs>
          <w:tab w:val="left" w:pos="851"/>
        </w:tabs>
        <w:ind w:left="851"/>
        <w:rPr>
          <w:sz w:val="24"/>
          <w:szCs w:val="24"/>
        </w:rPr>
      </w:pPr>
      <w:r w:rsidRPr="00692CCC">
        <w:rPr>
          <w:sz w:val="24"/>
          <w:szCs w:val="24"/>
        </w:rPr>
        <w:t xml:space="preserve">Behandling af patienter med </w:t>
      </w:r>
      <w:proofErr w:type="spellStart"/>
      <w:r w:rsidRPr="00692CCC">
        <w:rPr>
          <w:sz w:val="24"/>
          <w:szCs w:val="24"/>
        </w:rPr>
        <w:t>bakteriæmi</w:t>
      </w:r>
      <w:proofErr w:type="spellEnd"/>
      <w:r w:rsidRPr="00692CCC">
        <w:rPr>
          <w:sz w:val="24"/>
          <w:szCs w:val="24"/>
        </w:rPr>
        <w:t>, der opstår i forbindelse med eller mistænkes for at være forbundet med en eller flere af de ovennævnte infektioner.</w:t>
      </w:r>
    </w:p>
    <w:p w14:paraId="4F22E0FB" w14:textId="77777777" w:rsidR="00692CCC" w:rsidRPr="00692CCC" w:rsidRDefault="00692CCC" w:rsidP="00692CCC">
      <w:pPr>
        <w:tabs>
          <w:tab w:val="left" w:pos="851"/>
        </w:tabs>
        <w:ind w:left="851"/>
        <w:rPr>
          <w:sz w:val="24"/>
          <w:szCs w:val="24"/>
        </w:rPr>
      </w:pPr>
      <w:r w:rsidRPr="00692CCC">
        <w:rPr>
          <w:sz w:val="24"/>
          <w:szCs w:val="24"/>
        </w:rPr>
        <w:t xml:space="preserve">Perioperativ profylakse. Til kirurgiske operationer med øget infektionsrisiko med anaerobe </w:t>
      </w:r>
      <w:proofErr w:type="spellStart"/>
      <w:r w:rsidRPr="00692CCC">
        <w:rPr>
          <w:sz w:val="24"/>
          <w:szCs w:val="24"/>
        </w:rPr>
        <w:t>patogener</w:t>
      </w:r>
      <w:proofErr w:type="spellEnd"/>
      <w:r w:rsidRPr="00692CCC">
        <w:rPr>
          <w:sz w:val="24"/>
          <w:szCs w:val="24"/>
        </w:rPr>
        <w:t xml:space="preserve">, f.eks. </w:t>
      </w:r>
      <w:proofErr w:type="spellStart"/>
      <w:r w:rsidRPr="00692CCC">
        <w:rPr>
          <w:sz w:val="24"/>
          <w:szCs w:val="24"/>
        </w:rPr>
        <w:t>kolorektal</w:t>
      </w:r>
      <w:proofErr w:type="spellEnd"/>
      <w:r w:rsidRPr="00692CCC">
        <w:rPr>
          <w:sz w:val="24"/>
          <w:szCs w:val="24"/>
        </w:rPr>
        <w:t xml:space="preserve"> kirurgi, anbefales en kombination med et passende lægemiddel med aktivitet mod </w:t>
      </w:r>
      <w:proofErr w:type="spellStart"/>
      <w:r w:rsidRPr="00692CCC">
        <w:rPr>
          <w:sz w:val="24"/>
          <w:szCs w:val="24"/>
        </w:rPr>
        <w:t>anaerober</w:t>
      </w:r>
      <w:proofErr w:type="spellEnd"/>
      <w:r w:rsidRPr="00692CCC">
        <w:rPr>
          <w:sz w:val="24"/>
          <w:szCs w:val="24"/>
        </w:rPr>
        <w:t>.</w:t>
      </w:r>
    </w:p>
    <w:p w14:paraId="081DE0B1" w14:textId="77777777" w:rsidR="00692CCC" w:rsidRPr="00692CCC" w:rsidRDefault="00692CCC" w:rsidP="00692CCC">
      <w:pPr>
        <w:tabs>
          <w:tab w:val="left" w:pos="851"/>
        </w:tabs>
        <w:ind w:left="851"/>
        <w:rPr>
          <w:sz w:val="24"/>
          <w:szCs w:val="24"/>
        </w:rPr>
      </w:pPr>
    </w:p>
    <w:p w14:paraId="7D41ADA1" w14:textId="77777777" w:rsidR="00692CCC" w:rsidRPr="00692CCC" w:rsidRDefault="00692CCC" w:rsidP="00692CCC">
      <w:pPr>
        <w:tabs>
          <w:tab w:val="left" w:pos="851"/>
        </w:tabs>
        <w:ind w:left="851"/>
        <w:rPr>
          <w:sz w:val="24"/>
          <w:szCs w:val="24"/>
        </w:rPr>
      </w:pPr>
      <w:r w:rsidRPr="00692CCC">
        <w:rPr>
          <w:sz w:val="24"/>
          <w:szCs w:val="24"/>
        </w:rPr>
        <w:t>Der bør tages hensyn til officiel vejledning vedrørende passende anvendelse af antibakterielle midler.</w:t>
      </w:r>
    </w:p>
    <w:p w14:paraId="1CBE70CD" w14:textId="77777777" w:rsidR="009260DE" w:rsidRPr="00C84483" w:rsidRDefault="009260DE" w:rsidP="009260DE">
      <w:pPr>
        <w:tabs>
          <w:tab w:val="left" w:pos="851"/>
        </w:tabs>
        <w:ind w:left="851"/>
        <w:rPr>
          <w:sz w:val="24"/>
          <w:szCs w:val="24"/>
        </w:rPr>
      </w:pPr>
    </w:p>
    <w:p w14:paraId="50FA3AE5"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209D8D5D" w14:textId="77777777" w:rsidR="00692CCC" w:rsidRPr="00692CCC" w:rsidRDefault="00692CCC" w:rsidP="00692CCC">
      <w:pPr>
        <w:tabs>
          <w:tab w:val="left" w:pos="851"/>
        </w:tabs>
        <w:ind w:left="851"/>
        <w:rPr>
          <w:sz w:val="24"/>
          <w:szCs w:val="24"/>
        </w:rPr>
      </w:pPr>
    </w:p>
    <w:p w14:paraId="5744F3A3" w14:textId="77777777" w:rsidR="00692CCC" w:rsidRPr="00692CCC" w:rsidRDefault="00692CCC" w:rsidP="00692CCC">
      <w:pPr>
        <w:tabs>
          <w:tab w:val="left" w:pos="851"/>
        </w:tabs>
        <w:ind w:left="851"/>
        <w:rPr>
          <w:b/>
          <w:sz w:val="24"/>
          <w:szCs w:val="24"/>
        </w:rPr>
      </w:pPr>
      <w:r w:rsidRPr="00692CCC">
        <w:rPr>
          <w:b/>
          <w:sz w:val="24"/>
          <w:szCs w:val="24"/>
        </w:rPr>
        <w:t>Dosering</w:t>
      </w:r>
    </w:p>
    <w:p w14:paraId="3C51025E" w14:textId="77777777" w:rsidR="00692CCC" w:rsidRPr="00692CCC" w:rsidRDefault="00692CCC" w:rsidP="00692CCC">
      <w:pPr>
        <w:tabs>
          <w:tab w:val="left" w:pos="851"/>
        </w:tabs>
        <w:ind w:left="851"/>
        <w:rPr>
          <w:sz w:val="24"/>
          <w:szCs w:val="24"/>
        </w:rPr>
      </w:pPr>
      <w:proofErr w:type="spellStart"/>
      <w:r w:rsidRPr="00692CCC">
        <w:rPr>
          <w:sz w:val="24"/>
          <w:szCs w:val="24"/>
        </w:rPr>
        <w:t>Cefotaxim</w:t>
      </w:r>
      <w:proofErr w:type="spellEnd"/>
      <w:r w:rsidRPr="00692CCC">
        <w:rPr>
          <w:sz w:val="24"/>
          <w:szCs w:val="24"/>
        </w:rPr>
        <w:t xml:space="preserve"> "Hameln" kan administreres ved intravenøs </w:t>
      </w:r>
      <w:proofErr w:type="spellStart"/>
      <w:r w:rsidRPr="00692CCC">
        <w:rPr>
          <w:sz w:val="24"/>
          <w:szCs w:val="24"/>
        </w:rPr>
        <w:t>bolusinjektion</w:t>
      </w:r>
      <w:proofErr w:type="spellEnd"/>
      <w:r w:rsidRPr="00692CCC">
        <w:rPr>
          <w:sz w:val="24"/>
          <w:szCs w:val="24"/>
        </w:rPr>
        <w:t xml:space="preserve"> eller intravenøs infusion eller ved intramuskulær injektion efter </w:t>
      </w:r>
      <w:proofErr w:type="spellStart"/>
      <w:r w:rsidRPr="00692CCC">
        <w:rPr>
          <w:sz w:val="24"/>
          <w:szCs w:val="24"/>
        </w:rPr>
        <w:t>rekonstitution</w:t>
      </w:r>
      <w:proofErr w:type="spellEnd"/>
      <w:r w:rsidRPr="00692CCC">
        <w:rPr>
          <w:sz w:val="24"/>
          <w:szCs w:val="24"/>
        </w:rPr>
        <w:t xml:space="preserve"> af opløsningen</w:t>
      </w:r>
    </w:p>
    <w:p w14:paraId="0AD4A02D" w14:textId="77777777" w:rsidR="00692CCC" w:rsidRPr="00692CCC" w:rsidRDefault="00692CCC" w:rsidP="00692CCC">
      <w:pPr>
        <w:tabs>
          <w:tab w:val="left" w:pos="851"/>
        </w:tabs>
        <w:ind w:left="851"/>
        <w:rPr>
          <w:sz w:val="24"/>
          <w:szCs w:val="24"/>
        </w:rPr>
      </w:pPr>
      <w:r w:rsidRPr="00692CCC">
        <w:rPr>
          <w:sz w:val="24"/>
          <w:szCs w:val="24"/>
        </w:rPr>
        <w:t>Doseringen, administrationsvejen og hyppigheden skal bestemmes ud fra infektionens sværhedsgrad, følsomheden af den forårsagende organisme og patientens tilstand. Behandlingen kan påbegyndes, før resultaterne af følsomhedstestning foreligger.</w:t>
      </w:r>
    </w:p>
    <w:p w14:paraId="1A119187" w14:textId="77777777" w:rsidR="00692CCC" w:rsidRPr="00692CCC" w:rsidRDefault="00692CCC" w:rsidP="00692CCC">
      <w:pPr>
        <w:tabs>
          <w:tab w:val="left" w:pos="851"/>
        </w:tabs>
        <w:ind w:left="851"/>
        <w:rPr>
          <w:sz w:val="24"/>
          <w:szCs w:val="24"/>
        </w:rPr>
      </w:pPr>
    </w:p>
    <w:p w14:paraId="2F089DD8" w14:textId="77777777" w:rsidR="00692CCC" w:rsidRPr="00692CCC" w:rsidRDefault="00692CCC" w:rsidP="00692CCC">
      <w:pPr>
        <w:tabs>
          <w:tab w:val="left" w:pos="851"/>
        </w:tabs>
        <w:ind w:left="851"/>
        <w:rPr>
          <w:iCs/>
          <w:sz w:val="24"/>
          <w:szCs w:val="24"/>
          <w:u w:val="single"/>
        </w:rPr>
      </w:pPr>
      <w:r w:rsidRPr="00692CCC">
        <w:rPr>
          <w:sz w:val="24"/>
          <w:szCs w:val="24"/>
          <w:u w:val="single"/>
        </w:rPr>
        <w:t>Voksne og unge over 12 år</w:t>
      </w:r>
    </w:p>
    <w:p w14:paraId="789C2AFA" w14:textId="77777777" w:rsidR="00692CCC" w:rsidRPr="00692CCC" w:rsidRDefault="00692CCC" w:rsidP="00692CCC">
      <w:pPr>
        <w:tabs>
          <w:tab w:val="left" w:pos="851"/>
        </w:tabs>
        <w:ind w:left="851"/>
        <w:rPr>
          <w:sz w:val="24"/>
          <w:szCs w:val="24"/>
        </w:rPr>
      </w:pPr>
      <w:r w:rsidRPr="00692CCC">
        <w:rPr>
          <w:sz w:val="24"/>
          <w:szCs w:val="24"/>
        </w:rPr>
        <w:t xml:space="preserve">Voksne og unge får normalt 2 til 6 g </w:t>
      </w:r>
      <w:proofErr w:type="spellStart"/>
      <w:r w:rsidRPr="00692CCC">
        <w:rPr>
          <w:sz w:val="24"/>
          <w:szCs w:val="24"/>
        </w:rPr>
        <w:t>cefotaxim</w:t>
      </w:r>
      <w:proofErr w:type="spellEnd"/>
      <w:r w:rsidRPr="00692CCC">
        <w:rPr>
          <w:sz w:val="24"/>
          <w:szCs w:val="24"/>
        </w:rPr>
        <w:t xml:space="preserve"> dagligt. Den daglige dosis skal opdeles i to enkeltdoser hver 12. time.</w:t>
      </w:r>
    </w:p>
    <w:p w14:paraId="1A29ABEA" w14:textId="77777777" w:rsidR="00692CCC" w:rsidRPr="00692CCC" w:rsidRDefault="00692CCC" w:rsidP="00692CCC">
      <w:pPr>
        <w:tabs>
          <w:tab w:val="left" w:pos="1134"/>
        </w:tabs>
        <w:ind w:left="1134" w:hanging="283"/>
        <w:rPr>
          <w:sz w:val="24"/>
          <w:szCs w:val="24"/>
        </w:rPr>
      </w:pPr>
      <w:r w:rsidRPr="00692CCC">
        <w:rPr>
          <w:sz w:val="24"/>
          <w:szCs w:val="24"/>
        </w:rPr>
        <w:t>-</w:t>
      </w:r>
      <w:r w:rsidRPr="00692CCC">
        <w:rPr>
          <w:sz w:val="24"/>
          <w:szCs w:val="24"/>
        </w:rPr>
        <w:tab/>
        <w:t>Almindelige infektioner ved tilstedeværelse af (eller mistanke om) følsomme bakterier: 1 g hver 12. time.</w:t>
      </w:r>
    </w:p>
    <w:p w14:paraId="4BB4E37C" w14:textId="77777777" w:rsidR="00692CCC" w:rsidRPr="00692CCC" w:rsidRDefault="00692CCC" w:rsidP="00692CCC">
      <w:pPr>
        <w:tabs>
          <w:tab w:val="left" w:pos="1134"/>
        </w:tabs>
        <w:ind w:left="1134" w:hanging="283"/>
        <w:rPr>
          <w:sz w:val="24"/>
          <w:szCs w:val="24"/>
        </w:rPr>
      </w:pPr>
      <w:r w:rsidRPr="00692CCC">
        <w:rPr>
          <w:sz w:val="24"/>
          <w:szCs w:val="24"/>
        </w:rPr>
        <w:t>-</w:t>
      </w:r>
      <w:r w:rsidRPr="00692CCC">
        <w:rPr>
          <w:sz w:val="24"/>
          <w:szCs w:val="24"/>
        </w:rPr>
        <w:tab/>
        <w:t>Infektioner ved tilstedeværelse af (eller mistanke om) flere følsomme eller moderat følsomme bakterier: 1</w:t>
      </w:r>
      <w:r w:rsidRPr="00692CCC">
        <w:rPr>
          <w:sz w:val="24"/>
          <w:szCs w:val="24"/>
        </w:rPr>
        <w:noBreakHyphen/>
        <w:t>2 g hver 12. time.</w:t>
      </w:r>
    </w:p>
    <w:p w14:paraId="7587DDB7" w14:textId="77777777" w:rsidR="00692CCC" w:rsidRPr="00692CCC" w:rsidRDefault="00692CCC" w:rsidP="00692CCC">
      <w:pPr>
        <w:tabs>
          <w:tab w:val="left" w:pos="1134"/>
        </w:tabs>
        <w:ind w:left="1134" w:hanging="283"/>
        <w:rPr>
          <w:sz w:val="24"/>
          <w:szCs w:val="24"/>
        </w:rPr>
      </w:pPr>
      <w:r w:rsidRPr="00692CCC">
        <w:rPr>
          <w:sz w:val="24"/>
          <w:szCs w:val="24"/>
        </w:rPr>
        <w:t>-</w:t>
      </w:r>
      <w:r w:rsidRPr="00692CCC">
        <w:rPr>
          <w:sz w:val="24"/>
          <w:szCs w:val="24"/>
        </w:rPr>
        <w:tab/>
        <w:t>Svære infektioner eller for infektioner, der ikke kan lokaliseres: 2</w:t>
      </w:r>
      <w:r w:rsidRPr="00692CCC">
        <w:rPr>
          <w:sz w:val="24"/>
          <w:szCs w:val="24"/>
        </w:rPr>
        <w:noBreakHyphen/>
        <w:t>3 g som en enkeltdosis hver 6. til 8. time (maksimal daglig dosis: 12 g).</w:t>
      </w:r>
    </w:p>
    <w:p w14:paraId="7851B53B" w14:textId="77777777" w:rsidR="00692CCC" w:rsidRPr="00692CCC" w:rsidRDefault="00692CCC" w:rsidP="00692CCC">
      <w:pPr>
        <w:tabs>
          <w:tab w:val="left" w:pos="851"/>
        </w:tabs>
        <w:ind w:left="851"/>
        <w:rPr>
          <w:sz w:val="24"/>
          <w:szCs w:val="24"/>
        </w:rPr>
      </w:pPr>
    </w:p>
    <w:p w14:paraId="71A28D18" w14:textId="77777777" w:rsidR="00692CCC" w:rsidRPr="00692CCC" w:rsidRDefault="00692CCC" w:rsidP="00692CCC">
      <w:pPr>
        <w:tabs>
          <w:tab w:val="left" w:pos="851"/>
        </w:tabs>
        <w:ind w:left="851"/>
        <w:rPr>
          <w:sz w:val="24"/>
          <w:szCs w:val="24"/>
        </w:rPr>
      </w:pPr>
      <w:r w:rsidRPr="00692CCC">
        <w:rPr>
          <w:sz w:val="24"/>
          <w:szCs w:val="24"/>
        </w:rPr>
        <w:t xml:space="preserve">En kombination af </w:t>
      </w:r>
      <w:proofErr w:type="spellStart"/>
      <w:r w:rsidRPr="00692CCC">
        <w:rPr>
          <w:sz w:val="24"/>
          <w:szCs w:val="24"/>
        </w:rPr>
        <w:t>cefotaxim</w:t>
      </w:r>
      <w:proofErr w:type="spellEnd"/>
      <w:r w:rsidRPr="00692CCC">
        <w:rPr>
          <w:sz w:val="24"/>
          <w:szCs w:val="24"/>
        </w:rPr>
        <w:t xml:space="preserve"> og andre antibiotika er indiceret ved svære infektioner.</w:t>
      </w:r>
    </w:p>
    <w:p w14:paraId="040BCAE2" w14:textId="77777777" w:rsidR="00692CCC" w:rsidRPr="00692CCC" w:rsidRDefault="00692CCC" w:rsidP="00692CCC">
      <w:pPr>
        <w:tabs>
          <w:tab w:val="left" w:pos="851"/>
        </w:tabs>
        <w:ind w:left="851"/>
        <w:rPr>
          <w:sz w:val="24"/>
          <w:szCs w:val="24"/>
        </w:rPr>
      </w:pPr>
    </w:p>
    <w:p w14:paraId="5372E8A3" w14:textId="77777777" w:rsidR="00692CCC" w:rsidRPr="00692CCC" w:rsidRDefault="00692CCC" w:rsidP="00692CCC">
      <w:pPr>
        <w:tabs>
          <w:tab w:val="left" w:pos="851"/>
        </w:tabs>
        <w:ind w:left="851"/>
        <w:rPr>
          <w:sz w:val="24"/>
          <w:szCs w:val="24"/>
          <w:u w:val="single"/>
        </w:rPr>
      </w:pPr>
      <w:bookmarkStart w:id="1" w:name="_Hlk189812660"/>
      <w:r w:rsidRPr="00692CCC">
        <w:rPr>
          <w:sz w:val="24"/>
          <w:szCs w:val="24"/>
          <w:u w:val="single"/>
        </w:rPr>
        <w:t>Pædiatrisk population</w:t>
      </w:r>
    </w:p>
    <w:p w14:paraId="7A539951" w14:textId="77777777" w:rsidR="00692CCC" w:rsidRPr="00692CCC" w:rsidRDefault="00692CCC" w:rsidP="00692CCC">
      <w:pPr>
        <w:tabs>
          <w:tab w:val="left" w:pos="851"/>
        </w:tabs>
        <w:ind w:left="851"/>
        <w:rPr>
          <w:sz w:val="24"/>
          <w:szCs w:val="24"/>
          <w:u w:val="single"/>
        </w:rPr>
      </w:pPr>
    </w:p>
    <w:p w14:paraId="68055668" w14:textId="77777777" w:rsidR="00692CCC" w:rsidRPr="00692CCC" w:rsidRDefault="00692CCC" w:rsidP="00692CCC">
      <w:pPr>
        <w:tabs>
          <w:tab w:val="left" w:pos="851"/>
        </w:tabs>
        <w:ind w:left="851"/>
        <w:rPr>
          <w:i/>
          <w:sz w:val="24"/>
          <w:szCs w:val="24"/>
        </w:rPr>
      </w:pPr>
      <w:bookmarkStart w:id="2" w:name="_Hlk185613649"/>
      <w:r w:rsidRPr="00692CCC">
        <w:rPr>
          <w:i/>
          <w:sz w:val="24"/>
          <w:szCs w:val="24"/>
        </w:rPr>
        <w:t>Børn</w:t>
      </w:r>
    </w:p>
    <w:p w14:paraId="742DAC0A" w14:textId="352F05FC" w:rsidR="00692CCC" w:rsidRPr="00692CCC" w:rsidRDefault="00692CCC" w:rsidP="00692CCC">
      <w:pPr>
        <w:tabs>
          <w:tab w:val="left" w:pos="851"/>
        </w:tabs>
        <w:ind w:left="851"/>
        <w:rPr>
          <w:sz w:val="24"/>
          <w:szCs w:val="24"/>
        </w:rPr>
      </w:pPr>
      <w:r w:rsidRPr="00692CCC">
        <w:rPr>
          <w:sz w:val="24"/>
          <w:szCs w:val="24"/>
        </w:rPr>
        <w:t>Det sædvanlige doseringsinterval er i intervallet 100</w:t>
      </w:r>
      <w:r w:rsidRPr="00692CCC">
        <w:rPr>
          <w:sz w:val="24"/>
          <w:szCs w:val="24"/>
        </w:rPr>
        <w:noBreakHyphen/>
        <w:t>150 mg/kg/dag i 2 eller 4 delte doser. Ved meget svære infektioner kan det dog være nødvendigt med doser på op til 200 mg/kg/dag.</w:t>
      </w:r>
    </w:p>
    <w:p w14:paraId="172DDFF7" w14:textId="77777777" w:rsidR="00692CCC" w:rsidRPr="00692CCC" w:rsidRDefault="00692CCC" w:rsidP="00692CCC">
      <w:pPr>
        <w:tabs>
          <w:tab w:val="left" w:pos="851"/>
        </w:tabs>
        <w:ind w:left="851"/>
        <w:rPr>
          <w:sz w:val="24"/>
          <w:szCs w:val="24"/>
        </w:rPr>
      </w:pPr>
    </w:p>
    <w:p w14:paraId="39000C72" w14:textId="77777777" w:rsidR="00692CCC" w:rsidRPr="00692CCC" w:rsidRDefault="00692CCC" w:rsidP="00692CCC">
      <w:pPr>
        <w:tabs>
          <w:tab w:val="left" w:pos="851"/>
        </w:tabs>
        <w:ind w:left="851"/>
        <w:rPr>
          <w:i/>
          <w:sz w:val="24"/>
          <w:szCs w:val="24"/>
        </w:rPr>
      </w:pPr>
      <w:r w:rsidRPr="00692CCC">
        <w:rPr>
          <w:i/>
          <w:sz w:val="24"/>
          <w:szCs w:val="24"/>
        </w:rPr>
        <w:t>Nyfødte</w:t>
      </w:r>
    </w:p>
    <w:p w14:paraId="55F5C299" w14:textId="1CBA7AA7" w:rsidR="00692CCC" w:rsidRPr="00692CCC" w:rsidRDefault="00692CCC" w:rsidP="00692CCC">
      <w:pPr>
        <w:tabs>
          <w:tab w:val="left" w:pos="851"/>
        </w:tabs>
        <w:ind w:left="851"/>
        <w:rPr>
          <w:sz w:val="24"/>
          <w:szCs w:val="24"/>
        </w:rPr>
      </w:pPr>
      <w:r w:rsidRPr="00692CCC">
        <w:rPr>
          <w:sz w:val="24"/>
          <w:szCs w:val="24"/>
        </w:rPr>
        <w:t>Den anbefalede dosis er 50 mg/kg/dag i 2 eller 4 delte doser. Ved svære infektioner er der givet 150</w:t>
      </w:r>
      <w:r w:rsidRPr="00692CCC">
        <w:rPr>
          <w:sz w:val="24"/>
          <w:szCs w:val="24"/>
        </w:rPr>
        <w:noBreakHyphen/>
        <w:t>200 mg/kg/dag i delte doser.</w:t>
      </w:r>
      <w:bookmarkEnd w:id="2"/>
    </w:p>
    <w:bookmarkEnd w:id="1"/>
    <w:p w14:paraId="50374671" w14:textId="77777777" w:rsidR="00692CCC" w:rsidRPr="00692CCC" w:rsidRDefault="00692CCC" w:rsidP="00692CCC">
      <w:pPr>
        <w:tabs>
          <w:tab w:val="left" w:pos="851"/>
        </w:tabs>
        <w:ind w:left="851"/>
        <w:rPr>
          <w:sz w:val="24"/>
          <w:szCs w:val="24"/>
        </w:rPr>
      </w:pPr>
    </w:p>
    <w:p w14:paraId="7396353D" w14:textId="77777777" w:rsidR="00692CCC" w:rsidRPr="00692CCC" w:rsidRDefault="00692CCC" w:rsidP="00692CCC">
      <w:pPr>
        <w:tabs>
          <w:tab w:val="left" w:pos="851"/>
        </w:tabs>
        <w:ind w:left="851"/>
        <w:rPr>
          <w:sz w:val="24"/>
          <w:szCs w:val="24"/>
          <w:u w:val="single"/>
        </w:rPr>
      </w:pPr>
      <w:r w:rsidRPr="00692CCC">
        <w:rPr>
          <w:sz w:val="24"/>
          <w:szCs w:val="24"/>
          <w:u w:val="single"/>
        </w:rPr>
        <w:t>Ældre</w:t>
      </w:r>
    </w:p>
    <w:p w14:paraId="64855D58" w14:textId="77777777" w:rsidR="00692CCC" w:rsidRPr="00692CCC" w:rsidRDefault="00692CCC" w:rsidP="00692CCC">
      <w:pPr>
        <w:tabs>
          <w:tab w:val="left" w:pos="851"/>
        </w:tabs>
        <w:ind w:left="851"/>
        <w:rPr>
          <w:sz w:val="24"/>
          <w:szCs w:val="24"/>
        </w:rPr>
      </w:pPr>
      <w:r w:rsidRPr="00692CCC">
        <w:rPr>
          <w:sz w:val="24"/>
          <w:szCs w:val="24"/>
        </w:rPr>
        <w:t>Dosisjustering er ikke nødvendig, forudsat at nyre- og leverfunktionen er normal.</w:t>
      </w:r>
    </w:p>
    <w:p w14:paraId="6B5AE04B" w14:textId="51EA3898" w:rsidR="00692CCC" w:rsidRDefault="00692CCC">
      <w:pPr>
        <w:rPr>
          <w:sz w:val="24"/>
          <w:szCs w:val="24"/>
        </w:rPr>
      </w:pPr>
      <w:r>
        <w:rPr>
          <w:sz w:val="24"/>
          <w:szCs w:val="24"/>
        </w:rPr>
        <w:br w:type="page"/>
      </w:r>
    </w:p>
    <w:p w14:paraId="218A0E7D" w14:textId="77777777" w:rsidR="00692CCC" w:rsidRPr="00692CCC" w:rsidRDefault="00692CCC" w:rsidP="00692CCC">
      <w:pPr>
        <w:tabs>
          <w:tab w:val="left" w:pos="851"/>
        </w:tabs>
        <w:ind w:left="851"/>
        <w:rPr>
          <w:sz w:val="24"/>
          <w:szCs w:val="24"/>
        </w:rPr>
      </w:pPr>
    </w:p>
    <w:p w14:paraId="185B8998" w14:textId="77777777" w:rsidR="00692CCC" w:rsidRPr="00692CCC" w:rsidRDefault="00692CCC" w:rsidP="00692CCC">
      <w:pPr>
        <w:tabs>
          <w:tab w:val="left" w:pos="851"/>
        </w:tabs>
        <w:ind w:left="851"/>
        <w:rPr>
          <w:b/>
          <w:bCs/>
          <w:sz w:val="24"/>
          <w:szCs w:val="24"/>
        </w:rPr>
      </w:pPr>
      <w:r w:rsidRPr="00692CCC">
        <w:rPr>
          <w:b/>
          <w:sz w:val="24"/>
          <w:szCs w:val="24"/>
        </w:rPr>
        <w:t>Andre specielle anbefalinger</w:t>
      </w:r>
    </w:p>
    <w:p w14:paraId="57E47961" w14:textId="77777777" w:rsidR="00692CCC" w:rsidRDefault="00692CCC" w:rsidP="00692CCC">
      <w:pPr>
        <w:tabs>
          <w:tab w:val="left" w:pos="851"/>
        </w:tabs>
        <w:ind w:left="851"/>
        <w:rPr>
          <w:i/>
          <w:sz w:val="24"/>
          <w:szCs w:val="24"/>
        </w:rPr>
      </w:pPr>
    </w:p>
    <w:p w14:paraId="0ABA58E0" w14:textId="485AA122" w:rsidR="00692CCC" w:rsidRPr="00692CCC" w:rsidRDefault="00692CCC" w:rsidP="00692CCC">
      <w:pPr>
        <w:tabs>
          <w:tab w:val="left" w:pos="851"/>
        </w:tabs>
        <w:ind w:left="851"/>
        <w:rPr>
          <w:i/>
          <w:iCs/>
          <w:sz w:val="24"/>
          <w:szCs w:val="24"/>
        </w:rPr>
      </w:pPr>
      <w:proofErr w:type="spellStart"/>
      <w:r w:rsidRPr="00692CCC">
        <w:rPr>
          <w:i/>
          <w:sz w:val="24"/>
          <w:szCs w:val="24"/>
        </w:rPr>
        <w:t>Gonoré</w:t>
      </w:r>
      <w:proofErr w:type="spellEnd"/>
    </w:p>
    <w:p w14:paraId="29F035E2" w14:textId="77777777" w:rsidR="00692CCC" w:rsidRPr="00692CCC" w:rsidRDefault="00692CCC" w:rsidP="00692CCC">
      <w:pPr>
        <w:tabs>
          <w:tab w:val="left" w:pos="851"/>
        </w:tabs>
        <w:ind w:left="851"/>
        <w:rPr>
          <w:sz w:val="24"/>
          <w:szCs w:val="24"/>
        </w:rPr>
      </w:pPr>
      <w:r w:rsidRPr="00692CCC">
        <w:rPr>
          <w:sz w:val="24"/>
          <w:szCs w:val="24"/>
        </w:rPr>
        <w:t xml:space="preserve">Til </w:t>
      </w:r>
      <w:proofErr w:type="spellStart"/>
      <w:r w:rsidRPr="00692CCC">
        <w:rPr>
          <w:sz w:val="24"/>
          <w:szCs w:val="24"/>
        </w:rPr>
        <w:t>gonoré</w:t>
      </w:r>
      <w:proofErr w:type="spellEnd"/>
      <w:r w:rsidRPr="00692CCC">
        <w:rPr>
          <w:sz w:val="24"/>
          <w:szCs w:val="24"/>
        </w:rPr>
        <w:t>; en enkelt injektion (intramuskulært eller intravenøst) på 0,5</w:t>
      </w:r>
      <w:r w:rsidRPr="00692CCC">
        <w:rPr>
          <w:sz w:val="24"/>
          <w:szCs w:val="24"/>
        </w:rPr>
        <w:noBreakHyphen/>
        <w:t xml:space="preserve">1 g </w:t>
      </w:r>
      <w:proofErr w:type="spellStart"/>
      <w:r w:rsidRPr="00692CCC">
        <w:rPr>
          <w:sz w:val="24"/>
          <w:szCs w:val="24"/>
        </w:rPr>
        <w:t>cefotaxim</w:t>
      </w:r>
      <w:proofErr w:type="spellEnd"/>
      <w:r w:rsidRPr="00692CCC">
        <w:rPr>
          <w:sz w:val="24"/>
          <w:szCs w:val="24"/>
        </w:rPr>
        <w:t>. Til komplicerede infektioner skal der tages hensyn til tilgængelige officielle retningslinjer. Syfilis skal udelukkes, før behandlingen påbegyndes.</w:t>
      </w:r>
    </w:p>
    <w:p w14:paraId="7F4FF4E4" w14:textId="77777777" w:rsidR="00692CCC" w:rsidRPr="00692CCC" w:rsidRDefault="00692CCC" w:rsidP="00692CCC">
      <w:pPr>
        <w:tabs>
          <w:tab w:val="left" w:pos="851"/>
        </w:tabs>
        <w:ind w:left="851"/>
        <w:rPr>
          <w:sz w:val="24"/>
          <w:szCs w:val="24"/>
        </w:rPr>
      </w:pPr>
    </w:p>
    <w:p w14:paraId="3972CE35" w14:textId="77777777" w:rsidR="00692CCC" w:rsidRPr="00692CCC" w:rsidRDefault="00692CCC" w:rsidP="00692CCC">
      <w:pPr>
        <w:tabs>
          <w:tab w:val="left" w:pos="851"/>
        </w:tabs>
        <w:ind w:left="851"/>
        <w:rPr>
          <w:i/>
          <w:iCs/>
          <w:sz w:val="24"/>
          <w:szCs w:val="24"/>
        </w:rPr>
      </w:pPr>
      <w:r w:rsidRPr="00692CCC">
        <w:rPr>
          <w:i/>
          <w:sz w:val="24"/>
          <w:szCs w:val="24"/>
        </w:rPr>
        <w:t>Bakteriel meningitis</w:t>
      </w:r>
    </w:p>
    <w:p w14:paraId="034FADDE" w14:textId="77777777" w:rsidR="00692CCC" w:rsidRDefault="00692CCC" w:rsidP="00692CCC">
      <w:pPr>
        <w:tabs>
          <w:tab w:val="left" w:pos="851"/>
        </w:tabs>
        <w:ind w:left="851"/>
        <w:rPr>
          <w:sz w:val="24"/>
          <w:szCs w:val="24"/>
        </w:rPr>
      </w:pPr>
      <w:r w:rsidRPr="00692CCC">
        <w:rPr>
          <w:sz w:val="24"/>
          <w:szCs w:val="24"/>
        </w:rPr>
        <w:t>Voksne: Daglig dosis på 6</w:t>
      </w:r>
      <w:r>
        <w:rPr>
          <w:sz w:val="24"/>
          <w:szCs w:val="24"/>
        </w:rPr>
        <w:t>-</w:t>
      </w:r>
      <w:r w:rsidRPr="00692CCC">
        <w:rPr>
          <w:sz w:val="24"/>
          <w:szCs w:val="24"/>
        </w:rPr>
        <w:t xml:space="preserve">12 g </w:t>
      </w:r>
      <w:proofErr w:type="spellStart"/>
      <w:r w:rsidRPr="00692CCC">
        <w:rPr>
          <w:sz w:val="24"/>
          <w:szCs w:val="24"/>
        </w:rPr>
        <w:t>cefotaxim</w:t>
      </w:r>
      <w:proofErr w:type="spellEnd"/>
      <w:r w:rsidRPr="00692CCC">
        <w:rPr>
          <w:sz w:val="24"/>
          <w:szCs w:val="24"/>
        </w:rPr>
        <w:t xml:space="preserve"> delt i lige store doser hver 6.</w:t>
      </w:r>
      <w:r w:rsidRPr="00692CCC">
        <w:rPr>
          <w:sz w:val="24"/>
          <w:szCs w:val="24"/>
        </w:rPr>
        <w:noBreakHyphen/>
        <w:t>8. time (2 til 3 g</w:t>
      </w:r>
    </w:p>
    <w:p w14:paraId="045D9901" w14:textId="42A306FB" w:rsidR="00692CCC" w:rsidRPr="00692CCC" w:rsidRDefault="00692CCC" w:rsidP="00692CCC">
      <w:pPr>
        <w:tabs>
          <w:tab w:val="left" w:pos="851"/>
        </w:tabs>
        <w:ind w:left="851"/>
        <w:rPr>
          <w:sz w:val="24"/>
          <w:szCs w:val="24"/>
        </w:rPr>
      </w:pPr>
      <w:r w:rsidRPr="00692CCC">
        <w:rPr>
          <w:sz w:val="24"/>
          <w:szCs w:val="24"/>
        </w:rPr>
        <w:t>3</w:t>
      </w:r>
      <w:r>
        <w:rPr>
          <w:sz w:val="24"/>
          <w:szCs w:val="24"/>
        </w:rPr>
        <w:t>-</w:t>
      </w:r>
      <w:r w:rsidRPr="00692CCC">
        <w:rPr>
          <w:sz w:val="24"/>
          <w:szCs w:val="24"/>
        </w:rPr>
        <w:t>4 gange dagligt).</w:t>
      </w:r>
    </w:p>
    <w:p w14:paraId="15C3755C" w14:textId="661BEB0F" w:rsidR="00692CCC" w:rsidRPr="00692CCC" w:rsidRDefault="00692CCC" w:rsidP="00692CCC">
      <w:pPr>
        <w:tabs>
          <w:tab w:val="left" w:pos="851"/>
        </w:tabs>
        <w:ind w:left="851"/>
        <w:rPr>
          <w:sz w:val="24"/>
          <w:szCs w:val="24"/>
        </w:rPr>
      </w:pPr>
      <w:r w:rsidRPr="00692CCC">
        <w:rPr>
          <w:sz w:val="24"/>
          <w:szCs w:val="24"/>
        </w:rPr>
        <w:t>Børn: 150</w:t>
      </w:r>
      <w:r>
        <w:rPr>
          <w:sz w:val="24"/>
          <w:szCs w:val="24"/>
        </w:rPr>
        <w:t>-</w:t>
      </w:r>
      <w:r w:rsidRPr="00692CCC">
        <w:rPr>
          <w:sz w:val="24"/>
          <w:szCs w:val="24"/>
        </w:rPr>
        <w:t>200 mg/kg/dag delt i lige store doser hver 6.</w:t>
      </w:r>
      <w:r w:rsidRPr="00692CCC">
        <w:rPr>
          <w:sz w:val="24"/>
          <w:szCs w:val="24"/>
        </w:rPr>
        <w:noBreakHyphen/>
        <w:t>8. time.</w:t>
      </w:r>
    </w:p>
    <w:p w14:paraId="067A1488" w14:textId="77777777" w:rsidR="00692CCC" w:rsidRPr="00692CCC" w:rsidRDefault="00692CCC" w:rsidP="00692CCC">
      <w:pPr>
        <w:tabs>
          <w:tab w:val="left" w:pos="851"/>
        </w:tabs>
        <w:ind w:left="851"/>
        <w:rPr>
          <w:sz w:val="24"/>
          <w:szCs w:val="24"/>
        </w:rPr>
      </w:pPr>
      <w:r w:rsidRPr="00692CCC">
        <w:rPr>
          <w:sz w:val="24"/>
          <w:szCs w:val="24"/>
        </w:rPr>
        <w:t>Nyfødte: 0</w:t>
      </w:r>
      <w:r w:rsidRPr="00692CCC">
        <w:rPr>
          <w:sz w:val="24"/>
          <w:szCs w:val="24"/>
        </w:rPr>
        <w:noBreakHyphen/>
        <w:t>7 dage: 50 mg/kg hver 12. time, 7</w:t>
      </w:r>
      <w:r w:rsidRPr="00692CCC">
        <w:rPr>
          <w:sz w:val="24"/>
          <w:szCs w:val="24"/>
        </w:rPr>
        <w:noBreakHyphen/>
        <w:t>28 dage: 50 mg/kg hver 8. time.</w:t>
      </w:r>
    </w:p>
    <w:p w14:paraId="14724B2C" w14:textId="77777777" w:rsidR="00692CCC" w:rsidRPr="00692CCC" w:rsidRDefault="00692CCC" w:rsidP="00692CCC">
      <w:pPr>
        <w:tabs>
          <w:tab w:val="left" w:pos="851"/>
        </w:tabs>
        <w:ind w:left="851"/>
        <w:rPr>
          <w:sz w:val="24"/>
          <w:szCs w:val="24"/>
        </w:rPr>
      </w:pPr>
    </w:p>
    <w:p w14:paraId="7FBA9F70" w14:textId="77777777" w:rsidR="00692CCC" w:rsidRPr="00692CCC" w:rsidRDefault="00692CCC" w:rsidP="00692CCC">
      <w:pPr>
        <w:tabs>
          <w:tab w:val="left" w:pos="851"/>
        </w:tabs>
        <w:ind w:left="851"/>
        <w:rPr>
          <w:i/>
          <w:iCs/>
          <w:sz w:val="24"/>
          <w:szCs w:val="24"/>
        </w:rPr>
      </w:pPr>
      <w:r w:rsidRPr="00692CCC">
        <w:rPr>
          <w:i/>
          <w:sz w:val="24"/>
          <w:szCs w:val="24"/>
        </w:rPr>
        <w:t>Perioperativ profylakse</w:t>
      </w:r>
    </w:p>
    <w:p w14:paraId="35837E54" w14:textId="77777777" w:rsidR="00692CCC" w:rsidRPr="00692CCC" w:rsidRDefault="00692CCC" w:rsidP="00692CCC">
      <w:pPr>
        <w:tabs>
          <w:tab w:val="left" w:pos="851"/>
        </w:tabs>
        <w:ind w:left="851"/>
        <w:rPr>
          <w:sz w:val="24"/>
          <w:szCs w:val="24"/>
        </w:rPr>
      </w:pPr>
      <w:r w:rsidRPr="00692CCC">
        <w:rPr>
          <w:sz w:val="24"/>
          <w:szCs w:val="24"/>
        </w:rPr>
        <w:t>1</w:t>
      </w:r>
      <w:r w:rsidRPr="00692CCC">
        <w:rPr>
          <w:sz w:val="24"/>
          <w:szCs w:val="24"/>
        </w:rPr>
        <w:noBreakHyphen/>
        <w:t xml:space="preserve">2 g som enkeltdosis så tæt på operationsstart som muligt. I de tilfælde, hvor operationstiden overstiger 90 minutter, skal der gives en ekstra dosis </w:t>
      </w:r>
      <w:proofErr w:type="gramStart"/>
      <w:r w:rsidRPr="00692CCC">
        <w:rPr>
          <w:sz w:val="24"/>
          <w:szCs w:val="24"/>
        </w:rPr>
        <w:t>profylaktisk</w:t>
      </w:r>
      <w:proofErr w:type="gramEnd"/>
      <w:r w:rsidRPr="00692CCC">
        <w:rPr>
          <w:sz w:val="24"/>
          <w:szCs w:val="24"/>
        </w:rPr>
        <w:t xml:space="preserve"> antibiotika.</w:t>
      </w:r>
    </w:p>
    <w:p w14:paraId="10923310" w14:textId="77777777" w:rsidR="00692CCC" w:rsidRPr="00692CCC" w:rsidRDefault="00692CCC" w:rsidP="00692CCC">
      <w:pPr>
        <w:tabs>
          <w:tab w:val="left" w:pos="851"/>
        </w:tabs>
        <w:ind w:left="851"/>
        <w:rPr>
          <w:sz w:val="24"/>
          <w:szCs w:val="24"/>
        </w:rPr>
      </w:pPr>
    </w:p>
    <w:p w14:paraId="53BD986B" w14:textId="77777777" w:rsidR="00692CCC" w:rsidRPr="00692CCC" w:rsidRDefault="00692CCC" w:rsidP="00692CCC">
      <w:pPr>
        <w:tabs>
          <w:tab w:val="left" w:pos="851"/>
        </w:tabs>
        <w:ind w:left="851"/>
        <w:rPr>
          <w:i/>
          <w:iCs/>
          <w:sz w:val="24"/>
          <w:szCs w:val="24"/>
        </w:rPr>
      </w:pPr>
      <w:proofErr w:type="spellStart"/>
      <w:r w:rsidRPr="00692CCC">
        <w:rPr>
          <w:i/>
          <w:sz w:val="24"/>
          <w:szCs w:val="24"/>
        </w:rPr>
        <w:t>Intraabdominale</w:t>
      </w:r>
      <w:proofErr w:type="spellEnd"/>
      <w:r w:rsidRPr="00692CCC">
        <w:rPr>
          <w:i/>
          <w:sz w:val="24"/>
          <w:szCs w:val="24"/>
        </w:rPr>
        <w:t xml:space="preserve"> infektioner</w:t>
      </w:r>
    </w:p>
    <w:p w14:paraId="2B8D3623" w14:textId="77777777" w:rsidR="00692CCC" w:rsidRPr="00692CCC" w:rsidRDefault="00692CCC" w:rsidP="00692CCC">
      <w:pPr>
        <w:tabs>
          <w:tab w:val="left" w:pos="851"/>
        </w:tabs>
        <w:ind w:left="851"/>
        <w:rPr>
          <w:sz w:val="24"/>
          <w:szCs w:val="24"/>
        </w:rPr>
      </w:pPr>
      <w:proofErr w:type="spellStart"/>
      <w:r w:rsidRPr="00692CCC">
        <w:rPr>
          <w:sz w:val="24"/>
          <w:szCs w:val="24"/>
        </w:rPr>
        <w:t>Intraabdominale</w:t>
      </w:r>
      <w:proofErr w:type="spellEnd"/>
      <w:r w:rsidRPr="00692CCC">
        <w:rPr>
          <w:sz w:val="24"/>
          <w:szCs w:val="24"/>
        </w:rPr>
        <w:t xml:space="preserve"> infektioner bør behandles med </w:t>
      </w:r>
      <w:proofErr w:type="spellStart"/>
      <w:r w:rsidRPr="00692CCC">
        <w:rPr>
          <w:sz w:val="24"/>
          <w:szCs w:val="24"/>
        </w:rPr>
        <w:t>cefotaxim</w:t>
      </w:r>
      <w:proofErr w:type="spellEnd"/>
      <w:r w:rsidRPr="00692CCC">
        <w:rPr>
          <w:sz w:val="24"/>
          <w:szCs w:val="24"/>
        </w:rPr>
        <w:t xml:space="preserve"> i kombination med andre antibiotika med dækning for anaerobe bakterier.</w:t>
      </w:r>
    </w:p>
    <w:p w14:paraId="63629A74" w14:textId="77777777" w:rsidR="00692CCC" w:rsidRPr="00692CCC" w:rsidRDefault="00692CCC" w:rsidP="00692CCC">
      <w:pPr>
        <w:tabs>
          <w:tab w:val="left" w:pos="851"/>
        </w:tabs>
        <w:ind w:left="851"/>
        <w:rPr>
          <w:sz w:val="24"/>
          <w:szCs w:val="24"/>
        </w:rPr>
      </w:pPr>
    </w:p>
    <w:p w14:paraId="58CC47C1" w14:textId="77777777" w:rsidR="00692CCC" w:rsidRPr="00692CCC" w:rsidRDefault="00692CCC" w:rsidP="00692CCC">
      <w:pPr>
        <w:tabs>
          <w:tab w:val="left" w:pos="851"/>
        </w:tabs>
        <w:ind w:left="851"/>
        <w:rPr>
          <w:sz w:val="24"/>
          <w:szCs w:val="24"/>
          <w:u w:val="single"/>
        </w:rPr>
      </w:pPr>
      <w:r w:rsidRPr="00692CCC">
        <w:rPr>
          <w:sz w:val="24"/>
          <w:szCs w:val="24"/>
          <w:u w:val="single"/>
        </w:rPr>
        <w:t>Dosering ved nedsat nyrefunktion</w:t>
      </w:r>
    </w:p>
    <w:p w14:paraId="2FE99B5E" w14:textId="77777777" w:rsidR="00692CCC" w:rsidRPr="00692CCC" w:rsidRDefault="00692CCC" w:rsidP="00692CCC">
      <w:pPr>
        <w:tabs>
          <w:tab w:val="left" w:pos="851"/>
        </w:tabs>
        <w:ind w:left="851"/>
        <w:rPr>
          <w:sz w:val="24"/>
          <w:szCs w:val="24"/>
        </w:rPr>
      </w:pPr>
      <w:r w:rsidRPr="00692CCC">
        <w:rPr>
          <w:sz w:val="24"/>
          <w:szCs w:val="24"/>
        </w:rPr>
        <w:t xml:space="preserve">Hos patienter med en </w:t>
      </w:r>
      <w:proofErr w:type="spellStart"/>
      <w:r w:rsidRPr="00692CCC">
        <w:rPr>
          <w:sz w:val="24"/>
          <w:szCs w:val="24"/>
        </w:rPr>
        <w:t>kreatininclearance</w:t>
      </w:r>
      <w:proofErr w:type="spellEnd"/>
      <w:r w:rsidRPr="00692CCC">
        <w:rPr>
          <w:sz w:val="24"/>
          <w:szCs w:val="24"/>
        </w:rPr>
        <w:t xml:space="preserve"> på under 10 ml/minut skal vedligeholdelsesdosis nedsættes til halvdelen af den normale dosis efter en indledende normal dosis, uden at dosisintervallet ændres.</w:t>
      </w:r>
    </w:p>
    <w:p w14:paraId="2FFA4056" w14:textId="77777777" w:rsidR="00692CCC" w:rsidRPr="00692CCC" w:rsidRDefault="00692CCC" w:rsidP="00692CCC">
      <w:pPr>
        <w:tabs>
          <w:tab w:val="left" w:pos="851"/>
        </w:tabs>
        <w:ind w:left="851"/>
        <w:rPr>
          <w:sz w:val="24"/>
          <w:szCs w:val="24"/>
        </w:rPr>
      </w:pPr>
    </w:p>
    <w:p w14:paraId="2E82FF41" w14:textId="77777777" w:rsidR="00692CCC" w:rsidRPr="00692CCC" w:rsidRDefault="00692CCC" w:rsidP="00692CCC">
      <w:pPr>
        <w:tabs>
          <w:tab w:val="left" w:pos="851"/>
        </w:tabs>
        <w:ind w:left="851"/>
        <w:rPr>
          <w:sz w:val="24"/>
          <w:szCs w:val="24"/>
          <w:u w:val="single"/>
        </w:rPr>
      </w:pPr>
      <w:r w:rsidRPr="00692CCC">
        <w:rPr>
          <w:sz w:val="24"/>
          <w:szCs w:val="24"/>
          <w:u w:val="single"/>
        </w:rPr>
        <w:t xml:space="preserve">Dosering ved hæmodialyse eller </w:t>
      </w:r>
      <w:proofErr w:type="spellStart"/>
      <w:r w:rsidRPr="00692CCC">
        <w:rPr>
          <w:sz w:val="24"/>
          <w:szCs w:val="24"/>
          <w:u w:val="single"/>
        </w:rPr>
        <w:t>peritonealdialyse</w:t>
      </w:r>
      <w:proofErr w:type="spellEnd"/>
    </w:p>
    <w:p w14:paraId="72873C8C" w14:textId="77777777" w:rsidR="00692CCC" w:rsidRPr="00692CCC" w:rsidRDefault="00692CCC" w:rsidP="00692CCC">
      <w:pPr>
        <w:tabs>
          <w:tab w:val="left" w:pos="851"/>
        </w:tabs>
        <w:ind w:left="851"/>
        <w:rPr>
          <w:i/>
          <w:iCs/>
          <w:sz w:val="24"/>
          <w:szCs w:val="24"/>
          <w:u w:val="single"/>
        </w:rPr>
      </w:pPr>
      <w:r w:rsidRPr="00692CCC">
        <w:rPr>
          <w:sz w:val="24"/>
          <w:szCs w:val="24"/>
        </w:rPr>
        <w:t xml:space="preserve">1 til 2 g dagligt, afhængigt af infektionens sværhedsgrad. På hæmodialysedagen skal </w:t>
      </w:r>
      <w:proofErr w:type="spellStart"/>
      <w:r w:rsidRPr="00692CCC">
        <w:rPr>
          <w:sz w:val="24"/>
          <w:szCs w:val="24"/>
        </w:rPr>
        <w:t>cefotaxim</w:t>
      </w:r>
      <w:proofErr w:type="spellEnd"/>
      <w:r w:rsidRPr="00692CCC">
        <w:rPr>
          <w:sz w:val="24"/>
          <w:szCs w:val="24"/>
        </w:rPr>
        <w:t xml:space="preserve"> administreres efter dialysesessionen.</w:t>
      </w:r>
    </w:p>
    <w:p w14:paraId="492AC231" w14:textId="77777777" w:rsidR="00692CCC" w:rsidRPr="00692CCC" w:rsidRDefault="00692CCC" w:rsidP="00692CCC">
      <w:pPr>
        <w:tabs>
          <w:tab w:val="left" w:pos="851"/>
        </w:tabs>
        <w:ind w:left="851"/>
        <w:rPr>
          <w:sz w:val="24"/>
          <w:szCs w:val="24"/>
        </w:rPr>
      </w:pPr>
    </w:p>
    <w:p w14:paraId="0868AB0B" w14:textId="77777777" w:rsidR="00692CCC" w:rsidRPr="00692CCC" w:rsidRDefault="00692CCC" w:rsidP="00692CCC">
      <w:pPr>
        <w:tabs>
          <w:tab w:val="left" w:pos="851"/>
        </w:tabs>
        <w:ind w:left="851"/>
        <w:rPr>
          <w:bCs/>
          <w:sz w:val="24"/>
          <w:szCs w:val="24"/>
          <w:u w:val="single"/>
        </w:rPr>
      </w:pPr>
      <w:r w:rsidRPr="00692CCC">
        <w:rPr>
          <w:sz w:val="24"/>
          <w:szCs w:val="24"/>
          <w:u w:val="single"/>
        </w:rPr>
        <w:t>Behandlingsvarighed</w:t>
      </w:r>
    </w:p>
    <w:p w14:paraId="32768549" w14:textId="77777777" w:rsidR="00692CCC" w:rsidRPr="00692CCC" w:rsidRDefault="00692CCC" w:rsidP="00692CCC">
      <w:pPr>
        <w:tabs>
          <w:tab w:val="left" w:pos="851"/>
        </w:tabs>
        <w:ind w:left="851"/>
        <w:rPr>
          <w:sz w:val="24"/>
          <w:szCs w:val="24"/>
        </w:rPr>
      </w:pPr>
      <w:r w:rsidRPr="00692CCC">
        <w:rPr>
          <w:sz w:val="24"/>
          <w:szCs w:val="24"/>
        </w:rPr>
        <w:t xml:space="preserve">Behandlingsvarigheden med </w:t>
      </w:r>
      <w:proofErr w:type="spellStart"/>
      <w:r w:rsidRPr="00692CCC">
        <w:rPr>
          <w:sz w:val="24"/>
          <w:szCs w:val="24"/>
        </w:rPr>
        <w:t>cefotaxim</w:t>
      </w:r>
      <w:proofErr w:type="spellEnd"/>
      <w:r w:rsidRPr="00692CCC">
        <w:rPr>
          <w:sz w:val="24"/>
          <w:szCs w:val="24"/>
        </w:rPr>
        <w:t xml:space="preserve"> afhænger af patientens kliniske tilstand og varierer afhængigt af den bakteriologiske udvikling. Administrationen af </w:t>
      </w:r>
      <w:proofErr w:type="spellStart"/>
      <w:r w:rsidRPr="00692CCC">
        <w:rPr>
          <w:sz w:val="24"/>
          <w:szCs w:val="24"/>
        </w:rPr>
        <w:t>cefotaxim</w:t>
      </w:r>
      <w:proofErr w:type="spellEnd"/>
      <w:r w:rsidRPr="00692CCC">
        <w:rPr>
          <w:sz w:val="24"/>
          <w:szCs w:val="24"/>
        </w:rPr>
        <w:t xml:space="preserve"> skal fortsætte, indtil symptomerne er aftaget, eller der er tegn på bakteriel udryddelse. Behandling i mindst 10 dage er nødvendig ved infektioner forårsaget af </w:t>
      </w:r>
      <w:proofErr w:type="spellStart"/>
      <w:r w:rsidRPr="00692CCC">
        <w:rPr>
          <w:sz w:val="24"/>
          <w:szCs w:val="24"/>
        </w:rPr>
        <w:t>Streptococcus</w:t>
      </w:r>
      <w:proofErr w:type="spellEnd"/>
      <w:r w:rsidRPr="00692CCC">
        <w:rPr>
          <w:sz w:val="24"/>
          <w:szCs w:val="24"/>
        </w:rPr>
        <w:t xml:space="preserve"> </w:t>
      </w:r>
      <w:proofErr w:type="spellStart"/>
      <w:r w:rsidRPr="00692CCC">
        <w:rPr>
          <w:sz w:val="24"/>
          <w:szCs w:val="24"/>
        </w:rPr>
        <w:t>pyogenes</w:t>
      </w:r>
      <w:proofErr w:type="spellEnd"/>
      <w:r w:rsidRPr="00692CCC">
        <w:rPr>
          <w:sz w:val="24"/>
          <w:szCs w:val="24"/>
        </w:rPr>
        <w:t xml:space="preserve"> (parenteral behandling kan skiftes til en passende oral behandling inden udløbet af denne periode på 10 dage).</w:t>
      </w:r>
    </w:p>
    <w:p w14:paraId="07E41585" w14:textId="77777777" w:rsidR="00692CCC" w:rsidRPr="00692CCC" w:rsidRDefault="00692CCC" w:rsidP="00692CCC">
      <w:pPr>
        <w:tabs>
          <w:tab w:val="left" w:pos="851"/>
        </w:tabs>
        <w:ind w:left="851"/>
        <w:rPr>
          <w:sz w:val="24"/>
          <w:szCs w:val="24"/>
        </w:rPr>
      </w:pPr>
    </w:p>
    <w:p w14:paraId="541A342E" w14:textId="77777777" w:rsidR="00692CCC" w:rsidRPr="00692CCC" w:rsidRDefault="00692CCC" w:rsidP="00692CCC">
      <w:pPr>
        <w:tabs>
          <w:tab w:val="left" w:pos="851"/>
        </w:tabs>
        <w:ind w:left="851"/>
        <w:rPr>
          <w:b/>
          <w:bCs/>
          <w:sz w:val="24"/>
          <w:szCs w:val="24"/>
        </w:rPr>
      </w:pPr>
      <w:bookmarkStart w:id="3" w:name="_Hlk140009324"/>
      <w:bookmarkStart w:id="4" w:name="_Hlk196814224"/>
      <w:r w:rsidRPr="00692CCC">
        <w:rPr>
          <w:b/>
          <w:sz w:val="24"/>
          <w:szCs w:val="24"/>
        </w:rPr>
        <w:t>Administration</w:t>
      </w:r>
    </w:p>
    <w:bookmarkEnd w:id="3"/>
    <w:p w14:paraId="0C50B0A4" w14:textId="77777777" w:rsidR="00692CCC" w:rsidRPr="00692CCC" w:rsidRDefault="00692CCC" w:rsidP="00692CCC">
      <w:pPr>
        <w:tabs>
          <w:tab w:val="left" w:pos="851"/>
        </w:tabs>
        <w:ind w:left="851"/>
        <w:rPr>
          <w:sz w:val="24"/>
          <w:szCs w:val="24"/>
        </w:rPr>
      </w:pPr>
      <w:proofErr w:type="spellStart"/>
      <w:r w:rsidRPr="00692CCC">
        <w:rPr>
          <w:sz w:val="24"/>
          <w:szCs w:val="24"/>
        </w:rPr>
        <w:t>Cefotaxim</w:t>
      </w:r>
      <w:proofErr w:type="spellEnd"/>
      <w:r w:rsidRPr="00692CCC">
        <w:rPr>
          <w:sz w:val="24"/>
          <w:szCs w:val="24"/>
        </w:rPr>
        <w:t xml:space="preserve"> "Hameln" 1 g pulver til injektionsvæske/infusionsvæske, opløsning kan gives ved </w:t>
      </w:r>
      <w:r w:rsidRPr="00692CCC">
        <w:rPr>
          <w:b/>
          <w:bCs/>
          <w:sz w:val="24"/>
          <w:szCs w:val="24"/>
        </w:rPr>
        <w:t>intramuskulær injektion, intravenøs injektion eller intravenøs infusion.</w:t>
      </w:r>
    </w:p>
    <w:p w14:paraId="0E953496" w14:textId="77777777" w:rsidR="00692CCC" w:rsidRPr="00692CCC" w:rsidRDefault="00692CCC" w:rsidP="00692CCC">
      <w:pPr>
        <w:tabs>
          <w:tab w:val="left" w:pos="851"/>
        </w:tabs>
        <w:ind w:left="851"/>
        <w:rPr>
          <w:sz w:val="24"/>
          <w:szCs w:val="24"/>
        </w:rPr>
      </w:pPr>
      <w:proofErr w:type="spellStart"/>
      <w:r w:rsidRPr="00692CCC">
        <w:rPr>
          <w:sz w:val="24"/>
          <w:szCs w:val="24"/>
        </w:rPr>
        <w:t>Cefotaxim</w:t>
      </w:r>
      <w:proofErr w:type="spellEnd"/>
      <w:r w:rsidRPr="00692CCC">
        <w:rPr>
          <w:sz w:val="24"/>
          <w:szCs w:val="24"/>
        </w:rPr>
        <w:t xml:space="preserve"> "Hameln" 2 g pulver til injektionsvæske/infusionsvæske, opløsning kan gives ved </w:t>
      </w:r>
      <w:r w:rsidRPr="00692CCC">
        <w:rPr>
          <w:b/>
          <w:bCs/>
          <w:sz w:val="24"/>
          <w:szCs w:val="24"/>
        </w:rPr>
        <w:t>intravenøs injektion eller infusion</w:t>
      </w:r>
      <w:r w:rsidRPr="00692CCC">
        <w:rPr>
          <w:sz w:val="24"/>
          <w:szCs w:val="24"/>
        </w:rPr>
        <w:t>.</w:t>
      </w:r>
    </w:p>
    <w:bookmarkEnd w:id="4"/>
    <w:p w14:paraId="0D0F0A07" w14:textId="77777777" w:rsidR="00692CCC" w:rsidRPr="00692CCC" w:rsidRDefault="00692CCC" w:rsidP="00692CCC">
      <w:pPr>
        <w:tabs>
          <w:tab w:val="left" w:pos="851"/>
        </w:tabs>
        <w:ind w:left="851"/>
        <w:rPr>
          <w:sz w:val="24"/>
          <w:szCs w:val="24"/>
          <w:u w:val="single"/>
        </w:rPr>
      </w:pPr>
    </w:p>
    <w:p w14:paraId="1500767A" w14:textId="77777777" w:rsidR="00692CCC" w:rsidRPr="00692CCC" w:rsidRDefault="00692CCC" w:rsidP="00692CCC">
      <w:pPr>
        <w:tabs>
          <w:tab w:val="left" w:pos="851"/>
        </w:tabs>
        <w:ind w:left="851"/>
        <w:rPr>
          <w:sz w:val="24"/>
          <w:szCs w:val="24"/>
          <w:u w:val="single"/>
        </w:rPr>
      </w:pPr>
      <w:r w:rsidRPr="00692CCC">
        <w:rPr>
          <w:sz w:val="24"/>
          <w:szCs w:val="24"/>
          <w:u w:val="single"/>
        </w:rPr>
        <w:t>Intravenøs infusion</w:t>
      </w:r>
    </w:p>
    <w:p w14:paraId="4DCDE82F" w14:textId="77777777" w:rsidR="00692CCC" w:rsidRPr="00692CCC" w:rsidRDefault="00692CCC" w:rsidP="00692CCC">
      <w:pPr>
        <w:tabs>
          <w:tab w:val="left" w:pos="851"/>
        </w:tabs>
        <w:ind w:left="851"/>
        <w:rPr>
          <w:sz w:val="24"/>
          <w:szCs w:val="24"/>
        </w:rPr>
      </w:pPr>
      <w:r w:rsidRPr="00692CCC">
        <w:rPr>
          <w:sz w:val="24"/>
          <w:szCs w:val="24"/>
        </w:rPr>
        <w:t xml:space="preserve">For at undgå enhver risiko for infektion bør </w:t>
      </w:r>
      <w:proofErr w:type="spellStart"/>
      <w:r w:rsidRPr="00692CCC">
        <w:rPr>
          <w:sz w:val="24"/>
          <w:szCs w:val="24"/>
        </w:rPr>
        <w:t>rekonstitutionen</w:t>
      </w:r>
      <w:proofErr w:type="spellEnd"/>
      <w:r w:rsidRPr="00692CCC">
        <w:rPr>
          <w:sz w:val="24"/>
          <w:szCs w:val="24"/>
        </w:rPr>
        <w:t xml:space="preserve"> af opløsningen til infusion ske under nøje aseptiske forhold. Udsæt ikke infusionen efter </w:t>
      </w:r>
      <w:proofErr w:type="spellStart"/>
      <w:r w:rsidRPr="00692CCC">
        <w:rPr>
          <w:sz w:val="24"/>
          <w:szCs w:val="24"/>
        </w:rPr>
        <w:t>rekonstitution</w:t>
      </w:r>
      <w:proofErr w:type="spellEnd"/>
      <w:r w:rsidRPr="00692CCC">
        <w:rPr>
          <w:sz w:val="24"/>
          <w:szCs w:val="24"/>
        </w:rPr>
        <w:t xml:space="preserve"> af opløsningen.</w:t>
      </w:r>
    </w:p>
    <w:p w14:paraId="6F511FF3" w14:textId="77777777" w:rsidR="00692CCC" w:rsidRPr="00692CCC" w:rsidRDefault="00692CCC" w:rsidP="00692CCC">
      <w:pPr>
        <w:tabs>
          <w:tab w:val="left" w:pos="851"/>
        </w:tabs>
        <w:ind w:left="851"/>
        <w:rPr>
          <w:sz w:val="24"/>
          <w:szCs w:val="24"/>
        </w:rPr>
      </w:pPr>
      <w:r w:rsidRPr="00692CCC">
        <w:rPr>
          <w:sz w:val="24"/>
          <w:szCs w:val="24"/>
        </w:rPr>
        <w:t xml:space="preserve">Til </w:t>
      </w:r>
      <w:r w:rsidRPr="00692CCC">
        <w:rPr>
          <w:i/>
          <w:iCs/>
          <w:sz w:val="24"/>
          <w:szCs w:val="24"/>
        </w:rPr>
        <w:t>kort intravenøs infusion</w:t>
      </w:r>
      <w:r w:rsidRPr="00692CCC">
        <w:rPr>
          <w:sz w:val="24"/>
          <w:szCs w:val="24"/>
        </w:rPr>
        <w:t xml:space="preserve">: Efter </w:t>
      </w:r>
      <w:proofErr w:type="spellStart"/>
      <w:r w:rsidRPr="00692CCC">
        <w:rPr>
          <w:sz w:val="24"/>
          <w:szCs w:val="24"/>
        </w:rPr>
        <w:t>rekonstitution</w:t>
      </w:r>
      <w:proofErr w:type="spellEnd"/>
      <w:r w:rsidRPr="00692CCC">
        <w:rPr>
          <w:sz w:val="24"/>
          <w:szCs w:val="24"/>
        </w:rPr>
        <w:t xml:space="preserve"> skal opløsningen administreres i løbet af 20 minutter.</w:t>
      </w:r>
    </w:p>
    <w:p w14:paraId="1643950E" w14:textId="77777777" w:rsidR="00692CCC" w:rsidRPr="00692CCC" w:rsidRDefault="00692CCC" w:rsidP="00692CCC">
      <w:pPr>
        <w:tabs>
          <w:tab w:val="left" w:pos="851"/>
        </w:tabs>
        <w:ind w:left="851"/>
        <w:rPr>
          <w:sz w:val="24"/>
          <w:szCs w:val="24"/>
        </w:rPr>
      </w:pPr>
      <w:r w:rsidRPr="00692CCC">
        <w:rPr>
          <w:sz w:val="24"/>
          <w:szCs w:val="24"/>
        </w:rPr>
        <w:t xml:space="preserve">Til </w:t>
      </w:r>
      <w:r w:rsidRPr="00692CCC">
        <w:rPr>
          <w:i/>
          <w:iCs/>
          <w:sz w:val="24"/>
          <w:szCs w:val="24"/>
        </w:rPr>
        <w:t>langvarig intravenøs infusion</w:t>
      </w:r>
      <w:r w:rsidRPr="00692CCC">
        <w:rPr>
          <w:sz w:val="24"/>
          <w:szCs w:val="24"/>
        </w:rPr>
        <w:t xml:space="preserve">: Efter </w:t>
      </w:r>
      <w:proofErr w:type="spellStart"/>
      <w:r w:rsidRPr="00692CCC">
        <w:rPr>
          <w:sz w:val="24"/>
          <w:szCs w:val="24"/>
        </w:rPr>
        <w:t>rekonstitution</w:t>
      </w:r>
      <w:proofErr w:type="spellEnd"/>
      <w:r w:rsidRPr="00692CCC">
        <w:rPr>
          <w:sz w:val="24"/>
          <w:szCs w:val="24"/>
        </w:rPr>
        <w:t xml:space="preserve"> skal opløsningen administreres i løbet af 50</w:t>
      </w:r>
      <w:r w:rsidRPr="00692CCC">
        <w:rPr>
          <w:sz w:val="24"/>
          <w:szCs w:val="24"/>
        </w:rPr>
        <w:noBreakHyphen/>
        <w:t>60 minutter.</w:t>
      </w:r>
    </w:p>
    <w:p w14:paraId="39BA0397" w14:textId="77777777" w:rsidR="00692CCC" w:rsidRPr="00692CCC" w:rsidRDefault="00692CCC" w:rsidP="00692CCC">
      <w:pPr>
        <w:tabs>
          <w:tab w:val="left" w:pos="851"/>
        </w:tabs>
        <w:ind w:left="851"/>
        <w:rPr>
          <w:sz w:val="24"/>
          <w:szCs w:val="24"/>
        </w:rPr>
      </w:pPr>
    </w:p>
    <w:p w14:paraId="302898F7" w14:textId="77777777" w:rsidR="00692CCC" w:rsidRPr="00692CCC" w:rsidRDefault="00692CCC" w:rsidP="00692CCC">
      <w:pPr>
        <w:tabs>
          <w:tab w:val="left" w:pos="851"/>
        </w:tabs>
        <w:ind w:left="851"/>
        <w:rPr>
          <w:sz w:val="24"/>
          <w:szCs w:val="24"/>
          <w:u w:val="single"/>
        </w:rPr>
      </w:pPr>
      <w:r w:rsidRPr="00692CCC">
        <w:rPr>
          <w:sz w:val="24"/>
          <w:szCs w:val="24"/>
          <w:u w:val="single"/>
        </w:rPr>
        <w:t>Intravenøs injektion</w:t>
      </w:r>
    </w:p>
    <w:p w14:paraId="2080FECB" w14:textId="77777777" w:rsidR="00692CCC" w:rsidRPr="00692CCC" w:rsidRDefault="00692CCC" w:rsidP="00692CCC">
      <w:pPr>
        <w:tabs>
          <w:tab w:val="left" w:pos="851"/>
        </w:tabs>
        <w:ind w:left="851"/>
        <w:rPr>
          <w:sz w:val="24"/>
          <w:szCs w:val="24"/>
        </w:rPr>
      </w:pPr>
      <w:r w:rsidRPr="00692CCC">
        <w:rPr>
          <w:sz w:val="24"/>
          <w:szCs w:val="24"/>
        </w:rPr>
        <w:t xml:space="preserve">Ved intermitterende intravenøse injektioner skal opløsningen injiceres i løbet af en periode på 3 til 5 minutter. Under overvågningen efter markedsføring er der rapporteret om potentielt livstruende </w:t>
      </w:r>
      <w:proofErr w:type="spellStart"/>
      <w:r w:rsidRPr="00692CCC">
        <w:rPr>
          <w:sz w:val="24"/>
          <w:szCs w:val="24"/>
        </w:rPr>
        <w:t>arytmi</w:t>
      </w:r>
      <w:proofErr w:type="spellEnd"/>
      <w:r w:rsidRPr="00692CCC">
        <w:rPr>
          <w:sz w:val="24"/>
          <w:szCs w:val="24"/>
        </w:rPr>
        <w:t xml:space="preserve"> hos meget få patienter, som fik hurtig intravenøs administration af </w:t>
      </w:r>
      <w:proofErr w:type="spellStart"/>
      <w:r w:rsidRPr="00692CCC">
        <w:rPr>
          <w:sz w:val="24"/>
          <w:szCs w:val="24"/>
        </w:rPr>
        <w:t>cefotaxim</w:t>
      </w:r>
      <w:proofErr w:type="spellEnd"/>
      <w:r w:rsidRPr="00692CCC">
        <w:rPr>
          <w:sz w:val="24"/>
          <w:szCs w:val="24"/>
        </w:rPr>
        <w:t xml:space="preserve"> gennem et centralt venekateter.</w:t>
      </w:r>
    </w:p>
    <w:p w14:paraId="0FBB7B07" w14:textId="77777777" w:rsidR="00692CCC" w:rsidRPr="00692CCC" w:rsidRDefault="00692CCC" w:rsidP="00692CCC">
      <w:pPr>
        <w:tabs>
          <w:tab w:val="left" w:pos="851"/>
        </w:tabs>
        <w:ind w:left="851"/>
        <w:rPr>
          <w:sz w:val="24"/>
          <w:szCs w:val="24"/>
        </w:rPr>
      </w:pPr>
    </w:p>
    <w:p w14:paraId="266B87BF" w14:textId="77777777" w:rsidR="00692CCC" w:rsidRPr="00692CCC" w:rsidRDefault="00692CCC" w:rsidP="00692CCC">
      <w:pPr>
        <w:tabs>
          <w:tab w:val="left" w:pos="851"/>
        </w:tabs>
        <w:ind w:left="851"/>
        <w:rPr>
          <w:sz w:val="24"/>
          <w:szCs w:val="24"/>
          <w:u w:val="single"/>
        </w:rPr>
      </w:pPr>
      <w:r w:rsidRPr="00692CCC">
        <w:rPr>
          <w:sz w:val="24"/>
          <w:szCs w:val="24"/>
          <w:u w:val="single"/>
        </w:rPr>
        <w:t>Intramuskulær injektion (anbefales kun for 1 g hætteglas)</w:t>
      </w:r>
    </w:p>
    <w:p w14:paraId="064379D1" w14:textId="77777777" w:rsidR="00692CCC" w:rsidRPr="00692CCC" w:rsidRDefault="00692CCC" w:rsidP="00692CCC">
      <w:pPr>
        <w:tabs>
          <w:tab w:val="left" w:pos="851"/>
        </w:tabs>
        <w:ind w:left="851"/>
        <w:rPr>
          <w:sz w:val="24"/>
          <w:szCs w:val="24"/>
        </w:rPr>
      </w:pPr>
      <w:r w:rsidRPr="00692CCC">
        <w:rPr>
          <w:sz w:val="24"/>
          <w:szCs w:val="24"/>
        </w:rPr>
        <w:t xml:space="preserve">Den intramuskulære administration er begrænset til ekstraordinære kliniske situationer (f.eks. </w:t>
      </w:r>
      <w:proofErr w:type="spellStart"/>
      <w:r w:rsidRPr="00692CCC">
        <w:rPr>
          <w:sz w:val="24"/>
          <w:szCs w:val="24"/>
        </w:rPr>
        <w:t>gonoré</w:t>
      </w:r>
      <w:proofErr w:type="spellEnd"/>
      <w:r w:rsidRPr="00692CCC">
        <w:rPr>
          <w:sz w:val="24"/>
          <w:szCs w:val="24"/>
        </w:rPr>
        <w:t>). Den er ikke indiceret ved alvorlige infektioner og bør underkastes en vurdering af benefit/</w:t>
      </w:r>
      <w:proofErr w:type="spellStart"/>
      <w:r w:rsidRPr="00692CCC">
        <w:rPr>
          <w:sz w:val="24"/>
          <w:szCs w:val="24"/>
        </w:rPr>
        <w:t>risk</w:t>
      </w:r>
      <w:proofErr w:type="spellEnd"/>
      <w:r w:rsidRPr="00692CCC">
        <w:rPr>
          <w:sz w:val="24"/>
          <w:szCs w:val="24"/>
        </w:rPr>
        <w:t xml:space="preserve">-forholdet. Det anbefales, at der ikke injiceres mere end 4 ml unilateralt. Hvis den daglige dosis overstiger 2 g </w:t>
      </w:r>
      <w:proofErr w:type="spellStart"/>
      <w:r w:rsidRPr="00692CCC">
        <w:rPr>
          <w:sz w:val="24"/>
          <w:szCs w:val="24"/>
        </w:rPr>
        <w:t>cefotaxim</w:t>
      </w:r>
      <w:proofErr w:type="spellEnd"/>
      <w:r w:rsidRPr="00692CCC">
        <w:rPr>
          <w:sz w:val="24"/>
          <w:szCs w:val="24"/>
        </w:rPr>
        <w:t xml:space="preserve">, eller hvis </w:t>
      </w:r>
      <w:proofErr w:type="spellStart"/>
      <w:r w:rsidRPr="00692CCC">
        <w:rPr>
          <w:sz w:val="24"/>
          <w:szCs w:val="24"/>
        </w:rPr>
        <w:t>cefotaxim</w:t>
      </w:r>
      <w:proofErr w:type="spellEnd"/>
      <w:r w:rsidRPr="00692CCC">
        <w:rPr>
          <w:sz w:val="24"/>
          <w:szCs w:val="24"/>
        </w:rPr>
        <w:t xml:space="preserve"> injiceres hyppigere end to gange dagligt, anbefales intravenøs administration. I tilfælde af alvorlige infektioner anbefales intramuskulær injektion ikke.</w:t>
      </w:r>
    </w:p>
    <w:p w14:paraId="65A4E8B7" w14:textId="77777777" w:rsidR="00692CCC" w:rsidRPr="00692CCC" w:rsidRDefault="00692CCC" w:rsidP="00692CCC">
      <w:pPr>
        <w:tabs>
          <w:tab w:val="left" w:pos="851"/>
        </w:tabs>
        <w:ind w:left="851"/>
        <w:rPr>
          <w:sz w:val="24"/>
          <w:szCs w:val="24"/>
        </w:rPr>
      </w:pPr>
      <w:r w:rsidRPr="00692CCC">
        <w:rPr>
          <w:sz w:val="24"/>
          <w:szCs w:val="24"/>
        </w:rPr>
        <w:t xml:space="preserve">Opløsningen skal administreres ved dyb intramuskulær injektion. Opløsninger med </w:t>
      </w:r>
      <w:proofErr w:type="spellStart"/>
      <w:r w:rsidRPr="00692CCC">
        <w:rPr>
          <w:sz w:val="24"/>
          <w:szCs w:val="24"/>
        </w:rPr>
        <w:t>lidocain</w:t>
      </w:r>
      <w:proofErr w:type="spellEnd"/>
      <w:r w:rsidRPr="00692CCC">
        <w:rPr>
          <w:sz w:val="24"/>
          <w:szCs w:val="24"/>
        </w:rPr>
        <w:t xml:space="preserve"> må </w:t>
      </w:r>
      <w:r w:rsidRPr="00692CCC">
        <w:rPr>
          <w:b/>
          <w:bCs/>
          <w:sz w:val="24"/>
          <w:szCs w:val="24"/>
          <w:u w:val="single"/>
        </w:rPr>
        <w:t>ikke</w:t>
      </w:r>
      <w:r w:rsidRPr="00692CCC">
        <w:rPr>
          <w:sz w:val="24"/>
          <w:szCs w:val="24"/>
        </w:rPr>
        <w:t xml:space="preserve"> administreres intravenøst. </w:t>
      </w:r>
      <w:proofErr w:type="spellStart"/>
      <w:r w:rsidRPr="00692CCC">
        <w:rPr>
          <w:sz w:val="24"/>
          <w:szCs w:val="24"/>
        </w:rPr>
        <w:t>Cefotaxim</w:t>
      </w:r>
      <w:proofErr w:type="spellEnd"/>
      <w:r w:rsidRPr="00692CCC">
        <w:rPr>
          <w:sz w:val="24"/>
          <w:szCs w:val="24"/>
        </w:rPr>
        <w:t xml:space="preserve"> </w:t>
      </w:r>
      <w:proofErr w:type="spellStart"/>
      <w:r w:rsidRPr="00692CCC">
        <w:rPr>
          <w:sz w:val="24"/>
          <w:szCs w:val="24"/>
        </w:rPr>
        <w:t>rekonstitueret</w:t>
      </w:r>
      <w:proofErr w:type="spellEnd"/>
      <w:r w:rsidRPr="00692CCC">
        <w:rPr>
          <w:sz w:val="24"/>
          <w:szCs w:val="24"/>
        </w:rPr>
        <w:t xml:space="preserve"> med </w:t>
      </w:r>
      <w:proofErr w:type="spellStart"/>
      <w:r w:rsidRPr="00692CCC">
        <w:rPr>
          <w:sz w:val="24"/>
          <w:szCs w:val="24"/>
        </w:rPr>
        <w:t>lidocain</w:t>
      </w:r>
      <w:proofErr w:type="spellEnd"/>
      <w:r w:rsidRPr="00692CCC">
        <w:rPr>
          <w:sz w:val="24"/>
          <w:szCs w:val="24"/>
        </w:rPr>
        <w:t xml:space="preserve"> må ikke administreres til børn i alderen under 30 måneder. Produktinformationen for det valgte lægemiddel indeholdende </w:t>
      </w:r>
      <w:proofErr w:type="spellStart"/>
      <w:r w:rsidRPr="00692CCC">
        <w:rPr>
          <w:sz w:val="24"/>
          <w:szCs w:val="24"/>
        </w:rPr>
        <w:t>lidocain</w:t>
      </w:r>
      <w:proofErr w:type="spellEnd"/>
      <w:r w:rsidRPr="00692CCC">
        <w:rPr>
          <w:sz w:val="24"/>
          <w:szCs w:val="24"/>
        </w:rPr>
        <w:t xml:space="preserve"> skal tages i betragtning.</w:t>
      </w:r>
    </w:p>
    <w:p w14:paraId="0280B19D" w14:textId="77777777" w:rsidR="00692CCC" w:rsidRPr="00692CCC" w:rsidRDefault="00692CCC" w:rsidP="00692CCC">
      <w:pPr>
        <w:tabs>
          <w:tab w:val="left" w:pos="851"/>
        </w:tabs>
        <w:ind w:left="851"/>
        <w:rPr>
          <w:sz w:val="24"/>
          <w:szCs w:val="24"/>
        </w:rPr>
      </w:pPr>
    </w:p>
    <w:p w14:paraId="1E2A948D" w14:textId="77777777" w:rsidR="00692CCC" w:rsidRPr="00692CCC" w:rsidRDefault="00692CCC" w:rsidP="00692CCC">
      <w:pPr>
        <w:tabs>
          <w:tab w:val="left" w:pos="851"/>
        </w:tabs>
        <w:ind w:left="851"/>
        <w:rPr>
          <w:sz w:val="24"/>
          <w:szCs w:val="24"/>
        </w:rPr>
      </w:pPr>
      <w:r w:rsidRPr="00692CCC">
        <w:rPr>
          <w:sz w:val="24"/>
          <w:szCs w:val="24"/>
        </w:rPr>
        <w:t xml:space="preserve">For instruktioner om </w:t>
      </w:r>
      <w:proofErr w:type="spellStart"/>
      <w:r w:rsidRPr="00692CCC">
        <w:rPr>
          <w:sz w:val="24"/>
          <w:szCs w:val="24"/>
        </w:rPr>
        <w:t>rekonstitution</w:t>
      </w:r>
      <w:proofErr w:type="spellEnd"/>
      <w:r w:rsidRPr="00692CCC">
        <w:rPr>
          <w:sz w:val="24"/>
          <w:szCs w:val="24"/>
        </w:rPr>
        <w:t xml:space="preserve"> og fortynding af lægemidlet før administration, se pkt. 6.6. </w:t>
      </w:r>
      <w:proofErr w:type="spellStart"/>
      <w:r w:rsidRPr="00692CCC">
        <w:rPr>
          <w:sz w:val="24"/>
          <w:szCs w:val="24"/>
        </w:rPr>
        <w:t>Cefotaxim</w:t>
      </w:r>
      <w:proofErr w:type="spellEnd"/>
      <w:r w:rsidRPr="00692CCC">
        <w:rPr>
          <w:sz w:val="24"/>
          <w:szCs w:val="24"/>
        </w:rPr>
        <w:t xml:space="preserve"> og aminoglykosider må ikke blandes i samme sprøjte eller </w:t>
      </w:r>
      <w:proofErr w:type="spellStart"/>
      <w:r w:rsidRPr="00692CCC">
        <w:rPr>
          <w:sz w:val="24"/>
          <w:szCs w:val="24"/>
        </w:rPr>
        <w:t>perfusionsvæske</w:t>
      </w:r>
      <w:proofErr w:type="spellEnd"/>
      <w:r w:rsidRPr="00692CCC">
        <w:rPr>
          <w:sz w:val="24"/>
          <w:szCs w:val="24"/>
        </w:rPr>
        <w:t>.</w:t>
      </w:r>
    </w:p>
    <w:p w14:paraId="6291A7C2" w14:textId="77777777" w:rsidR="00692CCC" w:rsidRPr="00692CCC" w:rsidRDefault="00692CCC" w:rsidP="00692CCC">
      <w:pPr>
        <w:tabs>
          <w:tab w:val="left" w:pos="851"/>
        </w:tabs>
        <w:ind w:left="851"/>
        <w:rPr>
          <w:sz w:val="24"/>
          <w:szCs w:val="24"/>
          <w:u w:val="single"/>
        </w:rPr>
      </w:pPr>
    </w:p>
    <w:p w14:paraId="104C0318"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12CD14D8" w14:textId="77777777" w:rsidR="00C62514" w:rsidRPr="00C62514" w:rsidRDefault="00C62514" w:rsidP="00C62514">
      <w:pPr>
        <w:numPr>
          <w:ilvl w:val="0"/>
          <w:numId w:val="6"/>
        </w:numPr>
        <w:tabs>
          <w:tab w:val="left" w:pos="851"/>
        </w:tabs>
        <w:ind w:left="1134" w:hanging="283"/>
        <w:rPr>
          <w:sz w:val="24"/>
          <w:szCs w:val="24"/>
        </w:rPr>
      </w:pPr>
      <w:r w:rsidRPr="00C62514">
        <w:rPr>
          <w:sz w:val="24"/>
          <w:szCs w:val="24"/>
        </w:rPr>
        <w:t xml:space="preserve">Overfølsomhed over for det aktive stof, over for andre </w:t>
      </w:r>
      <w:proofErr w:type="spellStart"/>
      <w:r w:rsidRPr="00C62514">
        <w:rPr>
          <w:sz w:val="24"/>
          <w:szCs w:val="24"/>
        </w:rPr>
        <w:t>cefalosporiner</w:t>
      </w:r>
      <w:proofErr w:type="spellEnd"/>
      <w:r w:rsidRPr="00C62514">
        <w:rPr>
          <w:sz w:val="24"/>
          <w:szCs w:val="24"/>
        </w:rPr>
        <w:t>.</w:t>
      </w:r>
    </w:p>
    <w:p w14:paraId="60A57018" w14:textId="77777777" w:rsidR="00C62514" w:rsidRPr="00C62514" w:rsidRDefault="00C62514" w:rsidP="00C62514">
      <w:pPr>
        <w:numPr>
          <w:ilvl w:val="0"/>
          <w:numId w:val="6"/>
        </w:numPr>
        <w:tabs>
          <w:tab w:val="left" w:pos="851"/>
        </w:tabs>
        <w:ind w:left="1134" w:hanging="283"/>
        <w:rPr>
          <w:sz w:val="24"/>
          <w:szCs w:val="24"/>
        </w:rPr>
      </w:pPr>
      <w:r w:rsidRPr="00C62514">
        <w:rPr>
          <w:sz w:val="24"/>
          <w:szCs w:val="24"/>
        </w:rPr>
        <w:t>Tidligere, umiddelbar og/eller svær overfølsomhedsreaktion over for penicillin eller et hvilket som helst beta-</w:t>
      </w:r>
      <w:proofErr w:type="spellStart"/>
      <w:r w:rsidRPr="00C62514">
        <w:rPr>
          <w:sz w:val="24"/>
          <w:szCs w:val="24"/>
        </w:rPr>
        <w:t>lactam</w:t>
      </w:r>
      <w:proofErr w:type="spellEnd"/>
      <w:r w:rsidRPr="00C62514">
        <w:rPr>
          <w:sz w:val="24"/>
          <w:szCs w:val="24"/>
        </w:rPr>
        <w:t>-antibiotikum.</w:t>
      </w:r>
    </w:p>
    <w:p w14:paraId="00923955" w14:textId="77777777" w:rsidR="009260DE" w:rsidRPr="00C84483" w:rsidRDefault="009260DE" w:rsidP="009260DE">
      <w:pPr>
        <w:tabs>
          <w:tab w:val="left" w:pos="851"/>
        </w:tabs>
        <w:ind w:left="851"/>
        <w:rPr>
          <w:sz w:val="24"/>
          <w:szCs w:val="24"/>
        </w:rPr>
      </w:pPr>
    </w:p>
    <w:p w14:paraId="04AE32C5"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7D55B1C5" w14:textId="77777777" w:rsidR="0018622D" w:rsidRPr="0018622D" w:rsidRDefault="0018622D" w:rsidP="0018622D">
      <w:pPr>
        <w:tabs>
          <w:tab w:val="left" w:pos="851"/>
        </w:tabs>
        <w:ind w:left="851"/>
        <w:rPr>
          <w:sz w:val="24"/>
          <w:szCs w:val="24"/>
        </w:rPr>
      </w:pPr>
      <w:r w:rsidRPr="0018622D">
        <w:rPr>
          <w:sz w:val="24"/>
          <w:szCs w:val="24"/>
        </w:rPr>
        <w:t xml:space="preserve">Som for andre antibiotika kan brugen af </w:t>
      </w:r>
      <w:proofErr w:type="spellStart"/>
      <w:r w:rsidRPr="0018622D">
        <w:rPr>
          <w:sz w:val="24"/>
          <w:szCs w:val="24"/>
        </w:rPr>
        <w:t>cefotaxim</w:t>
      </w:r>
      <w:proofErr w:type="spellEnd"/>
      <w:r w:rsidRPr="0018622D">
        <w:rPr>
          <w:sz w:val="24"/>
          <w:szCs w:val="24"/>
        </w:rPr>
        <w:t>, især ved langvarig brug, føre til overvækst af ikke-følsomme organismer. En gentagen evaluering af patientens tilstand er afgørende. Hvis der opstår en superinfektion under behandlingen, skal der træffes passende foranstaltninger (se pkt. 4.8).</w:t>
      </w:r>
    </w:p>
    <w:p w14:paraId="5B91CF2C" w14:textId="77777777" w:rsidR="0018622D" w:rsidRPr="0018622D" w:rsidRDefault="0018622D" w:rsidP="0018622D">
      <w:pPr>
        <w:tabs>
          <w:tab w:val="left" w:pos="851"/>
        </w:tabs>
        <w:ind w:left="851"/>
        <w:rPr>
          <w:sz w:val="24"/>
          <w:szCs w:val="24"/>
        </w:rPr>
      </w:pPr>
    </w:p>
    <w:p w14:paraId="03C5A786" w14:textId="735D652A" w:rsidR="0018622D" w:rsidRPr="0018622D" w:rsidRDefault="0018622D" w:rsidP="0018622D">
      <w:pPr>
        <w:tabs>
          <w:tab w:val="left" w:pos="851"/>
        </w:tabs>
        <w:ind w:left="851"/>
        <w:rPr>
          <w:sz w:val="24"/>
          <w:szCs w:val="24"/>
          <w:u w:val="single"/>
        </w:rPr>
      </w:pPr>
      <w:proofErr w:type="spellStart"/>
      <w:r w:rsidRPr="0018622D">
        <w:rPr>
          <w:sz w:val="24"/>
          <w:szCs w:val="24"/>
          <w:u w:val="single"/>
        </w:rPr>
        <w:t>Anafylaktiske</w:t>
      </w:r>
      <w:proofErr w:type="spellEnd"/>
      <w:r w:rsidRPr="0018622D">
        <w:rPr>
          <w:sz w:val="24"/>
          <w:szCs w:val="24"/>
          <w:u w:val="single"/>
        </w:rPr>
        <w:t xml:space="preserve"> reaktioner</w:t>
      </w:r>
    </w:p>
    <w:p w14:paraId="50B87FAB" w14:textId="77777777" w:rsidR="0018622D" w:rsidRPr="0018622D" w:rsidRDefault="0018622D" w:rsidP="0018622D">
      <w:pPr>
        <w:tabs>
          <w:tab w:val="left" w:pos="851"/>
        </w:tabs>
        <w:ind w:left="851"/>
        <w:rPr>
          <w:sz w:val="24"/>
          <w:szCs w:val="24"/>
        </w:rPr>
      </w:pPr>
      <w:r w:rsidRPr="0018622D">
        <w:rPr>
          <w:sz w:val="24"/>
          <w:szCs w:val="24"/>
        </w:rPr>
        <w:t xml:space="preserve">Der er rapporteret om alvorlige, herunder dødelige overfølsomhedsreaktioner hos patienter, der fik </w:t>
      </w:r>
      <w:proofErr w:type="spellStart"/>
      <w:r w:rsidRPr="0018622D">
        <w:rPr>
          <w:sz w:val="24"/>
          <w:szCs w:val="24"/>
        </w:rPr>
        <w:t>cefotaxim</w:t>
      </w:r>
      <w:proofErr w:type="spellEnd"/>
      <w:r w:rsidRPr="0018622D">
        <w:rPr>
          <w:sz w:val="24"/>
          <w:szCs w:val="24"/>
        </w:rPr>
        <w:t xml:space="preserve"> (se pkt. 4.3 og 4.8).</w:t>
      </w:r>
    </w:p>
    <w:p w14:paraId="5106A19B" w14:textId="77777777" w:rsidR="0018622D" w:rsidRPr="0018622D" w:rsidRDefault="0018622D" w:rsidP="0018622D">
      <w:pPr>
        <w:tabs>
          <w:tab w:val="left" w:pos="851"/>
        </w:tabs>
        <w:ind w:left="851"/>
        <w:rPr>
          <w:sz w:val="24"/>
          <w:szCs w:val="24"/>
        </w:rPr>
      </w:pPr>
    </w:p>
    <w:p w14:paraId="06729306" w14:textId="77777777" w:rsidR="0018622D" w:rsidRPr="0018622D" w:rsidRDefault="0018622D" w:rsidP="0018622D">
      <w:pPr>
        <w:tabs>
          <w:tab w:val="left" w:pos="851"/>
        </w:tabs>
        <w:ind w:left="851"/>
        <w:rPr>
          <w:sz w:val="24"/>
          <w:szCs w:val="24"/>
        </w:rPr>
      </w:pPr>
      <w:r w:rsidRPr="0018622D">
        <w:rPr>
          <w:sz w:val="24"/>
          <w:szCs w:val="24"/>
        </w:rPr>
        <w:t>Hvis der opstår en overfølsomhedsreaktion, skal behandlingen stoppes.</w:t>
      </w:r>
    </w:p>
    <w:p w14:paraId="747F0D3E" w14:textId="77777777" w:rsidR="0018622D" w:rsidRPr="0018622D" w:rsidRDefault="0018622D" w:rsidP="0018622D">
      <w:pPr>
        <w:tabs>
          <w:tab w:val="left" w:pos="851"/>
        </w:tabs>
        <w:ind w:left="851"/>
        <w:rPr>
          <w:sz w:val="24"/>
          <w:szCs w:val="24"/>
        </w:rPr>
      </w:pPr>
    </w:p>
    <w:p w14:paraId="492BE8FA" w14:textId="77777777" w:rsidR="0018622D" w:rsidRPr="0018622D" w:rsidRDefault="0018622D" w:rsidP="0018622D">
      <w:pPr>
        <w:tabs>
          <w:tab w:val="left" w:pos="851"/>
        </w:tabs>
        <w:ind w:left="851"/>
        <w:rPr>
          <w:sz w:val="24"/>
          <w:szCs w:val="24"/>
        </w:rPr>
      </w:pPr>
      <w:r w:rsidRPr="0018622D">
        <w:rPr>
          <w:sz w:val="24"/>
          <w:szCs w:val="24"/>
        </w:rPr>
        <w:t xml:space="preserve">Brugen af </w:t>
      </w:r>
      <w:proofErr w:type="spellStart"/>
      <w:r w:rsidRPr="0018622D">
        <w:rPr>
          <w:sz w:val="24"/>
          <w:szCs w:val="24"/>
        </w:rPr>
        <w:t>cefotaxim</w:t>
      </w:r>
      <w:proofErr w:type="spellEnd"/>
      <w:r w:rsidRPr="0018622D">
        <w:rPr>
          <w:sz w:val="24"/>
          <w:szCs w:val="24"/>
        </w:rPr>
        <w:t xml:space="preserve"> er strengt kontraindiceret hos personer med en umiddelbar overfølsomhed over for </w:t>
      </w:r>
      <w:proofErr w:type="spellStart"/>
      <w:r w:rsidRPr="0018622D">
        <w:rPr>
          <w:sz w:val="24"/>
          <w:szCs w:val="24"/>
        </w:rPr>
        <w:t>cefalosporiner</w:t>
      </w:r>
      <w:proofErr w:type="spellEnd"/>
      <w:r w:rsidRPr="0018622D">
        <w:rPr>
          <w:sz w:val="24"/>
          <w:szCs w:val="24"/>
        </w:rPr>
        <w:t>.</w:t>
      </w:r>
    </w:p>
    <w:p w14:paraId="34959690" w14:textId="77777777" w:rsidR="0018622D" w:rsidRPr="0018622D" w:rsidRDefault="0018622D" w:rsidP="0018622D">
      <w:pPr>
        <w:tabs>
          <w:tab w:val="left" w:pos="851"/>
        </w:tabs>
        <w:ind w:left="851"/>
        <w:rPr>
          <w:sz w:val="24"/>
          <w:szCs w:val="24"/>
        </w:rPr>
      </w:pPr>
    </w:p>
    <w:p w14:paraId="69BDE0AF" w14:textId="77777777" w:rsidR="0018622D" w:rsidRPr="0018622D" w:rsidRDefault="0018622D" w:rsidP="0018622D">
      <w:pPr>
        <w:tabs>
          <w:tab w:val="left" w:pos="851"/>
        </w:tabs>
        <w:ind w:left="851"/>
        <w:rPr>
          <w:sz w:val="24"/>
          <w:szCs w:val="24"/>
        </w:rPr>
      </w:pPr>
      <w:r w:rsidRPr="0018622D">
        <w:rPr>
          <w:sz w:val="24"/>
          <w:szCs w:val="24"/>
        </w:rPr>
        <w:t xml:space="preserve">Da der er krydsallergi mellem penicilliner og </w:t>
      </w:r>
      <w:proofErr w:type="spellStart"/>
      <w:r w:rsidRPr="0018622D">
        <w:rPr>
          <w:sz w:val="24"/>
          <w:szCs w:val="24"/>
        </w:rPr>
        <w:t>cefalosporiner</w:t>
      </w:r>
      <w:proofErr w:type="spellEnd"/>
      <w:r w:rsidRPr="0018622D">
        <w:rPr>
          <w:sz w:val="24"/>
          <w:szCs w:val="24"/>
        </w:rPr>
        <w:t>, skal sidstnævnte anvendes med ekstrem forsigtighed hos penicillinfølsomme personer. Overfølsomhedsreaktioner (anafylaksi), der forekommer med disse to antibiotikafamilier, kan være alvorlige eller endda dødelige.</w:t>
      </w:r>
    </w:p>
    <w:p w14:paraId="346199A1" w14:textId="77A5CE84" w:rsidR="00DA52BE" w:rsidRDefault="00DA52BE">
      <w:pPr>
        <w:rPr>
          <w:sz w:val="24"/>
          <w:szCs w:val="24"/>
        </w:rPr>
      </w:pPr>
      <w:r>
        <w:rPr>
          <w:sz w:val="24"/>
          <w:szCs w:val="24"/>
        </w:rPr>
        <w:br w:type="page"/>
      </w:r>
    </w:p>
    <w:p w14:paraId="2EF09008" w14:textId="77777777" w:rsidR="0018622D" w:rsidRPr="0018622D" w:rsidRDefault="0018622D" w:rsidP="0018622D">
      <w:pPr>
        <w:tabs>
          <w:tab w:val="left" w:pos="851"/>
        </w:tabs>
        <w:ind w:left="851"/>
        <w:rPr>
          <w:sz w:val="24"/>
          <w:szCs w:val="24"/>
        </w:rPr>
      </w:pPr>
    </w:p>
    <w:p w14:paraId="1F4F793A" w14:textId="31D1A50F" w:rsidR="0018622D" w:rsidRPr="0018622D" w:rsidRDefault="0018622D" w:rsidP="0018622D">
      <w:pPr>
        <w:tabs>
          <w:tab w:val="left" w:pos="851"/>
        </w:tabs>
        <w:ind w:left="851"/>
        <w:rPr>
          <w:sz w:val="24"/>
          <w:szCs w:val="24"/>
          <w:u w:val="single"/>
        </w:rPr>
      </w:pPr>
      <w:r w:rsidRPr="0018622D">
        <w:rPr>
          <w:sz w:val="24"/>
          <w:szCs w:val="24"/>
          <w:u w:val="single"/>
        </w:rPr>
        <w:t>Svære hudreaktioner</w:t>
      </w:r>
    </w:p>
    <w:p w14:paraId="46EA6157" w14:textId="77777777" w:rsidR="0018622D" w:rsidRPr="0018622D" w:rsidRDefault="0018622D" w:rsidP="0018622D">
      <w:pPr>
        <w:tabs>
          <w:tab w:val="left" w:pos="851"/>
        </w:tabs>
        <w:ind w:left="851"/>
        <w:rPr>
          <w:sz w:val="24"/>
          <w:szCs w:val="24"/>
        </w:rPr>
      </w:pPr>
      <w:r w:rsidRPr="0018622D">
        <w:rPr>
          <w:sz w:val="24"/>
          <w:szCs w:val="24"/>
        </w:rPr>
        <w:t xml:space="preserve">Efter markedsføring er der blevet rapporteret svære </w:t>
      </w:r>
      <w:proofErr w:type="spellStart"/>
      <w:r w:rsidRPr="0018622D">
        <w:rPr>
          <w:sz w:val="24"/>
          <w:szCs w:val="24"/>
        </w:rPr>
        <w:t>kutane</w:t>
      </w:r>
      <w:proofErr w:type="spellEnd"/>
      <w:r w:rsidRPr="0018622D">
        <w:rPr>
          <w:sz w:val="24"/>
          <w:szCs w:val="24"/>
        </w:rPr>
        <w:t xml:space="preserve"> bivirkninger (</w:t>
      </w:r>
      <w:proofErr w:type="spellStart"/>
      <w:r w:rsidRPr="0018622D">
        <w:rPr>
          <w:sz w:val="24"/>
          <w:szCs w:val="24"/>
        </w:rPr>
        <w:t>SCAR'er</w:t>
      </w:r>
      <w:proofErr w:type="spellEnd"/>
      <w:r w:rsidRPr="0018622D">
        <w:rPr>
          <w:sz w:val="24"/>
          <w:szCs w:val="24"/>
        </w:rPr>
        <w:t xml:space="preserve">), herunder akut generaliseret </w:t>
      </w:r>
      <w:proofErr w:type="spellStart"/>
      <w:r w:rsidRPr="0018622D">
        <w:rPr>
          <w:sz w:val="24"/>
          <w:szCs w:val="24"/>
        </w:rPr>
        <w:t>eksantematøs</w:t>
      </w:r>
      <w:proofErr w:type="spellEnd"/>
      <w:r w:rsidRPr="0018622D">
        <w:rPr>
          <w:sz w:val="24"/>
          <w:szCs w:val="24"/>
        </w:rPr>
        <w:t xml:space="preserve"> </w:t>
      </w:r>
      <w:proofErr w:type="spellStart"/>
      <w:r w:rsidRPr="0018622D">
        <w:rPr>
          <w:sz w:val="24"/>
          <w:szCs w:val="24"/>
        </w:rPr>
        <w:t>pustulose</w:t>
      </w:r>
      <w:proofErr w:type="spellEnd"/>
      <w:r w:rsidRPr="0018622D">
        <w:rPr>
          <w:sz w:val="24"/>
          <w:szCs w:val="24"/>
        </w:rPr>
        <w:t xml:space="preserve"> (AGEP), Stevens-Johnsons syndrom (SJS), toksisk </w:t>
      </w:r>
      <w:proofErr w:type="spellStart"/>
      <w:r w:rsidRPr="0018622D">
        <w:rPr>
          <w:sz w:val="24"/>
          <w:szCs w:val="24"/>
        </w:rPr>
        <w:t>epidermal</w:t>
      </w:r>
      <w:proofErr w:type="spellEnd"/>
      <w:r w:rsidRPr="0018622D">
        <w:rPr>
          <w:sz w:val="24"/>
          <w:szCs w:val="24"/>
        </w:rPr>
        <w:t xml:space="preserve"> </w:t>
      </w:r>
      <w:proofErr w:type="spellStart"/>
      <w:r w:rsidRPr="0018622D">
        <w:rPr>
          <w:sz w:val="24"/>
          <w:szCs w:val="24"/>
        </w:rPr>
        <w:t>nekrolyse</w:t>
      </w:r>
      <w:proofErr w:type="spellEnd"/>
      <w:r w:rsidRPr="0018622D">
        <w:rPr>
          <w:sz w:val="24"/>
          <w:szCs w:val="24"/>
        </w:rPr>
        <w:t xml:space="preserve"> (TEN), lægemiddelreaktion med </w:t>
      </w:r>
      <w:proofErr w:type="spellStart"/>
      <w:r w:rsidRPr="0018622D">
        <w:rPr>
          <w:sz w:val="24"/>
          <w:szCs w:val="24"/>
        </w:rPr>
        <w:t>eosinofili</w:t>
      </w:r>
      <w:proofErr w:type="spellEnd"/>
      <w:r w:rsidRPr="0018622D">
        <w:rPr>
          <w:sz w:val="24"/>
          <w:szCs w:val="24"/>
        </w:rPr>
        <w:t xml:space="preserve"> og systemiske symptomer (DRESS), som kan være livstruende eller dødelige, i forbindelse med </w:t>
      </w:r>
      <w:proofErr w:type="spellStart"/>
      <w:r w:rsidRPr="0018622D">
        <w:rPr>
          <w:sz w:val="24"/>
          <w:szCs w:val="24"/>
        </w:rPr>
        <w:t>cefotaximbehandling</w:t>
      </w:r>
      <w:proofErr w:type="spellEnd"/>
      <w:r w:rsidRPr="0018622D">
        <w:rPr>
          <w:sz w:val="24"/>
          <w:szCs w:val="24"/>
        </w:rPr>
        <w:t xml:space="preserve">. På tidspunktet for ordination skal patienterne informeres om tegn og symptomer på hudreaktioner. Hvis der opstår tegn og symptomer, der tyder på disse reaktioner, skal </w:t>
      </w:r>
      <w:proofErr w:type="spellStart"/>
      <w:r w:rsidRPr="0018622D">
        <w:rPr>
          <w:sz w:val="24"/>
          <w:szCs w:val="24"/>
        </w:rPr>
        <w:t>cefotaxim</w:t>
      </w:r>
      <w:proofErr w:type="spellEnd"/>
      <w:r w:rsidRPr="0018622D">
        <w:rPr>
          <w:sz w:val="24"/>
          <w:szCs w:val="24"/>
        </w:rPr>
        <w:t xml:space="preserve"> straks seponeres. Hvis patienten har udviklet AGEP, SJS, TEN eller DRESS ved brug af </w:t>
      </w:r>
      <w:proofErr w:type="spellStart"/>
      <w:r w:rsidRPr="0018622D">
        <w:rPr>
          <w:sz w:val="24"/>
          <w:szCs w:val="24"/>
        </w:rPr>
        <w:t>cefotaxim</w:t>
      </w:r>
      <w:proofErr w:type="spellEnd"/>
      <w:r w:rsidRPr="0018622D">
        <w:rPr>
          <w:sz w:val="24"/>
          <w:szCs w:val="24"/>
        </w:rPr>
        <w:t xml:space="preserve">, må behandlingen med </w:t>
      </w:r>
      <w:proofErr w:type="spellStart"/>
      <w:r w:rsidRPr="0018622D">
        <w:rPr>
          <w:sz w:val="24"/>
          <w:szCs w:val="24"/>
        </w:rPr>
        <w:t>cefotaxim</w:t>
      </w:r>
      <w:proofErr w:type="spellEnd"/>
      <w:r w:rsidRPr="0018622D">
        <w:rPr>
          <w:sz w:val="24"/>
          <w:szCs w:val="24"/>
        </w:rPr>
        <w:t xml:space="preserve"> ikke genoptages og skal seponeres permanent.</w:t>
      </w:r>
    </w:p>
    <w:p w14:paraId="28A51415" w14:textId="77777777" w:rsidR="0018622D" w:rsidRPr="0018622D" w:rsidRDefault="0018622D" w:rsidP="0018622D">
      <w:pPr>
        <w:tabs>
          <w:tab w:val="left" w:pos="851"/>
        </w:tabs>
        <w:ind w:left="851"/>
        <w:rPr>
          <w:sz w:val="24"/>
          <w:szCs w:val="24"/>
        </w:rPr>
      </w:pPr>
      <w:r w:rsidRPr="0018622D">
        <w:rPr>
          <w:sz w:val="24"/>
          <w:szCs w:val="24"/>
        </w:rPr>
        <w:t xml:space="preserve">Hos børn kan fremvisningen af et udslæt forveksles med den underliggende infektion eller en alternativ infektiøs proces, og læger bør overveje muligheden for en reaktion på </w:t>
      </w:r>
      <w:proofErr w:type="spellStart"/>
      <w:r w:rsidRPr="0018622D">
        <w:rPr>
          <w:sz w:val="24"/>
          <w:szCs w:val="24"/>
        </w:rPr>
        <w:t>cefotaxim</w:t>
      </w:r>
      <w:proofErr w:type="spellEnd"/>
      <w:r w:rsidRPr="0018622D">
        <w:rPr>
          <w:sz w:val="24"/>
          <w:szCs w:val="24"/>
        </w:rPr>
        <w:t xml:space="preserve"> hos børn, der udvikler symptomer på udslæt og feber under behandling med </w:t>
      </w:r>
      <w:proofErr w:type="spellStart"/>
      <w:r w:rsidRPr="0018622D">
        <w:rPr>
          <w:sz w:val="24"/>
          <w:szCs w:val="24"/>
        </w:rPr>
        <w:t>cefotaxim</w:t>
      </w:r>
      <w:proofErr w:type="spellEnd"/>
      <w:r w:rsidRPr="0018622D">
        <w:rPr>
          <w:sz w:val="24"/>
          <w:szCs w:val="24"/>
        </w:rPr>
        <w:t>.</w:t>
      </w:r>
    </w:p>
    <w:p w14:paraId="60003C6C" w14:textId="77777777" w:rsidR="0018622D" w:rsidRPr="0018622D" w:rsidRDefault="0018622D" w:rsidP="0018622D">
      <w:pPr>
        <w:tabs>
          <w:tab w:val="left" w:pos="851"/>
        </w:tabs>
        <w:ind w:left="851"/>
        <w:rPr>
          <w:sz w:val="24"/>
          <w:szCs w:val="24"/>
        </w:rPr>
      </w:pPr>
    </w:p>
    <w:p w14:paraId="041AF06D" w14:textId="2CC9A9A7" w:rsidR="0018622D" w:rsidRPr="0018622D" w:rsidRDefault="0018622D" w:rsidP="0018622D">
      <w:pPr>
        <w:tabs>
          <w:tab w:val="left" w:pos="851"/>
        </w:tabs>
        <w:ind w:left="851"/>
        <w:rPr>
          <w:sz w:val="24"/>
          <w:szCs w:val="24"/>
          <w:u w:val="single"/>
        </w:rPr>
      </w:pPr>
      <w:proofErr w:type="spellStart"/>
      <w:r w:rsidRPr="0018622D">
        <w:rPr>
          <w:i/>
          <w:iCs/>
          <w:sz w:val="24"/>
          <w:szCs w:val="24"/>
          <w:u w:val="single"/>
        </w:rPr>
        <w:t>Clostridioides</w:t>
      </w:r>
      <w:proofErr w:type="spellEnd"/>
      <w:r w:rsidRPr="0018622D">
        <w:rPr>
          <w:i/>
          <w:iCs/>
          <w:sz w:val="24"/>
          <w:szCs w:val="24"/>
          <w:u w:val="single"/>
        </w:rPr>
        <w:t xml:space="preserve"> difficile</w:t>
      </w:r>
      <w:r w:rsidRPr="0018622D">
        <w:rPr>
          <w:sz w:val="24"/>
          <w:szCs w:val="24"/>
          <w:u w:val="single"/>
        </w:rPr>
        <w:t xml:space="preserve">-associeret sygdom (f.eks. </w:t>
      </w:r>
      <w:proofErr w:type="spellStart"/>
      <w:r w:rsidRPr="0018622D">
        <w:rPr>
          <w:sz w:val="24"/>
          <w:szCs w:val="24"/>
          <w:u w:val="single"/>
        </w:rPr>
        <w:t>pseudomembranøs</w:t>
      </w:r>
      <w:proofErr w:type="spellEnd"/>
      <w:r w:rsidRPr="0018622D">
        <w:rPr>
          <w:sz w:val="24"/>
          <w:szCs w:val="24"/>
          <w:u w:val="single"/>
        </w:rPr>
        <w:t xml:space="preserve"> </w:t>
      </w:r>
      <w:proofErr w:type="spellStart"/>
      <w:r w:rsidRPr="0018622D">
        <w:rPr>
          <w:sz w:val="24"/>
          <w:szCs w:val="24"/>
          <w:u w:val="single"/>
        </w:rPr>
        <w:t>kolitis</w:t>
      </w:r>
      <w:proofErr w:type="spellEnd"/>
      <w:r w:rsidRPr="0018622D">
        <w:rPr>
          <w:sz w:val="24"/>
          <w:szCs w:val="24"/>
          <w:u w:val="single"/>
        </w:rPr>
        <w:t>)</w:t>
      </w:r>
    </w:p>
    <w:p w14:paraId="18863C5F" w14:textId="77777777" w:rsidR="0018622D" w:rsidRPr="0018622D" w:rsidRDefault="0018622D" w:rsidP="0018622D">
      <w:pPr>
        <w:tabs>
          <w:tab w:val="left" w:pos="851"/>
        </w:tabs>
        <w:ind w:left="851"/>
        <w:rPr>
          <w:sz w:val="24"/>
          <w:szCs w:val="24"/>
        </w:rPr>
      </w:pPr>
      <w:r w:rsidRPr="0018622D">
        <w:rPr>
          <w:sz w:val="24"/>
          <w:szCs w:val="24"/>
        </w:rPr>
        <w:t xml:space="preserve">Diarré, især hvis svær og/eller vedvarende, kan forekomme under behandlingen eller i de første uger efter behandlingen, og kan være symptomatisk for </w:t>
      </w:r>
      <w:proofErr w:type="spellStart"/>
      <w:r w:rsidRPr="0018622D">
        <w:rPr>
          <w:i/>
          <w:iCs/>
          <w:sz w:val="24"/>
          <w:szCs w:val="24"/>
        </w:rPr>
        <w:t>Clostridioides</w:t>
      </w:r>
      <w:proofErr w:type="spellEnd"/>
      <w:r w:rsidRPr="0018622D">
        <w:rPr>
          <w:i/>
          <w:iCs/>
          <w:sz w:val="24"/>
          <w:szCs w:val="24"/>
        </w:rPr>
        <w:t xml:space="preserve"> difficile</w:t>
      </w:r>
      <w:r w:rsidRPr="0018622D">
        <w:rPr>
          <w:sz w:val="24"/>
          <w:szCs w:val="24"/>
        </w:rPr>
        <w:t xml:space="preserve">-associeret sygdom (CDAD). CDAD kan variere i sværhedsgrad fra mild til livstruende, hvoraf den mest alvorlige form er </w:t>
      </w:r>
      <w:proofErr w:type="spellStart"/>
      <w:r w:rsidRPr="0018622D">
        <w:rPr>
          <w:sz w:val="24"/>
          <w:szCs w:val="24"/>
        </w:rPr>
        <w:t>pseudomembranøs</w:t>
      </w:r>
      <w:proofErr w:type="spellEnd"/>
      <w:r w:rsidRPr="0018622D">
        <w:rPr>
          <w:sz w:val="24"/>
          <w:szCs w:val="24"/>
        </w:rPr>
        <w:t xml:space="preserve"> </w:t>
      </w:r>
      <w:proofErr w:type="spellStart"/>
      <w:r w:rsidRPr="0018622D">
        <w:rPr>
          <w:sz w:val="24"/>
          <w:szCs w:val="24"/>
        </w:rPr>
        <w:t>kolitis</w:t>
      </w:r>
      <w:proofErr w:type="spellEnd"/>
      <w:r w:rsidRPr="0018622D">
        <w:rPr>
          <w:sz w:val="24"/>
          <w:szCs w:val="24"/>
        </w:rPr>
        <w:t>.</w:t>
      </w:r>
    </w:p>
    <w:p w14:paraId="70C6D9E2" w14:textId="77777777" w:rsidR="0018622D" w:rsidRPr="0018622D" w:rsidRDefault="0018622D" w:rsidP="0018622D">
      <w:pPr>
        <w:tabs>
          <w:tab w:val="left" w:pos="851"/>
        </w:tabs>
        <w:ind w:left="851"/>
        <w:rPr>
          <w:sz w:val="24"/>
          <w:szCs w:val="24"/>
        </w:rPr>
      </w:pPr>
      <w:r w:rsidRPr="0018622D">
        <w:rPr>
          <w:sz w:val="24"/>
          <w:szCs w:val="24"/>
        </w:rPr>
        <w:t xml:space="preserve">Diagnosen af denne sjældne, men muligvis dødelige tilstand kan bekræftes ved endoskopi og/eller histologi. Det er vigtigt at overveje denne diagnose hos patienter, der får diarré under eller efter administration af </w:t>
      </w:r>
      <w:proofErr w:type="spellStart"/>
      <w:r w:rsidRPr="0018622D">
        <w:rPr>
          <w:sz w:val="24"/>
          <w:szCs w:val="24"/>
        </w:rPr>
        <w:t>cefotaxim</w:t>
      </w:r>
      <w:proofErr w:type="spellEnd"/>
      <w:r w:rsidRPr="0018622D">
        <w:rPr>
          <w:sz w:val="24"/>
          <w:szCs w:val="24"/>
        </w:rPr>
        <w:t xml:space="preserve">. Hvis der er mistanke om en diagnose af </w:t>
      </w:r>
      <w:proofErr w:type="spellStart"/>
      <w:r w:rsidRPr="0018622D">
        <w:rPr>
          <w:sz w:val="24"/>
          <w:szCs w:val="24"/>
        </w:rPr>
        <w:t>pseudomembranøs</w:t>
      </w:r>
      <w:proofErr w:type="spellEnd"/>
      <w:r w:rsidRPr="0018622D">
        <w:rPr>
          <w:sz w:val="24"/>
          <w:szCs w:val="24"/>
        </w:rPr>
        <w:t xml:space="preserve"> </w:t>
      </w:r>
      <w:proofErr w:type="spellStart"/>
      <w:r w:rsidRPr="0018622D">
        <w:rPr>
          <w:sz w:val="24"/>
          <w:szCs w:val="24"/>
        </w:rPr>
        <w:t>kolitis</w:t>
      </w:r>
      <w:proofErr w:type="spellEnd"/>
      <w:r w:rsidRPr="0018622D">
        <w:rPr>
          <w:sz w:val="24"/>
          <w:szCs w:val="24"/>
        </w:rPr>
        <w:t xml:space="preserve">, skal </w:t>
      </w:r>
      <w:proofErr w:type="spellStart"/>
      <w:r w:rsidRPr="0018622D">
        <w:rPr>
          <w:sz w:val="24"/>
          <w:szCs w:val="24"/>
        </w:rPr>
        <w:t>cefotaxim</w:t>
      </w:r>
      <w:proofErr w:type="spellEnd"/>
      <w:r w:rsidRPr="0018622D">
        <w:rPr>
          <w:sz w:val="24"/>
          <w:szCs w:val="24"/>
        </w:rPr>
        <w:t xml:space="preserve"> straks stoppes, og passende specifik antibiotikabehandling skal straks påbegyndes. </w:t>
      </w:r>
      <w:proofErr w:type="spellStart"/>
      <w:r w:rsidRPr="0018622D">
        <w:rPr>
          <w:i/>
          <w:iCs/>
          <w:sz w:val="24"/>
          <w:szCs w:val="24"/>
        </w:rPr>
        <w:t>Clostridioides</w:t>
      </w:r>
      <w:proofErr w:type="spellEnd"/>
      <w:r w:rsidRPr="0018622D">
        <w:rPr>
          <w:i/>
          <w:iCs/>
          <w:sz w:val="24"/>
          <w:szCs w:val="24"/>
        </w:rPr>
        <w:t xml:space="preserve"> difficile</w:t>
      </w:r>
      <w:r w:rsidRPr="0018622D">
        <w:rPr>
          <w:sz w:val="24"/>
          <w:szCs w:val="24"/>
        </w:rPr>
        <w:t>-associeret sygdom kan få gunstige betingelser ved fækal stase. Der må ikke gives lægemidler, der hæmmer de peristaltiske bevægelser.</w:t>
      </w:r>
    </w:p>
    <w:p w14:paraId="17A196FC" w14:textId="77777777" w:rsidR="0018622D" w:rsidRPr="0018622D" w:rsidRDefault="0018622D" w:rsidP="0018622D">
      <w:pPr>
        <w:tabs>
          <w:tab w:val="left" w:pos="851"/>
        </w:tabs>
        <w:ind w:left="851"/>
        <w:rPr>
          <w:sz w:val="24"/>
          <w:szCs w:val="24"/>
        </w:rPr>
      </w:pPr>
    </w:p>
    <w:p w14:paraId="2D29F9F8" w14:textId="35D97077" w:rsidR="0018622D" w:rsidRPr="0018622D" w:rsidRDefault="0018622D" w:rsidP="0018622D">
      <w:pPr>
        <w:tabs>
          <w:tab w:val="left" w:pos="851"/>
        </w:tabs>
        <w:ind w:left="851"/>
        <w:rPr>
          <w:sz w:val="24"/>
          <w:szCs w:val="24"/>
          <w:u w:val="single"/>
        </w:rPr>
      </w:pPr>
      <w:r w:rsidRPr="0018622D">
        <w:rPr>
          <w:sz w:val="24"/>
          <w:szCs w:val="24"/>
          <w:u w:val="single"/>
        </w:rPr>
        <w:t>Blodsygdomme</w:t>
      </w:r>
    </w:p>
    <w:p w14:paraId="3E677051" w14:textId="77777777" w:rsidR="0018622D" w:rsidRPr="0018622D" w:rsidRDefault="0018622D" w:rsidP="0018622D">
      <w:pPr>
        <w:tabs>
          <w:tab w:val="left" w:pos="851"/>
        </w:tabs>
        <w:ind w:left="851"/>
        <w:rPr>
          <w:sz w:val="24"/>
          <w:szCs w:val="24"/>
        </w:rPr>
      </w:pPr>
      <w:proofErr w:type="spellStart"/>
      <w:r w:rsidRPr="0018622D">
        <w:rPr>
          <w:sz w:val="24"/>
          <w:szCs w:val="24"/>
        </w:rPr>
        <w:t>Leukopeni</w:t>
      </w:r>
      <w:proofErr w:type="spellEnd"/>
      <w:r w:rsidRPr="0018622D">
        <w:rPr>
          <w:sz w:val="24"/>
          <w:szCs w:val="24"/>
        </w:rPr>
        <w:t xml:space="preserve">, </w:t>
      </w:r>
      <w:proofErr w:type="spellStart"/>
      <w:r w:rsidRPr="0018622D">
        <w:rPr>
          <w:sz w:val="24"/>
          <w:szCs w:val="24"/>
        </w:rPr>
        <w:t>neutropeni</w:t>
      </w:r>
      <w:proofErr w:type="spellEnd"/>
      <w:r w:rsidRPr="0018622D">
        <w:rPr>
          <w:sz w:val="24"/>
          <w:szCs w:val="24"/>
        </w:rPr>
        <w:t xml:space="preserve"> og mere sjældent knoglemarvssvigt, </w:t>
      </w:r>
      <w:proofErr w:type="spellStart"/>
      <w:r w:rsidRPr="0018622D">
        <w:rPr>
          <w:sz w:val="24"/>
          <w:szCs w:val="24"/>
        </w:rPr>
        <w:t>pancytopeni</w:t>
      </w:r>
      <w:proofErr w:type="spellEnd"/>
      <w:r w:rsidRPr="0018622D">
        <w:rPr>
          <w:sz w:val="24"/>
          <w:szCs w:val="24"/>
        </w:rPr>
        <w:t xml:space="preserve"> eller </w:t>
      </w:r>
      <w:proofErr w:type="spellStart"/>
      <w:r w:rsidRPr="0018622D">
        <w:rPr>
          <w:sz w:val="24"/>
          <w:szCs w:val="24"/>
        </w:rPr>
        <w:t>agranulocytose</w:t>
      </w:r>
      <w:proofErr w:type="spellEnd"/>
      <w:r w:rsidRPr="0018622D">
        <w:rPr>
          <w:sz w:val="24"/>
          <w:szCs w:val="24"/>
        </w:rPr>
        <w:t xml:space="preserve"> kan udvikle sig under behandling med </w:t>
      </w:r>
      <w:proofErr w:type="spellStart"/>
      <w:r w:rsidRPr="0018622D">
        <w:rPr>
          <w:sz w:val="24"/>
          <w:szCs w:val="24"/>
        </w:rPr>
        <w:t>cefotaxim</w:t>
      </w:r>
      <w:proofErr w:type="spellEnd"/>
      <w:r w:rsidRPr="0018622D">
        <w:rPr>
          <w:sz w:val="24"/>
          <w:szCs w:val="24"/>
        </w:rPr>
        <w:t>. Ved behandlingsforløb, der varer længere end 7</w:t>
      </w:r>
      <w:r w:rsidRPr="0018622D">
        <w:rPr>
          <w:sz w:val="24"/>
          <w:szCs w:val="24"/>
        </w:rPr>
        <w:noBreakHyphen/>
        <w:t xml:space="preserve">10 dage, skal antallet af hvide blodlegemer overvåges, og behandlingen stoppes i tilfælde af </w:t>
      </w:r>
      <w:proofErr w:type="spellStart"/>
      <w:r w:rsidRPr="0018622D">
        <w:rPr>
          <w:sz w:val="24"/>
          <w:szCs w:val="24"/>
        </w:rPr>
        <w:t>neutropeni</w:t>
      </w:r>
      <w:proofErr w:type="spellEnd"/>
      <w:r w:rsidRPr="0018622D">
        <w:rPr>
          <w:sz w:val="24"/>
          <w:szCs w:val="24"/>
        </w:rPr>
        <w:t>.</w:t>
      </w:r>
    </w:p>
    <w:p w14:paraId="214CA95F" w14:textId="5DD25EB1" w:rsidR="0018622D" w:rsidRPr="0018622D" w:rsidRDefault="0018622D" w:rsidP="0018622D">
      <w:pPr>
        <w:tabs>
          <w:tab w:val="left" w:pos="851"/>
        </w:tabs>
        <w:ind w:left="851"/>
        <w:rPr>
          <w:sz w:val="24"/>
          <w:szCs w:val="24"/>
        </w:rPr>
      </w:pPr>
      <w:r w:rsidRPr="0018622D">
        <w:rPr>
          <w:sz w:val="24"/>
          <w:szCs w:val="24"/>
        </w:rPr>
        <w:t xml:space="preserve">Nogle tilfælde af </w:t>
      </w:r>
      <w:proofErr w:type="spellStart"/>
      <w:r w:rsidRPr="0018622D">
        <w:rPr>
          <w:sz w:val="24"/>
          <w:szCs w:val="24"/>
        </w:rPr>
        <w:t>eosinofili</w:t>
      </w:r>
      <w:proofErr w:type="spellEnd"/>
      <w:r w:rsidRPr="0018622D">
        <w:rPr>
          <w:sz w:val="24"/>
          <w:szCs w:val="24"/>
        </w:rPr>
        <w:t xml:space="preserve"> og </w:t>
      </w:r>
      <w:proofErr w:type="spellStart"/>
      <w:r w:rsidRPr="0018622D">
        <w:rPr>
          <w:sz w:val="24"/>
          <w:szCs w:val="24"/>
        </w:rPr>
        <w:t>trombocytopeni</w:t>
      </w:r>
      <w:proofErr w:type="spellEnd"/>
      <w:r w:rsidRPr="0018622D">
        <w:rPr>
          <w:sz w:val="24"/>
          <w:szCs w:val="24"/>
        </w:rPr>
        <w:t xml:space="preserve">, der hurtigt kan reverseres ved </w:t>
      </w:r>
      <w:proofErr w:type="spellStart"/>
      <w:r w:rsidRPr="0018622D">
        <w:rPr>
          <w:sz w:val="24"/>
          <w:szCs w:val="24"/>
        </w:rPr>
        <w:t>seponering</w:t>
      </w:r>
      <w:proofErr w:type="spellEnd"/>
      <w:r w:rsidRPr="0018622D">
        <w:rPr>
          <w:sz w:val="24"/>
          <w:szCs w:val="24"/>
        </w:rPr>
        <w:t xml:space="preserve"> af behandlingen, er blevet rapporteret. Der er også rapporteret tilfælde af </w:t>
      </w:r>
      <w:proofErr w:type="spellStart"/>
      <w:r w:rsidRPr="0018622D">
        <w:rPr>
          <w:sz w:val="24"/>
          <w:szCs w:val="24"/>
        </w:rPr>
        <w:t>hæmolytisk</w:t>
      </w:r>
      <w:proofErr w:type="spellEnd"/>
      <w:r w:rsidRPr="0018622D">
        <w:rPr>
          <w:sz w:val="24"/>
          <w:szCs w:val="24"/>
        </w:rPr>
        <w:t xml:space="preserve"> anæmi (se pkt. 4.8).</w:t>
      </w:r>
    </w:p>
    <w:p w14:paraId="150A621A" w14:textId="77777777" w:rsidR="0018622D" w:rsidRPr="0018622D" w:rsidRDefault="0018622D" w:rsidP="0018622D">
      <w:pPr>
        <w:tabs>
          <w:tab w:val="left" w:pos="851"/>
        </w:tabs>
        <w:ind w:left="851"/>
        <w:rPr>
          <w:sz w:val="24"/>
          <w:szCs w:val="24"/>
        </w:rPr>
      </w:pPr>
    </w:p>
    <w:p w14:paraId="4A6248F3" w14:textId="6289A7DB" w:rsidR="0018622D" w:rsidRPr="0018622D" w:rsidRDefault="0018622D" w:rsidP="0018622D">
      <w:pPr>
        <w:tabs>
          <w:tab w:val="left" w:pos="851"/>
        </w:tabs>
        <w:ind w:left="851"/>
        <w:rPr>
          <w:sz w:val="24"/>
          <w:szCs w:val="24"/>
          <w:u w:val="single"/>
        </w:rPr>
      </w:pPr>
      <w:r w:rsidRPr="0018622D">
        <w:rPr>
          <w:sz w:val="24"/>
          <w:szCs w:val="24"/>
          <w:u w:val="single"/>
        </w:rPr>
        <w:t>Patienter med nedsat nyrefunktion</w:t>
      </w:r>
    </w:p>
    <w:p w14:paraId="37957363" w14:textId="77777777" w:rsidR="0018622D" w:rsidRPr="0018622D" w:rsidRDefault="0018622D" w:rsidP="0018622D">
      <w:pPr>
        <w:tabs>
          <w:tab w:val="left" w:pos="851"/>
        </w:tabs>
        <w:ind w:left="851"/>
        <w:rPr>
          <w:sz w:val="24"/>
          <w:szCs w:val="24"/>
        </w:rPr>
      </w:pPr>
      <w:r w:rsidRPr="0018622D">
        <w:rPr>
          <w:sz w:val="24"/>
          <w:szCs w:val="24"/>
        </w:rPr>
        <w:t xml:space="preserve">Doseringen skal modificeres i henhold til den beregnede </w:t>
      </w:r>
      <w:proofErr w:type="spellStart"/>
      <w:r w:rsidRPr="0018622D">
        <w:rPr>
          <w:sz w:val="24"/>
          <w:szCs w:val="24"/>
        </w:rPr>
        <w:t>kreatininclearance</w:t>
      </w:r>
      <w:proofErr w:type="spellEnd"/>
      <w:r w:rsidRPr="0018622D">
        <w:rPr>
          <w:sz w:val="24"/>
          <w:szCs w:val="24"/>
        </w:rPr>
        <w:t>.</w:t>
      </w:r>
    </w:p>
    <w:p w14:paraId="7B786006" w14:textId="77777777" w:rsidR="0018622D" w:rsidRPr="0018622D" w:rsidRDefault="0018622D" w:rsidP="0018622D">
      <w:pPr>
        <w:tabs>
          <w:tab w:val="left" w:pos="851"/>
        </w:tabs>
        <w:ind w:left="851"/>
        <w:rPr>
          <w:sz w:val="24"/>
          <w:szCs w:val="24"/>
        </w:rPr>
      </w:pPr>
      <w:r w:rsidRPr="0018622D">
        <w:rPr>
          <w:sz w:val="24"/>
          <w:szCs w:val="24"/>
        </w:rPr>
        <w:t xml:space="preserve">Der skal udvises forsigtighed, hvis </w:t>
      </w:r>
      <w:proofErr w:type="spellStart"/>
      <w:r w:rsidRPr="0018622D">
        <w:rPr>
          <w:sz w:val="24"/>
          <w:szCs w:val="24"/>
        </w:rPr>
        <w:t>cefotaxim</w:t>
      </w:r>
      <w:proofErr w:type="spellEnd"/>
      <w:r w:rsidRPr="0018622D">
        <w:rPr>
          <w:sz w:val="24"/>
          <w:szCs w:val="24"/>
        </w:rPr>
        <w:t xml:space="preserve"> administreres sammen med aminoglykosider eller andre </w:t>
      </w:r>
      <w:proofErr w:type="spellStart"/>
      <w:r w:rsidRPr="0018622D">
        <w:rPr>
          <w:sz w:val="24"/>
          <w:szCs w:val="24"/>
        </w:rPr>
        <w:t>nefrotoksiske</w:t>
      </w:r>
      <w:proofErr w:type="spellEnd"/>
      <w:r w:rsidRPr="0018622D">
        <w:rPr>
          <w:sz w:val="24"/>
          <w:szCs w:val="24"/>
        </w:rPr>
        <w:t xml:space="preserve"> lægemidler (se pkt. 4.5). Nyrefunktionen skal overvåges hos disse patienter, ældre og patienter med eksisterende nedsat nyrefunktion.</w:t>
      </w:r>
    </w:p>
    <w:p w14:paraId="5408B5D2" w14:textId="77777777" w:rsidR="0018622D" w:rsidRPr="0018622D" w:rsidRDefault="0018622D" w:rsidP="0018622D">
      <w:pPr>
        <w:tabs>
          <w:tab w:val="left" w:pos="851"/>
        </w:tabs>
        <w:ind w:left="851"/>
        <w:rPr>
          <w:sz w:val="24"/>
          <w:szCs w:val="24"/>
        </w:rPr>
      </w:pPr>
    </w:p>
    <w:p w14:paraId="6D342C00" w14:textId="5C7C75CF" w:rsidR="0018622D" w:rsidRPr="0018622D" w:rsidRDefault="0018622D" w:rsidP="0018622D">
      <w:pPr>
        <w:tabs>
          <w:tab w:val="left" w:pos="851"/>
        </w:tabs>
        <w:ind w:left="851"/>
        <w:rPr>
          <w:sz w:val="24"/>
          <w:szCs w:val="24"/>
          <w:u w:val="single"/>
        </w:rPr>
      </w:pPr>
      <w:r w:rsidRPr="0018622D">
        <w:rPr>
          <w:sz w:val="24"/>
          <w:szCs w:val="24"/>
          <w:u w:val="single"/>
        </w:rPr>
        <w:t>Encefalopati</w:t>
      </w:r>
    </w:p>
    <w:p w14:paraId="0588FFBA" w14:textId="77777777" w:rsidR="0018622D" w:rsidRPr="0018622D" w:rsidRDefault="0018622D" w:rsidP="0018622D">
      <w:pPr>
        <w:tabs>
          <w:tab w:val="left" w:pos="851"/>
        </w:tabs>
        <w:ind w:left="851"/>
        <w:rPr>
          <w:sz w:val="24"/>
          <w:szCs w:val="24"/>
        </w:rPr>
      </w:pPr>
      <w:r w:rsidRPr="0018622D">
        <w:rPr>
          <w:sz w:val="24"/>
          <w:szCs w:val="24"/>
        </w:rPr>
        <w:t>Beta-</w:t>
      </w:r>
      <w:proofErr w:type="spellStart"/>
      <w:r w:rsidRPr="0018622D">
        <w:rPr>
          <w:sz w:val="24"/>
          <w:szCs w:val="24"/>
        </w:rPr>
        <w:t>lactamer</w:t>
      </w:r>
      <w:proofErr w:type="spellEnd"/>
      <w:r w:rsidRPr="0018622D">
        <w:rPr>
          <w:sz w:val="24"/>
          <w:szCs w:val="24"/>
        </w:rPr>
        <w:t xml:space="preserve">, herunder </w:t>
      </w:r>
      <w:proofErr w:type="spellStart"/>
      <w:r w:rsidRPr="0018622D">
        <w:rPr>
          <w:sz w:val="24"/>
          <w:szCs w:val="24"/>
        </w:rPr>
        <w:t>cefotaxim</w:t>
      </w:r>
      <w:proofErr w:type="spellEnd"/>
      <w:r w:rsidRPr="0018622D">
        <w:rPr>
          <w:sz w:val="24"/>
          <w:szCs w:val="24"/>
        </w:rPr>
        <w:t>, disponerer patienten for risiko for encefalopati (som kan omfatte krampeanfald, forvirring, bevidsthedssvækkelse, mobilitetsforstyrrelser), især i tilfælde af overdosering eller nedsat nyrefunktion (se pkt. 4.8). Patienterne skal rådes til at kontakte deres læge umiddelbart før behandlingen fortsættes, hvis sådanne reaktioner opstår.</w:t>
      </w:r>
    </w:p>
    <w:p w14:paraId="73C742A2" w14:textId="2DC05F71" w:rsidR="0018622D" w:rsidRDefault="0018622D">
      <w:pPr>
        <w:rPr>
          <w:sz w:val="24"/>
          <w:szCs w:val="24"/>
        </w:rPr>
      </w:pPr>
      <w:r>
        <w:rPr>
          <w:sz w:val="24"/>
          <w:szCs w:val="24"/>
        </w:rPr>
        <w:br w:type="page"/>
      </w:r>
    </w:p>
    <w:p w14:paraId="481A3257" w14:textId="77777777" w:rsidR="0018622D" w:rsidRPr="0018622D" w:rsidRDefault="0018622D" w:rsidP="0018622D">
      <w:pPr>
        <w:tabs>
          <w:tab w:val="left" w:pos="851"/>
        </w:tabs>
        <w:ind w:left="851"/>
        <w:rPr>
          <w:sz w:val="24"/>
          <w:szCs w:val="24"/>
        </w:rPr>
      </w:pPr>
    </w:p>
    <w:p w14:paraId="3E54264E" w14:textId="0BD26A2D" w:rsidR="0018622D" w:rsidRPr="0018622D" w:rsidRDefault="0018622D" w:rsidP="0018622D">
      <w:pPr>
        <w:tabs>
          <w:tab w:val="left" w:pos="851"/>
        </w:tabs>
        <w:ind w:left="851"/>
        <w:rPr>
          <w:sz w:val="24"/>
          <w:szCs w:val="24"/>
          <w:u w:val="single"/>
        </w:rPr>
      </w:pPr>
      <w:r w:rsidRPr="0018622D">
        <w:rPr>
          <w:sz w:val="24"/>
          <w:szCs w:val="24"/>
          <w:u w:val="single"/>
        </w:rPr>
        <w:t>Forsigtighedsregler ved administration</w:t>
      </w:r>
    </w:p>
    <w:p w14:paraId="3D4E5614" w14:textId="77777777" w:rsidR="0018622D" w:rsidRPr="0018622D" w:rsidRDefault="0018622D" w:rsidP="0018622D">
      <w:pPr>
        <w:tabs>
          <w:tab w:val="left" w:pos="851"/>
        </w:tabs>
        <w:ind w:left="851"/>
        <w:rPr>
          <w:sz w:val="24"/>
          <w:szCs w:val="24"/>
        </w:rPr>
      </w:pPr>
      <w:r w:rsidRPr="0018622D">
        <w:rPr>
          <w:sz w:val="24"/>
          <w:szCs w:val="24"/>
        </w:rPr>
        <w:t xml:space="preserve">Under overvågning efter markedsføring er der rapporteret om potentielt livstruende </w:t>
      </w:r>
      <w:proofErr w:type="spellStart"/>
      <w:r w:rsidRPr="0018622D">
        <w:rPr>
          <w:sz w:val="24"/>
          <w:szCs w:val="24"/>
        </w:rPr>
        <w:t>arytmi</w:t>
      </w:r>
      <w:proofErr w:type="spellEnd"/>
      <w:r w:rsidRPr="0018622D">
        <w:rPr>
          <w:sz w:val="24"/>
          <w:szCs w:val="24"/>
        </w:rPr>
        <w:t xml:space="preserve"> hos meget få patienter, som fik hurtig intravenøs administration af </w:t>
      </w:r>
      <w:proofErr w:type="spellStart"/>
      <w:r w:rsidRPr="0018622D">
        <w:rPr>
          <w:sz w:val="24"/>
          <w:szCs w:val="24"/>
        </w:rPr>
        <w:t>cefotaxim</w:t>
      </w:r>
      <w:proofErr w:type="spellEnd"/>
      <w:r w:rsidRPr="0018622D">
        <w:rPr>
          <w:sz w:val="24"/>
          <w:szCs w:val="24"/>
        </w:rPr>
        <w:t xml:space="preserve"> gennem et centralt venekateter. Det anbefalede tidsrum for injektion eller infusion skal følges (se pkt. 4.2).</w:t>
      </w:r>
    </w:p>
    <w:p w14:paraId="01490BA5" w14:textId="77777777" w:rsidR="0018622D" w:rsidRPr="0018622D" w:rsidRDefault="0018622D" w:rsidP="0018622D">
      <w:pPr>
        <w:tabs>
          <w:tab w:val="left" w:pos="851"/>
        </w:tabs>
        <w:ind w:left="851"/>
        <w:rPr>
          <w:sz w:val="24"/>
          <w:szCs w:val="24"/>
        </w:rPr>
      </w:pPr>
    </w:p>
    <w:p w14:paraId="6A506C44" w14:textId="0C961F04" w:rsidR="0018622D" w:rsidRPr="0018622D" w:rsidRDefault="0018622D" w:rsidP="0018622D">
      <w:pPr>
        <w:tabs>
          <w:tab w:val="left" w:pos="851"/>
        </w:tabs>
        <w:ind w:left="851"/>
        <w:rPr>
          <w:sz w:val="24"/>
          <w:szCs w:val="24"/>
          <w:u w:val="single"/>
        </w:rPr>
      </w:pPr>
      <w:r w:rsidRPr="0018622D">
        <w:rPr>
          <w:sz w:val="24"/>
          <w:szCs w:val="24"/>
          <w:u w:val="single"/>
        </w:rPr>
        <w:t xml:space="preserve">Forsigtighedsregler ved administration efter </w:t>
      </w:r>
      <w:proofErr w:type="spellStart"/>
      <w:r w:rsidRPr="0018622D">
        <w:rPr>
          <w:sz w:val="24"/>
          <w:szCs w:val="24"/>
          <w:u w:val="single"/>
        </w:rPr>
        <w:t>rekonstitution</w:t>
      </w:r>
      <w:proofErr w:type="spellEnd"/>
      <w:r w:rsidRPr="0018622D">
        <w:rPr>
          <w:sz w:val="24"/>
          <w:szCs w:val="24"/>
          <w:u w:val="single"/>
        </w:rPr>
        <w:t xml:space="preserve"> med </w:t>
      </w:r>
      <w:proofErr w:type="spellStart"/>
      <w:r w:rsidRPr="0018622D">
        <w:rPr>
          <w:sz w:val="24"/>
          <w:szCs w:val="24"/>
          <w:u w:val="single"/>
        </w:rPr>
        <w:t>lidocain</w:t>
      </w:r>
      <w:proofErr w:type="spellEnd"/>
    </w:p>
    <w:p w14:paraId="2A5656CE" w14:textId="77777777" w:rsidR="0018622D" w:rsidRPr="0018622D" w:rsidRDefault="0018622D" w:rsidP="0018622D">
      <w:pPr>
        <w:tabs>
          <w:tab w:val="left" w:pos="851"/>
        </w:tabs>
        <w:ind w:left="851"/>
        <w:rPr>
          <w:sz w:val="24"/>
          <w:szCs w:val="24"/>
        </w:rPr>
      </w:pPr>
    </w:p>
    <w:p w14:paraId="4D4CE391" w14:textId="77777777" w:rsidR="0018622D" w:rsidRPr="0018622D" w:rsidRDefault="0018622D" w:rsidP="0018622D">
      <w:pPr>
        <w:tabs>
          <w:tab w:val="left" w:pos="851"/>
        </w:tabs>
        <w:ind w:left="851"/>
        <w:rPr>
          <w:sz w:val="24"/>
          <w:szCs w:val="24"/>
        </w:rPr>
      </w:pPr>
      <w:r w:rsidRPr="0018622D">
        <w:rPr>
          <w:sz w:val="24"/>
          <w:szCs w:val="24"/>
        </w:rPr>
        <w:t>Må ikke administreres, hvis der er:</w:t>
      </w:r>
    </w:p>
    <w:p w14:paraId="19C31D80" w14:textId="64C1919D" w:rsidR="0018622D" w:rsidRPr="0018622D" w:rsidRDefault="0018622D" w:rsidP="0018622D">
      <w:pPr>
        <w:tabs>
          <w:tab w:val="left" w:pos="1134"/>
        </w:tabs>
        <w:ind w:left="1134" w:hanging="283"/>
        <w:rPr>
          <w:sz w:val="24"/>
          <w:szCs w:val="24"/>
        </w:rPr>
      </w:pPr>
      <w:r w:rsidRPr="0018622D">
        <w:rPr>
          <w:sz w:val="24"/>
          <w:szCs w:val="24"/>
        </w:rPr>
        <w:t>-</w:t>
      </w:r>
      <w:r>
        <w:rPr>
          <w:sz w:val="24"/>
          <w:szCs w:val="24"/>
        </w:rPr>
        <w:tab/>
        <w:t>K</w:t>
      </w:r>
      <w:r w:rsidRPr="0018622D">
        <w:rPr>
          <w:sz w:val="24"/>
          <w:szCs w:val="24"/>
        </w:rPr>
        <w:t xml:space="preserve">endt anamnese med overfølsomhed over for </w:t>
      </w:r>
      <w:proofErr w:type="spellStart"/>
      <w:r w:rsidRPr="0018622D">
        <w:rPr>
          <w:sz w:val="24"/>
          <w:szCs w:val="24"/>
        </w:rPr>
        <w:t>lidocain</w:t>
      </w:r>
      <w:proofErr w:type="spellEnd"/>
      <w:r w:rsidRPr="0018622D">
        <w:rPr>
          <w:sz w:val="24"/>
          <w:szCs w:val="24"/>
        </w:rPr>
        <w:t xml:space="preserve"> eller andre </w:t>
      </w:r>
      <w:proofErr w:type="spellStart"/>
      <w:r w:rsidRPr="0018622D">
        <w:rPr>
          <w:sz w:val="24"/>
          <w:szCs w:val="24"/>
        </w:rPr>
        <w:t>lokalanæstetika</w:t>
      </w:r>
      <w:proofErr w:type="spellEnd"/>
      <w:r w:rsidRPr="0018622D">
        <w:rPr>
          <w:sz w:val="24"/>
          <w:szCs w:val="24"/>
        </w:rPr>
        <w:t xml:space="preserve"> af </w:t>
      </w:r>
      <w:r>
        <w:rPr>
          <w:sz w:val="24"/>
          <w:szCs w:val="24"/>
        </w:rPr>
        <w:t>a</w:t>
      </w:r>
      <w:r w:rsidRPr="0018622D">
        <w:rPr>
          <w:sz w:val="24"/>
          <w:szCs w:val="24"/>
        </w:rPr>
        <w:t>midtypen</w:t>
      </w:r>
    </w:p>
    <w:p w14:paraId="6D4F7996" w14:textId="282F0355" w:rsidR="0018622D" w:rsidRPr="0018622D" w:rsidRDefault="0018622D" w:rsidP="0018622D">
      <w:pPr>
        <w:tabs>
          <w:tab w:val="left" w:pos="1134"/>
        </w:tabs>
        <w:ind w:left="1134" w:hanging="283"/>
        <w:rPr>
          <w:sz w:val="24"/>
          <w:szCs w:val="24"/>
        </w:rPr>
      </w:pPr>
      <w:r w:rsidRPr="0018622D">
        <w:rPr>
          <w:sz w:val="24"/>
          <w:szCs w:val="24"/>
        </w:rPr>
        <w:t>-</w:t>
      </w:r>
      <w:r>
        <w:rPr>
          <w:sz w:val="24"/>
          <w:szCs w:val="24"/>
        </w:rPr>
        <w:tab/>
      </w:r>
      <w:r w:rsidRPr="0018622D">
        <w:rPr>
          <w:sz w:val="24"/>
          <w:szCs w:val="24"/>
        </w:rPr>
        <w:t xml:space="preserve">Hjerteblok uden </w:t>
      </w:r>
      <w:proofErr w:type="spellStart"/>
      <w:r w:rsidRPr="0018622D">
        <w:rPr>
          <w:sz w:val="24"/>
          <w:szCs w:val="24"/>
        </w:rPr>
        <w:t>pacing</w:t>
      </w:r>
      <w:proofErr w:type="spellEnd"/>
    </w:p>
    <w:p w14:paraId="1CF85147" w14:textId="3EEC5C9C" w:rsidR="0018622D" w:rsidRPr="0018622D" w:rsidRDefault="0018622D" w:rsidP="0018622D">
      <w:pPr>
        <w:tabs>
          <w:tab w:val="left" w:pos="1134"/>
        </w:tabs>
        <w:ind w:left="1134" w:hanging="283"/>
        <w:rPr>
          <w:sz w:val="24"/>
          <w:szCs w:val="24"/>
        </w:rPr>
      </w:pPr>
      <w:r w:rsidRPr="0018622D">
        <w:rPr>
          <w:sz w:val="24"/>
          <w:szCs w:val="24"/>
        </w:rPr>
        <w:t>-</w:t>
      </w:r>
      <w:r>
        <w:rPr>
          <w:sz w:val="24"/>
          <w:szCs w:val="24"/>
        </w:rPr>
        <w:tab/>
      </w:r>
      <w:r w:rsidRPr="0018622D">
        <w:rPr>
          <w:sz w:val="24"/>
          <w:szCs w:val="24"/>
        </w:rPr>
        <w:t>Svært hjertesvigt</w:t>
      </w:r>
    </w:p>
    <w:p w14:paraId="7D52C5EA" w14:textId="77777777" w:rsidR="0018622D" w:rsidRPr="0018622D" w:rsidRDefault="0018622D" w:rsidP="0018622D">
      <w:pPr>
        <w:tabs>
          <w:tab w:val="left" w:pos="851"/>
        </w:tabs>
        <w:ind w:left="851"/>
        <w:rPr>
          <w:sz w:val="24"/>
          <w:szCs w:val="24"/>
        </w:rPr>
      </w:pPr>
    </w:p>
    <w:p w14:paraId="6B7F99E4" w14:textId="39704842" w:rsidR="0018622D" w:rsidRPr="0018622D" w:rsidRDefault="0018622D" w:rsidP="0018622D">
      <w:pPr>
        <w:tabs>
          <w:tab w:val="left" w:pos="851"/>
        </w:tabs>
        <w:ind w:left="851"/>
        <w:rPr>
          <w:sz w:val="24"/>
          <w:szCs w:val="24"/>
          <w:u w:val="single"/>
        </w:rPr>
      </w:pPr>
      <w:r w:rsidRPr="0018622D">
        <w:rPr>
          <w:sz w:val="24"/>
          <w:szCs w:val="24"/>
          <w:u w:val="single"/>
        </w:rPr>
        <w:t>Virkninger på laboratorieprøver</w:t>
      </w:r>
    </w:p>
    <w:p w14:paraId="193FB1A6" w14:textId="77777777" w:rsidR="0018622D" w:rsidRPr="0018622D" w:rsidRDefault="0018622D" w:rsidP="0018622D">
      <w:pPr>
        <w:tabs>
          <w:tab w:val="left" w:pos="851"/>
        </w:tabs>
        <w:ind w:left="851"/>
        <w:rPr>
          <w:sz w:val="24"/>
          <w:szCs w:val="24"/>
        </w:rPr>
      </w:pPr>
      <w:r w:rsidRPr="0018622D">
        <w:rPr>
          <w:sz w:val="24"/>
          <w:szCs w:val="24"/>
        </w:rPr>
        <w:t xml:space="preserve">Som for andre </w:t>
      </w:r>
      <w:proofErr w:type="spellStart"/>
      <w:r w:rsidRPr="0018622D">
        <w:rPr>
          <w:sz w:val="24"/>
          <w:szCs w:val="24"/>
        </w:rPr>
        <w:t>cefalosporiner</w:t>
      </w:r>
      <w:proofErr w:type="spellEnd"/>
      <w:r w:rsidRPr="0018622D">
        <w:rPr>
          <w:sz w:val="24"/>
          <w:szCs w:val="24"/>
        </w:rPr>
        <w:t xml:space="preserve"> er der fundet en positiv </w:t>
      </w:r>
      <w:proofErr w:type="spellStart"/>
      <w:r w:rsidRPr="0018622D">
        <w:rPr>
          <w:sz w:val="24"/>
          <w:szCs w:val="24"/>
        </w:rPr>
        <w:t>Coombs</w:t>
      </w:r>
      <w:proofErr w:type="spellEnd"/>
      <w:r w:rsidRPr="0018622D">
        <w:rPr>
          <w:sz w:val="24"/>
          <w:szCs w:val="24"/>
        </w:rPr>
        <w:t xml:space="preserve">-test hos nogle patienter, der er blevet behandlet med </w:t>
      </w:r>
      <w:proofErr w:type="spellStart"/>
      <w:r w:rsidRPr="0018622D">
        <w:rPr>
          <w:sz w:val="24"/>
          <w:szCs w:val="24"/>
        </w:rPr>
        <w:t>cefotaxim</w:t>
      </w:r>
      <w:proofErr w:type="spellEnd"/>
      <w:r w:rsidRPr="0018622D">
        <w:rPr>
          <w:sz w:val="24"/>
          <w:szCs w:val="24"/>
        </w:rPr>
        <w:t xml:space="preserve">. Dette fænomen kan forstyrre krydsmatchningen af blod. </w:t>
      </w:r>
      <w:proofErr w:type="spellStart"/>
      <w:r w:rsidRPr="0018622D">
        <w:rPr>
          <w:sz w:val="24"/>
          <w:szCs w:val="24"/>
        </w:rPr>
        <w:t>Uringlucosetest</w:t>
      </w:r>
      <w:proofErr w:type="spellEnd"/>
      <w:r w:rsidRPr="0018622D">
        <w:rPr>
          <w:sz w:val="24"/>
          <w:szCs w:val="24"/>
        </w:rPr>
        <w:t xml:space="preserve"> med non-specifikke reduktionsmidler kan give falsk positive resultater. Dette fænomen observeres ikke, når der anvendes en </w:t>
      </w:r>
      <w:proofErr w:type="spellStart"/>
      <w:r w:rsidRPr="0018622D">
        <w:rPr>
          <w:sz w:val="24"/>
          <w:szCs w:val="24"/>
        </w:rPr>
        <w:t>glucose</w:t>
      </w:r>
      <w:proofErr w:type="spellEnd"/>
      <w:r w:rsidRPr="0018622D">
        <w:rPr>
          <w:sz w:val="24"/>
          <w:szCs w:val="24"/>
        </w:rPr>
        <w:t>-oxidase-specifik metode.</w:t>
      </w:r>
    </w:p>
    <w:p w14:paraId="3B8EDD7C" w14:textId="77777777" w:rsidR="0018622D" w:rsidRPr="0018622D" w:rsidRDefault="0018622D" w:rsidP="0018622D">
      <w:pPr>
        <w:tabs>
          <w:tab w:val="left" w:pos="851"/>
        </w:tabs>
        <w:ind w:left="851"/>
        <w:rPr>
          <w:sz w:val="24"/>
          <w:szCs w:val="24"/>
        </w:rPr>
      </w:pPr>
    </w:p>
    <w:p w14:paraId="72D3B004" w14:textId="77777777" w:rsidR="0018622D" w:rsidRPr="0018622D" w:rsidRDefault="0018622D" w:rsidP="0018622D">
      <w:pPr>
        <w:tabs>
          <w:tab w:val="left" w:pos="851"/>
        </w:tabs>
        <w:ind w:left="851"/>
        <w:rPr>
          <w:sz w:val="24"/>
          <w:szCs w:val="24"/>
          <w:u w:val="single"/>
        </w:rPr>
      </w:pPr>
      <w:r w:rsidRPr="0018622D">
        <w:rPr>
          <w:sz w:val="24"/>
          <w:szCs w:val="24"/>
          <w:u w:val="single"/>
        </w:rPr>
        <w:t>Natrium</w:t>
      </w:r>
    </w:p>
    <w:p w14:paraId="3E147EB7" w14:textId="77777777" w:rsidR="0018622D" w:rsidRPr="0018622D" w:rsidRDefault="0018622D" w:rsidP="0018622D">
      <w:pPr>
        <w:tabs>
          <w:tab w:val="left" w:pos="851"/>
        </w:tabs>
        <w:ind w:left="851"/>
        <w:rPr>
          <w:sz w:val="24"/>
          <w:szCs w:val="24"/>
        </w:rPr>
      </w:pPr>
      <w:r w:rsidRPr="0018622D">
        <w:rPr>
          <w:sz w:val="24"/>
          <w:szCs w:val="24"/>
        </w:rPr>
        <w:t>Dette lægemiddel indeholder 48 mg natrium pr. 1 pulver, svarende til 2,4 % af den WHO-anbefalede maksimale daglige indtagelse af 2 g natrium for en voksen.</w:t>
      </w:r>
    </w:p>
    <w:p w14:paraId="334E16A9" w14:textId="77777777" w:rsidR="0018622D" w:rsidRPr="0018622D" w:rsidRDefault="0018622D" w:rsidP="0018622D">
      <w:pPr>
        <w:tabs>
          <w:tab w:val="left" w:pos="851"/>
        </w:tabs>
        <w:ind w:left="851"/>
        <w:rPr>
          <w:sz w:val="24"/>
          <w:szCs w:val="24"/>
        </w:rPr>
      </w:pPr>
    </w:p>
    <w:p w14:paraId="55C8259D" w14:textId="77777777" w:rsidR="0018622D" w:rsidRPr="0018622D" w:rsidRDefault="0018622D" w:rsidP="0018622D">
      <w:pPr>
        <w:tabs>
          <w:tab w:val="left" w:pos="851"/>
        </w:tabs>
        <w:ind w:left="851"/>
        <w:rPr>
          <w:sz w:val="24"/>
          <w:szCs w:val="24"/>
        </w:rPr>
      </w:pPr>
      <w:proofErr w:type="spellStart"/>
      <w:r w:rsidRPr="0018622D">
        <w:rPr>
          <w:sz w:val="24"/>
          <w:szCs w:val="24"/>
        </w:rPr>
        <w:t>Cefotaxim</w:t>
      </w:r>
      <w:proofErr w:type="spellEnd"/>
      <w:r w:rsidRPr="0018622D">
        <w:rPr>
          <w:sz w:val="24"/>
          <w:szCs w:val="24"/>
        </w:rPr>
        <w:t xml:space="preserve"> "Hameln" anses for at have et højt natriumindhold. Dette bør især tages i betragtning for dem, der er på en saltfattig diæt.</w:t>
      </w:r>
    </w:p>
    <w:p w14:paraId="7A57D82A" w14:textId="77777777" w:rsidR="0018622D" w:rsidRPr="0018622D" w:rsidRDefault="0018622D" w:rsidP="0018622D">
      <w:pPr>
        <w:tabs>
          <w:tab w:val="left" w:pos="851"/>
        </w:tabs>
        <w:ind w:left="851"/>
        <w:rPr>
          <w:sz w:val="24"/>
          <w:szCs w:val="24"/>
        </w:rPr>
      </w:pPr>
    </w:p>
    <w:p w14:paraId="170CC530" w14:textId="77777777" w:rsidR="0018622D" w:rsidRPr="0018622D" w:rsidRDefault="0018622D" w:rsidP="0018622D">
      <w:pPr>
        <w:tabs>
          <w:tab w:val="left" w:pos="851"/>
        </w:tabs>
        <w:ind w:left="851"/>
        <w:rPr>
          <w:sz w:val="24"/>
          <w:szCs w:val="24"/>
        </w:rPr>
      </w:pPr>
      <w:r w:rsidRPr="0018622D">
        <w:rPr>
          <w:sz w:val="24"/>
          <w:szCs w:val="24"/>
        </w:rPr>
        <w:t xml:space="preserve">Dette lægemiddel administreres kun efter </w:t>
      </w:r>
      <w:proofErr w:type="spellStart"/>
      <w:r w:rsidRPr="0018622D">
        <w:rPr>
          <w:sz w:val="24"/>
          <w:szCs w:val="24"/>
        </w:rPr>
        <w:t>rekonstitution</w:t>
      </w:r>
      <w:proofErr w:type="spellEnd"/>
      <w:r w:rsidRPr="0018622D">
        <w:rPr>
          <w:sz w:val="24"/>
          <w:szCs w:val="24"/>
        </w:rPr>
        <w:t xml:space="preserve"> - se pkt. 6.6.</w:t>
      </w:r>
    </w:p>
    <w:p w14:paraId="5FF574B6" w14:textId="77777777" w:rsidR="0018622D" w:rsidRPr="0018622D" w:rsidRDefault="0018622D" w:rsidP="0018622D">
      <w:pPr>
        <w:tabs>
          <w:tab w:val="left" w:pos="851"/>
        </w:tabs>
        <w:ind w:left="851"/>
        <w:rPr>
          <w:sz w:val="24"/>
          <w:szCs w:val="24"/>
        </w:rPr>
      </w:pPr>
      <w:r w:rsidRPr="0018622D">
        <w:rPr>
          <w:sz w:val="24"/>
          <w:szCs w:val="24"/>
        </w:rPr>
        <w:t xml:space="preserve">Natriumindholdet i </w:t>
      </w:r>
      <w:proofErr w:type="spellStart"/>
      <w:r w:rsidRPr="0018622D">
        <w:rPr>
          <w:sz w:val="24"/>
          <w:szCs w:val="24"/>
        </w:rPr>
        <w:t>diluensen</w:t>
      </w:r>
      <w:proofErr w:type="spellEnd"/>
      <w:r w:rsidRPr="0018622D">
        <w:rPr>
          <w:sz w:val="24"/>
          <w:szCs w:val="24"/>
        </w:rPr>
        <w:t xml:space="preserve"> bør tages i betragtning ved beregning af det samlede natriumindhold i den forberedte fortynding af præparatet. For detaljerede oplysninger om natriumindholdet i den opløsning, der anvendes til at fortynde præparatet, henvises til produktegenskaberne for den anvendte </w:t>
      </w:r>
      <w:proofErr w:type="spellStart"/>
      <w:r w:rsidRPr="0018622D">
        <w:rPr>
          <w:sz w:val="24"/>
          <w:szCs w:val="24"/>
        </w:rPr>
        <w:t>diluens</w:t>
      </w:r>
      <w:proofErr w:type="spellEnd"/>
      <w:r w:rsidRPr="0018622D">
        <w:rPr>
          <w:sz w:val="24"/>
          <w:szCs w:val="24"/>
        </w:rPr>
        <w:t xml:space="preserve">. </w:t>
      </w:r>
    </w:p>
    <w:p w14:paraId="5545263F" w14:textId="77777777" w:rsidR="009260DE" w:rsidRPr="00C84483" w:rsidRDefault="009260DE" w:rsidP="009260DE">
      <w:pPr>
        <w:tabs>
          <w:tab w:val="left" w:pos="851"/>
        </w:tabs>
        <w:ind w:left="851"/>
        <w:rPr>
          <w:sz w:val="24"/>
          <w:szCs w:val="24"/>
        </w:rPr>
      </w:pPr>
    </w:p>
    <w:p w14:paraId="58D930D0"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11DE7A72" w14:textId="77777777" w:rsidR="00B95515" w:rsidRPr="00B95515" w:rsidRDefault="00B95515" w:rsidP="00B95515">
      <w:pPr>
        <w:tabs>
          <w:tab w:val="left" w:pos="851"/>
        </w:tabs>
        <w:ind w:left="851"/>
        <w:rPr>
          <w:sz w:val="24"/>
          <w:szCs w:val="24"/>
        </w:rPr>
      </w:pPr>
      <w:proofErr w:type="spellStart"/>
      <w:r w:rsidRPr="00B95515">
        <w:rPr>
          <w:sz w:val="24"/>
          <w:szCs w:val="24"/>
        </w:rPr>
        <w:t>Probenecid</w:t>
      </w:r>
      <w:proofErr w:type="spellEnd"/>
      <w:r w:rsidRPr="00B95515">
        <w:rPr>
          <w:sz w:val="24"/>
          <w:szCs w:val="24"/>
        </w:rPr>
        <w:t xml:space="preserve"> påvirker den </w:t>
      </w:r>
      <w:proofErr w:type="spellStart"/>
      <w:r w:rsidRPr="00B95515">
        <w:rPr>
          <w:sz w:val="24"/>
          <w:szCs w:val="24"/>
        </w:rPr>
        <w:t>renale</w:t>
      </w:r>
      <w:proofErr w:type="spellEnd"/>
      <w:r w:rsidRPr="00B95515">
        <w:rPr>
          <w:sz w:val="24"/>
          <w:szCs w:val="24"/>
        </w:rPr>
        <w:t xml:space="preserve"> </w:t>
      </w:r>
      <w:proofErr w:type="spellStart"/>
      <w:r w:rsidRPr="00B95515">
        <w:rPr>
          <w:sz w:val="24"/>
          <w:szCs w:val="24"/>
        </w:rPr>
        <w:t>tubulære</w:t>
      </w:r>
      <w:proofErr w:type="spellEnd"/>
      <w:r w:rsidRPr="00B95515">
        <w:rPr>
          <w:sz w:val="24"/>
          <w:szCs w:val="24"/>
        </w:rPr>
        <w:t xml:space="preserve"> overførsel af </w:t>
      </w:r>
      <w:proofErr w:type="spellStart"/>
      <w:r w:rsidRPr="00B95515">
        <w:rPr>
          <w:sz w:val="24"/>
          <w:szCs w:val="24"/>
        </w:rPr>
        <w:t>cefalosporiner</w:t>
      </w:r>
      <w:proofErr w:type="spellEnd"/>
      <w:r w:rsidRPr="00B95515">
        <w:rPr>
          <w:sz w:val="24"/>
          <w:szCs w:val="24"/>
        </w:rPr>
        <w:t xml:space="preserve"> og øger derved </w:t>
      </w:r>
      <w:proofErr w:type="spellStart"/>
      <w:r w:rsidRPr="00B95515">
        <w:rPr>
          <w:sz w:val="24"/>
          <w:szCs w:val="24"/>
        </w:rPr>
        <w:t>cefotaximeksponeringen</w:t>
      </w:r>
      <w:proofErr w:type="spellEnd"/>
      <w:r w:rsidRPr="00B95515">
        <w:rPr>
          <w:sz w:val="24"/>
          <w:szCs w:val="24"/>
        </w:rPr>
        <w:t xml:space="preserve"> ca. 2 gange og reducerer </w:t>
      </w:r>
      <w:proofErr w:type="spellStart"/>
      <w:r w:rsidRPr="00B95515">
        <w:rPr>
          <w:sz w:val="24"/>
          <w:szCs w:val="24"/>
        </w:rPr>
        <w:t>renal</w:t>
      </w:r>
      <w:proofErr w:type="spellEnd"/>
      <w:r w:rsidRPr="00B95515">
        <w:rPr>
          <w:sz w:val="24"/>
          <w:szCs w:val="24"/>
        </w:rPr>
        <w:t xml:space="preserve"> </w:t>
      </w:r>
      <w:proofErr w:type="spellStart"/>
      <w:r w:rsidRPr="00B95515">
        <w:rPr>
          <w:sz w:val="24"/>
          <w:szCs w:val="24"/>
        </w:rPr>
        <w:t>clearance</w:t>
      </w:r>
      <w:proofErr w:type="spellEnd"/>
      <w:r w:rsidRPr="00B95515">
        <w:rPr>
          <w:sz w:val="24"/>
          <w:szCs w:val="24"/>
        </w:rPr>
        <w:t xml:space="preserve"> til ca. halvdelen ved terapeutiske doser. På grund af det store terapeutiske indeks for </w:t>
      </w:r>
      <w:proofErr w:type="spellStart"/>
      <w:r w:rsidRPr="00B95515">
        <w:rPr>
          <w:sz w:val="24"/>
          <w:szCs w:val="24"/>
        </w:rPr>
        <w:t>cefotaxim</w:t>
      </w:r>
      <w:proofErr w:type="spellEnd"/>
      <w:r w:rsidRPr="00B95515">
        <w:rPr>
          <w:sz w:val="24"/>
          <w:szCs w:val="24"/>
        </w:rPr>
        <w:t xml:space="preserve"> er dosisjustering ikke nødvendig hos patienter med normal nyrefunktion. Dosisjustering kan være nødvendig hos patienter med nedsat nyrefunktion (se pkt. 4.4 og 4.2).</w:t>
      </w:r>
    </w:p>
    <w:p w14:paraId="1F0C320C" w14:textId="77777777" w:rsidR="00B95515" w:rsidRPr="00B95515" w:rsidRDefault="00B95515" w:rsidP="00B95515">
      <w:pPr>
        <w:tabs>
          <w:tab w:val="left" w:pos="851"/>
        </w:tabs>
        <w:ind w:left="851"/>
        <w:rPr>
          <w:sz w:val="24"/>
          <w:szCs w:val="24"/>
        </w:rPr>
      </w:pPr>
    </w:p>
    <w:p w14:paraId="31E8A68A" w14:textId="77777777" w:rsidR="00B95515" w:rsidRPr="00B95515" w:rsidRDefault="00B95515" w:rsidP="00B95515">
      <w:pPr>
        <w:tabs>
          <w:tab w:val="left" w:pos="851"/>
        </w:tabs>
        <w:ind w:left="851"/>
        <w:rPr>
          <w:sz w:val="24"/>
          <w:szCs w:val="24"/>
        </w:rPr>
      </w:pPr>
      <w:proofErr w:type="spellStart"/>
      <w:r w:rsidRPr="00B95515">
        <w:rPr>
          <w:sz w:val="24"/>
          <w:szCs w:val="24"/>
        </w:rPr>
        <w:t>Aminoglykosidantibiotika</w:t>
      </w:r>
      <w:proofErr w:type="spellEnd"/>
      <w:r w:rsidRPr="00B95515">
        <w:rPr>
          <w:sz w:val="24"/>
          <w:szCs w:val="24"/>
        </w:rPr>
        <w:t xml:space="preserve"> og </w:t>
      </w:r>
      <w:proofErr w:type="spellStart"/>
      <w:r w:rsidRPr="00B95515">
        <w:rPr>
          <w:sz w:val="24"/>
          <w:szCs w:val="24"/>
        </w:rPr>
        <w:t>diuretika</w:t>
      </w:r>
      <w:proofErr w:type="spellEnd"/>
      <w:r w:rsidRPr="00B95515">
        <w:rPr>
          <w:sz w:val="24"/>
          <w:szCs w:val="24"/>
        </w:rPr>
        <w:t xml:space="preserve">: Som for andre </w:t>
      </w:r>
      <w:proofErr w:type="spellStart"/>
      <w:r w:rsidRPr="00B95515">
        <w:rPr>
          <w:sz w:val="24"/>
          <w:szCs w:val="24"/>
        </w:rPr>
        <w:t>cefalosporiner</w:t>
      </w:r>
      <w:proofErr w:type="spellEnd"/>
      <w:r w:rsidRPr="00B95515">
        <w:rPr>
          <w:sz w:val="24"/>
          <w:szCs w:val="24"/>
        </w:rPr>
        <w:t xml:space="preserve"> kan </w:t>
      </w:r>
      <w:proofErr w:type="spellStart"/>
      <w:r w:rsidRPr="00B95515">
        <w:rPr>
          <w:sz w:val="24"/>
          <w:szCs w:val="24"/>
        </w:rPr>
        <w:t>cefotaxim</w:t>
      </w:r>
      <w:proofErr w:type="spellEnd"/>
      <w:r w:rsidRPr="00B95515">
        <w:rPr>
          <w:sz w:val="24"/>
          <w:szCs w:val="24"/>
        </w:rPr>
        <w:t xml:space="preserve"> forstærke de </w:t>
      </w:r>
      <w:proofErr w:type="spellStart"/>
      <w:r w:rsidRPr="00B95515">
        <w:rPr>
          <w:sz w:val="24"/>
          <w:szCs w:val="24"/>
        </w:rPr>
        <w:t>nefrotoksiske</w:t>
      </w:r>
      <w:proofErr w:type="spellEnd"/>
      <w:r w:rsidRPr="00B95515">
        <w:rPr>
          <w:sz w:val="24"/>
          <w:szCs w:val="24"/>
        </w:rPr>
        <w:t xml:space="preserve"> virkninger af </w:t>
      </w:r>
      <w:proofErr w:type="spellStart"/>
      <w:r w:rsidRPr="00B95515">
        <w:rPr>
          <w:sz w:val="24"/>
          <w:szCs w:val="24"/>
        </w:rPr>
        <w:t>nefrotoksiske</w:t>
      </w:r>
      <w:proofErr w:type="spellEnd"/>
      <w:r w:rsidRPr="00B95515">
        <w:rPr>
          <w:sz w:val="24"/>
          <w:szCs w:val="24"/>
        </w:rPr>
        <w:t xml:space="preserve"> lægemidler, såsom aminoglykosider eller potente </w:t>
      </w:r>
      <w:proofErr w:type="spellStart"/>
      <w:r w:rsidRPr="00B95515">
        <w:rPr>
          <w:sz w:val="24"/>
          <w:szCs w:val="24"/>
        </w:rPr>
        <w:t>diuretika</w:t>
      </w:r>
      <w:proofErr w:type="spellEnd"/>
      <w:r w:rsidRPr="00B95515">
        <w:rPr>
          <w:sz w:val="24"/>
          <w:szCs w:val="24"/>
        </w:rPr>
        <w:t xml:space="preserve"> (f.eks. </w:t>
      </w:r>
      <w:proofErr w:type="spellStart"/>
      <w:r w:rsidRPr="00B95515">
        <w:rPr>
          <w:sz w:val="24"/>
          <w:szCs w:val="24"/>
        </w:rPr>
        <w:t>furosemid</w:t>
      </w:r>
      <w:proofErr w:type="spellEnd"/>
      <w:r w:rsidRPr="00B95515">
        <w:rPr>
          <w:sz w:val="24"/>
          <w:szCs w:val="24"/>
        </w:rPr>
        <w:t>). Nyrefunktionen skal overvåges hos disse patienter (se pkt. 4.4).</w:t>
      </w:r>
    </w:p>
    <w:p w14:paraId="4549CE1B" w14:textId="77777777" w:rsidR="00B95515" w:rsidRPr="00B95515" w:rsidRDefault="00B95515" w:rsidP="00B95515">
      <w:pPr>
        <w:tabs>
          <w:tab w:val="left" w:pos="851"/>
        </w:tabs>
        <w:ind w:left="851"/>
        <w:rPr>
          <w:sz w:val="24"/>
          <w:szCs w:val="24"/>
        </w:rPr>
      </w:pPr>
    </w:p>
    <w:p w14:paraId="3B74B0B5" w14:textId="77777777" w:rsidR="00B95515" w:rsidRPr="00B95515" w:rsidRDefault="00B95515" w:rsidP="00B95515">
      <w:pPr>
        <w:tabs>
          <w:tab w:val="left" w:pos="851"/>
        </w:tabs>
        <w:ind w:left="851"/>
        <w:rPr>
          <w:sz w:val="24"/>
          <w:szCs w:val="24"/>
        </w:rPr>
      </w:pPr>
      <w:proofErr w:type="spellStart"/>
      <w:r w:rsidRPr="00B95515">
        <w:rPr>
          <w:sz w:val="24"/>
          <w:szCs w:val="24"/>
        </w:rPr>
        <w:t>Bakteriostatiske</w:t>
      </w:r>
      <w:proofErr w:type="spellEnd"/>
      <w:r w:rsidRPr="00B95515">
        <w:rPr>
          <w:sz w:val="24"/>
          <w:szCs w:val="24"/>
        </w:rPr>
        <w:t xml:space="preserve"> antibiotika: </w:t>
      </w:r>
      <w:proofErr w:type="spellStart"/>
      <w:r w:rsidRPr="00B95515">
        <w:rPr>
          <w:sz w:val="24"/>
          <w:szCs w:val="24"/>
        </w:rPr>
        <w:t>Cefotaxim</w:t>
      </w:r>
      <w:proofErr w:type="spellEnd"/>
      <w:r w:rsidRPr="00B95515">
        <w:rPr>
          <w:sz w:val="24"/>
          <w:szCs w:val="24"/>
        </w:rPr>
        <w:t xml:space="preserve"> må ikke kombineres med </w:t>
      </w:r>
      <w:proofErr w:type="spellStart"/>
      <w:r w:rsidRPr="00B95515">
        <w:rPr>
          <w:sz w:val="24"/>
          <w:szCs w:val="24"/>
        </w:rPr>
        <w:t>bakteriostatiske</w:t>
      </w:r>
      <w:proofErr w:type="spellEnd"/>
      <w:r w:rsidRPr="00B95515">
        <w:rPr>
          <w:sz w:val="24"/>
          <w:szCs w:val="24"/>
        </w:rPr>
        <w:t xml:space="preserve"> antibiotika (f.eks. </w:t>
      </w:r>
      <w:proofErr w:type="spellStart"/>
      <w:r w:rsidRPr="00B95515">
        <w:rPr>
          <w:sz w:val="24"/>
          <w:szCs w:val="24"/>
        </w:rPr>
        <w:t>tetracykliner</w:t>
      </w:r>
      <w:proofErr w:type="spellEnd"/>
      <w:r w:rsidRPr="00B95515">
        <w:rPr>
          <w:sz w:val="24"/>
          <w:szCs w:val="24"/>
        </w:rPr>
        <w:t xml:space="preserve">, </w:t>
      </w:r>
      <w:proofErr w:type="spellStart"/>
      <w:r w:rsidRPr="00B95515">
        <w:rPr>
          <w:sz w:val="24"/>
          <w:szCs w:val="24"/>
        </w:rPr>
        <w:t>erythromycin</w:t>
      </w:r>
      <w:proofErr w:type="spellEnd"/>
      <w:r w:rsidRPr="00B95515">
        <w:rPr>
          <w:sz w:val="24"/>
          <w:szCs w:val="24"/>
        </w:rPr>
        <w:t xml:space="preserve"> og </w:t>
      </w:r>
      <w:proofErr w:type="spellStart"/>
      <w:r w:rsidRPr="00B95515">
        <w:rPr>
          <w:sz w:val="24"/>
          <w:szCs w:val="24"/>
        </w:rPr>
        <w:t>chloramphenicol</w:t>
      </w:r>
      <w:proofErr w:type="spellEnd"/>
      <w:r w:rsidRPr="00B95515">
        <w:rPr>
          <w:sz w:val="24"/>
          <w:szCs w:val="24"/>
        </w:rPr>
        <w:t>), da en antagonistisk virkning er mulig.</w:t>
      </w:r>
    </w:p>
    <w:p w14:paraId="06ABF3DD" w14:textId="77777777" w:rsidR="00B95515" w:rsidRPr="00B95515" w:rsidRDefault="00B95515" w:rsidP="00B95515">
      <w:pPr>
        <w:tabs>
          <w:tab w:val="left" w:pos="851"/>
        </w:tabs>
        <w:ind w:left="851"/>
        <w:rPr>
          <w:sz w:val="24"/>
          <w:szCs w:val="24"/>
        </w:rPr>
      </w:pPr>
    </w:p>
    <w:p w14:paraId="0DB70C2D" w14:textId="77777777" w:rsidR="00B95515" w:rsidRPr="00B95515" w:rsidRDefault="00B95515" w:rsidP="00B95515">
      <w:pPr>
        <w:tabs>
          <w:tab w:val="left" w:pos="851"/>
        </w:tabs>
        <w:ind w:left="851"/>
        <w:rPr>
          <w:sz w:val="24"/>
          <w:szCs w:val="24"/>
        </w:rPr>
      </w:pPr>
      <w:r w:rsidRPr="00B95515">
        <w:rPr>
          <w:sz w:val="24"/>
          <w:szCs w:val="24"/>
        </w:rPr>
        <w:t xml:space="preserve">Interferens med laboratorieprøver: Som for andre </w:t>
      </w:r>
      <w:proofErr w:type="spellStart"/>
      <w:r w:rsidRPr="00B95515">
        <w:rPr>
          <w:sz w:val="24"/>
          <w:szCs w:val="24"/>
        </w:rPr>
        <w:t>cefalosporiner</w:t>
      </w:r>
      <w:proofErr w:type="spellEnd"/>
      <w:r w:rsidRPr="00B95515">
        <w:rPr>
          <w:sz w:val="24"/>
          <w:szCs w:val="24"/>
        </w:rPr>
        <w:t xml:space="preserve"> er der set en positiv </w:t>
      </w:r>
      <w:proofErr w:type="spellStart"/>
      <w:r w:rsidRPr="00B95515">
        <w:rPr>
          <w:sz w:val="24"/>
          <w:szCs w:val="24"/>
        </w:rPr>
        <w:t>Coombs</w:t>
      </w:r>
      <w:proofErr w:type="spellEnd"/>
      <w:r w:rsidRPr="00B95515">
        <w:rPr>
          <w:sz w:val="24"/>
          <w:szCs w:val="24"/>
        </w:rPr>
        <w:t xml:space="preserve">-test hos nogle patienter, der blev behandlet med </w:t>
      </w:r>
      <w:proofErr w:type="spellStart"/>
      <w:r w:rsidRPr="00B95515">
        <w:rPr>
          <w:sz w:val="24"/>
          <w:szCs w:val="24"/>
        </w:rPr>
        <w:t>cefotaxim</w:t>
      </w:r>
      <w:proofErr w:type="spellEnd"/>
      <w:r w:rsidRPr="00B95515">
        <w:rPr>
          <w:sz w:val="24"/>
          <w:szCs w:val="24"/>
        </w:rPr>
        <w:t>. Dette fænomen kan forstyrre krydsmatchningen af blod.</w:t>
      </w:r>
    </w:p>
    <w:p w14:paraId="425AD83D" w14:textId="77777777" w:rsidR="00B95515" w:rsidRPr="00B95515" w:rsidRDefault="00B95515" w:rsidP="00B95515">
      <w:pPr>
        <w:tabs>
          <w:tab w:val="left" w:pos="851"/>
        </w:tabs>
        <w:ind w:left="851"/>
        <w:rPr>
          <w:sz w:val="24"/>
          <w:szCs w:val="24"/>
        </w:rPr>
      </w:pPr>
    </w:p>
    <w:p w14:paraId="32267759" w14:textId="77777777" w:rsidR="00B95515" w:rsidRPr="00B95515" w:rsidRDefault="00B95515" w:rsidP="00B95515">
      <w:pPr>
        <w:tabs>
          <w:tab w:val="left" w:pos="851"/>
        </w:tabs>
        <w:ind w:left="851"/>
        <w:rPr>
          <w:sz w:val="24"/>
          <w:szCs w:val="24"/>
        </w:rPr>
      </w:pPr>
      <w:r w:rsidRPr="00B95515">
        <w:rPr>
          <w:sz w:val="24"/>
          <w:szCs w:val="24"/>
        </w:rPr>
        <w:t xml:space="preserve">En falsk positiv reaktion på </w:t>
      </w:r>
      <w:proofErr w:type="spellStart"/>
      <w:r w:rsidRPr="00B95515">
        <w:rPr>
          <w:sz w:val="24"/>
          <w:szCs w:val="24"/>
        </w:rPr>
        <w:t>glucose</w:t>
      </w:r>
      <w:proofErr w:type="spellEnd"/>
      <w:r w:rsidRPr="00B95515">
        <w:rPr>
          <w:sz w:val="24"/>
          <w:szCs w:val="24"/>
        </w:rPr>
        <w:t xml:space="preserve"> kan forekomme med reduktionsstoffer (f.eks. </w:t>
      </w:r>
      <w:proofErr w:type="spellStart"/>
      <w:r w:rsidRPr="00B95515">
        <w:rPr>
          <w:sz w:val="24"/>
          <w:szCs w:val="24"/>
        </w:rPr>
        <w:t>Fehlings</w:t>
      </w:r>
      <w:proofErr w:type="spellEnd"/>
      <w:r w:rsidRPr="00B95515">
        <w:rPr>
          <w:sz w:val="24"/>
          <w:szCs w:val="24"/>
        </w:rPr>
        <w:t xml:space="preserve"> opløsning), men ikke ved brug af specifikke </w:t>
      </w:r>
      <w:proofErr w:type="spellStart"/>
      <w:r w:rsidRPr="00B95515">
        <w:rPr>
          <w:sz w:val="24"/>
          <w:szCs w:val="24"/>
        </w:rPr>
        <w:t>glucose-oxidasemetoder</w:t>
      </w:r>
      <w:proofErr w:type="spellEnd"/>
      <w:r w:rsidRPr="00B95515">
        <w:rPr>
          <w:sz w:val="24"/>
          <w:szCs w:val="24"/>
        </w:rPr>
        <w:t>.</w:t>
      </w:r>
    </w:p>
    <w:p w14:paraId="71BFB4B2" w14:textId="77777777" w:rsidR="009260DE" w:rsidRPr="00C84483" w:rsidRDefault="009260DE" w:rsidP="009260DE">
      <w:pPr>
        <w:tabs>
          <w:tab w:val="left" w:pos="851"/>
        </w:tabs>
        <w:ind w:left="851"/>
        <w:rPr>
          <w:sz w:val="24"/>
          <w:szCs w:val="24"/>
        </w:rPr>
      </w:pPr>
    </w:p>
    <w:p w14:paraId="6283F55E"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1C36372C" w14:textId="77777777" w:rsidR="00B95515" w:rsidRDefault="00B95515" w:rsidP="00B95515">
      <w:pPr>
        <w:tabs>
          <w:tab w:val="left" w:pos="851"/>
        </w:tabs>
        <w:ind w:left="851"/>
        <w:rPr>
          <w:sz w:val="24"/>
          <w:szCs w:val="24"/>
          <w:u w:val="single"/>
        </w:rPr>
      </w:pPr>
      <w:bookmarkStart w:id="5" w:name="_Hlk164964134"/>
    </w:p>
    <w:p w14:paraId="71B86A25" w14:textId="3BD958F3" w:rsidR="00B95515" w:rsidRPr="00B95515" w:rsidRDefault="00B95515" w:rsidP="00B95515">
      <w:pPr>
        <w:tabs>
          <w:tab w:val="left" w:pos="851"/>
        </w:tabs>
        <w:ind w:left="851"/>
        <w:rPr>
          <w:sz w:val="24"/>
          <w:szCs w:val="24"/>
        </w:rPr>
      </w:pPr>
      <w:r w:rsidRPr="00B95515">
        <w:rPr>
          <w:sz w:val="24"/>
          <w:szCs w:val="24"/>
          <w:u w:val="single"/>
        </w:rPr>
        <w:t>Graviditet</w:t>
      </w:r>
    </w:p>
    <w:p w14:paraId="4ACD0F24" w14:textId="77777777" w:rsidR="00B95515" w:rsidRPr="00B95515" w:rsidRDefault="00B95515" w:rsidP="00B95515">
      <w:pPr>
        <w:tabs>
          <w:tab w:val="left" w:pos="851"/>
        </w:tabs>
        <w:ind w:left="851"/>
        <w:rPr>
          <w:sz w:val="24"/>
          <w:szCs w:val="24"/>
        </w:rPr>
      </w:pPr>
      <w:proofErr w:type="spellStart"/>
      <w:r w:rsidRPr="00B95515">
        <w:rPr>
          <w:sz w:val="24"/>
          <w:szCs w:val="24"/>
        </w:rPr>
        <w:t>Cefotaxims</w:t>
      </w:r>
      <w:proofErr w:type="spellEnd"/>
      <w:r w:rsidRPr="00B95515">
        <w:rPr>
          <w:sz w:val="24"/>
          <w:szCs w:val="24"/>
        </w:rPr>
        <w:t xml:space="preserve"> sikkerhed er ikke klarlagt ved humane graviditeter.</w:t>
      </w:r>
    </w:p>
    <w:p w14:paraId="37CAC21A" w14:textId="77777777" w:rsidR="00B95515" w:rsidRPr="00B95515" w:rsidRDefault="00B95515" w:rsidP="00B95515">
      <w:pPr>
        <w:tabs>
          <w:tab w:val="left" w:pos="851"/>
        </w:tabs>
        <w:ind w:left="851"/>
        <w:rPr>
          <w:sz w:val="24"/>
          <w:szCs w:val="24"/>
        </w:rPr>
      </w:pPr>
      <w:r w:rsidRPr="00B95515">
        <w:rPr>
          <w:sz w:val="24"/>
          <w:szCs w:val="24"/>
        </w:rPr>
        <w:t>Dyreforsøg indikerer hverken direkte eller indirekte skadelige virkninger hvad angår reproduktionstoksicitet. Der er imidlertid ingen tilstrækkelige og velkontrollerede studier af gravide kvinder.</w:t>
      </w:r>
    </w:p>
    <w:p w14:paraId="78853A1B" w14:textId="77777777" w:rsidR="00B95515" w:rsidRPr="00B95515" w:rsidRDefault="00B95515" w:rsidP="00B95515">
      <w:pPr>
        <w:tabs>
          <w:tab w:val="left" w:pos="851"/>
        </w:tabs>
        <w:ind w:left="851"/>
        <w:rPr>
          <w:sz w:val="24"/>
          <w:szCs w:val="24"/>
        </w:rPr>
      </w:pPr>
      <w:proofErr w:type="spellStart"/>
      <w:r w:rsidRPr="00B95515">
        <w:rPr>
          <w:sz w:val="24"/>
          <w:szCs w:val="24"/>
        </w:rPr>
        <w:t>Cefotaxim</w:t>
      </w:r>
      <w:proofErr w:type="spellEnd"/>
      <w:r w:rsidRPr="00B95515">
        <w:rPr>
          <w:sz w:val="24"/>
          <w:szCs w:val="24"/>
        </w:rPr>
        <w:t xml:space="preserve"> krydser placentabarrieren. Efter intravenøs administration af 1 g </w:t>
      </w:r>
      <w:proofErr w:type="spellStart"/>
      <w:r w:rsidRPr="00B95515">
        <w:rPr>
          <w:sz w:val="24"/>
          <w:szCs w:val="24"/>
        </w:rPr>
        <w:t>cefotaxim</w:t>
      </w:r>
      <w:proofErr w:type="spellEnd"/>
      <w:r w:rsidRPr="00B95515">
        <w:rPr>
          <w:sz w:val="24"/>
          <w:szCs w:val="24"/>
        </w:rPr>
        <w:t xml:space="preserve"> under fødslen blev der målt værdier på 14 </w:t>
      </w:r>
      <w:proofErr w:type="spellStart"/>
      <w:r w:rsidRPr="00B95515">
        <w:rPr>
          <w:sz w:val="24"/>
          <w:szCs w:val="24"/>
        </w:rPr>
        <w:t>μg</w:t>
      </w:r>
      <w:proofErr w:type="spellEnd"/>
      <w:r w:rsidRPr="00B95515">
        <w:rPr>
          <w:sz w:val="24"/>
          <w:szCs w:val="24"/>
        </w:rPr>
        <w:t xml:space="preserve">/ml i </w:t>
      </w:r>
      <w:proofErr w:type="spellStart"/>
      <w:r w:rsidRPr="00B95515">
        <w:rPr>
          <w:sz w:val="24"/>
          <w:szCs w:val="24"/>
        </w:rPr>
        <w:t>navlesnorsserumet</w:t>
      </w:r>
      <w:proofErr w:type="spellEnd"/>
      <w:r w:rsidRPr="00B95515">
        <w:rPr>
          <w:sz w:val="24"/>
          <w:szCs w:val="24"/>
        </w:rPr>
        <w:t xml:space="preserve"> i de første 90 minutter efter administration, hvilket faldt til ca. 2,5 </w:t>
      </w:r>
      <w:proofErr w:type="spellStart"/>
      <w:r w:rsidRPr="00B95515">
        <w:rPr>
          <w:sz w:val="24"/>
          <w:szCs w:val="24"/>
        </w:rPr>
        <w:t>μg</w:t>
      </w:r>
      <w:proofErr w:type="spellEnd"/>
      <w:r w:rsidRPr="00B95515">
        <w:rPr>
          <w:sz w:val="24"/>
          <w:szCs w:val="24"/>
        </w:rPr>
        <w:t xml:space="preserve">/ml </w:t>
      </w:r>
      <w:proofErr w:type="spellStart"/>
      <w:r w:rsidRPr="00B95515">
        <w:rPr>
          <w:sz w:val="24"/>
          <w:szCs w:val="24"/>
        </w:rPr>
        <w:t>eften</w:t>
      </w:r>
      <w:proofErr w:type="spellEnd"/>
      <w:r w:rsidRPr="00B95515">
        <w:rPr>
          <w:sz w:val="24"/>
          <w:szCs w:val="24"/>
        </w:rPr>
        <w:t xml:space="preserve"> den anden time efter applikation. I fostervandet blev den højeste koncentration på 6,9 </w:t>
      </w:r>
      <w:proofErr w:type="spellStart"/>
      <w:r w:rsidRPr="00B95515">
        <w:rPr>
          <w:sz w:val="24"/>
          <w:szCs w:val="24"/>
        </w:rPr>
        <w:t>μg</w:t>
      </w:r>
      <w:proofErr w:type="spellEnd"/>
      <w:r w:rsidRPr="00B95515">
        <w:rPr>
          <w:sz w:val="24"/>
          <w:szCs w:val="24"/>
        </w:rPr>
        <w:t>/ml målt efter 3</w:t>
      </w:r>
      <w:r w:rsidRPr="00B95515">
        <w:rPr>
          <w:sz w:val="24"/>
          <w:szCs w:val="24"/>
        </w:rPr>
        <w:noBreakHyphen/>
        <w:t xml:space="preserve">4 timer. Denne værdi overstiger MIC for de fleste gramnegative bakterier. </w:t>
      </w:r>
      <w:proofErr w:type="spellStart"/>
      <w:r w:rsidRPr="00B95515">
        <w:rPr>
          <w:sz w:val="24"/>
          <w:szCs w:val="24"/>
        </w:rPr>
        <w:t>Cefotaxim</w:t>
      </w:r>
      <w:proofErr w:type="spellEnd"/>
      <w:r w:rsidRPr="00B95515">
        <w:rPr>
          <w:sz w:val="24"/>
          <w:szCs w:val="24"/>
        </w:rPr>
        <w:t xml:space="preserve"> må derfor ikke anvendes under graviditeten, medmindre den forventede fordel opvejer eventuelle risici.</w:t>
      </w:r>
    </w:p>
    <w:bookmarkEnd w:id="5"/>
    <w:p w14:paraId="2A1315C5" w14:textId="77777777" w:rsidR="00B95515" w:rsidRPr="00B95515" w:rsidRDefault="00B95515" w:rsidP="00B95515">
      <w:pPr>
        <w:tabs>
          <w:tab w:val="left" w:pos="851"/>
        </w:tabs>
        <w:ind w:left="851"/>
        <w:rPr>
          <w:sz w:val="24"/>
          <w:szCs w:val="24"/>
        </w:rPr>
      </w:pPr>
    </w:p>
    <w:p w14:paraId="3936F910" w14:textId="77777777" w:rsidR="00B95515" w:rsidRPr="00B95515" w:rsidRDefault="00B95515" w:rsidP="00B95515">
      <w:pPr>
        <w:tabs>
          <w:tab w:val="left" w:pos="851"/>
        </w:tabs>
        <w:ind w:left="851"/>
        <w:rPr>
          <w:sz w:val="24"/>
          <w:szCs w:val="24"/>
        </w:rPr>
      </w:pPr>
      <w:r w:rsidRPr="00B95515">
        <w:rPr>
          <w:sz w:val="24"/>
          <w:szCs w:val="24"/>
          <w:u w:val="single"/>
        </w:rPr>
        <w:t>Amning</w:t>
      </w:r>
    </w:p>
    <w:p w14:paraId="0CFDB421" w14:textId="77777777" w:rsidR="00B95515" w:rsidRPr="00B95515" w:rsidRDefault="00B95515" w:rsidP="00B95515">
      <w:pPr>
        <w:tabs>
          <w:tab w:val="left" w:pos="851"/>
        </w:tabs>
        <w:ind w:left="851"/>
        <w:rPr>
          <w:sz w:val="24"/>
          <w:szCs w:val="24"/>
        </w:rPr>
      </w:pPr>
      <w:proofErr w:type="spellStart"/>
      <w:r w:rsidRPr="00B95515">
        <w:rPr>
          <w:sz w:val="24"/>
          <w:szCs w:val="24"/>
        </w:rPr>
        <w:t>Cefotaxim</w:t>
      </w:r>
      <w:proofErr w:type="spellEnd"/>
      <w:r w:rsidRPr="00B95515">
        <w:rPr>
          <w:sz w:val="24"/>
          <w:szCs w:val="24"/>
        </w:rPr>
        <w:t xml:space="preserve"> udskilles i human modermælk.</w:t>
      </w:r>
    </w:p>
    <w:p w14:paraId="7BF41D3E" w14:textId="77777777" w:rsidR="00B95515" w:rsidRPr="00B95515" w:rsidRDefault="00B95515" w:rsidP="00B95515">
      <w:pPr>
        <w:tabs>
          <w:tab w:val="left" w:pos="851"/>
        </w:tabs>
        <w:ind w:left="851"/>
        <w:rPr>
          <w:sz w:val="24"/>
          <w:szCs w:val="24"/>
        </w:rPr>
      </w:pPr>
      <w:r w:rsidRPr="00B95515">
        <w:rPr>
          <w:sz w:val="24"/>
          <w:szCs w:val="24"/>
        </w:rPr>
        <w:t xml:space="preserve">Virkninger på det ammede barns fysiologiske tarmflora, der kan fører til diarré, kolonisering af gærlignende svampe og sensibilisering af spædbarnet, kan ikke udelukkes. Derfor skal det besluttes, om amning skal ophøre eller behandling med </w:t>
      </w:r>
      <w:proofErr w:type="spellStart"/>
      <w:r w:rsidRPr="00B95515">
        <w:rPr>
          <w:sz w:val="24"/>
          <w:szCs w:val="24"/>
        </w:rPr>
        <w:t>Cefotaxim</w:t>
      </w:r>
      <w:proofErr w:type="spellEnd"/>
      <w:r w:rsidRPr="00B95515">
        <w:rPr>
          <w:sz w:val="24"/>
          <w:szCs w:val="24"/>
        </w:rPr>
        <w:t xml:space="preserve"> "Hameln" seponeres, idet der tages højde for fordelene ved amning for barnet i forhold til de terapeutiske fordele for moderen.</w:t>
      </w:r>
    </w:p>
    <w:p w14:paraId="04A9E34F" w14:textId="77777777" w:rsidR="009260DE" w:rsidRPr="00C84483" w:rsidRDefault="009260DE" w:rsidP="009260DE">
      <w:pPr>
        <w:tabs>
          <w:tab w:val="left" w:pos="851"/>
        </w:tabs>
        <w:ind w:left="851"/>
        <w:rPr>
          <w:sz w:val="24"/>
          <w:szCs w:val="24"/>
        </w:rPr>
      </w:pPr>
    </w:p>
    <w:p w14:paraId="048205AD"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2F5C2B07" w14:textId="77777777" w:rsidR="00B95515" w:rsidRPr="00B95515" w:rsidRDefault="00B95515" w:rsidP="00B95515">
      <w:pPr>
        <w:tabs>
          <w:tab w:val="left" w:pos="851"/>
        </w:tabs>
        <w:ind w:left="851"/>
        <w:rPr>
          <w:sz w:val="24"/>
          <w:szCs w:val="24"/>
        </w:rPr>
      </w:pPr>
      <w:r w:rsidRPr="00B95515">
        <w:rPr>
          <w:sz w:val="24"/>
          <w:szCs w:val="24"/>
        </w:rPr>
        <w:t>Ikke mærkning.</w:t>
      </w:r>
    </w:p>
    <w:p w14:paraId="4C3E36BE" w14:textId="77777777" w:rsidR="00B95515" w:rsidRPr="00B95515" w:rsidRDefault="00B95515" w:rsidP="00B95515">
      <w:pPr>
        <w:tabs>
          <w:tab w:val="left" w:pos="851"/>
        </w:tabs>
        <w:ind w:left="851"/>
        <w:rPr>
          <w:sz w:val="24"/>
          <w:szCs w:val="24"/>
        </w:rPr>
      </w:pPr>
      <w:r w:rsidRPr="00B95515">
        <w:rPr>
          <w:sz w:val="24"/>
          <w:szCs w:val="24"/>
        </w:rPr>
        <w:t xml:space="preserve">I tilfælde af bivirkninger, såsom svimmelhed eller encefalopati (som kan omfatte krampeanfald, forvirring, bevidsthedssvækkelse, mobilitetsforstyrrelser), må patienten ikke betjene maskiner eller føre et motorkøretøj. Høje doser af </w:t>
      </w:r>
      <w:proofErr w:type="spellStart"/>
      <w:r w:rsidRPr="00B95515">
        <w:rPr>
          <w:sz w:val="24"/>
          <w:szCs w:val="24"/>
        </w:rPr>
        <w:t>cefotaxim</w:t>
      </w:r>
      <w:proofErr w:type="spellEnd"/>
      <w:r w:rsidRPr="00B95515">
        <w:rPr>
          <w:sz w:val="24"/>
          <w:szCs w:val="24"/>
        </w:rPr>
        <w:t>, især hos patienter med nedsat nyrefunktion, kan forårsage encefalopati (f.eks. bevidsthedssvækkelse, unormale bevægelser og krampeanfald) (se pkt. 4.8). Patienterne skal rådes til ikke at føre motorkøretøj eller betjene maskiner, hvis sådanne symptomer opstår.</w:t>
      </w:r>
    </w:p>
    <w:p w14:paraId="74D983A5" w14:textId="0FDC1529" w:rsidR="00B95515" w:rsidRDefault="00B95515">
      <w:pPr>
        <w:rPr>
          <w:sz w:val="24"/>
          <w:szCs w:val="24"/>
        </w:rPr>
      </w:pPr>
      <w:r>
        <w:rPr>
          <w:sz w:val="24"/>
          <w:szCs w:val="24"/>
        </w:rPr>
        <w:br w:type="page"/>
      </w:r>
    </w:p>
    <w:p w14:paraId="092484C3" w14:textId="77777777" w:rsidR="009260DE" w:rsidRPr="00C84483" w:rsidRDefault="009260DE" w:rsidP="009260DE">
      <w:pPr>
        <w:tabs>
          <w:tab w:val="left" w:pos="851"/>
        </w:tabs>
        <w:ind w:left="851"/>
        <w:rPr>
          <w:sz w:val="24"/>
          <w:szCs w:val="24"/>
        </w:rPr>
      </w:pPr>
    </w:p>
    <w:p w14:paraId="579C35A5"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455B21A4" w14:textId="77777777" w:rsidR="00B95515" w:rsidRDefault="00B95515" w:rsidP="00B95515">
      <w:pPr>
        <w:keepNext/>
        <w:keepLines/>
        <w:rPr>
          <w:sz w:val="22"/>
          <w:lang w:eastAsia="pl-PL"/>
        </w:rPr>
      </w:pPr>
    </w:p>
    <w:tbl>
      <w:tblPr>
        <w:tblStyle w:val="TableGrid"/>
        <w:tblW w:w="5263" w:type="pct"/>
        <w:tblInd w:w="0" w:type="dxa"/>
        <w:tblLayout w:type="fixed"/>
        <w:tblCellMar>
          <w:top w:w="7" w:type="dxa"/>
          <w:left w:w="108" w:type="dxa"/>
          <w:right w:w="108" w:type="dxa"/>
        </w:tblCellMar>
        <w:tblLook w:val="04A0" w:firstRow="1" w:lastRow="0" w:firstColumn="1" w:lastColumn="0" w:noHBand="0" w:noVBand="1"/>
      </w:tblPr>
      <w:tblGrid>
        <w:gridCol w:w="1978"/>
        <w:gridCol w:w="1271"/>
        <w:gridCol w:w="1164"/>
        <w:gridCol w:w="1482"/>
        <w:gridCol w:w="1268"/>
        <w:gridCol w:w="1274"/>
        <w:gridCol w:w="1691"/>
      </w:tblGrid>
      <w:tr w:rsidR="00E24AB4" w14:paraId="6D176C07" w14:textId="77777777" w:rsidTr="0094280E">
        <w:trPr>
          <w:trHeight w:val="1079"/>
        </w:trPr>
        <w:tc>
          <w:tcPr>
            <w:tcW w:w="976" w:type="pct"/>
            <w:tcBorders>
              <w:top w:val="single" w:sz="6" w:space="0" w:color="000000"/>
              <w:left w:val="single" w:sz="6" w:space="0" w:color="000000"/>
              <w:bottom w:val="single" w:sz="6" w:space="0" w:color="000000"/>
              <w:right w:val="single" w:sz="6" w:space="0" w:color="000000"/>
            </w:tcBorders>
            <w:vAlign w:val="center"/>
            <w:hideMark/>
          </w:tcPr>
          <w:p w14:paraId="54266565" w14:textId="77777777" w:rsidR="00B95515" w:rsidRDefault="00B95515">
            <w:pPr>
              <w:keepNext/>
              <w:keepLines/>
              <w:ind w:right="111"/>
              <w:rPr>
                <w:rFonts w:ascii="Times New Roman" w:hAnsi="Times New Roman" w:cs="Times New Roman"/>
                <w:sz w:val="20"/>
                <w:szCs w:val="20"/>
              </w:rPr>
            </w:pPr>
            <w:r>
              <w:rPr>
                <w:rFonts w:ascii="Times New Roman" w:hAnsi="Times New Roman"/>
                <w:b/>
                <w:sz w:val="20"/>
              </w:rPr>
              <w:t>Systemorganklasse</w:t>
            </w:r>
          </w:p>
        </w:tc>
        <w:tc>
          <w:tcPr>
            <w:tcW w:w="627" w:type="pct"/>
            <w:tcBorders>
              <w:top w:val="single" w:sz="6" w:space="0" w:color="000000"/>
              <w:left w:val="single" w:sz="6" w:space="0" w:color="000000"/>
              <w:bottom w:val="single" w:sz="6" w:space="0" w:color="000000"/>
              <w:right w:val="single" w:sz="6" w:space="0" w:color="000000"/>
            </w:tcBorders>
            <w:hideMark/>
          </w:tcPr>
          <w:p w14:paraId="600CC535" w14:textId="77777777" w:rsidR="00B95515" w:rsidRDefault="00B95515">
            <w:pPr>
              <w:keepNext/>
              <w:keepLines/>
              <w:rPr>
                <w:rFonts w:ascii="Times New Roman" w:hAnsi="Times New Roman" w:cs="Times New Roman"/>
                <w:sz w:val="20"/>
                <w:szCs w:val="20"/>
              </w:rPr>
            </w:pPr>
            <w:r>
              <w:rPr>
                <w:rFonts w:ascii="Times New Roman" w:hAnsi="Times New Roman"/>
                <w:b/>
                <w:sz w:val="20"/>
              </w:rPr>
              <w:t>Meget almindelig</w:t>
            </w:r>
          </w:p>
          <w:p w14:paraId="64F66336" w14:textId="77777777" w:rsidR="00B95515" w:rsidRDefault="00B95515">
            <w:pPr>
              <w:keepNext/>
              <w:keepLines/>
              <w:rPr>
                <w:rFonts w:ascii="Times New Roman" w:hAnsi="Times New Roman" w:cs="Times New Roman"/>
                <w:sz w:val="20"/>
                <w:szCs w:val="20"/>
              </w:rPr>
            </w:pPr>
            <w:r>
              <w:rPr>
                <w:rFonts w:ascii="Times New Roman" w:hAnsi="Times New Roman"/>
                <w:b/>
                <w:sz w:val="20"/>
              </w:rPr>
              <w:t>(≥ 1/10)</w:t>
            </w:r>
          </w:p>
          <w:p w14:paraId="5B48EA1A" w14:textId="77777777" w:rsidR="00B95515" w:rsidRDefault="00B95515">
            <w:pPr>
              <w:keepNext/>
              <w:keepLines/>
              <w:rPr>
                <w:rFonts w:ascii="Times New Roman" w:hAnsi="Times New Roman" w:cs="Times New Roman"/>
                <w:sz w:val="20"/>
                <w:szCs w:val="20"/>
              </w:rPr>
            </w:pPr>
            <w:r>
              <w:rPr>
                <w:rFonts w:ascii="Times New Roman" w:hAnsi="Times New Roman"/>
                <w:sz w:val="20"/>
              </w:rPr>
              <w:t xml:space="preserve"> </w:t>
            </w:r>
          </w:p>
        </w:tc>
        <w:tc>
          <w:tcPr>
            <w:tcW w:w="574" w:type="pct"/>
            <w:tcBorders>
              <w:top w:val="single" w:sz="6" w:space="0" w:color="000000"/>
              <w:left w:val="single" w:sz="6" w:space="0" w:color="000000"/>
              <w:bottom w:val="single" w:sz="6" w:space="0" w:color="000000"/>
              <w:right w:val="single" w:sz="6" w:space="0" w:color="000000"/>
            </w:tcBorders>
            <w:hideMark/>
          </w:tcPr>
          <w:p w14:paraId="1749DF55" w14:textId="77777777" w:rsidR="00B95515" w:rsidRDefault="00B95515">
            <w:pPr>
              <w:keepNext/>
              <w:keepLines/>
              <w:rPr>
                <w:rFonts w:ascii="Times New Roman" w:hAnsi="Times New Roman" w:cs="Times New Roman"/>
                <w:sz w:val="20"/>
                <w:szCs w:val="20"/>
              </w:rPr>
            </w:pPr>
            <w:r>
              <w:rPr>
                <w:rFonts w:ascii="Times New Roman" w:hAnsi="Times New Roman"/>
                <w:b/>
                <w:sz w:val="20"/>
              </w:rPr>
              <w:t>Almindelig</w:t>
            </w:r>
          </w:p>
          <w:p w14:paraId="08098B56" w14:textId="77777777" w:rsidR="00B95515" w:rsidRDefault="00B95515">
            <w:pPr>
              <w:keepNext/>
              <w:keepLines/>
              <w:rPr>
                <w:rFonts w:ascii="Times New Roman" w:hAnsi="Times New Roman" w:cs="Times New Roman"/>
                <w:sz w:val="20"/>
                <w:szCs w:val="20"/>
              </w:rPr>
            </w:pPr>
            <w:r>
              <w:rPr>
                <w:rFonts w:ascii="Times New Roman" w:hAnsi="Times New Roman"/>
                <w:b/>
                <w:sz w:val="20"/>
              </w:rPr>
              <w:t>(≥ 1/100</w:t>
            </w:r>
          </w:p>
          <w:p w14:paraId="71331258" w14:textId="77777777" w:rsidR="00B95515" w:rsidRDefault="00B95515">
            <w:pPr>
              <w:keepNext/>
              <w:keepLines/>
              <w:rPr>
                <w:rFonts w:ascii="Times New Roman" w:hAnsi="Times New Roman" w:cs="Times New Roman"/>
                <w:sz w:val="20"/>
                <w:szCs w:val="20"/>
              </w:rPr>
            </w:pPr>
            <w:r>
              <w:rPr>
                <w:rFonts w:ascii="Times New Roman" w:hAnsi="Times New Roman"/>
                <w:b/>
                <w:sz w:val="20"/>
              </w:rPr>
              <w:t>til &lt; 1/10)</w:t>
            </w:r>
          </w:p>
          <w:p w14:paraId="4F53AB56" w14:textId="77777777" w:rsidR="00B95515" w:rsidRDefault="00B95515">
            <w:pPr>
              <w:keepNext/>
              <w:keepLines/>
              <w:ind w:left="-279"/>
              <w:rPr>
                <w:rFonts w:ascii="Times New Roman" w:hAnsi="Times New Roman" w:cs="Times New Roman"/>
                <w:sz w:val="20"/>
                <w:szCs w:val="20"/>
              </w:rPr>
            </w:pPr>
            <w:r>
              <w:rPr>
                <w:rFonts w:ascii="Times New Roman" w:hAnsi="Times New Roman"/>
                <w:sz w:val="20"/>
              </w:rPr>
              <w:t xml:space="preserve"> </w:t>
            </w:r>
          </w:p>
        </w:tc>
        <w:tc>
          <w:tcPr>
            <w:tcW w:w="731" w:type="pct"/>
            <w:tcBorders>
              <w:top w:val="single" w:sz="6" w:space="0" w:color="000000"/>
              <w:left w:val="single" w:sz="6" w:space="0" w:color="000000"/>
              <w:bottom w:val="single" w:sz="6" w:space="0" w:color="000000"/>
              <w:right w:val="single" w:sz="6" w:space="0" w:color="000000"/>
            </w:tcBorders>
            <w:hideMark/>
          </w:tcPr>
          <w:p w14:paraId="57E0D556" w14:textId="77777777" w:rsidR="00B95515" w:rsidRDefault="00B95515">
            <w:pPr>
              <w:keepNext/>
              <w:keepLines/>
              <w:rPr>
                <w:rFonts w:ascii="Times New Roman" w:hAnsi="Times New Roman" w:cs="Times New Roman"/>
                <w:sz w:val="20"/>
                <w:szCs w:val="20"/>
              </w:rPr>
            </w:pPr>
            <w:r>
              <w:rPr>
                <w:rFonts w:ascii="Times New Roman" w:hAnsi="Times New Roman"/>
                <w:b/>
                <w:sz w:val="20"/>
              </w:rPr>
              <w:t>Ikke almindelig</w:t>
            </w:r>
          </w:p>
          <w:p w14:paraId="67652EF0" w14:textId="77777777" w:rsidR="00B95515" w:rsidRDefault="00B95515">
            <w:pPr>
              <w:keepNext/>
              <w:keepLines/>
              <w:rPr>
                <w:rFonts w:ascii="Times New Roman" w:hAnsi="Times New Roman" w:cs="Times New Roman"/>
                <w:sz w:val="20"/>
                <w:szCs w:val="20"/>
              </w:rPr>
            </w:pPr>
            <w:r>
              <w:rPr>
                <w:rFonts w:ascii="Times New Roman" w:hAnsi="Times New Roman"/>
                <w:b/>
                <w:sz w:val="20"/>
              </w:rPr>
              <w:t>(≥ 1/1.000 til &lt; 1/100)</w:t>
            </w:r>
          </w:p>
          <w:p w14:paraId="2FC6A034" w14:textId="77777777" w:rsidR="00B95515" w:rsidRDefault="00B95515">
            <w:pPr>
              <w:keepNext/>
              <w:keepLines/>
              <w:rPr>
                <w:rFonts w:ascii="Times New Roman" w:hAnsi="Times New Roman" w:cs="Times New Roman"/>
                <w:sz w:val="20"/>
                <w:szCs w:val="20"/>
              </w:rPr>
            </w:pPr>
            <w:r>
              <w:rPr>
                <w:rFonts w:ascii="Times New Roman" w:hAnsi="Times New Roman"/>
                <w:sz w:val="20"/>
              </w:rPr>
              <w:t xml:space="preserve"> </w:t>
            </w:r>
          </w:p>
        </w:tc>
        <w:tc>
          <w:tcPr>
            <w:tcW w:w="626" w:type="pct"/>
            <w:tcBorders>
              <w:top w:val="single" w:sz="6" w:space="0" w:color="000000"/>
              <w:left w:val="single" w:sz="6" w:space="0" w:color="000000"/>
              <w:bottom w:val="single" w:sz="6" w:space="0" w:color="000000"/>
              <w:right w:val="single" w:sz="6" w:space="0" w:color="000000"/>
            </w:tcBorders>
            <w:hideMark/>
          </w:tcPr>
          <w:p w14:paraId="71FCBDC2" w14:textId="77777777" w:rsidR="00B95515" w:rsidRDefault="00B95515">
            <w:pPr>
              <w:keepNext/>
              <w:keepLines/>
              <w:rPr>
                <w:rFonts w:ascii="Times New Roman" w:hAnsi="Times New Roman" w:cs="Times New Roman"/>
                <w:sz w:val="20"/>
                <w:szCs w:val="20"/>
              </w:rPr>
            </w:pPr>
            <w:r>
              <w:rPr>
                <w:rFonts w:ascii="Times New Roman" w:hAnsi="Times New Roman"/>
                <w:b/>
                <w:sz w:val="20"/>
              </w:rPr>
              <w:t>Sjælden (≥ 1/10.000 til &lt; 1/1.000)</w:t>
            </w:r>
          </w:p>
        </w:tc>
        <w:tc>
          <w:tcPr>
            <w:tcW w:w="629" w:type="pct"/>
            <w:tcBorders>
              <w:top w:val="single" w:sz="6" w:space="0" w:color="000000"/>
              <w:left w:val="single" w:sz="6" w:space="0" w:color="000000"/>
              <w:bottom w:val="single" w:sz="6" w:space="0" w:color="000000"/>
              <w:right w:val="single" w:sz="6" w:space="0" w:color="000000"/>
            </w:tcBorders>
            <w:hideMark/>
          </w:tcPr>
          <w:p w14:paraId="0808B7A3" w14:textId="77777777" w:rsidR="00B95515" w:rsidRDefault="00B95515">
            <w:pPr>
              <w:keepNext/>
              <w:keepLines/>
              <w:rPr>
                <w:rFonts w:ascii="Times New Roman" w:hAnsi="Times New Roman" w:cs="Times New Roman"/>
                <w:sz w:val="20"/>
                <w:szCs w:val="20"/>
              </w:rPr>
            </w:pPr>
            <w:r>
              <w:rPr>
                <w:rFonts w:ascii="Times New Roman" w:hAnsi="Times New Roman"/>
                <w:b/>
                <w:sz w:val="20"/>
              </w:rPr>
              <w:t>Meget sjælden</w:t>
            </w:r>
          </w:p>
          <w:p w14:paraId="51799AF1" w14:textId="77777777" w:rsidR="00B95515" w:rsidRDefault="00B95515">
            <w:pPr>
              <w:keepNext/>
              <w:keepLines/>
              <w:rPr>
                <w:rFonts w:ascii="Times New Roman" w:hAnsi="Times New Roman" w:cs="Times New Roman"/>
                <w:sz w:val="20"/>
                <w:szCs w:val="20"/>
              </w:rPr>
            </w:pPr>
            <w:r>
              <w:rPr>
                <w:rFonts w:ascii="Times New Roman" w:hAnsi="Times New Roman"/>
                <w:b/>
                <w:sz w:val="20"/>
              </w:rPr>
              <w:t>(&lt; 1/10.000)</w:t>
            </w:r>
          </w:p>
          <w:p w14:paraId="4139E844" w14:textId="77777777" w:rsidR="00B95515" w:rsidRDefault="00B95515">
            <w:pPr>
              <w:keepNext/>
              <w:keepLines/>
              <w:ind w:right="1123"/>
              <w:rPr>
                <w:rFonts w:ascii="Times New Roman" w:hAnsi="Times New Roman" w:cs="Times New Roman"/>
                <w:sz w:val="20"/>
                <w:szCs w:val="20"/>
              </w:rPr>
            </w:pPr>
            <w:r>
              <w:rPr>
                <w:rFonts w:ascii="Times New Roman" w:hAnsi="Times New Roman"/>
                <w:sz w:val="20"/>
              </w:rPr>
              <w:t xml:space="preserve"> </w:t>
            </w:r>
          </w:p>
        </w:tc>
        <w:tc>
          <w:tcPr>
            <w:tcW w:w="835" w:type="pct"/>
            <w:tcBorders>
              <w:top w:val="single" w:sz="6" w:space="0" w:color="000000"/>
              <w:left w:val="single" w:sz="6" w:space="0" w:color="000000"/>
              <w:bottom w:val="single" w:sz="6" w:space="0" w:color="000000"/>
              <w:right w:val="single" w:sz="6" w:space="0" w:color="000000"/>
            </w:tcBorders>
            <w:hideMark/>
          </w:tcPr>
          <w:p w14:paraId="659054F0" w14:textId="77777777" w:rsidR="00B95515" w:rsidRDefault="00B95515">
            <w:pPr>
              <w:keepNext/>
              <w:keepLines/>
              <w:rPr>
                <w:rFonts w:ascii="Times New Roman" w:hAnsi="Times New Roman" w:cs="Times New Roman"/>
                <w:sz w:val="20"/>
                <w:szCs w:val="20"/>
              </w:rPr>
            </w:pPr>
            <w:r>
              <w:rPr>
                <w:rFonts w:ascii="Times New Roman" w:hAnsi="Times New Roman"/>
                <w:b/>
                <w:sz w:val="20"/>
              </w:rPr>
              <w:t xml:space="preserve">Ikke kendt (kan ikke estimeres ud fra forhåndenværende </w:t>
            </w:r>
            <w:proofErr w:type="gramStart"/>
            <w:r>
              <w:rPr>
                <w:rFonts w:ascii="Times New Roman" w:hAnsi="Times New Roman"/>
                <w:b/>
                <w:sz w:val="20"/>
              </w:rPr>
              <w:t>data)*</w:t>
            </w:r>
            <w:proofErr w:type="gramEnd"/>
          </w:p>
        </w:tc>
      </w:tr>
      <w:tr w:rsidR="00E24AB4" w14:paraId="546079EA" w14:textId="77777777" w:rsidTr="0094280E">
        <w:trPr>
          <w:trHeight w:val="547"/>
        </w:trPr>
        <w:tc>
          <w:tcPr>
            <w:tcW w:w="976" w:type="pct"/>
            <w:tcBorders>
              <w:top w:val="single" w:sz="6" w:space="0" w:color="000000"/>
              <w:left w:val="single" w:sz="6" w:space="0" w:color="000000"/>
              <w:bottom w:val="single" w:sz="6" w:space="0" w:color="000000"/>
              <w:right w:val="single" w:sz="6" w:space="0" w:color="000000"/>
            </w:tcBorders>
            <w:hideMark/>
          </w:tcPr>
          <w:p w14:paraId="36983783" w14:textId="77777777" w:rsidR="00B95515" w:rsidRDefault="00B95515">
            <w:pPr>
              <w:keepNext/>
              <w:keepLines/>
              <w:rPr>
                <w:rFonts w:ascii="Times New Roman" w:hAnsi="Times New Roman" w:cs="Times New Roman"/>
                <w:sz w:val="20"/>
                <w:szCs w:val="20"/>
              </w:rPr>
            </w:pPr>
            <w:r>
              <w:rPr>
                <w:rFonts w:ascii="Times New Roman" w:hAnsi="Times New Roman"/>
                <w:sz w:val="20"/>
              </w:rPr>
              <w:t>Infektioner og parasitære sygdomme</w:t>
            </w:r>
          </w:p>
        </w:tc>
        <w:tc>
          <w:tcPr>
            <w:tcW w:w="627" w:type="pct"/>
            <w:tcBorders>
              <w:top w:val="single" w:sz="6" w:space="0" w:color="000000"/>
              <w:left w:val="single" w:sz="6" w:space="0" w:color="000000"/>
              <w:bottom w:val="single" w:sz="6" w:space="0" w:color="000000"/>
              <w:right w:val="single" w:sz="6" w:space="0" w:color="000000"/>
            </w:tcBorders>
            <w:vAlign w:val="center"/>
            <w:hideMark/>
          </w:tcPr>
          <w:p w14:paraId="089676E2" w14:textId="77777777" w:rsidR="00B95515" w:rsidRDefault="00B95515">
            <w:pPr>
              <w:keepNext/>
              <w:keepLines/>
              <w:rPr>
                <w:rFonts w:ascii="Times New Roman" w:hAnsi="Times New Roman" w:cs="Times New Roman"/>
                <w:sz w:val="20"/>
                <w:szCs w:val="20"/>
              </w:rPr>
            </w:pPr>
            <w:r>
              <w:rPr>
                <w:rFonts w:ascii="Times New Roman" w:hAnsi="Times New Roman"/>
                <w:sz w:val="20"/>
              </w:rPr>
              <w:t xml:space="preserve"> </w:t>
            </w:r>
          </w:p>
        </w:tc>
        <w:tc>
          <w:tcPr>
            <w:tcW w:w="574" w:type="pct"/>
            <w:tcBorders>
              <w:top w:val="single" w:sz="6" w:space="0" w:color="000000"/>
              <w:left w:val="single" w:sz="6" w:space="0" w:color="000000"/>
              <w:bottom w:val="single" w:sz="6" w:space="0" w:color="000000"/>
              <w:right w:val="single" w:sz="6" w:space="0" w:color="000000"/>
            </w:tcBorders>
            <w:vAlign w:val="center"/>
            <w:hideMark/>
          </w:tcPr>
          <w:p w14:paraId="0F5B6ADC" w14:textId="77777777" w:rsidR="00B95515" w:rsidRDefault="00B95515">
            <w:pPr>
              <w:keepNext/>
              <w:keepLines/>
              <w:rPr>
                <w:rFonts w:ascii="Times New Roman" w:hAnsi="Times New Roman" w:cs="Times New Roman"/>
                <w:sz w:val="20"/>
                <w:szCs w:val="20"/>
              </w:rPr>
            </w:pPr>
            <w:r>
              <w:rPr>
                <w:rFonts w:ascii="Times New Roman" w:hAnsi="Times New Roman"/>
                <w:sz w:val="20"/>
              </w:rPr>
              <w:t xml:space="preserve"> </w:t>
            </w:r>
          </w:p>
        </w:tc>
        <w:tc>
          <w:tcPr>
            <w:tcW w:w="731" w:type="pct"/>
            <w:tcBorders>
              <w:top w:val="single" w:sz="6" w:space="0" w:color="000000"/>
              <w:left w:val="single" w:sz="6" w:space="0" w:color="000000"/>
              <w:bottom w:val="single" w:sz="6" w:space="0" w:color="000000"/>
              <w:right w:val="single" w:sz="6" w:space="0" w:color="000000"/>
            </w:tcBorders>
            <w:vAlign w:val="center"/>
            <w:hideMark/>
          </w:tcPr>
          <w:p w14:paraId="411F3A96" w14:textId="77777777" w:rsidR="00B95515" w:rsidRDefault="00B95515">
            <w:pPr>
              <w:keepNext/>
              <w:keepLines/>
              <w:rPr>
                <w:rFonts w:ascii="Times New Roman" w:hAnsi="Times New Roman" w:cs="Times New Roman"/>
                <w:sz w:val="20"/>
                <w:szCs w:val="20"/>
              </w:rPr>
            </w:pPr>
            <w:r>
              <w:rPr>
                <w:rFonts w:ascii="Times New Roman" w:hAnsi="Times New Roman"/>
                <w:sz w:val="20"/>
              </w:rPr>
              <w:t xml:space="preserve"> </w:t>
            </w:r>
          </w:p>
        </w:tc>
        <w:tc>
          <w:tcPr>
            <w:tcW w:w="626" w:type="pct"/>
            <w:tcBorders>
              <w:top w:val="single" w:sz="6" w:space="0" w:color="000000"/>
              <w:left w:val="single" w:sz="6" w:space="0" w:color="000000"/>
              <w:bottom w:val="single" w:sz="6" w:space="0" w:color="000000"/>
              <w:right w:val="single" w:sz="6" w:space="0" w:color="000000"/>
            </w:tcBorders>
            <w:vAlign w:val="center"/>
            <w:hideMark/>
          </w:tcPr>
          <w:p w14:paraId="66175CF7" w14:textId="77777777" w:rsidR="00B95515" w:rsidRDefault="00B95515">
            <w:pPr>
              <w:keepNext/>
              <w:keepLines/>
              <w:rPr>
                <w:rFonts w:ascii="Times New Roman" w:hAnsi="Times New Roman" w:cs="Times New Roman"/>
                <w:sz w:val="20"/>
                <w:szCs w:val="20"/>
              </w:rPr>
            </w:pPr>
            <w:r>
              <w:rPr>
                <w:rFonts w:ascii="Times New Roman" w:hAnsi="Times New Roman"/>
                <w:sz w:val="20"/>
              </w:rPr>
              <w:t xml:space="preserve"> </w:t>
            </w:r>
          </w:p>
        </w:tc>
        <w:tc>
          <w:tcPr>
            <w:tcW w:w="629" w:type="pct"/>
            <w:tcBorders>
              <w:top w:val="single" w:sz="6" w:space="0" w:color="000000"/>
              <w:left w:val="single" w:sz="6" w:space="0" w:color="000000"/>
              <w:bottom w:val="single" w:sz="6" w:space="0" w:color="000000"/>
              <w:right w:val="single" w:sz="6" w:space="0" w:color="000000"/>
            </w:tcBorders>
            <w:vAlign w:val="center"/>
            <w:hideMark/>
          </w:tcPr>
          <w:p w14:paraId="29564CB8" w14:textId="77777777" w:rsidR="00B95515" w:rsidRDefault="00B95515">
            <w:pPr>
              <w:keepNext/>
              <w:keepLines/>
              <w:rPr>
                <w:rFonts w:ascii="Times New Roman" w:hAnsi="Times New Roman" w:cs="Times New Roman"/>
                <w:sz w:val="20"/>
                <w:szCs w:val="20"/>
              </w:rPr>
            </w:pPr>
            <w:r>
              <w:rPr>
                <w:rFonts w:ascii="Times New Roman" w:hAnsi="Times New Roman"/>
                <w:sz w:val="20"/>
              </w:rPr>
              <w:t xml:space="preserve"> </w:t>
            </w:r>
          </w:p>
        </w:tc>
        <w:tc>
          <w:tcPr>
            <w:tcW w:w="835" w:type="pct"/>
            <w:tcBorders>
              <w:top w:val="single" w:sz="6" w:space="0" w:color="000000"/>
              <w:left w:val="single" w:sz="6" w:space="0" w:color="000000"/>
              <w:bottom w:val="single" w:sz="6" w:space="0" w:color="000000"/>
              <w:right w:val="single" w:sz="6" w:space="0" w:color="000000"/>
            </w:tcBorders>
            <w:hideMark/>
          </w:tcPr>
          <w:p w14:paraId="6EC9F247" w14:textId="77777777" w:rsidR="00B95515" w:rsidRDefault="00B95515">
            <w:pPr>
              <w:keepNext/>
              <w:keepLines/>
              <w:rPr>
                <w:rFonts w:ascii="Times New Roman" w:hAnsi="Times New Roman" w:cs="Times New Roman"/>
                <w:sz w:val="20"/>
                <w:szCs w:val="20"/>
              </w:rPr>
            </w:pPr>
            <w:r>
              <w:rPr>
                <w:rFonts w:ascii="Times New Roman" w:hAnsi="Times New Roman"/>
                <w:sz w:val="20"/>
              </w:rPr>
              <w:t>Superinfektion (se pkt. 4.9)</w:t>
            </w:r>
          </w:p>
        </w:tc>
      </w:tr>
      <w:tr w:rsidR="00E24AB4" w14:paraId="4FFAAA1C" w14:textId="77777777" w:rsidTr="0094280E">
        <w:trPr>
          <w:trHeight w:val="1688"/>
        </w:trPr>
        <w:tc>
          <w:tcPr>
            <w:tcW w:w="976" w:type="pct"/>
            <w:tcBorders>
              <w:top w:val="single" w:sz="6" w:space="0" w:color="000000"/>
              <w:left w:val="single" w:sz="6" w:space="0" w:color="000000"/>
              <w:bottom w:val="single" w:sz="6" w:space="0" w:color="000000"/>
              <w:right w:val="single" w:sz="6" w:space="0" w:color="000000"/>
            </w:tcBorders>
            <w:vAlign w:val="center"/>
            <w:hideMark/>
          </w:tcPr>
          <w:p w14:paraId="1431E40C" w14:textId="77777777" w:rsidR="00B95515" w:rsidRDefault="00B95515">
            <w:pPr>
              <w:rPr>
                <w:rFonts w:ascii="Times New Roman" w:hAnsi="Times New Roman" w:cs="Times New Roman"/>
                <w:sz w:val="20"/>
                <w:szCs w:val="20"/>
              </w:rPr>
            </w:pPr>
            <w:r>
              <w:rPr>
                <w:rFonts w:ascii="Times New Roman" w:hAnsi="Times New Roman"/>
                <w:sz w:val="20"/>
              </w:rPr>
              <w:t>Blod og</w:t>
            </w:r>
          </w:p>
          <w:p w14:paraId="59065243" w14:textId="77777777" w:rsidR="00B95515" w:rsidRDefault="00B95515">
            <w:pPr>
              <w:rPr>
                <w:rFonts w:ascii="Times New Roman" w:hAnsi="Times New Roman" w:cs="Times New Roman"/>
                <w:sz w:val="20"/>
                <w:szCs w:val="20"/>
              </w:rPr>
            </w:pPr>
            <w:r>
              <w:rPr>
                <w:rFonts w:ascii="Times New Roman" w:hAnsi="Times New Roman"/>
                <w:sz w:val="20"/>
              </w:rPr>
              <w:t>lymfesystem</w:t>
            </w:r>
          </w:p>
          <w:p w14:paraId="628EAD21" w14:textId="77777777" w:rsidR="00B95515" w:rsidRDefault="00B95515">
            <w:pPr>
              <w:rPr>
                <w:rFonts w:ascii="Times New Roman" w:hAnsi="Times New Roman" w:cs="Times New Roman"/>
                <w:sz w:val="20"/>
                <w:szCs w:val="20"/>
              </w:rPr>
            </w:pPr>
            <w:r>
              <w:rPr>
                <w:rFonts w:ascii="Times New Roman" w:hAnsi="Times New Roman"/>
                <w:sz w:val="20"/>
              </w:rPr>
              <w:t xml:space="preserve"> </w:t>
            </w:r>
          </w:p>
        </w:tc>
        <w:tc>
          <w:tcPr>
            <w:tcW w:w="627" w:type="pct"/>
            <w:tcBorders>
              <w:top w:val="single" w:sz="6" w:space="0" w:color="000000"/>
              <w:left w:val="single" w:sz="6" w:space="0" w:color="000000"/>
              <w:bottom w:val="single" w:sz="6" w:space="0" w:color="000000"/>
              <w:right w:val="single" w:sz="6" w:space="0" w:color="000000"/>
            </w:tcBorders>
            <w:vAlign w:val="center"/>
            <w:hideMark/>
          </w:tcPr>
          <w:p w14:paraId="1694AE32" w14:textId="77777777" w:rsidR="00B95515" w:rsidRDefault="00B95515">
            <w:pPr>
              <w:rPr>
                <w:rFonts w:ascii="Times New Roman" w:hAnsi="Times New Roman" w:cs="Times New Roman"/>
                <w:sz w:val="20"/>
                <w:szCs w:val="20"/>
              </w:rPr>
            </w:pPr>
            <w:r>
              <w:rPr>
                <w:rFonts w:ascii="Times New Roman" w:hAnsi="Times New Roman"/>
                <w:sz w:val="20"/>
              </w:rPr>
              <w:t xml:space="preserve"> </w:t>
            </w:r>
          </w:p>
        </w:tc>
        <w:tc>
          <w:tcPr>
            <w:tcW w:w="574" w:type="pct"/>
            <w:tcBorders>
              <w:top w:val="single" w:sz="6" w:space="0" w:color="000000"/>
              <w:left w:val="single" w:sz="6" w:space="0" w:color="000000"/>
              <w:bottom w:val="single" w:sz="6" w:space="0" w:color="000000"/>
              <w:right w:val="single" w:sz="6" w:space="0" w:color="000000"/>
            </w:tcBorders>
            <w:vAlign w:val="center"/>
            <w:hideMark/>
          </w:tcPr>
          <w:p w14:paraId="60EB7A85" w14:textId="77777777" w:rsidR="00B95515" w:rsidRDefault="00B95515">
            <w:pPr>
              <w:rPr>
                <w:rFonts w:ascii="Times New Roman" w:hAnsi="Times New Roman" w:cs="Times New Roman"/>
                <w:sz w:val="20"/>
                <w:szCs w:val="20"/>
              </w:rPr>
            </w:pPr>
            <w:r>
              <w:rPr>
                <w:rFonts w:ascii="Times New Roman" w:hAnsi="Times New Roman"/>
                <w:sz w:val="20"/>
              </w:rPr>
              <w:t xml:space="preserve"> </w:t>
            </w:r>
          </w:p>
        </w:tc>
        <w:tc>
          <w:tcPr>
            <w:tcW w:w="731" w:type="pct"/>
            <w:tcBorders>
              <w:top w:val="single" w:sz="6" w:space="0" w:color="000000"/>
              <w:left w:val="single" w:sz="6" w:space="0" w:color="000000"/>
              <w:bottom w:val="single" w:sz="6" w:space="0" w:color="000000"/>
              <w:right w:val="single" w:sz="6" w:space="0" w:color="000000"/>
            </w:tcBorders>
            <w:hideMark/>
          </w:tcPr>
          <w:p w14:paraId="44C82FA9" w14:textId="77777777" w:rsidR="00B95515" w:rsidRDefault="00B95515">
            <w:pPr>
              <w:rPr>
                <w:rFonts w:ascii="Times New Roman" w:hAnsi="Times New Roman" w:cs="Times New Roman"/>
                <w:sz w:val="20"/>
                <w:szCs w:val="20"/>
              </w:rPr>
            </w:pPr>
            <w:proofErr w:type="spellStart"/>
            <w:r>
              <w:rPr>
                <w:rFonts w:ascii="Times New Roman" w:hAnsi="Times New Roman"/>
                <w:sz w:val="20"/>
              </w:rPr>
              <w:t>Leukopeni</w:t>
            </w:r>
            <w:proofErr w:type="spellEnd"/>
          </w:p>
          <w:p w14:paraId="4ED93D16" w14:textId="77777777" w:rsidR="00B95515" w:rsidRDefault="00B95515">
            <w:pPr>
              <w:rPr>
                <w:rFonts w:ascii="Times New Roman" w:hAnsi="Times New Roman" w:cs="Times New Roman"/>
                <w:sz w:val="20"/>
                <w:szCs w:val="20"/>
              </w:rPr>
            </w:pPr>
            <w:proofErr w:type="spellStart"/>
            <w:r>
              <w:rPr>
                <w:rFonts w:ascii="Times New Roman" w:hAnsi="Times New Roman"/>
                <w:sz w:val="20"/>
              </w:rPr>
              <w:t>Eosinofili</w:t>
            </w:r>
            <w:proofErr w:type="spellEnd"/>
          </w:p>
          <w:p w14:paraId="240AE894" w14:textId="35EC70AE" w:rsidR="00B95515" w:rsidRDefault="00B95515">
            <w:pPr>
              <w:rPr>
                <w:rFonts w:ascii="Times New Roman" w:hAnsi="Times New Roman" w:cs="Times New Roman"/>
                <w:sz w:val="20"/>
                <w:szCs w:val="20"/>
              </w:rPr>
            </w:pPr>
            <w:proofErr w:type="spellStart"/>
            <w:r>
              <w:rPr>
                <w:rFonts w:ascii="Times New Roman" w:hAnsi="Times New Roman"/>
                <w:sz w:val="20"/>
              </w:rPr>
              <w:t>Trombocytope</w:t>
            </w:r>
            <w:proofErr w:type="spellEnd"/>
            <w:r w:rsidR="0094280E">
              <w:rPr>
                <w:rFonts w:ascii="Times New Roman" w:hAnsi="Times New Roman"/>
                <w:sz w:val="20"/>
              </w:rPr>
              <w:t>-</w:t>
            </w:r>
            <w:r>
              <w:rPr>
                <w:rFonts w:ascii="Times New Roman" w:hAnsi="Times New Roman"/>
                <w:sz w:val="20"/>
              </w:rPr>
              <w:t>ni</w:t>
            </w:r>
          </w:p>
        </w:tc>
        <w:tc>
          <w:tcPr>
            <w:tcW w:w="626" w:type="pct"/>
            <w:tcBorders>
              <w:top w:val="single" w:sz="6" w:space="0" w:color="000000"/>
              <w:left w:val="single" w:sz="6" w:space="0" w:color="000000"/>
              <w:bottom w:val="single" w:sz="6" w:space="0" w:color="000000"/>
              <w:right w:val="single" w:sz="6" w:space="0" w:color="000000"/>
            </w:tcBorders>
            <w:vAlign w:val="center"/>
            <w:hideMark/>
          </w:tcPr>
          <w:p w14:paraId="51893454" w14:textId="77777777" w:rsidR="00B95515" w:rsidRDefault="00B95515">
            <w:pPr>
              <w:rPr>
                <w:rFonts w:ascii="Times New Roman" w:hAnsi="Times New Roman" w:cs="Times New Roman"/>
                <w:sz w:val="20"/>
                <w:szCs w:val="20"/>
              </w:rPr>
            </w:pPr>
            <w:r>
              <w:rPr>
                <w:rFonts w:ascii="Times New Roman" w:hAnsi="Times New Roman"/>
                <w:sz w:val="20"/>
              </w:rPr>
              <w:t xml:space="preserve"> </w:t>
            </w:r>
          </w:p>
        </w:tc>
        <w:tc>
          <w:tcPr>
            <w:tcW w:w="629" w:type="pct"/>
            <w:tcBorders>
              <w:top w:val="single" w:sz="6" w:space="0" w:color="000000"/>
              <w:left w:val="single" w:sz="6" w:space="0" w:color="000000"/>
              <w:bottom w:val="single" w:sz="6" w:space="0" w:color="000000"/>
              <w:right w:val="single" w:sz="6" w:space="0" w:color="000000"/>
            </w:tcBorders>
            <w:vAlign w:val="center"/>
            <w:hideMark/>
          </w:tcPr>
          <w:p w14:paraId="17A96E0F" w14:textId="77777777" w:rsidR="00B95515" w:rsidRDefault="00B95515">
            <w:pPr>
              <w:rPr>
                <w:rFonts w:ascii="Times New Roman" w:hAnsi="Times New Roman" w:cs="Times New Roman"/>
                <w:sz w:val="20"/>
                <w:szCs w:val="20"/>
              </w:rPr>
            </w:pPr>
            <w:r>
              <w:rPr>
                <w:rFonts w:ascii="Times New Roman" w:hAnsi="Times New Roman"/>
                <w:sz w:val="20"/>
              </w:rPr>
              <w:t xml:space="preserve"> </w:t>
            </w:r>
          </w:p>
        </w:tc>
        <w:tc>
          <w:tcPr>
            <w:tcW w:w="835" w:type="pct"/>
            <w:tcBorders>
              <w:top w:val="single" w:sz="6" w:space="0" w:color="000000"/>
              <w:left w:val="single" w:sz="6" w:space="0" w:color="000000"/>
              <w:bottom w:val="single" w:sz="6" w:space="0" w:color="000000"/>
              <w:right w:val="single" w:sz="6" w:space="0" w:color="000000"/>
            </w:tcBorders>
            <w:hideMark/>
          </w:tcPr>
          <w:p w14:paraId="59EFEC5F" w14:textId="77777777" w:rsidR="00B95515" w:rsidRDefault="00B95515">
            <w:pPr>
              <w:rPr>
                <w:rFonts w:ascii="Times New Roman" w:hAnsi="Times New Roman" w:cs="Times New Roman"/>
                <w:sz w:val="20"/>
                <w:szCs w:val="20"/>
              </w:rPr>
            </w:pPr>
            <w:r>
              <w:rPr>
                <w:rFonts w:ascii="Times New Roman" w:hAnsi="Times New Roman"/>
                <w:sz w:val="20"/>
              </w:rPr>
              <w:t>Knoglemarvssvigt</w:t>
            </w:r>
          </w:p>
          <w:p w14:paraId="644BD7D2" w14:textId="77777777" w:rsidR="00B95515" w:rsidRDefault="00B95515">
            <w:pPr>
              <w:rPr>
                <w:rFonts w:ascii="Times New Roman" w:hAnsi="Times New Roman" w:cs="Times New Roman"/>
                <w:sz w:val="20"/>
                <w:szCs w:val="20"/>
              </w:rPr>
            </w:pPr>
            <w:proofErr w:type="spellStart"/>
            <w:r>
              <w:rPr>
                <w:rFonts w:ascii="Times New Roman" w:hAnsi="Times New Roman"/>
                <w:sz w:val="20"/>
              </w:rPr>
              <w:t>Pancytopeni</w:t>
            </w:r>
            <w:proofErr w:type="spellEnd"/>
          </w:p>
          <w:p w14:paraId="4CA36EED" w14:textId="77777777" w:rsidR="00B95515" w:rsidRDefault="00B95515">
            <w:pPr>
              <w:rPr>
                <w:rFonts w:ascii="Times New Roman" w:hAnsi="Times New Roman" w:cs="Times New Roman"/>
                <w:sz w:val="20"/>
                <w:szCs w:val="20"/>
              </w:rPr>
            </w:pPr>
            <w:proofErr w:type="spellStart"/>
            <w:r>
              <w:rPr>
                <w:rFonts w:ascii="Times New Roman" w:hAnsi="Times New Roman"/>
                <w:sz w:val="20"/>
              </w:rPr>
              <w:t>Neutropeni</w:t>
            </w:r>
            <w:proofErr w:type="spellEnd"/>
          </w:p>
          <w:p w14:paraId="34E3598F" w14:textId="77777777" w:rsidR="00B95515" w:rsidRDefault="00B95515">
            <w:pPr>
              <w:rPr>
                <w:rFonts w:ascii="Times New Roman" w:hAnsi="Times New Roman" w:cs="Times New Roman"/>
                <w:sz w:val="20"/>
                <w:szCs w:val="20"/>
              </w:rPr>
            </w:pPr>
            <w:proofErr w:type="spellStart"/>
            <w:r>
              <w:rPr>
                <w:rFonts w:ascii="Times New Roman" w:hAnsi="Times New Roman"/>
                <w:sz w:val="20"/>
              </w:rPr>
              <w:t>Agranulocytose</w:t>
            </w:r>
            <w:proofErr w:type="spellEnd"/>
          </w:p>
          <w:p w14:paraId="10EF862A" w14:textId="77777777" w:rsidR="00B95515" w:rsidRDefault="00B95515">
            <w:pPr>
              <w:rPr>
                <w:rFonts w:ascii="Times New Roman" w:hAnsi="Times New Roman" w:cs="Times New Roman"/>
                <w:sz w:val="20"/>
                <w:szCs w:val="20"/>
              </w:rPr>
            </w:pPr>
            <w:r>
              <w:rPr>
                <w:rFonts w:ascii="Times New Roman" w:hAnsi="Times New Roman"/>
                <w:sz w:val="20"/>
              </w:rPr>
              <w:t xml:space="preserve">(se pkt. 4.4) </w:t>
            </w:r>
            <w:proofErr w:type="spellStart"/>
            <w:r>
              <w:rPr>
                <w:rFonts w:ascii="Times New Roman" w:hAnsi="Times New Roman"/>
                <w:sz w:val="20"/>
              </w:rPr>
              <w:t>Hæmolytisk</w:t>
            </w:r>
            <w:proofErr w:type="spellEnd"/>
            <w:r>
              <w:rPr>
                <w:rFonts w:ascii="Times New Roman" w:hAnsi="Times New Roman"/>
                <w:sz w:val="20"/>
              </w:rPr>
              <w:t xml:space="preserve"> anæmi</w:t>
            </w:r>
          </w:p>
        </w:tc>
      </w:tr>
      <w:tr w:rsidR="00E24AB4" w14:paraId="66B49732" w14:textId="77777777" w:rsidTr="0094280E">
        <w:trPr>
          <w:trHeight w:val="1345"/>
        </w:trPr>
        <w:tc>
          <w:tcPr>
            <w:tcW w:w="976" w:type="pct"/>
            <w:tcBorders>
              <w:top w:val="single" w:sz="6" w:space="0" w:color="000000"/>
              <w:left w:val="single" w:sz="6" w:space="0" w:color="000000"/>
              <w:bottom w:val="single" w:sz="6" w:space="0" w:color="000000"/>
              <w:right w:val="single" w:sz="6" w:space="0" w:color="000000"/>
            </w:tcBorders>
            <w:vAlign w:val="center"/>
            <w:hideMark/>
          </w:tcPr>
          <w:p w14:paraId="5E5CDE7E" w14:textId="77777777" w:rsidR="00B95515" w:rsidRDefault="00B95515">
            <w:pPr>
              <w:ind w:right="39"/>
              <w:rPr>
                <w:rFonts w:ascii="Times New Roman" w:hAnsi="Times New Roman" w:cs="Times New Roman"/>
                <w:sz w:val="20"/>
                <w:szCs w:val="20"/>
              </w:rPr>
            </w:pPr>
            <w:r>
              <w:rPr>
                <w:rFonts w:ascii="Times New Roman" w:hAnsi="Times New Roman"/>
                <w:sz w:val="20"/>
              </w:rPr>
              <w:t>Immunsystemet</w:t>
            </w:r>
          </w:p>
          <w:p w14:paraId="2BD07E50" w14:textId="77777777" w:rsidR="00B95515" w:rsidRDefault="00B95515">
            <w:pPr>
              <w:rPr>
                <w:rFonts w:ascii="Times New Roman" w:hAnsi="Times New Roman" w:cs="Times New Roman"/>
                <w:sz w:val="20"/>
                <w:szCs w:val="20"/>
              </w:rPr>
            </w:pPr>
            <w:r>
              <w:rPr>
                <w:rFonts w:ascii="Times New Roman" w:hAnsi="Times New Roman"/>
                <w:sz w:val="20"/>
              </w:rPr>
              <w:t>lymfesystem</w:t>
            </w:r>
          </w:p>
          <w:p w14:paraId="788A842C" w14:textId="77777777" w:rsidR="00B95515" w:rsidRDefault="00B95515">
            <w:pPr>
              <w:rPr>
                <w:rFonts w:ascii="Times New Roman" w:hAnsi="Times New Roman" w:cs="Times New Roman"/>
                <w:sz w:val="20"/>
                <w:szCs w:val="20"/>
              </w:rPr>
            </w:pPr>
            <w:r>
              <w:rPr>
                <w:rFonts w:ascii="Times New Roman" w:hAnsi="Times New Roman"/>
                <w:sz w:val="20"/>
              </w:rPr>
              <w:t xml:space="preserve"> </w:t>
            </w:r>
          </w:p>
        </w:tc>
        <w:tc>
          <w:tcPr>
            <w:tcW w:w="627" w:type="pct"/>
            <w:tcBorders>
              <w:top w:val="single" w:sz="6" w:space="0" w:color="000000"/>
              <w:left w:val="single" w:sz="6" w:space="0" w:color="000000"/>
              <w:bottom w:val="single" w:sz="6" w:space="0" w:color="000000"/>
              <w:right w:val="single" w:sz="6" w:space="0" w:color="000000"/>
            </w:tcBorders>
            <w:vAlign w:val="center"/>
            <w:hideMark/>
          </w:tcPr>
          <w:p w14:paraId="74FD8644" w14:textId="77777777" w:rsidR="00B95515" w:rsidRDefault="00B95515">
            <w:pPr>
              <w:rPr>
                <w:rFonts w:ascii="Times New Roman" w:hAnsi="Times New Roman" w:cs="Times New Roman"/>
                <w:sz w:val="20"/>
                <w:szCs w:val="20"/>
              </w:rPr>
            </w:pPr>
            <w:r>
              <w:rPr>
                <w:rFonts w:ascii="Times New Roman" w:hAnsi="Times New Roman"/>
                <w:sz w:val="20"/>
              </w:rPr>
              <w:t xml:space="preserve"> </w:t>
            </w:r>
          </w:p>
        </w:tc>
        <w:tc>
          <w:tcPr>
            <w:tcW w:w="574" w:type="pct"/>
            <w:tcBorders>
              <w:top w:val="single" w:sz="6" w:space="0" w:color="000000"/>
              <w:left w:val="single" w:sz="6" w:space="0" w:color="000000"/>
              <w:bottom w:val="single" w:sz="6" w:space="0" w:color="000000"/>
              <w:right w:val="single" w:sz="6" w:space="0" w:color="000000"/>
            </w:tcBorders>
            <w:vAlign w:val="center"/>
            <w:hideMark/>
          </w:tcPr>
          <w:p w14:paraId="3D14C954" w14:textId="77777777" w:rsidR="00B95515" w:rsidRDefault="00B95515">
            <w:pPr>
              <w:rPr>
                <w:rFonts w:ascii="Times New Roman" w:hAnsi="Times New Roman" w:cs="Times New Roman"/>
                <w:sz w:val="20"/>
                <w:szCs w:val="20"/>
              </w:rPr>
            </w:pPr>
            <w:r>
              <w:rPr>
                <w:rFonts w:ascii="Times New Roman" w:hAnsi="Times New Roman"/>
                <w:sz w:val="20"/>
              </w:rPr>
              <w:t xml:space="preserve"> </w:t>
            </w:r>
          </w:p>
        </w:tc>
        <w:tc>
          <w:tcPr>
            <w:tcW w:w="731" w:type="pct"/>
            <w:tcBorders>
              <w:top w:val="single" w:sz="6" w:space="0" w:color="000000"/>
              <w:left w:val="single" w:sz="6" w:space="0" w:color="000000"/>
              <w:bottom w:val="single" w:sz="6" w:space="0" w:color="000000"/>
              <w:right w:val="single" w:sz="6" w:space="0" w:color="000000"/>
            </w:tcBorders>
            <w:hideMark/>
          </w:tcPr>
          <w:p w14:paraId="617C6146" w14:textId="77777777" w:rsidR="00B95515" w:rsidRDefault="00B95515" w:rsidP="0094280E">
            <w:pPr>
              <w:jc w:val="both"/>
              <w:rPr>
                <w:rFonts w:ascii="Times New Roman" w:hAnsi="Times New Roman" w:cs="Times New Roman"/>
                <w:sz w:val="20"/>
                <w:szCs w:val="20"/>
              </w:rPr>
            </w:pPr>
            <w:proofErr w:type="spellStart"/>
            <w:r>
              <w:rPr>
                <w:rFonts w:ascii="Times New Roman" w:hAnsi="Times New Roman"/>
                <w:sz w:val="20"/>
              </w:rPr>
              <w:t>Jarisch</w:t>
            </w:r>
            <w:proofErr w:type="spellEnd"/>
            <w:r>
              <w:rPr>
                <w:rFonts w:ascii="Times New Roman" w:hAnsi="Times New Roman"/>
                <w:sz w:val="20"/>
              </w:rPr>
              <w:t>-</w:t>
            </w:r>
          </w:p>
          <w:p w14:paraId="7BAC9863" w14:textId="77777777" w:rsidR="00B95515" w:rsidRDefault="00B95515" w:rsidP="0094280E">
            <w:pPr>
              <w:jc w:val="both"/>
              <w:rPr>
                <w:rFonts w:ascii="Times New Roman" w:hAnsi="Times New Roman" w:cs="Times New Roman"/>
                <w:sz w:val="20"/>
                <w:szCs w:val="20"/>
              </w:rPr>
            </w:pPr>
            <w:proofErr w:type="spellStart"/>
            <w:r>
              <w:rPr>
                <w:rFonts w:ascii="Times New Roman" w:hAnsi="Times New Roman"/>
                <w:sz w:val="20"/>
              </w:rPr>
              <w:t>Herxheimers</w:t>
            </w:r>
            <w:proofErr w:type="spellEnd"/>
          </w:p>
          <w:p w14:paraId="275F05A1" w14:textId="77777777" w:rsidR="00B95515" w:rsidRDefault="00B95515" w:rsidP="0094280E">
            <w:pPr>
              <w:jc w:val="both"/>
              <w:rPr>
                <w:rFonts w:ascii="Times New Roman" w:hAnsi="Times New Roman" w:cs="Times New Roman"/>
                <w:sz w:val="20"/>
                <w:szCs w:val="20"/>
              </w:rPr>
            </w:pPr>
            <w:r>
              <w:rPr>
                <w:rFonts w:ascii="Times New Roman" w:hAnsi="Times New Roman"/>
                <w:sz w:val="20"/>
              </w:rPr>
              <w:t>reaktion</w:t>
            </w:r>
          </w:p>
          <w:p w14:paraId="0367A81D" w14:textId="77777777" w:rsidR="00B95515" w:rsidRDefault="00B95515">
            <w:pPr>
              <w:rPr>
                <w:rFonts w:ascii="Times New Roman" w:hAnsi="Times New Roman" w:cs="Times New Roman"/>
                <w:sz w:val="20"/>
                <w:szCs w:val="20"/>
              </w:rPr>
            </w:pPr>
            <w:r>
              <w:rPr>
                <w:rFonts w:ascii="Times New Roman" w:hAnsi="Times New Roman"/>
                <w:sz w:val="20"/>
              </w:rPr>
              <w:t xml:space="preserve"> </w:t>
            </w:r>
          </w:p>
        </w:tc>
        <w:tc>
          <w:tcPr>
            <w:tcW w:w="626" w:type="pct"/>
            <w:tcBorders>
              <w:top w:val="single" w:sz="6" w:space="0" w:color="000000"/>
              <w:left w:val="single" w:sz="6" w:space="0" w:color="000000"/>
              <w:bottom w:val="single" w:sz="6" w:space="0" w:color="000000"/>
              <w:right w:val="single" w:sz="6" w:space="0" w:color="000000"/>
            </w:tcBorders>
            <w:vAlign w:val="center"/>
            <w:hideMark/>
          </w:tcPr>
          <w:p w14:paraId="3AA923F9" w14:textId="77777777" w:rsidR="00B95515" w:rsidRDefault="00B95515">
            <w:pPr>
              <w:rPr>
                <w:rFonts w:ascii="Times New Roman" w:hAnsi="Times New Roman" w:cs="Times New Roman"/>
                <w:sz w:val="20"/>
                <w:szCs w:val="20"/>
              </w:rPr>
            </w:pPr>
            <w:r>
              <w:rPr>
                <w:rFonts w:ascii="Times New Roman" w:hAnsi="Times New Roman"/>
                <w:sz w:val="20"/>
              </w:rPr>
              <w:t xml:space="preserve"> </w:t>
            </w:r>
          </w:p>
        </w:tc>
        <w:tc>
          <w:tcPr>
            <w:tcW w:w="629" w:type="pct"/>
            <w:tcBorders>
              <w:top w:val="single" w:sz="6" w:space="0" w:color="000000"/>
              <w:left w:val="single" w:sz="6" w:space="0" w:color="000000"/>
              <w:bottom w:val="single" w:sz="6" w:space="0" w:color="000000"/>
              <w:right w:val="single" w:sz="6" w:space="0" w:color="000000"/>
            </w:tcBorders>
            <w:vAlign w:val="center"/>
            <w:hideMark/>
          </w:tcPr>
          <w:p w14:paraId="05D5CD38" w14:textId="77777777" w:rsidR="00B95515" w:rsidRDefault="00B95515">
            <w:pPr>
              <w:rPr>
                <w:rFonts w:ascii="Times New Roman" w:hAnsi="Times New Roman" w:cs="Times New Roman"/>
                <w:sz w:val="20"/>
                <w:szCs w:val="20"/>
              </w:rPr>
            </w:pPr>
            <w:r>
              <w:rPr>
                <w:rFonts w:ascii="Times New Roman" w:hAnsi="Times New Roman"/>
                <w:sz w:val="20"/>
              </w:rPr>
              <w:t xml:space="preserve"> </w:t>
            </w:r>
          </w:p>
        </w:tc>
        <w:tc>
          <w:tcPr>
            <w:tcW w:w="835" w:type="pct"/>
            <w:tcBorders>
              <w:top w:val="single" w:sz="6" w:space="0" w:color="000000"/>
              <w:left w:val="single" w:sz="6" w:space="0" w:color="000000"/>
              <w:bottom w:val="single" w:sz="6" w:space="0" w:color="000000"/>
              <w:right w:val="single" w:sz="6" w:space="0" w:color="000000"/>
            </w:tcBorders>
            <w:hideMark/>
          </w:tcPr>
          <w:p w14:paraId="762E94F0" w14:textId="77777777" w:rsidR="00B95515" w:rsidRDefault="00B95515">
            <w:pPr>
              <w:rPr>
                <w:rFonts w:ascii="Times New Roman" w:hAnsi="Times New Roman" w:cs="Times New Roman"/>
                <w:sz w:val="20"/>
                <w:szCs w:val="20"/>
              </w:rPr>
            </w:pPr>
            <w:proofErr w:type="spellStart"/>
            <w:r>
              <w:rPr>
                <w:rFonts w:ascii="Times New Roman" w:hAnsi="Times New Roman"/>
                <w:sz w:val="20"/>
              </w:rPr>
              <w:t>Anafylaktiske</w:t>
            </w:r>
            <w:proofErr w:type="spellEnd"/>
            <w:r>
              <w:rPr>
                <w:rFonts w:ascii="Times New Roman" w:hAnsi="Times New Roman"/>
                <w:sz w:val="20"/>
              </w:rPr>
              <w:t xml:space="preserve"> reaktioner</w:t>
            </w:r>
          </w:p>
          <w:p w14:paraId="7414B2D8" w14:textId="77777777" w:rsidR="00B95515" w:rsidRDefault="00B95515">
            <w:pPr>
              <w:rPr>
                <w:rFonts w:ascii="Times New Roman" w:hAnsi="Times New Roman" w:cs="Times New Roman"/>
                <w:sz w:val="20"/>
                <w:szCs w:val="20"/>
              </w:rPr>
            </w:pPr>
            <w:proofErr w:type="spellStart"/>
            <w:r>
              <w:rPr>
                <w:rFonts w:ascii="Times New Roman" w:hAnsi="Times New Roman"/>
                <w:sz w:val="20"/>
              </w:rPr>
              <w:t>Angioødem</w:t>
            </w:r>
            <w:proofErr w:type="spellEnd"/>
          </w:p>
          <w:p w14:paraId="591E0BD1" w14:textId="77777777" w:rsidR="00B95515" w:rsidRDefault="00B95515">
            <w:pPr>
              <w:rPr>
                <w:rFonts w:ascii="Times New Roman" w:hAnsi="Times New Roman" w:cs="Times New Roman"/>
                <w:sz w:val="20"/>
                <w:szCs w:val="20"/>
              </w:rPr>
            </w:pPr>
            <w:proofErr w:type="spellStart"/>
            <w:r>
              <w:rPr>
                <w:rFonts w:ascii="Times New Roman" w:hAnsi="Times New Roman"/>
                <w:sz w:val="20"/>
              </w:rPr>
              <w:t>Bronkospasme</w:t>
            </w:r>
            <w:proofErr w:type="spellEnd"/>
          </w:p>
          <w:p w14:paraId="70B83ACC" w14:textId="77777777" w:rsidR="00B95515" w:rsidRDefault="00B95515">
            <w:pPr>
              <w:rPr>
                <w:rFonts w:ascii="Times New Roman" w:hAnsi="Times New Roman" w:cs="Times New Roman"/>
                <w:sz w:val="20"/>
                <w:szCs w:val="20"/>
              </w:rPr>
            </w:pPr>
            <w:proofErr w:type="spellStart"/>
            <w:r>
              <w:rPr>
                <w:rFonts w:ascii="Times New Roman" w:hAnsi="Times New Roman"/>
                <w:sz w:val="20"/>
              </w:rPr>
              <w:t>Anafylaktisk</w:t>
            </w:r>
            <w:proofErr w:type="spellEnd"/>
            <w:r>
              <w:rPr>
                <w:rFonts w:ascii="Times New Roman" w:hAnsi="Times New Roman"/>
                <w:sz w:val="20"/>
              </w:rPr>
              <w:t xml:space="preserve"> </w:t>
            </w:r>
            <w:proofErr w:type="spellStart"/>
            <w:r>
              <w:rPr>
                <w:rFonts w:ascii="Times New Roman" w:hAnsi="Times New Roman"/>
                <w:sz w:val="20"/>
              </w:rPr>
              <w:t>shock</w:t>
            </w:r>
            <w:proofErr w:type="spellEnd"/>
          </w:p>
        </w:tc>
      </w:tr>
      <w:tr w:rsidR="00E24AB4" w14:paraId="565F3177" w14:textId="77777777" w:rsidTr="0094280E">
        <w:trPr>
          <w:trHeight w:val="1079"/>
        </w:trPr>
        <w:tc>
          <w:tcPr>
            <w:tcW w:w="976" w:type="pct"/>
            <w:tcBorders>
              <w:top w:val="single" w:sz="6" w:space="0" w:color="000000"/>
              <w:left w:val="single" w:sz="6" w:space="0" w:color="000000"/>
              <w:bottom w:val="single" w:sz="6" w:space="0" w:color="000000"/>
              <w:right w:val="single" w:sz="6" w:space="0" w:color="000000"/>
            </w:tcBorders>
            <w:vAlign w:val="center"/>
            <w:hideMark/>
          </w:tcPr>
          <w:p w14:paraId="3919595E" w14:textId="77777777" w:rsidR="00B95515" w:rsidRDefault="00B95515">
            <w:pPr>
              <w:rPr>
                <w:rFonts w:ascii="Times New Roman" w:hAnsi="Times New Roman" w:cs="Times New Roman"/>
                <w:sz w:val="20"/>
                <w:szCs w:val="20"/>
              </w:rPr>
            </w:pPr>
            <w:r>
              <w:rPr>
                <w:rFonts w:ascii="Times New Roman" w:hAnsi="Times New Roman"/>
                <w:sz w:val="20"/>
              </w:rPr>
              <w:t>Nervesystemet</w:t>
            </w:r>
          </w:p>
        </w:tc>
        <w:tc>
          <w:tcPr>
            <w:tcW w:w="627" w:type="pct"/>
            <w:tcBorders>
              <w:top w:val="single" w:sz="6" w:space="0" w:color="000000"/>
              <w:left w:val="single" w:sz="6" w:space="0" w:color="000000"/>
              <w:bottom w:val="single" w:sz="6" w:space="0" w:color="000000"/>
              <w:right w:val="single" w:sz="6" w:space="0" w:color="000000"/>
            </w:tcBorders>
            <w:vAlign w:val="center"/>
            <w:hideMark/>
          </w:tcPr>
          <w:p w14:paraId="1C863CD3" w14:textId="77777777" w:rsidR="00B95515" w:rsidRDefault="00B95515">
            <w:pPr>
              <w:rPr>
                <w:rFonts w:ascii="Times New Roman" w:hAnsi="Times New Roman" w:cs="Times New Roman"/>
                <w:sz w:val="20"/>
                <w:szCs w:val="20"/>
              </w:rPr>
            </w:pPr>
            <w:r>
              <w:rPr>
                <w:rFonts w:ascii="Times New Roman" w:hAnsi="Times New Roman"/>
                <w:sz w:val="20"/>
              </w:rPr>
              <w:t xml:space="preserve"> </w:t>
            </w:r>
          </w:p>
        </w:tc>
        <w:tc>
          <w:tcPr>
            <w:tcW w:w="574" w:type="pct"/>
            <w:tcBorders>
              <w:top w:val="single" w:sz="6" w:space="0" w:color="000000"/>
              <w:left w:val="single" w:sz="6" w:space="0" w:color="000000"/>
              <w:bottom w:val="single" w:sz="6" w:space="0" w:color="000000"/>
              <w:right w:val="single" w:sz="6" w:space="0" w:color="000000"/>
            </w:tcBorders>
            <w:vAlign w:val="center"/>
            <w:hideMark/>
          </w:tcPr>
          <w:p w14:paraId="64D81DAD" w14:textId="77777777" w:rsidR="00B95515" w:rsidRDefault="00B95515">
            <w:pPr>
              <w:rPr>
                <w:rFonts w:ascii="Times New Roman" w:hAnsi="Times New Roman" w:cs="Times New Roman"/>
                <w:sz w:val="20"/>
                <w:szCs w:val="20"/>
              </w:rPr>
            </w:pPr>
            <w:r>
              <w:rPr>
                <w:rFonts w:ascii="Times New Roman" w:hAnsi="Times New Roman"/>
                <w:sz w:val="20"/>
              </w:rPr>
              <w:t xml:space="preserve"> </w:t>
            </w:r>
          </w:p>
        </w:tc>
        <w:tc>
          <w:tcPr>
            <w:tcW w:w="731" w:type="pct"/>
            <w:tcBorders>
              <w:top w:val="single" w:sz="6" w:space="0" w:color="000000"/>
              <w:left w:val="single" w:sz="6" w:space="0" w:color="000000"/>
              <w:bottom w:val="single" w:sz="6" w:space="0" w:color="000000"/>
              <w:right w:val="single" w:sz="6" w:space="0" w:color="000000"/>
            </w:tcBorders>
            <w:hideMark/>
          </w:tcPr>
          <w:p w14:paraId="51F76A6F" w14:textId="77777777" w:rsidR="00B95515" w:rsidRDefault="00B95515">
            <w:pPr>
              <w:rPr>
                <w:rFonts w:ascii="Times New Roman" w:hAnsi="Times New Roman" w:cs="Times New Roman"/>
                <w:sz w:val="20"/>
                <w:szCs w:val="20"/>
              </w:rPr>
            </w:pPr>
            <w:r>
              <w:rPr>
                <w:rFonts w:ascii="Times New Roman" w:hAnsi="Times New Roman"/>
                <w:sz w:val="20"/>
              </w:rPr>
              <w:t>Krampeanfald (se pkt. 4.4)</w:t>
            </w:r>
          </w:p>
        </w:tc>
        <w:tc>
          <w:tcPr>
            <w:tcW w:w="626" w:type="pct"/>
            <w:tcBorders>
              <w:top w:val="single" w:sz="6" w:space="0" w:color="000000"/>
              <w:left w:val="single" w:sz="6" w:space="0" w:color="000000"/>
              <w:bottom w:val="single" w:sz="6" w:space="0" w:color="000000"/>
              <w:right w:val="single" w:sz="6" w:space="0" w:color="000000"/>
            </w:tcBorders>
            <w:vAlign w:val="center"/>
            <w:hideMark/>
          </w:tcPr>
          <w:p w14:paraId="1BBB1671" w14:textId="77777777" w:rsidR="00B95515" w:rsidRDefault="00B95515">
            <w:pPr>
              <w:rPr>
                <w:rFonts w:ascii="Times New Roman" w:hAnsi="Times New Roman" w:cs="Times New Roman"/>
                <w:sz w:val="20"/>
                <w:szCs w:val="20"/>
              </w:rPr>
            </w:pPr>
            <w:r>
              <w:rPr>
                <w:rFonts w:ascii="Times New Roman" w:hAnsi="Times New Roman"/>
                <w:sz w:val="20"/>
              </w:rPr>
              <w:t xml:space="preserve"> </w:t>
            </w:r>
          </w:p>
        </w:tc>
        <w:tc>
          <w:tcPr>
            <w:tcW w:w="629" w:type="pct"/>
            <w:tcBorders>
              <w:top w:val="single" w:sz="6" w:space="0" w:color="000000"/>
              <w:left w:val="single" w:sz="6" w:space="0" w:color="000000"/>
              <w:bottom w:val="single" w:sz="6" w:space="0" w:color="000000"/>
              <w:right w:val="single" w:sz="6" w:space="0" w:color="000000"/>
            </w:tcBorders>
            <w:vAlign w:val="center"/>
            <w:hideMark/>
          </w:tcPr>
          <w:p w14:paraId="7358B906" w14:textId="77777777" w:rsidR="00B95515" w:rsidRDefault="00B95515">
            <w:pPr>
              <w:rPr>
                <w:rFonts w:ascii="Times New Roman" w:hAnsi="Times New Roman" w:cs="Times New Roman"/>
                <w:sz w:val="20"/>
                <w:szCs w:val="20"/>
              </w:rPr>
            </w:pPr>
            <w:r>
              <w:rPr>
                <w:rFonts w:ascii="Times New Roman" w:hAnsi="Times New Roman"/>
                <w:sz w:val="20"/>
              </w:rPr>
              <w:t xml:space="preserve"> </w:t>
            </w:r>
          </w:p>
        </w:tc>
        <w:tc>
          <w:tcPr>
            <w:tcW w:w="835" w:type="pct"/>
            <w:tcBorders>
              <w:top w:val="single" w:sz="6" w:space="0" w:color="000000"/>
              <w:left w:val="single" w:sz="6" w:space="0" w:color="000000"/>
              <w:bottom w:val="single" w:sz="6" w:space="0" w:color="000000"/>
              <w:right w:val="single" w:sz="6" w:space="0" w:color="000000"/>
            </w:tcBorders>
            <w:hideMark/>
          </w:tcPr>
          <w:p w14:paraId="2DBF226D" w14:textId="77777777" w:rsidR="00B95515" w:rsidRDefault="00B95515">
            <w:pPr>
              <w:rPr>
                <w:rFonts w:ascii="Times New Roman" w:hAnsi="Times New Roman" w:cs="Times New Roman"/>
                <w:sz w:val="20"/>
                <w:szCs w:val="20"/>
              </w:rPr>
            </w:pPr>
            <w:r>
              <w:rPr>
                <w:rFonts w:ascii="Times New Roman" w:hAnsi="Times New Roman"/>
                <w:sz w:val="20"/>
              </w:rPr>
              <w:t>Hovedpine</w:t>
            </w:r>
          </w:p>
          <w:p w14:paraId="18988432" w14:textId="77777777" w:rsidR="00B95515" w:rsidRDefault="00B95515">
            <w:pPr>
              <w:rPr>
                <w:rFonts w:ascii="Times New Roman" w:hAnsi="Times New Roman" w:cs="Times New Roman"/>
                <w:sz w:val="20"/>
                <w:szCs w:val="20"/>
              </w:rPr>
            </w:pPr>
            <w:r>
              <w:rPr>
                <w:rFonts w:ascii="Times New Roman" w:hAnsi="Times New Roman"/>
                <w:sz w:val="20"/>
              </w:rPr>
              <w:t>Svimmelhed</w:t>
            </w:r>
          </w:p>
          <w:p w14:paraId="2E14286A" w14:textId="77777777" w:rsidR="00B95515" w:rsidRDefault="00B95515">
            <w:pPr>
              <w:rPr>
                <w:rFonts w:ascii="Times New Roman" w:hAnsi="Times New Roman" w:cs="Times New Roman"/>
                <w:sz w:val="20"/>
                <w:szCs w:val="20"/>
              </w:rPr>
            </w:pPr>
            <w:r>
              <w:rPr>
                <w:rFonts w:ascii="Times New Roman" w:hAnsi="Times New Roman"/>
                <w:sz w:val="20"/>
              </w:rPr>
              <w:t>Encefalopati* (se pkt. 4.4)</w:t>
            </w:r>
          </w:p>
        </w:tc>
      </w:tr>
      <w:tr w:rsidR="00E24AB4" w14:paraId="60DE40C3" w14:textId="77777777" w:rsidTr="0094280E">
        <w:trPr>
          <w:trHeight w:val="1079"/>
        </w:trPr>
        <w:tc>
          <w:tcPr>
            <w:tcW w:w="976" w:type="pct"/>
            <w:tcBorders>
              <w:top w:val="single" w:sz="6" w:space="0" w:color="000000"/>
              <w:left w:val="single" w:sz="6" w:space="0" w:color="000000"/>
              <w:bottom w:val="single" w:sz="6" w:space="0" w:color="000000"/>
              <w:right w:val="single" w:sz="6" w:space="0" w:color="000000"/>
            </w:tcBorders>
            <w:vAlign w:val="center"/>
            <w:hideMark/>
          </w:tcPr>
          <w:p w14:paraId="1CF97C99" w14:textId="77777777" w:rsidR="00B95515" w:rsidRDefault="00B95515">
            <w:pPr>
              <w:rPr>
                <w:rFonts w:ascii="Times New Roman" w:hAnsi="Times New Roman" w:cs="Times New Roman"/>
                <w:sz w:val="20"/>
                <w:szCs w:val="20"/>
              </w:rPr>
            </w:pPr>
            <w:r>
              <w:rPr>
                <w:rFonts w:ascii="Times New Roman" w:hAnsi="Times New Roman"/>
                <w:sz w:val="20"/>
              </w:rPr>
              <w:t>Hjerte</w:t>
            </w:r>
          </w:p>
        </w:tc>
        <w:tc>
          <w:tcPr>
            <w:tcW w:w="627" w:type="pct"/>
            <w:tcBorders>
              <w:top w:val="single" w:sz="6" w:space="0" w:color="000000"/>
              <w:left w:val="single" w:sz="6" w:space="0" w:color="000000"/>
              <w:bottom w:val="single" w:sz="6" w:space="0" w:color="000000"/>
              <w:right w:val="single" w:sz="6" w:space="0" w:color="000000"/>
            </w:tcBorders>
            <w:vAlign w:val="center"/>
            <w:hideMark/>
          </w:tcPr>
          <w:p w14:paraId="2A2DAF4F" w14:textId="77777777" w:rsidR="00B95515" w:rsidRDefault="00B95515">
            <w:pPr>
              <w:rPr>
                <w:rFonts w:ascii="Times New Roman" w:hAnsi="Times New Roman" w:cs="Times New Roman"/>
                <w:sz w:val="20"/>
                <w:szCs w:val="20"/>
              </w:rPr>
            </w:pPr>
            <w:r>
              <w:rPr>
                <w:rFonts w:ascii="Times New Roman" w:hAnsi="Times New Roman"/>
                <w:sz w:val="20"/>
              </w:rPr>
              <w:t xml:space="preserve"> </w:t>
            </w:r>
          </w:p>
        </w:tc>
        <w:tc>
          <w:tcPr>
            <w:tcW w:w="574" w:type="pct"/>
            <w:tcBorders>
              <w:top w:val="single" w:sz="6" w:space="0" w:color="000000"/>
              <w:left w:val="single" w:sz="6" w:space="0" w:color="000000"/>
              <w:bottom w:val="single" w:sz="6" w:space="0" w:color="000000"/>
              <w:right w:val="single" w:sz="6" w:space="0" w:color="000000"/>
            </w:tcBorders>
            <w:vAlign w:val="center"/>
            <w:hideMark/>
          </w:tcPr>
          <w:p w14:paraId="35AB263E" w14:textId="77777777" w:rsidR="00B95515" w:rsidRDefault="00B95515">
            <w:pPr>
              <w:rPr>
                <w:rFonts w:ascii="Times New Roman" w:hAnsi="Times New Roman" w:cs="Times New Roman"/>
                <w:sz w:val="20"/>
                <w:szCs w:val="20"/>
              </w:rPr>
            </w:pPr>
            <w:r>
              <w:rPr>
                <w:rFonts w:ascii="Times New Roman" w:hAnsi="Times New Roman"/>
                <w:sz w:val="20"/>
              </w:rPr>
              <w:t xml:space="preserve"> </w:t>
            </w:r>
          </w:p>
        </w:tc>
        <w:tc>
          <w:tcPr>
            <w:tcW w:w="731" w:type="pct"/>
            <w:tcBorders>
              <w:top w:val="single" w:sz="6" w:space="0" w:color="000000"/>
              <w:left w:val="single" w:sz="6" w:space="0" w:color="000000"/>
              <w:bottom w:val="single" w:sz="6" w:space="0" w:color="000000"/>
              <w:right w:val="single" w:sz="6" w:space="0" w:color="000000"/>
            </w:tcBorders>
            <w:vAlign w:val="center"/>
            <w:hideMark/>
          </w:tcPr>
          <w:p w14:paraId="01E6E960" w14:textId="77777777" w:rsidR="00B95515" w:rsidRDefault="00B95515">
            <w:pPr>
              <w:rPr>
                <w:rFonts w:ascii="Times New Roman" w:hAnsi="Times New Roman" w:cs="Times New Roman"/>
                <w:sz w:val="20"/>
                <w:szCs w:val="20"/>
              </w:rPr>
            </w:pPr>
            <w:r>
              <w:rPr>
                <w:rFonts w:ascii="Times New Roman" w:hAnsi="Times New Roman"/>
                <w:sz w:val="20"/>
              </w:rPr>
              <w:t xml:space="preserve"> </w:t>
            </w:r>
          </w:p>
        </w:tc>
        <w:tc>
          <w:tcPr>
            <w:tcW w:w="626" w:type="pct"/>
            <w:tcBorders>
              <w:top w:val="single" w:sz="6" w:space="0" w:color="000000"/>
              <w:left w:val="single" w:sz="6" w:space="0" w:color="000000"/>
              <w:bottom w:val="single" w:sz="6" w:space="0" w:color="000000"/>
              <w:right w:val="single" w:sz="6" w:space="0" w:color="000000"/>
            </w:tcBorders>
            <w:vAlign w:val="center"/>
            <w:hideMark/>
          </w:tcPr>
          <w:p w14:paraId="1293BAFB" w14:textId="77777777" w:rsidR="00B95515" w:rsidRDefault="00B95515">
            <w:pPr>
              <w:rPr>
                <w:rFonts w:ascii="Times New Roman" w:hAnsi="Times New Roman" w:cs="Times New Roman"/>
                <w:sz w:val="20"/>
                <w:szCs w:val="20"/>
              </w:rPr>
            </w:pPr>
            <w:r>
              <w:rPr>
                <w:rFonts w:ascii="Times New Roman" w:hAnsi="Times New Roman"/>
                <w:sz w:val="20"/>
              </w:rPr>
              <w:t xml:space="preserve"> </w:t>
            </w:r>
          </w:p>
        </w:tc>
        <w:tc>
          <w:tcPr>
            <w:tcW w:w="629" w:type="pct"/>
            <w:tcBorders>
              <w:top w:val="single" w:sz="6" w:space="0" w:color="000000"/>
              <w:left w:val="single" w:sz="6" w:space="0" w:color="000000"/>
              <w:bottom w:val="single" w:sz="6" w:space="0" w:color="000000"/>
              <w:right w:val="single" w:sz="6" w:space="0" w:color="000000"/>
            </w:tcBorders>
            <w:vAlign w:val="center"/>
            <w:hideMark/>
          </w:tcPr>
          <w:p w14:paraId="4878DE04" w14:textId="77777777" w:rsidR="00B95515" w:rsidRDefault="00B95515">
            <w:pPr>
              <w:rPr>
                <w:rFonts w:ascii="Times New Roman" w:hAnsi="Times New Roman" w:cs="Times New Roman"/>
                <w:sz w:val="20"/>
                <w:szCs w:val="20"/>
              </w:rPr>
            </w:pPr>
            <w:r>
              <w:rPr>
                <w:rFonts w:ascii="Times New Roman" w:hAnsi="Times New Roman"/>
                <w:sz w:val="20"/>
              </w:rPr>
              <w:t xml:space="preserve"> </w:t>
            </w:r>
          </w:p>
        </w:tc>
        <w:tc>
          <w:tcPr>
            <w:tcW w:w="835" w:type="pct"/>
            <w:tcBorders>
              <w:top w:val="single" w:sz="6" w:space="0" w:color="000000"/>
              <w:left w:val="single" w:sz="6" w:space="0" w:color="000000"/>
              <w:bottom w:val="single" w:sz="6" w:space="0" w:color="000000"/>
              <w:right w:val="single" w:sz="6" w:space="0" w:color="000000"/>
            </w:tcBorders>
            <w:hideMark/>
          </w:tcPr>
          <w:p w14:paraId="5FEA1E16" w14:textId="77777777" w:rsidR="00B95515" w:rsidRDefault="00B95515">
            <w:pPr>
              <w:rPr>
                <w:rFonts w:ascii="Times New Roman" w:hAnsi="Times New Roman" w:cs="Times New Roman"/>
                <w:sz w:val="20"/>
                <w:szCs w:val="20"/>
              </w:rPr>
            </w:pPr>
            <w:proofErr w:type="spellStart"/>
            <w:r>
              <w:rPr>
                <w:rFonts w:ascii="Times New Roman" w:hAnsi="Times New Roman"/>
                <w:sz w:val="20"/>
              </w:rPr>
              <w:t>Arytmi</w:t>
            </w:r>
            <w:proofErr w:type="spellEnd"/>
          </w:p>
          <w:p w14:paraId="33911BA4" w14:textId="77777777" w:rsidR="00B95515" w:rsidRDefault="00B95515">
            <w:pPr>
              <w:rPr>
                <w:rFonts w:ascii="Times New Roman" w:hAnsi="Times New Roman" w:cs="Times New Roman"/>
                <w:sz w:val="20"/>
                <w:szCs w:val="20"/>
              </w:rPr>
            </w:pPr>
            <w:r>
              <w:rPr>
                <w:rFonts w:ascii="Times New Roman" w:hAnsi="Times New Roman"/>
                <w:sz w:val="20"/>
              </w:rPr>
              <w:t xml:space="preserve">efter hurtig </w:t>
            </w:r>
            <w:proofErr w:type="spellStart"/>
            <w:r>
              <w:rPr>
                <w:rFonts w:ascii="Times New Roman" w:hAnsi="Times New Roman"/>
                <w:sz w:val="20"/>
              </w:rPr>
              <w:t>bolusinfusion</w:t>
            </w:r>
            <w:proofErr w:type="spellEnd"/>
            <w:r>
              <w:rPr>
                <w:rFonts w:ascii="Times New Roman" w:hAnsi="Times New Roman"/>
                <w:sz w:val="20"/>
              </w:rPr>
              <w:t xml:space="preserve"> via centralt venekateter</w:t>
            </w:r>
          </w:p>
        </w:tc>
      </w:tr>
      <w:tr w:rsidR="00E24AB4" w14:paraId="48E7BC38" w14:textId="77777777" w:rsidTr="0094280E">
        <w:trPr>
          <w:trHeight w:val="1441"/>
        </w:trPr>
        <w:tc>
          <w:tcPr>
            <w:tcW w:w="976" w:type="pct"/>
            <w:tcBorders>
              <w:top w:val="single" w:sz="6" w:space="0" w:color="000000"/>
              <w:left w:val="single" w:sz="6" w:space="0" w:color="000000"/>
              <w:bottom w:val="single" w:sz="6" w:space="0" w:color="000000"/>
              <w:right w:val="single" w:sz="6" w:space="0" w:color="000000"/>
            </w:tcBorders>
            <w:vAlign w:val="center"/>
            <w:hideMark/>
          </w:tcPr>
          <w:p w14:paraId="49675F0B" w14:textId="77777777" w:rsidR="00B95515" w:rsidRDefault="00B95515">
            <w:pPr>
              <w:rPr>
                <w:rFonts w:ascii="Times New Roman" w:hAnsi="Times New Roman" w:cs="Times New Roman"/>
                <w:sz w:val="20"/>
                <w:szCs w:val="20"/>
              </w:rPr>
            </w:pPr>
            <w:r>
              <w:rPr>
                <w:rFonts w:ascii="Times New Roman" w:hAnsi="Times New Roman"/>
                <w:sz w:val="20"/>
              </w:rPr>
              <w:t>Mave-tarm-kanalen</w:t>
            </w:r>
          </w:p>
        </w:tc>
        <w:tc>
          <w:tcPr>
            <w:tcW w:w="627" w:type="pct"/>
            <w:tcBorders>
              <w:top w:val="single" w:sz="6" w:space="0" w:color="000000"/>
              <w:left w:val="single" w:sz="6" w:space="0" w:color="000000"/>
              <w:bottom w:val="single" w:sz="6" w:space="0" w:color="000000"/>
              <w:right w:val="single" w:sz="6" w:space="0" w:color="000000"/>
            </w:tcBorders>
            <w:vAlign w:val="center"/>
            <w:hideMark/>
          </w:tcPr>
          <w:p w14:paraId="1DB5F98C" w14:textId="77777777" w:rsidR="00B95515" w:rsidRDefault="00B95515">
            <w:pPr>
              <w:rPr>
                <w:rFonts w:ascii="Times New Roman" w:hAnsi="Times New Roman" w:cs="Times New Roman"/>
                <w:sz w:val="20"/>
                <w:szCs w:val="20"/>
              </w:rPr>
            </w:pPr>
            <w:r>
              <w:rPr>
                <w:rFonts w:ascii="Times New Roman" w:hAnsi="Times New Roman"/>
                <w:sz w:val="20"/>
              </w:rPr>
              <w:t xml:space="preserve"> </w:t>
            </w:r>
          </w:p>
        </w:tc>
        <w:tc>
          <w:tcPr>
            <w:tcW w:w="574" w:type="pct"/>
            <w:tcBorders>
              <w:top w:val="single" w:sz="6" w:space="0" w:color="000000"/>
              <w:left w:val="single" w:sz="6" w:space="0" w:color="000000"/>
              <w:bottom w:val="single" w:sz="6" w:space="0" w:color="000000"/>
              <w:right w:val="single" w:sz="6" w:space="0" w:color="000000"/>
            </w:tcBorders>
            <w:vAlign w:val="center"/>
            <w:hideMark/>
          </w:tcPr>
          <w:p w14:paraId="69332D73" w14:textId="77777777" w:rsidR="00B95515" w:rsidRDefault="00B95515">
            <w:pPr>
              <w:rPr>
                <w:rFonts w:ascii="Times New Roman" w:hAnsi="Times New Roman" w:cs="Times New Roman"/>
                <w:sz w:val="20"/>
                <w:szCs w:val="20"/>
              </w:rPr>
            </w:pPr>
            <w:r>
              <w:rPr>
                <w:rFonts w:ascii="Times New Roman" w:hAnsi="Times New Roman"/>
                <w:sz w:val="20"/>
              </w:rPr>
              <w:t xml:space="preserve"> </w:t>
            </w:r>
          </w:p>
        </w:tc>
        <w:tc>
          <w:tcPr>
            <w:tcW w:w="731" w:type="pct"/>
            <w:tcBorders>
              <w:top w:val="single" w:sz="6" w:space="0" w:color="000000"/>
              <w:left w:val="single" w:sz="6" w:space="0" w:color="000000"/>
              <w:bottom w:val="single" w:sz="6" w:space="0" w:color="000000"/>
              <w:right w:val="single" w:sz="6" w:space="0" w:color="000000"/>
            </w:tcBorders>
            <w:hideMark/>
          </w:tcPr>
          <w:p w14:paraId="6B637A74" w14:textId="77777777" w:rsidR="00B95515" w:rsidRDefault="00B95515">
            <w:pPr>
              <w:rPr>
                <w:rFonts w:ascii="Times New Roman" w:hAnsi="Times New Roman" w:cs="Times New Roman"/>
                <w:sz w:val="20"/>
                <w:szCs w:val="20"/>
              </w:rPr>
            </w:pPr>
            <w:r>
              <w:rPr>
                <w:rFonts w:ascii="Times New Roman" w:hAnsi="Times New Roman"/>
                <w:sz w:val="20"/>
              </w:rPr>
              <w:t>Diarré</w:t>
            </w:r>
          </w:p>
        </w:tc>
        <w:tc>
          <w:tcPr>
            <w:tcW w:w="626" w:type="pct"/>
            <w:tcBorders>
              <w:top w:val="single" w:sz="6" w:space="0" w:color="000000"/>
              <w:left w:val="single" w:sz="6" w:space="0" w:color="000000"/>
              <w:bottom w:val="single" w:sz="6" w:space="0" w:color="000000"/>
              <w:right w:val="single" w:sz="6" w:space="0" w:color="000000"/>
            </w:tcBorders>
            <w:vAlign w:val="center"/>
            <w:hideMark/>
          </w:tcPr>
          <w:p w14:paraId="625DA0A3" w14:textId="77777777" w:rsidR="00B95515" w:rsidRDefault="00B95515">
            <w:pPr>
              <w:rPr>
                <w:rFonts w:ascii="Times New Roman" w:hAnsi="Times New Roman" w:cs="Times New Roman"/>
                <w:sz w:val="20"/>
                <w:szCs w:val="20"/>
              </w:rPr>
            </w:pPr>
            <w:r>
              <w:rPr>
                <w:rFonts w:ascii="Times New Roman" w:hAnsi="Times New Roman"/>
                <w:sz w:val="20"/>
              </w:rPr>
              <w:t xml:space="preserve"> </w:t>
            </w:r>
          </w:p>
        </w:tc>
        <w:tc>
          <w:tcPr>
            <w:tcW w:w="629" w:type="pct"/>
            <w:tcBorders>
              <w:top w:val="single" w:sz="6" w:space="0" w:color="000000"/>
              <w:left w:val="single" w:sz="6" w:space="0" w:color="000000"/>
              <w:bottom w:val="single" w:sz="6" w:space="0" w:color="000000"/>
              <w:right w:val="single" w:sz="6" w:space="0" w:color="000000"/>
            </w:tcBorders>
            <w:vAlign w:val="center"/>
            <w:hideMark/>
          </w:tcPr>
          <w:p w14:paraId="3CE867A7" w14:textId="77777777" w:rsidR="00B95515" w:rsidRDefault="00B95515">
            <w:pPr>
              <w:rPr>
                <w:rFonts w:ascii="Times New Roman" w:hAnsi="Times New Roman" w:cs="Times New Roman"/>
                <w:sz w:val="20"/>
                <w:szCs w:val="20"/>
              </w:rPr>
            </w:pPr>
            <w:r>
              <w:rPr>
                <w:rFonts w:ascii="Times New Roman" w:hAnsi="Times New Roman"/>
                <w:sz w:val="20"/>
              </w:rPr>
              <w:t xml:space="preserve"> </w:t>
            </w:r>
          </w:p>
        </w:tc>
        <w:tc>
          <w:tcPr>
            <w:tcW w:w="835" w:type="pct"/>
            <w:tcBorders>
              <w:top w:val="single" w:sz="6" w:space="0" w:color="000000"/>
              <w:left w:val="single" w:sz="6" w:space="0" w:color="000000"/>
              <w:bottom w:val="single" w:sz="6" w:space="0" w:color="000000"/>
              <w:right w:val="single" w:sz="6" w:space="0" w:color="000000"/>
            </w:tcBorders>
            <w:hideMark/>
          </w:tcPr>
          <w:p w14:paraId="3ADD54B9" w14:textId="77777777" w:rsidR="00B95515" w:rsidRDefault="00B95515">
            <w:pPr>
              <w:rPr>
                <w:rFonts w:ascii="Times New Roman" w:hAnsi="Times New Roman" w:cs="Times New Roman"/>
                <w:sz w:val="20"/>
                <w:szCs w:val="20"/>
              </w:rPr>
            </w:pPr>
            <w:r>
              <w:rPr>
                <w:rFonts w:ascii="Times New Roman" w:hAnsi="Times New Roman"/>
                <w:sz w:val="20"/>
              </w:rPr>
              <w:t>Kvalme</w:t>
            </w:r>
          </w:p>
          <w:p w14:paraId="58081BFD" w14:textId="77777777" w:rsidR="00B95515" w:rsidRDefault="00B95515">
            <w:pPr>
              <w:rPr>
                <w:rFonts w:ascii="Times New Roman" w:hAnsi="Times New Roman" w:cs="Times New Roman"/>
                <w:sz w:val="20"/>
                <w:szCs w:val="20"/>
              </w:rPr>
            </w:pPr>
            <w:r>
              <w:rPr>
                <w:rFonts w:ascii="Times New Roman" w:hAnsi="Times New Roman"/>
                <w:sz w:val="20"/>
              </w:rPr>
              <w:t>Opkastning</w:t>
            </w:r>
          </w:p>
          <w:p w14:paraId="4A26B07F" w14:textId="3B3A876D" w:rsidR="00B95515" w:rsidRDefault="00B95515">
            <w:pPr>
              <w:rPr>
                <w:rFonts w:ascii="Times New Roman" w:hAnsi="Times New Roman" w:cs="Times New Roman"/>
                <w:sz w:val="20"/>
                <w:szCs w:val="20"/>
              </w:rPr>
            </w:pPr>
            <w:proofErr w:type="spellStart"/>
            <w:r>
              <w:rPr>
                <w:rFonts w:ascii="Times New Roman" w:hAnsi="Times New Roman"/>
                <w:sz w:val="20"/>
              </w:rPr>
              <w:t>Abdominalsmer</w:t>
            </w:r>
            <w:proofErr w:type="spellEnd"/>
            <w:r w:rsidR="0094280E">
              <w:rPr>
                <w:rFonts w:ascii="Times New Roman" w:hAnsi="Times New Roman"/>
                <w:sz w:val="20"/>
              </w:rPr>
              <w:t>-</w:t>
            </w:r>
            <w:r>
              <w:rPr>
                <w:rFonts w:ascii="Times New Roman" w:hAnsi="Times New Roman"/>
                <w:sz w:val="20"/>
              </w:rPr>
              <w:t>ter</w:t>
            </w:r>
          </w:p>
          <w:p w14:paraId="494DCE14" w14:textId="4F6A4381" w:rsidR="00B95515" w:rsidRDefault="00B95515">
            <w:pPr>
              <w:rPr>
                <w:rFonts w:ascii="Times New Roman" w:hAnsi="Times New Roman" w:cs="Times New Roman"/>
                <w:sz w:val="20"/>
                <w:szCs w:val="20"/>
              </w:rPr>
            </w:pPr>
            <w:proofErr w:type="spellStart"/>
            <w:r>
              <w:rPr>
                <w:rFonts w:ascii="Times New Roman" w:hAnsi="Times New Roman"/>
                <w:sz w:val="20"/>
              </w:rPr>
              <w:t>Pseudomembra</w:t>
            </w:r>
            <w:proofErr w:type="spellEnd"/>
            <w:r w:rsidR="0094280E">
              <w:rPr>
                <w:rFonts w:ascii="Times New Roman" w:hAnsi="Times New Roman"/>
                <w:sz w:val="20"/>
              </w:rPr>
              <w:t>-</w:t>
            </w:r>
            <w:r>
              <w:rPr>
                <w:rFonts w:ascii="Times New Roman" w:hAnsi="Times New Roman"/>
                <w:sz w:val="20"/>
              </w:rPr>
              <w:t xml:space="preserve">nøs </w:t>
            </w:r>
            <w:proofErr w:type="spellStart"/>
            <w:r>
              <w:rPr>
                <w:rFonts w:ascii="Times New Roman" w:hAnsi="Times New Roman"/>
                <w:sz w:val="20"/>
              </w:rPr>
              <w:t>kolitis</w:t>
            </w:r>
            <w:proofErr w:type="spellEnd"/>
            <w:r>
              <w:rPr>
                <w:rFonts w:ascii="Times New Roman" w:hAnsi="Times New Roman"/>
                <w:sz w:val="20"/>
              </w:rPr>
              <w:t xml:space="preserve"> (se pkt. 4.4)</w:t>
            </w:r>
          </w:p>
        </w:tc>
      </w:tr>
      <w:tr w:rsidR="00E24AB4" w14:paraId="568999FA" w14:textId="77777777" w:rsidTr="0094280E">
        <w:trPr>
          <w:trHeight w:val="1972"/>
        </w:trPr>
        <w:tc>
          <w:tcPr>
            <w:tcW w:w="976" w:type="pct"/>
            <w:tcBorders>
              <w:top w:val="single" w:sz="6" w:space="0" w:color="000000"/>
              <w:left w:val="single" w:sz="6" w:space="0" w:color="000000"/>
              <w:bottom w:val="single" w:sz="6" w:space="0" w:color="000000"/>
              <w:right w:val="single" w:sz="6" w:space="0" w:color="000000"/>
            </w:tcBorders>
            <w:vAlign w:val="center"/>
            <w:hideMark/>
          </w:tcPr>
          <w:p w14:paraId="7D2C79D8" w14:textId="77777777" w:rsidR="00B95515" w:rsidRDefault="00B95515">
            <w:pPr>
              <w:rPr>
                <w:rFonts w:ascii="Times New Roman" w:hAnsi="Times New Roman" w:cs="Times New Roman"/>
                <w:sz w:val="20"/>
                <w:szCs w:val="20"/>
              </w:rPr>
            </w:pPr>
            <w:r>
              <w:rPr>
                <w:rFonts w:ascii="Times New Roman" w:hAnsi="Times New Roman"/>
                <w:sz w:val="20"/>
              </w:rPr>
              <w:t>Lever og galdeveje</w:t>
            </w:r>
          </w:p>
        </w:tc>
        <w:tc>
          <w:tcPr>
            <w:tcW w:w="627" w:type="pct"/>
            <w:tcBorders>
              <w:top w:val="single" w:sz="6" w:space="0" w:color="000000"/>
              <w:left w:val="single" w:sz="6" w:space="0" w:color="000000"/>
              <w:bottom w:val="single" w:sz="6" w:space="0" w:color="000000"/>
              <w:right w:val="single" w:sz="6" w:space="0" w:color="000000"/>
            </w:tcBorders>
            <w:vAlign w:val="center"/>
            <w:hideMark/>
          </w:tcPr>
          <w:p w14:paraId="2E4B5AF1" w14:textId="77777777" w:rsidR="00B95515" w:rsidRDefault="00B95515">
            <w:pPr>
              <w:rPr>
                <w:rFonts w:ascii="Times New Roman" w:hAnsi="Times New Roman" w:cs="Times New Roman"/>
                <w:sz w:val="20"/>
                <w:szCs w:val="20"/>
              </w:rPr>
            </w:pPr>
            <w:r>
              <w:rPr>
                <w:rFonts w:ascii="Times New Roman" w:hAnsi="Times New Roman"/>
                <w:sz w:val="20"/>
              </w:rPr>
              <w:t xml:space="preserve"> </w:t>
            </w:r>
          </w:p>
        </w:tc>
        <w:tc>
          <w:tcPr>
            <w:tcW w:w="574" w:type="pct"/>
            <w:tcBorders>
              <w:top w:val="single" w:sz="6" w:space="0" w:color="000000"/>
              <w:left w:val="single" w:sz="6" w:space="0" w:color="000000"/>
              <w:bottom w:val="single" w:sz="6" w:space="0" w:color="000000"/>
              <w:right w:val="single" w:sz="6" w:space="0" w:color="000000"/>
            </w:tcBorders>
            <w:vAlign w:val="center"/>
            <w:hideMark/>
          </w:tcPr>
          <w:p w14:paraId="1BEC929D" w14:textId="77777777" w:rsidR="00B95515" w:rsidRDefault="00B95515">
            <w:pPr>
              <w:rPr>
                <w:rFonts w:ascii="Times New Roman" w:hAnsi="Times New Roman" w:cs="Times New Roman"/>
                <w:sz w:val="20"/>
                <w:szCs w:val="20"/>
              </w:rPr>
            </w:pPr>
            <w:r>
              <w:rPr>
                <w:rFonts w:ascii="Times New Roman" w:hAnsi="Times New Roman"/>
                <w:sz w:val="20"/>
              </w:rPr>
              <w:t xml:space="preserve"> </w:t>
            </w:r>
          </w:p>
        </w:tc>
        <w:tc>
          <w:tcPr>
            <w:tcW w:w="731" w:type="pct"/>
            <w:tcBorders>
              <w:top w:val="single" w:sz="6" w:space="0" w:color="000000"/>
              <w:left w:val="single" w:sz="6" w:space="0" w:color="000000"/>
              <w:bottom w:val="single" w:sz="6" w:space="0" w:color="000000"/>
              <w:right w:val="single" w:sz="6" w:space="0" w:color="000000"/>
            </w:tcBorders>
            <w:hideMark/>
          </w:tcPr>
          <w:p w14:paraId="5DC15A50" w14:textId="77777777" w:rsidR="00B95515" w:rsidRDefault="00B95515">
            <w:pPr>
              <w:rPr>
                <w:rFonts w:ascii="Times New Roman" w:hAnsi="Times New Roman" w:cs="Times New Roman"/>
                <w:sz w:val="20"/>
                <w:szCs w:val="20"/>
              </w:rPr>
            </w:pPr>
            <w:r>
              <w:rPr>
                <w:rFonts w:ascii="Times New Roman" w:hAnsi="Times New Roman"/>
                <w:sz w:val="20"/>
              </w:rPr>
              <w:t>Forhøjede leverenzymer</w:t>
            </w:r>
          </w:p>
          <w:p w14:paraId="5DB2A1A0" w14:textId="77777777" w:rsidR="00B95515" w:rsidRDefault="00B95515">
            <w:pPr>
              <w:rPr>
                <w:rFonts w:ascii="Times New Roman" w:hAnsi="Times New Roman" w:cs="Times New Roman"/>
                <w:sz w:val="20"/>
                <w:szCs w:val="20"/>
              </w:rPr>
            </w:pPr>
            <w:r>
              <w:rPr>
                <w:rFonts w:ascii="Times New Roman" w:hAnsi="Times New Roman"/>
                <w:sz w:val="20"/>
              </w:rPr>
              <w:t>(ALAT, ASAT,</w:t>
            </w:r>
          </w:p>
          <w:p w14:paraId="28EF6CEA" w14:textId="77777777" w:rsidR="00B95515" w:rsidRDefault="00B95515">
            <w:pPr>
              <w:ind w:right="37"/>
              <w:rPr>
                <w:rFonts w:ascii="Times New Roman" w:hAnsi="Times New Roman" w:cs="Times New Roman"/>
                <w:sz w:val="20"/>
                <w:szCs w:val="20"/>
              </w:rPr>
            </w:pPr>
            <w:r>
              <w:rPr>
                <w:rFonts w:ascii="Times New Roman" w:hAnsi="Times New Roman"/>
                <w:sz w:val="20"/>
              </w:rPr>
              <w:t>LDH, gamma</w:t>
            </w:r>
            <w:r>
              <w:rPr>
                <w:rFonts w:ascii="Times New Roman" w:hAnsi="Times New Roman"/>
                <w:sz w:val="20"/>
              </w:rPr>
              <w:noBreakHyphen/>
              <w:t>GT og/eller basisk fosfatase) og/eller bilirubin</w:t>
            </w:r>
          </w:p>
        </w:tc>
        <w:tc>
          <w:tcPr>
            <w:tcW w:w="626" w:type="pct"/>
            <w:tcBorders>
              <w:top w:val="single" w:sz="6" w:space="0" w:color="000000"/>
              <w:left w:val="single" w:sz="6" w:space="0" w:color="000000"/>
              <w:bottom w:val="single" w:sz="6" w:space="0" w:color="000000"/>
              <w:right w:val="single" w:sz="6" w:space="0" w:color="000000"/>
            </w:tcBorders>
            <w:vAlign w:val="center"/>
            <w:hideMark/>
          </w:tcPr>
          <w:p w14:paraId="0432152B" w14:textId="77777777" w:rsidR="00B95515" w:rsidRDefault="00B95515">
            <w:pPr>
              <w:rPr>
                <w:rFonts w:ascii="Times New Roman" w:hAnsi="Times New Roman" w:cs="Times New Roman"/>
                <w:sz w:val="20"/>
                <w:szCs w:val="20"/>
              </w:rPr>
            </w:pPr>
            <w:r>
              <w:rPr>
                <w:rFonts w:ascii="Times New Roman" w:hAnsi="Times New Roman"/>
                <w:sz w:val="20"/>
              </w:rPr>
              <w:t xml:space="preserve"> </w:t>
            </w:r>
          </w:p>
        </w:tc>
        <w:tc>
          <w:tcPr>
            <w:tcW w:w="629" w:type="pct"/>
            <w:tcBorders>
              <w:top w:val="single" w:sz="6" w:space="0" w:color="000000"/>
              <w:left w:val="single" w:sz="6" w:space="0" w:color="000000"/>
              <w:bottom w:val="single" w:sz="6" w:space="0" w:color="000000"/>
              <w:right w:val="single" w:sz="6" w:space="0" w:color="000000"/>
            </w:tcBorders>
            <w:vAlign w:val="center"/>
            <w:hideMark/>
          </w:tcPr>
          <w:p w14:paraId="1062C307" w14:textId="77777777" w:rsidR="00B95515" w:rsidRDefault="00B95515">
            <w:pPr>
              <w:rPr>
                <w:rFonts w:ascii="Times New Roman" w:hAnsi="Times New Roman" w:cs="Times New Roman"/>
                <w:sz w:val="20"/>
                <w:szCs w:val="20"/>
              </w:rPr>
            </w:pPr>
            <w:r>
              <w:rPr>
                <w:rFonts w:ascii="Times New Roman" w:hAnsi="Times New Roman"/>
                <w:sz w:val="20"/>
              </w:rPr>
              <w:t xml:space="preserve"> </w:t>
            </w:r>
          </w:p>
        </w:tc>
        <w:tc>
          <w:tcPr>
            <w:tcW w:w="835" w:type="pct"/>
            <w:tcBorders>
              <w:top w:val="single" w:sz="6" w:space="0" w:color="000000"/>
              <w:left w:val="single" w:sz="6" w:space="0" w:color="000000"/>
              <w:bottom w:val="single" w:sz="6" w:space="0" w:color="000000"/>
              <w:right w:val="single" w:sz="6" w:space="0" w:color="000000"/>
            </w:tcBorders>
          </w:tcPr>
          <w:p w14:paraId="3E40C9C7" w14:textId="77777777" w:rsidR="00B95515" w:rsidRDefault="00B95515">
            <w:pPr>
              <w:rPr>
                <w:rFonts w:ascii="Times New Roman" w:hAnsi="Times New Roman" w:cs="Times New Roman"/>
                <w:sz w:val="20"/>
                <w:szCs w:val="20"/>
              </w:rPr>
            </w:pPr>
            <w:r>
              <w:rPr>
                <w:rFonts w:ascii="Times New Roman" w:hAnsi="Times New Roman"/>
                <w:sz w:val="20"/>
              </w:rPr>
              <w:t>Hepatitis ** (til tider med gulsot)</w:t>
            </w:r>
          </w:p>
        </w:tc>
      </w:tr>
      <w:tr w:rsidR="00E24AB4" w14:paraId="70E632A3" w14:textId="77777777" w:rsidTr="0094280E">
        <w:trPr>
          <w:trHeight w:val="1398"/>
        </w:trPr>
        <w:tc>
          <w:tcPr>
            <w:tcW w:w="976" w:type="pct"/>
            <w:tcBorders>
              <w:top w:val="single" w:sz="6" w:space="0" w:color="000000"/>
              <w:left w:val="single" w:sz="6" w:space="0" w:color="000000"/>
              <w:bottom w:val="single" w:sz="6" w:space="0" w:color="000000"/>
              <w:right w:val="single" w:sz="6" w:space="0" w:color="000000"/>
            </w:tcBorders>
            <w:vAlign w:val="center"/>
            <w:hideMark/>
          </w:tcPr>
          <w:p w14:paraId="77E4FEFB" w14:textId="77777777" w:rsidR="00B95515" w:rsidRDefault="00B95515">
            <w:pPr>
              <w:ind w:right="61"/>
              <w:rPr>
                <w:rFonts w:ascii="Times New Roman" w:hAnsi="Times New Roman" w:cs="Times New Roman"/>
                <w:sz w:val="20"/>
                <w:szCs w:val="20"/>
              </w:rPr>
            </w:pPr>
            <w:r>
              <w:rPr>
                <w:rFonts w:ascii="Times New Roman" w:hAnsi="Times New Roman"/>
                <w:sz w:val="20"/>
              </w:rPr>
              <w:t>Hud og subkutane væv</w:t>
            </w:r>
          </w:p>
        </w:tc>
        <w:tc>
          <w:tcPr>
            <w:tcW w:w="627" w:type="pct"/>
            <w:tcBorders>
              <w:top w:val="single" w:sz="6" w:space="0" w:color="000000"/>
              <w:left w:val="single" w:sz="6" w:space="0" w:color="000000"/>
              <w:bottom w:val="single" w:sz="6" w:space="0" w:color="000000"/>
              <w:right w:val="single" w:sz="6" w:space="0" w:color="000000"/>
            </w:tcBorders>
            <w:vAlign w:val="center"/>
            <w:hideMark/>
          </w:tcPr>
          <w:p w14:paraId="2716EA5B" w14:textId="77777777" w:rsidR="00B95515" w:rsidRDefault="00B95515">
            <w:pPr>
              <w:rPr>
                <w:rFonts w:ascii="Times New Roman" w:hAnsi="Times New Roman" w:cs="Times New Roman"/>
                <w:sz w:val="20"/>
                <w:szCs w:val="20"/>
              </w:rPr>
            </w:pPr>
            <w:r>
              <w:rPr>
                <w:rFonts w:ascii="Times New Roman" w:hAnsi="Times New Roman"/>
                <w:sz w:val="20"/>
              </w:rPr>
              <w:t xml:space="preserve"> </w:t>
            </w:r>
          </w:p>
        </w:tc>
        <w:tc>
          <w:tcPr>
            <w:tcW w:w="574" w:type="pct"/>
            <w:tcBorders>
              <w:top w:val="single" w:sz="6" w:space="0" w:color="000000"/>
              <w:left w:val="single" w:sz="6" w:space="0" w:color="000000"/>
              <w:bottom w:val="single" w:sz="6" w:space="0" w:color="000000"/>
              <w:right w:val="single" w:sz="6" w:space="0" w:color="000000"/>
            </w:tcBorders>
            <w:vAlign w:val="center"/>
            <w:hideMark/>
          </w:tcPr>
          <w:p w14:paraId="3529729C" w14:textId="77777777" w:rsidR="00B95515" w:rsidRDefault="00B95515">
            <w:pPr>
              <w:rPr>
                <w:rFonts w:ascii="Times New Roman" w:hAnsi="Times New Roman" w:cs="Times New Roman"/>
                <w:sz w:val="20"/>
                <w:szCs w:val="20"/>
              </w:rPr>
            </w:pPr>
            <w:r>
              <w:rPr>
                <w:rFonts w:ascii="Times New Roman" w:hAnsi="Times New Roman"/>
                <w:sz w:val="20"/>
              </w:rPr>
              <w:t xml:space="preserve"> </w:t>
            </w:r>
          </w:p>
        </w:tc>
        <w:tc>
          <w:tcPr>
            <w:tcW w:w="731" w:type="pct"/>
            <w:tcBorders>
              <w:top w:val="single" w:sz="6" w:space="0" w:color="000000"/>
              <w:left w:val="single" w:sz="6" w:space="0" w:color="000000"/>
              <w:bottom w:val="single" w:sz="6" w:space="0" w:color="000000"/>
              <w:right w:val="single" w:sz="6" w:space="0" w:color="000000"/>
            </w:tcBorders>
          </w:tcPr>
          <w:p w14:paraId="59F979F4" w14:textId="77777777" w:rsidR="00B95515" w:rsidRDefault="00B95515">
            <w:pPr>
              <w:rPr>
                <w:rFonts w:ascii="Times New Roman" w:hAnsi="Times New Roman" w:cs="Times New Roman"/>
                <w:sz w:val="20"/>
                <w:szCs w:val="20"/>
              </w:rPr>
            </w:pPr>
            <w:r>
              <w:rPr>
                <w:rFonts w:ascii="Times New Roman" w:hAnsi="Times New Roman"/>
                <w:sz w:val="20"/>
              </w:rPr>
              <w:t>Udslæt</w:t>
            </w:r>
          </w:p>
          <w:p w14:paraId="52C87B47" w14:textId="77777777" w:rsidR="00B95515" w:rsidRDefault="00B95515">
            <w:pPr>
              <w:rPr>
                <w:rFonts w:ascii="Times New Roman" w:hAnsi="Times New Roman" w:cs="Times New Roman"/>
                <w:sz w:val="20"/>
                <w:szCs w:val="20"/>
              </w:rPr>
            </w:pPr>
            <w:proofErr w:type="spellStart"/>
            <w:r>
              <w:rPr>
                <w:rFonts w:ascii="Times New Roman" w:hAnsi="Times New Roman"/>
                <w:sz w:val="20"/>
              </w:rPr>
              <w:t>Pruritus</w:t>
            </w:r>
            <w:proofErr w:type="spellEnd"/>
          </w:p>
          <w:p w14:paraId="702E335F" w14:textId="77777777" w:rsidR="00B95515" w:rsidRDefault="00B95515">
            <w:pPr>
              <w:rPr>
                <w:rFonts w:ascii="Times New Roman" w:hAnsi="Times New Roman" w:cs="Times New Roman"/>
                <w:sz w:val="20"/>
                <w:szCs w:val="20"/>
              </w:rPr>
            </w:pPr>
            <w:proofErr w:type="spellStart"/>
            <w:r>
              <w:rPr>
                <w:rFonts w:ascii="Times New Roman" w:hAnsi="Times New Roman"/>
                <w:sz w:val="20"/>
              </w:rPr>
              <w:t>Urticaria</w:t>
            </w:r>
            <w:proofErr w:type="spellEnd"/>
          </w:p>
        </w:tc>
        <w:tc>
          <w:tcPr>
            <w:tcW w:w="626" w:type="pct"/>
            <w:tcBorders>
              <w:top w:val="single" w:sz="6" w:space="0" w:color="000000"/>
              <w:left w:val="single" w:sz="6" w:space="0" w:color="000000"/>
              <w:bottom w:val="single" w:sz="6" w:space="0" w:color="000000"/>
              <w:right w:val="single" w:sz="6" w:space="0" w:color="000000"/>
            </w:tcBorders>
            <w:vAlign w:val="center"/>
            <w:hideMark/>
          </w:tcPr>
          <w:p w14:paraId="3775C8E3" w14:textId="77777777" w:rsidR="00B95515" w:rsidRDefault="00B95515">
            <w:pPr>
              <w:rPr>
                <w:rFonts w:ascii="Times New Roman" w:hAnsi="Times New Roman" w:cs="Times New Roman"/>
                <w:sz w:val="20"/>
                <w:szCs w:val="20"/>
              </w:rPr>
            </w:pPr>
            <w:r>
              <w:rPr>
                <w:rFonts w:ascii="Times New Roman" w:hAnsi="Times New Roman"/>
                <w:sz w:val="20"/>
              </w:rPr>
              <w:t xml:space="preserve"> </w:t>
            </w:r>
          </w:p>
        </w:tc>
        <w:tc>
          <w:tcPr>
            <w:tcW w:w="629" w:type="pct"/>
            <w:tcBorders>
              <w:top w:val="single" w:sz="6" w:space="0" w:color="000000"/>
              <w:left w:val="single" w:sz="6" w:space="0" w:color="000000"/>
              <w:bottom w:val="single" w:sz="6" w:space="0" w:color="000000"/>
              <w:right w:val="single" w:sz="6" w:space="0" w:color="000000"/>
            </w:tcBorders>
            <w:vAlign w:val="center"/>
            <w:hideMark/>
          </w:tcPr>
          <w:p w14:paraId="3CA86C3B" w14:textId="77777777" w:rsidR="00B95515" w:rsidRDefault="00B95515">
            <w:pPr>
              <w:rPr>
                <w:rFonts w:ascii="Times New Roman" w:hAnsi="Times New Roman" w:cs="Times New Roman"/>
                <w:sz w:val="20"/>
                <w:szCs w:val="20"/>
              </w:rPr>
            </w:pPr>
            <w:r>
              <w:rPr>
                <w:rFonts w:ascii="Times New Roman" w:hAnsi="Times New Roman"/>
                <w:sz w:val="20"/>
              </w:rPr>
              <w:t xml:space="preserve"> </w:t>
            </w:r>
          </w:p>
        </w:tc>
        <w:tc>
          <w:tcPr>
            <w:tcW w:w="835" w:type="pct"/>
            <w:tcBorders>
              <w:top w:val="single" w:sz="6" w:space="0" w:color="000000"/>
              <w:left w:val="single" w:sz="6" w:space="0" w:color="000000"/>
              <w:bottom w:val="single" w:sz="6" w:space="0" w:color="000000"/>
              <w:right w:val="single" w:sz="6" w:space="0" w:color="000000"/>
            </w:tcBorders>
            <w:hideMark/>
          </w:tcPr>
          <w:p w14:paraId="244CDD04" w14:textId="77777777" w:rsidR="00B95515" w:rsidRDefault="00B95515">
            <w:pPr>
              <w:rPr>
                <w:rFonts w:ascii="Times New Roman" w:hAnsi="Times New Roman" w:cs="Times New Roman"/>
                <w:sz w:val="20"/>
                <w:szCs w:val="20"/>
              </w:rPr>
            </w:pPr>
            <w:proofErr w:type="spellStart"/>
            <w:r>
              <w:rPr>
                <w:rFonts w:ascii="Times New Roman" w:hAnsi="Times New Roman"/>
                <w:sz w:val="20"/>
              </w:rPr>
              <w:t>Erythema</w:t>
            </w:r>
            <w:proofErr w:type="spellEnd"/>
            <w:r>
              <w:rPr>
                <w:rFonts w:ascii="Times New Roman" w:hAnsi="Times New Roman"/>
                <w:sz w:val="20"/>
              </w:rPr>
              <w:t xml:space="preserve"> multiforme</w:t>
            </w:r>
          </w:p>
          <w:p w14:paraId="33C7A42B" w14:textId="77777777" w:rsidR="00B95515" w:rsidRDefault="00B95515">
            <w:pPr>
              <w:rPr>
                <w:rFonts w:ascii="Times New Roman" w:hAnsi="Times New Roman" w:cs="Times New Roman"/>
                <w:sz w:val="20"/>
                <w:szCs w:val="20"/>
              </w:rPr>
            </w:pPr>
            <w:r>
              <w:rPr>
                <w:rFonts w:ascii="Times New Roman" w:hAnsi="Times New Roman"/>
                <w:sz w:val="20"/>
              </w:rPr>
              <w:t>Stevens-Johnsons syndrom</w:t>
            </w:r>
          </w:p>
          <w:p w14:paraId="0CF1C490" w14:textId="77777777" w:rsidR="00B95515" w:rsidRDefault="00B95515">
            <w:pPr>
              <w:rPr>
                <w:rFonts w:ascii="Times New Roman" w:hAnsi="Times New Roman" w:cs="Times New Roman"/>
                <w:sz w:val="20"/>
                <w:szCs w:val="20"/>
              </w:rPr>
            </w:pPr>
            <w:r>
              <w:rPr>
                <w:rFonts w:ascii="Times New Roman" w:hAnsi="Times New Roman"/>
                <w:sz w:val="20"/>
              </w:rPr>
              <w:t xml:space="preserve">Toksisk </w:t>
            </w:r>
            <w:proofErr w:type="spellStart"/>
            <w:r>
              <w:rPr>
                <w:rFonts w:ascii="Times New Roman" w:hAnsi="Times New Roman"/>
                <w:sz w:val="20"/>
              </w:rPr>
              <w:t>epidermal</w:t>
            </w:r>
            <w:proofErr w:type="spellEnd"/>
            <w:r>
              <w:rPr>
                <w:rFonts w:ascii="Times New Roman" w:hAnsi="Times New Roman"/>
                <w:sz w:val="20"/>
              </w:rPr>
              <w:t xml:space="preserve"> </w:t>
            </w:r>
            <w:proofErr w:type="spellStart"/>
            <w:r>
              <w:rPr>
                <w:rFonts w:ascii="Times New Roman" w:hAnsi="Times New Roman"/>
                <w:sz w:val="20"/>
              </w:rPr>
              <w:t>nekrolyse</w:t>
            </w:r>
            <w:proofErr w:type="spellEnd"/>
          </w:p>
          <w:p w14:paraId="320E91F8" w14:textId="77777777" w:rsidR="00B95515" w:rsidRDefault="00B95515">
            <w:pPr>
              <w:rPr>
                <w:rFonts w:ascii="Times New Roman" w:hAnsi="Times New Roman" w:cs="Times New Roman"/>
                <w:sz w:val="20"/>
                <w:szCs w:val="20"/>
              </w:rPr>
            </w:pPr>
            <w:r>
              <w:rPr>
                <w:rFonts w:ascii="Times New Roman" w:hAnsi="Times New Roman"/>
                <w:sz w:val="20"/>
              </w:rPr>
              <w:t>(se pkt. 4.4)</w:t>
            </w:r>
          </w:p>
          <w:p w14:paraId="74029FC5" w14:textId="77777777" w:rsidR="00B95515" w:rsidRDefault="00B95515">
            <w:pPr>
              <w:rPr>
                <w:rFonts w:ascii="Times New Roman" w:hAnsi="Times New Roman" w:cs="Times New Roman"/>
                <w:sz w:val="20"/>
                <w:szCs w:val="20"/>
              </w:rPr>
            </w:pPr>
            <w:r>
              <w:rPr>
                <w:rFonts w:ascii="Times New Roman" w:hAnsi="Times New Roman"/>
                <w:sz w:val="20"/>
              </w:rPr>
              <w:t xml:space="preserve">Akut generaliseret </w:t>
            </w:r>
            <w:proofErr w:type="spellStart"/>
            <w:r>
              <w:rPr>
                <w:rFonts w:ascii="Times New Roman" w:hAnsi="Times New Roman"/>
                <w:sz w:val="20"/>
              </w:rPr>
              <w:t>eksantematøs</w:t>
            </w:r>
            <w:proofErr w:type="spellEnd"/>
            <w:r>
              <w:rPr>
                <w:rFonts w:ascii="Times New Roman" w:hAnsi="Times New Roman"/>
                <w:sz w:val="20"/>
              </w:rPr>
              <w:t xml:space="preserve"> </w:t>
            </w:r>
            <w:proofErr w:type="spellStart"/>
            <w:r>
              <w:rPr>
                <w:rFonts w:ascii="Times New Roman" w:hAnsi="Times New Roman"/>
                <w:sz w:val="20"/>
              </w:rPr>
              <w:t>pustulose</w:t>
            </w:r>
            <w:proofErr w:type="spellEnd"/>
            <w:r>
              <w:rPr>
                <w:rFonts w:ascii="Times New Roman" w:hAnsi="Times New Roman"/>
                <w:sz w:val="20"/>
              </w:rPr>
              <w:t xml:space="preserve"> (AGEP)</w:t>
            </w:r>
          </w:p>
          <w:p w14:paraId="23B8501D" w14:textId="77777777" w:rsidR="00B95515" w:rsidRDefault="00B95515">
            <w:pPr>
              <w:rPr>
                <w:rFonts w:ascii="Times New Roman" w:hAnsi="Times New Roman" w:cs="Times New Roman"/>
                <w:sz w:val="20"/>
                <w:szCs w:val="20"/>
              </w:rPr>
            </w:pPr>
            <w:r>
              <w:rPr>
                <w:rFonts w:ascii="Times New Roman" w:hAnsi="Times New Roman"/>
                <w:sz w:val="20"/>
              </w:rPr>
              <w:t xml:space="preserve">Lægemiddelreaktion med </w:t>
            </w:r>
            <w:proofErr w:type="spellStart"/>
            <w:r>
              <w:rPr>
                <w:rFonts w:ascii="Times New Roman" w:hAnsi="Times New Roman"/>
                <w:sz w:val="20"/>
              </w:rPr>
              <w:t>eosinofili</w:t>
            </w:r>
            <w:proofErr w:type="spellEnd"/>
            <w:r>
              <w:rPr>
                <w:rFonts w:ascii="Times New Roman" w:hAnsi="Times New Roman"/>
                <w:sz w:val="20"/>
              </w:rPr>
              <w:t xml:space="preserve"> og systemiske symptomer (DRESS) (se pkt. 4.4)</w:t>
            </w:r>
          </w:p>
        </w:tc>
      </w:tr>
      <w:tr w:rsidR="00E24AB4" w14:paraId="27B5294A" w14:textId="77777777" w:rsidTr="0094280E">
        <w:trPr>
          <w:trHeight w:val="1421"/>
        </w:trPr>
        <w:tc>
          <w:tcPr>
            <w:tcW w:w="976" w:type="pct"/>
            <w:tcBorders>
              <w:top w:val="single" w:sz="6" w:space="0" w:color="000000"/>
              <w:left w:val="single" w:sz="6" w:space="0" w:color="000000"/>
              <w:bottom w:val="single" w:sz="4" w:space="0" w:color="auto"/>
              <w:right w:val="single" w:sz="6" w:space="0" w:color="000000"/>
            </w:tcBorders>
            <w:vAlign w:val="center"/>
            <w:hideMark/>
          </w:tcPr>
          <w:p w14:paraId="4A3189B4" w14:textId="77777777" w:rsidR="00B95515" w:rsidRDefault="00B95515">
            <w:pPr>
              <w:rPr>
                <w:rFonts w:ascii="Times New Roman" w:hAnsi="Times New Roman" w:cs="Times New Roman"/>
                <w:sz w:val="20"/>
                <w:szCs w:val="20"/>
              </w:rPr>
            </w:pPr>
            <w:r>
              <w:rPr>
                <w:rFonts w:ascii="Times New Roman" w:hAnsi="Times New Roman"/>
                <w:sz w:val="20"/>
              </w:rPr>
              <w:t>Nyrer og urinveje</w:t>
            </w:r>
          </w:p>
        </w:tc>
        <w:tc>
          <w:tcPr>
            <w:tcW w:w="627" w:type="pct"/>
            <w:tcBorders>
              <w:top w:val="single" w:sz="6" w:space="0" w:color="000000"/>
              <w:left w:val="single" w:sz="6" w:space="0" w:color="000000"/>
              <w:bottom w:val="single" w:sz="4" w:space="0" w:color="auto"/>
              <w:right w:val="single" w:sz="6" w:space="0" w:color="000000"/>
            </w:tcBorders>
            <w:vAlign w:val="center"/>
            <w:hideMark/>
          </w:tcPr>
          <w:p w14:paraId="697CAD35" w14:textId="77777777" w:rsidR="00B95515" w:rsidRDefault="00B95515">
            <w:pPr>
              <w:rPr>
                <w:rFonts w:ascii="Times New Roman" w:hAnsi="Times New Roman" w:cs="Times New Roman"/>
                <w:sz w:val="20"/>
                <w:szCs w:val="20"/>
              </w:rPr>
            </w:pPr>
            <w:r>
              <w:rPr>
                <w:rFonts w:ascii="Times New Roman" w:hAnsi="Times New Roman"/>
                <w:sz w:val="20"/>
              </w:rPr>
              <w:t xml:space="preserve"> </w:t>
            </w:r>
          </w:p>
        </w:tc>
        <w:tc>
          <w:tcPr>
            <w:tcW w:w="574" w:type="pct"/>
            <w:tcBorders>
              <w:top w:val="single" w:sz="6" w:space="0" w:color="000000"/>
              <w:left w:val="single" w:sz="6" w:space="0" w:color="000000"/>
              <w:bottom w:val="single" w:sz="4" w:space="0" w:color="auto"/>
              <w:right w:val="single" w:sz="6" w:space="0" w:color="000000"/>
            </w:tcBorders>
            <w:vAlign w:val="center"/>
            <w:hideMark/>
          </w:tcPr>
          <w:p w14:paraId="6F0DBCE4" w14:textId="77777777" w:rsidR="00B95515" w:rsidRDefault="00B95515">
            <w:pPr>
              <w:rPr>
                <w:rFonts w:ascii="Times New Roman" w:hAnsi="Times New Roman" w:cs="Times New Roman"/>
                <w:sz w:val="20"/>
                <w:szCs w:val="20"/>
              </w:rPr>
            </w:pPr>
            <w:r>
              <w:rPr>
                <w:rFonts w:ascii="Times New Roman" w:hAnsi="Times New Roman"/>
                <w:sz w:val="20"/>
              </w:rPr>
              <w:t xml:space="preserve"> </w:t>
            </w:r>
          </w:p>
        </w:tc>
        <w:tc>
          <w:tcPr>
            <w:tcW w:w="731" w:type="pct"/>
            <w:tcBorders>
              <w:top w:val="single" w:sz="6" w:space="0" w:color="000000"/>
              <w:left w:val="single" w:sz="6" w:space="0" w:color="000000"/>
              <w:bottom w:val="single" w:sz="4" w:space="0" w:color="auto"/>
              <w:right w:val="single" w:sz="6" w:space="0" w:color="000000"/>
            </w:tcBorders>
            <w:hideMark/>
          </w:tcPr>
          <w:p w14:paraId="7D147395" w14:textId="2747244C" w:rsidR="00B95515" w:rsidRDefault="00B95515">
            <w:pPr>
              <w:rPr>
                <w:rFonts w:ascii="Times New Roman" w:hAnsi="Times New Roman" w:cs="Times New Roman"/>
                <w:sz w:val="20"/>
                <w:szCs w:val="20"/>
              </w:rPr>
            </w:pPr>
            <w:r>
              <w:rPr>
                <w:rFonts w:ascii="Times New Roman" w:hAnsi="Times New Roman"/>
                <w:sz w:val="20"/>
              </w:rPr>
              <w:t>Nedsat nyrefunkti</w:t>
            </w:r>
            <w:r w:rsidR="0094280E">
              <w:rPr>
                <w:rFonts w:ascii="Times New Roman" w:hAnsi="Times New Roman"/>
                <w:sz w:val="20"/>
              </w:rPr>
              <w:softHyphen/>
            </w:r>
            <w:r>
              <w:rPr>
                <w:rFonts w:ascii="Times New Roman" w:hAnsi="Times New Roman"/>
                <w:sz w:val="20"/>
              </w:rPr>
              <w:t xml:space="preserve">on/forøgelse af </w:t>
            </w:r>
            <w:proofErr w:type="spellStart"/>
            <w:r>
              <w:rPr>
                <w:rFonts w:ascii="Times New Roman" w:hAnsi="Times New Roman"/>
                <w:sz w:val="20"/>
              </w:rPr>
              <w:t>kreatinin</w:t>
            </w:r>
            <w:proofErr w:type="spellEnd"/>
            <w:r>
              <w:rPr>
                <w:rFonts w:ascii="Times New Roman" w:hAnsi="Times New Roman"/>
                <w:sz w:val="20"/>
              </w:rPr>
              <w:t xml:space="preserve"> (især ved samtidig ordination af aminoglykosi</w:t>
            </w:r>
            <w:r w:rsidR="0094280E">
              <w:rPr>
                <w:rFonts w:ascii="Times New Roman" w:hAnsi="Times New Roman"/>
                <w:sz w:val="20"/>
              </w:rPr>
              <w:softHyphen/>
            </w:r>
            <w:r>
              <w:rPr>
                <w:rFonts w:ascii="Times New Roman" w:hAnsi="Times New Roman"/>
                <w:sz w:val="20"/>
              </w:rPr>
              <w:t>der)</w:t>
            </w:r>
          </w:p>
        </w:tc>
        <w:tc>
          <w:tcPr>
            <w:tcW w:w="626" w:type="pct"/>
            <w:tcBorders>
              <w:top w:val="single" w:sz="6" w:space="0" w:color="000000"/>
              <w:left w:val="single" w:sz="6" w:space="0" w:color="000000"/>
              <w:bottom w:val="single" w:sz="4" w:space="0" w:color="auto"/>
              <w:right w:val="single" w:sz="6" w:space="0" w:color="000000"/>
            </w:tcBorders>
            <w:vAlign w:val="center"/>
            <w:hideMark/>
          </w:tcPr>
          <w:p w14:paraId="14A3059B" w14:textId="77777777" w:rsidR="00B95515" w:rsidRDefault="00B95515">
            <w:pPr>
              <w:rPr>
                <w:rFonts w:ascii="Times New Roman" w:hAnsi="Times New Roman" w:cs="Times New Roman"/>
                <w:sz w:val="20"/>
                <w:szCs w:val="20"/>
              </w:rPr>
            </w:pPr>
            <w:r>
              <w:rPr>
                <w:rFonts w:ascii="Times New Roman" w:hAnsi="Times New Roman"/>
                <w:sz w:val="20"/>
              </w:rPr>
              <w:t xml:space="preserve"> </w:t>
            </w:r>
          </w:p>
        </w:tc>
        <w:tc>
          <w:tcPr>
            <w:tcW w:w="629" w:type="pct"/>
            <w:tcBorders>
              <w:top w:val="single" w:sz="6" w:space="0" w:color="000000"/>
              <w:left w:val="single" w:sz="6" w:space="0" w:color="000000"/>
              <w:bottom w:val="single" w:sz="4" w:space="0" w:color="auto"/>
              <w:right w:val="single" w:sz="6" w:space="0" w:color="000000"/>
            </w:tcBorders>
            <w:vAlign w:val="center"/>
            <w:hideMark/>
          </w:tcPr>
          <w:p w14:paraId="4D1AC321" w14:textId="77777777" w:rsidR="00B95515" w:rsidRDefault="00B95515">
            <w:pPr>
              <w:rPr>
                <w:rFonts w:ascii="Times New Roman" w:hAnsi="Times New Roman" w:cs="Times New Roman"/>
                <w:sz w:val="20"/>
                <w:szCs w:val="20"/>
              </w:rPr>
            </w:pPr>
            <w:r>
              <w:rPr>
                <w:rFonts w:ascii="Times New Roman" w:hAnsi="Times New Roman"/>
                <w:sz w:val="20"/>
              </w:rPr>
              <w:t xml:space="preserve"> </w:t>
            </w:r>
          </w:p>
        </w:tc>
        <w:tc>
          <w:tcPr>
            <w:tcW w:w="835" w:type="pct"/>
            <w:tcBorders>
              <w:top w:val="single" w:sz="6" w:space="0" w:color="000000"/>
              <w:left w:val="single" w:sz="6" w:space="0" w:color="000000"/>
              <w:bottom w:val="single" w:sz="4" w:space="0" w:color="auto"/>
              <w:right w:val="single" w:sz="6" w:space="0" w:color="000000"/>
            </w:tcBorders>
            <w:hideMark/>
          </w:tcPr>
          <w:p w14:paraId="16BCAF31" w14:textId="77777777" w:rsidR="00B95515" w:rsidRDefault="00B95515">
            <w:pPr>
              <w:rPr>
                <w:rFonts w:ascii="Times New Roman" w:hAnsi="Times New Roman" w:cs="Times New Roman"/>
                <w:sz w:val="20"/>
                <w:szCs w:val="20"/>
              </w:rPr>
            </w:pPr>
            <w:r>
              <w:rPr>
                <w:rFonts w:ascii="Times New Roman" w:hAnsi="Times New Roman"/>
                <w:sz w:val="20"/>
              </w:rPr>
              <w:t>Akut nyresvigt (se pkt. 4.4)</w:t>
            </w:r>
          </w:p>
          <w:p w14:paraId="5F99BB59" w14:textId="77777777" w:rsidR="00B95515" w:rsidRDefault="00B95515">
            <w:pPr>
              <w:rPr>
                <w:rFonts w:ascii="Times New Roman" w:hAnsi="Times New Roman" w:cs="Times New Roman"/>
                <w:sz w:val="20"/>
                <w:szCs w:val="20"/>
              </w:rPr>
            </w:pPr>
            <w:proofErr w:type="spellStart"/>
            <w:r>
              <w:rPr>
                <w:rFonts w:ascii="Times New Roman" w:hAnsi="Times New Roman"/>
                <w:sz w:val="20"/>
              </w:rPr>
              <w:t>Interstititiel</w:t>
            </w:r>
            <w:proofErr w:type="spellEnd"/>
            <w:r>
              <w:rPr>
                <w:rFonts w:ascii="Times New Roman" w:hAnsi="Times New Roman"/>
                <w:sz w:val="20"/>
              </w:rPr>
              <w:t xml:space="preserve"> </w:t>
            </w:r>
            <w:proofErr w:type="spellStart"/>
            <w:r>
              <w:rPr>
                <w:rFonts w:ascii="Times New Roman" w:hAnsi="Times New Roman"/>
                <w:sz w:val="20"/>
              </w:rPr>
              <w:t>nefritis</w:t>
            </w:r>
            <w:proofErr w:type="spellEnd"/>
          </w:p>
        </w:tc>
      </w:tr>
      <w:tr w:rsidR="00E24AB4" w14:paraId="5066A467" w14:textId="77777777" w:rsidTr="0094280E">
        <w:trPr>
          <w:trHeight w:val="1688"/>
        </w:trPr>
        <w:tc>
          <w:tcPr>
            <w:tcW w:w="976" w:type="pct"/>
            <w:tcBorders>
              <w:top w:val="single" w:sz="4" w:space="0" w:color="auto"/>
              <w:left w:val="single" w:sz="4" w:space="0" w:color="auto"/>
              <w:bottom w:val="single" w:sz="4" w:space="0" w:color="auto"/>
              <w:right w:val="single" w:sz="4" w:space="0" w:color="auto"/>
            </w:tcBorders>
            <w:hideMark/>
          </w:tcPr>
          <w:p w14:paraId="6BFDBB32" w14:textId="77777777" w:rsidR="00B95515" w:rsidRDefault="00B95515">
            <w:pPr>
              <w:keepNext/>
              <w:keepLines/>
              <w:rPr>
                <w:rFonts w:ascii="Times New Roman" w:hAnsi="Times New Roman" w:cs="Times New Roman"/>
                <w:sz w:val="20"/>
                <w:szCs w:val="20"/>
              </w:rPr>
            </w:pPr>
            <w:r>
              <w:rPr>
                <w:rFonts w:ascii="Times New Roman" w:hAnsi="Times New Roman"/>
                <w:sz w:val="20"/>
              </w:rPr>
              <w:t>Almene</w:t>
            </w:r>
          </w:p>
          <w:p w14:paraId="000359AA" w14:textId="77777777" w:rsidR="00B95515" w:rsidRDefault="00B95515">
            <w:pPr>
              <w:keepNext/>
              <w:keepLines/>
              <w:rPr>
                <w:rFonts w:ascii="Times New Roman" w:hAnsi="Times New Roman" w:cs="Times New Roman"/>
                <w:sz w:val="20"/>
                <w:szCs w:val="20"/>
              </w:rPr>
            </w:pPr>
            <w:r>
              <w:rPr>
                <w:rFonts w:ascii="Times New Roman" w:hAnsi="Times New Roman"/>
                <w:sz w:val="20"/>
              </w:rPr>
              <w:t>Symptomer og reaktioner på administrationsstedet</w:t>
            </w:r>
          </w:p>
        </w:tc>
        <w:tc>
          <w:tcPr>
            <w:tcW w:w="627" w:type="pct"/>
            <w:tcBorders>
              <w:top w:val="single" w:sz="4" w:space="0" w:color="auto"/>
              <w:left w:val="single" w:sz="4" w:space="0" w:color="auto"/>
              <w:bottom w:val="single" w:sz="4" w:space="0" w:color="auto"/>
              <w:right w:val="single" w:sz="4" w:space="0" w:color="auto"/>
            </w:tcBorders>
            <w:hideMark/>
          </w:tcPr>
          <w:p w14:paraId="1B9382D6" w14:textId="77777777" w:rsidR="00B95515" w:rsidRDefault="00B95515">
            <w:pPr>
              <w:keepNext/>
              <w:keepLines/>
              <w:rPr>
                <w:rFonts w:ascii="Times New Roman" w:hAnsi="Times New Roman" w:cs="Times New Roman"/>
                <w:sz w:val="20"/>
                <w:szCs w:val="20"/>
              </w:rPr>
            </w:pPr>
            <w:r>
              <w:rPr>
                <w:rFonts w:ascii="Times New Roman" w:hAnsi="Times New Roman"/>
                <w:sz w:val="20"/>
              </w:rPr>
              <w:t xml:space="preserve">For </w:t>
            </w:r>
            <w:proofErr w:type="spellStart"/>
            <w:r>
              <w:rPr>
                <w:rFonts w:ascii="Times New Roman" w:hAnsi="Times New Roman"/>
                <w:sz w:val="20"/>
              </w:rPr>
              <w:t>i.m</w:t>
            </w:r>
            <w:proofErr w:type="spellEnd"/>
            <w:r>
              <w:rPr>
                <w:rFonts w:ascii="Times New Roman" w:hAnsi="Times New Roman"/>
                <w:sz w:val="20"/>
              </w:rPr>
              <w:t xml:space="preserve">. </w:t>
            </w:r>
          </w:p>
          <w:p w14:paraId="12A5FBAF" w14:textId="77777777" w:rsidR="0094280E" w:rsidRDefault="00B95515">
            <w:pPr>
              <w:keepNext/>
              <w:keepLines/>
              <w:rPr>
                <w:rFonts w:ascii="Times New Roman" w:hAnsi="Times New Roman"/>
                <w:sz w:val="20"/>
              </w:rPr>
            </w:pPr>
            <w:r>
              <w:rPr>
                <w:rFonts w:ascii="Times New Roman" w:hAnsi="Times New Roman"/>
                <w:sz w:val="20"/>
              </w:rPr>
              <w:t>formulering</w:t>
            </w:r>
            <w:r w:rsidR="0094280E">
              <w:rPr>
                <w:rFonts w:ascii="Times New Roman" w:hAnsi="Times New Roman"/>
                <w:sz w:val="20"/>
              </w:rPr>
              <w:softHyphen/>
            </w:r>
            <w:r>
              <w:rPr>
                <w:rFonts w:ascii="Times New Roman" w:hAnsi="Times New Roman"/>
                <w:sz w:val="20"/>
              </w:rPr>
              <w:t>er:</w:t>
            </w:r>
          </w:p>
          <w:p w14:paraId="050F0870" w14:textId="1E85EB70" w:rsidR="00B95515" w:rsidRDefault="00B95515">
            <w:pPr>
              <w:keepNext/>
              <w:keepLines/>
              <w:rPr>
                <w:rFonts w:ascii="Times New Roman" w:hAnsi="Times New Roman" w:cs="Times New Roman"/>
                <w:sz w:val="20"/>
                <w:szCs w:val="20"/>
              </w:rPr>
            </w:pPr>
            <w:r>
              <w:rPr>
                <w:rFonts w:ascii="Times New Roman" w:hAnsi="Times New Roman"/>
                <w:sz w:val="20"/>
              </w:rPr>
              <w:t>Smerter på injektions</w:t>
            </w:r>
            <w:r w:rsidR="0094280E">
              <w:rPr>
                <w:rFonts w:ascii="Times New Roman" w:hAnsi="Times New Roman"/>
                <w:sz w:val="20"/>
              </w:rPr>
              <w:softHyphen/>
            </w:r>
            <w:r>
              <w:rPr>
                <w:rFonts w:ascii="Times New Roman" w:hAnsi="Times New Roman"/>
                <w:sz w:val="20"/>
              </w:rPr>
              <w:t>stedet</w:t>
            </w:r>
          </w:p>
        </w:tc>
        <w:tc>
          <w:tcPr>
            <w:tcW w:w="574" w:type="pct"/>
            <w:tcBorders>
              <w:top w:val="single" w:sz="4" w:space="0" w:color="auto"/>
              <w:left w:val="single" w:sz="4" w:space="0" w:color="auto"/>
              <w:bottom w:val="single" w:sz="4" w:space="0" w:color="auto"/>
              <w:right w:val="single" w:sz="4" w:space="0" w:color="auto"/>
            </w:tcBorders>
            <w:hideMark/>
          </w:tcPr>
          <w:p w14:paraId="2CC376EF" w14:textId="77777777" w:rsidR="00B95515" w:rsidRDefault="00B95515">
            <w:pPr>
              <w:keepNext/>
              <w:keepLines/>
              <w:rPr>
                <w:rFonts w:ascii="Times New Roman" w:hAnsi="Times New Roman" w:cs="Times New Roman"/>
                <w:sz w:val="20"/>
                <w:szCs w:val="20"/>
              </w:rPr>
            </w:pPr>
            <w:r>
              <w:rPr>
                <w:rFonts w:ascii="Times New Roman" w:hAnsi="Times New Roman"/>
                <w:sz w:val="20"/>
              </w:rPr>
              <w:t xml:space="preserve"> </w:t>
            </w:r>
          </w:p>
        </w:tc>
        <w:tc>
          <w:tcPr>
            <w:tcW w:w="731" w:type="pct"/>
            <w:tcBorders>
              <w:top w:val="single" w:sz="4" w:space="0" w:color="auto"/>
              <w:left w:val="single" w:sz="4" w:space="0" w:color="auto"/>
              <w:bottom w:val="single" w:sz="4" w:space="0" w:color="auto"/>
              <w:right w:val="single" w:sz="4" w:space="0" w:color="auto"/>
            </w:tcBorders>
            <w:hideMark/>
          </w:tcPr>
          <w:p w14:paraId="61B68088" w14:textId="77777777" w:rsidR="00B95515" w:rsidRDefault="00B95515">
            <w:pPr>
              <w:keepNext/>
              <w:keepLines/>
              <w:rPr>
                <w:rFonts w:ascii="Times New Roman" w:hAnsi="Times New Roman" w:cs="Times New Roman"/>
                <w:sz w:val="20"/>
                <w:szCs w:val="20"/>
              </w:rPr>
            </w:pPr>
            <w:r>
              <w:rPr>
                <w:rFonts w:ascii="Times New Roman" w:hAnsi="Times New Roman"/>
                <w:sz w:val="20"/>
              </w:rPr>
              <w:t>Feber</w:t>
            </w:r>
          </w:p>
          <w:p w14:paraId="316DD176" w14:textId="6F48362C" w:rsidR="00B95515" w:rsidRDefault="00B95515">
            <w:pPr>
              <w:keepNext/>
              <w:keepLines/>
              <w:rPr>
                <w:rFonts w:ascii="Times New Roman" w:hAnsi="Times New Roman" w:cs="Times New Roman"/>
                <w:sz w:val="20"/>
                <w:szCs w:val="20"/>
              </w:rPr>
            </w:pPr>
            <w:r>
              <w:rPr>
                <w:rFonts w:ascii="Times New Roman" w:hAnsi="Times New Roman"/>
                <w:sz w:val="20"/>
              </w:rPr>
              <w:t>Inflammationsreaktioner på injektionsste</w:t>
            </w:r>
            <w:r w:rsidR="0094280E">
              <w:rPr>
                <w:rFonts w:ascii="Times New Roman" w:hAnsi="Times New Roman"/>
                <w:sz w:val="20"/>
              </w:rPr>
              <w:softHyphen/>
            </w:r>
            <w:r>
              <w:rPr>
                <w:rFonts w:ascii="Times New Roman" w:hAnsi="Times New Roman"/>
                <w:sz w:val="20"/>
              </w:rPr>
              <w:t xml:space="preserve">det, herunder </w:t>
            </w:r>
            <w:proofErr w:type="spellStart"/>
            <w:r>
              <w:rPr>
                <w:rFonts w:ascii="Times New Roman" w:hAnsi="Times New Roman"/>
                <w:sz w:val="20"/>
              </w:rPr>
              <w:t>flebitis</w:t>
            </w:r>
            <w:proofErr w:type="spellEnd"/>
            <w:r>
              <w:rPr>
                <w:rFonts w:ascii="Times New Roman" w:hAnsi="Times New Roman"/>
                <w:sz w:val="20"/>
              </w:rPr>
              <w:t>/</w:t>
            </w:r>
            <w:proofErr w:type="spellStart"/>
            <w:r>
              <w:rPr>
                <w:rFonts w:ascii="Times New Roman" w:hAnsi="Times New Roman"/>
                <w:sz w:val="20"/>
              </w:rPr>
              <w:t>tromboflebitis</w:t>
            </w:r>
            <w:proofErr w:type="spellEnd"/>
          </w:p>
        </w:tc>
        <w:tc>
          <w:tcPr>
            <w:tcW w:w="626" w:type="pct"/>
            <w:tcBorders>
              <w:top w:val="single" w:sz="4" w:space="0" w:color="auto"/>
              <w:left w:val="single" w:sz="4" w:space="0" w:color="auto"/>
              <w:bottom w:val="single" w:sz="4" w:space="0" w:color="auto"/>
              <w:right w:val="single" w:sz="4" w:space="0" w:color="auto"/>
            </w:tcBorders>
            <w:hideMark/>
          </w:tcPr>
          <w:p w14:paraId="5D097B2D" w14:textId="77777777" w:rsidR="00B95515" w:rsidRDefault="00B95515">
            <w:pPr>
              <w:keepNext/>
              <w:keepLines/>
              <w:rPr>
                <w:rFonts w:ascii="Times New Roman" w:hAnsi="Times New Roman" w:cs="Times New Roman"/>
                <w:sz w:val="20"/>
                <w:szCs w:val="20"/>
              </w:rPr>
            </w:pPr>
            <w:r>
              <w:rPr>
                <w:rFonts w:ascii="Times New Roman" w:hAnsi="Times New Roman"/>
                <w:sz w:val="20"/>
              </w:rPr>
              <w:t xml:space="preserve"> </w:t>
            </w:r>
          </w:p>
        </w:tc>
        <w:tc>
          <w:tcPr>
            <w:tcW w:w="629" w:type="pct"/>
            <w:tcBorders>
              <w:top w:val="single" w:sz="4" w:space="0" w:color="auto"/>
              <w:left w:val="single" w:sz="4" w:space="0" w:color="auto"/>
              <w:bottom w:val="single" w:sz="4" w:space="0" w:color="auto"/>
              <w:right w:val="single" w:sz="4" w:space="0" w:color="auto"/>
            </w:tcBorders>
            <w:hideMark/>
          </w:tcPr>
          <w:p w14:paraId="4FC748FC" w14:textId="77777777" w:rsidR="00B95515" w:rsidRDefault="00B95515">
            <w:pPr>
              <w:keepNext/>
              <w:keepLines/>
              <w:rPr>
                <w:rFonts w:ascii="Times New Roman" w:hAnsi="Times New Roman" w:cs="Times New Roman"/>
                <w:sz w:val="20"/>
                <w:szCs w:val="20"/>
              </w:rPr>
            </w:pPr>
            <w:r>
              <w:rPr>
                <w:rFonts w:ascii="Times New Roman" w:hAnsi="Times New Roman"/>
                <w:sz w:val="20"/>
              </w:rPr>
              <w:t xml:space="preserve"> </w:t>
            </w:r>
          </w:p>
        </w:tc>
        <w:tc>
          <w:tcPr>
            <w:tcW w:w="835" w:type="pct"/>
            <w:tcBorders>
              <w:top w:val="single" w:sz="4" w:space="0" w:color="auto"/>
              <w:left w:val="single" w:sz="4" w:space="0" w:color="auto"/>
              <w:bottom w:val="single" w:sz="4" w:space="0" w:color="auto"/>
              <w:right w:val="single" w:sz="4" w:space="0" w:color="auto"/>
            </w:tcBorders>
            <w:hideMark/>
          </w:tcPr>
          <w:p w14:paraId="2B47CB02" w14:textId="77777777" w:rsidR="00B95515" w:rsidRDefault="00B95515">
            <w:pPr>
              <w:keepNext/>
              <w:keepLines/>
              <w:rPr>
                <w:rFonts w:ascii="Times New Roman" w:hAnsi="Times New Roman" w:cs="Times New Roman"/>
                <w:sz w:val="20"/>
                <w:szCs w:val="20"/>
              </w:rPr>
            </w:pPr>
            <w:r>
              <w:rPr>
                <w:rFonts w:ascii="Times New Roman" w:hAnsi="Times New Roman"/>
                <w:sz w:val="20"/>
              </w:rPr>
              <w:t xml:space="preserve">For </w:t>
            </w:r>
            <w:proofErr w:type="spellStart"/>
            <w:r>
              <w:rPr>
                <w:rFonts w:ascii="Times New Roman" w:hAnsi="Times New Roman"/>
                <w:sz w:val="20"/>
              </w:rPr>
              <w:t>i.m</w:t>
            </w:r>
            <w:proofErr w:type="spellEnd"/>
            <w:r>
              <w:rPr>
                <w:rFonts w:ascii="Times New Roman" w:hAnsi="Times New Roman"/>
                <w:sz w:val="20"/>
              </w:rPr>
              <w:t>.</w:t>
            </w:r>
          </w:p>
          <w:p w14:paraId="7C43CEEF" w14:textId="77777777" w:rsidR="00B95515" w:rsidRDefault="00B95515">
            <w:pPr>
              <w:keepNext/>
              <w:keepLines/>
              <w:tabs>
                <w:tab w:val="left" w:pos="1753"/>
              </w:tabs>
              <w:rPr>
                <w:rFonts w:ascii="Times New Roman" w:hAnsi="Times New Roman" w:cs="Times New Roman"/>
                <w:sz w:val="20"/>
                <w:szCs w:val="20"/>
              </w:rPr>
            </w:pPr>
            <w:r>
              <w:rPr>
                <w:rFonts w:ascii="Times New Roman" w:hAnsi="Times New Roman"/>
                <w:sz w:val="20"/>
              </w:rPr>
              <w:t xml:space="preserve">formuleringer (hvor </w:t>
            </w:r>
            <w:proofErr w:type="spellStart"/>
            <w:r>
              <w:rPr>
                <w:rFonts w:ascii="Times New Roman" w:hAnsi="Times New Roman"/>
                <w:sz w:val="20"/>
              </w:rPr>
              <w:t>lidocain</w:t>
            </w:r>
            <w:proofErr w:type="spellEnd"/>
            <w:r>
              <w:rPr>
                <w:rFonts w:ascii="Times New Roman" w:hAnsi="Times New Roman"/>
                <w:sz w:val="20"/>
              </w:rPr>
              <w:t xml:space="preserve"> anvendes til </w:t>
            </w:r>
            <w:proofErr w:type="spellStart"/>
            <w:r>
              <w:rPr>
                <w:rFonts w:ascii="Times New Roman" w:hAnsi="Times New Roman"/>
                <w:sz w:val="20"/>
              </w:rPr>
              <w:t>rekonstitution</w:t>
            </w:r>
            <w:proofErr w:type="spellEnd"/>
            <w:r>
              <w:rPr>
                <w:rFonts w:ascii="Times New Roman" w:hAnsi="Times New Roman"/>
                <w:sz w:val="20"/>
              </w:rPr>
              <w:t xml:space="preserve">): Systemiske reaktioner på </w:t>
            </w:r>
            <w:proofErr w:type="spellStart"/>
            <w:r>
              <w:rPr>
                <w:rFonts w:ascii="Times New Roman" w:hAnsi="Times New Roman"/>
                <w:sz w:val="20"/>
              </w:rPr>
              <w:t>lidocain</w:t>
            </w:r>
            <w:proofErr w:type="spellEnd"/>
          </w:p>
        </w:tc>
      </w:tr>
    </w:tbl>
    <w:p w14:paraId="0CBDEDBF" w14:textId="0A3AD575" w:rsidR="00B95515" w:rsidRPr="0094280E" w:rsidRDefault="00B95515" w:rsidP="0094280E">
      <w:pPr>
        <w:keepNext/>
        <w:keepLines/>
        <w:ind w:left="284" w:right="5" w:hanging="284"/>
        <w:rPr>
          <w:rFonts w:eastAsia="Segoe UI"/>
          <w:kern w:val="2"/>
          <w:sz w:val="20"/>
          <w:lang w:eastAsia="pl-PL"/>
          <w14:ligatures w14:val="standardContextual"/>
        </w:rPr>
      </w:pPr>
      <w:r w:rsidRPr="0094280E">
        <w:rPr>
          <w:sz w:val="20"/>
        </w:rPr>
        <w:t>*</w:t>
      </w:r>
      <w:r w:rsidR="0094280E">
        <w:rPr>
          <w:sz w:val="20"/>
        </w:rPr>
        <w:tab/>
      </w:r>
      <w:r w:rsidRPr="0094280E">
        <w:rPr>
          <w:sz w:val="20"/>
        </w:rPr>
        <w:t>Beta-</w:t>
      </w:r>
      <w:proofErr w:type="spellStart"/>
      <w:r w:rsidRPr="0094280E">
        <w:rPr>
          <w:sz w:val="20"/>
        </w:rPr>
        <w:t>lactamer</w:t>
      </w:r>
      <w:proofErr w:type="spellEnd"/>
      <w:r w:rsidRPr="0094280E">
        <w:rPr>
          <w:sz w:val="20"/>
        </w:rPr>
        <w:t xml:space="preserve">, herunder </w:t>
      </w:r>
      <w:proofErr w:type="spellStart"/>
      <w:r w:rsidRPr="0094280E">
        <w:rPr>
          <w:sz w:val="20"/>
        </w:rPr>
        <w:t>cefotaxim</w:t>
      </w:r>
      <w:proofErr w:type="spellEnd"/>
      <w:r w:rsidRPr="0094280E">
        <w:rPr>
          <w:sz w:val="20"/>
        </w:rPr>
        <w:t>, disponerer patienten for risiko for encefalopati (som kan omfatte krampeanfald, forvirring, bevidsthedssvækkelse, mobilitetsforstyrrelser), især i tilfælde af overdosering eller nedsat nyrefunktion.</w:t>
      </w:r>
    </w:p>
    <w:p w14:paraId="6D566232" w14:textId="200BB8C8" w:rsidR="00B95515" w:rsidRPr="0094280E" w:rsidRDefault="00B95515" w:rsidP="0094280E">
      <w:pPr>
        <w:ind w:left="284" w:right="5" w:hanging="284"/>
        <w:rPr>
          <w:sz w:val="20"/>
        </w:rPr>
      </w:pPr>
      <w:r w:rsidRPr="0094280E">
        <w:rPr>
          <w:sz w:val="20"/>
        </w:rPr>
        <w:t>**</w:t>
      </w:r>
      <w:r w:rsidR="0094280E">
        <w:rPr>
          <w:sz w:val="20"/>
        </w:rPr>
        <w:tab/>
        <w:t>E</w:t>
      </w:r>
      <w:r w:rsidRPr="0094280E">
        <w:rPr>
          <w:sz w:val="20"/>
        </w:rPr>
        <w:t>rfaring efter markedsføring</w:t>
      </w:r>
    </w:p>
    <w:p w14:paraId="14299572" w14:textId="77777777" w:rsidR="0094280E" w:rsidRDefault="0094280E" w:rsidP="0094280E">
      <w:pPr>
        <w:ind w:left="851"/>
        <w:rPr>
          <w:sz w:val="24"/>
          <w:szCs w:val="24"/>
        </w:rPr>
      </w:pPr>
    </w:p>
    <w:p w14:paraId="35B90A93" w14:textId="7DF0A652" w:rsidR="00B95515" w:rsidRPr="0094280E" w:rsidRDefault="00B95515" w:rsidP="0094280E">
      <w:pPr>
        <w:ind w:left="851"/>
        <w:rPr>
          <w:b/>
          <w:sz w:val="24"/>
          <w:szCs w:val="24"/>
        </w:rPr>
      </w:pPr>
      <w:proofErr w:type="spellStart"/>
      <w:r w:rsidRPr="0094280E">
        <w:rPr>
          <w:b/>
          <w:sz w:val="24"/>
          <w:szCs w:val="24"/>
        </w:rPr>
        <w:t>Jarisch-Herxheimers</w:t>
      </w:r>
      <w:proofErr w:type="spellEnd"/>
      <w:r w:rsidRPr="0094280E">
        <w:rPr>
          <w:b/>
          <w:sz w:val="24"/>
          <w:szCs w:val="24"/>
        </w:rPr>
        <w:t xml:space="preserve"> reaktion</w:t>
      </w:r>
    </w:p>
    <w:p w14:paraId="16D774A2" w14:textId="77777777" w:rsidR="00B95515" w:rsidRPr="0094280E" w:rsidRDefault="00B95515" w:rsidP="0094280E">
      <w:pPr>
        <w:ind w:left="851"/>
        <w:rPr>
          <w:sz w:val="24"/>
          <w:szCs w:val="24"/>
        </w:rPr>
      </w:pPr>
      <w:r w:rsidRPr="0094280E">
        <w:rPr>
          <w:sz w:val="24"/>
          <w:szCs w:val="24"/>
        </w:rPr>
        <w:t xml:space="preserve">Ved behandling af </w:t>
      </w:r>
      <w:proofErr w:type="spellStart"/>
      <w:r w:rsidRPr="0094280E">
        <w:rPr>
          <w:sz w:val="24"/>
          <w:szCs w:val="24"/>
        </w:rPr>
        <w:t>borreliose</w:t>
      </w:r>
      <w:proofErr w:type="spellEnd"/>
      <w:r w:rsidRPr="0094280E">
        <w:rPr>
          <w:sz w:val="24"/>
          <w:szCs w:val="24"/>
        </w:rPr>
        <w:t xml:space="preserve"> kan der udvikles en </w:t>
      </w:r>
      <w:proofErr w:type="spellStart"/>
      <w:r w:rsidRPr="0094280E">
        <w:rPr>
          <w:sz w:val="24"/>
          <w:szCs w:val="24"/>
        </w:rPr>
        <w:t>Jarisch-Herxheimers</w:t>
      </w:r>
      <w:proofErr w:type="spellEnd"/>
      <w:r w:rsidRPr="0094280E">
        <w:rPr>
          <w:sz w:val="24"/>
          <w:szCs w:val="24"/>
        </w:rPr>
        <w:t xml:space="preserve"> reaktion i løbet af de første dage af behandlingen.</w:t>
      </w:r>
    </w:p>
    <w:p w14:paraId="62A22C69" w14:textId="77777777" w:rsidR="00B95515" w:rsidRPr="0094280E" w:rsidRDefault="00B95515" w:rsidP="0094280E">
      <w:pPr>
        <w:ind w:left="851"/>
        <w:rPr>
          <w:sz w:val="24"/>
          <w:szCs w:val="24"/>
        </w:rPr>
      </w:pPr>
      <w:r w:rsidRPr="0094280E">
        <w:rPr>
          <w:sz w:val="24"/>
          <w:szCs w:val="24"/>
        </w:rPr>
        <w:t xml:space="preserve">Forekomsten af et eller flere af følgende symptomer er blevet rapporteret efter flere ugers behandling af </w:t>
      </w:r>
      <w:proofErr w:type="spellStart"/>
      <w:r w:rsidRPr="0094280E">
        <w:rPr>
          <w:sz w:val="24"/>
          <w:szCs w:val="24"/>
        </w:rPr>
        <w:t>borreliose</w:t>
      </w:r>
      <w:proofErr w:type="spellEnd"/>
      <w:r w:rsidRPr="0094280E">
        <w:rPr>
          <w:sz w:val="24"/>
          <w:szCs w:val="24"/>
        </w:rPr>
        <w:t xml:space="preserve">: hududslæt, kløe, feber, </w:t>
      </w:r>
      <w:proofErr w:type="spellStart"/>
      <w:r w:rsidRPr="0094280E">
        <w:rPr>
          <w:sz w:val="24"/>
          <w:szCs w:val="24"/>
        </w:rPr>
        <w:t>leukopeni</w:t>
      </w:r>
      <w:proofErr w:type="spellEnd"/>
      <w:r w:rsidRPr="0094280E">
        <w:rPr>
          <w:sz w:val="24"/>
          <w:szCs w:val="24"/>
        </w:rPr>
        <w:t xml:space="preserve">, forhøjede leverenzymer, åndedrætsbesvær, </w:t>
      </w:r>
      <w:proofErr w:type="spellStart"/>
      <w:r w:rsidRPr="0094280E">
        <w:rPr>
          <w:sz w:val="24"/>
          <w:szCs w:val="24"/>
        </w:rPr>
        <w:t>ledbesvær</w:t>
      </w:r>
      <w:proofErr w:type="spellEnd"/>
      <w:r w:rsidRPr="0094280E">
        <w:rPr>
          <w:sz w:val="24"/>
          <w:szCs w:val="24"/>
        </w:rPr>
        <w:t>.</w:t>
      </w:r>
    </w:p>
    <w:p w14:paraId="028EB5E1" w14:textId="77777777" w:rsidR="00B95515" w:rsidRPr="0094280E" w:rsidRDefault="00B95515" w:rsidP="0094280E">
      <w:pPr>
        <w:ind w:left="851"/>
        <w:rPr>
          <w:sz w:val="24"/>
          <w:szCs w:val="24"/>
        </w:rPr>
      </w:pPr>
    </w:p>
    <w:p w14:paraId="37E42446" w14:textId="77777777" w:rsidR="00B95515" w:rsidRPr="0094280E" w:rsidRDefault="00B95515" w:rsidP="0094280E">
      <w:pPr>
        <w:ind w:left="851"/>
        <w:rPr>
          <w:b/>
          <w:sz w:val="24"/>
          <w:szCs w:val="24"/>
        </w:rPr>
      </w:pPr>
      <w:r w:rsidRPr="0094280E">
        <w:rPr>
          <w:b/>
          <w:sz w:val="24"/>
          <w:szCs w:val="24"/>
        </w:rPr>
        <w:t>Lever og galdeveje</w:t>
      </w:r>
    </w:p>
    <w:p w14:paraId="4650595D" w14:textId="77777777" w:rsidR="00B95515" w:rsidRPr="0094280E" w:rsidRDefault="00B95515" w:rsidP="0094280E">
      <w:pPr>
        <w:ind w:left="851"/>
        <w:rPr>
          <w:sz w:val="24"/>
          <w:szCs w:val="24"/>
        </w:rPr>
      </w:pPr>
      <w:r w:rsidRPr="0094280E">
        <w:rPr>
          <w:sz w:val="24"/>
          <w:szCs w:val="24"/>
        </w:rPr>
        <w:t>Der er rapporteret forhøjede leverenzymer (ALAT, ASAT, LDH, gamma</w:t>
      </w:r>
      <w:r w:rsidRPr="0094280E">
        <w:rPr>
          <w:sz w:val="24"/>
          <w:szCs w:val="24"/>
        </w:rPr>
        <w:noBreakHyphen/>
        <w:t xml:space="preserve">GT og/eller basisk fosfatase) og/eller bilirubin. Disse laboratorieabnormiteter kan i sjældne tilfælde overstige det dobbelte af den øvre grænse for normalområdet og fremkalde et mønster af leverskade, normalt </w:t>
      </w:r>
      <w:proofErr w:type="spellStart"/>
      <w:r w:rsidRPr="0094280E">
        <w:rPr>
          <w:sz w:val="24"/>
          <w:szCs w:val="24"/>
        </w:rPr>
        <w:t>kolestatisk</w:t>
      </w:r>
      <w:proofErr w:type="spellEnd"/>
      <w:r w:rsidRPr="0094280E">
        <w:rPr>
          <w:sz w:val="24"/>
          <w:szCs w:val="24"/>
        </w:rPr>
        <w:t xml:space="preserve"> og oftest asymptomatisk.</w:t>
      </w:r>
    </w:p>
    <w:p w14:paraId="13811DA7" w14:textId="77777777" w:rsidR="00B95515" w:rsidRPr="0094280E" w:rsidRDefault="00B95515" w:rsidP="0094280E">
      <w:pPr>
        <w:ind w:left="851"/>
        <w:rPr>
          <w:sz w:val="24"/>
          <w:szCs w:val="24"/>
        </w:rPr>
      </w:pPr>
    </w:p>
    <w:p w14:paraId="5B5B537A" w14:textId="77777777" w:rsidR="00B95515" w:rsidRPr="0094280E" w:rsidRDefault="00B95515" w:rsidP="0094280E">
      <w:pPr>
        <w:ind w:left="851"/>
        <w:rPr>
          <w:sz w:val="24"/>
          <w:szCs w:val="24"/>
        </w:rPr>
      </w:pPr>
      <w:r w:rsidRPr="0094280E">
        <w:rPr>
          <w:b/>
          <w:sz w:val="24"/>
          <w:szCs w:val="24"/>
        </w:rPr>
        <w:t>Superinfektion</w:t>
      </w:r>
    </w:p>
    <w:p w14:paraId="599E57EB" w14:textId="77777777" w:rsidR="00B95515" w:rsidRPr="0094280E" w:rsidRDefault="00B95515" w:rsidP="0094280E">
      <w:pPr>
        <w:ind w:left="851"/>
        <w:rPr>
          <w:sz w:val="24"/>
          <w:szCs w:val="24"/>
        </w:rPr>
      </w:pPr>
      <w:r w:rsidRPr="0094280E">
        <w:rPr>
          <w:sz w:val="24"/>
          <w:szCs w:val="24"/>
        </w:rPr>
        <w:t xml:space="preserve">Som for andre antibiotika kan brugen af </w:t>
      </w:r>
      <w:proofErr w:type="spellStart"/>
      <w:r w:rsidRPr="0094280E">
        <w:rPr>
          <w:sz w:val="24"/>
          <w:szCs w:val="24"/>
        </w:rPr>
        <w:t>cefotaxim</w:t>
      </w:r>
      <w:proofErr w:type="spellEnd"/>
      <w:r w:rsidRPr="0094280E">
        <w:rPr>
          <w:sz w:val="24"/>
          <w:szCs w:val="24"/>
        </w:rPr>
        <w:t>, især ved langvarig brug, føre til overvækst af ikke-følsomme organismer. En gentagen evaluering af patientens tilstand er afgørende. Hvis der opstår superinfektion under behandlingen, skal der træffes passende foranstaltninger.</w:t>
      </w:r>
    </w:p>
    <w:p w14:paraId="2A9FC217" w14:textId="77777777" w:rsidR="00B95515" w:rsidRPr="0094280E" w:rsidRDefault="00B95515" w:rsidP="0094280E">
      <w:pPr>
        <w:ind w:left="851"/>
        <w:rPr>
          <w:sz w:val="24"/>
          <w:szCs w:val="24"/>
        </w:rPr>
      </w:pPr>
    </w:p>
    <w:p w14:paraId="4DE5BF86" w14:textId="77777777" w:rsidR="00B95515" w:rsidRPr="0094280E" w:rsidRDefault="00B95515" w:rsidP="0094280E">
      <w:pPr>
        <w:ind w:left="851"/>
        <w:rPr>
          <w:sz w:val="24"/>
          <w:szCs w:val="24"/>
        </w:rPr>
      </w:pPr>
      <w:r w:rsidRPr="0094280E">
        <w:rPr>
          <w:b/>
          <w:sz w:val="24"/>
          <w:szCs w:val="24"/>
        </w:rPr>
        <w:t xml:space="preserve">For </w:t>
      </w:r>
      <w:proofErr w:type="spellStart"/>
      <w:r w:rsidRPr="0094280E">
        <w:rPr>
          <w:b/>
          <w:sz w:val="24"/>
          <w:szCs w:val="24"/>
        </w:rPr>
        <w:t>i.m</w:t>
      </w:r>
      <w:proofErr w:type="spellEnd"/>
      <w:r w:rsidRPr="0094280E">
        <w:rPr>
          <w:b/>
          <w:sz w:val="24"/>
          <w:szCs w:val="24"/>
        </w:rPr>
        <w:t>. formuleringer</w:t>
      </w:r>
    </w:p>
    <w:p w14:paraId="01F1695A" w14:textId="77777777" w:rsidR="00B95515" w:rsidRPr="0094280E" w:rsidRDefault="00B95515" w:rsidP="0094280E">
      <w:pPr>
        <w:ind w:left="851"/>
        <w:rPr>
          <w:sz w:val="24"/>
          <w:szCs w:val="24"/>
        </w:rPr>
      </w:pPr>
      <w:r w:rsidRPr="0094280E">
        <w:rPr>
          <w:sz w:val="24"/>
          <w:szCs w:val="24"/>
        </w:rPr>
        <w:t xml:space="preserve">Hvis solvensen indeholder </w:t>
      </w:r>
      <w:proofErr w:type="spellStart"/>
      <w:r w:rsidRPr="0094280E">
        <w:rPr>
          <w:sz w:val="24"/>
          <w:szCs w:val="24"/>
        </w:rPr>
        <w:t>lidocain</w:t>
      </w:r>
      <w:proofErr w:type="spellEnd"/>
      <w:r w:rsidRPr="0094280E">
        <w:rPr>
          <w:sz w:val="24"/>
          <w:szCs w:val="24"/>
        </w:rPr>
        <w:t xml:space="preserve">, kan der forekomme systemiske reaktioner på </w:t>
      </w:r>
      <w:proofErr w:type="spellStart"/>
      <w:r w:rsidRPr="0094280E">
        <w:rPr>
          <w:sz w:val="24"/>
          <w:szCs w:val="24"/>
        </w:rPr>
        <w:t>lidocain</w:t>
      </w:r>
      <w:proofErr w:type="spellEnd"/>
      <w:r w:rsidRPr="0094280E">
        <w:rPr>
          <w:sz w:val="24"/>
          <w:szCs w:val="24"/>
        </w:rPr>
        <w:t xml:space="preserve">, især i tilfælde af utilsigtet intravenøs injektion eller injektion i væv med høj </w:t>
      </w:r>
      <w:proofErr w:type="spellStart"/>
      <w:r w:rsidRPr="0094280E">
        <w:rPr>
          <w:sz w:val="24"/>
          <w:szCs w:val="24"/>
        </w:rPr>
        <w:t>vaskularisering</w:t>
      </w:r>
      <w:proofErr w:type="spellEnd"/>
      <w:r w:rsidRPr="0094280E">
        <w:rPr>
          <w:sz w:val="24"/>
          <w:szCs w:val="24"/>
        </w:rPr>
        <w:t>, eller i tilfælde af overdosis.</w:t>
      </w:r>
    </w:p>
    <w:p w14:paraId="256343DD" w14:textId="77777777" w:rsidR="00B95515" w:rsidRPr="0094280E" w:rsidRDefault="00B95515" w:rsidP="0094280E">
      <w:pPr>
        <w:ind w:left="851"/>
        <w:rPr>
          <w:sz w:val="24"/>
          <w:szCs w:val="24"/>
        </w:rPr>
      </w:pPr>
    </w:p>
    <w:p w14:paraId="6C2F4888" w14:textId="77777777" w:rsidR="00B95515" w:rsidRPr="0094280E" w:rsidRDefault="00B95515" w:rsidP="0094280E">
      <w:pPr>
        <w:ind w:left="851"/>
        <w:rPr>
          <w:bCs/>
          <w:sz w:val="24"/>
          <w:szCs w:val="24"/>
          <w:u w:val="single"/>
        </w:rPr>
      </w:pPr>
      <w:r w:rsidRPr="0094280E">
        <w:rPr>
          <w:sz w:val="24"/>
          <w:szCs w:val="24"/>
          <w:u w:val="single"/>
        </w:rPr>
        <w:t>Indberetning af formodede bivirkninger</w:t>
      </w:r>
    </w:p>
    <w:p w14:paraId="6CFE72AE" w14:textId="1A57016B" w:rsidR="00B95515" w:rsidRPr="0094280E" w:rsidRDefault="00B95515" w:rsidP="0094280E">
      <w:pPr>
        <w:ind w:left="851"/>
        <w:rPr>
          <w:rFonts w:cs="Segoe UI"/>
          <w:sz w:val="24"/>
          <w:szCs w:val="24"/>
        </w:rPr>
      </w:pPr>
      <w:r w:rsidRPr="0094280E">
        <w:rPr>
          <w:sz w:val="24"/>
          <w:szCs w:val="24"/>
        </w:rPr>
        <w:t>Når lægemidlet er godkendt, er indberetning af formodede bivirkninger vigtig. Det muliggør løbende overvågning af benefit/</w:t>
      </w:r>
      <w:proofErr w:type="spellStart"/>
      <w:r w:rsidRPr="0094280E">
        <w:rPr>
          <w:sz w:val="24"/>
          <w:szCs w:val="24"/>
        </w:rPr>
        <w:t>risk</w:t>
      </w:r>
      <w:proofErr w:type="spellEnd"/>
      <w:r w:rsidRPr="0094280E">
        <w:rPr>
          <w:sz w:val="24"/>
          <w:szCs w:val="24"/>
        </w:rPr>
        <w:t>-forholdet for lægemidlet. Sundhedspersoner anmodes om at indberette alle formodede bivirkninger via</w:t>
      </w:r>
      <w:r w:rsidR="0094280E">
        <w:rPr>
          <w:sz w:val="24"/>
          <w:szCs w:val="24"/>
        </w:rPr>
        <w:t>:</w:t>
      </w:r>
    </w:p>
    <w:p w14:paraId="78825EFD" w14:textId="77777777" w:rsidR="00B95515" w:rsidRPr="0094280E" w:rsidRDefault="00B95515" w:rsidP="0094280E">
      <w:pPr>
        <w:ind w:left="851"/>
        <w:rPr>
          <w:sz w:val="24"/>
          <w:szCs w:val="24"/>
        </w:rPr>
      </w:pPr>
    </w:p>
    <w:p w14:paraId="3C8311C3" w14:textId="77777777" w:rsidR="00B95515" w:rsidRPr="0094280E" w:rsidRDefault="00B95515" w:rsidP="0094280E">
      <w:pPr>
        <w:ind w:left="851"/>
        <w:rPr>
          <w:sz w:val="24"/>
          <w:szCs w:val="24"/>
        </w:rPr>
      </w:pPr>
      <w:r w:rsidRPr="0094280E">
        <w:rPr>
          <w:sz w:val="24"/>
          <w:szCs w:val="24"/>
        </w:rPr>
        <w:t>Lægemiddelstyrelsen</w:t>
      </w:r>
    </w:p>
    <w:p w14:paraId="0B4D3771" w14:textId="77777777" w:rsidR="00B95515" w:rsidRPr="0094280E" w:rsidRDefault="00B95515" w:rsidP="0094280E">
      <w:pPr>
        <w:ind w:left="851"/>
        <w:rPr>
          <w:sz w:val="24"/>
          <w:szCs w:val="24"/>
        </w:rPr>
      </w:pPr>
      <w:r w:rsidRPr="0094280E">
        <w:rPr>
          <w:sz w:val="24"/>
          <w:szCs w:val="24"/>
        </w:rPr>
        <w:t>Axel Heides Gade 1</w:t>
      </w:r>
    </w:p>
    <w:p w14:paraId="2C54961C" w14:textId="77777777" w:rsidR="00B95515" w:rsidRPr="0094280E" w:rsidRDefault="00B95515" w:rsidP="0094280E">
      <w:pPr>
        <w:ind w:left="851"/>
        <w:rPr>
          <w:sz w:val="24"/>
          <w:szCs w:val="24"/>
        </w:rPr>
      </w:pPr>
      <w:r w:rsidRPr="0094280E">
        <w:rPr>
          <w:sz w:val="24"/>
          <w:szCs w:val="24"/>
        </w:rPr>
        <w:t>DK-2300 København S</w:t>
      </w:r>
    </w:p>
    <w:p w14:paraId="440F8285" w14:textId="6639668E" w:rsidR="00B95515" w:rsidRPr="0094280E" w:rsidRDefault="00B95515" w:rsidP="0094280E">
      <w:pPr>
        <w:ind w:left="851"/>
        <w:rPr>
          <w:sz w:val="24"/>
          <w:szCs w:val="24"/>
        </w:rPr>
      </w:pPr>
      <w:r w:rsidRPr="0094280E">
        <w:rPr>
          <w:sz w:val="24"/>
          <w:szCs w:val="24"/>
        </w:rPr>
        <w:t>Websted: www.meldenbivirkning.dk</w:t>
      </w:r>
    </w:p>
    <w:p w14:paraId="3421C60D" w14:textId="77777777" w:rsidR="009260DE" w:rsidRPr="00B95515" w:rsidRDefault="009260DE" w:rsidP="00B95515">
      <w:pPr>
        <w:tabs>
          <w:tab w:val="left" w:pos="851"/>
        </w:tabs>
        <w:ind w:left="851"/>
        <w:rPr>
          <w:sz w:val="24"/>
          <w:szCs w:val="24"/>
        </w:rPr>
      </w:pPr>
    </w:p>
    <w:p w14:paraId="0EB7BEE9"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4B330866" w14:textId="77777777" w:rsidR="00FB0740" w:rsidRPr="00FB0740" w:rsidRDefault="00FB0740" w:rsidP="00FB0740">
      <w:pPr>
        <w:tabs>
          <w:tab w:val="left" w:pos="851"/>
        </w:tabs>
        <w:ind w:left="851"/>
        <w:rPr>
          <w:sz w:val="24"/>
          <w:szCs w:val="24"/>
        </w:rPr>
      </w:pPr>
      <w:r w:rsidRPr="00FB0740">
        <w:rPr>
          <w:sz w:val="24"/>
          <w:szCs w:val="24"/>
        </w:rPr>
        <w:t>Symptomer på overdosering kan stort set svare til profilen af bivirkninger.</w:t>
      </w:r>
    </w:p>
    <w:p w14:paraId="7FD60532" w14:textId="77777777" w:rsidR="00FB0740" w:rsidRPr="00FB0740" w:rsidRDefault="00FB0740" w:rsidP="00FB0740">
      <w:pPr>
        <w:tabs>
          <w:tab w:val="left" w:pos="851"/>
        </w:tabs>
        <w:ind w:left="851"/>
        <w:rPr>
          <w:sz w:val="24"/>
          <w:szCs w:val="24"/>
        </w:rPr>
      </w:pPr>
      <w:r w:rsidRPr="00FB0740">
        <w:rPr>
          <w:sz w:val="24"/>
          <w:szCs w:val="24"/>
        </w:rPr>
        <w:t>Der er risiko for encefalopati i tilfælde af administration af beta-</w:t>
      </w:r>
      <w:proofErr w:type="spellStart"/>
      <w:r w:rsidRPr="00FB0740">
        <w:rPr>
          <w:sz w:val="24"/>
          <w:szCs w:val="24"/>
        </w:rPr>
        <w:t>lactamantibiotika</w:t>
      </w:r>
      <w:proofErr w:type="spellEnd"/>
      <w:r w:rsidRPr="00FB0740">
        <w:rPr>
          <w:sz w:val="24"/>
          <w:szCs w:val="24"/>
        </w:rPr>
        <w:t xml:space="preserve">, herunder </w:t>
      </w:r>
      <w:proofErr w:type="spellStart"/>
      <w:r w:rsidRPr="00FB0740">
        <w:rPr>
          <w:sz w:val="24"/>
          <w:szCs w:val="24"/>
        </w:rPr>
        <w:t>cefotaxim</w:t>
      </w:r>
      <w:proofErr w:type="spellEnd"/>
      <w:r w:rsidRPr="00FB0740">
        <w:rPr>
          <w:sz w:val="24"/>
          <w:szCs w:val="24"/>
        </w:rPr>
        <w:t>, især i tilfælde af overdosering eller nedsat nyrefunktion.</w:t>
      </w:r>
    </w:p>
    <w:p w14:paraId="50924EB1" w14:textId="77777777" w:rsidR="00FB0740" w:rsidRPr="00FB0740" w:rsidRDefault="00FB0740" w:rsidP="00FB0740">
      <w:pPr>
        <w:tabs>
          <w:tab w:val="left" w:pos="851"/>
        </w:tabs>
        <w:ind w:left="851"/>
        <w:rPr>
          <w:sz w:val="24"/>
          <w:szCs w:val="24"/>
        </w:rPr>
      </w:pPr>
    </w:p>
    <w:p w14:paraId="17E1BC23" w14:textId="77777777" w:rsidR="00FB0740" w:rsidRPr="00FB0740" w:rsidRDefault="00FB0740" w:rsidP="00FB0740">
      <w:pPr>
        <w:tabs>
          <w:tab w:val="left" w:pos="851"/>
        </w:tabs>
        <w:ind w:left="851"/>
        <w:rPr>
          <w:sz w:val="24"/>
          <w:szCs w:val="24"/>
        </w:rPr>
      </w:pPr>
      <w:r w:rsidRPr="00FB0740">
        <w:rPr>
          <w:sz w:val="24"/>
          <w:szCs w:val="24"/>
        </w:rPr>
        <w:t xml:space="preserve">I tilfælde af overdosering skal </w:t>
      </w:r>
      <w:proofErr w:type="spellStart"/>
      <w:r w:rsidRPr="00FB0740">
        <w:rPr>
          <w:sz w:val="24"/>
          <w:szCs w:val="24"/>
        </w:rPr>
        <w:t>cefotaxim</w:t>
      </w:r>
      <w:proofErr w:type="spellEnd"/>
      <w:r w:rsidRPr="00FB0740">
        <w:rPr>
          <w:sz w:val="24"/>
          <w:szCs w:val="24"/>
        </w:rPr>
        <w:t xml:space="preserve"> seponeres og understøttende behandling iværksættes, hvilket omfatter foranstaltninger til at accelerere eliminering og symptomatisk behandling af bivirkninger (f.eks. krampeanfald).</w:t>
      </w:r>
    </w:p>
    <w:p w14:paraId="49FB4A67" w14:textId="77777777" w:rsidR="00FB0740" w:rsidRPr="00FB0740" w:rsidRDefault="00FB0740" w:rsidP="00FB0740">
      <w:pPr>
        <w:tabs>
          <w:tab w:val="left" w:pos="851"/>
        </w:tabs>
        <w:ind w:left="851"/>
        <w:rPr>
          <w:sz w:val="24"/>
          <w:szCs w:val="24"/>
        </w:rPr>
      </w:pPr>
      <w:r w:rsidRPr="00FB0740">
        <w:rPr>
          <w:sz w:val="24"/>
          <w:szCs w:val="24"/>
        </w:rPr>
        <w:t xml:space="preserve">Der findes ingen specifik </w:t>
      </w:r>
      <w:proofErr w:type="spellStart"/>
      <w:r w:rsidRPr="00FB0740">
        <w:rPr>
          <w:sz w:val="24"/>
          <w:szCs w:val="24"/>
        </w:rPr>
        <w:t>antidot</w:t>
      </w:r>
      <w:proofErr w:type="spellEnd"/>
      <w:r w:rsidRPr="00FB0740">
        <w:rPr>
          <w:sz w:val="24"/>
          <w:szCs w:val="24"/>
        </w:rPr>
        <w:t xml:space="preserve">. </w:t>
      </w:r>
      <w:proofErr w:type="spellStart"/>
      <w:r w:rsidRPr="00FB0740">
        <w:rPr>
          <w:sz w:val="24"/>
          <w:szCs w:val="24"/>
        </w:rPr>
        <w:t>Cefotaxim</w:t>
      </w:r>
      <w:proofErr w:type="spellEnd"/>
      <w:r w:rsidRPr="00FB0740">
        <w:rPr>
          <w:sz w:val="24"/>
          <w:szCs w:val="24"/>
        </w:rPr>
        <w:t xml:space="preserve"> kan fjernes ved hæmodialyse. </w:t>
      </w:r>
      <w:proofErr w:type="spellStart"/>
      <w:r w:rsidRPr="00FB0740">
        <w:rPr>
          <w:sz w:val="24"/>
          <w:szCs w:val="24"/>
        </w:rPr>
        <w:t>Peritonealdialyse</w:t>
      </w:r>
      <w:proofErr w:type="spellEnd"/>
      <w:r w:rsidRPr="00FB0740">
        <w:rPr>
          <w:sz w:val="24"/>
          <w:szCs w:val="24"/>
        </w:rPr>
        <w:t xml:space="preserve"> er ineffektiv til at fjerne </w:t>
      </w:r>
      <w:proofErr w:type="spellStart"/>
      <w:r w:rsidRPr="00FB0740">
        <w:rPr>
          <w:sz w:val="24"/>
          <w:szCs w:val="24"/>
        </w:rPr>
        <w:t>cefotaxim</w:t>
      </w:r>
      <w:proofErr w:type="spellEnd"/>
      <w:r w:rsidRPr="00FB0740">
        <w:rPr>
          <w:sz w:val="24"/>
          <w:szCs w:val="24"/>
        </w:rPr>
        <w:t>.</w:t>
      </w:r>
    </w:p>
    <w:p w14:paraId="06365599" w14:textId="77777777" w:rsidR="009260DE" w:rsidRPr="00C84483" w:rsidRDefault="009260DE" w:rsidP="009260DE">
      <w:pPr>
        <w:tabs>
          <w:tab w:val="left" w:pos="851"/>
        </w:tabs>
        <w:ind w:left="851"/>
        <w:rPr>
          <w:sz w:val="24"/>
          <w:szCs w:val="24"/>
        </w:rPr>
      </w:pPr>
    </w:p>
    <w:p w14:paraId="6D7E8C2C"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2AD459AA" w14:textId="52769189" w:rsidR="009260DE" w:rsidRPr="00C84483" w:rsidRDefault="00FB0740" w:rsidP="009260DE">
      <w:pPr>
        <w:tabs>
          <w:tab w:val="left" w:pos="851"/>
        </w:tabs>
        <w:ind w:left="851"/>
        <w:rPr>
          <w:sz w:val="24"/>
          <w:szCs w:val="24"/>
        </w:rPr>
      </w:pPr>
      <w:r>
        <w:rPr>
          <w:sz w:val="24"/>
          <w:szCs w:val="24"/>
        </w:rPr>
        <w:t>B</w:t>
      </w:r>
    </w:p>
    <w:p w14:paraId="2F8094F8" w14:textId="77777777" w:rsidR="009260DE" w:rsidRPr="00C84483" w:rsidRDefault="009260DE" w:rsidP="009260DE">
      <w:pPr>
        <w:tabs>
          <w:tab w:val="left" w:pos="851"/>
        </w:tabs>
        <w:ind w:left="851"/>
        <w:rPr>
          <w:sz w:val="24"/>
          <w:szCs w:val="24"/>
        </w:rPr>
      </w:pPr>
    </w:p>
    <w:p w14:paraId="72DFA922" w14:textId="77777777" w:rsidR="009260DE" w:rsidRPr="00C84483" w:rsidRDefault="009260DE" w:rsidP="009260DE">
      <w:pPr>
        <w:tabs>
          <w:tab w:val="left" w:pos="851"/>
        </w:tabs>
        <w:ind w:left="851"/>
        <w:rPr>
          <w:sz w:val="24"/>
          <w:szCs w:val="24"/>
        </w:rPr>
      </w:pPr>
    </w:p>
    <w:p w14:paraId="096882A7"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0968F98B" w14:textId="77777777" w:rsidR="009260DE" w:rsidRPr="00C84483" w:rsidRDefault="009260DE" w:rsidP="009260DE">
      <w:pPr>
        <w:tabs>
          <w:tab w:val="left" w:pos="851"/>
        </w:tabs>
        <w:ind w:left="851"/>
        <w:rPr>
          <w:sz w:val="24"/>
          <w:szCs w:val="24"/>
        </w:rPr>
      </w:pPr>
    </w:p>
    <w:p w14:paraId="1B39F7CE"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27A30D8A" w14:textId="64CA6DF9" w:rsidR="00BE155D" w:rsidRPr="00BE155D" w:rsidRDefault="00BE155D" w:rsidP="00BE155D">
      <w:pPr>
        <w:tabs>
          <w:tab w:val="left" w:pos="851"/>
        </w:tabs>
        <w:ind w:left="851"/>
        <w:rPr>
          <w:sz w:val="24"/>
          <w:szCs w:val="24"/>
        </w:rPr>
      </w:pPr>
      <w:proofErr w:type="spellStart"/>
      <w:r w:rsidRPr="00BE155D">
        <w:rPr>
          <w:sz w:val="24"/>
          <w:szCs w:val="24"/>
        </w:rPr>
        <w:t>Farmakoterapeutisk</w:t>
      </w:r>
      <w:proofErr w:type="spellEnd"/>
      <w:r w:rsidRPr="00BE155D">
        <w:rPr>
          <w:sz w:val="24"/>
          <w:szCs w:val="24"/>
        </w:rPr>
        <w:t xml:space="preserve"> klassifikation: Antibakterielle midler til systemisk brug, andre beta-</w:t>
      </w:r>
      <w:proofErr w:type="spellStart"/>
      <w:r w:rsidRPr="00BE155D">
        <w:rPr>
          <w:sz w:val="24"/>
          <w:szCs w:val="24"/>
        </w:rPr>
        <w:t>lactam</w:t>
      </w:r>
      <w:proofErr w:type="spellEnd"/>
      <w:r w:rsidRPr="00BE155D">
        <w:rPr>
          <w:sz w:val="24"/>
          <w:szCs w:val="24"/>
        </w:rPr>
        <w:t xml:space="preserve"> </w:t>
      </w:r>
      <w:proofErr w:type="spellStart"/>
      <w:r w:rsidRPr="00BE155D">
        <w:rPr>
          <w:sz w:val="24"/>
          <w:szCs w:val="24"/>
        </w:rPr>
        <w:t>antibakterika</w:t>
      </w:r>
      <w:proofErr w:type="spellEnd"/>
      <w:r w:rsidRPr="00BE155D">
        <w:rPr>
          <w:sz w:val="24"/>
          <w:szCs w:val="24"/>
        </w:rPr>
        <w:t xml:space="preserve">, </w:t>
      </w:r>
      <w:proofErr w:type="spellStart"/>
      <w:r w:rsidRPr="00BE155D">
        <w:rPr>
          <w:sz w:val="24"/>
          <w:szCs w:val="24"/>
        </w:rPr>
        <w:t>cefalosporiner</w:t>
      </w:r>
      <w:proofErr w:type="spellEnd"/>
      <w:r w:rsidRPr="00BE155D">
        <w:rPr>
          <w:sz w:val="24"/>
          <w:szCs w:val="24"/>
        </w:rPr>
        <w:t>, 3. generation, ATC-kode: J01DD01</w:t>
      </w:r>
      <w:r w:rsidR="00E41EB5">
        <w:rPr>
          <w:sz w:val="24"/>
          <w:szCs w:val="24"/>
        </w:rPr>
        <w:t>.</w:t>
      </w:r>
    </w:p>
    <w:p w14:paraId="354B28FF" w14:textId="77777777" w:rsidR="00BE155D" w:rsidRPr="00BE155D" w:rsidRDefault="00BE155D" w:rsidP="00BE155D">
      <w:pPr>
        <w:tabs>
          <w:tab w:val="left" w:pos="851"/>
        </w:tabs>
        <w:ind w:left="851"/>
        <w:rPr>
          <w:sz w:val="24"/>
          <w:szCs w:val="24"/>
        </w:rPr>
      </w:pPr>
    </w:p>
    <w:p w14:paraId="1F708B84" w14:textId="77777777" w:rsidR="00BE155D" w:rsidRPr="00BE155D" w:rsidRDefault="00BE155D" w:rsidP="00BE155D">
      <w:pPr>
        <w:tabs>
          <w:tab w:val="left" w:pos="851"/>
        </w:tabs>
        <w:ind w:left="851"/>
        <w:rPr>
          <w:sz w:val="24"/>
          <w:szCs w:val="24"/>
          <w:u w:val="single"/>
        </w:rPr>
      </w:pPr>
      <w:r w:rsidRPr="00BE155D">
        <w:rPr>
          <w:sz w:val="24"/>
          <w:szCs w:val="24"/>
          <w:u w:val="single"/>
        </w:rPr>
        <w:t>Virkningsmekanisme</w:t>
      </w:r>
    </w:p>
    <w:p w14:paraId="3BA5085E" w14:textId="77777777" w:rsidR="00BE155D" w:rsidRPr="00BE155D" w:rsidRDefault="00BE155D" w:rsidP="00BE155D">
      <w:pPr>
        <w:tabs>
          <w:tab w:val="left" w:pos="851"/>
        </w:tabs>
        <w:ind w:left="851"/>
        <w:rPr>
          <w:sz w:val="24"/>
          <w:szCs w:val="24"/>
        </w:rPr>
      </w:pPr>
      <w:r w:rsidRPr="00BE155D">
        <w:rPr>
          <w:sz w:val="24"/>
          <w:szCs w:val="24"/>
        </w:rPr>
        <w:t xml:space="preserve">Den bakteriedræbende aktivitet fra </w:t>
      </w:r>
      <w:proofErr w:type="spellStart"/>
      <w:r w:rsidRPr="00BE155D">
        <w:rPr>
          <w:sz w:val="24"/>
          <w:szCs w:val="24"/>
        </w:rPr>
        <w:t>cefotaxim</w:t>
      </w:r>
      <w:proofErr w:type="spellEnd"/>
      <w:r w:rsidRPr="00BE155D">
        <w:rPr>
          <w:sz w:val="24"/>
          <w:szCs w:val="24"/>
        </w:rPr>
        <w:t xml:space="preserve"> skyldes hæmning af bakteriel cellevægssyntese (i vækstperioden) forårsaget af en hæmning af penicillinbindende proteiner (</w:t>
      </w:r>
      <w:proofErr w:type="spellStart"/>
      <w:r w:rsidRPr="00BE155D">
        <w:rPr>
          <w:sz w:val="24"/>
          <w:szCs w:val="24"/>
        </w:rPr>
        <w:t>PBP'er</w:t>
      </w:r>
      <w:proofErr w:type="spellEnd"/>
      <w:r w:rsidRPr="00BE155D">
        <w:rPr>
          <w:sz w:val="24"/>
          <w:szCs w:val="24"/>
        </w:rPr>
        <w:t xml:space="preserve">) som </w:t>
      </w:r>
      <w:proofErr w:type="spellStart"/>
      <w:r w:rsidRPr="00BE155D">
        <w:rPr>
          <w:sz w:val="24"/>
          <w:szCs w:val="24"/>
        </w:rPr>
        <w:t>transpeptidaser</w:t>
      </w:r>
      <w:proofErr w:type="spellEnd"/>
      <w:r w:rsidRPr="00BE155D">
        <w:rPr>
          <w:sz w:val="24"/>
          <w:szCs w:val="24"/>
        </w:rPr>
        <w:t>.</w:t>
      </w:r>
    </w:p>
    <w:p w14:paraId="453EC794" w14:textId="77777777" w:rsidR="00BE155D" w:rsidRPr="00BE155D" w:rsidRDefault="00BE155D" w:rsidP="00BE155D">
      <w:pPr>
        <w:tabs>
          <w:tab w:val="left" w:pos="851"/>
        </w:tabs>
        <w:ind w:left="851"/>
        <w:rPr>
          <w:sz w:val="24"/>
          <w:szCs w:val="24"/>
        </w:rPr>
      </w:pPr>
    </w:p>
    <w:p w14:paraId="147B52E8" w14:textId="77777777" w:rsidR="00BE155D" w:rsidRPr="00BE155D" w:rsidRDefault="00BE155D" w:rsidP="00BE155D">
      <w:pPr>
        <w:tabs>
          <w:tab w:val="left" w:pos="851"/>
        </w:tabs>
        <w:ind w:left="851"/>
        <w:rPr>
          <w:sz w:val="24"/>
          <w:szCs w:val="24"/>
          <w:u w:val="single"/>
        </w:rPr>
      </w:pPr>
      <w:r w:rsidRPr="00BE155D">
        <w:rPr>
          <w:sz w:val="24"/>
          <w:szCs w:val="24"/>
          <w:u w:val="single"/>
        </w:rPr>
        <w:t>Resistensmekanisme</w:t>
      </w:r>
    </w:p>
    <w:p w14:paraId="5A285576" w14:textId="77777777" w:rsidR="00BE155D" w:rsidRPr="00BE155D" w:rsidRDefault="00BE155D" w:rsidP="00BE155D">
      <w:pPr>
        <w:tabs>
          <w:tab w:val="left" w:pos="851"/>
        </w:tabs>
        <w:ind w:left="851"/>
        <w:rPr>
          <w:sz w:val="24"/>
          <w:szCs w:val="24"/>
        </w:rPr>
      </w:pPr>
      <w:r w:rsidRPr="00BE155D">
        <w:rPr>
          <w:sz w:val="24"/>
          <w:szCs w:val="24"/>
        </w:rPr>
        <w:t xml:space="preserve">En resistens over for </w:t>
      </w:r>
      <w:proofErr w:type="spellStart"/>
      <w:r w:rsidRPr="00BE155D">
        <w:rPr>
          <w:sz w:val="24"/>
          <w:szCs w:val="24"/>
        </w:rPr>
        <w:t>cefotaxim</w:t>
      </w:r>
      <w:proofErr w:type="spellEnd"/>
      <w:r w:rsidRPr="00BE155D">
        <w:rPr>
          <w:sz w:val="24"/>
          <w:szCs w:val="24"/>
        </w:rPr>
        <w:t xml:space="preserve"> kan være forårsaget af følgende mekanismer:</w:t>
      </w:r>
    </w:p>
    <w:p w14:paraId="58637F22" w14:textId="77777777" w:rsidR="00BE155D" w:rsidRPr="00BE155D" w:rsidRDefault="00BE155D" w:rsidP="00E41EB5">
      <w:pPr>
        <w:numPr>
          <w:ilvl w:val="0"/>
          <w:numId w:val="6"/>
        </w:numPr>
        <w:tabs>
          <w:tab w:val="left" w:pos="851"/>
        </w:tabs>
        <w:ind w:left="1134" w:hanging="283"/>
        <w:rPr>
          <w:sz w:val="24"/>
          <w:szCs w:val="24"/>
        </w:rPr>
      </w:pPr>
      <w:r w:rsidRPr="00BE155D">
        <w:rPr>
          <w:sz w:val="24"/>
          <w:szCs w:val="24"/>
        </w:rPr>
        <w:t>Inaktivering af beta-</w:t>
      </w:r>
      <w:proofErr w:type="spellStart"/>
      <w:r w:rsidRPr="00BE155D">
        <w:rPr>
          <w:sz w:val="24"/>
          <w:szCs w:val="24"/>
        </w:rPr>
        <w:t>lactamaser</w:t>
      </w:r>
      <w:proofErr w:type="spellEnd"/>
      <w:r w:rsidRPr="00BE155D">
        <w:rPr>
          <w:sz w:val="24"/>
          <w:szCs w:val="24"/>
        </w:rPr>
        <w:t xml:space="preserve">. </w:t>
      </w:r>
      <w:proofErr w:type="spellStart"/>
      <w:r w:rsidRPr="00BE155D">
        <w:rPr>
          <w:sz w:val="24"/>
          <w:szCs w:val="24"/>
        </w:rPr>
        <w:t>Cefotaxim</w:t>
      </w:r>
      <w:proofErr w:type="spellEnd"/>
      <w:r w:rsidRPr="00BE155D">
        <w:rPr>
          <w:sz w:val="24"/>
          <w:szCs w:val="24"/>
        </w:rPr>
        <w:t xml:space="preserve"> kan hydrolyseres af visse beta-</w:t>
      </w:r>
      <w:proofErr w:type="spellStart"/>
      <w:r w:rsidRPr="00BE155D">
        <w:rPr>
          <w:sz w:val="24"/>
          <w:szCs w:val="24"/>
        </w:rPr>
        <w:t>lactamaser</w:t>
      </w:r>
      <w:proofErr w:type="spellEnd"/>
      <w:r w:rsidRPr="00BE155D">
        <w:rPr>
          <w:sz w:val="24"/>
          <w:szCs w:val="24"/>
        </w:rPr>
        <w:t>, især af beta-</w:t>
      </w:r>
      <w:proofErr w:type="spellStart"/>
      <w:r w:rsidRPr="00BE155D">
        <w:rPr>
          <w:sz w:val="24"/>
          <w:szCs w:val="24"/>
        </w:rPr>
        <w:t>lactamaser</w:t>
      </w:r>
      <w:proofErr w:type="spellEnd"/>
      <w:r w:rsidRPr="00BE155D">
        <w:rPr>
          <w:sz w:val="24"/>
          <w:szCs w:val="24"/>
        </w:rPr>
        <w:t xml:space="preserve"> (</w:t>
      </w:r>
      <w:proofErr w:type="spellStart"/>
      <w:r w:rsidRPr="00BE155D">
        <w:rPr>
          <w:sz w:val="24"/>
          <w:szCs w:val="24"/>
        </w:rPr>
        <w:t>ESBL'er</w:t>
      </w:r>
      <w:proofErr w:type="spellEnd"/>
      <w:r w:rsidRPr="00BE155D">
        <w:rPr>
          <w:sz w:val="24"/>
          <w:szCs w:val="24"/>
        </w:rPr>
        <w:t xml:space="preserve">) med udvidet spektrum, som kan findes i stammer af </w:t>
      </w:r>
      <w:r w:rsidRPr="00BE155D">
        <w:rPr>
          <w:i/>
          <w:iCs/>
          <w:sz w:val="24"/>
          <w:szCs w:val="24"/>
        </w:rPr>
        <w:t>Escherichia coli</w:t>
      </w:r>
      <w:r w:rsidRPr="00BE155D">
        <w:rPr>
          <w:sz w:val="24"/>
          <w:szCs w:val="24"/>
        </w:rPr>
        <w:t xml:space="preserve"> eller </w:t>
      </w:r>
      <w:proofErr w:type="spellStart"/>
      <w:r w:rsidRPr="00BE155D">
        <w:rPr>
          <w:i/>
          <w:iCs/>
          <w:sz w:val="24"/>
          <w:szCs w:val="24"/>
        </w:rPr>
        <w:t>Klebsiella</w:t>
      </w:r>
      <w:proofErr w:type="spellEnd"/>
      <w:r w:rsidRPr="00BE155D">
        <w:rPr>
          <w:i/>
          <w:iCs/>
          <w:sz w:val="24"/>
          <w:szCs w:val="24"/>
        </w:rPr>
        <w:t xml:space="preserve"> </w:t>
      </w:r>
      <w:proofErr w:type="spellStart"/>
      <w:r w:rsidRPr="00BE155D">
        <w:rPr>
          <w:i/>
          <w:iCs/>
          <w:sz w:val="24"/>
          <w:szCs w:val="24"/>
        </w:rPr>
        <w:t>pneumoniae</w:t>
      </w:r>
      <w:proofErr w:type="spellEnd"/>
      <w:r w:rsidRPr="00BE155D">
        <w:rPr>
          <w:sz w:val="24"/>
          <w:szCs w:val="24"/>
        </w:rPr>
        <w:t xml:space="preserve">, eller af kromosomkodede </w:t>
      </w:r>
      <w:proofErr w:type="spellStart"/>
      <w:r w:rsidRPr="00BE155D">
        <w:rPr>
          <w:sz w:val="24"/>
          <w:szCs w:val="24"/>
        </w:rPr>
        <w:t>inducerbare</w:t>
      </w:r>
      <w:proofErr w:type="spellEnd"/>
      <w:r w:rsidRPr="00BE155D">
        <w:rPr>
          <w:sz w:val="24"/>
          <w:szCs w:val="24"/>
        </w:rPr>
        <w:t xml:space="preserve"> eller konstitutive beta-</w:t>
      </w:r>
      <w:proofErr w:type="spellStart"/>
      <w:r w:rsidRPr="00BE155D">
        <w:rPr>
          <w:sz w:val="24"/>
          <w:szCs w:val="24"/>
        </w:rPr>
        <w:t>lactamaser</w:t>
      </w:r>
      <w:proofErr w:type="spellEnd"/>
      <w:r w:rsidRPr="00BE155D">
        <w:rPr>
          <w:sz w:val="24"/>
          <w:szCs w:val="24"/>
        </w:rPr>
        <w:t xml:space="preserve"> af </w:t>
      </w:r>
      <w:proofErr w:type="spellStart"/>
      <w:r w:rsidRPr="00BE155D">
        <w:rPr>
          <w:sz w:val="24"/>
          <w:szCs w:val="24"/>
        </w:rPr>
        <w:t>AmpC</w:t>
      </w:r>
      <w:proofErr w:type="spellEnd"/>
      <w:r w:rsidRPr="00BE155D">
        <w:rPr>
          <w:sz w:val="24"/>
          <w:szCs w:val="24"/>
        </w:rPr>
        <w:t xml:space="preserve">-typen, som kan påvises i </w:t>
      </w:r>
      <w:proofErr w:type="spellStart"/>
      <w:r w:rsidRPr="00BE155D">
        <w:rPr>
          <w:i/>
          <w:iCs/>
          <w:sz w:val="24"/>
          <w:szCs w:val="24"/>
        </w:rPr>
        <w:t>Enterobacter</w:t>
      </w:r>
      <w:proofErr w:type="spellEnd"/>
      <w:r w:rsidRPr="00BE155D">
        <w:rPr>
          <w:i/>
          <w:iCs/>
          <w:sz w:val="24"/>
          <w:szCs w:val="24"/>
        </w:rPr>
        <w:t xml:space="preserve"> </w:t>
      </w:r>
      <w:proofErr w:type="spellStart"/>
      <w:r w:rsidRPr="00BE155D">
        <w:rPr>
          <w:i/>
          <w:iCs/>
          <w:sz w:val="24"/>
          <w:szCs w:val="24"/>
        </w:rPr>
        <w:t>cloacae</w:t>
      </w:r>
      <w:proofErr w:type="spellEnd"/>
      <w:r w:rsidRPr="00BE155D">
        <w:rPr>
          <w:sz w:val="24"/>
          <w:szCs w:val="24"/>
        </w:rPr>
        <w:t xml:space="preserve">. Derfor skal infektioner forårsaget af </w:t>
      </w:r>
      <w:proofErr w:type="spellStart"/>
      <w:r w:rsidRPr="00BE155D">
        <w:rPr>
          <w:sz w:val="24"/>
          <w:szCs w:val="24"/>
        </w:rPr>
        <w:t>patogener</w:t>
      </w:r>
      <w:proofErr w:type="spellEnd"/>
      <w:r w:rsidRPr="00BE155D">
        <w:rPr>
          <w:sz w:val="24"/>
          <w:szCs w:val="24"/>
        </w:rPr>
        <w:t xml:space="preserve"> med </w:t>
      </w:r>
      <w:proofErr w:type="spellStart"/>
      <w:r w:rsidRPr="00BE155D">
        <w:rPr>
          <w:sz w:val="24"/>
          <w:szCs w:val="24"/>
        </w:rPr>
        <w:t>inducerbare</w:t>
      </w:r>
      <w:proofErr w:type="spellEnd"/>
      <w:r w:rsidRPr="00BE155D">
        <w:rPr>
          <w:sz w:val="24"/>
          <w:szCs w:val="24"/>
        </w:rPr>
        <w:t xml:space="preserve">, kromosomkodede </w:t>
      </w:r>
      <w:proofErr w:type="spellStart"/>
      <w:r w:rsidRPr="00BE155D">
        <w:rPr>
          <w:sz w:val="24"/>
          <w:szCs w:val="24"/>
        </w:rPr>
        <w:t>AmpC</w:t>
      </w:r>
      <w:proofErr w:type="spellEnd"/>
      <w:r w:rsidRPr="00BE155D">
        <w:rPr>
          <w:sz w:val="24"/>
          <w:szCs w:val="24"/>
        </w:rPr>
        <w:t>-beta-</w:t>
      </w:r>
      <w:proofErr w:type="spellStart"/>
      <w:r w:rsidRPr="00BE155D">
        <w:rPr>
          <w:sz w:val="24"/>
          <w:szCs w:val="24"/>
        </w:rPr>
        <w:t>lactamaser</w:t>
      </w:r>
      <w:proofErr w:type="spellEnd"/>
      <w:r w:rsidRPr="00BE155D">
        <w:rPr>
          <w:sz w:val="24"/>
          <w:szCs w:val="24"/>
        </w:rPr>
        <w:t xml:space="preserve"> ikke behandles med </w:t>
      </w:r>
      <w:proofErr w:type="spellStart"/>
      <w:r w:rsidRPr="00BE155D">
        <w:rPr>
          <w:sz w:val="24"/>
          <w:szCs w:val="24"/>
        </w:rPr>
        <w:t>cefotaxim</w:t>
      </w:r>
      <w:proofErr w:type="spellEnd"/>
      <w:r w:rsidRPr="00BE155D">
        <w:rPr>
          <w:sz w:val="24"/>
          <w:szCs w:val="24"/>
        </w:rPr>
        <w:t xml:space="preserve">, selv i tilfælde af påvist </w:t>
      </w:r>
      <w:r w:rsidRPr="00BE155D">
        <w:rPr>
          <w:i/>
          <w:iCs/>
          <w:sz w:val="24"/>
          <w:szCs w:val="24"/>
        </w:rPr>
        <w:t>in-</w:t>
      </w:r>
      <w:proofErr w:type="spellStart"/>
      <w:r w:rsidRPr="00BE155D">
        <w:rPr>
          <w:i/>
          <w:iCs/>
          <w:sz w:val="24"/>
          <w:szCs w:val="24"/>
        </w:rPr>
        <w:t>vitro</w:t>
      </w:r>
      <w:proofErr w:type="spellEnd"/>
      <w:r w:rsidRPr="00BE155D">
        <w:rPr>
          <w:sz w:val="24"/>
          <w:szCs w:val="24"/>
        </w:rPr>
        <w:t xml:space="preserve">-følsomhed på grund af risikoen for selektion af mutanter med konstitutiv, undertrykt </w:t>
      </w:r>
      <w:proofErr w:type="spellStart"/>
      <w:r w:rsidRPr="00BE155D">
        <w:rPr>
          <w:sz w:val="24"/>
          <w:szCs w:val="24"/>
        </w:rPr>
        <w:t>AmpC</w:t>
      </w:r>
      <w:proofErr w:type="spellEnd"/>
      <w:r w:rsidRPr="00BE155D">
        <w:rPr>
          <w:sz w:val="24"/>
          <w:szCs w:val="24"/>
        </w:rPr>
        <w:t>-beta-</w:t>
      </w:r>
      <w:proofErr w:type="spellStart"/>
      <w:r w:rsidRPr="00BE155D">
        <w:rPr>
          <w:sz w:val="24"/>
          <w:szCs w:val="24"/>
        </w:rPr>
        <w:t>lactamase</w:t>
      </w:r>
      <w:proofErr w:type="spellEnd"/>
      <w:r w:rsidRPr="00BE155D">
        <w:rPr>
          <w:sz w:val="24"/>
          <w:szCs w:val="24"/>
        </w:rPr>
        <w:t>-ekspression.</w:t>
      </w:r>
    </w:p>
    <w:p w14:paraId="7C11316F" w14:textId="77777777" w:rsidR="00BE155D" w:rsidRPr="00BE155D" w:rsidRDefault="00BE155D" w:rsidP="00E41EB5">
      <w:pPr>
        <w:numPr>
          <w:ilvl w:val="0"/>
          <w:numId w:val="6"/>
        </w:numPr>
        <w:tabs>
          <w:tab w:val="left" w:pos="851"/>
        </w:tabs>
        <w:ind w:left="1134" w:hanging="283"/>
        <w:rPr>
          <w:sz w:val="24"/>
          <w:szCs w:val="24"/>
        </w:rPr>
      </w:pPr>
      <w:r w:rsidRPr="00BE155D">
        <w:rPr>
          <w:sz w:val="24"/>
          <w:szCs w:val="24"/>
        </w:rPr>
        <w:t xml:space="preserve">Nedsat affinitet af </w:t>
      </w:r>
      <w:proofErr w:type="spellStart"/>
      <w:r w:rsidRPr="00BE155D">
        <w:rPr>
          <w:sz w:val="24"/>
          <w:szCs w:val="24"/>
        </w:rPr>
        <w:t>PBP'er</w:t>
      </w:r>
      <w:proofErr w:type="spellEnd"/>
      <w:r w:rsidRPr="00BE155D">
        <w:rPr>
          <w:sz w:val="24"/>
          <w:szCs w:val="24"/>
        </w:rPr>
        <w:t xml:space="preserve"> til </w:t>
      </w:r>
      <w:proofErr w:type="spellStart"/>
      <w:r w:rsidRPr="00BE155D">
        <w:rPr>
          <w:sz w:val="24"/>
          <w:szCs w:val="24"/>
        </w:rPr>
        <w:t>cefotaxim</w:t>
      </w:r>
      <w:proofErr w:type="spellEnd"/>
      <w:r w:rsidRPr="00BE155D">
        <w:rPr>
          <w:sz w:val="24"/>
          <w:szCs w:val="24"/>
        </w:rPr>
        <w:t xml:space="preserve">. Den erhvervede resistens af </w:t>
      </w:r>
      <w:proofErr w:type="spellStart"/>
      <w:r w:rsidRPr="00BE155D">
        <w:rPr>
          <w:sz w:val="24"/>
          <w:szCs w:val="24"/>
        </w:rPr>
        <w:t>pneumokokker</w:t>
      </w:r>
      <w:proofErr w:type="spellEnd"/>
      <w:r w:rsidRPr="00BE155D">
        <w:rPr>
          <w:sz w:val="24"/>
          <w:szCs w:val="24"/>
        </w:rPr>
        <w:t xml:space="preserve"> og andre streptokokker er forårsaget af modifikationer af allerede eksisterende </w:t>
      </w:r>
      <w:proofErr w:type="spellStart"/>
      <w:r w:rsidRPr="00BE155D">
        <w:rPr>
          <w:sz w:val="24"/>
          <w:szCs w:val="24"/>
        </w:rPr>
        <w:t>PBP'er</w:t>
      </w:r>
      <w:proofErr w:type="spellEnd"/>
      <w:r w:rsidRPr="00BE155D">
        <w:rPr>
          <w:sz w:val="24"/>
          <w:szCs w:val="24"/>
        </w:rPr>
        <w:t xml:space="preserve"> som følge af en mutationsproces. I modsætning til dette vedrørende den </w:t>
      </w:r>
      <w:proofErr w:type="spellStart"/>
      <w:r w:rsidRPr="00BE155D">
        <w:rPr>
          <w:sz w:val="24"/>
          <w:szCs w:val="24"/>
        </w:rPr>
        <w:t>methicillin</w:t>
      </w:r>
      <w:proofErr w:type="spellEnd"/>
      <w:r w:rsidRPr="00BE155D">
        <w:rPr>
          <w:sz w:val="24"/>
          <w:szCs w:val="24"/>
        </w:rPr>
        <w:t>-(</w:t>
      </w:r>
      <w:proofErr w:type="spellStart"/>
      <w:r w:rsidRPr="00BE155D">
        <w:rPr>
          <w:sz w:val="24"/>
          <w:szCs w:val="24"/>
        </w:rPr>
        <w:t>oxacillin</w:t>
      </w:r>
      <w:proofErr w:type="spellEnd"/>
      <w:r w:rsidRPr="00BE155D">
        <w:rPr>
          <w:sz w:val="24"/>
          <w:szCs w:val="24"/>
        </w:rPr>
        <w:t xml:space="preserve">-)resistente stafylokokker, er dannelsen af en yderligere PBP med reduceret affinitet for </w:t>
      </w:r>
      <w:proofErr w:type="spellStart"/>
      <w:r w:rsidRPr="00BE155D">
        <w:rPr>
          <w:sz w:val="24"/>
          <w:szCs w:val="24"/>
        </w:rPr>
        <w:t>cefotaxim</w:t>
      </w:r>
      <w:proofErr w:type="spellEnd"/>
      <w:r w:rsidRPr="00BE155D">
        <w:rPr>
          <w:sz w:val="24"/>
          <w:szCs w:val="24"/>
        </w:rPr>
        <w:t xml:space="preserve"> ansvarlig for resistens.</w:t>
      </w:r>
    </w:p>
    <w:p w14:paraId="3AA279B8" w14:textId="77777777" w:rsidR="00BE155D" w:rsidRPr="00BE155D" w:rsidRDefault="00BE155D" w:rsidP="00E41EB5">
      <w:pPr>
        <w:numPr>
          <w:ilvl w:val="0"/>
          <w:numId w:val="6"/>
        </w:numPr>
        <w:tabs>
          <w:tab w:val="left" w:pos="851"/>
        </w:tabs>
        <w:ind w:left="1134" w:hanging="283"/>
        <w:rPr>
          <w:sz w:val="24"/>
          <w:szCs w:val="24"/>
        </w:rPr>
      </w:pPr>
      <w:r w:rsidRPr="00BE155D">
        <w:rPr>
          <w:sz w:val="24"/>
          <w:szCs w:val="24"/>
        </w:rPr>
        <w:t xml:space="preserve">Utilstrækkelig penetrering af </w:t>
      </w:r>
      <w:proofErr w:type="spellStart"/>
      <w:r w:rsidRPr="00BE155D">
        <w:rPr>
          <w:sz w:val="24"/>
          <w:szCs w:val="24"/>
        </w:rPr>
        <w:t>cefotaxim</w:t>
      </w:r>
      <w:proofErr w:type="spellEnd"/>
      <w:r w:rsidRPr="00BE155D">
        <w:rPr>
          <w:sz w:val="24"/>
          <w:szCs w:val="24"/>
        </w:rPr>
        <w:t xml:space="preserve"> gennem den ydre cellemembran af gramnegative bakterier, så hæmningen af </w:t>
      </w:r>
      <w:proofErr w:type="spellStart"/>
      <w:r w:rsidRPr="00BE155D">
        <w:rPr>
          <w:sz w:val="24"/>
          <w:szCs w:val="24"/>
        </w:rPr>
        <w:t>PBP'erne</w:t>
      </w:r>
      <w:proofErr w:type="spellEnd"/>
      <w:r w:rsidRPr="00BE155D">
        <w:rPr>
          <w:sz w:val="24"/>
          <w:szCs w:val="24"/>
        </w:rPr>
        <w:t xml:space="preserve"> er utilstrækkelig.</w:t>
      </w:r>
    </w:p>
    <w:p w14:paraId="06244E35" w14:textId="77777777" w:rsidR="00BE155D" w:rsidRPr="00BE155D" w:rsidRDefault="00BE155D" w:rsidP="00E41EB5">
      <w:pPr>
        <w:numPr>
          <w:ilvl w:val="0"/>
          <w:numId w:val="6"/>
        </w:numPr>
        <w:tabs>
          <w:tab w:val="left" w:pos="851"/>
        </w:tabs>
        <w:ind w:left="1134" w:hanging="283"/>
        <w:rPr>
          <w:sz w:val="24"/>
          <w:szCs w:val="24"/>
        </w:rPr>
      </w:pPr>
      <w:r w:rsidRPr="00BE155D">
        <w:rPr>
          <w:sz w:val="24"/>
          <w:szCs w:val="24"/>
        </w:rPr>
        <w:t>Tilstedeværelsen af transportmekanisme (</w:t>
      </w:r>
      <w:proofErr w:type="spellStart"/>
      <w:r w:rsidRPr="00BE155D">
        <w:rPr>
          <w:sz w:val="24"/>
          <w:szCs w:val="24"/>
        </w:rPr>
        <w:t>efflukspumper</w:t>
      </w:r>
      <w:proofErr w:type="spellEnd"/>
      <w:r w:rsidRPr="00BE155D">
        <w:rPr>
          <w:sz w:val="24"/>
          <w:szCs w:val="24"/>
        </w:rPr>
        <w:t xml:space="preserve">), der aktivt kan transportere </w:t>
      </w:r>
      <w:proofErr w:type="spellStart"/>
      <w:r w:rsidRPr="00BE155D">
        <w:rPr>
          <w:sz w:val="24"/>
          <w:szCs w:val="24"/>
        </w:rPr>
        <w:t>cefotaxim</w:t>
      </w:r>
      <w:proofErr w:type="spellEnd"/>
      <w:r w:rsidRPr="00BE155D">
        <w:rPr>
          <w:sz w:val="24"/>
          <w:szCs w:val="24"/>
        </w:rPr>
        <w:t xml:space="preserve"> ud af cellen. En komplet krydsresistens af </w:t>
      </w:r>
      <w:proofErr w:type="spellStart"/>
      <w:r w:rsidRPr="00BE155D">
        <w:rPr>
          <w:sz w:val="24"/>
          <w:szCs w:val="24"/>
        </w:rPr>
        <w:t>cefotaxim</w:t>
      </w:r>
      <w:proofErr w:type="spellEnd"/>
      <w:r w:rsidRPr="00BE155D">
        <w:rPr>
          <w:sz w:val="24"/>
          <w:szCs w:val="24"/>
        </w:rPr>
        <w:t xml:space="preserve"> forekommer med </w:t>
      </w:r>
      <w:proofErr w:type="spellStart"/>
      <w:r w:rsidRPr="00BE155D">
        <w:rPr>
          <w:sz w:val="24"/>
          <w:szCs w:val="24"/>
        </w:rPr>
        <w:t>ceftriaxon</w:t>
      </w:r>
      <w:proofErr w:type="spellEnd"/>
      <w:r w:rsidRPr="00BE155D">
        <w:rPr>
          <w:sz w:val="24"/>
          <w:szCs w:val="24"/>
        </w:rPr>
        <w:t xml:space="preserve"> og delvist med andre penicilliner og </w:t>
      </w:r>
      <w:proofErr w:type="spellStart"/>
      <w:r w:rsidRPr="00BE155D">
        <w:rPr>
          <w:sz w:val="24"/>
          <w:szCs w:val="24"/>
        </w:rPr>
        <w:t>cefalosporiner</w:t>
      </w:r>
      <w:proofErr w:type="spellEnd"/>
      <w:r w:rsidRPr="00BE155D">
        <w:rPr>
          <w:sz w:val="24"/>
          <w:szCs w:val="24"/>
        </w:rPr>
        <w:t>.</w:t>
      </w:r>
    </w:p>
    <w:p w14:paraId="39D8E9DF" w14:textId="77777777" w:rsidR="00BE155D" w:rsidRPr="00BE155D" w:rsidRDefault="00BE155D" w:rsidP="00BE155D">
      <w:pPr>
        <w:tabs>
          <w:tab w:val="left" w:pos="851"/>
        </w:tabs>
        <w:ind w:left="851"/>
        <w:rPr>
          <w:sz w:val="24"/>
          <w:szCs w:val="24"/>
        </w:rPr>
      </w:pPr>
    </w:p>
    <w:p w14:paraId="5190E6B4" w14:textId="77777777" w:rsidR="00BE155D" w:rsidRPr="00BE155D" w:rsidRDefault="00BE155D" w:rsidP="00BE155D">
      <w:pPr>
        <w:tabs>
          <w:tab w:val="left" w:pos="851"/>
        </w:tabs>
        <w:ind w:left="851"/>
        <w:rPr>
          <w:sz w:val="24"/>
          <w:szCs w:val="24"/>
          <w:u w:val="single"/>
        </w:rPr>
      </w:pPr>
      <w:r w:rsidRPr="00BE155D">
        <w:rPr>
          <w:sz w:val="24"/>
          <w:szCs w:val="24"/>
          <w:u w:val="single"/>
        </w:rPr>
        <w:t>Følsomhedstestnings-</w:t>
      </w:r>
      <w:proofErr w:type="spellStart"/>
      <w:r w:rsidRPr="00BE155D">
        <w:rPr>
          <w:sz w:val="24"/>
          <w:szCs w:val="24"/>
          <w:u w:val="single"/>
        </w:rPr>
        <w:t>breakpoints</w:t>
      </w:r>
      <w:proofErr w:type="spellEnd"/>
    </w:p>
    <w:p w14:paraId="3EEF674D" w14:textId="77777777" w:rsidR="00BE155D" w:rsidRPr="00BE155D" w:rsidRDefault="00BE155D" w:rsidP="00BE155D">
      <w:pPr>
        <w:tabs>
          <w:tab w:val="left" w:pos="851"/>
        </w:tabs>
        <w:ind w:left="851"/>
        <w:rPr>
          <w:sz w:val="24"/>
          <w:szCs w:val="24"/>
          <w:u w:val="single"/>
        </w:rPr>
      </w:pPr>
      <w:proofErr w:type="spellStart"/>
      <w:r w:rsidRPr="00BE155D">
        <w:rPr>
          <w:sz w:val="24"/>
          <w:szCs w:val="24"/>
        </w:rPr>
        <w:t>Breakpoints</w:t>
      </w:r>
      <w:proofErr w:type="spellEnd"/>
      <w:r w:rsidRPr="00BE155D">
        <w:rPr>
          <w:sz w:val="24"/>
          <w:szCs w:val="24"/>
        </w:rPr>
        <w:t xml:space="preserve"> for minimal hæmmende koncentration (</w:t>
      </w:r>
      <w:r w:rsidRPr="00BE155D">
        <w:rPr>
          <w:i/>
          <w:iCs/>
          <w:sz w:val="24"/>
          <w:szCs w:val="24"/>
        </w:rPr>
        <w:t xml:space="preserve">minimum </w:t>
      </w:r>
      <w:proofErr w:type="spellStart"/>
      <w:r w:rsidRPr="00BE155D">
        <w:rPr>
          <w:i/>
          <w:iCs/>
          <w:sz w:val="24"/>
          <w:szCs w:val="24"/>
        </w:rPr>
        <w:t>inhibitory</w:t>
      </w:r>
      <w:proofErr w:type="spellEnd"/>
      <w:r w:rsidRPr="00BE155D">
        <w:rPr>
          <w:i/>
          <w:iCs/>
          <w:sz w:val="24"/>
          <w:szCs w:val="24"/>
        </w:rPr>
        <w:t xml:space="preserve"> </w:t>
      </w:r>
      <w:proofErr w:type="spellStart"/>
      <w:r w:rsidRPr="00BE155D">
        <w:rPr>
          <w:i/>
          <w:iCs/>
          <w:sz w:val="24"/>
          <w:szCs w:val="24"/>
        </w:rPr>
        <w:t>concentration</w:t>
      </w:r>
      <w:proofErr w:type="spellEnd"/>
      <w:r w:rsidRPr="00BE155D">
        <w:rPr>
          <w:i/>
          <w:iCs/>
          <w:sz w:val="24"/>
          <w:szCs w:val="24"/>
        </w:rPr>
        <w:t>,</w:t>
      </w:r>
      <w:r w:rsidRPr="00BE155D">
        <w:rPr>
          <w:sz w:val="24"/>
          <w:szCs w:val="24"/>
        </w:rPr>
        <w:t xml:space="preserve"> MIC) fastsat af </w:t>
      </w:r>
      <w:r w:rsidRPr="00BE155D">
        <w:rPr>
          <w:i/>
          <w:iCs/>
          <w:sz w:val="24"/>
          <w:szCs w:val="24"/>
        </w:rPr>
        <w:t xml:space="preserve">European </w:t>
      </w:r>
      <w:proofErr w:type="spellStart"/>
      <w:r w:rsidRPr="00BE155D">
        <w:rPr>
          <w:i/>
          <w:iCs/>
          <w:sz w:val="24"/>
          <w:szCs w:val="24"/>
        </w:rPr>
        <w:t>Committee</w:t>
      </w:r>
      <w:proofErr w:type="spellEnd"/>
      <w:r w:rsidRPr="00BE155D">
        <w:rPr>
          <w:i/>
          <w:iCs/>
          <w:sz w:val="24"/>
          <w:szCs w:val="24"/>
        </w:rPr>
        <w:t xml:space="preserve"> on </w:t>
      </w:r>
      <w:proofErr w:type="spellStart"/>
      <w:r w:rsidRPr="00BE155D">
        <w:rPr>
          <w:i/>
          <w:iCs/>
          <w:sz w:val="24"/>
          <w:szCs w:val="24"/>
        </w:rPr>
        <w:t>Antimicrobial</w:t>
      </w:r>
      <w:proofErr w:type="spellEnd"/>
      <w:r w:rsidRPr="00BE155D">
        <w:rPr>
          <w:i/>
          <w:iCs/>
          <w:sz w:val="24"/>
          <w:szCs w:val="24"/>
        </w:rPr>
        <w:t xml:space="preserve"> </w:t>
      </w:r>
      <w:proofErr w:type="spellStart"/>
      <w:r w:rsidRPr="00BE155D">
        <w:rPr>
          <w:i/>
          <w:iCs/>
          <w:sz w:val="24"/>
          <w:szCs w:val="24"/>
        </w:rPr>
        <w:t>Susceptibility</w:t>
      </w:r>
      <w:proofErr w:type="spellEnd"/>
      <w:r w:rsidRPr="00BE155D">
        <w:rPr>
          <w:i/>
          <w:iCs/>
          <w:sz w:val="24"/>
          <w:szCs w:val="24"/>
        </w:rPr>
        <w:t xml:space="preserve"> </w:t>
      </w:r>
      <w:proofErr w:type="spellStart"/>
      <w:r w:rsidRPr="00BE155D">
        <w:rPr>
          <w:i/>
          <w:iCs/>
          <w:sz w:val="24"/>
          <w:szCs w:val="24"/>
        </w:rPr>
        <w:t>Testing</w:t>
      </w:r>
      <w:proofErr w:type="spellEnd"/>
      <w:r w:rsidRPr="00BE155D">
        <w:rPr>
          <w:sz w:val="24"/>
          <w:szCs w:val="24"/>
        </w:rPr>
        <w:t xml:space="preserve"> (EUCAST) for </w:t>
      </w:r>
      <w:proofErr w:type="spellStart"/>
      <w:r w:rsidRPr="00BE155D">
        <w:rPr>
          <w:sz w:val="24"/>
          <w:szCs w:val="24"/>
        </w:rPr>
        <w:t>cefotaxim</w:t>
      </w:r>
      <w:proofErr w:type="spellEnd"/>
      <w:r w:rsidRPr="00BE155D">
        <w:rPr>
          <w:sz w:val="24"/>
          <w:szCs w:val="24"/>
        </w:rPr>
        <w:t xml:space="preserve"> kan ses på følgende websted: </w:t>
      </w:r>
      <w:hyperlink r:id="rId8" w:history="1">
        <w:r w:rsidRPr="00BE155D">
          <w:rPr>
            <w:rStyle w:val="Hyperlink"/>
            <w:sz w:val="24"/>
            <w:szCs w:val="24"/>
          </w:rPr>
          <w:t>https://www.ema.europa.eu/documents/other/minimum-inhibitory-concentration-mic-breakpoints_en.xlsx</w:t>
        </w:r>
      </w:hyperlink>
    </w:p>
    <w:p w14:paraId="67EC76EB" w14:textId="77777777" w:rsidR="009260DE" w:rsidRPr="00C84483" w:rsidRDefault="009260DE" w:rsidP="009260DE">
      <w:pPr>
        <w:tabs>
          <w:tab w:val="left" w:pos="851"/>
        </w:tabs>
        <w:ind w:left="851"/>
        <w:rPr>
          <w:sz w:val="24"/>
          <w:szCs w:val="24"/>
        </w:rPr>
      </w:pPr>
    </w:p>
    <w:p w14:paraId="759B1678"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14:paraId="323BC69C" w14:textId="77777777" w:rsidR="00DD35CE" w:rsidRPr="00DD35CE" w:rsidRDefault="00DD35CE" w:rsidP="00DD35CE">
      <w:pPr>
        <w:tabs>
          <w:tab w:val="left" w:pos="851"/>
        </w:tabs>
        <w:ind w:left="851"/>
        <w:rPr>
          <w:sz w:val="24"/>
          <w:szCs w:val="24"/>
        </w:rPr>
      </w:pPr>
    </w:p>
    <w:p w14:paraId="093C0378" w14:textId="77777777" w:rsidR="00DD35CE" w:rsidRPr="00DD35CE" w:rsidRDefault="00DD35CE" w:rsidP="00DD35CE">
      <w:pPr>
        <w:tabs>
          <w:tab w:val="left" w:pos="851"/>
        </w:tabs>
        <w:ind w:left="851"/>
        <w:rPr>
          <w:sz w:val="24"/>
          <w:szCs w:val="24"/>
          <w:u w:val="single"/>
        </w:rPr>
      </w:pPr>
      <w:r w:rsidRPr="00DD35CE">
        <w:rPr>
          <w:sz w:val="24"/>
          <w:szCs w:val="24"/>
          <w:u w:val="single"/>
        </w:rPr>
        <w:t>Farmakokinetik</w:t>
      </w:r>
    </w:p>
    <w:p w14:paraId="3A3F2F2E" w14:textId="2F271421" w:rsidR="00DD35CE" w:rsidRPr="00DD35CE" w:rsidRDefault="00DD35CE" w:rsidP="00DD35CE">
      <w:pPr>
        <w:tabs>
          <w:tab w:val="left" w:pos="851"/>
        </w:tabs>
        <w:ind w:left="851"/>
        <w:rPr>
          <w:sz w:val="24"/>
          <w:szCs w:val="24"/>
        </w:rPr>
      </w:pPr>
      <w:r w:rsidRPr="00DD35CE">
        <w:rPr>
          <w:sz w:val="24"/>
          <w:szCs w:val="24"/>
        </w:rPr>
        <w:t xml:space="preserve">Efter en intravenøs </w:t>
      </w:r>
      <w:proofErr w:type="spellStart"/>
      <w:r w:rsidRPr="00DD35CE">
        <w:rPr>
          <w:sz w:val="24"/>
          <w:szCs w:val="24"/>
        </w:rPr>
        <w:t>bolus</w:t>
      </w:r>
      <w:proofErr w:type="spellEnd"/>
      <w:r w:rsidRPr="00DD35CE">
        <w:rPr>
          <w:sz w:val="24"/>
          <w:szCs w:val="24"/>
        </w:rPr>
        <w:t xml:space="preserve"> på 1000 mg ligger den gennemsnitlige maksimale plasmakoncentration af </w:t>
      </w:r>
      <w:proofErr w:type="spellStart"/>
      <w:r w:rsidRPr="00DD35CE">
        <w:rPr>
          <w:sz w:val="24"/>
          <w:szCs w:val="24"/>
        </w:rPr>
        <w:t>cefotaxim</w:t>
      </w:r>
      <w:proofErr w:type="spellEnd"/>
      <w:r w:rsidRPr="00DD35CE">
        <w:rPr>
          <w:sz w:val="24"/>
          <w:szCs w:val="24"/>
        </w:rPr>
        <w:t xml:space="preserve"> normalt fra 81 til 102 mikrogram/ml. Doser på 500 mg og 2000 mg giver plasmakoncentrationer på henholdsvis 38 og 200 mikrogram/ml. Der er ingen akkumulering efter administration af 1000 mg intravenøst eller 500 mg intramuskulært i 10 eller 14 dage.</w:t>
      </w:r>
    </w:p>
    <w:p w14:paraId="2501CFC1" w14:textId="77777777" w:rsidR="00DD35CE" w:rsidRPr="00DD35CE" w:rsidRDefault="00DD35CE" w:rsidP="00DD35CE">
      <w:pPr>
        <w:tabs>
          <w:tab w:val="left" w:pos="851"/>
        </w:tabs>
        <w:ind w:left="851"/>
        <w:rPr>
          <w:sz w:val="24"/>
          <w:szCs w:val="24"/>
        </w:rPr>
      </w:pPr>
    </w:p>
    <w:p w14:paraId="518BE2FF" w14:textId="77777777" w:rsidR="00DD35CE" w:rsidRPr="00DD35CE" w:rsidRDefault="00DD35CE" w:rsidP="00DD35CE">
      <w:pPr>
        <w:tabs>
          <w:tab w:val="left" w:pos="851"/>
        </w:tabs>
        <w:ind w:left="851"/>
        <w:rPr>
          <w:sz w:val="24"/>
          <w:szCs w:val="24"/>
        </w:rPr>
      </w:pPr>
      <w:r w:rsidRPr="00DD35CE">
        <w:rPr>
          <w:sz w:val="24"/>
          <w:szCs w:val="24"/>
        </w:rPr>
        <w:t xml:space="preserve">Det tilsyneladende fordelingsvolumen ved </w:t>
      </w:r>
      <w:proofErr w:type="spellStart"/>
      <w:r w:rsidRPr="00DD35CE">
        <w:rPr>
          <w:i/>
          <w:iCs/>
          <w:sz w:val="24"/>
          <w:szCs w:val="24"/>
        </w:rPr>
        <w:t>steady-state</w:t>
      </w:r>
      <w:proofErr w:type="spellEnd"/>
      <w:r w:rsidRPr="00DD35CE">
        <w:rPr>
          <w:sz w:val="24"/>
          <w:szCs w:val="24"/>
        </w:rPr>
        <w:t xml:space="preserve"> af </w:t>
      </w:r>
      <w:proofErr w:type="spellStart"/>
      <w:r w:rsidRPr="00DD35CE">
        <w:rPr>
          <w:sz w:val="24"/>
          <w:szCs w:val="24"/>
        </w:rPr>
        <w:t>cefotaxim</w:t>
      </w:r>
      <w:proofErr w:type="spellEnd"/>
      <w:r w:rsidRPr="00DD35CE">
        <w:rPr>
          <w:sz w:val="24"/>
          <w:szCs w:val="24"/>
        </w:rPr>
        <w:t xml:space="preserve"> er 21,6 l/1,73 m</w:t>
      </w:r>
      <w:r w:rsidRPr="00DD35CE">
        <w:rPr>
          <w:sz w:val="24"/>
          <w:szCs w:val="24"/>
          <w:vertAlign w:val="superscript"/>
        </w:rPr>
        <w:t>2</w:t>
      </w:r>
      <w:r w:rsidRPr="00DD35CE">
        <w:rPr>
          <w:sz w:val="24"/>
          <w:szCs w:val="24"/>
        </w:rPr>
        <w:t xml:space="preserve"> efter 1 g intravenøs 30 minutters infusion.</w:t>
      </w:r>
    </w:p>
    <w:p w14:paraId="7E904034" w14:textId="77777777" w:rsidR="00DD35CE" w:rsidRPr="00DD35CE" w:rsidRDefault="00DD35CE" w:rsidP="00DD35CE">
      <w:pPr>
        <w:tabs>
          <w:tab w:val="left" w:pos="851"/>
        </w:tabs>
        <w:ind w:left="851"/>
        <w:rPr>
          <w:sz w:val="24"/>
          <w:szCs w:val="24"/>
        </w:rPr>
      </w:pPr>
    </w:p>
    <w:p w14:paraId="7EFBF67C" w14:textId="77777777" w:rsidR="00DD35CE" w:rsidRPr="00DD35CE" w:rsidRDefault="00DD35CE" w:rsidP="00DD35CE">
      <w:pPr>
        <w:tabs>
          <w:tab w:val="left" w:pos="851"/>
        </w:tabs>
        <w:ind w:left="851"/>
        <w:rPr>
          <w:sz w:val="24"/>
          <w:szCs w:val="24"/>
        </w:rPr>
      </w:pPr>
      <w:r w:rsidRPr="00DD35CE">
        <w:rPr>
          <w:sz w:val="24"/>
          <w:szCs w:val="24"/>
        </w:rPr>
        <w:t xml:space="preserve">Koncentrationer af </w:t>
      </w:r>
      <w:proofErr w:type="spellStart"/>
      <w:r w:rsidRPr="00DD35CE">
        <w:rPr>
          <w:sz w:val="24"/>
          <w:szCs w:val="24"/>
        </w:rPr>
        <w:t>cefotaxim</w:t>
      </w:r>
      <w:proofErr w:type="spellEnd"/>
      <w:r w:rsidRPr="00DD35CE">
        <w:rPr>
          <w:sz w:val="24"/>
          <w:szCs w:val="24"/>
        </w:rPr>
        <w:t xml:space="preserve"> (normalt bestemt ved ikke-selektiv analyse) er blevet undersøgt i en lang række væv og væsker i menneskekroppen. Cerebrospinalvæskekoncentrationerne er lave, når hjernehinderne ikke er betændte, men er fra 3 til 30 mikrogram/ml hos børn med meningitis.</w:t>
      </w:r>
    </w:p>
    <w:p w14:paraId="232BECF5" w14:textId="77777777" w:rsidR="00DD35CE" w:rsidRPr="00DD35CE" w:rsidRDefault="00DD35CE" w:rsidP="00DD35CE">
      <w:pPr>
        <w:tabs>
          <w:tab w:val="left" w:pos="851"/>
        </w:tabs>
        <w:ind w:left="851"/>
        <w:rPr>
          <w:sz w:val="24"/>
          <w:szCs w:val="24"/>
        </w:rPr>
      </w:pPr>
    </w:p>
    <w:p w14:paraId="672E3ADC" w14:textId="77777777" w:rsidR="00DD35CE" w:rsidRPr="00DD35CE" w:rsidRDefault="00DD35CE" w:rsidP="00DD35CE">
      <w:pPr>
        <w:tabs>
          <w:tab w:val="left" w:pos="851"/>
        </w:tabs>
        <w:ind w:left="851"/>
        <w:rPr>
          <w:sz w:val="24"/>
          <w:szCs w:val="24"/>
        </w:rPr>
      </w:pPr>
      <w:proofErr w:type="spellStart"/>
      <w:r w:rsidRPr="00DD35CE">
        <w:rPr>
          <w:sz w:val="24"/>
          <w:szCs w:val="24"/>
        </w:rPr>
        <w:t>Cefotaxim</w:t>
      </w:r>
      <w:proofErr w:type="spellEnd"/>
      <w:r w:rsidRPr="00DD35CE">
        <w:rPr>
          <w:sz w:val="24"/>
          <w:szCs w:val="24"/>
        </w:rPr>
        <w:t xml:space="preserve"> passerer normalt blod-hjerne-barrieren i niveauer over MIC for almindelige følsomme </w:t>
      </w:r>
      <w:proofErr w:type="spellStart"/>
      <w:r w:rsidRPr="00DD35CE">
        <w:rPr>
          <w:sz w:val="24"/>
          <w:szCs w:val="24"/>
        </w:rPr>
        <w:t>patogener</w:t>
      </w:r>
      <w:proofErr w:type="spellEnd"/>
      <w:r w:rsidRPr="00DD35CE">
        <w:rPr>
          <w:sz w:val="24"/>
          <w:szCs w:val="24"/>
        </w:rPr>
        <w:t>, når hjernehinderne er betændte. Koncentrationer (0,2</w:t>
      </w:r>
      <w:r w:rsidRPr="00DD35CE">
        <w:rPr>
          <w:sz w:val="24"/>
          <w:szCs w:val="24"/>
        </w:rPr>
        <w:noBreakHyphen/>
        <w:t xml:space="preserve">5,4 mikrogram/ml), der hæmmer de fleste gramnegative bakterier, opnås i </w:t>
      </w:r>
      <w:proofErr w:type="spellStart"/>
      <w:r w:rsidRPr="00DD35CE">
        <w:rPr>
          <w:sz w:val="24"/>
          <w:szCs w:val="24"/>
        </w:rPr>
        <w:t>purulent</w:t>
      </w:r>
      <w:proofErr w:type="spellEnd"/>
      <w:r w:rsidRPr="00DD35CE">
        <w:rPr>
          <w:sz w:val="24"/>
          <w:szCs w:val="24"/>
        </w:rPr>
        <w:t xml:space="preserve"> </w:t>
      </w:r>
      <w:proofErr w:type="spellStart"/>
      <w:r w:rsidRPr="00DD35CE">
        <w:rPr>
          <w:sz w:val="24"/>
          <w:szCs w:val="24"/>
        </w:rPr>
        <w:t>sputum</w:t>
      </w:r>
      <w:proofErr w:type="spellEnd"/>
      <w:r w:rsidRPr="00DD35CE">
        <w:rPr>
          <w:sz w:val="24"/>
          <w:szCs w:val="24"/>
        </w:rPr>
        <w:t xml:space="preserve">, bronkiesekret og pleuravæske efter doser på 1 eller 2 g. Koncentrationer, der sandsynligvis er effektive mod de fleste følsomme organismer, opnås på samme måde i kvindelige reproduktionsorganer, </w:t>
      </w:r>
      <w:proofErr w:type="spellStart"/>
      <w:r w:rsidRPr="00DD35CE">
        <w:rPr>
          <w:sz w:val="24"/>
          <w:szCs w:val="24"/>
        </w:rPr>
        <w:t>otitis</w:t>
      </w:r>
      <w:proofErr w:type="spellEnd"/>
      <w:r w:rsidRPr="00DD35CE">
        <w:rPr>
          <w:sz w:val="24"/>
          <w:szCs w:val="24"/>
        </w:rPr>
        <w:t xml:space="preserve"> media-</w:t>
      </w:r>
      <w:proofErr w:type="spellStart"/>
      <w:r w:rsidRPr="00DD35CE">
        <w:rPr>
          <w:sz w:val="24"/>
          <w:szCs w:val="24"/>
        </w:rPr>
        <w:t>effusioner</w:t>
      </w:r>
      <w:proofErr w:type="spellEnd"/>
      <w:r w:rsidRPr="00DD35CE">
        <w:rPr>
          <w:sz w:val="24"/>
          <w:szCs w:val="24"/>
        </w:rPr>
        <w:t xml:space="preserve">, prostatavæv, </w:t>
      </w:r>
      <w:proofErr w:type="spellStart"/>
      <w:r w:rsidRPr="00DD35CE">
        <w:rPr>
          <w:sz w:val="24"/>
          <w:szCs w:val="24"/>
        </w:rPr>
        <w:t>interstitialvæske</w:t>
      </w:r>
      <w:proofErr w:type="spellEnd"/>
      <w:r w:rsidRPr="00DD35CE">
        <w:rPr>
          <w:sz w:val="24"/>
          <w:szCs w:val="24"/>
        </w:rPr>
        <w:t xml:space="preserve">, nyrevæv, </w:t>
      </w:r>
      <w:proofErr w:type="spellStart"/>
      <w:r w:rsidRPr="00DD35CE">
        <w:rPr>
          <w:sz w:val="24"/>
          <w:szCs w:val="24"/>
        </w:rPr>
        <w:t>peritonealvæske</w:t>
      </w:r>
      <w:proofErr w:type="spellEnd"/>
      <w:r w:rsidRPr="00DD35CE">
        <w:rPr>
          <w:sz w:val="24"/>
          <w:szCs w:val="24"/>
        </w:rPr>
        <w:t xml:space="preserve"> og galdeblærevæggen efter sædvanlige terapeutiske doser. Høje koncentrationer af </w:t>
      </w:r>
      <w:proofErr w:type="spellStart"/>
      <w:r w:rsidRPr="00DD35CE">
        <w:rPr>
          <w:sz w:val="24"/>
          <w:szCs w:val="24"/>
        </w:rPr>
        <w:t>cefotaxim</w:t>
      </w:r>
      <w:proofErr w:type="spellEnd"/>
      <w:r w:rsidRPr="00DD35CE">
        <w:rPr>
          <w:sz w:val="24"/>
          <w:szCs w:val="24"/>
        </w:rPr>
        <w:t xml:space="preserve"> og </w:t>
      </w:r>
      <w:proofErr w:type="spellStart"/>
      <w:r w:rsidRPr="00DD35CE">
        <w:rPr>
          <w:sz w:val="24"/>
          <w:szCs w:val="24"/>
        </w:rPr>
        <w:t>desacetyl-cefotaxim</w:t>
      </w:r>
      <w:proofErr w:type="spellEnd"/>
      <w:r w:rsidRPr="00DD35CE">
        <w:rPr>
          <w:sz w:val="24"/>
          <w:szCs w:val="24"/>
        </w:rPr>
        <w:t xml:space="preserve"> opnås i galden.</w:t>
      </w:r>
    </w:p>
    <w:p w14:paraId="7394EB2D" w14:textId="77777777" w:rsidR="00DD35CE" w:rsidRPr="00DD35CE" w:rsidRDefault="00DD35CE" w:rsidP="00DD35CE">
      <w:pPr>
        <w:tabs>
          <w:tab w:val="left" w:pos="851"/>
        </w:tabs>
        <w:ind w:left="851"/>
        <w:rPr>
          <w:sz w:val="24"/>
          <w:szCs w:val="24"/>
        </w:rPr>
      </w:pPr>
    </w:p>
    <w:p w14:paraId="330F14B6" w14:textId="77777777" w:rsidR="00DD35CE" w:rsidRPr="00DD35CE" w:rsidRDefault="00DD35CE" w:rsidP="00DD35CE">
      <w:pPr>
        <w:tabs>
          <w:tab w:val="left" w:pos="851"/>
        </w:tabs>
        <w:ind w:left="851"/>
        <w:rPr>
          <w:sz w:val="24"/>
          <w:szCs w:val="24"/>
        </w:rPr>
      </w:pPr>
      <w:proofErr w:type="spellStart"/>
      <w:r w:rsidRPr="00DD35CE">
        <w:rPr>
          <w:sz w:val="24"/>
          <w:szCs w:val="24"/>
        </w:rPr>
        <w:t>Cefotaxim</w:t>
      </w:r>
      <w:proofErr w:type="spellEnd"/>
      <w:r w:rsidRPr="00DD35CE">
        <w:rPr>
          <w:sz w:val="24"/>
          <w:szCs w:val="24"/>
        </w:rPr>
        <w:t xml:space="preserve"> </w:t>
      </w:r>
      <w:proofErr w:type="spellStart"/>
      <w:r w:rsidRPr="00DD35CE">
        <w:rPr>
          <w:sz w:val="24"/>
          <w:szCs w:val="24"/>
        </w:rPr>
        <w:t>metaboliseres</w:t>
      </w:r>
      <w:proofErr w:type="spellEnd"/>
      <w:r w:rsidRPr="00DD35CE">
        <w:rPr>
          <w:sz w:val="24"/>
          <w:szCs w:val="24"/>
        </w:rPr>
        <w:t xml:space="preserve"> delvist før udskillelse. Hovedmetabolitten er det mikrobiologisk aktive produkt, </w:t>
      </w:r>
      <w:proofErr w:type="spellStart"/>
      <w:r w:rsidRPr="00DD35CE">
        <w:rPr>
          <w:sz w:val="24"/>
          <w:szCs w:val="24"/>
        </w:rPr>
        <w:t>desacetyl-cefotaxim</w:t>
      </w:r>
      <w:proofErr w:type="spellEnd"/>
      <w:r w:rsidRPr="00DD35CE">
        <w:rPr>
          <w:sz w:val="24"/>
          <w:szCs w:val="24"/>
        </w:rPr>
        <w:t xml:space="preserve">. Det meste af en dosis </w:t>
      </w:r>
      <w:proofErr w:type="spellStart"/>
      <w:r w:rsidRPr="00DD35CE">
        <w:rPr>
          <w:sz w:val="24"/>
          <w:szCs w:val="24"/>
        </w:rPr>
        <w:t>cefotaxim</w:t>
      </w:r>
      <w:proofErr w:type="spellEnd"/>
      <w:r w:rsidRPr="00DD35CE">
        <w:rPr>
          <w:sz w:val="24"/>
          <w:szCs w:val="24"/>
        </w:rPr>
        <w:t xml:space="preserve"> udskilles i urinen ca. 60 % som </w:t>
      </w:r>
      <w:proofErr w:type="spellStart"/>
      <w:r w:rsidRPr="00DD35CE">
        <w:rPr>
          <w:sz w:val="24"/>
          <w:szCs w:val="24"/>
        </w:rPr>
        <w:t>uomdannet</w:t>
      </w:r>
      <w:proofErr w:type="spellEnd"/>
      <w:r w:rsidRPr="00DD35CE">
        <w:rPr>
          <w:sz w:val="24"/>
          <w:szCs w:val="24"/>
        </w:rPr>
        <w:t xml:space="preserve"> lægemiddel og yderligere 24 % som </w:t>
      </w:r>
      <w:proofErr w:type="spellStart"/>
      <w:r w:rsidRPr="00DD35CE">
        <w:rPr>
          <w:sz w:val="24"/>
          <w:szCs w:val="24"/>
        </w:rPr>
        <w:t>desacetyl-cefotaxim</w:t>
      </w:r>
      <w:proofErr w:type="spellEnd"/>
      <w:r w:rsidRPr="00DD35CE">
        <w:rPr>
          <w:sz w:val="24"/>
          <w:szCs w:val="24"/>
        </w:rPr>
        <w:t xml:space="preserve">. </w:t>
      </w:r>
      <w:proofErr w:type="spellStart"/>
      <w:r w:rsidRPr="00DD35CE">
        <w:rPr>
          <w:sz w:val="24"/>
          <w:szCs w:val="24"/>
        </w:rPr>
        <w:t>Plasmaclearance</w:t>
      </w:r>
      <w:proofErr w:type="spellEnd"/>
      <w:r w:rsidRPr="00DD35CE">
        <w:rPr>
          <w:sz w:val="24"/>
          <w:szCs w:val="24"/>
        </w:rPr>
        <w:t xml:space="preserve"> rapporteres til at være fra 260 til 390 ml/minut og </w:t>
      </w:r>
      <w:proofErr w:type="spellStart"/>
      <w:r w:rsidRPr="00DD35CE">
        <w:rPr>
          <w:sz w:val="24"/>
          <w:szCs w:val="24"/>
        </w:rPr>
        <w:t>nyreclearance</w:t>
      </w:r>
      <w:proofErr w:type="spellEnd"/>
      <w:r w:rsidRPr="00DD35CE">
        <w:rPr>
          <w:sz w:val="24"/>
          <w:szCs w:val="24"/>
        </w:rPr>
        <w:t xml:space="preserve"> fra 145 til 217 ml/minut.</w:t>
      </w:r>
    </w:p>
    <w:p w14:paraId="649A4B3A" w14:textId="77777777" w:rsidR="00DD35CE" w:rsidRPr="00DD35CE" w:rsidRDefault="00DD35CE" w:rsidP="00DD35CE">
      <w:pPr>
        <w:tabs>
          <w:tab w:val="left" w:pos="851"/>
        </w:tabs>
        <w:ind w:left="851"/>
        <w:rPr>
          <w:sz w:val="24"/>
          <w:szCs w:val="24"/>
        </w:rPr>
      </w:pPr>
    </w:p>
    <w:p w14:paraId="0E44EA5B" w14:textId="6A8799B2" w:rsidR="00DD35CE" w:rsidRPr="00DD35CE" w:rsidRDefault="00DD35CE" w:rsidP="00DD35CE">
      <w:pPr>
        <w:tabs>
          <w:tab w:val="left" w:pos="851"/>
        </w:tabs>
        <w:ind w:left="851"/>
        <w:rPr>
          <w:sz w:val="24"/>
          <w:szCs w:val="24"/>
        </w:rPr>
      </w:pPr>
      <w:r w:rsidRPr="00DD35CE">
        <w:rPr>
          <w:sz w:val="24"/>
          <w:szCs w:val="24"/>
        </w:rPr>
        <w:t xml:space="preserve">Efter intravenøs administration af </w:t>
      </w:r>
      <w:proofErr w:type="spellStart"/>
      <w:r w:rsidRPr="00DD35CE">
        <w:rPr>
          <w:sz w:val="24"/>
          <w:szCs w:val="24"/>
        </w:rPr>
        <w:t>cefotaxim</w:t>
      </w:r>
      <w:proofErr w:type="spellEnd"/>
      <w:r w:rsidRPr="00DD35CE">
        <w:rPr>
          <w:sz w:val="24"/>
          <w:szCs w:val="24"/>
        </w:rPr>
        <w:t xml:space="preserve"> til raske voksne er eliminations</w:t>
      </w:r>
      <w:r w:rsidR="00DA52BE">
        <w:rPr>
          <w:sz w:val="24"/>
          <w:szCs w:val="24"/>
        </w:rPr>
        <w:softHyphen/>
      </w:r>
      <w:r w:rsidRPr="00DD35CE">
        <w:rPr>
          <w:sz w:val="24"/>
          <w:szCs w:val="24"/>
        </w:rPr>
        <w:t xml:space="preserve">halveringstiden for udgangsstoffet 0,9 til 1,14 timer og for </w:t>
      </w:r>
      <w:proofErr w:type="spellStart"/>
      <w:r w:rsidRPr="00DD35CE">
        <w:rPr>
          <w:sz w:val="24"/>
          <w:szCs w:val="24"/>
        </w:rPr>
        <w:t>desacetylmetabolitten</w:t>
      </w:r>
      <w:proofErr w:type="spellEnd"/>
      <w:r w:rsidRPr="00DD35CE">
        <w:rPr>
          <w:sz w:val="24"/>
          <w:szCs w:val="24"/>
        </w:rPr>
        <w:t xml:space="preserve"> ca. 1,3 timer.</w:t>
      </w:r>
    </w:p>
    <w:p w14:paraId="04DF6952" w14:textId="77777777" w:rsidR="00DD35CE" w:rsidRPr="00DD35CE" w:rsidRDefault="00DD35CE" w:rsidP="00DD35CE">
      <w:pPr>
        <w:tabs>
          <w:tab w:val="left" w:pos="851"/>
        </w:tabs>
        <w:ind w:left="851"/>
        <w:rPr>
          <w:sz w:val="24"/>
          <w:szCs w:val="24"/>
        </w:rPr>
      </w:pPr>
    </w:p>
    <w:p w14:paraId="09D8347A" w14:textId="77777777" w:rsidR="00DD35CE" w:rsidRPr="00DD35CE" w:rsidRDefault="00DD35CE" w:rsidP="00DD35CE">
      <w:pPr>
        <w:tabs>
          <w:tab w:val="left" w:pos="851"/>
        </w:tabs>
        <w:ind w:left="851"/>
        <w:rPr>
          <w:sz w:val="24"/>
          <w:szCs w:val="24"/>
        </w:rPr>
      </w:pPr>
      <w:r w:rsidRPr="00DD35CE">
        <w:rPr>
          <w:sz w:val="24"/>
          <w:szCs w:val="24"/>
        </w:rPr>
        <w:t xml:space="preserve">Hos nyfødte påvirkes farmakokinetikken af </w:t>
      </w:r>
      <w:proofErr w:type="spellStart"/>
      <w:r w:rsidRPr="00DD35CE">
        <w:rPr>
          <w:sz w:val="24"/>
          <w:szCs w:val="24"/>
        </w:rPr>
        <w:t>gestationsalderen</w:t>
      </w:r>
      <w:proofErr w:type="spellEnd"/>
      <w:r w:rsidRPr="00DD35CE">
        <w:rPr>
          <w:sz w:val="24"/>
          <w:szCs w:val="24"/>
        </w:rPr>
        <w:t xml:space="preserve"> og kronologisk alder, idet halveringstiden er forlænget hos for tidligt fødte og nyfødte med lav fødselsvægt på samme alder.</w:t>
      </w:r>
    </w:p>
    <w:p w14:paraId="4661DCF3" w14:textId="77777777" w:rsidR="00DD35CE" w:rsidRPr="00DD35CE" w:rsidRDefault="00DD35CE" w:rsidP="00DD35CE">
      <w:pPr>
        <w:tabs>
          <w:tab w:val="left" w:pos="851"/>
        </w:tabs>
        <w:ind w:left="851"/>
        <w:rPr>
          <w:sz w:val="24"/>
          <w:szCs w:val="24"/>
        </w:rPr>
      </w:pPr>
    </w:p>
    <w:p w14:paraId="33662BB2" w14:textId="77777777" w:rsidR="00DD35CE" w:rsidRPr="00DD35CE" w:rsidRDefault="00DD35CE" w:rsidP="00DD35CE">
      <w:pPr>
        <w:tabs>
          <w:tab w:val="left" w:pos="851"/>
        </w:tabs>
        <w:ind w:left="851"/>
        <w:rPr>
          <w:sz w:val="24"/>
          <w:szCs w:val="24"/>
        </w:rPr>
      </w:pPr>
      <w:r w:rsidRPr="00DD35CE">
        <w:rPr>
          <w:sz w:val="24"/>
          <w:szCs w:val="24"/>
        </w:rPr>
        <w:t xml:space="preserve">Ved svær nyredysfunktion øges eliminationshalveringstiden for selve </w:t>
      </w:r>
      <w:proofErr w:type="spellStart"/>
      <w:r w:rsidRPr="00DD35CE">
        <w:rPr>
          <w:sz w:val="24"/>
          <w:szCs w:val="24"/>
        </w:rPr>
        <w:t>cefotaxim</w:t>
      </w:r>
      <w:proofErr w:type="spellEnd"/>
      <w:r w:rsidRPr="00DD35CE">
        <w:rPr>
          <w:sz w:val="24"/>
          <w:szCs w:val="24"/>
        </w:rPr>
        <w:t xml:space="preserve"> minimalt til ca. 2,5 timer, hvorimod den for </w:t>
      </w:r>
      <w:proofErr w:type="spellStart"/>
      <w:r w:rsidRPr="00DD35CE">
        <w:rPr>
          <w:sz w:val="24"/>
          <w:szCs w:val="24"/>
        </w:rPr>
        <w:t>desacetyl-cefotaxim</w:t>
      </w:r>
      <w:proofErr w:type="spellEnd"/>
      <w:r w:rsidRPr="00DD35CE">
        <w:rPr>
          <w:sz w:val="24"/>
          <w:szCs w:val="24"/>
        </w:rPr>
        <w:t xml:space="preserve"> er øget til ca. 10 timer. Den totale genvinding af </w:t>
      </w:r>
      <w:proofErr w:type="spellStart"/>
      <w:r w:rsidRPr="00DD35CE">
        <w:rPr>
          <w:sz w:val="24"/>
          <w:szCs w:val="24"/>
        </w:rPr>
        <w:t>cefotaxim</w:t>
      </w:r>
      <w:proofErr w:type="spellEnd"/>
      <w:r w:rsidRPr="00DD35CE">
        <w:rPr>
          <w:sz w:val="24"/>
          <w:szCs w:val="24"/>
        </w:rPr>
        <w:t xml:space="preserve"> og dets hovedmetabolit i urinen falder ved nedsat nyrefunktion.</w:t>
      </w:r>
    </w:p>
    <w:p w14:paraId="4E7FFB21" w14:textId="77777777" w:rsidR="009260DE" w:rsidRPr="00C84483" w:rsidRDefault="009260DE" w:rsidP="009260DE">
      <w:pPr>
        <w:tabs>
          <w:tab w:val="left" w:pos="851"/>
        </w:tabs>
        <w:ind w:left="851"/>
        <w:rPr>
          <w:sz w:val="24"/>
          <w:szCs w:val="24"/>
        </w:rPr>
      </w:pPr>
    </w:p>
    <w:p w14:paraId="1ED201A6"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50593EA5" w14:textId="77777777" w:rsidR="00DD35CE" w:rsidRPr="00DD35CE" w:rsidRDefault="00DD35CE" w:rsidP="00DD35CE">
      <w:pPr>
        <w:tabs>
          <w:tab w:val="left" w:pos="851"/>
        </w:tabs>
        <w:ind w:left="851"/>
        <w:rPr>
          <w:sz w:val="24"/>
          <w:szCs w:val="24"/>
        </w:rPr>
      </w:pPr>
      <w:r w:rsidRPr="00DD35CE">
        <w:rPr>
          <w:sz w:val="24"/>
          <w:szCs w:val="24"/>
        </w:rPr>
        <w:t xml:space="preserve">Non-kliniske data viser ingen speciel risiko for mennesker vurderet ud fra konventionelle studier af sikkerhedsfarmakologi, toksicitet efter gentagne doser, genotoksicitet og reproduktionstoksicitet. </w:t>
      </w:r>
      <w:proofErr w:type="spellStart"/>
      <w:r w:rsidRPr="00DD35CE">
        <w:rPr>
          <w:sz w:val="24"/>
          <w:szCs w:val="24"/>
        </w:rPr>
        <w:t>Cefotaxim</w:t>
      </w:r>
      <w:proofErr w:type="spellEnd"/>
      <w:r w:rsidRPr="00DD35CE">
        <w:rPr>
          <w:sz w:val="24"/>
          <w:szCs w:val="24"/>
        </w:rPr>
        <w:t xml:space="preserve"> passerer gennem placenta.</w:t>
      </w:r>
    </w:p>
    <w:p w14:paraId="0A14A562" w14:textId="77777777" w:rsidR="009260DE" w:rsidRPr="00C84483" w:rsidRDefault="009260DE" w:rsidP="009260DE">
      <w:pPr>
        <w:tabs>
          <w:tab w:val="left" w:pos="851"/>
        </w:tabs>
        <w:ind w:left="851"/>
        <w:rPr>
          <w:sz w:val="24"/>
          <w:szCs w:val="24"/>
        </w:rPr>
      </w:pPr>
    </w:p>
    <w:p w14:paraId="55194431" w14:textId="77777777" w:rsidR="009260DE" w:rsidRPr="00C84483" w:rsidRDefault="009260DE" w:rsidP="009260DE">
      <w:pPr>
        <w:tabs>
          <w:tab w:val="left" w:pos="851"/>
        </w:tabs>
        <w:ind w:left="851"/>
        <w:rPr>
          <w:sz w:val="24"/>
          <w:szCs w:val="24"/>
        </w:rPr>
      </w:pPr>
    </w:p>
    <w:p w14:paraId="4559F05B"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2666A3C2" w14:textId="77777777" w:rsidR="009260DE" w:rsidRPr="00BA09F1" w:rsidRDefault="009260DE" w:rsidP="009260DE">
      <w:pPr>
        <w:tabs>
          <w:tab w:val="left" w:pos="851"/>
        </w:tabs>
        <w:ind w:left="851"/>
        <w:rPr>
          <w:sz w:val="24"/>
          <w:szCs w:val="24"/>
        </w:rPr>
      </w:pPr>
    </w:p>
    <w:p w14:paraId="4AA51501"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3A23A4CD" w14:textId="3210B002" w:rsidR="009260DE" w:rsidRPr="00C84483" w:rsidRDefault="00594904" w:rsidP="009260DE">
      <w:pPr>
        <w:tabs>
          <w:tab w:val="left" w:pos="851"/>
        </w:tabs>
        <w:ind w:left="851"/>
        <w:rPr>
          <w:sz w:val="24"/>
          <w:szCs w:val="24"/>
        </w:rPr>
      </w:pPr>
      <w:r>
        <w:rPr>
          <w:sz w:val="24"/>
          <w:szCs w:val="24"/>
        </w:rPr>
        <w:t>Ingen</w:t>
      </w:r>
    </w:p>
    <w:p w14:paraId="0476135C" w14:textId="77777777" w:rsidR="009260DE" w:rsidRPr="00C84483" w:rsidRDefault="009260DE" w:rsidP="009260DE">
      <w:pPr>
        <w:tabs>
          <w:tab w:val="left" w:pos="851"/>
        </w:tabs>
        <w:ind w:left="851"/>
        <w:rPr>
          <w:sz w:val="24"/>
          <w:szCs w:val="24"/>
        </w:rPr>
      </w:pPr>
    </w:p>
    <w:p w14:paraId="40D15D74"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77492D82" w14:textId="77777777" w:rsidR="00594904" w:rsidRPr="00594904" w:rsidRDefault="00594904" w:rsidP="00594904">
      <w:pPr>
        <w:tabs>
          <w:tab w:val="left" w:pos="851"/>
        </w:tabs>
        <w:ind w:left="851"/>
        <w:rPr>
          <w:sz w:val="24"/>
          <w:szCs w:val="24"/>
        </w:rPr>
      </w:pPr>
      <w:r w:rsidRPr="00594904">
        <w:rPr>
          <w:sz w:val="24"/>
          <w:szCs w:val="24"/>
        </w:rPr>
        <w:t xml:space="preserve">Aminoglykosider er uforligelige med </w:t>
      </w:r>
      <w:proofErr w:type="spellStart"/>
      <w:r w:rsidRPr="00594904">
        <w:rPr>
          <w:sz w:val="24"/>
          <w:szCs w:val="24"/>
        </w:rPr>
        <w:t>cefalosporiner</w:t>
      </w:r>
      <w:proofErr w:type="spellEnd"/>
      <w:r w:rsidRPr="00594904">
        <w:rPr>
          <w:sz w:val="24"/>
          <w:szCs w:val="24"/>
        </w:rPr>
        <w:t xml:space="preserve"> i parenterale blandinger.</w:t>
      </w:r>
    </w:p>
    <w:p w14:paraId="4D63D421" w14:textId="77777777" w:rsidR="00594904" w:rsidRPr="00594904" w:rsidRDefault="00594904" w:rsidP="00594904">
      <w:pPr>
        <w:tabs>
          <w:tab w:val="left" w:pos="851"/>
        </w:tabs>
        <w:ind w:left="851"/>
        <w:rPr>
          <w:sz w:val="24"/>
          <w:szCs w:val="24"/>
        </w:rPr>
      </w:pPr>
      <w:r w:rsidRPr="00594904">
        <w:rPr>
          <w:sz w:val="24"/>
          <w:szCs w:val="24"/>
        </w:rPr>
        <w:t>Dette lægemiddel må ikke blandes med andre lægemidler end dem, der er anført under pkt. 6.6.</w:t>
      </w:r>
    </w:p>
    <w:p w14:paraId="4BEF37DD" w14:textId="77777777" w:rsidR="009260DE" w:rsidRPr="00C84483" w:rsidRDefault="009260DE" w:rsidP="009260DE">
      <w:pPr>
        <w:tabs>
          <w:tab w:val="left" w:pos="851"/>
        </w:tabs>
        <w:ind w:left="851"/>
        <w:rPr>
          <w:sz w:val="24"/>
          <w:szCs w:val="24"/>
        </w:rPr>
      </w:pPr>
    </w:p>
    <w:p w14:paraId="333EEDA8"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52E58911" w14:textId="77777777" w:rsidR="00594904" w:rsidRPr="00594904" w:rsidRDefault="00594904" w:rsidP="00594904">
      <w:pPr>
        <w:tabs>
          <w:tab w:val="left" w:pos="851"/>
        </w:tabs>
        <w:ind w:left="851"/>
        <w:rPr>
          <w:sz w:val="24"/>
          <w:szCs w:val="24"/>
        </w:rPr>
      </w:pPr>
    </w:p>
    <w:p w14:paraId="1D7DF718" w14:textId="4371720F" w:rsidR="00594904" w:rsidRPr="00594904" w:rsidRDefault="00594904" w:rsidP="00594904">
      <w:pPr>
        <w:tabs>
          <w:tab w:val="left" w:pos="851"/>
        </w:tabs>
        <w:ind w:left="851"/>
        <w:rPr>
          <w:sz w:val="24"/>
          <w:szCs w:val="24"/>
          <w:u w:val="single"/>
        </w:rPr>
      </w:pPr>
      <w:r w:rsidRPr="00594904">
        <w:rPr>
          <w:sz w:val="24"/>
          <w:szCs w:val="24"/>
          <w:u w:val="single"/>
        </w:rPr>
        <w:t>Uåbnet hætteglas</w:t>
      </w:r>
    </w:p>
    <w:p w14:paraId="4AC8380D" w14:textId="5135F17C" w:rsidR="00594904" w:rsidRPr="00594904" w:rsidRDefault="00594904" w:rsidP="00594904">
      <w:pPr>
        <w:tabs>
          <w:tab w:val="left" w:pos="851"/>
        </w:tabs>
        <w:ind w:left="851"/>
        <w:rPr>
          <w:sz w:val="24"/>
          <w:szCs w:val="24"/>
        </w:rPr>
      </w:pPr>
      <w:r w:rsidRPr="00594904">
        <w:rPr>
          <w:sz w:val="24"/>
          <w:szCs w:val="24"/>
        </w:rPr>
        <w:t>2 år.</w:t>
      </w:r>
    </w:p>
    <w:p w14:paraId="7E1B339E" w14:textId="77777777" w:rsidR="00594904" w:rsidRPr="00594904" w:rsidRDefault="00594904" w:rsidP="00594904">
      <w:pPr>
        <w:tabs>
          <w:tab w:val="left" w:pos="851"/>
        </w:tabs>
        <w:ind w:left="851"/>
        <w:rPr>
          <w:sz w:val="24"/>
          <w:szCs w:val="24"/>
        </w:rPr>
      </w:pPr>
    </w:p>
    <w:p w14:paraId="74983FFD" w14:textId="72317067" w:rsidR="00594904" w:rsidRPr="00594904" w:rsidRDefault="00594904" w:rsidP="00594904">
      <w:pPr>
        <w:tabs>
          <w:tab w:val="left" w:pos="851"/>
        </w:tabs>
        <w:ind w:left="851"/>
        <w:rPr>
          <w:sz w:val="24"/>
          <w:szCs w:val="24"/>
          <w:u w:val="single"/>
        </w:rPr>
      </w:pPr>
      <w:r w:rsidRPr="00594904">
        <w:rPr>
          <w:sz w:val="24"/>
          <w:szCs w:val="24"/>
          <w:u w:val="single"/>
        </w:rPr>
        <w:t xml:space="preserve">Opbevaringstid efter </w:t>
      </w:r>
      <w:proofErr w:type="spellStart"/>
      <w:r w:rsidRPr="00594904">
        <w:rPr>
          <w:sz w:val="24"/>
          <w:szCs w:val="24"/>
          <w:u w:val="single"/>
        </w:rPr>
        <w:t>rekonstitution</w:t>
      </w:r>
      <w:proofErr w:type="spellEnd"/>
    </w:p>
    <w:p w14:paraId="0FDBB60A" w14:textId="77777777" w:rsidR="00594904" w:rsidRPr="00594904" w:rsidRDefault="00594904" w:rsidP="00594904">
      <w:pPr>
        <w:tabs>
          <w:tab w:val="left" w:pos="851"/>
        </w:tabs>
        <w:ind w:left="851"/>
        <w:rPr>
          <w:sz w:val="24"/>
          <w:szCs w:val="24"/>
        </w:rPr>
      </w:pPr>
      <w:bookmarkStart w:id="6" w:name="_Hlk170314251"/>
      <w:r w:rsidRPr="00594904">
        <w:rPr>
          <w:sz w:val="24"/>
          <w:szCs w:val="24"/>
        </w:rPr>
        <w:t xml:space="preserve">Det </w:t>
      </w:r>
      <w:proofErr w:type="spellStart"/>
      <w:r w:rsidRPr="00594904">
        <w:rPr>
          <w:sz w:val="24"/>
          <w:szCs w:val="24"/>
        </w:rPr>
        <w:t>rekonstituerede</w:t>
      </w:r>
      <w:proofErr w:type="spellEnd"/>
      <w:r w:rsidRPr="00594904">
        <w:rPr>
          <w:sz w:val="24"/>
          <w:szCs w:val="24"/>
        </w:rPr>
        <w:t xml:space="preserve"> præparat er kemisk og fysisk stabilt:</w:t>
      </w:r>
    </w:p>
    <w:p w14:paraId="7AE34B1C" w14:textId="77777777" w:rsidR="00594904" w:rsidRPr="00594904" w:rsidRDefault="00594904" w:rsidP="00594904">
      <w:pPr>
        <w:tabs>
          <w:tab w:val="left" w:pos="851"/>
        </w:tabs>
        <w:ind w:left="851"/>
        <w:rPr>
          <w:sz w:val="24"/>
          <w:szCs w:val="24"/>
        </w:rPr>
      </w:pPr>
      <w:r w:rsidRPr="00594904">
        <w:rPr>
          <w:sz w:val="24"/>
          <w:szCs w:val="24"/>
        </w:rPr>
        <w:t>- ved en temperatur på 2 </w:t>
      </w:r>
      <w:r w:rsidRPr="00594904">
        <w:rPr>
          <w:sz w:val="24"/>
          <w:szCs w:val="24"/>
        </w:rPr>
        <w:sym w:font="Symbol" w:char="F0B0"/>
      </w:r>
      <w:r w:rsidRPr="00594904">
        <w:rPr>
          <w:sz w:val="24"/>
          <w:szCs w:val="24"/>
        </w:rPr>
        <w:t>C til 8 </w:t>
      </w:r>
      <w:r w:rsidRPr="00594904">
        <w:rPr>
          <w:sz w:val="24"/>
          <w:szCs w:val="24"/>
        </w:rPr>
        <w:sym w:font="Symbol" w:char="F0B0"/>
      </w:r>
      <w:r w:rsidRPr="00594904">
        <w:rPr>
          <w:sz w:val="24"/>
          <w:szCs w:val="24"/>
        </w:rPr>
        <w:t>C i 24 timer,</w:t>
      </w:r>
    </w:p>
    <w:p w14:paraId="7CC57B30" w14:textId="77777777" w:rsidR="00594904" w:rsidRPr="00594904" w:rsidRDefault="00594904" w:rsidP="00594904">
      <w:pPr>
        <w:tabs>
          <w:tab w:val="left" w:pos="851"/>
        </w:tabs>
        <w:ind w:left="851"/>
        <w:rPr>
          <w:sz w:val="24"/>
          <w:szCs w:val="24"/>
        </w:rPr>
      </w:pPr>
      <w:r w:rsidRPr="00594904">
        <w:rPr>
          <w:sz w:val="24"/>
          <w:szCs w:val="24"/>
        </w:rPr>
        <w:t xml:space="preserve">- </w:t>
      </w:r>
      <w:bookmarkStart w:id="7" w:name="_Hlk187764741"/>
      <w:r w:rsidRPr="00594904">
        <w:rPr>
          <w:sz w:val="24"/>
          <w:szCs w:val="24"/>
        </w:rPr>
        <w:t>ved en temperatur under 25 </w:t>
      </w:r>
      <w:r w:rsidRPr="00594904">
        <w:rPr>
          <w:sz w:val="24"/>
          <w:szCs w:val="24"/>
        </w:rPr>
        <w:sym w:font="Symbol" w:char="F0B0"/>
      </w:r>
      <w:r w:rsidRPr="00594904">
        <w:rPr>
          <w:sz w:val="24"/>
          <w:szCs w:val="24"/>
        </w:rPr>
        <w:t>C i 2 timer</w:t>
      </w:r>
      <w:bookmarkEnd w:id="7"/>
      <w:r w:rsidRPr="00594904">
        <w:rPr>
          <w:sz w:val="24"/>
          <w:szCs w:val="24"/>
        </w:rPr>
        <w:t>.</w:t>
      </w:r>
    </w:p>
    <w:p w14:paraId="3F13D0C1" w14:textId="77777777" w:rsidR="00594904" w:rsidRPr="00594904" w:rsidRDefault="00594904" w:rsidP="00594904">
      <w:pPr>
        <w:tabs>
          <w:tab w:val="left" w:pos="851"/>
        </w:tabs>
        <w:ind w:left="851"/>
        <w:rPr>
          <w:sz w:val="24"/>
          <w:szCs w:val="24"/>
        </w:rPr>
      </w:pPr>
    </w:p>
    <w:bookmarkEnd w:id="6"/>
    <w:p w14:paraId="763C60BD" w14:textId="77777777" w:rsidR="00594904" w:rsidRPr="00594904" w:rsidRDefault="00594904" w:rsidP="00594904">
      <w:pPr>
        <w:tabs>
          <w:tab w:val="left" w:pos="851"/>
        </w:tabs>
        <w:ind w:left="851"/>
        <w:rPr>
          <w:sz w:val="24"/>
          <w:szCs w:val="24"/>
        </w:rPr>
      </w:pPr>
      <w:r w:rsidRPr="00594904">
        <w:rPr>
          <w:sz w:val="24"/>
          <w:szCs w:val="24"/>
        </w:rPr>
        <w:t>Se pkt. 6.6 for forberedelse af opløsninger.</w:t>
      </w:r>
    </w:p>
    <w:p w14:paraId="055830B2" w14:textId="77777777" w:rsidR="00594904" w:rsidRPr="00594904" w:rsidRDefault="00594904" w:rsidP="00594904">
      <w:pPr>
        <w:tabs>
          <w:tab w:val="left" w:pos="851"/>
        </w:tabs>
        <w:ind w:left="851"/>
        <w:rPr>
          <w:sz w:val="24"/>
          <w:szCs w:val="24"/>
        </w:rPr>
      </w:pPr>
    </w:p>
    <w:p w14:paraId="2350BDDC" w14:textId="77777777" w:rsidR="00594904" w:rsidRPr="00594904" w:rsidRDefault="00594904" w:rsidP="00594904">
      <w:pPr>
        <w:tabs>
          <w:tab w:val="left" w:pos="851"/>
        </w:tabs>
        <w:ind w:left="851"/>
        <w:rPr>
          <w:i/>
          <w:iCs/>
          <w:sz w:val="24"/>
          <w:szCs w:val="24"/>
        </w:rPr>
      </w:pPr>
      <w:r w:rsidRPr="00594904">
        <w:rPr>
          <w:sz w:val="24"/>
          <w:szCs w:val="24"/>
        </w:rPr>
        <w:t>Ud fra et mikrobiologisk synspunkt skal det fortyndede præparat anvendes straks. Hvis det ikke anvendes straks, er opbevaringstiderne under brug og betingelserne inden brug brugerens ansvar.</w:t>
      </w:r>
    </w:p>
    <w:p w14:paraId="6B90664E" w14:textId="77777777" w:rsidR="00594904" w:rsidRPr="00594904" w:rsidRDefault="00594904" w:rsidP="00594904">
      <w:pPr>
        <w:tabs>
          <w:tab w:val="left" w:pos="851"/>
        </w:tabs>
        <w:ind w:left="851"/>
        <w:rPr>
          <w:sz w:val="24"/>
          <w:szCs w:val="24"/>
        </w:rPr>
      </w:pPr>
    </w:p>
    <w:p w14:paraId="1DB19FD2" w14:textId="77777777" w:rsidR="00594904" w:rsidRPr="00594904" w:rsidRDefault="00594904" w:rsidP="00594904">
      <w:pPr>
        <w:tabs>
          <w:tab w:val="left" w:pos="851"/>
        </w:tabs>
        <w:ind w:left="851"/>
        <w:rPr>
          <w:sz w:val="24"/>
          <w:szCs w:val="24"/>
        </w:rPr>
      </w:pPr>
      <w:r w:rsidRPr="00594904">
        <w:rPr>
          <w:sz w:val="24"/>
          <w:szCs w:val="24"/>
        </w:rPr>
        <w:t xml:space="preserve">Det er ikke nødvendigt at beskytte det </w:t>
      </w:r>
      <w:proofErr w:type="spellStart"/>
      <w:r w:rsidRPr="00594904">
        <w:rPr>
          <w:sz w:val="24"/>
          <w:szCs w:val="24"/>
        </w:rPr>
        <w:t>rekonstituerede</w:t>
      </w:r>
      <w:proofErr w:type="spellEnd"/>
      <w:r w:rsidRPr="00594904">
        <w:rPr>
          <w:sz w:val="24"/>
          <w:szCs w:val="24"/>
        </w:rPr>
        <w:t xml:space="preserve"> præparat mod lys.</w:t>
      </w:r>
    </w:p>
    <w:p w14:paraId="424CFAE7" w14:textId="77777777" w:rsidR="00594904" w:rsidRPr="00594904" w:rsidRDefault="00594904" w:rsidP="00594904">
      <w:pPr>
        <w:tabs>
          <w:tab w:val="left" w:pos="851"/>
        </w:tabs>
        <w:ind w:left="851"/>
        <w:rPr>
          <w:sz w:val="24"/>
          <w:szCs w:val="24"/>
        </w:rPr>
      </w:pPr>
    </w:p>
    <w:p w14:paraId="1E4251ED" w14:textId="77777777" w:rsidR="00594904" w:rsidRPr="00594904" w:rsidRDefault="00594904" w:rsidP="00594904">
      <w:pPr>
        <w:tabs>
          <w:tab w:val="left" w:pos="851"/>
        </w:tabs>
        <w:ind w:left="851"/>
        <w:rPr>
          <w:sz w:val="24"/>
          <w:szCs w:val="24"/>
        </w:rPr>
      </w:pPr>
      <w:r w:rsidRPr="00594904">
        <w:rPr>
          <w:sz w:val="24"/>
          <w:szCs w:val="24"/>
        </w:rPr>
        <w:t xml:space="preserve">Opløsningen efter </w:t>
      </w:r>
      <w:proofErr w:type="spellStart"/>
      <w:r w:rsidRPr="00594904">
        <w:rPr>
          <w:sz w:val="24"/>
          <w:szCs w:val="24"/>
        </w:rPr>
        <w:t>rekonstitution</w:t>
      </w:r>
      <w:proofErr w:type="spellEnd"/>
      <w:r w:rsidRPr="00594904">
        <w:rPr>
          <w:sz w:val="24"/>
          <w:szCs w:val="24"/>
        </w:rPr>
        <w:t xml:space="preserve"> kan være farveløs til gul.</w:t>
      </w:r>
    </w:p>
    <w:p w14:paraId="1E8BDEFC" w14:textId="77777777" w:rsidR="009260DE" w:rsidRPr="00C84483" w:rsidRDefault="009260DE" w:rsidP="009260DE">
      <w:pPr>
        <w:tabs>
          <w:tab w:val="left" w:pos="851"/>
        </w:tabs>
        <w:ind w:left="851"/>
        <w:rPr>
          <w:sz w:val="24"/>
          <w:szCs w:val="24"/>
        </w:rPr>
      </w:pPr>
    </w:p>
    <w:p w14:paraId="76F61C6C"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7AEBC81C" w14:textId="77777777" w:rsidR="009B1B0E" w:rsidRPr="009B1B0E" w:rsidRDefault="009B1B0E" w:rsidP="009B1B0E">
      <w:pPr>
        <w:tabs>
          <w:tab w:val="left" w:pos="851"/>
        </w:tabs>
        <w:ind w:left="851"/>
        <w:rPr>
          <w:sz w:val="24"/>
          <w:szCs w:val="24"/>
        </w:rPr>
      </w:pPr>
      <w:r w:rsidRPr="009B1B0E">
        <w:rPr>
          <w:sz w:val="24"/>
          <w:szCs w:val="24"/>
        </w:rPr>
        <w:t>Der er ingen særlige krav vedrørende opbevaringstemperaturer for dette lægemiddel.</w:t>
      </w:r>
    </w:p>
    <w:p w14:paraId="4268C5B2" w14:textId="57832FE2" w:rsidR="009B1B0E" w:rsidRDefault="009B1B0E" w:rsidP="009B1B0E">
      <w:pPr>
        <w:tabs>
          <w:tab w:val="left" w:pos="851"/>
        </w:tabs>
        <w:ind w:left="851"/>
        <w:rPr>
          <w:sz w:val="24"/>
          <w:szCs w:val="24"/>
        </w:rPr>
      </w:pPr>
      <w:r w:rsidRPr="009B1B0E">
        <w:rPr>
          <w:sz w:val="24"/>
          <w:szCs w:val="24"/>
        </w:rPr>
        <w:t>Opbevar hætteglasset i den ydre æske for at beskytte mod lys</w:t>
      </w:r>
      <w:r w:rsidR="004B174B">
        <w:rPr>
          <w:sz w:val="24"/>
          <w:szCs w:val="24"/>
        </w:rPr>
        <w:t>.</w:t>
      </w:r>
    </w:p>
    <w:p w14:paraId="5ED0C432" w14:textId="77777777" w:rsidR="004B174B" w:rsidRPr="009B1B0E" w:rsidRDefault="004B174B" w:rsidP="009B1B0E">
      <w:pPr>
        <w:tabs>
          <w:tab w:val="left" w:pos="851"/>
        </w:tabs>
        <w:ind w:left="851"/>
        <w:rPr>
          <w:sz w:val="24"/>
          <w:szCs w:val="24"/>
        </w:rPr>
      </w:pPr>
    </w:p>
    <w:p w14:paraId="48750A51" w14:textId="77777777" w:rsidR="009B1B0E" w:rsidRPr="009B1B0E" w:rsidRDefault="009B1B0E" w:rsidP="009B1B0E">
      <w:pPr>
        <w:tabs>
          <w:tab w:val="left" w:pos="851"/>
        </w:tabs>
        <w:ind w:left="851"/>
        <w:rPr>
          <w:sz w:val="24"/>
          <w:szCs w:val="24"/>
        </w:rPr>
      </w:pPr>
      <w:r w:rsidRPr="009B1B0E">
        <w:rPr>
          <w:sz w:val="24"/>
          <w:szCs w:val="24"/>
        </w:rPr>
        <w:t xml:space="preserve">Opbevaringsforhold efter </w:t>
      </w:r>
      <w:proofErr w:type="spellStart"/>
      <w:r w:rsidRPr="009B1B0E">
        <w:rPr>
          <w:sz w:val="24"/>
          <w:szCs w:val="24"/>
        </w:rPr>
        <w:t>rekonstitution</w:t>
      </w:r>
      <w:proofErr w:type="spellEnd"/>
      <w:r w:rsidRPr="009B1B0E">
        <w:rPr>
          <w:sz w:val="24"/>
          <w:szCs w:val="24"/>
        </w:rPr>
        <w:t xml:space="preserve"> af lægemidlet, se pkt. 6.3.</w:t>
      </w:r>
    </w:p>
    <w:p w14:paraId="43C5759C" w14:textId="77777777" w:rsidR="009260DE" w:rsidRPr="00C84483" w:rsidRDefault="009260DE" w:rsidP="009260DE">
      <w:pPr>
        <w:tabs>
          <w:tab w:val="left" w:pos="851"/>
        </w:tabs>
        <w:ind w:left="851"/>
        <w:rPr>
          <w:sz w:val="24"/>
          <w:szCs w:val="24"/>
        </w:rPr>
      </w:pPr>
    </w:p>
    <w:p w14:paraId="093DBAD7"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604FD6E4" w14:textId="4D2ABE7C" w:rsidR="004B174B" w:rsidRDefault="004B174B" w:rsidP="004B174B">
      <w:pPr>
        <w:tabs>
          <w:tab w:val="left" w:pos="851"/>
        </w:tabs>
        <w:ind w:left="851"/>
        <w:rPr>
          <w:sz w:val="24"/>
          <w:szCs w:val="24"/>
        </w:rPr>
      </w:pPr>
      <w:r>
        <w:rPr>
          <w:sz w:val="24"/>
          <w:szCs w:val="24"/>
        </w:rPr>
        <w:t>F</w:t>
      </w:r>
      <w:r w:rsidRPr="004B174B">
        <w:rPr>
          <w:sz w:val="24"/>
          <w:szCs w:val="24"/>
        </w:rPr>
        <w:t>arveløs</w:t>
      </w:r>
      <w:r>
        <w:rPr>
          <w:sz w:val="24"/>
          <w:szCs w:val="24"/>
        </w:rPr>
        <w:t>t</w:t>
      </w:r>
      <w:r w:rsidRPr="004B174B">
        <w:rPr>
          <w:sz w:val="24"/>
          <w:szCs w:val="24"/>
        </w:rPr>
        <w:t xml:space="preserve"> hætteglas (type III-glas), lukket med en </w:t>
      </w:r>
      <w:proofErr w:type="spellStart"/>
      <w:r w:rsidRPr="004B174B">
        <w:rPr>
          <w:sz w:val="24"/>
          <w:szCs w:val="24"/>
        </w:rPr>
        <w:t>brombutylgummiprop</w:t>
      </w:r>
      <w:proofErr w:type="spellEnd"/>
      <w:r w:rsidRPr="004B174B">
        <w:rPr>
          <w:sz w:val="24"/>
          <w:szCs w:val="24"/>
        </w:rPr>
        <w:t xml:space="preserve"> og aluminiumslåg og forsegling eller aluminiumslåg og </w:t>
      </w:r>
      <w:r w:rsidRPr="004B174B">
        <w:rPr>
          <w:i/>
          <w:iCs/>
          <w:sz w:val="24"/>
          <w:szCs w:val="24"/>
        </w:rPr>
        <w:t>flip-</w:t>
      </w:r>
      <w:proofErr w:type="spellStart"/>
      <w:r w:rsidRPr="004B174B">
        <w:rPr>
          <w:i/>
          <w:iCs/>
          <w:sz w:val="24"/>
          <w:szCs w:val="24"/>
        </w:rPr>
        <w:t>off</w:t>
      </w:r>
      <w:proofErr w:type="spellEnd"/>
      <w:r w:rsidRPr="004B174B">
        <w:rPr>
          <w:sz w:val="24"/>
          <w:szCs w:val="24"/>
        </w:rPr>
        <w:t>-forsegling af plastic.</w:t>
      </w:r>
    </w:p>
    <w:p w14:paraId="71F3DA0B" w14:textId="77777777" w:rsidR="004B174B" w:rsidRPr="004B174B" w:rsidRDefault="004B174B" w:rsidP="004B174B">
      <w:pPr>
        <w:tabs>
          <w:tab w:val="left" w:pos="851"/>
        </w:tabs>
        <w:ind w:left="851"/>
        <w:rPr>
          <w:sz w:val="24"/>
          <w:szCs w:val="24"/>
        </w:rPr>
      </w:pPr>
      <w:r w:rsidRPr="004B174B">
        <w:rPr>
          <w:sz w:val="24"/>
          <w:szCs w:val="24"/>
        </w:rPr>
        <w:t xml:space="preserve">Hvert hætteglas indeholder hhv. 1 eller 2 g </w:t>
      </w:r>
      <w:proofErr w:type="spellStart"/>
      <w:r w:rsidRPr="004B174B">
        <w:rPr>
          <w:sz w:val="24"/>
          <w:szCs w:val="24"/>
        </w:rPr>
        <w:t>cefotaxim</w:t>
      </w:r>
      <w:proofErr w:type="spellEnd"/>
      <w:r w:rsidRPr="004B174B">
        <w:rPr>
          <w:sz w:val="24"/>
          <w:szCs w:val="24"/>
        </w:rPr>
        <w:t>.</w:t>
      </w:r>
    </w:p>
    <w:p w14:paraId="3300C372" w14:textId="77777777" w:rsidR="004B174B" w:rsidRPr="004B174B" w:rsidRDefault="004B174B" w:rsidP="004B174B">
      <w:pPr>
        <w:tabs>
          <w:tab w:val="left" w:pos="851"/>
        </w:tabs>
        <w:ind w:left="851"/>
        <w:rPr>
          <w:sz w:val="24"/>
          <w:szCs w:val="24"/>
        </w:rPr>
      </w:pPr>
    </w:p>
    <w:p w14:paraId="3F56B22C" w14:textId="77777777" w:rsidR="004B174B" w:rsidRPr="004B174B" w:rsidRDefault="004B174B" w:rsidP="004B174B">
      <w:pPr>
        <w:tabs>
          <w:tab w:val="left" w:pos="851"/>
        </w:tabs>
        <w:ind w:left="851"/>
        <w:rPr>
          <w:sz w:val="24"/>
          <w:szCs w:val="24"/>
        </w:rPr>
      </w:pPr>
      <w:r w:rsidRPr="004B174B">
        <w:rPr>
          <w:sz w:val="24"/>
          <w:szCs w:val="24"/>
        </w:rPr>
        <w:t>Pakningsstørrelser: 10 hætteglas.</w:t>
      </w:r>
    </w:p>
    <w:p w14:paraId="3FFFC4B7" w14:textId="4030AE84" w:rsidR="009260DE" w:rsidRDefault="004B174B" w:rsidP="009260DE">
      <w:pPr>
        <w:tabs>
          <w:tab w:val="left" w:pos="851"/>
        </w:tabs>
        <w:ind w:left="851"/>
        <w:rPr>
          <w:sz w:val="24"/>
          <w:szCs w:val="24"/>
        </w:rPr>
      </w:pPr>
      <w:r>
        <w:rPr>
          <w:sz w:val="24"/>
          <w:szCs w:val="24"/>
        </w:rPr>
        <w:t>Ikke alle pakningsstørrelser er nødvendigvis markedsført.</w:t>
      </w:r>
    </w:p>
    <w:p w14:paraId="26A3CAC2" w14:textId="77777777" w:rsidR="004B174B" w:rsidRPr="00C84483" w:rsidRDefault="004B174B" w:rsidP="009260DE">
      <w:pPr>
        <w:tabs>
          <w:tab w:val="left" w:pos="851"/>
        </w:tabs>
        <w:ind w:left="851"/>
        <w:rPr>
          <w:sz w:val="24"/>
          <w:szCs w:val="24"/>
        </w:rPr>
      </w:pPr>
    </w:p>
    <w:p w14:paraId="522A6B55"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7BBF6AD5" w14:textId="535FA50A" w:rsidR="004B174B" w:rsidRPr="004B174B" w:rsidRDefault="004B174B" w:rsidP="004B174B">
      <w:pPr>
        <w:tabs>
          <w:tab w:val="left" w:pos="851"/>
        </w:tabs>
        <w:ind w:left="851"/>
        <w:rPr>
          <w:sz w:val="24"/>
          <w:szCs w:val="24"/>
        </w:rPr>
      </w:pPr>
      <w:r w:rsidRPr="004B174B">
        <w:rPr>
          <w:sz w:val="24"/>
          <w:szCs w:val="24"/>
        </w:rPr>
        <w:t>Efter at solvensen er blevet tilsat til indholdet af hætteglasset, skal hætteglasset rystes, indtil pulveret er opløst. Opløsningen skal være klar efter 1</w:t>
      </w:r>
      <w:r>
        <w:rPr>
          <w:sz w:val="24"/>
          <w:szCs w:val="24"/>
        </w:rPr>
        <w:t>-</w:t>
      </w:r>
      <w:r w:rsidRPr="004B174B">
        <w:rPr>
          <w:sz w:val="24"/>
          <w:szCs w:val="24"/>
        </w:rPr>
        <w:t xml:space="preserve">2 minutter. Opløsningen af det </w:t>
      </w:r>
      <w:proofErr w:type="spellStart"/>
      <w:r w:rsidRPr="004B174B">
        <w:rPr>
          <w:sz w:val="24"/>
          <w:szCs w:val="24"/>
        </w:rPr>
        <w:t>rekonstituerede</w:t>
      </w:r>
      <w:proofErr w:type="spellEnd"/>
      <w:r w:rsidRPr="004B174B">
        <w:rPr>
          <w:sz w:val="24"/>
          <w:szCs w:val="24"/>
        </w:rPr>
        <w:t xml:space="preserve"> produkt skal inspiceres visuelt for klarhed og partikler før administration. Hvis den er uklar eller indeholder partikler, er opløsningen ikke egnet til brug. Opløsningen efter </w:t>
      </w:r>
      <w:proofErr w:type="spellStart"/>
      <w:r w:rsidRPr="004B174B">
        <w:rPr>
          <w:sz w:val="24"/>
          <w:szCs w:val="24"/>
        </w:rPr>
        <w:t>rekonstitution</w:t>
      </w:r>
      <w:proofErr w:type="spellEnd"/>
      <w:r w:rsidRPr="004B174B">
        <w:rPr>
          <w:sz w:val="24"/>
          <w:szCs w:val="24"/>
        </w:rPr>
        <w:t xml:space="preserve"> kan være farveløs til gul.</w:t>
      </w:r>
    </w:p>
    <w:p w14:paraId="797268A2" w14:textId="77777777" w:rsidR="004B174B" w:rsidRPr="004B174B" w:rsidRDefault="004B174B" w:rsidP="004B174B">
      <w:pPr>
        <w:tabs>
          <w:tab w:val="left" w:pos="851"/>
        </w:tabs>
        <w:ind w:left="851"/>
        <w:rPr>
          <w:sz w:val="24"/>
          <w:szCs w:val="24"/>
        </w:rPr>
      </w:pPr>
      <w:r w:rsidRPr="004B174B">
        <w:rPr>
          <w:sz w:val="24"/>
          <w:szCs w:val="24"/>
        </w:rPr>
        <w:t>For instruktioner om administration, se pkt. 4.2.</w:t>
      </w:r>
    </w:p>
    <w:p w14:paraId="3525076A" w14:textId="77777777" w:rsidR="004B174B" w:rsidRPr="004B174B" w:rsidRDefault="004B174B" w:rsidP="004B174B">
      <w:pPr>
        <w:tabs>
          <w:tab w:val="left" w:pos="851"/>
        </w:tabs>
        <w:ind w:left="851"/>
        <w:rPr>
          <w:sz w:val="24"/>
          <w:szCs w:val="24"/>
        </w:rPr>
      </w:pPr>
      <w:bookmarkStart w:id="8" w:name="_Hlk140008820"/>
    </w:p>
    <w:p w14:paraId="689A2B06" w14:textId="77777777" w:rsidR="004B174B" w:rsidRPr="004B174B" w:rsidRDefault="004B174B" w:rsidP="004B174B">
      <w:pPr>
        <w:tabs>
          <w:tab w:val="left" w:pos="851"/>
        </w:tabs>
        <w:ind w:left="851"/>
        <w:rPr>
          <w:b/>
          <w:sz w:val="24"/>
          <w:szCs w:val="24"/>
          <w:u w:val="single"/>
        </w:rPr>
      </w:pPr>
      <w:r w:rsidRPr="004B174B">
        <w:rPr>
          <w:b/>
          <w:sz w:val="24"/>
          <w:szCs w:val="24"/>
          <w:u w:val="single"/>
        </w:rPr>
        <w:t>Forberedelse af injektions-/infusionsvæske, opløsning</w:t>
      </w:r>
    </w:p>
    <w:p w14:paraId="7D7163E3" w14:textId="77777777" w:rsidR="004B174B" w:rsidRPr="004B174B" w:rsidRDefault="004B174B" w:rsidP="004B174B">
      <w:pPr>
        <w:tabs>
          <w:tab w:val="left" w:pos="851"/>
        </w:tabs>
        <w:ind w:left="851"/>
        <w:rPr>
          <w:b/>
          <w:sz w:val="24"/>
          <w:szCs w:val="24"/>
        </w:rPr>
      </w:pPr>
    </w:p>
    <w:p w14:paraId="0211EC16" w14:textId="77777777" w:rsidR="004B174B" w:rsidRPr="004B174B" w:rsidRDefault="004B174B" w:rsidP="004B174B">
      <w:pPr>
        <w:tabs>
          <w:tab w:val="left" w:pos="851"/>
        </w:tabs>
        <w:ind w:left="851"/>
        <w:rPr>
          <w:sz w:val="24"/>
          <w:szCs w:val="24"/>
        </w:rPr>
      </w:pPr>
      <w:r w:rsidRPr="004B174B">
        <w:rPr>
          <w:b/>
          <w:bCs/>
          <w:sz w:val="24"/>
          <w:szCs w:val="24"/>
        </w:rPr>
        <w:t>Intravenøs injektion</w:t>
      </w:r>
      <w:r w:rsidRPr="004B174B">
        <w:rPr>
          <w:sz w:val="24"/>
          <w:szCs w:val="24"/>
        </w:rPr>
        <w:t xml:space="preserve"> (fra 3 til 5 minutter)</w:t>
      </w:r>
    </w:p>
    <w:p w14:paraId="049ABBC6" w14:textId="77777777" w:rsidR="004B174B" w:rsidRPr="004B174B" w:rsidRDefault="004B174B" w:rsidP="004B174B">
      <w:pPr>
        <w:tabs>
          <w:tab w:val="left" w:pos="851"/>
        </w:tabs>
        <w:ind w:left="851"/>
        <w:rPr>
          <w:sz w:val="24"/>
          <w:szCs w:val="24"/>
        </w:rPr>
      </w:pPr>
      <w:r w:rsidRPr="004B174B">
        <w:rPr>
          <w:sz w:val="24"/>
          <w:szCs w:val="24"/>
        </w:rPr>
        <w:t xml:space="preserve">Indholdet af et hætteglas skal opløses i 4 eller 10 ml vand til injektionsvæsker, 9 mg/ml (0,9 %) </w:t>
      </w:r>
      <w:proofErr w:type="spellStart"/>
      <w:r w:rsidRPr="004B174B">
        <w:rPr>
          <w:sz w:val="24"/>
          <w:szCs w:val="24"/>
        </w:rPr>
        <w:t>natriumchloridinjektionsvæske</w:t>
      </w:r>
      <w:proofErr w:type="spellEnd"/>
      <w:r w:rsidRPr="004B174B">
        <w:rPr>
          <w:sz w:val="24"/>
          <w:szCs w:val="24"/>
        </w:rPr>
        <w:t xml:space="preserve">, opløsning eller 50 mg/ml (5 %) </w:t>
      </w:r>
      <w:proofErr w:type="spellStart"/>
      <w:r w:rsidRPr="004B174B">
        <w:rPr>
          <w:sz w:val="24"/>
          <w:szCs w:val="24"/>
        </w:rPr>
        <w:t>glucoseinjektionsvæske</w:t>
      </w:r>
      <w:proofErr w:type="spellEnd"/>
      <w:r w:rsidRPr="004B174B">
        <w:rPr>
          <w:sz w:val="24"/>
          <w:szCs w:val="24"/>
        </w:rPr>
        <w:t>, opløsning.</w:t>
      </w:r>
    </w:p>
    <w:p w14:paraId="3F223BC0" w14:textId="77777777" w:rsidR="004B174B" w:rsidRPr="004B174B" w:rsidRDefault="004B174B" w:rsidP="004B174B">
      <w:pPr>
        <w:tabs>
          <w:tab w:val="left" w:pos="851"/>
        </w:tabs>
        <w:ind w:left="851"/>
        <w:rPr>
          <w:b/>
          <w:sz w:val="24"/>
          <w:szCs w:val="24"/>
          <w:u w:val="single"/>
        </w:rPr>
      </w:pPr>
    </w:p>
    <w:p w14:paraId="1F5B14A7" w14:textId="77777777" w:rsidR="004B174B" w:rsidRPr="004B174B" w:rsidRDefault="004B174B" w:rsidP="004B174B">
      <w:pPr>
        <w:tabs>
          <w:tab w:val="left" w:pos="851"/>
        </w:tabs>
        <w:ind w:left="851"/>
        <w:rPr>
          <w:sz w:val="24"/>
          <w:szCs w:val="24"/>
        </w:rPr>
      </w:pPr>
      <w:r w:rsidRPr="004B174B">
        <w:rPr>
          <w:b/>
          <w:bCs/>
          <w:sz w:val="24"/>
          <w:szCs w:val="24"/>
        </w:rPr>
        <w:t>Intravenøs infusion</w:t>
      </w:r>
      <w:r w:rsidRPr="004B174B">
        <w:rPr>
          <w:sz w:val="24"/>
          <w:szCs w:val="24"/>
        </w:rPr>
        <w:t xml:space="preserve"> (fra 20 til 60 minutter)</w:t>
      </w:r>
    </w:p>
    <w:p w14:paraId="0434020B" w14:textId="77777777" w:rsidR="004B174B" w:rsidRPr="004B174B" w:rsidRDefault="004B174B" w:rsidP="004B174B">
      <w:pPr>
        <w:tabs>
          <w:tab w:val="left" w:pos="851"/>
        </w:tabs>
        <w:ind w:left="851"/>
        <w:rPr>
          <w:sz w:val="24"/>
          <w:szCs w:val="24"/>
        </w:rPr>
      </w:pPr>
      <w:r w:rsidRPr="004B174B">
        <w:rPr>
          <w:sz w:val="24"/>
          <w:szCs w:val="24"/>
        </w:rPr>
        <w:t xml:space="preserve">For at forberede opløsninger af </w:t>
      </w:r>
      <w:proofErr w:type="spellStart"/>
      <w:r w:rsidRPr="004B174B">
        <w:rPr>
          <w:sz w:val="24"/>
          <w:szCs w:val="24"/>
        </w:rPr>
        <w:t>cefotaxim</w:t>
      </w:r>
      <w:proofErr w:type="spellEnd"/>
      <w:r w:rsidRPr="004B174B">
        <w:rPr>
          <w:sz w:val="24"/>
          <w:szCs w:val="24"/>
        </w:rPr>
        <w:t xml:space="preserve"> til intravenøs infusion opløses pulveret i vand til injektionsvæsker (på samme måde som for intravenøse injektioner).</w:t>
      </w:r>
    </w:p>
    <w:p w14:paraId="5A3F1C63" w14:textId="77777777" w:rsidR="004B174B" w:rsidRPr="004B174B" w:rsidRDefault="004B174B" w:rsidP="004B174B">
      <w:pPr>
        <w:tabs>
          <w:tab w:val="left" w:pos="851"/>
        </w:tabs>
        <w:ind w:left="851"/>
        <w:rPr>
          <w:sz w:val="24"/>
          <w:szCs w:val="24"/>
        </w:rPr>
      </w:pPr>
      <w:r w:rsidRPr="004B174B">
        <w:rPr>
          <w:sz w:val="24"/>
          <w:szCs w:val="24"/>
        </w:rPr>
        <w:t>Den resulterende opløsning skal fortyndes yderligere med en af følgende opløsninger:</w:t>
      </w:r>
    </w:p>
    <w:p w14:paraId="4230EB3D" w14:textId="77777777" w:rsidR="004B174B" w:rsidRPr="004B174B" w:rsidRDefault="004B174B" w:rsidP="004B174B">
      <w:pPr>
        <w:tabs>
          <w:tab w:val="left" w:pos="851"/>
        </w:tabs>
        <w:ind w:left="851"/>
        <w:rPr>
          <w:sz w:val="24"/>
          <w:szCs w:val="24"/>
        </w:rPr>
      </w:pPr>
      <w:r w:rsidRPr="004B174B">
        <w:rPr>
          <w:sz w:val="24"/>
          <w:szCs w:val="24"/>
        </w:rPr>
        <w:t xml:space="preserve">9 mg/ml (0,9 %) </w:t>
      </w:r>
      <w:proofErr w:type="spellStart"/>
      <w:r w:rsidRPr="004B174B">
        <w:rPr>
          <w:sz w:val="24"/>
          <w:szCs w:val="24"/>
        </w:rPr>
        <w:t>natriumchloridopløsning</w:t>
      </w:r>
      <w:proofErr w:type="spellEnd"/>
      <w:r w:rsidRPr="004B174B">
        <w:rPr>
          <w:sz w:val="24"/>
          <w:szCs w:val="24"/>
        </w:rPr>
        <w:t>,</w:t>
      </w:r>
    </w:p>
    <w:p w14:paraId="69BD64DD" w14:textId="77777777" w:rsidR="004B174B" w:rsidRPr="004B174B" w:rsidRDefault="004B174B" w:rsidP="004B174B">
      <w:pPr>
        <w:tabs>
          <w:tab w:val="left" w:pos="851"/>
        </w:tabs>
        <w:ind w:left="851"/>
        <w:rPr>
          <w:sz w:val="24"/>
          <w:szCs w:val="24"/>
        </w:rPr>
      </w:pPr>
      <w:r w:rsidRPr="004B174B">
        <w:rPr>
          <w:sz w:val="24"/>
          <w:szCs w:val="24"/>
        </w:rPr>
        <w:t xml:space="preserve">50 mg/ml (5 %) </w:t>
      </w:r>
      <w:proofErr w:type="spellStart"/>
      <w:r w:rsidRPr="004B174B">
        <w:rPr>
          <w:sz w:val="24"/>
          <w:szCs w:val="24"/>
        </w:rPr>
        <w:t>glucoseopløsning</w:t>
      </w:r>
      <w:proofErr w:type="spellEnd"/>
      <w:r w:rsidRPr="004B174B">
        <w:rPr>
          <w:sz w:val="24"/>
          <w:szCs w:val="24"/>
        </w:rPr>
        <w:t>,</w:t>
      </w:r>
    </w:p>
    <w:p w14:paraId="21D36D18" w14:textId="77777777" w:rsidR="004B174B" w:rsidRPr="004B174B" w:rsidRDefault="004B174B" w:rsidP="004B174B">
      <w:pPr>
        <w:tabs>
          <w:tab w:val="left" w:pos="851"/>
        </w:tabs>
        <w:ind w:left="851"/>
        <w:rPr>
          <w:sz w:val="24"/>
          <w:szCs w:val="24"/>
        </w:rPr>
      </w:pPr>
      <w:r w:rsidRPr="004B174B">
        <w:rPr>
          <w:sz w:val="24"/>
          <w:szCs w:val="24"/>
        </w:rPr>
        <w:t xml:space="preserve">50 mg/ml (5 %) </w:t>
      </w:r>
      <w:proofErr w:type="spellStart"/>
      <w:r w:rsidRPr="004B174B">
        <w:rPr>
          <w:sz w:val="24"/>
          <w:szCs w:val="24"/>
        </w:rPr>
        <w:t>glucoseopløsning</w:t>
      </w:r>
      <w:proofErr w:type="spellEnd"/>
      <w:r w:rsidRPr="004B174B">
        <w:rPr>
          <w:sz w:val="24"/>
          <w:szCs w:val="24"/>
        </w:rPr>
        <w:t xml:space="preserve"> med 9 mg/ml (0,9 %) </w:t>
      </w:r>
      <w:proofErr w:type="spellStart"/>
      <w:r w:rsidRPr="004B174B">
        <w:rPr>
          <w:sz w:val="24"/>
          <w:szCs w:val="24"/>
        </w:rPr>
        <w:t>natriumchloridopløsning</w:t>
      </w:r>
      <w:proofErr w:type="spellEnd"/>
      <w:r w:rsidRPr="004B174B">
        <w:rPr>
          <w:sz w:val="24"/>
          <w:szCs w:val="24"/>
        </w:rPr>
        <w:t xml:space="preserve"> i forholdet 1:1,</w:t>
      </w:r>
    </w:p>
    <w:p w14:paraId="470D0065" w14:textId="77777777" w:rsidR="004B174B" w:rsidRPr="004B174B" w:rsidRDefault="004B174B" w:rsidP="004B174B">
      <w:pPr>
        <w:tabs>
          <w:tab w:val="left" w:pos="851"/>
        </w:tabs>
        <w:ind w:left="851"/>
        <w:rPr>
          <w:sz w:val="24"/>
          <w:szCs w:val="24"/>
        </w:rPr>
      </w:pPr>
      <w:r w:rsidRPr="004B174B">
        <w:rPr>
          <w:sz w:val="24"/>
          <w:szCs w:val="24"/>
        </w:rPr>
        <w:t xml:space="preserve">50 mg/ml (5 %) </w:t>
      </w:r>
      <w:proofErr w:type="spellStart"/>
      <w:r w:rsidRPr="004B174B">
        <w:rPr>
          <w:sz w:val="24"/>
          <w:szCs w:val="24"/>
        </w:rPr>
        <w:t>glucoseopløsning</w:t>
      </w:r>
      <w:proofErr w:type="spellEnd"/>
      <w:r w:rsidRPr="004B174B">
        <w:rPr>
          <w:sz w:val="24"/>
          <w:szCs w:val="24"/>
        </w:rPr>
        <w:t xml:space="preserve"> med 9 mg/ml (0,9 %) </w:t>
      </w:r>
      <w:proofErr w:type="spellStart"/>
      <w:r w:rsidRPr="004B174B">
        <w:rPr>
          <w:sz w:val="24"/>
          <w:szCs w:val="24"/>
        </w:rPr>
        <w:t>natriumchloridopløsning</w:t>
      </w:r>
      <w:proofErr w:type="spellEnd"/>
      <w:r w:rsidRPr="004B174B">
        <w:rPr>
          <w:sz w:val="24"/>
          <w:szCs w:val="24"/>
        </w:rPr>
        <w:t xml:space="preserve"> i forholdet 2:1,</w:t>
      </w:r>
    </w:p>
    <w:p w14:paraId="58D4F1E4" w14:textId="77777777" w:rsidR="004B174B" w:rsidRPr="004B174B" w:rsidRDefault="004B174B" w:rsidP="004B174B">
      <w:pPr>
        <w:tabs>
          <w:tab w:val="left" w:pos="851"/>
        </w:tabs>
        <w:ind w:left="851"/>
        <w:rPr>
          <w:sz w:val="24"/>
          <w:szCs w:val="24"/>
        </w:rPr>
      </w:pPr>
      <w:r w:rsidRPr="004B174B">
        <w:rPr>
          <w:sz w:val="24"/>
          <w:szCs w:val="24"/>
        </w:rPr>
        <w:t>Ringers opløsning,</w:t>
      </w:r>
      <w:bookmarkStart w:id="9" w:name="_Hlk170220606"/>
      <w:r w:rsidRPr="004B174B">
        <w:rPr>
          <w:sz w:val="24"/>
          <w:szCs w:val="24"/>
        </w:rPr>
        <w:t xml:space="preserve"> </w:t>
      </w:r>
      <w:r w:rsidRPr="004B174B">
        <w:rPr>
          <w:i/>
          <w:iCs/>
          <w:sz w:val="24"/>
          <w:szCs w:val="24"/>
        </w:rPr>
        <w:t xml:space="preserve">Compound </w:t>
      </w:r>
      <w:proofErr w:type="spellStart"/>
      <w:r w:rsidRPr="004B174B">
        <w:rPr>
          <w:i/>
          <w:iCs/>
          <w:sz w:val="24"/>
          <w:szCs w:val="24"/>
        </w:rPr>
        <w:t>Sodium</w:t>
      </w:r>
      <w:proofErr w:type="spellEnd"/>
      <w:r w:rsidRPr="004B174B">
        <w:rPr>
          <w:i/>
          <w:iCs/>
          <w:sz w:val="24"/>
          <w:szCs w:val="24"/>
        </w:rPr>
        <w:t xml:space="preserve"> </w:t>
      </w:r>
      <w:proofErr w:type="spellStart"/>
      <w:r w:rsidRPr="004B174B">
        <w:rPr>
          <w:i/>
          <w:iCs/>
          <w:sz w:val="24"/>
          <w:szCs w:val="24"/>
        </w:rPr>
        <w:t>Lactate</w:t>
      </w:r>
      <w:proofErr w:type="spellEnd"/>
      <w:r w:rsidRPr="004B174B">
        <w:rPr>
          <w:i/>
          <w:iCs/>
          <w:sz w:val="24"/>
          <w:szCs w:val="24"/>
        </w:rPr>
        <w:t xml:space="preserve"> </w:t>
      </w:r>
      <w:proofErr w:type="spellStart"/>
      <w:r w:rsidRPr="004B174B">
        <w:rPr>
          <w:i/>
          <w:iCs/>
          <w:sz w:val="24"/>
          <w:szCs w:val="24"/>
        </w:rPr>
        <w:t>Injection</w:t>
      </w:r>
      <w:proofErr w:type="spellEnd"/>
      <w:r w:rsidRPr="004B174B">
        <w:rPr>
          <w:sz w:val="24"/>
          <w:szCs w:val="24"/>
        </w:rPr>
        <w:t xml:space="preserve"> (Ringer-</w:t>
      </w:r>
      <w:proofErr w:type="spellStart"/>
      <w:r w:rsidRPr="004B174B">
        <w:rPr>
          <w:sz w:val="24"/>
          <w:szCs w:val="24"/>
        </w:rPr>
        <w:t>lactat</w:t>
      </w:r>
      <w:proofErr w:type="spellEnd"/>
      <w:r w:rsidRPr="004B174B">
        <w:rPr>
          <w:sz w:val="24"/>
          <w:szCs w:val="24"/>
        </w:rPr>
        <w:t>-injektion)</w:t>
      </w:r>
      <w:bookmarkEnd w:id="9"/>
      <w:r w:rsidRPr="004B174B">
        <w:rPr>
          <w:sz w:val="24"/>
          <w:szCs w:val="24"/>
        </w:rPr>
        <w:t>.</w:t>
      </w:r>
    </w:p>
    <w:bookmarkEnd w:id="8"/>
    <w:p w14:paraId="7C509170" w14:textId="77777777" w:rsidR="004B174B" w:rsidRPr="004B174B" w:rsidRDefault="004B174B" w:rsidP="004B174B">
      <w:pPr>
        <w:tabs>
          <w:tab w:val="left" w:pos="851"/>
        </w:tabs>
        <w:ind w:left="851"/>
        <w:rPr>
          <w:b/>
          <w:bCs/>
          <w:sz w:val="24"/>
          <w:szCs w:val="24"/>
        </w:rPr>
      </w:pPr>
    </w:p>
    <w:tbl>
      <w:tblPr>
        <w:tblW w:w="7785" w:type="dxa"/>
        <w:tblInd w:w="8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684"/>
        <w:gridCol w:w="2408"/>
        <w:gridCol w:w="2693"/>
      </w:tblGrid>
      <w:tr w:rsidR="004B174B" w:rsidRPr="004B174B" w14:paraId="3F9C9B34" w14:textId="77777777" w:rsidTr="004B174B">
        <w:tc>
          <w:tcPr>
            <w:tcW w:w="2684" w:type="dxa"/>
            <w:vMerge w:val="restart"/>
            <w:tcBorders>
              <w:top w:val="single" w:sz="6" w:space="0" w:color="auto"/>
              <w:left w:val="single" w:sz="6" w:space="0" w:color="auto"/>
              <w:bottom w:val="single" w:sz="4" w:space="0" w:color="auto"/>
              <w:right w:val="single" w:sz="6" w:space="0" w:color="auto"/>
            </w:tcBorders>
            <w:vAlign w:val="center"/>
            <w:hideMark/>
          </w:tcPr>
          <w:p w14:paraId="39E87F2E" w14:textId="77777777" w:rsidR="004B174B" w:rsidRPr="004B174B" w:rsidRDefault="004B174B" w:rsidP="004B174B">
            <w:pPr>
              <w:ind w:left="73"/>
              <w:rPr>
                <w:b/>
                <w:bCs/>
                <w:sz w:val="24"/>
                <w:szCs w:val="24"/>
              </w:rPr>
            </w:pPr>
            <w:r w:rsidRPr="004B174B">
              <w:rPr>
                <w:b/>
                <w:sz w:val="24"/>
                <w:szCs w:val="24"/>
              </w:rPr>
              <w:t>Indhold af antibiotika pr. hætteglas</w:t>
            </w:r>
          </w:p>
        </w:tc>
        <w:tc>
          <w:tcPr>
            <w:tcW w:w="5101" w:type="dxa"/>
            <w:gridSpan w:val="2"/>
            <w:tcBorders>
              <w:top w:val="single" w:sz="6" w:space="0" w:color="auto"/>
              <w:left w:val="single" w:sz="6" w:space="0" w:color="auto"/>
              <w:bottom w:val="single" w:sz="6" w:space="0" w:color="auto"/>
              <w:right w:val="single" w:sz="6" w:space="0" w:color="auto"/>
            </w:tcBorders>
            <w:hideMark/>
          </w:tcPr>
          <w:p w14:paraId="2763ED8A" w14:textId="77777777" w:rsidR="004B174B" w:rsidRPr="004B174B" w:rsidRDefault="004B174B" w:rsidP="004B174B">
            <w:pPr>
              <w:ind w:left="76"/>
              <w:rPr>
                <w:b/>
                <w:bCs/>
                <w:sz w:val="24"/>
                <w:szCs w:val="24"/>
              </w:rPr>
            </w:pPr>
            <w:r w:rsidRPr="004B174B">
              <w:rPr>
                <w:b/>
                <w:sz w:val="24"/>
                <w:szCs w:val="24"/>
              </w:rPr>
              <w:t>Solvensvolumen</w:t>
            </w:r>
          </w:p>
        </w:tc>
      </w:tr>
      <w:tr w:rsidR="004B174B" w:rsidRPr="004B174B" w14:paraId="09372193" w14:textId="77777777" w:rsidTr="004B174B">
        <w:tc>
          <w:tcPr>
            <w:tcW w:w="2684" w:type="dxa"/>
            <w:vMerge/>
            <w:tcBorders>
              <w:top w:val="single" w:sz="6" w:space="0" w:color="auto"/>
              <w:left w:val="single" w:sz="6" w:space="0" w:color="auto"/>
              <w:bottom w:val="single" w:sz="4" w:space="0" w:color="auto"/>
              <w:right w:val="single" w:sz="6" w:space="0" w:color="auto"/>
            </w:tcBorders>
            <w:vAlign w:val="center"/>
            <w:hideMark/>
          </w:tcPr>
          <w:p w14:paraId="75FAEC16" w14:textId="77777777" w:rsidR="004B174B" w:rsidRPr="004B174B" w:rsidRDefault="004B174B" w:rsidP="004B174B">
            <w:pPr>
              <w:ind w:left="73"/>
              <w:rPr>
                <w:b/>
                <w:bCs/>
                <w:sz w:val="24"/>
                <w:szCs w:val="24"/>
              </w:rPr>
            </w:pPr>
          </w:p>
        </w:tc>
        <w:tc>
          <w:tcPr>
            <w:tcW w:w="2408" w:type="dxa"/>
            <w:tcBorders>
              <w:top w:val="single" w:sz="6" w:space="0" w:color="auto"/>
              <w:left w:val="single" w:sz="6" w:space="0" w:color="auto"/>
              <w:bottom w:val="single" w:sz="4" w:space="0" w:color="auto"/>
              <w:right w:val="single" w:sz="6" w:space="0" w:color="auto"/>
            </w:tcBorders>
            <w:hideMark/>
          </w:tcPr>
          <w:p w14:paraId="363FEBCC" w14:textId="77777777" w:rsidR="004B174B" w:rsidRPr="004B174B" w:rsidRDefault="004B174B" w:rsidP="004B174B">
            <w:pPr>
              <w:ind w:left="76"/>
              <w:rPr>
                <w:b/>
                <w:bCs/>
                <w:sz w:val="24"/>
                <w:szCs w:val="24"/>
              </w:rPr>
            </w:pPr>
            <w:r w:rsidRPr="004B174B">
              <w:rPr>
                <w:b/>
                <w:sz w:val="24"/>
                <w:szCs w:val="24"/>
              </w:rPr>
              <w:t>Intravenøs injektion</w:t>
            </w:r>
          </w:p>
        </w:tc>
        <w:tc>
          <w:tcPr>
            <w:tcW w:w="2693" w:type="dxa"/>
            <w:tcBorders>
              <w:top w:val="single" w:sz="6" w:space="0" w:color="auto"/>
              <w:left w:val="single" w:sz="6" w:space="0" w:color="auto"/>
              <w:bottom w:val="single" w:sz="4" w:space="0" w:color="auto"/>
              <w:right w:val="single" w:sz="6" w:space="0" w:color="auto"/>
            </w:tcBorders>
            <w:vAlign w:val="center"/>
            <w:hideMark/>
          </w:tcPr>
          <w:p w14:paraId="4D45C8DA" w14:textId="77777777" w:rsidR="004B174B" w:rsidRPr="004B174B" w:rsidRDefault="004B174B" w:rsidP="004B174B">
            <w:pPr>
              <w:ind w:left="76"/>
              <w:rPr>
                <w:b/>
                <w:bCs/>
                <w:sz w:val="24"/>
                <w:szCs w:val="24"/>
              </w:rPr>
            </w:pPr>
            <w:r w:rsidRPr="004B174B">
              <w:rPr>
                <w:b/>
                <w:sz w:val="24"/>
                <w:szCs w:val="24"/>
              </w:rPr>
              <w:t>Intravenøs infusion</w:t>
            </w:r>
          </w:p>
        </w:tc>
      </w:tr>
      <w:tr w:rsidR="004B174B" w:rsidRPr="004B174B" w14:paraId="60FDFA96" w14:textId="77777777" w:rsidTr="004B174B">
        <w:trPr>
          <w:trHeight w:val="256"/>
        </w:trPr>
        <w:tc>
          <w:tcPr>
            <w:tcW w:w="2684" w:type="dxa"/>
            <w:tcBorders>
              <w:top w:val="single" w:sz="4" w:space="0" w:color="auto"/>
              <w:left w:val="single" w:sz="6" w:space="0" w:color="auto"/>
              <w:bottom w:val="single" w:sz="4" w:space="0" w:color="auto"/>
              <w:right w:val="single" w:sz="6" w:space="0" w:color="auto"/>
            </w:tcBorders>
            <w:hideMark/>
          </w:tcPr>
          <w:p w14:paraId="230FB7BB" w14:textId="77777777" w:rsidR="004B174B" w:rsidRPr="004B174B" w:rsidRDefault="004B174B" w:rsidP="004B174B">
            <w:pPr>
              <w:ind w:left="73"/>
              <w:rPr>
                <w:sz w:val="24"/>
                <w:szCs w:val="24"/>
              </w:rPr>
            </w:pPr>
            <w:r w:rsidRPr="004B174B">
              <w:rPr>
                <w:sz w:val="24"/>
                <w:szCs w:val="24"/>
              </w:rPr>
              <w:t>1 g</w:t>
            </w:r>
          </w:p>
        </w:tc>
        <w:tc>
          <w:tcPr>
            <w:tcW w:w="2408" w:type="dxa"/>
            <w:tcBorders>
              <w:top w:val="single" w:sz="6" w:space="0" w:color="auto"/>
              <w:left w:val="single" w:sz="6" w:space="0" w:color="auto"/>
              <w:bottom w:val="single" w:sz="6" w:space="0" w:color="auto"/>
              <w:right w:val="single" w:sz="6" w:space="0" w:color="auto"/>
            </w:tcBorders>
            <w:hideMark/>
          </w:tcPr>
          <w:p w14:paraId="2D0844AC" w14:textId="77777777" w:rsidR="004B174B" w:rsidRPr="004B174B" w:rsidRDefault="004B174B" w:rsidP="004B174B">
            <w:pPr>
              <w:ind w:left="76"/>
              <w:rPr>
                <w:sz w:val="24"/>
                <w:szCs w:val="24"/>
              </w:rPr>
            </w:pPr>
            <w:r w:rsidRPr="004B174B">
              <w:rPr>
                <w:sz w:val="24"/>
                <w:szCs w:val="24"/>
              </w:rPr>
              <w:t>10 ml</w:t>
            </w:r>
          </w:p>
        </w:tc>
        <w:tc>
          <w:tcPr>
            <w:tcW w:w="2693" w:type="dxa"/>
            <w:tcBorders>
              <w:top w:val="single" w:sz="6" w:space="0" w:color="auto"/>
              <w:left w:val="single" w:sz="6" w:space="0" w:color="auto"/>
              <w:bottom w:val="single" w:sz="6" w:space="0" w:color="auto"/>
              <w:right w:val="single" w:sz="6" w:space="0" w:color="auto"/>
            </w:tcBorders>
            <w:hideMark/>
          </w:tcPr>
          <w:p w14:paraId="313F35C1" w14:textId="77777777" w:rsidR="004B174B" w:rsidRPr="004B174B" w:rsidRDefault="004B174B" w:rsidP="004B174B">
            <w:pPr>
              <w:ind w:left="76"/>
              <w:rPr>
                <w:sz w:val="24"/>
                <w:szCs w:val="24"/>
              </w:rPr>
            </w:pPr>
            <w:r w:rsidRPr="004B174B">
              <w:rPr>
                <w:sz w:val="24"/>
                <w:szCs w:val="24"/>
              </w:rPr>
              <w:t>40–100 ml</w:t>
            </w:r>
          </w:p>
        </w:tc>
      </w:tr>
      <w:tr w:rsidR="004B174B" w:rsidRPr="004B174B" w14:paraId="77595803" w14:textId="77777777" w:rsidTr="004B174B">
        <w:trPr>
          <w:trHeight w:val="256"/>
        </w:trPr>
        <w:tc>
          <w:tcPr>
            <w:tcW w:w="2684" w:type="dxa"/>
            <w:tcBorders>
              <w:top w:val="single" w:sz="4" w:space="0" w:color="auto"/>
              <w:left w:val="single" w:sz="6" w:space="0" w:color="auto"/>
              <w:bottom w:val="single" w:sz="6" w:space="0" w:color="auto"/>
              <w:right w:val="single" w:sz="6" w:space="0" w:color="auto"/>
            </w:tcBorders>
            <w:hideMark/>
          </w:tcPr>
          <w:p w14:paraId="0A8345A8" w14:textId="77777777" w:rsidR="004B174B" w:rsidRPr="004B174B" w:rsidRDefault="004B174B" w:rsidP="004B174B">
            <w:pPr>
              <w:ind w:left="73"/>
              <w:rPr>
                <w:sz w:val="24"/>
                <w:szCs w:val="24"/>
              </w:rPr>
            </w:pPr>
            <w:r w:rsidRPr="004B174B">
              <w:rPr>
                <w:sz w:val="24"/>
                <w:szCs w:val="24"/>
              </w:rPr>
              <w:t>2 g</w:t>
            </w:r>
          </w:p>
        </w:tc>
        <w:tc>
          <w:tcPr>
            <w:tcW w:w="2408" w:type="dxa"/>
            <w:tcBorders>
              <w:top w:val="single" w:sz="6" w:space="0" w:color="auto"/>
              <w:left w:val="single" w:sz="6" w:space="0" w:color="auto"/>
              <w:bottom w:val="single" w:sz="6" w:space="0" w:color="auto"/>
              <w:right w:val="single" w:sz="6" w:space="0" w:color="auto"/>
            </w:tcBorders>
            <w:hideMark/>
          </w:tcPr>
          <w:p w14:paraId="6913E67E" w14:textId="77777777" w:rsidR="004B174B" w:rsidRPr="004B174B" w:rsidRDefault="004B174B" w:rsidP="004B174B">
            <w:pPr>
              <w:ind w:left="76"/>
              <w:rPr>
                <w:sz w:val="24"/>
                <w:szCs w:val="24"/>
              </w:rPr>
            </w:pPr>
            <w:r w:rsidRPr="004B174B">
              <w:rPr>
                <w:sz w:val="24"/>
                <w:szCs w:val="24"/>
              </w:rPr>
              <w:t>10 ml</w:t>
            </w:r>
          </w:p>
        </w:tc>
        <w:tc>
          <w:tcPr>
            <w:tcW w:w="2693" w:type="dxa"/>
            <w:tcBorders>
              <w:top w:val="single" w:sz="6" w:space="0" w:color="auto"/>
              <w:left w:val="single" w:sz="6" w:space="0" w:color="auto"/>
              <w:bottom w:val="single" w:sz="6" w:space="0" w:color="auto"/>
              <w:right w:val="single" w:sz="6" w:space="0" w:color="auto"/>
            </w:tcBorders>
            <w:hideMark/>
          </w:tcPr>
          <w:p w14:paraId="3B7E4CE9" w14:textId="77777777" w:rsidR="004B174B" w:rsidRPr="004B174B" w:rsidRDefault="004B174B" w:rsidP="004B174B">
            <w:pPr>
              <w:ind w:left="76"/>
              <w:rPr>
                <w:sz w:val="24"/>
                <w:szCs w:val="24"/>
              </w:rPr>
            </w:pPr>
            <w:r w:rsidRPr="004B174B">
              <w:rPr>
                <w:sz w:val="24"/>
                <w:szCs w:val="24"/>
              </w:rPr>
              <w:t>40–100 ml</w:t>
            </w:r>
          </w:p>
        </w:tc>
      </w:tr>
    </w:tbl>
    <w:p w14:paraId="39927555" w14:textId="77777777" w:rsidR="004B174B" w:rsidRPr="004B174B" w:rsidRDefault="004B174B" w:rsidP="004B174B">
      <w:pPr>
        <w:tabs>
          <w:tab w:val="left" w:pos="851"/>
        </w:tabs>
        <w:ind w:left="851"/>
        <w:rPr>
          <w:b/>
          <w:bCs/>
          <w:sz w:val="24"/>
          <w:szCs w:val="24"/>
        </w:rPr>
      </w:pPr>
    </w:p>
    <w:p w14:paraId="42AC1CAA" w14:textId="77777777" w:rsidR="004B174B" w:rsidRPr="004B174B" w:rsidRDefault="004B174B" w:rsidP="004B174B">
      <w:pPr>
        <w:tabs>
          <w:tab w:val="left" w:pos="851"/>
        </w:tabs>
        <w:ind w:left="851"/>
        <w:rPr>
          <w:sz w:val="24"/>
          <w:szCs w:val="24"/>
        </w:rPr>
      </w:pPr>
      <w:r w:rsidRPr="004B174B">
        <w:rPr>
          <w:b/>
          <w:bCs/>
          <w:sz w:val="24"/>
          <w:szCs w:val="24"/>
        </w:rPr>
        <w:t>Intramuskulær injektion</w:t>
      </w:r>
      <w:r w:rsidRPr="004B174B">
        <w:rPr>
          <w:sz w:val="24"/>
          <w:szCs w:val="24"/>
        </w:rPr>
        <w:t xml:space="preserve"> (anbefales kun for 1 g hætteglas)</w:t>
      </w:r>
    </w:p>
    <w:p w14:paraId="5FD476FA" w14:textId="77777777" w:rsidR="004B174B" w:rsidRPr="004B174B" w:rsidRDefault="004B174B" w:rsidP="004B174B">
      <w:pPr>
        <w:tabs>
          <w:tab w:val="left" w:pos="851"/>
        </w:tabs>
        <w:ind w:left="851"/>
        <w:rPr>
          <w:sz w:val="24"/>
          <w:szCs w:val="24"/>
        </w:rPr>
      </w:pPr>
      <w:r w:rsidRPr="004B174B">
        <w:rPr>
          <w:sz w:val="24"/>
          <w:szCs w:val="24"/>
        </w:rPr>
        <w:t xml:space="preserve">Indholdet af 1 g hætteglas skal opløses i 4 ml vand til injektionsvæsker, 9 mg/ml (0,9 %) </w:t>
      </w:r>
      <w:proofErr w:type="spellStart"/>
      <w:r w:rsidRPr="004B174B">
        <w:rPr>
          <w:sz w:val="24"/>
          <w:szCs w:val="24"/>
        </w:rPr>
        <w:t>natriumchloridopløsning</w:t>
      </w:r>
      <w:proofErr w:type="spellEnd"/>
      <w:r w:rsidRPr="004B174B">
        <w:rPr>
          <w:sz w:val="24"/>
          <w:szCs w:val="24"/>
        </w:rPr>
        <w:t xml:space="preserve"> eller 10 mg/ml (1 %) </w:t>
      </w:r>
      <w:proofErr w:type="spellStart"/>
      <w:r w:rsidRPr="004B174B">
        <w:rPr>
          <w:sz w:val="24"/>
          <w:szCs w:val="24"/>
        </w:rPr>
        <w:t>lidocainopløsning</w:t>
      </w:r>
      <w:proofErr w:type="spellEnd"/>
      <w:r w:rsidRPr="004B174B">
        <w:rPr>
          <w:sz w:val="24"/>
          <w:szCs w:val="24"/>
        </w:rPr>
        <w:t xml:space="preserve">. Præparatet må ikke administreres intravenøst sammen med </w:t>
      </w:r>
      <w:proofErr w:type="spellStart"/>
      <w:r w:rsidRPr="004B174B">
        <w:rPr>
          <w:sz w:val="24"/>
          <w:szCs w:val="24"/>
        </w:rPr>
        <w:t>lidocainopløsning</w:t>
      </w:r>
      <w:proofErr w:type="spellEnd"/>
      <w:r w:rsidRPr="004B174B">
        <w:rPr>
          <w:sz w:val="24"/>
          <w:szCs w:val="24"/>
        </w:rPr>
        <w:t>.</w:t>
      </w:r>
    </w:p>
    <w:p w14:paraId="74E55120" w14:textId="77777777" w:rsidR="004B174B" w:rsidRPr="004B174B" w:rsidRDefault="004B174B" w:rsidP="004B174B">
      <w:pPr>
        <w:tabs>
          <w:tab w:val="left" w:pos="851"/>
        </w:tabs>
        <w:ind w:left="851"/>
        <w:rPr>
          <w:sz w:val="24"/>
          <w:szCs w:val="24"/>
        </w:rPr>
      </w:pPr>
    </w:p>
    <w:tbl>
      <w:tblPr>
        <w:tblW w:w="5085" w:type="dxa"/>
        <w:tblInd w:w="8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692"/>
        <w:gridCol w:w="2393"/>
      </w:tblGrid>
      <w:tr w:rsidR="004B174B" w:rsidRPr="004B174B" w14:paraId="798C09E9" w14:textId="77777777" w:rsidTr="004B174B">
        <w:tc>
          <w:tcPr>
            <w:tcW w:w="2692" w:type="dxa"/>
            <w:vMerge w:val="restart"/>
            <w:tcBorders>
              <w:top w:val="single" w:sz="6" w:space="0" w:color="auto"/>
              <w:left w:val="single" w:sz="6" w:space="0" w:color="auto"/>
              <w:bottom w:val="single" w:sz="4" w:space="0" w:color="auto"/>
              <w:right w:val="single" w:sz="6" w:space="0" w:color="auto"/>
            </w:tcBorders>
            <w:vAlign w:val="center"/>
            <w:hideMark/>
          </w:tcPr>
          <w:p w14:paraId="1C661F94" w14:textId="77777777" w:rsidR="004B174B" w:rsidRPr="004B174B" w:rsidRDefault="004B174B" w:rsidP="004B174B">
            <w:pPr>
              <w:ind w:left="73"/>
              <w:rPr>
                <w:b/>
                <w:sz w:val="24"/>
                <w:szCs w:val="24"/>
              </w:rPr>
            </w:pPr>
            <w:r w:rsidRPr="004B174B">
              <w:rPr>
                <w:b/>
                <w:sz w:val="24"/>
                <w:szCs w:val="24"/>
              </w:rPr>
              <w:t>Indhold af antibiotika pr. hætteglas</w:t>
            </w:r>
          </w:p>
        </w:tc>
        <w:tc>
          <w:tcPr>
            <w:tcW w:w="2393" w:type="dxa"/>
            <w:tcBorders>
              <w:top w:val="single" w:sz="6" w:space="0" w:color="auto"/>
              <w:left w:val="single" w:sz="6" w:space="0" w:color="auto"/>
              <w:bottom w:val="single" w:sz="6" w:space="0" w:color="auto"/>
              <w:right w:val="single" w:sz="6" w:space="0" w:color="auto"/>
            </w:tcBorders>
            <w:hideMark/>
          </w:tcPr>
          <w:p w14:paraId="14D63A6C" w14:textId="77777777" w:rsidR="004B174B" w:rsidRPr="004B174B" w:rsidRDefault="004B174B" w:rsidP="004B174B">
            <w:pPr>
              <w:ind w:left="76"/>
              <w:rPr>
                <w:b/>
                <w:sz w:val="24"/>
                <w:szCs w:val="24"/>
              </w:rPr>
            </w:pPr>
            <w:r w:rsidRPr="004B174B">
              <w:rPr>
                <w:b/>
                <w:sz w:val="24"/>
                <w:szCs w:val="24"/>
              </w:rPr>
              <w:t>Solvensvolumen</w:t>
            </w:r>
          </w:p>
        </w:tc>
      </w:tr>
      <w:tr w:rsidR="004B174B" w:rsidRPr="004B174B" w14:paraId="6C78BC68" w14:textId="77777777" w:rsidTr="004B174B">
        <w:tc>
          <w:tcPr>
            <w:tcW w:w="2692" w:type="dxa"/>
            <w:vMerge/>
            <w:tcBorders>
              <w:top w:val="single" w:sz="6" w:space="0" w:color="auto"/>
              <w:left w:val="single" w:sz="6" w:space="0" w:color="auto"/>
              <w:bottom w:val="single" w:sz="4" w:space="0" w:color="auto"/>
              <w:right w:val="single" w:sz="6" w:space="0" w:color="auto"/>
            </w:tcBorders>
            <w:vAlign w:val="center"/>
            <w:hideMark/>
          </w:tcPr>
          <w:p w14:paraId="0C653731" w14:textId="77777777" w:rsidR="004B174B" w:rsidRPr="004B174B" w:rsidRDefault="004B174B" w:rsidP="004B174B">
            <w:pPr>
              <w:ind w:left="73"/>
              <w:rPr>
                <w:b/>
                <w:sz w:val="24"/>
                <w:szCs w:val="24"/>
              </w:rPr>
            </w:pPr>
          </w:p>
        </w:tc>
        <w:tc>
          <w:tcPr>
            <w:tcW w:w="2393" w:type="dxa"/>
            <w:tcBorders>
              <w:top w:val="single" w:sz="6" w:space="0" w:color="auto"/>
              <w:left w:val="single" w:sz="6" w:space="0" w:color="auto"/>
              <w:bottom w:val="single" w:sz="4" w:space="0" w:color="auto"/>
              <w:right w:val="single" w:sz="6" w:space="0" w:color="auto"/>
            </w:tcBorders>
            <w:hideMark/>
          </w:tcPr>
          <w:p w14:paraId="22031CE8" w14:textId="77777777" w:rsidR="004B174B" w:rsidRPr="004B174B" w:rsidRDefault="004B174B" w:rsidP="004B174B">
            <w:pPr>
              <w:ind w:left="76"/>
              <w:rPr>
                <w:b/>
                <w:sz w:val="24"/>
                <w:szCs w:val="24"/>
              </w:rPr>
            </w:pPr>
            <w:r w:rsidRPr="004B174B">
              <w:rPr>
                <w:b/>
                <w:sz w:val="24"/>
                <w:szCs w:val="24"/>
              </w:rPr>
              <w:t>Intramuskulær injektion</w:t>
            </w:r>
          </w:p>
        </w:tc>
      </w:tr>
      <w:tr w:rsidR="004B174B" w:rsidRPr="004B174B" w14:paraId="0273F10D" w14:textId="77777777" w:rsidTr="004B174B">
        <w:trPr>
          <w:trHeight w:val="256"/>
        </w:trPr>
        <w:tc>
          <w:tcPr>
            <w:tcW w:w="2692" w:type="dxa"/>
            <w:tcBorders>
              <w:top w:val="single" w:sz="4" w:space="0" w:color="auto"/>
              <w:left w:val="single" w:sz="6" w:space="0" w:color="auto"/>
              <w:bottom w:val="single" w:sz="4" w:space="0" w:color="auto"/>
              <w:right w:val="single" w:sz="6" w:space="0" w:color="auto"/>
            </w:tcBorders>
            <w:hideMark/>
          </w:tcPr>
          <w:p w14:paraId="6EE0D099" w14:textId="77777777" w:rsidR="004B174B" w:rsidRPr="004B174B" w:rsidRDefault="004B174B" w:rsidP="004B174B">
            <w:pPr>
              <w:ind w:left="73"/>
              <w:rPr>
                <w:sz w:val="24"/>
                <w:szCs w:val="24"/>
                <w:u w:val="single"/>
              </w:rPr>
            </w:pPr>
            <w:r w:rsidRPr="004B174B">
              <w:rPr>
                <w:sz w:val="24"/>
                <w:szCs w:val="24"/>
                <w:u w:val="single"/>
              </w:rPr>
              <w:t>1 g</w:t>
            </w:r>
          </w:p>
        </w:tc>
        <w:tc>
          <w:tcPr>
            <w:tcW w:w="2393" w:type="dxa"/>
            <w:tcBorders>
              <w:top w:val="single" w:sz="6" w:space="0" w:color="auto"/>
              <w:left w:val="single" w:sz="6" w:space="0" w:color="auto"/>
              <w:bottom w:val="single" w:sz="6" w:space="0" w:color="auto"/>
              <w:right w:val="single" w:sz="6" w:space="0" w:color="auto"/>
            </w:tcBorders>
            <w:hideMark/>
          </w:tcPr>
          <w:p w14:paraId="41AF704C" w14:textId="77777777" w:rsidR="004B174B" w:rsidRPr="004B174B" w:rsidRDefault="004B174B" w:rsidP="004B174B">
            <w:pPr>
              <w:ind w:left="76"/>
              <w:rPr>
                <w:sz w:val="24"/>
                <w:szCs w:val="24"/>
                <w:u w:val="single"/>
              </w:rPr>
            </w:pPr>
            <w:r w:rsidRPr="004B174B">
              <w:rPr>
                <w:sz w:val="24"/>
                <w:szCs w:val="24"/>
                <w:u w:val="single"/>
              </w:rPr>
              <w:t>4 ml</w:t>
            </w:r>
          </w:p>
        </w:tc>
      </w:tr>
      <w:tr w:rsidR="004B174B" w:rsidRPr="004B174B" w14:paraId="2C0AD795" w14:textId="77777777" w:rsidTr="004B174B">
        <w:trPr>
          <w:trHeight w:val="256"/>
        </w:trPr>
        <w:tc>
          <w:tcPr>
            <w:tcW w:w="2692" w:type="dxa"/>
            <w:tcBorders>
              <w:top w:val="single" w:sz="4" w:space="0" w:color="auto"/>
              <w:left w:val="single" w:sz="6" w:space="0" w:color="auto"/>
              <w:bottom w:val="single" w:sz="6" w:space="0" w:color="auto"/>
              <w:right w:val="single" w:sz="6" w:space="0" w:color="auto"/>
            </w:tcBorders>
            <w:hideMark/>
          </w:tcPr>
          <w:p w14:paraId="34F3203E" w14:textId="77777777" w:rsidR="004B174B" w:rsidRPr="004B174B" w:rsidRDefault="004B174B" w:rsidP="004B174B">
            <w:pPr>
              <w:ind w:left="73"/>
              <w:rPr>
                <w:sz w:val="24"/>
                <w:szCs w:val="24"/>
                <w:u w:val="single"/>
              </w:rPr>
            </w:pPr>
            <w:r w:rsidRPr="004B174B">
              <w:rPr>
                <w:sz w:val="24"/>
                <w:szCs w:val="24"/>
                <w:u w:val="single"/>
              </w:rPr>
              <w:t>2 g</w:t>
            </w:r>
          </w:p>
        </w:tc>
        <w:tc>
          <w:tcPr>
            <w:tcW w:w="2393" w:type="dxa"/>
            <w:tcBorders>
              <w:top w:val="single" w:sz="6" w:space="0" w:color="auto"/>
              <w:left w:val="single" w:sz="6" w:space="0" w:color="auto"/>
              <w:bottom w:val="single" w:sz="6" w:space="0" w:color="auto"/>
              <w:right w:val="single" w:sz="6" w:space="0" w:color="auto"/>
            </w:tcBorders>
            <w:hideMark/>
          </w:tcPr>
          <w:p w14:paraId="6E28BDEB" w14:textId="77777777" w:rsidR="004B174B" w:rsidRPr="004B174B" w:rsidRDefault="004B174B" w:rsidP="004B174B">
            <w:pPr>
              <w:ind w:left="76"/>
              <w:rPr>
                <w:sz w:val="24"/>
                <w:szCs w:val="24"/>
                <w:u w:val="single"/>
              </w:rPr>
            </w:pPr>
            <w:r w:rsidRPr="004B174B">
              <w:rPr>
                <w:sz w:val="24"/>
                <w:szCs w:val="24"/>
                <w:u w:val="single"/>
              </w:rPr>
              <w:t>-</w:t>
            </w:r>
          </w:p>
        </w:tc>
      </w:tr>
    </w:tbl>
    <w:p w14:paraId="36FD48AB" w14:textId="77777777" w:rsidR="004B174B" w:rsidRPr="004B174B" w:rsidRDefault="004B174B" w:rsidP="004B174B">
      <w:pPr>
        <w:tabs>
          <w:tab w:val="left" w:pos="851"/>
        </w:tabs>
        <w:ind w:left="851"/>
        <w:rPr>
          <w:sz w:val="24"/>
          <w:szCs w:val="24"/>
        </w:rPr>
      </w:pPr>
    </w:p>
    <w:p w14:paraId="2DD9A449" w14:textId="77777777" w:rsidR="004B174B" w:rsidRPr="004B174B" w:rsidRDefault="004B174B" w:rsidP="004B174B">
      <w:pPr>
        <w:tabs>
          <w:tab w:val="left" w:pos="851"/>
        </w:tabs>
        <w:ind w:left="851"/>
        <w:rPr>
          <w:sz w:val="24"/>
          <w:szCs w:val="24"/>
        </w:rPr>
      </w:pPr>
      <w:r w:rsidRPr="004B174B">
        <w:rPr>
          <w:sz w:val="24"/>
          <w:szCs w:val="24"/>
        </w:rPr>
        <w:t>Ikke anvendt lægemiddel samt affald heraf skal bortskaffes i henhold til lokale retningslinjer.</w:t>
      </w:r>
    </w:p>
    <w:p w14:paraId="6BA8671F" w14:textId="77777777" w:rsidR="009260DE" w:rsidRPr="00C84483" w:rsidRDefault="009260DE" w:rsidP="000730CA">
      <w:pPr>
        <w:tabs>
          <w:tab w:val="left" w:pos="851"/>
        </w:tabs>
        <w:ind w:left="851"/>
        <w:rPr>
          <w:sz w:val="24"/>
          <w:szCs w:val="24"/>
        </w:rPr>
      </w:pPr>
    </w:p>
    <w:p w14:paraId="368906A6"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0A85CC8A" w14:textId="77777777" w:rsidR="00691145" w:rsidRPr="00691145" w:rsidRDefault="00691145" w:rsidP="00691145">
      <w:pPr>
        <w:tabs>
          <w:tab w:val="left" w:pos="851"/>
        </w:tabs>
        <w:ind w:left="851"/>
        <w:rPr>
          <w:sz w:val="24"/>
          <w:szCs w:val="24"/>
        </w:rPr>
      </w:pPr>
      <w:proofErr w:type="spellStart"/>
      <w:r w:rsidRPr="00691145">
        <w:rPr>
          <w:sz w:val="24"/>
          <w:szCs w:val="24"/>
        </w:rPr>
        <w:t>hameln</w:t>
      </w:r>
      <w:proofErr w:type="spellEnd"/>
      <w:r w:rsidRPr="00691145">
        <w:rPr>
          <w:sz w:val="24"/>
          <w:szCs w:val="24"/>
        </w:rPr>
        <w:t xml:space="preserve"> </w:t>
      </w:r>
      <w:proofErr w:type="spellStart"/>
      <w:r w:rsidRPr="00691145">
        <w:rPr>
          <w:sz w:val="24"/>
          <w:szCs w:val="24"/>
        </w:rPr>
        <w:t>pharma</w:t>
      </w:r>
      <w:proofErr w:type="spellEnd"/>
      <w:r w:rsidRPr="00691145">
        <w:rPr>
          <w:sz w:val="24"/>
          <w:szCs w:val="24"/>
        </w:rPr>
        <w:t xml:space="preserve"> </w:t>
      </w:r>
      <w:proofErr w:type="spellStart"/>
      <w:r w:rsidRPr="00691145">
        <w:rPr>
          <w:sz w:val="24"/>
          <w:szCs w:val="24"/>
        </w:rPr>
        <w:t>gmbh</w:t>
      </w:r>
      <w:proofErr w:type="spellEnd"/>
      <w:r w:rsidRPr="00691145">
        <w:rPr>
          <w:sz w:val="24"/>
          <w:szCs w:val="24"/>
        </w:rPr>
        <w:t xml:space="preserve"> </w:t>
      </w:r>
    </w:p>
    <w:p w14:paraId="4A04760A" w14:textId="77777777" w:rsidR="00691145" w:rsidRPr="00691145" w:rsidRDefault="00691145" w:rsidP="00691145">
      <w:pPr>
        <w:tabs>
          <w:tab w:val="left" w:pos="851"/>
        </w:tabs>
        <w:ind w:left="851"/>
        <w:rPr>
          <w:sz w:val="24"/>
          <w:szCs w:val="24"/>
        </w:rPr>
      </w:pPr>
      <w:proofErr w:type="spellStart"/>
      <w:r w:rsidRPr="00691145">
        <w:rPr>
          <w:sz w:val="24"/>
          <w:szCs w:val="24"/>
        </w:rPr>
        <w:t>Inselstraße</w:t>
      </w:r>
      <w:proofErr w:type="spellEnd"/>
      <w:r w:rsidRPr="00691145">
        <w:rPr>
          <w:sz w:val="24"/>
          <w:szCs w:val="24"/>
        </w:rPr>
        <w:t xml:space="preserve"> 1 </w:t>
      </w:r>
    </w:p>
    <w:p w14:paraId="28314868" w14:textId="77777777" w:rsidR="00691145" w:rsidRPr="00691145" w:rsidRDefault="00691145" w:rsidP="00691145">
      <w:pPr>
        <w:tabs>
          <w:tab w:val="left" w:pos="851"/>
        </w:tabs>
        <w:ind w:left="851"/>
        <w:rPr>
          <w:sz w:val="24"/>
          <w:szCs w:val="24"/>
        </w:rPr>
      </w:pPr>
      <w:r w:rsidRPr="00691145">
        <w:rPr>
          <w:sz w:val="24"/>
          <w:szCs w:val="24"/>
        </w:rPr>
        <w:t>31787 Hameln</w:t>
      </w:r>
    </w:p>
    <w:p w14:paraId="05B39168" w14:textId="77777777" w:rsidR="00691145" w:rsidRPr="00691145" w:rsidRDefault="00691145" w:rsidP="00691145">
      <w:pPr>
        <w:tabs>
          <w:tab w:val="left" w:pos="851"/>
        </w:tabs>
        <w:ind w:left="851"/>
        <w:rPr>
          <w:sz w:val="24"/>
          <w:szCs w:val="24"/>
        </w:rPr>
      </w:pPr>
      <w:r w:rsidRPr="00691145">
        <w:rPr>
          <w:sz w:val="24"/>
          <w:szCs w:val="24"/>
        </w:rPr>
        <w:t>Tyskland</w:t>
      </w:r>
    </w:p>
    <w:p w14:paraId="54DDEB2B" w14:textId="77777777" w:rsidR="00691145" w:rsidRPr="00691145" w:rsidRDefault="00691145" w:rsidP="00691145">
      <w:pPr>
        <w:tabs>
          <w:tab w:val="left" w:pos="851"/>
        </w:tabs>
        <w:ind w:left="851"/>
        <w:rPr>
          <w:sz w:val="24"/>
          <w:szCs w:val="24"/>
        </w:rPr>
      </w:pPr>
    </w:p>
    <w:p w14:paraId="6093A6C9" w14:textId="77777777" w:rsidR="00691145" w:rsidRPr="00691145" w:rsidRDefault="00691145" w:rsidP="00691145">
      <w:pPr>
        <w:tabs>
          <w:tab w:val="left" w:pos="851"/>
        </w:tabs>
        <w:ind w:left="851"/>
        <w:rPr>
          <w:b/>
          <w:bCs/>
          <w:sz w:val="24"/>
          <w:szCs w:val="24"/>
        </w:rPr>
      </w:pPr>
      <w:r w:rsidRPr="00691145">
        <w:rPr>
          <w:b/>
          <w:bCs/>
          <w:sz w:val="24"/>
          <w:szCs w:val="24"/>
        </w:rPr>
        <w:t>Repræsentant</w:t>
      </w:r>
    </w:p>
    <w:p w14:paraId="1B7268E1" w14:textId="77777777" w:rsidR="00691145" w:rsidRPr="00691145" w:rsidRDefault="00691145" w:rsidP="00691145">
      <w:pPr>
        <w:tabs>
          <w:tab w:val="left" w:pos="851"/>
        </w:tabs>
        <w:ind w:left="851"/>
        <w:rPr>
          <w:sz w:val="24"/>
          <w:szCs w:val="24"/>
        </w:rPr>
      </w:pPr>
      <w:proofErr w:type="spellStart"/>
      <w:r w:rsidRPr="00691145">
        <w:rPr>
          <w:sz w:val="24"/>
          <w:szCs w:val="24"/>
        </w:rPr>
        <w:t>hameln</w:t>
      </w:r>
      <w:proofErr w:type="spellEnd"/>
      <w:r w:rsidRPr="00691145">
        <w:rPr>
          <w:sz w:val="24"/>
          <w:szCs w:val="24"/>
        </w:rPr>
        <w:t xml:space="preserve"> </w:t>
      </w:r>
      <w:proofErr w:type="spellStart"/>
      <w:r w:rsidRPr="00691145">
        <w:rPr>
          <w:sz w:val="24"/>
          <w:szCs w:val="24"/>
        </w:rPr>
        <w:t>pharma</w:t>
      </w:r>
      <w:proofErr w:type="spellEnd"/>
      <w:r w:rsidRPr="00691145">
        <w:rPr>
          <w:sz w:val="24"/>
          <w:szCs w:val="24"/>
        </w:rPr>
        <w:t xml:space="preserve"> ApS</w:t>
      </w:r>
    </w:p>
    <w:p w14:paraId="0F2E3CE2" w14:textId="77777777" w:rsidR="00691145" w:rsidRPr="00691145" w:rsidRDefault="00691145" w:rsidP="00691145">
      <w:pPr>
        <w:tabs>
          <w:tab w:val="left" w:pos="851"/>
        </w:tabs>
        <w:ind w:left="851"/>
        <w:rPr>
          <w:sz w:val="24"/>
          <w:szCs w:val="24"/>
        </w:rPr>
      </w:pPr>
      <w:r w:rsidRPr="00691145">
        <w:rPr>
          <w:sz w:val="24"/>
          <w:szCs w:val="24"/>
        </w:rPr>
        <w:t xml:space="preserve">Naverland 22 </w:t>
      </w:r>
    </w:p>
    <w:p w14:paraId="7BE265F7" w14:textId="77777777" w:rsidR="00691145" w:rsidRPr="00691145" w:rsidRDefault="00691145" w:rsidP="00691145">
      <w:pPr>
        <w:tabs>
          <w:tab w:val="left" w:pos="851"/>
        </w:tabs>
        <w:ind w:left="851"/>
        <w:rPr>
          <w:sz w:val="24"/>
          <w:szCs w:val="24"/>
        </w:rPr>
      </w:pPr>
      <w:r w:rsidRPr="00691145">
        <w:rPr>
          <w:sz w:val="24"/>
          <w:szCs w:val="24"/>
        </w:rPr>
        <w:t>2600 Glostrup</w:t>
      </w:r>
    </w:p>
    <w:p w14:paraId="5DE55A6D" w14:textId="77777777" w:rsidR="00641C65" w:rsidRPr="00641C65" w:rsidRDefault="00641C65" w:rsidP="009260DE">
      <w:pPr>
        <w:tabs>
          <w:tab w:val="left" w:pos="851"/>
        </w:tabs>
        <w:ind w:left="851"/>
        <w:rPr>
          <w:sz w:val="24"/>
          <w:szCs w:val="24"/>
        </w:rPr>
      </w:pPr>
    </w:p>
    <w:p w14:paraId="42CAFFA2"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00BDC33F" w14:textId="51C3858C" w:rsidR="009260DE" w:rsidRDefault="00691145" w:rsidP="009260DE">
      <w:pPr>
        <w:tabs>
          <w:tab w:val="left" w:pos="851"/>
        </w:tabs>
        <w:ind w:left="851"/>
        <w:rPr>
          <w:sz w:val="24"/>
          <w:szCs w:val="24"/>
        </w:rPr>
      </w:pPr>
      <w:r>
        <w:rPr>
          <w:sz w:val="24"/>
          <w:szCs w:val="24"/>
        </w:rPr>
        <w:t>1 g: 70392</w:t>
      </w:r>
    </w:p>
    <w:p w14:paraId="54E739C7" w14:textId="045A9B05" w:rsidR="00691145" w:rsidRPr="00C84483" w:rsidRDefault="00691145" w:rsidP="009260DE">
      <w:pPr>
        <w:tabs>
          <w:tab w:val="left" w:pos="851"/>
        </w:tabs>
        <w:ind w:left="851"/>
        <w:rPr>
          <w:sz w:val="24"/>
          <w:szCs w:val="24"/>
        </w:rPr>
      </w:pPr>
      <w:r>
        <w:rPr>
          <w:sz w:val="24"/>
          <w:szCs w:val="24"/>
        </w:rPr>
        <w:t>2 g: 70394</w:t>
      </w:r>
    </w:p>
    <w:p w14:paraId="0AF7EFC1" w14:textId="77777777" w:rsidR="009260DE" w:rsidRPr="00C84483" w:rsidRDefault="009260DE" w:rsidP="009260DE">
      <w:pPr>
        <w:tabs>
          <w:tab w:val="left" w:pos="851"/>
        </w:tabs>
        <w:ind w:left="851"/>
        <w:jc w:val="both"/>
        <w:rPr>
          <w:sz w:val="24"/>
          <w:szCs w:val="24"/>
        </w:rPr>
      </w:pPr>
    </w:p>
    <w:p w14:paraId="64B56480"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1DDD8058" w14:textId="53B04607" w:rsidR="009260DE" w:rsidRPr="00C84483" w:rsidRDefault="00DA52BE" w:rsidP="009260DE">
      <w:pPr>
        <w:tabs>
          <w:tab w:val="left" w:pos="851"/>
        </w:tabs>
        <w:ind w:left="851"/>
        <w:rPr>
          <w:sz w:val="24"/>
          <w:szCs w:val="24"/>
        </w:rPr>
      </w:pPr>
      <w:r>
        <w:rPr>
          <w:sz w:val="24"/>
          <w:szCs w:val="24"/>
        </w:rPr>
        <w:t>7. maj 2025</w:t>
      </w:r>
    </w:p>
    <w:p w14:paraId="55917919" w14:textId="77777777" w:rsidR="009260DE" w:rsidRPr="00C84483" w:rsidRDefault="009260DE" w:rsidP="009260DE">
      <w:pPr>
        <w:tabs>
          <w:tab w:val="left" w:pos="851"/>
        </w:tabs>
        <w:ind w:left="851"/>
        <w:rPr>
          <w:sz w:val="24"/>
          <w:szCs w:val="24"/>
        </w:rPr>
      </w:pPr>
    </w:p>
    <w:p w14:paraId="48DF98B6"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44F255C9" w14:textId="379F4E09" w:rsidR="009260DE" w:rsidRPr="00C84483" w:rsidRDefault="00691145" w:rsidP="009260DE">
      <w:pPr>
        <w:tabs>
          <w:tab w:val="left" w:pos="851"/>
        </w:tabs>
        <w:ind w:left="851"/>
        <w:rPr>
          <w:sz w:val="24"/>
          <w:szCs w:val="24"/>
        </w:rPr>
      </w:pPr>
      <w:r>
        <w:rPr>
          <w:sz w:val="24"/>
          <w:szCs w:val="24"/>
        </w:rPr>
        <w:t>-</w:t>
      </w:r>
    </w:p>
    <w:sectPr w:rsidR="009260DE" w:rsidRPr="00C8448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2E5E14" w14:textId="77777777" w:rsidR="004B174B" w:rsidRDefault="004B174B">
      <w:r>
        <w:separator/>
      </w:r>
    </w:p>
  </w:endnote>
  <w:endnote w:type="continuationSeparator" w:id="0">
    <w:p w14:paraId="2F699C6B" w14:textId="77777777" w:rsidR="004B174B" w:rsidRDefault="004B1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3A354" w14:textId="77777777" w:rsidR="004B174B" w:rsidRDefault="004B174B">
    <w:pPr>
      <w:pStyle w:val="Sidefod"/>
      <w:pBdr>
        <w:bottom w:val="single" w:sz="6" w:space="1" w:color="auto"/>
      </w:pBdr>
    </w:pPr>
  </w:p>
  <w:p w14:paraId="53BDB90A" w14:textId="77777777" w:rsidR="004B174B" w:rsidRDefault="004B174B" w:rsidP="00C42586">
    <w:pPr>
      <w:pStyle w:val="Sidefod"/>
      <w:tabs>
        <w:tab w:val="clear" w:pos="4819"/>
        <w:tab w:val="left" w:pos="8505"/>
      </w:tabs>
      <w:rPr>
        <w:i/>
        <w:sz w:val="18"/>
        <w:szCs w:val="18"/>
      </w:rPr>
    </w:pPr>
  </w:p>
  <w:p w14:paraId="30708CAD" w14:textId="4496E1DB" w:rsidR="004B174B" w:rsidRPr="00B373D7" w:rsidRDefault="004B174B"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Cefotaxim Hameln, pulver til injektions--infusionsvæske, opløsning 1 g og 2 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DEF27" w14:textId="77777777" w:rsidR="004B174B" w:rsidRDefault="004B174B">
      <w:r>
        <w:separator/>
      </w:r>
    </w:p>
  </w:footnote>
  <w:footnote w:type="continuationSeparator" w:id="0">
    <w:p w14:paraId="32DF1C68" w14:textId="77777777" w:rsidR="004B174B" w:rsidRDefault="004B17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8BD3C2E"/>
    <w:multiLevelType w:val="hybridMultilevel"/>
    <w:tmpl w:val="A210F322"/>
    <w:lvl w:ilvl="0" w:tplc="771CF0AA">
      <w:start w:val="1"/>
      <w:numFmt w:val="bullet"/>
      <w:lvlText w:val="-"/>
      <w:lvlJc w:val="left"/>
      <w:pPr>
        <w:ind w:left="705" w:hanging="360"/>
      </w:pPr>
      <w:rPr>
        <w:rFonts w:ascii="Times New Roman" w:hAnsi="Times New Roman" w:cs="Times New Roman" w:hint="default"/>
        <w:color w:val="auto"/>
      </w:rPr>
    </w:lvl>
    <w:lvl w:ilvl="1" w:tplc="04150003">
      <w:start w:val="1"/>
      <w:numFmt w:val="bullet"/>
      <w:lvlText w:val="o"/>
      <w:lvlJc w:val="left"/>
      <w:pPr>
        <w:ind w:left="1425" w:hanging="360"/>
      </w:pPr>
      <w:rPr>
        <w:rFonts w:ascii="Courier New" w:hAnsi="Courier New" w:cs="Courier New" w:hint="default"/>
      </w:rPr>
    </w:lvl>
    <w:lvl w:ilvl="2" w:tplc="04150005">
      <w:start w:val="1"/>
      <w:numFmt w:val="bullet"/>
      <w:lvlText w:val=""/>
      <w:lvlJc w:val="left"/>
      <w:pPr>
        <w:ind w:left="2145" w:hanging="360"/>
      </w:pPr>
      <w:rPr>
        <w:rFonts w:ascii="Wingdings" w:hAnsi="Wingdings" w:hint="default"/>
      </w:rPr>
    </w:lvl>
    <w:lvl w:ilvl="3" w:tplc="04150001">
      <w:start w:val="1"/>
      <w:numFmt w:val="bullet"/>
      <w:lvlText w:val=""/>
      <w:lvlJc w:val="left"/>
      <w:pPr>
        <w:ind w:left="2865" w:hanging="360"/>
      </w:pPr>
      <w:rPr>
        <w:rFonts w:ascii="Symbol" w:hAnsi="Symbol" w:hint="default"/>
      </w:rPr>
    </w:lvl>
    <w:lvl w:ilvl="4" w:tplc="04150003">
      <w:start w:val="1"/>
      <w:numFmt w:val="bullet"/>
      <w:lvlText w:val="o"/>
      <w:lvlJc w:val="left"/>
      <w:pPr>
        <w:ind w:left="3585" w:hanging="360"/>
      </w:pPr>
      <w:rPr>
        <w:rFonts w:ascii="Courier New" w:hAnsi="Courier New" w:cs="Courier New" w:hint="default"/>
      </w:rPr>
    </w:lvl>
    <w:lvl w:ilvl="5" w:tplc="04150005">
      <w:start w:val="1"/>
      <w:numFmt w:val="bullet"/>
      <w:lvlText w:val=""/>
      <w:lvlJc w:val="left"/>
      <w:pPr>
        <w:ind w:left="4305" w:hanging="360"/>
      </w:pPr>
      <w:rPr>
        <w:rFonts w:ascii="Wingdings" w:hAnsi="Wingdings" w:hint="default"/>
      </w:rPr>
    </w:lvl>
    <w:lvl w:ilvl="6" w:tplc="04150001">
      <w:start w:val="1"/>
      <w:numFmt w:val="bullet"/>
      <w:lvlText w:val=""/>
      <w:lvlJc w:val="left"/>
      <w:pPr>
        <w:ind w:left="5025" w:hanging="360"/>
      </w:pPr>
      <w:rPr>
        <w:rFonts w:ascii="Symbol" w:hAnsi="Symbol" w:hint="default"/>
      </w:rPr>
    </w:lvl>
    <w:lvl w:ilvl="7" w:tplc="04150003">
      <w:start w:val="1"/>
      <w:numFmt w:val="bullet"/>
      <w:lvlText w:val="o"/>
      <w:lvlJc w:val="left"/>
      <w:pPr>
        <w:ind w:left="5745" w:hanging="360"/>
      </w:pPr>
      <w:rPr>
        <w:rFonts w:ascii="Courier New" w:hAnsi="Courier New" w:cs="Courier New" w:hint="default"/>
      </w:rPr>
    </w:lvl>
    <w:lvl w:ilvl="8" w:tplc="04150005">
      <w:start w:val="1"/>
      <w:numFmt w:val="bullet"/>
      <w:lvlText w:val=""/>
      <w:lvlJc w:val="left"/>
      <w:pPr>
        <w:ind w:left="6465"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6C8"/>
    <w:rsid w:val="000259B9"/>
    <w:rsid w:val="00041491"/>
    <w:rsid w:val="00050D16"/>
    <w:rsid w:val="000730CA"/>
    <w:rsid w:val="00074F2A"/>
    <w:rsid w:val="000A1CA8"/>
    <w:rsid w:val="000A466B"/>
    <w:rsid w:val="000B058C"/>
    <w:rsid w:val="000D68B0"/>
    <w:rsid w:val="000E4EE6"/>
    <w:rsid w:val="001454E2"/>
    <w:rsid w:val="001556C8"/>
    <w:rsid w:val="0018622D"/>
    <w:rsid w:val="00206CE8"/>
    <w:rsid w:val="0021526C"/>
    <w:rsid w:val="00283A2B"/>
    <w:rsid w:val="002B30AD"/>
    <w:rsid w:val="002C1EC0"/>
    <w:rsid w:val="002C2C01"/>
    <w:rsid w:val="003A29AE"/>
    <w:rsid w:val="003A32D7"/>
    <w:rsid w:val="003B4074"/>
    <w:rsid w:val="003C769A"/>
    <w:rsid w:val="003D3A90"/>
    <w:rsid w:val="003F1838"/>
    <w:rsid w:val="004251C1"/>
    <w:rsid w:val="0045746C"/>
    <w:rsid w:val="0049104B"/>
    <w:rsid w:val="004B174B"/>
    <w:rsid w:val="004E3B12"/>
    <w:rsid w:val="00532310"/>
    <w:rsid w:val="00565F0F"/>
    <w:rsid w:val="00594904"/>
    <w:rsid w:val="00594A86"/>
    <w:rsid w:val="00596D86"/>
    <w:rsid w:val="00637F5A"/>
    <w:rsid w:val="00641C65"/>
    <w:rsid w:val="006560B1"/>
    <w:rsid w:val="006756DD"/>
    <w:rsid w:val="00691145"/>
    <w:rsid w:val="00692CCC"/>
    <w:rsid w:val="0071241E"/>
    <w:rsid w:val="00737275"/>
    <w:rsid w:val="00740EEC"/>
    <w:rsid w:val="0078011A"/>
    <w:rsid w:val="00782AF4"/>
    <w:rsid w:val="00790EE7"/>
    <w:rsid w:val="007B6649"/>
    <w:rsid w:val="0082576E"/>
    <w:rsid w:val="0089346F"/>
    <w:rsid w:val="00907F75"/>
    <w:rsid w:val="009260DE"/>
    <w:rsid w:val="0093258A"/>
    <w:rsid w:val="0094280E"/>
    <w:rsid w:val="009B1B0E"/>
    <w:rsid w:val="009C7BA3"/>
    <w:rsid w:val="009D1F5A"/>
    <w:rsid w:val="00A10294"/>
    <w:rsid w:val="00B003BF"/>
    <w:rsid w:val="00B373D7"/>
    <w:rsid w:val="00B55271"/>
    <w:rsid w:val="00B95515"/>
    <w:rsid w:val="00BD7931"/>
    <w:rsid w:val="00BE155D"/>
    <w:rsid w:val="00BF6243"/>
    <w:rsid w:val="00C36276"/>
    <w:rsid w:val="00C42586"/>
    <w:rsid w:val="00C45F6B"/>
    <w:rsid w:val="00C60CCD"/>
    <w:rsid w:val="00C62514"/>
    <w:rsid w:val="00C84483"/>
    <w:rsid w:val="00C95551"/>
    <w:rsid w:val="00CB20D7"/>
    <w:rsid w:val="00D020B0"/>
    <w:rsid w:val="00D11748"/>
    <w:rsid w:val="00D237F6"/>
    <w:rsid w:val="00D34D98"/>
    <w:rsid w:val="00D366CF"/>
    <w:rsid w:val="00D93992"/>
    <w:rsid w:val="00DA52BE"/>
    <w:rsid w:val="00DD35CE"/>
    <w:rsid w:val="00E108AA"/>
    <w:rsid w:val="00E24AB4"/>
    <w:rsid w:val="00E3749A"/>
    <w:rsid w:val="00E41EB5"/>
    <w:rsid w:val="00E7437F"/>
    <w:rsid w:val="00E865B8"/>
    <w:rsid w:val="00EC0B9B"/>
    <w:rsid w:val="00ED5E9F"/>
    <w:rsid w:val="00F66D4F"/>
    <w:rsid w:val="00FB0740"/>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D6E7D0"/>
  <w15:chartTrackingRefBased/>
  <w15:docId w15:val="{A8EA2E33-9C7D-427A-9211-D88F9A77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1Tegn">
    <w:name w:val="Overskrift 1 Tegn"/>
    <w:basedOn w:val="Standardskrifttypeiafsnit"/>
    <w:link w:val="Overskrift1"/>
    <w:uiPriority w:val="9"/>
    <w:rsid w:val="00B95515"/>
    <w:rPr>
      <w:rFonts w:ascii="Arial" w:hAnsi="Arial"/>
      <w:b/>
      <w:kern w:val="28"/>
      <w:sz w:val="28"/>
      <w:lang w:eastAsia="en-US"/>
    </w:rPr>
  </w:style>
  <w:style w:type="character" w:styleId="Hyperlink">
    <w:name w:val="Hyperlink"/>
    <w:basedOn w:val="Standardskrifttypeiafsnit"/>
    <w:uiPriority w:val="99"/>
    <w:unhideWhenUsed/>
    <w:rsid w:val="00B95515"/>
    <w:rPr>
      <w:color w:val="0563C1" w:themeColor="hyperlink"/>
      <w:u w:val="single"/>
    </w:rPr>
  </w:style>
  <w:style w:type="table" w:customStyle="1" w:styleId="TableGrid">
    <w:name w:val="TableGrid"/>
    <w:rsid w:val="00B95515"/>
    <w:rPr>
      <w:rFonts w:asciiTheme="minorHAnsi" w:eastAsiaTheme="minorEastAsia" w:hAnsiTheme="minorHAnsi" w:cstheme="minorBidi"/>
      <w:kern w:val="2"/>
      <w:sz w:val="22"/>
      <w:szCs w:val="22"/>
      <w:lang w:eastAsia="pl-PL"/>
      <w14:ligatures w14:val="standardContextual"/>
    </w:rPr>
    <w:tblPr>
      <w:tblCellMar>
        <w:top w:w="0" w:type="dxa"/>
        <w:left w:w="0" w:type="dxa"/>
        <w:bottom w:w="0" w:type="dxa"/>
        <w:right w:w="0" w:type="dxa"/>
      </w:tblCellMar>
    </w:tblPr>
  </w:style>
  <w:style w:type="character" w:styleId="Ulstomtale">
    <w:name w:val="Unresolved Mention"/>
    <w:basedOn w:val="Standardskrifttypeiafsnit"/>
    <w:uiPriority w:val="99"/>
    <w:semiHidden/>
    <w:unhideWhenUsed/>
    <w:rsid w:val="00BE15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17052">
      <w:bodyDiv w:val="1"/>
      <w:marLeft w:val="0"/>
      <w:marRight w:val="0"/>
      <w:marTop w:val="0"/>
      <w:marBottom w:val="0"/>
      <w:divBdr>
        <w:top w:val="none" w:sz="0" w:space="0" w:color="auto"/>
        <w:left w:val="none" w:sz="0" w:space="0" w:color="auto"/>
        <w:bottom w:val="none" w:sz="0" w:space="0" w:color="auto"/>
        <w:right w:val="none" w:sz="0" w:space="0" w:color="auto"/>
      </w:divBdr>
    </w:div>
    <w:div w:id="143931493">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4219075">
      <w:bodyDiv w:val="1"/>
      <w:marLeft w:val="0"/>
      <w:marRight w:val="0"/>
      <w:marTop w:val="0"/>
      <w:marBottom w:val="0"/>
      <w:divBdr>
        <w:top w:val="none" w:sz="0" w:space="0" w:color="auto"/>
        <w:left w:val="none" w:sz="0" w:space="0" w:color="auto"/>
        <w:bottom w:val="none" w:sz="0" w:space="0" w:color="auto"/>
        <w:right w:val="none" w:sz="0" w:space="0" w:color="auto"/>
      </w:divBdr>
    </w:div>
    <w:div w:id="349454302">
      <w:bodyDiv w:val="1"/>
      <w:marLeft w:val="0"/>
      <w:marRight w:val="0"/>
      <w:marTop w:val="0"/>
      <w:marBottom w:val="0"/>
      <w:divBdr>
        <w:top w:val="none" w:sz="0" w:space="0" w:color="auto"/>
        <w:left w:val="none" w:sz="0" w:space="0" w:color="auto"/>
        <w:bottom w:val="none" w:sz="0" w:space="0" w:color="auto"/>
        <w:right w:val="none" w:sz="0" w:space="0" w:color="auto"/>
      </w:divBdr>
    </w:div>
    <w:div w:id="398212829">
      <w:bodyDiv w:val="1"/>
      <w:marLeft w:val="0"/>
      <w:marRight w:val="0"/>
      <w:marTop w:val="0"/>
      <w:marBottom w:val="0"/>
      <w:divBdr>
        <w:top w:val="none" w:sz="0" w:space="0" w:color="auto"/>
        <w:left w:val="none" w:sz="0" w:space="0" w:color="auto"/>
        <w:bottom w:val="none" w:sz="0" w:space="0" w:color="auto"/>
        <w:right w:val="none" w:sz="0" w:space="0" w:color="auto"/>
      </w:divBdr>
    </w:div>
    <w:div w:id="417484982">
      <w:bodyDiv w:val="1"/>
      <w:marLeft w:val="0"/>
      <w:marRight w:val="0"/>
      <w:marTop w:val="0"/>
      <w:marBottom w:val="0"/>
      <w:divBdr>
        <w:top w:val="none" w:sz="0" w:space="0" w:color="auto"/>
        <w:left w:val="none" w:sz="0" w:space="0" w:color="auto"/>
        <w:bottom w:val="none" w:sz="0" w:space="0" w:color="auto"/>
        <w:right w:val="none" w:sz="0" w:space="0" w:color="auto"/>
      </w:divBdr>
    </w:div>
    <w:div w:id="431358023">
      <w:bodyDiv w:val="1"/>
      <w:marLeft w:val="0"/>
      <w:marRight w:val="0"/>
      <w:marTop w:val="0"/>
      <w:marBottom w:val="0"/>
      <w:divBdr>
        <w:top w:val="none" w:sz="0" w:space="0" w:color="auto"/>
        <w:left w:val="none" w:sz="0" w:space="0" w:color="auto"/>
        <w:bottom w:val="none" w:sz="0" w:space="0" w:color="auto"/>
        <w:right w:val="none" w:sz="0" w:space="0" w:color="auto"/>
      </w:divBdr>
    </w:div>
    <w:div w:id="477966028">
      <w:bodyDiv w:val="1"/>
      <w:marLeft w:val="0"/>
      <w:marRight w:val="0"/>
      <w:marTop w:val="0"/>
      <w:marBottom w:val="0"/>
      <w:divBdr>
        <w:top w:val="none" w:sz="0" w:space="0" w:color="auto"/>
        <w:left w:val="none" w:sz="0" w:space="0" w:color="auto"/>
        <w:bottom w:val="none" w:sz="0" w:space="0" w:color="auto"/>
        <w:right w:val="none" w:sz="0" w:space="0" w:color="auto"/>
      </w:divBdr>
    </w:div>
    <w:div w:id="517278444">
      <w:bodyDiv w:val="1"/>
      <w:marLeft w:val="0"/>
      <w:marRight w:val="0"/>
      <w:marTop w:val="0"/>
      <w:marBottom w:val="0"/>
      <w:divBdr>
        <w:top w:val="none" w:sz="0" w:space="0" w:color="auto"/>
        <w:left w:val="none" w:sz="0" w:space="0" w:color="auto"/>
        <w:bottom w:val="none" w:sz="0" w:space="0" w:color="auto"/>
        <w:right w:val="none" w:sz="0" w:space="0" w:color="auto"/>
      </w:divBdr>
    </w:div>
    <w:div w:id="576016927">
      <w:bodyDiv w:val="1"/>
      <w:marLeft w:val="0"/>
      <w:marRight w:val="0"/>
      <w:marTop w:val="0"/>
      <w:marBottom w:val="0"/>
      <w:divBdr>
        <w:top w:val="none" w:sz="0" w:space="0" w:color="auto"/>
        <w:left w:val="none" w:sz="0" w:space="0" w:color="auto"/>
        <w:bottom w:val="none" w:sz="0" w:space="0" w:color="auto"/>
        <w:right w:val="none" w:sz="0" w:space="0" w:color="auto"/>
      </w:divBdr>
    </w:div>
    <w:div w:id="603853675">
      <w:bodyDiv w:val="1"/>
      <w:marLeft w:val="0"/>
      <w:marRight w:val="0"/>
      <w:marTop w:val="0"/>
      <w:marBottom w:val="0"/>
      <w:divBdr>
        <w:top w:val="none" w:sz="0" w:space="0" w:color="auto"/>
        <w:left w:val="none" w:sz="0" w:space="0" w:color="auto"/>
        <w:bottom w:val="none" w:sz="0" w:space="0" w:color="auto"/>
        <w:right w:val="none" w:sz="0" w:space="0" w:color="auto"/>
      </w:divBdr>
    </w:div>
    <w:div w:id="743993784">
      <w:bodyDiv w:val="1"/>
      <w:marLeft w:val="0"/>
      <w:marRight w:val="0"/>
      <w:marTop w:val="0"/>
      <w:marBottom w:val="0"/>
      <w:divBdr>
        <w:top w:val="none" w:sz="0" w:space="0" w:color="auto"/>
        <w:left w:val="none" w:sz="0" w:space="0" w:color="auto"/>
        <w:bottom w:val="none" w:sz="0" w:space="0" w:color="auto"/>
        <w:right w:val="none" w:sz="0" w:space="0" w:color="auto"/>
      </w:divBdr>
    </w:div>
    <w:div w:id="766735769">
      <w:bodyDiv w:val="1"/>
      <w:marLeft w:val="0"/>
      <w:marRight w:val="0"/>
      <w:marTop w:val="0"/>
      <w:marBottom w:val="0"/>
      <w:divBdr>
        <w:top w:val="none" w:sz="0" w:space="0" w:color="auto"/>
        <w:left w:val="none" w:sz="0" w:space="0" w:color="auto"/>
        <w:bottom w:val="none" w:sz="0" w:space="0" w:color="auto"/>
        <w:right w:val="none" w:sz="0" w:space="0" w:color="auto"/>
      </w:divBdr>
    </w:div>
    <w:div w:id="847406028">
      <w:bodyDiv w:val="1"/>
      <w:marLeft w:val="0"/>
      <w:marRight w:val="0"/>
      <w:marTop w:val="0"/>
      <w:marBottom w:val="0"/>
      <w:divBdr>
        <w:top w:val="none" w:sz="0" w:space="0" w:color="auto"/>
        <w:left w:val="none" w:sz="0" w:space="0" w:color="auto"/>
        <w:bottom w:val="none" w:sz="0" w:space="0" w:color="auto"/>
        <w:right w:val="none" w:sz="0" w:space="0" w:color="auto"/>
      </w:divBdr>
    </w:div>
    <w:div w:id="854000456">
      <w:bodyDiv w:val="1"/>
      <w:marLeft w:val="0"/>
      <w:marRight w:val="0"/>
      <w:marTop w:val="0"/>
      <w:marBottom w:val="0"/>
      <w:divBdr>
        <w:top w:val="none" w:sz="0" w:space="0" w:color="auto"/>
        <w:left w:val="none" w:sz="0" w:space="0" w:color="auto"/>
        <w:bottom w:val="none" w:sz="0" w:space="0" w:color="auto"/>
        <w:right w:val="none" w:sz="0" w:space="0" w:color="auto"/>
      </w:divBdr>
    </w:div>
    <w:div w:id="857812238">
      <w:bodyDiv w:val="1"/>
      <w:marLeft w:val="0"/>
      <w:marRight w:val="0"/>
      <w:marTop w:val="0"/>
      <w:marBottom w:val="0"/>
      <w:divBdr>
        <w:top w:val="none" w:sz="0" w:space="0" w:color="auto"/>
        <w:left w:val="none" w:sz="0" w:space="0" w:color="auto"/>
        <w:bottom w:val="none" w:sz="0" w:space="0" w:color="auto"/>
        <w:right w:val="none" w:sz="0" w:space="0" w:color="auto"/>
      </w:divBdr>
    </w:div>
    <w:div w:id="916137093">
      <w:bodyDiv w:val="1"/>
      <w:marLeft w:val="0"/>
      <w:marRight w:val="0"/>
      <w:marTop w:val="0"/>
      <w:marBottom w:val="0"/>
      <w:divBdr>
        <w:top w:val="none" w:sz="0" w:space="0" w:color="auto"/>
        <w:left w:val="none" w:sz="0" w:space="0" w:color="auto"/>
        <w:bottom w:val="none" w:sz="0" w:space="0" w:color="auto"/>
        <w:right w:val="none" w:sz="0" w:space="0" w:color="auto"/>
      </w:divBdr>
    </w:div>
    <w:div w:id="926886275">
      <w:bodyDiv w:val="1"/>
      <w:marLeft w:val="0"/>
      <w:marRight w:val="0"/>
      <w:marTop w:val="0"/>
      <w:marBottom w:val="0"/>
      <w:divBdr>
        <w:top w:val="none" w:sz="0" w:space="0" w:color="auto"/>
        <w:left w:val="none" w:sz="0" w:space="0" w:color="auto"/>
        <w:bottom w:val="none" w:sz="0" w:space="0" w:color="auto"/>
        <w:right w:val="none" w:sz="0" w:space="0" w:color="auto"/>
      </w:divBdr>
    </w:div>
    <w:div w:id="1111126250">
      <w:bodyDiv w:val="1"/>
      <w:marLeft w:val="0"/>
      <w:marRight w:val="0"/>
      <w:marTop w:val="0"/>
      <w:marBottom w:val="0"/>
      <w:divBdr>
        <w:top w:val="none" w:sz="0" w:space="0" w:color="auto"/>
        <w:left w:val="none" w:sz="0" w:space="0" w:color="auto"/>
        <w:bottom w:val="none" w:sz="0" w:space="0" w:color="auto"/>
        <w:right w:val="none" w:sz="0" w:space="0" w:color="auto"/>
      </w:divBdr>
    </w:div>
    <w:div w:id="1111558393">
      <w:bodyDiv w:val="1"/>
      <w:marLeft w:val="0"/>
      <w:marRight w:val="0"/>
      <w:marTop w:val="0"/>
      <w:marBottom w:val="0"/>
      <w:divBdr>
        <w:top w:val="none" w:sz="0" w:space="0" w:color="auto"/>
        <w:left w:val="none" w:sz="0" w:space="0" w:color="auto"/>
        <w:bottom w:val="none" w:sz="0" w:space="0" w:color="auto"/>
        <w:right w:val="none" w:sz="0" w:space="0" w:color="auto"/>
      </w:divBdr>
    </w:div>
    <w:div w:id="1203135678">
      <w:bodyDiv w:val="1"/>
      <w:marLeft w:val="0"/>
      <w:marRight w:val="0"/>
      <w:marTop w:val="0"/>
      <w:marBottom w:val="0"/>
      <w:divBdr>
        <w:top w:val="none" w:sz="0" w:space="0" w:color="auto"/>
        <w:left w:val="none" w:sz="0" w:space="0" w:color="auto"/>
        <w:bottom w:val="none" w:sz="0" w:space="0" w:color="auto"/>
        <w:right w:val="none" w:sz="0" w:space="0" w:color="auto"/>
      </w:divBdr>
    </w:div>
    <w:div w:id="1279415185">
      <w:bodyDiv w:val="1"/>
      <w:marLeft w:val="0"/>
      <w:marRight w:val="0"/>
      <w:marTop w:val="0"/>
      <w:marBottom w:val="0"/>
      <w:divBdr>
        <w:top w:val="none" w:sz="0" w:space="0" w:color="auto"/>
        <w:left w:val="none" w:sz="0" w:space="0" w:color="auto"/>
        <w:bottom w:val="none" w:sz="0" w:space="0" w:color="auto"/>
        <w:right w:val="none" w:sz="0" w:space="0" w:color="auto"/>
      </w:divBdr>
    </w:div>
    <w:div w:id="1310553354">
      <w:bodyDiv w:val="1"/>
      <w:marLeft w:val="0"/>
      <w:marRight w:val="0"/>
      <w:marTop w:val="0"/>
      <w:marBottom w:val="0"/>
      <w:divBdr>
        <w:top w:val="none" w:sz="0" w:space="0" w:color="auto"/>
        <w:left w:val="none" w:sz="0" w:space="0" w:color="auto"/>
        <w:bottom w:val="none" w:sz="0" w:space="0" w:color="auto"/>
        <w:right w:val="none" w:sz="0" w:space="0" w:color="auto"/>
      </w:divBdr>
    </w:div>
    <w:div w:id="1387948454">
      <w:bodyDiv w:val="1"/>
      <w:marLeft w:val="0"/>
      <w:marRight w:val="0"/>
      <w:marTop w:val="0"/>
      <w:marBottom w:val="0"/>
      <w:divBdr>
        <w:top w:val="none" w:sz="0" w:space="0" w:color="auto"/>
        <w:left w:val="none" w:sz="0" w:space="0" w:color="auto"/>
        <w:bottom w:val="none" w:sz="0" w:space="0" w:color="auto"/>
        <w:right w:val="none" w:sz="0" w:space="0" w:color="auto"/>
      </w:divBdr>
    </w:div>
    <w:div w:id="1414399998">
      <w:bodyDiv w:val="1"/>
      <w:marLeft w:val="0"/>
      <w:marRight w:val="0"/>
      <w:marTop w:val="0"/>
      <w:marBottom w:val="0"/>
      <w:divBdr>
        <w:top w:val="none" w:sz="0" w:space="0" w:color="auto"/>
        <w:left w:val="none" w:sz="0" w:space="0" w:color="auto"/>
        <w:bottom w:val="none" w:sz="0" w:space="0" w:color="auto"/>
        <w:right w:val="none" w:sz="0" w:space="0" w:color="auto"/>
      </w:divBdr>
    </w:div>
    <w:div w:id="1429885626">
      <w:bodyDiv w:val="1"/>
      <w:marLeft w:val="0"/>
      <w:marRight w:val="0"/>
      <w:marTop w:val="0"/>
      <w:marBottom w:val="0"/>
      <w:divBdr>
        <w:top w:val="none" w:sz="0" w:space="0" w:color="auto"/>
        <w:left w:val="none" w:sz="0" w:space="0" w:color="auto"/>
        <w:bottom w:val="none" w:sz="0" w:space="0" w:color="auto"/>
        <w:right w:val="none" w:sz="0" w:space="0" w:color="auto"/>
      </w:divBdr>
    </w:div>
    <w:div w:id="1440027124">
      <w:bodyDiv w:val="1"/>
      <w:marLeft w:val="0"/>
      <w:marRight w:val="0"/>
      <w:marTop w:val="0"/>
      <w:marBottom w:val="0"/>
      <w:divBdr>
        <w:top w:val="none" w:sz="0" w:space="0" w:color="auto"/>
        <w:left w:val="none" w:sz="0" w:space="0" w:color="auto"/>
        <w:bottom w:val="none" w:sz="0" w:space="0" w:color="auto"/>
        <w:right w:val="none" w:sz="0" w:space="0" w:color="auto"/>
      </w:divBdr>
    </w:div>
    <w:div w:id="1450315734">
      <w:bodyDiv w:val="1"/>
      <w:marLeft w:val="0"/>
      <w:marRight w:val="0"/>
      <w:marTop w:val="0"/>
      <w:marBottom w:val="0"/>
      <w:divBdr>
        <w:top w:val="none" w:sz="0" w:space="0" w:color="auto"/>
        <w:left w:val="none" w:sz="0" w:space="0" w:color="auto"/>
        <w:bottom w:val="none" w:sz="0" w:space="0" w:color="auto"/>
        <w:right w:val="none" w:sz="0" w:space="0" w:color="auto"/>
      </w:divBdr>
    </w:div>
    <w:div w:id="1557207720">
      <w:bodyDiv w:val="1"/>
      <w:marLeft w:val="0"/>
      <w:marRight w:val="0"/>
      <w:marTop w:val="0"/>
      <w:marBottom w:val="0"/>
      <w:divBdr>
        <w:top w:val="none" w:sz="0" w:space="0" w:color="auto"/>
        <w:left w:val="none" w:sz="0" w:space="0" w:color="auto"/>
        <w:bottom w:val="none" w:sz="0" w:space="0" w:color="auto"/>
        <w:right w:val="none" w:sz="0" w:space="0" w:color="auto"/>
      </w:divBdr>
    </w:div>
    <w:div w:id="1564485652">
      <w:bodyDiv w:val="1"/>
      <w:marLeft w:val="0"/>
      <w:marRight w:val="0"/>
      <w:marTop w:val="0"/>
      <w:marBottom w:val="0"/>
      <w:divBdr>
        <w:top w:val="none" w:sz="0" w:space="0" w:color="auto"/>
        <w:left w:val="none" w:sz="0" w:space="0" w:color="auto"/>
        <w:bottom w:val="none" w:sz="0" w:space="0" w:color="auto"/>
        <w:right w:val="none" w:sz="0" w:space="0" w:color="auto"/>
      </w:divBdr>
    </w:div>
    <w:div w:id="1595240626">
      <w:bodyDiv w:val="1"/>
      <w:marLeft w:val="0"/>
      <w:marRight w:val="0"/>
      <w:marTop w:val="0"/>
      <w:marBottom w:val="0"/>
      <w:divBdr>
        <w:top w:val="none" w:sz="0" w:space="0" w:color="auto"/>
        <w:left w:val="none" w:sz="0" w:space="0" w:color="auto"/>
        <w:bottom w:val="none" w:sz="0" w:space="0" w:color="auto"/>
        <w:right w:val="none" w:sz="0" w:space="0" w:color="auto"/>
      </w:divBdr>
    </w:div>
    <w:div w:id="1612590502">
      <w:bodyDiv w:val="1"/>
      <w:marLeft w:val="0"/>
      <w:marRight w:val="0"/>
      <w:marTop w:val="0"/>
      <w:marBottom w:val="0"/>
      <w:divBdr>
        <w:top w:val="none" w:sz="0" w:space="0" w:color="auto"/>
        <w:left w:val="none" w:sz="0" w:space="0" w:color="auto"/>
        <w:bottom w:val="none" w:sz="0" w:space="0" w:color="auto"/>
        <w:right w:val="none" w:sz="0" w:space="0" w:color="auto"/>
      </w:divBdr>
    </w:div>
    <w:div w:id="1629168684">
      <w:bodyDiv w:val="1"/>
      <w:marLeft w:val="0"/>
      <w:marRight w:val="0"/>
      <w:marTop w:val="0"/>
      <w:marBottom w:val="0"/>
      <w:divBdr>
        <w:top w:val="none" w:sz="0" w:space="0" w:color="auto"/>
        <w:left w:val="none" w:sz="0" w:space="0" w:color="auto"/>
        <w:bottom w:val="none" w:sz="0" w:space="0" w:color="auto"/>
        <w:right w:val="none" w:sz="0" w:space="0" w:color="auto"/>
      </w:divBdr>
    </w:div>
    <w:div w:id="1684893617">
      <w:bodyDiv w:val="1"/>
      <w:marLeft w:val="0"/>
      <w:marRight w:val="0"/>
      <w:marTop w:val="0"/>
      <w:marBottom w:val="0"/>
      <w:divBdr>
        <w:top w:val="none" w:sz="0" w:space="0" w:color="auto"/>
        <w:left w:val="none" w:sz="0" w:space="0" w:color="auto"/>
        <w:bottom w:val="none" w:sz="0" w:space="0" w:color="auto"/>
        <w:right w:val="none" w:sz="0" w:space="0" w:color="auto"/>
      </w:divBdr>
    </w:div>
    <w:div w:id="1721243058">
      <w:bodyDiv w:val="1"/>
      <w:marLeft w:val="0"/>
      <w:marRight w:val="0"/>
      <w:marTop w:val="0"/>
      <w:marBottom w:val="0"/>
      <w:divBdr>
        <w:top w:val="none" w:sz="0" w:space="0" w:color="auto"/>
        <w:left w:val="none" w:sz="0" w:space="0" w:color="auto"/>
        <w:bottom w:val="none" w:sz="0" w:space="0" w:color="auto"/>
        <w:right w:val="none" w:sz="0" w:space="0" w:color="auto"/>
      </w:divBdr>
    </w:div>
    <w:div w:id="1812136067">
      <w:bodyDiv w:val="1"/>
      <w:marLeft w:val="0"/>
      <w:marRight w:val="0"/>
      <w:marTop w:val="0"/>
      <w:marBottom w:val="0"/>
      <w:divBdr>
        <w:top w:val="none" w:sz="0" w:space="0" w:color="auto"/>
        <w:left w:val="none" w:sz="0" w:space="0" w:color="auto"/>
        <w:bottom w:val="none" w:sz="0" w:space="0" w:color="auto"/>
        <w:right w:val="none" w:sz="0" w:space="0" w:color="auto"/>
      </w:divBdr>
    </w:div>
    <w:div w:id="1828201196">
      <w:bodyDiv w:val="1"/>
      <w:marLeft w:val="0"/>
      <w:marRight w:val="0"/>
      <w:marTop w:val="0"/>
      <w:marBottom w:val="0"/>
      <w:divBdr>
        <w:top w:val="none" w:sz="0" w:space="0" w:color="auto"/>
        <w:left w:val="none" w:sz="0" w:space="0" w:color="auto"/>
        <w:bottom w:val="none" w:sz="0" w:space="0" w:color="auto"/>
        <w:right w:val="none" w:sz="0" w:space="0" w:color="auto"/>
      </w:divBdr>
    </w:div>
    <w:div w:id="1866602925">
      <w:bodyDiv w:val="1"/>
      <w:marLeft w:val="0"/>
      <w:marRight w:val="0"/>
      <w:marTop w:val="0"/>
      <w:marBottom w:val="0"/>
      <w:divBdr>
        <w:top w:val="none" w:sz="0" w:space="0" w:color="auto"/>
        <w:left w:val="none" w:sz="0" w:space="0" w:color="auto"/>
        <w:bottom w:val="none" w:sz="0" w:space="0" w:color="auto"/>
        <w:right w:val="none" w:sz="0" w:space="0" w:color="auto"/>
      </w:divBdr>
    </w:div>
    <w:div w:id="191111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documents/other/minimum-inhibitory-concentration-mic-breakpoints_en.xlsx"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64</TotalTime>
  <Pages>14</Pages>
  <Words>3803</Words>
  <Characters>25839</Characters>
  <Application>Microsoft Office Word</Application>
  <DocSecurity>0</DocSecurity>
  <Lines>215</Lines>
  <Paragraphs>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2023094413 mt</dc:description>
  <cp:lastModifiedBy>Gitte Jørgensen</cp:lastModifiedBy>
  <cp:revision>12</cp:revision>
  <cp:lastPrinted>2012-08-22T08:53:00Z</cp:lastPrinted>
  <dcterms:created xsi:type="dcterms:W3CDTF">2025-04-30T12:52:00Z</dcterms:created>
  <dcterms:modified xsi:type="dcterms:W3CDTF">2025-05-07T07:14:00Z</dcterms:modified>
</cp:coreProperties>
</file>