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1818" w:rsidRPr="009A49EF" w:rsidRDefault="007D1818" w:rsidP="007D1818">
      <w:r w:rsidRPr="009A49EF">
        <w:rPr>
          <w:noProof/>
          <w:lang w:eastAsia="da-DK"/>
        </w:rPr>
        <w:drawing>
          <wp:inline distT="0" distB="0" distL="0" distR="0" wp14:anchorId="6185F058" wp14:editId="6A624B90">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7D1818" w:rsidRPr="009A49EF" w:rsidRDefault="007D1818" w:rsidP="007D1818">
      <w:pPr>
        <w:pStyle w:val="Titel"/>
        <w:jc w:val="left"/>
        <w:rPr>
          <w:b w:val="0"/>
        </w:rPr>
      </w:pPr>
    </w:p>
    <w:p w:rsidR="007D1818" w:rsidRPr="009A49EF" w:rsidRDefault="00DA0041" w:rsidP="007D1818">
      <w:pPr>
        <w:pStyle w:val="Titel"/>
        <w:jc w:val="right"/>
      </w:pPr>
      <w:r>
        <w:t>23. september 2024</w:t>
      </w:r>
    </w:p>
    <w:p w:rsidR="007D1818" w:rsidRPr="009A49EF" w:rsidRDefault="007D1818" w:rsidP="007D1818">
      <w:pPr>
        <w:pStyle w:val="Titel"/>
        <w:jc w:val="left"/>
        <w:rPr>
          <w:b w:val="0"/>
        </w:rPr>
      </w:pPr>
    </w:p>
    <w:p w:rsidR="007D1818" w:rsidRDefault="007D1818" w:rsidP="007D1818">
      <w:pPr>
        <w:pStyle w:val="Titel"/>
        <w:jc w:val="left"/>
        <w:rPr>
          <w:b w:val="0"/>
        </w:rPr>
      </w:pPr>
    </w:p>
    <w:p w:rsidR="00695A13" w:rsidRPr="009A49EF" w:rsidRDefault="00695A13" w:rsidP="007D1818">
      <w:pPr>
        <w:pStyle w:val="Titel"/>
        <w:jc w:val="left"/>
        <w:rPr>
          <w:b w:val="0"/>
        </w:rPr>
      </w:pPr>
    </w:p>
    <w:p w:rsidR="007D1818" w:rsidRPr="009A49EF" w:rsidRDefault="007D1818" w:rsidP="007D1818">
      <w:pPr>
        <w:jc w:val="center"/>
        <w:rPr>
          <w:b/>
          <w:sz w:val="24"/>
          <w:szCs w:val="24"/>
        </w:rPr>
      </w:pPr>
      <w:r w:rsidRPr="009A49EF">
        <w:rPr>
          <w:b/>
          <w:sz w:val="24"/>
          <w:szCs w:val="24"/>
        </w:rPr>
        <w:t>PRODUKTRESUMÉ</w:t>
      </w:r>
    </w:p>
    <w:p w:rsidR="007D1818" w:rsidRPr="009A49EF" w:rsidRDefault="007D1818" w:rsidP="007D1818">
      <w:pPr>
        <w:jc w:val="center"/>
        <w:rPr>
          <w:b/>
          <w:sz w:val="24"/>
          <w:szCs w:val="24"/>
        </w:rPr>
      </w:pPr>
    </w:p>
    <w:p w:rsidR="007D1818" w:rsidRPr="009A49EF" w:rsidRDefault="007D1818" w:rsidP="007D1818">
      <w:pPr>
        <w:jc w:val="center"/>
        <w:rPr>
          <w:b/>
          <w:sz w:val="24"/>
          <w:szCs w:val="24"/>
        </w:rPr>
      </w:pPr>
      <w:r w:rsidRPr="009A49EF">
        <w:rPr>
          <w:b/>
          <w:sz w:val="24"/>
          <w:szCs w:val="24"/>
        </w:rPr>
        <w:t>for</w:t>
      </w:r>
    </w:p>
    <w:p w:rsidR="007D1818" w:rsidRPr="009A49EF" w:rsidRDefault="007D1818" w:rsidP="007D1818">
      <w:pPr>
        <w:jc w:val="center"/>
        <w:rPr>
          <w:b/>
          <w:sz w:val="24"/>
          <w:szCs w:val="24"/>
        </w:rPr>
      </w:pPr>
    </w:p>
    <w:p w:rsidR="007D1818" w:rsidRPr="009A49EF" w:rsidRDefault="007D1818" w:rsidP="007D1818">
      <w:pPr>
        <w:jc w:val="center"/>
        <w:rPr>
          <w:b/>
          <w:sz w:val="24"/>
          <w:szCs w:val="24"/>
        </w:rPr>
      </w:pPr>
      <w:proofErr w:type="spellStart"/>
      <w:r w:rsidRPr="009A49EF">
        <w:rPr>
          <w:b/>
          <w:sz w:val="24"/>
          <w:szCs w:val="24"/>
        </w:rPr>
        <w:t>Cefotaxim</w:t>
      </w:r>
      <w:proofErr w:type="spellEnd"/>
      <w:r w:rsidRPr="009A49EF">
        <w:rPr>
          <w:b/>
          <w:sz w:val="24"/>
          <w:szCs w:val="24"/>
        </w:rPr>
        <w:t xml:space="preserve"> </w:t>
      </w:r>
      <w:r>
        <w:rPr>
          <w:b/>
          <w:sz w:val="24"/>
          <w:szCs w:val="24"/>
        </w:rPr>
        <w:t>"</w:t>
      </w:r>
      <w:r w:rsidRPr="009A49EF">
        <w:rPr>
          <w:b/>
          <w:sz w:val="24"/>
          <w:szCs w:val="24"/>
        </w:rPr>
        <w:t>MIP</w:t>
      </w:r>
      <w:r>
        <w:rPr>
          <w:b/>
          <w:sz w:val="24"/>
          <w:szCs w:val="24"/>
        </w:rPr>
        <w:t>"</w:t>
      </w:r>
      <w:r w:rsidRPr="009A49EF">
        <w:rPr>
          <w:b/>
          <w:sz w:val="24"/>
          <w:szCs w:val="24"/>
        </w:rPr>
        <w:t>, pulver til injektions-/infusionsvæske, opløsning</w:t>
      </w:r>
    </w:p>
    <w:p w:rsidR="007D1818" w:rsidRPr="009A49EF" w:rsidRDefault="007D1818" w:rsidP="007D1818">
      <w:pPr>
        <w:jc w:val="both"/>
        <w:rPr>
          <w:sz w:val="24"/>
          <w:szCs w:val="24"/>
        </w:rPr>
      </w:pPr>
    </w:p>
    <w:p w:rsidR="007D1818" w:rsidRPr="009A49EF" w:rsidRDefault="007D1818" w:rsidP="007D1818">
      <w:pPr>
        <w:ind w:left="851" w:hanging="851"/>
        <w:jc w:val="both"/>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0.</w:t>
      </w:r>
      <w:r w:rsidRPr="00C84483">
        <w:rPr>
          <w:b/>
          <w:sz w:val="24"/>
          <w:szCs w:val="24"/>
        </w:rPr>
        <w:tab/>
        <w:t>D.SP.NR.</w:t>
      </w:r>
    </w:p>
    <w:p w:rsidR="007D1818" w:rsidRPr="009A49EF" w:rsidRDefault="007D1818" w:rsidP="007D1818">
      <w:pPr>
        <w:ind w:left="851" w:hanging="851"/>
        <w:rPr>
          <w:sz w:val="24"/>
          <w:szCs w:val="24"/>
        </w:rPr>
      </w:pPr>
      <w:r w:rsidRPr="009A49EF">
        <w:rPr>
          <w:sz w:val="24"/>
          <w:szCs w:val="24"/>
        </w:rPr>
        <w:tab/>
        <w:t>28268</w:t>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1.</w:t>
      </w:r>
      <w:r w:rsidRPr="00C84483">
        <w:rPr>
          <w:b/>
          <w:sz w:val="24"/>
          <w:szCs w:val="24"/>
        </w:rPr>
        <w:tab/>
        <w:t>LÆGEMIDLETS NAVN</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w:t>
      </w:r>
      <w:r>
        <w:rPr>
          <w:sz w:val="24"/>
          <w:szCs w:val="24"/>
        </w:rPr>
        <w:t>"</w:t>
      </w:r>
      <w:r w:rsidRPr="009A49EF">
        <w:rPr>
          <w:sz w:val="24"/>
          <w:szCs w:val="24"/>
        </w:rPr>
        <w:t>MIP</w:t>
      </w:r>
      <w:r>
        <w:rPr>
          <w:sz w:val="24"/>
          <w:szCs w:val="24"/>
        </w:rPr>
        <w:t>"</w:t>
      </w:r>
    </w:p>
    <w:p w:rsidR="007D1818" w:rsidRPr="009A49EF" w:rsidRDefault="007D1818" w:rsidP="007D1818">
      <w:pPr>
        <w:ind w:left="851" w:hanging="851"/>
        <w:rPr>
          <w:sz w:val="24"/>
          <w:szCs w:val="24"/>
        </w:rPr>
      </w:pPr>
      <w:r w:rsidRPr="009A49EF">
        <w:rPr>
          <w:sz w:val="24"/>
          <w:szCs w:val="24"/>
        </w:rPr>
        <w:tab/>
      </w:r>
    </w:p>
    <w:p w:rsidR="00D52548" w:rsidRPr="00C84483" w:rsidRDefault="00D52548" w:rsidP="00D5254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D1818" w:rsidRDefault="007D1818" w:rsidP="007D1818">
      <w:pPr>
        <w:ind w:left="851"/>
        <w:rPr>
          <w:sz w:val="24"/>
          <w:szCs w:val="24"/>
        </w:rPr>
      </w:pPr>
    </w:p>
    <w:p w:rsidR="007D1818" w:rsidRPr="00191EC1" w:rsidRDefault="007D1818" w:rsidP="007D1818">
      <w:pPr>
        <w:ind w:left="851"/>
        <w:rPr>
          <w:iCs/>
          <w:sz w:val="24"/>
          <w:szCs w:val="24"/>
          <w:u w:val="single"/>
        </w:rPr>
      </w:pPr>
      <w:r w:rsidRPr="00191EC1">
        <w:rPr>
          <w:iCs/>
          <w:sz w:val="24"/>
          <w:szCs w:val="24"/>
          <w:u w:val="single"/>
        </w:rPr>
        <w:t>1 g pulver til injektions-/</w:t>
      </w:r>
      <w:r>
        <w:rPr>
          <w:iCs/>
          <w:sz w:val="24"/>
          <w:szCs w:val="24"/>
          <w:u w:val="single"/>
        </w:rPr>
        <w:t>infusionsvæske, opløsning</w:t>
      </w:r>
    </w:p>
    <w:p w:rsidR="007D1818" w:rsidRPr="009A49EF" w:rsidRDefault="007D1818" w:rsidP="007D1818">
      <w:pPr>
        <w:ind w:left="851"/>
        <w:rPr>
          <w:sz w:val="24"/>
          <w:szCs w:val="24"/>
        </w:rPr>
      </w:pPr>
      <w:r w:rsidRPr="009A49EF">
        <w:rPr>
          <w:sz w:val="24"/>
          <w:szCs w:val="24"/>
        </w:rPr>
        <w:t xml:space="preserve">1 hætteglas indeholder </w:t>
      </w:r>
      <w:proofErr w:type="spellStart"/>
      <w:r w:rsidRPr="009A49EF">
        <w:rPr>
          <w:sz w:val="24"/>
          <w:szCs w:val="24"/>
        </w:rPr>
        <w:t>cefotaximnatrium</w:t>
      </w:r>
      <w:proofErr w:type="spellEnd"/>
      <w:r w:rsidRPr="009A49EF">
        <w:rPr>
          <w:sz w:val="24"/>
          <w:szCs w:val="24"/>
        </w:rPr>
        <w:t xml:space="preserve"> svarende til 1 g </w:t>
      </w:r>
      <w:proofErr w:type="spellStart"/>
      <w:r w:rsidRPr="009A49EF">
        <w:rPr>
          <w:sz w:val="24"/>
          <w:szCs w:val="24"/>
        </w:rPr>
        <w:t>cefotaxim</w:t>
      </w:r>
      <w:proofErr w:type="spellEnd"/>
      <w:r w:rsidRPr="009A49EF">
        <w:rPr>
          <w:sz w:val="24"/>
          <w:szCs w:val="24"/>
        </w:rPr>
        <w:t>.</w:t>
      </w:r>
    </w:p>
    <w:p w:rsidR="007D1818" w:rsidRPr="009A49EF" w:rsidRDefault="007D1818" w:rsidP="007D1818">
      <w:pPr>
        <w:ind w:left="851"/>
        <w:rPr>
          <w:sz w:val="24"/>
          <w:szCs w:val="24"/>
        </w:rPr>
      </w:pPr>
      <w:r w:rsidRPr="009A49EF">
        <w:rPr>
          <w:sz w:val="24"/>
          <w:szCs w:val="24"/>
        </w:rPr>
        <w:t>Hvert hætteglas indeholder 2,1 mmol (eller 48 mg) natrium per 1000 mg dosis.</w:t>
      </w:r>
    </w:p>
    <w:p w:rsidR="007D1818" w:rsidRPr="009A49EF" w:rsidRDefault="007D1818" w:rsidP="007D1818">
      <w:pPr>
        <w:ind w:left="851"/>
        <w:rPr>
          <w:sz w:val="24"/>
          <w:szCs w:val="24"/>
        </w:rPr>
      </w:pPr>
    </w:p>
    <w:p w:rsidR="007D1818" w:rsidRPr="00191EC1" w:rsidRDefault="007D1818" w:rsidP="007D1818">
      <w:pPr>
        <w:ind w:left="851"/>
        <w:rPr>
          <w:iCs/>
          <w:sz w:val="24"/>
          <w:szCs w:val="24"/>
          <w:u w:val="single"/>
        </w:rPr>
      </w:pPr>
      <w:r w:rsidRPr="00191EC1">
        <w:rPr>
          <w:iCs/>
          <w:sz w:val="24"/>
          <w:szCs w:val="24"/>
          <w:u w:val="single"/>
        </w:rPr>
        <w:t>2 g pulver til injektions-/</w:t>
      </w:r>
      <w:r>
        <w:rPr>
          <w:iCs/>
          <w:sz w:val="24"/>
          <w:szCs w:val="24"/>
          <w:u w:val="single"/>
        </w:rPr>
        <w:t>infusionsvæske, opløsning</w:t>
      </w:r>
    </w:p>
    <w:p w:rsidR="007D1818" w:rsidRPr="009A49EF" w:rsidRDefault="007D1818" w:rsidP="007D1818">
      <w:pPr>
        <w:ind w:left="851"/>
        <w:rPr>
          <w:sz w:val="24"/>
          <w:szCs w:val="24"/>
        </w:rPr>
      </w:pPr>
      <w:r w:rsidRPr="009A49EF">
        <w:rPr>
          <w:sz w:val="24"/>
          <w:szCs w:val="24"/>
        </w:rPr>
        <w:t xml:space="preserve">1 hætteglas indeholder </w:t>
      </w:r>
      <w:proofErr w:type="spellStart"/>
      <w:r w:rsidRPr="009A49EF">
        <w:rPr>
          <w:sz w:val="24"/>
          <w:szCs w:val="24"/>
        </w:rPr>
        <w:t>cefotaximnatrium</w:t>
      </w:r>
      <w:proofErr w:type="spellEnd"/>
      <w:r w:rsidRPr="009A49EF">
        <w:rPr>
          <w:sz w:val="24"/>
          <w:szCs w:val="24"/>
        </w:rPr>
        <w:t xml:space="preserve"> svarende til 2 g </w:t>
      </w:r>
      <w:proofErr w:type="spellStart"/>
      <w:r w:rsidRPr="009A49EF">
        <w:rPr>
          <w:sz w:val="24"/>
          <w:szCs w:val="24"/>
        </w:rPr>
        <w:t>cefotaxim</w:t>
      </w:r>
      <w:proofErr w:type="spellEnd"/>
      <w:r w:rsidRPr="009A49EF">
        <w:rPr>
          <w:sz w:val="24"/>
          <w:szCs w:val="24"/>
        </w:rPr>
        <w:t>.</w:t>
      </w:r>
    </w:p>
    <w:p w:rsidR="007D1818" w:rsidRPr="009A49EF" w:rsidRDefault="007D1818" w:rsidP="007D1818">
      <w:pPr>
        <w:ind w:left="851"/>
        <w:rPr>
          <w:sz w:val="24"/>
          <w:szCs w:val="24"/>
        </w:rPr>
      </w:pPr>
      <w:r w:rsidRPr="009A49EF">
        <w:rPr>
          <w:sz w:val="24"/>
          <w:szCs w:val="24"/>
        </w:rPr>
        <w:t>Hvert hætteglas indeholder 4,2 mmol (eller 96 mg) natrium per 2000 mg dosis.</w:t>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3.</w:t>
      </w:r>
      <w:r w:rsidRPr="00C84483">
        <w:rPr>
          <w:b/>
          <w:sz w:val="24"/>
          <w:szCs w:val="24"/>
        </w:rPr>
        <w:tab/>
        <w:t>LÆGEMIDDELFORM</w:t>
      </w:r>
    </w:p>
    <w:p w:rsidR="007D1818" w:rsidRDefault="007D1818" w:rsidP="007D1818">
      <w:pPr>
        <w:ind w:left="851" w:hanging="851"/>
        <w:rPr>
          <w:iCs/>
          <w:sz w:val="24"/>
          <w:szCs w:val="24"/>
        </w:rPr>
      </w:pPr>
      <w:r w:rsidRPr="009A49EF">
        <w:rPr>
          <w:sz w:val="24"/>
          <w:szCs w:val="24"/>
        </w:rPr>
        <w:tab/>
      </w:r>
      <w:r w:rsidRPr="009A49EF">
        <w:rPr>
          <w:iCs/>
          <w:sz w:val="24"/>
          <w:szCs w:val="24"/>
        </w:rPr>
        <w:t>Pulver til injektions-/infusionsvæske, opløsning</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bCs/>
          <w:sz w:val="24"/>
          <w:szCs w:val="24"/>
        </w:rPr>
        <w:tab/>
        <w:t>Hvidt til svagt gult pulver.</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w:t>
      </w:r>
      <w:r w:rsidRPr="00C84483">
        <w:rPr>
          <w:b/>
          <w:sz w:val="24"/>
          <w:szCs w:val="24"/>
        </w:rPr>
        <w:tab/>
        <w:t>KLINISKE OPLYSNINGER</w:t>
      </w:r>
    </w:p>
    <w:p w:rsidR="00D52548" w:rsidRPr="00C84483" w:rsidRDefault="00D52548" w:rsidP="00D52548">
      <w:pPr>
        <w:tabs>
          <w:tab w:val="left" w:pos="851"/>
        </w:tabs>
        <w:ind w:left="851"/>
        <w:rPr>
          <w:b/>
          <w:sz w:val="24"/>
          <w:szCs w:val="24"/>
        </w:rPr>
      </w:pPr>
    </w:p>
    <w:p w:rsidR="00D52548" w:rsidRPr="00C84483" w:rsidRDefault="00D52548" w:rsidP="00D5254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er indiceret til behandling af følgende svære infektioner, når det vides eller antages, at der er stor sandsynlighed for, at de skyldes bakterier, der er følsomme over for </w:t>
      </w:r>
      <w:proofErr w:type="spellStart"/>
      <w:r w:rsidRPr="009A49EF">
        <w:rPr>
          <w:sz w:val="24"/>
          <w:szCs w:val="24"/>
        </w:rPr>
        <w:t>cefotaxim</w:t>
      </w:r>
      <w:proofErr w:type="spellEnd"/>
      <w:r w:rsidRPr="009A49EF">
        <w:rPr>
          <w:sz w:val="24"/>
          <w:szCs w:val="24"/>
        </w:rPr>
        <w:t xml:space="preserve"> (se pkt. 4.4 og 5.1): </w:t>
      </w:r>
    </w:p>
    <w:p w:rsidR="007D1818" w:rsidRPr="009A49EF" w:rsidRDefault="007D1818" w:rsidP="007D1818">
      <w:pPr>
        <w:numPr>
          <w:ilvl w:val="0"/>
          <w:numId w:val="6"/>
        </w:numPr>
        <w:ind w:left="1134" w:hanging="283"/>
        <w:rPr>
          <w:sz w:val="24"/>
          <w:szCs w:val="24"/>
        </w:rPr>
      </w:pPr>
      <w:r w:rsidRPr="009A49EF">
        <w:rPr>
          <w:sz w:val="24"/>
          <w:szCs w:val="24"/>
        </w:rPr>
        <w:t>Bakteriel pneumoni</w:t>
      </w:r>
    </w:p>
    <w:p w:rsidR="007D1818" w:rsidRPr="009A49EF" w:rsidRDefault="007D1818" w:rsidP="007D1818">
      <w:pPr>
        <w:numPr>
          <w:ilvl w:val="0"/>
          <w:numId w:val="6"/>
        </w:numPr>
        <w:ind w:left="1134" w:hanging="283"/>
        <w:rPr>
          <w:sz w:val="24"/>
          <w:szCs w:val="24"/>
        </w:rPr>
      </w:pPr>
      <w:r w:rsidRPr="009A49EF">
        <w:rPr>
          <w:sz w:val="24"/>
          <w:szCs w:val="24"/>
        </w:rPr>
        <w:t xml:space="preserve">Komplicerede urinvejsinfektioner, herunder </w:t>
      </w:r>
      <w:proofErr w:type="spellStart"/>
      <w:r w:rsidRPr="009A49EF">
        <w:rPr>
          <w:sz w:val="24"/>
          <w:szCs w:val="24"/>
        </w:rPr>
        <w:t>pyelonefritis</w:t>
      </w:r>
      <w:proofErr w:type="spellEnd"/>
    </w:p>
    <w:p w:rsidR="007D1818" w:rsidRPr="009A49EF" w:rsidRDefault="007D1818" w:rsidP="007D1818">
      <w:pPr>
        <w:numPr>
          <w:ilvl w:val="0"/>
          <w:numId w:val="6"/>
        </w:numPr>
        <w:ind w:left="1134" w:hanging="283"/>
        <w:rPr>
          <w:sz w:val="24"/>
          <w:szCs w:val="24"/>
        </w:rPr>
      </w:pPr>
      <w:r w:rsidRPr="009A49EF">
        <w:rPr>
          <w:sz w:val="24"/>
          <w:szCs w:val="24"/>
        </w:rPr>
        <w:t>Svære hud- og bløddelsinfektioner</w:t>
      </w:r>
    </w:p>
    <w:p w:rsidR="007D1818" w:rsidRPr="009A49EF" w:rsidRDefault="007D1818" w:rsidP="007D1818">
      <w:pPr>
        <w:numPr>
          <w:ilvl w:val="0"/>
          <w:numId w:val="6"/>
        </w:numPr>
        <w:ind w:left="1134" w:hanging="283"/>
        <w:rPr>
          <w:sz w:val="24"/>
          <w:szCs w:val="24"/>
        </w:rPr>
      </w:pPr>
      <w:r w:rsidRPr="009A49EF">
        <w:rPr>
          <w:sz w:val="24"/>
          <w:szCs w:val="24"/>
        </w:rPr>
        <w:t xml:space="preserve">Genitale infektioner, herunder </w:t>
      </w:r>
      <w:proofErr w:type="spellStart"/>
      <w:r w:rsidRPr="009A49EF">
        <w:rPr>
          <w:sz w:val="24"/>
          <w:szCs w:val="24"/>
        </w:rPr>
        <w:t>gonoré</w:t>
      </w:r>
      <w:proofErr w:type="spellEnd"/>
      <w:r w:rsidRPr="009A49EF">
        <w:rPr>
          <w:sz w:val="24"/>
          <w:szCs w:val="24"/>
        </w:rPr>
        <w:t xml:space="preserve"> </w:t>
      </w:r>
    </w:p>
    <w:p w:rsidR="007D1818" w:rsidRPr="006059D8" w:rsidRDefault="007D1818" w:rsidP="007D1818">
      <w:pPr>
        <w:numPr>
          <w:ilvl w:val="0"/>
          <w:numId w:val="6"/>
        </w:numPr>
        <w:ind w:left="1134" w:hanging="283"/>
        <w:rPr>
          <w:sz w:val="24"/>
          <w:szCs w:val="24"/>
          <w:lang w:val="sv-SE"/>
        </w:rPr>
      </w:pPr>
      <w:r w:rsidRPr="006059D8">
        <w:rPr>
          <w:sz w:val="24"/>
          <w:szCs w:val="24"/>
          <w:lang w:val="sv-SE"/>
        </w:rPr>
        <w:t>Intra-</w:t>
      </w:r>
      <w:proofErr w:type="spellStart"/>
      <w:r w:rsidRPr="006059D8">
        <w:rPr>
          <w:sz w:val="24"/>
          <w:szCs w:val="24"/>
          <w:lang w:val="sv-SE"/>
        </w:rPr>
        <w:t>abdominale</w:t>
      </w:r>
      <w:proofErr w:type="spellEnd"/>
      <w:r w:rsidRPr="006059D8">
        <w:rPr>
          <w:sz w:val="24"/>
          <w:szCs w:val="24"/>
          <w:lang w:val="sv-SE"/>
        </w:rPr>
        <w:t xml:space="preserve"> infektioner (såsom </w:t>
      </w:r>
      <w:proofErr w:type="spellStart"/>
      <w:r w:rsidRPr="006059D8">
        <w:rPr>
          <w:sz w:val="24"/>
          <w:szCs w:val="24"/>
          <w:lang w:val="sv-SE"/>
        </w:rPr>
        <w:t>peritonitis</w:t>
      </w:r>
      <w:proofErr w:type="spellEnd"/>
      <w:r w:rsidRPr="006059D8">
        <w:rPr>
          <w:sz w:val="24"/>
          <w:szCs w:val="24"/>
          <w:lang w:val="sv-SE"/>
        </w:rPr>
        <w:t>)</w:t>
      </w:r>
    </w:p>
    <w:p w:rsidR="007D1818" w:rsidRPr="009A49EF" w:rsidRDefault="007D1818" w:rsidP="007D1818">
      <w:pPr>
        <w:numPr>
          <w:ilvl w:val="0"/>
          <w:numId w:val="6"/>
        </w:numPr>
        <w:ind w:left="1134" w:hanging="283"/>
        <w:rPr>
          <w:sz w:val="24"/>
          <w:szCs w:val="24"/>
        </w:rPr>
      </w:pPr>
      <w:r w:rsidRPr="009A49EF">
        <w:rPr>
          <w:sz w:val="24"/>
          <w:szCs w:val="24"/>
        </w:rPr>
        <w:t>Bakteriel meningitis</w:t>
      </w:r>
    </w:p>
    <w:p w:rsidR="007D1818" w:rsidRPr="009A49EF" w:rsidRDefault="007D1818" w:rsidP="007D1818">
      <w:pPr>
        <w:numPr>
          <w:ilvl w:val="0"/>
          <w:numId w:val="6"/>
        </w:numPr>
        <w:ind w:left="1134" w:hanging="283"/>
        <w:rPr>
          <w:sz w:val="24"/>
          <w:szCs w:val="24"/>
        </w:rPr>
      </w:pPr>
      <w:proofErr w:type="spellStart"/>
      <w:r w:rsidRPr="009A49EF">
        <w:rPr>
          <w:sz w:val="24"/>
          <w:szCs w:val="24"/>
        </w:rPr>
        <w:t>Endocarditis</w:t>
      </w:r>
      <w:proofErr w:type="spellEnd"/>
    </w:p>
    <w:p w:rsidR="007D1818" w:rsidRPr="009A49EF" w:rsidRDefault="007D1818" w:rsidP="007D1818">
      <w:pPr>
        <w:numPr>
          <w:ilvl w:val="0"/>
          <w:numId w:val="6"/>
        </w:numPr>
        <w:ind w:left="1134" w:hanging="283"/>
        <w:rPr>
          <w:sz w:val="24"/>
          <w:szCs w:val="24"/>
        </w:rPr>
      </w:pPr>
      <w:proofErr w:type="spellStart"/>
      <w:r w:rsidRPr="009A49EF">
        <w:rPr>
          <w:sz w:val="24"/>
          <w:szCs w:val="24"/>
        </w:rPr>
        <w:t>Borreliosis</w:t>
      </w:r>
      <w:proofErr w:type="spellEnd"/>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 xml:space="preserve">Behandling af patienter med </w:t>
      </w:r>
      <w:proofErr w:type="spellStart"/>
      <w:r w:rsidRPr="009A49EF">
        <w:rPr>
          <w:sz w:val="24"/>
          <w:szCs w:val="24"/>
        </w:rPr>
        <w:t>bakteræmi</w:t>
      </w:r>
      <w:proofErr w:type="spellEnd"/>
      <w:r w:rsidRPr="009A49EF">
        <w:rPr>
          <w:sz w:val="24"/>
          <w:szCs w:val="24"/>
        </w:rPr>
        <w:t>, der forekommer i forbindelse med, eller mistænkes for at have forbindelse til, nogen af infektionerne angivet ovenfor.</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 xml:space="preserve">Perioperativ profylakse. Ved kirurgiske indgreb med øget risiko for infektioner med anaerobe </w:t>
      </w:r>
      <w:proofErr w:type="spellStart"/>
      <w:r w:rsidRPr="009A49EF">
        <w:rPr>
          <w:sz w:val="24"/>
          <w:szCs w:val="24"/>
        </w:rPr>
        <w:t>patogener</w:t>
      </w:r>
      <w:proofErr w:type="spellEnd"/>
      <w:r w:rsidRPr="009A49EF">
        <w:rPr>
          <w:sz w:val="24"/>
          <w:szCs w:val="24"/>
        </w:rPr>
        <w:t xml:space="preserve">, f.eks. </w:t>
      </w:r>
      <w:proofErr w:type="spellStart"/>
      <w:r w:rsidRPr="009A49EF">
        <w:rPr>
          <w:sz w:val="24"/>
          <w:szCs w:val="24"/>
        </w:rPr>
        <w:t>kolorektal</w:t>
      </w:r>
      <w:proofErr w:type="spellEnd"/>
      <w:r w:rsidRPr="009A49EF">
        <w:rPr>
          <w:sz w:val="24"/>
          <w:szCs w:val="24"/>
        </w:rPr>
        <w:t xml:space="preserve"> kirurgi, anbefales en kombination med et passende lægemiddel med aktivitet mod </w:t>
      </w:r>
      <w:proofErr w:type="spellStart"/>
      <w:r w:rsidRPr="009A49EF">
        <w:rPr>
          <w:sz w:val="24"/>
          <w:szCs w:val="24"/>
        </w:rPr>
        <w:t>anaerober</w:t>
      </w:r>
      <w:proofErr w:type="spellEnd"/>
      <w:r w:rsidRPr="009A49EF">
        <w:rPr>
          <w:sz w:val="24"/>
          <w:szCs w:val="24"/>
        </w:rPr>
        <w:t>.</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 xml:space="preserve">Der skal tages højde for officiel lokal vejledning om passende brug af antibakterielle midler ved brug af </w:t>
      </w:r>
      <w:proofErr w:type="spellStart"/>
      <w:r w:rsidRPr="009A49EF">
        <w:rPr>
          <w:sz w:val="24"/>
          <w:szCs w:val="24"/>
        </w:rPr>
        <w:t>cefotaxim</w:t>
      </w:r>
      <w:proofErr w:type="spellEnd"/>
      <w:r w:rsidRPr="009A49EF">
        <w:rPr>
          <w:sz w:val="24"/>
          <w:szCs w:val="24"/>
        </w:rPr>
        <w:t>.</w:t>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kan administreres som intravenøs </w:t>
      </w:r>
      <w:proofErr w:type="spellStart"/>
      <w:r w:rsidRPr="009A49EF">
        <w:rPr>
          <w:sz w:val="24"/>
          <w:szCs w:val="24"/>
        </w:rPr>
        <w:t>bolusinjektion</w:t>
      </w:r>
      <w:proofErr w:type="spellEnd"/>
      <w:r w:rsidRPr="009A49EF">
        <w:rPr>
          <w:sz w:val="24"/>
          <w:szCs w:val="24"/>
        </w:rPr>
        <w:t xml:space="preserve">, som intravenøs infusion eller som intramuskulær injektion efter </w:t>
      </w:r>
      <w:proofErr w:type="spellStart"/>
      <w:r w:rsidRPr="009A49EF">
        <w:rPr>
          <w:sz w:val="24"/>
          <w:szCs w:val="24"/>
        </w:rPr>
        <w:t>rekonstitution</w:t>
      </w:r>
      <w:proofErr w:type="spellEnd"/>
      <w:r w:rsidRPr="009A49EF">
        <w:rPr>
          <w:sz w:val="24"/>
          <w:szCs w:val="24"/>
        </w:rPr>
        <w:t xml:space="preserve"> af opløsningen.</w:t>
      </w:r>
    </w:p>
    <w:p w:rsidR="007D1818" w:rsidRPr="009A49EF" w:rsidRDefault="007D1818" w:rsidP="007D1818">
      <w:pPr>
        <w:ind w:left="851" w:hanging="851"/>
        <w:rPr>
          <w:sz w:val="24"/>
          <w:szCs w:val="24"/>
        </w:rPr>
      </w:pPr>
      <w:r w:rsidRPr="009A49EF">
        <w:rPr>
          <w:sz w:val="24"/>
          <w:szCs w:val="24"/>
        </w:rPr>
        <w:tab/>
        <w:t>Doseringen og administrationsvejen skal baseres på infektionens sværhedsgrad, følsomheden af den forårsagende organisme og patientens tilstand. Behandlingen kan startes, før resultaterne af mikrobiologiske tests foreligger.</w:t>
      </w:r>
    </w:p>
    <w:p w:rsidR="007D1818" w:rsidRPr="009A49EF" w:rsidRDefault="007D1818" w:rsidP="007D1818">
      <w:pPr>
        <w:ind w:left="851" w:hanging="851"/>
        <w:rPr>
          <w:sz w:val="24"/>
          <w:szCs w:val="24"/>
          <w:u w:val="single"/>
        </w:rPr>
      </w:pPr>
    </w:p>
    <w:p w:rsidR="007D1818" w:rsidRPr="009A49EF" w:rsidRDefault="007D1818" w:rsidP="007D1818">
      <w:pPr>
        <w:ind w:left="851"/>
        <w:rPr>
          <w:sz w:val="24"/>
          <w:szCs w:val="24"/>
          <w:u w:val="single"/>
        </w:rPr>
      </w:pPr>
      <w:r w:rsidRPr="009A49EF">
        <w:rPr>
          <w:sz w:val="24"/>
          <w:szCs w:val="24"/>
          <w:u w:val="single"/>
        </w:rPr>
        <w:t>Voksne og unge over 12 år</w:t>
      </w:r>
    </w:p>
    <w:p w:rsidR="007D1818" w:rsidRPr="009A49EF" w:rsidRDefault="007D1818" w:rsidP="007D1818">
      <w:pPr>
        <w:ind w:left="851"/>
        <w:rPr>
          <w:sz w:val="24"/>
          <w:szCs w:val="24"/>
        </w:rPr>
      </w:pPr>
      <w:r w:rsidRPr="009A49EF">
        <w:rPr>
          <w:sz w:val="24"/>
          <w:szCs w:val="24"/>
        </w:rPr>
        <w:t xml:space="preserve">Voksne og unge får sædvanligvis 2 til 6 g </w:t>
      </w:r>
      <w:proofErr w:type="spellStart"/>
      <w:r w:rsidRPr="009A49EF">
        <w:rPr>
          <w:sz w:val="24"/>
          <w:szCs w:val="24"/>
        </w:rPr>
        <w:t>cefotaxim</w:t>
      </w:r>
      <w:proofErr w:type="spellEnd"/>
      <w:r w:rsidRPr="009A49EF">
        <w:rPr>
          <w:sz w:val="24"/>
          <w:szCs w:val="24"/>
        </w:rPr>
        <w:t xml:space="preserve"> daglig. Den daglige dosis bør opdeles i to enkeltdoser hver 12. time.</w:t>
      </w:r>
    </w:p>
    <w:p w:rsidR="007D1818" w:rsidRPr="009A49EF" w:rsidRDefault="007D1818" w:rsidP="007D1818">
      <w:pPr>
        <w:numPr>
          <w:ilvl w:val="0"/>
          <w:numId w:val="7"/>
        </w:numPr>
        <w:tabs>
          <w:tab w:val="left" w:pos="1134"/>
        </w:tabs>
        <w:ind w:left="1134" w:hanging="283"/>
        <w:rPr>
          <w:sz w:val="24"/>
          <w:szCs w:val="24"/>
        </w:rPr>
      </w:pPr>
      <w:r w:rsidRPr="009A49EF">
        <w:rPr>
          <w:sz w:val="24"/>
          <w:szCs w:val="24"/>
        </w:rPr>
        <w:t>Almene infektioner med tilstedeværelse af (eller mistanke om) følsomme bakterier: 1 g hver 12. time.</w:t>
      </w:r>
    </w:p>
    <w:p w:rsidR="007D1818" w:rsidRPr="009A49EF" w:rsidRDefault="007D1818" w:rsidP="007D1818">
      <w:pPr>
        <w:numPr>
          <w:ilvl w:val="0"/>
          <w:numId w:val="7"/>
        </w:numPr>
        <w:tabs>
          <w:tab w:val="left" w:pos="1134"/>
        </w:tabs>
        <w:ind w:left="1134" w:hanging="283"/>
        <w:rPr>
          <w:sz w:val="24"/>
          <w:szCs w:val="24"/>
        </w:rPr>
      </w:pPr>
      <w:r w:rsidRPr="009A49EF">
        <w:rPr>
          <w:sz w:val="24"/>
          <w:szCs w:val="24"/>
        </w:rPr>
        <w:t>Infektioner med tilstedeværelse af (eller mistanke om) adskillige følsomme eller moderat følsomme bakterier: 1-2 g hver 12. time.</w:t>
      </w:r>
    </w:p>
    <w:p w:rsidR="007D1818" w:rsidRPr="009A49EF" w:rsidRDefault="007D1818" w:rsidP="007D1818">
      <w:pPr>
        <w:numPr>
          <w:ilvl w:val="0"/>
          <w:numId w:val="7"/>
        </w:numPr>
        <w:tabs>
          <w:tab w:val="left" w:pos="1134"/>
        </w:tabs>
        <w:ind w:left="1134" w:hanging="283"/>
        <w:rPr>
          <w:sz w:val="24"/>
          <w:szCs w:val="24"/>
        </w:rPr>
      </w:pPr>
      <w:r w:rsidRPr="009A49EF">
        <w:rPr>
          <w:sz w:val="24"/>
          <w:szCs w:val="24"/>
        </w:rPr>
        <w:t>Svære infektioner eller til infektioner, der ikke kan lokaliseres: 2-3 g som en enkelt dosis hver 6. til hver 8. time (maksimal daglig dosis: 12 g).</w:t>
      </w:r>
    </w:p>
    <w:p w:rsidR="007D1818" w:rsidRPr="009A49EF" w:rsidRDefault="007D1818" w:rsidP="007D1818">
      <w:pPr>
        <w:ind w:left="851"/>
        <w:rPr>
          <w:sz w:val="24"/>
          <w:szCs w:val="24"/>
        </w:rPr>
      </w:pPr>
    </w:p>
    <w:p w:rsidR="007D1818" w:rsidRPr="009A49EF" w:rsidRDefault="007D1818" w:rsidP="007D1818">
      <w:pPr>
        <w:ind w:left="851"/>
        <w:rPr>
          <w:sz w:val="24"/>
          <w:szCs w:val="24"/>
        </w:rPr>
      </w:pPr>
      <w:r w:rsidRPr="009A49EF">
        <w:rPr>
          <w:sz w:val="24"/>
          <w:szCs w:val="24"/>
        </w:rPr>
        <w:t xml:space="preserve">En kombination af </w:t>
      </w:r>
      <w:proofErr w:type="spellStart"/>
      <w:r w:rsidRPr="009A49EF">
        <w:rPr>
          <w:sz w:val="24"/>
          <w:szCs w:val="24"/>
        </w:rPr>
        <w:t>cefotaxim</w:t>
      </w:r>
      <w:proofErr w:type="spellEnd"/>
      <w:r w:rsidRPr="009A49EF">
        <w:rPr>
          <w:sz w:val="24"/>
          <w:szCs w:val="24"/>
        </w:rPr>
        <w:t xml:space="preserve"> og andre antibiotika er indiceret ved svære infektioner.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Nyfødte til tiden (0-28 dage), spædbørn og børn op til 12 år gamle</w:t>
      </w:r>
    </w:p>
    <w:p w:rsidR="007D1818" w:rsidRPr="009A49EF" w:rsidRDefault="007D1818" w:rsidP="007D1818">
      <w:pPr>
        <w:ind w:left="851"/>
        <w:rPr>
          <w:sz w:val="24"/>
          <w:szCs w:val="24"/>
        </w:rPr>
      </w:pPr>
      <w:r w:rsidRPr="009A49EF">
        <w:rPr>
          <w:sz w:val="24"/>
          <w:szCs w:val="24"/>
        </w:rPr>
        <w:t>Afhængigt af infektionens sværhedsgrad: 50-100-150 mg/kg/dag, hver 12. til hver 6. time.</w:t>
      </w:r>
    </w:p>
    <w:p w:rsidR="007D1818" w:rsidRPr="009A49EF" w:rsidRDefault="007D1818" w:rsidP="007D1818">
      <w:pPr>
        <w:ind w:left="851"/>
        <w:rPr>
          <w:sz w:val="24"/>
          <w:szCs w:val="24"/>
        </w:rPr>
      </w:pPr>
      <w:r w:rsidRPr="009A49EF">
        <w:rPr>
          <w:sz w:val="24"/>
          <w:szCs w:val="24"/>
        </w:rPr>
        <w:t>I livstruende situationer kan den daglige dosis hæves til 200 mg/kg/dag under nøje overvågning af nyrefunktionen, især i den nyfødte periode 0-7 dage på grund af ikke fuldt udviklet nyrefunktion.</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Præmature spædbørn</w:t>
      </w:r>
    </w:p>
    <w:p w:rsidR="007D1818" w:rsidRPr="009A49EF" w:rsidRDefault="007D1818" w:rsidP="007D1818">
      <w:pPr>
        <w:ind w:left="851"/>
        <w:rPr>
          <w:sz w:val="24"/>
          <w:szCs w:val="24"/>
        </w:rPr>
      </w:pPr>
      <w:r w:rsidRPr="009A49EF">
        <w:rPr>
          <w:sz w:val="24"/>
          <w:szCs w:val="24"/>
        </w:rPr>
        <w:t>Den anbefalede dosering er 50 mg/kg/dag, opdelt i 2 til 4 doser (hver 12. til hver 6. time). Denne maksimumsdosis bør ikke overskrides på grund af de endnu ikke fuldt udviklede nyrer.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Ældre</w:t>
      </w:r>
    </w:p>
    <w:p w:rsidR="007D1818" w:rsidRPr="009A49EF" w:rsidRDefault="007D1818" w:rsidP="007D1818">
      <w:pPr>
        <w:ind w:left="851"/>
        <w:rPr>
          <w:sz w:val="24"/>
          <w:szCs w:val="24"/>
        </w:rPr>
      </w:pPr>
      <w:r w:rsidRPr="009A49EF">
        <w:rPr>
          <w:sz w:val="24"/>
          <w:szCs w:val="24"/>
        </w:rPr>
        <w:t>Det er ikke nødvendigt at justere dosis, hvis nyre- og leverfunktioner er normale.</w:t>
      </w:r>
    </w:p>
    <w:p w:rsidR="007D1818" w:rsidRPr="009A49EF" w:rsidRDefault="007D1818" w:rsidP="007D1818">
      <w:pPr>
        <w:ind w:left="851"/>
        <w:rPr>
          <w:sz w:val="24"/>
          <w:szCs w:val="24"/>
        </w:rPr>
      </w:pPr>
    </w:p>
    <w:p w:rsidR="007D1818" w:rsidRPr="00460036" w:rsidRDefault="007D1818" w:rsidP="007D1818">
      <w:pPr>
        <w:ind w:left="851"/>
        <w:rPr>
          <w:b/>
          <w:sz w:val="24"/>
          <w:szCs w:val="24"/>
        </w:rPr>
      </w:pPr>
      <w:r w:rsidRPr="00460036">
        <w:rPr>
          <w:b/>
          <w:sz w:val="24"/>
          <w:szCs w:val="24"/>
        </w:rPr>
        <w:t>Andre særlige anbefalinger</w:t>
      </w:r>
    </w:p>
    <w:p w:rsidR="007D1818" w:rsidRDefault="007D1818" w:rsidP="007D1818">
      <w:pPr>
        <w:ind w:left="851"/>
        <w:rPr>
          <w:i/>
          <w:sz w:val="24"/>
          <w:szCs w:val="24"/>
        </w:rPr>
      </w:pPr>
    </w:p>
    <w:p w:rsidR="007D1818" w:rsidRPr="009A49EF" w:rsidRDefault="007D1818" w:rsidP="007D1818">
      <w:pPr>
        <w:ind w:left="851"/>
        <w:rPr>
          <w:sz w:val="24"/>
          <w:szCs w:val="24"/>
        </w:rPr>
      </w:pPr>
      <w:proofErr w:type="spellStart"/>
      <w:r w:rsidRPr="009A49EF">
        <w:rPr>
          <w:i/>
          <w:sz w:val="24"/>
          <w:szCs w:val="24"/>
        </w:rPr>
        <w:t>Gonoré</w:t>
      </w:r>
      <w:proofErr w:type="spellEnd"/>
    </w:p>
    <w:p w:rsidR="007D1818" w:rsidRPr="009A49EF" w:rsidRDefault="007D1818" w:rsidP="007D1818">
      <w:pPr>
        <w:ind w:left="851"/>
        <w:rPr>
          <w:sz w:val="24"/>
          <w:szCs w:val="24"/>
        </w:rPr>
      </w:pPr>
      <w:r w:rsidRPr="009A49EF">
        <w:rPr>
          <w:sz w:val="24"/>
          <w:szCs w:val="24"/>
        </w:rPr>
        <w:t xml:space="preserve">Ved </w:t>
      </w:r>
      <w:proofErr w:type="spellStart"/>
      <w:r w:rsidRPr="009A49EF">
        <w:rPr>
          <w:sz w:val="24"/>
          <w:szCs w:val="24"/>
        </w:rPr>
        <w:t>gonoré</w:t>
      </w:r>
      <w:proofErr w:type="spellEnd"/>
      <w:r w:rsidRPr="009A49EF">
        <w:rPr>
          <w:sz w:val="24"/>
          <w:szCs w:val="24"/>
        </w:rPr>
        <w:t xml:space="preserve"> gives en enkelt injektion (intramuskulært eller intravenøst) 0,5-1 g </w:t>
      </w:r>
      <w:proofErr w:type="spellStart"/>
      <w:r w:rsidRPr="009A49EF">
        <w:rPr>
          <w:sz w:val="24"/>
          <w:szCs w:val="24"/>
        </w:rPr>
        <w:t>cefotaxim</w:t>
      </w:r>
      <w:proofErr w:type="spellEnd"/>
      <w:r w:rsidRPr="009A49EF">
        <w:rPr>
          <w:sz w:val="24"/>
          <w:szCs w:val="24"/>
        </w:rPr>
        <w:t>. Ved komplicerede infektioner skal der tages højde for officiel lokal vejledning. Syfilis bør udelukkes inden indledning af behandling.</w:t>
      </w:r>
    </w:p>
    <w:p w:rsidR="007D1818" w:rsidRPr="009A49EF" w:rsidRDefault="007D1818" w:rsidP="007D1818">
      <w:pPr>
        <w:ind w:left="851"/>
        <w:rPr>
          <w:sz w:val="24"/>
          <w:szCs w:val="24"/>
        </w:rPr>
      </w:pPr>
    </w:p>
    <w:p w:rsidR="007D1818" w:rsidRPr="009A49EF" w:rsidRDefault="007D1818" w:rsidP="007D1818">
      <w:pPr>
        <w:ind w:left="851"/>
        <w:rPr>
          <w:i/>
          <w:sz w:val="24"/>
          <w:szCs w:val="24"/>
        </w:rPr>
      </w:pPr>
      <w:r w:rsidRPr="009A49EF">
        <w:rPr>
          <w:i/>
          <w:sz w:val="24"/>
          <w:szCs w:val="24"/>
        </w:rPr>
        <w:t>Bakteriel meningitis</w:t>
      </w:r>
    </w:p>
    <w:p w:rsidR="007D1818" w:rsidRPr="009A49EF" w:rsidRDefault="007D1818" w:rsidP="007D1818">
      <w:pPr>
        <w:ind w:left="851"/>
        <w:rPr>
          <w:sz w:val="24"/>
          <w:szCs w:val="24"/>
        </w:rPr>
      </w:pPr>
      <w:r w:rsidRPr="009A49EF">
        <w:rPr>
          <w:sz w:val="24"/>
          <w:szCs w:val="24"/>
        </w:rPr>
        <w:t xml:space="preserve">Voksne: Daglig dosis på 9-12 g </w:t>
      </w:r>
      <w:proofErr w:type="spellStart"/>
      <w:r w:rsidRPr="009A49EF">
        <w:rPr>
          <w:sz w:val="24"/>
          <w:szCs w:val="24"/>
        </w:rPr>
        <w:t>cefotaxim</w:t>
      </w:r>
      <w:proofErr w:type="spellEnd"/>
      <w:r w:rsidRPr="009A49EF">
        <w:rPr>
          <w:sz w:val="24"/>
          <w:szCs w:val="24"/>
        </w:rPr>
        <w:t xml:space="preserve">, opdelt i lige store doser hver 6.-8. time (3 g 3-4 gange daglig). </w:t>
      </w:r>
    </w:p>
    <w:p w:rsidR="007D1818" w:rsidRPr="009A49EF" w:rsidRDefault="007D1818" w:rsidP="007D1818">
      <w:pPr>
        <w:ind w:left="851"/>
        <w:rPr>
          <w:sz w:val="24"/>
          <w:szCs w:val="24"/>
        </w:rPr>
      </w:pPr>
      <w:r w:rsidRPr="009A49EF">
        <w:rPr>
          <w:sz w:val="24"/>
          <w:szCs w:val="24"/>
        </w:rPr>
        <w:t>Børn: 150-200 mg/kg/dag, opdelt i lige store doser hver 6.-8. time.</w:t>
      </w:r>
    </w:p>
    <w:p w:rsidR="007D1818" w:rsidRPr="009A49EF" w:rsidRDefault="007D1818" w:rsidP="007D1818">
      <w:pPr>
        <w:ind w:left="851"/>
        <w:rPr>
          <w:sz w:val="24"/>
          <w:szCs w:val="24"/>
        </w:rPr>
      </w:pPr>
      <w:r w:rsidRPr="009A49EF">
        <w:rPr>
          <w:sz w:val="24"/>
          <w:szCs w:val="24"/>
        </w:rPr>
        <w:t>Nyfødte: 0-7 dage: 50 mg/kg hver 12. time, 7-28 dage: 50 mg/kg hver 8. time.</w:t>
      </w:r>
    </w:p>
    <w:p w:rsidR="007D1818" w:rsidRPr="009A49EF" w:rsidRDefault="007D1818" w:rsidP="007D1818">
      <w:pPr>
        <w:ind w:left="851"/>
        <w:rPr>
          <w:bCs/>
          <w:sz w:val="24"/>
          <w:szCs w:val="24"/>
        </w:rPr>
      </w:pPr>
    </w:p>
    <w:p w:rsidR="007D1818" w:rsidRPr="009A49EF" w:rsidRDefault="007D1818" w:rsidP="007D1818">
      <w:pPr>
        <w:ind w:left="851"/>
        <w:rPr>
          <w:bCs/>
          <w:i/>
          <w:sz w:val="24"/>
          <w:szCs w:val="24"/>
        </w:rPr>
      </w:pPr>
      <w:r w:rsidRPr="009A49EF">
        <w:rPr>
          <w:bCs/>
          <w:i/>
          <w:sz w:val="24"/>
          <w:szCs w:val="24"/>
        </w:rPr>
        <w:t>Perioperativ profylakse</w:t>
      </w:r>
    </w:p>
    <w:p w:rsidR="007D1818" w:rsidRPr="009A49EF" w:rsidRDefault="007D1818" w:rsidP="007D1818">
      <w:pPr>
        <w:ind w:left="851"/>
        <w:rPr>
          <w:bCs/>
          <w:sz w:val="24"/>
          <w:szCs w:val="24"/>
        </w:rPr>
      </w:pPr>
      <w:r w:rsidRPr="009A49EF">
        <w:rPr>
          <w:bCs/>
          <w:sz w:val="24"/>
          <w:szCs w:val="24"/>
        </w:rPr>
        <w:t xml:space="preserve">1-2 g som enkeltdosis så tæt på start af operationen som muligt. I de tilfælde, hvor operationstiden overstiger 90 minutter, bør der gives en yderligere dosis </w:t>
      </w:r>
      <w:proofErr w:type="gramStart"/>
      <w:r w:rsidRPr="009A49EF">
        <w:rPr>
          <w:bCs/>
          <w:sz w:val="24"/>
          <w:szCs w:val="24"/>
        </w:rPr>
        <w:t>profylaktisk</w:t>
      </w:r>
      <w:proofErr w:type="gramEnd"/>
      <w:r w:rsidRPr="009A49EF">
        <w:rPr>
          <w:bCs/>
          <w:sz w:val="24"/>
          <w:szCs w:val="24"/>
        </w:rPr>
        <w:t xml:space="preserve"> antibiotika.</w:t>
      </w:r>
    </w:p>
    <w:p w:rsidR="007D1818" w:rsidRPr="009A49EF" w:rsidRDefault="007D1818" w:rsidP="007D1818">
      <w:pPr>
        <w:ind w:left="851"/>
        <w:rPr>
          <w:bCs/>
          <w:sz w:val="24"/>
          <w:szCs w:val="24"/>
        </w:rPr>
      </w:pPr>
    </w:p>
    <w:p w:rsidR="007D1818" w:rsidRPr="009A49EF" w:rsidRDefault="007D1818" w:rsidP="007D1818">
      <w:pPr>
        <w:ind w:left="851"/>
        <w:rPr>
          <w:bCs/>
          <w:i/>
          <w:sz w:val="24"/>
          <w:szCs w:val="24"/>
        </w:rPr>
      </w:pPr>
      <w:proofErr w:type="spellStart"/>
      <w:r w:rsidRPr="009A49EF">
        <w:rPr>
          <w:bCs/>
          <w:i/>
          <w:sz w:val="24"/>
          <w:szCs w:val="24"/>
        </w:rPr>
        <w:t>Intra-abdominale</w:t>
      </w:r>
      <w:proofErr w:type="spellEnd"/>
      <w:r w:rsidRPr="009A49EF">
        <w:rPr>
          <w:bCs/>
          <w:i/>
          <w:sz w:val="24"/>
          <w:szCs w:val="24"/>
        </w:rPr>
        <w:t xml:space="preserve"> infektioner</w:t>
      </w:r>
    </w:p>
    <w:p w:rsidR="007D1818" w:rsidRPr="009A49EF" w:rsidRDefault="007D1818" w:rsidP="007D1818">
      <w:pPr>
        <w:ind w:left="851"/>
        <w:rPr>
          <w:sz w:val="24"/>
          <w:szCs w:val="24"/>
        </w:rPr>
      </w:pPr>
      <w:proofErr w:type="spellStart"/>
      <w:r w:rsidRPr="009A49EF">
        <w:rPr>
          <w:bCs/>
          <w:sz w:val="24"/>
          <w:szCs w:val="24"/>
        </w:rPr>
        <w:t>Intra-abdominale</w:t>
      </w:r>
      <w:proofErr w:type="spellEnd"/>
      <w:r w:rsidRPr="009A49EF">
        <w:rPr>
          <w:bCs/>
          <w:sz w:val="24"/>
          <w:szCs w:val="24"/>
        </w:rPr>
        <w:t xml:space="preserve"> infektioner bør behandles med </w:t>
      </w:r>
      <w:proofErr w:type="spellStart"/>
      <w:r w:rsidRPr="009A49EF">
        <w:rPr>
          <w:bCs/>
          <w:sz w:val="24"/>
          <w:szCs w:val="24"/>
        </w:rPr>
        <w:t>cefotaxim</w:t>
      </w:r>
      <w:proofErr w:type="spellEnd"/>
      <w:r w:rsidRPr="009A49EF">
        <w:rPr>
          <w:bCs/>
          <w:sz w:val="24"/>
          <w:szCs w:val="24"/>
        </w:rPr>
        <w:t xml:space="preserve"> i kombination med andre antibiotika med dækning for anaerobe bakterier.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Nedsat nyrefunktion</w:t>
      </w:r>
    </w:p>
    <w:p w:rsidR="007D1818" w:rsidRPr="009A49EF" w:rsidRDefault="007D1818" w:rsidP="007D1818">
      <w:pPr>
        <w:ind w:left="851"/>
        <w:rPr>
          <w:sz w:val="24"/>
          <w:szCs w:val="24"/>
        </w:rPr>
      </w:pPr>
      <w:r w:rsidRPr="009A49EF">
        <w:rPr>
          <w:sz w:val="24"/>
          <w:szCs w:val="24"/>
        </w:rPr>
        <w:t xml:space="preserve">Hos voksne patienter med </w:t>
      </w:r>
      <w:proofErr w:type="spellStart"/>
      <w:r w:rsidRPr="009A49EF">
        <w:rPr>
          <w:sz w:val="24"/>
          <w:szCs w:val="24"/>
        </w:rPr>
        <w:t>kreatininclearance</w:t>
      </w:r>
      <w:proofErr w:type="spellEnd"/>
      <w:r w:rsidRPr="009A49EF">
        <w:rPr>
          <w:sz w:val="24"/>
          <w:szCs w:val="24"/>
        </w:rPr>
        <w:t xml:space="preserve"> på ≤5 ml/min er startdosis den samme som den sædvanligt anbefalede dosis, men vedligeholdelsesdosen skal reduceres til det halve uden at ændre hyppigheden af dosering. Blodprøver til bestemmelse af den påkrævede dosis kan udføres.</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 xml:space="preserve">Dialyse eller </w:t>
      </w:r>
      <w:proofErr w:type="spellStart"/>
      <w:r w:rsidRPr="009A49EF">
        <w:rPr>
          <w:sz w:val="24"/>
          <w:szCs w:val="24"/>
          <w:u w:val="single"/>
        </w:rPr>
        <w:t>peritonealdialyse</w:t>
      </w:r>
      <w:proofErr w:type="spellEnd"/>
    </w:p>
    <w:p w:rsidR="007D1818" w:rsidRPr="009A49EF" w:rsidRDefault="007D1818" w:rsidP="007D1818">
      <w:pPr>
        <w:ind w:left="851"/>
        <w:rPr>
          <w:sz w:val="24"/>
          <w:szCs w:val="24"/>
        </w:rPr>
      </w:pPr>
      <w:r w:rsidRPr="009A49EF">
        <w:rPr>
          <w:sz w:val="24"/>
          <w:szCs w:val="24"/>
        </w:rPr>
        <w:t xml:space="preserve">Hos patienter i hæmodialyse og </w:t>
      </w:r>
      <w:proofErr w:type="spellStart"/>
      <w:r w:rsidRPr="009A49EF">
        <w:rPr>
          <w:sz w:val="24"/>
          <w:szCs w:val="24"/>
        </w:rPr>
        <w:t>peritonealdialyse</w:t>
      </w:r>
      <w:proofErr w:type="spellEnd"/>
      <w:r w:rsidRPr="009A49EF">
        <w:rPr>
          <w:sz w:val="24"/>
          <w:szCs w:val="24"/>
        </w:rPr>
        <w:t xml:space="preserve"> er en intravenøs injektion på 0,5-2 g administreret ved afslutningen af hver dialysebehandling og gentaget hver 24. time nok til at behandle de fleste infektioner effektivt.</w:t>
      </w:r>
    </w:p>
    <w:p w:rsidR="007D1818" w:rsidRPr="009A49EF" w:rsidRDefault="007D1818" w:rsidP="007D1818">
      <w:pPr>
        <w:ind w:left="851"/>
        <w:rPr>
          <w:sz w:val="24"/>
          <w:szCs w:val="24"/>
        </w:rPr>
      </w:pPr>
    </w:p>
    <w:p w:rsidR="007D1818" w:rsidRPr="009A49EF" w:rsidRDefault="007D1818" w:rsidP="007D1818">
      <w:pPr>
        <w:ind w:left="851"/>
        <w:rPr>
          <w:b/>
          <w:sz w:val="24"/>
          <w:szCs w:val="24"/>
        </w:rPr>
      </w:pPr>
      <w:r>
        <w:rPr>
          <w:b/>
          <w:sz w:val="24"/>
          <w:szCs w:val="24"/>
        </w:rPr>
        <w:t>Behandlingens</w:t>
      </w:r>
      <w:r w:rsidR="00E87572">
        <w:rPr>
          <w:b/>
          <w:sz w:val="24"/>
          <w:szCs w:val="24"/>
        </w:rPr>
        <w:t xml:space="preserve"> </w:t>
      </w:r>
      <w:bookmarkStart w:id="0" w:name="_GoBack"/>
      <w:bookmarkEnd w:id="0"/>
      <w:r w:rsidRPr="009A49EF">
        <w:rPr>
          <w:b/>
          <w:sz w:val="24"/>
          <w:szCs w:val="24"/>
        </w:rPr>
        <w:t>varighed</w:t>
      </w:r>
    </w:p>
    <w:p w:rsidR="007D1818" w:rsidRPr="009A49EF" w:rsidRDefault="007D1818" w:rsidP="007D1818">
      <w:pPr>
        <w:ind w:left="851"/>
        <w:rPr>
          <w:sz w:val="24"/>
          <w:szCs w:val="24"/>
        </w:rPr>
      </w:pPr>
      <w:r w:rsidRPr="009A49EF">
        <w:rPr>
          <w:sz w:val="24"/>
          <w:szCs w:val="24"/>
        </w:rPr>
        <w:t xml:space="preserve">Varigheden af behandlingen med </w:t>
      </w:r>
      <w:proofErr w:type="spellStart"/>
      <w:r w:rsidRPr="009A49EF">
        <w:rPr>
          <w:sz w:val="24"/>
          <w:szCs w:val="24"/>
        </w:rPr>
        <w:t>cefotaxim</w:t>
      </w:r>
      <w:proofErr w:type="spellEnd"/>
      <w:r w:rsidRPr="009A49EF">
        <w:rPr>
          <w:sz w:val="24"/>
          <w:szCs w:val="24"/>
        </w:rPr>
        <w:t xml:space="preserve"> afhænger af patientens kliniske tilstand og varierer med årsagen til den bakteriologiske progression. Administration af </w:t>
      </w:r>
      <w:proofErr w:type="spellStart"/>
      <w:r w:rsidRPr="009A49EF">
        <w:rPr>
          <w:sz w:val="24"/>
          <w:szCs w:val="24"/>
        </w:rPr>
        <w:t>cefotaxim</w:t>
      </w:r>
      <w:proofErr w:type="spellEnd"/>
      <w:r w:rsidRPr="009A49EF">
        <w:rPr>
          <w:sz w:val="24"/>
          <w:szCs w:val="24"/>
        </w:rPr>
        <w:t xml:space="preserve"> skal fortsættes, indtil symptomerne er forsvundet, eller der er påvist bakteriel </w:t>
      </w:r>
      <w:proofErr w:type="spellStart"/>
      <w:r w:rsidRPr="009A49EF">
        <w:rPr>
          <w:sz w:val="24"/>
          <w:szCs w:val="24"/>
        </w:rPr>
        <w:t>eradikation</w:t>
      </w:r>
      <w:proofErr w:type="spellEnd"/>
      <w:r w:rsidRPr="009A49EF">
        <w:rPr>
          <w:sz w:val="24"/>
          <w:szCs w:val="24"/>
        </w:rPr>
        <w:t xml:space="preserve">. Ved infektioner, der er forårsaget af </w:t>
      </w:r>
      <w:proofErr w:type="spellStart"/>
      <w:r w:rsidRPr="009A49EF">
        <w:rPr>
          <w:i/>
          <w:sz w:val="24"/>
          <w:szCs w:val="24"/>
        </w:rPr>
        <w:t>Streptococcus</w:t>
      </w:r>
      <w:proofErr w:type="spellEnd"/>
      <w:r w:rsidRPr="009A49EF">
        <w:rPr>
          <w:i/>
          <w:sz w:val="24"/>
          <w:szCs w:val="24"/>
        </w:rPr>
        <w:t xml:space="preserve"> </w:t>
      </w:r>
      <w:proofErr w:type="spellStart"/>
      <w:r w:rsidRPr="009A49EF">
        <w:rPr>
          <w:i/>
          <w:sz w:val="24"/>
          <w:szCs w:val="24"/>
        </w:rPr>
        <w:t>pyogenes</w:t>
      </w:r>
      <w:proofErr w:type="spellEnd"/>
      <w:r w:rsidRPr="009A49EF">
        <w:rPr>
          <w:i/>
          <w:sz w:val="24"/>
          <w:szCs w:val="24"/>
        </w:rPr>
        <w:t>,</w:t>
      </w:r>
      <w:r w:rsidRPr="009A49EF">
        <w:rPr>
          <w:sz w:val="24"/>
          <w:szCs w:val="24"/>
        </w:rPr>
        <w:t xml:space="preserve"> er det nødvendigt med behandling i mindst 10 dage (parenteral behandling kan udskiftes med passende oral behandling inden afslutningen på 10-dages perioden).</w:t>
      </w:r>
    </w:p>
    <w:p w:rsidR="007D1818" w:rsidRPr="009A49EF" w:rsidRDefault="007D1818" w:rsidP="007D1818">
      <w:pPr>
        <w:ind w:left="851"/>
        <w:rPr>
          <w:sz w:val="24"/>
          <w:szCs w:val="24"/>
        </w:rPr>
      </w:pPr>
    </w:p>
    <w:p w:rsidR="007D1818" w:rsidRDefault="007D1818" w:rsidP="007D1818">
      <w:pPr>
        <w:ind w:left="851"/>
        <w:rPr>
          <w:b/>
          <w:sz w:val="24"/>
          <w:szCs w:val="24"/>
        </w:rPr>
      </w:pPr>
      <w:r w:rsidRPr="009A49EF">
        <w:rPr>
          <w:b/>
          <w:sz w:val="24"/>
          <w:szCs w:val="24"/>
        </w:rPr>
        <w:t>Administration</w:t>
      </w:r>
    </w:p>
    <w:p w:rsidR="007D1818" w:rsidRPr="009A49EF" w:rsidRDefault="007D1818" w:rsidP="007D1818">
      <w:pPr>
        <w:ind w:left="851"/>
        <w:rPr>
          <w:b/>
          <w:sz w:val="24"/>
          <w:szCs w:val="24"/>
        </w:rPr>
      </w:pPr>
    </w:p>
    <w:p w:rsidR="007D1818" w:rsidRPr="009A49EF" w:rsidRDefault="007D1818" w:rsidP="007D1818">
      <w:pPr>
        <w:ind w:left="851"/>
        <w:rPr>
          <w:sz w:val="24"/>
          <w:szCs w:val="24"/>
          <w:u w:val="single"/>
        </w:rPr>
      </w:pPr>
      <w:r w:rsidRPr="009A49EF">
        <w:rPr>
          <w:sz w:val="24"/>
          <w:szCs w:val="24"/>
          <w:u w:val="single"/>
        </w:rPr>
        <w:t>Intravenøs infusion</w:t>
      </w:r>
    </w:p>
    <w:p w:rsidR="007D1818" w:rsidRPr="009A49EF" w:rsidRDefault="007D1818" w:rsidP="007D1818">
      <w:pPr>
        <w:ind w:left="851"/>
        <w:rPr>
          <w:sz w:val="24"/>
          <w:szCs w:val="24"/>
        </w:rPr>
      </w:pPr>
      <w:r w:rsidRPr="009A49EF">
        <w:rPr>
          <w:sz w:val="24"/>
          <w:szCs w:val="24"/>
        </w:rPr>
        <w:t xml:space="preserve">For at undgå enhver risiko for infektion bør </w:t>
      </w:r>
      <w:proofErr w:type="spellStart"/>
      <w:r w:rsidRPr="009A49EF">
        <w:rPr>
          <w:sz w:val="24"/>
          <w:szCs w:val="24"/>
        </w:rPr>
        <w:t>rekonstitutionen</w:t>
      </w:r>
      <w:proofErr w:type="spellEnd"/>
      <w:r w:rsidRPr="009A49EF">
        <w:rPr>
          <w:sz w:val="24"/>
          <w:szCs w:val="24"/>
        </w:rPr>
        <w:t xml:space="preserve"> af opløsningen til infusion foretages under strengt aseptiske forhold. Infusionen må ikke udsættes efter opløsningens </w:t>
      </w:r>
      <w:proofErr w:type="spellStart"/>
      <w:r w:rsidRPr="009A49EF">
        <w:rPr>
          <w:sz w:val="24"/>
          <w:szCs w:val="24"/>
        </w:rPr>
        <w:t>rekonstitution</w:t>
      </w:r>
      <w:proofErr w:type="spellEnd"/>
      <w:r w:rsidRPr="009A49EF">
        <w:rPr>
          <w:sz w:val="24"/>
          <w:szCs w:val="24"/>
        </w:rPr>
        <w:t>.</w:t>
      </w:r>
    </w:p>
    <w:p w:rsidR="007D1818" w:rsidRPr="009A49EF" w:rsidRDefault="007D1818" w:rsidP="007D1818">
      <w:pPr>
        <w:ind w:left="851"/>
        <w:rPr>
          <w:sz w:val="24"/>
          <w:szCs w:val="24"/>
        </w:rPr>
      </w:pPr>
      <w:r w:rsidRPr="009A49EF">
        <w:rPr>
          <w:sz w:val="24"/>
          <w:szCs w:val="24"/>
        </w:rPr>
        <w:t xml:space="preserve">Ved </w:t>
      </w:r>
      <w:r w:rsidRPr="009A49EF">
        <w:rPr>
          <w:i/>
          <w:iCs/>
          <w:sz w:val="24"/>
          <w:szCs w:val="24"/>
          <w:u w:val="single"/>
        </w:rPr>
        <w:t>hurtig intravenøs infusion</w:t>
      </w:r>
      <w:r w:rsidRPr="009A49EF">
        <w:rPr>
          <w:i/>
          <w:iCs/>
          <w:sz w:val="24"/>
          <w:szCs w:val="24"/>
        </w:rPr>
        <w:t xml:space="preserve">: </w:t>
      </w:r>
      <w:r w:rsidRPr="009A49EF">
        <w:rPr>
          <w:sz w:val="24"/>
          <w:szCs w:val="24"/>
        </w:rPr>
        <w:t xml:space="preserve">Efter </w:t>
      </w:r>
      <w:proofErr w:type="spellStart"/>
      <w:r w:rsidRPr="009A49EF">
        <w:rPr>
          <w:sz w:val="24"/>
          <w:szCs w:val="24"/>
        </w:rPr>
        <w:t>rekonstitution</w:t>
      </w:r>
      <w:proofErr w:type="spellEnd"/>
      <w:r w:rsidRPr="009A49EF">
        <w:rPr>
          <w:sz w:val="24"/>
          <w:szCs w:val="24"/>
        </w:rPr>
        <w:t xml:space="preserve"> skal opløsningen administreres over 20 minutter.</w:t>
      </w:r>
    </w:p>
    <w:p w:rsidR="007D1818" w:rsidRPr="009A49EF" w:rsidRDefault="007D1818" w:rsidP="007D1818">
      <w:pPr>
        <w:ind w:left="851"/>
        <w:rPr>
          <w:sz w:val="24"/>
          <w:szCs w:val="24"/>
        </w:rPr>
      </w:pPr>
      <w:r w:rsidRPr="009A49EF">
        <w:rPr>
          <w:sz w:val="24"/>
          <w:szCs w:val="24"/>
        </w:rPr>
        <w:t xml:space="preserve">Ved </w:t>
      </w:r>
      <w:r w:rsidRPr="009A49EF">
        <w:rPr>
          <w:i/>
          <w:iCs/>
          <w:sz w:val="24"/>
          <w:szCs w:val="24"/>
          <w:u w:val="single"/>
        </w:rPr>
        <w:t>langsom intravenøs infusion</w:t>
      </w:r>
      <w:r w:rsidRPr="009A49EF">
        <w:rPr>
          <w:i/>
          <w:iCs/>
          <w:sz w:val="24"/>
          <w:szCs w:val="24"/>
        </w:rPr>
        <w:t xml:space="preserve">: </w:t>
      </w:r>
      <w:r w:rsidRPr="009A49EF">
        <w:rPr>
          <w:sz w:val="24"/>
          <w:szCs w:val="24"/>
        </w:rPr>
        <w:t xml:space="preserve">Efter </w:t>
      </w:r>
      <w:proofErr w:type="spellStart"/>
      <w:r w:rsidRPr="009A49EF">
        <w:rPr>
          <w:sz w:val="24"/>
          <w:szCs w:val="24"/>
        </w:rPr>
        <w:t>rekonstitution</w:t>
      </w:r>
      <w:proofErr w:type="spellEnd"/>
      <w:r w:rsidRPr="009A49EF">
        <w:rPr>
          <w:sz w:val="24"/>
          <w:szCs w:val="24"/>
        </w:rPr>
        <w:t xml:space="preserve"> skal opløsningen administreres over 50-60 minutter.</w:t>
      </w:r>
    </w:p>
    <w:p w:rsidR="007D1818" w:rsidRPr="009A49EF" w:rsidRDefault="007D1818" w:rsidP="007D1818">
      <w:pPr>
        <w:ind w:left="851"/>
        <w:rPr>
          <w:sz w:val="24"/>
          <w:szCs w:val="24"/>
        </w:rPr>
      </w:pPr>
    </w:p>
    <w:p w:rsidR="007D1818" w:rsidRPr="009A49EF" w:rsidRDefault="007D1818" w:rsidP="007D1818">
      <w:pPr>
        <w:ind w:left="851"/>
        <w:rPr>
          <w:sz w:val="24"/>
          <w:szCs w:val="24"/>
        </w:rPr>
      </w:pPr>
      <w:r w:rsidRPr="009A49EF">
        <w:rPr>
          <w:sz w:val="24"/>
          <w:szCs w:val="24"/>
          <w:u w:val="single"/>
        </w:rPr>
        <w:t>Intravenøs injektion</w:t>
      </w:r>
    </w:p>
    <w:p w:rsidR="007D1818" w:rsidRPr="009A49EF" w:rsidRDefault="007D1818" w:rsidP="007D1818">
      <w:pPr>
        <w:ind w:left="851"/>
        <w:rPr>
          <w:sz w:val="24"/>
          <w:szCs w:val="24"/>
        </w:rPr>
      </w:pPr>
      <w:r w:rsidRPr="009A49EF">
        <w:rPr>
          <w:sz w:val="24"/>
          <w:szCs w:val="24"/>
        </w:rPr>
        <w:t xml:space="preserve">Ved intermitterende </w:t>
      </w:r>
      <w:proofErr w:type="spellStart"/>
      <w:r w:rsidRPr="009A49EF">
        <w:rPr>
          <w:sz w:val="24"/>
          <w:szCs w:val="24"/>
        </w:rPr>
        <w:t>i.v</w:t>
      </w:r>
      <w:proofErr w:type="spellEnd"/>
      <w:r w:rsidRPr="009A49EF">
        <w:rPr>
          <w:sz w:val="24"/>
          <w:szCs w:val="24"/>
        </w:rPr>
        <w:t xml:space="preserve">.-injektioner skal opløsningen injiceres over en periode på 3 til 5 minutter. Under overvågning efter markedsføring er der blevet rapporteret potentielt livstruende </w:t>
      </w:r>
      <w:proofErr w:type="spellStart"/>
      <w:r w:rsidRPr="009A49EF">
        <w:rPr>
          <w:sz w:val="24"/>
          <w:szCs w:val="24"/>
        </w:rPr>
        <w:t>arytmier</w:t>
      </w:r>
      <w:proofErr w:type="spellEnd"/>
      <w:r w:rsidRPr="009A49EF">
        <w:rPr>
          <w:sz w:val="24"/>
          <w:szCs w:val="24"/>
        </w:rPr>
        <w:t xml:space="preserve"> hos meget få patienter, der fik hurtig intravenøs administration af </w:t>
      </w:r>
      <w:proofErr w:type="spellStart"/>
      <w:r w:rsidRPr="009A49EF">
        <w:rPr>
          <w:sz w:val="24"/>
          <w:szCs w:val="24"/>
        </w:rPr>
        <w:t>cefotaxim</w:t>
      </w:r>
      <w:proofErr w:type="spellEnd"/>
      <w:r w:rsidRPr="009A49EF">
        <w:rPr>
          <w:sz w:val="24"/>
          <w:szCs w:val="24"/>
        </w:rPr>
        <w:t xml:space="preserve"> gennem et centralt venekateter.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Intramuskulær injektion</w:t>
      </w:r>
    </w:p>
    <w:p w:rsidR="007D1818" w:rsidRPr="009A49EF" w:rsidRDefault="007D1818" w:rsidP="007D1818">
      <w:pPr>
        <w:ind w:left="851"/>
        <w:rPr>
          <w:sz w:val="24"/>
          <w:szCs w:val="24"/>
        </w:rPr>
      </w:pPr>
      <w:r w:rsidRPr="009A49EF">
        <w:rPr>
          <w:sz w:val="24"/>
          <w:szCs w:val="24"/>
        </w:rPr>
        <w:t xml:space="preserve">Den intramuskulære administrationsmåde er begrænset til særlige kliniske situationer (f.eks. </w:t>
      </w:r>
      <w:proofErr w:type="spellStart"/>
      <w:r w:rsidRPr="009A49EF">
        <w:rPr>
          <w:sz w:val="24"/>
          <w:szCs w:val="24"/>
        </w:rPr>
        <w:t>gonoré</w:t>
      </w:r>
      <w:proofErr w:type="spellEnd"/>
      <w:r w:rsidRPr="009A49EF">
        <w:rPr>
          <w:sz w:val="24"/>
          <w:szCs w:val="24"/>
        </w:rPr>
        <w:t xml:space="preserve">). Den er ikke indiceret ved svære infektioner og bør gennemgå en </w:t>
      </w:r>
      <w:proofErr w:type="spellStart"/>
      <w:r w:rsidRPr="009A49EF">
        <w:rPr>
          <w:sz w:val="24"/>
          <w:szCs w:val="24"/>
        </w:rPr>
        <w:t>risk</w:t>
      </w:r>
      <w:proofErr w:type="spellEnd"/>
      <w:r w:rsidRPr="009A49EF">
        <w:rPr>
          <w:sz w:val="24"/>
          <w:szCs w:val="24"/>
        </w:rPr>
        <w:t xml:space="preserve">-benefit vurdering. Det anbefales, at ikke mere end 4 ml injiceres unilateralt. Hvis den daglige dosis overskrider 2 g </w:t>
      </w:r>
      <w:proofErr w:type="spellStart"/>
      <w:r w:rsidRPr="009A49EF">
        <w:rPr>
          <w:sz w:val="24"/>
          <w:szCs w:val="24"/>
        </w:rPr>
        <w:t>cefotaxim</w:t>
      </w:r>
      <w:proofErr w:type="spellEnd"/>
      <w:r w:rsidRPr="009A49EF">
        <w:rPr>
          <w:sz w:val="24"/>
          <w:szCs w:val="24"/>
        </w:rPr>
        <w:t xml:space="preserve">, eller hvis </w:t>
      </w:r>
      <w:proofErr w:type="spellStart"/>
      <w:r w:rsidRPr="009A49EF">
        <w:rPr>
          <w:sz w:val="24"/>
          <w:szCs w:val="24"/>
        </w:rPr>
        <w:t>cefotaxim</w:t>
      </w:r>
      <w:proofErr w:type="spellEnd"/>
      <w:r w:rsidRPr="009A49EF">
        <w:rPr>
          <w:sz w:val="24"/>
          <w:szCs w:val="24"/>
        </w:rPr>
        <w:t xml:space="preserve"> injiceres hyppigere end to gange daglig, anbefales den intravenøse måde. I tilfælde af svære infektioner anbefales intramuskulær injektion ikke.</w:t>
      </w:r>
    </w:p>
    <w:p w:rsidR="007D1818" w:rsidRPr="009A49EF" w:rsidRDefault="007D1818" w:rsidP="007D1818">
      <w:pPr>
        <w:ind w:left="851"/>
        <w:rPr>
          <w:sz w:val="24"/>
          <w:szCs w:val="24"/>
        </w:rPr>
      </w:pPr>
      <w:r w:rsidRPr="009A49EF">
        <w:rPr>
          <w:sz w:val="24"/>
          <w:szCs w:val="24"/>
        </w:rPr>
        <w:t xml:space="preserve">Opløsningen bør gives ved dyb intramuskulær injektion. Opløsninger med </w:t>
      </w:r>
      <w:proofErr w:type="spellStart"/>
      <w:r w:rsidRPr="009A49EF">
        <w:rPr>
          <w:sz w:val="24"/>
          <w:szCs w:val="24"/>
        </w:rPr>
        <w:t>lidocain</w:t>
      </w:r>
      <w:proofErr w:type="spellEnd"/>
      <w:r w:rsidRPr="009A49EF">
        <w:rPr>
          <w:sz w:val="24"/>
          <w:szCs w:val="24"/>
        </w:rPr>
        <w:t xml:space="preserve"> må </w:t>
      </w:r>
      <w:r w:rsidRPr="009A49EF">
        <w:rPr>
          <w:iCs/>
          <w:sz w:val="24"/>
          <w:szCs w:val="24"/>
          <w:u w:val="single"/>
        </w:rPr>
        <w:t>ikke</w:t>
      </w:r>
      <w:r w:rsidRPr="009A49EF">
        <w:rPr>
          <w:i/>
          <w:iCs/>
          <w:sz w:val="24"/>
          <w:szCs w:val="24"/>
        </w:rPr>
        <w:t xml:space="preserve"> </w:t>
      </w:r>
      <w:r w:rsidRPr="009A49EF">
        <w:rPr>
          <w:sz w:val="24"/>
          <w:szCs w:val="24"/>
        </w:rPr>
        <w:t xml:space="preserve">gives intravenøst. </w:t>
      </w:r>
      <w:proofErr w:type="spellStart"/>
      <w:r w:rsidRPr="009A49EF">
        <w:rPr>
          <w:sz w:val="24"/>
          <w:szCs w:val="24"/>
        </w:rPr>
        <w:t>Cefotaxim</w:t>
      </w:r>
      <w:proofErr w:type="spellEnd"/>
      <w:r w:rsidRPr="009A49EF">
        <w:rPr>
          <w:sz w:val="24"/>
          <w:szCs w:val="24"/>
        </w:rPr>
        <w:t xml:space="preserve"> </w:t>
      </w:r>
      <w:proofErr w:type="spellStart"/>
      <w:r w:rsidRPr="009A49EF">
        <w:rPr>
          <w:sz w:val="24"/>
          <w:szCs w:val="24"/>
        </w:rPr>
        <w:t>rekonstitueret</w:t>
      </w:r>
      <w:proofErr w:type="spellEnd"/>
      <w:r w:rsidRPr="009A49EF">
        <w:rPr>
          <w:sz w:val="24"/>
          <w:szCs w:val="24"/>
        </w:rPr>
        <w:t xml:space="preserve"> med </w:t>
      </w:r>
      <w:proofErr w:type="spellStart"/>
      <w:r w:rsidRPr="009A49EF">
        <w:rPr>
          <w:sz w:val="24"/>
          <w:szCs w:val="24"/>
        </w:rPr>
        <w:t>lidocain</w:t>
      </w:r>
      <w:proofErr w:type="spellEnd"/>
      <w:r w:rsidRPr="009A49EF">
        <w:rPr>
          <w:sz w:val="24"/>
          <w:szCs w:val="24"/>
        </w:rPr>
        <w:t xml:space="preserve"> må ikke administreres til børn i deres første leveår. Der bør tages hensyn til produktinformationen til det valgte </w:t>
      </w:r>
      <w:proofErr w:type="spellStart"/>
      <w:r w:rsidRPr="009A49EF">
        <w:rPr>
          <w:sz w:val="24"/>
          <w:szCs w:val="24"/>
        </w:rPr>
        <w:t>lidocain</w:t>
      </w:r>
      <w:proofErr w:type="spellEnd"/>
      <w:r w:rsidRPr="009A49EF">
        <w:rPr>
          <w:sz w:val="24"/>
          <w:szCs w:val="24"/>
        </w:rPr>
        <w:t>-indeholdende lægemiddel.</w:t>
      </w:r>
    </w:p>
    <w:p w:rsidR="007D1818" w:rsidRPr="009A49EF" w:rsidRDefault="007D1818" w:rsidP="007D1818">
      <w:pPr>
        <w:ind w:left="851"/>
        <w:rPr>
          <w:b/>
          <w:sz w:val="24"/>
          <w:szCs w:val="24"/>
        </w:rPr>
      </w:pPr>
    </w:p>
    <w:p w:rsidR="007D1818" w:rsidRPr="009A49EF" w:rsidRDefault="007D1818" w:rsidP="007D1818">
      <w:pPr>
        <w:ind w:left="851"/>
        <w:rPr>
          <w:sz w:val="24"/>
          <w:szCs w:val="24"/>
        </w:rPr>
      </w:pPr>
      <w:r w:rsidRPr="009A49EF">
        <w:rPr>
          <w:sz w:val="24"/>
          <w:szCs w:val="24"/>
        </w:rPr>
        <w:t xml:space="preserve">For instruktioner om </w:t>
      </w:r>
      <w:proofErr w:type="spellStart"/>
      <w:r w:rsidRPr="009A49EF">
        <w:rPr>
          <w:sz w:val="24"/>
          <w:szCs w:val="24"/>
        </w:rPr>
        <w:t>rekonstitution</w:t>
      </w:r>
      <w:proofErr w:type="spellEnd"/>
      <w:r w:rsidRPr="009A49EF">
        <w:rPr>
          <w:sz w:val="24"/>
          <w:szCs w:val="24"/>
        </w:rPr>
        <w:t xml:space="preserve"> og fortynding af lægemidlet før administration, se pkt. 6.6. </w:t>
      </w:r>
      <w:proofErr w:type="spellStart"/>
      <w:r w:rsidRPr="009A49EF">
        <w:rPr>
          <w:sz w:val="24"/>
          <w:szCs w:val="24"/>
        </w:rPr>
        <w:t>Cefotaxim</w:t>
      </w:r>
      <w:proofErr w:type="spellEnd"/>
      <w:r w:rsidRPr="009A49EF">
        <w:rPr>
          <w:sz w:val="24"/>
          <w:szCs w:val="24"/>
        </w:rPr>
        <w:t xml:space="preserve"> og aminoglykosider bør ikke blandes i den samme sprøjte eller </w:t>
      </w:r>
      <w:proofErr w:type="spellStart"/>
      <w:r w:rsidRPr="009A49EF">
        <w:rPr>
          <w:sz w:val="24"/>
          <w:szCs w:val="24"/>
        </w:rPr>
        <w:t>perfusionsvæske</w:t>
      </w:r>
      <w:proofErr w:type="spellEnd"/>
      <w:r w:rsidRPr="009A49EF">
        <w:rPr>
          <w:sz w:val="24"/>
          <w:szCs w:val="24"/>
        </w:rPr>
        <w:t>.</w:t>
      </w:r>
    </w:p>
    <w:p w:rsidR="007D1818" w:rsidRPr="009A49EF" w:rsidRDefault="007D1818" w:rsidP="007D1818">
      <w:pPr>
        <w:ind w:left="851" w:hanging="851"/>
        <w:rPr>
          <w:sz w:val="24"/>
          <w:szCs w:val="24"/>
        </w:rPr>
      </w:pPr>
    </w:p>
    <w:p w:rsidR="00D52548" w:rsidRPr="00D52548" w:rsidRDefault="00D52548" w:rsidP="00D52548">
      <w:pPr>
        <w:tabs>
          <w:tab w:val="left" w:pos="851"/>
        </w:tabs>
        <w:ind w:left="851" w:hanging="851"/>
        <w:rPr>
          <w:b/>
          <w:sz w:val="24"/>
          <w:szCs w:val="24"/>
        </w:rPr>
      </w:pPr>
      <w:r w:rsidRPr="00D52548">
        <w:rPr>
          <w:b/>
          <w:sz w:val="24"/>
          <w:szCs w:val="24"/>
        </w:rPr>
        <w:t>4.3</w:t>
      </w:r>
      <w:r w:rsidRPr="00D52548">
        <w:rPr>
          <w:b/>
          <w:sz w:val="24"/>
          <w:szCs w:val="24"/>
        </w:rPr>
        <w:tab/>
        <w:t>Kontraindikationer</w:t>
      </w:r>
    </w:p>
    <w:p w:rsidR="007D1818" w:rsidRPr="009A49EF" w:rsidRDefault="007D1818" w:rsidP="007D1818">
      <w:pPr>
        <w:numPr>
          <w:ilvl w:val="0"/>
          <w:numId w:val="8"/>
        </w:numPr>
        <w:ind w:left="1134" w:hanging="283"/>
        <w:rPr>
          <w:sz w:val="24"/>
          <w:szCs w:val="24"/>
        </w:rPr>
      </w:pPr>
      <w:r w:rsidRPr="009A49EF">
        <w:rPr>
          <w:sz w:val="24"/>
          <w:szCs w:val="24"/>
        </w:rPr>
        <w:t xml:space="preserve">Overfølsomhed over for det aktive stof, over for andre </w:t>
      </w:r>
      <w:proofErr w:type="spellStart"/>
      <w:r w:rsidRPr="009A49EF">
        <w:rPr>
          <w:sz w:val="24"/>
          <w:szCs w:val="24"/>
        </w:rPr>
        <w:t>cefalosporiner</w:t>
      </w:r>
      <w:proofErr w:type="spellEnd"/>
      <w:r w:rsidRPr="009A49EF">
        <w:rPr>
          <w:sz w:val="24"/>
          <w:szCs w:val="24"/>
        </w:rPr>
        <w:t xml:space="preserve"> eller over for et eller flere af hjælpestofferne anført i pkt. 6.1.</w:t>
      </w:r>
    </w:p>
    <w:p w:rsidR="007D1818" w:rsidRPr="009A49EF" w:rsidRDefault="007D1818" w:rsidP="007D1818">
      <w:pPr>
        <w:numPr>
          <w:ilvl w:val="0"/>
          <w:numId w:val="8"/>
        </w:numPr>
        <w:ind w:left="1134" w:hanging="283"/>
        <w:rPr>
          <w:sz w:val="24"/>
          <w:szCs w:val="24"/>
        </w:rPr>
      </w:pPr>
      <w:r w:rsidRPr="009A49EF">
        <w:rPr>
          <w:sz w:val="24"/>
          <w:szCs w:val="24"/>
        </w:rPr>
        <w:t xml:space="preserve">Tidligere, akut og/eller kraftig overfølsomhedsreaktion over for penicillin eller enhver anden type </w:t>
      </w:r>
      <w:proofErr w:type="spellStart"/>
      <w:r w:rsidRPr="009A49EF">
        <w:rPr>
          <w:sz w:val="24"/>
          <w:szCs w:val="24"/>
        </w:rPr>
        <w:t>betalaktam</w:t>
      </w:r>
      <w:proofErr w:type="spellEnd"/>
      <w:r w:rsidRPr="009A49EF">
        <w:rPr>
          <w:sz w:val="24"/>
          <w:szCs w:val="24"/>
        </w:rPr>
        <w:t>-antibiotikum.</w:t>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D1818" w:rsidRPr="009A49EF" w:rsidRDefault="007D1818" w:rsidP="007D1818">
      <w:pPr>
        <w:ind w:left="851" w:hanging="851"/>
        <w:rPr>
          <w:sz w:val="24"/>
          <w:szCs w:val="24"/>
        </w:rPr>
      </w:pPr>
      <w:r w:rsidRPr="009A49EF">
        <w:rPr>
          <w:sz w:val="24"/>
          <w:szCs w:val="24"/>
        </w:rPr>
        <w:tab/>
        <w:t xml:space="preserve">Som med andre antibiotika kan brugen af </w:t>
      </w:r>
      <w:proofErr w:type="spellStart"/>
      <w:r w:rsidRPr="009A49EF">
        <w:rPr>
          <w:sz w:val="24"/>
          <w:szCs w:val="24"/>
        </w:rPr>
        <w:t>cefotaxim</w:t>
      </w:r>
      <w:proofErr w:type="spellEnd"/>
      <w:r w:rsidRPr="009A49EF">
        <w:rPr>
          <w:sz w:val="24"/>
          <w:szCs w:val="24"/>
        </w:rPr>
        <w:t>, især over en længere periode, resultere i overvækst af ikke-følsomme organismer. Gentagen evaluering af patientens tilstand er væsentlig. Hvis der forekommer superinfektion under behandlingen, skal passende tiltag igangsættes.</w:t>
      </w:r>
    </w:p>
    <w:p w:rsidR="007D1818" w:rsidRPr="009A49EF" w:rsidRDefault="007D1818" w:rsidP="007D1818">
      <w:pPr>
        <w:ind w:left="851" w:hanging="851"/>
        <w:rPr>
          <w:sz w:val="24"/>
          <w:szCs w:val="24"/>
        </w:rPr>
      </w:pPr>
    </w:p>
    <w:p w:rsidR="007D1818" w:rsidRPr="009A49EF" w:rsidRDefault="007D1818" w:rsidP="00DA0041">
      <w:pPr>
        <w:numPr>
          <w:ilvl w:val="0"/>
          <w:numId w:val="9"/>
        </w:numPr>
        <w:ind w:left="1276" w:hanging="425"/>
        <w:rPr>
          <w:sz w:val="24"/>
          <w:szCs w:val="24"/>
        </w:rPr>
      </w:pPr>
      <w:proofErr w:type="spellStart"/>
      <w:r w:rsidRPr="009A49EF">
        <w:rPr>
          <w:sz w:val="24"/>
          <w:szCs w:val="24"/>
        </w:rPr>
        <w:t>Anafylaktiske</w:t>
      </w:r>
      <w:proofErr w:type="spellEnd"/>
      <w:r w:rsidRPr="009A49EF">
        <w:rPr>
          <w:sz w:val="24"/>
          <w:szCs w:val="24"/>
        </w:rPr>
        <w:t xml:space="preserve"> reaktioner</w:t>
      </w:r>
    </w:p>
    <w:p w:rsidR="007D1818" w:rsidRPr="009A49EF" w:rsidRDefault="007D1818" w:rsidP="00DA0041">
      <w:pPr>
        <w:ind w:left="1276"/>
        <w:rPr>
          <w:sz w:val="24"/>
          <w:szCs w:val="24"/>
        </w:rPr>
      </w:pPr>
      <w:r w:rsidRPr="009A49EF">
        <w:rPr>
          <w:sz w:val="24"/>
          <w:szCs w:val="24"/>
        </w:rPr>
        <w:t xml:space="preserve">Alvorlige, inklusive fatale overfølsomhedsreaktioner er blevet rapporteret hos patienter, der fik </w:t>
      </w:r>
      <w:proofErr w:type="spellStart"/>
      <w:r w:rsidRPr="009A49EF">
        <w:rPr>
          <w:sz w:val="24"/>
          <w:szCs w:val="24"/>
        </w:rPr>
        <w:t>cefotaxim</w:t>
      </w:r>
      <w:proofErr w:type="spellEnd"/>
      <w:r w:rsidRPr="009A49EF">
        <w:rPr>
          <w:sz w:val="24"/>
          <w:szCs w:val="24"/>
        </w:rPr>
        <w:t xml:space="preserve"> (se pkt. 4.3 og 4.8).</w:t>
      </w:r>
    </w:p>
    <w:p w:rsidR="007D1818" w:rsidRPr="009A49EF" w:rsidRDefault="007D1818" w:rsidP="00DA0041">
      <w:pPr>
        <w:ind w:left="1276"/>
        <w:rPr>
          <w:sz w:val="24"/>
          <w:szCs w:val="24"/>
        </w:rPr>
      </w:pPr>
      <w:r w:rsidRPr="009A49EF">
        <w:rPr>
          <w:sz w:val="24"/>
          <w:szCs w:val="24"/>
        </w:rPr>
        <w:t>Hvis der opstår en overfølsomhedsreaktion, skal behandlingen stoppes.</w:t>
      </w:r>
    </w:p>
    <w:p w:rsidR="007D1818" w:rsidRPr="009A49EF" w:rsidRDefault="007D1818" w:rsidP="00DA0041">
      <w:pPr>
        <w:ind w:left="1276"/>
        <w:rPr>
          <w:sz w:val="24"/>
          <w:szCs w:val="24"/>
        </w:rPr>
      </w:pPr>
      <w:r w:rsidRPr="009A49EF">
        <w:rPr>
          <w:sz w:val="24"/>
          <w:szCs w:val="24"/>
        </w:rPr>
        <w:t xml:space="preserve">Da der findes krydsallergi mellem penicilliner og </w:t>
      </w:r>
      <w:proofErr w:type="spellStart"/>
      <w:r w:rsidRPr="009A49EF">
        <w:rPr>
          <w:sz w:val="24"/>
          <w:szCs w:val="24"/>
        </w:rPr>
        <w:t>cefalosporiner</w:t>
      </w:r>
      <w:proofErr w:type="spellEnd"/>
      <w:r w:rsidRPr="009A49EF">
        <w:rPr>
          <w:sz w:val="24"/>
          <w:szCs w:val="24"/>
        </w:rPr>
        <w:t>, skal brugen af sidstnævnte foretages med forsigtighed hos penicillinfølsomme patienter (for kontraindikationer, se pkt. 4.3).</w:t>
      </w:r>
    </w:p>
    <w:p w:rsidR="007D1818" w:rsidRPr="009A49EF" w:rsidRDefault="007D1818" w:rsidP="007D1818">
      <w:pPr>
        <w:ind w:left="1134" w:hanging="283"/>
        <w:rPr>
          <w:sz w:val="24"/>
          <w:szCs w:val="24"/>
        </w:rPr>
      </w:pPr>
    </w:p>
    <w:p w:rsidR="00717C37" w:rsidRDefault="00717C37" w:rsidP="00717C37">
      <w:pPr>
        <w:numPr>
          <w:ilvl w:val="0"/>
          <w:numId w:val="12"/>
        </w:numPr>
        <w:ind w:left="1276" w:hanging="425"/>
        <w:rPr>
          <w:sz w:val="24"/>
          <w:szCs w:val="24"/>
        </w:rPr>
      </w:pPr>
      <w:r>
        <w:rPr>
          <w:sz w:val="24"/>
          <w:szCs w:val="24"/>
        </w:rPr>
        <w:t>Svære hudreaktioner</w:t>
      </w:r>
    </w:p>
    <w:p w:rsidR="00717C37" w:rsidRDefault="00717C37" w:rsidP="00DA0041">
      <w:pPr>
        <w:ind w:left="1276"/>
        <w:rPr>
          <w:sz w:val="24"/>
          <w:szCs w:val="24"/>
        </w:rPr>
      </w:pPr>
      <w:r>
        <w:rPr>
          <w:sz w:val="24"/>
          <w:szCs w:val="24"/>
        </w:rPr>
        <w:t xml:space="preserve">Svære </w:t>
      </w:r>
      <w:proofErr w:type="spellStart"/>
      <w:r>
        <w:rPr>
          <w:sz w:val="24"/>
          <w:szCs w:val="24"/>
        </w:rPr>
        <w:t>kutane</w:t>
      </w:r>
      <w:proofErr w:type="spellEnd"/>
      <w:r>
        <w:rPr>
          <w:sz w:val="24"/>
          <w:szCs w:val="24"/>
        </w:rPr>
        <w:t xml:space="preserve"> bivirkninger, herunder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(DRESS), som kan være livstruende eller dødelige, er blevet indberettet efter markedsføring i forbindelse med behandling med </w:t>
      </w:r>
      <w:proofErr w:type="spellStart"/>
      <w:r>
        <w:rPr>
          <w:sz w:val="24"/>
          <w:szCs w:val="24"/>
        </w:rPr>
        <w:t>cefotaxim</w:t>
      </w:r>
      <w:proofErr w:type="spellEnd"/>
      <w:r>
        <w:rPr>
          <w:sz w:val="24"/>
          <w:szCs w:val="24"/>
        </w:rPr>
        <w:t>.</w:t>
      </w:r>
    </w:p>
    <w:p w:rsidR="00717C37" w:rsidRDefault="00717C37" w:rsidP="00DA0041">
      <w:pPr>
        <w:ind w:left="1276"/>
        <w:rPr>
          <w:sz w:val="24"/>
          <w:szCs w:val="24"/>
        </w:rPr>
      </w:pPr>
      <w:r>
        <w:rPr>
          <w:sz w:val="24"/>
          <w:szCs w:val="24"/>
        </w:rPr>
        <w:t>På tidspunktet for ordinering bør patienterne informeres om tegn og symptomer på hudreaktioner.</w:t>
      </w:r>
    </w:p>
    <w:p w:rsidR="00717C37" w:rsidRDefault="00717C37" w:rsidP="00DA0041">
      <w:pPr>
        <w:ind w:left="1276"/>
        <w:rPr>
          <w:sz w:val="24"/>
          <w:szCs w:val="24"/>
        </w:rPr>
      </w:pPr>
      <w:r>
        <w:rPr>
          <w:sz w:val="24"/>
          <w:szCs w:val="24"/>
        </w:rPr>
        <w:t xml:space="preserve">Hvis der opstår tegn og symptomer, som kan tyde på disse reaktioner, bør </w:t>
      </w:r>
      <w:proofErr w:type="spellStart"/>
      <w:r>
        <w:rPr>
          <w:sz w:val="24"/>
          <w:szCs w:val="24"/>
        </w:rPr>
        <w:t>cefotaxim</w:t>
      </w:r>
      <w:proofErr w:type="spellEnd"/>
      <w:r>
        <w:rPr>
          <w:sz w:val="24"/>
          <w:szCs w:val="24"/>
        </w:rPr>
        <w:t xml:space="preserve"> straks seponeres. Hvis patienten har udviklet AGEP, SJS, TEN eller DRESS ved anvendelse af </w:t>
      </w:r>
      <w:proofErr w:type="spellStart"/>
      <w:r>
        <w:rPr>
          <w:sz w:val="24"/>
          <w:szCs w:val="24"/>
        </w:rPr>
        <w:t>cefotaxim</w:t>
      </w:r>
      <w:proofErr w:type="spellEnd"/>
      <w:r>
        <w:rPr>
          <w:sz w:val="24"/>
          <w:szCs w:val="24"/>
        </w:rPr>
        <w:t xml:space="preserve">, må behandling med </w:t>
      </w:r>
      <w:proofErr w:type="spellStart"/>
      <w:r>
        <w:rPr>
          <w:sz w:val="24"/>
          <w:szCs w:val="24"/>
        </w:rPr>
        <w:t>cefotaxim</w:t>
      </w:r>
      <w:proofErr w:type="spellEnd"/>
      <w:r>
        <w:rPr>
          <w:sz w:val="24"/>
          <w:szCs w:val="24"/>
        </w:rPr>
        <w:t xml:space="preserve"> ikke genoptages og bør seponeres permanent.</w:t>
      </w:r>
    </w:p>
    <w:p w:rsidR="00717C37" w:rsidRDefault="00717C37" w:rsidP="00DA0041">
      <w:pPr>
        <w:ind w:left="1276"/>
        <w:rPr>
          <w:sz w:val="24"/>
          <w:szCs w:val="24"/>
        </w:rPr>
      </w:pPr>
      <w:r>
        <w:rPr>
          <w:sz w:val="24"/>
          <w:szCs w:val="24"/>
        </w:rPr>
        <w:t xml:space="preserve">Hos børn kan forekomsten af et udslæt forveksles med den underliggende infektion eller en anden infektionsproces. Læger bør overveje, om der er tale om en reaktion på </w:t>
      </w:r>
      <w:proofErr w:type="spellStart"/>
      <w:r>
        <w:rPr>
          <w:sz w:val="24"/>
          <w:szCs w:val="24"/>
        </w:rPr>
        <w:t>cefotaxim</w:t>
      </w:r>
      <w:proofErr w:type="spellEnd"/>
      <w:r>
        <w:rPr>
          <w:sz w:val="24"/>
          <w:szCs w:val="24"/>
        </w:rPr>
        <w:t xml:space="preserve"> hos børn, der udvikler symptomer på udslæt og feber under behandling med </w:t>
      </w:r>
      <w:proofErr w:type="spellStart"/>
      <w:r>
        <w:rPr>
          <w:sz w:val="24"/>
          <w:szCs w:val="24"/>
        </w:rPr>
        <w:t>cefotaxim</w:t>
      </w:r>
      <w:proofErr w:type="spellEnd"/>
      <w:r>
        <w:rPr>
          <w:sz w:val="24"/>
          <w:szCs w:val="24"/>
        </w:rPr>
        <w:t>.</w:t>
      </w:r>
    </w:p>
    <w:p w:rsidR="007D1818" w:rsidRPr="009A49EF" w:rsidRDefault="007D1818" w:rsidP="00DA0041">
      <w:pPr>
        <w:ind w:left="1134"/>
        <w:rPr>
          <w:sz w:val="24"/>
          <w:szCs w:val="24"/>
        </w:rPr>
      </w:pPr>
    </w:p>
    <w:p w:rsidR="007D1818" w:rsidRPr="009A49EF" w:rsidRDefault="007D1818" w:rsidP="00DA0041">
      <w:pPr>
        <w:numPr>
          <w:ilvl w:val="0"/>
          <w:numId w:val="9"/>
        </w:numPr>
        <w:ind w:left="1276" w:hanging="425"/>
        <w:rPr>
          <w:sz w:val="24"/>
          <w:szCs w:val="24"/>
        </w:rPr>
      </w:pPr>
      <w:proofErr w:type="spellStart"/>
      <w:r w:rsidRPr="009A49EF">
        <w:rPr>
          <w:i/>
          <w:sz w:val="24"/>
          <w:szCs w:val="24"/>
        </w:rPr>
        <w:t>Clostridium</w:t>
      </w:r>
      <w:proofErr w:type="spellEnd"/>
      <w:r w:rsidRPr="009A49EF">
        <w:rPr>
          <w:i/>
          <w:sz w:val="24"/>
          <w:szCs w:val="24"/>
        </w:rPr>
        <w:t xml:space="preserve"> difficile-</w:t>
      </w:r>
      <w:r w:rsidRPr="009A49EF">
        <w:rPr>
          <w:sz w:val="24"/>
          <w:szCs w:val="24"/>
        </w:rPr>
        <w:t xml:space="preserve">relateret sygdom (f.eks. </w:t>
      </w:r>
      <w:proofErr w:type="spellStart"/>
      <w:r w:rsidRPr="009A49EF">
        <w:rPr>
          <w:sz w:val="24"/>
          <w:szCs w:val="24"/>
        </w:rPr>
        <w:t>pseudomembranøs</w:t>
      </w:r>
      <w:proofErr w:type="spellEnd"/>
      <w:r w:rsidRPr="009A49EF">
        <w:rPr>
          <w:sz w:val="24"/>
          <w:szCs w:val="24"/>
        </w:rPr>
        <w:t xml:space="preserve"> colitis)</w:t>
      </w:r>
    </w:p>
    <w:p w:rsidR="007D1818" w:rsidRPr="009A49EF" w:rsidRDefault="007D1818" w:rsidP="00DA0041">
      <w:pPr>
        <w:ind w:left="1276"/>
        <w:rPr>
          <w:sz w:val="24"/>
          <w:szCs w:val="24"/>
        </w:rPr>
      </w:pPr>
      <w:proofErr w:type="spellStart"/>
      <w:r w:rsidRPr="009A49EF">
        <w:rPr>
          <w:sz w:val="24"/>
          <w:szCs w:val="24"/>
        </w:rPr>
        <w:t>Diaré</w:t>
      </w:r>
      <w:proofErr w:type="spellEnd"/>
      <w:r w:rsidRPr="009A49EF">
        <w:rPr>
          <w:sz w:val="24"/>
          <w:szCs w:val="24"/>
        </w:rPr>
        <w:t xml:space="preserve">, der opstår under behandlingen eller i de første uger efter behandlingen, kan, især hvis den er svær og/eller vedvarende, være symptomatisk for </w:t>
      </w:r>
      <w:proofErr w:type="spellStart"/>
      <w:r w:rsidRPr="009A49EF">
        <w:rPr>
          <w:i/>
          <w:sz w:val="24"/>
          <w:szCs w:val="24"/>
        </w:rPr>
        <w:t>Clostridium</w:t>
      </w:r>
      <w:proofErr w:type="spellEnd"/>
      <w:r w:rsidRPr="009A49EF">
        <w:rPr>
          <w:i/>
          <w:sz w:val="24"/>
          <w:szCs w:val="24"/>
        </w:rPr>
        <w:t xml:space="preserve"> difficile-</w:t>
      </w:r>
      <w:r w:rsidRPr="009A49EF">
        <w:rPr>
          <w:sz w:val="24"/>
          <w:szCs w:val="24"/>
        </w:rPr>
        <w:t xml:space="preserve">relateret sygdom (CDAD). CDAD kan variere i sværhedsgrad fra mild til livstruende. Den sværeste form er </w:t>
      </w:r>
      <w:proofErr w:type="spellStart"/>
      <w:r w:rsidRPr="009A49EF">
        <w:rPr>
          <w:sz w:val="24"/>
          <w:szCs w:val="24"/>
        </w:rPr>
        <w:t>pseudomembranøs</w:t>
      </w:r>
      <w:proofErr w:type="spellEnd"/>
      <w:r w:rsidRPr="009A49EF">
        <w:rPr>
          <w:sz w:val="24"/>
          <w:szCs w:val="24"/>
        </w:rPr>
        <w:t xml:space="preserve"> colitis.</w:t>
      </w:r>
    </w:p>
    <w:p w:rsidR="007D1818" w:rsidRPr="009A49EF" w:rsidRDefault="007D1818" w:rsidP="00DA0041">
      <w:pPr>
        <w:ind w:left="1276"/>
        <w:rPr>
          <w:sz w:val="24"/>
          <w:szCs w:val="24"/>
        </w:rPr>
      </w:pPr>
      <w:r w:rsidRPr="009A49EF">
        <w:rPr>
          <w:sz w:val="24"/>
          <w:szCs w:val="24"/>
        </w:rPr>
        <w:t>Diagnosen på denne sjældne, men potentielt fatale tilstand kan bekræftes ved endoskopi og/eller histologi.</w:t>
      </w:r>
    </w:p>
    <w:p w:rsidR="007D1818" w:rsidRPr="009A49EF" w:rsidRDefault="007D1818" w:rsidP="00DA0041">
      <w:pPr>
        <w:ind w:left="1276"/>
        <w:rPr>
          <w:sz w:val="24"/>
          <w:szCs w:val="24"/>
        </w:rPr>
      </w:pPr>
      <w:r w:rsidRPr="009A49EF">
        <w:rPr>
          <w:sz w:val="24"/>
          <w:szCs w:val="24"/>
        </w:rPr>
        <w:t xml:space="preserve">Det er vigtigt at overveje denne diagnose hos patienter, som får </w:t>
      </w:r>
      <w:proofErr w:type="spellStart"/>
      <w:r w:rsidRPr="009A49EF">
        <w:rPr>
          <w:sz w:val="24"/>
          <w:szCs w:val="24"/>
        </w:rPr>
        <w:t>diaré</w:t>
      </w:r>
      <w:proofErr w:type="spellEnd"/>
      <w:r w:rsidRPr="009A49EF">
        <w:rPr>
          <w:sz w:val="24"/>
          <w:szCs w:val="24"/>
        </w:rPr>
        <w:t xml:space="preserve"> under eller efter administration af </w:t>
      </w:r>
      <w:proofErr w:type="spellStart"/>
      <w:r w:rsidRPr="009A49EF">
        <w:rPr>
          <w:sz w:val="24"/>
          <w:szCs w:val="24"/>
        </w:rPr>
        <w:t>cefotaxim</w:t>
      </w:r>
      <w:proofErr w:type="spellEnd"/>
      <w:r w:rsidRPr="009A49EF">
        <w:rPr>
          <w:sz w:val="24"/>
          <w:szCs w:val="24"/>
        </w:rPr>
        <w:t>.</w:t>
      </w:r>
    </w:p>
    <w:p w:rsidR="007D1818" w:rsidRPr="009A49EF" w:rsidRDefault="007D1818" w:rsidP="00DA0041">
      <w:pPr>
        <w:ind w:left="1276"/>
        <w:rPr>
          <w:sz w:val="24"/>
          <w:szCs w:val="24"/>
        </w:rPr>
      </w:pPr>
      <w:r w:rsidRPr="009A49EF">
        <w:rPr>
          <w:sz w:val="24"/>
          <w:szCs w:val="24"/>
        </w:rPr>
        <w:t xml:space="preserve">Hvis der er mistanke om </w:t>
      </w:r>
      <w:proofErr w:type="spellStart"/>
      <w:r w:rsidRPr="009A49EF">
        <w:rPr>
          <w:sz w:val="24"/>
          <w:szCs w:val="24"/>
        </w:rPr>
        <w:t>pseudomembranøs</w:t>
      </w:r>
      <w:proofErr w:type="spellEnd"/>
      <w:r w:rsidRPr="009A49EF">
        <w:rPr>
          <w:sz w:val="24"/>
          <w:szCs w:val="24"/>
        </w:rPr>
        <w:t xml:space="preserve"> colitis, skal </w:t>
      </w:r>
      <w:proofErr w:type="spellStart"/>
      <w:r w:rsidRPr="009A49EF">
        <w:rPr>
          <w:sz w:val="24"/>
          <w:szCs w:val="24"/>
        </w:rPr>
        <w:t>cefotaxim</w:t>
      </w:r>
      <w:proofErr w:type="spellEnd"/>
      <w:r w:rsidRPr="009A49EF">
        <w:rPr>
          <w:sz w:val="24"/>
          <w:szCs w:val="24"/>
        </w:rPr>
        <w:t xml:space="preserve"> straks stoppes, og der skal iværksættes velegnet specifik antibiotisk behandling med det samme.</w:t>
      </w:r>
    </w:p>
    <w:p w:rsidR="007D1818" w:rsidRPr="009A49EF" w:rsidRDefault="007D1818" w:rsidP="00DA0041">
      <w:pPr>
        <w:ind w:left="1276"/>
        <w:rPr>
          <w:sz w:val="24"/>
          <w:szCs w:val="24"/>
        </w:rPr>
      </w:pPr>
      <w:proofErr w:type="spellStart"/>
      <w:r w:rsidRPr="009A49EF">
        <w:rPr>
          <w:i/>
          <w:sz w:val="24"/>
          <w:szCs w:val="24"/>
        </w:rPr>
        <w:t>Clostridium</w:t>
      </w:r>
      <w:proofErr w:type="spellEnd"/>
      <w:r w:rsidRPr="009A49EF">
        <w:rPr>
          <w:i/>
          <w:sz w:val="24"/>
          <w:szCs w:val="24"/>
        </w:rPr>
        <w:t xml:space="preserve"> difficile-</w:t>
      </w:r>
      <w:r w:rsidRPr="009A49EF">
        <w:rPr>
          <w:sz w:val="24"/>
          <w:szCs w:val="24"/>
        </w:rPr>
        <w:t>relateret sygdom kan fremmes af fækal stase.</w:t>
      </w:r>
    </w:p>
    <w:p w:rsidR="007D1818" w:rsidRPr="009A49EF" w:rsidRDefault="007D1818" w:rsidP="00DA0041">
      <w:pPr>
        <w:ind w:left="1276"/>
        <w:rPr>
          <w:sz w:val="24"/>
          <w:szCs w:val="24"/>
        </w:rPr>
      </w:pPr>
      <w:r w:rsidRPr="009A49EF">
        <w:rPr>
          <w:sz w:val="24"/>
          <w:szCs w:val="24"/>
        </w:rPr>
        <w:t>Der må ikke gives lægemidler, der hæmmer peristaltikken.</w:t>
      </w:r>
    </w:p>
    <w:p w:rsidR="007D1818" w:rsidRPr="009A49EF" w:rsidRDefault="007D1818" w:rsidP="00DA0041">
      <w:pPr>
        <w:ind w:left="1276"/>
        <w:rPr>
          <w:sz w:val="24"/>
          <w:szCs w:val="24"/>
        </w:rPr>
      </w:pPr>
    </w:p>
    <w:p w:rsidR="007D1818" w:rsidRPr="009A49EF" w:rsidRDefault="007D1818" w:rsidP="00DA0041">
      <w:pPr>
        <w:numPr>
          <w:ilvl w:val="0"/>
          <w:numId w:val="9"/>
        </w:numPr>
        <w:ind w:left="1276" w:hanging="425"/>
        <w:rPr>
          <w:sz w:val="24"/>
          <w:szCs w:val="24"/>
        </w:rPr>
      </w:pPr>
      <w:r w:rsidRPr="009A49EF">
        <w:rPr>
          <w:sz w:val="24"/>
          <w:szCs w:val="24"/>
        </w:rPr>
        <w:t>Hæmatologiske reaktioner</w:t>
      </w:r>
    </w:p>
    <w:p w:rsidR="007D1818" w:rsidRPr="009A49EF" w:rsidRDefault="007D1818" w:rsidP="00DA0041">
      <w:pPr>
        <w:ind w:left="1276"/>
        <w:rPr>
          <w:sz w:val="24"/>
          <w:szCs w:val="24"/>
        </w:rPr>
      </w:pPr>
      <w:r w:rsidRPr="009A49EF">
        <w:rPr>
          <w:sz w:val="24"/>
          <w:szCs w:val="24"/>
        </w:rPr>
        <w:t xml:space="preserve">Der kan udvikles </w:t>
      </w:r>
      <w:proofErr w:type="spellStart"/>
      <w:r w:rsidRPr="009A49EF">
        <w:rPr>
          <w:sz w:val="24"/>
          <w:szCs w:val="24"/>
        </w:rPr>
        <w:t>leukopeni</w:t>
      </w:r>
      <w:proofErr w:type="spellEnd"/>
      <w:r w:rsidRPr="009A49EF">
        <w:rPr>
          <w:sz w:val="24"/>
          <w:szCs w:val="24"/>
        </w:rPr>
        <w:t xml:space="preserve">, </w:t>
      </w:r>
      <w:proofErr w:type="spellStart"/>
      <w:r w:rsidRPr="009A49EF">
        <w:rPr>
          <w:sz w:val="24"/>
          <w:szCs w:val="24"/>
        </w:rPr>
        <w:t>neutropeni</w:t>
      </w:r>
      <w:proofErr w:type="spellEnd"/>
      <w:r w:rsidRPr="009A49EF">
        <w:rPr>
          <w:sz w:val="24"/>
          <w:szCs w:val="24"/>
        </w:rPr>
        <w:t xml:space="preserve"> og i sjældnere tilfælde </w:t>
      </w:r>
      <w:proofErr w:type="spellStart"/>
      <w:r w:rsidRPr="009A49EF">
        <w:rPr>
          <w:sz w:val="24"/>
          <w:szCs w:val="24"/>
        </w:rPr>
        <w:t>agranulocytose</w:t>
      </w:r>
      <w:proofErr w:type="spellEnd"/>
      <w:r w:rsidRPr="009A49EF">
        <w:rPr>
          <w:sz w:val="24"/>
          <w:szCs w:val="24"/>
        </w:rPr>
        <w:t xml:space="preserve"> under behandling med </w:t>
      </w:r>
      <w:proofErr w:type="spellStart"/>
      <w:r w:rsidRPr="009A49EF">
        <w:rPr>
          <w:sz w:val="24"/>
          <w:szCs w:val="24"/>
        </w:rPr>
        <w:t>cefotaxim</w:t>
      </w:r>
      <w:proofErr w:type="spellEnd"/>
      <w:r w:rsidRPr="009A49EF">
        <w:rPr>
          <w:sz w:val="24"/>
          <w:szCs w:val="24"/>
        </w:rPr>
        <w:t xml:space="preserve">, særligt hvis det gives over længere perioder. Ved behandlingsforløb, der varer mere end 7-10 dage, skal leukocyttallet monitoreres, og behandlingen skal stoppes i tilfælde af </w:t>
      </w:r>
      <w:proofErr w:type="spellStart"/>
      <w:r w:rsidRPr="009A49EF">
        <w:rPr>
          <w:sz w:val="24"/>
          <w:szCs w:val="24"/>
        </w:rPr>
        <w:t>neutropeni</w:t>
      </w:r>
      <w:proofErr w:type="spellEnd"/>
      <w:r w:rsidRPr="009A49EF">
        <w:rPr>
          <w:sz w:val="24"/>
          <w:szCs w:val="24"/>
        </w:rPr>
        <w:t>.</w:t>
      </w:r>
      <w:r w:rsidRPr="009A49EF">
        <w:rPr>
          <w:sz w:val="24"/>
          <w:szCs w:val="24"/>
        </w:rPr>
        <w:br/>
        <w:t xml:space="preserve">Der er rapporteret om tilfælde af </w:t>
      </w:r>
      <w:proofErr w:type="spellStart"/>
      <w:r w:rsidRPr="009A49EF">
        <w:rPr>
          <w:sz w:val="24"/>
          <w:szCs w:val="24"/>
        </w:rPr>
        <w:t>eosinofili</w:t>
      </w:r>
      <w:proofErr w:type="spellEnd"/>
      <w:r w:rsidRPr="009A49EF">
        <w:rPr>
          <w:sz w:val="24"/>
          <w:szCs w:val="24"/>
        </w:rPr>
        <w:t xml:space="preserve"> og </w:t>
      </w:r>
      <w:proofErr w:type="spellStart"/>
      <w:r w:rsidRPr="009A49EF">
        <w:rPr>
          <w:sz w:val="24"/>
          <w:szCs w:val="24"/>
        </w:rPr>
        <w:t>trombocytopeni</w:t>
      </w:r>
      <w:proofErr w:type="spellEnd"/>
      <w:r w:rsidRPr="009A49EF">
        <w:rPr>
          <w:sz w:val="24"/>
          <w:szCs w:val="24"/>
        </w:rPr>
        <w:t xml:space="preserve">, som hurtigt blev reverseret efter endt behandling. Der er også rapporteret om tilfælde af </w:t>
      </w:r>
      <w:proofErr w:type="spellStart"/>
      <w:r w:rsidRPr="009A49EF">
        <w:rPr>
          <w:sz w:val="24"/>
          <w:szCs w:val="24"/>
        </w:rPr>
        <w:t>hæmolytisk</w:t>
      </w:r>
      <w:proofErr w:type="spellEnd"/>
      <w:r w:rsidRPr="009A49EF">
        <w:rPr>
          <w:sz w:val="24"/>
          <w:szCs w:val="24"/>
        </w:rPr>
        <w:t xml:space="preserve"> anæmi (se pkt. 4.8).</w:t>
      </w:r>
    </w:p>
    <w:p w:rsidR="007D1818" w:rsidRPr="009A49EF" w:rsidRDefault="007D1818" w:rsidP="00DA0041">
      <w:pPr>
        <w:ind w:left="1276"/>
        <w:rPr>
          <w:sz w:val="24"/>
          <w:szCs w:val="24"/>
        </w:rPr>
      </w:pPr>
    </w:p>
    <w:p w:rsidR="007D1818" w:rsidRPr="009A49EF" w:rsidRDefault="007D1818" w:rsidP="00DA0041">
      <w:pPr>
        <w:numPr>
          <w:ilvl w:val="0"/>
          <w:numId w:val="9"/>
        </w:numPr>
        <w:ind w:left="1276" w:hanging="425"/>
        <w:rPr>
          <w:sz w:val="24"/>
          <w:szCs w:val="24"/>
        </w:rPr>
      </w:pPr>
      <w:r w:rsidRPr="009A49EF">
        <w:rPr>
          <w:sz w:val="24"/>
          <w:szCs w:val="24"/>
        </w:rPr>
        <w:t>Patienter med nedsat nyrefunktion</w:t>
      </w:r>
    </w:p>
    <w:p w:rsidR="007D1818" w:rsidRPr="007B1A24" w:rsidRDefault="007D1818" w:rsidP="00DA0041">
      <w:pPr>
        <w:ind w:left="1276"/>
        <w:rPr>
          <w:sz w:val="24"/>
          <w:szCs w:val="24"/>
        </w:rPr>
      </w:pPr>
      <w:r w:rsidRPr="007B1A24">
        <w:rPr>
          <w:sz w:val="24"/>
          <w:szCs w:val="24"/>
        </w:rPr>
        <w:t xml:space="preserve">Doseringen skal justeres i henhold til den beregnede </w:t>
      </w:r>
      <w:proofErr w:type="spellStart"/>
      <w:r w:rsidRPr="007B1A24">
        <w:rPr>
          <w:sz w:val="24"/>
          <w:szCs w:val="24"/>
        </w:rPr>
        <w:t>kreatininclearance</w:t>
      </w:r>
      <w:proofErr w:type="spellEnd"/>
      <w:r>
        <w:rPr>
          <w:sz w:val="24"/>
          <w:szCs w:val="24"/>
        </w:rPr>
        <w:t xml:space="preserve"> </w:t>
      </w:r>
      <w:r w:rsidRPr="007B1A24">
        <w:rPr>
          <w:sz w:val="24"/>
          <w:szCs w:val="24"/>
        </w:rPr>
        <w:t>(se pkt. 4.</w:t>
      </w:r>
      <w:r>
        <w:rPr>
          <w:sz w:val="24"/>
          <w:szCs w:val="24"/>
        </w:rPr>
        <w:t>2</w:t>
      </w:r>
      <w:r w:rsidRPr="007B1A24">
        <w:rPr>
          <w:sz w:val="24"/>
          <w:szCs w:val="24"/>
        </w:rPr>
        <w:t>).</w:t>
      </w:r>
    </w:p>
    <w:p w:rsidR="007D1818" w:rsidRPr="009A49EF" w:rsidRDefault="007D1818" w:rsidP="00DA0041">
      <w:pPr>
        <w:ind w:left="1276"/>
        <w:rPr>
          <w:sz w:val="24"/>
          <w:szCs w:val="24"/>
        </w:rPr>
      </w:pPr>
      <w:r w:rsidRPr="007B1A24">
        <w:rPr>
          <w:sz w:val="24"/>
          <w:szCs w:val="24"/>
        </w:rPr>
        <w:t xml:space="preserve">Der skal udvises forsigtighed, hvis </w:t>
      </w:r>
      <w:proofErr w:type="spellStart"/>
      <w:r w:rsidRPr="007B1A24">
        <w:rPr>
          <w:sz w:val="24"/>
          <w:szCs w:val="24"/>
        </w:rPr>
        <w:t>cefotaxim</w:t>
      </w:r>
      <w:proofErr w:type="spellEnd"/>
      <w:r w:rsidRPr="007B1A24">
        <w:rPr>
          <w:sz w:val="24"/>
          <w:szCs w:val="24"/>
        </w:rPr>
        <w:t xml:space="preserve"> administreres sammen med aminoglykosider</w:t>
      </w:r>
      <w:r>
        <w:rPr>
          <w:sz w:val="24"/>
          <w:szCs w:val="24"/>
        </w:rPr>
        <w:t xml:space="preserve">, </w:t>
      </w:r>
      <w:proofErr w:type="spellStart"/>
      <w:r>
        <w:rPr>
          <w:sz w:val="24"/>
          <w:szCs w:val="24"/>
        </w:rPr>
        <w:t>p</w:t>
      </w:r>
      <w:r w:rsidRPr="007B1A24">
        <w:rPr>
          <w:sz w:val="24"/>
          <w:szCs w:val="24"/>
        </w:rPr>
        <w:t>robenecid</w:t>
      </w:r>
      <w:proofErr w:type="spellEnd"/>
      <w:r w:rsidRPr="007B1A24">
        <w:rPr>
          <w:sz w:val="24"/>
          <w:szCs w:val="24"/>
        </w:rPr>
        <w:t xml:space="preserve"> eller andre </w:t>
      </w:r>
      <w:proofErr w:type="spellStart"/>
      <w:r w:rsidRPr="007B1A24">
        <w:rPr>
          <w:sz w:val="24"/>
          <w:szCs w:val="24"/>
        </w:rPr>
        <w:t>nefrotoksiske</w:t>
      </w:r>
      <w:proofErr w:type="spellEnd"/>
      <w:r w:rsidRPr="007B1A24">
        <w:rPr>
          <w:sz w:val="24"/>
          <w:szCs w:val="24"/>
        </w:rPr>
        <w:t xml:space="preserve"> lægemidler (se pkt. 4.5).</w:t>
      </w:r>
      <w:r w:rsidRPr="009A49EF">
        <w:rPr>
          <w:sz w:val="24"/>
          <w:szCs w:val="24"/>
        </w:rPr>
        <w:t xml:space="preserve"> Nyrefunktionen skal monitoreres hos disse patienter, hos ældre og hos patienter med eksisterende nyreinsufficiens.</w:t>
      </w:r>
    </w:p>
    <w:p w:rsidR="007D1818" w:rsidRPr="009A49EF" w:rsidRDefault="007D1818" w:rsidP="00DA0041">
      <w:pPr>
        <w:ind w:left="1276"/>
        <w:rPr>
          <w:sz w:val="24"/>
          <w:szCs w:val="24"/>
        </w:rPr>
      </w:pPr>
    </w:p>
    <w:p w:rsidR="007D1818" w:rsidRPr="009A49EF" w:rsidRDefault="007D1818" w:rsidP="00DA0041">
      <w:pPr>
        <w:numPr>
          <w:ilvl w:val="0"/>
          <w:numId w:val="9"/>
        </w:numPr>
        <w:ind w:left="1276" w:hanging="425"/>
        <w:rPr>
          <w:sz w:val="24"/>
          <w:szCs w:val="24"/>
        </w:rPr>
      </w:pPr>
      <w:proofErr w:type="spellStart"/>
      <w:r w:rsidRPr="009A49EF">
        <w:rPr>
          <w:sz w:val="24"/>
          <w:szCs w:val="24"/>
        </w:rPr>
        <w:t>Neurotoksicitet</w:t>
      </w:r>
      <w:proofErr w:type="spellEnd"/>
    </w:p>
    <w:p w:rsidR="007D1818" w:rsidRPr="009A49EF" w:rsidRDefault="007D1818" w:rsidP="00DA0041">
      <w:pPr>
        <w:ind w:left="1276"/>
        <w:rPr>
          <w:sz w:val="24"/>
          <w:szCs w:val="24"/>
        </w:rPr>
      </w:pPr>
      <w:r w:rsidRPr="009A49EF">
        <w:rPr>
          <w:sz w:val="24"/>
          <w:szCs w:val="24"/>
        </w:rPr>
        <w:t xml:space="preserve">Høje doser af </w:t>
      </w:r>
      <w:proofErr w:type="spellStart"/>
      <w:r w:rsidRPr="009A49EF">
        <w:rPr>
          <w:sz w:val="24"/>
          <w:szCs w:val="24"/>
        </w:rPr>
        <w:t>betalaktam</w:t>
      </w:r>
      <w:proofErr w:type="spellEnd"/>
      <w:r w:rsidRPr="009A49EF">
        <w:rPr>
          <w:sz w:val="24"/>
          <w:szCs w:val="24"/>
        </w:rPr>
        <w:t xml:space="preserve">-antibiotika, inklusive </w:t>
      </w:r>
      <w:proofErr w:type="spellStart"/>
      <w:r w:rsidRPr="009A49EF">
        <w:rPr>
          <w:sz w:val="24"/>
          <w:szCs w:val="24"/>
        </w:rPr>
        <w:t>cefotaxim</w:t>
      </w:r>
      <w:proofErr w:type="spellEnd"/>
      <w:r w:rsidRPr="009A49EF">
        <w:rPr>
          <w:sz w:val="24"/>
          <w:szCs w:val="24"/>
        </w:rPr>
        <w:t>, kan resultere i encefalopati (f.eks. nedsat bevidsthedsniveau, abnorme bevægelser og krampeanfald), især hos patienter med nyreinsufficiens (se pkt. 4.8).</w:t>
      </w:r>
    </w:p>
    <w:p w:rsidR="007D1818" w:rsidRPr="009A49EF" w:rsidRDefault="007D1818" w:rsidP="00DA0041">
      <w:pPr>
        <w:ind w:left="1276"/>
        <w:rPr>
          <w:sz w:val="24"/>
          <w:szCs w:val="24"/>
        </w:rPr>
      </w:pPr>
      <w:r w:rsidRPr="009A49EF">
        <w:rPr>
          <w:sz w:val="24"/>
          <w:szCs w:val="24"/>
        </w:rPr>
        <w:t>Patienterne skal rådes til straks at kontakte deres læge, inden behandlingen fortsættes, hvis sådanne reaktioner opstår.</w:t>
      </w:r>
    </w:p>
    <w:p w:rsidR="007D1818" w:rsidRPr="009A49EF" w:rsidRDefault="007D1818" w:rsidP="00DA0041">
      <w:pPr>
        <w:ind w:left="1276"/>
        <w:rPr>
          <w:sz w:val="24"/>
          <w:szCs w:val="24"/>
        </w:rPr>
      </w:pPr>
      <w:r w:rsidRPr="009A49EF">
        <w:rPr>
          <w:sz w:val="24"/>
          <w:szCs w:val="24"/>
        </w:rPr>
        <w:t xml:space="preserve">Brugen af </w:t>
      </w:r>
      <w:proofErr w:type="spellStart"/>
      <w:r w:rsidRPr="009A49EF">
        <w:rPr>
          <w:sz w:val="24"/>
          <w:szCs w:val="24"/>
        </w:rPr>
        <w:t>cefotaxim</w:t>
      </w:r>
      <w:proofErr w:type="spellEnd"/>
      <w:r w:rsidRPr="009A49EF">
        <w:rPr>
          <w:sz w:val="24"/>
          <w:szCs w:val="24"/>
        </w:rPr>
        <w:t xml:space="preserve"> til behandling af </w:t>
      </w:r>
      <w:proofErr w:type="spellStart"/>
      <w:r w:rsidRPr="009A49EF">
        <w:rPr>
          <w:sz w:val="24"/>
          <w:szCs w:val="24"/>
        </w:rPr>
        <w:t>endocarditis</w:t>
      </w:r>
      <w:proofErr w:type="spellEnd"/>
      <w:r w:rsidRPr="009A49EF">
        <w:rPr>
          <w:sz w:val="24"/>
          <w:szCs w:val="24"/>
        </w:rPr>
        <w:t xml:space="preserve"> bør begrænses til patienter med en kendt penicillinallergi (ikke type 1). </w:t>
      </w:r>
      <w:proofErr w:type="spellStart"/>
      <w:r w:rsidRPr="009A49EF">
        <w:rPr>
          <w:sz w:val="24"/>
          <w:szCs w:val="24"/>
        </w:rPr>
        <w:t>Cefotaxim</w:t>
      </w:r>
      <w:proofErr w:type="spellEnd"/>
      <w:r w:rsidRPr="009A49EF">
        <w:rPr>
          <w:sz w:val="24"/>
          <w:szCs w:val="24"/>
        </w:rPr>
        <w:t xml:space="preserve"> bør anvendes i kombination med andre antibakterielle midler, dets begrænsede antibakterielle spektrum taget i betragtning.</w:t>
      </w:r>
    </w:p>
    <w:p w:rsidR="007D1818" w:rsidRPr="009A49EF" w:rsidRDefault="007D1818" w:rsidP="00DA0041">
      <w:pPr>
        <w:ind w:left="1276"/>
        <w:rPr>
          <w:sz w:val="24"/>
          <w:szCs w:val="24"/>
        </w:rPr>
      </w:pPr>
    </w:p>
    <w:p w:rsidR="007D1818" w:rsidRPr="009A49EF" w:rsidRDefault="007D1818" w:rsidP="00DA0041">
      <w:pPr>
        <w:numPr>
          <w:ilvl w:val="0"/>
          <w:numId w:val="9"/>
        </w:numPr>
        <w:ind w:left="1276" w:hanging="425"/>
        <w:rPr>
          <w:sz w:val="24"/>
          <w:szCs w:val="24"/>
        </w:rPr>
      </w:pPr>
      <w:r w:rsidRPr="009A49EF">
        <w:rPr>
          <w:sz w:val="24"/>
          <w:szCs w:val="24"/>
        </w:rPr>
        <w:t>Forsigtighedsregler vedrørende administration</w:t>
      </w:r>
    </w:p>
    <w:p w:rsidR="007D1818" w:rsidRPr="009A49EF" w:rsidRDefault="007D1818" w:rsidP="00DA0041">
      <w:pPr>
        <w:ind w:left="1276"/>
        <w:rPr>
          <w:sz w:val="24"/>
          <w:szCs w:val="24"/>
        </w:rPr>
      </w:pPr>
      <w:r w:rsidRPr="009A49EF">
        <w:rPr>
          <w:sz w:val="24"/>
          <w:szCs w:val="24"/>
        </w:rPr>
        <w:t xml:space="preserve">I forbindelse med overvågningen efter markedsføring er der rapporteret om potentielt livstruende </w:t>
      </w:r>
      <w:proofErr w:type="spellStart"/>
      <w:r w:rsidRPr="009A49EF">
        <w:rPr>
          <w:sz w:val="24"/>
          <w:szCs w:val="24"/>
        </w:rPr>
        <w:t>arytmier</w:t>
      </w:r>
      <w:proofErr w:type="spellEnd"/>
      <w:r w:rsidRPr="009A49EF">
        <w:rPr>
          <w:sz w:val="24"/>
          <w:szCs w:val="24"/>
        </w:rPr>
        <w:t xml:space="preserve"> hos meget få patienter, som fik hurtig intravenøs administration af </w:t>
      </w:r>
      <w:proofErr w:type="spellStart"/>
      <w:r w:rsidRPr="009A49EF">
        <w:rPr>
          <w:sz w:val="24"/>
          <w:szCs w:val="24"/>
        </w:rPr>
        <w:t>cefotaxim</w:t>
      </w:r>
      <w:proofErr w:type="spellEnd"/>
      <w:r w:rsidRPr="009A49EF">
        <w:rPr>
          <w:sz w:val="24"/>
          <w:szCs w:val="24"/>
        </w:rPr>
        <w:t xml:space="preserve"> via et centralt venekateter. Den anbefalede varighed af injektionen eller infusionen skal overholdes (se pkt. 4.2).</w:t>
      </w:r>
    </w:p>
    <w:p w:rsidR="00B6074E" w:rsidRDefault="00B6074E">
      <w:pPr>
        <w:rPr>
          <w:sz w:val="24"/>
          <w:szCs w:val="24"/>
        </w:rPr>
      </w:pPr>
      <w:r>
        <w:rPr>
          <w:sz w:val="24"/>
          <w:szCs w:val="24"/>
        </w:rPr>
        <w:br w:type="page"/>
      </w:r>
    </w:p>
    <w:p w:rsidR="007D1818" w:rsidRPr="009A49EF" w:rsidRDefault="007D1818" w:rsidP="00DA0041">
      <w:pPr>
        <w:ind w:left="1276"/>
        <w:rPr>
          <w:sz w:val="24"/>
          <w:szCs w:val="24"/>
        </w:rPr>
      </w:pPr>
    </w:p>
    <w:p w:rsidR="007D1818" w:rsidRPr="009A49EF" w:rsidRDefault="007D1818" w:rsidP="00DA0041">
      <w:pPr>
        <w:numPr>
          <w:ilvl w:val="0"/>
          <w:numId w:val="9"/>
        </w:numPr>
        <w:ind w:left="1276" w:hanging="425"/>
        <w:rPr>
          <w:sz w:val="24"/>
          <w:szCs w:val="24"/>
        </w:rPr>
      </w:pPr>
      <w:r w:rsidRPr="009A49EF">
        <w:rPr>
          <w:sz w:val="24"/>
          <w:szCs w:val="24"/>
        </w:rPr>
        <w:t>Virkninger på laboratorieprøver</w:t>
      </w:r>
    </w:p>
    <w:p w:rsidR="007D1818" w:rsidRPr="009A49EF" w:rsidRDefault="007D1818" w:rsidP="00DA0041">
      <w:pPr>
        <w:ind w:left="1276"/>
        <w:rPr>
          <w:sz w:val="24"/>
          <w:szCs w:val="24"/>
        </w:rPr>
      </w:pPr>
      <w:r w:rsidRPr="009A49EF">
        <w:rPr>
          <w:sz w:val="24"/>
          <w:szCs w:val="24"/>
        </w:rPr>
        <w:t xml:space="preserve">Som ved brug af andre </w:t>
      </w:r>
      <w:proofErr w:type="spellStart"/>
      <w:r w:rsidRPr="009A49EF">
        <w:rPr>
          <w:sz w:val="24"/>
          <w:szCs w:val="24"/>
        </w:rPr>
        <w:t>cefalosporiner</w:t>
      </w:r>
      <w:proofErr w:type="spellEnd"/>
      <w:r w:rsidRPr="009A49EF">
        <w:rPr>
          <w:sz w:val="24"/>
          <w:szCs w:val="24"/>
        </w:rPr>
        <w:t xml:space="preserve"> er der set positiv </w:t>
      </w:r>
      <w:proofErr w:type="spellStart"/>
      <w:r w:rsidRPr="009A49EF">
        <w:rPr>
          <w:sz w:val="24"/>
          <w:szCs w:val="24"/>
        </w:rPr>
        <w:t>Coombs</w:t>
      </w:r>
      <w:proofErr w:type="spellEnd"/>
      <w:r w:rsidRPr="009A49EF">
        <w:rPr>
          <w:sz w:val="24"/>
          <w:szCs w:val="24"/>
        </w:rPr>
        <w:t xml:space="preserve"> test hos nogle patienter i behandling med </w:t>
      </w:r>
      <w:proofErr w:type="spellStart"/>
      <w:r w:rsidRPr="009A49EF">
        <w:rPr>
          <w:sz w:val="24"/>
          <w:szCs w:val="24"/>
        </w:rPr>
        <w:t>cefotaxim</w:t>
      </w:r>
      <w:proofErr w:type="spellEnd"/>
      <w:r w:rsidRPr="009A49EF">
        <w:rPr>
          <w:sz w:val="24"/>
          <w:szCs w:val="24"/>
        </w:rPr>
        <w:t>. Dette fænomen kan forstyrre blodtypematch.</w:t>
      </w:r>
      <w:r w:rsidRPr="009A49EF">
        <w:rPr>
          <w:sz w:val="24"/>
          <w:szCs w:val="24"/>
        </w:rPr>
        <w:br/>
      </w:r>
      <w:proofErr w:type="spellStart"/>
      <w:r w:rsidRPr="009A49EF">
        <w:rPr>
          <w:sz w:val="24"/>
          <w:szCs w:val="24"/>
        </w:rPr>
        <w:t>Uringlucoseanalyser</w:t>
      </w:r>
      <w:proofErr w:type="spellEnd"/>
      <w:r w:rsidRPr="009A49EF">
        <w:rPr>
          <w:sz w:val="24"/>
          <w:szCs w:val="24"/>
        </w:rPr>
        <w:t xml:space="preserve"> med ikke-specifikke reducerende stoffer kan medføre falsk-positive resultater. Dette fænomen ses ikke, når der anvendes en </w:t>
      </w:r>
      <w:proofErr w:type="spellStart"/>
      <w:r w:rsidRPr="009A49EF">
        <w:rPr>
          <w:sz w:val="24"/>
          <w:szCs w:val="24"/>
        </w:rPr>
        <w:t>glucose</w:t>
      </w:r>
      <w:proofErr w:type="spellEnd"/>
      <w:r w:rsidRPr="009A49EF">
        <w:rPr>
          <w:sz w:val="24"/>
          <w:szCs w:val="24"/>
        </w:rPr>
        <w:t>-oxydase-specifik metode.</w:t>
      </w:r>
    </w:p>
    <w:p w:rsidR="007D1818" w:rsidRPr="009A49EF" w:rsidRDefault="007D1818" w:rsidP="00DA0041">
      <w:pPr>
        <w:ind w:left="1276"/>
        <w:rPr>
          <w:sz w:val="24"/>
          <w:szCs w:val="24"/>
        </w:rPr>
      </w:pPr>
    </w:p>
    <w:p w:rsidR="007D1818" w:rsidRPr="009A49EF" w:rsidRDefault="007D1818" w:rsidP="00DA0041">
      <w:pPr>
        <w:ind w:left="1276"/>
        <w:rPr>
          <w:sz w:val="24"/>
          <w:szCs w:val="24"/>
        </w:rPr>
      </w:pPr>
      <w:r w:rsidRPr="009A49EF">
        <w:rPr>
          <w:sz w:val="24"/>
          <w:szCs w:val="24"/>
        </w:rPr>
        <w:t xml:space="preserve">Dette lægemiddel indeholder henholdsvis 2,1 mmol (eller 48 mg) natrium per 1000 mg dosis og 4,2 mmol (eller 96 mg) natrium per 2000 mg dosis, svarende til 2,4% og 4,8% af den WHO anbefalede </w:t>
      </w:r>
      <w:proofErr w:type="gramStart"/>
      <w:r w:rsidRPr="009A49EF">
        <w:rPr>
          <w:sz w:val="24"/>
          <w:szCs w:val="24"/>
        </w:rPr>
        <w:t>maximale</w:t>
      </w:r>
      <w:proofErr w:type="gramEnd"/>
      <w:r w:rsidRPr="009A49EF">
        <w:rPr>
          <w:sz w:val="24"/>
          <w:szCs w:val="24"/>
        </w:rPr>
        <w:t xml:space="preserve"> daglige indtagelse af 2 g natrium for en voksen. Dette skal tages i betragtning hos patienter på en kontrolleret natriumkost.</w:t>
      </w:r>
    </w:p>
    <w:p w:rsidR="007D1818" w:rsidRPr="009A49EF" w:rsidRDefault="007D1818" w:rsidP="007D1818">
      <w:pPr>
        <w:ind w:left="851" w:hanging="851"/>
        <w:rPr>
          <w:sz w:val="24"/>
          <w:szCs w:val="24"/>
        </w:rPr>
      </w:pPr>
    </w:p>
    <w:p w:rsidR="00D52548" w:rsidRPr="00D52548" w:rsidRDefault="00D52548" w:rsidP="00D52548">
      <w:pPr>
        <w:tabs>
          <w:tab w:val="left" w:pos="851"/>
        </w:tabs>
        <w:ind w:left="851" w:hanging="851"/>
        <w:rPr>
          <w:b/>
          <w:sz w:val="24"/>
          <w:szCs w:val="24"/>
        </w:rPr>
      </w:pPr>
      <w:r w:rsidRPr="00D52548">
        <w:rPr>
          <w:b/>
          <w:sz w:val="24"/>
          <w:szCs w:val="24"/>
        </w:rPr>
        <w:t>4.5</w:t>
      </w:r>
      <w:r w:rsidRPr="00D52548">
        <w:rPr>
          <w:b/>
          <w:sz w:val="24"/>
          <w:szCs w:val="24"/>
        </w:rPr>
        <w:tab/>
        <w:t>Interaktion med andre lægemidler og andre former for interaktion</w:t>
      </w:r>
    </w:p>
    <w:p w:rsidR="007D1818" w:rsidRPr="007B1A24" w:rsidRDefault="007D1818" w:rsidP="00DA0041">
      <w:pPr>
        <w:numPr>
          <w:ilvl w:val="0"/>
          <w:numId w:val="10"/>
        </w:numPr>
        <w:ind w:left="1276" w:hanging="425"/>
        <w:rPr>
          <w:sz w:val="24"/>
          <w:szCs w:val="24"/>
        </w:rPr>
      </w:pPr>
      <w:proofErr w:type="spellStart"/>
      <w:r w:rsidRPr="002D01A3">
        <w:rPr>
          <w:i/>
          <w:iCs/>
          <w:sz w:val="24"/>
          <w:szCs w:val="24"/>
        </w:rPr>
        <w:t>Urikosurika</w:t>
      </w:r>
      <w:proofErr w:type="spellEnd"/>
      <w:r w:rsidRPr="007B1A24">
        <w:rPr>
          <w:i/>
          <w:iCs/>
          <w:sz w:val="24"/>
          <w:szCs w:val="24"/>
        </w:rPr>
        <w:t>:</w:t>
      </w:r>
      <w:r w:rsidRPr="007B1A24">
        <w:rPr>
          <w:sz w:val="24"/>
          <w:szCs w:val="24"/>
        </w:rPr>
        <w:t xml:space="preserve"> </w:t>
      </w:r>
      <w:proofErr w:type="spellStart"/>
      <w:r w:rsidRPr="005E69B9">
        <w:rPr>
          <w:rFonts w:cs="Mangal"/>
          <w:sz w:val="24"/>
          <w:szCs w:val="24"/>
          <w:lang w:bidi="ne-NP"/>
        </w:rPr>
        <w:t>Probenecid</w:t>
      </w:r>
      <w:proofErr w:type="spellEnd"/>
      <w:r w:rsidRPr="005E69B9">
        <w:rPr>
          <w:rFonts w:cs="Mangal"/>
          <w:sz w:val="24"/>
          <w:szCs w:val="24"/>
          <w:lang w:bidi="ne-NP"/>
        </w:rPr>
        <w:t xml:space="preserve"> påvirker den </w:t>
      </w:r>
      <w:proofErr w:type="spellStart"/>
      <w:r w:rsidRPr="005E69B9">
        <w:rPr>
          <w:rFonts w:cs="Mangal"/>
          <w:sz w:val="24"/>
          <w:szCs w:val="24"/>
          <w:lang w:bidi="ne-NP"/>
        </w:rPr>
        <w:t>tubulære</w:t>
      </w:r>
      <w:proofErr w:type="spellEnd"/>
      <w:r w:rsidRPr="005E69B9">
        <w:rPr>
          <w:rFonts w:cs="Mangal"/>
          <w:sz w:val="24"/>
          <w:szCs w:val="24"/>
          <w:lang w:bidi="ne-NP"/>
        </w:rPr>
        <w:t xml:space="preserve"> udskillelse af </w:t>
      </w:r>
      <w:proofErr w:type="spellStart"/>
      <w:r w:rsidRPr="005E69B9">
        <w:rPr>
          <w:rFonts w:cs="Mangal"/>
          <w:sz w:val="24"/>
          <w:szCs w:val="24"/>
          <w:lang w:bidi="ne-NP"/>
        </w:rPr>
        <w:t>cefotaxim</w:t>
      </w:r>
      <w:proofErr w:type="spellEnd"/>
      <w:r w:rsidRPr="005E69B9">
        <w:rPr>
          <w:rFonts w:cs="Mangal"/>
          <w:sz w:val="24"/>
          <w:szCs w:val="24"/>
          <w:lang w:bidi="ne-NP"/>
        </w:rPr>
        <w:t xml:space="preserve"> gennem nyrerne, hvilket bevirker, at eksponeringen for </w:t>
      </w:r>
      <w:proofErr w:type="spellStart"/>
      <w:r w:rsidRPr="005E69B9">
        <w:rPr>
          <w:rFonts w:cs="Mangal"/>
          <w:sz w:val="24"/>
          <w:szCs w:val="24"/>
          <w:lang w:bidi="ne-NP"/>
        </w:rPr>
        <w:t>cefotaxim</w:t>
      </w:r>
      <w:proofErr w:type="spellEnd"/>
      <w:r w:rsidRPr="005E69B9">
        <w:rPr>
          <w:rFonts w:cs="Mangal"/>
          <w:sz w:val="24"/>
          <w:szCs w:val="24"/>
          <w:lang w:bidi="ne-NP"/>
        </w:rPr>
        <w:t xml:space="preserve"> er ca. 2 gange højere, og den </w:t>
      </w:r>
      <w:proofErr w:type="spellStart"/>
      <w:r w:rsidRPr="005E69B9">
        <w:rPr>
          <w:rFonts w:cs="Mangal"/>
          <w:sz w:val="24"/>
          <w:szCs w:val="24"/>
          <w:lang w:bidi="ne-NP"/>
        </w:rPr>
        <w:t>renale</w:t>
      </w:r>
      <w:proofErr w:type="spellEnd"/>
      <w:r w:rsidRPr="005E69B9">
        <w:rPr>
          <w:rFonts w:cs="Mangal"/>
          <w:sz w:val="24"/>
          <w:szCs w:val="24"/>
          <w:lang w:bidi="ne-NP"/>
        </w:rPr>
        <w:t xml:space="preserve"> </w:t>
      </w:r>
      <w:proofErr w:type="spellStart"/>
      <w:r w:rsidRPr="005E69B9">
        <w:rPr>
          <w:rFonts w:cs="Mangal"/>
          <w:sz w:val="24"/>
          <w:szCs w:val="24"/>
          <w:lang w:bidi="ne-NP"/>
        </w:rPr>
        <w:t>clearance</w:t>
      </w:r>
      <w:proofErr w:type="spellEnd"/>
      <w:r w:rsidRPr="005E69B9">
        <w:rPr>
          <w:rFonts w:cs="Mangal"/>
          <w:sz w:val="24"/>
          <w:szCs w:val="24"/>
          <w:lang w:bidi="ne-NP"/>
        </w:rPr>
        <w:t xml:space="preserve"> reduceres til ca. det halve ved terapeutiske doser. Da </w:t>
      </w:r>
      <w:proofErr w:type="spellStart"/>
      <w:r w:rsidRPr="005E69B9">
        <w:rPr>
          <w:rFonts w:cs="Mangal"/>
          <w:sz w:val="24"/>
          <w:szCs w:val="24"/>
          <w:lang w:bidi="ne-NP"/>
        </w:rPr>
        <w:t>cefotaxim</w:t>
      </w:r>
      <w:proofErr w:type="spellEnd"/>
      <w:r w:rsidRPr="005E69B9">
        <w:rPr>
          <w:rFonts w:cs="Mangal"/>
          <w:sz w:val="24"/>
          <w:szCs w:val="24"/>
          <w:lang w:bidi="ne-NP"/>
        </w:rPr>
        <w:t xml:space="preserve"> har et bredt terapeutisk indeks, er det ikke nødvendigt at justere dosis hos patienter med normal nyrefunktion. Dosisjustering kan være nødvendig hos patienter med nedsat nyrefunktion (se pkt. 4.4 og 4.2)</w:t>
      </w:r>
      <w:r w:rsidRPr="007B1A24">
        <w:rPr>
          <w:sz w:val="24"/>
          <w:szCs w:val="24"/>
        </w:rPr>
        <w:t>.</w:t>
      </w:r>
    </w:p>
    <w:p w:rsidR="007D1818" w:rsidRPr="00B6074E" w:rsidRDefault="007D1818" w:rsidP="00DA0041">
      <w:pPr>
        <w:numPr>
          <w:ilvl w:val="0"/>
          <w:numId w:val="10"/>
        </w:numPr>
        <w:ind w:left="1276" w:hanging="425"/>
        <w:rPr>
          <w:sz w:val="24"/>
          <w:szCs w:val="24"/>
        </w:rPr>
      </w:pPr>
      <w:r w:rsidRPr="007B1A24">
        <w:rPr>
          <w:i/>
          <w:iCs/>
          <w:sz w:val="24"/>
          <w:szCs w:val="24"/>
        </w:rPr>
        <w:t xml:space="preserve">Aminoglykosider, </w:t>
      </w:r>
      <w:proofErr w:type="spellStart"/>
      <w:r w:rsidRPr="007B1A24">
        <w:rPr>
          <w:i/>
          <w:iCs/>
          <w:sz w:val="24"/>
          <w:szCs w:val="24"/>
        </w:rPr>
        <w:t>diuretika</w:t>
      </w:r>
      <w:proofErr w:type="spellEnd"/>
      <w:r w:rsidRPr="007B1A24">
        <w:rPr>
          <w:i/>
          <w:iCs/>
          <w:sz w:val="24"/>
          <w:szCs w:val="24"/>
        </w:rPr>
        <w:t xml:space="preserve">: </w:t>
      </w:r>
      <w:proofErr w:type="spellStart"/>
      <w:r w:rsidRPr="007B1A24">
        <w:rPr>
          <w:sz w:val="24"/>
          <w:szCs w:val="24"/>
        </w:rPr>
        <w:t>Cefota</w:t>
      </w:r>
      <w:r w:rsidR="00B6074E">
        <w:rPr>
          <w:sz w:val="24"/>
          <w:szCs w:val="24"/>
        </w:rPr>
        <w:t>x</w:t>
      </w:r>
      <w:r w:rsidRPr="007B1A24">
        <w:rPr>
          <w:sz w:val="24"/>
          <w:szCs w:val="24"/>
        </w:rPr>
        <w:t>im</w:t>
      </w:r>
      <w:proofErr w:type="spellEnd"/>
      <w:r w:rsidRPr="007B1A24">
        <w:rPr>
          <w:sz w:val="24"/>
          <w:szCs w:val="24"/>
        </w:rPr>
        <w:t xml:space="preserve"> kan, som andre </w:t>
      </w:r>
      <w:proofErr w:type="spellStart"/>
      <w:r w:rsidRPr="007B1A24">
        <w:rPr>
          <w:sz w:val="24"/>
          <w:szCs w:val="24"/>
        </w:rPr>
        <w:t>cefalosporiner</w:t>
      </w:r>
      <w:proofErr w:type="spellEnd"/>
      <w:r w:rsidRPr="007B1A24">
        <w:rPr>
          <w:sz w:val="24"/>
          <w:szCs w:val="24"/>
        </w:rPr>
        <w:t xml:space="preserve">, forstærke de </w:t>
      </w:r>
      <w:proofErr w:type="spellStart"/>
      <w:r w:rsidRPr="007B1A24">
        <w:rPr>
          <w:sz w:val="24"/>
          <w:szCs w:val="24"/>
        </w:rPr>
        <w:t>nefrotoksiske</w:t>
      </w:r>
      <w:proofErr w:type="spellEnd"/>
      <w:r w:rsidRPr="007B1A24">
        <w:rPr>
          <w:sz w:val="24"/>
          <w:szCs w:val="24"/>
        </w:rPr>
        <w:t xml:space="preserve"> virkninger af </w:t>
      </w:r>
      <w:proofErr w:type="spellStart"/>
      <w:r w:rsidRPr="007B1A24">
        <w:rPr>
          <w:sz w:val="24"/>
          <w:szCs w:val="24"/>
        </w:rPr>
        <w:t>nefrotoksiske</w:t>
      </w:r>
      <w:proofErr w:type="spellEnd"/>
      <w:r w:rsidRPr="007B1A24">
        <w:rPr>
          <w:sz w:val="24"/>
          <w:szCs w:val="24"/>
        </w:rPr>
        <w:t xml:space="preserve"> lægemidler, såsom aminoglykosider eller potente </w:t>
      </w:r>
      <w:proofErr w:type="spellStart"/>
      <w:r w:rsidRPr="007B1A24">
        <w:rPr>
          <w:sz w:val="24"/>
          <w:szCs w:val="24"/>
        </w:rPr>
        <w:t>diuretika</w:t>
      </w:r>
      <w:proofErr w:type="spellEnd"/>
      <w:r w:rsidRPr="007B1A24">
        <w:rPr>
          <w:sz w:val="24"/>
          <w:szCs w:val="24"/>
        </w:rPr>
        <w:t xml:space="preserve"> (f.eks. </w:t>
      </w:r>
      <w:proofErr w:type="spellStart"/>
      <w:r w:rsidRPr="007B1A24">
        <w:rPr>
          <w:sz w:val="24"/>
          <w:szCs w:val="24"/>
        </w:rPr>
        <w:t>furosemid</w:t>
      </w:r>
      <w:proofErr w:type="spellEnd"/>
      <w:r w:rsidRPr="007B1A24">
        <w:rPr>
          <w:sz w:val="24"/>
          <w:szCs w:val="24"/>
        </w:rPr>
        <w:t>). Nyrefunktionen skal monitoreres</w:t>
      </w:r>
      <w:r w:rsidRPr="00B6074E">
        <w:rPr>
          <w:sz w:val="24"/>
          <w:szCs w:val="24"/>
        </w:rPr>
        <w:t xml:space="preserve"> (se pkt. 4.4).</w:t>
      </w:r>
    </w:p>
    <w:p w:rsidR="007D1818" w:rsidRPr="007B1A24" w:rsidRDefault="007D1818" w:rsidP="00DA0041">
      <w:pPr>
        <w:numPr>
          <w:ilvl w:val="0"/>
          <w:numId w:val="10"/>
        </w:numPr>
        <w:ind w:left="1276" w:hanging="425"/>
        <w:rPr>
          <w:sz w:val="24"/>
          <w:szCs w:val="24"/>
        </w:rPr>
      </w:pPr>
      <w:proofErr w:type="spellStart"/>
      <w:r w:rsidRPr="007B1A24">
        <w:rPr>
          <w:i/>
          <w:iCs/>
          <w:sz w:val="24"/>
          <w:szCs w:val="24"/>
        </w:rPr>
        <w:t>Bakteriostatiske</w:t>
      </w:r>
      <w:proofErr w:type="spellEnd"/>
      <w:r w:rsidRPr="007B1A24">
        <w:rPr>
          <w:i/>
          <w:iCs/>
          <w:sz w:val="24"/>
          <w:szCs w:val="24"/>
        </w:rPr>
        <w:t xml:space="preserve"> antibiotika:</w:t>
      </w:r>
      <w:r w:rsidR="00B6074E">
        <w:rPr>
          <w:i/>
          <w:iCs/>
          <w:sz w:val="24"/>
          <w:szCs w:val="24"/>
        </w:rPr>
        <w:t xml:space="preserve"> </w:t>
      </w:r>
      <w:proofErr w:type="spellStart"/>
      <w:r w:rsidRPr="007B1A24">
        <w:rPr>
          <w:sz w:val="24"/>
          <w:szCs w:val="24"/>
        </w:rPr>
        <w:t>Cefotaxim</w:t>
      </w:r>
      <w:proofErr w:type="spellEnd"/>
      <w:r w:rsidRPr="007B1A24">
        <w:rPr>
          <w:sz w:val="24"/>
          <w:szCs w:val="24"/>
        </w:rPr>
        <w:t xml:space="preserve"> "</w:t>
      </w:r>
      <w:r>
        <w:rPr>
          <w:sz w:val="24"/>
          <w:szCs w:val="24"/>
        </w:rPr>
        <w:t>MIP</w:t>
      </w:r>
      <w:r w:rsidRPr="007B1A24">
        <w:rPr>
          <w:sz w:val="24"/>
          <w:szCs w:val="24"/>
        </w:rPr>
        <w:t xml:space="preserve">" må </w:t>
      </w:r>
      <w:r w:rsidRPr="007B1A24">
        <w:rPr>
          <w:i/>
          <w:iCs/>
          <w:sz w:val="24"/>
          <w:szCs w:val="24"/>
        </w:rPr>
        <w:t xml:space="preserve">ikke </w:t>
      </w:r>
      <w:r w:rsidRPr="007B1A24">
        <w:rPr>
          <w:sz w:val="24"/>
          <w:szCs w:val="24"/>
        </w:rPr>
        <w:t xml:space="preserve">kombineres med </w:t>
      </w:r>
      <w:proofErr w:type="spellStart"/>
      <w:r w:rsidRPr="007B1A24">
        <w:rPr>
          <w:sz w:val="24"/>
          <w:szCs w:val="24"/>
        </w:rPr>
        <w:t>bakteriostatiske</w:t>
      </w:r>
      <w:proofErr w:type="spellEnd"/>
      <w:r w:rsidRPr="007B1A24">
        <w:rPr>
          <w:sz w:val="24"/>
          <w:szCs w:val="24"/>
        </w:rPr>
        <w:t xml:space="preserve"> antibiotika (f.eks. </w:t>
      </w:r>
      <w:proofErr w:type="spellStart"/>
      <w:r w:rsidRPr="007B1A24">
        <w:rPr>
          <w:sz w:val="24"/>
          <w:szCs w:val="24"/>
        </w:rPr>
        <w:t>tetracykliner</w:t>
      </w:r>
      <w:proofErr w:type="spellEnd"/>
      <w:r w:rsidRPr="007B1A24">
        <w:rPr>
          <w:sz w:val="24"/>
          <w:szCs w:val="24"/>
        </w:rPr>
        <w:t xml:space="preserve">, </w:t>
      </w:r>
      <w:proofErr w:type="spellStart"/>
      <w:r w:rsidRPr="007B1A24">
        <w:rPr>
          <w:sz w:val="24"/>
          <w:szCs w:val="24"/>
        </w:rPr>
        <w:t>erythromycin</w:t>
      </w:r>
      <w:proofErr w:type="spellEnd"/>
      <w:r w:rsidRPr="007B1A24">
        <w:rPr>
          <w:sz w:val="24"/>
          <w:szCs w:val="24"/>
        </w:rPr>
        <w:t xml:space="preserve"> og </w:t>
      </w:r>
      <w:proofErr w:type="spellStart"/>
      <w:r w:rsidRPr="007B1A24">
        <w:rPr>
          <w:sz w:val="24"/>
          <w:szCs w:val="24"/>
        </w:rPr>
        <w:t>chloramphenicol</w:t>
      </w:r>
      <w:proofErr w:type="spellEnd"/>
      <w:r w:rsidRPr="007B1A24">
        <w:rPr>
          <w:sz w:val="24"/>
          <w:szCs w:val="24"/>
        </w:rPr>
        <w:t>), da der er mulighed for en antagonistisk virkning.</w:t>
      </w:r>
    </w:p>
    <w:p w:rsidR="007D1818" w:rsidRPr="007B1A24" w:rsidRDefault="007D1818" w:rsidP="00DA0041">
      <w:pPr>
        <w:numPr>
          <w:ilvl w:val="0"/>
          <w:numId w:val="10"/>
        </w:numPr>
        <w:ind w:left="1276" w:hanging="425"/>
        <w:rPr>
          <w:sz w:val="24"/>
          <w:szCs w:val="24"/>
        </w:rPr>
      </w:pPr>
      <w:r w:rsidRPr="007B1A24">
        <w:rPr>
          <w:i/>
          <w:iCs/>
          <w:sz w:val="24"/>
          <w:szCs w:val="24"/>
        </w:rPr>
        <w:t xml:space="preserve">Andre former for interaktion: </w:t>
      </w:r>
      <w:r w:rsidRPr="007B1A24">
        <w:rPr>
          <w:sz w:val="24"/>
          <w:szCs w:val="24"/>
        </w:rPr>
        <w:t xml:space="preserve">Som ved brug af andre </w:t>
      </w:r>
      <w:proofErr w:type="spellStart"/>
      <w:r w:rsidRPr="007B1A24">
        <w:rPr>
          <w:sz w:val="24"/>
          <w:szCs w:val="24"/>
        </w:rPr>
        <w:t>cefalosporiner</w:t>
      </w:r>
      <w:proofErr w:type="spellEnd"/>
      <w:r w:rsidRPr="007B1A24">
        <w:rPr>
          <w:sz w:val="24"/>
          <w:szCs w:val="24"/>
        </w:rPr>
        <w:t xml:space="preserve"> er der set positiv </w:t>
      </w:r>
      <w:proofErr w:type="spellStart"/>
      <w:r w:rsidRPr="007B1A24">
        <w:rPr>
          <w:sz w:val="24"/>
          <w:szCs w:val="24"/>
        </w:rPr>
        <w:t>Coombs</w:t>
      </w:r>
      <w:proofErr w:type="spellEnd"/>
      <w:r w:rsidRPr="007B1A24">
        <w:rPr>
          <w:sz w:val="24"/>
          <w:szCs w:val="24"/>
        </w:rPr>
        <w:t xml:space="preserve"> test hos nogle patienter i behandling med </w:t>
      </w:r>
      <w:proofErr w:type="spellStart"/>
      <w:r w:rsidRPr="007B1A24">
        <w:rPr>
          <w:sz w:val="24"/>
          <w:szCs w:val="24"/>
        </w:rPr>
        <w:t>cefotaxim</w:t>
      </w:r>
      <w:proofErr w:type="spellEnd"/>
      <w:r w:rsidRPr="007B1A24">
        <w:rPr>
          <w:sz w:val="24"/>
          <w:szCs w:val="24"/>
        </w:rPr>
        <w:t xml:space="preserve">. Dette fænomen kan forstyrre blodtypematch. En falsk-positiv reaktion på </w:t>
      </w:r>
      <w:proofErr w:type="spellStart"/>
      <w:r w:rsidRPr="007B1A24">
        <w:rPr>
          <w:sz w:val="24"/>
          <w:szCs w:val="24"/>
        </w:rPr>
        <w:t>glucose</w:t>
      </w:r>
      <w:proofErr w:type="spellEnd"/>
      <w:r w:rsidRPr="007B1A24">
        <w:rPr>
          <w:sz w:val="24"/>
          <w:szCs w:val="24"/>
        </w:rPr>
        <w:t xml:space="preserve"> kan opstå ved brug af reducerende stoffer (f.eks. </w:t>
      </w:r>
      <w:proofErr w:type="spellStart"/>
      <w:r w:rsidRPr="007B1A24">
        <w:rPr>
          <w:sz w:val="24"/>
          <w:szCs w:val="24"/>
        </w:rPr>
        <w:t>Fehlings</w:t>
      </w:r>
      <w:proofErr w:type="spellEnd"/>
      <w:r w:rsidRPr="007B1A24">
        <w:rPr>
          <w:sz w:val="24"/>
          <w:szCs w:val="24"/>
        </w:rPr>
        <w:t xml:space="preserve"> opløsning eller med </w:t>
      </w:r>
      <w:proofErr w:type="spellStart"/>
      <w:r w:rsidRPr="007B1A24">
        <w:rPr>
          <w:sz w:val="24"/>
          <w:szCs w:val="24"/>
        </w:rPr>
        <w:t>Clinitest</w:t>
      </w:r>
      <w:proofErr w:type="spellEnd"/>
      <w:r w:rsidRPr="007B1A24">
        <w:rPr>
          <w:sz w:val="24"/>
          <w:szCs w:val="24"/>
        </w:rPr>
        <w:t>-tabletter), men ikke ved brug af specifikke enzymbaserede analyser (</w:t>
      </w:r>
      <w:proofErr w:type="spellStart"/>
      <w:r w:rsidRPr="007B1A24">
        <w:rPr>
          <w:sz w:val="24"/>
          <w:szCs w:val="24"/>
        </w:rPr>
        <w:t>glucoseoxidasemetoder</w:t>
      </w:r>
      <w:proofErr w:type="spellEnd"/>
      <w:r w:rsidRPr="007B1A24">
        <w:rPr>
          <w:sz w:val="24"/>
          <w:szCs w:val="24"/>
        </w:rPr>
        <w:t>).</w:t>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7D1818" w:rsidRPr="009A49EF" w:rsidRDefault="007D1818" w:rsidP="007D1818">
      <w:pPr>
        <w:ind w:left="851" w:hanging="851"/>
        <w:rPr>
          <w:sz w:val="24"/>
          <w:szCs w:val="24"/>
        </w:rPr>
      </w:pPr>
      <w:r w:rsidRPr="009A49EF">
        <w:rPr>
          <w:sz w:val="24"/>
          <w:szCs w:val="24"/>
        </w:rPr>
        <w:tab/>
      </w:r>
    </w:p>
    <w:p w:rsidR="007D1818" w:rsidRPr="009A49EF" w:rsidRDefault="007D1818" w:rsidP="007D1818">
      <w:pPr>
        <w:ind w:left="851"/>
        <w:rPr>
          <w:sz w:val="24"/>
          <w:szCs w:val="24"/>
          <w:u w:val="single"/>
        </w:rPr>
      </w:pPr>
      <w:r w:rsidRPr="009A49EF">
        <w:rPr>
          <w:sz w:val="24"/>
          <w:szCs w:val="24"/>
          <w:u w:val="single"/>
        </w:rPr>
        <w:t>Graviditet</w:t>
      </w:r>
    </w:p>
    <w:p w:rsidR="007D1818" w:rsidRPr="009A49EF" w:rsidRDefault="007D1818" w:rsidP="007D1818">
      <w:pPr>
        <w:ind w:left="851"/>
        <w:rPr>
          <w:sz w:val="24"/>
          <w:szCs w:val="24"/>
        </w:rPr>
      </w:pPr>
      <w:r w:rsidRPr="009A49EF">
        <w:rPr>
          <w:sz w:val="24"/>
          <w:szCs w:val="24"/>
        </w:rPr>
        <w:t xml:space="preserve">Sikkerheden ved brug af </w:t>
      </w:r>
      <w:proofErr w:type="spellStart"/>
      <w:r w:rsidRPr="009A49EF">
        <w:rPr>
          <w:sz w:val="24"/>
          <w:szCs w:val="24"/>
        </w:rPr>
        <w:t>cefotaxim</w:t>
      </w:r>
      <w:proofErr w:type="spellEnd"/>
      <w:r w:rsidRPr="009A49EF">
        <w:rPr>
          <w:sz w:val="24"/>
          <w:szCs w:val="24"/>
        </w:rPr>
        <w:t xml:space="preserve"> under graviditet er ikke fastlagt. </w:t>
      </w:r>
    </w:p>
    <w:p w:rsidR="007D1818" w:rsidRPr="009A49EF" w:rsidRDefault="007D1818" w:rsidP="007D1818">
      <w:pPr>
        <w:ind w:left="851"/>
        <w:rPr>
          <w:sz w:val="24"/>
          <w:szCs w:val="24"/>
        </w:rPr>
      </w:pPr>
      <w:r w:rsidRPr="009A49EF">
        <w:rPr>
          <w:sz w:val="24"/>
          <w:szCs w:val="24"/>
        </w:rPr>
        <w:t>Dyreforsøg indikerer hverken direkte eller indirekte skadelige virkninger, hvad angår reproduktionstoksicitet. Der er dog ikke udført fyldestgørende og velkontrollerede forsøg hos gravide kvinder.</w:t>
      </w:r>
    </w:p>
    <w:p w:rsidR="007D1818" w:rsidRPr="009A49EF" w:rsidRDefault="007D1818" w:rsidP="007D1818">
      <w:pPr>
        <w:ind w:left="851"/>
        <w:rPr>
          <w:sz w:val="24"/>
          <w:szCs w:val="24"/>
        </w:rPr>
      </w:pPr>
      <w:proofErr w:type="spellStart"/>
      <w:r w:rsidRPr="009A49EF">
        <w:rPr>
          <w:sz w:val="24"/>
          <w:szCs w:val="24"/>
        </w:rPr>
        <w:t>Cefotaxim</w:t>
      </w:r>
      <w:proofErr w:type="spellEnd"/>
      <w:r w:rsidRPr="009A49EF">
        <w:rPr>
          <w:sz w:val="24"/>
          <w:szCs w:val="24"/>
        </w:rPr>
        <w:t xml:space="preserve"> krydser placentabarrieren. Derfor må </w:t>
      </w:r>
      <w:proofErr w:type="spellStart"/>
      <w:r w:rsidRPr="009A49EF">
        <w:rPr>
          <w:sz w:val="24"/>
          <w:szCs w:val="24"/>
        </w:rPr>
        <w:t>cefotaxim</w:t>
      </w:r>
      <w:proofErr w:type="spellEnd"/>
      <w:r w:rsidRPr="009A49EF">
        <w:rPr>
          <w:sz w:val="24"/>
          <w:szCs w:val="24"/>
        </w:rPr>
        <w:t xml:space="preserve"> ikke anvendes under graviditet, medmindre den forventede gavnlige effekt opvejer enhver potentiel risiko.</w:t>
      </w:r>
    </w:p>
    <w:p w:rsidR="007D1818" w:rsidRPr="009A49EF" w:rsidRDefault="007D1818" w:rsidP="007D1818">
      <w:pPr>
        <w:ind w:left="851"/>
        <w:rPr>
          <w:sz w:val="24"/>
          <w:szCs w:val="24"/>
          <w:u w:val="single"/>
        </w:rPr>
      </w:pPr>
    </w:p>
    <w:p w:rsidR="007D1818" w:rsidRPr="009A49EF" w:rsidRDefault="007D1818" w:rsidP="007D1818">
      <w:pPr>
        <w:ind w:left="851"/>
        <w:rPr>
          <w:sz w:val="24"/>
          <w:szCs w:val="24"/>
          <w:u w:val="single"/>
        </w:rPr>
      </w:pPr>
      <w:r w:rsidRPr="009A49EF">
        <w:rPr>
          <w:sz w:val="24"/>
          <w:szCs w:val="24"/>
          <w:u w:val="single"/>
        </w:rPr>
        <w:t>Amning</w:t>
      </w:r>
    </w:p>
    <w:p w:rsidR="007D1818" w:rsidRPr="009A49EF" w:rsidRDefault="007D1818" w:rsidP="007D1818">
      <w:pPr>
        <w:ind w:left="851"/>
        <w:rPr>
          <w:sz w:val="24"/>
          <w:szCs w:val="24"/>
        </w:rPr>
      </w:pPr>
      <w:proofErr w:type="spellStart"/>
      <w:r w:rsidRPr="009A49EF">
        <w:rPr>
          <w:sz w:val="24"/>
          <w:szCs w:val="24"/>
        </w:rPr>
        <w:t>Cefotaxim</w:t>
      </w:r>
      <w:proofErr w:type="spellEnd"/>
      <w:r w:rsidRPr="009A49EF">
        <w:rPr>
          <w:sz w:val="24"/>
          <w:szCs w:val="24"/>
        </w:rPr>
        <w:t xml:space="preserve"> udskilles i modermælken.</w:t>
      </w:r>
    </w:p>
    <w:p w:rsidR="007D1818" w:rsidRPr="009A49EF" w:rsidRDefault="007D1818" w:rsidP="007D1818">
      <w:pPr>
        <w:ind w:left="851"/>
        <w:rPr>
          <w:sz w:val="24"/>
          <w:szCs w:val="24"/>
        </w:rPr>
      </w:pPr>
      <w:r w:rsidRPr="009A49EF">
        <w:rPr>
          <w:sz w:val="24"/>
          <w:szCs w:val="24"/>
        </w:rPr>
        <w:t>Påvirkninger af den fysiologiske tarmflora hos det ammede barn og deraf følgende diarré, kolonisering af gærlignende svampe og sensibilisering hos barnet kan ikke udelukkes.</w:t>
      </w:r>
    </w:p>
    <w:p w:rsidR="007D1818" w:rsidRPr="009A49EF" w:rsidRDefault="007D1818" w:rsidP="007D1818">
      <w:pPr>
        <w:ind w:left="851"/>
        <w:rPr>
          <w:sz w:val="24"/>
          <w:szCs w:val="24"/>
        </w:rPr>
      </w:pPr>
      <w:r w:rsidRPr="009A49EF">
        <w:rPr>
          <w:sz w:val="24"/>
          <w:szCs w:val="24"/>
        </w:rPr>
        <w:t xml:space="preserve">Det skal derfor besluttes, om amning skal ophøre eller behandling med </w:t>
      </w:r>
      <w:proofErr w:type="spellStart"/>
      <w:r w:rsidRPr="009A49EF">
        <w:rPr>
          <w:sz w:val="24"/>
          <w:szCs w:val="24"/>
        </w:rPr>
        <w:t>cefotaxim</w:t>
      </w:r>
      <w:proofErr w:type="spellEnd"/>
      <w:r w:rsidRPr="009A49EF">
        <w:rPr>
          <w:sz w:val="24"/>
          <w:szCs w:val="24"/>
        </w:rPr>
        <w:t xml:space="preserve"> seponeres, idet der tages højde for fordelene ved amning for barnet i forhold til de terapeutiske fordele for moderen.</w:t>
      </w:r>
    </w:p>
    <w:p w:rsidR="00B6074E" w:rsidRDefault="00B6074E">
      <w:pPr>
        <w:rPr>
          <w:sz w:val="24"/>
          <w:szCs w:val="24"/>
        </w:rPr>
      </w:pPr>
      <w:r>
        <w:rPr>
          <w:sz w:val="24"/>
          <w:szCs w:val="24"/>
        </w:rPr>
        <w:br w:type="page"/>
      </w:r>
    </w:p>
    <w:p w:rsidR="007D1818" w:rsidRPr="009A49EF" w:rsidRDefault="007D1818" w:rsidP="007D1818">
      <w:pPr>
        <w:ind w:left="851" w:hanging="851"/>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7D1818" w:rsidRPr="009A49EF" w:rsidRDefault="007D1818" w:rsidP="007D1818">
      <w:pPr>
        <w:ind w:left="851" w:hanging="851"/>
        <w:rPr>
          <w:sz w:val="24"/>
          <w:szCs w:val="24"/>
        </w:rPr>
      </w:pPr>
      <w:r w:rsidRPr="009A49EF">
        <w:rPr>
          <w:sz w:val="24"/>
          <w:szCs w:val="24"/>
        </w:rPr>
        <w:tab/>
        <w:t>Ikke mærkning.</w:t>
      </w:r>
    </w:p>
    <w:p w:rsidR="007D1818" w:rsidRPr="009A49EF" w:rsidRDefault="007D1818" w:rsidP="007D1818">
      <w:pPr>
        <w:ind w:left="851" w:hanging="851"/>
        <w:rPr>
          <w:sz w:val="24"/>
          <w:szCs w:val="24"/>
        </w:rPr>
      </w:pPr>
      <w:r w:rsidRPr="009A49EF">
        <w:rPr>
          <w:sz w:val="24"/>
          <w:szCs w:val="24"/>
        </w:rPr>
        <w:tab/>
        <w:t xml:space="preserve">Der er intet bevis for, at </w:t>
      </w:r>
      <w:proofErr w:type="spellStart"/>
      <w:r w:rsidRPr="009A49EF">
        <w:rPr>
          <w:sz w:val="24"/>
          <w:szCs w:val="24"/>
        </w:rPr>
        <w:t>cefotaxim</w:t>
      </w:r>
      <w:proofErr w:type="spellEnd"/>
      <w:r w:rsidRPr="009A49EF">
        <w:rPr>
          <w:sz w:val="24"/>
          <w:szCs w:val="24"/>
        </w:rPr>
        <w:t xml:space="preserve"> direkte nedsætter evnen til at føre motorkøretøj eller betjene maskiner.</w:t>
      </w:r>
    </w:p>
    <w:p w:rsidR="007D1818" w:rsidRPr="009A49EF" w:rsidRDefault="007D1818" w:rsidP="007D1818">
      <w:pPr>
        <w:ind w:left="851" w:hanging="851"/>
        <w:rPr>
          <w:sz w:val="24"/>
          <w:szCs w:val="24"/>
        </w:rPr>
      </w:pPr>
      <w:r w:rsidRPr="009A49EF">
        <w:rPr>
          <w:sz w:val="24"/>
          <w:szCs w:val="24"/>
        </w:rPr>
        <w:tab/>
        <w:t xml:space="preserve">Høje doser af </w:t>
      </w:r>
      <w:proofErr w:type="spellStart"/>
      <w:r w:rsidRPr="009A49EF">
        <w:rPr>
          <w:sz w:val="24"/>
          <w:szCs w:val="24"/>
        </w:rPr>
        <w:t>cefotaxim</w:t>
      </w:r>
      <w:proofErr w:type="spellEnd"/>
      <w:r w:rsidRPr="009A49EF">
        <w:rPr>
          <w:sz w:val="24"/>
          <w:szCs w:val="24"/>
        </w:rPr>
        <w:t>, især hos patienter med nyreinsufficiens, kan medføre encefalopati (f.eks. nedsat bevidsthedsniveau, abnorme bevægelser og kramper) (se pkt. 4.8). Patienterne bør tilrådes ikke at køre eller betjene maskiner, hvis sådanne symptomer forekommer.</w:t>
      </w:r>
    </w:p>
    <w:p w:rsidR="007D1818" w:rsidRPr="009A49EF" w:rsidRDefault="007D1818" w:rsidP="007D1818">
      <w:pPr>
        <w:rPr>
          <w:sz w:val="24"/>
          <w:szCs w:val="24"/>
        </w:rPr>
      </w:pPr>
    </w:p>
    <w:p w:rsidR="00D52548" w:rsidRPr="00C84483" w:rsidRDefault="00D52548" w:rsidP="00D52548">
      <w:pPr>
        <w:tabs>
          <w:tab w:val="left" w:pos="851"/>
        </w:tabs>
        <w:ind w:left="851" w:hanging="851"/>
        <w:rPr>
          <w:b/>
          <w:sz w:val="24"/>
          <w:szCs w:val="24"/>
        </w:rPr>
      </w:pPr>
      <w:r w:rsidRPr="00C84483">
        <w:rPr>
          <w:b/>
          <w:sz w:val="24"/>
          <w:szCs w:val="24"/>
        </w:rPr>
        <w:t>4.8</w:t>
      </w:r>
      <w:r w:rsidRPr="00C84483">
        <w:rPr>
          <w:b/>
          <w:sz w:val="24"/>
          <w:szCs w:val="24"/>
        </w:rPr>
        <w:tab/>
        <w:t>Bivirkninger</w:t>
      </w:r>
    </w:p>
    <w:p w:rsidR="007D1818" w:rsidRPr="009A49EF" w:rsidRDefault="007D1818" w:rsidP="007D1818">
      <w:pPr>
        <w:ind w:left="851" w:hanging="851"/>
        <w:rPr>
          <w:sz w:val="24"/>
          <w:szCs w:val="24"/>
        </w:rPr>
      </w:pPr>
      <w:r w:rsidRPr="009A49EF">
        <w:rPr>
          <w:sz w:val="24"/>
          <w:szCs w:val="24"/>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2616"/>
        <w:gridCol w:w="2617"/>
        <w:gridCol w:w="2619"/>
      </w:tblGrid>
      <w:tr w:rsidR="007D1818" w:rsidRPr="009A49EF" w:rsidTr="00B6074E">
        <w:trPr>
          <w:tblHeader/>
        </w:trPr>
        <w:tc>
          <w:tcPr>
            <w:tcW w:w="922" w:type="pct"/>
            <w:tcBorders>
              <w:top w:val="single" w:sz="4" w:space="0" w:color="auto"/>
              <w:left w:val="single" w:sz="4" w:space="0" w:color="auto"/>
              <w:bottom w:val="single" w:sz="8" w:space="0" w:color="auto"/>
              <w:right w:val="single" w:sz="8" w:space="0" w:color="auto"/>
            </w:tcBorders>
            <w:hideMark/>
          </w:tcPr>
          <w:p w:rsidR="007D1818" w:rsidRPr="009A49EF" w:rsidRDefault="007D1818" w:rsidP="003B4BCE">
            <w:pPr>
              <w:rPr>
                <w:b/>
                <w:sz w:val="24"/>
                <w:szCs w:val="24"/>
              </w:rPr>
            </w:pPr>
            <w:r w:rsidRPr="009A49EF">
              <w:rPr>
                <w:b/>
                <w:sz w:val="24"/>
                <w:szCs w:val="24"/>
              </w:rPr>
              <w:t>System</w:t>
            </w:r>
          </w:p>
          <w:p w:rsidR="007D1818" w:rsidRPr="009A49EF" w:rsidRDefault="007D1818" w:rsidP="003B4BCE">
            <w:pPr>
              <w:rPr>
                <w:b/>
                <w:sz w:val="24"/>
                <w:szCs w:val="24"/>
              </w:rPr>
            </w:pPr>
            <w:r w:rsidRPr="009A49EF">
              <w:rPr>
                <w:b/>
                <w:sz w:val="24"/>
                <w:szCs w:val="24"/>
              </w:rPr>
              <w:t>organklasse</w:t>
            </w:r>
          </w:p>
        </w:tc>
        <w:tc>
          <w:tcPr>
            <w:tcW w:w="1359" w:type="pct"/>
            <w:tcBorders>
              <w:top w:val="single" w:sz="4" w:space="0" w:color="auto"/>
              <w:left w:val="single" w:sz="8" w:space="0" w:color="auto"/>
              <w:bottom w:val="single" w:sz="8" w:space="0" w:color="auto"/>
              <w:right w:val="single" w:sz="4" w:space="0" w:color="auto"/>
            </w:tcBorders>
            <w:hideMark/>
          </w:tcPr>
          <w:p w:rsidR="007D1818" w:rsidRPr="009A49EF" w:rsidRDefault="007D1818" w:rsidP="003B4BCE">
            <w:pPr>
              <w:rPr>
                <w:b/>
                <w:sz w:val="24"/>
                <w:szCs w:val="24"/>
              </w:rPr>
            </w:pPr>
            <w:r w:rsidRPr="009A49EF">
              <w:rPr>
                <w:b/>
                <w:sz w:val="24"/>
                <w:szCs w:val="24"/>
              </w:rPr>
              <w:t>Meget almindelig</w:t>
            </w:r>
          </w:p>
          <w:p w:rsidR="007D1818" w:rsidRPr="009A49EF" w:rsidRDefault="007D1818" w:rsidP="003B4BCE">
            <w:pPr>
              <w:rPr>
                <w:b/>
                <w:sz w:val="24"/>
                <w:szCs w:val="24"/>
              </w:rPr>
            </w:pPr>
            <w:r w:rsidRPr="009A49EF">
              <w:rPr>
                <w:b/>
                <w:sz w:val="24"/>
                <w:szCs w:val="24"/>
              </w:rPr>
              <w:t>(</w:t>
            </w:r>
            <w:r w:rsidRPr="009A49EF">
              <w:rPr>
                <w:b/>
                <w:sz w:val="24"/>
                <w:szCs w:val="24"/>
              </w:rPr>
              <w:sym w:font="Symbol" w:char="00B3"/>
            </w:r>
            <w:r w:rsidRPr="009A49EF">
              <w:rPr>
                <w:b/>
                <w:sz w:val="24"/>
                <w:szCs w:val="24"/>
              </w:rPr>
              <w:t>1/10)</w:t>
            </w:r>
          </w:p>
        </w:tc>
        <w:tc>
          <w:tcPr>
            <w:tcW w:w="1359" w:type="pct"/>
            <w:tcBorders>
              <w:top w:val="single" w:sz="4" w:space="0" w:color="auto"/>
              <w:left w:val="single" w:sz="4" w:space="0" w:color="auto"/>
              <w:bottom w:val="single" w:sz="8" w:space="0" w:color="auto"/>
              <w:right w:val="single" w:sz="4" w:space="0" w:color="auto"/>
            </w:tcBorders>
            <w:hideMark/>
          </w:tcPr>
          <w:p w:rsidR="007D1818" w:rsidRPr="009A49EF" w:rsidRDefault="007D1818" w:rsidP="003B4BCE">
            <w:pPr>
              <w:rPr>
                <w:b/>
                <w:sz w:val="24"/>
                <w:szCs w:val="24"/>
              </w:rPr>
            </w:pPr>
            <w:r w:rsidRPr="009A49EF">
              <w:rPr>
                <w:b/>
                <w:sz w:val="24"/>
                <w:szCs w:val="24"/>
              </w:rPr>
              <w:t>Ikke almindelig</w:t>
            </w:r>
          </w:p>
          <w:p w:rsidR="007D1818" w:rsidRPr="009A49EF" w:rsidRDefault="007D1818" w:rsidP="003B4BCE">
            <w:pPr>
              <w:rPr>
                <w:b/>
                <w:sz w:val="24"/>
                <w:szCs w:val="24"/>
              </w:rPr>
            </w:pPr>
            <w:r w:rsidRPr="009A49EF">
              <w:rPr>
                <w:b/>
                <w:sz w:val="24"/>
                <w:szCs w:val="24"/>
              </w:rPr>
              <w:t>(</w:t>
            </w:r>
            <w:r w:rsidRPr="009A49EF">
              <w:rPr>
                <w:b/>
                <w:sz w:val="24"/>
                <w:szCs w:val="24"/>
              </w:rPr>
              <w:sym w:font="Symbol" w:char="00B3"/>
            </w:r>
            <w:r w:rsidRPr="009A49EF">
              <w:rPr>
                <w:b/>
                <w:sz w:val="24"/>
                <w:szCs w:val="24"/>
              </w:rPr>
              <w:t>1/1000 til &lt;1/100)</w:t>
            </w:r>
          </w:p>
        </w:tc>
        <w:tc>
          <w:tcPr>
            <w:tcW w:w="1360" w:type="pct"/>
            <w:tcBorders>
              <w:top w:val="single" w:sz="4" w:space="0" w:color="auto"/>
              <w:left w:val="single" w:sz="4" w:space="0" w:color="auto"/>
              <w:bottom w:val="single" w:sz="8" w:space="0" w:color="auto"/>
              <w:right w:val="single" w:sz="4" w:space="0" w:color="auto"/>
            </w:tcBorders>
            <w:hideMark/>
          </w:tcPr>
          <w:p w:rsidR="007D1818" w:rsidRPr="009A49EF" w:rsidRDefault="007D1818" w:rsidP="003B4BCE">
            <w:pPr>
              <w:rPr>
                <w:b/>
                <w:sz w:val="24"/>
                <w:szCs w:val="24"/>
              </w:rPr>
            </w:pPr>
            <w:r w:rsidRPr="009A49EF">
              <w:rPr>
                <w:b/>
                <w:sz w:val="24"/>
                <w:szCs w:val="24"/>
              </w:rPr>
              <w:t xml:space="preserve">Ikke kendt (kan ikke estimeres fra forhåndenværende </w:t>
            </w:r>
            <w:proofErr w:type="gramStart"/>
            <w:r w:rsidRPr="009A49EF">
              <w:rPr>
                <w:b/>
                <w:sz w:val="24"/>
                <w:szCs w:val="24"/>
              </w:rPr>
              <w:t>data)*</w:t>
            </w:r>
            <w:proofErr w:type="gramEnd"/>
          </w:p>
        </w:tc>
      </w:tr>
      <w:tr w:rsidR="007D1818" w:rsidRPr="009A49EF" w:rsidTr="00B6074E">
        <w:tc>
          <w:tcPr>
            <w:tcW w:w="922" w:type="pct"/>
            <w:tcBorders>
              <w:top w:val="single" w:sz="8"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Infektioner og parasitære sygdomme</w:t>
            </w:r>
          </w:p>
        </w:tc>
        <w:tc>
          <w:tcPr>
            <w:tcW w:w="1359" w:type="pct"/>
            <w:tcBorders>
              <w:top w:val="single" w:sz="8"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8" w:space="0" w:color="auto"/>
              <w:left w:val="single" w:sz="4" w:space="0" w:color="auto"/>
              <w:bottom w:val="single" w:sz="4" w:space="0" w:color="auto"/>
              <w:right w:val="single" w:sz="4" w:space="0" w:color="auto"/>
            </w:tcBorders>
          </w:tcPr>
          <w:p w:rsidR="007D1818" w:rsidRPr="009A49EF" w:rsidRDefault="007D1818" w:rsidP="003B4BCE">
            <w:pPr>
              <w:rPr>
                <w:sz w:val="24"/>
                <w:szCs w:val="24"/>
              </w:rPr>
            </w:pPr>
          </w:p>
        </w:tc>
        <w:tc>
          <w:tcPr>
            <w:tcW w:w="1360" w:type="pct"/>
            <w:tcBorders>
              <w:top w:val="single" w:sz="8"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Superinfektion (se pkt. 4.4)</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Blod og lymfesystem</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Leukopeni</w:t>
            </w:r>
            <w:proofErr w:type="spellEnd"/>
            <w:r w:rsidRPr="009A49EF">
              <w:rPr>
                <w:sz w:val="24"/>
                <w:szCs w:val="24"/>
              </w:rPr>
              <w:t xml:space="preserve">, </w:t>
            </w:r>
            <w:proofErr w:type="spellStart"/>
            <w:r w:rsidRPr="009A49EF">
              <w:rPr>
                <w:sz w:val="24"/>
                <w:szCs w:val="24"/>
              </w:rPr>
              <w:t>eosinofili</w:t>
            </w:r>
            <w:proofErr w:type="spellEnd"/>
            <w:r w:rsidRPr="009A49EF">
              <w:rPr>
                <w:sz w:val="24"/>
                <w:szCs w:val="24"/>
              </w:rPr>
              <w:t xml:space="preserve">, </w:t>
            </w:r>
            <w:proofErr w:type="spellStart"/>
            <w:r w:rsidRPr="009A49EF">
              <w:rPr>
                <w:sz w:val="24"/>
                <w:szCs w:val="24"/>
              </w:rPr>
              <w:t>trombocytopeni</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Neutropeni</w:t>
            </w:r>
            <w:proofErr w:type="spellEnd"/>
            <w:r w:rsidRPr="009A49EF">
              <w:rPr>
                <w:sz w:val="24"/>
                <w:szCs w:val="24"/>
              </w:rPr>
              <w:t xml:space="preserve">, </w:t>
            </w:r>
            <w:proofErr w:type="spellStart"/>
            <w:r w:rsidRPr="009A49EF">
              <w:rPr>
                <w:sz w:val="24"/>
                <w:szCs w:val="24"/>
              </w:rPr>
              <w:t>agranulocytose</w:t>
            </w:r>
            <w:proofErr w:type="spellEnd"/>
            <w:r w:rsidRPr="009A49EF">
              <w:rPr>
                <w:sz w:val="24"/>
                <w:szCs w:val="24"/>
              </w:rPr>
              <w:t xml:space="preserve"> (se pkt. 4.4), </w:t>
            </w:r>
            <w:proofErr w:type="spellStart"/>
            <w:r w:rsidRPr="009A49EF">
              <w:rPr>
                <w:sz w:val="24"/>
                <w:szCs w:val="24"/>
              </w:rPr>
              <w:t>hæmolytisk</w:t>
            </w:r>
            <w:proofErr w:type="spellEnd"/>
            <w:r w:rsidRPr="009A49EF">
              <w:rPr>
                <w:sz w:val="24"/>
                <w:szCs w:val="24"/>
              </w:rPr>
              <w:t xml:space="preserve"> anæmi</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Immunsystemet</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Jarisch-Herxheimer</w:t>
            </w:r>
            <w:proofErr w:type="spellEnd"/>
            <w:r w:rsidRPr="009A49EF">
              <w:rPr>
                <w:sz w:val="24"/>
                <w:szCs w:val="24"/>
              </w:rPr>
              <w:t xml:space="preserve"> reaktioner</w:t>
            </w:r>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Anafylaktiske</w:t>
            </w:r>
            <w:proofErr w:type="spellEnd"/>
            <w:r w:rsidRPr="009A49EF">
              <w:rPr>
                <w:sz w:val="24"/>
                <w:szCs w:val="24"/>
              </w:rPr>
              <w:t xml:space="preserve"> reaktioner, </w:t>
            </w:r>
            <w:proofErr w:type="spellStart"/>
            <w:r w:rsidRPr="009A49EF">
              <w:rPr>
                <w:sz w:val="24"/>
                <w:szCs w:val="24"/>
              </w:rPr>
              <w:t>angioødem</w:t>
            </w:r>
            <w:proofErr w:type="spellEnd"/>
            <w:r w:rsidRPr="009A49EF">
              <w:rPr>
                <w:sz w:val="24"/>
                <w:szCs w:val="24"/>
              </w:rPr>
              <w:t xml:space="preserve">, </w:t>
            </w:r>
            <w:proofErr w:type="spellStart"/>
            <w:r w:rsidRPr="009A49EF">
              <w:rPr>
                <w:sz w:val="24"/>
                <w:szCs w:val="24"/>
              </w:rPr>
              <w:t>bronchospasme</w:t>
            </w:r>
            <w:proofErr w:type="spellEnd"/>
            <w:r w:rsidRPr="009A49EF">
              <w:rPr>
                <w:sz w:val="24"/>
                <w:szCs w:val="24"/>
              </w:rPr>
              <w:t xml:space="preserve">, </w:t>
            </w:r>
            <w:proofErr w:type="spellStart"/>
            <w:r w:rsidRPr="009A49EF">
              <w:rPr>
                <w:sz w:val="24"/>
                <w:szCs w:val="24"/>
              </w:rPr>
              <w:t>anafylaktisk</w:t>
            </w:r>
            <w:proofErr w:type="spellEnd"/>
            <w:r w:rsidRPr="009A49EF">
              <w:rPr>
                <w:sz w:val="24"/>
                <w:szCs w:val="24"/>
              </w:rPr>
              <w:t xml:space="preserve"> </w:t>
            </w:r>
            <w:proofErr w:type="spellStart"/>
            <w:r w:rsidRPr="009A49EF">
              <w:rPr>
                <w:sz w:val="24"/>
                <w:szCs w:val="24"/>
              </w:rPr>
              <w:t>shock</w:t>
            </w:r>
            <w:proofErr w:type="spellEnd"/>
            <w:r w:rsidRPr="009A49EF">
              <w:rPr>
                <w:sz w:val="24"/>
                <w:szCs w:val="24"/>
              </w:rPr>
              <w:t>.</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Nervesystemet</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Kramper (se pkt. 4.4)</w:t>
            </w:r>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Hovedpine, svimmelhed, encefalopati (f.eks. nedsat bevidstheds</w:t>
            </w:r>
            <w:r w:rsidRPr="009A49EF">
              <w:rPr>
                <w:sz w:val="24"/>
                <w:szCs w:val="24"/>
              </w:rPr>
              <w:softHyphen/>
              <w:t>niveau, abnorme bevægelser) (se pkt. 4.4)</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Hjerte</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tcPr>
          <w:p w:rsidR="007D1818" w:rsidRPr="009A49EF" w:rsidRDefault="007D1818" w:rsidP="003B4BCE">
            <w:pPr>
              <w:rPr>
                <w:sz w:val="24"/>
                <w:szCs w:val="24"/>
              </w:rPr>
            </w:pPr>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Arytmi</w:t>
            </w:r>
            <w:proofErr w:type="spellEnd"/>
            <w:r w:rsidRPr="009A49EF">
              <w:rPr>
                <w:sz w:val="24"/>
                <w:szCs w:val="24"/>
              </w:rPr>
              <w:t xml:space="preserve"> efter hurtig </w:t>
            </w:r>
            <w:proofErr w:type="spellStart"/>
            <w:r w:rsidRPr="009A49EF">
              <w:rPr>
                <w:sz w:val="24"/>
                <w:szCs w:val="24"/>
              </w:rPr>
              <w:t>bolusinfusion</w:t>
            </w:r>
            <w:proofErr w:type="spellEnd"/>
            <w:r w:rsidRPr="009A49EF">
              <w:rPr>
                <w:sz w:val="24"/>
                <w:szCs w:val="24"/>
              </w:rPr>
              <w:t xml:space="preserve"> gennem centralt venekateter</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Mave-tarm-kanalen</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Diaré</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Kvalme, opkastning, mavesmerter, </w:t>
            </w:r>
            <w:proofErr w:type="spellStart"/>
            <w:r w:rsidRPr="009A49EF">
              <w:rPr>
                <w:sz w:val="24"/>
                <w:szCs w:val="24"/>
              </w:rPr>
              <w:t>pseudomembranøs</w:t>
            </w:r>
            <w:proofErr w:type="spellEnd"/>
            <w:r w:rsidRPr="009A49EF">
              <w:rPr>
                <w:sz w:val="24"/>
                <w:szCs w:val="24"/>
              </w:rPr>
              <w:t xml:space="preserve"> colitis (se pkt. 4.4)</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Lever og galdeveje</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Øgede leverenzymer (ALAT, ASAT, LDH, gamma-GT og/eller alkalisk fosfatase) og/eller bilirubin</w:t>
            </w:r>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Hepatitis* (undertiden med gulsot)</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Hud og subkutane væv</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Udslæt, </w:t>
            </w:r>
            <w:proofErr w:type="spellStart"/>
            <w:r w:rsidRPr="009A49EF">
              <w:rPr>
                <w:sz w:val="24"/>
                <w:szCs w:val="24"/>
              </w:rPr>
              <w:t>pruritus</w:t>
            </w:r>
            <w:proofErr w:type="spellEnd"/>
            <w:r w:rsidRPr="009A49EF">
              <w:rPr>
                <w:sz w:val="24"/>
                <w:szCs w:val="24"/>
              </w:rPr>
              <w:t xml:space="preserve">, </w:t>
            </w:r>
            <w:proofErr w:type="spellStart"/>
            <w:r w:rsidRPr="009A49EF">
              <w:rPr>
                <w:sz w:val="24"/>
                <w:szCs w:val="24"/>
              </w:rPr>
              <w:t>urticaria</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17C37" w:rsidP="003B4BCE">
            <w:pPr>
              <w:rPr>
                <w:sz w:val="24"/>
                <w:szCs w:val="24"/>
              </w:rPr>
            </w:pPr>
            <w:proofErr w:type="spellStart"/>
            <w:r>
              <w:rPr>
                <w:sz w:val="24"/>
                <w:szCs w:val="24"/>
              </w:rPr>
              <w:t>Erythema</w:t>
            </w:r>
            <w:proofErr w:type="spellEnd"/>
            <w:r>
              <w:rPr>
                <w:sz w:val="24"/>
                <w:szCs w:val="24"/>
              </w:rPr>
              <w:t xml:space="preserve"> multiforme, Stevens-Johnson</w:t>
            </w:r>
            <w:r w:rsidR="00D52548">
              <w:rPr>
                <w:sz w:val="24"/>
                <w:szCs w:val="24"/>
              </w:rPr>
              <w:t>s</w:t>
            </w:r>
            <w:r>
              <w:rPr>
                <w:sz w:val="24"/>
                <w:szCs w:val="24"/>
              </w:rPr>
              <w:t xml:space="preserve"> syndrom,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w:t>
            </w:r>
            <w:r>
              <w:rPr>
                <w:noProof/>
                <w:szCs w:val="22"/>
              </w:rPr>
              <w:t xml:space="preserve">akut generaliseret eksantematøs pustulose (AGEP), </w:t>
            </w:r>
            <w:r>
              <w:rPr>
                <w:sz w:val="24"/>
                <w:szCs w:val="24"/>
              </w:rPr>
              <w:t xml:space="preserve">Lægemiddelreaktion med </w:t>
            </w:r>
            <w:proofErr w:type="spellStart"/>
            <w:r>
              <w:rPr>
                <w:sz w:val="24"/>
                <w:szCs w:val="24"/>
              </w:rPr>
              <w:t>eosinofili</w:t>
            </w:r>
            <w:proofErr w:type="spellEnd"/>
            <w:r>
              <w:rPr>
                <w:sz w:val="24"/>
                <w:szCs w:val="24"/>
              </w:rPr>
              <w:t xml:space="preserve"> og systemiske symptomer (DRESS) (se pkt. 4.4)</w:t>
            </w:r>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Nyrer og urinveje</w:t>
            </w:r>
          </w:p>
        </w:tc>
        <w:tc>
          <w:tcPr>
            <w:tcW w:w="1359" w:type="pct"/>
            <w:tcBorders>
              <w:top w:val="single" w:sz="4" w:space="0" w:color="auto"/>
              <w:left w:val="single" w:sz="8" w:space="0" w:color="auto"/>
              <w:bottom w:val="single" w:sz="4" w:space="0" w:color="auto"/>
              <w:right w:val="single" w:sz="4" w:space="0" w:color="auto"/>
            </w:tcBorders>
          </w:tcPr>
          <w:p w:rsidR="007D1818" w:rsidRPr="009A49EF" w:rsidRDefault="007D1818" w:rsidP="003B4BCE">
            <w:pPr>
              <w:rPr>
                <w:sz w:val="24"/>
                <w:szCs w:val="24"/>
              </w:rPr>
            </w:pP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Nedsat nyrefunktion/øget </w:t>
            </w:r>
            <w:proofErr w:type="spellStart"/>
            <w:r w:rsidRPr="009A49EF">
              <w:rPr>
                <w:sz w:val="24"/>
                <w:szCs w:val="24"/>
              </w:rPr>
              <w:t>kreatinin</w:t>
            </w:r>
            <w:proofErr w:type="spellEnd"/>
            <w:r w:rsidRPr="009A49EF">
              <w:rPr>
                <w:sz w:val="24"/>
                <w:szCs w:val="24"/>
              </w:rPr>
              <w:t xml:space="preserve"> (særligt ved samtidigt ordinerede aminoglykosider)</w:t>
            </w:r>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proofErr w:type="spellStart"/>
            <w:r w:rsidRPr="009A49EF">
              <w:rPr>
                <w:sz w:val="24"/>
                <w:szCs w:val="24"/>
              </w:rPr>
              <w:t>Interstitiel</w:t>
            </w:r>
            <w:proofErr w:type="spellEnd"/>
            <w:r w:rsidRPr="009A49EF">
              <w:rPr>
                <w:sz w:val="24"/>
                <w:szCs w:val="24"/>
              </w:rPr>
              <w:t xml:space="preserve"> </w:t>
            </w:r>
            <w:proofErr w:type="spellStart"/>
            <w:r w:rsidRPr="009A49EF">
              <w:rPr>
                <w:sz w:val="24"/>
                <w:szCs w:val="24"/>
              </w:rPr>
              <w:t>nefritis</w:t>
            </w:r>
            <w:proofErr w:type="spellEnd"/>
          </w:p>
        </w:tc>
      </w:tr>
      <w:tr w:rsidR="007D1818" w:rsidRPr="009A49EF" w:rsidTr="00B6074E">
        <w:tc>
          <w:tcPr>
            <w:tcW w:w="922" w:type="pct"/>
            <w:tcBorders>
              <w:top w:val="single" w:sz="4" w:space="0" w:color="auto"/>
              <w:left w:val="single" w:sz="4" w:space="0" w:color="auto"/>
              <w:bottom w:val="single" w:sz="4" w:space="0" w:color="auto"/>
              <w:right w:val="single" w:sz="8" w:space="0" w:color="auto"/>
            </w:tcBorders>
            <w:hideMark/>
          </w:tcPr>
          <w:p w:rsidR="007D1818" w:rsidRPr="009A49EF" w:rsidRDefault="007D1818" w:rsidP="003B4BCE">
            <w:pPr>
              <w:rPr>
                <w:sz w:val="24"/>
                <w:szCs w:val="24"/>
              </w:rPr>
            </w:pPr>
            <w:r w:rsidRPr="009A49EF">
              <w:rPr>
                <w:sz w:val="24"/>
                <w:szCs w:val="24"/>
              </w:rPr>
              <w:t>Almene symptomer og reaktioner på administrations-stedet</w:t>
            </w:r>
          </w:p>
        </w:tc>
        <w:tc>
          <w:tcPr>
            <w:tcW w:w="1359" w:type="pct"/>
            <w:tcBorders>
              <w:top w:val="single" w:sz="4" w:space="0" w:color="auto"/>
              <w:left w:val="single" w:sz="8"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Ved </w:t>
            </w:r>
            <w:proofErr w:type="spellStart"/>
            <w:r w:rsidRPr="009A49EF">
              <w:rPr>
                <w:sz w:val="24"/>
                <w:szCs w:val="24"/>
              </w:rPr>
              <w:t>i.m</w:t>
            </w:r>
            <w:proofErr w:type="spellEnd"/>
            <w:r w:rsidRPr="009A49EF">
              <w:rPr>
                <w:sz w:val="24"/>
                <w:szCs w:val="24"/>
              </w:rPr>
              <w:t xml:space="preserve"> formuleringer: Smerter på injektionsstedet</w:t>
            </w:r>
          </w:p>
        </w:tc>
        <w:tc>
          <w:tcPr>
            <w:tcW w:w="1359"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Feber, inflammatoriske reaktioner på injektionsstedet, inklusive </w:t>
            </w:r>
            <w:proofErr w:type="spellStart"/>
            <w:r w:rsidRPr="009A49EF">
              <w:rPr>
                <w:sz w:val="24"/>
                <w:szCs w:val="24"/>
              </w:rPr>
              <w:t>flebitis</w:t>
            </w:r>
            <w:proofErr w:type="spellEnd"/>
            <w:r w:rsidRPr="009A49EF">
              <w:rPr>
                <w:sz w:val="24"/>
                <w:szCs w:val="24"/>
              </w:rPr>
              <w:t>/</w:t>
            </w:r>
            <w:proofErr w:type="spellStart"/>
            <w:r w:rsidRPr="009A49EF">
              <w:rPr>
                <w:sz w:val="24"/>
                <w:szCs w:val="24"/>
              </w:rPr>
              <w:t>tromboflebitis</w:t>
            </w:r>
            <w:proofErr w:type="spellEnd"/>
          </w:p>
        </w:tc>
        <w:tc>
          <w:tcPr>
            <w:tcW w:w="136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sz w:val="24"/>
                <w:szCs w:val="24"/>
              </w:rPr>
            </w:pPr>
            <w:r w:rsidRPr="009A49EF">
              <w:rPr>
                <w:sz w:val="24"/>
                <w:szCs w:val="24"/>
              </w:rPr>
              <w:t xml:space="preserve">Ved </w:t>
            </w:r>
            <w:proofErr w:type="spellStart"/>
            <w:r w:rsidRPr="009A49EF">
              <w:rPr>
                <w:sz w:val="24"/>
                <w:szCs w:val="24"/>
              </w:rPr>
              <w:t>i.m</w:t>
            </w:r>
            <w:proofErr w:type="spellEnd"/>
            <w:r w:rsidRPr="009A49EF">
              <w:rPr>
                <w:sz w:val="24"/>
                <w:szCs w:val="24"/>
              </w:rPr>
              <w:t xml:space="preserve">. formuleringer (idet opløsningen indeholder </w:t>
            </w:r>
            <w:proofErr w:type="spellStart"/>
            <w:r w:rsidRPr="009A49EF">
              <w:rPr>
                <w:sz w:val="24"/>
                <w:szCs w:val="24"/>
              </w:rPr>
              <w:t>lidocain</w:t>
            </w:r>
            <w:proofErr w:type="spellEnd"/>
            <w:r w:rsidRPr="009A49EF">
              <w:rPr>
                <w:sz w:val="24"/>
                <w:szCs w:val="24"/>
              </w:rPr>
              <w:t xml:space="preserve">): Systemiske reaktioner over for </w:t>
            </w:r>
            <w:proofErr w:type="spellStart"/>
            <w:r w:rsidRPr="009A49EF">
              <w:rPr>
                <w:sz w:val="24"/>
                <w:szCs w:val="24"/>
              </w:rPr>
              <w:t>lidocain</w:t>
            </w:r>
            <w:proofErr w:type="spellEnd"/>
          </w:p>
        </w:tc>
      </w:tr>
    </w:tbl>
    <w:p w:rsidR="007D1818" w:rsidRPr="009A49EF" w:rsidRDefault="007D1818" w:rsidP="007D1818">
      <w:pPr>
        <w:ind w:left="851" w:hanging="851"/>
        <w:rPr>
          <w:sz w:val="24"/>
          <w:szCs w:val="24"/>
        </w:rPr>
      </w:pPr>
      <w:r w:rsidRPr="009A49EF">
        <w:rPr>
          <w:sz w:val="24"/>
          <w:szCs w:val="24"/>
        </w:rPr>
        <w:t>* erfaringer efter markedsføring</w:t>
      </w:r>
    </w:p>
    <w:p w:rsidR="007D1818" w:rsidRPr="009A49EF" w:rsidRDefault="007D1818" w:rsidP="007D1818">
      <w:pPr>
        <w:ind w:left="851" w:hanging="851"/>
        <w:rPr>
          <w:sz w:val="24"/>
          <w:szCs w:val="24"/>
        </w:rPr>
      </w:pPr>
    </w:p>
    <w:p w:rsidR="007D1818" w:rsidRPr="009A49EF" w:rsidRDefault="007D1818" w:rsidP="007D1818">
      <w:pPr>
        <w:ind w:left="851"/>
        <w:rPr>
          <w:sz w:val="24"/>
          <w:szCs w:val="24"/>
          <w:u w:val="single"/>
        </w:rPr>
      </w:pPr>
      <w:proofErr w:type="spellStart"/>
      <w:r w:rsidRPr="009A49EF">
        <w:rPr>
          <w:sz w:val="24"/>
          <w:szCs w:val="24"/>
          <w:u w:val="single"/>
        </w:rPr>
        <w:t>Jarisch-Herxheimer</w:t>
      </w:r>
      <w:proofErr w:type="spellEnd"/>
      <w:r w:rsidRPr="009A49EF">
        <w:rPr>
          <w:sz w:val="24"/>
          <w:szCs w:val="24"/>
          <w:u w:val="single"/>
        </w:rPr>
        <w:t xml:space="preserve"> reaktion</w:t>
      </w:r>
    </w:p>
    <w:p w:rsidR="007D1818" w:rsidRPr="009A49EF" w:rsidRDefault="007D1818" w:rsidP="007D1818">
      <w:pPr>
        <w:ind w:left="851"/>
        <w:rPr>
          <w:sz w:val="24"/>
          <w:szCs w:val="24"/>
        </w:rPr>
      </w:pPr>
      <w:r w:rsidRPr="009A49EF">
        <w:rPr>
          <w:sz w:val="24"/>
          <w:szCs w:val="24"/>
        </w:rPr>
        <w:t xml:space="preserve">Ved behandling af </w:t>
      </w:r>
      <w:proofErr w:type="spellStart"/>
      <w:r w:rsidRPr="009A49EF">
        <w:rPr>
          <w:sz w:val="24"/>
          <w:szCs w:val="24"/>
        </w:rPr>
        <w:t>borreliosis</w:t>
      </w:r>
      <w:proofErr w:type="spellEnd"/>
      <w:r w:rsidRPr="009A49EF">
        <w:rPr>
          <w:sz w:val="24"/>
          <w:szCs w:val="24"/>
        </w:rPr>
        <w:t xml:space="preserve">, kan der udvikles en </w:t>
      </w:r>
      <w:proofErr w:type="spellStart"/>
      <w:r w:rsidRPr="009A49EF">
        <w:rPr>
          <w:sz w:val="24"/>
          <w:szCs w:val="24"/>
        </w:rPr>
        <w:t>Jarisch-Herxheimer</w:t>
      </w:r>
      <w:proofErr w:type="spellEnd"/>
      <w:r w:rsidRPr="009A49EF">
        <w:rPr>
          <w:sz w:val="24"/>
          <w:szCs w:val="24"/>
        </w:rPr>
        <w:t xml:space="preserve"> reaktion under de første dages behandling.</w:t>
      </w:r>
    </w:p>
    <w:p w:rsidR="007D1818" w:rsidRPr="009A49EF" w:rsidRDefault="007D1818" w:rsidP="007D1818">
      <w:pPr>
        <w:ind w:left="851"/>
        <w:rPr>
          <w:sz w:val="24"/>
          <w:szCs w:val="24"/>
        </w:rPr>
      </w:pPr>
      <w:r w:rsidRPr="009A49EF">
        <w:rPr>
          <w:sz w:val="24"/>
          <w:szCs w:val="24"/>
        </w:rPr>
        <w:t xml:space="preserve">Forekomsten af et eller flere af følgende symptomer er blevet rapporteret efter adskillige ugers behandling af </w:t>
      </w:r>
      <w:proofErr w:type="spellStart"/>
      <w:r w:rsidRPr="009A49EF">
        <w:rPr>
          <w:sz w:val="24"/>
          <w:szCs w:val="24"/>
        </w:rPr>
        <w:t>borreliosis</w:t>
      </w:r>
      <w:proofErr w:type="spellEnd"/>
      <w:r w:rsidRPr="009A49EF">
        <w:rPr>
          <w:sz w:val="24"/>
          <w:szCs w:val="24"/>
        </w:rPr>
        <w:t xml:space="preserve">: Hududslæt, kløe, feber, </w:t>
      </w:r>
      <w:proofErr w:type="spellStart"/>
      <w:r w:rsidRPr="009A49EF">
        <w:rPr>
          <w:sz w:val="24"/>
          <w:szCs w:val="24"/>
        </w:rPr>
        <w:t>leukopeni</w:t>
      </w:r>
      <w:proofErr w:type="spellEnd"/>
      <w:r w:rsidRPr="009A49EF">
        <w:rPr>
          <w:sz w:val="24"/>
          <w:szCs w:val="24"/>
        </w:rPr>
        <w:t>, øgede leverenzymer, vejrtrækningsbesvær, ubehag i led.</w:t>
      </w:r>
    </w:p>
    <w:p w:rsidR="007D1818" w:rsidRPr="009A49EF" w:rsidRDefault="007D1818" w:rsidP="007D1818">
      <w:pPr>
        <w:ind w:left="851"/>
        <w:rPr>
          <w:sz w:val="24"/>
          <w:szCs w:val="24"/>
          <w:u w:val="single"/>
        </w:rPr>
      </w:pPr>
    </w:p>
    <w:p w:rsidR="007D1818" w:rsidRPr="009A49EF" w:rsidRDefault="007D1818" w:rsidP="007D1818">
      <w:pPr>
        <w:ind w:left="851"/>
        <w:rPr>
          <w:sz w:val="24"/>
          <w:szCs w:val="24"/>
          <w:u w:val="single"/>
        </w:rPr>
      </w:pPr>
      <w:r w:rsidRPr="009A49EF">
        <w:rPr>
          <w:sz w:val="24"/>
          <w:szCs w:val="24"/>
          <w:u w:val="single"/>
        </w:rPr>
        <w:t>Lever og galdeveje</w:t>
      </w:r>
    </w:p>
    <w:p w:rsidR="007D1818" w:rsidRPr="009A49EF" w:rsidRDefault="007D1818" w:rsidP="007D1818">
      <w:pPr>
        <w:ind w:left="851"/>
        <w:rPr>
          <w:sz w:val="24"/>
          <w:szCs w:val="24"/>
        </w:rPr>
      </w:pPr>
      <w:r w:rsidRPr="009A49EF">
        <w:rPr>
          <w:sz w:val="24"/>
          <w:szCs w:val="24"/>
        </w:rPr>
        <w:t xml:space="preserve">Der er set øgede leverenzymer (ALAT, ASAT, LDH, gamma-GT og/eller alkalisk fosfatase) og/eller bilirubin. Disse laboratorieabnormiteter kan i sjældne tilfælde være mere end to gange højere end det øvre normalområde og klarlægge et mønster på leverskade, der sædvanligvis er </w:t>
      </w:r>
      <w:proofErr w:type="spellStart"/>
      <w:r w:rsidRPr="009A49EF">
        <w:rPr>
          <w:sz w:val="24"/>
          <w:szCs w:val="24"/>
        </w:rPr>
        <w:t>kolestatisk</w:t>
      </w:r>
      <w:proofErr w:type="spellEnd"/>
      <w:r w:rsidRPr="009A49EF">
        <w:rPr>
          <w:sz w:val="24"/>
          <w:szCs w:val="24"/>
        </w:rPr>
        <w:t xml:space="preserve"> og oftest asymptomatisk. </w:t>
      </w:r>
    </w:p>
    <w:p w:rsidR="007D1818" w:rsidRPr="009A49EF" w:rsidRDefault="007D1818" w:rsidP="007D1818">
      <w:pPr>
        <w:ind w:left="851"/>
        <w:rPr>
          <w:sz w:val="24"/>
          <w:szCs w:val="24"/>
        </w:rPr>
      </w:pPr>
    </w:p>
    <w:p w:rsidR="007D1818" w:rsidRPr="008F49E1" w:rsidRDefault="007D1818" w:rsidP="007D1818">
      <w:pPr>
        <w:autoSpaceDE w:val="0"/>
        <w:autoSpaceDN w:val="0"/>
        <w:ind w:left="851"/>
        <w:rPr>
          <w:sz w:val="24"/>
          <w:szCs w:val="24"/>
          <w:u w:val="single"/>
          <w:lang w:eastAsia="da-DK"/>
        </w:rPr>
      </w:pPr>
      <w:r w:rsidRPr="008F49E1">
        <w:rPr>
          <w:sz w:val="24"/>
          <w:szCs w:val="24"/>
          <w:u w:val="single"/>
          <w:lang w:eastAsia="da-DK"/>
        </w:rPr>
        <w:t>Indberetning af formodede bivirkninger</w:t>
      </w:r>
    </w:p>
    <w:p w:rsidR="007D1818" w:rsidRPr="008F49E1" w:rsidRDefault="007D1818" w:rsidP="007D1818">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A0041">
        <w:rPr>
          <w:sz w:val="24"/>
          <w:szCs w:val="24"/>
          <w:lang w:eastAsia="da-DK"/>
        </w:rPr>
        <w:t>S</w:t>
      </w:r>
      <w:r w:rsidRPr="008F49E1">
        <w:rPr>
          <w:sz w:val="24"/>
          <w:szCs w:val="24"/>
          <w:lang w:eastAsia="da-DK"/>
        </w:rPr>
        <w:t>undhedsperson</w:t>
      </w:r>
      <w:r w:rsidR="00DA0041">
        <w:rPr>
          <w:sz w:val="24"/>
          <w:szCs w:val="24"/>
          <w:lang w:eastAsia="da-DK"/>
        </w:rPr>
        <w:t>er</w:t>
      </w:r>
      <w:r w:rsidRPr="008F49E1">
        <w:rPr>
          <w:sz w:val="24"/>
          <w:szCs w:val="24"/>
          <w:lang w:eastAsia="da-DK"/>
        </w:rPr>
        <w:t xml:space="preserve"> anmodes om at indberette alle formodede bivirkninger via:</w:t>
      </w:r>
    </w:p>
    <w:p w:rsidR="007D1818" w:rsidRPr="008F49E1" w:rsidRDefault="007D1818" w:rsidP="007D1818">
      <w:pPr>
        <w:ind w:left="851"/>
        <w:rPr>
          <w:sz w:val="24"/>
          <w:szCs w:val="24"/>
          <w:lang w:eastAsia="da-DK"/>
        </w:rPr>
      </w:pPr>
    </w:p>
    <w:p w:rsidR="007D1818" w:rsidRPr="007A276A" w:rsidRDefault="007D1818" w:rsidP="007D1818">
      <w:pPr>
        <w:ind w:left="851"/>
        <w:rPr>
          <w:sz w:val="24"/>
          <w:szCs w:val="24"/>
          <w:lang w:eastAsia="da-DK"/>
        </w:rPr>
      </w:pPr>
      <w:r w:rsidRPr="007A276A">
        <w:rPr>
          <w:sz w:val="24"/>
          <w:szCs w:val="24"/>
          <w:lang w:eastAsia="da-DK"/>
        </w:rPr>
        <w:t>Lægemiddelstyrelsen</w:t>
      </w:r>
    </w:p>
    <w:p w:rsidR="007D1818" w:rsidRPr="007A276A" w:rsidRDefault="007D1818" w:rsidP="007D1818">
      <w:pPr>
        <w:ind w:left="851"/>
        <w:rPr>
          <w:sz w:val="24"/>
          <w:szCs w:val="24"/>
          <w:lang w:eastAsia="da-DK"/>
        </w:rPr>
      </w:pPr>
      <w:r w:rsidRPr="007A276A">
        <w:rPr>
          <w:sz w:val="24"/>
          <w:szCs w:val="24"/>
          <w:lang w:eastAsia="da-DK"/>
        </w:rPr>
        <w:t>Axel Heides Gade 1</w:t>
      </w:r>
    </w:p>
    <w:p w:rsidR="007D1818" w:rsidRPr="007A276A" w:rsidRDefault="007D1818" w:rsidP="007D1818">
      <w:pPr>
        <w:ind w:left="851"/>
        <w:rPr>
          <w:sz w:val="24"/>
          <w:szCs w:val="24"/>
          <w:lang w:eastAsia="da-DK"/>
        </w:rPr>
      </w:pPr>
      <w:r w:rsidRPr="007A276A">
        <w:rPr>
          <w:sz w:val="24"/>
          <w:szCs w:val="24"/>
          <w:lang w:eastAsia="da-DK"/>
        </w:rPr>
        <w:t>DK-2300 København S</w:t>
      </w:r>
    </w:p>
    <w:p w:rsidR="007D1818" w:rsidRPr="007A276A" w:rsidRDefault="007D1818" w:rsidP="007D1818">
      <w:pPr>
        <w:ind w:left="851"/>
        <w:rPr>
          <w:sz w:val="24"/>
          <w:szCs w:val="24"/>
          <w:lang w:val="en-US" w:eastAsia="da-DK"/>
        </w:rPr>
      </w:pPr>
      <w:proofErr w:type="spellStart"/>
      <w:r w:rsidRPr="007A276A">
        <w:rPr>
          <w:sz w:val="24"/>
          <w:szCs w:val="24"/>
          <w:lang w:val="en-US" w:eastAsia="da-DK"/>
        </w:rPr>
        <w:t>Websted</w:t>
      </w:r>
      <w:proofErr w:type="spellEnd"/>
      <w:r w:rsidRPr="007A276A">
        <w:rPr>
          <w:sz w:val="24"/>
          <w:szCs w:val="24"/>
          <w:lang w:val="en-US" w:eastAsia="da-DK"/>
        </w:rPr>
        <w:t xml:space="preserve">: </w:t>
      </w:r>
      <w:r w:rsidRPr="00F42FEA">
        <w:rPr>
          <w:sz w:val="24"/>
          <w:lang w:val="en-US" w:eastAsia="da-DK"/>
        </w:rPr>
        <w:t>www.meldenbivirkning.dk</w:t>
      </w:r>
    </w:p>
    <w:p w:rsidR="007D1818" w:rsidRPr="00130AD0" w:rsidRDefault="007D1818" w:rsidP="007D1818">
      <w:pPr>
        <w:pStyle w:val="Sidehoved"/>
        <w:tabs>
          <w:tab w:val="clear" w:pos="4819"/>
          <w:tab w:val="clear" w:pos="9638"/>
        </w:tabs>
        <w:ind w:left="851" w:hanging="851"/>
        <w:rPr>
          <w:szCs w:val="24"/>
          <w:lang w:val="en-US"/>
        </w:rPr>
      </w:pPr>
    </w:p>
    <w:p w:rsidR="005757DB" w:rsidRPr="00C84483" w:rsidRDefault="005757DB" w:rsidP="005757DB">
      <w:pPr>
        <w:tabs>
          <w:tab w:val="left" w:pos="851"/>
        </w:tabs>
        <w:ind w:left="851" w:hanging="851"/>
        <w:rPr>
          <w:b/>
          <w:sz w:val="24"/>
          <w:szCs w:val="24"/>
        </w:rPr>
      </w:pPr>
      <w:r w:rsidRPr="00C84483">
        <w:rPr>
          <w:b/>
          <w:sz w:val="24"/>
          <w:szCs w:val="24"/>
        </w:rPr>
        <w:t>4.9</w:t>
      </w:r>
      <w:r w:rsidRPr="00C84483">
        <w:rPr>
          <w:b/>
          <w:sz w:val="24"/>
          <w:szCs w:val="24"/>
        </w:rPr>
        <w:tab/>
        <w:t>Overdosering</w:t>
      </w:r>
    </w:p>
    <w:p w:rsidR="007D1818" w:rsidRPr="009A49EF" w:rsidRDefault="007D1818" w:rsidP="00DA0041">
      <w:pPr>
        <w:ind w:left="851"/>
        <w:rPr>
          <w:sz w:val="24"/>
          <w:szCs w:val="24"/>
        </w:rPr>
      </w:pPr>
      <w:r w:rsidRPr="009A49EF">
        <w:rPr>
          <w:sz w:val="24"/>
          <w:szCs w:val="24"/>
        </w:rPr>
        <w:t>Symptomerne på overdosering svarer stort set til bivirkningsprofilen.</w:t>
      </w:r>
    </w:p>
    <w:p w:rsidR="007D1818" w:rsidRPr="009A49EF" w:rsidRDefault="007D1818" w:rsidP="00DA0041">
      <w:pPr>
        <w:ind w:left="851"/>
        <w:rPr>
          <w:sz w:val="24"/>
          <w:szCs w:val="24"/>
        </w:rPr>
      </w:pPr>
      <w:r w:rsidRPr="009A49EF">
        <w:rPr>
          <w:sz w:val="24"/>
          <w:szCs w:val="24"/>
        </w:rPr>
        <w:t xml:space="preserve">Der er en risiko for reversibel encefalopati i tilfælde af administration af høje doser </w:t>
      </w:r>
      <w:proofErr w:type="spellStart"/>
      <w:r w:rsidRPr="009A49EF">
        <w:rPr>
          <w:sz w:val="24"/>
          <w:szCs w:val="24"/>
        </w:rPr>
        <w:t>betalaktam</w:t>
      </w:r>
      <w:proofErr w:type="spellEnd"/>
      <w:r w:rsidRPr="009A49EF">
        <w:rPr>
          <w:sz w:val="24"/>
          <w:szCs w:val="24"/>
        </w:rPr>
        <w:t xml:space="preserve">-antibiotika, inklusive </w:t>
      </w:r>
      <w:proofErr w:type="spellStart"/>
      <w:r w:rsidRPr="009A49EF">
        <w:rPr>
          <w:sz w:val="24"/>
          <w:szCs w:val="24"/>
        </w:rPr>
        <w:t>cefotaxim</w:t>
      </w:r>
      <w:proofErr w:type="spellEnd"/>
      <w:r w:rsidRPr="009A49EF">
        <w:rPr>
          <w:sz w:val="24"/>
          <w:szCs w:val="24"/>
        </w:rPr>
        <w:t xml:space="preserve">. </w:t>
      </w:r>
    </w:p>
    <w:p w:rsidR="007D1818" w:rsidRPr="009A49EF" w:rsidRDefault="007D1818" w:rsidP="00DA0041">
      <w:pPr>
        <w:ind w:left="851"/>
        <w:rPr>
          <w:sz w:val="24"/>
          <w:szCs w:val="24"/>
        </w:rPr>
      </w:pPr>
      <w:r w:rsidRPr="009A49EF">
        <w:rPr>
          <w:sz w:val="24"/>
          <w:szCs w:val="24"/>
        </w:rPr>
        <w:t xml:space="preserve">I tilfælde af overdosering skal </w:t>
      </w:r>
      <w:proofErr w:type="spellStart"/>
      <w:r w:rsidRPr="009A49EF">
        <w:rPr>
          <w:sz w:val="24"/>
          <w:szCs w:val="24"/>
        </w:rPr>
        <w:t>cefotaxim</w:t>
      </w:r>
      <w:proofErr w:type="spellEnd"/>
      <w:r w:rsidRPr="009A49EF">
        <w:rPr>
          <w:sz w:val="24"/>
          <w:szCs w:val="24"/>
        </w:rPr>
        <w:t xml:space="preserve"> seponeres, og der skal iværksættes understøttende behandling, der omfatter tiltag med henblik på accelereret elimination, samt symptomatisk behandling af bivirkninger (f.eks. krampeanfald).</w:t>
      </w:r>
    </w:p>
    <w:p w:rsidR="007D1818" w:rsidRPr="009A49EF" w:rsidRDefault="007D1818" w:rsidP="00DA0041">
      <w:pPr>
        <w:ind w:left="851"/>
        <w:rPr>
          <w:sz w:val="24"/>
          <w:szCs w:val="24"/>
        </w:rPr>
      </w:pPr>
      <w:r w:rsidRPr="009A49EF">
        <w:rPr>
          <w:sz w:val="24"/>
          <w:szCs w:val="24"/>
        </w:rPr>
        <w:t xml:space="preserve">Der findes ingen specifik </w:t>
      </w:r>
      <w:proofErr w:type="spellStart"/>
      <w:r w:rsidRPr="009A49EF">
        <w:rPr>
          <w:sz w:val="24"/>
          <w:szCs w:val="24"/>
        </w:rPr>
        <w:t>antidot</w:t>
      </w:r>
      <w:proofErr w:type="spellEnd"/>
      <w:r w:rsidRPr="009A49EF">
        <w:rPr>
          <w:sz w:val="24"/>
          <w:szCs w:val="24"/>
        </w:rPr>
        <w:t xml:space="preserve">. Serumniveauerne af </w:t>
      </w:r>
      <w:proofErr w:type="spellStart"/>
      <w:r w:rsidRPr="009A49EF">
        <w:rPr>
          <w:sz w:val="24"/>
          <w:szCs w:val="24"/>
        </w:rPr>
        <w:t>cefotaxim</w:t>
      </w:r>
      <w:proofErr w:type="spellEnd"/>
      <w:r w:rsidRPr="009A49EF">
        <w:rPr>
          <w:sz w:val="24"/>
          <w:szCs w:val="24"/>
        </w:rPr>
        <w:t xml:space="preserve"> kan reduceres ved hæmodialyse og </w:t>
      </w:r>
      <w:proofErr w:type="spellStart"/>
      <w:r w:rsidRPr="009A49EF">
        <w:rPr>
          <w:sz w:val="24"/>
          <w:szCs w:val="24"/>
        </w:rPr>
        <w:t>peritonealdialyse</w:t>
      </w:r>
      <w:proofErr w:type="spellEnd"/>
      <w:r w:rsidRPr="009A49EF">
        <w:rPr>
          <w:sz w:val="24"/>
          <w:szCs w:val="24"/>
        </w:rPr>
        <w:t>.</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4.10</w:t>
      </w:r>
      <w:r w:rsidRPr="00C84483">
        <w:rPr>
          <w:b/>
          <w:sz w:val="24"/>
          <w:szCs w:val="24"/>
        </w:rPr>
        <w:tab/>
        <w:t>Udlevering</w:t>
      </w:r>
    </w:p>
    <w:p w:rsidR="007D1818" w:rsidRPr="009A49EF" w:rsidRDefault="007D1818" w:rsidP="007D1818">
      <w:pPr>
        <w:ind w:left="851" w:hanging="851"/>
        <w:rPr>
          <w:sz w:val="24"/>
          <w:szCs w:val="24"/>
        </w:rPr>
      </w:pPr>
      <w:r w:rsidRPr="009A49EF">
        <w:rPr>
          <w:sz w:val="24"/>
          <w:szCs w:val="24"/>
        </w:rPr>
        <w:tab/>
        <w:t>B</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57DB" w:rsidRPr="00C84483" w:rsidRDefault="005757DB" w:rsidP="005757DB">
      <w:pPr>
        <w:tabs>
          <w:tab w:val="left" w:pos="851"/>
        </w:tabs>
        <w:ind w:left="851"/>
        <w:rPr>
          <w:sz w:val="24"/>
          <w:szCs w:val="24"/>
        </w:rPr>
      </w:pPr>
    </w:p>
    <w:p w:rsidR="005757DB" w:rsidRPr="00C84483" w:rsidRDefault="005757DB" w:rsidP="005757D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A0041" w:rsidRPr="009A49EF" w:rsidRDefault="00DA0041" w:rsidP="00DA0041">
      <w:pPr>
        <w:ind w:left="851"/>
        <w:rPr>
          <w:sz w:val="24"/>
          <w:szCs w:val="24"/>
        </w:rPr>
      </w:pPr>
      <w:proofErr w:type="spellStart"/>
      <w:r>
        <w:rPr>
          <w:sz w:val="24"/>
          <w:szCs w:val="24"/>
        </w:rPr>
        <w:t>Farmakoterapeutisk</w:t>
      </w:r>
      <w:proofErr w:type="spellEnd"/>
      <w:r>
        <w:rPr>
          <w:sz w:val="24"/>
          <w:szCs w:val="24"/>
        </w:rPr>
        <w:t xml:space="preserve"> klassifikation: </w:t>
      </w:r>
      <w:r w:rsidRPr="009A49EF">
        <w:rPr>
          <w:sz w:val="24"/>
          <w:szCs w:val="24"/>
        </w:rPr>
        <w:t xml:space="preserve">Tredje-generations </w:t>
      </w:r>
      <w:proofErr w:type="spellStart"/>
      <w:r w:rsidRPr="009A49EF">
        <w:rPr>
          <w:sz w:val="24"/>
          <w:szCs w:val="24"/>
        </w:rPr>
        <w:t>cefalosporin</w:t>
      </w:r>
      <w:proofErr w:type="spellEnd"/>
      <w:r>
        <w:rPr>
          <w:sz w:val="24"/>
          <w:szCs w:val="24"/>
        </w:rPr>
        <w:t xml:space="preserve">, </w:t>
      </w:r>
      <w:r w:rsidRPr="009A49EF">
        <w:rPr>
          <w:sz w:val="24"/>
          <w:szCs w:val="24"/>
        </w:rPr>
        <w:t>ATC-kode: J01DD01.</w:t>
      </w:r>
    </w:p>
    <w:p w:rsidR="007D1818" w:rsidRPr="009A49EF" w:rsidRDefault="007D1818" w:rsidP="00DA0041">
      <w:pPr>
        <w:ind w:left="851"/>
        <w:rPr>
          <w:sz w:val="24"/>
          <w:szCs w:val="24"/>
        </w:rPr>
      </w:pPr>
    </w:p>
    <w:p w:rsidR="007D1818" w:rsidRPr="009A49EF" w:rsidRDefault="007D1818" w:rsidP="007D1818">
      <w:pPr>
        <w:ind w:left="851"/>
        <w:rPr>
          <w:sz w:val="24"/>
          <w:szCs w:val="24"/>
          <w:u w:val="single"/>
        </w:rPr>
      </w:pPr>
      <w:r w:rsidRPr="009A49EF">
        <w:rPr>
          <w:sz w:val="24"/>
          <w:szCs w:val="24"/>
          <w:u w:val="single"/>
        </w:rPr>
        <w:t>Virkningsmekanisme</w:t>
      </w:r>
    </w:p>
    <w:p w:rsidR="007D1818" w:rsidRPr="009A49EF" w:rsidRDefault="007D1818" w:rsidP="007D1818">
      <w:pPr>
        <w:ind w:left="851"/>
        <w:rPr>
          <w:sz w:val="24"/>
          <w:szCs w:val="24"/>
          <w:u w:val="single"/>
        </w:rPr>
      </w:pPr>
      <w:proofErr w:type="spellStart"/>
      <w:r w:rsidRPr="009A49EF">
        <w:rPr>
          <w:sz w:val="24"/>
          <w:szCs w:val="24"/>
        </w:rPr>
        <w:t>Cefotaxims</w:t>
      </w:r>
      <w:proofErr w:type="spellEnd"/>
      <w:r w:rsidRPr="009A49EF">
        <w:rPr>
          <w:sz w:val="24"/>
          <w:szCs w:val="24"/>
        </w:rPr>
        <w:t xml:space="preserve"> baktericide aktivitet opstår som følge af hæmning af syntesen af bakterievæggen (i vækstperioden), der skyldes en hæmning af penicillinbindende proteiner (</w:t>
      </w:r>
      <w:proofErr w:type="spellStart"/>
      <w:r w:rsidRPr="009A49EF">
        <w:rPr>
          <w:sz w:val="24"/>
          <w:szCs w:val="24"/>
        </w:rPr>
        <w:t>BPB’er</w:t>
      </w:r>
      <w:proofErr w:type="spellEnd"/>
      <w:r w:rsidRPr="009A49EF">
        <w:rPr>
          <w:sz w:val="24"/>
          <w:szCs w:val="24"/>
        </w:rPr>
        <w:t xml:space="preserve">), såsom </w:t>
      </w:r>
      <w:proofErr w:type="spellStart"/>
      <w:r w:rsidRPr="009A49EF">
        <w:rPr>
          <w:sz w:val="24"/>
          <w:szCs w:val="24"/>
        </w:rPr>
        <w:t>transpeptidaser</w:t>
      </w:r>
      <w:proofErr w:type="spellEnd"/>
      <w:r w:rsidRPr="009A49EF">
        <w:rPr>
          <w:sz w:val="24"/>
          <w:szCs w:val="24"/>
        </w:rPr>
        <w:t>.</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Resistensmekanisme</w:t>
      </w:r>
    </w:p>
    <w:p w:rsidR="007D1818" w:rsidRPr="009A49EF" w:rsidRDefault="007D1818" w:rsidP="007D1818">
      <w:pPr>
        <w:ind w:left="851"/>
        <w:rPr>
          <w:sz w:val="24"/>
          <w:szCs w:val="24"/>
        </w:rPr>
      </w:pPr>
      <w:r w:rsidRPr="009A49EF">
        <w:rPr>
          <w:sz w:val="24"/>
          <w:szCs w:val="24"/>
        </w:rPr>
        <w:t xml:space="preserve">Resistens over for </w:t>
      </w:r>
      <w:proofErr w:type="spellStart"/>
      <w:r w:rsidRPr="009A49EF">
        <w:rPr>
          <w:sz w:val="24"/>
          <w:szCs w:val="24"/>
        </w:rPr>
        <w:t>cefotaxim</w:t>
      </w:r>
      <w:proofErr w:type="spellEnd"/>
      <w:r w:rsidRPr="009A49EF">
        <w:rPr>
          <w:sz w:val="24"/>
          <w:szCs w:val="24"/>
        </w:rPr>
        <w:t xml:space="preserve"> kan skyldes følgende mekanismer:</w:t>
      </w:r>
    </w:p>
    <w:p w:rsidR="007D1818" w:rsidRPr="009A49EF" w:rsidRDefault="007D1818" w:rsidP="007D1818">
      <w:pPr>
        <w:numPr>
          <w:ilvl w:val="0"/>
          <w:numId w:val="11"/>
        </w:numPr>
        <w:ind w:left="1134" w:hanging="283"/>
        <w:rPr>
          <w:sz w:val="24"/>
          <w:szCs w:val="24"/>
        </w:rPr>
      </w:pPr>
      <w:r w:rsidRPr="009A49EF">
        <w:rPr>
          <w:sz w:val="24"/>
          <w:szCs w:val="24"/>
        </w:rPr>
        <w:t>Inaktivering ved hjælp af beta-</w:t>
      </w:r>
      <w:proofErr w:type="spellStart"/>
      <w:r w:rsidRPr="009A49EF">
        <w:rPr>
          <w:sz w:val="24"/>
          <w:szCs w:val="24"/>
        </w:rPr>
        <w:t>laktamaser</w:t>
      </w:r>
      <w:proofErr w:type="spellEnd"/>
      <w:r w:rsidRPr="009A49EF">
        <w:rPr>
          <w:sz w:val="24"/>
          <w:szCs w:val="24"/>
        </w:rPr>
        <w:t xml:space="preserve">. </w:t>
      </w:r>
      <w:proofErr w:type="spellStart"/>
      <w:r w:rsidRPr="009A49EF">
        <w:rPr>
          <w:sz w:val="24"/>
          <w:szCs w:val="24"/>
        </w:rPr>
        <w:t>Cefotaxim</w:t>
      </w:r>
      <w:proofErr w:type="spellEnd"/>
      <w:r w:rsidRPr="009A49EF">
        <w:rPr>
          <w:sz w:val="24"/>
          <w:szCs w:val="24"/>
        </w:rPr>
        <w:t xml:space="preserve"> kan hydrolyseres af visse beta-</w:t>
      </w:r>
      <w:proofErr w:type="spellStart"/>
      <w:r w:rsidRPr="009A49EF">
        <w:rPr>
          <w:sz w:val="24"/>
          <w:szCs w:val="24"/>
        </w:rPr>
        <w:t>laktamaser</w:t>
      </w:r>
      <w:proofErr w:type="spellEnd"/>
      <w:r w:rsidRPr="009A49EF">
        <w:rPr>
          <w:sz w:val="24"/>
          <w:szCs w:val="24"/>
        </w:rPr>
        <w:t>, særligt af bredspektrede beta-</w:t>
      </w:r>
      <w:proofErr w:type="spellStart"/>
      <w:r w:rsidRPr="009A49EF">
        <w:rPr>
          <w:sz w:val="24"/>
          <w:szCs w:val="24"/>
        </w:rPr>
        <w:t>laktamaser</w:t>
      </w:r>
      <w:proofErr w:type="spellEnd"/>
      <w:r w:rsidRPr="009A49EF">
        <w:rPr>
          <w:sz w:val="24"/>
          <w:szCs w:val="24"/>
        </w:rPr>
        <w:t xml:space="preserve"> (</w:t>
      </w:r>
      <w:proofErr w:type="spellStart"/>
      <w:r w:rsidRPr="009A49EF">
        <w:rPr>
          <w:sz w:val="24"/>
          <w:szCs w:val="24"/>
        </w:rPr>
        <w:t>ESBL’er</w:t>
      </w:r>
      <w:proofErr w:type="spellEnd"/>
      <w:r w:rsidRPr="009A49EF">
        <w:rPr>
          <w:sz w:val="24"/>
          <w:szCs w:val="24"/>
        </w:rPr>
        <w:t xml:space="preserve">), som kan findes i stammer af </w:t>
      </w:r>
      <w:r w:rsidRPr="009A49EF">
        <w:rPr>
          <w:i/>
          <w:sz w:val="24"/>
          <w:szCs w:val="24"/>
        </w:rPr>
        <w:t>Escherichia coli</w:t>
      </w:r>
      <w:r w:rsidRPr="009A49EF">
        <w:rPr>
          <w:sz w:val="24"/>
          <w:szCs w:val="24"/>
        </w:rPr>
        <w:t xml:space="preserve"> eller </w:t>
      </w:r>
      <w:proofErr w:type="spellStart"/>
      <w:r w:rsidRPr="009A49EF">
        <w:rPr>
          <w:i/>
          <w:sz w:val="24"/>
          <w:szCs w:val="24"/>
        </w:rPr>
        <w:t>Klebsiella</w:t>
      </w:r>
      <w:proofErr w:type="spellEnd"/>
      <w:r w:rsidRPr="009A49EF">
        <w:rPr>
          <w:i/>
          <w:sz w:val="24"/>
          <w:szCs w:val="24"/>
        </w:rPr>
        <w:t xml:space="preserve"> </w:t>
      </w:r>
      <w:proofErr w:type="spellStart"/>
      <w:r w:rsidRPr="009A49EF">
        <w:rPr>
          <w:i/>
          <w:sz w:val="24"/>
          <w:szCs w:val="24"/>
        </w:rPr>
        <w:t>pneumoniae</w:t>
      </w:r>
      <w:proofErr w:type="spellEnd"/>
      <w:r w:rsidRPr="009A49EF">
        <w:rPr>
          <w:sz w:val="24"/>
          <w:szCs w:val="24"/>
        </w:rPr>
        <w:t xml:space="preserve">, eller af kromosomalt kodede </w:t>
      </w:r>
      <w:proofErr w:type="spellStart"/>
      <w:r w:rsidRPr="009A49EF">
        <w:rPr>
          <w:sz w:val="24"/>
          <w:szCs w:val="24"/>
        </w:rPr>
        <w:t>inducible</w:t>
      </w:r>
      <w:proofErr w:type="spellEnd"/>
      <w:r w:rsidRPr="009A49EF">
        <w:rPr>
          <w:sz w:val="24"/>
          <w:szCs w:val="24"/>
        </w:rPr>
        <w:t xml:space="preserve"> eller konstitutive beta-</w:t>
      </w:r>
      <w:proofErr w:type="spellStart"/>
      <w:r w:rsidRPr="009A49EF">
        <w:rPr>
          <w:sz w:val="24"/>
          <w:szCs w:val="24"/>
        </w:rPr>
        <w:t>laktamaser</w:t>
      </w:r>
      <w:proofErr w:type="spellEnd"/>
      <w:r w:rsidRPr="009A49EF">
        <w:rPr>
          <w:sz w:val="24"/>
          <w:szCs w:val="24"/>
        </w:rPr>
        <w:t xml:space="preserve"> af </w:t>
      </w:r>
      <w:proofErr w:type="spellStart"/>
      <w:r w:rsidRPr="009A49EF">
        <w:rPr>
          <w:sz w:val="24"/>
          <w:szCs w:val="24"/>
        </w:rPr>
        <w:t>AmpC</w:t>
      </w:r>
      <w:proofErr w:type="spellEnd"/>
      <w:r w:rsidRPr="009A49EF">
        <w:rPr>
          <w:sz w:val="24"/>
          <w:szCs w:val="24"/>
        </w:rPr>
        <w:t xml:space="preserve">-typen, som kan findes i </w:t>
      </w:r>
      <w:proofErr w:type="spellStart"/>
      <w:r w:rsidRPr="009A49EF">
        <w:rPr>
          <w:i/>
          <w:sz w:val="24"/>
          <w:szCs w:val="24"/>
        </w:rPr>
        <w:t>Enterobacter</w:t>
      </w:r>
      <w:proofErr w:type="spellEnd"/>
      <w:r w:rsidRPr="009A49EF">
        <w:rPr>
          <w:i/>
          <w:sz w:val="24"/>
          <w:szCs w:val="24"/>
        </w:rPr>
        <w:t xml:space="preserve"> </w:t>
      </w:r>
      <w:proofErr w:type="spellStart"/>
      <w:r w:rsidRPr="009A49EF">
        <w:rPr>
          <w:i/>
          <w:sz w:val="24"/>
          <w:szCs w:val="24"/>
        </w:rPr>
        <w:t>cloacae</w:t>
      </w:r>
      <w:proofErr w:type="spellEnd"/>
      <w:r w:rsidRPr="009A49EF">
        <w:rPr>
          <w:sz w:val="24"/>
          <w:szCs w:val="24"/>
        </w:rPr>
        <w:t xml:space="preserve">. Derfor skal infektioner, der er forårsaget af </w:t>
      </w:r>
      <w:proofErr w:type="spellStart"/>
      <w:r w:rsidRPr="009A49EF">
        <w:rPr>
          <w:sz w:val="24"/>
          <w:szCs w:val="24"/>
        </w:rPr>
        <w:t>patogener</w:t>
      </w:r>
      <w:proofErr w:type="spellEnd"/>
      <w:r w:rsidRPr="009A49EF">
        <w:rPr>
          <w:sz w:val="24"/>
          <w:szCs w:val="24"/>
        </w:rPr>
        <w:t xml:space="preserve"> med </w:t>
      </w:r>
      <w:proofErr w:type="spellStart"/>
      <w:r w:rsidRPr="009A49EF">
        <w:rPr>
          <w:sz w:val="24"/>
          <w:szCs w:val="24"/>
        </w:rPr>
        <w:t>inducible</w:t>
      </w:r>
      <w:proofErr w:type="spellEnd"/>
      <w:r w:rsidRPr="009A49EF">
        <w:rPr>
          <w:sz w:val="24"/>
          <w:szCs w:val="24"/>
        </w:rPr>
        <w:t xml:space="preserve">, kromosomalt kodede </w:t>
      </w:r>
      <w:proofErr w:type="spellStart"/>
      <w:r w:rsidRPr="009A49EF">
        <w:rPr>
          <w:sz w:val="24"/>
          <w:szCs w:val="24"/>
        </w:rPr>
        <w:t>AmpC</w:t>
      </w:r>
      <w:proofErr w:type="spellEnd"/>
      <w:r w:rsidRPr="009A49EF">
        <w:rPr>
          <w:sz w:val="24"/>
          <w:szCs w:val="24"/>
        </w:rPr>
        <w:t>-beta-</w:t>
      </w:r>
      <w:proofErr w:type="spellStart"/>
      <w:r w:rsidRPr="009A49EF">
        <w:rPr>
          <w:sz w:val="24"/>
          <w:szCs w:val="24"/>
        </w:rPr>
        <w:t>laktamaser</w:t>
      </w:r>
      <w:proofErr w:type="spellEnd"/>
      <w:r w:rsidRPr="009A49EF">
        <w:rPr>
          <w:sz w:val="24"/>
          <w:szCs w:val="24"/>
        </w:rPr>
        <w:t xml:space="preserve"> ikke behandles med </w:t>
      </w:r>
      <w:proofErr w:type="spellStart"/>
      <w:r w:rsidRPr="009A49EF">
        <w:rPr>
          <w:sz w:val="24"/>
          <w:szCs w:val="24"/>
        </w:rPr>
        <w:t>cefotaxim</w:t>
      </w:r>
      <w:proofErr w:type="spellEnd"/>
      <w:r w:rsidRPr="009A49EF">
        <w:rPr>
          <w:sz w:val="24"/>
          <w:szCs w:val="24"/>
        </w:rPr>
        <w:t xml:space="preserve">, selv ikke i tilfælde af påvist </w:t>
      </w:r>
      <w:r w:rsidRPr="009A49EF">
        <w:rPr>
          <w:i/>
          <w:sz w:val="24"/>
          <w:szCs w:val="24"/>
        </w:rPr>
        <w:t>in-</w:t>
      </w:r>
      <w:proofErr w:type="spellStart"/>
      <w:r w:rsidRPr="009A49EF">
        <w:rPr>
          <w:i/>
          <w:sz w:val="24"/>
          <w:szCs w:val="24"/>
        </w:rPr>
        <w:t>vitro</w:t>
      </w:r>
      <w:proofErr w:type="spellEnd"/>
      <w:r w:rsidRPr="009A49EF">
        <w:rPr>
          <w:i/>
          <w:sz w:val="24"/>
          <w:szCs w:val="24"/>
        </w:rPr>
        <w:t xml:space="preserve"> </w:t>
      </w:r>
      <w:r w:rsidRPr="009A49EF">
        <w:rPr>
          <w:sz w:val="24"/>
          <w:szCs w:val="24"/>
        </w:rPr>
        <w:t xml:space="preserve">følsomhed på grund af risikoen for udvælgelse af mutanter med konstitutive, </w:t>
      </w:r>
      <w:proofErr w:type="spellStart"/>
      <w:r w:rsidRPr="009A49EF">
        <w:rPr>
          <w:sz w:val="24"/>
          <w:szCs w:val="24"/>
        </w:rPr>
        <w:t>derepresseret</w:t>
      </w:r>
      <w:proofErr w:type="spellEnd"/>
      <w:r w:rsidRPr="009A49EF">
        <w:rPr>
          <w:sz w:val="24"/>
          <w:szCs w:val="24"/>
        </w:rPr>
        <w:t xml:space="preserve"> </w:t>
      </w:r>
      <w:proofErr w:type="spellStart"/>
      <w:r w:rsidRPr="009A49EF">
        <w:rPr>
          <w:sz w:val="24"/>
          <w:szCs w:val="24"/>
        </w:rPr>
        <w:t>AmpC</w:t>
      </w:r>
      <w:proofErr w:type="spellEnd"/>
      <w:r w:rsidRPr="009A49EF">
        <w:rPr>
          <w:sz w:val="24"/>
          <w:szCs w:val="24"/>
        </w:rPr>
        <w:t>-beta-</w:t>
      </w:r>
      <w:proofErr w:type="spellStart"/>
      <w:r w:rsidRPr="009A49EF">
        <w:rPr>
          <w:sz w:val="24"/>
          <w:szCs w:val="24"/>
        </w:rPr>
        <w:t>laktamase</w:t>
      </w:r>
      <w:proofErr w:type="spellEnd"/>
      <w:r w:rsidRPr="009A49EF">
        <w:rPr>
          <w:sz w:val="24"/>
          <w:szCs w:val="24"/>
        </w:rPr>
        <w:t>-</w:t>
      </w:r>
      <w:proofErr w:type="spellStart"/>
      <w:r w:rsidRPr="009A49EF">
        <w:rPr>
          <w:sz w:val="24"/>
          <w:szCs w:val="24"/>
        </w:rPr>
        <w:t>expression</w:t>
      </w:r>
      <w:proofErr w:type="spellEnd"/>
      <w:r w:rsidRPr="009A49EF">
        <w:rPr>
          <w:sz w:val="24"/>
          <w:szCs w:val="24"/>
        </w:rPr>
        <w:t>.</w:t>
      </w:r>
    </w:p>
    <w:p w:rsidR="007D1818" w:rsidRPr="009A49EF" w:rsidRDefault="007D1818" w:rsidP="007D1818">
      <w:pPr>
        <w:numPr>
          <w:ilvl w:val="0"/>
          <w:numId w:val="11"/>
        </w:numPr>
        <w:ind w:left="1134" w:hanging="283"/>
        <w:rPr>
          <w:sz w:val="24"/>
          <w:szCs w:val="24"/>
        </w:rPr>
      </w:pPr>
      <w:r w:rsidRPr="009A49EF">
        <w:rPr>
          <w:sz w:val="24"/>
          <w:szCs w:val="24"/>
        </w:rPr>
        <w:t xml:space="preserve">Nedsat affinitet af </w:t>
      </w:r>
      <w:proofErr w:type="spellStart"/>
      <w:r w:rsidRPr="009A49EF">
        <w:rPr>
          <w:sz w:val="24"/>
          <w:szCs w:val="24"/>
        </w:rPr>
        <w:t>PBP’er</w:t>
      </w:r>
      <w:proofErr w:type="spellEnd"/>
      <w:r w:rsidRPr="009A49EF">
        <w:rPr>
          <w:sz w:val="24"/>
          <w:szCs w:val="24"/>
        </w:rPr>
        <w:t xml:space="preserve"> for </w:t>
      </w:r>
      <w:proofErr w:type="spellStart"/>
      <w:r w:rsidRPr="009A49EF">
        <w:rPr>
          <w:sz w:val="24"/>
          <w:szCs w:val="24"/>
        </w:rPr>
        <w:t>cefotaxim</w:t>
      </w:r>
      <w:proofErr w:type="spellEnd"/>
      <w:r w:rsidRPr="009A49EF">
        <w:rPr>
          <w:sz w:val="24"/>
          <w:szCs w:val="24"/>
        </w:rPr>
        <w:t xml:space="preserve">. Den opnåede resistens af </w:t>
      </w:r>
      <w:proofErr w:type="spellStart"/>
      <w:r w:rsidRPr="009A49EF">
        <w:rPr>
          <w:sz w:val="24"/>
          <w:szCs w:val="24"/>
        </w:rPr>
        <w:t>pneumokokker</w:t>
      </w:r>
      <w:proofErr w:type="spellEnd"/>
      <w:r w:rsidRPr="009A49EF">
        <w:rPr>
          <w:sz w:val="24"/>
          <w:szCs w:val="24"/>
        </w:rPr>
        <w:t xml:space="preserve"> og andre streptokokker er forårsaget af modifikationer af allerede eksisterende </w:t>
      </w:r>
      <w:proofErr w:type="spellStart"/>
      <w:r w:rsidRPr="009A49EF">
        <w:rPr>
          <w:sz w:val="24"/>
          <w:szCs w:val="24"/>
        </w:rPr>
        <w:t>PBP’er</w:t>
      </w:r>
      <w:proofErr w:type="spellEnd"/>
      <w:r w:rsidRPr="009A49EF">
        <w:rPr>
          <w:sz w:val="24"/>
          <w:szCs w:val="24"/>
        </w:rPr>
        <w:t xml:space="preserve"> som følge af en mutationsproces. I modsætning hertil, hvad angår </w:t>
      </w:r>
      <w:proofErr w:type="spellStart"/>
      <w:r w:rsidRPr="009A49EF">
        <w:rPr>
          <w:sz w:val="24"/>
          <w:szCs w:val="24"/>
        </w:rPr>
        <w:t>methicillin</w:t>
      </w:r>
      <w:proofErr w:type="spellEnd"/>
      <w:r w:rsidRPr="009A49EF">
        <w:rPr>
          <w:sz w:val="24"/>
          <w:szCs w:val="24"/>
        </w:rPr>
        <w:t>-(</w:t>
      </w:r>
      <w:proofErr w:type="spellStart"/>
      <w:r w:rsidRPr="009A49EF">
        <w:rPr>
          <w:sz w:val="24"/>
          <w:szCs w:val="24"/>
        </w:rPr>
        <w:t>oxacillin</w:t>
      </w:r>
      <w:proofErr w:type="spellEnd"/>
      <w:r w:rsidRPr="009A49EF">
        <w:rPr>
          <w:sz w:val="24"/>
          <w:szCs w:val="24"/>
        </w:rPr>
        <w:t xml:space="preserve">-)resistente </w:t>
      </w:r>
      <w:proofErr w:type="spellStart"/>
      <w:r w:rsidRPr="009A49EF">
        <w:rPr>
          <w:i/>
          <w:sz w:val="24"/>
          <w:szCs w:val="24"/>
        </w:rPr>
        <w:t>Staphylococcus</w:t>
      </w:r>
      <w:proofErr w:type="spellEnd"/>
      <w:r w:rsidRPr="009A49EF">
        <w:rPr>
          <w:sz w:val="24"/>
          <w:szCs w:val="24"/>
        </w:rPr>
        <w:t xml:space="preserve">, er det skabelsen af yderligere PBP med nedsat affinitet for </w:t>
      </w:r>
      <w:proofErr w:type="spellStart"/>
      <w:r w:rsidRPr="009A49EF">
        <w:rPr>
          <w:sz w:val="24"/>
          <w:szCs w:val="24"/>
        </w:rPr>
        <w:t>cefotaxim</w:t>
      </w:r>
      <w:proofErr w:type="spellEnd"/>
      <w:r w:rsidRPr="009A49EF">
        <w:rPr>
          <w:sz w:val="24"/>
          <w:szCs w:val="24"/>
        </w:rPr>
        <w:t>, der er ansvarlig for resistens.</w:t>
      </w:r>
    </w:p>
    <w:p w:rsidR="007D1818" w:rsidRPr="009A49EF" w:rsidRDefault="007D1818" w:rsidP="007D1818">
      <w:pPr>
        <w:numPr>
          <w:ilvl w:val="0"/>
          <w:numId w:val="11"/>
        </w:numPr>
        <w:ind w:left="1134" w:hanging="283"/>
        <w:rPr>
          <w:sz w:val="24"/>
          <w:szCs w:val="24"/>
        </w:rPr>
      </w:pPr>
      <w:r w:rsidRPr="009A49EF">
        <w:rPr>
          <w:sz w:val="24"/>
          <w:szCs w:val="24"/>
        </w:rPr>
        <w:t xml:space="preserve">Utilstrækkelig penetration af </w:t>
      </w:r>
      <w:proofErr w:type="spellStart"/>
      <w:r w:rsidRPr="009A49EF">
        <w:rPr>
          <w:sz w:val="24"/>
          <w:szCs w:val="24"/>
        </w:rPr>
        <w:t>cefotaxim</w:t>
      </w:r>
      <w:proofErr w:type="spellEnd"/>
      <w:r w:rsidRPr="009A49EF">
        <w:rPr>
          <w:sz w:val="24"/>
          <w:szCs w:val="24"/>
        </w:rPr>
        <w:t xml:space="preserve"> gennem den ydre cellemembran på </w:t>
      </w:r>
      <w:proofErr w:type="spellStart"/>
      <w:r w:rsidRPr="009A49EF">
        <w:rPr>
          <w:sz w:val="24"/>
          <w:szCs w:val="24"/>
        </w:rPr>
        <w:t>gram-negative</w:t>
      </w:r>
      <w:proofErr w:type="spellEnd"/>
      <w:r w:rsidRPr="009A49EF">
        <w:rPr>
          <w:sz w:val="24"/>
          <w:szCs w:val="24"/>
        </w:rPr>
        <w:t xml:space="preserve"> bakterier, hvorved hæmningen af </w:t>
      </w:r>
      <w:proofErr w:type="spellStart"/>
      <w:r w:rsidRPr="009A49EF">
        <w:rPr>
          <w:sz w:val="24"/>
          <w:szCs w:val="24"/>
        </w:rPr>
        <w:t>PBP’er</w:t>
      </w:r>
      <w:proofErr w:type="spellEnd"/>
      <w:r w:rsidRPr="009A49EF">
        <w:rPr>
          <w:sz w:val="24"/>
          <w:szCs w:val="24"/>
        </w:rPr>
        <w:t xml:space="preserve"> er utilstrækkelig.</w:t>
      </w:r>
    </w:p>
    <w:p w:rsidR="007D1818" w:rsidRPr="009A49EF" w:rsidRDefault="007D1818" w:rsidP="007D1818">
      <w:pPr>
        <w:numPr>
          <w:ilvl w:val="0"/>
          <w:numId w:val="11"/>
        </w:numPr>
        <w:ind w:left="1134" w:hanging="283"/>
        <w:rPr>
          <w:sz w:val="24"/>
          <w:szCs w:val="24"/>
        </w:rPr>
      </w:pPr>
      <w:r w:rsidRPr="009A49EF">
        <w:rPr>
          <w:sz w:val="24"/>
          <w:szCs w:val="24"/>
        </w:rPr>
        <w:t>Forekomsten af transportmekanismer (</w:t>
      </w:r>
      <w:proofErr w:type="spellStart"/>
      <w:r w:rsidRPr="009A49EF">
        <w:rPr>
          <w:sz w:val="24"/>
          <w:szCs w:val="24"/>
        </w:rPr>
        <w:t>effluxpumper</w:t>
      </w:r>
      <w:proofErr w:type="spellEnd"/>
      <w:r w:rsidRPr="009A49EF">
        <w:rPr>
          <w:sz w:val="24"/>
          <w:szCs w:val="24"/>
        </w:rPr>
        <w:t xml:space="preserve">), der er i stand til aktivt at transportere </w:t>
      </w:r>
      <w:proofErr w:type="spellStart"/>
      <w:r w:rsidRPr="009A49EF">
        <w:rPr>
          <w:sz w:val="24"/>
          <w:szCs w:val="24"/>
        </w:rPr>
        <w:t>cefotaxim</w:t>
      </w:r>
      <w:proofErr w:type="spellEnd"/>
      <w:r w:rsidRPr="009A49EF">
        <w:rPr>
          <w:sz w:val="24"/>
          <w:szCs w:val="24"/>
        </w:rPr>
        <w:t xml:space="preserve"> ud af cellen. Der opstår fuldstændig krydsresistens med </w:t>
      </w:r>
      <w:proofErr w:type="spellStart"/>
      <w:r w:rsidRPr="009A49EF">
        <w:rPr>
          <w:sz w:val="24"/>
          <w:szCs w:val="24"/>
        </w:rPr>
        <w:t>eftriaxon</w:t>
      </w:r>
      <w:proofErr w:type="spellEnd"/>
      <w:r w:rsidRPr="009A49EF">
        <w:rPr>
          <w:sz w:val="24"/>
          <w:szCs w:val="24"/>
        </w:rPr>
        <w:t xml:space="preserve"> og delvis med andre penicilliner og </w:t>
      </w:r>
      <w:proofErr w:type="spellStart"/>
      <w:r w:rsidRPr="009A49EF">
        <w:rPr>
          <w:sz w:val="24"/>
          <w:szCs w:val="24"/>
        </w:rPr>
        <w:t>cefalosporiner</w:t>
      </w:r>
      <w:proofErr w:type="spellEnd"/>
      <w:r w:rsidRPr="009A49EF">
        <w:rPr>
          <w:sz w:val="24"/>
          <w:szCs w:val="24"/>
        </w:rPr>
        <w:t>.</w:t>
      </w:r>
    </w:p>
    <w:p w:rsidR="007D1818" w:rsidRPr="009A49EF" w:rsidRDefault="007D1818" w:rsidP="007D1818">
      <w:pPr>
        <w:ind w:left="851"/>
        <w:rPr>
          <w:sz w:val="24"/>
          <w:szCs w:val="24"/>
        </w:rPr>
      </w:pPr>
    </w:p>
    <w:p w:rsidR="007D1818" w:rsidRPr="00327B05" w:rsidRDefault="007D1818" w:rsidP="007D1818">
      <w:pPr>
        <w:ind w:left="851"/>
        <w:rPr>
          <w:sz w:val="24"/>
          <w:szCs w:val="24"/>
        </w:rPr>
      </w:pPr>
      <w:r w:rsidRPr="00327B05">
        <w:rPr>
          <w:sz w:val="24"/>
          <w:szCs w:val="24"/>
          <w:u w:val="single"/>
        </w:rPr>
        <w:t>Grænseværdier</w:t>
      </w:r>
    </w:p>
    <w:p w:rsidR="007D1818" w:rsidRPr="007B1A24" w:rsidRDefault="007D1818" w:rsidP="007D1818">
      <w:pPr>
        <w:ind w:left="851"/>
        <w:rPr>
          <w:sz w:val="24"/>
          <w:szCs w:val="24"/>
        </w:rPr>
      </w:pPr>
      <w:r w:rsidRPr="007B1A24">
        <w:rPr>
          <w:sz w:val="24"/>
          <w:szCs w:val="24"/>
        </w:rPr>
        <w:t xml:space="preserve">Der er defineret følgende mindst hæmmende koncentrationer for følsomme og resistente </w:t>
      </w:r>
      <w:proofErr w:type="spellStart"/>
      <w:r w:rsidRPr="007B1A24">
        <w:rPr>
          <w:sz w:val="24"/>
          <w:szCs w:val="24"/>
        </w:rPr>
        <w:t>mikrorganismer</w:t>
      </w:r>
      <w:proofErr w:type="spellEnd"/>
      <w:r w:rsidRPr="007B1A24">
        <w:rPr>
          <w:sz w:val="24"/>
          <w:szCs w:val="24"/>
        </w:rPr>
        <w:t>:</w:t>
      </w:r>
    </w:p>
    <w:p w:rsidR="007D1818" w:rsidRPr="007B1A24" w:rsidRDefault="007D1818" w:rsidP="007D1818">
      <w:pPr>
        <w:ind w:left="851"/>
        <w:rPr>
          <w:sz w:val="24"/>
          <w:szCs w:val="24"/>
          <w:lang w:val="en-GB"/>
        </w:rPr>
      </w:pPr>
      <w:r w:rsidRPr="007B1A24">
        <w:rPr>
          <w:sz w:val="24"/>
          <w:szCs w:val="24"/>
          <w:lang w:val="en-GB"/>
        </w:rPr>
        <w:t xml:space="preserve">EUCAST (European Committee on Antimicrobial Susceptibility Testing) </w:t>
      </w:r>
      <w:proofErr w:type="spellStart"/>
      <w:r w:rsidRPr="007B1A24">
        <w:rPr>
          <w:sz w:val="24"/>
          <w:szCs w:val="24"/>
          <w:lang w:val="en-GB"/>
        </w:rPr>
        <w:t>grænseværdier</w:t>
      </w:r>
      <w:proofErr w:type="spellEnd"/>
      <w:r w:rsidRPr="007B1A24">
        <w:rPr>
          <w:sz w:val="24"/>
          <w:szCs w:val="24"/>
          <w:lang w:val="en-GB"/>
        </w:rPr>
        <w:t xml:space="preserve"> (201</w:t>
      </w:r>
      <w:r>
        <w:rPr>
          <w:sz w:val="24"/>
          <w:szCs w:val="24"/>
          <w:lang w:val="en-GB"/>
        </w:rPr>
        <w:t>9</w:t>
      </w:r>
      <w:r w:rsidRPr="007B1A24">
        <w:rPr>
          <w:sz w:val="24"/>
          <w:szCs w:val="24"/>
          <w:lang w:val="en-GB"/>
        </w:rPr>
        <w:t>-0</w:t>
      </w:r>
      <w:r>
        <w:rPr>
          <w:sz w:val="24"/>
          <w:szCs w:val="24"/>
          <w:lang w:val="en-GB"/>
        </w:rPr>
        <w:t>1</w:t>
      </w:r>
      <w:r w:rsidRPr="007B1A24">
        <w:rPr>
          <w:sz w:val="24"/>
          <w:szCs w:val="24"/>
          <w:lang w:val="en-GB"/>
        </w:rPr>
        <w:t>-</w:t>
      </w:r>
      <w:r>
        <w:rPr>
          <w:sz w:val="24"/>
          <w:szCs w:val="24"/>
          <w:lang w:val="en-GB"/>
        </w:rPr>
        <w:t>0</w:t>
      </w:r>
      <w:r w:rsidRPr="007B1A24">
        <w:rPr>
          <w:sz w:val="24"/>
          <w:szCs w:val="24"/>
          <w:lang w:val="en-GB"/>
        </w:rPr>
        <w:t>1):</w:t>
      </w:r>
    </w:p>
    <w:p w:rsidR="007D1818" w:rsidRPr="007B1A24" w:rsidRDefault="007D1818" w:rsidP="007D1818">
      <w:pPr>
        <w:ind w:left="851" w:hanging="851"/>
        <w:rPr>
          <w:sz w:val="24"/>
          <w:szCs w:val="24"/>
          <w:lang w:val="en-GB"/>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2"/>
        <w:gridCol w:w="1964"/>
        <w:gridCol w:w="1964"/>
      </w:tblGrid>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b/>
                <w:sz w:val="24"/>
                <w:szCs w:val="24"/>
                <w:lang w:val="en-GB"/>
              </w:rPr>
            </w:pPr>
            <w:proofErr w:type="spellStart"/>
            <w:r w:rsidRPr="007B1A24">
              <w:rPr>
                <w:b/>
                <w:sz w:val="24"/>
                <w:szCs w:val="24"/>
                <w:lang w:val="en-GB"/>
              </w:rPr>
              <w:t>Patogen</w:t>
            </w:r>
            <w:proofErr w:type="spellEnd"/>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b/>
                <w:sz w:val="24"/>
                <w:szCs w:val="24"/>
                <w:lang w:val="en-GB"/>
              </w:rPr>
            </w:pPr>
            <w:proofErr w:type="spellStart"/>
            <w:r w:rsidRPr="007B1A24">
              <w:rPr>
                <w:b/>
                <w:sz w:val="24"/>
                <w:szCs w:val="24"/>
                <w:lang w:val="en-GB"/>
              </w:rPr>
              <w:t>Følsom</w:t>
            </w:r>
            <w:proofErr w:type="spellEnd"/>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b/>
                <w:sz w:val="24"/>
                <w:szCs w:val="24"/>
                <w:lang w:val="en-GB"/>
              </w:rPr>
            </w:pPr>
            <w:proofErr w:type="spellStart"/>
            <w:r w:rsidRPr="007B1A24">
              <w:rPr>
                <w:b/>
                <w:sz w:val="24"/>
                <w:szCs w:val="24"/>
                <w:lang w:val="en-GB"/>
              </w:rPr>
              <w:t>Resistent</w:t>
            </w:r>
            <w:proofErr w:type="spellEnd"/>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Enterobacteriaceae</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1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2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0A080A" w:rsidRDefault="007D1818" w:rsidP="003B4BCE">
            <w:pPr>
              <w:rPr>
                <w:sz w:val="24"/>
                <w:szCs w:val="24"/>
                <w:vertAlign w:val="superscript"/>
                <w:lang w:val="en-GB"/>
              </w:rPr>
            </w:pPr>
            <w:r w:rsidRPr="007B1A24">
              <w:rPr>
                <w:i/>
                <w:sz w:val="24"/>
                <w:szCs w:val="24"/>
                <w:lang w:val="en-GB"/>
              </w:rPr>
              <w:t>Staphylococcus</w:t>
            </w:r>
            <w:r w:rsidRPr="007B1A24">
              <w:rPr>
                <w:sz w:val="24"/>
                <w:szCs w:val="24"/>
                <w:lang w:val="en-GB"/>
              </w:rPr>
              <w:t xml:space="preserve"> </w:t>
            </w:r>
            <w:proofErr w:type="spellStart"/>
            <w:proofErr w:type="gramStart"/>
            <w:r w:rsidRPr="007B1A24">
              <w:rPr>
                <w:sz w:val="24"/>
                <w:szCs w:val="24"/>
                <w:lang w:val="en-GB"/>
              </w:rPr>
              <w:t>spp.</w:t>
            </w:r>
            <w:r>
              <w:rPr>
                <w:sz w:val="24"/>
                <w:szCs w:val="24"/>
                <w:vertAlign w:val="superscript"/>
                <w:lang w:val="en-GB"/>
              </w:rPr>
              <w:t>HE</w:t>
            </w:r>
            <w:proofErr w:type="spellEnd"/>
            <w:proofErr w:type="gramEnd"/>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A52506">
              <w:rPr>
                <w:bCs/>
                <w:iCs/>
                <w:sz w:val="24"/>
                <w:szCs w:val="24"/>
                <w:lang w:eastAsia="de-DE"/>
              </w:rPr>
              <w:t>Se note</w:t>
            </w:r>
            <w:r>
              <w:rPr>
                <w:bCs/>
                <w:iCs/>
                <w:sz w:val="24"/>
                <w:szCs w:val="24"/>
                <w:lang w:eastAsia="de-DE"/>
              </w:rPr>
              <w:t xml:space="preserve"> </w:t>
            </w:r>
            <w:r>
              <w:rPr>
                <w:bCs/>
                <w:iCs/>
                <w:sz w:val="24"/>
                <w:szCs w:val="24"/>
                <w:vertAlign w:val="superscript"/>
                <w:lang w:eastAsia="de-DE"/>
              </w:rPr>
              <w:t>1</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A52506">
              <w:rPr>
                <w:bCs/>
                <w:iCs/>
                <w:sz w:val="24"/>
                <w:szCs w:val="24"/>
                <w:lang w:eastAsia="de-DE"/>
              </w:rPr>
              <w:t>Se note</w:t>
            </w:r>
            <w:r>
              <w:rPr>
                <w:bCs/>
                <w:iCs/>
                <w:sz w:val="24"/>
                <w:szCs w:val="24"/>
                <w:lang w:eastAsia="de-DE"/>
              </w:rPr>
              <w:t xml:space="preserve"> </w:t>
            </w:r>
            <w:r>
              <w:rPr>
                <w:bCs/>
                <w:iCs/>
                <w:sz w:val="24"/>
                <w:szCs w:val="24"/>
                <w:vertAlign w:val="superscript"/>
                <w:lang w:eastAsia="de-DE"/>
              </w:rPr>
              <w:t>1</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i/>
                <w:sz w:val="24"/>
                <w:szCs w:val="24"/>
                <w:lang w:val="en-GB"/>
              </w:rPr>
              <w:t>Streptococcus</w:t>
            </w:r>
            <w:r w:rsidRPr="007B1A24">
              <w:rPr>
                <w:sz w:val="24"/>
                <w:szCs w:val="24"/>
                <w:lang w:val="en-GB"/>
              </w:rPr>
              <w:t xml:space="preserve"> (</w:t>
            </w:r>
            <w:proofErr w:type="spellStart"/>
            <w:r w:rsidRPr="007B1A24">
              <w:rPr>
                <w:sz w:val="24"/>
                <w:szCs w:val="24"/>
                <w:lang w:val="en-GB"/>
              </w:rPr>
              <w:t>gruppe</w:t>
            </w:r>
            <w:proofErr w:type="spellEnd"/>
            <w:r w:rsidRPr="007B1A24">
              <w:rPr>
                <w:sz w:val="24"/>
                <w:szCs w:val="24"/>
                <w:lang w:val="en-GB"/>
              </w:rPr>
              <w:t xml:space="preserve"> A, B, C, G)</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A52506">
              <w:rPr>
                <w:bCs/>
                <w:iCs/>
                <w:sz w:val="24"/>
                <w:szCs w:val="24"/>
                <w:lang w:eastAsia="de-DE"/>
              </w:rPr>
              <w:t>Se note</w:t>
            </w:r>
            <w:r>
              <w:rPr>
                <w:bCs/>
                <w:iCs/>
                <w:sz w:val="24"/>
                <w:szCs w:val="24"/>
                <w:lang w:eastAsia="de-DE"/>
              </w:rPr>
              <w:t xml:space="preserve"> </w:t>
            </w:r>
            <w:r>
              <w:rPr>
                <w:bCs/>
                <w:iCs/>
                <w:sz w:val="24"/>
                <w:szCs w:val="24"/>
                <w:vertAlign w:val="superscript"/>
                <w:lang w:eastAsia="de-DE"/>
              </w:rPr>
              <w:t>2</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A52506">
              <w:rPr>
                <w:bCs/>
                <w:iCs/>
                <w:sz w:val="24"/>
                <w:szCs w:val="24"/>
                <w:lang w:eastAsia="de-DE"/>
              </w:rPr>
              <w:t>Se note</w:t>
            </w:r>
            <w:r>
              <w:rPr>
                <w:bCs/>
                <w:iCs/>
                <w:sz w:val="24"/>
                <w:szCs w:val="24"/>
                <w:lang w:eastAsia="de-DE"/>
              </w:rPr>
              <w:t xml:space="preserve"> </w:t>
            </w:r>
            <w:r>
              <w:rPr>
                <w:bCs/>
                <w:iCs/>
                <w:sz w:val="24"/>
                <w:szCs w:val="24"/>
                <w:vertAlign w:val="superscript"/>
                <w:lang w:eastAsia="de-DE"/>
              </w:rPr>
              <w:t>2</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Streptococcus pneumoniae</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xml:space="preserve">≤ 0,5 mg/l </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2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proofErr w:type="spellStart"/>
            <w:r w:rsidRPr="007B1A24">
              <w:rPr>
                <w:sz w:val="24"/>
                <w:szCs w:val="24"/>
                <w:lang w:val="en-GB"/>
              </w:rPr>
              <w:t>Viridans</w:t>
            </w:r>
            <w:proofErr w:type="spellEnd"/>
            <w:r w:rsidRPr="007B1A24">
              <w:rPr>
                <w:sz w:val="24"/>
                <w:szCs w:val="24"/>
                <w:lang w:val="en-GB"/>
              </w:rPr>
              <w:t xml:space="preserve"> </w:t>
            </w:r>
            <w:proofErr w:type="spellStart"/>
            <w:r w:rsidRPr="007B1A24">
              <w:rPr>
                <w:sz w:val="24"/>
                <w:szCs w:val="24"/>
                <w:lang w:val="en-GB"/>
              </w:rPr>
              <w:t>gruppe</w:t>
            </w:r>
            <w:proofErr w:type="spellEnd"/>
            <w:r w:rsidRPr="007B1A24">
              <w:rPr>
                <w:sz w:val="24"/>
                <w:szCs w:val="24"/>
                <w:lang w:val="en-GB"/>
              </w:rPr>
              <w:t xml:space="preserve"> streptococci</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0,5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0,5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Haemophilus influenzae</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0,12</w:t>
            </w:r>
            <w:r>
              <w:rPr>
                <w:sz w:val="24"/>
                <w:szCs w:val="24"/>
                <w:lang w:val="en-GB"/>
              </w:rPr>
              <w:t>5</w:t>
            </w:r>
            <w:r w:rsidRPr="007B1A24">
              <w:rPr>
                <w:sz w:val="24"/>
                <w:szCs w:val="24"/>
                <w:lang w:val="en-GB"/>
              </w:rPr>
              <w:t xml:space="preserve"> mg/l </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0,12</w:t>
            </w:r>
            <w:r>
              <w:rPr>
                <w:sz w:val="24"/>
                <w:szCs w:val="24"/>
                <w:lang w:val="en-GB"/>
              </w:rPr>
              <w:t>5</w:t>
            </w:r>
            <w:r w:rsidRPr="007B1A24">
              <w:rPr>
                <w:sz w:val="24"/>
                <w:szCs w:val="24"/>
                <w:lang w:val="en-GB"/>
              </w:rPr>
              <w:t xml:space="preserve">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Moraxella catarrhalis</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1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2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Neisseria gonorrhoeae</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0,12</w:t>
            </w:r>
            <w:r>
              <w:rPr>
                <w:sz w:val="24"/>
                <w:szCs w:val="24"/>
                <w:lang w:val="en-GB"/>
              </w:rPr>
              <w:t>5</w:t>
            </w:r>
            <w:r w:rsidRPr="007B1A24">
              <w:rPr>
                <w:sz w:val="24"/>
                <w:szCs w:val="24"/>
                <w:lang w:val="en-GB"/>
              </w:rPr>
              <w:t xml:space="preserve">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0,12</w:t>
            </w:r>
            <w:r>
              <w:rPr>
                <w:sz w:val="24"/>
                <w:szCs w:val="24"/>
                <w:lang w:val="en-GB"/>
              </w:rPr>
              <w:t>5</w:t>
            </w:r>
            <w:r w:rsidRPr="007B1A24">
              <w:rPr>
                <w:sz w:val="24"/>
                <w:szCs w:val="24"/>
                <w:lang w:val="en-GB"/>
              </w:rPr>
              <w:t xml:space="preserve">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Neisseria meningitidis</w:t>
            </w:r>
            <w:r>
              <w:rPr>
                <w:i/>
                <w:sz w:val="24"/>
                <w:szCs w:val="24"/>
                <w:lang w:val="en-GB"/>
              </w:rPr>
              <w:t xml:space="preserve"> </w:t>
            </w:r>
            <w:r>
              <w:rPr>
                <w:bCs/>
                <w:iCs/>
                <w:sz w:val="24"/>
                <w:szCs w:val="24"/>
                <w:vertAlign w:val="superscript"/>
                <w:lang w:eastAsia="de-DE"/>
              </w:rPr>
              <w:t>3</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0,12</w:t>
            </w:r>
            <w:r>
              <w:rPr>
                <w:sz w:val="24"/>
                <w:szCs w:val="24"/>
                <w:lang w:val="en-GB"/>
              </w:rPr>
              <w:t>5</w:t>
            </w:r>
            <w:r w:rsidRPr="007B1A24">
              <w:rPr>
                <w:sz w:val="24"/>
                <w:szCs w:val="24"/>
                <w:lang w:val="en-GB"/>
              </w:rPr>
              <w:t xml:space="preserve"> mg/l </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0,12</w:t>
            </w:r>
            <w:r>
              <w:rPr>
                <w:sz w:val="24"/>
                <w:szCs w:val="24"/>
                <w:lang w:val="en-GB"/>
              </w:rPr>
              <w:t>5</w:t>
            </w:r>
            <w:r w:rsidRPr="007B1A24">
              <w:rPr>
                <w:sz w:val="24"/>
                <w:szCs w:val="24"/>
                <w:lang w:val="en-GB"/>
              </w:rPr>
              <w:t xml:space="preserve">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i/>
                <w:sz w:val="24"/>
                <w:szCs w:val="24"/>
                <w:lang w:val="en-GB"/>
              </w:rPr>
            </w:pPr>
            <w:r w:rsidRPr="007B1A24">
              <w:rPr>
                <w:i/>
                <w:sz w:val="24"/>
                <w:szCs w:val="24"/>
                <w:lang w:val="en-GB"/>
              </w:rPr>
              <w:t xml:space="preserve">Pasteurella </w:t>
            </w:r>
            <w:proofErr w:type="spellStart"/>
            <w:r w:rsidRPr="007B1A24">
              <w:rPr>
                <w:i/>
                <w:sz w:val="24"/>
                <w:szCs w:val="24"/>
                <w:lang w:val="en-GB"/>
              </w:rPr>
              <w:t>multocida</w:t>
            </w:r>
            <w:proofErr w:type="spellEnd"/>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0,03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0,03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tcPr>
          <w:p w:rsidR="007D1818" w:rsidRPr="007B1A24" w:rsidRDefault="007D1818" w:rsidP="003B4BCE">
            <w:pPr>
              <w:rPr>
                <w:i/>
                <w:sz w:val="24"/>
                <w:szCs w:val="24"/>
                <w:lang w:val="en-GB"/>
              </w:rPr>
            </w:pPr>
            <w:proofErr w:type="spellStart"/>
            <w:r>
              <w:rPr>
                <w:i/>
                <w:szCs w:val="22"/>
              </w:rPr>
              <w:t>Kingella</w:t>
            </w:r>
            <w:proofErr w:type="spellEnd"/>
            <w:r>
              <w:rPr>
                <w:i/>
                <w:szCs w:val="22"/>
              </w:rPr>
              <w:t xml:space="preserve"> </w:t>
            </w:r>
            <w:proofErr w:type="spellStart"/>
            <w:r>
              <w:rPr>
                <w:i/>
                <w:szCs w:val="22"/>
              </w:rPr>
              <w:t>kingae</w:t>
            </w:r>
            <w:proofErr w:type="spellEnd"/>
          </w:p>
        </w:tc>
        <w:tc>
          <w:tcPr>
            <w:tcW w:w="1130" w:type="pct"/>
            <w:tcBorders>
              <w:top w:val="single" w:sz="4" w:space="0" w:color="auto"/>
              <w:left w:val="single" w:sz="4" w:space="0" w:color="auto"/>
              <w:bottom w:val="single" w:sz="4" w:space="0" w:color="auto"/>
              <w:right w:val="single" w:sz="4" w:space="0" w:color="auto"/>
            </w:tcBorders>
          </w:tcPr>
          <w:p w:rsidR="007D1818" w:rsidRPr="007B1A24" w:rsidRDefault="007D1818" w:rsidP="003B4BCE">
            <w:pPr>
              <w:rPr>
                <w:sz w:val="24"/>
                <w:szCs w:val="24"/>
                <w:lang w:val="en-GB"/>
              </w:rPr>
            </w:pPr>
            <w:r>
              <w:rPr>
                <w:szCs w:val="22"/>
              </w:rPr>
              <w:t xml:space="preserve">≤ </w:t>
            </w:r>
            <w:r w:rsidRPr="00A61449">
              <w:rPr>
                <w:szCs w:val="22"/>
              </w:rPr>
              <w:t>0.12</w:t>
            </w:r>
            <w:r>
              <w:rPr>
                <w:szCs w:val="22"/>
              </w:rPr>
              <w:t>5</w:t>
            </w:r>
            <w:r w:rsidRPr="00A61449">
              <w:rPr>
                <w:szCs w:val="22"/>
              </w:rPr>
              <w:t xml:space="preserve"> mg/l</w:t>
            </w:r>
          </w:p>
        </w:tc>
        <w:tc>
          <w:tcPr>
            <w:tcW w:w="1130" w:type="pct"/>
            <w:tcBorders>
              <w:top w:val="single" w:sz="4" w:space="0" w:color="auto"/>
              <w:left w:val="single" w:sz="4" w:space="0" w:color="auto"/>
              <w:bottom w:val="single" w:sz="4" w:space="0" w:color="auto"/>
              <w:right w:val="single" w:sz="4" w:space="0" w:color="auto"/>
            </w:tcBorders>
          </w:tcPr>
          <w:p w:rsidR="007D1818" w:rsidRPr="007B1A24" w:rsidRDefault="007D1818" w:rsidP="003B4BCE">
            <w:pPr>
              <w:rPr>
                <w:sz w:val="24"/>
                <w:szCs w:val="24"/>
                <w:lang w:val="en-GB"/>
              </w:rPr>
            </w:pPr>
            <w:r w:rsidRPr="00A61449">
              <w:rPr>
                <w:szCs w:val="22"/>
              </w:rPr>
              <w:t>&gt; 0.12</w:t>
            </w:r>
            <w:r>
              <w:rPr>
                <w:szCs w:val="22"/>
              </w:rPr>
              <w:t>5</w:t>
            </w:r>
            <w:r w:rsidRPr="00A61449">
              <w:rPr>
                <w:szCs w:val="22"/>
              </w:rPr>
              <w:t xml:space="preserve"> mg/l</w:t>
            </w:r>
          </w:p>
        </w:tc>
      </w:tr>
      <w:tr w:rsidR="007D1818" w:rsidRPr="007B1A24" w:rsidTr="003B4BCE">
        <w:tc>
          <w:tcPr>
            <w:tcW w:w="274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rPr>
            </w:pPr>
            <w:r w:rsidRPr="007B1A24">
              <w:rPr>
                <w:sz w:val="24"/>
                <w:szCs w:val="24"/>
              </w:rPr>
              <w:t>PK/PD (Ikke artsrelaterede) grænseværdier</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 1 mg/l</w:t>
            </w:r>
          </w:p>
        </w:tc>
        <w:tc>
          <w:tcPr>
            <w:tcW w:w="1130" w:type="pct"/>
            <w:tcBorders>
              <w:top w:val="single" w:sz="4" w:space="0" w:color="auto"/>
              <w:left w:val="single" w:sz="4" w:space="0" w:color="auto"/>
              <w:bottom w:val="single" w:sz="4" w:space="0" w:color="auto"/>
              <w:right w:val="single" w:sz="4" w:space="0" w:color="auto"/>
            </w:tcBorders>
            <w:hideMark/>
          </w:tcPr>
          <w:p w:rsidR="007D1818" w:rsidRPr="007B1A24" w:rsidRDefault="007D1818" w:rsidP="003B4BCE">
            <w:pPr>
              <w:rPr>
                <w:sz w:val="24"/>
                <w:szCs w:val="24"/>
                <w:lang w:val="en-GB"/>
              </w:rPr>
            </w:pPr>
            <w:r w:rsidRPr="007B1A24">
              <w:rPr>
                <w:sz w:val="24"/>
                <w:szCs w:val="24"/>
                <w:lang w:val="en-GB"/>
              </w:rPr>
              <w:t>&gt; 2 mg/l</w:t>
            </w:r>
          </w:p>
        </w:tc>
      </w:tr>
    </w:tbl>
    <w:p w:rsidR="007D1818" w:rsidRPr="000A080A" w:rsidRDefault="007D1818" w:rsidP="007D1818">
      <w:pPr>
        <w:ind w:left="1276" w:hanging="425"/>
        <w:rPr>
          <w:sz w:val="20"/>
        </w:rPr>
      </w:pPr>
      <w:r w:rsidRPr="000A080A">
        <w:rPr>
          <w:sz w:val="20"/>
        </w:rPr>
        <w:t>HE</w:t>
      </w:r>
      <w:r w:rsidRPr="000A080A">
        <w:rPr>
          <w:sz w:val="20"/>
        </w:rPr>
        <w:tab/>
        <w:t xml:space="preserve">HE = høj eksponering/høj dosis kun ved </w:t>
      </w:r>
      <w:r w:rsidRPr="000A080A">
        <w:rPr>
          <w:i/>
          <w:sz w:val="20"/>
        </w:rPr>
        <w:t>S. aureus</w:t>
      </w:r>
      <w:r w:rsidRPr="000A080A">
        <w:rPr>
          <w:sz w:val="20"/>
        </w:rPr>
        <w:t xml:space="preserve"> (høj dosis på mindst 3 x 2 g iv)</w:t>
      </w:r>
    </w:p>
    <w:p w:rsidR="007D1818" w:rsidRPr="000A080A" w:rsidRDefault="007D1818" w:rsidP="007D1818">
      <w:pPr>
        <w:ind w:left="1276" w:hanging="425"/>
        <w:rPr>
          <w:sz w:val="20"/>
        </w:rPr>
      </w:pPr>
      <w:r w:rsidRPr="000A080A">
        <w:rPr>
          <w:sz w:val="20"/>
        </w:rPr>
        <w:t>1</w:t>
      </w:r>
      <w:r w:rsidRPr="000A080A">
        <w:rPr>
          <w:sz w:val="20"/>
        </w:rPr>
        <w:tab/>
        <w:t xml:space="preserve">Følsomhed for stafylokokker over for </w:t>
      </w:r>
      <w:proofErr w:type="spellStart"/>
      <w:r w:rsidRPr="000A080A">
        <w:rPr>
          <w:sz w:val="20"/>
        </w:rPr>
        <w:t>cefalosporiner</w:t>
      </w:r>
      <w:proofErr w:type="spellEnd"/>
      <w:r w:rsidRPr="000A080A">
        <w:rPr>
          <w:sz w:val="20"/>
        </w:rPr>
        <w:t xml:space="preserve"> er udledt fra </w:t>
      </w:r>
      <w:proofErr w:type="spellStart"/>
      <w:r w:rsidRPr="000A080A">
        <w:rPr>
          <w:sz w:val="20"/>
        </w:rPr>
        <w:t>cefoxitin</w:t>
      </w:r>
      <w:proofErr w:type="spellEnd"/>
      <w:r w:rsidRPr="000A080A">
        <w:rPr>
          <w:sz w:val="20"/>
        </w:rPr>
        <w:t xml:space="preserve">-følsomhed med undtagelse for </w:t>
      </w:r>
      <w:proofErr w:type="spellStart"/>
      <w:r w:rsidRPr="000A080A">
        <w:rPr>
          <w:sz w:val="20"/>
        </w:rPr>
        <w:t>cefixim</w:t>
      </w:r>
      <w:proofErr w:type="spellEnd"/>
      <w:r w:rsidRPr="000A080A">
        <w:rPr>
          <w:sz w:val="20"/>
        </w:rPr>
        <w:t xml:space="preserve">, </w:t>
      </w:r>
      <w:proofErr w:type="spellStart"/>
      <w:r w:rsidRPr="000A080A">
        <w:rPr>
          <w:sz w:val="20"/>
        </w:rPr>
        <w:t>ceftazidim</w:t>
      </w:r>
      <w:proofErr w:type="spellEnd"/>
      <w:r w:rsidRPr="000A080A">
        <w:rPr>
          <w:sz w:val="20"/>
        </w:rPr>
        <w:t xml:space="preserve">, </w:t>
      </w:r>
      <w:proofErr w:type="spellStart"/>
      <w:r w:rsidRPr="000A080A">
        <w:rPr>
          <w:sz w:val="20"/>
        </w:rPr>
        <w:t>ceftazidime-avibactam</w:t>
      </w:r>
      <w:proofErr w:type="spellEnd"/>
      <w:r w:rsidRPr="000A080A">
        <w:rPr>
          <w:sz w:val="20"/>
        </w:rPr>
        <w:t xml:space="preserve">, </w:t>
      </w:r>
      <w:proofErr w:type="spellStart"/>
      <w:r w:rsidRPr="000A080A">
        <w:rPr>
          <w:sz w:val="20"/>
        </w:rPr>
        <w:t>ceftibuten</w:t>
      </w:r>
      <w:proofErr w:type="spellEnd"/>
      <w:r w:rsidRPr="000A080A">
        <w:rPr>
          <w:sz w:val="20"/>
        </w:rPr>
        <w:t xml:space="preserve"> og </w:t>
      </w:r>
      <w:proofErr w:type="spellStart"/>
      <w:r w:rsidRPr="000A080A">
        <w:rPr>
          <w:sz w:val="20"/>
        </w:rPr>
        <w:t>ceftolozan-tazobactam</w:t>
      </w:r>
      <w:proofErr w:type="spellEnd"/>
      <w:r w:rsidRPr="000A080A">
        <w:rPr>
          <w:sz w:val="20"/>
        </w:rPr>
        <w:t>, som ikke har grænseværdier, og som ikke bør anvendes til stafylokokinfektioner.</w:t>
      </w:r>
    </w:p>
    <w:p w:rsidR="007D1818" w:rsidRPr="000A080A" w:rsidRDefault="007D1818" w:rsidP="007D1818">
      <w:pPr>
        <w:ind w:left="1276" w:hanging="425"/>
        <w:rPr>
          <w:sz w:val="20"/>
        </w:rPr>
      </w:pPr>
      <w:r w:rsidRPr="000A080A">
        <w:rPr>
          <w:sz w:val="20"/>
        </w:rPr>
        <w:t>2</w:t>
      </w:r>
      <w:r w:rsidRPr="000A080A">
        <w:rPr>
          <w:sz w:val="20"/>
        </w:rPr>
        <w:tab/>
        <w:t xml:space="preserve">Følsomhed for </w:t>
      </w:r>
      <w:proofErr w:type="spellStart"/>
      <w:r w:rsidRPr="000A080A">
        <w:rPr>
          <w:i/>
          <w:sz w:val="20"/>
        </w:rPr>
        <w:t>streptococcus</w:t>
      </w:r>
      <w:proofErr w:type="spellEnd"/>
      <w:r w:rsidRPr="000A080A">
        <w:rPr>
          <w:sz w:val="20"/>
        </w:rPr>
        <w:t xml:space="preserve"> grupper A, B, C og G over for </w:t>
      </w:r>
      <w:proofErr w:type="spellStart"/>
      <w:r w:rsidRPr="000A080A">
        <w:rPr>
          <w:sz w:val="20"/>
        </w:rPr>
        <w:t>cefalosporiner</w:t>
      </w:r>
      <w:proofErr w:type="spellEnd"/>
      <w:r w:rsidRPr="000A080A">
        <w:rPr>
          <w:sz w:val="20"/>
        </w:rPr>
        <w:t xml:space="preserve"> er udledt fra deres følsomhed over for </w:t>
      </w:r>
      <w:proofErr w:type="spellStart"/>
      <w:r w:rsidRPr="000A080A">
        <w:rPr>
          <w:sz w:val="20"/>
        </w:rPr>
        <w:t>benzylpenicillin</w:t>
      </w:r>
      <w:proofErr w:type="spellEnd"/>
      <w:r w:rsidRPr="000A080A">
        <w:rPr>
          <w:sz w:val="20"/>
        </w:rPr>
        <w:t>.</w:t>
      </w:r>
    </w:p>
    <w:p w:rsidR="007D1818" w:rsidRPr="007B1A24" w:rsidRDefault="007D1818" w:rsidP="007D1818">
      <w:pPr>
        <w:ind w:left="1276" w:hanging="425"/>
        <w:rPr>
          <w:sz w:val="24"/>
          <w:szCs w:val="24"/>
        </w:rPr>
      </w:pPr>
      <w:r w:rsidRPr="000A080A">
        <w:rPr>
          <w:sz w:val="20"/>
        </w:rPr>
        <w:t>3</w:t>
      </w:r>
      <w:r w:rsidRPr="000A080A">
        <w:rPr>
          <w:sz w:val="20"/>
        </w:rPr>
        <w:tab/>
        <w:t xml:space="preserve">Ikke-modtagelige </w:t>
      </w:r>
      <w:proofErr w:type="spellStart"/>
      <w:r w:rsidRPr="000A080A">
        <w:rPr>
          <w:sz w:val="20"/>
        </w:rPr>
        <w:t>isolater</w:t>
      </w:r>
      <w:proofErr w:type="spellEnd"/>
      <w:r w:rsidRPr="000A080A">
        <w:rPr>
          <w:sz w:val="20"/>
        </w:rPr>
        <w:t xml:space="preserve"> er sjældne eller endnu ikke rapporteret. Identifikations- og antimikrobielle følsomhedsprøveresultater på et hvilket som helst sådant </w:t>
      </w:r>
      <w:proofErr w:type="spellStart"/>
      <w:r w:rsidRPr="000A080A">
        <w:rPr>
          <w:sz w:val="20"/>
        </w:rPr>
        <w:t>isolat</w:t>
      </w:r>
      <w:proofErr w:type="spellEnd"/>
      <w:r w:rsidRPr="000A080A">
        <w:rPr>
          <w:sz w:val="20"/>
        </w:rPr>
        <w:t xml:space="preserve"> skal bekræftes, og </w:t>
      </w:r>
      <w:proofErr w:type="spellStart"/>
      <w:r w:rsidRPr="000A080A">
        <w:rPr>
          <w:sz w:val="20"/>
        </w:rPr>
        <w:t>isolatet</w:t>
      </w:r>
      <w:proofErr w:type="spellEnd"/>
      <w:r w:rsidRPr="000A080A">
        <w:rPr>
          <w:sz w:val="20"/>
        </w:rPr>
        <w:t xml:space="preserve"> sendes til et referencelaboratorium.</w:t>
      </w:r>
    </w:p>
    <w:p w:rsidR="007D1818" w:rsidRPr="009A49EF" w:rsidRDefault="007D1818" w:rsidP="007D1818">
      <w:pPr>
        <w:ind w:left="851" w:hanging="851"/>
        <w:rPr>
          <w:sz w:val="24"/>
          <w:szCs w:val="24"/>
        </w:rPr>
      </w:pPr>
    </w:p>
    <w:p w:rsidR="007D1818" w:rsidRPr="00327B05" w:rsidRDefault="007D1818" w:rsidP="007D1818">
      <w:pPr>
        <w:ind w:left="851"/>
        <w:rPr>
          <w:sz w:val="24"/>
          <w:szCs w:val="24"/>
          <w:u w:val="single"/>
        </w:rPr>
      </w:pPr>
      <w:r w:rsidRPr="00327B05">
        <w:rPr>
          <w:sz w:val="24"/>
          <w:szCs w:val="24"/>
          <w:u w:val="single"/>
        </w:rPr>
        <w:t>Følsomhed</w:t>
      </w:r>
    </w:p>
    <w:p w:rsidR="007D1818" w:rsidRPr="009A49EF" w:rsidRDefault="007D1818" w:rsidP="007D1818">
      <w:pPr>
        <w:ind w:left="851"/>
        <w:rPr>
          <w:sz w:val="24"/>
          <w:szCs w:val="24"/>
        </w:rPr>
      </w:pPr>
      <w:r w:rsidRPr="009A49EF">
        <w:rPr>
          <w:sz w:val="24"/>
          <w:szCs w:val="24"/>
        </w:rPr>
        <w:t xml:space="preserve">Prævalensen af erhvervet resistens kan variere geografisk og over tid for udvalgte arter, og lokale oplysninger om resistens er ønskelige, især ved behandling af svære infektioner. Hvis der er tvivl om effektiviteten af </w:t>
      </w:r>
      <w:proofErr w:type="spellStart"/>
      <w:r w:rsidRPr="009A49EF">
        <w:rPr>
          <w:sz w:val="24"/>
          <w:szCs w:val="24"/>
        </w:rPr>
        <w:t>cefotaxim</w:t>
      </w:r>
      <w:proofErr w:type="spellEnd"/>
      <w:r w:rsidRPr="009A49EF">
        <w:rPr>
          <w:sz w:val="24"/>
          <w:szCs w:val="24"/>
        </w:rPr>
        <w:t xml:space="preserve"> på grund af lokal forekomst af resistens, skal der søges ekspertrådgivning vedrørende valg af behandling. Særligt i tilfælde af svære infektioner eller behandlingssvigt bør der udføres en mikrobiologisk diagnose inklusive verifikation af mikroorganismen og dennes følsomhed.</w:t>
      </w:r>
    </w:p>
    <w:p w:rsidR="007D1818" w:rsidRPr="009A49EF" w:rsidRDefault="007D1818" w:rsidP="007D1818">
      <w:pPr>
        <w:ind w:left="851" w:hanging="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0"/>
      </w:tblGrid>
      <w:tr w:rsidR="007D1818" w:rsidRPr="009A49EF" w:rsidTr="003B4BCE">
        <w:tc>
          <w:tcPr>
            <w:tcW w:w="5000" w:type="pct"/>
            <w:tcBorders>
              <w:top w:val="double" w:sz="4" w:space="0" w:color="auto"/>
              <w:left w:val="single" w:sz="4" w:space="0" w:color="auto"/>
              <w:bottom w:val="single" w:sz="4" w:space="0" w:color="auto"/>
              <w:right w:val="single" w:sz="4" w:space="0" w:color="auto"/>
            </w:tcBorders>
            <w:shd w:val="clear" w:color="auto" w:fill="BFBFBF"/>
            <w:hideMark/>
          </w:tcPr>
          <w:p w:rsidR="007D1818" w:rsidRPr="009A49EF" w:rsidRDefault="007D1818" w:rsidP="003B4BCE">
            <w:pPr>
              <w:rPr>
                <w:sz w:val="24"/>
                <w:szCs w:val="24"/>
              </w:rPr>
            </w:pPr>
            <w:r w:rsidRPr="009A49EF">
              <w:rPr>
                <w:b/>
                <w:bCs/>
                <w:sz w:val="24"/>
                <w:szCs w:val="24"/>
              </w:rPr>
              <w:t>Arter, der normalt er følsomme</w:t>
            </w:r>
          </w:p>
        </w:tc>
      </w:tr>
      <w:tr w:rsidR="007D1818" w:rsidRPr="009A49EF"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Gram-positive </w:t>
            </w:r>
            <w:proofErr w:type="spellStart"/>
            <w:r w:rsidRPr="00130AD0">
              <w:rPr>
                <w:b/>
                <w:bCs/>
                <w:i/>
                <w:iCs/>
                <w:sz w:val="24"/>
                <w:szCs w:val="24"/>
                <w:lang w:val="en-US"/>
              </w:rPr>
              <w:t>aerober</w:t>
            </w:r>
            <w:proofErr w:type="spellEnd"/>
          </w:p>
          <w:p w:rsidR="007D1818" w:rsidRPr="00130AD0" w:rsidRDefault="007D1818" w:rsidP="003B4BCE">
            <w:pPr>
              <w:rPr>
                <w:sz w:val="24"/>
                <w:szCs w:val="24"/>
                <w:lang w:val="en-US"/>
              </w:rPr>
            </w:pPr>
            <w:r w:rsidRPr="00130AD0">
              <w:rPr>
                <w:i/>
                <w:iCs/>
                <w:sz w:val="24"/>
                <w:szCs w:val="24"/>
                <w:lang w:val="en-US"/>
              </w:rPr>
              <w:t xml:space="preserve">Staphylococcus aureus </w:t>
            </w:r>
            <w:r w:rsidRPr="00130AD0">
              <w:rPr>
                <w:sz w:val="24"/>
                <w:szCs w:val="24"/>
                <w:lang w:val="en-US"/>
              </w:rPr>
              <w:t>(methicillin-</w:t>
            </w:r>
            <w:proofErr w:type="spellStart"/>
            <w:r w:rsidRPr="00130AD0">
              <w:rPr>
                <w:sz w:val="24"/>
                <w:szCs w:val="24"/>
                <w:lang w:val="en-US"/>
              </w:rPr>
              <w:t>følsomme</w:t>
            </w:r>
            <w:proofErr w:type="spellEnd"/>
            <w:r w:rsidRPr="00130AD0">
              <w:rPr>
                <w:sz w:val="24"/>
                <w:szCs w:val="24"/>
                <w:lang w:val="en-US"/>
              </w:rPr>
              <w:t>)</w:t>
            </w:r>
          </w:p>
          <w:p w:rsidR="007D1818" w:rsidRPr="00130AD0" w:rsidRDefault="007D1818" w:rsidP="003B4BCE">
            <w:pPr>
              <w:rPr>
                <w:i/>
                <w:iCs/>
                <w:sz w:val="24"/>
                <w:szCs w:val="24"/>
                <w:lang w:val="en-US"/>
              </w:rPr>
            </w:pPr>
            <w:r w:rsidRPr="00130AD0">
              <w:rPr>
                <w:i/>
                <w:iCs/>
                <w:sz w:val="24"/>
                <w:szCs w:val="24"/>
                <w:lang w:val="en-US"/>
              </w:rPr>
              <w:t>Streptococcus agalactiae</w:t>
            </w:r>
          </w:p>
          <w:p w:rsidR="007D1818" w:rsidRPr="00130AD0" w:rsidRDefault="007D1818" w:rsidP="003B4BCE">
            <w:pPr>
              <w:rPr>
                <w:sz w:val="24"/>
                <w:szCs w:val="24"/>
                <w:lang w:val="en-US"/>
              </w:rPr>
            </w:pPr>
            <w:r w:rsidRPr="00130AD0">
              <w:rPr>
                <w:i/>
                <w:iCs/>
                <w:sz w:val="24"/>
                <w:szCs w:val="24"/>
                <w:lang w:val="en-US"/>
              </w:rPr>
              <w:t xml:space="preserve">Streptococcus pneumoniae </w:t>
            </w:r>
            <w:r w:rsidRPr="00130AD0">
              <w:rPr>
                <w:sz w:val="24"/>
                <w:szCs w:val="24"/>
                <w:lang w:val="en-US"/>
              </w:rPr>
              <w:t>(</w:t>
            </w:r>
            <w:proofErr w:type="spellStart"/>
            <w:r w:rsidRPr="00130AD0">
              <w:rPr>
                <w:sz w:val="24"/>
                <w:szCs w:val="24"/>
                <w:lang w:val="en-US"/>
              </w:rPr>
              <w:t>inkl</w:t>
            </w:r>
            <w:proofErr w:type="spellEnd"/>
            <w:r w:rsidRPr="00130AD0">
              <w:rPr>
                <w:sz w:val="24"/>
                <w:szCs w:val="24"/>
                <w:lang w:val="en-US"/>
              </w:rPr>
              <w:t>. penicillin-</w:t>
            </w:r>
            <w:proofErr w:type="spellStart"/>
            <w:r w:rsidRPr="00130AD0">
              <w:rPr>
                <w:sz w:val="24"/>
                <w:szCs w:val="24"/>
                <w:lang w:val="en-US"/>
              </w:rPr>
              <w:t>resistente</w:t>
            </w:r>
            <w:proofErr w:type="spellEnd"/>
            <w:r w:rsidRPr="00130AD0">
              <w:rPr>
                <w:sz w:val="24"/>
                <w:szCs w:val="24"/>
                <w:lang w:val="en-US"/>
              </w:rPr>
              <w:t xml:space="preserve"> stammer)</w:t>
            </w:r>
          </w:p>
          <w:p w:rsidR="007D1818" w:rsidRPr="009A49EF" w:rsidRDefault="007D1818" w:rsidP="003B4BCE">
            <w:pPr>
              <w:rPr>
                <w:sz w:val="24"/>
                <w:szCs w:val="24"/>
              </w:rPr>
            </w:pPr>
            <w:proofErr w:type="spellStart"/>
            <w:r w:rsidRPr="009A49EF">
              <w:rPr>
                <w:i/>
                <w:iCs/>
                <w:sz w:val="24"/>
                <w:szCs w:val="24"/>
              </w:rPr>
              <w:t>Streptococcus</w:t>
            </w:r>
            <w:proofErr w:type="spellEnd"/>
            <w:r w:rsidRPr="009A49EF">
              <w:rPr>
                <w:i/>
                <w:iCs/>
                <w:sz w:val="24"/>
                <w:szCs w:val="24"/>
              </w:rPr>
              <w:t xml:space="preserve"> </w:t>
            </w:r>
            <w:proofErr w:type="spellStart"/>
            <w:r w:rsidRPr="009A49EF">
              <w:rPr>
                <w:i/>
                <w:iCs/>
                <w:sz w:val="24"/>
                <w:szCs w:val="24"/>
              </w:rPr>
              <w:t>pyogenes</w:t>
            </w:r>
            <w:proofErr w:type="spellEnd"/>
          </w:p>
        </w:tc>
      </w:tr>
      <w:tr w:rsidR="007D1818" w:rsidRPr="009A49EF" w:rsidTr="003B4BCE">
        <w:tc>
          <w:tcPr>
            <w:tcW w:w="5000" w:type="pct"/>
            <w:tcBorders>
              <w:top w:val="single" w:sz="4" w:space="0" w:color="auto"/>
              <w:left w:val="single" w:sz="4" w:space="0" w:color="auto"/>
              <w:bottom w:val="doub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Gram-negative </w:t>
            </w:r>
            <w:proofErr w:type="spellStart"/>
            <w:r w:rsidRPr="00130AD0">
              <w:rPr>
                <w:b/>
                <w:bCs/>
                <w:i/>
                <w:iCs/>
                <w:sz w:val="24"/>
                <w:szCs w:val="24"/>
                <w:lang w:val="en-US"/>
              </w:rPr>
              <w:t>aerober</w:t>
            </w:r>
            <w:proofErr w:type="spellEnd"/>
          </w:p>
          <w:p w:rsidR="007D1818" w:rsidRPr="00130AD0" w:rsidRDefault="007D1818" w:rsidP="003B4BCE">
            <w:pPr>
              <w:rPr>
                <w:i/>
                <w:iCs/>
                <w:sz w:val="24"/>
                <w:szCs w:val="24"/>
                <w:lang w:val="en-US"/>
              </w:rPr>
            </w:pPr>
            <w:r w:rsidRPr="00130AD0">
              <w:rPr>
                <w:i/>
                <w:iCs/>
                <w:sz w:val="24"/>
                <w:szCs w:val="24"/>
                <w:lang w:val="en-US"/>
              </w:rPr>
              <w:t>Borrelia burgdorferi</w:t>
            </w:r>
          </w:p>
          <w:p w:rsidR="007D1818" w:rsidRPr="00130AD0" w:rsidRDefault="007D1818" w:rsidP="003B4BCE">
            <w:pPr>
              <w:rPr>
                <w:i/>
                <w:iCs/>
                <w:sz w:val="24"/>
                <w:szCs w:val="24"/>
                <w:lang w:val="en-US"/>
              </w:rPr>
            </w:pPr>
            <w:proofErr w:type="spellStart"/>
            <w:r w:rsidRPr="00130AD0">
              <w:rPr>
                <w:i/>
                <w:iCs/>
                <w:sz w:val="24"/>
                <w:szCs w:val="24"/>
                <w:lang w:val="en-US"/>
              </w:rPr>
              <w:t>Haemophilus</w:t>
            </w:r>
            <w:proofErr w:type="spellEnd"/>
            <w:r w:rsidRPr="00130AD0">
              <w:rPr>
                <w:i/>
                <w:iCs/>
                <w:sz w:val="24"/>
                <w:szCs w:val="24"/>
                <w:lang w:val="en-US"/>
              </w:rPr>
              <w:t xml:space="preserve"> influenzae</w:t>
            </w:r>
          </w:p>
          <w:p w:rsidR="007D1818" w:rsidRPr="006059D8" w:rsidRDefault="007D1818" w:rsidP="003B4BCE">
            <w:pPr>
              <w:rPr>
                <w:i/>
                <w:iCs/>
                <w:sz w:val="24"/>
                <w:szCs w:val="24"/>
                <w:lang w:val="sv-SE"/>
              </w:rPr>
            </w:pPr>
            <w:proofErr w:type="spellStart"/>
            <w:r w:rsidRPr="006059D8">
              <w:rPr>
                <w:i/>
                <w:iCs/>
                <w:sz w:val="24"/>
                <w:szCs w:val="24"/>
                <w:lang w:val="sv-SE"/>
              </w:rPr>
              <w:t>Moraxella</w:t>
            </w:r>
            <w:proofErr w:type="spellEnd"/>
            <w:r w:rsidRPr="006059D8">
              <w:rPr>
                <w:i/>
                <w:iCs/>
                <w:sz w:val="24"/>
                <w:szCs w:val="24"/>
                <w:lang w:val="sv-SE"/>
              </w:rPr>
              <w:t xml:space="preserve"> </w:t>
            </w:r>
            <w:proofErr w:type="spellStart"/>
            <w:r w:rsidRPr="006059D8">
              <w:rPr>
                <w:i/>
                <w:iCs/>
                <w:sz w:val="24"/>
                <w:szCs w:val="24"/>
                <w:lang w:val="sv-SE"/>
              </w:rPr>
              <w:t>catarrhalis</w:t>
            </w:r>
            <w:proofErr w:type="spellEnd"/>
          </w:p>
          <w:p w:rsidR="007D1818" w:rsidRPr="006059D8" w:rsidRDefault="007D1818" w:rsidP="003B4BCE">
            <w:pPr>
              <w:rPr>
                <w:i/>
                <w:iCs/>
                <w:sz w:val="24"/>
                <w:szCs w:val="24"/>
                <w:lang w:val="sv-SE"/>
              </w:rPr>
            </w:pPr>
            <w:r w:rsidRPr="006059D8">
              <w:rPr>
                <w:i/>
                <w:iCs/>
                <w:sz w:val="24"/>
                <w:szCs w:val="24"/>
                <w:lang w:val="sv-SE"/>
              </w:rPr>
              <w:t xml:space="preserve">Neisseria </w:t>
            </w:r>
            <w:proofErr w:type="spellStart"/>
            <w:r w:rsidRPr="006059D8">
              <w:rPr>
                <w:i/>
                <w:iCs/>
                <w:sz w:val="24"/>
                <w:szCs w:val="24"/>
                <w:lang w:val="sv-SE"/>
              </w:rPr>
              <w:t>gonorrhoeae</w:t>
            </w:r>
            <w:proofErr w:type="spellEnd"/>
          </w:p>
          <w:p w:rsidR="007D1818" w:rsidRPr="006059D8" w:rsidRDefault="007D1818" w:rsidP="003B4BCE">
            <w:pPr>
              <w:rPr>
                <w:i/>
                <w:iCs/>
                <w:sz w:val="24"/>
                <w:szCs w:val="24"/>
                <w:lang w:val="sv-SE"/>
              </w:rPr>
            </w:pPr>
            <w:r w:rsidRPr="006059D8">
              <w:rPr>
                <w:i/>
                <w:iCs/>
                <w:sz w:val="24"/>
                <w:szCs w:val="24"/>
                <w:lang w:val="sv-SE"/>
              </w:rPr>
              <w:t xml:space="preserve">Neisseria </w:t>
            </w:r>
            <w:proofErr w:type="spellStart"/>
            <w:r w:rsidRPr="006059D8">
              <w:rPr>
                <w:i/>
                <w:iCs/>
                <w:sz w:val="24"/>
                <w:szCs w:val="24"/>
                <w:lang w:val="sv-SE"/>
              </w:rPr>
              <w:t>meningitidis</w:t>
            </w:r>
            <w:proofErr w:type="spellEnd"/>
          </w:p>
          <w:p w:rsidR="007D1818" w:rsidRPr="009A49EF" w:rsidRDefault="007D1818" w:rsidP="003B4BCE">
            <w:pPr>
              <w:rPr>
                <w:sz w:val="24"/>
                <w:szCs w:val="24"/>
              </w:rPr>
            </w:pPr>
            <w:r w:rsidRPr="009A49EF">
              <w:rPr>
                <w:i/>
                <w:iCs/>
                <w:sz w:val="24"/>
                <w:szCs w:val="24"/>
              </w:rPr>
              <w:t xml:space="preserve">Proteus </w:t>
            </w:r>
            <w:proofErr w:type="spellStart"/>
            <w:r w:rsidRPr="009A49EF">
              <w:rPr>
                <w:i/>
                <w:iCs/>
                <w:sz w:val="24"/>
                <w:szCs w:val="24"/>
              </w:rPr>
              <w:t>mirabilis</w:t>
            </w:r>
            <w:proofErr w:type="spellEnd"/>
            <w:r w:rsidRPr="009A49EF">
              <w:rPr>
                <w:sz w:val="24"/>
                <w:szCs w:val="24"/>
                <w:vertAlign w:val="superscript"/>
              </w:rPr>
              <w:t>%</w:t>
            </w:r>
          </w:p>
        </w:tc>
      </w:tr>
      <w:tr w:rsidR="007D1818" w:rsidRPr="009A49EF" w:rsidTr="003B4BCE">
        <w:tc>
          <w:tcPr>
            <w:tcW w:w="5000" w:type="pct"/>
            <w:tcBorders>
              <w:top w:val="double" w:sz="4" w:space="0" w:color="auto"/>
              <w:left w:val="single" w:sz="4" w:space="0" w:color="auto"/>
              <w:bottom w:val="single" w:sz="4" w:space="0" w:color="auto"/>
              <w:right w:val="single" w:sz="4" w:space="0" w:color="auto"/>
            </w:tcBorders>
            <w:shd w:val="clear" w:color="auto" w:fill="BFBFBF"/>
            <w:hideMark/>
          </w:tcPr>
          <w:p w:rsidR="007D1818" w:rsidRPr="009A49EF" w:rsidRDefault="007D1818" w:rsidP="003B4BCE">
            <w:pPr>
              <w:rPr>
                <w:sz w:val="24"/>
                <w:szCs w:val="24"/>
              </w:rPr>
            </w:pPr>
            <w:r w:rsidRPr="009A49EF">
              <w:rPr>
                <w:b/>
                <w:bCs/>
                <w:sz w:val="24"/>
                <w:szCs w:val="24"/>
              </w:rPr>
              <w:t>Arter, hvor erhvervet resistens kan være et problem</w:t>
            </w:r>
          </w:p>
        </w:tc>
      </w:tr>
      <w:tr w:rsidR="007D1818" w:rsidRPr="009A49EF"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Gram-positive </w:t>
            </w:r>
            <w:proofErr w:type="spellStart"/>
            <w:r w:rsidRPr="00130AD0">
              <w:rPr>
                <w:b/>
                <w:bCs/>
                <w:i/>
                <w:iCs/>
                <w:sz w:val="24"/>
                <w:szCs w:val="24"/>
                <w:lang w:val="en-US"/>
              </w:rPr>
              <w:t>aerober</w:t>
            </w:r>
            <w:proofErr w:type="spellEnd"/>
          </w:p>
          <w:p w:rsidR="007D1818" w:rsidRPr="00130AD0" w:rsidRDefault="007D1818" w:rsidP="003B4BCE">
            <w:pPr>
              <w:rPr>
                <w:i/>
                <w:iCs/>
                <w:sz w:val="24"/>
                <w:szCs w:val="24"/>
                <w:lang w:val="en-US"/>
              </w:rPr>
            </w:pPr>
            <w:r w:rsidRPr="00130AD0">
              <w:rPr>
                <w:i/>
                <w:iCs/>
                <w:sz w:val="24"/>
                <w:szCs w:val="24"/>
                <w:lang w:val="en-US"/>
              </w:rPr>
              <w:t>Staphylococcus aureus</w:t>
            </w:r>
          </w:p>
          <w:p w:rsidR="007D1818" w:rsidRPr="00130AD0" w:rsidRDefault="007D1818" w:rsidP="003B4BCE">
            <w:pPr>
              <w:rPr>
                <w:sz w:val="24"/>
                <w:szCs w:val="24"/>
                <w:lang w:val="en-US"/>
              </w:rPr>
            </w:pPr>
            <w:r w:rsidRPr="00130AD0">
              <w:rPr>
                <w:i/>
                <w:iCs/>
                <w:sz w:val="24"/>
                <w:szCs w:val="24"/>
                <w:lang w:val="en-US"/>
              </w:rPr>
              <w:t>Staphylococcus epidermidis</w:t>
            </w:r>
            <w:r w:rsidRPr="00130AD0">
              <w:rPr>
                <w:sz w:val="24"/>
                <w:szCs w:val="24"/>
                <w:vertAlign w:val="superscript"/>
                <w:lang w:val="en-US"/>
              </w:rPr>
              <w:t>+</w:t>
            </w:r>
          </w:p>
          <w:p w:rsidR="007D1818" w:rsidRPr="009A49EF" w:rsidRDefault="007D1818" w:rsidP="003B4BCE">
            <w:pPr>
              <w:rPr>
                <w:sz w:val="24"/>
                <w:szCs w:val="24"/>
              </w:rPr>
            </w:pPr>
            <w:proofErr w:type="spellStart"/>
            <w:r w:rsidRPr="009A49EF">
              <w:rPr>
                <w:i/>
                <w:iCs/>
                <w:sz w:val="24"/>
                <w:szCs w:val="24"/>
              </w:rPr>
              <w:t>Staphylococcus</w:t>
            </w:r>
            <w:proofErr w:type="spellEnd"/>
            <w:r w:rsidRPr="009A49EF">
              <w:rPr>
                <w:i/>
                <w:iCs/>
                <w:sz w:val="24"/>
                <w:szCs w:val="24"/>
              </w:rPr>
              <w:t xml:space="preserve"> </w:t>
            </w:r>
            <w:proofErr w:type="spellStart"/>
            <w:r w:rsidRPr="009A49EF">
              <w:rPr>
                <w:i/>
                <w:iCs/>
                <w:sz w:val="24"/>
                <w:szCs w:val="24"/>
              </w:rPr>
              <w:t>haemolyticus</w:t>
            </w:r>
            <w:proofErr w:type="spellEnd"/>
            <w:r w:rsidRPr="009A49EF">
              <w:rPr>
                <w:sz w:val="24"/>
                <w:szCs w:val="24"/>
                <w:vertAlign w:val="superscript"/>
              </w:rPr>
              <w:t>+</w:t>
            </w:r>
          </w:p>
          <w:p w:rsidR="007D1818" w:rsidRPr="009A49EF" w:rsidRDefault="007D1818" w:rsidP="003B4BCE">
            <w:pPr>
              <w:rPr>
                <w:sz w:val="24"/>
                <w:szCs w:val="24"/>
              </w:rPr>
            </w:pPr>
            <w:proofErr w:type="spellStart"/>
            <w:r w:rsidRPr="009A49EF">
              <w:rPr>
                <w:i/>
                <w:iCs/>
                <w:sz w:val="24"/>
                <w:szCs w:val="24"/>
              </w:rPr>
              <w:t>Staphylococcus</w:t>
            </w:r>
            <w:proofErr w:type="spellEnd"/>
            <w:r w:rsidRPr="009A49EF">
              <w:rPr>
                <w:i/>
                <w:iCs/>
                <w:sz w:val="24"/>
                <w:szCs w:val="24"/>
              </w:rPr>
              <w:t xml:space="preserve"> </w:t>
            </w:r>
            <w:proofErr w:type="spellStart"/>
            <w:r w:rsidRPr="009A49EF">
              <w:rPr>
                <w:i/>
                <w:iCs/>
                <w:sz w:val="24"/>
                <w:szCs w:val="24"/>
              </w:rPr>
              <w:t>hominis</w:t>
            </w:r>
            <w:proofErr w:type="spellEnd"/>
            <w:r w:rsidRPr="009A49EF">
              <w:rPr>
                <w:sz w:val="24"/>
                <w:szCs w:val="24"/>
                <w:vertAlign w:val="superscript"/>
              </w:rPr>
              <w:t>+</w:t>
            </w:r>
          </w:p>
        </w:tc>
      </w:tr>
      <w:tr w:rsidR="007D1818" w:rsidRPr="009A49EF"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Gram-negative </w:t>
            </w:r>
            <w:proofErr w:type="spellStart"/>
            <w:r w:rsidRPr="00130AD0">
              <w:rPr>
                <w:b/>
                <w:bCs/>
                <w:i/>
                <w:iCs/>
                <w:sz w:val="24"/>
                <w:szCs w:val="24"/>
                <w:lang w:val="en-US"/>
              </w:rPr>
              <w:t>aerober</w:t>
            </w:r>
            <w:proofErr w:type="spellEnd"/>
          </w:p>
          <w:p w:rsidR="007D1818" w:rsidRPr="00130AD0" w:rsidRDefault="007D1818" w:rsidP="003B4BCE">
            <w:pPr>
              <w:rPr>
                <w:i/>
                <w:iCs/>
                <w:sz w:val="24"/>
                <w:szCs w:val="24"/>
                <w:lang w:val="en-US"/>
              </w:rPr>
            </w:pPr>
            <w:r w:rsidRPr="00130AD0">
              <w:rPr>
                <w:i/>
                <w:iCs/>
                <w:sz w:val="24"/>
                <w:szCs w:val="24"/>
                <w:lang w:val="en-US"/>
              </w:rPr>
              <w:t xml:space="preserve">Citrobacter </w:t>
            </w:r>
            <w:proofErr w:type="spellStart"/>
            <w:r w:rsidRPr="00130AD0">
              <w:rPr>
                <w:i/>
                <w:iCs/>
                <w:sz w:val="24"/>
                <w:szCs w:val="24"/>
                <w:lang w:val="en-US"/>
              </w:rPr>
              <w:t>freundii</w:t>
            </w:r>
            <w:proofErr w:type="spellEnd"/>
          </w:p>
          <w:p w:rsidR="007D1818" w:rsidRPr="00130AD0" w:rsidRDefault="007D1818" w:rsidP="003B4BCE">
            <w:pPr>
              <w:rPr>
                <w:i/>
                <w:iCs/>
                <w:sz w:val="24"/>
                <w:szCs w:val="24"/>
                <w:lang w:val="en-US"/>
              </w:rPr>
            </w:pPr>
            <w:r w:rsidRPr="00130AD0">
              <w:rPr>
                <w:i/>
                <w:iCs/>
                <w:sz w:val="24"/>
                <w:szCs w:val="24"/>
                <w:lang w:val="en-US"/>
              </w:rPr>
              <w:t>Enterobacter aerogenes</w:t>
            </w:r>
          </w:p>
          <w:p w:rsidR="007D1818" w:rsidRPr="00130AD0" w:rsidRDefault="007D1818" w:rsidP="003B4BCE">
            <w:pPr>
              <w:rPr>
                <w:i/>
                <w:iCs/>
                <w:sz w:val="24"/>
                <w:szCs w:val="24"/>
                <w:lang w:val="en-US"/>
              </w:rPr>
            </w:pPr>
            <w:r w:rsidRPr="00130AD0">
              <w:rPr>
                <w:i/>
                <w:iCs/>
                <w:sz w:val="24"/>
                <w:szCs w:val="24"/>
                <w:lang w:val="en-US"/>
              </w:rPr>
              <w:t>Enterobacter cloacae</w:t>
            </w:r>
          </w:p>
          <w:p w:rsidR="007D1818" w:rsidRPr="00130AD0" w:rsidRDefault="007D1818" w:rsidP="003B4BCE">
            <w:pPr>
              <w:rPr>
                <w:sz w:val="24"/>
                <w:szCs w:val="24"/>
                <w:lang w:val="en-US"/>
              </w:rPr>
            </w:pPr>
            <w:r w:rsidRPr="00130AD0">
              <w:rPr>
                <w:i/>
                <w:iCs/>
                <w:sz w:val="24"/>
                <w:szCs w:val="24"/>
                <w:lang w:val="en-US"/>
              </w:rPr>
              <w:t>Escherichia coli</w:t>
            </w:r>
            <w:r w:rsidRPr="00130AD0">
              <w:rPr>
                <w:sz w:val="24"/>
                <w:szCs w:val="24"/>
                <w:vertAlign w:val="superscript"/>
                <w:lang w:val="en-US"/>
              </w:rPr>
              <w:t>%</w:t>
            </w:r>
          </w:p>
          <w:p w:rsidR="007D1818" w:rsidRPr="00130AD0" w:rsidRDefault="007D1818" w:rsidP="003B4BCE">
            <w:pPr>
              <w:rPr>
                <w:sz w:val="24"/>
                <w:szCs w:val="24"/>
                <w:lang w:val="en-US"/>
              </w:rPr>
            </w:pPr>
            <w:r w:rsidRPr="00130AD0">
              <w:rPr>
                <w:i/>
                <w:iCs/>
                <w:sz w:val="24"/>
                <w:szCs w:val="24"/>
                <w:lang w:val="en-US"/>
              </w:rPr>
              <w:t xml:space="preserve">Klebsiella </w:t>
            </w:r>
            <w:proofErr w:type="spellStart"/>
            <w:r w:rsidRPr="00130AD0">
              <w:rPr>
                <w:i/>
                <w:iCs/>
                <w:sz w:val="24"/>
                <w:szCs w:val="24"/>
                <w:lang w:val="en-US"/>
              </w:rPr>
              <w:t>oxytoca</w:t>
            </w:r>
            <w:proofErr w:type="spellEnd"/>
            <w:r w:rsidRPr="00130AD0">
              <w:rPr>
                <w:sz w:val="24"/>
                <w:szCs w:val="24"/>
                <w:vertAlign w:val="superscript"/>
                <w:lang w:val="en-US"/>
              </w:rPr>
              <w:t>%</w:t>
            </w:r>
          </w:p>
          <w:p w:rsidR="007D1818" w:rsidRPr="006059D8" w:rsidRDefault="007D1818" w:rsidP="003B4BCE">
            <w:pPr>
              <w:rPr>
                <w:sz w:val="24"/>
                <w:szCs w:val="24"/>
                <w:lang w:val="sv-SE"/>
              </w:rPr>
            </w:pPr>
            <w:proofErr w:type="spellStart"/>
            <w:r w:rsidRPr="006059D8">
              <w:rPr>
                <w:i/>
                <w:iCs/>
                <w:sz w:val="24"/>
                <w:szCs w:val="24"/>
                <w:lang w:val="sv-SE"/>
              </w:rPr>
              <w:t>Klebsiella</w:t>
            </w:r>
            <w:proofErr w:type="spellEnd"/>
            <w:r w:rsidRPr="006059D8">
              <w:rPr>
                <w:i/>
                <w:iCs/>
                <w:sz w:val="24"/>
                <w:szCs w:val="24"/>
                <w:lang w:val="sv-SE"/>
              </w:rPr>
              <w:t xml:space="preserve"> </w:t>
            </w:r>
            <w:proofErr w:type="spellStart"/>
            <w:r w:rsidRPr="006059D8">
              <w:rPr>
                <w:i/>
                <w:iCs/>
                <w:sz w:val="24"/>
                <w:szCs w:val="24"/>
                <w:lang w:val="sv-SE"/>
              </w:rPr>
              <w:t>pneumoniae</w:t>
            </w:r>
            <w:proofErr w:type="spellEnd"/>
            <w:r w:rsidRPr="006059D8">
              <w:rPr>
                <w:sz w:val="24"/>
                <w:szCs w:val="24"/>
                <w:vertAlign w:val="superscript"/>
                <w:lang w:val="sv-SE"/>
              </w:rPr>
              <w:t>#%</w:t>
            </w:r>
          </w:p>
          <w:p w:rsidR="007D1818" w:rsidRPr="006059D8" w:rsidRDefault="007D1818" w:rsidP="003B4BCE">
            <w:pPr>
              <w:rPr>
                <w:i/>
                <w:iCs/>
                <w:sz w:val="24"/>
                <w:szCs w:val="24"/>
                <w:lang w:val="sv-SE"/>
              </w:rPr>
            </w:pPr>
            <w:proofErr w:type="spellStart"/>
            <w:r w:rsidRPr="006059D8">
              <w:rPr>
                <w:i/>
                <w:iCs/>
                <w:sz w:val="24"/>
                <w:szCs w:val="24"/>
                <w:lang w:val="sv-SE"/>
              </w:rPr>
              <w:t>Morganella</w:t>
            </w:r>
            <w:proofErr w:type="spellEnd"/>
            <w:r w:rsidRPr="006059D8">
              <w:rPr>
                <w:i/>
                <w:iCs/>
                <w:sz w:val="24"/>
                <w:szCs w:val="24"/>
                <w:lang w:val="sv-SE"/>
              </w:rPr>
              <w:t xml:space="preserve"> </w:t>
            </w:r>
            <w:proofErr w:type="spellStart"/>
            <w:r w:rsidRPr="006059D8">
              <w:rPr>
                <w:i/>
                <w:iCs/>
                <w:sz w:val="24"/>
                <w:szCs w:val="24"/>
                <w:lang w:val="sv-SE"/>
              </w:rPr>
              <w:t>morganii</w:t>
            </w:r>
            <w:proofErr w:type="spellEnd"/>
          </w:p>
          <w:p w:rsidR="007D1818" w:rsidRPr="006059D8" w:rsidRDefault="007D1818" w:rsidP="003B4BCE">
            <w:pPr>
              <w:rPr>
                <w:i/>
                <w:iCs/>
                <w:sz w:val="24"/>
                <w:szCs w:val="24"/>
                <w:lang w:val="sv-SE"/>
              </w:rPr>
            </w:pPr>
            <w:proofErr w:type="spellStart"/>
            <w:r w:rsidRPr="006059D8">
              <w:rPr>
                <w:i/>
                <w:iCs/>
                <w:sz w:val="24"/>
                <w:szCs w:val="24"/>
                <w:lang w:val="sv-SE"/>
              </w:rPr>
              <w:t>Proteus</w:t>
            </w:r>
            <w:proofErr w:type="spellEnd"/>
            <w:r w:rsidRPr="006059D8">
              <w:rPr>
                <w:i/>
                <w:iCs/>
                <w:sz w:val="24"/>
                <w:szCs w:val="24"/>
                <w:lang w:val="sv-SE"/>
              </w:rPr>
              <w:t xml:space="preserve"> </w:t>
            </w:r>
            <w:proofErr w:type="spellStart"/>
            <w:r w:rsidRPr="006059D8">
              <w:rPr>
                <w:i/>
                <w:iCs/>
                <w:sz w:val="24"/>
                <w:szCs w:val="24"/>
                <w:lang w:val="sv-SE"/>
              </w:rPr>
              <w:t>vulgaris</w:t>
            </w:r>
            <w:proofErr w:type="spellEnd"/>
          </w:p>
          <w:p w:rsidR="007D1818" w:rsidRPr="009A49EF" w:rsidRDefault="007D1818" w:rsidP="003B4BCE">
            <w:pPr>
              <w:rPr>
                <w:sz w:val="24"/>
                <w:szCs w:val="24"/>
              </w:rPr>
            </w:pPr>
            <w:proofErr w:type="spellStart"/>
            <w:r w:rsidRPr="009A49EF">
              <w:rPr>
                <w:i/>
                <w:iCs/>
                <w:sz w:val="24"/>
                <w:szCs w:val="24"/>
              </w:rPr>
              <w:t>Serratia</w:t>
            </w:r>
            <w:proofErr w:type="spellEnd"/>
            <w:r w:rsidRPr="009A49EF">
              <w:rPr>
                <w:i/>
                <w:iCs/>
                <w:sz w:val="24"/>
                <w:szCs w:val="24"/>
              </w:rPr>
              <w:t xml:space="preserve"> </w:t>
            </w:r>
            <w:proofErr w:type="spellStart"/>
            <w:r w:rsidRPr="009A49EF">
              <w:rPr>
                <w:i/>
                <w:iCs/>
                <w:sz w:val="24"/>
                <w:szCs w:val="24"/>
              </w:rPr>
              <w:t>marcescens</w:t>
            </w:r>
            <w:proofErr w:type="spellEnd"/>
          </w:p>
        </w:tc>
      </w:tr>
      <w:tr w:rsidR="007D1818" w:rsidRPr="009A49EF" w:rsidTr="003B4BCE">
        <w:tc>
          <w:tcPr>
            <w:tcW w:w="5000" w:type="pct"/>
            <w:tcBorders>
              <w:top w:val="single" w:sz="4" w:space="0" w:color="auto"/>
              <w:left w:val="single" w:sz="4" w:space="0" w:color="auto"/>
              <w:bottom w:val="double" w:sz="4" w:space="0" w:color="auto"/>
              <w:right w:val="single" w:sz="4" w:space="0" w:color="auto"/>
            </w:tcBorders>
            <w:hideMark/>
          </w:tcPr>
          <w:p w:rsidR="007D1818" w:rsidRPr="009A49EF" w:rsidRDefault="007D1818" w:rsidP="003B4BCE">
            <w:pPr>
              <w:rPr>
                <w:b/>
                <w:bCs/>
                <w:i/>
                <w:iCs/>
                <w:sz w:val="24"/>
                <w:szCs w:val="24"/>
              </w:rPr>
            </w:pPr>
            <w:proofErr w:type="spellStart"/>
            <w:r w:rsidRPr="009A49EF">
              <w:rPr>
                <w:b/>
                <w:bCs/>
                <w:i/>
                <w:iCs/>
                <w:sz w:val="24"/>
                <w:szCs w:val="24"/>
              </w:rPr>
              <w:t>Anaerober</w:t>
            </w:r>
            <w:proofErr w:type="spellEnd"/>
          </w:p>
          <w:p w:rsidR="007D1818" w:rsidRPr="009A49EF" w:rsidRDefault="007D1818" w:rsidP="003B4BCE">
            <w:pPr>
              <w:rPr>
                <w:sz w:val="24"/>
                <w:szCs w:val="24"/>
              </w:rPr>
            </w:pPr>
            <w:proofErr w:type="spellStart"/>
            <w:r w:rsidRPr="009A49EF">
              <w:rPr>
                <w:i/>
                <w:iCs/>
                <w:sz w:val="24"/>
                <w:szCs w:val="24"/>
              </w:rPr>
              <w:t>Bacteroides</w:t>
            </w:r>
            <w:proofErr w:type="spellEnd"/>
            <w:r w:rsidRPr="009A49EF">
              <w:rPr>
                <w:i/>
                <w:iCs/>
                <w:sz w:val="24"/>
                <w:szCs w:val="24"/>
              </w:rPr>
              <w:t xml:space="preserve"> </w:t>
            </w:r>
            <w:proofErr w:type="spellStart"/>
            <w:r w:rsidRPr="009A49EF">
              <w:rPr>
                <w:i/>
                <w:iCs/>
                <w:sz w:val="24"/>
                <w:szCs w:val="24"/>
              </w:rPr>
              <w:t>fragilis</w:t>
            </w:r>
            <w:proofErr w:type="spellEnd"/>
          </w:p>
        </w:tc>
      </w:tr>
      <w:tr w:rsidR="007D1818" w:rsidRPr="009A49EF" w:rsidTr="003B4BCE">
        <w:tc>
          <w:tcPr>
            <w:tcW w:w="5000" w:type="pct"/>
            <w:tcBorders>
              <w:top w:val="double" w:sz="4" w:space="0" w:color="auto"/>
              <w:left w:val="single" w:sz="4" w:space="0" w:color="auto"/>
              <w:bottom w:val="single" w:sz="4" w:space="0" w:color="auto"/>
              <w:right w:val="single" w:sz="4" w:space="0" w:color="auto"/>
            </w:tcBorders>
            <w:shd w:val="clear" w:color="auto" w:fill="BFBFBF"/>
            <w:hideMark/>
          </w:tcPr>
          <w:p w:rsidR="007D1818" w:rsidRPr="009A49EF" w:rsidRDefault="007D1818" w:rsidP="003B4BCE">
            <w:pPr>
              <w:rPr>
                <w:sz w:val="24"/>
                <w:szCs w:val="24"/>
              </w:rPr>
            </w:pPr>
            <w:r w:rsidRPr="009A49EF">
              <w:rPr>
                <w:b/>
                <w:bCs/>
                <w:sz w:val="24"/>
                <w:szCs w:val="24"/>
              </w:rPr>
              <w:t>Naturligt resistente arter</w:t>
            </w:r>
          </w:p>
        </w:tc>
      </w:tr>
      <w:tr w:rsidR="007D1818" w:rsidRPr="00717C37"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Gram-positive </w:t>
            </w:r>
            <w:proofErr w:type="spellStart"/>
            <w:r w:rsidRPr="00130AD0">
              <w:rPr>
                <w:b/>
                <w:bCs/>
                <w:i/>
                <w:iCs/>
                <w:sz w:val="24"/>
                <w:szCs w:val="24"/>
                <w:lang w:val="en-US"/>
              </w:rPr>
              <w:t>aerober</w:t>
            </w:r>
            <w:proofErr w:type="spellEnd"/>
          </w:p>
          <w:p w:rsidR="007D1818" w:rsidRPr="00130AD0" w:rsidRDefault="007D1818" w:rsidP="003B4BCE">
            <w:pPr>
              <w:rPr>
                <w:sz w:val="24"/>
                <w:szCs w:val="24"/>
                <w:lang w:val="en-US"/>
              </w:rPr>
            </w:pPr>
            <w:r w:rsidRPr="00130AD0">
              <w:rPr>
                <w:i/>
                <w:iCs/>
                <w:sz w:val="24"/>
                <w:szCs w:val="24"/>
                <w:lang w:val="en-US"/>
              </w:rPr>
              <w:t xml:space="preserve">Enterococcus </w:t>
            </w:r>
            <w:r w:rsidRPr="00130AD0">
              <w:rPr>
                <w:sz w:val="24"/>
                <w:szCs w:val="24"/>
                <w:lang w:val="en-US"/>
              </w:rPr>
              <w:t>spp.</w:t>
            </w:r>
          </w:p>
          <w:p w:rsidR="007D1818" w:rsidRPr="00130AD0" w:rsidRDefault="007D1818" w:rsidP="003B4BCE">
            <w:pPr>
              <w:rPr>
                <w:i/>
                <w:iCs/>
                <w:sz w:val="24"/>
                <w:szCs w:val="24"/>
                <w:lang w:val="en-US"/>
              </w:rPr>
            </w:pPr>
            <w:r w:rsidRPr="00130AD0">
              <w:rPr>
                <w:i/>
                <w:iCs/>
                <w:sz w:val="24"/>
                <w:szCs w:val="24"/>
                <w:lang w:val="en-US"/>
              </w:rPr>
              <w:t>Listeria monocytogenes</w:t>
            </w:r>
          </w:p>
          <w:p w:rsidR="007D1818" w:rsidRPr="00130AD0" w:rsidRDefault="007D1818" w:rsidP="003B4BCE">
            <w:pPr>
              <w:rPr>
                <w:sz w:val="24"/>
                <w:szCs w:val="24"/>
                <w:lang w:val="en-US"/>
              </w:rPr>
            </w:pPr>
            <w:r w:rsidRPr="00130AD0">
              <w:rPr>
                <w:i/>
                <w:iCs/>
                <w:sz w:val="24"/>
                <w:szCs w:val="24"/>
                <w:lang w:val="en-US"/>
              </w:rPr>
              <w:t xml:space="preserve">Staphylococcus aureus </w:t>
            </w:r>
            <w:r w:rsidRPr="00130AD0">
              <w:rPr>
                <w:sz w:val="24"/>
                <w:szCs w:val="24"/>
                <w:lang w:val="en-US"/>
              </w:rPr>
              <w:t>(methicillin-</w:t>
            </w:r>
            <w:proofErr w:type="spellStart"/>
            <w:r w:rsidRPr="00130AD0">
              <w:rPr>
                <w:sz w:val="24"/>
                <w:szCs w:val="24"/>
                <w:lang w:val="en-US"/>
              </w:rPr>
              <w:t>resistent</w:t>
            </w:r>
            <w:proofErr w:type="spellEnd"/>
            <w:r w:rsidRPr="00130AD0">
              <w:rPr>
                <w:sz w:val="24"/>
                <w:szCs w:val="24"/>
                <w:lang w:val="en-US"/>
              </w:rPr>
              <w:t>)</w:t>
            </w:r>
          </w:p>
        </w:tc>
      </w:tr>
      <w:tr w:rsidR="007D1818" w:rsidRPr="009A49EF"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30AD0" w:rsidRDefault="007D1818" w:rsidP="003B4BCE">
            <w:pPr>
              <w:rPr>
                <w:b/>
                <w:bCs/>
                <w:i/>
                <w:iCs/>
                <w:sz w:val="24"/>
                <w:szCs w:val="24"/>
                <w:lang w:val="en-US"/>
              </w:rPr>
            </w:pPr>
            <w:r w:rsidRPr="00130AD0">
              <w:rPr>
                <w:b/>
                <w:bCs/>
                <w:i/>
                <w:iCs/>
                <w:sz w:val="24"/>
                <w:szCs w:val="24"/>
                <w:lang w:val="en-US"/>
              </w:rPr>
              <w:t xml:space="preserve">Gram-negative </w:t>
            </w:r>
            <w:proofErr w:type="spellStart"/>
            <w:r w:rsidRPr="00130AD0">
              <w:rPr>
                <w:b/>
                <w:bCs/>
                <w:i/>
                <w:iCs/>
                <w:sz w:val="24"/>
                <w:szCs w:val="24"/>
                <w:lang w:val="en-US"/>
              </w:rPr>
              <w:t>aerober</w:t>
            </w:r>
            <w:proofErr w:type="spellEnd"/>
          </w:p>
          <w:p w:rsidR="007D1818" w:rsidRPr="00130AD0" w:rsidRDefault="007D1818" w:rsidP="003B4BCE">
            <w:pPr>
              <w:rPr>
                <w:i/>
                <w:iCs/>
                <w:sz w:val="24"/>
                <w:szCs w:val="24"/>
                <w:lang w:val="en-US"/>
              </w:rPr>
            </w:pPr>
            <w:r w:rsidRPr="00130AD0">
              <w:rPr>
                <w:i/>
                <w:iCs/>
                <w:sz w:val="24"/>
                <w:szCs w:val="24"/>
                <w:lang w:val="en-US"/>
              </w:rPr>
              <w:t xml:space="preserve">Acinetobacter </w:t>
            </w:r>
            <w:proofErr w:type="spellStart"/>
            <w:r w:rsidRPr="00130AD0">
              <w:rPr>
                <w:i/>
                <w:iCs/>
                <w:sz w:val="24"/>
                <w:szCs w:val="24"/>
                <w:lang w:val="en-US"/>
              </w:rPr>
              <w:t>baumannii</w:t>
            </w:r>
            <w:proofErr w:type="spellEnd"/>
          </w:p>
          <w:p w:rsidR="007D1818" w:rsidRPr="00130AD0" w:rsidRDefault="007D1818" w:rsidP="003B4BCE">
            <w:pPr>
              <w:rPr>
                <w:i/>
                <w:iCs/>
                <w:sz w:val="24"/>
                <w:szCs w:val="24"/>
                <w:lang w:val="en-US"/>
              </w:rPr>
            </w:pPr>
            <w:r w:rsidRPr="00130AD0">
              <w:rPr>
                <w:i/>
                <w:iCs/>
                <w:sz w:val="24"/>
                <w:szCs w:val="24"/>
                <w:lang w:val="en-US"/>
              </w:rPr>
              <w:t>Pseudomonas aeruginosa</w:t>
            </w:r>
          </w:p>
          <w:p w:rsidR="007D1818" w:rsidRPr="009A49EF" w:rsidRDefault="007D1818" w:rsidP="003B4BCE">
            <w:pPr>
              <w:rPr>
                <w:sz w:val="24"/>
                <w:szCs w:val="24"/>
              </w:rPr>
            </w:pPr>
            <w:proofErr w:type="spellStart"/>
            <w:r w:rsidRPr="009A49EF">
              <w:rPr>
                <w:i/>
                <w:iCs/>
                <w:sz w:val="24"/>
                <w:szCs w:val="24"/>
              </w:rPr>
              <w:t>Stenotrophomonas</w:t>
            </w:r>
            <w:proofErr w:type="spellEnd"/>
            <w:r w:rsidRPr="009A49EF">
              <w:rPr>
                <w:i/>
                <w:iCs/>
                <w:sz w:val="24"/>
                <w:szCs w:val="24"/>
              </w:rPr>
              <w:t xml:space="preserve"> </w:t>
            </w:r>
            <w:proofErr w:type="spellStart"/>
            <w:r w:rsidRPr="009A49EF">
              <w:rPr>
                <w:i/>
                <w:iCs/>
                <w:sz w:val="24"/>
                <w:szCs w:val="24"/>
              </w:rPr>
              <w:t>maltophilia</w:t>
            </w:r>
            <w:proofErr w:type="spellEnd"/>
          </w:p>
        </w:tc>
      </w:tr>
      <w:tr w:rsidR="007D1818" w:rsidRPr="009A49EF"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9A49EF" w:rsidRDefault="007D1818" w:rsidP="003B4BCE">
            <w:pPr>
              <w:rPr>
                <w:b/>
                <w:bCs/>
                <w:i/>
                <w:iCs/>
                <w:sz w:val="24"/>
                <w:szCs w:val="24"/>
              </w:rPr>
            </w:pPr>
            <w:proofErr w:type="spellStart"/>
            <w:r w:rsidRPr="009A49EF">
              <w:rPr>
                <w:b/>
                <w:bCs/>
                <w:i/>
                <w:iCs/>
                <w:sz w:val="24"/>
                <w:szCs w:val="24"/>
              </w:rPr>
              <w:t>Anaerober</w:t>
            </w:r>
            <w:proofErr w:type="spellEnd"/>
          </w:p>
          <w:p w:rsidR="007D1818" w:rsidRPr="009A49EF" w:rsidRDefault="007D1818" w:rsidP="003B4BCE">
            <w:pPr>
              <w:rPr>
                <w:sz w:val="24"/>
                <w:szCs w:val="24"/>
              </w:rPr>
            </w:pPr>
            <w:proofErr w:type="spellStart"/>
            <w:r w:rsidRPr="009A49EF">
              <w:rPr>
                <w:i/>
                <w:iCs/>
                <w:sz w:val="24"/>
                <w:szCs w:val="24"/>
              </w:rPr>
              <w:t>Clostridium</w:t>
            </w:r>
            <w:proofErr w:type="spellEnd"/>
            <w:r w:rsidRPr="009A49EF">
              <w:rPr>
                <w:i/>
                <w:iCs/>
                <w:sz w:val="24"/>
                <w:szCs w:val="24"/>
              </w:rPr>
              <w:t xml:space="preserve"> difficile</w:t>
            </w:r>
          </w:p>
        </w:tc>
      </w:tr>
      <w:tr w:rsidR="007D1818" w:rsidRPr="00717C37" w:rsidTr="003B4BCE">
        <w:tc>
          <w:tcPr>
            <w:tcW w:w="5000" w:type="pct"/>
            <w:tcBorders>
              <w:top w:val="single" w:sz="4" w:space="0" w:color="auto"/>
              <w:left w:val="single" w:sz="4" w:space="0" w:color="auto"/>
              <w:bottom w:val="single" w:sz="4" w:space="0" w:color="auto"/>
              <w:right w:val="single" w:sz="4" w:space="0" w:color="auto"/>
            </w:tcBorders>
            <w:hideMark/>
          </w:tcPr>
          <w:p w:rsidR="007D1818" w:rsidRPr="00191EC1" w:rsidRDefault="007D1818" w:rsidP="003B4BCE">
            <w:pPr>
              <w:rPr>
                <w:b/>
                <w:bCs/>
                <w:i/>
                <w:iCs/>
                <w:sz w:val="24"/>
                <w:szCs w:val="24"/>
                <w:lang w:val="en-US"/>
              </w:rPr>
            </w:pPr>
            <w:r w:rsidRPr="00191EC1">
              <w:rPr>
                <w:b/>
                <w:bCs/>
                <w:i/>
                <w:iCs/>
                <w:sz w:val="24"/>
                <w:szCs w:val="24"/>
                <w:lang w:val="en-US"/>
              </w:rPr>
              <w:t>Andre</w:t>
            </w:r>
          </w:p>
          <w:p w:rsidR="007D1818" w:rsidRPr="00191EC1" w:rsidRDefault="007D1818" w:rsidP="003B4BCE">
            <w:pPr>
              <w:rPr>
                <w:i/>
                <w:iCs/>
                <w:sz w:val="24"/>
                <w:szCs w:val="24"/>
                <w:lang w:val="en-US"/>
              </w:rPr>
            </w:pPr>
            <w:r w:rsidRPr="00191EC1">
              <w:rPr>
                <w:i/>
                <w:iCs/>
                <w:sz w:val="24"/>
                <w:szCs w:val="24"/>
                <w:lang w:val="en-US"/>
              </w:rPr>
              <w:t xml:space="preserve">Chlamydia </w:t>
            </w:r>
            <w:r w:rsidRPr="00191EC1">
              <w:rPr>
                <w:sz w:val="24"/>
                <w:szCs w:val="24"/>
                <w:lang w:val="en-US"/>
              </w:rPr>
              <w:t>spp</w:t>
            </w:r>
            <w:r w:rsidRPr="00191EC1">
              <w:rPr>
                <w:i/>
                <w:iCs/>
                <w:sz w:val="24"/>
                <w:szCs w:val="24"/>
                <w:lang w:val="en-US"/>
              </w:rPr>
              <w:t>.</w:t>
            </w:r>
          </w:p>
          <w:p w:rsidR="007D1818" w:rsidRPr="00191EC1" w:rsidRDefault="007D1818" w:rsidP="003B4BCE">
            <w:pPr>
              <w:rPr>
                <w:i/>
                <w:iCs/>
                <w:sz w:val="24"/>
                <w:szCs w:val="24"/>
                <w:lang w:val="en-US"/>
              </w:rPr>
            </w:pPr>
            <w:r w:rsidRPr="00191EC1">
              <w:rPr>
                <w:i/>
                <w:iCs/>
                <w:sz w:val="24"/>
                <w:szCs w:val="24"/>
                <w:lang w:val="en-US"/>
              </w:rPr>
              <w:t xml:space="preserve">Chlamydophila </w:t>
            </w:r>
            <w:r w:rsidRPr="00191EC1">
              <w:rPr>
                <w:sz w:val="24"/>
                <w:szCs w:val="24"/>
                <w:lang w:val="en-US"/>
              </w:rPr>
              <w:t>spp</w:t>
            </w:r>
            <w:r w:rsidRPr="00191EC1">
              <w:rPr>
                <w:i/>
                <w:iCs/>
                <w:sz w:val="24"/>
                <w:szCs w:val="24"/>
                <w:lang w:val="en-US"/>
              </w:rPr>
              <w:t>.</w:t>
            </w:r>
          </w:p>
          <w:p w:rsidR="007D1818" w:rsidRPr="006059D8" w:rsidRDefault="007D1818" w:rsidP="003B4BCE">
            <w:pPr>
              <w:rPr>
                <w:i/>
                <w:iCs/>
                <w:sz w:val="24"/>
                <w:szCs w:val="24"/>
                <w:lang w:val="sv-SE"/>
              </w:rPr>
            </w:pPr>
            <w:proofErr w:type="spellStart"/>
            <w:r w:rsidRPr="006059D8">
              <w:rPr>
                <w:i/>
                <w:iCs/>
                <w:sz w:val="24"/>
                <w:szCs w:val="24"/>
                <w:lang w:val="sv-SE"/>
              </w:rPr>
              <w:t>Legionella</w:t>
            </w:r>
            <w:proofErr w:type="spellEnd"/>
            <w:r w:rsidRPr="006059D8">
              <w:rPr>
                <w:i/>
                <w:iCs/>
                <w:sz w:val="24"/>
                <w:szCs w:val="24"/>
                <w:lang w:val="sv-SE"/>
              </w:rPr>
              <w:t xml:space="preserve"> </w:t>
            </w:r>
            <w:proofErr w:type="spellStart"/>
            <w:r w:rsidRPr="006059D8">
              <w:rPr>
                <w:i/>
                <w:iCs/>
                <w:sz w:val="24"/>
                <w:szCs w:val="24"/>
                <w:lang w:val="sv-SE"/>
              </w:rPr>
              <w:t>pneumophila</w:t>
            </w:r>
            <w:proofErr w:type="spellEnd"/>
          </w:p>
          <w:p w:rsidR="007D1818" w:rsidRPr="006059D8" w:rsidRDefault="007D1818" w:rsidP="003B4BCE">
            <w:pPr>
              <w:rPr>
                <w:sz w:val="24"/>
                <w:szCs w:val="24"/>
                <w:lang w:val="sv-SE"/>
              </w:rPr>
            </w:pPr>
            <w:r w:rsidRPr="006059D8">
              <w:rPr>
                <w:i/>
                <w:iCs/>
                <w:sz w:val="24"/>
                <w:szCs w:val="24"/>
                <w:lang w:val="sv-SE"/>
              </w:rPr>
              <w:t xml:space="preserve">Mycoplasma </w:t>
            </w:r>
            <w:proofErr w:type="spellStart"/>
            <w:r w:rsidRPr="006059D8">
              <w:rPr>
                <w:sz w:val="24"/>
                <w:szCs w:val="24"/>
                <w:lang w:val="sv-SE"/>
              </w:rPr>
              <w:t>spp</w:t>
            </w:r>
            <w:proofErr w:type="spellEnd"/>
            <w:r w:rsidRPr="006059D8">
              <w:rPr>
                <w:sz w:val="24"/>
                <w:szCs w:val="24"/>
                <w:lang w:val="sv-SE"/>
              </w:rPr>
              <w:t>.</w:t>
            </w:r>
          </w:p>
          <w:p w:rsidR="007D1818" w:rsidRPr="006059D8" w:rsidRDefault="007D1818" w:rsidP="003B4BCE">
            <w:pPr>
              <w:rPr>
                <w:sz w:val="24"/>
                <w:szCs w:val="24"/>
                <w:lang w:val="sv-SE"/>
              </w:rPr>
            </w:pPr>
            <w:proofErr w:type="spellStart"/>
            <w:r w:rsidRPr="006059D8">
              <w:rPr>
                <w:i/>
                <w:iCs/>
                <w:sz w:val="24"/>
                <w:szCs w:val="24"/>
                <w:lang w:val="sv-SE"/>
              </w:rPr>
              <w:t>Treponema</w:t>
            </w:r>
            <w:proofErr w:type="spellEnd"/>
            <w:r w:rsidRPr="006059D8">
              <w:rPr>
                <w:i/>
                <w:iCs/>
                <w:sz w:val="24"/>
                <w:szCs w:val="24"/>
                <w:lang w:val="sv-SE"/>
              </w:rPr>
              <w:t xml:space="preserve"> </w:t>
            </w:r>
            <w:proofErr w:type="spellStart"/>
            <w:r w:rsidRPr="006059D8">
              <w:rPr>
                <w:i/>
                <w:iCs/>
                <w:sz w:val="24"/>
                <w:szCs w:val="24"/>
                <w:lang w:val="sv-SE"/>
              </w:rPr>
              <w:t>pallidum</w:t>
            </w:r>
            <w:proofErr w:type="spellEnd"/>
          </w:p>
        </w:tc>
      </w:tr>
    </w:tbl>
    <w:p w:rsidR="007D1818" w:rsidRPr="009A49EF" w:rsidRDefault="007D1818" w:rsidP="007D1818">
      <w:pPr>
        <w:ind w:left="1276" w:hanging="425"/>
        <w:rPr>
          <w:sz w:val="24"/>
          <w:szCs w:val="24"/>
        </w:rPr>
      </w:pPr>
      <w:r w:rsidRPr="009A49EF">
        <w:rPr>
          <w:sz w:val="24"/>
          <w:szCs w:val="24"/>
          <w:vertAlign w:val="superscript"/>
        </w:rPr>
        <w:t>+</w:t>
      </w:r>
      <w:r w:rsidRPr="009A49EF">
        <w:rPr>
          <w:sz w:val="24"/>
          <w:szCs w:val="24"/>
        </w:rPr>
        <w:tab/>
        <w:t>I mindst én region er resistensprocenten &gt; 50 %.</w:t>
      </w:r>
    </w:p>
    <w:p w:rsidR="007D1818" w:rsidRPr="009A49EF" w:rsidRDefault="007D1818" w:rsidP="007D1818">
      <w:pPr>
        <w:ind w:left="1276" w:hanging="425"/>
        <w:rPr>
          <w:sz w:val="24"/>
          <w:szCs w:val="24"/>
        </w:rPr>
      </w:pPr>
      <w:r w:rsidRPr="009A49EF">
        <w:rPr>
          <w:sz w:val="24"/>
          <w:szCs w:val="24"/>
          <w:vertAlign w:val="superscript"/>
        </w:rPr>
        <w:t>#</w:t>
      </w:r>
      <w:r w:rsidRPr="009A49EF">
        <w:rPr>
          <w:sz w:val="24"/>
          <w:szCs w:val="24"/>
        </w:rPr>
        <w:tab/>
        <w:t>På intensivafdelinger er resistensprocenten 10 %.</w:t>
      </w:r>
    </w:p>
    <w:p w:rsidR="007D1818" w:rsidRPr="009A49EF" w:rsidRDefault="007D1818" w:rsidP="007D1818">
      <w:pPr>
        <w:ind w:left="1276" w:hanging="425"/>
        <w:rPr>
          <w:sz w:val="24"/>
          <w:szCs w:val="24"/>
        </w:rPr>
      </w:pPr>
      <w:r w:rsidRPr="009A49EF">
        <w:rPr>
          <w:sz w:val="24"/>
          <w:szCs w:val="24"/>
          <w:vertAlign w:val="superscript"/>
        </w:rPr>
        <w:t>%</w:t>
      </w:r>
      <w:r w:rsidRPr="009A49EF">
        <w:rPr>
          <w:sz w:val="24"/>
          <w:szCs w:val="24"/>
        </w:rPr>
        <w:tab/>
        <w:t xml:space="preserve">Bredspektret </w:t>
      </w:r>
      <w:proofErr w:type="spellStart"/>
      <w:r w:rsidRPr="009A49EF">
        <w:rPr>
          <w:sz w:val="24"/>
          <w:szCs w:val="24"/>
        </w:rPr>
        <w:t>betalaktamase</w:t>
      </w:r>
      <w:proofErr w:type="spellEnd"/>
      <w:r w:rsidRPr="009A49EF">
        <w:rPr>
          <w:sz w:val="24"/>
          <w:szCs w:val="24"/>
        </w:rPr>
        <w:t xml:space="preserve"> (ESBL)-danne</w:t>
      </w:r>
      <w:r w:rsidR="00B6074E">
        <w:rPr>
          <w:sz w:val="24"/>
          <w:szCs w:val="24"/>
        </w:rPr>
        <w:t>n</w:t>
      </w:r>
      <w:r w:rsidRPr="009A49EF">
        <w:rPr>
          <w:sz w:val="24"/>
          <w:szCs w:val="24"/>
        </w:rPr>
        <w:t>de stammer er altid resistente.</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u w:val="single"/>
        </w:rPr>
      </w:pPr>
      <w:r w:rsidRPr="009A49EF">
        <w:rPr>
          <w:sz w:val="24"/>
          <w:szCs w:val="24"/>
        </w:rPr>
        <w:tab/>
      </w:r>
      <w:r w:rsidRPr="009A49EF">
        <w:rPr>
          <w:sz w:val="24"/>
          <w:szCs w:val="24"/>
          <w:u w:val="single"/>
        </w:rPr>
        <w:t>Absorption</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w:t>
      </w:r>
      <w:r>
        <w:rPr>
          <w:sz w:val="24"/>
          <w:szCs w:val="24"/>
        </w:rPr>
        <w:t>"</w:t>
      </w:r>
      <w:r w:rsidRPr="009A49EF">
        <w:rPr>
          <w:sz w:val="24"/>
          <w:szCs w:val="24"/>
        </w:rPr>
        <w:t>MIP</w:t>
      </w:r>
      <w:r>
        <w:rPr>
          <w:sz w:val="24"/>
          <w:szCs w:val="24"/>
        </w:rPr>
        <w:t>"</w:t>
      </w:r>
      <w:r w:rsidRPr="009A49EF">
        <w:rPr>
          <w:sz w:val="24"/>
          <w:szCs w:val="24"/>
        </w:rPr>
        <w:t xml:space="preserve"> er til parenteral anvendelse. De gennemsnitlige maksimum</w:t>
      </w:r>
      <w:r w:rsidRPr="009A49EF">
        <w:rPr>
          <w:sz w:val="24"/>
          <w:szCs w:val="24"/>
        </w:rPr>
        <w:softHyphen/>
        <w:t xml:space="preserve">koncentrationer 5 minutter efter intravenøs administration er på ca. 81-102 mg/l efter en dosis på 1 g </w:t>
      </w:r>
      <w:proofErr w:type="spellStart"/>
      <w:r w:rsidRPr="009A49EF">
        <w:rPr>
          <w:sz w:val="24"/>
          <w:szCs w:val="24"/>
        </w:rPr>
        <w:t>cefotaxim</w:t>
      </w:r>
      <w:proofErr w:type="spellEnd"/>
      <w:r w:rsidRPr="009A49EF">
        <w:rPr>
          <w:sz w:val="24"/>
          <w:szCs w:val="24"/>
        </w:rPr>
        <w:t xml:space="preserve"> og ca. 167-214 mg/l 8 minutter efter en dosis på 2 g. Intramuskulær injektion medfører gennemsnitlige maksimumkoncentrationer på 20 mg/l inden for 30 minutter efter en dosis på 1 g. </w:t>
      </w:r>
    </w:p>
    <w:p w:rsidR="007D1818" w:rsidRPr="009A49EF" w:rsidRDefault="007D1818" w:rsidP="007D1818">
      <w:pPr>
        <w:ind w:left="851" w:hanging="851"/>
        <w:rPr>
          <w:sz w:val="24"/>
          <w:szCs w:val="24"/>
        </w:rPr>
      </w:pPr>
    </w:p>
    <w:p w:rsidR="007D1818" w:rsidRPr="009A49EF" w:rsidRDefault="007D1818" w:rsidP="007D1818">
      <w:pPr>
        <w:ind w:left="851"/>
        <w:rPr>
          <w:sz w:val="24"/>
          <w:szCs w:val="24"/>
          <w:u w:val="single"/>
        </w:rPr>
      </w:pPr>
      <w:r w:rsidRPr="009A49EF">
        <w:rPr>
          <w:sz w:val="24"/>
          <w:szCs w:val="24"/>
          <w:u w:val="single"/>
        </w:rPr>
        <w:t>Distribution</w:t>
      </w:r>
    </w:p>
    <w:p w:rsidR="007D1818" w:rsidRPr="009A49EF" w:rsidRDefault="007D1818" w:rsidP="007D1818">
      <w:pPr>
        <w:ind w:left="851"/>
        <w:rPr>
          <w:sz w:val="24"/>
          <w:szCs w:val="24"/>
          <w:u w:val="single"/>
        </w:rPr>
      </w:pPr>
      <w:proofErr w:type="spellStart"/>
      <w:r w:rsidRPr="009A49EF">
        <w:rPr>
          <w:sz w:val="24"/>
          <w:szCs w:val="24"/>
        </w:rPr>
        <w:t>Cefotaxim</w:t>
      </w:r>
      <w:proofErr w:type="spellEnd"/>
      <w:r w:rsidRPr="009A49EF">
        <w:rPr>
          <w:sz w:val="24"/>
          <w:szCs w:val="24"/>
        </w:rPr>
        <w:t xml:space="preserve"> trænger godt ind i forskellige fordelingsrum. Der kan hurtigt opnås terapeutiske lægemiddelniveauer, der overstiger de mindste hæmmende niveauer for almindelige </w:t>
      </w:r>
      <w:proofErr w:type="spellStart"/>
      <w:r w:rsidRPr="009A49EF">
        <w:rPr>
          <w:sz w:val="24"/>
          <w:szCs w:val="24"/>
        </w:rPr>
        <w:t>patogener</w:t>
      </w:r>
      <w:proofErr w:type="spellEnd"/>
      <w:r w:rsidRPr="009A49EF">
        <w:rPr>
          <w:sz w:val="24"/>
          <w:szCs w:val="24"/>
        </w:rPr>
        <w:t xml:space="preserve">. Koncentrationerne i cerebrospinalvæsken er lave, når der ikke er inflammation i </w:t>
      </w:r>
      <w:proofErr w:type="spellStart"/>
      <w:r w:rsidRPr="009A49EF">
        <w:rPr>
          <w:sz w:val="24"/>
          <w:szCs w:val="24"/>
        </w:rPr>
        <w:t>meninges</w:t>
      </w:r>
      <w:proofErr w:type="spellEnd"/>
      <w:r w:rsidRPr="009A49EF">
        <w:rPr>
          <w:sz w:val="24"/>
          <w:szCs w:val="24"/>
        </w:rPr>
        <w:t xml:space="preserve">, men </w:t>
      </w:r>
      <w:proofErr w:type="spellStart"/>
      <w:r w:rsidRPr="009A49EF">
        <w:rPr>
          <w:sz w:val="24"/>
          <w:szCs w:val="24"/>
        </w:rPr>
        <w:t>cefotaxim</w:t>
      </w:r>
      <w:proofErr w:type="spellEnd"/>
      <w:r w:rsidRPr="009A49EF">
        <w:rPr>
          <w:sz w:val="24"/>
          <w:szCs w:val="24"/>
        </w:rPr>
        <w:t xml:space="preserve"> passerer som regel blod-hjerne-barrieren i niveauer, der ligger over MIC for følsomme </w:t>
      </w:r>
      <w:proofErr w:type="spellStart"/>
      <w:r w:rsidRPr="009A49EF">
        <w:rPr>
          <w:sz w:val="24"/>
          <w:szCs w:val="24"/>
        </w:rPr>
        <w:t>patogener</w:t>
      </w:r>
      <w:proofErr w:type="spellEnd"/>
      <w:r w:rsidRPr="009A49EF">
        <w:rPr>
          <w:sz w:val="24"/>
          <w:szCs w:val="24"/>
        </w:rPr>
        <w:t xml:space="preserve">, når der er inflammation i </w:t>
      </w:r>
      <w:proofErr w:type="spellStart"/>
      <w:r w:rsidRPr="009A49EF">
        <w:rPr>
          <w:sz w:val="24"/>
          <w:szCs w:val="24"/>
        </w:rPr>
        <w:t>meninges</w:t>
      </w:r>
      <w:proofErr w:type="spellEnd"/>
      <w:r w:rsidRPr="009A49EF">
        <w:rPr>
          <w:sz w:val="24"/>
          <w:szCs w:val="24"/>
        </w:rPr>
        <w:t xml:space="preserve"> (3-30 µg/ml). Der opnås </w:t>
      </w:r>
      <w:proofErr w:type="spellStart"/>
      <w:r w:rsidRPr="009A49EF">
        <w:rPr>
          <w:sz w:val="24"/>
          <w:szCs w:val="24"/>
        </w:rPr>
        <w:t>cefotaximkoncentrationer</w:t>
      </w:r>
      <w:proofErr w:type="spellEnd"/>
      <w:r w:rsidRPr="009A49EF">
        <w:rPr>
          <w:sz w:val="24"/>
          <w:szCs w:val="24"/>
        </w:rPr>
        <w:t xml:space="preserve"> (0,2-5,4 µg/ml), der er hæmmende for de fleste gramnegative bakterier, i pusholdigt ekspektorat, bronkiesekreter og pleuravæske efter doser på 1 eller 2 g. På lignende vis opnås der koncentrationer, som sandsynligvis er effektive mod de fleste følsomme organismer, i kvindelige reproduktionsorganer, mellemørevæske, prostatavæv, </w:t>
      </w:r>
      <w:proofErr w:type="spellStart"/>
      <w:r w:rsidRPr="009A49EF">
        <w:rPr>
          <w:sz w:val="24"/>
          <w:szCs w:val="24"/>
        </w:rPr>
        <w:t>interstitialvæske</w:t>
      </w:r>
      <w:proofErr w:type="spellEnd"/>
      <w:r w:rsidRPr="009A49EF">
        <w:rPr>
          <w:sz w:val="24"/>
          <w:szCs w:val="24"/>
        </w:rPr>
        <w:t xml:space="preserve">, </w:t>
      </w:r>
      <w:proofErr w:type="spellStart"/>
      <w:r w:rsidRPr="009A49EF">
        <w:rPr>
          <w:sz w:val="24"/>
          <w:szCs w:val="24"/>
        </w:rPr>
        <w:t>peritonealvæske</w:t>
      </w:r>
      <w:proofErr w:type="spellEnd"/>
      <w:r w:rsidRPr="009A49EF">
        <w:rPr>
          <w:sz w:val="24"/>
          <w:szCs w:val="24"/>
        </w:rPr>
        <w:t xml:space="preserve"> og galdeblærevæg efter terapeutiske doser. Der opnås høje koncentrationer af </w:t>
      </w:r>
      <w:proofErr w:type="spellStart"/>
      <w:r w:rsidRPr="009A49EF">
        <w:rPr>
          <w:sz w:val="24"/>
          <w:szCs w:val="24"/>
        </w:rPr>
        <w:t>cefotaxim</w:t>
      </w:r>
      <w:proofErr w:type="spellEnd"/>
      <w:r w:rsidRPr="009A49EF">
        <w:rPr>
          <w:sz w:val="24"/>
          <w:szCs w:val="24"/>
        </w:rPr>
        <w:t xml:space="preserve"> og O-</w:t>
      </w:r>
      <w:proofErr w:type="spellStart"/>
      <w:r w:rsidRPr="009A49EF">
        <w:rPr>
          <w:sz w:val="24"/>
          <w:szCs w:val="24"/>
        </w:rPr>
        <w:t>desecatyl</w:t>
      </w:r>
      <w:proofErr w:type="spellEnd"/>
      <w:r w:rsidRPr="009A49EF">
        <w:rPr>
          <w:sz w:val="24"/>
          <w:szCs w:val="24"/>
        </w:rPr>
        <w:t>-</w:t>
      </w:r>
      <w:proofErr w:type="spellStart"/>
      <w:r w:rsidRPr="009A49EF">
        <w:rPr>
          <w:sz w:val="24"/>
          <w:szCs w:val="24"/>
        </w:rPr>
        <w:t>cefotaxim</w:t>
      </w:r>
      <w:proofErr w:type="spellEnd"/>
      <w:r w:rsidRPr="009A49EF">
        <w:rPr>
          <w:sz w:val="24"/>
          <w:szCs w:val="24"/>
        </w:rPr>
        <w:t xml:space="preserve"> i galden. </w:t>
      </w:r>
      <w:proofErr w:type="spellStart"/>
      <w:r w:rsidRPr="009A49EF">
        <w:rPr>
          <w:sz w:val="24"/>
          <w:szCs w:val="24"/>
        </w:rPr>
        <w:t>Cefotaxim</w:t>
      </w:r>
      <w:proofErr w:type="spellEnd"/>
      <w:r w:rsidRPr="009A49EF">
        <w:rPr>
          <w:sz w:val="24"/>
          <w:szCs w:val="24"/>
        </w:rPr>
        <w:t xml:space="preserve"> passerer placenta og når høje koncentrationer i fostervand og –væv (op til 6 mg/kg). Der udskilles små mængder </w:t>
      </w:r>
      <w:proofErr w:type="spellStart"/>
      <w:r w:rsidRPr="009A49EF">
        <w:rPr>
          <w:sz w:val="24"/>
          <w:szCs w:val="24"/>
        </w:rPr>
        <w:t>cefotaxim</w:t>
      </w:r>
      <w:proofErr w:type="spellEnd"/>
      <w:r w:rsidRPr="009A49EF">
        <w:rPr>
          <w:sz w:val="24"/>
          <w:szCs w:val="24"/>
        </w:rPr>
        <w:t xml:space="preserve"> i modermælk.</w:t>
      </w:r>
    </w:p>
    <w:p w:rsidR="007D1818" w:rsidRPr="009A49EF" w:rsidRDefault="007D1818" w:rsidP="007D1818">
      <w:pPr>
        <w:ind w:left="851"/>
        <w:rPr>
          <w:sz w:val="24"/>
          <w:szCs w:val="24"/>
          <w:u w:val="single"/>
        </w:rPr>
      </w:pPr>
      <w:proofErr w:type="spellStart"/>
      <w:r w:rsidRPr="009A49EF">
        <w:rPr>
          <w:sz w:val="24"/>
          <w:szCs w:val="24"/>
        </w:rPr>
        <w:t>Cefotaxims</w:t>
      </w:r>
      <w:proofErr w:type="spellEnd"/>
      <w:r w:rsidRPr="009A49EF">
        <w:rPr>
          <w:sz w:val="24"/>
          <w:szCs w:val="24"/>
        </w:rPr>
        <w:t xml:space="preserve"> proteinbindingsgrad er ca. 25-40 %.</w:t>
      </w:r>
    </w:p>
    <w:p w:rsidR="007D1818" w:rsidRPr="009A49EF" w:rsidRDefault="007D1818" w:rsidP="007D1818">
      <w:pPr>
        <w:ind w:left="851"/>
        <w:rPr>
          <w:sz w:val="24"/>
          <w:szCs w:val="24"/>
          <w:u w:val="single"/>
        </w:rPr>
      </w:pPr>
      <w:proofErr w:type="spellStart"/>
      <w:r w:rsidRPr="009A49EF">
        <w:rPr>
          <w:sz w:val="24"/>
          <w:szCs w:val="24"/>
        </w:rPr>
        <w:t>Cefotaxims</w:t>
      </w:r>
      <w:proofErr w:type="spellEnd"/>
      <w:r w:rsidRPr="009A49EF">
        <w:rPr>
          <w:sz w:val="24"/>
          <w:szCs w:val="24"/>
        </w:rPr>
        <w:t xml:space="preserve"> tilsyneladende fordelingsvolumen er 21-37 l efter intravenøs infusion af 1 g over 30 minutter.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Biotransformation</w:t>
      </w:r>
    </w:p>
    <w:p w:rsidR="007D1818" w:rsidRPr="009A49EF" w:rsidRDefault="007D1818" w:rsidP="007D1818">
      <w:pPr>
        <w:ind w:left="851"/>
        <w:rPr>
          <w:sz w:val="24"/>
          <w:szCs w:val="24"/>
        </w:rPr>
      </w:pPr>
      <w:proofErr w:type="spellStart"/>
      <w:r w:rsidRPr="009A49EF">
        <w:rPr>
          <w:sz w:val="24"/>
          <w:szCs w:val="24"/>
        </w:rPr>
        <w:t>Cefotaxim</w:t>
      </w:r>
      <w:proofErr w:type="spellEnd"/>
      <w:r w:rsidRPr="009A49EF">
        <w:rPr>
          <w:sz w:val="24"/>
          <w:szCs w:val="24"/>
        </w:rPr>
        <w:t xml:space="preserve"> </w:t>
      </w:r>
      <w:proofErr w:type="spellStart"/>
      <w:r w:rsidRPr="009A49EF">
        <w:rPr>
          <w:sz w:val="24"/>
          <w:szCs w:val="24"/>
        </w:rPr>
        <w:t>metaboliseres</w:t>
      </w:r>
      <w:proofErr w:type="spellEnd"/>
      <w:r w:rsidRPr="009A49EF">
        <w:rPr>
          <w:sz w:val="24"/>
          <w:szCs w:val="24"/>
        </w:rPr>
        <w:t xml:space="preserve"> delvist hos mennesker. Ca. 15-25 % af en parenteral dosis </w:t>
      </w:r>
      <w:proofErr w:type="spellStart"/>
      <w:r w:rsidRPr="009A49EF">
        <w:rPr>
          <w:sz w:val="24"/>
          <w:szCs w:val="24"/>
        </w:rPr>
        <w:t>metaboliseres</w:t>
      </w:r>
      <w:proofErr w:type="spellEnd"/>
      <w:r w:rsidRPr="009A49EF">
        <w:rPr>
          <w:sz w:val="24"/>
          <w:szCs w:val="24"/>
        </w:rPr>
        <w:t xml:space="preserve"> til metabolitten O-</w:t>
      </w:r>
      <w:proofErr w:type="spellStart"/>
      <w:r w:rsidRPr="009A49EF">
        <w:rPr>
          <w:sz w:val="24"/>
          <w:szCs w:val="24"/>
        </w:rPr>
        <w:t>desacetyl</w:t>
      </w:r>
      <w:proofErr w:type="spellEnd"/>
      <w:r w:rsidRPr="009A49EF">
        <w:rPr>
          <w:sz w:val="24"/>
          <w:szCs w:val="24"/>
        </w:rPr>
        <w:t>-</w:t>
      </w:r>
      <w:proofErr w:type="spellStart"/>
      <w:r w:rsidRPr="009A49EF">
        <w:rPr>
          <w:sz w:val="24"/>
          <w:szCs w:val="24"/>
        </w:rPr>
        <w:t>cefotaxim</w:t>
      </w:r>
      <w:proofErr w:type="spellEnd"/>
      <w:r w:rsidRPr="009A49EF">
        <w:rPr>
          <w:sz w:val="24"/>
          <w:szCs w:val="24"/>
        </w:rPr>
        <w:t>, som også har antibiotiske egenskaber.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Elimination</w:t>
      </w:r>
    </w:p>
    <w:p w:rsidR="007D1818" w:rsidRPr="009A49EF" w:rsidRDefault="007D1818" w:rsidP="007D1818">
      <w:pPr>
        <w:ind w:left="851"/>
        <w:rPr>
          <w:sz w:val="24"/>
          <w:szCs w:val="24"/>
        </w:rPr>
      </w:pPr>
      <w:proofErr w:type="spellStart"/>
      <w:r w:rsidRPr="009A49EF">
        <w:rPr>
          <w:sz w:val="24"/>
          <w:szCs w:val="24"/>
        </w:rPr>
        <w:t>Cefotaxim</w:t>
      </w:r>
      <w:proofErr w:type="spellEnd"/>
      <w:r w:rsidRPr="009A49EF">
        <w:rPr>
          <w:sz w:val="24"/>
          <w:szCs w:val="24"/>
        </w:rPr>
        <w:t xml:space="preserve"> og O-</w:t>
      </w:r>
      <w:proofErr w:type="spellStart"/>
      <w:r w:rsidRPr="009A49EF">
        <w:rPr>
          <w:sz w:val="24"/>
          <w:szCs w:val="24"/>
        </w:rPr>
        <w:t>desacetyl</w:t>
      </w:r>
      <w:proofErr w:type="spellEnd"/>
      <w:r w:rsidRPr="009A49EF">
        <w:rPr>
          <w:sz w:val="24"/>
          <w:szCs w:val="24"/>
        </w:rPr>
        <w:t>-</w:t>
      </w:r>
      <w:proofErr w:type="spellStart"/>
      <w:r w:rsidRPr="009A49EF">
        <w:rPr>
          <w:sz w:val="24"/>
          <w:szCs w:val="24"/>
        </w:rPr>
        <w:t>cefotaxim</w:t>
      </w:r>
      <w:proofErr w:type="spellEnd"/>
      <w:r w:rsidRPr="009A49EF">
        <w:rPr>
          <w:sz w:val="24"/>
          <w:szCs w:val="24"/>
        </w:rPr>
        <w:t xml:space="preserve"> udskilles hovedsageligt via nyrerne. Kun en lille mængde (2 %) udskilles via galden. I urin, der indhentes inden for 6 timer, genfindes 40-60</w:t>
      </w:r>
      <w:r w:rsidR="005757DB">
        <w:rPr>
          <w:sz w:val="24"/>
          <w:szCs w:val="24"/>
        </w:rPr>
        <w:t> </w:t>
      </w:r>
      <w:r w:rsidRPr="009A49EF">
        <w:rPr>
          <w:sz w:val="24"/>
          <w:szCs w:val="24"/>
        </w:rPr>
        <w:t xml:space="preserve">% af den administrerede dosis </w:t>
      </w:r>
      <w:proofErr w:type="spellStart"/>
      <w:r w:rsidRPr="009A49EF">
        <w:rPr>
          <w:sz w:val="24"/>
          <w:szCs w:val="24"/>
        </w:rPr>
        <w:t>cefotaxim</w:t>
      </w:r>
      <w:proofErr w:type="spellEnd"/>
      <w:r w:rsidRPr="009A49EF">
        <w:rPr>
          <w:sz w:val="24"/>
          <w:szCs w:val="24"/>
        </w:rPr>
        <w:t xml:space="preserve"> som </w:t>
      </w:r>
      <w:proofErr w:type="spellStart"/>
      <w:r w:rsidRPr="009A49EF">
        <w:rPr>
          <w:sz w:val="24"/>
          <w:szCs w:val="24"/>
        </w:rPr>
        <w:t>uomdannet</w:t>
      </w:r>
      <w:proofErr w:type="spellEnd"/>
      <w:r w:rsidRPr="009A49EF">
        <w:rPr>
          <w:sz w:val="24"/>
          <w:szCs w:val="24"/>
        </w:rPr>
        <w:t xml:space="preserve"> </w:t>
      </w:r>
      <w:proofErr w:type="spellStart"/>
      <w:r w:rsidRPr="009A49EF">
        <w:rPr>
          <w:sz w:val="24"/>
          <w:szCs w:val="24"/>
        </w:rPr>
        <w:t>cefotaxim</w:t>
      </w:r>
      <w:proofErr w:type="spellEnd"/>
      <w:r w:rsidRPr="009A49EF">
        <w:rPr>
          <w:sz w:val="24"/>
          <w:szCs w:val="24"/>
        </w:rPr>
        <w:t>, og 20 % findes som O-</w:t>
      </w:r>
      <w:proofErr w:type="spellStart"/>
      <w:r w:rsidRPr="009A49EF">
        <w:rPr>
          <w:sz w:val="24"/>
          <w:szCs w:val="24"/>
        </w:rPr>
        <w:t>desacetyl</w:t>
      </w:r>
      <w:proofErr w:type="spellEnd"/>
      <w:r w:rsidRPr="009A49EF">
        <w:rPr>
          <w:sz w:val="24"/>
          <w:szCs w:val="24"/>
        </w:rPr>
        <w:t>-</w:t>
      </w:r>
      <w:proofErr w:type="spellStart"/>
      <w:r w:rsidRPr="009A49EF">
        <w:rPr>
          <w:sz w:val="24"/>
          <w:szCs w:val="24"/>
        </w:rPr>
        <w:t>cefotaxim</w:t>
      </w:r>
      <w:proofErr w:type="spellEnd"/>
      <w:r w:rsidRPr="009A49EF">
        <w:rPr>
          <w:sz w:val="24"/>
          <w:szCs w:val="24"/>
        </w:rPr>
        <w:t xml:space="preserve">. Efter administration af radioaktivt mærket </w:t>
      </w:r>
      <w:proofErr w:type="spellStart"/>
      <w:r w:rsidRPr="009A49EF">
        <w:rPr>
          <w:sz w:val="24"/>
          <w:szCs w:val="24"/>
        </w:rPr>
        <w:t>cefotaxim</w:t>
      </w:r>
      <w:proofErr w:type="spellEnd"/>
      <w:r w:rsidRPr="009A49EF">
        <w:rPr>
          <w:sz w:val="24"/>
          <w:szCs w:val="24"/>
        </w:rPr>
        <w:t xml:space="preserve"> genfindes mere end 80 % i urinen. 50 – 60 % af denne fraktion er </w:t>
      </w:r>
      <w:proofErr w:type="spellStart"/>
      <w:r w:rsidRPr="009A49EF">
        <w:rPr>
          <w:sz w:val="24"/>
          <w:szCs w:val="24"/>
        </w:rPr>
        <w:t>uomdannet</w:t>
      </w:r>
      <w:proofErr w:type="spellEnd"/>
      <w:r w:rsidRPr="009A49EF">
        <w:rPr>
          <w:sz w:val="24"/>
          <w:szCs w:val="24"/>
        </w:rPr>
        <w:t xml:space="preserve"> </w:t>
      </w:r>
      <w:proofErr w:type="spellStart"/>
      <w:r w:rsidRPr="009A49EF">
        <w:rPr>
          <w:sz w:val="24"/>
          <w:szCs w:val="24"/>
        </w:rPr>
        <w:t>cefotaxim</w:t>
      </w:r>
      <w:proofErr w:type="spellEnd"/>
      <w:r w:rsidRPr="009A49EF">
        <w:rPr>
          <w:sz w:val="24"/>
          <w:szCs w:val="24"/>
        </w:rPr>
        <w:t>, og resten indeholder metabolitter.</w:t>
      </w:r>
    </w:p>
    <w:p w:rsidR="007D1818" w:rsidRPr="009A49EF" w:rsidRDefault="007D1818" w:rsidP="007D1818">
      <w:pPr>
        <w:ind w:left="851"/>
        <w:rPr>
          <w:sz w:val="24"/>
          <w:szCs w:val="24"/>
        </w:rPr>
      </w:pPr>
      <w:r w:rsidRPr="009A49EF">
        <w:rPr>
          <w:sz w:val="24"/>
          <w:szCs w:val="24"/>
        </w:rPr>
        <w:t xml:space="preserve">Den totale </w:t>
      </w:r>
      <w:proofErr w:type="spellStart"/>
      <w:r w:rsidRPr="009A49EF">
        <w:rPr>
          <w:sz w:val="24"/>
          <w:szCs w:val="24"/>
        </w:rPr>
        <w:t>clearance</w:t>
      </w:r>
      <w:proofErr w:type="spellEnd"/>
      <w:r w:rsidRPr="009A49EF">
        <w:rPr>
          <w:sz w:val="24"/>
          <w:szCs w:val="24"/>
        </w:rPr>
        <w:t xml:space="preserve"> af </w:t>
      </w:r>
      <w:proofErr w:type="spellStart"/>
      <w:r w:rsidRPr="009A49EF">
        <w:rPr>
          <w:sz w:val="24"/>
          <w:szCs w:val="24"/>
        </w:rPr>
        <w:t>cefotaxim</w:t>
      </w:r>
      <w:proofErr w:type="spellEnd"/>
      <w:r w:rsidRPr="009A49EF">
        <w:rPr>
          <w:sz w:val="24"/>
          <w:szCs w:val="24"/>
        </w:rPr>
        <w:t xml:space="preserve"> er 240-390 ml/min, og den </w:t>
      </w:r>
      <w:proofErr w:type="spellStart"/>
      <w:r w:rsidRPr="009A49EF">
        <w:rPr>
          <w:sz w:val="24"/>
          <w:szCs w:val="24"/>
        </w:rPr>
        <w:t>renale</w:t>
      </w:r>
      <w:proofErr w:type="spellEnd"/>
      <w:r w:rsidRPr="009A49EF">
        <w:rPr>
          <w:sz w:val="24"/>
          <w:szCs w:val="24"/>
        </w:rPr>
        <w:t xml:space="preserve"> </w:t>
      </w:r>
      <w:proofErr w:type="spellStart"/>
      <w:r w:rsidRPr="009A49EF">
        <w:rPr>
          <w:sz w:val="24"/>
          <w:szCs w:val="24"/>
        </w:rPr>
        <w:t>clearance</w:t>
      </w:r>
      <w:proofErr w:type="spellEnd"/>
      <w:r w:rsidRPr="009A49EF">
        <w:rPr>
          <w:sz w:val="24"/>
          <w:szCs w:val="24"/>
        </w:rPr>
        <w:t xml:space="preserve"> er 130-150</w:t>
      </w:r>
      <w:r w:rsidR="005757DB">
        <w:rPr>
          <w:sz w:val="24"/>
          <w:szCs w:val="24"/>
        </w:rPr>
        <w:t> </w:t>
      </w:r>
      <w:r w:rsidRPr="009A49EF">
        <w:rPr>
          <w:sz w:val="24"/>
          <w:szCs w:val="24"/>
        </w:rPr>
        <w:t>ml/min.</w:t>
      </w:r>
    </w:p>
    <w:p w:rsidR="007D1818" w:rsidRPr="009A49EF" w:rsidRDefault="007D1818" w:rsidP="007D1818">
      <w:pPr>
        <w:ind w:left="851"/>
        <w:rPr>
          <w:sz w:val="24"/>
          <w:szCs w:val="24"/>
        </w:rPr>
      </w:pPr>
      <w:r w:rsidRPr="009A49EF">
        <w:rPr>
          <w:sz w:val="24"/>
          <w:szCs w:val="24"/>
        </w:rPr>
        <w:t xml:space="preserve">Serumhalveringstiden af </w:t>
      </w:r>
      <w:proofErr w:type="spellStart"/>
      <w:r w:rsidRPr="009A49EF">
        <w:rPr>
          <w:sz w:val="24"/>
          <w:szCs w:val="24"/>
        </w:rPr>
        <w:t>cefotaxim</w:t>
      </w:r>
      <w:proofErr w:type="spellEnd"/>
      <w:r w:rsidRPr="009A49EF">
        <w:rPr>
          <w:sz w:val="24"/>
          <w:szCs w:val="24"/>
        </w:rPr>
        <w:t xml:space="preserve"> og O-</w:t>
      </w:r>
      <w:proofErr w:type="spellStart"/>
      <w:r w:rsidRPr="009A49EF">
        <w:rPr>
          <w:sz w:val="24"/>
          <w:szCs w:val="24"/>
        </w:rPr>
        <w:t>desacetyl</w:t>
      </w:r>
      <w:proofErr w:type="spellEnd"/>
      <w:r w:rsidRPr="009A49EF">
        <w:rPr>
          <w:sz w:val="24"/>
          <w:szCs w:val="24"/>
        </w:rPr>
        <w:t>-</w:t>
      </w:r>
      <w:proofErr w:type="spellStart"/>
      <w:r w:rsidRPr="009A49EF">
        <w:rPr>
          <w:sz w:val="24"/>
          <w:szCs w:val="24"/>
        </w:rPr>
        <w:t>cefotaxim</w:t>
      </w:r>
      <w:proofErr w:type="spellEnd"/>
      <w:r w:rsidRPr="009A49EF">
        <w:rPr>
          <w:sz w:val="24"/>
          <w:szCs w:val="24"/>
        </w:rPr>
        <w:t xml:space="preserve"> er normalt omkring hhv. 50-80 og 90 minutter. Hos ældre er serumhalveringstiden af </w:t>
      </w:r>
      <w:proofErr w:type="spellStart"/>
      <w:r w:rsidRPr="009A49EF">
        <w:rPr>
          <w:sz w:val="24"/>
          <w:szCs w:val="24"/>
        </w:rPr>
        <w:t>cefotaxim</w:t>
      </w:r>
      <w:proofErr w:type="spellEnd"/>
      <w:r w:rsidRPr="009A49EF">
        <w:rPr>
          <w:sz w:val="24"/>
          <w:szCs w:val="24"/>
        </w:rPr>
        <w:t xml:space="preserve"> 120-150 min.</w:t>
      </w:r>
    </w:p>
    <w:p w:rsidR="007D1818" w:rsidRPr="009A49EF" w:rsidRDefault="007D1818" w:rsidP="007D1818">
      <w:pPr>
        <w:ind w:left="851"/>
        <w:rPr>
          <w:sz w:val="24"/>
          <w:szCs w:val="24"/>
        </w:rPr>
      </w:pPr>
      <w:r w:rsidRPr="009A49EF">
        <w:rPr>
          <w:sz w:val="24"/>
          <w:szCs w:val="24"/>
        </w:rPr>
        <w:t>Hos patienter med svært nedsat nyrefunktion (</w:t>
      </w:r>
      <w:proofErr w:type="spellStart"/>
      <w:r w:rsidRPr="009A49EF">
        <w:rPr>
          <w:sz w:val="24"/>
          <w:szCs w:val="24"/>
        </w:rPr>
        <w:t>kreatininclearance</w:t>
      </w:r>
      <w:proofErr w:type="spellEnd"/>
      <w:r w:rsidRPr="009A49EF">
        <w:rPr>
          <w:sz w:val="24"/>
          <w:szCs w:val="24"/>
        </w:rPr>
        <w:t xml:space="preserve"> 3-10 ml/min) kan serumhalveringstiden af </w:t>
      </w:r>
      <w:proofErr w:type="spellStart"/>
      <w:r w:rsidRPr="009A49EF">
        <w:rPr>
          <w:sz w:val="24"/>
          <w:szCs w:val="24"/>
        </w:rPr>
        <w:t>cefotaxim</w:t>
      </w:r>
      <w:proofErr w:type="spellEnd"/>
      <w:r w:rsidRPr="009A49EF">
        <w:rPr>
          <w:sz w:val="24"/>
          <w:szCs w:val="24"/>
        </w:rPr>
        <w:t xml:space="preserve"> været øget til 2,5-3,6 timer.</w:t>
      </w:r>
    </w:p>
    <w:p w:rsidR="007D1818" w:rsidRPr="009A49EF" w:rsidRDefault="007D1818" w:rsidP="007D1818">
      <w:pPr>
        <w:ind w:left="851"/>
        <w:rPr>
          <w:sz w:val="24"/>
          <w:szCs w:val="24"/>
        </w:rPr>
      </w:pPr>
      <w:r w:rsidRPr="009A49EF">
        <w:rPr>
          <w:sz w:val="24"/>
          <w:szCs w:val="24"/>
        </w:rPr>
        <w:t>Der er ingen akkumulation efter administration af 1.000 mg intravenøst eller 500 mg intramuskulært i 10 eller 14 dage.</w:t>
      </w:r>
    </w:p>
    <w:p w:rsidR="007D1818" w:rsidRPr="009A49EF" w:rsidRDefault="007D1818" w:rsidP="007D1818">
      <w:pPr>
        <w:ind w:left="851"/>
        <w:rPr>
          <w:sz w:val="24"/>
          <w:szCs w:val="24"/>
        </w:rPr>
      </w:pPr>
      <w:r w:rsidRPr="009A49EF">
        <w:rPr>
          <w:sz w:val="24"/>
          <w:szCs w:val="24"/>
        </w:rPr>
        <w:t xml:space="preserve">Hos nyfødte er farmakokinetikken påvirket af </w:t>
      </w:r>
      <w:proofErr w:type="spellStart"/>
      <w:r w:rsidRPr="009A49EF">
        <w:rPr>
          <w:sz w:val="24"/>
          <w:szCs w:val="24"/>
        </w:rPr>
        <w:t>gestation</w:t>
      </w:r>
      <w:proofErr w:type="spellEnd"/>
      <w:r w:rsidRPr="009A49EF">
        <w:rPr>
          <w:sz w:val="24"/>
          <w:szCs w:val="24"/>
        </w:rPr>
        <w:t xml:space="preserve"> og kronologisk alder, idet halveringstiden er forlænget hos for tidligt fødte og nyfødte med lav fødselsvægt i samme alder.</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7D1818" w:rsidRPr="009A49EF" w:rsidRDefault="007D1818" w:rsidP="007D1818">
      <w:pPr>
        <w:ind w:left="851" w:hanging="851"/>
        <w:rPr>
          <w:sz w:val="24"/>
          <w:szCs w:val="24"/>
        </w:rPr>
      </w:pPr>
      <w:r w:rsidRPr="009A49EF">
        <w:rPr>
          <w:sz w:val="24"/>
          <w:szCs w:val="24"/>
        </w:rPr>
        <w:tab/>
        <w:t>Prækliniske data viser ingen særlig risiko for mennesker vurderet ud fra konventionelle studier af sikkerhedsfarmakologi, toksicitet efter gentagne doser, genotoksicitet og reproduktionstoksicitet.</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passerer placenta. Efter intravenøs administration af 1 g </w:t>
      </w:r>
      <w:proofErr w:type="spellStart"/>
      <w:r w:rsidRPr="009A49EF">
        <w:rPr>
          <w:sz w:val="24"/>
          <w:szCs w:val="24"/>
        </w:rPr>
        <w:t>cefotaxim</w:t>
      </w:r>
      <w:proofErr w:type="spellEnd"/>
      <w:r w:rsidRPr="009A49EF">
        <w:rPr>
          <w:sz w:val="24"/>
          <w:szCs w:val="24"/>
        </w:rPr>
        <w:t xml:space="preserve"> under fødslen blev der målt niveauer på 14 µg/ml i navlestrengsblod i de første 90 minutter efter administration. Disse faldt til ca. 2,5 g/ml to timer efter administration. I fostervandet blev den maksimale koncentration på 6,9 µg/ml målt efter 3-4 timer. Denne værdi overstiger </w:t>
      </w:r>
      <w:proofErr w:type="spellStart"/>
      <w:r w:rsidRPr="009A49EF">
        <w:rPr>
          <w:sz w:val="24"/>
          <w:szCs w:val="24"/>
        </w:rPr>
        <w:t>MIC’en</w:t>
      </w:r>
      <w:proofErr w:type="spellEnd"/>
      <w:r w:rsidRPr="009A49EF">
        <w:rPr>
          <w:sz w:val="24"/>
          <w:szCs w:val="24"/>
        </w:rPr>
        <w:t xml:space="preserve"> for de fleste gramnegative bakterier.</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757DB" w:rsidRPr="00BA09F1" w:rsidRDefault="005757DB" w:rsidP="005757DB">
      <w:pPr>
        <w:tabs>
          <w:tab w:val="left" w:pos="851"/>
        </w:tabs>
        <w:ind w:left="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6.1</w:t>
      </w:r>
      <w:r w:rsidRPr="00C84483">
        <w:rPr>
          <w:b/>
          <w:sz w:val="24"/>
          <w:szCs w:val="24"/>
        </w:rPr>
        <w:tab/>
        <w:t>Hjælpestoffer</w:t>
      </w:r>
    </w:p>
    <w:p w:rsidR="007D1818" w:rsidRPr="009A49EF" w:rsidRDefault="007D1818" w:rsidP="007D1818">
      <w:pPr>
        <w:ind w:left="851" w:hanging="851"/>
        <w:rPr>
          <w:sz w:val="24"/>
          <w:szCs w:val="24"/>
        </w:rPr>
      </w:pPr>
      <w:r w:rsidRPr="009A49EF">
        <w:rPr>
          <w:sz w:val="24"/>
          <w:szCs w:val="24"/>
        </w:rPr>
        <w:tab/>
      </w:r>
      <w:r>
        <w:rPr>
          <w:sz w:val="24"/>
          <w:szCs w:val="24"/>
        </w:rPr>
        <w:t>Ingen</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6.2</w:t>
      </w:r>
      <w:r w:rsidRPr="00C84483">
        <w:rPr>
          <w:b/>
          <w:sz w:val="24"/>
          <w:szCs w:val="24"/>
        </w:rPr>
        <w:tab/>
        <w:t>Uforligeligheder</w:t>
      </w:r>
    </w:p>
    <w:p w:rsidR="007D1818" w:rsidRPr="009A49EF" w:rsidRDefault="007D1818" w:rsidP="007D1818">
      <w:pPr>
        <w:ind w:left="851" w:hanging="851"/>
        <w:rPr>
          <w:sz w:val="24"/>
          <w:szCs w:val="24"/>
        </w:rPr>
      </w:pPr>
      <w:r w:rsidRPr="009A49EF">
        <w:rPr>
          <w:sz w:val="24"/>
          <w:szCs w:val="24"/>
        </w:rPr>
        <w:tab/>
      </w:r>
      <w:proofErr w:type="spellStart"/>
      <w:r w:rsidRPr="009A49EF">
        <w:rPr>
          <w:sz w:val="24"/>
          <w:szCs w:val="24"/>
        </w:rPr>
        <w:t>Cefotaxim</w:t>
      </w:r>
      <w:proofErr w:type="spellEnd"/>
      <w:r w:rsidRPr="009A49EF">
        <w:rPr>
          <w:sz w:val="24"/>
          <w:szCs w:val="24"/>
        </w:rPr>
        <w:t xml:space="preserve"> bør ikke blandes med andre antibiotika i samme sprøjte eller opløsning til infusion. Dette gælder især for aminoglykosider. Hvis der skal administreres både </w:t>
      </w:r>
      <w:proofErr w:type="spellStart"/>
      <w:r w:rsidRPr="009A49EF">
        <w:rPr>
          <w:sz w:val="24"/>
          <w:szCs w:val="24"/>
        </w:rPr>
        <w:t>cefotaxim</w:t>
      </w:r>
      <w:proofErr w:type="spellEnd"/>
      <w:r w:rsidRPr="009A49EF">
        <w:rPr>
          <w:sz w:val="24"/>
          <w:szCs w:val="24"/>
        </w:rPr>
        <w:t xml:space="preserve"> og aminoglykosider, bør disse lægemidler administreres separat forskellige steder. </w:t>
      </w:r>
      <w:proofErr w:type="spellStart"/>
      <w:r w:rsidRPr="009A49EF">
        <w:rPr>
          <w:sz w:val="24"/>
          <w:szCs w:val="24"/>
        </w:rPr>
        <w:t>Cefotaxim</w:t>
      </w:r>
      <w:proofErr w:type="spellEnd"/>
      <w:r w:rsidRPr="009A49EF">
        <w:rPr>
          <w:sz w:val="24"/>
          <w:szCs w:val="24"/>
        </w:rPr>
        <w:t xml:space="preserve"> bør ikke opløses i opløsninger, der har en pH-værdi over 7,5, f.eks. natriumbikarbonat.</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Dette lægemiddel må ikke blandes med andre lægemidler med undtagelse af de, der er nævnt under pkt. 6.6.</w:t>
      </w:r>
    </w:p>
    <w:p w:rsidR="00B6074E" w:rsidRDefault="00B6074E">
      <w:pPr>
        <w:rPr>
          <w:sz w:val="24"/>
          <w:szCs w:val="24"/>
        </w:rPr>
      </w:pPr>
      <w:r>
        <w:rPr>
          <w:sz w:val="24"/>
          <w:szCs w:val="24"/>
        </w:rPr>
        <w:br w:type="page"/>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6.3</w:t>
      </w:r>
      <w:r w:rsidRPr="00C84483">
        <w:rPr>
          <w:b/>
          <w:sz w:val="24"/>
          <w:szCs w:val="24"/>
        </w:rPr>
        <w:tab/>
        <w:t>Opbevaringstid</w:t>
      </w:r>
    </w:p>
    <w:p w:rsidR="007D1818" w:rsidRPr="009A49EF" w:rsidRDefault="007D1818" w:rsidP="007D1818">
      <w:pPr>
        <w:ind w:left="851" w:hanging="851"/>
        <w:rPr>
          <w:sz w:val="24"/>
          <w:szCs w:val="24"/>
        </w:rPr>
      </w:pPr>
      <w:r w:rsidRPr="009A49EF">
        <w:rPr>
          <w:sz w:val="24"/>
          <w:szCs w:val="24"/>
        </w:rPr>
        <w:tab/>
        <w:t>2 år.</w:t>
      </w:r>
    </w:p>
    <w:p w:rsidR="007D1818" w:rsidRPr="009A49EF" w:rsidRDefault="007D1818" w:rsidP="007D1818">
      <w:pPr>
        <w:ind w:left="851" w:hanging="851"/>
        <w:rPr>
          <w:sz w:val="24"/>
          <w:szCs w:val="24"/>
        </w:rPr>
      </w:pPr>
    </w:p>
    <w:p w:rsidR="007D1818" w:rsidRPr="009A49EF" w:rsidRDefault="007D1818" w:rsidP="007D1818">
      <w:pPr>
        <w:ind w:left="851"/>
        <w:rPr>
          <w:sz w:val="24"/>
          <w:szCs w:val="24"/>
          <w:u w:val="single"/>
        </w:rPr>
      </w:pPr>
      <w:r w:rsidRPr="009A49EF">
        <w:rPr>
          <w:sz w:val="24"/>
          <w:szCs w:val="24"/>
          <w:u w:val="single"/>
        </w:rPr>
        <w:t>Opbevaringstid for den klargjorte opløsning</w:t>
      </w:r>
    </w:p>
    <w:p w:rsidR="007D1818" w:rsidRPr="009A49EF" w:rsidRDefault="007D1818" w:rsidP="007D1818">
      <w:pPr>
        <w:ind w:left="851"/>
        <w:rPr>
          <w:sz w:val="24"/>
          <w:szCs w:val="24"/>
        </w:rPr>
      </w:pPr>
      <w:r w:rsidRPr="009A49EF">
        <w:rPr>
          <w:sz w:val="24"/>
          <w:szCs w:val="24"/>
        </w:rPr>
        <w:t>Den klargjorte opløsnings kemiske og fysiske stabilitet er blevet påvist for 3 timer ved 25</w:t>
      </w:r>
      <w:r>
        <w:rPr>
          <w:sz w:val="24"/>
          <w:szCs w:val="24"/>
        </w:rPr>
        <w:t> </w:t>
      </w:r>
      <w:r w:rsidRPr="009A49EF">
        <w:rPr>
          <w:sz w:val="24"/>
          <w:szCs w:val="24"/>
        </w:rPr>
        <w:t>°C og for 6 timer ved 2-8</w:t>
      </w:r>
      <w:r>
        <w:rPr>
          <w:sz w:val="24"/>
          <w:szCs w:val="24"/>
        </w:rPr>
        <w:t xml:space="preserve"> </w:t>
      </w:r>
      <w:r w:rsidRPr="009A49EF">
        <w:rPr>
          <w:sz w:val="24"/>
          <w:szCs w:val="24"/>
        </w:rPr>
        <w:t>°C. Ud fra et mikrobiologisk synspunkt</w:t>
      </w:r>
      <w:r w:rsidRPr="009A49EF">
        <w:rPr>
          <w:noProof/>
          <w:sz w:val="24"/>
          <w:szCs w:val="24"/>
        </w:rPr>
        <w:t>, medmindre fremgangsmåden til rekonstitution/fortynding udelukker risikoen for mikrobiell kontaminering,</w:t>
      </w:r>
      <w:r w:rsidRPr="009A49EF">
        <w:rPr>
          <w:sz w:val="24"/>
          <w:szCs w:val="24"/>
        </w:rPr>
        <w:t xml:space="preserve"> bør den klargjorte opløsning anvendes med det samme. Hvis den ikke anvendes med det samme, er opbevaringstider og betingelser ved ibrugtagning forud for anvendelsen, brugerens ansvar</w:t>
      </w:r>
      <w:r w:rsidRPr="009A49EF">
        <w:rPr>
          <w:bCs/>
          <w:iCs/>
          <w:sz w:val="24"/>
          <w:szCs w:val="24"/>
        </w:rPr>
        <w:t>.</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7D1818" w:rsidRDefault="007D1818" w:rsidP="007D1818">
      <w:pPr>
        <w:ind w:left="851"/>
        <w:rPr>
          <w:sz w:val="24"/>
          <w:szCs w:val="24"/>
        </w:rPr>
      </w:pPr>
      <w:r w:rsidRPr="009A49EF">
        <w:rPr>
          <w:sz w:val="24"/>
          <w:szCs w:val="24"/>
        </w:rPr>
        <w:t>Må ikke opbevares ved over 25</w:t>
      </w:r>
      <w:r>
        <w:rPr>
          <w:sz w:val="24"/>
          <w:szCs w:val="24"/>
        </w:rPr>
        <w:t xml:space="preserve"> °C.</w:t>
      </w:r>
    </w:p>
    <w:p w:rsidR="007D1818" w:rsidRDefault="007D1818" w:rsidP="007D1818">
      <w:pPr>
        <w:ind w:left="851"/>
        <w:rPr>
          <w:sz w:val="24"/>
          <w:szCs w:val="24"/>
        </w:rPr>
      </w:pPr>
      <w:r w:rsidRPr="009A49EF">
        <w:rPr>
          <w:sz w:val="24"/>
          <w:szCs w:val="24"/>
        </w:rPr>
        <w:t>Opbevar hætteglasset i den ydre karton for at beskytte mod lys.</w:t>
      </w:r>
    </w:p>
    <w:p w:rsidR="007D1818" w:rsidRPr="009A49EF" w:rsidRDefault="007D1818" w:rsidP="007D1818">
      <w:pPr>
        <w:ind w:left="851"/>
        <w:rPr>
          <w:sz w:val="24"/>
          <w:szCs w:val="24"/>
        </w:rPr>
      </w:pPr>
    </w:p>
    <w:p w:rsidR="007D1818" w:rsidRPr="009A49EF" w:rsidRDefault="007D1818" w:rsidP="007D1818">
      <w:pPr>
        <w:ind w:left="851"/>
        <w:rPr>
          <w:sz w:val="24"/>
          <w:szCs w:val="24"/>
        </w:rPr>
      </w:pPr>
      <w:r w:rsidRPr="009A49EF">
        <w:rPr>
          <w:sz w:val="24"/>
          <w:szCs w:val="24"/>
        </w:rPr>
        <w:t xml:space="preserve">Se pkt. 6.3 vedrørende opbevaringsbetingelser for </w:t>
      </w:r>
      <w:proofErr w:type="spellStart"/>
      <w:r w:rsidRPr="009A49EF">
        <w:rPr>
          <w:sz w:val="24"/>
          <w:szCs w:val="24"/>
        </w:rPr>
        <w:t>rekonstitueret</w:t>
      </w:r>
      <w:proofErr w:type="spellEnd"/>
      <w:r w:rsidRPr="009A49EF">
        <w:rPr>
          <w:sz w:val="24"/>
          <w:szCs w:val="24"/>
        </w:rPr>
        <w:t xml:space="preserve"> lægemiddel.</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7D1818" w:rsidRPr="009A49EF" w:rsidRDefault="007D1818" w:rsidP="007D1818">
      <w:pPr>
        <w:ind w:left="851" w:hanging="851"/>
        <w:rPr>
          <w:sz w:val="24"/>
          <w:szCs w:val="24"/>
        </w:rPr>
      </w:pPr>
      <w:r w:rsidRPr="009A49EF">
        <w:rPr>
          <w:sz w:val="24"/>
          <w:szCs w:val="24"/>
        </w:rPr>
        <w:tab/>
      </w:r>
      <w:r>
        <w:rPr>
          <w:sz w:val="24"/>
          <w:szCs w:val="24"/>
        </w:rPr>
        <w:t xml:space="preserve">15 ml farveløst </w:t>
      </w:r>
      <w:r w:rsidRPr="009A49EF">
        <w:rPr>
          <w:sz w:val="24"/>
          <w:szCs w:val="24"/>
        </w:rPr>
        <w:t xml:space="preserve">hætteglas (type I glas) med </w:t>
      </w:r>
      <w:proofErr w:type="spellStart"/>
      <w:r w:rsidRPr="009A49EF">
        <w:rPr>
          <w:sz w:val="24"/>
          <w:szCs w:val="24"/>
        </w:rPr>
        <w:t>bromobutylprop</w:t>
      </w:r>
      <w:proofErr w:type="spellEnd"/>
      <w:r w:rsidRPr="009A49EF">
        <w:rPr>
          <w:sz w:val="24"/>
          <w:szCs w:val="24"/>
        </w:rPr>
        <w:t xml:space="preserve"> og flip-</w:t>
      </w:r>
      <w:proofErr w:type="spellStart"/>
      <w:r w:rsidRPr="009A49EF">
        <w:rPr>
          <w:sz w:val="24"/>
          <w:szCs w:val="24"/>
        </w:rPr>
        <w:t>off</w:t>
      </w:r>
      <w:proofErr w:type="spellEnd"/>
      <w:r w:rsidRPr="009A49EF">
        <w:rPr>
          <w:sz w:val="24"/>
          <w:szCs w:val="24"/>
        </w:rPr>
        <w:t xml:space="preserve"> hætte.</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 xml:space="preserve">Pakningsstørrelser: 1, 5 </w:t>
      </w:r>
      <w:r>
        <w:rPr>
          <w:sz w:val="24"/>
          <w:szCs w:val="24"/>
        </w:rPr>
        <w:t>og</w:t>
      </w:r>
      <w:r w:rsidRPr="009A49EF">
        <w:rPr>
          <w:sz w:val="24"/>
          <w:szCs w:val="24"/>
        </w:rPr>
        <w:t xml:space="preserve"> 10 hætteglas.</w:t>
      </w:r>
    </w:p>
    <w:p w:rsidR="007D1818" w:rsidRPr="009A49EF" w:rsidRDefault="007D1818" w:rsidP="007D1818">
      <w:pPr>
        <w:ind w:left="851" w:hanging="851"/>
        <w:rPr>
          <w:sz w:val="24"/>
          <w:szCs w:val="24"/>
        </w:rPr>
      </w:pPr>
      <w:r w:rsidRPr="009A49EF">
        <w:rPr>
          <w:sz w:val="24"/>
          <w:szCs w:val="24"/>
        </w:rPr>
        <w:tab/>
        <w:t>Ikke alle pakningsstørrelser er nødvendigvis markedsført.</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u w:val="single"/>
        </w:rPr>
      </w:pPr>
      <w:r w:rsidRPr="009A49EF">
        <w:rPr>
          <w:sz w:val="24"/>
          <w:szCs w:val="24"/>
        </w:rPr>
        <w:tab/>
      </w:r>
      <w:r w:rsidRPr="009A49EF">
        <w:rPr>
          <w:sz w:val="24"/>
          <w:szCs w:val="24"/>
          <w:u w:val="single"/>
        </w:rPr>
        <w:t>Forligelighed med intravenøse væsker</w:t>
      </w:r>
    </w:p>
    <w:p w:rsidR="007D1818" w:rsidRPr="009A49EF" w:rsidRDefault="007D1818" w:rsidP="007D1818">
      <w:pPr>
        <w:ind w:left="851" w:hanging="851"/>
        <w:rPr>
          <w:sz w:val="24"/>
          <w:szCs w:val="24"/>
        </w:rPr>
      </w:pPr>
      <w:r w:rsidRPr="009A49EF">
        <w:rPr>
          <w:sz w:val="24"/>
          <w:szCs w:val="24"/>
        </w:rPr>
        <w:tab/>
        <w:t xml:space="preserve">Følgende opløsningsmidler er passende for klargøring af opløsningen: F.eks. vand til injektioner, 5 % </w:t>
      </w:r>
      <w:proofErr w:type="spellStart"/>
      <w:r w:rsidRPr="009A49EF">
        <w:rPr>
          <w:sz w:val="24"/>
          <w:szCs w:val="24"/>
        </w:rPr>
        <w:t>glucoseopløsning</w:t>
      </w:r>
      <w:proofErr w:type="spellEnd"/>
      <w:r w:rsidRPr="009A49EF">
        <w:rPr>
          <w:sz w:val="24"/>
          <w:szCs w:val="24"/>
        </w:rPr>
        <w:t xml:space="preserve">, opløsning af fysiologisk natriumklorid (0,9 %) og </w:t>
      </w:r>
      <w:proofErr w:type="spellStart"/>
      <w:r w:rsidRPr="009A49EF">
        <w:rPr>
          <w:sz w:val="24"/>
          <w:szCs w:val="24"/>
        </w:rPr>
        <w:t>lidocainopløsning</w:t>
      </w:r>
      <w:proofErr w:type="spellEnd"/>
      <w:r w:rsidRPr="009A49EF">
        <w:rPr>
          <w:sz w:val="24"/>
          <w:szCs w:val="24"/>
        </w:rPr>
        <w:t xml:space="preserve"> 1,0 %.</w:t>
      </w:r>
    </w:p>
    <w:p w:rsidR="007D1818" w:rsidRPr="009A49EF" w:rsidRDefault="007D1818" w:rsidP="007D1818">
      <w:pPr>
        <w:ind w:left="851" w:hanging="851"/>
        <w:rPr>
          <w:sz w:val="24"/>
          <w:szCs w:val="24"/>
        </w:rPr>
      </w:pPr>
    </w:p>
    <w:p w:rsidR="007D1818" w:rsidRPr="009A49EF" w:rsidRDefault="007D1818" w:rsidP="007D1818">
      <w:pPr>
        <w:ind w:left="851" w:hanging="851"/>
        <w:rPr>
          <w:sz w:val="24"/>
          <w:szCs w:val="24"/>
        </w:rPr>
      </w:pPr>
      <w:r w:rsidRPr="009A49EF">
        <w:rPr>
          <w:sz w:val="24"/>
          <w:szCs w:val="24"/>
        </w:rPr>
        <w:tab/>
        <w:t xml:space="preserve">Som for alle parenterale lægemidler skal den </w:t>
      </w:r>
      <w:proofErr w:type="spellStart"/>
      <w:r w:rsidRPr="009A49EF">
        <w:rPr>
          <w:sz w:val="24"/>
          <w:szCs w:val="24"/>
        </w:rPr>
        <w:t>rekonstituerede</w:t>
      </w:r>
      <w:proofErr w:type="spellEnd"/>
      <w:r w:rsidRPr="009A49EF">
        <w:rPr>
          <w:sz w:val="24"/>
          <w:szCs w:val="24"/>
        </w:rPr>
        <w:t xml:space="preserve"> opløsning inspiceres visuelt for småpartikler og misfarvning forud for administration. Opløsningen må kun anvendes, hvis opløsningen er klar, farveløs til let gullig og praktisk taget fri for partikler.</w:t>
      </w:r>
    </w:p>
    <w:p w:rsidR="007D1818" w:rsidRPr="009A49EF" w:rsidRDefault="007D1818" w:rsidP="007D1818">
      <w:pPr>
        <w:ind w:left="851" w:hanging="851"/>
        <w:rPr>
          <w:sz w:val="24"/>
          <w:szCs w:val="24"/>
        </w:rPr>
      </w:pPr>
    </w:p>
    <w:p w:rsidR="007D1818" w:rsidRPr="009A49EF" w:rsidRDefault="007D1818" w:rsidP="007D1818">
      <w:pPr>
        <w:ind w:left="851"/>
        <w:rPr>
          <w:sz w:val="24"/>
          <w:szCs w:val="24"/>
          <w:u w:val="single"/>
        </w:rPr>
      </w:pPr>
      <w:r w:rsidRPr="009A49EF">
        <w:rPr>
          <w:sz w:val="24"/>
          <w:szCs w:val="24"/>
          <w:u w:val="single"/>
        </w:rPr>
        <w:t>Intravenøs infusion</w:t>
      </w:r>
    </w:p>
    <w:p w:rsidR="007D1818" w:rsidRPr="009A49EF" w:rsidRDefault="007D1818" w:rsidP="007D1818">
      <w:pPr>
        <w:ind w:left="851"/>
        <w:rPr>
          <w:sz w:val="24"/>
          <w:szCs w:val="24"/>
        </w:rPr>
      </w:pPr>
      <w:r w:rsidRPr="009A49EF">
        <w:rPr>
          <w:sz w:val="24"/>
          <w:szCs w:val="24"/>
        </w:rPr>
        <w:t xml:space="preserve">1 g </w:t>
      </w:r>
      <w:proofErr w:type="spellStart"/>
      <w:r w:rsidRPr="009A49EF">
        <w:rPr>
          <w:sz w:val="24"/>
          <w:szCs w:val="24"/>
        </w:rPr>
        <w:t>cefotaxim</w:t>
      </w:r>
      <w:proofErr w:type="spellEnd"/>
      <w:r w:rsidRPr="009A49EF">
        <w:rPr>
          <w:sz w:val="24"/>
          <w:szCs w:val="24"/>
        </w:rPr>
        <w:t xml:space="preserve"> skal opløses i 40-50 ml kompatibel væske.</w:t>
      </w:r>
    </w:p>
    <w:p w:rsidR="007D1818" w:rsidRPr="009A49EF" w:rsidRDefault="007D1818" w:rsidP="007D1818">
      <w:pPr>
        <w:ind w:left="851"/>
        <w:rPr>
          <w:sz w:val="24"/>
          <w:szCs w:val="24"/>
        </w:rPr>
      </w:pPr>
      <w:r w:rsidRPr="009A49EF">
        <w:rPr>
          <w:sz w:val="24"/>
          <w:szCs w:val="24"/>
        </w:rPr>
        <w:t xml:space="preserve">2 g </w:t>
      </w:r>
      <w:proofErr w:type="spellStart"/>
      <w:r w:rsidRPr="009A49EF">
        <w:rPr>
          <w:sz w:val="24"/>
          <w:szCs w:val="24"/>
        </w:rPr>
        <w:t>cefotaxim</w:t>
      </w:r>
      <w:proofErr w:type="spellEnd"/>
      <w:r w:rsidRPr="009A49EF">
        <w:rPr>
          <w:sz w:val="24"/>
          <w:szCs w:val="24"/>
        </w:rPr>
        <w:t xml:space="preserve"> skal opløses i 100 ml kompatibel væske.</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Intravenøs injektion</w:t>
      </w:r>
    </w:p>
    <w:p w:rsidR="007D1818" w:rsidRPr="009A49EF" w:rsidRDefault="007D1818" w:rsidP="007D1818">
      <w:pPr>
        <w:ind w:left="851"/>
        <w:rPr>
          <w:sz w:val="24"/>
          <w:szCs w:val="24"/>
        </w:rPr>
      </w:pPr>
      <w:r w:rsidRPr="009A49EF">
        <w:rPr>
          <w:sz w:val="24"/>
          <w:szCs w:val="24"/>
        </w:rPr>
        <w:t xml:space="preserve">Til intravenøs injektion skal 1 g </w:t>
      </w:r>
      <w:proofErr w:type="spellStart"/>
      <w:r w:rsidRPr="009A49EF">
        <w:rPr>
          <w:sz w:val="24"/>
          <w:szCs w:val="24"/>
        </w:rPr>
        <w:t>cefotaxim</w:t>
      </w:r>
      <w:proofErr w:type="spellEnd"/>
      <w:r w:rsidRPr="009A49EF">
        <w:rPr>
          <w:sz w:val="24"/>
          <w:szCs w:val="24"/>
        </w:rPr>
        <w:t xml:space="preserve"> opløses i 4 ml vand til injektioner, 2 g </w:t>
      </w:r>
      <w:proofErr w:type="spellStart"/>
      <w:r w:rsidRPr="009A49EF">
        <w:rPr>
          <w:sz w:val="24"/>
          <w:szCs w:val="24"/>
        </w:rPr>
        <w:t>cefotaxim</w:t>
      </w:r>
      <w:proofErr w:type="spellEnd"/>
      <w:r w:rsidRPr="009A49EF">
        <w:rPr>
          <w:sz w:val="24"/>
          <w:szCs w:val="24"/>
        </w:rPr>
        <w:t xml:space="preserve"> skal opløses i 10 ml vand til injektioner.</w:t>
      </w:r>
    </w:p>
    <w:p w:rsidR="007D1818" w:rsidRPr="009A49EF" w:rsidRDefault="007D1818" w:rsidP="007D1818">
      <w:pPr>
        <w:ind w:left="851"/>
        <w:rPr>
          <w:sz w:val="24"/>
          <w:szCs w:val="24"/>
        </w:rPr>
      </w:pPr>
    </w:p>
    <w:p w:rsidR="007D1818" w:rsidRPr="009A49EF" w:rsidRDefault="007D1818" w:rsidP="007D1818">
      <w:pPr>
        <w:ind w:left="851"/>
        <w:rPr>
          <w:sz w:val="24"/>
          <w:szCs w:val="24"/>
          <w:u w:val="single"/>
        </w:rPr>
      </w:pPr>
      <w:r w:rsidRPr="009A49EF">
        <w:rPr>
          <w:sz w:val="24"/>
          <w:szCs w:val="24"/>
          <w:u w:val="single"/>
        </w:rPr>
        <w:t>Intramuskulær injektion</w:t>
      </w:r>
    </w:p>
    <w:p w:rsidR="007D1818" w:rsidRPr="009A49EF" w:rsidRDefault="007D1818" w:rsidP="007D1818">
      <w:pPr>
        <w:ind w:left="851"/>
        <w:rPr>
          <w:sz w:val="24"/>
          <w:szCs w:val="24"/>
        </w:rPr>
      </w:pPr>
      <w:r w:rsidRPr="009A49EF">
        <w:rPr>
          <w:sz w:val="24"/>
          <w:szCs w:val="24"/>
        </w:rPr>
        <w:t xml:space="preserve">Til intramuskulær injektion opløses 1 g </w:t>
      </w:r>
      <w:proofErr w:type="spellStart"/>
      <w:r w:rsidRPr="009A49EF">
        <w:rPr>
          <w:sz w:val="24"/>
          <w:szCs w:val="24"/>
        </w:rPr>
        <w:t>cefotaxim</w:t>
      </w:r>
      <w:proofErr w:type="spellEnd"/>
      <w:r w:rsidRPr="009A49EF">
        <w:rPr>
          <w:sz w:val="24"/>
          <w:szCs w:val="24"/>
        </w:rPr>
        <w:t xml:space="preserve"> i 4 ml vand til injektioner. For at forhindre smerte fra injektionen kan en opløsning af 1 % </w:t>
      </w:r>
      <w:proofErr w:type="spellStart"/>
      <w:r w:rsidRPr="009A49EF">
        <w:rPr>
          <w:sz w:val="24"/>
          <w:szCs w:val="24"/>
        </w:rPr>
        <w:t>lidocainhydrochlorid</w:t>
      </w:r>
      <w:proofErr w:type="spellEnd"/>
      <w:r w:rsidRPr="009A49EF">
        <w:rPr>
          <w:sz w:val="24"/>
          <w:szCs w:val="24"/>
        </w:rPr>
        <w:t xml:space="preserve"> alternativt anvendes (kun til voksne). Opløsninger i </w:t>
      </w:r>
      <w:proofErr w:type="spellStart"/>
      <w:r w:rsidRPr="009A49EF">
        <w:rPr>
          <w:sz w:val="24"/>
          <w:szCs w:val="24"/>
        </w:rPr>
        <w:t>lidocain</w:t>
      </w:r>
      <w:proofErr w:type="spellEnd"/>
      <w:r w:rsidRPr="009A49EF">
        <w:rPr>
          <w:sz w:val="24"/>
          <w:szCs w:val="24"/>
        </w:rPr>
        <w:t xml:space="preserve"> må </w:t>
      </w:r>
      <w:r w:rsidRPr="009A49EF">
        <w:rPr>
          <w:sz w:val="24"/>
          <w:szCs w:val="24"/>
          <w:u w:val="single"/>
        </w:rPr>
        <w:t>ikke</w:t>
      </w:r>
      <w:r w:rsidRPr="009A49EF">
        <w:rPr>
          <w:sz w:val="24"/>
          <w:szCs w:val="24"/>
        </w:rPr>
        <w:t xml:space="preserve"> administreres intravenøst. Man skal følge produktinformationen for den valgte opløsning indeholdende </w:t>
      </w:r>
      <w:proofErr w:type="spellStart"/>
      <w:r w:rsidRPr="009A49EF">
        <w:rPr>
          <w:sz w:val="24"/>
          <w:szCs w:val="24"/>
        </w:rPr>
        <w:t>lidocain</w:t>
      </w:r>
      <w:proofErr w:type="spellEnd"/>
      <w:r w:rsidRPr="009A49EF">
        <w:rPr>
          <w:sz w:val="24"/>
          <w:szCs w:val="24"/>
        </w:rPr>
        <w:t>.</w:t>
      </w:r>
    </w:p>
    <w:p w:rsidR="007D1818" w:rsidRPr="009A49EF" w:rsidRDefault="007D1818" w:rsidP="007D1818">
      <w:pPr>
        <w:ind w:left="851"/>
        <w:rPr>
          <w:sz w:val="24"/>
          <w:szCs w:val="24"/>
        </w:rPr>
      </w:pPr>
    </w:p>
    <w:p w:rsidR="007D1818" w:rsidRPr="009A49EF" w:rsidRDefault="007D1818" w:rsidP="007D1818">
      <w:pPr>
        <w:ind w:left="851"/>
        <w:rPr>
          <w:sz w:val="24"/>
          <w:szCs w:val="24"/>
        </w:rPr>
      </w:pPr>
      <w:r w:rsidRPr="009A49EF">
        <w:rPr>
          <w:sz w:val="24"/>
          <w:szCs w:val="24"/>
        </w:rPr>
        <w:t>Kun til engangsbrug. Ikke anvendt opløsning skal kasseres. Ikke anvendt lægemiddel samt affald heraf skal bortskaffes i henhold til lokale retningslinjer.</w:t>
      </w:r>
    </w:p>
    <w:p w:rsidR="007D1818" w:rsidRPr="009A49EF" w:rsidRDefault="007D1818" w:rsidP="007D1818">
      <w:pPr>
        <w:ind w:left="851" w:hanging="851"/>
        <w:jc w:val="both"/>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D1818" w:rsidRPr="009A49EF" w:rsidRDefault="007D1818" w:rsidP="007D1818">
      <w:pPr>
        <w:ind w:left="851"/>
        <w:rPr>
          <w:bCs/>
          <w:sz w:val="24"/>
          <w:szCs w:val="24"/>
        </w:rPr>
      </w:pPr>
      <w:r w:rsidRPr="009A49EF">
        <w:rPr>
          <w:bCs/>
          <w:sz w:val="24"/>
          <w:szCs w:val="24"/>
        </w:rPr>
        <w:t>MIP Pharma GmbH</w:t>
      </w:r>
    </w:p>
    <w:p w:rsidR="007D1818" w:rsidRPr="009A49EF" w:rsidRDefault="007D1818" w:rsidP="007D1818">
      <w:pPr>
        <w:ind w:left="851"/>
        <w:rPr>
          <w:bCs/>
          <w:sz w:val="24"/>
          <w:szCs w:val="24"/>
        </w:rPr>
      </w:pPr>
      <w:r w:rsidRPr="009A49EF">
        <w:rPr>
          <w:bCs/>
          <w:sz w:val="24"/>
          <w:szCs w:val="24"/>
        </w:rPr>
        <w:t>Kirkeler Str. 41</w:t>
      </w:r>
    </w:p>
    <w:p w:rsidR="007D1818" w:rsidRPr="009A49EF" w:rsidRDefault="007D1818" w:rsidP="007D1818">
      <w:pPr>
        <w:ind w:left="851"/>
        <w:rPr>
          <w:bCs/>
          <w:sz w:val="24"/>
          <w:szCs w:val="24"/>
        </w:rPr>
      </w:pPr>
      <w:r w:rsidRPr="009A49EF">
        <w:rPr>
          <w:bCs/>
          <w:sz w:val="24"/>
          <w:szCs w:val="24"/>
        </w:rPr>
        <w:t xml:space="preserve">D-66440 </w:t>
      </w:r>
      <w:proofErr w:type="spellStart"/>
      <w:r w:rsidRPr="009A49EF">
        <w:rPr>
          <w:bCs/>
          <w:sz w:val="24"/>
          <w:szCs w:val="24"/>
        </w:rPr>
        <w:t>Blieskastel</w:t>
      </w:r>
      <w:proofErr w:type="spellEnd"/>
    </w:p>
    <w:p w:rsidR="007D1818" w:rsidRPr="009A49EF" w:rsidRDefault="007D1818" w:rsidP="007D1818">
      <w:pPr>
        <w:ind w:left="851"/>
        <w:rPr>
          <w:sz w:val="24"/>
          <w:szCs w:val="24"/>
        </w:rPr>
      </w:pPr>
      <w:r w:rsidRPr="009A49EF">
        <w:rPr>
          <w:bCs/>
          <w:sz w:val="24"/>
          <w:szCs w:val="24"/>
        </w:rPr>
        <w:t>Tyskland</w:t>
      </w:r>
    </w:p>
    <w:p w:rsidR="007D1818" w:rsidRPr="009A49EF" w:rsidRDefault="007D1818" w:rsidP="007D1818">
      <w:pPr>
        <w:ind w:left="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7D1818" w:rsidRPr="009A49EF" w:rsidRDefault="007D1818" w:rsidP="007D1818">
      <w:pPr>
        <w:ind w:left="851" w:hanging="851"/>
        <w:rPr>
          <w:sz w:val="24"/>
          <w:szCs w:val="24"/>
        </w:rPr>
      </w:pPr>
      <w:r w:rsidRPr="009A49EF">
        <w:rPr>
          <w:sz w:val="24"/>
          <w:szCs w:val="24"/>
        </w:rPr>
        <w:tab/>
        <w:t>1 g:</w:t>
      </w:r>
      <w:r w:rsidRPr="009A49EF">
        <w:rPr>
          <w:sz w:val="24"/>
          <w:szCs w:val="24"/>
        </w:rPr>
        <w:tab/>
        <w:t>50358</w:t>
      </w:r>
    </w:p>
    <w:p w:rsidR="007D1818" w:rsidRPr="009A49EF" w:rsidRDefault="007D1818" w:rsidP="007D1818">
      <w:pPr>
        <w:ind w:left="851" w:hanging="851"/>
        <w:rPr>
          <w:sz w:val="24"/>
          <w:szCs w:val="24"/>
        </w:rPr>
      </w:pPr>
      <w:r w:rsidRPr="009A49EF">
        <w:rPr>
          <w:sz w:val="24"/>
          <w:szCs w:val="24"/>
        </w:rPr>
        <w:tab/>
        <w:t>2 g:</w:t>
      </w:r>
      <w:r w:rsidRPr="009A49EF">
        <w:rPr>
          <w:sz w:val="24"/>
          <w:szCs w:val="24"/>
        </w:rPr>
        <w:tab/>
        <w:t>50359</w:t>
      </w:r>
    </w:p>
    <w:p w:rsidR="007D1818" w:rsidRPr="009A49EF" w:rsidRDefault="007D1818" w:rsidP="007D1818">
      <w:pPr>
        <w:ind w:left="851" w:hanging="851"/>
        <w:jc w:val="both"/>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7D1818" w:rsidRPr="009A49EF" w:rsidRDefault="007D1818" w:rsidP="007D1818">
      <w:pPr>
        <w:ind w:left="851" w:hanging="851"/>
        <w:rPr>
          <w:sz w:val="24"/>
          <w:szCs w:val="24"/>
        </w:rPr>
      </w:pPr>
      <w:r w:rsidRPr="009A49EF">
        <w:rPr>
          <w:sz w:val="24"/>
          <w:szCs w:val="24"/>
        </w:rPr>
        <w:tab/>
        <w:t>16. juli 2013</w:t>
      </w:r>
    </w:p>
    <w:p w:rsidR="007D1818" w:rsidRPr="009A49EF" w:rsidRDefault="007D1818" w:rsidP="007D1818">
      <w:pPr>
        <w:ind w:left="851" w:hanging="851"/>
        <w:rPr>
          <w:sz w:val="24"/>
          <w:szCs w:val="24"/>
        </w:rPr>
      </w:pPr>
    </w:p>
    <w:p w:rsidR="005757DB" w:rsidRPr="00C84483" w:rsidRDefault="005757DB" w:rsidP="005757D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D1818" w:rsidRDefault="00DA0041" w:rsidP="00DA0041">
      <w:pPr>
        <w:ind w:left="851" w:hanging="851"/>
      </w:pPr>
      <w:r>
        <w:rPr>
          <w:sz w:val="24"/>
          <w:szCs w:val="24"/>
        </w:rPr>
        <w:tab/>
        <w:t>23. september 2024</w:t>
      </w:r>
    </w:p>
    <w:sectPr w:rsidR="009260DE" w:rsidRPr="007D181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818" w:rsidRDefault="007D1818">
      <w:r>
        <w:separator/>
      </w:r>
    </w:p>
  </w:endnote>
  <w:endnote w:type="continuationSeparator" w:id="0">
    <w:p w:rsidR="007D1818" w:rsidRDefault="007D1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6074E">
      <w:rPr>
        <w:i/>
        <w:noProof/>
        <w:sz w:val="18"/>
        <w:szCs w:val="18"/>
      </w:rPr>
      <w:t>Cefotaxim MIP, pulver til injektions--infusionsvæske, opløsning 1 g og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818" w:rsidRDefault="007D1818">
      <w:r>
        <w:separator/>
      </w:r>
    </w:p>
  </w:footnote>
  <w:footnote w:type="continuationSeparator" w:id="0">
    <w:p w:rsidR="007D1818" w:rsidRDefault="007D18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5431"/>
    <w:multiLevelType w:val="hybridMultilevel"/>
    <w:tmpl w:val="45F2E12A"/>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776476"/>
    <w:multiLevelType w:val="hybridMultilevel"/>
    <w:tmpl w:val="91DC0DC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28946FBA"/>
    <w:multiLevelType w:val="hybridMultilevel"/>
    <w:tmpl w:val="CAC219B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D1B7C62"/>
    <w:multiLevelType w:val="hybridMultilevel"/>
    <w:tmpl w:val="C73CCDAC"/>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4BA47AB"/>
    <w:multiLevelType w:val="hybridMultilevel"/>
    <w:tmpl w:val="7A00C292"/>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15:restartNumberingAfterBreak="0">
    <w:nsid w:val="7FCA3BD4"/>
    <w:multiLevelType w:val="hybridMultilevel"/>
    <w:tmpl w:val="C8108EBE"/>
    <w:lvl w:ilvl="0" w:tplc="04070001">
      <w:start w:val="1"/>
      <w:numFmt w:val="bullet"/>
      <w:lvlText w:val=""/>
      <w:lvlJc w:val="left"/>
      <w:pPr>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818"/>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757DB"/>
    <w:rsid w:val="00594A86"/>
    <w:rsid w:val="00596D86"/>
    <w:rsid w:val="00637F5A"/>
    <w:rsid w:val="006507CC"/>
    <w:rsid w:val="006560B1"/>
    <w:rsid w:val="006756DD"/>
    <w:rsid w:val="00695A13"/>
    <w:rsid w:val="00717C37"/>
    <w:rsid w:val="00720D31"/>
    <w:rsid w:val="00737275"/>
    <w:rsid w:val="00740EEC"/>
    <w:rsid w:val="0078011A"/>
    <w:rsid w:val="00782AF4"/>
    <w:rsid w:val="00790EE7"/>
    <w:rsid w:val="007B6649"/>
    <w:rsid w:val="007D1818"/>
    <w:rsid w:val="0081546F"/>
    <w:rsid w:val="0082576E"/>
    <w:rsid w:val="00907F75"/>
    <w:rsid w:val="009260DE"/>
    <w:rsid w:val="0093258A"/>
    <w:rsid w:val="009C7BA3"/>
    <w:rsid w:val="009D1F5A"/>
    <w:rsid w:val="00B003BF"/>
    <w:rsid w:val="00B373D7"/>
    <w:rsid w:val="00B6074E"/>
    <w:rsid w:val="00BD7D01"/>
    <w:rsid w:val="00C36276"/>
    <w:rsid w:val="00C42586"/>
    <w:rsid w:val="00C60CCD"/>
    <w:rsid w:val="00C75BA8"/>
    <w:rsid w:val="00C84483"/>
    <w:rsid w:val="00C95551"/>
    <w:rsid w:val="00CB20D7"/>
    <w:rsid w:val="00D020B0"/>
    <w:rsid w:val="00D11748"/>
    <w:rsid w:val="00D366CF"/>
    <w:rsid w:val="00D52548"/>
    <w:rsid w:val="00DA0041"/>
    <w:rsid w:val="00E108AA"/>
    <w:rsid w:val="00E31812"/>
    <w:rsid w:val="00E3749A"/>
    <w:rsid w:val="00E7437F"/>
    <w:rsid w:val="00E865B8"/>
    <w:rsid w:val="00E87572"/>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AA0C2"/>
  <w15:chartTrackingRefBased/>
  <w15:docId w15:val="{A2DFEC7E-9B2B-48E5-A1D7-A1A5879E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D1818"/>
    <w:rPr>
      <w:color w:val="0563C1" w:themeColor="hyperlink"/>
      <w:u w:val="single"/>
    </w:rPr>
  </w:style>
  <w:style w:type="paragraph" w:styleId="Listeafsnit">
    <w:name w:val="List Paragraph"/>
    <w:basedOn w:val="Normal"/>
    <w:uiPriority w:val="34"/>
    <w:qFormat/>
    <w:rsid w:val="00D52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861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14</Pages>
  <Words>4015</Words>
  <Characters>26659</Characters>
  <Application>Microsoft Office Word</Application>
  <DocSecurity>0</DocSecurity>
  <Lines>222</Lines>
  <Paragraphs>61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30613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2024033025, var. 7, pkt. 4.4 og 4.8</dc:description>
  <cp:lastModifiedBy>Gitte Jørgensen</cp:lastModifiedBy>
  <cp:revision>10</cp:revision>
  <cp:lastPrinted>2012-08-22T08:53:00Z</cp:lastPrinted>
  <dcterms:created xsi:type="dcterms:W3CDTF">2024-09-23T09:12:00Z</dcterms:created>
  <dcterms:modified xsi:type="dcterms:W3CDTF">2024-09-23T10:36:00Z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