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EAD4"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15F53317" wp14:editId="7AB5C5A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95896AA" w14:textId="77777777" w:rsidR="009260DE" w:rsidRPr="00C84483" w:rsidRDefault="009260DE" w:rsidP="009260DE">
      <w:pPr>
        <w:pStyle w:val="Titel"/>
        <w:tabs>
          <w:tab w:val="right" w:pos="9356"/>
        </w:tabs>
        <w:jc w:val="left"/>
        <w:rPr>
          <w:b w:val="0"/>
          <w:szCs w:val="24"/>
          <w:lang w:eastAsia="en-US"/>
        </w:rPr>
      </w:pPr>
    </w:p>
    <w:p w14:paraId="1698D4D2" w14:textId="22DB5FC2"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D3F2E">
        <w:rPr>
          <w:szCs w:val="24"/>
        </w:rPr>
        <w:t>26. august 2025</w:t>
      </w:r>
    </w:p>
    <w:p w14:paraId="002946B2" w14:textId="77777777" w:rsidR="009260DE" w:rsidRPr="00C84483" w:rsidRDefault="009260DE" w:rsidP="009260DE">
      <w:pPr>
        <w:pStyle w:val="Titel"/>
        <w:tabs>
          <w:tab w:val="left" w:pos="8222"/>
        </w:tabs>
        <w:jc w:val="left"/>
        <w:rPr>
          <w:b w:val="0"/>
          <w:szCs w:val="24"/>
        </w:rPr>
      </w:pPr>
    </w:p>
    <w:p w14:paraId="4A89DC4D" w14:textId="77777777" w:rsidR="009260DE" w:rsidRPr="00C84483" w:rsidRDefault="009260DE" w:rsidP="009260DE">
      <w:pPr>
        <w:pStyle w:val="Titel"/>
        <w:jc w:val="left"/>
        <w:rPr>
          <w:b w:val="0"/>
          <w:szCs w:val="24"/>
        </w:rPr>
      </w:pPr>
    </w:p>
    <w:p w14:paraId="25D55450" w14:textId="77777777" w:rsidR="009260DE" w:rsidRPr="00C84483" w:rsidRDefault="009260DE" w:rsidP="009260DE">
      <w:pPr>
        <w:pStyle w:val="Titel"/>
        <w:jc w:val="left"/>
        <w:rPr>
          <w:b w:val="0"/>
          <w:szCs w:val="24"/>
        </w:rPr>
      </w:pPr>
    </w:p>
    <w:p w14:paraId="041036DD" w14:textId="77777777" w:rsidR="009260DE" w:rsidRPr="00C84483" w:rsidRDefault="009260DE" w:rsidP="009260DE">
      <w:pPr>
        <w:jc w:val="center"/>
        <w:rPr>
          <w:b/>
          <w:sz w:val="24"/>
          <w:szCs w:val="24"/>
        </w:rPr>
      </w:pPr>
      <w:r w:rsidRPr="00C84483">
        <w:rPr>
          <w:b/>
          <w:sz w:val="24"/>
          <w:szCs w:val="24"/>
        </w:rPr>
        <w:t>PRODUKTRESUMÉ</w:t>
      </w:r>
    </w:p>
    <w:p w14:paraId="7D157FCB" w14:textId="77777777" w:rsidR="009260DE" w:rsidRPr="00C84483" w:rsidRDefault="009260DE" w:rsidP="009260DE">
      <w:pPr>
        <w:jc w:val="center"/>
        <w:rPr>
          <w:b/>
          <w:sz w:val="24"/>
          <w:szCs w:val="24"/>
        </w:rPr>
      </w:pPr>
    </w:p>
    <w:p w14:paraId="3CD481D6" w14:textId="77777777" w:rsidR="009260DE" w:rsidRDefault="009260DE" w:rsidP="009260DE">
      <w:pPr>
        <w:jc w:val="center"/>
        <w:rPr>
          <w:b/>
          <w:sz w:val="24"/>
          <w:szCs w:val="24"/>
        </w:rPr>
      </w:pPr>
      <w:r w:rsidRPr="00C84483">
        <w:rPr>
          <w:b/>
          <w:sz w:val="24"/>
          <w:szCs w:val="24"/>
        </w:rPr>
        <w:t>for</w:t>
      </w:r>
    </w:p>
    <w:p w14:paraId="3F85C895" w14:textId="77777777" w:rsidR="000B058C" w:rsidRPr="00C84483" w:rsidRDefault="000B058C" w:rsidP="009260DE">
      <w:pPr>
        <w:jc w:val="center"/>
        <w:rPr>
          <w:b/>
          <w:sz w:val="24"/>
          <w:szCs w:val="24"/>
        </w:rPr>
      </w:pPr>
    </w:p>
    <w:p w14:paraId="0A6CCDCE" w14:textId="53A9AE91" w:rsidR="009260DE" w:rsidRPr="00C84483" w:rsidRDefault="00165943" w:rsidP="009260DE">
      <w:pPr>
        <w:jc w:val="center"/>
        <w:rPr>
          <w:b/>
          <w:sz w:val="24"/>
          <w:szCs w:val="24"/>
        </w:rPr>
      </w:pPr>
      <w:r>
        <w:rPr>
          <w:b/>
          <w:sz w:val="24"/>
          <w:szCs w:val="24"/>
        </w:rPr>
        <w:t xml:space="preserve">Ceftazidim "Hameln", </w:t>
      </w:r>
      <w:r w:rsidR="00121838">
        <w:rPr>
          <w:b/>
          <w:sz w:val="24"/>
          <w:szCs w:val="24"/>
        </w:rPr>
        <w:t xml:space="preserve">pulver til </w:t>
      </w:r>
      <w:r>
        <w:rPr>
          <w:b/>
          <w:sz w:val="24"/>
          <w:szCs w:val="24"/>
        </w:rPr>
        <w:t>injektionsvæske, opløsning</w:t>
      </w:r>
    </w:p>
    <w:p w14:paraId="0B200ADE" w14:textId="77777777" w:rsidR="009260DE" w:rsidRPr="00C84483" w:rsidRDefault="009260DE" w:rsidP="009260DE">
      <w:pPr>
        <w:jc w:val="both"/>
        <w:rPr>
          <w:sz w:val="24"/>
          <w:szCs w:val="24"/>
        </w:rPr>
      </w:pPr>
    </w:p>
    <w:p w14:paraId="674D8E82" w14:textId="77777777" w:rsidR="009260DE" w:rsidRPr="00C84483" w:rsidRDefault="009260DE" w:rsidP="009260DE">
      <w:pPr>
        <w:jc w:val="both"/>
        <w:rPr>
          <w:sz w:val="24"/>
          <w:szCs w:val="24"/>
        </w:rPr>
      </w:pPr>
    </w:p>
    <w:p w14:paraId="2561035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15CA12F3" w14:textId="1E465B14" w:rsidR="009260DE" w:rsidRPr="00C84483" w:rsidRDefault="00F953D6" w:rsidP="009260DE">
      <w:pPr>
        <w:tabs>
          <w:tab w:val="left" w:pos="851"/>
        </w:tabs>
        <w:ind w:left="851"/>
        <w:rPr>
          <w:sz w:val="24"/>
          <w:szCs w:val="24"/>
        </w:rPr>
      </w:pPr>
      <w:r>
        <w:rPr>
          <w:sz w:val="24"/>
          <w:szCs w:val="24"/>
        </w:rPr>
        <w:t>33942</w:t>
      </w:r>
    </w:p>
    <w:p w14:paraId="0445AECD" w14:textId="77777777" w:rsidR="009260DE" w:rsidRPr="00C84483" w:rsidRDefault="009260DE" w:rsidP="009260DE">
      <w:pPr>
        <w:tabs>
          <w:tab w:val="left" w:pos="851"/>
        </w:tabs>
        <w:ind w:left="851"/>
        <w:rPr>
          <w:sz w:val="24"/>
          <w:szCs w:val="24"/>
        </w:rPr>
      </w:pPr>
    </w:p>
    <w:p w14:paraId="004F9CA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938A223" w14:textId="04FB9F81" w:rsidR="009260DE" w:rsidRPr="00C84483" w:rsidRDefault="00F953D6" w:rsidP="009260DE">
      <w:pPr>
        <w:tabs>
          <w:tab w:val="left" w:pos="851"/>
        </w:tabs>
        <w:ind w:left="851"/>
        <w:rPr>
          <w:sz w:val="24"/>
          <w:szCs w:val="24"/>
        </w:rPr>
      </w:pPr>
      <w:r>
        <w:rPr>
          <w:sz w:val="24"/>
          <w:szCs w:val="24"/>
        </w:rPr>
        <w:t>Ceftazidim "Hameln"</w:t>
      </w:r>
    </w:p>
    <w:p w14:paraId="5CB0BD6E" w14:textId="77777777" w:rsidR="009260DE" w:rsidRPr="00C84483" w:rsidRDefault="009260DE" w:rsidP="009260DE">
      <w:pPr>
        <w:tabs>
          <w:tab w:val="left" w:pos="851"/>
        </w:tabs>
        <w:ind w:left="851"/>
        <w:rPr>
          <w:sz w:val="24"/>
          <w:szCs w:val="24"/>
        </w:rPr>
      </w:pPr>
    </w:p>
    <w:p w14:paraId="03600D55"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B959C55" w14:textId="77777777" w:rsidR="00F953D6" w:rsidRPr="00F953D6" w:rsidRDefault="00F953D6" w:rsidP="00F953D6">
      <w:pPr>
        <w:tabs>
          <w:tab w:val="left" w:pos="851"/>
        </w:tabs>
        <w:ind w:left="851"/>
        <w:rPr>
          <w:sz w:val="24"/>
          <w:szCs w:val="24"/>
        </w:rPr>
      </w:pPr>
      <w:r w:rsidRPr="00F953D6">
        <w:rPr>
          <w:sz w:val="24"/>
          <w:szCs w:val="24"/>
        </w:rPr>
        <w:t>Hvert hætteglas indeholder ceftazidimpentahydrat, svarende til 500 g ceftazidim.</w:t>
      </w:r>
    </w:p>
    <w:p w14:paraId="159B4844" w14:textId="77777777" w:rsidR="00F953D6" w:rsidRPr="00F953D6" w:rsidRDefault="00F953D6" w:rsidP="00F953D6">
      <w:pPr>
        <w:tabs>
          <w:tab w:val="left" w:pos="851"/>
        </w:tabs>
        <w:ind w:left="851"/>
        <w:rPr>
          <w:sz w:val="24"/>
          <w:szCs w:val="24"/>
        </w:rPr>
      </w:pPr>
    </w:p>
    <w:p w14:paraId="37BC29A4" w14:textId="77777777" w:rsidR="00F953D6" w:rsidRPr="00F953D6" w:rsidRDefault="00F953D6" w:rsidP="00F953D6">
      <w:pPr>
        <w:tabs>
          <w:tab w:val="left" w:pos="851"/>
        </w:tabs>
        <w:ind w:left="851"/>
        <w:rPr>
          <w:sz w:val="24"/>
          <w:szCs w:val="24"/>
          <w:u w:val="single"/>
        </w:rPr>
      </w:pPr>
      <w:r w:rsidRPr="00F953D6">
        <w:rPr>
          <w:sz w:val="24"/>
          <w:szCs w:val="24"/>
          <w:u w:val="single"/>
        </w:rPr>
        <w:t>Hjælpestof, som behandleren skal være opmærksom på</w:t>
      </w:r>
    </w:p>
    <w:p w14:paraId="013014F3" w14:textId="3A17A25A" w:rsidR="00F953D6" w:rsidRPr="00F953D6" w:rsidRDefault="00F953D6" w:rsidP="00F953D6">
      <w:pPr>
        <w:tabs>
          <w:tab w:val="left" w:pos="851"/>
        </w:tabs>
        <w:ind w:left="851"/>
        <w:rPr>
          <w:sz w:val="24"/>
          <w:szCs w:val="24"/>
        </w:rPr>
      </w:pPr>
      <w:r w:rsidRPr="00F953D6">
        <w:rPr>
          <w:sz w:val="24"/>
          <w:szCs w:val="24"/>
        </w:rPr>
        <w:t>Hvert hætteglas indeholder 25 mg natrium.</w:t>
      </w:r>
    </w:p>
    <w:p w14:paraId="2CA06341" w14:textId="77777777" w:rsidR="00F953D6" w:rsidRPr="00F953D6" w:rsidRDefault="00F953D6" w:rsidP="00F953D6">
      <w:pPr>
        <w:tabs>
          <w:tab w:val="left" w:pos="851"/>
        </w:tabs>
        <w:ind w:left="851"/>
        <w:rPr>
          <w:sz w:val="24"/>
          <w:szCs w:val="24"/>
          <w:u w:val="single"/>
        </w:rPr>
      </w:pPr>
    </w:p>
    <w:p w14:paraId="200C7834" w14:textId="77777777" w:rsidR="00F953D6" w:rsidRPr="00F953D6" w:rsidRDefault="00F953D6" w:rsidP="00F953D6">
      <w:pPr>
        <w:tabs>
          <w:tab w:val="left" w:pos="851"/>
        </w:tabs>
        <w:ind w:left="851"/>
        <w:rPr>
          <w:sz w:val="24"/>
          <w:szCs w:val="24"/>
        </w:rPr>
      </w:pPr>
      <w:r w:rsidRPr="00F953D6">
        <w:rPr>
          <w:sz w:val="24"/>
          <w:szCs w:val="24"/>
        </w:rPr>
        <w:t>Alle hjælpestoffer er anført under pkt. 6.1.</w:t>
      </w:r>
    </w:p>
    <w:p w14:paraId="7AD6526E" w14:textId="77777777" w:rsidR="009260DE" w:rsidRPr="00C84483" w:rsidRDefault="009260DE" w:rsidP="009260DE">
      <w:pPr>
        <w:tabs>
          <w:tab w:val="left" w:pos="851"/>
        </w:tabs>
        <w:ind w:left="851"/>
        <w:rPr>
          <w:sz w:val="24"/>
          <w:szCs w:val="24"/>
        </w:rPr>
      </w:pPr>
    </w:p>
    <w:p w14:paraId="0B25333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CD182D5" w14:textId="77777777" w:rsidR="00F953D6" w:rsidRPr="00F953D6" w:rsidRDefault="00F953D6" w:rsidP="00F953D6">
      <w:pPr>
        <w:tabs>
          <w:tab w:val="left" w:pos="851"/>
        </w:tabs>
        <w:ind w:left="851"/>
        <w:rPr>
          <w:sz w:val="24"/>
          <w:szCs w:val="24"/>
        </w:rPr>
      </w:pPr>
      <w:r w:rsidRPr="00F953D6">
        <w:rPr>
          <w:sz w:val="24"/>
          <w:szCs w:val="24"/>
        </w:rPr>
        <w:t>Pulver til injektionsvæske, opløsning</w:t>
      </w:r>
    </w:p>
    <w:p w14:paraId="3C9508BC" w14:textId="77777777" w:rsidR="00F953D6" w:rsidRPr="00F953D6" w:rsidRDefault="00F953D6" w:rsidP="00F953D6">
      <w:pPr>
        <w:tabs>
          <w:tab w:val="left" w:pos="851"/>
        </w:tabs>
        <w:ind w:left="851"/>
        <w:rPr>
          <w:sz w:val="24"/>
          <w:szCs w:val="24"/>
        </w:rPr>
      </w:pPr>
    </w:p>
    <w:p w14:paraId="3C7CE8BE" w14:textId="77777777" w:rsidR="00F953D6" w:rsidRPr="00F953D6" w:rsidRDefault="00F953D6" w:rsidP="00F953D6">
      <w:pPr>
        <w:tabs>
          <w:tab w:val="left" w:pos="851"/>
        </w:tabs>
        <w:ind w:left="851"/>
        <w:rPr>
          <w:sz w:val="24"/>
          <w:szCs w:val="24"/>
        </w:rPr>
      </w:pPr>
      <w:r w:rsidRPr="00F953D6">
        <w:rPr>
          <w:sz w:val="24"/>
          <w:szCs w:val="24"/>
        </w:rPr>
        <w:t>Hvidt eller lysegult pulver.</w:t>
      </w:r>
    </w:p>
    <w:p w14:paraId="4AAABF41" w14:textId="77777777" w:rsidR="009260DE" w:rsidRPr="00C84483" w:rsidRDefault="009260DE" w:rsidP="009260DE">
      <w:pPr>
        <w:tabs>
          <w:tab w:val="left" w:pos="851"/>
        </w:tabs>
        <w:ind w:left="851"/>
        <w:rPr>
          <w:sz w:val="24"/>
          <w:szCs w:val="24"/>
        </w:rPr>
      </w:pPr>
    </w:p>
    <w:p w14:paraId="1377FAE8" w14:textId="77777777" w:rsidR="009260DE" w:rsidRPr="00C84483" w:rsidRDefault="009260DE" w:rsidP="009260DE">
      <w:pPr>
        <w:tabs>
          <w:tab w:val="left" w:pos="851"/>
        </w:tabs>
        <w:ind w:left="851"/>
        <w:rPr>
          <w:sz w:val="24"/>
          <w:szCs w:val="24"/>
        </w:rPr>
      </w:pPr>
    </w:p>
    <w:p w14:paraId="7CE1450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922514B" w14:textId="77777777" w:rsidR="009260DE" w:rsidRPr="00C84483" w:rsidRDefault="009260DE" w:rsidP="009260DE">
      <w:pPr>
        <w:tabs>
          <w:tab w:val="left" w:pos="851"/>
        </w:tabs>
        <w:ind w:left="851"/>
        <w:rPr>
          <w:b/>
          <w:sz w:val="24"/>
          <w:szCs w:val="24"/>
        </w:rPr>
      </w:pPr>
    </w:p>
    <w:p w14:paraId="6495A12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03F77FE" w14:textId="77777777" w:rsidR="00F953D6" w:rsidRPr="00F953D6" w:rsidRDefault="00F953D6" w:rsidP="00F953D6">
      <w:pPr>
        <w:tabs>
          <w:tab w:val="left" w:pos="851"/>
        </w:tabs>
        <w:ind w:left="851"/>
        <w:rPr>
          <w:sz w:val="24"/>
          <w:szCs w:val="24"/>
        </w:rPr>
      </w:pPr>
      <w:r w:rsidRPr="00F953D6">
        <w:rPr>
          <w:sz w:val="24"/>
          <w:szCs w:val="24"/>
        </w:rPr>
        <w:t xml:space="preserve">Ceftazidim "Hameln" er indiceret til behandling af nedenstående infektioner hos voksne og børn, herunder nyfødte (fra fødslen). </w:t>
      </w:r>
    </w:p>
    <w:p w14:paraId="6A786637" w14:textId="413F9DEB" w:rsidR="00F953D6" w:rsidRPr="00F953D6" w:rsidRDefault="00F953D6" w:rsidP="00F953D6">
      <w:pPr>
        <w:numPr>
          <w:ilvl w:val="0"/>
          <w:numId w:val="6"/>
        </w:numPr>
        <w:tabs>
          <w:tab w:val="left" w:pos="851"/>
        </w:tabs>
        <w:ind w:left="1134" w:hanging="283"/>
        <w:rPr>
          <w:sz w:val="24"/>
          <w:szCs w:val="24"/>
        </w:rPr>
      </w:pPr>
      <w:r w:rsidRPr="00F953D6">
        <w:rPr>
          <w:sz w:val="24"/>
          <w:szCs w:val="24"/>
        </w:rPr>
        <w:t>Nosokomiel pneumoni</w:t>
      </w:r>
    </w:p>
    <w:p w14:paraId="27F63136"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Bronkopulmonale infektioner ved cystisk fibrose</w:t>
      </w:r>
    </w:p>
    <w:p w14:paraId="2ACAA74E"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Bakteriel meningitis</w:t>
      </w:r>
    </w:p>
    <w:p w14:paraId="3B812823"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Kronisk mellemørebetændelse</w:t>
      </w:r>
    </w:p>
    <w:p w14:paraId="64EDA785"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Nekrotiserende otitis externa</w:t>
      </w:r>
    </w:p>
    <w:p w14:paraId="0C408D3C"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urinvejsinfektioner</w:t>
      </w:r>
    </w:p>
    <w:p w14:paraId="2376EA33"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hud- og bløddelsinfektioner</w:t>
      </w:r>
    </w:p>
    <w:p w14:paraId="2403713C"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intraabdominale infektioner</w:t>
      </w:r>
    </w:p>
    <w:p w14:paraId="331BC1F2"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lastRenderedPageBreak/>
        <w:t>Knogle- og ledinfektioner</w:t>
      </w:r>
    </w:p>
    <w:p w14:paraId="4AEC2EC4"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Peritonitis i forbindelse med dialyse hos patienter i kontinuerlig peritonealdialyse (CAPD).</w:t>
      </w:r>
    </w:p>
    <w:p w14:paraId="61CAE47A" w14:textId="77777777" w:rsidR="00F953D6" w:rsidRPr="00F953D6" w:rsidRDefault="00F953D6" w:rsidP="00F953D6">
      <w:pPr>
        <w:tabs>
          <w:tab w:val="left" w:pos="851"/>
        </w:tabs>
        <w:ind w:left="851"/>
        <w:rPr>
          <w:sz w:val="24"/>
          <w:szCs w:val="24"/>
        </w:rPr>
      </w:pPr>
    </w:p>
    <w:p w14:paraId="3FABFCE7" w14:textId="77777777" w:rsidR="00F953D6" w:rsidRPr="00F953D6" w:rsidRDefault="00F953D6" w:rsidP="00F953D6">
      <w:pPr>
        <w:tabs>
          <w:tab w:val="left" w:pos="851"/>
        </w:tabs>
        <w:ind w:left="851"/>
        <w:rPr>
          <w:sz w:val="24"/>
          <w:szCs w:val="24"/>
        </w:rPr>
      </w:pPr>
      <w:r w:rsidRPr="00F953D6">
        <w:rPr>
          <w:sz w:val="24"/>
          <w:szCs w:val="24"/>
        </w:rPr>
        <w:t xml:space="preserve">Behandling af patienter med bakteriæmi, der opstår i forbindelse med, eller hvor der er mistanke om forbindelse med enhver af de ovennævnte infektioner. </w:t>
      </w:r>
    </w:p>
    <w:p w14:paraId="441208ED" w14:textId="77777777" w:rsidR="00F953D6" w:rsidRPr="00F953D6" w:rsidRDefault="00F953D6" w:rsidP="00F953D6">
      <w:pPr>
        <w:tabs>
          <w:tab w:val="left" w:pos="851"/>
        </w:tabs>
        <w:ind w:left="851"/>
        <w:rPr>
          <w:sz w:val="24"/>
          <w:szCs w:val="24"/>
        </w:rPr>
      </w:pPr>
    </w:p>
    <w:p w14:paraId="02ED523B" w14:textId="77777777" w:rsidR="00F953D6" w:rsidRPr="00F953D6" w:rsidRDefault="00F953D6" w:rsidP="00F953D6">
      <w:pPr>
        <w:tabs>
          <w:tab w:val="left" w:pos="851"/>
        </w:tabs>
        <w:ind w:left="851"/>
        <w:rPr>
          <w:sz w:val="24"/>
          <w:szCs w:val="24"/>
        </w:rPr>
      </w:pPr>
      <w:r w:rsidRPr="00F953D6">
        <w:rPr>
          <w:sz w:val="24"/>
          <w:szCs w:val="24"/>
        </w:rPr>
        <w:t xml:space="preserve">Ceftazidim kan anvendes til behandling af neutropene patienter med feber, hvis der er mistanke om, at denne skyldes en bakterieinfektion. </w:t>
      </w:r>
    </w:p>
    <w:p w14:paraId="657844A6" w14:textId="77777777" w:rsidR="00F953D6" w:rsidRPr="00F953D6" w:rsidRDefault="00F953D6" w:rsidP="00F953D6">
      <w:pPr>
        <w:tabs>
          <w:tab w:val="left" w:pos="851"/>
        </w:tabs>
        <w:ind w:left="851"/>
        <w:rPr>
          <w:sz w:val="24"/>
          <w:szCs w:val="24"/>
        </w:rPr>
      </w:pPr>
    </w:p>
    <w:p w14:paraId="51EE7C62" w14:textId="77777777" w:rsidR="00F953D6" w:rsidRPr="00F953D6" w:rsidRDefault="00F953D6" w:rsidP="00F953D6">
      <w:pPr>
        <w:tabs>
          <w:tab w:val="left" w:pos="851"/>
        </w:tabs>
        <w:ind w:left="851"/>
        <w:rPr>
          <w:sz w:val="24"/>
          <w:szCs w:val="24"/>
        </w:rPr>
      </w:pPr>
      <w:r w:rsidRPr="00F953D6">
        <w:rPr>
          <w:sz w:val="24"/>
          <w:szCs w:val="24"/>
        </w:rPr>
        <w:t xml:space="preserve">Ceftazidim kan anvendes til perioperativ profylakse mod urinvejsinfektioner hos patienter, der gennemgår transuretral prostataresektion (TURP). </w:t>
      </w:r>
    </w:p>
    <w:p w14:paraId="4526918B" w14:textId="77777777" w:rsidR="00F953D6" w:rsidRPr="00F953D6" w:rsidRDefault="00F953D6" w:rsidP="00F953D6">
      <w:pPr>
        <w:tabs>
          <w:tab w:val="left" w:pos="851"/>
        </w:tabs>
        <w:ind w:left="851"/>
        <w:rPr>
          <w:sz w:val="24"/>
          <w:szCs w:val="24"/>
        </w:rPr>
      </w:pPr>
    </w:p>
    <w:p w14:paraId="73AA6872" w14:textId="77777777" w:rsidR="00F953D6" w:rsidRPr="00F953D6" w:rsidRDefault="00F953D6" w:rsidP="00F953D6">
      <w:pPr>
        <w:tabs>
          <w:tab w:val="left" w:pos="851"/>
        </w:tabs>
        <w:ind w:left="851"/>
        <w:rPr>
          <w:sz w:val="24"/>
          <w:szCs w:val="24"/>
        </w:rPr>
      </w:pPr>
      <w:r w:rsidRPr="00F953D6">
        <w:rPr>
          <w:sz w:val="24"/>
          <w:szCs w:val="24"/>
        </w:rPr>
        <w:t xml:space="preserve">Ved valg af ceftazidim bør der tages højde for lægemidlets antibakterielle spektrum, som overvejende er begrænset til aerobe gramnegative bakterier (se pkt. 4.4 og 5.1). </w:t>
      </w:r>
    </w:p>
    <w:p w14:paraId="6B75CD48" w14:textId="77777777" w:rsidR="00F953D6" w:rsidRPr="00F953D6" w:rsidRDefault="00F953D6" w:rsidP="00F953D6">
      <w:pPr>
        <w:tabs>
          <w:tab w:val="left" w:pos="851"/>
        </w:tabs>
        <w:ind w:left="851"/>
        <w:rPr>
          <w:sz w:val="24"/>
          <w:szCs w:val="24"/>
        </w:rPr>
      </w:pPr>
    </w:p>
    <w:p w14:paraId="21512457" w14:textId="77777777" w:rsidR="00F953D6" w:rsidRPr="00F953D6" w:rsidRDefault="00F953D6" w:rsidP="00F953D6">
      <w:pPr>
        <w:tabs>
          <w:tab w:val="left" w:pos="851"/>
        </w:tabs>
        <w:ind w:left="851"/>
        <w:rPr>
          <w:sz w:val="24"/>
          <w:szCs w:val="24"/>
        </w:rPr>
      </w:pPr>
      <w:r w:rsidRPr="00F953D6">
        <w:rPr>
          <w:sz w:val="24"/>
          <w:szCs w:val="24"/>
        </w:rPr>
        <w:t xml:space="preserve">Ceftazidim bør administreres sammen med andre antibakterielle midler, når de mulige kausale bakterier ikke falder inden for ceftazidims spektrum. </w:t>
      </w:r>
    </w:p>
    <w:p w14:paraId="40EBE7B6" w14:textId="77777777" w:rsidR="00F953D6" w:rsidRPr="00F953D6" w:rsidRDefault="00F953D6" w:rsidP="00F953D6">
      <w:pPr>
        <w:tabs>
          <w:tab w:val="left" w:pos="851"/>
        </w:tabs>
        <w:ind w:left="851"/>
        <w:rPr>
          <w:sz w:val="24"/>
          <w:szCs w:val="24"/>
        </w:rPr>
      </w:pPr>
    </w:p>
    <w:p w14:paraId="3524FD3F" w14:textId="77777777" w:rsidR="00F953D6" w:rsidRPr="00F953D6" w:rsidRDefault="00F953D6" w:rsidP="00F953D6">
      <w:pPr>
        <w:tabs>
          <w:tab w:val="left" w:pos="851"/>
        </w:tabs>
        <w:ind w:left="851"/>
        <w:rPr>
          <w:b/>
          <w:sz w:val="24"/>
          <w:szCs w:val="24"/>
        </w:rPr>
      </w:pPr>
      <w:r w:rsidRPr="00F953D6">
        <w:rPr>
          <w:sz w:val="24"/>
          <w:szCs w:val="24"/>
        </w:rPr>
        <w:t xml:space="preserve">Der skal tages hensyn til officielle retningslinjer vedrørende hensigtsmæssig brug af antibiotika. </w:t>
      </w:r>
    </w:p>
    <w:p w14:paraId="67142257" w14:textId="77777777" w:rsidR="00F953D6" w:rsidRPr="00F953D6" w:rsidRDefault="00F953D6" w:rsidP="00F953D6">
      <w:pPr>
        <w:tabs>
          <w:tab w:val="left" w:pos="851"/>
        </w:tabs>
        <w:ind w:left="851"/>
        <w:rPr>
          <w:sz w:val="24"/>
          <w:szCs w:val="24"/>
        </w:rPr>
      </w:pPr>
    </w:p>
    <w:p w14:paraId="02158EB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99D5FDB" w14:textId="77777777" w:rsidR="00AF56FC" w:rsidRPr="00AF56FC" w:rsidRDefault="00AF56FC" w:rsidP="00AF56FC">
      <w:pPr>
        <w:ind w:left="851"/>
        <w:rPr>
          <w:sz w:val="24"/>
          <w:szCs w:val="24"/>
          <w:lang w:eastAsia="zh-CN"/>
        </w:rPr>
      </w:pPr>
    </w:p>
    <w:p w14:paraId="25735A15" w14:textId="77777777" w:rsidR="00AF56FC" w:rsidRPr="00AF56FC" w:rsidRDefault="00AF56FC" w:rsidP="00AF56FC">
      <w:pPr>
        <w:tabs>
          <w:tab w:val="left" w:pos="6521"/>
        </w:tabs>
        <w:autoSpaceDE w:val="0"/>
        <w:autoSpaceDN w:val="0"/>
        <w:adjustRightInd w:val="0"/>
        <w:ind w:left="851"/>
        <w:rPr>
          <w:b/>
          <w:sz w:val="24"/>
          <w:szCs w:val="24"/>
        </w:rPr>
      </w:pPr>
      <w:r w:rsidRPr="00AF56FC">
        <w:rPr>
          <w:b/>
          <w:sz w:val="24"/>
          <w:szCs w:val="24"/>
        </w:rPr>
        <w:t xml:space="preserve">Dosering </w:t>
      </w:r>
    </w:p>
    <w:p w14:paraId="5553A57A" w14:textId="77777777" w:rsidR="00AF56FC" w:rsidRPr="00AF56FC" w:rsidRDefault="00AF56FC" w:rsidP="00AF56FC">
      <w:pPr>
        <w:autoSpaceDE w:val="0"/>
        <w:autoSpaceDN w:val="0"/>
        <w:adjustRightInd w:val="0"/>
        <w:ind w:left="851"/>
        <w:rPr>
          <w:i/>
          <w:sz w:val="24"/>
          <w:szCs w:val="24"/>
        </w:rPr>
      </w:pPr>
    </w:p>
    <w:p w14:paraId="05002EF6" w14:textId="77777777" w:rsidR="00AF56FC" w:rsidRDefault="00AF56FC" w:rsidP="00AF56FC">
      <w:pPr>
        <w:tabs>
          <w:tab w:val="left" w:pos="720"/>
          <w:tab w:val="left" w:pos="900"/>
        </w:tabs>
        <w:autoSpaceDE w:val="0"/>
        <w:autoSpaceDN w:val="0"/>
        <w:adjustRightInd w:val="0"/>
        <w:rPr>
          <w:sz w:val="22"/>
          <w:szCs w:val="22"/>
          <w:u w:val="single"/>
        </w:rPr>
      </w:pPr>
      <w:r>
        <w:rPr>
          <w:sz w:val="22"/>
          <w:szCs w:val="22"/>
          <w:u w:val="single"/>
        </w:rPr>
        <w:t>Tabel 1.: Voksne og børn ≥ 40 kg</w:t>
      </w:r>
    </w:p>
    <w:p w14:paraId="73164D95" w14:textId="77777777" w:rsidR="00AF56FC" w:rsidRDefault="00AF56FC" w:rsidP="00AF56FC">
      <w:pPr>
        <w:autoSpaceDE w:val="0"/>
        <w:autoSpaceDN w:val="0"/>
        <w:adjustRightInd w:val="0"/>
        <w:rPr>
          <w:sz w:val="22"/>
          <w:szCs w:val="22"/>
        </w:rPr>
      </w:pPr>
    </w:p>
    <w:tbl>
      <w:tblPr>
        <w:tblW w:w="9287" w:type="dxa"/>
        <w:tblInd w:w="-5" w:type="dxa"/>
        <w:tblCellMar>
          <w:right w:w="115" w:type="dxa"/>
        </w:tblCellMar>
        <w:tblLook w:val="04A0" w:firstRow="1" w:lastRow="0" w:firstColumn="1" w:lastColumn="0" w:noHBand="0" w:noVBand="1"/>
      </w:tblPr>
      <w:tblGrid>
        <w:gridCol w:w="4643"/>
        <w:gridCol w:w="4644"/>
      </w:tblGrid>
      <w:tr w:rsidR="00AF56FC" w14:paraId="29D19012" w14:textId="77777777" w:rsidTr="00AF56FC">
        <w:trPr>
          <w:trHeight w:val="272"/>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39AB5281" w14:textId="77777777" w:rsidR="00AF56FC" w:rsidRDefault="00AF56FC">
            <w:pPr>
              <w:autoSpaceDE w:val="0"/>
              <w:autoSpaceDN w:val="0"/>
              <w:adjustRightInd w:val="0"/>
              <w:rPr>
                <w:b/>
                <w:bCs/>
                <w:iCs/>
                <w:sz w:val="22"/>
                <w:szCs w:val="22"/>
              </w:rPr>
            </w:pPr>
            <w:r>
              <w:rPr>
                <w:b/>
                <w:bCs/>
                <w:iCs/>
                <w:sz w:val="22"/>
                <w:szCs w:val="22"/>
              </w:rPr>
              <w:t>Intermitterende administration</w:t>
            </w:r>
          </w:p>
          <w:p w14:paraId="7C88DEA0" w14:textId="77777777" w:rsidR="00AF56FC" w:rsidRDefault="00AF56FC">
            <w:pPr>
              <w:autoSpaceDE w:val="0"/>
              <w:autoSpaceDN w:val="0"/>
              <w:adjustRightInd w:val="0"/>
              <w:jc w:val="center"/>
              <w:rPr>
                <w:b/>
                <w:bCs/>
                <w:iCs/>
                <w:sz w:val="22"/>
                <w:szCs w:val="22"/>
              </w:rPr>
            </w:pPr>
          </w:p>
        </w:tc>
      </w:tr>
      <w:tr w:rsidR="00AF56FC" w14:paraId="18BC109D" w14:textId="77777777" w:rsidTr="00AF56FC">
        <w:trPr>
          <w:trHeight w:hRule="exact" w:val="272"/>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6790C466" w14:textId="77777777" w:rsidR="00AF56FC" w:rsidRDefault="00AF56FC">
            <w:pPr>
              <w:autoSpaceDE w:val="0"/>
              <w:autoSpaceDN w:val="0"/>
              <w:adjustRightInd w:val="0"/>
              <w:rPr>
                <w:i/>
                <w:iCs/>
                <w:sz w:val="22"/>
                <w:szCs w:val="22"/>
              </w:rPr>
            </w:pPr>
            <w:r>
              <w:rPr>
                <w:i/>
                <w:iCs/>
                <w:sz w:val="22"/>
                <w:szCs w:val="22"/>
              </w:rPr>
              <w:t xml:space="preserve">Infektion </w:t>
            </w:r>
          </w:p>
          <w:p w14:paraId="37CB704C" w14:textId="77777777" w:rsidR="00AF56FC" w:rsidRDefault="00AF56FC">
            <w:pPr>
              <w:autoSpaceDE w:val="0"/>
              <w:autoSpaceDN w:val="0"/>
              <w:adjustRightInd w:val="0"/>
              <w:rPr>
                <w:i/>
                <w:iCs/>
                <w:sz w:val="22"/>
                <w:szCs w:val="22"/>
              </w:rPr>
            </w:pP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129FD506" w14:textId="77777777" w:rsidR="00AF56FC" w:rsidRDefault="00AF56FC">
            <w:pPr>
              <w:autoSpaceDE w:val="0"/>
              <w:autoSpaceDN w:val="0"/>
              <w:adjustRightInd w:val="0"/>
              <w:rPr>
                <w:i/>
                <w:iCs/>
                <w:sz w:val="22"/>
                <w:szCs w:val="22"/>
              </w:rPr>
            </w:pPr>
            <w:r>
              <w:rPr>
                <w:i/>
                <w:iCs/>
                <w:sz w:val="22"/>
                <w:szCs w:val="22"/>
              </w:rPr>
              <w:t xml:space="preserve">Dosis, der skal administreres </w:t>
            </w:r>
          </w:p>
        </w:tc>
      </w:tr>
      <w:tr w:rsidR="00AF56FC" w14:paraId="6C7C2C4B" w14:textId="77777777" w:rsidTr="00AF56FC">
        <w:trPr>
          <w:trHeight w:val="529"/>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1D60AD1"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B6994BF" w14:textId="77777777" w:rsidR="00AF56FC" w:rsidRDefault="00AF56FC">
            <w:pPr>
              <w:autoSpaceDE w:val="0"/>
              <w:autoSpaceDN w:val="0"/>
              <w:adjustRightInd w:val="0"/>
              <w:rPr>
                <w:sz w:val="22"/>
                <w:szCs w:val="22"/>
              </w:rPr>
            </w:pPr>
            <w:r>
              <w:rPr>
                <w:sz w:val="22"/>
                <w:szCs w:val="22"/>
              </w:rPr>
              <w:t>100 til 150 mg/kg/dag hver 8. time, maksimalt 9 g pr. dag</w:t>
            </w:r>
            <w:r>
              <w:rPr>
                <w:sz w:val="22"/>
                <w:szCs w:val="22"/>
                <w:vertAlign w:val="superscript"/>
              </w:rPr>
              <w:t>1</w:t>
            </w:r>
            <w:r>
              <w:rPr>
                <w:sz w:val="22"/>
                <w:szCs w:val="22"/>
              </w:rPr>
              <w:t xml:space="preserve"> </w:t>
            </w:r>
          </w:p>
        </w:tc>
      </w:tr>
      <w:tr w:rsidR="00AF56FC" w14:paraId="08E0726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2BC1FF6" w14:textId="77777777" w:rsidR="00AF56FC" w:rsidRDefault="00AF56FC">
            <w:pPr>
              <w:autoSpaceDE w:val="0"/>
              <w:autoSpaceDN w:val="0"/>
              <w:adjustRightInd w:val="0"/>
              <w:rPr>
                <w:sz w:val="22"/>
                <w:szCs w:val="22"/>
              </w:rPr>
            </w:pPr>
            <w:r>
              <w:rPr>
                <w:sz w:val="22"/>
                <w:szCs w:val="22"/>
              </w:rPr>
              <w:t xml:space="preserve">Febril neutropeni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3623127C" w14:textId="77777777" w:rsidR="00AF56FC" w:rsidRDefault="00AF56FC">
            <w:pPr>
              <w:autoSpaceDE w:val="0"/>
              <w:autoSpaceDN w:val="0"/>
              <w:adjustRightInd w:val="0"/>
              <w:rPr>
                <w:sz w:val="22"/>
                <w:szCs w:val="22"/>
              </w:rPr>
            </w:pPr>
          </w:p>
          <w:p w14:paraId="7A88EB19" w14:textId="77777777" w:rsidR="00AF56FC" w:rsidRDefault="00AF56FC">
            <w:pPr>
              <w:autoSpaceDE w:val="0"/>
              <w:autoSpaceDN w:val="0"/>
              <w:adjustRightInd w:val="0"/>
              <w:rPr>
                <w:sz w:val="22"/>
                <w:szCs w:val="22"/>
              </w:rPr>
            </w:pPr>
            <w:r>
              <w:rPr>
                <w:sz w:val="22"/>
                <w:szCs w:val="22"/>
              </w:rPr>
              <w:t xml:space="preserve">2 g hver 8. time </w:t>
            </w:r>
          </w:p>
          <w:p w14:paraId="71B005EE" w14:textId="77777777" w:rsidR="00AF56FC" w:rsidRDefault="00AF56FC">
            <w:pPr>
              <w:autoSpaceDE w:val="0"/>
              <w:autoSpaceDN w:val="0"/>
              <w:adjustRightInd w:val="0"/>
              <w:rPr>
                <w:sz w:val="22"/>
                <w:szCs w:val="22"/>
              </w:rPr>
            </w:pPr>
          </w:p>
        </w:tc>
      </w:tr>
      <w:tr w:rsidR="00AF56FC" w14:paraId="1D9A06AC"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5908A8B" w14:textId="77777777" w:rsidR="00AF56FC" w:rsidRDefault="00AF56FC">
            <w:pPr>
              <w:autoSpaceDE w:val="0"/>
              <w:autoSpaceDN w:val="0"/>
              <w:adjustRightInd w:val="0"/>
              <w:rPr>
                <w:sz w:val="22"/>
                <w:szCs w:val="22"/>
              </w:rPr>
            </w:pPr>
            <w:r>
              <w:rPr>
                <w:sz w:val="22"/>
                <w:szCs w:val="22"/>
              </w:rPr>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FBCC8" w14:textId="77777777" w:rsidR="00AF56FC" w:rsidRDefault="00AF56FC">
            <w:pPr>
              <w:rPr>
                <w:sz w:val="22"/>
                <w:szCs w:val="22"/>
                <w:lang w:eastAsia="zh-CN"/>
              </w:rPr>
            </w:pPr>
          </w:p>
        </w:tc>
      </w:tr>
      <w:tr w:rsidR="00AF56FC" w14:paraId="4FE46B9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8FEA8EF"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3B85C" w14:textId="77777777" w:rsidR="00AF56FC" w:rsidRDefault="00AF56FC">
            <w:pPr>
              <w:rPr>
                <w:sz w:val="22"/>
                <w:szCs w:val="22"/>
                <w:lang w:eastAsia="zh-CN"/>
              </w:rPr>
            </w:pPr>
          </w:p>
        </w:tc>
      </w:tr>
      <w:tr w:rsidR="00AF56FC" w14:paraId="70DB8187"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900C60B"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A5854" w14:textId="77777777" w:rsidR="00AF56FC" w:rsidRDefault="00AF56FC">
            <w:pPr>
              <w:rPr>
                <w:sz w:val="22"/>
                <w:szCs w:val="22"/>
                <w:lang w:eastAsia="zh-CN"/>
              </w:rPr>
            </w:pPr>
          </w:p>
        </w:tc>
      </w:tr>
      <w:tr w:rsidR="00AF56FC" w14:paraId="7D70EB44"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005115A" w14:textId="77777777" w:rsidR="00AF56FC" w:rsidRDefault="00AF56FC">
            <w:pPr>
              <w:autoSpaceDE w:val="0"/>
              <w:autoSpaceDN w:val="0"/>
              <w:adjustRightInd w:val="0"/>
              <w:rPr>
                <w:sz w:val="22"/>
                <w:szCs w:val="22"/>
              </w:rPr>
            </w:pPr>
            <w:r>
              <w:rPr>
                <w:sz w:val="22"/>
                <w:szCs w:val="22"/>
              </w:rPr>
              <w:t xml:space="preserve">Knogle- og ledinfektioner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D778688" w14:textId="77777777" w:rsidR="00AF56FC" w:rsidRDefault="00AF56FC">
            <w:pPr>
              <w:autoSpaceDE w:val="0"/>
              <w:autoSpaceDN w:val="0"/>
              <w:adjustRightInd w:val="0"/>
              <w:rPr>
                <w:sz w:val="22"/>
                <w:szCs w:val="22"/>
              </w:rPr>
            </w:pPr>
            <w:r>
              <w:rPr>
                <w:sz w:val="22"/>
                <w:szCs w:val="22"/>
              </w:rPr>
              <w:t xml:space="preserve">1-2 g hver 8. time </w:t>
            </w:r>
          </w:p>
        </w:tc>
      </w:tr>
      <w:tr w:rsidR="00AF56FC" w14:paraId="0B975741"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FFE8410"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D5D77" w14:textId="77777777" w:rsidR="00AF56FC" w:rsidRDefault="00AF56FC">
            <w:pPr>
              <w:rPr>
                <w:sz w:val="22"/>
                <w:szCs w:val="22"/>
                <w:lang w:eastAsia="zh-CN"/>
              </w:rPr>
            </w:pPr>
          </w:p>
        </w:tc>
      </w:tr>
      <w:tr w:rsidR="00AF56FC" w14:paraId="10356B25"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7FB14DB"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BF0E6" w14:textId="77777777" w:rsidR="00AF56FC" w:rsidRDefault="00AF56FC">
            <w:pPr>
              <w:rPr>
                <w:sz w:val="22"/>
                <w:szCs w:val="22"/>
                <w:lang w:eastAsia="zh-CN"/>
              </w:rPr>
            </w:pPr>
          </w:p>
        </w:tc>
      </w:tr>
      <w:tr w:rsidR="00AF56FC" w14:paraId="03059E5B" w14:textId="77777777" w:rsidTr="00AF56FC">
        <w:trPr>
          <w:trHeight w:val="53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C5C17C5"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8DCA6" w14:textId="77777777" w:rsidR="00AF56FC" w:rsidRDefault="00AF56FC">
            <w:pPr>
              <w:rPr>
                <w:sz w:val="22"/>
                <w:szCs w:val="22"/>
                <w:lang w:eastAsia="zh-CN"/>
              </w:rPr>
            </w:pPr>
          </w:p>
        </w:tc>
      </w:tr>
      <w:tr w:rsidR="00AF56FC" w14:paraId="2494E43B"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998B891" w14:textId="77777777" w:rsidR="00AF56FC" w:rsidRDefault="00AF56FC">
            <w:pPr>
              <w:autoSpaceDE w:val="0"/>
              <w:autoSpaceDN w:val="0"/>
              <w:adjustRightInd w:val="0"/>
              <w:rPr>
                <w:sz w:val="22"/>
                <w:szCs w:val="22"/>
              </w:rPr>
            </w:pPr>
            <w:r>
              <w:rPr>
                <w:sz w:val="22"/>
                <w:szCs w:val="22"/>
              </w:rPr>
              <w:t xml:space="preserve">Komplicerede urinvejsinfektioner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2ED4C4C" w14:textId="77777777" w:rsidR="00AF56FC" w:rsidRDefault="00AF56FC">
            <w:pPr>
              <w:autoSpaceDE w:val="0"/>
              <w:autoSpaceDN w:val="0"/>
              <w:adjustRightInd w:val="0"/>
              <w:rPr>
                <w:sz w:val="22"/>
                <w:szCs w:val="22"/>
              </w:rPr>
            </w:pPr>
            <w:r>
              <w:rPr>
                <w:sz w:val="22"/>
                <w:szCs w:val="22"/>
              </w:rPr>
              <w:t>1</w:t>
            </w:r>
            <w:r>
              <w:rPr>
                <w:sz w:val="22"/>
                <w:szCs w:val="22"/>
              </w:rPr>
              <w:noBreakHyphen/>
              <w:t xml:space="preserve">2 g hver 8. eller 12. time </w:t>
            </w:r>
          </w:p>
        </w:tc>
      </w:tr>
      <w:tr w:rsidR="00AF56FC" w14:paraId="55E97E62" w14:textId="77777777" w:rsidTr="00AF56FC">
        <w:trPr>
          <w:trHeight w:val="53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F0473D0" w14:textId="77777777" w:rsidR="00AF56FC" w:rsidRDefault="00AF56FC">
            <w:pPr>
              <w:autoSpaceDE w:val="0"/>
              <w:autoSpaceDN w:val="0"/>
              <w:adjustRightInd w:val="0"/>
              <w:rPr>
                <w:sz w:val="22"/>
                <w:szCs w:val="22"/>
              </w:rPr>
            </w:pPr>
            <w:r>
              <w:rPr>
                <w:sz w:val="22"/>
                <w:szCs w:val="22"/>
              </w:rPr>
              <w:t xml:space="preserve">Perioperativ profylakse ved transuretral prostataresektion (TURP)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8DBDE3B" w14:textId="77777777" w:rsidR="00AF56FC" w:rsidRDefault="00AF56FC">
            <w:pPr>
              <w:autoSpaceDE w:val="0"/>
              <w:autoSpaceDN w:val="0"/>
              <w:adjustRightInd w:val="0"/>
              <w:rPr>
                <w:sz w:val="22"/>
                <w:szCs w:val="22"/>
              </w:rPr>
            </w:pPr>
            <w:r>
              <w:rPr>
                <w:sz w:val="22"/>
                <w:szCs w:val="22"/>
              </w:rPr>
              <w:t xml:space="preserve">1 g ved induktion af anæstesi, og yderligere en dosis ved fjernelse af kateter </w:t>
            </w:r>
          </w:p>
        </w:tc>
      </w:tr>
      <w:tr w:rsidR="00AF56FC" w14:paraId="403829E3"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9A26697" w14:textId="77777777" w:rsidR="00AF56FC" w:rsidRDefault="00AF56FC">
            <w:pPr>
              <w:autoSpaceDE w:val="0"/>
              <w:autoSpaceDN w:val="0"/>
              <w:adjustRightInd w:val="0"/>
              <w:rPr>
                <w:sz w:val="22"/>
                <w:szCs w:val="22"/>
              </w:rPr>
            </w:pPr>
            <w:r>
              <w:rPr>
                <w:sz w:val="22"/>
                <w:szCs w:val="22"/>
              </w:rPr>
              <w:t xml:space="preserve">Kronisk mellemørebetændelse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646ABC2" w14:textId="77777777" w:rsidR="00AF56FC" w:rsidRDefault="00AF56FC">
            <w:pPr>
              <w:autoSpaceDE w:val="0"/>
              <w:autoSpaceDN w:val="0"/>
              <w:adjustRightInd w:val="0"/>
              <w:rPr>
                <w:sz w:val="22"/>
                <w:szCs w:val="22"/>
              </w:rPr>
            </w:pPr>
            <w:r>
              <w:rPr>
                <w:sz w:val="22"/>
                <w:szCs w:val="22"/>
              </w:rPr>
              <w:t xml:space="preserve">1-2 g hver 8. time </w:t>
            </w:r>
          </w:p>
        </w:tc>
      </w:tr>
      <w:tr w:rsidR="00AF56FC" w14:paraId="417F8EE9"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5ABBF55" w14:textId="77777777" w:rsidR="00AF56FC" w:rsidRDefault="00AF56FC">
            <w:pPr>
              <w:autoSpaceDE w:val="0"/>
              <w:autoSpaceDN w:val="0"/>
              <w:adjustRightInd w:val="0"/>
              <w:rPr>
                <w:sz w:val="22"/>
                <w:szCs w:val="22"/>
              </w:rPr>
            </w:pPr>
            <w:r>
              <w:rPr>
                <w:sz w:val="22"/>
                <w:szCs w:val="22"/>
              </w:rPr>
              <w:t xml:space="preserve">Nekrotiserende otitis externa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7FFDC" w14:textId="77777777" w:rsidR="00AF56FC" w:rsidRDefault="00AF56FC">
            <w:pPr>
              <w:rPr>
                <w:sz w:val="22"/>
                <w:szCs w:val="22"/>
                <w:lang w:eastAsia="zh-CN"/>
              </w:rPr>
            </w:pPr>
          </w:p>
        </w:tc>
      </w:tr>
      <w:tr w:rsidR="00AF56FC" w14:paraId="10A5322D" w14:textId="77777777" w:rsidTr="00AF56FC">
        <w:trPr>
          <w:trHeight w:val="272"/>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559A6160" w14:textId="77777777" w:rsidR="00AF56FC" w:rsidRDefault="00AF56FC">
            <w:pPr>
              <w:autoSpaceDE w:val="0"/>
              <w:autoSpaceDN w:val="0"/>
              <w:adjustRightInd w:val="0"/>
              <w:rPr>
                <w:b/>
                <w:bCs/>
                <w:iCs/>
                <w:sz w:val="22"/>
                <w:szCs w:val="22"/>
              </w:rPr>
            </w:pPr>
            <w:r>
              <w:rPr>
                <w:b/>
                <w:bCs/>
                <w:iCs/>
                <w:sz w:val="22"/>
                <w:szCs w:val="22"/>
              </w:rPr>
              <w:t>Kontinuerlig infusion</w:t>
            </w:r>
          </w:p>
          <w:p w14:paraId="1E968CD3" w14:textId="77777777" w:rsidR="00AF56FC" w:rsidRDefault="00AF56FC">
            <w:pPr>
              <w:autoSpaceDE w:val="0"/>
              <w:autoSpaceDN w:val="0"/>
              <w:adjustRightInd w:val="0"/>
              <w:rPr>
                <w:b/>
                <w:bCs/>
                <w:iCs/>
                <w:sz w:val="22"/>
                <w:szCs w:val="22"/>
              </w:rPr>
            </w:pPr>
          </w:p>
        </w:tc>
      </w:tr>
      <w:tr w:rsidR="00AF56FC" w14:paraId="78BCD531" w14:textId="77777777" w:rsidTr="00AF56FC">
        <w:trPr>
          <w:trHeight w:hRule="exact" w:val="272"/>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C82B2AE" w14:textId="77777777" w:rsidR="00AF56FC" w:rsidRDefault="00AF56FC">
            <w:pPr>
              <w:autoSpaceDE w:val="0"/>
              <w:autoSpaceDN w:val="0"/>
              <w:adjustRightInd w:val="0"/>
              <w:rPr>
                <w:i/>
                <w:iCs/>
                <w:sz w:val="22"/>
                <w:szCs w:val="22"/>
              </w:rPr>
            </w:pPr>
            <w:r>
              <w:rPr>
                <w:i/>
                <w:iCs/>
                <w:sz w:val="22"/>
                <w:szCs w:val="22"/>
              </w:rPr>
              <w:t xml:space="preserve">Infektion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D0D77E2" w14:textId="77777777" w:rsidR="00AF56FC" w:rsidRDefault="00AF56FC">
            <w:pPr>
              <w:autoSpaceDE w:val="0"/>
              <w:autoSpaceDN w:val="0"/>
              <w:adjustRightInd w:val="0"/>
              <w:rPr>
                <w:i/>
                <w:iCs/>
                <w:sz w:val="22"/>
                <w:szCs w:val="22"/>
              </w:rPr>
            </w:pPr>
            <w:r>
              <w:rPr>
                <w:i/>
                <w:iCs/>
                <w:sz w:val="22"/>
                <w:szCs w:val="22"/>
              </w:rPr>
              <w:t xml:space="preserve">Dosis, der skal administreres </w:t>
            </w:r>
          </w:p>
        </w:tc>
      </w:tr>
      <w:tr w:rsidR="00AF56FC" w14:paraId="627CD25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F4BAC90" w14:textId="77777777" w:rsidR="00AF56FC" w:rsidRDefault="00AF56FC">
            <w:pPr>
              <w:autoSpaceDE w:val="0"/>
              <w:autoSpaceDN w:val="0"/>
              <w:adjustRightInd w:val="0"/>
              <w:rPr>
                <w:sz w:val="22"/>
                <w:szCs w:val="22"/>
              </w:rPr>
            </w:pPr>
            <w:r>
              <w:rPr>
                <w:sz w:val="22"/>
                <w:szCs w:val="22"/>
              </w:rPr>
              <w:t xml:space="preserve">Febril neutropeni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15280295" w14:textId="77777777" w:rsidR="00AF56FC" w:rsidRDefault="00AF56FC">
            <w:pPr>
              <w:autoSpaceDE w:val="0"/>
              <w:autoSpaceDN w:val="0"/>
              <w:adjustRightInd w:val="0"/>
              <w:rPr>
                <w:sz w:val="22"/>
                <w:szCs w:val="22"/>
              </w:rPr>
            </w:pPr>
            <w:r>
              <w:rPr>
                <w:sz w:val="22"/>
                <w:szCs w:val="22"/>
              </w:rPr>
              <w:t xml:space="preserve"> </w:t>
            </w:r>
          </w:p>
          <w:p w14:paraId="3AF7C1C1" w14:textId="77777777" w:rsidR="00AF56FC" w:rsidRDefault="00AF56FC">
            <w:pPr>
              <w:autoSpaceDE w:val="0"/>
              <w:autoSpaceDN w:val="0"/>
              <w:adjustRightInd w:val="0"/>
              <w:rPr>
                <w:sz w:val="22"/>
                <w:szCs w:val="22"/>
              </w:rPr>
            </w:pPr>
            <w:r>
              <w:rPr>
                <w:sz w:val="22"/>
                <w:szCs w:val="22"/>
              </w:rPr>
              <w:lastRenderedPageBreak/>
              <w:t>Støddosis på 2 g efterfulgt af kontinuerlig infusion af 4 til 6 g hver 24. time</w:t>
            </w:r>
            <w:r>
              <w:rPr>
                <w:sz w:val="22"/>
                <w:szCs w:val="22"/>
                <w:vertAlign w:val="superscript"/>
              </w:rPr>
              <w:t>1</w:t>
            </w:r>
            <w:r>
              <w:rPr>
                <w:sz w:val="22"/>
                <w:szCs w:val="22"/>
              </w:rPr>
              <w:t xml:space="preserve"> </w:t>
            </w:r>
          </w:p>
          <w:p w14:paraId="4DD0E8B9" w14:textId="77777777" w:rsidR="00AF56FC" w:rsidRDefault="00AF56FC">
            <w:pPr>
              <w:autoSpaceDE w:val="0"/>
              <w:autoSpaceDN w:val="0"/>
              <w:adjustRightInd w:val="0"/>
              <w:rPr>
                <w:sz w:val="22"/>
                <w:szCs w:val="22"/>
              </w:rPr>
            </w:pPr>
            <w:r>
              <w:rPr>
                <w:sz w:val="22"/>
                <w:szCs w:val="22"/>
              </w:rPr>
              <w:t xml:space="preserve"> </w:t>
            </w:r>
          </w:p>
        </w:tc>
      </w:tr>
      <w:tr w:rsidR="00AF56FC" w14:paraId="6A0E8B5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99EBC08" w14:textId="77777777" w:rsidR="00AF56FC" w:rsidRDefault="00AF56FC">
            <w:pPr>
              <w:autoSpaceDE w:val="0"/>
              <w:autoSpaceDN w:val="0"/>
              <w:adjustRightInd w:val="0"/>
              <w:rPr>
                <w:sz w:val="22"/>
                <w:szCs w:val="22"/>
              </w:rPr>
            </w:pPr>
            <w:r>
              <w:rPr>
                <w:sz w:val="22"/>
                <w:szCs w:val="22"/>
              </w:rPr>
              <w:lastRenderedPageBreak/>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069FB" w14:textId="77777777" w:rsidR="00AF56FC" w:rsidRDefault="00AF56FC">
            <w:pPr>
              <w:rPr>
                <w:sz w:val="22"/>
                <w:szCs w:val="22"/>
                <w:lang w:eastAsia="zh-CN"/>
              </w:rPr>
            </w:pPr>
          </w:p>
        </w:tc>
      </w:tr>
      <w:tr w:rsidR="00AF56FC" w14:paraId="53D31A8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B0360B1"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13DF7" w14:textId="77777777" w:rsidR="00AF56FC" w:rsidRDefault="00AF56FC">
            <w:pPr>
              <w:rPr>
                <w:sz w:val="22"/>
                <w:szCs w:val="22"/>
                <w:lang w:eastAsia="zh-CN"/>
              </w:rPr>
            </w:pPr>
          </w:p>
        </w:tc>
      </w:tr>
      <w:tr w:rsidR="00AF56FC" w14:paraId="060FC264"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4AC7E4F"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6866C" w14:textId="77777777" w:rsidR="00AF56FC" w:rsidRDefault="00AF56FC">
            <w:pPr>
              <w:rPr>
                <w:sz w:val="22"/>
                <w:szCs w:val="22"/>
                <w:lang w:eastAsia="zh-CN"/>
              </w:rPr>
            </w:pPr>
          </w:p>
        </w:tc>
      </w:tr>
      <w:tr w:rsidR="00AF56FC" w14:paraId="762EF596"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5A1320C"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9C748" w14:textId="77777777" w:rsidR="00AF56FC" w:rsidRDefault="00AF56FC">
            <w:pPr>
              <w:rPr>
                <w:sz w:val="22"/>
                <w:szCs w:val="22"/>
                <w:lang w:eastAsia="zh-CN"/>
              </w:rPr>
            </w:pPr>
          </w:p>
        </w:tc>
      </w:tr>
      <w:tr w:rsidR="00AF56FC" w14:paraId="623D702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29072EF" w14:textId="77777777" w:rsidR="00AF56FC" w:rsidRDefault="00AF56FC">
            <w:pPr>
              <w:autoSpaceDE w:val="0"/>
              <w:autoSpaceDN w:val="0"/>
              <w:adjustRightInd w:val="0"/>
              <w:rPr>
                <w:sz w:val="22"/>
                <w:szCs w:val="22"/>
              </w:rPr>
            </w:pPr>
            <w:r>
              <w:rPr>
                <w:sz w:val="22"/>
                <w:szCs w:val="22"/>
              </w:rPr>
              <w:t xml:space="preserve">Knogle- og ledinfektioner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5DC9D" w14:textId="77777777" w:rsidR="00AF56FC" w:rsidRDefault="00AF56FC">
            <w:pPr>
              <w:rPr>
                <w:sz w:val="22"/>
                <w:szCs w:val="22"/>
                <w:lang w:eastAsia="zh-CN"/>
              </w:rPr>
            </w:pPr>
          </w:p>
        </w:tc>
      </w:tr>
      <w:tr w:rsidR="00AF56FC" w14:paraId="402DB1CD"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A04F936"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D9736B" w14:textId="77777777" w:rsidR="00AF56FC" w:rsidRDefault="00AF56FC">
            <w:pPr>
              <w:rPr>
                <w:sz w:val="22"/>
                <w:szCs w:val="22"/>
                <w:lang w:eastAsia="zh-CN"/>
              </w:rPr>
            </w:pPr>
          </w:p>
        </w:tc>
      </w:tr>
      <w:tr w:rsidR="00AF56FC" w14:paraId="10DB920F"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40AEED3"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8D6F7" w14:textId="77777777" w:rsidR="00AF56FC" w:rsidRDefault="00AF56FC">
            <w:pPr>
              <w:rPr>
                <w:sz w:val="22"/>
                <w:szCs w:val="22"/>
                <w:lang w:eastAsia="zh-CN"/>
              </w:rPr>
            </w:pPr>
          </w:p>
        </w:tc>
      </w:tr>
      <w:tr w:rsidR="00AF56FC" w14:paraId="2A7B8BB4" w14:textId="77777777" w:rsidTr="00AF56FC">
        <w:trPr>
          <w:trHeight w:val="529"/>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527EF222"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1BF464" w14:textId="77777777" w:rsidR="00AF56FC" w:rsidRDefault="00AF56FC">
            <w:pPr>
              <w:rPr>
                <w:sz w:val="22"/>
                <w:szCs w:val="22"/>
                <w:lang w:eastAsia="zh-CN"/>
              </w:rPr>
            </w:pPr>
          </w:p>
        </w:tc>
      </w:tr>
      <w:tr w:rsidR="00AF56FC" w14:paraId="4980EFC7" w14:textId="77777777" w:rsidTr="00AF56FC">
        <w:trPr>
          <w:trHeight w:val="530"/>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0AB371B"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Hos voksne med normal nyrefunktion har 9 g/dag været anvendt uden bivirkninger. </w:t>
            </w:r>
          </w:p>
          <w:p w14:paraId="236DE1EC" w14:textId="77777777" w:rsidR="00AF56FC" w:rsidRDefault="00AF56FC">
            <w:pPr>
              <w:autoSpaceDE w:val="0"/>
              <w:autoSpaceDN w:val="0"/>
              <w:adjustRightInd w:val="0"/>
              <w:rPr>
                <w:sz w:val="22"/>
                <w:szCs w:val="22"/>
              </w:rPr>
            </w:pPr>
            <w:r>
              <w:rPr>
                <w:sz w:val="22"/>
                <w:szCs w:val="22"/>
              </w:rPr>
              <w:t xml:space="preserve">* I forbindelse med eller ved mistanke om forbindelse med enhver af de infektioner, der er anført under pkt. 4.1. </w:t>
            </w:r>
          </w:p>
        </w:tc>
      </w:tr>
    </w:tbl>
    <w:p w14:paraId="727B8559" w14:textId="77777777" w:rsidR="00AF56FC" w:rsidRDefault="00AF56FC" w:rsidP="00AF56FC">
      <w:pPr>
        <w:tabs>
          <w:tab w:val="left" w:pos="900"/>
        </w:tabs>
        <w:jc w:val="both"/>
        <w:rPr>
          <w:i/>
          <w:iCs/>
          <w:sz w:val="22"/>
          <w:szCs w:val="22"/>
          <w:lang w:eastAsia="zh-CN"/>
        </w:rPr>
      </w:pPr>
    </w:p>
    <w:p w14:paraId="07B7A24B" w14:textId="7959AE17" w:rsidR="00AF56FC" w:rsidRDefault="00AF56FC" w:rsidP="00AF56FC">
      <w:pPr>
        <w:rPr>
          <w:sz w:val="22"/>
          <w:szCs w:val="22"/>
          <w:u w:val="single"/>
        </w:rPr>
      </w:pPr>
    </w:p>
    <w:p w14:paraId="2AD9CD92" w14:textId="77777777" w:rsidR="00AF56FC" w:rsidRDefault="00AF56FC" w:rsidP="00AF56FC">
      <w:pPr>
        <w:tabs>
          <w:tab w:val="left" w:pos="900"/>
        </w:tabs>
        <w:jc w:val="both"/>
        <w:rPr>
          <w:sz w:val="22"/>
          <w:szCs w:val="22"/>
          <w:u w:val="single"/>
        </w:rPr>
      </w:pPr>
      <w:r>
        <w:rPr>
          <w:sz w:val="22"/>
          <w:szCs w:val="22"/>
          <w:u w:val="single"/>
        </w:rPr>
        <w:t>Tabel 2.: Børn &lt; 40 kg</w:t>
      </w:r>
    </w:p>
    <w:p w14:paraId="00B027F8" w14:textId="77777777" w:rsidR="00AF56FC" w:rsidRDefault="00AF56FC" w:rsidP="00AF56FC">
      <w:pPr>
        <w:tabs>
          <w:tab w:val="left" w:pos="900"/>
        </w:tabs>
        <w:jc w:val="both"/>
        <w:rPr>
          <w:i/>
          <w:sz w:val="22"/>
          <w:szCs w:val="22"/>
        </w:rPr>
      </w:pPr>
    </w:p>
    <w:tbl>
      <w:tblPr>
        <w:tblW w:w="9287" w:type="dxa"/>
        <w:tblInd w:w="-107" w:type="dxa"/>
        <w:tblCellMar>
          <w:top w:w="5" w:type="dxa"/>
          <w:right w:w="54" w:type="dxa"/>
        </w:tblCellMar>
        <w:tblLook w:val="04A0" w:firstRow="1" w:lastRow="0" w:firstColumn="1" w:lastColumn="0" w:noHBand="0" w:noVBand="1"/>
      </w:tblPr>
      <w:tblGrid>
        <w:gridCol w:w="2998"/>
        <w:gridCol w:w="3235"/>
        <w:gridCol w:w="3054"/>
      </w:tblGrid>
      <w:tr w:rsidR="00AF56FC" w14:paraId="7D8191DC" w14:textId="77777777" w:rsidTr="00AF56FC">
        <w:trPr>
          <w:trHeight w:val="790"/>
        </w:trPr>
        <w:tc>
          <w:tcPr>
            <w:tcW w:w="2998" w:type="dxa"/>
            <w:tcBorders>
              <w:top w:val="single" w:sz="4" w:space="0" w:color="000000"/>
              <w:left w:val="single" w:sz="4" w:space="0" w:color="000000"/>
              <w:bottom w:val="single" w:sz="4" w:space="0" w:color="000000"/>
              <w:right w:val="single" w:sz="4" w:space="0" w:color="000000"/>
            </w:tcBorders>
            <w:hideMark/>
          </w:tcPr>
          <w:p w14:paraId="00FA04FA" w14:textId="77777777" w:rsidR="00AF56FC" w:rsidRDefault="00AF56FC">
            <w:pPr>
              <w:autoSpaceDE w:val="0"/>
              <w:autoSpaceDN w:val="0"/>
              <w:adjustRightInd w:val="0"/>
              <w:rPr>
                <w:i/>
                <w:iCs/>
                <w:sz w:val="22"/>
                <w:szCs w:val="22"/>
              </w:rPr>
            </w:pPr>
            <w:r>
              <w:rPr>
                <w:i/>
                <w:iCs/>
                <w:sz w:val="22"/>
                <w:szCs w:val="22"/>
              </w:rPr>
              <w:t xml:space="preserve">Spædbørn og småbørn &gt; 2 måneder og børn &lt; 40 kg  </w:t>
            </w:r>
          </w:p>
        </w:tc>
        <w:tc>
          <w:tcPr>
            <w:tcW w:w="3235" w:type="dxa"/>
            <w:tcBorders>
              <w:top w:val="single" w:sz="4" w:space="0" w:color="000000"/>
              <w:left w:val="single" w:sz="4" w:space="0" w:color="000000"/>
              <w:bottom w:val="single" w:sz="4" w:space="0" w:color="000000"/>
              <w:right w:val="single" w:sz="4" w:space="0" w:color="000000"/>
            </w:tcBorders>
            <w:hideMark/>
          </w:tcPr>
          <w:p w14:paraId="129DA0EC" w14:textId="77777777" w:rsidR="00AF56FC" w:rsidRDefault="00AF56FC">
            <w:pPr>
              <w:autoSpaceDE w:val="0"/>
              <w:autoSpaceDN w:val="0"/>
              <w:adjustRightInd w:val="0"/>
              <w:rPr>
                <w:i/>
                <w:iCs/>
                <w:sz w:val="22"/>
                <w:szCs w:val="22"/>
              </w:rPr>
            </w:pPr>
            <w:r>
              <w:rPr>
                <w:i/>
                <w:iCs/>
                <w:sz w:val="22"/>
                <w:szCs w:val="22"/>
              </w:rPr>
              <w:t xml:space="preserve">Infektion </w:t>
            </w:r>
          </w:p>
        </w:tc>
        <w:tc>
          <w:tcPr>
            <w:tcW w:w="3054" w:type="dxa"/>
            <w:tcBorders>
              <w:top w:val="single" w:sz="4" w:space="0" w:color="000000"/>
              <w:left w:val="single" w:sz="4" w:space="0" w:color="000000"/>
              <w:bottom w:val="single" w:sz="4" w:space="0" w:color="000000"/>
              <w:right w:val="single" w:sz="4" w:space="0" w:color="000000"/>
            </w:tcBorders>
            <w:hideMark/>
          </w:tcPr>
          <w:p w14:paraId="44334241" w14:textId="77777777" w:rsidR="00AF56FC" w:rsidRDefault="00AF56FC">
            <w:pPr>
              <w:autoSpaceDE w:val="0"/>
              <w:autoSpaceDN w:val="0"/>
              <w:adjustRightInd w:val="0"/>
              <w:rPr>
                <w:i/>
                <w:iCs/>
                <w:sz w:val="22"/>
                <w:szCs w:val="22"/>
              </w:rPr>
            </w:pPr>
            <w:r>
              <w:rPr>
                <w:i/>
                <w:iCs/>
                <w:sz w:val="22"/>
                <w:szCs w:val="22"/>
              </w:rPr>
              <w:t xml:space="preserve">Sædvanlig dosis </w:t>
            </w:r>
          </w:p>
        </w:tc>
      </w:tr>
      <w:tr w:rsidR="00AF56FC" w14:paraId="5F4060BE"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6EC5B023" w14:textId="77777777" w:rsidR="00AF56FC" w:rsidRDefault="00AF56FC">
            <w:pPr>
              <w:autoSpaceDE w:val="0"/>
              <w:autoSpaceDN w:val="0"/>
              <w:adjustRightInd w:val="0"/>
              <w:rPr>
                <w:b/>
                <w:bCs/>
                <w:iCs/>
                <w:sz w:val="22"/>
                <w:szCs w:val="22"/>
              </w:rPr>
            </w:pPr>
            <w:r>
              <w:rPr>
                <w:b/>
                <w:bCs/>
                <w:iCs/>
                <w:sz w:val="22"/>
                <w:szCs w:val="22"/>
              </w:rPr>
              <w:t xml:space="preserve">Intermitterende administration </w:t>
            </w:r>
          </w:p>
          <w:p w14:paraId="31031B70" w14:textId="77777777" w:rsidR="00AF56FC" w:rsidRDefault="00AF56FC">
            <w:pPr>
              <w:autoSpaceDE w:val="0"/>
              <w:autoSpaceDN w:val="0"/>
              <w:adjustRightInd w:val="0"/>
              <w:rPr>
                <w:b/>
                <w:bCs/>
                <w:iCs/>
                <w:sz w:val="22"/>
                <w:szCs w:val="22"/>
              </w:rPr>
            </w:pPr>
            <w:r>
              <w:rPr>
                <w:b/>
                <w:bCs/>
                <w:iCs/>
                <w:sz w:val="22"/>
                <w:szCs w:val="22"/>
              </w:rPr>
              <w:t xml:space="preserve"> </w:t>
            </w:r>
          </w:p>
        </w:tc>
      </w:tr>
      <w:tr w:rsidR="00AF56FC" w14:paraId="2141DC43" w14:textId="77777777" w:rsidTr="00AF56FC">
        <w:trPr>
          <w:trHeight w:val="529"/>
        </w:trPr>
        <w:tc>
          <w:tcPr>
            <w:tcW w:w="2998" w:type="dxa"/>
            <w:vMerge w:val="restart"/>
            <w:tcBorders>
              <w:top w:val="single" w:sz="4" w:space="0" w:color="000000"/>
              <w:left w:val="single" w:sz="4" w:space="0" w:color="000000"/>
              <w:bottom w:val="single" w:sz="4" w:space="0" w:color="000000"/>
              <w:right w:val="single" w:sz="4" w:space="0" w:color="000000"/>
            </w:tcBorders>
            <w:hideMark/>
          </w:tcPr>
          <w:p w14:paraId="43CC36AF" w14:textId="77777777" w:rsidR="00AF56FC" w:rsidRDefault="00AF56FC">
            <w:pPr>
              <w:autoSpaceDE w:val="0"/>
              <w:autoSpaceDN w:val="0"/>
              <w:adjustRightInd w:val="0"/>
              <w:rPr>
                <w:sz w:val="22"/>
                <w:szCs w:val="22"/>
              </w:rPr>
            </w:pPr>
            <w:r>
              <w:rPr>
                <w:sz w:val="22"/>
                <w:szCs w:val="22"/>
              </w:rPr>
              <w:t xml:space="preserve"> </w:t>
            </w:r>
          </w:p>
        </w:tc>
        <w:tc>
          <w:tcPr>
            <w:tcW w:w="3235" w:type="dxa"/>
            <w:tcBorders>
              <w:top w:val="single" w:sz="4" w:space="0" w:color="000000"/>
              <w:left w:val="single" w:sz="4" w:space="0" w:color="000000"/>
              <w:bottom w:val="single" w:sz="4" w:space="0" w:color="000000"/>
              <w:right w:val="single" w:sz="4" w:space="0" w:color="000000"/>
            </w:tcBorders>
            <w:hideMark/>
          </w:tcPr>
          <w:p w14:paraId="0C5AB35D" w14:textId="77777777" w:rsidR="00AF56FC" w:rsidRDefault="00AF56FC">
            <w:pPr>
              <w:autoSpaceDE w:val="0"/>
              <w:autoSpaceDN w:val="0"/>
              <w:adjustRightInd w:val="0"/>
              <w:rPr>
                <w:sz w:val="22"/>
                <w:szCs w:val="22"/>
              </w:rPr>
            </w:pPr>
            <w:r>
              <w:rPr>
                <w:sz w:val="22"/>
                <w:szCs w:val="22"/>
              </w:rPr>
              <w:t xml:space="preserve">Komplicerede urinvejsinfektioner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0E9FBDD2" w14:textId="77777777" w:rsidR="00AF56FC" w:rsidRDefault="00AF56FC">
            <w:pPr>
              <w:autoSpaceDE w:val="0"/>
              <w:autoSpaceDN w:val="0"/>
              <w:adjustRightInd w:val="0"/>
              <w:rPr>
                <w:sz w:val="22"/>
                <w:szCs w:val="22"/>
              </w:rPr>
            </w:pPr>
            <w:r>
              <w:rPr>
                <w:sz w:val="22"/>
                <w:szCs w:val="22"/>
              </w:rPr>
              <w:t xml:space="preserve">100-150 mg/kg/dag fordelt på 3 doser, maksimalt 6 g/dag </w:t>
            </w:r>
          </w:p>
        </w:tc>
      </w:tr>
      <w:tr w:rsidR="00AF56FC" w14:paraId="3504DF7C"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BA7F0"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256ABD5" w14:textId="77777777" w:rsidR="00AF56FC" w:rsidRDefault="00AF56FC">
            <w:pPr>
              <w:autoSpaceDE w:val="0"/>
              <w:autoSpaceDN w:val="0"/>
              <w:adjustRightInd w:val="0"/>
              <w:rPr>
                <w:sz w:val="22"/>
                <w:szCs w:val="22"/>
              </w:rPr>
            </w:pPr>
            <w:r>
              <w:rPr>
                <w:sz w:val="22"/>
                <w:szCs w:val="22"/>
              </w:rPr>
              <w:t xml:space="preserve">Kronisk mellemørebetændelse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0AD7C8" w14:textId="77777777" w:rsidR="00AF56FC" w:rsidRDefault="00AF56FC">
            <w:pPr>
              <w:rPr>
                <w:sz w:val="22"/>
                <w:szCs w:val="22"/>
                <w:lang w:eastAsia="zh-CN"/>
              </w:rPr>
            </w:pPr>
          </w:p>
        </w:tc>
      </w:tr>
      <w:tr w:rsidR="00AF56FC" w14:paraId="64CAFA61"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E6AFF"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95B6F09" w14:textId="77777777" w:rsidR="00AF56FC" w:rsidRDefault="00AF56FC">
            <w:pPr>
              <w:autoSpaceDE w:val="0"/>
              <w:autoSpaceDN w:val="0"/>
              <w:adjustRightInd w:val="0"/>
              <w:rPr>
                <w:sz w:val="22"/>
                <w:szCs w:val="22"/>
              </w:rPr>
            </w:pPr>
            <w:r>
              <w:rPr>
                <w:sz w:val="22"/>
                <w:szCs w:val="22"/>
              </w:rPr>
              <w:t xml:space="preserve">Nekrotiserende otitis externa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F812B" w14:textId="77777777" w:rsidR="00AF56FC" w:rsidRDefault="00AF56FC">
            <w:pPr>
              <w:rPr>
                <w:sz w:val="22"/>
                <w:szCs w:val="22"/>
                <w:lang w:eastAsia="zh-CN"/>
              </w:rPr>
            </w:pPr>
          </w:p>
        </w:tc>
      </w:tr>
      <w:tr w:rsidR="00AF56FC" w14:paraId="14D26D1B"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43813"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09180CC5" w14:textId="77777777" w:rsidR="00AF56FC" w:rsidRDefault="00AF56FC">
            <w:pPr>
              <w:autoSpaceDE w:val="0"/>
              <w:autoSpaceDN w:val="0"/>
              <w:adjustRightInd w:val="0"/>
              <w:rPr>
                <w:sz w:val="22"/>
                <w:szCs w:val="22"/>
              </w:rPr>
            </w:pPr>
            <w:r>
              <w:rPr>
                <w:sz w:val="22"/>
                <w:szCs w:val="22"/>
              </w:rPr>
              <w:t xml:space="preserve">Neutropene børn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7AAE8933" w14:textId="77777777" w:rsidR="00AF56FC" w:rsidRDefault="00AF56FC">
            <w:pPr>
              <w:autoSpaceDE w:val="0"/>
              <w:autoSpaceDN w:val="0"/>
              <w:adjustRightInd w:val="0"/>
              <w:rPr>
                <w:sz w:val="22"/>
                <w:szCs w:val="22"/>
              </w:rPr>
            </w:pPr>
            <w:r>
              <w:rPr>
                <w:sz w:val="22"/>
                <w:szCs w:val="22"/>
              </w:rPr>
              <w:t xml:space="preserve">150 mg/kg/dag fordelt på 3 doser, maksimalt 6 g/dag </w:t>
            </w:r>
          </w:p>
        </w:tc>
      </w:tr>
      <w:tr w:rsidR="00AF56FC" w14:paraId="0FCCB90C"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056C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2FE3CC6"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E7D61" w14:textId="77777777" w:rsidR="00AF56FC" w:rsidRDefault="00AF56FC">
            <w:pPr>
              <w:rPr>
                <w:sz w:val="22"/>
                <w:szCs w:val="22"/>
                <w:lang w:eastAsia="zh-CN"/>
              </w:rPr>
            </w:pPr>
          </w:p>
        </w:tc>
      </w:tr>
      <w:tr w:rsidR="00AF56FC" w14:paraId="458D474D" w14:textId="77777777" w:rsidTr="00AF56FC">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E3CDC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D5A7C5A"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1447E" w14:textId="77777777" w:rsidR="00AF56FC" w:rsidRDefault="00AF56FC">
            <w:pPr>
              <w:rPr>
                <w:sz w:val="22"/>
                <w:szCs w:val="22"/>
                <w:lang w:eastAsia="zh-CN"/>
              </w:rPr>
            </w:pPr>
          </w:p>
        </w:tc>
      </w:tr>
      <w:tr w:rsidR="00AF56FC" w14:paraId="5CCFFC81" w14:textId="77777777" w:rsidTr="00AF56FC">
        <w:trPr>
          <w:trHeight w:val="3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53148"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4708EF7"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98495" w14:textId="77777777" w:rsidR="00AF56FC" w:rsidRDefault="00AF56FC">
            <w:pPr>
              <w:rPr>
                <w:sz w:val="22"/>
                <w:szCs w:val="22"/>
                <w:lang w:eastAsia="zh-CN"/>
              </w:rPr>
            </w:pPr>
          </w:p>
        </w:tc>
      </w:tr>
      <w:tr w:rsidR="00AF56FC" w14:paraId="2CC62DAC"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16B96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CD47F43" w14:textId="77777777" w:rsidR="00AF56FC" w:rsidRDefault="00AF56FC">
            <w:pPr>
              <w:autoSpaceDE w:val="0"/>
              <w:autoSpaceDN w:val="0"/>
              <w:adjustRightInd w:val="0"/>
              <w:rPr>
                <w:sz w:val="22"/>
                <w:szCs w:val="22"/>
              </w:rPr>
            </w:pPr>
            <w:r>
              <w:rPr>
                <w:sz w:val="22"/>
                <w:szCs w:val="22"/>
              </w:rPr>
              <w:t xml:space="preserve">Knogle- og ledinfektioner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6F23000F" w14:textId="77777777" w:rsidR="00AF56FC" w:rsidRDefault="00AF56FC">
            <w:pPr>
              <w:autoSpaceDE w:val="0"/>
              <w:autoSpaceDN w:val="0"/>
              <w:adjustRightInd w:val="0"/>
              <w:rPr>
                <w:sz w:val="22"/>
                <w:szCs w:val="22"/>
              </w:rPr>
            </w:pPr>
            <w:r>
              <w:rPr>
                <w:sz w:val="22"/>
                <w:szCs w:val="22"/>
              </w:rPr>
              <w:t xml:space="preserve">100-150 mg/kg/dag fordelt på 3 doser, maksimalt 6 g/dag </w:t>
            </w:r>
          </w:p>
        </w:tc>
      </w:tr>
      <w:tr w:rsidR="00AF56FC" w14:paraId="2EACDEAF" w14:textId="77777777" w:rsidTr="00AF56FC">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2DA74"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9136C1B"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272B17" w14:textId="77777777" w:rsidR="00AF56FC" w:rsidRDefault="00AF56FC">
            <w:pPr>
              <w:rPr>
                <w:sz w:val="22"/>
                <w:szCs w:val="22"/>
                <w:lang w:eastAsia="zh-CN"/>
              </w:rPr>
            </w:pPr>
          </w:p>
        </w:tc>
      </w:tr>
      <w:tr w:rsidR="00AF56FC" w14:paraId="2A74F1E6"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7A46F"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99C0D65"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A91B7" w14:textId="77777777" w:rsidR="00AF56FC" w:rsidRDefault="00AF56FC">
            <w:pPr>
              <w:rPr>
                <w:sz w:val="22"/>
                <w:szCs w:val="22"/>
                <w:lang w:eastAsia="zh-CN"/>
              </w:rPr>
            </w:pPr>
          </w:p>
        </w:tc>
      </w:tr>
      <w:tr w:rsidR="00AF56FC" w14:paraId="1D04F6B6"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0C4EB"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83F4655"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A185A" w14:textId="77777777" w:rsidR="00AF56FC" w:rsidRDefault="00AF56FC">
            <w:pPr>
              <w:rPr>
                <w:sz w:val="22"/>
                <w:szCs w:val="22"/>
                <w:lang w:eastAsia="zh-CN"/>
              </w:rPr>
            </w:pPr>
          </w:p>
        </w:tc>
      </w:tr>
      <w:tr w:rsidR="00AF56FC" w14:paraId="28C0EBCC"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62795891" w14:textId="77777777" w:rsidR="00AF56FC" w:rsidRDefault="00AF56FC">
            <w:pPr>
              <w:autoSpaceDE w:val="0"/>
              <w:autoSpaceDN w:val="0"/>
              <w:adjustRightInd w:val="0"/>
              <w:rPr>
                <w:b/>
                <w:bCs/>
                <w:iCs/>
                <w:sz w:val="22"/>
                <w:szCs w:val="22"/>
              </w:rPr>
            </w:pPr>
            <w:r>
              <w:rPr>
                <w:b/>
                <w:bCs/>
                <w:iCs/>
                <w:sz w:val="22"/>
                <w:szCs w:val="22"/>
              </w:rPr>
              <w:t xml:space="preserve">Kontinuerlig infusion </w:t>
            </w:r>
          </w:p>
          <w:p w14:paraId="64479235" w14:textId="77777777" w:rsidR="00AF56FC" w:rsidRDefault="00AF56FC">
            <w:pPr>
              <w:autoSpaceDE w:val="0"/>
              <w:autoSpaceDN w:val="0"/>
              <w:adjustRightInd w:val="0"/>
              <w:rPr>
                <w:b/>
                <w:bCs/>
                <w:iCs/>
                <w:sz w:val="22"/>
                <w:szCs w:val="22"/>
              </w:rPr>
            </w:pPr>
            <w:r>
              <w:rPr>
                <w:b/>
                <w:bCs/>
                <w:iCs/>
                <w:sz w:val="22"/>
                <w:szCs w:val="22"/>
              </w:rPr>
              <w:t xml:space="preserve"> </w:t>
            </w:r>
          </w:p>
        </w:tc>
      </w:tr>
      <w:tr w:rsidR="00AF56FC" w14:paraId="42DDD819" w14:textId="77777777" w:rsidTr="00AF56FC">
        <w:trPr>
          <w:trHeight w:val="270"/>
        </w:trPr>
        <w:tc>
          <w:tcPr>
            <w:tcW w:w="2998" w:type="dxa"/>
            <w:vMerge w:val="restart"/>
            <w:tcBorders>
              <w:top w:val="single" w:sz="4" w:space="0" w:color="000000"/>
              <w:left w:val="single" w:sz="4" w:space="0" w:color="000000"/>
              <w:bottom w:val="single" w:sz="4" w:space="0" w:color="000000"/>
              <w:right w:val="single" w:sz="4" w:space="0" w:color="000000"/>
            </w:tcBorders>
            <w:hideMark/>
          </w:tcPr>
          <w:p w14:paraId="0C22C435" w14:textId="77777777" w:rsidR="00AF56FC" w:rsidRDefault="00AF56FC">
            <w:pPr>
              <w:autoSpaceDE w:val="0"/>
              <w:autoSpaceDN w:val="0"/>
              <w:adjustRightInd w:val="0"/>
              <w:rPr>
                <w:sz w:val="22"/>
                <w:szCs w:val="22"/>
              </w:rPr>
            </w:pPr>
            <w:r>
              <w:rPr>
                <w:sz w:val="22"/>
                <w:szCs w:val="22"/>
              </w:rPr>
              <w:t xml:space="preserve"> </w:t>
            </w:r>
          </w:p>
        </w:tc>
        <w:tc>
          <w:tcPr>
            <w:tcW w:w="3235" w:type="dxa"/>
            <w:tcBorders>
              <w:top w:val="single" w:sz="4" w:space="0" w:color="000000"/>
              <w:left w:val="single" w:sz="4" w:space="0" w:color="000000"/>
              <w:bottom w:val="single" w:sz="4" w:space="0" w:color="000000"/>
              <w:right w:val="single" w:sz="4" w:space="0" w:color="000000"/>
            </w:tcBorders>
            <w:hideMark/>
          </w:tcPr>
          <w:p w14:paraId="2CCDE997" w14:textId="77777777" w:rsidR="00AF56FC" w:rsidRDefault="00AF56FC">
            <w:pPr>
              <w:autoSpaceDE w:val="0"/>
              <w:autoSpaceDN w:val="0"/>
              <w:adjustRightInd w:val="0"/>
              <w:rPr>
                <w:sz w:val="22"/>
                <w:szCs w:val="22"/>
              </w:rPr>
            </w:pPr>
            <w:r>
              <w:rPr>
                <w:sz w:val="22"/>
                <w:szCs w:val="22"/>
              </w:rPr>
              <w:t xml:space="preserve">Febril neutropeni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72871281" w14:textId="77777777" w:rsidR="00AF56FC" w:rsidRDefault="00AF56FC">
            <w:pPr>
              <w:autoSpaceDE w:val="0"/>
              <w:autoSpaceDN w:val="0"/>
              <w:adjustRightInd w:val="0"/>
              <w:rPr>
                <w:sz w:val="22"/>
                <w:szCs w:val="22"/>
              </w:rPr>
            </w:pPr>
            <w:r>
              <w:rPr>
                <w:sz w:val="22"/>
                <w:szCs w:val="22"/>
              </w:rPr>
              <w:t xml:space="preserve">Støddosis på 60-100 mg/kg efterfulgt af kontinuerlig infusion af 100-200 mg/kg/dag, maksimalt 6 g/dag </w:t>
            </w:r>
          </w:p>
        </w:tc>
      </w:tr>
      <w:tr w:rsidR="00AF56FC" w14:paraId="1D01A5AB"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80D06"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56D88621" w14:textId="77777777" w:rsidR="00AF56FC" w:rsidRDefault="00AF56FC">
            <w:pPr>
              <w:autoSpaceDE w:val="0"/>
              <w:autoSpaceDN w:val="0"/>
              <w:adjustRightInd w:val="0"/>
              <w:rPr>
                <w:sz w:val="22"/>
                <w:szCs w:val="22"/>
              </w:rPr>
            </w:pPr>
            <w:r>
              <w:rPr>
                <w:sz w:val="22"/>
                <w:szCs w:val="22"/>
              </w:rPr>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E8FDB" w14:textId="77777777" w:rsidR="00AF56FC" w:rsidRDefault="00AF56FC">
            <w:pPr>
              <w:rPr>
                <w:sz w:val="22"/>
                <w:szCs w:val="22"/>
                <w:lang w:eastAsia="zh-CN"/>
              </w:rPr>
            </w:pPr>
          </w:p>
        </w:tc>
      </w:tr>
      <w:tr w:rsidR="00AF56FC" w14:paraId="081344C4"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D542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2D3585B"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F16743" w14:textId="77777777" w:rsidR="00AF56FC" w:rsidRDefault="00AF56FC">
            <w:pPr>
              <w:rPr>
                <w:sz w:val="22"/>
                <w:szCs w:val="22"/>
                <w:lang w:eastAsia="zh-CN"/>
              </w:rPr>
            </w:pPr>
          </w:p>
        </w:tc>
      </w:tr>
      <w:tr w:rsidR="00AF56FC" w14:paraId="305E84F7"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1DB5B"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07892F31"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E42B51" w14:textId="77777777" w:rsidR="00AF56FC" w:rsidRDefault="00AF56FC">
            <w:pPr>
              <w:rPr>
                <w:sz w:val="22"/>
                <w:szCs w:val="22"/>
                <w:lang w:eastAsia="zh-CN"/>
              </w:rPr>
            </w:pPr>
          </w:p>
        </w:tc>
      </w:tr>
      <w:tr w:rsidR="00AF56FC" w14:paraId="2B8B9A75"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FB69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1CACCE45"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71F9DF" w14:textId="77777777" w:rsidR="00AF56FC" w:rsidRDefault="00AF56FC">
            <w:pPr>
              <w:rPr>
                <w:sz w:val="22"/>
                <w:szCs w:val="22"/>
                <w:lang w:eastAsia="zh-CN"/>
              </w:rPr>
            </w:pPr>
          </w:p>
        </w:tc>
      </w:tr>
      <w:tr w:rsidR="00AF56FC" w14:paraId="242D4011"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1480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1D261ADA" w14:textId="77777777" w:rsidR="00AF56FC" w:rsidRDefault="00AF56FC">
            <w:pPr>
              <w:autoSpaceDE w:val="0"/>
              <w:autoSpaceDN w:val="0"/>
              <w:adjustRightInd w:val="0"/>
              <w:rPr>
                <w:sz w:val="22"/>
                <w:szCs w:val="22"/>
              </w:rPr>
            </w:pPr>
            <w:r>
              <w:rPr>
                <w:sz w:val="22"/>
                <w:szCs w:val="22"/>
              </w:rPr>
              <w:t xml:space="preserve">Knogle- og ledinfektioner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E0E7E6" w14:textId="77777777" w:rsidR="00AF56FC" w:rsidRDefault="00AF56FC">
            <w:pPr>
              <w:rPr>
                <w:sz w:val="22"/>
                <w:szCs w:val="22"/>
                <w:lang w:eastAsia="zh-CN"/>
              </w:rPr>
            </w:pPr>
          </w:p>
        </w:tc>
      </w:tr>
      <w:tr w:rsidR="00AF56FC" w14:paraId="587E38FA"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F9A06"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6C4CDD1"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8ABA9" w14:textId="77777777" w:rsidR="00AF56FC" w:rsidRDefault="00AF56FC">
            <w:pPr>
              <w:rPr>
                <w:sz w:val="22"/>
                <w:szCs w:val="22"/>
                <w:lang w:eastAsia="zh-CN"/>
              </w:rPr>
            </w:pPr>
          </w:p>
        </w:tc>
      </w:tr>
      <w:tr w:rsidR="00AF56FC" w14:paraId="4E2479DA" w14:textId="77777777" w:rsidTr="00AF56FC">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CACB4"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675A6615"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B14AA" w14:textId="77777777" w:rsidR="00AF56FC" w:rsidRDefault="00AF56FC">
            <w:pPr>
              <w:rPr>
                <w:sz w:val="22"/>
                <w:szCs w:val="22"/>
                <w:lang w:eastAsia="zh-CN"/>
              </w:rPr>
            </w:pPr>
          </w:p>
        </w:tc>
      </w:tr>
      <w:tr w:rsidR="00AF56FC" w14:paraId="7564A41D"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636D98"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9705269"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165916" w14:textId="77777777" w:rsidR="00AF56FC" w:rsidRDefault="00AF56FC">
            <w:pPr>
              <w:rPr>
                <w:sz w:val="22"/>
                <w:szCs w:val="22"/>
                <w:lang w:eastAsia="zh-CN"/>
              </w:rPr>
            </w:pPr>
          </w:p>
        </w:tc>
      </w:tr>
      <w:tr w:rsidR="00AF56FC" w14:paraId="5AF6E034" w14:textId="77777777" w:rsidTr="00AF56FC">
        <w:trPr>
          <w:trHeight w:val="530"/>
        </w:trPr>
        <w:tc>
          <w:tcPr>
            <w:tcW w:w="2998" w:type="dxa"/>
            <w:tcBorders>
              <w:top w:val="single" w:sz="4" w:space="0" w:color="000000"/>
              <w:left w:val="single" w:sz="4" w:space="0" w:color="000000"/>
              <w:bottom w:val="single" w:sz="4" w:space="0" w:color="000000"/>
              <w:right w:val="single" w:sz="4" w:space="0" w:color="000000"/>
            </w:tcBorders>
            <w:hideMark/>
          </w:tcPr>
          <w:p w14:paraId="30F8E7F1" w14:textId="77777777" w:rsidR="00AF56FC" w:rsidRDefault="00AF56FC">
            <w:pPr>
              <w:autoSpaceDE w:val="0"/>
              <w:autoSpaceDN w:val="0"/>
              <w:adjustRightInd w:val="0"/>
              <w:rPr>
                <w:i/>
                <w:iCs/>
                <w:sz w:val="22"/>
                <w:szCs w:val="22"/>
              </w:rPr>
            </w:pPr>
            <w:r>
              <w:rPr>
                <w:i/>
                <w:iCs/>
                <w:sz w:val="22"/>
                <w:szCs w:val="22"/>
              </w:rPr>
              <w:t xml:space="preserve">Nyfødte og spædbørn ≤ 2 måneder </w:t>
            </w:r>
          </w:p>
        </w:tc>
        <w:tc>
          <w:tcPr>
            <w:tcW w:w="3235" w:type="dxa"/>
            <w:tcBorders>
              <w:top w:val="single" w:sz="4" w:space="0" w:color="000000"/>
              <w:left w:val="single" w:sz="4" w:space="0" w:color="000000"/>
              <w:bottom w:val="single" w:sz="4" w:space="0" w:color="000000"/>
              <w:right w:val="single" w:sz="4" w:space="0" w:color="000000"/>
            </w:tcBorders>
            <w:hideMark/>
          </w:tcPr>
          <w:p w14:paraId="57E6E8AF" w14:textId="77777777" w:rsidR="00AF56FC" w:rsidRDefault="00AF56FC">
            <w:pPr>
              <w:autoSpaceDE w:val="0"/>
              <w:autoSpaceDN w:val="0"/>
              <w:adjustRightInd w:val="0"/>
              <w:rPr>
                <w:i/>
                <w:iCs/>
                <w:sz w:val="22"/>
                <w:szCs w:val="22"/>
              </w:rPr>
            </w:pPr>
            <w:r>
              <w:rPr>
                <w:i/>
                <w:iCs/>
                <w:sz w:val="22"/>
                <w:szCs w:val="22"/>
              </w:rPr>
              <w:t xml:space="preserve">Infektion </w:t>
            </w:r>
          </w:p>
        </w:tc>
        <w:tc>
          <w:tcPr>
            <w:tcW w:w="3054" w:type="dxa"/>
            <w:tcBorders>
              <w:top w:val="single" w:sz="4" w:space="0" w:color="000000"/>
              <w:left w:val="single" w:sz="4" w:space="0" w:color="000000"/>
              <w:bottom w:val="single" w:sz="4" w:space="0" w:color="000000"/>
              <w:right w:val="single" w:sz="4" w:space="0" w:color="000000"/>
            </w:tcBorders>
            <w:hideMark/>
          </w:tcPr>
          <w:p w14:paraId="50795D23" w14:textId="77777777" w:rsidR="00AF56FC" w:rsidRDefault="00AF56FC">
            <w:pPr>
              <w:autoSpaceDE w:val="0"/>
              <w:autoSpaceDN w:val="0"/>
              <w:adjustRightInd w:val="0"/>
              <w:rPr>
                <w:i/>
                <w:iCs/>
                <w:sz w:val="22"/>
                <w:szCs w:val="22"/>
              </w:rPr>
            </w:pPr>
            <w:r>
              <w:rPr>
                <w:i/>
                <w:iCs/>
                <w:sz w:val="22"/>
                <w:szCs w:val="22"/>
              </w:rPr>
              <w:t xml:space="preserve">Sædvanlig dosis </w:t>
            </w:r>
          </w:p>
        </w:tc>
      </w:tr>
      <w:tr w:rsidR="00AF56FC" w14:paraId="54300955"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4C041896" w14:textId="77777777" w:rsidR="00AF56FC" w:rsidRDefault="00AF56FC">
            <w:pPr>
              <w:autoSpaceDE w:val="0"/>
              <w:autoSpaceDN w:val="0"/>
              <w:adjustRightInd w:val="0"/>
              <w:rPr>
                <w:b/>
                <w:bCs/>
                <w:iCs/>
                <w:sz w:val="22"/>
                <w:szCs w:val="22"/>
              </w:rPr>
            </w:pPr>
            <w:r>
              <w:rPr>
                <w:b/>
                <w:bCs/>
                <w:iCs/>
                <w:sz w:val="22"/>
                <w:szCs w:val="22"/>
              </w:rPr>
              <w:t>Intermitterende administration</w:t>
            </w:r>
          </w:p>
        </w:tc>
      </w:tr>
      <w:tr w:rsidR="00AF56FC" w14:paraId="5482EC55" w14:textId="77777777" w:rsidTr="00AF56FC">
        <w:trPr>
          <w:trHeight w:val="530"/>
        </w:trPr>
        <w:tc>
          <w:tcPr>
            <w:tcW w:w="2998" w:type="dxa"/>
            <w:tcBorders>
              <w:top w:val="single" w:sz="4" w:space="0" w:color="000000"/>
              <w:left w:val="single" w:sz="4" w:space="0" w:color="000000"/>
              <w:bottom w:val="single" w:sz="4" w:space="0" w:color="000000"/>
              <w:right w:val="single" w:sz="4" w:space="0" w:color="000000"/>
            </w:tcBorders>
          </w:tcPr>
          <w:p w14:paraId="51E2EFB9" w14:textId="77777777" w:rsidR="00AF56FC" w:rsidRDefault="00AF56FC">
            <w:pPr>
              <w:autoSpaceDE w:val="0"/>
              <w:autoSpaceDN w:val="0"/>
              <w:adjustRightInd w:val="0"/>
              <w:rPr>
                <w:sz w:val="22"/>
                <w:szCs w:val="22"/>
              </w:rPr>
            </w:pPr>
          </w:p>
        </w:tc>
        <w:tc>
          <w:tcPr>
            <w:tcW w:w="3235" w:type="dxa"/>
            <w:tcBorders>
              <w:top w:val="single" w:sz="4" w:space="0" w:color="000000"/>
              <w:left w:val="single" w:sz="4" w:space="0" w:color="000000"/>
              <w:bottom w:val="single" w:sz="4" w:space="0" w:color="000000"/>
              <w:right w:val="single" w:sz="4" w:space="0" w:color="000000"/>
            </w:tcBorders>
            <w:hideMark/>
          </w:tcPr>
          <w:p w14:paraId="0A1370FD" w14:textId="77777777" w:rsidR="00AF56FC" w:rsidRDefault="00AF56FC">
            <w:pPr>
              <w:autoSpaceDE w:val="0"/>
              <w:autoSpaceDN w:val="0"/>
              <w:adjustRightInd w:val="0"/>
              <w:rPr>
                <w:sz w:val="22"/>
                <w:szCs w:val="22"/>
              </w:rPr>
            </w:pPr>
            <w:r>
              <w:rPr>
                <w:sz w:val="22"/>
                <w:szCs w:val="22"/>
              </w:rPr>
              <w:t>De fleste infektioner</w:t>
            </w:r>
          </w:p>
        </w:tc>
        <w:tc>
          <w:tcPr>
            <w:tcW w:w="3054" w:type="dxa"/>
            <w:tcBorders>
              <w:top w:val="single" w:sz="4" w:space="0" w:color="000000"/>
              <w:left w:val="single" w:sz="4" w:space="0" w:color="000000"/>
              <w:bottom w:val="single" w:sz="4" w:space="0" w:color="000000"/>
              <w:right w:val="single" w:sz="4" w:space="0" w:color="000000"/>
            </w:tcBorders>
            <w:hideMark/>
          </w:tcPr>
          <w:p w14:paraId="26E25927" w14:textId="77777777" w:rsidR="00AF56FC" w:rsidRDefault="00AF56FC">
            <w:pPr>
              <w:autoSpaceDE w:val="0"/>
              <w:autoSpaceDN w:val="0"/>
              <w:adjustRightInd w:val="0"/>
              <w:rPr>
                <w:sz w:val="22"/>
                <w:szCs w:val="22"/>
              </w:rPr>
            </w:pPr>
            <w:r>
              <w:rPr>
                <w:sz w:val="22"/>
                <w:szCs w:val="22"/>
              </w:rPr>
              <w:t>25-60 mg/kg/dag fordelt på 2 doser</w:t>
            </w:r>
            <w:r>
              <w:rPr>
                <w:sz w:val="22"/>
                <w:szCs w:val="22"/>
                <w:vertAlign w:val="superscript"/>
              </w:rPr>
              <w:t>1</w:t>
            </w:r>
          </w:p>
        </w:tc>
      </w:tr>
      <w:tr w:rsidR="00AF56FC" w14:paraId="22BC6675" w14:textId="77777777" w:rsidTr="00AF56FC">
        <w:trPr>
          <w:trHeight w:val="791"/>
        </w:trPr>
        <w:tc>
          <w:tcPr>
            <w:tcW w:w="9287" w:type="dxa"/>
            <w:gridSpan w:val="3"/>
            <w:tcBorders>
              <w:top w:val="single" w:sz="4" w:space="0" w:color="000000"/>
              <w:left w:val="single" w:sz="4" w:space="0" w:color="000000"/>
              <w:bottom w:val="single" w:sz="4" w:space="0" w:color="000000"/>
              <w:right w:val="single" w:sz="4" w:space="0" w:color="000000"/>
            </w:tcBorders>
            <w:hideMark/>
          </w:tcPr>
          <w:p w14:paraId="3DB15770"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Hos nyfødte og spædbørn ≤ 2 måneder kan halveringstiden af ceftazidim i serum være tre til fire gange så lang som halveringstiden hos voksne. </w:t>
            </w:r>
          </w:p>
          <w:p w14:paraId="5774465E" w14:textId="77777777" w:rsidR="00AF56FC" w:rsidRDefault="00AF56FC">
            <w:pPr>
              <w:autoSpaceDE w:val="0"/>
              <w:autoSpaceDN w:val="0"/>
              <w:adjustRightInd w:val="0"/>
              <w:rPr>
                <w:sz w:val="22"/>
                <w:szCs w:val="22"/>
              </w:rPr>
            </w:pPr>
            <w:r>
              <w:rPr>
                <w:sz w:val="22"/>
                <w:szCs w:val="22"/>
              </w:rPr>
              <w:t xml:space="preserve">* I forbindelse med eller ved mistanke om forbindelse med enhver af de infektioner, der er anført under pkt. 4.1. </w:t>
            </w:r>
          </w:p>
        </w:tc>
      </w:tr>
    </w:tbl>
    <w:p w14:paraId="30B355F8" w14:textId="77777777" w:rsidR="00AF56FC" w:rsidRDefault="00AF56FC" w:rsidP="00AF56FC">
      <w:pPr>
        <w:autoSpaceDE w:val="0"/>
        <w:autoSpaceDN w:val="0"/>
        <w:adjustRightInd w:val="0"/>
        <w:rPr>
          <w:sz w:val="22"/>
          <w:szCs w:val="22"/>
          <w:lang w:eastAsia="zh-CN"/>
        </w:rPr>
      </w:pPr>
    </w:p>
    <w:p w14:paraId="6AF5DF29" w14:textId="77777777" w:rsidR="00AF56FC" w:rsidRPr="00AF56FC" w:rsidRDefault="00AF56FC" w:rsidP="00AF56FC">
      <w:pPr>
        <w:pStyle w:val="Default"/>
        <w:ind w:left="851"/>
        <w:rPr>
          <w:i/>
          <w:color w:val="auto"/>
          <w:lang w:val="da-DK"/>
        </w:rPr>
      </w:pPr>
      <w:r w:rsidRPr="00AF56FC">
        <w:rPr>
          <w:i/>
          <w:iCs/>
          <w:color w:val="auto"/>
          <w:lang w:val="da-DK"/>
        </w:rPr>
        <w:t>Pædiatrisk population</w:t>
      </w:r>
    </w:p>
    <w:p w14:paraId="757F2074" w14:textId="77777777" w:rsidR="00AF56FC" w:rsidRPr="00AF56FC" w:rsidRDefault="00AF56FC" w:rsidP="00AF56FC">
      <w:pPr>
        <w:pStyle w:val="Default"/>
        <w:ind w:left="851"/>
        <w:rPr>
          <w:color w:val="auto"/>
          <w:u w:val="single"/>
          <w:lang w:val="da-DK"/>
        </w:rPr>
      </w:pPr>
      <w:r w:rsidRPr="00AF56FC">
        <w:rPr>
          <w:color w:val="auto"/>
          <w:lang w:val="da-DK"/>
        </w:rPr>
        <w:t>Ceftazidim "Hameln"'s sikkerhed og virkning administreret som kontinuerlig infusion hos nyfødte og spædbørn ≤ 2 måneder er ikke klarlagt.</w:t>
      </w:r>
    </w:p>
    <w:p w14:paraId="290CE606" w14:textId="77777777" w:rsidR="00AF56FC" w:rsidRPr="00AF56FC" w:rsidRDefault="00AF56FC" w:rsidP="00AF56FC">
      <w:pPr>
        <w:pStyle w:val="Default"/>
        <w:ind w:left="851"/>
        <w:rPr>
          <w:i/>
          <w:iCs/>
          <w:color w:val="auto"/>
          <w:lang w:val="da-DK"/>
        </w:rPr>
      </w:pPr>
    </w:p>
    <w:p w14:paraId="6EE12C99" w14:textId="77777777" w:rsidR="00AF56FC" w:rsidRPr="00AF56FC" w:rsidRDefault="00AF56FC" w:rsidP="00AF56FC">
      <w:pPr>
        <w:pStyle w:val="Default"/>
        <w:ind w:left="851"/>
        <w:rPr>
          <w:i/>
          <w:iCs/>
          <w:color w:val="auto"/>
          <w:lang w:val="da-DK"/>
        </w:rPr>
      </w:pPr>
      <w:r w:rsidRPr="00AF56FC">
        <w:rPr>
          <w:i/>
          <w:iCs/>
          <w:color w:val="auto"/>
          <w:lang w:val="da-DK"/>
        </w:rPr>
        <w:t xml:space="preserve">Ældre </w:t>
      </w:r>
    </w:p>
    <w:p w14:paraId="4F78E12B" w14:textId="77777777" w:rsidR="00AF56FC" w:rsidRPr="00AF56FC" w:rsidRDefault="00AF56FC" w:rsidP="00AF56FC">
      <w:pPr>
        <w:pStyle w:val="Default"/>
        <w:ind w:left="851"/>
        <w:rPr>
          <w:color w:val="auto"/>
          <w:lang w:val="da-DK"/>
        </w:rPr>
      </w:pPr>
      <w:r w:rsidRPr="00AF56FC">
        <w:rPr>
          <w:color w:val="auto"/>
          <w:lang w:val="da-DK"/>
        </w:rPr>
        <w:t xml:space="preserve">I lyset af den aldersrelaterede reducerede clearance af ceftazidim hos ældre patienter bør den daglige dosis normalt ikke overstige 3 g hos personer, der er over 80 år. </w:t>
      </w:r>
    </w:p>
    <w:p w14:paraId="6B630490" w14:textId="77777777" w:rsidR="00AF56FC" w:rsidRPr="00AF56FC" w:rsidRDefault="00AF56FC" w:rsidP="00AF56FC">
      <w:pPr>
        <w:pStyle w:val="Default"/>
        <w:ind w:left="851"/>
        <w:rPr>
          <w:color w:val="auto"/>
          <w:u w:val="single"/>
          <w:lang w:val="da-DK"/>
        </w:rPr>
      </w:pPr>
    </w:p>
    <w:p w14:paraId="50B2EF43" w14:textId="77777777" w:rsidR="00AF56FC" w:rsidRPr="00AF56FC" w:rsidRDefault="00AF56FC" w:rsidP="00AF56FC">
      <w:pPr>
        <w:pStyle w:val="Default"/>
        <w:ind w:left="851"/>
        <w:rPr>
          <w:i/>
          <w:color w:val="auto"/>
          <w:lang w:val="da-DK"/>
        </w:rPr>
      </w:pPr>
      <w:r w:rsidRPr="00AF56FC">
        <w:rPr>
          <w:i/>
          <w:iCs/>
          <w:color w:val="auto"/>
          <w:lang w:val="da-DK"/>
        </w:rPr>
        <w:t xml:space="preserve">Nedsat leverfunktion </w:t>
      </w:r>
    </w:p>
    <w:p w14:paraId="7B91CD5B" w14:textId="77777777" w:rsidR="00AF56FC" w:rsidRPr="00AF56FC" w:rsidRDefault="00AF56FC" w:rsidP="00AF56FC">
      <w:pPr>
        <w:pStyle w:val="Default"/>
        <w:ind w:left="851"/>
        <w:rPr>
          <w:color w:val="auto"/>
          <w:lang w:val="da-DK"/>
        </w:rPr>
      </w:pPr>
      <w:r w:rsidRPr="00AF56FC">
        <w:rPr>
          <w:color w:val="auto"/>
          <w:lang w:val="da-DK"/>
        </w:rPr>
        <w:t xml:space="preserve">De tilgængelige data indikerer ikke, at dosisjustering er nødvendig ved let til moderat nedsat leverfunktion. Der er ingen studiedata for patienter med svært nedsat leverfunktion (se også pkt. 5.2). Tæt klinisk overvågning af sikkerhed og virkning tilrådes. </w:t>
      </w:r>
    </w:p>
    <w:p w14:paraId="23800B1B" w14:textId="77777777" w:rsidR="00AF56FC" w:rsidRPr="00AF56FC" w:rsidRDefault="00AF56FC" w:rsidP="00AF56FC">
      <w:pPr>
        <w:pStyle w:val="Default"/>
        <w:ind w:left="851"/>
        <w:rPr>
          <w:color w:val="auto"/>
          <w:u w:val="single"/>
          <w:lang w:val="da-DK"/>
        </w:rPr>
      </w:pPr>
    </w:p>
    <w:p w14:paraId="0236C5C8" w14:textId="77777777" w:rsidR="00AF56FC" w:rsidRPr="00AF56FC" w:rsidRDefault="00AF56FC" w:rsidP="00AF56FC">
      <w:pPr>
        <w:pStyle w:val="Default"/>
        <w:ind w:left="851"/>
        <w:rPr>
          <w:i/>
          <w:color w:val="auto"/>
          <w:lang w:val="da-DK"/>
        </w:rPr>
      </w:pPr>
      <w:r w:rsidRPr="00AF56FC">
        <w:rPr>
          <w:i/>
          <w:iCs/>
          <w:color w:val="auto"/>
          <w:lang w:val="da-DK"/>
        </w:rPr>
        <w:t xml:space="preserve">Nedsat nyrefunktion </w:t>
      </w:r>
    </w:p>
    <w:p w14:paraId="0A4E3B43" w14:textId="77777777" w:rsidR="00AF56FC" w:rsidRPr="00AF56FC" w:rsidRDefault="00AF56FC" w:rsidP="00AF56FC">
      <w:pPr>
        <w:pStyle w:val="Default"/>
        <w:ind w:left="851"/>
        <w:rPr>
          <w:color w:val="auto"/>
          <w:lang w:val="da-DK"/>
        </w:rPr>
      </w:pPr>
      <w:r w:rsidRPr="00AF56FC">
        <w:rPr>
          <w:color w:val="auto"/>
          <w:lang w:val="da-DK"/>
        </w:rPr>
        <w:t>Ceftazidim udskilles uændret via nyrerne. Doseringen skal derfor reduceres hos patienter med nedsat nyrefunktion (se også pkt. 4.4).</w:t>
      </w:r>
    </w:p>
    <w:p w14:paraId="76443642" w14:textId="77777777" w:rsidR="00AF56FC" w:rsidRPr="00AF56FC" w:rsidRDefault="00AF56FC" w:rsidP="00AF56FC">
      <w:pPr>
        <w:pStyle w:val="Default"/>
        <w:ind w:left="851"/>
        <w:rPr>
          <w:color w:val="auto"/>
          <w:lang w:val="da-DK"/>
        </w:rPr>
      </w:pPr>
    </w:p>
    <w:p w14:paraId="31E2664C" w14:textId="77777777" w:rsidR="00AF56FC" w:rsidRPr="00AF56FC" w:rsidRDefault="00AF56FC" w:rsidP="00AF56FC">
      <w:pPr>
        <w:pStyle w:val="Default"/>
        <w:ind w:left="851"/>
        <w:rPr>
          <w:color w:val="auto"/>
          <w:lang w:val="da-DK"/>
        </w:rPr>
      </w:pPr>
      <w:r w:rsidRPr="00AF56FC">
        <w:rPr>
          <w:color w:val="auto"/>
          <w:lang w:val="da-DK"/>
        </w:rPr>
        <w:t>Der bør gives en indledende støddosis på 1 g. Vedligeholdelsesdosis bør baseres på kreatininclearance:</w:t>
      </w:r>
    </w:p>
    <w:p w14:paraId="557B448E" w14:textId="77777777" w:rsidR="00AF56FC" w:rsidRPr="00AF56FC" w:rsidRDefault="00AF56FC" w:rsidP="00AF56FC">
      <w:pPr>
        <w:pStyle w:val="Default"/>
        <w:ind w:left="851"/>
        <w:rPr>
          <w:color w:val="auto"/>
          <w:u w:val="single"/>
          <w:lang w:val="da-DK"/>
        </w:rPr>
      </w:pPr>
    </w:p>
    <w:p w14:paraId="7501D858" w14:textId="77777777" w:rsidR="00AF56FC" w:rsidRDefault="00AF56FC" w:rsidP="00AF56FC">
      <w:pPr>
        <w:pStyle w:val="Default"/>
        <w:tabs>
          <w:tab w:val="left" w:pos="0"/>
        </w:tabs>
        <w:rPr>
          <w:color w:val="auto"/>
          <w:sz w:val="22"/>
          <w:szCs w:val="22"/>
          <w:u w:val="single"/>
          <w:lang w:val="da-DK"/>
        </w:rPr>
      </w:pPr>
      <w:r>
        <w:rPr>
          <w:color w:val="auto"/>
          <w:sz w:val="22"/>
          <w:szCs w:val="22"/>
          <w:u w:val="single"/>
          <w:lang w:val="da-DK"/>
        </w:rPr>
        <w:t xml:space="preserve">Tabel 3.: Anbefalede vedligeholdelsesdoser af Ceftazidim "Hameln" ved nedsat nyrefunktion – intermitterende infusion </w:t>
      </w:r>
    </w:p>
    <w:p w14:paraId="62D5A339" w14:textId="77777777" w:rsidR="00AF56FC" w:rsidRDefault="00AF56FC" w:rsidP="00AF56FC">
      <w:pPr>
        <w:jc w:val="both"/>
        <w:rPr>
          <w:sz w:val="22"/>
          <w:szCs w:val="22"/>
        </w:rPr>
      </w:pPr>
    </w:p>
    <w:p w14:paraId="38E3BA44" w14:textId="77777777" w:rsidR="00AF56FC" w:rsidRDefault="00AF56FC" w:rsidP="00AF56FC">
      <w:pPr>
        <w:jc w:val="both"/>
        <w:rPr>
          <w:sz w:val="22"/>
          <w:szCs w:val="22"/>
        </w:rPr>
      </w:pPr>
      <w:r>
        <w:rPr>
          <w:i/>
          <w:iCs/>
          <w:sz w:val="22"/>
          <w:szCs w:val="22"/>
        </w:rPr>
        <w:t xml:space="preserve">Voksne og børn ≥ 40 kg </w:t>
      </w:r>
    </w:p>
    <w:tbl>
      <w:tblPr>
        <w:tblW w:w="9360" w:type="dxa"/>
        <w:tblInd w:w="110" w:type="dxa"/>
        <w:tblLayout w:type="fixed"/>
        <w:tblCellMar>
          <w:left w:w="0" w:type="dxa"/>
          <w:right w:w="0" w:type="dxa"/>
        </w:tblCellMar>
        <w:tblLook w:val="04A0" w:firstRow="1" w:lastRow="0" w:firstColumn="1" w:lastColumn="0" w:noHBand="0" w:noVBand="1"/>
      </w:tblPr>
      <w:tblGrid>
        <w:gridCol w:w="2128"/>
        <w:gridCol w:w="2450"/>
        <w:gridCol w:w="2231"/>
        <w:gridCol w:w="2551"/>
      </w:tblGrid>
      <w:tr w:rsidR="00AF56FC" w14:paraId="314FB6C5"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136DA683" w14:textId="77777777" w:rsidR="00AF56FC" w:rsidRDefault="00AF56FC">
            <w:pPr>
              <w:autoSpaceDE w:val="0"/>
              <w:autoSpaceDN w:val="0"/>
              <w:adjustRightInd w:val="0"/>
              <w:jc w:val="center"/>
              <w:rPr>
                <w:sz w:val="22"/>
                <w:szCs w:val="22"/>
              </w:rPr>
            </w:pPr>
            <w:r>
              <w:rPr>
                <w:sz w:val="22"/>
                <w:szCs w:val="22"/>
              </w:rPr>
              <w:t>Kreatininclearance [ml/min]</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7099A0F7" w14:textId="77777777" w:rsidR="00AF56FC" w:rsidRDefault="00AF56FC">
            <w:pPr>
              <w:autoSpaceDE w:val="0"/>
              <w:autoSpaceDN w:val="0"/>
              <w:adjustRightInd w:val="0"/>
              <w:jc w:val="center"/>
              <w:rPr>
                <w:sz w:val="22"/>
                <w:szCs w:val="22"/>
              </w:rPr>
            </w:pPr>
            <w:r>
              <w:rPr>
                <w:sz w:val="22"/>
                <w:szCs w:val="22"/>
              </w:rPr>
              <w:t xml:space="preserve">Omtrentlig serumkreatinin </w:t>
            </w:r>
          </w:p>
          <w:p w14:paraId="50C11878" w14:textId="77777777" w:rsidR="00AF56FC" w:rsidRDefault="00AF56FC">
            <w:pPr>
              <w:autoSpaceDE w:val="0"/>
              <w:autoSpaceDN w:val="0"/>
              <w:adjustRightInd w:val="0"/>
              <w:jc w:val="center"/>
              <w:rPr>
                <w:sz w:val="22"/>
                <w:szCs w:val="22"/>
              </w:rPr>
            </w:pPr>
            <w:r>
              <w:rPr>
                <w:sz w:val="22"/>
                <w:szCs w:val="22"/>
              </w:rPr>
              <w:t>[µmol/l] (mg/dl)</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1AD48D6F" w14:textId="77777777" w:rsidR="00AF56FC" w:rsidRDefault="00AF56FC">
            <w:pPr>
              <w:autoSpaceDE w:val="0"/>
              <w:autoSpaceDN w:val="0"/>
              <w:adjustRightInd w:val="0"/>
              <w:jc w:val="center"/>
              <w:rPr>
                <w:sz w:val="22"/>
                <w:szCs w:val="22"/>
              </w:rPr>
            </w:pPr>
            <w:r>
              <w:rPr>
                <w:sz w:val="22"/>
                <w:szCs w:val="22"/>
              </w:rPr>
              <w:t>Anbefalet enkeltdosis af Ceftazidim "Hameln"</w:t>
            </w:r>
          </w:p>
          <w:p w14:paraId="6742ACFE" w14:textId="77777777" w:rsidR="00AF56FC" w:rsidRDefault="00AF56FC">
            <w:pPr>
              <w:autoSpaceDE w:val="0"/>
              <w:autoSpaceDN w:val="0"/>
              <w:adjustRightInd w:val="0"/>
              <w:jc w:val="center"/>
              <w:rPr>
                <w:sz w:val="22"/>
                <w:szCs w:val="22"/>
              </w:rPr>
            </w:pPr>
            <w:r>
              <w:rPr>
                <w:sz w:val="22"/>
                <w:szCs w:val="22"/>
              </w:rPr>
              <w:t>[g]</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3F38C08" w14:textId="77777777" w:rsidR="00AF56FC" w:rsidRDefault="00AF56FC">
            <w:pPr>
              <w:autoSpaceDE w:val="0"/>
              <w:autoSpaceDN w:val="0"/>
              <w:adjustRightInd w:val="0"/>
              <w:jc w:val="center"/>
              <w:rPr>
                <w:sz w:val="22"/>
                <w:szCs w:val="22"/>
              </w:rPr>
            </w:pPr>
            <w:r>
              <w:rPr>
                <w:sz w:val="22"/>
                <w:szCs w:val="22"/>
              </w:rPr>
              <w:t>Doseringshyppighed (timeintervaller)</w:t>
            </w:r>
          </w:p>
        </w:tc>
      </w:tr>
      <w:tr w:rsidR="00AF56FC" w14:paraId="59E64BE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5A236F51" w14:textId="77777777" w:rsidR="00AF56FC" w:rsidRDefault="00AF56FC">
            <w:pPr>
              <w:autoSpaceDE w:val="0"/>
              <w:autoSpaceDN w:val="0"/>
              <w:adjustRightInd w:val="0"/>
              <w:ind w:left="746" w:right="725"/>
              <w:jc w:val="center"/>
              <w:rPr>
                <w:sz w:val="22"/>
                <w:szCs w:val="22"/>
              </w:rPr>
            </w:pPr>
            <w:r>
              <w:rPr>
                <w:sz w:val="22"/>
                <w:szCs w:val="22"/>
              </w:rPr>
              <w:t>50-31</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1C7268C5" w14:textId="77777777" w:rsidR="00AF56FC" w:rsidRDefault="00AF56FC">
            <w:pPr>
              <w:autoSpaceDE w:val="0"/>
              <w:autoSpaceDN w:val="0"/>
              <w:adjustRightInd w:val="0"/>
              <w:ind w:left="742" w:right="-20"/>
              <w:rPr>
                <w:sz w:val="22"/>
                <w:szCs w:val="22"/>
              </w:rPr>
            </w:pPr>
            <w:r>
              <w:rPr>
                <w:sz w:val="22"/>
                <w:szCs w:val="22"/>
              </w:rPr>
              <w:t>150-200</w:t>
            </w:r>
          </w:p>
          <w:p w14:paraId="6C2A0815" w14:textId="77777777" w:rsidR="00AF56FC" w:rsidRDefault="00AF56FC">
            <w:pPr>
              <w:autoSpaceDE w:val="0"/>
              <w:autoSpaceDN w:val="0"/>
              <w:adjustRightInd w:val="0"/>
              <w:ind w:left="724" w:right="-20"/>
              <w:rPr>
                <w:sz w:val="22"/>
                <w:szCs w:val="22"/>
              </w:rPr>
            </w:pPr>
            <w:r>
              <w:rPr>
                <w:sz w:val="22"/>
                <w:szCs w:val="22"/>
              </w:rPr>
              <w:t>(1,7-2,3)</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23850883" w14:textId="77777777" w:rsidR="00AF56FC" w:rsidRDefault="00AF56FC">
            <w:pPr>
              <w:autoSpaceDE w:val="0"/>
              <w:autoSpaceDN w:val="0"/>
              <w:adjustRightInd w:val="0"/>
              <w:jc w:val="center"/>
              <w:rPr>
                <w:sz w:val="22"/>
                <w:szCs w:val="22"/>
              </w:rPr>
            </w:pPr>
            <w:r>
              <w:rPr>
                <w:sz w:val="22"/>
                <w:szCs w:val="22"/>
              </w:rPr>
              <w:t>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1A45F3C" w14:textId="77777777" w:rsidR="00AF56FC" w:rsidRDefault="00AF56FC">
            <w:pPr>
              <w:autoSpaceDE w:val="0"/>
              <w:autoSpaceDN w:val="0"/>
              <w:adjustRightInd w:val="0"/>
              <w:ind w:left="1113" w:right="1092"/>
              <w:jc w:val="center"/>
              <w:rPr>
                <w:sz w:val="22"/>
                <w:szCs w:val="22"/>
              </w:rPr>
            </w:pPr>
            <w:r>
              <w:rPr>
                <w:sz w:val="22"/>
                <w:szCs w:val="22"/>
              </w:rPr>
              <w:t>12</w:t>
            </w:r>
          </w:p>
        </w:tc>
      </w:tr>
      <w:tr w:rsidR="00AF56FC" w14:paraId="4EF3DDA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72F9AA5C" w14:textId="77777777" w:rsidR="00AF56FC" w:rsidRDefault="00AF56FC">
            <w:pPr>
              <w:autoSpaceDE w:val="0"/>
              <w:autoSpaceDN w:val="0"/>
              <w:adjustRightInd w:val="0"/>
              <w:ind w:left="746" w:right="725"/>
              <w:jc w:val="center"/>
              <w:rPr>
                <w:sz w:val="22"/>
                <w:szCs w:val="22"/>
              </w:rPr>
            </w:pPr>
            <w:r>
              <w:rPr>
                <w:sz w:val="22"/>
                <w:szCs w:val="22"/>
              </w:rPr>
              <w:t>30-16</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6F099164" w14:textId="77777777" w:rsidR="00AF56FC" w:rsidRDefault="00AF56FC">
            <w:pPr>
              <w:autoSpaceDE w:val="0"/>
              <w:autoSpaceDN w:val="0"/>
              <w:adjustRightInd w:val="0"/>
              <w:ind w:left="742" w:right="-20"/>
              <w:rPr>
                <w:sz w:val="22"/>
                <w:szCs w:val="22"/>
              </w:rPr>
            </w:pPr>
            <w:r>
              <w:rPr>
                <w:sz w:val="22"/>
                <w:szCs w:val="22"/>
              </w:rPr>
              <w:t>200-350</w:t>
            </w:r>
          </w:p>
          <w:p w14:paraId="5D1BA0D6" w14:textId="77777777" w:rsidR="00AF56FC" w:rsidRDefault="00AF56FC">
            <w:pPr>
              <w:autoSpaceDE w:val="0"/>
              <w:autoSpaceDN w:val="0"/>
              <w:adjustRightInd w:val="0"/>
              <w:ind w:left="724" w:right="-20"/>
              <w:rPr>
                <w:sz w:val="22"/>
                <w:szCs w:val="22"/>
              </w:rPr>
            </w:pPr>
            <w:r>
              <w:rPr>
                <w:sz w:val="22"/>
                <w:szCs w:val="22"/>
              </w:rPr>
              <w:t>(2,3-4,0)</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07F62729" w14:textId="77777777" w:rsidR="00AF56FC" w:rsidRDefault="00AF56FC">
            <w:pPr>
              <w:autoSpaceDE w:val="0"/>
              <w:autoSpaceDN w:val="0"/>
              <w:adjustRightInd w:val="0"/>
              <w:jc w:val="center"/>
              <w:rPr>
                <w:sz w:val="22"/>
                <w:szCs w:val="22"/>
              </w:rPr>
            </w:pPr>
            <w:r>
              <w:rPr>
                <w:sz w:val="22"/>
                <w:szCs w:val="22"/>
              </w:rPr>
              <w:t>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948F536" w14:textId="77777777" w:rsidR="00AF56FC" w:rsidRDefault="00AF56FC">
            <w:pPr>
              <w:autoSpaceDE w:val="0"/>
              <w:autoSpaceDN w:val="0"/>
              <w:adjustRightInd w:val="0"/>
              <w:ind w:left="1113" w:right="1092"/>
              <w:jc w:val="center"/>
              <w:rPr>
                <w:sz w:val="22"/>
                <w:szCs w:val="22"/>
              </w:rPr>
            </w:pPr>
            <w:r>
              <w:rPr>
                <w:sz w:val="22"/>
                <w:szCs w:val="22"/>
              </w:rPr>
              <w:t>24</w:t>
            </w:r>
          </w:p>
        </w:tc>
      </w:tr>
      <w:tr w:rsidR="00AF56FC" w14:paraId="24316AF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7C8A2820" w14:textId="77777777" w:rsidR="00AF56FC" w:rsidRDefault="00AF56FC">
            <w:pPr>
              <w:autoSpaceDE w:val="0"/>
              <w:autoSpaceDN w:val="0"/>
              <w:adjustRightInd w:val="0"/>
              <w:ind w:left="800" w:right="780"/>
              <w:jc w:val="center"/>
              <w:rPr>
                <w:sz w:val="22"/>
                <w:szCs w:val="22"/>
              </w:rPr>
            </w:pPr>
            <w:r>
              <w:rPr>
                <w:sz w:val="22"/>
                <w:szCs w:val="22"/>
              </w:rPr>
              <w:t>15-6</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5B324E22" w14:textId="77777777" w:rsidR="00AF56FC" w:rsidRDefault="00AF56FC">
            <w:pPr>
              <w:autoSpaceDE w:val="0"/>
              <w:autoSpaceDN w:val="0"/>
              <w:adjustRightInd w:val="0"/>
              <w:ind w:left="742" w:right="-20"/>
              <w:rPr>
                <w:sz w:val="22"/>
                <w:szCs w:val="22"/>
              </w:rPr>
            </w:pPr>
            <w:r>
              <w:rPr>
                <w:sz w:val="22"/>
                <w:szCs w:val="22"/>
              </w:rPr>
              <w:t>350-500</w:t>
            </w:r>
          </w:p>
          <w:p w14:paraId="33EC4798" w14:textId="77777777" w:rsidR="00AF56FC" w:rsidRDefault="00AF56FC">
            <w:pPr>
              <w:autoSpaceDE w:val="0"/>
              <w:autoSpaceDN w:val="0"/>
              <w:adjustRightInd w:val="0"/>
              <w:ind w:left="724" w:right="-20"/>
              <w:rPr>
                <w:sz w:val="22"/>
                <w:szCs w:val="22"/>
              </w:rPr>
            </w:pPr>
            <w:r>
              <w:rPr>
                <w:sz w:val="22"/>
                <w:szCs w:val="22"/>
              </w:rPr>
              <w:t>(4,0-5,6)</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0A835283" w14:textId="77777777" w:rsidR="00AF56FC" w:rsidRDefault="00AF56FC">
            <w:pPr>
              <w:autoSpaceDE w:val="0"/>
              <w:autoSpaceDN w:val="0"/>
              <w:adjustRightInd w:val="0"/>
              <w:jc w:val="center"/>
              <w:rPr>
                <w:sz w:val="22"/>
                <w:szCs w:val="22"/>
              </w:rPr>
            </w:pPr>
            <w:r>
              <w:rPr>
                <w:sz w:val="22"/>
                <w:szCs w:val="22"/>
              </w:rPr>
              <w:t>0,5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B011938" w14:textId="77777777" w:rsidR="00AF56FC" w:rsidRDefault="00AF56FC">
            <w:pPr>
              <w:autoSpaceDE w:val="0"/>
              <w:autoSpaceDN w:val="0"/>
              <w:adjustRightInd w:val="0"/>
              <w:ind w:left="1113" w:right="1092"/>
              <w:jc w:val="center"/>
              <w:rPr>
                <w:sz w:val="22"/>
                <w:szCs w:val="22"/>
              </w:rPr>
            </w:pPr>
            <w:r>
              <w:rPr>
                <w:sz w:val="22"/>
                <w:szCs w:val="22"/>
              </w:rPr>
              <w:t>24</w:t>
            </w:r>
          </w:p>
        </w:tc>
      </w:tr>
      <w:tr w:rsidR="00AF56FC" w14:paraId="5C5748CC"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16E03AC1" w14:textId="77777777" w:rsidR="00AF56FC" w:rsidRDefault="00AF56FC">
            <w:pPr>
              <w:autoSpaceDE w:val="0"/>
              <w:autoSpaceDN w:val="0"/>
              <w:adjustRightInd w:val="0"/>
              <w:ind w:left="905" w:right="883"/>
              <w:jc w:val="center"/>
              <w:rPr>
                <w:sz w:val="22"/>
                <w:szCs w:val="22"/>
              </w:rPr>
            </w:pPr>
            <w:r>
              <w:rPr>
                <w:sz w:val="22"/>
                <w:szCs w:val="22"/>
              </w:rPr>
              <w:t>&lt; 5</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333AAF1E" w14:textId="77777777" w:rsidR="00AF56FC" w:rsidRDefault="00AF56FC">
            <w:pPr>
              <w:autoSpaceDE w:val="0"/>
              <w:autoSpaceDN w:val="0"/>
              <w:adjustRightInd w:val="0"/>
              <w:ind w:left="854" w:right="835"/>
              <w:jc w:val="center"/>
              <w:rPr>
                <w:sz w:val="22"/>
                <w:szCs w:val="22"/>
              </w:rPr>
            </w:pPr>
            <w:r>
              <w:rPr>
                <w:sz w:val="22"/>
                <w:szCs w:val="22"/>
              </w:rPr>
              <w:t>&gt; 500</w:t>
            </w:r>
          </w:p>
          <w:p w14:paraId="6D5CE3CB" w14:textId="77777777" w:rsidR="00AF56FC" w:rsidRDefault="00AF56FC">
            <w:pPr>
              <w:autoSpaceDE w:val="0"/>
              <w:autoSpaceDN w:val="0"/>
              <w:adjustRightInd w:val="0"/>
              <w:ind w:left="880" w:right="813"/>
              <w:jc w:val="center"/>
              <w:rPr>
                <w:sz w:val="22"/>
                <w:szCs w:val="22"/>
              </w:rPr>
            </w:pPr>
            <w:r>
              <w:rPr>
                <w:sz w:val="22"/>
                <w:szCs w:val="22"/>
              </w:rPr>
              <w:t xml:space="preserve">(&gt; 5,6) </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1F9BD10B" w14:textId="77777777" w:rsidR="00AF56FC" w:rsidRDefault="00AF56FC">
            <w:pPr>
              <w:autoSpaceDE w:val="0"/>
              <w:autoSpaceDN w:val="0"/>
              <w:adjustRightInd w:val="0"/>
              <w:jc w:val="center"/>
              <w:rPr>
                <w:sz w:val="22"/>
                <w:szCs w:val="22"/>
              </w:rPr>
            </w:pPr>
            <w:r>
              <w:rPr>
                <w:sz w:val="22"/>
                <w:szCs w:val="22"/>
              </w:rPr>
              <w:t>0,5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7AF54DC" w14:textId="77777777" w:rsidR="00AF56FC" w:rsidRDefault="00AF56FC">
            <w:pPr>
              <w:autoSpaceDE w:val="0"/>
              <w:autoSpaceDN w:val="0"/>
              <w:adjustRightInd w:val="0"/>
              <w:ind w:left="1113" w:right="1092"/>
              <w:jc w:val="center"/>
              <w:rPr>
                <w:sz w:val="22"/>
                <w:szCs w:val="22"/>
              </w:rPr>
            </w:pPr>
            <w:r>
              <w:rPr>
                <w:sz w:val="22"/>
                <w:szCs w:val="22"/>
              </w:rPr>
              <w:t>48</w:t>
            </w:r>
          </w:p>
        </w:tc>
      </w:tr>
    </w:tbl>
    <w:p w14:paraId="1B90A1E3" w14:textId="77777777" w:rsidR="00AF56FC" w:rsidRDefault="00AF56FC" w:rsidP="00AF56FC">
      <w:pPr>
        <w:pStyle w:val="Default"/>
        <w:rPr>
          <w:color w:val="auto"/>
          <w:sz w:val="22"/>
          <w:szCs w:val="22"/>
          <w:lang w:val="da-DK"/>
        </w:rPr>
      </w:pPr>
    </w:p>
    <w:p w14:paraId="169F4AE6" w14:textId="77777777" w:rsidR="00AF56FC" w:rsidRPr="00AF56FC" w:rsidRDefault="00AF56FC" w:rsidP="00AF56FC">
      <w:pPr>
        <w:ind w:left="851"/>
        <w:rPr>
          <w:sz w:val="24"/>
          <w:szCs w:val="24"/>
        </w:rPr>
      </w:pPr>
      <w:r w:rsidRPr="00AF56FC">
        <w:rPr>
          <w:sz w:val="24"/>
          <w:szCs w:val="24"/>
        </w:rPr>
        <w:t xml:space="preserve">Hos patienter med svære infektioner bør enkeltdosis øges med 50 %, eller doseringshyppigheden bør øges. </w:t>
      </w:r>
    </w:p>
    <w:p w14:paraId="78090D54" w14:textId="77777777" w:rsidR="00AF56FC" w:rsidRPr="00AF56FC" w:rsidRDefault="00AF56FC" w:rsidP="00AF56FC">
      <w:pPr>
        <w:ind w:left="851"/>
        <w:jc w:val="both"/>
        <w:rPr>
          <w:sz w:val="24"/>
          <w:szCs w:val="24"/>
        </w:rPr>
      </w:pPr>
      <w:r w:rsidRPr="00AF56FC">
        <w:rPr>
          <w:sz w:val="24"/>
          <w:szCs w:val="24"/>
        </w:rPr>
        <w:t>Hos børn skal kreatininclearance justeres i henhold til legemsoverfladeareal eller fedtfri legemsvægt (</w:t>
      </w:r>
      <w:r w:rsidRPr="00AF56FC">
        <w:rPr>
          <w:i/>
          <w:iCs/>
          <w:sz w:val="24"/>
          <w:szCs w:val="24"/>
        </w:rPr>
        <w:t>lean body mass</w:t>
      </w:r>
      <w:r w:rsidRPr="00AF56FC">
        <w:rPr>
          <w:sz w:val="24"/>
          <w:szCs w:val="24"/>
        </w:rPr>
        <w:t>).</w:t>
      </w:r>
    </w:p>
    <w:p w14:paraId="0E513D10" w14:textId="77777777" w:rsidR="00AF56FC" w:rsidRDefault="00AF56FC" w:rsidP="00AF56FC">
      <w:pPr>
        <w:rPr>
          <w:sz w:val="22"/>
          <w:szCs w:val="22"/>
        </w:rPr>
      </w:pPr>
    </w:p>
    <w:p w14:paraId="5DA057DE" w14:textId="77777777" w:rsidR="00AF56FC" w:rsidRDefault="00AF56FC" w:rsidP="00AF56FC">
      <w:pPr>
        <w:keepNext/>
        <w:jc w:val="both"/>
        <w:rPr>
          <w:sz w:val="22"/>
          <w:szCs w:val="22"/>
        </w:rPr>
      </w:pPr>
      <w:r>
        <w:rPr>
          <w:i/>
          <w:iCs/>
          <w:sz w:val="22"/>
          <w:szCs w:val="22"/>
        </w:rPr>
        <w:lastRenderedPageBreak/>
        <w:t xml:space="preserve">Børn &lt; 40 kg </w:t>
      </w:r>
    </w:p>
    <w:tbl>
      <w:tblPr>
        <w:tblW w:w="9285" w:type="dxa"/>
        <w:tblInd w:w="105" w:type="dxa"/>
        <w:tblLayout w:type="fixed"/>
        <w:tblCellMar>
          <w:left w:w="0" w:type="dxa"/>
          <w:right w:w="0" w:type="dxa"/>
        </w:tblCellMar>
        <w:tblLook w:val="04A0" w:firstRow="1" w:lastRow="0" w:firstColumn="1" w:lastColumn="0" w:noHBand="0" w:noVBand="1"/>
      </w:tblPr>
      <w:tblGrid>
        <w:gridCol w:w="2093"/>
        <w:gridCol w:w="2268"/>
        <w:gridCol w:w="2408"/>
        <w:gridCol w:w="2516"/>
      </w:tblGrid>
      <w:tr w:rsidR="00AF56FC" w14:paraId="73CDD4D9" w14:textId="77777777" w:rsidTr="00AF56FC">
        <w:trPr>
          <w:trHeight w:hRule="exact" w:val="1128"/>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6B57BD4E" w14:textId="77777777" w:rsidR="00AF56FC" w:rsidRDefault="00AF56FC">
            <w:pPr>
              <w:autoSpaceDE w:val="0"/>
              <w:autoSpaceDN w:val="0"/>
              <w:adjustRightInd w:val="0"/>
              <w:ind w:left="180" w:right="160"/>
              <w:jc w:val="center"/>
              <w:rPr>
                <w:sz w:val="22"/>
                <w:szCs w:val="22"/>
              </w:rPr>
            </w:pPr>
            <w:r>
              <w:rPr>
                <w:sz w:val="22"/>
                <w:szCs w:val="22"/>
              </w:rPr>
              <w:t>Kreatininclearance [ml/min]**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0065B7D" w14:textId="77777777" w:rsidR="00AF56FC" w:rsidRDefault="00AF56FC">
            <w:pPr>
              <w:autoSpaceDE w:val="0"/>
              <w:autoSpaceDN w:val="0"/>
              <w:adjustRightInd w:val="0"/>
              <w:ind w:left="238" w:right="219"/>
              <w:jc w:val="center"/>
              <w:rPr>
                <w:sz w:val="22"/>
                <w:szCs w:val="22"/>
              </w:rPr>
            </w:pPr>
            <w:r>
              <w:rPr>
                <w:sz w:val="22"/>
                <w:szCs w:val="22"/>
              </w:rPr>
              <w:t>Omtrentlig serumkreatinin*</w:t>
            </w:r>
          </w:p>
          <w:p w14:paraId="2EF09185" w14:textId="77777777" w:rsidR="00AF56FC" w:rsidRDefault="00AF56FC">
            <w:pPr>
              <w:autoSpaceDE w:val="0"/>
              <w:autoSpaceDN w:val="0"/>
              <w:adjustRightInd w:val="0"/>
              <w:ind w:left="238" w:right="219"/>
              <w:jc w:val="center"/>
              <w:rPr>
                <w:sz w:val="22"/>
                <w:szCs w:val="22"/>
              </w:rPr>
            </w:pPr>
            <w:r>
              <w:rPr>
                <w:sz w:val="22"/>
                <w:szCs w:val="22"/>
              </w:rPr>
              <w:t>[µmol/l] (mg/dl)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E0B5D40" w14:textId="77777777" w:rsidR="00AF56FC" w:rsidRDefault="00AF56FC">
            <w:pPr>
              <w:autoSpaceDE w:val="0"/>
              <w:autoSpaceDN w:val="0"/>
              <w:adjustRightInd w:val="0"/>
              <w:ind w:left="469" w:right="448"/>
              <w:jc w:val="center"/>
              <w:rPr>
                <w:sz w:val="22"/>
                <w:szCs w:val="22"/>
                <w:lang w:val="nb-NO"/>
              </w:rPr>
            </w:pPr>
            <w:r>
              <w:rPr>
                <w:sz w:val="22"/>
                <w:szCs w:val="22"/>
                <w:lang w:val="nb-NO"/>
              </w:rPr>
              <w:t>Anbefalet enkeltdosis</w:t>
            </w:r>
          </w:p>
          <w:p w14:paraId="75055A75" w14:textId="77777777" w:rsidR="00AF56FC" w:rsidRDefault="00AF56FC">
            <w:pPr>
              <w:autoSpaceDE w:val="0"/>
              <w:autoSpaceDN w:val="0"/>
              <w:adjustRightInd w:val="0"/>
              <w:ind w:left="619" w:right="599"/>
              <w:jc w:val="center"/>
              <w:rPr>
                <w:sz w:val="22"/>
                <w:szCs w:val="22"/>
                <w:lang w:val="nb-NO"/>
              </w:rPr>
            </w:pPr>
            <w:r>
              <w:rPr>
                <w:sz w:val="22"/>
                <w:szCs w:val="22"/>
                <w:lang w:val="nb-NO"/>
              </w:rPr>
              <w:t>[mg/kg legemsvægt]</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696C1E28" w14:textId="77777777" w:rsidR="00AF56FC" w:rsidRDefault="00AF56FC">
            <w:pPr>
              <w:autoSpaceDE w:val="0"/>
              <w:autoSpaceDN w:val="0"/>
              <w:adjustRightInd w:val="0"/>
              <w:ind w:left="65" w:right="45"/>
              <w:jc w:val="center"/>
              <w:rPr>
                <w:sz w:val="22"/>
                <w:szCs w:val="22"/>
              </w:rPr>
            </w:pPr>
            <w:r>
              <w:rPr>
                <w:sz w:val="22"/>
                <w:szCs w:val="22"/>
              </w:rPr>
              <w:t>Doseringshyppighed (timeintervaller)</w:t>
            </w:r>
          </w:p>
        </w:tc>
      </w:tr>
      <w:tr w:rsidR="00AF56FC" w14:paraId="0A85AC9A"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3A6B6D63" w14:textId="77777777" w:rsidR="00AF56FC" w:rsidRDefault="00AF56FC">
            <w:pPr>
              <w:autoSpaceDE w:val="0"/>
              <w:autoSpaceDN w:val="0"/>
              <w:adjustRightInd w:val="0"/>
              <w:ind w:left="728" w:right="710"/>
              <w:jc w:val="center"/>
              <w:rPr>
                <w:sz w:val="22"/>
                <w:szCs w:val="22"/>
              </w:rPr>
            </w:pPr>
            <w:r>
              <w:rPr>
                <w:sz w:val="22"/>
                <w:szCs w:val="22"/>
              </w:rPr>
              <w:t>50-31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6503FD0" w14:textId="77777777" w:rsidR="00AF56FC" w:rsidRDefault="00AF56FC">
            <w:pPr>
              <w:autoSpaceDE w:val="0"/>
              <w:autoSpaceDN w:val="0"/>
              <w:adjustRightInd w:val="0"/>
              <w:ind w:left="742" w:right="-20"/>
              <w:rPr>
                <w:sz w:val="22"/>
                <w:szCs w:val="22"/>
              </w:rPr>
            </w:pPr>
            <w:r>
              <w:rPr>
                <w:sz w:val="22"/>
                <w:szCs w:val="22"/>
              </w:rPr>
              <w:t>150-200</w:t>
            </w:r>
          </w:p>
          <w:p w14:paraId="0FACE808" w14:textId="77777777" w:rsidR="00AF56FC" w:rsidRDefault="00AF56FC">
            <w:pPr>
              <w:autoSpaceDE w:val="0"/>
              <w:autoSpaceDN w:val="0"/>
              <w:adjustRightInd w:val="0"/>
              <w:ind w:left="724" w:right="-20"/>
              <w:rPr>
                <w:sz w:val="22"/>
                <w:szCs w:val="22"/>
              </w:rPr>
            </w:pPr>
            <w:r>
              <w:rPr>
                <w:sz w:val="22"/>
                <w:szCs w:val="22"/>
              </w:rPr>
              <w:t>(1,7-2,3)</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4E29BC" w14:textId="77777777" w:rsidR="00AF56FC" w:rsidRDefault="00AF56FC">
            <w:pPr>
              <w:autoSpaceDE w:val="0"/>
              <w:autoSpaceDN w:val="0"/>
              <w:adjustRightInd w:val="0"/>
              <w:ind w:left="1052" w:right="1032"/>
              <w:jc w:val="center"/>
              <w:rPr>
                <w:sz w:val="22"/>
                <w:szCs w:val="22"/>
              </w:rPr>
            </w:pPr>
            <w:r>
              <w:rPr>
                <w:sz w:val="22"/>
                <w:szCs w:val="22"/>
              </w:rPr>
              <w:t>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CA3FF4C" w14:textId="77777777" w:rsidR="00AF56FC" w:rsidRDefault="00AF56FC">
            <w:pPr>
              <w:autoSpaceDE w:val="0"/>
              <w:autoSpaceDN w:val="0"/>
              <w:adjustRightInd w:val="0"/>
              <w:ind w:left="1095" w:right="1077"/>
              <w:jc w:val="center"/>
              <w:rPr>
                <w:sz w:val="22"/>
                <w:szCs w:val="22"/>
              </w:rPr>
            </w:pPr>
            <w:r>
              <w:rPr>
                <w:sz w:val="22"/>
                <w:szCs w:val="22"/>
              </w:rPr>
              <w:t>12</w:t>
            </w:r>
          </w:p>
        </w:tc>
      </w:tr>
      <w:tr w:rsidR="00AF56FC" w14:paraId="04EAF898"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53B46F1" w14:textId="77777777" w:rsidR="00AF56FC" w:rsidRDefault="00AF56FC">
            <w:pPr>
              <w:autoSpaceDE w:val="0"/>
              <w:autoSpaceDN w:val="0"/>
              <w:adjustRightInd w:val="0"/>
              <w:ind w:left="728" w:right="710"/>
              <w:jc w:val="center"/>
              <w:rPr>
                <w:sz w:val="22"/>
                <w:szCs w:val="22"/>
              </w:rPr>
            </w:pPr>
            <w:r>
              <w:rPr>
                <w:sz w:val="22"/>
                <w:szCs w:val="22"/>
              </w:rPr>
              <w:t>30-16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1D71D5" w14:textId="77777777" w:rsidR="00AF56FC" w:rsidRDefault="00AF56FC">
            <w:pPr>
              <w:autoSpaceDE w:val="0"/>
              <w:autoSpaceDN w:val="0"/>
              <w:adjustRightInd w:val="0"/>
              <w:ind w:left="742" w:right="-20"/>
              <w:rPr>
                <w:sz w:val="22"/>
                <w:szCs w:val="22"/>
              </w:rPr>
            </w:pPr>
            <w:r>
              <w:rPr>
                <w:sz w:val="22"/>
                <w:szCs w:val="22"/>
              </w:rPr>
              <w:t>200-350</w:t>
            </w:r>
          </w:p>
          <w:p w14:paraId="1AA4A989" w14:textId="77777777" w:rsidR="00AF56FC" w:rsidRDefault="00AF56FC">
            <w:pPr>
              <w:autoSpaceDE w:val="0"/>
              <w:autoSpaceDN w:val="0"/>
              <w:adjustRightInd w:val="0"/>
              <w:ind w:left="724" w:right="-20"/>
              <w:rPr>
                <w:sz w:val="22"/>
                <w:szCs w:val="22"/>
              </w:rPr>
            </w:pPr>
            <w:r>
              <w:rPr>
                <w:sz w:val="22"/>
                <w:szCs w:val="22"/>
              </w:rPr>
              <w:t>(2,3-4,0)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A08A63D" w14:textId="77777777" w:rsidR="00AF56FC" w:rsidRDefault="00AF56FC">
            <w:pPr>
              <w:autoSpaceDE w:val="0"/>
              <w:autoSpaceDN w:val="0"/>
              <w:adjustRightInd w:val="0"/>
              <w:ind w:left="1052" w:right="1032"/>
              <w:jc w:val="center"/>
              <w:rPr>
                <w:sz w:val="22"/>
                <w:szCs w:val="22"/>
              </w:rPr>
            </w:pPr>
            <w:r>
              <w:rPr>
                <w:sz w:val="22"/>
                <w:szCs w:val="22"/>
              </w:rPr>
              <w:t>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8DE5836" w14:textId="77777777" w:rsidR="00AF56FC" w:rsidRDefault="00AF56FC">
            <w:pPr>
              <w:autoSpaceDE w:val="0"/>
              <w:autoSpaceDN w:val="0"/>
              <w:adjustRightInd w:val="0"/>
              <w:ind w:left="1095" w:right="1077"/>
              <w:jc w:val="center"/>
              <w:rPr>
                <w:sz w:val="22"/>
                <w:szCs w:val="22"/>
              </w:rPr>
            </w:pPr>
            <w:r>
              <w:rPr>
                <w:sz w:val="22"/>
                <w:szCs w:val="22"/>
              </w:rPr>
              <w:t>24</w:t>
            </w:r>
          </w:p>
        </w:tc>
      </w:tr>
      <w:tr w:rsidR="00AF56FC" w14:paraId="7101C6C7"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54FA520" w14:textId="77777777" w:rsidR="00AF56FC" w:rsidRDefault="00AF56FC">
            <w:pPr>
              <w:autoSpaceDE w:val="0"/>
              <w:autoSpaceDN w:val="0"/>
              <w:adjustRightInd w:val="0"/>
              <w:ind w:left="783" w:right="763"/>
              <w:jc w:val="center"/>
              <w:rPr>
                <w:sz w:val="22"/>
                <w:szCs w:val="22"/>
              </w:rPr>
            </w:pPr>
            <w:r>
              <w:rPr>
                <w:sz w:val="22"/>
                <w:szCs w:val="22"/>
              </w:rPr>
              <w:t>15-6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B7EA886" w14:textId="77777777" w:rsidR="00AF56FC" w:rsidRDefault="00AF56FC">
            <w:pPr>
              <w:autoSpaceDE w:val="0"/>
              <w:autoSpaceDN w:val="0"/>
              <w:adjustRightInd w:val="0"/>
              <w:ind w:left="742" w:right="-20"/>
              <w:rPr>
                <w:sz w:val="22"/>
                <w:szCs w:val="22"/>
              </w:rPr>
            </w:pPr>
            <w:r>
              <w:rPr>
                <w:sz w:val="22"/>
                <w:szCs w:val="22"/>
              </w:rPr>
              <w:t>350-500</w:t>
            </w:r>
          </w:p>
          <w:p w14:paraId="6513E5BC" w14:textId="77777777" w:rsidR="00AF56FC" w:rsidRDefault="00AF56FC">
            <w:pPr>
              <w:autoSpaceDE w:val="0"/>
              <w:autoSpaceDN w:val="0"/>
              <w:adjustRightInd w:val="0"/>
              <w:ind w:left="724" w:right="-20"/>
              <w:rPr>
                <w:sz w:val="22"/>
                <w:szCs w:val="22"/>
              </w:rPr>
            </w:pPr>
            <w:r>
              <w:rPr>
                <w:sz w:val="22"/>
                <w:szCs w:val="22"/>
              </w:rPr>
              <w:t>(4,0-5,6)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7613AF5" w14:textId="77777777" w:rsidR="00AF56FC" w:rsidRDefault="00AF56FC">
            <w:pPr>
              <w:autoSpaceDE w:val="0"/>
              <w:autoSpaceDN w:val="0"/>
              <w:adjustRightInd w:val="0"/>
              <w:ind w:left="969" w:right="949"/>
              <w:jc w:val="center"/>
              <w:rPr>
                <w:sz w:val="22"/>
                <w:szCs w:val="22"/>
              </w:rPr>
            </w:pPr>
            <w:r>
              <w:rPr>
                <w:sz w:val="22"/>
                <w:szCs w:val="22"/>
              </w:rPr>
              <w:t>12,5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81FA4CA" w14:textId="77777777" w:rsidR="00AF56FC" w:rsidRDefault="00AF56FC">
            <w:pPr>
              <w:autoSpaceDE w:val="0"/>
              <w:autoSpaceDN w:val="0"/>
              <w:adjustRightInd w:val="0"/>
              <w:ind w:left="1096" w:right="1077"/>
              <w:jc w:val="center"/>
              <w:rPr>
                <w:sz w:val="22"/>
                <w:szCs w:val="22"/>
              </w:rPr>
            </w:pPr>
            <w:r>
              <w:rPr>
                <w:sz w:val="22"/>
                <w:szCs w:val="22"/>
              </w:rPr>
              <w:t>24</w:t>
            </w:r>
          </w:p>
        </w:tc>
      </w:tr>
      <w:tr w:rsidR="00AF56FC" w14:paraId="254DE8B3" w14:textId="77777777" w:rsidTr="00AF56FC">
        <w:trPr>
          <w:trHeight w:hRule="exact" w:val="548"/>
        </w:trPr>
        <w:tc>
          <w:tcPr>
            <w:tcW w:w="2093" w:type="dxa"/>
            <w:tcBorders>
              <w:top w:val="single" w:sz="4" w:space="0" w:color="000000"/>
              <w:left w:val="single" w:sz="4" w:space="0" w:color="000000"/>
              <w:bottom w:val="single" w:sz="4" w:space="0" w:color="auto"/>
              <w:right w:val="single" w:sz="4" w:space="0" w:color="000000"/>
            </w:tcBorders>
            <w:vAlign w:val="center"/>
            <w:hideMark/>
          </w:tcPr>
          <w:p w14:paraId="6C33A19F" w14:textId="77777777" w:rsidR="00AF56FC" w:rsidRDefault="00AF56FC">
            <w:pPr>
              <w:autoSpaceDE w:val="0"/>
              <w:autoSpaceDN w:val="0"/>
              <w:adjustRightInd w:val="0"/>
              <w:ind w:left="887" w:right="868"/>
              <w:jc w:val="center"/>
              <w:rPr>
                <w:sz w:val="22"/>
                <w:szCs w:val="22"/>
              </w:rPr>
            </w:pPr>
            <w:r>
              <w:rPr>
                <w:sz w:val="22"/>
                <w:szCs w:val="22"/>
              </w:rPr>
              <w:t>&lt; 5</w:t>
            </w: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13CC4F2B" w14:textId="77777777" w:rsidR="00AF56FC" w:rsidRDefault="00AF56FC">
            <w:pPr>
              <w:autoSpaceDE w:val="0"/>
              <w:autoSpaceDN w:val="0"/>
              <w:adjustRightInd w:val="0"/>
              <w:ind w:left="854" w:right="835"/>
              <w:jc w:val="center"/>
              <w:rPr>
                <w:sz w:val="22"/>
                <w:szCs w:val="22"/>
              </w:rPr>
            </w:pPr>
            <w:r>
              <w:rPr>
                <w:sz w:val="22"/>
                <w:szCs w:val="22"/>
              </w:rPr>
              <w:t>&gt; 500</w:t>
            </w:r>
          </w:p>
          <w:p w14:paraId="2005E895" w14:textId="77777777" w:rsidR="00AF56FC" w:rsidRDefault="00AF56FC">
            <w:pPr>
              <w:autoSpaceDE w:val="0"/>
              <w:autoSpaceDN w:val="0"/>
              <w:adjustRightInd w:val="0"/>
              <w:ind w:left="880" w:right="775"/>
              <w:jc w:val="center"/>
              <w:rPr>
                <w:sz w:val="22"/>
                <w:szCs w:val="22"/>
              </w:rPr>
            </w:pPr>
            <w:r>
              <w:rPr>
                <w:sz w:val="22"/>
                <w:szCs w:val="22"/>
              </w:rPr>
              <w:t>(&gt; 5,6)</w:t>
            </w:r>
          </w:p>
        </w:tc>
        <w:tc>
          <w:tcPr>
            <w:tcW w:w="2409" w:type="dxa"/>
            <w:tcBorders>
              <w:top w:val="single" w:sz="4" w:space="0" w:color="000000"/>
              <w:left w:val="single" w:sz="4" w:space="0" w:color="000000"/>
              <w:bottom w:val="single" w:sz="4" w:space="0" w:color="auto"/>
              <w:right w:val="single" w:sz="4" w:space="0" w:color="000000"/>
            </w:tcBorders>
            <w:vAlign w:val="center"/>
            <w:hideMark/>
          </w:tcPr>
          <w:p w14:paraId="1DB86C4E" w14:textId="77777777" w:rsidR="00AF56FC" w:rsidRDefault="00AF56FC">
            <w:pPr>
              <w:autoSpaceDE w:val="0"/>
              <w:autoSpaceDN w:val="0"/>
              <w:adjustRightInd w:val="0"/>
              <w:ind w:left="969" w:right="949"/>
              <w:jc w:val="center"/>
              <w:rPr>
                <w:sz w:val="22"/>
                <w:szCs w:val="22"/>
              </w:rPr>
            </w:pPr>
            <w:r>
              <w:rPr>
                <w:sz w:val="22"/>
                <w:szCs w:val="22"/>
              </w:rPr>
              <w:t>12,5</w:t>
            </w:r>
          </w:p>
        </w:tc>
        <w:tc>
          <w:tcPr>
            <w:tcW w:w="2517" w:type="dxa"/>
            <w:tcBorders>
              <w:top w:val="single" w:sz="4" w:space="0" w:color="000000"/>
              <w:left w:val="single" w:sz="4" w:space="0" w:color="000000"/>
              <w:bottom w:val="single" w:sz="4" w:space="0" w:color="auto"/>
              <w:right w:val="single" w:sz="4" w:space="0" w:color="000000"/>
            </w:tcBorders>
            <w:vAlign w:val="center"/>
            <w:hideMark/>
          </w:tcPr>
          <w:p w14:paraId="471FAD73" w14:textId="77777777" w:rsidR="00AF56FC" w:rsidRDefault="00AF56FC">
            <w:pPr>
              <w:autoSpaceDE w:val="0"/>
              <w:autoSpaceDN w:val="0"/>
              <w:adjustRightInd w:val="0"/>
              <w:ind w:left="1095" w:right="1077"/>
              <w:jc w:val="center"/>
              <w:rPr>
                <w:sz w:val="22"/>
                <w:szCs w:val="22"/>
              </w:rPr>
            </w:pPr>
            <w:r>
              <w:rPr>
                <w:sz w:val="22"/>
                <w:szCs w:val="22"/>
              </w:rPr>
              <w:t>48</w:t>
            </w:r>
          </w:p>
        </w:tc>
      </w:tr>
      <w:tr w:rsidR="00AF56FC" w14:paraId="02CB94AC" w14:textId="77777777" w:rsidTr="00AF56FC">
        <w:trPr>
          <w:trHeight w:val="1022"/>
        </w:trPr>
        <w:tc>
          <w:tcPr>
            <w:tcW w:w="9287" w:type="dxa"/>
            <w:gridSpan w:val="4"/>
            <w:tcBorders>
              <w:top w:val="single" w:sz="4" w:space="0" w:color="000000"/>
              <w:left w:val="single" w:sz="4" w:space="0" w:color="000000"/>
              <w:bottom w:val="single" w:sz="4" w:space="0" w:color="000000"/>
              <w:right w:val="single" w:sz="4" w:space="0" w:color="000000"/>
            </w:tcBorders>
            <w:vAlign w:val="center"/>
            <w:hideMark/>
          </w:tcPr>
          <w:p w14:paraId="38E4DF4A" w14:textId="77777777" w:rsidR="00AF56FC" w:rsidRDefault="00AF56FC">
            <w:pPr>
              <w:autoSpaceDE w:val="0"/>
              <w:autoSpaceDN w:val="0"/>
              <w:adjustRightInd w:val="0"/>
              <w:ind w:left="326" w:right="-20" w:hanging="224"/>
              <w:rPr>
                <w:sz w:val="22"/>
                <w:szCs w:val="22"/>
              </w:rPr>
            </w:pPr>
            <w:r>
              <w:rPr>
                <w:sz w:val="22"/>
                <w:szCs w:val="22"/>
              </w:rPr>
              <w:t>* Serumkreatininværdierne er vejledende værdier, der ikke nøjagtigt angiver den samme reduktionsgrad for alle patienter med nedsat nyrefunktion.</w:t>
            </w:r>
          </w:p>
          <w:p w14:paraId="3F56DF91" w14:textId="77777777" w:rsidR="00AF56FC" w:rsidRDefault="00AF56FC">
            <w:pPr>
              <w:autoSpaceDE w:val="0"/>
              <w:autoSpaceDN w:val="0"/>
              <w:adjustRightInd w:val="0"/>
              <w:ind w:left="103" w:right="-20"/>
              <w:rPr>
                <w:sz w:val="22"/>
                <w:szCs w:val="22"/>
              </w:rPr>
            </w:pPr>
            <w:r>
              <w:rPr>
                <w:sz w:val="22"/>
                <w:szCs w:val="22"/>
              </w:rPr>
              <w:t>** Estimeret baseret på legemsoverflade eller målt.</w:t>
            </w:r>
          </w:p>
        </w:tc>
      </w:tr>
    </w:tbl>
    <w:p w14:paraId="5713398A" w14:textId="77777777" w:rsidR="00AF56FC" w:rsidRDefault="00AF56FC" w:rsidP="00AF56FC">
      <w:pPr>
        <w:autoSpaceDE w:val="0"/>
        <w:autoSpaceDN w:val="0"/>
        <w:adjustRightInd w:val="0"/>
        <w:rPr>
          <w:sz w:val="22"/>
          <w:szCs w:val="22"/>
          <w:lang w:eastAsia="zh-CN"/>
        </w:rPr>
      </w:pPr>
    </w:p>
    <w:p w14:paraId="17933FAD" w14:textId="77777777" w:rsidR="00AF56FC" w:rsidRPr="00AF56FC" w:rsidRDefault="00AF56FC" w:rsidP="00AF56FC">
      <w:pPr>
        <w:autoSpaceDE w:val="0"/>
        <w:autoSpaceDN w:val="0"/>
        <w:adjustRightInd w:val="0"/>
        <w:ind w:left="851"/>
        <w:rPr>
          <w:sz w:val="24"/>
          <w:szCs w:val="24"/>
        </w:rPr>
      </w:pPr>
      <w:r w:rsidRPr="00AF56FC">
        <w:rPr>
          <w:sz w:val="24"/>
          <w:szCs w:val="24"/>
        </w:rPr>
        <w:t xml:space="preserve">Tæt klinisk overvågning af sikkerhed og virkning tilrådes. </w:t>
      </w:r>
    </w:p>
    <w:p w14:paraId="6C939DBC" w14:textId="007892AF" w:rsidR="00AF56FC" w:rsidRDefault="00AF56FC" w:rsidP="00AF56FC">
      <w:pPr>
        <w:rPr>
          <w:sz w:val="22"/>
          <w:szCs w:val="22"/>
          <w:u w:val="single"/>
        </w:rPr>
      </w:pPr>
    </w:p>
    <w:p w14:paraId="76173832" w14:textId="77777777" w:rsidR="00AF56FC" w:rsidRDefault="00AF56FC" w:rsidP="00AF56FC">
      <w:pPr>
        <w:tabs>
          <w:tab w:val="left" w:pos="900"/>
        </w:tabs>
        <w:autoSpaceDE w:val="0"/>
        <w:autoSpaceDN w:val="0"/>
        <w:adjustRightInd w:val="0"/>
        <w:ind w:left="900" w:hanging="900"/>
        <w:rPr>
          <w:sz w:val="22"/>
          <w:szCs w:val="22"/>
          <w:u w:val="single"/>
        </w:rPr>
      </w:pPr>
      <w:r>
        <w:rPr>
          <w:sz w:val="22"/>
          <w:szCs w:val="22"/>
          <w:u w:val="single"/>
        </w:rPr>
        <w:t xml:space="preserve">Tabel 4.: Anbefalede vedligeholdelsesdoser af Ceftazidim "Hameln" ved nedsat nyrefunktion – kontinuerlig infusion </w:t>
      </w:r>
    </w:p>
    <w:p w14:paraId="73D3BC97" w14:textId="77777777" w:rsidR="00AF56FC" w:rsidRDefault="00AF56FC" w:rsidP="00AF56FC">
      <w:pPr>
        <w:jc w:val="both"/>
        <w:rPr>
          <w:i/>
          <w:iCs/>
          <w:sz w:val="22"/>
          <w:szCs w:val="22"/>
        </w:rPr>
      </w:pPr>
    </w:p>
    <w:p w14:paraId="1CF6D263" w14:textId="77777777" w:rsidR="00AF56FC" w:rsidRDefault="00AF56FC" w:rsidP="00AF56FC">
      <w:pPr>
        <w:jc w:val="both"/>
        <w:rPr>
          <w:sz w:val="22"/>
          <w:szCs w:val="22"/>
        </w:rPr>
      </w:pPr>
      <w:r>
        <w:rPr>
          <w:i/>
          <w:iCs/>
          <w:sz w:val="22"/>
          <w:szCs w:val="22"/>
        </w:rPr>
        <w:t xml:space="preserve">Voksne og børn ≥ 40 kg </w:t>
      </w:r>
    </w:p>
    <w:tbl>
      <w:tblPr>
        <w:tblW w:w="0" w:type="auto"/>
        <w:tblInd w:w="101" w:type="dxa"/>
        <w:tblLayout w:type="fixed"/>
        <w:tblCellMar>
          <w:left w:w="0" w:type="dxa"/>
          <w:right w:w="0" w:type="dxa"/>
        </w:tblCellMar>
        <w:tblLook w:val="04A0" w:firstRow="1" w:lastRow="0" w:firstColumn="1" w:lastColumn="0" w:noHBand="0" w:noVBand="1"/>
      </w:tblPr>
      <w:tblGrid>
        <w:gridCol w:w="3491"/>
        <w:gridCol w:w="2533"/>
        <w:gridCol w:w="2709"/>
      </w:tblGrid>
      <w:tr w:rsidR="00AF56FC" w14:paraId="75246809"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43F1D83C" w14:textId="77777777" w:rsidR="00AF56FC" w:rsidRDefault="00AF56FC">
            <w:pPr>
              <w:autoSpaceDE w:val="0"/>
              <w:autoSpaceDN w:val="0"/>
              <w:adjustRightInd w:val="0"/>
              <w:jc w:val="center"/>
              <w:rPr>
                <w:sz w:val="22"/>
                <w:szCs w:val="22"/>
              </w:rPr>
            </w:pPr>
            <w:r>
              <w:rPr>
                <w:sz w:val="22"/>
                <w:szCs w:val="22"/>
              </w:rPr>
              <w:t>Kreatininclearance</w:t>
            </w:r>
          </w:p>
          <w:p w14:paraId="30015F72" w14:textId="77777777" w:rsidR="00AF56FC" w:rsidRDefault="00AF56FC">
            <w:pPr>
              <w:autoSpaceDE w:val="0"/>
              <w:autoSpaceDN w:val="0"/>
              <w:adjustRightInd w:val="0"/>
              <w:jc w:val="center"/>
              <w:rPr>
                <w:sz w:val="22"/>
                <w:szCs w:val="22"/>
              </w:rPr>
            </w:pPr>
            <w:r>
              <w:rPr>
                <w:sz w:val="22"/>
                <w:szCs w:val="22"/>
              </w:rPr>
              <w:t>[ml/min]</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3FB77699" w14:textId="77777777" w:rsidR="00AF56FC" w:rsidRDefault="00AF56FC">
            <w:pPr>
              <w:autoSpaceDE w:val="0"/>
              <w:autoSpaceDN w:val="0"/>
              <w:adjustRightInd w:val="0"/>
              <w:jc w:val="center"/>
              <w:rPr>
                <w:sz w:val="22"/>
                <w:szCs w:val="22"/>
              </w:rPr>
            </w:pPr>
            <w:r>
              <w:rPr>
                <w:sz w:val="22"/>
                <w:szCs w:val="22"/>
              </w:rPr>
              <w:t xml:space="preserve">Omtrentlig serumkreatinin </w:t>
            </w:r>
          </w:p>
          <w:p w14:paraId="7C4DB1C8" w14:textId="77777777" w:rsidR="00AF56FC" w:rsidRDefault="00AF56FC">
            <w:pPr>
              <w:autoSpaceDE w:val="0"/>
              <w:autoSpaceDN w:val="0"/>
              <w:adjustRightInd w:val="0"/>
              <w:jc w:val="center"/>
              <w:rPr>
                <w:sz w:val="22"/>
                <w:szCs w:val="22"/>
              </w:rPr>
            </w:pPr>
            <w:r>
              <w:rPr>
                <w:sz w:val="22"/>
                <w:szCs w:val="22"/>
              </w:rPr>
              <w:t>[µmol/l] (mg/dl)</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4BAA3C91" w14:textId="77777777" w:rsidR="00AF56FC" w:rsidRDefault="00AF56FC">
            <w:pPr>
              <w:autoSpaceDE w:val="0"/>
              <w:autoSpaceDN w:val="0"/>
              <w:adjustRightInd w:val="0"/>
              <w:jc w:val="center"/>
              <w:rPr>
                <w:sz w:val="22"/>
                <w:szCs w:val="22"/>
              </w:rPr>
            </w:pPr>
            <w:r>
              <w:rPr>
                <w:sz w:val="22"/>
                <w:szCs w:val="22"/>
              </w:rPr>
              <w:t>Doseringshyppighed</w:t>
            </w:r>
          </w:p>
          <w:p w14:paraId="5CE26AB4" w14:textId="77777777" w:rsidR="00AF56FC" w:rsidRDefault="00AF56FC">
            <w:pPr>
              <w:autoSpaceDE w:val="0"/>
              <w:autoSpaceDN w:val="0"/>
              <w:adjustRightInd w:val="0"/>
              <w:jc w:val="center"/>
              <w:rPr>
                <w:sz w:val="22"/>
                <w:szCs w:val="22"/>
              </w:rPr>
            </w:pPr>
            <w:r>
              <w:rPr>
                <w:sz w:val="22"/>
                <w:szCs w:val="22"/>
              </w:rPr>
              <w:t>[timeintervaller]</w:t>
            </w:r>
          </w:p>
        </w:tc>
      </w:tr>
      <w:tr w:rsidR="00AF56FC" w14:paraId="67401A58"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10B809A6" w14:textId="77777777" w:rsidR="00AF56FC" w:rsidRDefault="00AF56FC">
            <w:pPr>
              <w:autoSpaceDE w:val="0"/>
              <w:autoSpaceDN w:val="0"/>
              <w:adjustRightInd w:val="0"/>
              <w:jc w:val="center"/>
              <w:rPr>
                <w:sz w:val="22"/>
                <w:szCs w:val="22"/>
              </w:rPr>
            </w:pPr>
            <w:r>
              <w:rPr>
                <w:sz w:val="22"/>
                <w:szCs w:val="22"/>
              </w:rPr>
              <w:t>50</w:t>
            </w:r>
            <w:r>
              <w:rPr>
                <w:sz w:val="22"/>
                <w:szCs w:val="22"/>
              </w:rPr>
              <w:noBreakHyphen/>
              <w:t>31</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7F56D9D3" w14:textId="77777777" w:rsidR="00AF56FC" w:rsidRDefault="00AF56FC">
            <w:pPr>
              <w:autoSpaceDE w:val="0"/>
              <w:autoSpaceDN w:val="0"/>
              <w:adjustRightInd w:val="0"/>
              <w:jc w:val="center"/>
              <w:rPr>
                <w:sz w:val="22"/>
                <w:szCs w:val="22"/>
              </w:rPr>
            </w:pPr>
            <w:r>
              <w:rPr>
                <w:sz w:val="22"/>
                <w:szCs w:val="22"/>
              </w:rPr>
              <w:t>150</w:t>
            </w:r>
            <w:r>
              <w:rPr>
                <w:sz w:val="22"/>
                <w:szCs w:val="22"/>
              </w:rPr>
              <w:noBreakHyphen/>
              <w:t xml:space="preserve">200 </w:t>
            </w:r>
          </w:p>
          <w:p w14:paraId="41EF8085" w14:textId="77777777" w:rsidR="00AF56FC" w:rsidRDefault="00AF56FC">
            <w:pPr>
              <w:autoSpaceDE w:val="0"/>
              <w:autoSpaceDN w:val="0"/>
              <w:adjustRightInd w:val="0"/>
              <w:jc w:val="center"/>
              <w:rPr>
                <w:sz w:val="22"/>
                <w:szCs w:val="22"/>
              </w:rPr>
            </w:pPr>
            <w:r>
              <w:rPr>
                <w:sz w:val="22"/>
                <w:szCs w:val="22"/>
              </w:rPr>
              <w:t>(1,7</w:t>
            </w:r>
            <w:r>
              <w:rPr>
                <w:sz w:val="22"/>
                <w:szCs w:val="22"/>
              </w:rPr>
              <w:noBreakHyphen/>
              <w:t>2,3)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C223460" w14:textId="77777777" w:rsidR="00AF56FC" w:rsidRDefault="00AF56FC">
            <w:pPr>
              <w:autoSpaceDE w:val="0"/>
              <w:autoSpaceDN w:val="0"/>
              <w:adjustRightInd w:val="0"/>
              <w:jc w:val="center"/>
              <w:rPr>
                <w:sz w:val="22"/>
                <w:szCs w:val="22"/>
              </w:rPr>
            </w:pPr>
            <w:r>
              <w:rPr>
                <w:sz w:val="22"/>
                <w:szCs w:val="22"/>
              </w:rPr>
              <w:t>Støddosis på 2 g efterfulgt af 1 g til 3 g hver 24. time</w:t>
            </w:r>
          </w:p>
        </w:tc>
      </w:tr>
      <w:tr w:rsidR="00AF56FC" w14:paraId="352E6B60"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213F8926" w14:textId="77777777" w:rsidR="00AF56FC" w:rsidRDefault="00AF56FC">
            <w:pPr>
              <w:autoSpaceDE w:val="0"/>
              <w:autoSpaceDN w:val="0"/>
              <w:adjustRightInd w:val="0"/>
              <w:jc w:val="center"/>
              <w:rPr>
                <w:sz w:val="22"/>
                <w:szCs w:val="22"/>
              </w:rPr>
            </w:pPr>
            <w:r>
              <w:rPr>
                <w:sz w:val="22"/>
                <w:szCs w:val="22"/>
              </w:rPr>
              <w:t>30</w:t>
            </w:r>
            <w:r>
              <w:rPr>
                <w:sz w:val="22"/>
                <w:szCs w:val="22"/>
              </w:rPr>
              <w:noBreakHyphen/>
              <w:t>16</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1D7D2EDA" w14:textId="77777777" w:rsidR="00AF56FC" w:rsidRDefault="00AF56FC">
            <w:pPr>
              <w:autoSpaceDE w:val="0"/>
              <w:autoSpaceDN w:val="0"/>
              <w:adjustRightInd w:val="0"/>
              <w:jc w:val="center"/>
              <w:rPr>
                <w:sz w:val="22"/>
                <w:szCs w:val="22"/>
              </w:rPr>
            </w:pPr>
            <w:r>
              <w:rPr>
                <w:sz w:val="22"/>
                <w:szCs w:val="22"/>
              </w:rPr>
              <w:t>200</w:t>
            </w:r>
            <w:r>
              <w:rPr>
                <w:sz w:val="22"/>
                <w:szCs w:val="22"/>
              </w:rPr>
              <w:noBreakHyphen/>
              <w:t>350</w:t>
            </w:r>
          </w:p>
          <w:p w14:paraId="667B35F0" w14:textId="77777777" w:rsidR="00AF56FC" w:rsidRDefault="00AF56FC">
            <w:pPr>
              <w:autoSpaceDE w:val="0"/>
              <w:autoSpaceDN w:val="0"/>
              <w:adjustRightInd w:val="0"/>
              <w:jc w:val="center"/>
              <w:rPr>
                <w:sz w:val="22"/>
                <w:szCs w:val="22"/>
              </w:rPr>
            </w:pPr>
            <w:r>
              <w:rPr>
                <w:sz w:val="22"/>
                <w:szCs w:val="22"/>
              </w:rPr>
              <w:t>(2,3</w:t>
            </w:r>
            <w:r>
              <w:rPr>
                <w:sz w:val="22"/>
                <w:szCs w:val="22"/>
              </w:rPr>
              <w:noBreakHyphen/>
              <w:t>4,0)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FD122BD" w14:textId="77777777" w:rsidR="00AF56FC" w:rsidRDefault="00AF56FC">
            <w:pPr>
              <w:autoSpaceDE w:val="0"/>
              <w:autoSpaceDN w:val="0"/>
              <w:adjustRightInd w:val="0"/>
              <w:jc w:val="center"/>
              <w:rPr>
                <w:sz w:val="22"/>
                <w:szCs w:val="22"/>
              </w:rPr>
            </w:pPr>
            <w:r>
              <w:rPr>
                <w:sz w:val="22"/>
                <w:szCs w:val="22"/>
              </w:rPr>
              <w:t>Støddosis på 2 g efterfulgt af 1 g hver 24. time</w:t>
            </w:r>
          </w:p>
        </w:tc>
      </w:tr>
      <w:tr w:rsidR="00AF56FC" w14:paraId="4E99DD5F"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50DA1CFD" w14:textId="77777777" w:rsidR="00AF56FC" w:rsidRDefault="00AF56FC">
            <w:pPr>
              <w:autoSpaceDE w:val="0"/>
              <w:autoSpaceDN w:val="0"/>
              <w:adjustRightInd w:val="0"/>
              <w:jc w:val="center"/>
              <w:rPr>
                <w:sz w:val="22"/>
                <w:szCs w:val="22"/>
              </w:rPr>
            </w:pPr>
            <w:r>
              <w:rPr>
                <w:sz w:val="22"/>
                <w:szCs w:val="22"/>
              </w:rPr>
              <w:t>≤ 15</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5A96EAF4" w14:textId="77777777" w:rsidR="00AF56FC" w:rsidRDefault="00AF56FC">
            <w:pPr>
              <w:autoSpaceDE w:val="0"/>
              <w:autoSpaceDN w:val="0"/>
              <w:adjustRightInd w:val="0"/>
              <w:jc w:val="center"/>
              <w:rPr>
                <w:sz w:val="22"/>
                <w:szCs w:val="22"/>
              </w:rPr>
            </w:pPr>
            <w:r>
              <w:rPr>
                <w:sz w:val="22"/>
                <w:szCs w:val="22"/>
              </w:rPr>
              <w:t>&gt; 350</w:t>
            </w:r>
          </w:p>
          <w:p w14:paraId="6AC072B2" w14:textId="77777777" w:rsidR="00AF56FC" w:rsidRDefault="00AF56FC">
            <w:pPr>
              <w:autoSpaceDE w:val="0"/>
              <w:autoSpaceDN w:val="0"/>
              <w:adjustRightInd w:val="0"/>
              <w:jc w:val="center"/>
              <w:rPr>
                <w:sz w:val="22"/>
                <w:szCs w:val="22"/>
              </w:rPr>
            </w:pPr>
            <w:r>
              <w:rPr>
                <w:sz w:val="22"/>
                <w:szCs w:val="22"/>
              </w:rPr>
              <w:t>(&gt; 4,0)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73FD119E" w14:textId="77777777" w:rsidR="00AF56FC" w:rsidRDefault="00AF56FC">
            <w:pPr>
              <w:autoSpaceDE w:val="0"/>
              <w:autoSpaceDN w:val="0"/>
              <w:adjustRightInd w:val="0"/>
              <w:jc w:val="center"/>
              <w:rPr>
                <w:sz w:val="22"/>
                <w:szCs w:val="22"/>
              </w:rPr>
            </w:pPr>
            <w:r>
              <w:rPr>
                <w:sz w:val="22"/>
                <w:szCs w:val="22"/>
              </w:rPr>
              <w:t>Ikke evalueret</w:t>
            </w:r>
          </w:p>
        </w:tc>
      </w:tr>
    </w:tbl>
    <w:p w14:paraId="7FCE72D4" w14:textId="77777777" w:rsidR="00AF56FC" w:rsidRDefault="00AF56FC" w:rsidP="00AF56FC">
      <w:pPr>
        <w:pStyle w:val="Default"/>
        <w:rPr>
          <w:color w:val="auto"/>
          <w:sz w:val="22"/>
          <w:szCs w:val="22"/>
          <w:lang w:val="da-DK"/>
        </w:rPr>
      </w:pPr>
    </w:p>
    <w:p w14:paraId="2E182FBE" w14:textId="77777777" w:rsidR="00AF56FC" w:rsidRPr="00AF56FC" w:rsidRDefault="00AF56FC" w:rsidP="00AF56FC">
      <w:pPr>
        <w:pStyle w:val="Default"/>
        <w:ind w:left="851"/>
        <w:rPr>
          <w:color w:val="auto"/>
          <w:lang w:val="da-DK"/>
        </w:rPr>
      </w:pPr>
      <w:r w:rsidRPr="00AF56FC">
        <w:rPr>
          <w:color w:val="auto"/>
          <w:lang w:val="da-DK"/>
        </w:rPr>
        <w:t xml:space="preserve">Der bør udvises forsigtighed ved valg af dosis. Tæt klinisk overvågning af sikkerhed og virkning tilrådes. </w:t>
      </w:r>
    </w:p>
    <w:p w14:paraId="70EC6842" w14:textId="77777777" w:rsidR="00AF56FC" w:rsidRPr="00AF56FC" w:rsidRDefault="00AF56FC" w:rsidP="00AF56FC">
      <w:pPr>
        <w:pStyle w:val="Default"/>
        <w:ind w:left="851"/>
        <w:rPr>
          <w:i/>
          <w:iCs/>
          <w:color w:val="auto"/>
          <w:lang w:val="da-DK"/>
        </w:rPr>
      </w:pPr>
    </w:p>
    <w:p w14:paraId="38689CD2" w14:textId="77777777" w:rsidR="00AF56FC" w:rsidRPr="00AF56FC" w:rsidRDefault="00AF56FC" w:rsidP="00AF56FC">
      <w:pPr>
        <w:pStyle w:val="Default"/>
        <w:ind w:left="851"/>
        <w:rPr>
          <w:color w:val="auto"/>
          <w:lang w:val="da-DK"/>
        </w:rPr>
      </w:pPr>
      <w:r w:rsidRPr="00AF56FC">
        <w:rPr>
          <w:i/>
          <w:iCs/>
          <w:color w:val="auto"/>
          <w:lang w:val="da-DK"/>
        </w:rPr>
        <w:t xml:space="preserve">Børn &lt; 40 kg </w:t>
      </w:r>
    </w:p>
    <w:p w14:paraId="7516A725" w14:textId="77777777" w:rsidR="00AF56FC" w:rsidRPr="00AF56FC" w:rsidRDefault="00AF56FC" w:rsidP="00AF56FC">
      <w:pPr>
        <w:pStyle w:val="Default"/>
        <w:ind w:left="851"/>
        <w:rPr>
          <w:color w:val="auto"/>
          <w:lang w:val="da-DK"/>
        </w:rPr>
      </w:pPr>
      <w:r w:rsidRPr="00AF56FC">
        <w:rPr>
          <w:color w:val="auto"/>
          <w:lang w:val="da-DK"/>
        </w:rPr>
        <w:t xml:space="preserve">Ceftazidim "Hameln"'s sikkerhed og virkning administreret som kontinuerlig infusion hos børn &lt; 40 kg med nedsat nyrefunktion er ikke klarlagt.  Tæt klinisk overvågning af sikkerhed og virkning tilrådes. </w:t>
      </w:r>
    </w:p>
    <w:p w14:paraId="011722B8" w14:textId="77777777" w:rsidR="00AF56FC" w:rsidRPr="00AF56FC" w:rsidRDefault="00AF56FC" w:rsidP="00AF56FC">
      <w:pPr>
        <w:pStyle w:val="Default"/>
        <w:ind w:left="851"/>
        <w:rPr>
          <w:color w:val="auto"/>
          <w:lang w:val="da-DK"/>
        </w:rPr>
      </w:pPr>
    </w:p>
    <w:p w14:paraId="6F9B8C16" w14:textId="77777777" w:rsidR="00AF56FC" w:rsidRPr="00AF56FC" w:rsidRDefault="00AF56FC" w:rsidP="00AF56FC">
      <w:pPr>
        <w:pStyle w:val="Default"/>
        <w:ind w:left="851"/>
        <w:rPr>
          <w:color w:val="auto"/>
          <w:lang w:val="da-DK"/>
        </w:rPr>
      </w:pPr>
      <w:r w:rsidRPr="00AF56FC">
        <w:rPr>
          <w:color w:val="auto"/>
          <w:lang w:val="da-DK"/>
        </w:rPr>
        <w:t>Hvis kontinuerlig infusion anvendes til børn med nedsat nyrefunktion skal kreatininclearance justeres i henhold til legemsoverfladeareal eller fedtfri legemsvægt (</w:t>
      </w:r>
      <w:r w:rsidRPr="00AF56FC">
        <w:rPr>
          <w:i/>
          <w:iCs/>
          <w:color w:val="auto"/>
          <w:lang w:val="da-DK"/>
        </w:rPr>
        <w:t>lean body mass</w:t>
      </w:r>
      <w:r w:rsidRPr="00AF56FC">
        <w:rPr>
          <w:color w:val="auto"/>
          <w:lang w:val="da-DK"/>
        </w:rPr>
        <w:t xml:space="preserve">). </w:t>
      </w:r>
    </w:p>
    <w:p w14:paraId="3D5A1E61" w14:textId="77777777" w:rsidR="00AF56FC" w:rsidRPr="00AF56FC" w:rsidRDefault="00AF56FC" w:rsidP="00AF56FC">
      <w:pPr>
        <w:pStyle w:val="Default"/>
        <w:ind w:left="851"/>
        <w:rPr>
          <w:color w:val="auto"/>
          <w:u w:val="single"/>
          <w:lang w:val="da-DK"/>
        </w:rPr>
      </w:pPr>
    </w:p>
    <w:p w14:paraId="454C5451" w14:textId="77777777" w:rsidR="00AF56FC" w:rsidRPr="00AF56FC" w:rsidRDefault="00AF56FC" w:rsidP="00AF56FC">
      <w:pPr>
        <w:pStyle w:val="Default"/>
        <w:ind w:left="851"/>
        <w:rPr>
          <w:color w:val="auto"/>
          <w:lang w:val="da-DK"/>
        </w:rPr>
      </w:pPr>
      <w:r w:rsidRPr="00AF56FC">
        <w:rPr>
          <w:color w:val="auto"/>
          <w:u w:val="single"/>
          <w:lang w:val="da-DK"/>
        </w:rPr>
        <w:t xml:space="preserve">Hæmodialyse </w:t>
      </w:r>
    </w:p>
    <w:p w14:paraId="1C4B828B" w14:textId="77777777" w:rsidR="00AF56FC" w:rsidRPr="00AF56FC" w:rsidRDefault="00AF56FC" w:rsidP="00AF56FC">
      <w:pPr>
        <w:pStyle w:val="Default"/>
        <w:ind w:left="851"/>
        <w:rPr>
          <w:color w:val="auto"/>
          <w:lang w:val="da-DK"/>
        </w:rPr>
      </w:pPr>
      <w:r w:rsidRPr="00AF56FC">
        <w:rPr>
          <w:color w:val="auto"/>
          <w:lang w:val="da-DK"/>
        </w:rPr>
        <w:t xml:space="preserve">Halveringstiden i serum under hæmodialyse er i intervallet fra 3 til 5 timer. </w:t>
      </w:r>
    </w:p>
    <w:p w14:paraId="17DBBD2E" w14:textId="77777777" w:rsidR="00AF56FC" w:rsidRPr="00AF56FC" w:rsidRDefault="00AF56FC" w:rsidP="00AF56FC">
      <w:pPr>
        <w:ind w:left="851"/>
        <w:jc w:val="both"/>
        <w:rPr>
          <w:sz w:val="24"/>
          <w:szCs w:val="24"/>
        </w:rPr>
      </w:pPr>
    </w:p>
    <w:p w14:paraId="63F54767" w14:textId="77777777" w:rsidR="00AF56FC" w:rsidRPr="00AF56FC" w:rsidRDefault="00AF56FC" w:rsidP="00AF56FC">
      <w:pPr>
        <w:ind w:left="851"/>
        <w:rPr>
          <w:sz w:val="24"/>
          <w:szCs w:val="24"/>
        </w:rPr>
      </w:pPr>
      <w:r w:rsidRPr="00AF56FC">
        <w:rPr>
          <w:sz w:val="24"/>
          <w:szCs w:val="24"/>
        </w:rPr>
        <w:t xml:space="preserve">Efter hver hæmodialyseperiode skal den vedligeholdelsesdosis af ceftazidim, der anbefales i tabellen nedenfor, gentages. </w:t>
      </w:r>
    </w:p>
    <w:p w14:paraId="53C13560" w14:textId="2C9FED76" w:rsidR="00AF56FC" w:rsidRDefault="00AF56FC">
      <w:pPr>
        <w:rPr>
          <w:sz w:val="24"/>
          <w:szCs w:val="24"/>
          <w:u w:val="single"/>
        </w:rPr>
      </w:pPr>
      <w:r>
        <w:rPr>
          <w:sz w:val="24"/>
          <w:szCs w:val="24"/>
          <w:u w:val="single"/>
        </w:rPr>
        <w:br w:type="page"/>
      </w:r>
    </w:p>
    <w:p w14:paraId="0E658FF4" w14:textId="77777777" w:rsidR="00AF56FC" w:rsidRPr="00AF56FC" w:rsidRDefault="00AF56FC" w:rsidP="00AF56FC">
      <w:pPr>
        <w:autoSpaceDE w:val="0"/>
        <w:autoSpaceDN w:val="0"/>
        <w:adjustRightInd w:val="0"/>
        <w:ind w:left="851"/>
        <w:rPr>
          <w:sz w:val="24"/>
          <w:szCs w:val="24"/>
          <w:u w:val="single"/>
        </w:rPr>
      </w:pPr>
    </w:p>
    <w:p w14:paraId="3629807D" w14:textId="77777777" w:rsidR="00AF56FC" w:rsidRPr="00AF56FC" w:rsidRDefault="00AF56FC" w:rsidP="00AF56FC">
      <w:pPr>
        <w:autoSpaceDE w:val="0"/>
        <w:autoSpaceDN w:val="0"/>
        <w:adjustRightInd w:val="0"/>
        <w:ind w:left="851"/>
        <w:rPr>
          <w:sz w:val="24"/>
          <w:szCs w:val="24"/>
        </w:rPr>
      </w:pPr>
      <w:r w:rsidRPr="00AF56FC">
        <w:rPr>
          <w:sz w:val="24"/>
          <w:szCs w:val="24"/>
          <w:u w:val="single"/>
        </w:rPr>
        <w:t xml:space="preserve">Peritonealdialyse </w:t>
      </w:r>
    </w:p>
    <w:p w14:paraId="7133025D" w14:textId="77777777" w:rsidR="00AF56FC" w:rsidRPr="00AF56FC" w:rsidRDefault="00AF56FC" w:rsidP="00AF56FC">
      <w:pPr>
        <w:autoSpaceDE w:val="0"/>
        <w:autoSpaceDN w:val="0"/>
        <w:adjustRightInd w:val="0"/>
        <w:ind w:left="851"/>
        <w:rPr>
          <w:sz w:val="24"/>
          <w:szCs w:val="24"/>
        </w:rPr>
      </w:pPr>
      <w:r w:rsidRPr="00AF56FC">
        <w:rPr>
          <w:sz w:val="24"/>
          <w:szCs w:val="24"/>
        </w:rPr>
        <w:t xml:space="preserve">Ceftazidim kan anvendes ved peritonealdialyse og kontinuerlig ambulant peritonealdialyse (CAPD). </w:t>
      </w:r>
    </w:p>
    <w:p w14:paraId="4CEEAA83" w14:textId="77777777" w:rsidR="00AF56FC" w:rsidRPr="00AF56FC" w:rsidRDefault="00AF56FC" w:rsidP="00AF56FC">
      <w:pPr>
        <w:autoSpaceDE w:val="0"/>
        <w:autoSpaceDN w:val="0"/>
        <w:adjustRightInd w:val="0"/>
        <w:ind w:left="851"/>
        <w:rPr>
          <w:sz w:val="24"/>
          <w:szCs w:val="24"/>
        </w:rPr>
      </w:pPr>
    </w:p>
    <w:p w14:paraId="7B103FD3" w14:textId="77777777" w:rsidR="00AF56FC" w:rsidRPr="00AF56FC" w:rsidRDefault="00AF56FC" w:rsidP="00AF56FC">
      <w:pPr>
        <w:autoSpaceDE w:val="0"/>
        <w:autoSpaceDN w:val="0"/>
        <w:adjustRightInd w:val="0"/>
        <w:ind w:left="851"/>
        <w:rPr>
          <w:sz w:val="24"/>
          <w:szCs w:val="24"/>
        </w:rPr>
      </w:pPr>
      <w:r w:rsidRPr="00AF56FC">
        <w:rPr>
          <w:sz w:val="24"/>
          <w:szCs w:val="24"/>
        </w:rPr>
        <w:t xml:space="preserve">Foruden intravenøs anvendelse kan ceftazidim anvendes i dialysevæsken (sædvanligvis 125 til 250 mg til 2 liter dialyseopløsning). </w:t>
      </w:r>
    </w:p>
    <w:p w14:paraId="396D727F" w14:textId="77777777" w:rsidR="00AF56FC" w:rsidRPr="00AF56FC" w:rsidRDefault="00AF56FC" w:rsidP="00AF56FC">
      <w:pPr>
        <w:autoSpaceDE w:val="0"/>
        <w:autoSpaceDN w:val="0"/>
        <w:adjustRightInd w:val="0"/>
        <w:ind w:left="851"/>
        <w:rPr>
          <w:sz w:val="24"/>
          <w:szCs w:val="24"/>
        </w:rPr>
      </w:pPr>
    </w:p>
    <w:p w14:paraId="36CE3AE5" w14:textId="77777777" w:rsidR="00AF56FC" w:rsidRPr="00AF56FC" w:rsidRDefault="00AF56FC" w:rsidP="00AF56FC">
      <w:pPr>
        <w:autoSpaceDE w:val="0"/>
        <w:autoSpaceDN w:val="0"/>
        <w:adjustRightInd w:val="0"/>
        <w:ind w:left="851"/>
        <w:rPr>
          <w:sz w:val="24"/>
          <w:szCs w:val="24"/>
        </w:rPr>
      </w:pPr>
      <w:r w:rsidRPr="00AF56FC">
        <w:rPr>
          <w:sz w:val="24"/>
          <w:szCs w:val="24"/>
        </w:rPr>
        <w:t>Patienter med nyresvigt i kontinuerlig arterio-venøs hæmodialyse eller high-flux-hæmofiltration på intensivafdelinger: 1 g dagligt enten som enkeltdosis eller fordelt på flere doser. Ved low-flux-hæmofiltration anvendes den dosis, der anbefales under nedsat nyrefunktion.</w:t>
      </w:r>
    </w:p>
    <w:p w14:paraId="20B624FB" w14:textId="77777777" w:rsidR="00AF56FC" w:rsidRPr="00AF56FC" w:rsidRDefault="00AF56FC" w:rsidP="00AF56FC">
      <w:pPr>
        <w:autoSpaceDE w:val="0"/>
        <w:autoSpaceDN w:val="0"/>
        <w:adjustRightInd w:val="0"/>
        <w:ind w:left="851"/>
        <w:rPr>
          <w:sz w:val="24"/>
          <w:szCs w:val="24"/>
        </w:rPr>
      </w:pPr>
    </w:p>
    <w:p w14:paraId="06B57718" w14:textId="77777777" w:rsidR="00AF56FC" w:rsidRPr="00AF56FC" w:rsidRDefault="00AF56FC" w:rsidP="00AF56FC">
      <w:pPr>
        <w:autoSpaceDE w:val="0"/>
        <w:autoSpaceDN w:val="0"/>
        <w:adjustRightInd w:val="0"/>
        <w:ind w:left="851"/>
        <w:rPr>
          <w:sz w:val="24"/>
          <w:szCs w:val="24"/>
        </w:rPr>
      </w:pPr>
      <w:r w:rsidRPr="00AF56FC">
        <w:rPr>
          <w:sz w:val="24"/>
          <w:szCs w:val="24"/>
        </w:rPr>
        <w:t>Til patienter, som behandles med venovenøs hæmofiltration eller venovenøs hæmodialyse, følges doseringsanbefalingerne i tabellerne nedenfor.</w:t>
      </w:r>
    </w:p>
    <w:p w14:paraId="7AA69940" w14:textId="77777777" w:rsidR="00AF56FC" w:rsidRPr="00AF56FC" w:rsidRDefault="00AF56FC" w:rsidP="00AF56FC">
      <w:pPr>
        <w:ind w:left="851"/>
        <w:jc w:val="both"/>
        <w:rPr>
          <w:sz w:val="24"/>
          <w:szCs w:val="24"/>
          <w:u w:val="single"/>
        </w:rPr>
      </w:pPr>
    </w:p>
    <w:p w14:paraId="64521BAB" w14:textId="77777777" w:rsidR="00AF56FC" w:rsidRDefault="00AF56FC" w:rsidP="00AF56FC">
      <w:pPr>
        <w:tabs>
          <w:tab w:val="left" w:pos="900"/>
        </w:tabs>
        <w:jc w:val="both"/>
        <w:rPr>
          <w:sz w:val="22"/>
          <w:szCs w:val="22"/>
          <w:u w:val="single"/>
        </w:rPr>
      </w:pPr>
      <w:r>
        <w:rPr>
          <w:sz w:val="22"/>
          <w:szCs w:val="22"/>
          <w:u w:val="single"/>
        </w:rPr>
        <w:t>Tabel 5.: Doseringsvejledning ved kontinuerlig venovenøs hæmofiltration</w:t>
      </w:r>
    </w:p>
    <w:p w14:paraId="3CFC4CDB" w14:textId="77777777" w:rsidR="00AF56FC" w:rsidRDefault="00AF56FC" w:rsidP="00AF56FC">
      <w:pPr>
        <w:autoSpaceDE w:val="0"/>
        <w:autoSpaceDN w:val="0"/>
        <w:adjustRightInd w:val="0"/>
        <w:rPr>
          <w:sz w:val="22"/>
          <w:szCs w:val="22"/>
        </w:rPr>
      </w:pPr>
    </w:p>
    <w:tbl>
      <w:tblPr>
        <w:tblW w:w="0" w:type="auto"/>
        <w:tblInd w:w="102" w:type="dxa"/>
        <w:tblLayout w:type="fixed"/>
        <w:tblCellMar>
          <w:left w:w="0" w:type="dxa"/>
          <w:right w:w="0" w:type="dxa"/>
        </w:tblCellMar>
        <w:tblLook w:val="04A0" w:firstRow="1" w:lastRow="0" w:firstColumn="1" w:lastColumn="0" w:noHBand="0" w:noVBand="1"/>
      </w:tblPr>
      <w:tblGrid>
        <w:gridCol w:w="1913"/>
        <w:gridCol w:w="1771"/>
        <w:gridCol w:w="1842"/>
        <w:gridCol w:w="1842"/>
        <w:gridCol w:w="1842"/>
      </w:tblGrid>
      <w:tr w:rsidR="00AF56FC" w14:paraId="6E1298B8" w14:textId="77777777" w:rsidTr="00AF56FC">
        <w:trPr>
          <w:trHeight w:val="637"/>
        </w:trPr>
        <w:tc>
          <w:tcPr>
            <w:tcW w:w="1913" w:type="dxa"/>
            <w:vMerge w:val="restart"/>
            <w:tcBorders>
              <w:top w:val="single" w:sz="4" w:space="0" w:color="000000"/>
              <w:left w:val="single" w:sz="4" w:space="0" w:color="000000"/>
              <w:bottom w:val="single" w:sz="4" w:space="0" w:color="000000"/>
              <w:right w:val="single" w:sz="4" w:space="0" w:color="000000"/>
            </w:tcBorders>
            <w:vAlign w:val="center"/>
            <w:hideMark/>
          </w:tcPr>
          <w:p w14:paraId="361D5051" w14:textId="77777777" w:rsidR="00AF56FC" w:rsidRDefault="00AF56FC">
            <w:pPr>
              <w:autoSpaceDE w:val="0"/>
              <w:autoSpaceDN w:val="0"/>
              <w:adjustRightInd w:val="0"/>
              <w:jc w:val="center"/>
              <w:rPr>
                <w:sz w:val="22"/>
                <w:szCs w:val="22"/>
              </w:rPr>
            </w:pPr>
            <w:r>
              <w:rPr>
                <w:sz w:val="22"/>
                <w:szCs w:val="22"/>
              </w:rPr>
              <w:t>Residual nyrefunktion</w:t>
            </w:r>
          </w:p>
          <w:p w14:paraId="1D9EF657" w14:textId="77777777" w:rsidR="00AF56FC" w:rsidRDefault="00AF56FC">
            <w:pPr>
              <w:autoSpaceDE w:val="0"/>
              <w:autoSpaceDN w:val="0"/>
              <w:adjustRightInd w:val="0"/>
              <w:jc w:val="center"/>
              <w:rPr>
                <w:sz w:val="22"/>
                <w:szCs w:val="22"/>
              </w:rPr>
            </w:pPr>
            <w:r>
              <w:rPr>
                <w:sz w:val="22"/>
                <w:szCs w:val="22"/>
              </w:rPr>
              <w:t>(kreatininclearance ml/min)</w:t>
            </w:r>
          </w:p>
        </w:tc>
        <w:tc>
          <w:tcPr>
            <w:tcW w:w="7297" w:type="dxa"/>
            <w:gridSpan w:val="4"/>
            <w:tcBorders>
              <w:top w:val="single" w:sz="4" w:space="0" w:color="000000"/>
              <w:left w:val="single" w:sz="4" w:space="0" w:color="000000"/>
              <w:bottom w:val="single" w:sz="4" w:space="0" w:color="000000"/>
              <w:right w:val="single" w:sz="4" w:space="0" w:color="000000"/>
            </w:tcBorders>
            <w:vAlign w:val="center"/>
            <w:hideMark/>
          </w:tcPr>
          <w:p w14:paraId="765D22F2" w14:textId="77777777" w:rsidR="00AF56FC" w:rsidRDefault="00AF56FC">
            <w:pPr>
              <w:autoSpaceDE w:val="0"/>
              <w:autoSpaceDN w:val="0"/>
              <w:adjustRightInd w:val="0"/>
              <w:ind w:left="210" w:right="-20"/>
              <w:jc w:val="center"/>
              <w:rPr>
                <w:sz w:val="22"/>
                <w:szCs w:val="22"/>
              </w:rPr>
            </w:pPr>
            <w:r>
              <w:rPr>
                <w:sz w:val="22"/>
                <w:szCs w:val="22"/>
              </w:rPr>
              <w:t xml:space="preserve">Vedligeholdelsesdosis [mg] ved en ultrafiltrationshastighed [ml/min] på </w:t>
            </w:r>
            <w:r>
              <w:rPr>
                <w:sz w:val="22"/>
                <w:szCs w:val="22"/>
                <w:vertAlign w:val="superscript"/>
              </w:rPr>
              <w:t>1</w:t>
            </w:r>
          </w:p>
        </w:tc>
      </w:tr>
      <w:tr w:rsidR="00AF56FC" w14:paraId="4AE3E854" w14:textId="77777777" w:rsidTr="00AF56FC">
        <w:trPr>
          <w:trHeight w:val="20"/>
        </w:trPr>
        <w:tc>
          <w:tcPr>
            <w:tcW w:w="9210" w:type="dxa"/>
            <w:vMerge/>
            <w:tcBorders>
              <w:top w:val="single" w:sz="4" w:space="0" w:color="000000"/>
              <w:left w:val="single" w:sz="4" w:space="0" w:color="000000"/>
              <w:bottom w:val="single" w:sz="4" w:space="0" w:color="000000"/>
              <w:right w:val="single" w:sz="4" w:space="0" w:color="000000"/>
            </w:tcBorders>
            <w:vAlign w:val="center"/>
            <w:hideMark/>
          </w:tcPr>
          <w:p w14:paraId="5A79BFF5" w14:textId="77777777" w:rsidR="00AF56FC" w:rsidRDefault="00AF56FC">
            <w:pPr>
              <w:rPr>
                <w:sz w:val="22"/>
                <w:szCs w:val="22"/>
                <w:lang w:eastAsia="zh-CN"/>
              </w:rPr>
            </w:pP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0BC5F040" w14:textId="77777777" w:rsidR="00AF56FC" w:rsidRDefault="00AF56FC">
            <w:pPr>
              <w:autoSpaceDE w:val="0"/>
              <w:autoSpaceDN w:val="0"/>
              <w:adjustRightInd w:val="0"/>
              <w:ind w:left="787" w:right="770"/>
              <w:jc w:val="center"/>
              <w:rPr>
                <w:sz w:val="22"/>
                <w:szCs w:val="22"/>
              </w:rPr>
            </w:pPr>
            <w:r>
              <w:rPr>
                <w:sz w:val="22"/>
                <w:szCs w:val="22"/>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39E7D59" w14:textId="77777777" w:rsidR="00AF56FC" w:rsidRDefault="00AF56FC">
            <w:pPr>
              <w:autoSpaceDE w:val="0"/>
              <w:autoSpaceDN w:val="0"/>
              <w:adjustRightInd w:val="0"/>
              <w:ind w:left="685" w:right="666"/>
              <w:jc w:val="center"/>
              <w:rPr>
                <w:sz w:val="22"/>
                <w:szCs w:val="22"/>
              </w:rPr>
            </w:pPr>
            <w:r>
              <w:rPr>
                <w:sz w:val="22"/>
                <w:szCs w:val="22"/>
              </w:rPr>
              <w:t>16,7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23B9EB8" w14:textId="77777777" w:rsidR="00AF56FC" w:rsidRDefault="00AF56FC">
            <w:pPr>
              <w:autoSpaceDE w:val="0"/>
              <w:autoSpaceDN w:val="0"/>
              <w:adjustRightInd w:val="0"/>
              <w:ind w:left="685" w:right="666"/>
              <w:jc w:val="center"/>
              <w:rPr>
                <w:sz w:val="22"/>
                <w:szCs w:val="22"/>
              </w:rPr>
            </w:pPr>
            <w:r>
              <w:rPr>
                <w:sz w:val="22"/>
                <w:szCs w:val="22"/>
              </w:rPr>
              <w:t>33,3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444B516" w14:textId="77777777" w:rsidR="00AF56FC" w:rsidRDefault="00AF56FC">
            <w:pPr>
              <w:autoSpaceDE w:val="0"/>
              <w:autoSpaceDN w:val="0"/>
              <w:adjustRightInd w:val="0"/>
              <w:ind w:left="767" w:right="749"/>
              <w:jc w:val="center"/>
              <w:rPr>
                <w:sz w:val="22"/>
                <w:szCs w:val="22"/>
              </w:rPr>
            </w:pPr>
            <w:r>
              <w:rPr>
                <w:sz w:val="22"/>
                <w:szCs w:val="22"/>
              </w:rPr>
              <w:t>50</w:t>
            </w:r>
          </w:p>
        </w:tc>
      </w:tr>
      <w:tr w:rsidR="00AF56FC" w14:paraId="6DE9A622"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454C877" w14:textId="77777777" w:rsidR="00AF56FC" w:rsidRDefault="00AF56FC">
            <w:pPr>
              <w:autoSpaceDE w:val="0"/>
              <w:autoSpaceDN w:val="0"/>
              <w:adjustRightInd w:val="0"/>
              <w:ind w:left="858" w:right="841"/>
              <w:jc w:val="center"/>
              <w:rPr>
                <w:sz w:val="22"/>
                <w:szCs w:val="22"/>
              </w:rPr>
            </w:pPr>
            <w:r>
              <w:rPr>
                <w:sz w:val="22"/>
                <w:szCs w:val="22"/>
              </w:rPr>
              <w:t>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639B50EC" w14:textId="77777777" w:rsidR="00AF56FC" w:rsidRDefault="00AF56FC">
            <w:pPr>
              <w:autoSpaceDE w:val="0"/>
              <w:autoSpaceDN w:val="0"/>
              <w:adjustRightInd w:val="0"/>
              <w:ind w:left="676"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87C69D1" w14:textId="77777777" w:rsidR="00AF56FC" w:rsidRDefault="00AF56FC">
            <w:pPr>
              <w:autoSpaceDE w:val="0"/>
              <w:autoSpaceDN w:val="0"/>
              <w:adjustRightInd w:val="0"/>
              <w:ind w:left="712" w:right="694"/>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F448F9"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1A04E53" w14:textId="77777777" w:rsidR="00AF56FC" w:rsidRDefault="00AF56FC">
            <w:pPr>
              <w:autoSpaceDE w:val="0"/>
              <w:autoSpaceDN w:val="0"/>
              <w:adjustRightInd w:val="0"/>
              <w:ind w:left="712" w:right="694"/>
              <w:jc w:val="center"/>
              <w:rPr>
                <w:sz w:val="22"/>
                <w:szCs w:val="22"/>
              </w:rPr>
            </w:pPr>
            <w:r>
              <w:rPr>
                <w:sz w:val="22"/>
                <w:szCs w:val="22"/>
              </w:rPr>
              <w:t>500</w:t>
            </w:r>
          </w:p>
        </w:tc>
      </w:tr>
      <w:tr w:rsidR="00AF56FC" w14:paraId="2D3D94B8"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37975A57" w14:textId="77777777" w:rsidR="00AF56FC" w:rsidRDefault="00AF56FC">
            <w:pPr>
              <w:autoSpaceDE w:val="0"/>
              <w:autoSpaceDN w:val="0"/>
              <w:adjustRightInd w:val="0"/>
              <w:ind w:left="858" w:right="841"/>
              <w:jc w:val="center"/>
              <w:rPr>
                <w:sz w:val="22"/>
                <w:szCs w:val="22"/>
              </w:rPr>
            </w:pPr>
            <w:r>
              <w:rPr>
                <w:sz w:val="22"/>
                <w:szCs w:val="22"/>
              </w:rPr>
              <w:t>5</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44719C57" w14:textId="77777777" w:rsidR="00AF56FC" w:rsidRDefault="00AF56FC">
            <w:pPr>
              <w:autoSpaceDE w:val="0"/>
              <w:autoSpaceDN w:val="0"/>
              <w:adjustRightInd w:val="0"/>
              <w:ind w:left="676"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5877C30" w14:textId="77777777" w:rsidR="00AF56FC" w:rsidRDefault="00AF56FC">
            <w:pPr>
              <w:autoSpaceDE w:val="0"/>
              <w:autoSpaceDN w:val="0"/>
              <w:adjustRightInd w:val="0"/>
              <w:ind w:left="712" w:right="694"/>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B41B53"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D89097C" w14:textId="77777777" w:rsidR="00AF56FC" w:rsidRDefault="00AF56FC">
            <w:pPr>
              <w:autoSpaceDE w:val="0"/>
              <w:autoSpaceDN w:val="0"/>
              <w:adjustRightInd w:val="0"/>
              <w:ind w:left="712" w:right="694"/>
              <w:jc w:val="center"/>
              <w:rPr>
                <w:sz w:val="22"/>
                <w:szCs w:val="22"/>
              </w:rPr>
            </w:pPr>
            <w:r>
              <w:rPr>
                <w:sz w:val="22"/>
                <w:szCs w:val="22"/>
              </w:rPr>
              <w:t>500</w:t>
            </w:r>
          </w:p>
        </w:tc>
      </w:tr>
      <w:tr w:rsidR="00AF56FC" w14:paraId="103BA909"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E7F12F0" w14:textId="77777777" w:rsidR="00AF56FC" w:rsidRDefault="00AF56FC">
            <w:pPr>
              <w:autoSpaceDE w:val="0"/>
              <w:autoSpaceDN w:val="0"/>
              <w:adjustRightInd w:val="0"/>
              <w:ind w:left="803" w:right="785"/>
              <w:jc w:val="center"/>
              <w:rPr>
                <w:sz w:val="22"/>
                <w:szCs w:val="22"/>
              </w:rPr>
            </w:pPr>
            <w:r>
              <w:rPr>
                <w:sz w:val="22"/>
                <w:szCs w:val="22"/>
              </w:rPr>
              <w:t>10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5C064E96" w14:textId="77777777" w:rsidR="00AF56FC" w:rsidRDefault="00AF56FC">
            <w:pPr>
              <w:autoSpaceDE w:val="0"/>
              <w:autoSpaceDN w:val="0"/>
              <w:adjustRightInd w:val="0"/>
              <w:ind w:left="677"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901C2AE"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3968685"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0B37927"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10923B9D"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5BD065E8" w14:textId="77777777" w:rsidR="00AF56FC" w:rsidRDefault="00AF56FC">
            <w:pPr>
              <w:autoSpaceDE w:val="0"/>
              <w:autoSpaceDN w:val="0"/>
              <w:adjustRightInd w:val="0"/>
              <w:ind w:left="803" w:right="785"/>
              <w:jc w:val="center"/>
              <w:rPr>
                <w:sz w:val="22"/>
                <w:szCs w:val="22"/>
              </w:rPr>
            </w:pPr>
            <w:r>
              <w:rPr>
                <w:sz w:val="22"/>
                <w:szCs w:val="22"/>
              </w:rPr>
              <w:t>15</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64E2527D" w14:textId="77777777" w:rsidR="00AF56FC" w:rsidRDefault="00AF56FC">
            <w:pPr>
              <w:autoSpaceDE w:val="0"/>
              <w:autoSpaceDN w:val="0"/>
              <w:adjustRightInd w:val="0"/>
              <w:ind w:left="677"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983841D"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5702C4C"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B601854"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15FED0D5"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5505BB7E" w14:textId="77777777" w:rsidR="00AF56FC" w:rsidRDefault="00AF56FC">
            <w:pPr>
              <w:autoSpaceDE w:val="0"/>
              <w:autoSpaceDN w:val="0"/>
              <w:adjustRightInd w:val="0"/>
              <w:ind w:left="803" w:right="785"/>
              <w:jc w:val="center"/>
              <w:rPr>
                <w:sz w:val="22"/>
                <w:szCs w:val="22"/>
              </w:rPr>
            </w:pPr>
            <w:r>
              <w:rPr>
                <w:sz w:val="22"/>
                <w:szCs w:val="22"/>
              </w:rPr>
              <w:t>20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57F6B939" w14:textId="77777777" w:rsidR="00AF56FC" w:rsidRDefault="00AF56FC">
            <w:pPr>
              <w:autoSpaceDE w:val="0"/>
              <w:autoSpaceDN w:val="0"/>
              <w:adjustRightInd w:val="0"/>
              <w:ind w:left="677" w:right="659"/>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2CA17D"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E3C13D2"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1D15035"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2DE89FB3" w14:textId="77777777" w:rsidTr="00AF56FC">
        <w:trPr>
          <w:trHeight w:val="20"/>
        </w:trPr>
        <w:tc>
          <w:tcPr>
            <w:tcW w:w="9210" w:type="dxa"/>
            <w:gridSpan w:val="5"/>
            <w:tcBorders>
              <w:top w:val="single" w:sz="4" w:space="0" w:color="000000"/>
              <w:left w:val="single" w:sz="4" w:space="0" w:color="000000"/>
              <w:bottom w:val="single" w:sz="4" w:space="0" w:color="000000"/>
              <w:right w:val="single" w:sz="4" w:space="0" w:color="000000"/>
            </w:tcBorders>
            <w:vAlign w:val="center"/>
            <w:hideMark/>
          </w:tcPr>
          <w:p w14:paraId="6B9E2B1B" w14:textId="77777777" w:rsidR="00AF56FC" w:rsidRDefault="00AF56FC">
            <w:pPr>
              <w:autoSpaceDE w:val="0"/>
              <w:autoSpaceDN w:val="0"/>
              <w:adjustRightInd w:val="0"/>
              <w:ind w:right="-20"/>
              <w:rPr>
                <w:sz w:val="22"/>
                <w:szCs w:val="22"/>
              </w:rPr>
            </w:pPr>
            <w:r>
              <w:rPr>
                <w:sz w:val="22"/>
                <w:szCs w:val="22"/>
                <w:vertAlign w:val="superscript"/>
              </w:rPr>
              <w:t>1</w:t>
            </w:r>
            <w:r>
              <w:rPr>
                <w:sz w:val="22"/>
                <w:szCs w:val="22"/>
              </w:rPr>
              <w:t xml:space="preserve"> Vedligeholdelsesdosis skal administreres hver 12. time.</w:t>
            </w:r>
          </w:p>
        </w:tc>
      </w:tr>
    </w:tbl>
    <w:p w14:paraId="5043574A" w14:textId="77777777" w:rsidR="00AF56FC" w:rsidRDefault="00AF56FC" w:rsidP="00AF56FC">
      <w:pPr>
        <w:jc w:val="both"/>
        <w:rPr>
          <w:sz w:val="22"/>
          <w:szCs w:val="22"/>
          <w:u w:val="single"/>
          <w:lang w:eastAsia="zh-CN"/>
        </w:rPr>
      </w:pPr>
    </w:p>
    <w:p w14:paraId="427893BD" w14:textId="77777777" w:rsidR="00AF56FC" w:rsidRDefault="00AF56FC" w:rsidP="00AF56FC">
      <w:pPr>
        <w:tabs>
          <w:tab w:val="left" w:pos="900"/>
        </w:tabs>
        <w:autoSpaceDE w:val="0"/>
        <w:autoSpaceDN w:val="0"/>
        <w:adjustRightInd w:val="0"/>
        <w:ind w:right="-20"/>
        <w:rPr>
          <w:sz w:val="22"/>
          <w:szCs w:val="22"/>
          <w:u w:val="single"/>
        </w:rPr>
      </w:pPr>
      <w:r>
        <w:rPr>
          <w:sz w:val="22"/>
          <w:szCs w:val="22"/>
          <w:u w:val="single"/>
        </w:rPr>
        <w:t>Tabel 6.: Doseringsvejledning ved kontinuerlig venovenøs hæmodialyse</w:t>
      </w:r>
    </w:p>
    <w:p w14:paraId="26C89C0B" w14:textId="77777777" w:rsidR="00AF56FC" w:rsidRDefault="00AF56FC" w:rsidP="00AF56FC">
      <w:pPr>
        <w:autoSpaceDE w:val="0"/>
        <w:autoSpaceDN w:val="0"/>
        <w:adjustRightInd w:val="0"/>
        <w:rPr>
          <w:sz w:val="22"/>
          <w:szCs w:val="22"/>
        </w:rPr>
      </w:pPr>
    </w:p>
    <w:tbl>
      <w:tblPr>
        <w:tblW w:w="0" w:type="auto"/>
        <w:tblInd w:w="102" w:type="dxa"/>
        <w:tblLayout w:type="fixed"/>
        <w:tblCellMar>
          <w:left w:w="0" w:type="dxa"/>
          <w:right w:w="0" w:type="dxa"/>
        </w:tblCellMar>
        <w:tblLook w:val="04A0" w:firstRow="1" w:lastRow="0" w:firstColumn="1" w:lastColumn="0" w:noHBand="0" w:noVBand="1"/>
      </w:tblPr>
      <w:tblGrid>
        <w:gridCol w:w="1913"/>
        <w:gridCol w:w="1134"/>
        <w:gridCol w:w="1275"/>
        <w:gridCol w:w="1134"/>
        <w:gridCol w:w="1277"/>
        <w:gridCol w:w="1275"/>
        <w:gridCol w:w="1203"/>
      </w:tblGrid>
      <w:tr w:rsidR="00AF56FC" w14:paraId="55CFD44A" w14:textId="77777777" w:rsidTr="00AF56FC">
        <w:trPr>
          <w:trHeight w:val="20"/>
        </w:trPr>
        <w:tc>
          <w:tcPr>
            <w:tcW w:w="1913" w:type="dxa"/>
            <w:vMerge w:val="restart"/>
            <w:tcBorders>
              <w:top w:val="single" w:sz="4" w:space="0" w:color="000000"/>
              <w:left w:val="single" w:sz="4" w:space="0" w:color="000000"/>
              <w:bottom w:val="single" w:sz="4" w:space="0" w:color="000000"/>
              <w:right w:val="single" w:sz="4" w:space="0" w:color="000000"/>
            </w:tcBorders>
            <w:vAlign w:val="center"/>
            <w:hideMark/>
          </w:tcPr>
          <w:p w14:paraId="7917186D" w14:textId="77777777" w:rsidR="00AF56FC" w:rsidRDefault="00AF56FC">
            <w:pPr>
              <w:autoSpaceDE w:val="0"/>
              <w:autoSpaceDN w:val="0"/>
              <w:adjustRightInd w:val="0"/>
              <w:jc w:val="center"/>
              <w:rPr>
                <w:sz w:val="22"/>
                <w:szCs w:val="22"/>
              </w:rPr>
            </w:pPr>
            <w:r>
              <w:rPr>
                <w:sz w:val="22"/>
                <w:szCs w:val="22"/>
              </w:rPr>
              <w:t>Residual nyrefunktion (kreatininclearance i ml/min)</w:t>
            </w:r>
          </w:p>
        </w:tc>
        <w:tc>
          <w:tcPr>
            <w:tcW w:w="7298" w:type="dxa"/>
            <w:gridSpan w:val="6"/>
            <w:tcBorders>
              <w:top w:val="single" w:sz="4" w:space="0" w:color="000000"/>
              <w:left w:val="single" w:sz="4" w:space="0" w:color="000000"/>
              <w:bottom w:val="single" w:sz="4" w:space="0" w:color="000000"/>
              <w:right w:val="single" w:sz="4" w:space="0" w:color="000000"/>
            </w:tcBorders>
            <w:vAlign w:val="center"/>
            <w:hideMark/>
          </w:tcPr>
          <w:p w14:paraId="061103EA" w14:textId="77777777" w:rsidR="00AF56FC" w:rsidRDefault="00AF56FC">
            <w:pPr>
              <w:autoSpaceDE w:val="0"/>
              <w:autoSpaceDN w:val="0"/>
              <w:adjustRightInd w:val="0"/>
              <w:jc w:val="center"/>
              <w:rPr>
                <w:sz w:val="22"/>
                <w:szCs w:val="22"/>
              </w:rPr>
            </w:pPr>
            <w:r>
              <w:rPr>
                <w:sz w:val="22"/>
                <w:szCs w:val="22"/>
              </w:rPr>
              <w:t>Vedligeholdelsesdosis (mg) for et dialysat ved en flowhastighed på</w:t>
            </w:r>
            <w:r>
              <w:rPr>
                <w:sz w:val="22"/>
                <w:szCs w:val="22"/>
                <w:vertAlign w:val="superscript"/>
              </w:rPr>
              <w:t>1</w:t>
            </w:r>
            <w:r>
              <w:rPr>
                <w:sz w:val="22"/>
                <w:szCs w:val="22"/>
              </w:rPr>
              <w:t>:</w:t>
            </w:r>
          </w:p>
        </w:tc>
      </w:tr>
      <w:tr w:rsidR="00AF56FC" w14:paraId="21849F83"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21100223" w14:textId="77777777" w:rsidR="00AF56FC" w:rsidRDefault="00AF56FC">
            <w:pPr>
              <w:rPr>
                <w:sz w:val="22"/>
                <w:szCs w:val="22"/>
                <w:lang w:eastAsia="zh-CN"/>
              </w:rPr>
            </w:pPr>
          </w:p>
        </w:tc>
        <w:tc>
          <w:tcPr>
            <w:tcW w:w="3543" w:type="dxa"/>
            <w:gridSpan w:val="3"/>
            <w:tcBorders>
              <w:top w:val="single" w:sz="4" w:space="0" w:color="000000"/>
              <w:left w:val="single" w:sz="4" w:space="0" w:color="000000"/>
              <w:bottom w:val="single" w:sz="4" w:space="0" w:color="000000"/>
              <w:right w:val="single" w:sz="4" w:space="0" w:color="000000"/>
            </w:tcBorders>
            <w:vAlign w:val="center"/>
            <w:hideMark/>
          </w:tcPr>
          <w:p w14:paraId="7E2EB7BA" w14:textId="77777777" w:rsidR="00AF56FC" w:rsidRDefault="00AF56FC">
            <w:pPr>
              <w:autoSpaceDE w:val="0"/>
              <w:autoSpaceDN w:val="0"/>
              <w:adjustRightInd w:val="0"/>
              <w:jc w:val="center"/>
              <w:rPr>
                <w:sz w:val="22"/>
                <w:szCs w:val="22"/>
              </w:rPr>
            </w:pPr>
            <w:r>
              <w:rPr>
                <w:sz w:val="22"/>
                <w:szCs w:val="22"/>
              </w:rPr>
              <w:t>1,0 liter/time</w:t>
            </w:r>
          </w:p>
        </w:tc>
        <w:tc>
          <w:tcPr>
            <w:tcW w:w="3755" w:type="dxa"/>
            <w:gridSpan w:val="3"/>
            <w:tcBorders>
              <w:top w:val="single" w:sz="4" w:space="0" w:color="000000"/>
              <w:left w:val="single" w:sz="4" w:space="0" w:color="000000"/>
              <w:bottom w:val="single" w:sz="4" w:space="0" w:color="000000"/>
              <w:right w:val="single" w:sz="4" w:space="0" w:color="000000"/>
            </w:tcBorders>
            <w:vAlign w:val="center"/>
            <w:hideMark/>
          </w:tcPr>
          <w:p w14:paraId="614B518E" w14:textId="77777777" w:rsidR="00AF56FC" w:rsidRDefault="00AF56FC">
            <w:pPr>
              <w:autoSpaceDE w:val="0"/>
              <w:autoSpaceDN w:val="0"/>
              <w:adjustRightInd w:val="0"/>
              <w:jc w:val="center"/>
              <w:rPr>
                <w:sz w:val="22"/>
                <w:szCs w:val="22"/>
              </w:rPr>
            </w:pPr>
            <w:r>
              <w:rPr>
                <w:sz w:val="22"/>
                <w:szCs w:val="22"/>
              </w:rPr>
              <w:t>2,0 liter/time</w:t>
            </w:r>
          </w:p>
        </w:tc>
      </w:tr>
      <w:tr w:rsidR="00AF56FC" w14:paraId="763D20AF"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77E81FC8" w14:textId="77777777" w:rsidR="00AF56FC" w:rsidRDefault="00AF56FC">
            <w:pPr>
              <w:rPr>
                <w:sz w:val="22"/>
                <w:szCs w:val="22"/>
                <w:lang w:eastAsia="zh-CN"/>
              </w:rPr>
            </w:pPr>
          </w:p>
        </w:tc>
        <w:tc>
          <w:tcPr>
            <w:tcW w:w="3543" w:type="dxa"/>
            <w:gridSpan w:val="3"/>
            <w:tcBorders>
              <w:top w:val="single" w:sz="4" w:space="0" w:color="000000"/>
              <w:left w:val="single" w:sz="4" w:space="0" w:color="000000"/>
              <w:bottom w:val="single" w:sz="4" w:space="0" w:color="000000"/>
              <w:right w:val="single" w:sz="4" w:space="0" w:color="000000"/>
            </w:tcBorders>
            <w:vAlign w:val="center"/>
            <w:hideMark/>
          </w:tcPr>
          <w:p w14:paraId="1F182888" w14:textId="77777777" w:rsidR="00AF56FC" w:rsidRDefault="00AF56FC">
            <w:pPr>
              <w:autoSpaceDE w:val="0"/>
              <w:autoSpaceDN w:val="0"/>
              <w:adjustRightInd w:val="0"/>
              <w:jc w:val="center"/>
              <w:rPr>
                <w:sz w:val="22"/>
                <w:szCs w:val="22"/>
              </w:rPr>
            </w:pPr>
            <w:r>
              <w:rPr>
                <w:sz w:val="22"/>
                <w:szCs w:val="22"/>
              </w:rPr>
              <w:t>Ultrafiltrationshastighed [liter/time]</w:t>
            </w:r>
          </w:p>
        </w:tc>
        <w:tc>
          <w:tcPr>
            <w:tcW w:w="3755" w:type="dxa"/>
            <w:gridSpan w:val="3"/>
            <w:tcBorders>
              <w:top w:val="single" w:sz="4" w:space="0" w:color="000000"/>
              <w:left w:val="single" w:sz="4" w:space="0" w:color="000000"/>
              <w:bottom w:val="single" w:sz="4" w:space="0" w:color="000000"/>
              <w:right w:val="single" w:sz="4" w:space="0" w:color="000000"/>
            </w:tcBorders>
            <w:vAlign w:val="center"/>
            <w:hideMark/>
          </w:tcPr>
          <w:p w14:paraId="7CD79A08" w14:textId="77777777" w:rsidR="00AF56FC" w:rsidRDefault="00AF56FC">
            <w:pPr>
              <w:autoSpaceDE w:val="0"/>
              <w:autoSpaceDN w:val="0"/>
              <w:adjustRightInd w:val="0"/>
              <w:jc w:val="center"/>
              <w:rPr>
                <w:sz w:val="22"/>
                <w:szCs w:val="22"/>
              </w:rPr>
            </w:pPr>
            <w:r>
              <w:rPr>
                <w:sz w:val="22"/>
                <w:szCs w:val="22"/>
              </w:rPr>
              <w:t>Ultrafiltrationshastighed [liter/time]</w:t>
            </w:r>
          </w:p>
        </w:tc>
      </w:tr>
      <w:tr w:rsidR="00AF56FC" w14:paraId="0A36851F"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221BDC7A" w14:textId="77777777" w:rsidR="00AF56FC" w:rsidRDefault="00AF56FC">
            <w:pPr>
              <w:rPr>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E5F463" w14:textId="77777777" w:rsidR="00AF56FC" w:rsidRDefault="00AF56FC">
            <w:pPr>
              <w:autoSpaceDE w:val="0"/>
              <w:autoSpaceDN w:val="0"/>
              <w:adjustRightInd w:val="0"/>
              <w:jc w:val="center"/>
              <w:rPr>
                <w:sz w:val="22"/>
                <w:szCs w:val="22"/>
              </w:rPr>
            </w:pPr>
            <w:r>
              <w:rPr>
                <w:sz w:val="22"/>
                <w:szCs w:val="22"/>
              </w:rPr>
              <w:t>0,5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DDD390F" w14:textId="77777777" w:rsidR="00AF56FC" w:rsidRDefault="00AF56FC">
            <w:pPr>
              <w:autoSpaceDE w:val="0"/>
              <w:autoSpaceDN w:val="0"/>
              <w:adjustRightInd w:val="0"/>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E2A5AD" w14:textId="77777777" w:rsidR="00AF56FC" w:rsidRDefault="00AF56FC">
            <w:pPr>
              <w:autoSpaceDE w:val="0"/>
              <w:autoSpaceDN w:val="0"/>
              <w:adjustRightInd w:val="0"/>
              <w:jc w:val="center"/>
              <w:rPr>
                <w:sz w:val="22"/>
                <w:szCs w:val="22"/>
              </w:rPr>
            </w:pPr>
            <w:r>
              <w:rPr>
                <w:sz w:val="22"/>
                <w:szCs w:val="22"/>
              </w:rPr>
              <w:t>2,0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3FAC4A6" w14:textId="77777777" w:rsidR="00AF56FC" w:rsidRDefault="00AF56FC">
            <w:pPr>
              <w:autoSpaceDE w:val="0"/>
              <w:autoSpaceDN w:val="0"/>
              <w:adjustRightInd w:val="0"/>
              <w:jc w:val="center"/>
              <w:rPr>
                <w:sz w:val="22"/>
                <w:szCs w:val="22"/>
              </w:rPr>
            </w:pPr>
            <w:r>
              <w:rPr>
                <w:sz w:val="22"/>
                <w:szCs w:val="22"/>
              </w:rPr>
              <w:t>0,5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56F63D" w14:textId="77777777" w:rsidR="00AF56FC" w:rsidRDefault="00AF56FC">
            <w:pPr>
              <w:autoSpaceDE w:val="0"/>
              <w:autoSpaceDN w:val="0"/>
              <w:adjustRightInd w:val="0"/>
              <w:jc w:val="center"/>
              <w:rPr>
                <w:sz w:val="22"/>
                <w:szCs w:val="22"/>
              </w:rPr>
            </w:pPr>
            <w:r>
              <w:rPr>
                <w:sz w:val="22"/>
                <w:szCs w:val="22"/>
              </w:rPr>
              <w:t>1,0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1314525" w14:textId="77777777" w:rsidR="00AF56FC" w:rsidRDefault="00AF56FC">
            <w:pPr>
              <w:autoSpaceDE w:val="0"/>
              <w:autoSpaceDN w:val="0"/>
              <w:adjustRightInd w:val="0"/>
              <w:jc w:val="center"/>
              <w:rPr>
                <w:sz w:val="22"/>
                <w:szCs w:val="22"/>
              </w:rPr>
            </w:pPr>
            <w:r>
              <w:rPr>
                <w:sz w:val="22"/>
                <w:szCs w:val="22"/>
              </w:rPr>
              <w:t>2,0</w:t>
            </w:r>
          </w:p>
        </w:tc>
      </w:tr>
      <w:tr w:rsidR="00AF56FC" w14:paraId="3FD9E60E"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689DA04B" w14:textId="77777777" w:rsidR="00AF56FC" w:rsidRDefault="00AF56FC">
            <w:pPr>
              <w:autoSpaceDE w:val="0"/>
              <w:autoSpaceDN w:val="0"/>
              <w:adjustRightInd w:val="0"/>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1B59A2"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4A3D0B"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14BABF" w14:textId="77777777" w:rsidR="00AF56FC" w:rsidRDefault="00AF56FC">
            <w:pPr>
              <w:autoSpaceDE w:val="0"/>
              <w:autoSpaceDN w:val="0"/>
              <w:adjustRightInd w:val="0"/>
              <w:jc w:val="center"/>
              <w:rPr>
                <w:sz w:val="22"/>
                <w:szCs w:val="22"/>
              </w:rPr>
            </w:pPr>
            <w:r>
              <w:rPr>
                <w:sz w:val="22"/>
                <w:szCs w:val="22"/>
              </w:rPr>
              <w:t>500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34D0396"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8F4EEF" w14:textId="77777777" w:rsidR="00AF56FC" w:rsidRDefault="00AF56FC">
            <w:pPr>
              <w:autoSpaceDE w:val="0"/>
              <w:autoSpaceDN w:val="0"/>
              <w:adjustRightInd w:val="0"/>
              <w:jc w:val="center"/>
              <w:rPr>
                <w:sz w:val="22"/>
                <w:szCs w:val="22"/>
              </w:rPr>
            </w:pPr>
            <w:r>
              <w:rPr>
                <w:sz w:val="22"/>
                <w:szCs w:val="22"/>
              </w:rPr>
              <w:t>500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60D3FE91" w14:textId="77777777" w:rsidR="00AF56FC" w:rsidRDefault="00AF56FC">
            <w:pPr>
              <w:autoSpaceDE w:val="0"/>
              <w:autoSpaceDN w:val="0"/>
              <w:adjustRightInd w:val="0"/>
              <w:jc w:val="center"/>
              <w:rPr>
                <w:sz w:val="22"/>
                <w:szCs w:val="22"/>
              </w:rPr>
            </w:pPr>
            <w:r>
              <w:rPr>
                <w:sz w:val="22"/>
                <w:szCs w:val="22"/>
              </w:rPr>
              <w:t>750</w:t>
            </w:r>
          </w:p>
        </w:tc>
      </w:tr>
      <w:tr w:rsidR="00AF56FC" w14:paraId="0232CE4F"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55B77B6" w14:textId="77777777" w:rsidR="00AF56FC" w:rsidRDefault="00AF56FC">
            <w:pPr>
              <w:autoSpaceDE w:val="0"/>
              <w:autoSpaceDN w:val="0"/>
              <w:adjustRightInd w:val="0"/>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0C45AD"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ED9DF68"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5C5F4A"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DC070CE"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B436ED" w14:textId="77777777" w:rsidR="00AF56FC" w:rsidRDefault="00AF56FC">
            <w:pPr>
              <w:autoSpaceDE w:val="0"/>
              <w:autoSpaceDN w:val="0"/>
              <w:adjustRightInd w:val="0"/>
              <w:jc w:val="center"/>
              <w:rPr>
                <w:sz w:val="22"/>
                <w:szCs w:val="22"/>
              </w:rPr>
            </w:pPr>
            <w:r>
              <w:rPr>
                <w:sz w:val="22"/>
                <w:szCs w:val="22"/>
              </w:rPr>
              <w:t>500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EABDC64" w14:textId="77777777" w:rsidR="00AF56FC" w:rsidRDefault="00AF56FC">
            <w:pPr>
              <w:autoSpaceDE w:val="0"/>
              <w:autoSpaceDN w:val="0"/>
              <w:adjustRightInd w:val="0"/>
              <w:jc w:val="center"/>
              <w:rPr>
                <w:sz w:val="22"/>
                <w:szCs w:val="22"/>
              </w:rPr>
            </w:pPr>
            <w:r>
              <w:rPr>
                <w:sz w:val="22"/>
                <w:szCs w:val="22"/>
              </w:rPr>
              <w:t>750</w:t>
            </w:r>
          </w:p>
        </w:tc>
      </w:tr>
      <w:tr w:rsidR="00AF56FC" w14:paraId="05703AE3"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72216857" w14:textId="77777777" w:rsidR="00AF56FC" w:rsidRDefault="00AF56FC">
            <w:pPr>
              <w:autoSpaceDE w:val="0"/>
              <w:autoSpaceDN w:val="0"/>
              <w:adjustRightInd w:val="0"/>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ACC1EE"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98764B"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FEE2E0"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0529E18"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87B5CB"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1D55F3A1" w14:textId="77777777" w:rsidR="00AF56FC" w:rsidRDefault="00AF56FC">
            <w:pPr>
              <w:autoSpaceDE w:val="0"/>
              <w:autoSpaceDN w:val="0"/>
              <w:adjustRightInd w:val="0"/>
              <w:jc w:val="center"/>
              <w:rPr>
                <w:sz w:val="22"/>
                <w:szCs w:val="22"/>
              </w:rPr>
            </w:pPr>
            <w:r>
              <w:rPr>
                <w:sz w:val="22"/>
                <w:szCs w:val="22"/>
              </w:rPr>
              <w:t>1000</w:t>
            </w:r>
          </w:p>
        </w:tc>
      </w:tr>
      <w:tr w:rsidR="00AF56FC" w14:paraId="43C187CA"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3D8FD04F" w14:textId="77777777" w:rsidR="00AF56FC" w:rsidRDefault="00AF56FC">
            <w:pPr>
              <w:autoSpaceDE w:val="0"/>
              <w:autoSpaceDN w:val="0"/>
              <w:adjustRightInd w:val="0"/>
              <w:jc w:val="center"/>
              <w:rPr>
                <w:sz w:val="22"/>
                <w:szCs w:val="22"/>
              </w:rPr>
            </w:pPr>
            <w:r>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37493B"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10130CD" w14:textId="77777777" w:rsidR="00AF56FC" w:rsidRDefault="00AF56FC">
            <w:pPr>
              <w:autoSpaceDE w:val="0"/>
              <w:autoSpaceDN w:val="0"/>
              <w:adjustRightInd w:val="0"/>
              <w:jc w:val="center"/>
              <w:rPr>
                <w:sz w:val="22"/>
                <w:szCs w:val="22"/>
              </w:rPr>
            </w:pPr>
            <w:r>
              <w:rPr>
                <w:sz w:val="22"/>
                <w:szCs w:val="22"/>
              </w:rPr>
              <w:t>750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BA168B"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EFFA5D1"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891C2A"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70A5DE9" w14:textId="77777777" w:rsidR="00AF56FC" w:rsidRDefault="00AF56FC">
            <w:pPr>
              <w:autoSpaceDE w:val="0"/>
              <w:autoSpaceDN w:val="0"/>
              <w:adjustRightInd w:val="0"/>
              <w:jc w:val="center"/>
              <w:rPr>
                <w:sz w:val="22"/>
                <w:szCs w:val="22"/>
              </w:rPr>
            </w:pPr>
            <w:r>
              <w:rPr>
                <w:sz w:val="22"/>
                <w:szCs w:val="22"/>
              </w:rPr>
              <w:t>1000</w:t>
            </w:r>
          </w:p>
        </w:tc>
      </w:tr>
      <w:tr w:rsidR="00AF56FC" w14:paraId="1B1369AF"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7283298B" w14:textId="77777777" w:rsidR="00AF56FC" w:rsidRDefault="00AF56FC">
            <w:pPr>
              <w:autoSpaceDE w:val="0"/>
              <w:autoSpaceDN w:val="0"/>
              <w:adjustRightInd w:val="0"/>
              <w:jc w:val="center"/>
              <w:rPr>
                <w:sz w:val="22"/>
                <w:szCs w:val="22"/>
              </w:rPr>
            </w:pPr>
            <w:r>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DDBF8B"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0A0FB0" w14:textId="77777777" w:rsidR="00AF56FC" w:rsidRDefault="00AF56FC">
            <w:pPr>
              <w:autoSpaceDE w:val="0"/>
              <w:autoSpaceDN w:val="0"/>
              <w:adjustRightInd w:val="0"/>
              <w:jc w:val="center"/>
              <w:rPr>
                <w:sz w:val="22"/>
                <w:szCs w:val="22"/>
              </w:rPr>
            </w:pPr>
            <w:r>
              <w:rPr>
                <w:sz w:val="22"/>
                <w:szCs w:val="22"/>
              </w:rPr>
              <w:t>750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08A4C2" w14:textId="77777777" w:rsidR="00AF56FC" w:rsidRDefault="00AF56FC">
            <w:pPr>
              <w:autoSpaceDE w:val="0"/>
              <w:autoSpaceDN w:val="0"/>
              <w:adjustRightInd w:val="0"/>
              <w:jc w:val="center"/>
              <w:rPr>
                <w:sz w:val="22"/>
                <w:szCs w:val="22"/>
              </w:rPr>
            </w:pPr>
            <w:r>
              <w:rPr>
                <w:sz w:val="22"/>
                <w:szCs w:val="22"/>
              </w:rPr>
              <w:t>1000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1A58DCD"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73DDDD1"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B738DCA" w14:textId="77777777" w:rsidR="00AF56FC" w:rsidRDefault="00AF56FC">
            <w:pPr>
              <w:autoSpaceDE w:val="0"/>
              <w:autoSpaceDN w:val="0"/>
              <w:adjustRightInd w:val="0"/>
              <w:jc w:val="center"/>
              <w:rPr>
                <w:sz w:val="22"/>
                <w:szCs w:val="22"/>
              </w:rPr>
            </w:pPr>
            <w:r>
              <w:rPr>
                <w:sz w:val="22"/>
                <w:szCs w:val="22"/>
              </w:rPr>
              <w:t>1000</w:t>
            </w:r>
          </w:p>
        </w:tc>
      </w:tr>
      <w:tr w:rsidR="00AF56FC" w14:paraId="2DC44727" w14:textId="77777777" w:rsidTr="00AF56FC">
        <w:trPr>
          <w:trHeight w:val="20"/>
        </w:trPr>
        <w:tc>
          <w:tcPr>
            <w:tcW w:w="9211" w:type="dxa"/>
            <w:gridSpan w:val="7"/>
            <w:tcBorders>
              <w:top w:val="single" w:sz="4" w:space="0" w:color="000000"/>
              <w:left w:val="single" w:sz="4" w:space="0" w:color="000000"/>
              <w:bottom w:val="single" w:sz="4" w:space="0" w:color="000000"/>
              <w:right w:val="single" w:sz="4" w:space="0" w:color="000000"/>
            </w:tcBorders>
            <w:vAlign w:val="center"/>
            <w:hideMark/>
          </w:tcPr>
          <w:p w14:paraId="52CA163F"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Vedligeholdelsesdosis skal administreres hver 12. time.</w:t>
            </w:r>
          </w:p>
        </w:tc>
      </w:tr>
    </w:tbl>
    <w:p w14:paraId="5DEA7BF5" w14:textId="77777777" w:rsidR="00AF56FC" w:rsidRPr="00AF56FC" w:rsidRDefault="00AF56FC" w:rsidP="00AF56FC">
      <w:pPr>
        <w:ind w:left="851"/>
        <w:jc w:val="both"/>
        <w:rPr>
          <w:sz w:val="24"/>
          <w:szCs w:val="24"/>
          <w:lang w:eastAsia="zh-CN"/>
        </w:rPr>
      </w:pPr>
    </w:p>
    <w:p w14:paraId="07A24936" w14:textId="77777777" w:rsidR="00AF56FC" w:rsidRPr="00AF56FC" w:rsidRDefault="00AF56FC" w:rsidP="00AF56FC">
      <w:pPr>
        <w:pStyle w:val="Default"/>
        <w:ind w:left="851"/>
        <w:rPr>
          <w:b/>
          <w:color w:val="auto"/>
          <w:lang w:val="da-DK"/>
        </w:rPr>
      </w:pPr>
      <w:r w:rsidRPr="00AF56FC">
        <w:rPr>
          <w:b/>
          <w:color w:val="auto"/>
          <w:lang w:val="da-DK"/>
        </w:rPr>
        <w:t>Administration</w:t>
      </w:r>
    </w:p>
    <w:p w14:paraId="77DF62F9" w14:textId="77777777" w:rsidR="00AF56FC" w:rsidRPr="00AF56FC" w:rsidRDefault="00AF56FC" w:rsidP="00AF56FC">
      <w:pPr>
        <w:ind w:left="851"/>
        <w:rPr>
          <w:sz w:val="24"/>
          <w:szCs w:val="24"/>
        </w:rPr>
      </w:pPr>
      <w:r w:rsidRPr="00AF56FC">
        <w:rPr>
          <w:sz w:val="24"/>
          <w:szCs w:val="24"/>
        </w:rPr>
        <w:t xml:space="preserve">Dosis afhænger af sværhedsgrad, følsomhed, lokalisation og type af infektion samt patientens alder og nyrefunktion. </w:t>
      </w:r>
    </w:p>
    <w:p w14:paraId="4FE4D9CD" w14:textId="77777777" w:rsidR="00AF56FC" w:rsidRPr="00AF56FC" w:rsidRDefault="00AF56FC" w:rsidP="00AF56FC">
      <w:pPr>
        <w:ind w:left="851"/>
        <w:jc w:val="both"/>
        <w:rPr>
          <w:sz w:val="24"/>
          <w:szCs w:val="24"/>
        </w:rPr>
      </w:pPr>
    </w:p>
    <w:p w14:paraId="19846451" w14:textId="77777777" w:rsidR="00AF56FC" w:rsidRPr="00AF56FC" w:rsidRDefault="00AF56FC" w:rsidP="00AF56FC">
      <w:pPr>
        <w:pStyle w:val="Default"/>
        <w:ind w:left="851"/>
        <w:rPr>
          <w:color w:val="auto"/>
          <w:lang w:val="da-DK"/>
        </w:rPr>
      </w:pPr>
      <w:r w:rsidRPr="00AF56FC">
        <w:rPr>
          <w:color w:val="auto"/>
          <w:lang w:val="da-DK"/>
        </w:rPr>
        <w:t xml:space="preserve">Ceftazidim "Hameln" 500 mg skal administreres ved intravenøs injektion eller ved dyb intramuskulær injektion. Anbefalede intramuskulære injektionssteder er den øvre ydre kvadrant af </w:t>
      </w:r>
      <w:r w:rsidRPr="00AF56FC">
        <w:rPr>
          <w:i/>
          <w:iCs/>
          <w:color w:val="auto"/>
          <w:lang w:val="da-DK"/>
        </w:rPr>
        <w:t>gluteus maximus</w:t>
      </w:r>
      <w:r w:rsidRPr="00AF56FC">
        <w:rPr>
          <w:color w:val="auto"/>
          <w:lang w:val="da-DK"/>
        </w:rPr>
        <w:t xml:space="preserve"> eller den laterale del af låret. Opløsninger af Ceftazidim "Hameln" kan administreres direkte i venen. Den anbefalede standardadministrationsvej er intermitterende intravenøs injektion. Intramuskulær administration bør kun overvejes, hvis intravenøs administration ikke er mulig eller er mindre hensigtsmæssig for patienten.</w:t>
      </w:r>
    </w:p>
    <w:p w14:paraId="07093EE9" w14:textId="77777777" w:rsidR="00AF56FC" w:rsidRPr="00AF56FC" w:rsidRDefault="00AF56FC" w:rsidP="00AF56FC">
      <w:pPr>
        <w:pStyle w:val="Default"/>
        <w:ind w:left="851"/>
        <w:rPr>
          <w:color w:val="auto"/>
          <w:lang w:val="da-DK"/>
        </w:rPr>
      </w:pPr>
    </w:p>
    <w:p w14:paraId="60B8CD12" w14:textId="77777777" w:rsidR="009260DE" w:rsidRPr="00AF56FC" w:rsidRDefault="009260DE" w:rsidP="00AF56FC">
      <w:pPr>
        <w:tabs>
          <w:tab w:val="left" w:pos="851"/>
        </w:tabs>
        <w:ind w:left="851"/>
        <w:rPr>
          <w:sz w:val="24"/>
          <w:szCs w:val="24"/>
        </w:rPr>
      </w:pPr>
    </w:p>
    <w:p w14:paraId="2CA02154"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50F13C4" w14:textId="77777777" w:rsidR="003F65D5" w:rsidRPr="003F65D5" w:rsidRDefault="003F65D5" w:rsidP="003F65D5">
      <w:pPr>
        <w:tabs>
          <w:tab w:val="left" w:pos="851"/>
        </w:tabs>
        <w:ind w:left="851"/>
        <w:rPr>
          <w:sz w:val="24"/>
          <w:szCs w:val="24"/>
        </w:rPr>
      </w:pPr>
      <w:r w:rsidRPr="003F65D5">
        <w:rPr>
          <w:sz w:val="24"/>
          <w:szCs w:val="24"/>
        </w:rPr>
        <w:t xml:space="preserve">Overfølsomhed over for det aktive stof, andre cefalosporiner eller over for et eller flere af hjælpestofferne anført i pkt. 6.1. </w:t>
      </w:r>
    </w:p>
    <w:p w14:paraId="2E7604FF" w14:textId="77777777" w:rsidR="003F65D5" w:rsidRPr="003F65D5" w:rsidRDefault="003F65D5" w:rsidP="003F65D5">
      <w:pPr>
        <w:tabs>
          <w:tab w:val="left" w:pos="851"/>
        </w:tabs>
        <w:ind w:left="851"/>
        <w:rPr>
          <w:sz w:val="24"/>
          <w:szCs w:val="24"/>
        </w:rPr>
      </w:pPr>
    </w:p>
    <w:p w14:paraId="00AA7D5A" w14:textId="77777777" w:rsidR="003F65D5" w:rsidRPr="003F65D5" w:rsidRDefault="003F65D5" w:rsidP="003F65D5">
      <w:pPr>
        <w:tabs>
          <w:tab w:val="left" w:pos="851"/>
        </w:tabs>
        <w:ind w:left="851"/>
        <w:rPr>
          <w:b/>
          <w:bCs/>
          <w:sz w:val="24"/>
          <w:szCs w:val="24"/>
        </w:rPr>
      </w:pPr>
      <w:r w:rsidRPr="003F65D5">
        <w:rPr>
          <w:sz w:val="24"/>
          <w:szCs w:val="24"/>
        </w:rPr>
        <w:t>Anamnese med alvorlig overfølsomhed (f.eks. anafylaktisk reaktion) over for enhver anden type af beta-laktamantibiotika (penicilliner, monobaktamer og carbapenemer).</w:t>
      </w:r>
      <w:r w:rsidRPr="003F65D5">
        <w:rPr>
          <w:b/>
          <w:bCs/>
          <w:sz w:val="24"/>
          <w:szCs w:val="24"/>
        </w:rPr>
        <w:t xml:space="preserve"> </w:t>
      </w:r>
    </w:p>
    <w:p w14:paraId="1868AC41" w14:textId="77777777" w:rsidR="009260DE" w:rsidRPr="00C84483" w:rsidRDefault="009260DE" w:rsidP="009260DE">
      <w:pPr>
        <w:tabs>
          <w:tab w:val="left" w:pos="851"/>
        </w:tabs>
        <w:ind w:left="851"/>
        <w:rPr>
          <w:sz w:val="24"/>
          <w:szCs w:val="24"/>
        </w:rPr>
      </w:pPr>
    </w:p>
    <w:p w14:paraId="02A4FA21"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D372751" w14:textId="77777777" w:rsidR="003F65D5" w:rsidRPr="003F65D5" w:rsidRDefault="003F65D5" w:rsidP="003F65D5">
      <w:pPr>
        <w:tabs>
          <w:tab w:val="left" w:pos="851"/>
        </w:tabs>
        <w:ind w:left="851"/>
        <w:rPr>
          <w:sz w:val="24"/>
          <w:szCs w:val="24"/>
        </w:rPr>
      </w:pPr>
    </w:p>
    <w:p w14:paraId="57EC2E7C"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Overfølsomhed </w:t>
      </w:r>
    </w:p>
    <w:p w14:paraId="1AC01FA5" w14:textId="77777777" w:rsidR="003F65D5" w:rsidRPr="003F65D5" w:rsidRDefault="003F65D5" w:rsidP="003F65D5">
      <w:pPr>
        <w:tabs>
          <w:tab w:val="left" w:pos="851"/>
        </w:tabs>
        <w:ind w:left="851"/>
        <w:rPr>
          <w:sz w:val="24"/>
          <w:szCs w:val="24"/>
        </w:rPr>
      </w:pPr>
      <w:r w:rsidRPr="003F65D5">
        <w:rPr>
          <w:sz w:val="24"/>
          <w:szCs w:val="24"/>
        </w:rPr>
        <w:t xml:space="preserve">Som med alle andre beta-laktamantibiotika er der observeret alvorlige og i nogle tilfælde dødelige overfølsomhedsreaktioner. I tilfælde af svære overfølsomhedsreaktioner skal behandling med ceftazidim straks afbrydes og passende nødforanstaltninger påbegyndes. </w:t>
      </w:r>
    </w:p>
    <w:p w14:paraId="578AB330" w14:textId="77777777" w:rsidR="003F65D5" w:rsidRPr="003F65D5" w:rsidRDefault="003F65D5" w:rsidP="003F65D5">
      <w:pPr>
        <w:tabs>
          <w:tab w:val="left" w:pos="851"/>
        </w:tabs>
        <w:ind w:left="851"/>
        <w:rPr>
          <w:sz w:val="24"/>
          <w:szCs w:val="24"/>
        </w:rPr>
      </w:pPr>
    </w:p>
    <w:p w14:paraId="7F0925C1" w14:textId="77777777" w:rsidR="003F65D5" w:rsidRPr="003F65D5" w:rsidRDefault="003F65D5" w:rsidP="003F65D5">
      <w:pPr>
        <w:tabs>
          <w:tab w:val="left" w:pos="851"/>
        </w:tabs>
        <w:ind w:left="851"/>
        <w:rPr>
          <w:sz w:val="24"/>
          <w:szCs w:val="24"/>
        </w:rPr>
      </w:pPr>
      <w:r w:rsidRPr="003F65D5">
        <w:rPr>
          <w:sz w:val="24"/>
          <w:szCs w:val="24"/>
        </w:rPr>
        <w:t xml:space="preserve">Før behandlingen påbegyndes skal det klarlægges, om patienten har svære overfølsomhedsreaktioner over for ceftazidim, andre cefalosporiner eller over for andre typer af betalaktamer i anamnesen. Der skal udvises forsigtighed, hvis ceftazidim administreres til patienter med ikke svær overfølsomhed over for andre beta-laktamer i anamnesen. </w:t>
      </w:r>
    </w:p>
    <w:p w14:paraId="1CFA5DD8" w14:textId="77777777" w:rsidR="003F65D5" w:rsidRPr="003F65D5" w:rsidRDefault="003F65D5" w:rsidP="003F65D5">
      <w:pPr>
        <w:tabs>
          <w:tab w:val="left" w:pos="851"/>
        </w:tabs>
        <w:ind w:left="851"/>
        <w:rPr>
          <w:sz w:val="24"/>
          <w:szCs w:val="24"/>
        </w:rPr>
      </w:pPr>
    </w:p>
    <w:p w14:paraId="4BEEDD57" w14:textId="77777777" w:rsidR="003F65D5" w:rsidRPr="003F65D5" w:rsidRDefault="003F65D5" w:rsidP="003F65D5">
      <w:pPr>
        <w:tabs>
          <w:tab w:val="left" w:pos="851"/>
        </w:tabs>
        <w:ind w:left="851"/>
        <w:rPr>
          <w:sz w:val="24"/>
          <w:szCs w:val="24"/>
          <w:u w:val="single"/>
        </w:rPr>
      </w:pPr>
      <w:r w:rsidRPr="003F65D5">
        <w:rPr>
          <w:sz w:val="24"/>
          <w:szCs w:val="24"/>
          <w:u w:val="single"/>
        </w:rPr>
        <w:t>Aktivitetsspektrum</w:t>
      </w:r>
    </w:p>
    <w:p w14:paraId="25AE4373" w14:textId="77777777" w:rsidR="003F65D5" w:rsidRPr="003F65D5" w:rsidRDefault="003F65D5" w:rsidP="003F65D5">
      <w:pPr>
        <w:tabs>
          <w:tab w:val="left" w:pos="851"/>
        </w:tabs>
        <w:ind w:left="851"/>
        <w:rPr>
          <w:sz w:val="24"/>
          <w:szCs w:val="24"/>
        </w:rPr>
      </w:pPr>
      <w:r w:rsidRPr="003F65D5">
        <w:rPr>
          <w:sz w:val="24"/>
          <w:szCs w:val="24"/>
        </w:rPr>
        <w:t xml:space="preserve">Ceftazidim har et begrænset spektrum for antibakteriel aktivitet. Det er ikke egnet til anvendelse som eneste lægemiddel ved behandling af nogle typer infektioner, medmindre patogenet allerede er dokumenteret og vides at være følsomt over for ceftazidim, eller hvis der er en kraftig mistanke om, at de mest sandsynlige patogener vil være egnede til behandling med ceftazidim. Dette gør sig især gældende hvis der overvejes behandling af patienter med bakteriæmi og ved behandling af bakteriel meningitis, infektioner i hud og blødvæv samt infektioner i knogler og led. Ceftazidim er desuden følsomt for hydrolyse af flere betalaktamaser med udvidet spektrum (ESBL´er). Information om prævalensen af ESBL-producerende mikroorganismer skal derfor medtages i overvejelserne, når ceftazidimbehandling vælges. </w:t>
      </w:r>
    </w:p>
    <w:p w14:paraId="295E5B62" w14:textId="77777777" w:rsidR="003F65D5" w:rsidRPr="003F65D5" w:rsidRDefault="003F65D5" w:rsidP="003F65D5">
      <w:pPr>
        <w:tabs>
          <w:tab w:val="left" w:pos="851"/>
        </w:tabs>
        <w:ind w:left="851"/>
        <w:rPr>
          <w:sz w:val="24"/>
          <w:szCs w:val="24"/>
        </w:rPr>
      </w:pPr>
    </w:p>
    <w:p w14:paraId="23E498D1" w14:textId="77777777" w:rsidR="003F65D5" w:rsidRPr="003F65D5" w:rsidRDefault="003F65D5" w:rsidP="003F65D5">
      <w:pPr>
        <w:tabs>
          <w:tab w:val="left" w:pos="851"/>
        </w:tabs>
        <w:ind w:left="851"/>
        <w:rPr>
          <w:sz w:val="24"/>
          <w:szCs w:val="24"/>
          <w:u w:val="single"/>
        </w:rPr>
      </w:pPr>
      <w:r w:rsidRPr="003F65D5">
        <w:rPr>
          <w:sz w:val="24"/>
          <w:szCs w:val="24"/>
          <w:u w:val="single"/>
        </w:rPr>
        <w:t>Pseudomembranøs kolitis</w:t>
      </w:r>
    </w:p>
    <w:p w14:paraId="13C75814" w14:textId="77777777" w:rsidR="003F65D5" w:rsidRPr="003F65D5" w:rsidRDefault="003F65D5" w:rsidP="003F65D5">
      <w:pPr>
        <w:tabs>
          <w:tab w:val="left" w:pos="851"/>
        </w:tabs>
        <w:ind w:left="851"/>
        <w:rPr>
          <w:sz w:val="24"/>
          <w:szCs w:val="24"/>
        </w:rPr>
      </w:pPr>
      <w:r w:rsidRPr="003F65D5">
        <w:rPr>
          <w:sz w:val="24"/>
          <w:szCs w:val="24"/>
        </w:rPr>
        <w:t xml:space="preserve">Antibiotika-associeret kolitis og pseudomembranøs kolitis, som i sværhedsgrad kan spænde fra let til livstruende, er blevet rapporteret for næsten alle antibiotika, herunder ceftazidim. Det er derfor vigtigt at overveje denne diagnose hos patienter, der får diarré under eller efter administration af ceftazidim (se pkt. 4.8). Seponering af ceftazidimbehandling og administration af specifik behandling mod </w:t>
      </w:r>
      <w:r w:rsidRPr="003F65D5">
        <w:rPr>
          <w:i/>
          <w:iCs/>
          <w:sz w:val="24"/>
          <w:szCs w:val="24"/>
        </w:rPr>
        <w:t>Clostridioides difficile</w:t>
      </w:r>
      <w:r w:rsidRPr="003F65D5">
        <w:rPr>
          <w:sz w:val="24"/>
          <w:szCs w:val="24"/>
        </w:rPr>
        <w:t xml:space="preserve"> skal overvejes. Der må ikke administreres lægemidler, som hæmmer peristaltikken. </w:t>
      </w:r>
    </w:p>
    <w:p w14:paraId="618ABC0C" w14:textId="77777777" w:rsidR="003F65D5" w:rsidRPr="003F65D5" w:rsidRDefault="003F65D5" w:rsidP="003F65D5">
      <w:pPr>
        <w:tabs>
          <w:tab w:val="left" w:pos="851"/>
        </w:tabs>
        <w:ind w:left="851"/>
        <w:rPr>
          <w:sz w:val="24"/>
          <w:szCs w:val="24"/>
        </w:rPr>
      </w:pPr>
    </w:p>
    <w:p w14:paraId="225D0ED3"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Nyrefunktion </w:t>
      </w:r>
    </w:p>
    <w:p w14:paraId="670E6ECB" w14:textId="77777777" w:rsidR="003F65D5" w:rsidRPr="003F65D5" w:rsidRDefault="003F65D5" w:rsidP="003F65D5">
      <w:pPr>
        <w:tabs>
          <w:tab w:val="left" w:pos="851"/>
        </w:tabs>
        <w:ind w:left="851"/>
        <w:rPr>
          <w:sz w:val="24"/>
          <w:szCs w:val="24"/>
        </w:rPr>
      </w:pPr>
      <w:r w:rsidRPr="003F65D5">
        <w:rPr>
          <w:sz w:val="24"/>
          <w:szCs w:val="24"/>
        </w:rPr>
        <w:t xml:space="preserve">Samtidig behandling med høje doser cefalosporiner og nefrotoksiske lægemidler, såsom aminoglykosider eller potente diuretika (f.eks. furosemid) kan have en negativ indvirkning på nyrefunktionen. </w:t>
      </w:r>
    </w:p>
    <w:p w14:paraId="2FBD6027" w14:textId="77777777" w:rsidR="003F65D5" w:rsidRPr="003F65D5" w:rsidRDefault="003F65D5" w:rsidP="003F65D5">
      <w:pPr>
        <w:tabs>
          <w:tab w:val="left" w:pos="851"/>
        </w:tabs>
        <w:ind w:left="851"/>
        <w:rPr>
          <w:sz w:val="24"/>
          <w:szCs w:val="24"/>
        </w:rPr>
      </w:pPr>
    </w:p>
    <w:p w14:paraId="0F1E7C0E" w14:textId="77777777" w:rsidR="003F65D5" w:rsidRPr="003F65D5" w:rsidRDefault="003F65D5" w:rsidP="003F65D5">
      <w:pPr>
        <w:tabs>
          <w:tab w:val="left" w:pos="851"/>
        </w:tabs>
        <w:ind w:left="851"/>
        <w:rPr>
          <w:sz w:val="24"/>
          <w:szCs w:val="24"/>
        </w:rPr>
      </w:pPr>
      <w:r w:rsidRPr="003F65D5">
        <w:rPr>
          <w:sz w:val="24"/>
          <w:szCs w:val="24"/>
        </w:rPr>
        <w:t xml:space="preserve">Ceftazidim elimineres via nyrerne, og dosis skal derfor reduceres i overensstemmelse med graden af nedsat nyrefunktion. Patienter med nedsat nyrefunktion skal overvåges tæt med hensyn til både sikkerhed og virkning. Neurologiske sequelae er af og til blevet rapporteret, når dosis ikke er blevet reduceret hos patienter med nedsat nyrefunktion (se pkt. 4.2 og 4.8). </w:t>
      </w:r>
    </w:p>
    <w:p w14:paraId="1F89EE4B" w14:textId="77777777" w:rsidR="003F65D5" w:rsidRPr="003F65D5" w:rsidRDefault="003F65D5" w:rsidP="003F65D5">
      <w:pPr>
        <w:tabs>
          <w:tab w:val="left" w:pos="851"/>
        </w:tabs>
        <w:ind w:left="851"/>
        <w:rPr>
          <w:sz w:val="24"/>
          <w:szCs w:val="24"/>
        </w:rPr>
      </w:pPr>
    </w:p>
    <w:p w14:paraId="0987787C" w14:textId="77777777" w:rsidR="003F65D5" w:rsidRPr="003F65D5" w:rsidRDefault="003F65D5" w:rsidP="003F65D5">
      <w:pPr>
        <w:tabs>
          <w:tab w:val="left" w:pos="851"/>
        </w:tabs>
        <w:ind w:left="851"/>
        <w:rPr>
          <w:sz w:val="24"/>
          <w:szCs w:val="24"/>
          <w:u w:val="single"/>
        </w:rPr>
      </w:pPr>
      <w:r w:rsidRPr="003F65D5">
        <w:rPr>
          <w:sz w:val="24"/>
          <w:szCs w:val="24"/>
          <w:u w:val="single"/>
        </w:rPr>
        <w:t>Hudreaktioner</w:t>
      </w:r>
    </w:p>
    <w:p w14:paraId="2D25DA3B" w14:textId="77777777" w:rsidR="003F65D5" w:rsidRPr="003F65D5" w:rsidRDefault="003F65D5" w:rsidP="003F65D5">
      <w:pPr>
        <w:tabs>
          <w:tab w:val="left" w:pos="851"/>
        </w:tabs>
        <w:ind w:left="851"/>
        <w:rPr>
          <w:sz w:val="24"/>
          <w:szCs w:val="24"/>
        </w:rPr>
      </w:pPr>
      <w:r w:rsidRPr="003F65D5">
        <w:rPr>
          <w:sz w:val="24"/>
          <w:szCs w:val="24"/>
        </w:rPr>
        <w:t>Der er blevet rapporteret svære kutane bivirkninger (</w:t>
      </w:r>
      <w:r w:rsidRPr="003F65D5">
        <w:rPr>
          <w:i/>
          <w:iCs/>
          <w:sz w:val="24"/>
          <w:szCs w:val="24"/>
        </w:rPr>
        <w:t>severe cutaneous adverse reactions</w:t>
      </w:r>
      <w:r w:rsidRPr="003F65D5">
        <w:rPr>
          <w:sz w:val="24"/>
          <w:szCs w:val="24"/>
        </w:rPr>
        <w:t>, SCAR'er), herunder Stevens-Johnsons syndrom (SJS), toksisk epidermal nekrolyse (TEN), lægemiddelreaktion med eosinofili og systemiske symptomer (</w:t>
      </w:r>
      <w:r w:rsidRPr="003F65D5">
        <w:rPr>
          <w:i/>
          <w:iCs/>
          <w:sz w:val="24"/>
          <w:szCs w:val="24"/>
        </w:rPr>
        <w:t>drug reaction with eosinophilia and systemic symptoms</w:t>
      </w:r>
      <w:r w:rsidRPr="003F65D5">
        <w:rPr>
          <w:sz w:val="24"/>
          <w:szCs w:val="24"/>
        </w:rPr>
        <w:t xml:space="preserve">, DRESS) og akut generaliseret eksantematøs pustulose (AGEP), som kan være livstruende eller dødelige, med hyppigheden ikke kendt i forbindelse med ceftazidim-behandling. Patienterne skal informeres om tegn og symptomer og overvåges nøje for </w:t>
      </w:r>
      <w:bookmarkStart w:id="0" w:name="_Hlk177324421"/>
      <w:r w:rsidRPr="003F65D5">
        <w:rPr>
          <w:sz w:val="24"/>
          <w:szCs w:val="24"/>
        </w:rPr>
        <w:t>hudreaktioner</w:t>
      </w:r>
      <w:bookmarkEnd w:id="0"/>
      <w:r w:rsidRPr="003F65D5">
        <w:rPr>
          <w:sz w:val="24"/>
          <w:szCs w:val="24"/>
        </w:rPr>
        <w:t>. Hvis der forekommer tegn og symptomer, der tyder på disse reaktioner, skal ceftazidim omgående seponeres, og en alternativ behandling skal overvejes. Hvis patienten har udviklet en alvorlig reaktion, såsom SJS, TEN, DRESS eller AGEP, ved anvendelsen af ceftazidim, må behandlingen med ceftazidim ikke på noget tidspunkt genstartes hos denne patient.</w:t>
      </w:r>
    </w:p>
    <w:p w14:paraId="2031D138" w14:textId="77777777" w:rsidR="003F65D5" w:rsidRPr="003F65D5" w:rsidRDefault="003F65D5" w:rsidP="003F65D5">
      <w:pPr>
        <w:tabs>
          <w:tab w:val="left" w:pos="851"/>
        </w:tabs>
        <w:ind w:left="851"/>
        <w:rPr>
          <w:sz w:val="24"/>
          <w:szCs w:val="24"/>
        </w:rPr>
      </w:pPr>
    </w:p>
    <w:p w14:paraId="32340545"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Overvækst af ikke-følsomme mikroorganismer </w:t>
      </w:r>
    </w:p>
    <w:p w14:paraId="10BAFD30" w14:textId="77777777" w:rsidR="003F65D5" w:rsidRPr="003F65D5" w:rsidRDefault="003F65D5" w:rsidP="003F65D5">
      <w:pPr>
        <w:tabs>
          <w:tab w:val="left" w:pos="851"/>
        </w:tabs>
        <w:ind w:left="851"/>
        <w:rPr>
          <w:sz w:val="24"/>
          <w:szCs w:val="24"/>
        </w:rPr>
      </w:pPr>
      <w:r w:rsidRPr="003F65D5">
        <w:rPr>
          <w:sz w:val="24"/>
          <w:szCs w:val="24"/>
        </w:rPr>
        <w:t xml:space="preserve">Langvarig anvendelse kan føre til overvækst af ikke-følsomme mikroorganismer (f.eks. </w:t>
      </w:r>
      <w:r w:rsidRPr="003F65D5">
        <w:rPr>
          <w:i/>
          <w:iCs/>
          <w:sz w:val="24"/>
          <w:szCs w:val="24"/>
        </w:rPr>
        <w:t>Enterococci</w:t>
      </w:r>
      <w:r w:rsidRPr="003F65D5">
        <w:rPr>
          <w:sz w:val="24"/>
          <w:szCs w:val="24"/>
        </w:rPr>
        <w:t xml:space="preserve">, svampe), som kan nødvendiggøre afbrydelse af behandlingen eller andre passende forholdsregler. Gentagen vurdering af patientens tilstand er essentiel. </w:t>
      </w:r>
    </w:p>
    <w:p w14:paraId="708FDB19" w14:textId="77777777" w:rsidR="003F65D5" w:rsidRPr="003F65D5" w:rsidRDefault="003F65D5" w:rsidP="003F65D5">
      <w:pPr>
        <w:tabs>
          <w:tab w:val="left" w:pos="851"/>
        </w:tabs>
        <w:ind w:left="851"/>
        <w:rPr>
          <w:sz w:val="24"/>
          <w:szCs w:val="24"/>
        </w:rPr>
      </w:pPr>
    </w:p>
    <w:p w14:paraId="59D544EB" w14:textId="77777777" w:rsidR="003F65D5" w:rsidRPr="003F65D5" w:rsidRDefault="003F65D5" w:rsidP="003F65D5">
      <w:pPr>
        <w:tabs>
          <w:tab w:val="left" w:pos="851"/>
        </w:tabs>
        <w:ind w:left="851"/>
        <w:rPr>
          <w:sz w:val="24"/>
          <w:szCs w:val="24"/>
          <w:u w:val="single"/>
        </w:rPr>
      </w:pPr>
      <w:r w:rsidRPr="003F65D5">
        <w:rPr>
          <w:sz w:val="24"/>
          <w:szCs w:val="24"/>
          <w:u w:val="single"/>
        </w:rPr>
        <w:t>Test- og analyseinteraktioner</w:t>
      </w:r>
    </w:p>
    <w:p w14:paraId="65C1C881" w14:textId="77777777" w:rsidR="003F65D5" w:rsidRPr="003F65D5" w:rsidRDefault="003F65D5" w:rsidP="003F65D5">
      <w:pPr>
        <w:tabs>
          <w:tab w:val="left" w:pos="851"/>
        </w:tabs>
        <w:ind w:left="851"/>
        <w:rPr>
          <w:sz w:val="24"/>
          <w:szCs w:val="24"/>
        </w:rPr>
      </w:pPr>
      <w:r w:rsidRPr="003F65D5">
        <w:rPr>
          <w:sz w:val="24"/>
          <w:szCs w:val="24"/>
        </w:rPr>
        <w:t xml:space="preserve">Ceftazidim påvirker ikke enzymbaserede tests for glukosuri, men en let påvirkning (falsk positiv) kan forekomme ved kobberreduktionsmetoder (Benedicts, Fehlings, Clinitest). </w:t>
      </w:r>
    </w:p>
    <w:p w14:paraId="5635F499" w14:textId="77777777" w:rsidR="003F65D5" w:rsidRPr="003F65D5" w:rsidRDefault="003F65D5" w:rsidP="003F65D5">
      <w:pPr>
        <w:tabs>
          <w:tab w:val="left" w:pos="851"/>
        </w:tabs>
        <w:ind w:left="851"/>
        <w:rPr>
          <w:sz w:val="24"/>
          <w:szCs w:val="24"/>
        </w:rPr>
      </w:pPr>
    </w:p>
    <w:p w14:paraId="6EF57575" w14:textId="77777777" w:rsidR="003F65D5" w:rsidRPr="003F65D5" w:rsidRDefault="003F65D5" w:rsidP="003F65D5">
      <w:pPr>
        <w:tabs>
          <w:tab w:val="left" w:pos="851"/>
        </w:tabs>
        <w:ind w:left="851"/>
        <w:rPr>
          <w:sz w:val="24"/>
          <w:szCs w:val="24"/>
          <w:lang w:val="nb-NO"/>
        </w:rPr>
      </w:pPr>
      <w:r w:rsidRPr="003F65D5">
        <w:rPr>
          <w:sz w:val="24"/>
          <w:szCs w:val="24"/>
          <w:lang w:val="nb-NO"/>
        </w:rPr>
        <w:t xml:space="preserve">Ceftazidim påvirker ikke alkalisk pikratanalyse for kreatinin. </w:t>
      </w:r>
    </w:p>
    <w:p w14:paraId="59A80E93" w14:textId="77777777" w:rsidR="003F65D5" w:rsidRPr="003F65D5" w:rsidRDefault="003F65D5" w:rsidP="003F65D5">
      <w:pPr>
        <w:tabs>
          <w:tab w:val="left" w:pos="851"/>
        </w:tabs>
        <w:ind w:left="851"/>
        <w:rPr>
          <w:sz w:val="24"/>
          <w:szCs w:val="24"/>
          <w:lang w:val="nb-NO"/>
        </w:rPr>
      </w:pPr>
    </w:p>
    <w:p w14:paraId="1F440E06" w14:textId="77777777" w:rsidR="003F65D5" w:rsidRPr="003F65D5" w:rsidRDefault="003F65D5" w:rsidP="003F65D5">
      <w:pPr>
        <w:tabs>
          <w:tab w:val="left" w:pos="851"/>
        </w:tabs>
        <w:ind w:left="851"/>
        <w:rPr>
          <w:sz w:val="24"/>
          <w:szCs w:val="24"/>
        </w:rPr>
      </w:pPr>
      <w:r w:rsidRPr="003F65D5">
        <w:rPr>
          <w:sz w:val="24"/>
          <w:szCs w:val="24"/>
        </w:rPr>
        <w:t xml:space="preserve">Udvikling af en positiv Coombs-test forbundet med anvendelsen af ceftazidim hos ca. 5 % af patienterne kan påvirke blodtypematching. </w:t>
      </w:r>
    </w:p>
    <w:p w14:paraId="10DAAFE2" w14:textId="77777777" w:rsidR="003F65D5" w:rsidRPr="003F65D5" w:rsidRDefault="003F65D5" w:rsidP="003F65D5">
      <w:pPr>
        <w:tabs>
          <w:tab w:val="left" w:pos="851"/>
        </w:tabs>
        <w:ind w:left="851"/>
        <w:rPr>
          <w:sz w:val="24"/>
          <w:szCs w:val="24"/>
        </w:rPr>
      </w:pPr>
    </w:p>
    <w:p w14:paraId="309A3151" w14:textId="77777777" w:rsidR="003F65D5" w:rsidRPr="003F65D5" w:rsidRDefault="003F65D5" w:rsidP="003F65D5">
      <w:pPr>
        <w:tabs>
          <w:tab w:val="left" w:pos="851"/>
        </w:tabs>
        <w:ind w:left="851"/>
        <w:rPr>
          <w:sz w:val="24"/>
          <w:szCs w:val="24"/>
          <w:u w:val="single"/>
        </w:rPr>
      </w:pPr>
      <w:r w:rsidRPr="003F65D5">
        <w:rPr>
          <w:sz w:val="24"/>
          <w:szCs w:val="24"/>
          <w:u w:val="single"/>
        </w:rPr>
        <w:t>Natriumindhold</w:t>
      </w:r>
    </w:p>
    <w:p w14:paraId="2662BD74" w14:textId="77777777" w:rsidR="003F65D5" w:rsidRPr="003F65D5" w:rsidRDefault="003F65D5" w:rsidP="003F65D5">
      <w:pPr>
        <w:tabs>
          <w:tab w:val="left" w:pos="851"/>
        </w:tabs>
        <w:ind w:left="851"/>
        <w:rPr>
          <w:sz w:val="24"/>
          <w:szCs w:val="24"/>
        </w:rPr>
      </w:pPr>
      <w:r w:rsidRPr="003F65D5">
        <w:rPr>
          <w:sz w:val="24"/>
          <w:szCs w:val="24"/>
        </w:rPr>
        <w:t xml:space="preserve">Dette lægemiddel indeholder 25 mg natrium pr. hætteglas, svarende til 1,25 % af den WHO-anbefalede maksimale daglige indtagelse af 2 g natrium for en voksen. </w:t>
      </w:r>
    </w:p>
    <w:p w14:paraId="350ADA7E" w14:textId="77777777" w:rsidR="003F65D5" w:rsidRPr="003F65D5" w:rsidRDefault="003F65D5" w:rsidP="003F65D5">
      <w:pPr>
        <w:tabs>
          <w:tab w:val="left" w:pos="851"/>
        </w:tabs>
        <w:ind w:left="851"/>
        <w:rPr>
          <w:sz w:val="24"/>
          <w:szCs w:val="24"/>
        </w:rPr>
      </w:pPr>
    </w:p>
    <w:p w14:paraId="7C6CD4F5" w14:textId="77777777" w:rsidR="003F65D5" w:rsidRPr="003F65D5" w:rsidRDefault="003F65D5" w:rsidP="003F65D5">
      <w:pPr>
        <w:tabs>
          <w:tab w:val="left" w:pos="851"/>
        </w:tabs>
        <w:ind w:left="851"/>
        <w:rPr>
          <w:sz w:val="24"/>
          <w:szCs w:val="24"/>
        </w:rPr>
      </w:pPr>
      <w:r w:rsidRPr="003F65D5">
        <w:rPr>
          <w:sz w:val="24"/>
          <w:szCs w:val="24"/>
        </w:rPr>
        <w:t xml:space="preserve">Dette lægemiddel må kun administreres efter rekonstitution, se pkt. 6.6. </w:t>
      </w:r>
    </w:p>
    <w:p w14:paraId="7632BC41" w14:textId="77777777" w:rsidR="003F65D5" w:rsidRPr="003F65D5" w:rsidRDefault="003F65D5" w:rsidP="003F65D5">
      <w:pPr>
        <w:tabs>
          <w:tab w:val="left" w:pos="851"/>
        </w:tabs>
        <w:ind w:left="851"/>
        <w:rPr>
          <w:sz w:val="24"/>
          <w:szCs w:val="24"/>
        </w:rPr>
      </w:pPr>
      <w:r w:rsidRPr="003F65D5">
        <w:rPr>
          <w:sz w:val="24"/>
          <w:szCs w:val="24"/>
        </w:rPr>
        <w:t>Der skal tages højde for natriumindholdet af diluensen, når der beregnes det totale natriumindhold af den forberedte fortynding af præparatet. For detaljerede oplysninger om natriumindholdet i opløsningen anvendt til at fortynde præparatet, henvises til produktkarakteristika for den anvendte diluens.</w:t>
      </w:r>
    </w:p>
    <w:p w14:paraId="136CF031" w14:textId="77777777" w:rsidR="003F65D5" w:rsidRPr="003F65D5" w:rsidRDefault="003F65D5" w:rsidP="003F65D5">
      <w:pPr>
        <w:tabs>
          <w:tab w:val="left" w:pos="851"/>
        </w:tabs>
        <w:ind w:left="851"/>
        <w:rPr>
          <w:sz w:val="24"/>
          <w:szCs w:val="24"/>
        </w:rPr>
      </w:pPr>
    </w:p>
    <w:p w14:paraId="554754E7" w14:textId="77777777" w:rsidR="003F65D5" w:rsidRPr="003F65D5" w:rsidRDefault="003F65D5" w:rsidP="003F65D5">
      <w:pPr>
        <w:tabs>
          <w:tab w:val="left" w:pos="851"/>
        </w:tabs>
        <w:ind w:left="851"/>
        <w:rPr>
          <w:sz w:val="24"/>
          <w:szCs w:val="24"/>
        </w:rPr>
      </w:pPr>
      <w:r w:rsidRPr="003F65D5">
        <w:rPr>
          <w:sz w:val="24"/>
          <w:szCs w:val="24"/>
        </w:rPr>
        <w:t xml:space="preserve">Der bør især tages højde for det hos patienter, der får en kost med lavt saltindhold. </w:t>
      </w:r>
    </w:p>
    <w:p w14:paraId="7761A7E8" w14:textId="77777777" w:rsidR="009260DE" w:rsidRPr="00C84483" w:rsidRDefault="009260DE" w:rsidP="009260DE">
      <w:pPr>
        <w:tabs>
          <w:tab w:val="left" w:pos="851"/>
        </w:tabs>
        <w:ind w:left="851"/>
        <w:rPr>
          <w:sz w:val="24"/>
          <w:szCs w:val="24"/>
        </w:rPr>
      </w:pPr>
    </w:p>
    <w:p w14:paraId="78736F55"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84B92BB" w14:textId="77777777" w:rsidR="00F73955" w:rsidRPr="00F73955" w:rsidRDefault="00F73955" w:rsidP="00F73955">
      <w:pPr>
        <w:tabs>
          <w:tab w:val="left" w:pos="851"/>
        </w:tabs>
        <w:ind w:left="851"/>
        <w:rPr>
          <w:sz w:val="24"/>
          <w:szCs w:val="24"/>
        </w:rPr>
      </w:pPr>
      <w:r w:rsidRPr="00F73955">
        <w:rPr>
          <w:sz w:val="24"/>
          <w:szCs w:val="24"/>
        </w:rPr>
        <w:t xml:space="preserve">Interaktionsstudier er kun udført med probenecid og furosemid. </w:t>
      </w:r>
    </w:p>
    <w:p w14:paraId="664901D3" w14:textId="77777777" w:rsidR="00F73955" w:rsidRPr="00F73955" w:rsidRDefault="00F73955" w:rsidP="00F73955">
      <w:pPr>
        <w:tabs>
          <w:tab w:val="left" w:pos="851"/>
        </w:tabs>
        <w:ind w:left="851"/>
        <w:rPr>
          <w:sz w:val="24"/>
          <w:szCs w:val="24"/>
        </w:rPr>
      </w:pPr>
    </w:p>
    <w:p w14:paraId="19D7D917" w14:textId="77777777" w:rsidR="00F73955" w:rsidRPr="00F73955" w:rsidRDefault="00F73955" w:rsidP="00F73955">
      <w:pPr>
        <w:tabs>
          <w:tab w:val="left" w:pos="851"/>
        </w:tabs>
        <w:ind w:left="851"/>
        <w:rPr>
          <w:sz w:val="24"/>
          <w:szCs w:val="24"/>
        </w:rPr>
      </w:pPr>
      <w:r w:rsidRPr="00F73955">
        <w:rPr>
          <w:sz w:val="24"/>
          <w:szCs w:val="24"/>
        </w:rPr>
        <w:t xml:space="preserve">Samtidig anvendelse af nefrotoksiske lægemidler i høje doser kan have en negativ indvirkning på nyrefunktionen (se pkt. 4.4). </w:t>
      </w:r>
    </w:p>
    <w:p w14:paraId="08B00E3E" w14:textId="77777777" w:rsidR="00F73955" w:rsidRPr="00F73955" w:rsidRDefault="00F73955" w:rsidP="00F73955">
      <w:pPr>
        <w:tabs>
          <w:tab w:val="left" w:pos="851"/>
        </w:tabs>
        <w:ind w:left="851"/>
        <w:rPr>
          <w:sz w:val="24"/>
          <w:szCs w:val="24"/>
        </w:rPr>
      </w:pPr>
    </w:p>
    <w:p w14:paraId="651F0D8E" w14:textId="77777777" w:rsidR="00F73955" w:rsidRPr="00F73955" w:rsidRDefault="00F73955" w:rsidP="00F73955">
      <w:pPr>
        <w:tabs>
          <w:tab w:val="left" w:pos="851"/>
        </w:tabs>
        <w:ind w:left="851"/>
        <w:rPr>
          <w:sz w:val="24"/>
          <w:szCs w:val="24"/>
        </w:rPr>
      </w:pPr>
      <w:r w:rsidRPr="00F73955">
        <w:rPr>
          <w:sz w:val="24"/>
          <w:szCs w:val="24"/>
        </w:rPr>
        <w:t xml:space="preserve">Chloramphenicol har en antagonistisk virkning med ceftazidim og andre cephalosporiner </w:t>
      </w:r>
      <w:r w:rsidRPr="00F73955">
        <w:rPr>
          <w:i/>
          <w:iCs/>
          <w:sz w:val="24"/>
          <w:szCs w:val="24"/>
        </w:rPr>
        <w:t>in vitro</w:t>
      </w:r>
      <w:r w:rsidRPr="00F73955">
        <w:rPr>
          <w:sz w:val="24"/>
          <w:szCs w:val="24"/>
        </w:rPr>
        <w:t xml:space="preserve">. Den kliniske relevans af dette fund er ukendt, men hvis samtidig administration af ceftazidim og chloramphenicol overvejes, skal der tages højde for risikoen for antagonisme. </w:t>
      </w:r>
    </w:p>
    <w:p w14:paraId="5EBFAD65" w14:textId="77777777" w:rsidR="009260DE" w:rsidRPr="00C84483" w:rsidRDefault="009260DE" w:rsidP="009260DE">
      <w:pPr>
        <w:tabs>
          <w:tab w:val="left" w:pos="851"/>
        </w:tabs>
        <w:ind w:left="851"/>
        <w:rPr>
          <w:sz w:val="24"/>
          <w:szCs w:val="24"/>
        </w:rPr>
      </w:pPr>
    </w:p>
    <w:p w14:paraId="7A6BF273" w14:textId="77777777" w:rsidR="009260DE" w:rsidRPr="00C84483" w:rsidRDefault="009260DE" w:rsidP="009260DE">
      <w:pPr>
        <w:tabs>
          <w:tab w:val="left" w:pos="851"/>
        </w:tabs>
        <w:ind w:left="851" w:hanging="851"/>
        <w:rPr>
          <w:b/>
          <w:sz w:val="24"/>
          <w:szCs w:val="24"/>
        </w:rPr>
      </w:pPr>
      <w:r w:rsidRPr="00C84483">
        <w:rPr>
          <w:b/>
          <w:sz w:val="24"/>
          <w:szCs w:val="24"/>
        </w:rPr>
        <w:lastRenderedPageBreak/>
        <w:t>4.6</w:t>
      </w:r>
      <w:r w:rsidRPr="00C84483">
        <w:rPr>
          <w:b/>
          <w:sz w:val="24"/>
          <w:szCs w:val="24"/>
        </w:rPr>
        <w:tab/>
      </w:r>
      <w:r w:rsidR="0071241E">
        <w:rPr>
          <w:b/>
          <w:sz w:val="24"/>
          <w:szCs w:val="24"/>
        </w:rPr>
        <w:t>Fertilitet, g</w:t>
      </w:r>
      <w:r w:rsidRPr="00C84483">
        <w:rPr>
          <w:b/>
          <w:sz w:val="24"/>
          <w:szCs w:val="24"/>
        </w:rPr>
        <w:t>raviditet og amning</w:t>
      </w:r>
    </w:p>
    <w:p w14:paraId="70CBD9F6" w14:textId="77777777" w:rsidR="00F73955" w:rsidRPr="00F73955" w:rsidRDefault="00F73955" w:rsidP="00F73955">
      <w:pPr>
        <w:tabs>
          <w:tab w:val="left" w:pos="851"/>
        </w:tabs>
        <w:ind w:left="851"/>
        <w:rPr>
          <w:sz w:val="24"/>
          <w:szCs w:val="24"/>
          <w:u w:val="single"/>
        </w:rPr>
      </w:pPr>
    </w:p>
    <w:p w14:paraId="57759ABE" w14:textId="77777777" w:rsidR="00F73955" w:rsidRPr="00F73955" w:rsidRDefault="00F73955" w:rsidP="00F73955">
      <w:pPr>
        <w:tabs>
          <w:tab w:val="left" w:pos="851"/>
        </w:tabs>
        <w:ind w:left="851"/>
        <w:rPr>
          <w:sz w:val="24"/>
          <w:szCs w:val="24"/>
        </w:rPr>
      </w:pPr>
      <w:r w:rsidRPr="00F73955">
        <w:rPr>
          <w:sz w:val="24"/>
          <w:szCs w:val="24"/>
          <w:u w:val="single"/>
        </w:rPr>
        <w:t xml:space="preserve">Graviditet </w:t>
      </w:r>
    </w:p>
    <w:p w14:paraId="55BE45E9" w14:textId="77777777" w:rsidR="00F73955" w:rsidRPr="00F73955" w:rsidRDefault="00F73955" w:rsidP="00F73955">
      <w:pPr>
        <w:tabs>
          <w:tab w:val="left" w:pos="851"/>
        </w:tabs>
        <w:ind w:left="851"/>
        <w:rPr>
          <w:sz w:val="24"/>
          <w:szCs w:val="24"/>
        </w:rPr>
      </w:pPr>
      <w:r w:rsidRPr="00F73955">
        <w:rPr>
          <w:sz w:val="24"/>
          <w:szCs w:val="24"/>
        </w:rPr>
        <w:t xml:space="preserve">Der er utilstrækkelige data fra anvendelse af ceftazidim til gravide kvinder. Dyreforsøg indikerer hverken direkte eller indirekte skadelige virkninger hvad angår graviditet, embryonale/føtale udvikling, fødsel eller den postnatale udvikling (se pkt. 5.3). </w:t>
      </w:r>
    </w:p>
    <w:p w14:paraId="7F8CE225" w14:textId="77777777" w:rsidR="00F73955" w:rsidRPr="00F73955" w:rsidRDefault="00F73955" w:rsidP="00F73955">
      <w:pPr>
        <w:tabs>
          <w:tab w:val="left" w:pos="851"/>
        </w:tabs>
        <w:ind w:left="851"/>
        <w:rPr>
          <w:sz w:val="24"/>
          <w:szCs w:val="24"/>
        </w:rPr>
      </w:pPr>
    </w:p>
    <w:p w14:paraId="5ACC91DD" w14:textId="77777777" w:rsidR="00F73955" w:rsidRPr="00F73955" w:rsidRDefault="00F73955" w:rsidP="00F73955">
      <w:pPr>
        <w:tabs>
          <w:tab w:val="left" w:pos="851"/>
        </w:tabs>
        <w:ind w:left="851"/>
        <w:rPr>
          <w:sz w:val="24"/>
          <w:szCs w:val="24"/>
        </w:rPr>
      </w:pPr>
      <w:r w:rsidRPr="00F73955">
        <w:rPr>
          <w:sz w:val="24"/>
          <w:szCs w:val="24"/>
        </w:rPr>
        <w:t xml:space="preserve">Ceftazidim "Hameln" må kun ordineres til gravide kvinder, hvis fordelene opvejer de mulige risici. </w:t>
      </w:r>
    </w:p>
    <w:p w14:paraId="75049ED4" w14:textId="77777777" w:rsidR="00F73955" w:rsidRPr="00F73955" w:rsidRDefault="00F73955" w:rsidP="00F73955">
      <w:pPr>
        <w:tabs>
          <w:tab w:val="left" w:pos="851"/>
        </w:tabs>
        <w:ind w:left="851"/>
        <w:rPr>
          <w:sz w:val="24"/>
          <w:szCs w:val="24"/>
          <w:u w:val="single"/>
        </w:rPr>
      </w:pPr>
    </w:p>
    <w:p w14:paraId="4D4E1929" w14:textId="77777777" w:rsidR="00F73955" w:rsidRPr="00F73955" w:rsidRDefault="00F73955" w:rsidP="00F73955">
      <w:pPr>
        <w:tabs>
          <w:tab w:val="left" w:pos="851"/>
        </w:tabs>
        <w:ind w:left="851"/>
        <w:rPr>
          <w:sz w:val="24"/>
          <w:szCs w:val="24"/>
        </w:rPr>
      </w:pPr>
      <w:r w:rsidRPr="00F73955">
        <w:rPr>
          <w:sz w:val="24"/>
          <w:szCs w:val="24"/>
          <w:u w:val="single"/>
        </w:rPr>
        <w:t xml:space="preserve">Amning </w:t>
      </w:r>
    </w:p>
    <w:p w14:paraId="48281455" w14:textId="77777777" w:rsidR="00F73955" w:rsidRPr="00F73955" w:rsidRDefault="00F73955" w:rsidP="00F73955">
      <w:pPr>
        <w:tabs>
          <w:tab w:val="left" w:pos="851"/>
        </w:tabs>
        <w:ind w:left="851"/>
        <w:rPr>
          <w:sz w:val="24"/>
          <w:szCs w:val="24"/>
        </w:rPr>
      </w:pPr>
      <w:r w:rsidRPr="00F73955">
        <w:rPr>
          <w:sz w:val="24"/>
          <w:szCs w:val="24"/>
        </w:rPr>
        <w:t xml:space="preserve">Ceftazidim udskilles i human mælk i små mængder, men ved terapeutiske doser af ceftazidim forventes der ingen virkning på ammede spædbørn. Ceftazidim kan anvendes under amning. </w:t>
      </w:r>
    </w:p>
    <w:p w14:paraId="44A0E3EF" w14:textId="77777777" w:rsidR="00F73955" w:rsidRPr="00F73955" w:rsidRDefault="00F73955" w:rsidP="00F73955">
      <w:pPr>
        <w:tabs>
          <w:tab w:val="left" w:pos="851"/>
        </w:tabs>
        <w:ind w:left="851"/>
        <w:rPr>
          <w:sz w:val="24"/>
          <w:szCs w:val="24"/>
          <w:u w:val="single"/>
        </w:rPr>
      </w:pPr>
    </w:p>
    <w:p w14:paraId="6B55269B" w14:textId="77777777" w:rsidR="00F73955" w:rsidRPr="00F73955" w:rsidRDefault="00F73955" w:rsidP="00F73955">
      <w:pPr>
        <w:tabs>
          <w:tab w:val="left" w:pos="851"/>
        </w:tabs>
        <w:ind w:left="851"/>
        <w:rPr>
          <w:sz w:val="24"/>
          <w:szCs w:val="24"/>
        </w:rPr>
      </w:pPr>
      <w:r w:rsidRPr="00F73955">
        <w:rPr>
          <w:sz w:val="24"/>
          <w:szCs w:val="24"/>
          <w:u w:val="single"/>
        </w:rPr>
        <w:t xml:space="preserve">Fertilitet </w:t>
      </w:r>
    </w:p>
    <w:p w14:paraId="3CB6FFE5" w14:textId="77777777" w:rsidR="00F73955" w:rsidRPr="00F73955" w:rsidRDefault="00F73955" w:rsidP="00F73955">
      <w:pPr>
        <w:tabs>
          <w:tab w:val="left" w:pos="851"/>
        </w:tabs>
        <w:ind w:left="851"/>
        <w:rPr>
          <w:sz w:val="24"/>
          <w:szCs w:val="24"/>
        </w:rPr>
      </w:pPr>
      <w:r w:rsidRPr="00F73955">
        <w:rPr>
          <w:sz w:val="24"/>
          <w:szCs w:val="24"/>
        </w:rPr>
        <w:t xml:space="preserve">Der foreligger ingen data. </w:t>
      </w:r>
    </w:p>
    <w:p w14:paraId="4FC84673" w14:textId="77777777" w:rsidR="009260DE" w:rsidRPr="00C84483" w:rsidRDefault="009260DE" w:rsidP="009260DE">
      <w:pPr>
        <w:tabs>
          <w:tab w:val="left" w:pos="851"/>
        </w:tabs>
        <w:ind w:left="851"/>
        <w:rPr>
          <w:sz w:val="24"/>
          <w:szCs w:val="24"/>
        </w:rPr>
      </w:pPr>
    </w:p>
    <w:p w14:paraId="5143958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06AAD28" w14:textId="77777777" w:rsidR="00F73955" w:rsidRDefault="00F73955" w:rsidP="00F73955">
      <w:pPr>
        <w:tabs>
          <w:tab w:val="left" w:pos="851"/>
        </w:tabs>
        <w:ind w:left="851"/>
        <w:rPr>
          <w:sz w:val="24"/>
          <w:szCs w:val="24"/>
        </w:rPr>
      </w:pPr>
      <w:r>
        <w:rPr>
          <w:sz w:val="24"/>
          <w:szCs w:val="24"/>
        </w:rPr>
        <w:t>Ikke mærkning.</w:t>
      </w:r>
    </w:p>
    <w:p w14:paraId="14AA39D4" w14:textId="2CCAF01F" w:rsidR="00F73955" w:rsidRPr="00F73955" w:rsidRDefault="00F73955" w:rsidP="00F73955">
      <w:pPr>
        <w:tabs>
          <w:tab w:val="left" w:pos="851"/>
        </w:tabs>
        <w:ind w:left="851"/>
        <w:rPr>
          <w:sz w:val="24"/>
          <w:szCs w:val="24"/>
        </w:rPr>
      </w:pPr>
      <w:r w:rsidRPr="00F73955">
        <w:rPr>
          <w:sz w:val="24"/>
          <w:szCs w:val="24"/>
        </w:rPr>
        <w:t xml:space="preserve">Der er ikke udført studier af virkningen på evnen til at føre motorkøretøj og betjene maskiner. Der kan dog forekomme bivirkninger (f.eks. svimmelhed), som kan have indflydelse på evnen til at føre motorkøretøj og betjene maskiner (se pkt. 4.8). </w:t>
      </w:r>
    </w:p>
    <w:p w14:paraId="38A165CC" w14:textId="77777777" w:rsidR="009260DE" w:rsidRPr="00C84483" w:rsidRDefault="009260DE" w:rsidP="009260DE">
      <w:pPr>
        <w:tabs>
          <w:tab w:val="left" w:pos="851"/>
        </w:tabs>
        <w:ind w:left="851"/>
        <w:rPr>
          <w:sz w:val="24"/>
          <w:szCs w:val="24"/>
        </w:rPr>
      </w:pPr>
    </w:p>
    <w:p w14:paraId="22CB1E26"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4E81320" w14:textId="77777777" w:rsidR="00361808" w:rsidRPr="00361808" w:rsidRDefault="00361808" w:rsidP="00361808">
      <w:pPr>
        <w:pStyle w:val="Default"/>
        <w:tabs>
          <w:tab w:val="left" w:pos="851"/>
        </w:tabs>
        <w:ind w:left="851"/>
        <w:rPr>
          <w:color w:val="auto"/>
          <w:lang w:val="da-DK"/>
        </w:rPr>
      </w:pPr>
      <w:r w:rsidRPr="00F829B4">
        <w:rPr>
          <w:color w:val="auto"/>
          <w:lang w:val="da-DK"/>
        </w:rPr>
        <w:t>De mest almindelige bivirkninger er eosinofili, trombocytose, flebitis eller tromboflebitis forbundet med intravenøs administration, diarré, forbigående forhøjede leverenzymer,</w:t>
      </w:r>
      <w:r w:rsidRPr="00361808">
        <w:rPr>
          <w:color w:val="auto"/>
          <w:lang w:val="da-DK"/>
        </w:rPr>
        <w:t xml:space="preserve"> makulopapuløst eller urtikarielt udslæt, smerter og/eller inflammation efter intramuskulær injektion samt positiv Coombs test. </w:t>
      </w:r>
    </w:p>
    <w:p w14:paraId="76326AAB" w14:textId="77777777" w:rsidR="00361808" w:rsidRPr="00361808" w:rsidRDefault="00361808" w:rsidP="00361808">
      <w:pPr>
        <w:pStyle w:val="Default"/>
        <w:tabs>
          <w:tab w:val="left" w:pos="851"/>
        </w:tabs>
        <w:ind w:left="851"/>
        <w:rPr>
          <w:color w:val="auto"/>
          <w:lang w:val="da-DK"/>
        </w:rPr>
      </w:pPr>
    </w:p>
    <w:p w14:paraId="169883CA" w14:textId="77777777" w:rsidR="00F829B4" w:rsidRDefault="00361808" w:rsidP="00361808">
      <w:pPr>
        <w:pStyle w:val="Default"/>
        <w:tabs>
          <w:tab w:val="left" w:pos="851"/>
        </w:tabs>
        <w:ind w:left="851"/>
        <w:rPr>
          <w:color w:val="auto"/>
          <w:lang w:val="da-DK"/>
        </w:rPr>
      </w:pPr>
      <w:r w:rsidRPr="00361808">
        <w:rPr>
          <w:color w:val="auto"/>
          <w:lang w:val="da-DK"/>
        </w:rPr>
        <w:t>Data fra sponsorerede og ikke sponsorerede kliniske studier har været anvendt til fastlæggelse af hyppigheden af almindelige og ikke almindelige bivirkninger. De hyppigheder, der er blevet fastsat for alle andre bivirkninger, er overvejende bestemt ved anvendelse af data efter markedsføring og refererer til en indberetningshyppighed snarere end til en reel hyppighed.</w:t>
      </w:r>
    </w:p>
    <w:p w14:paraId="7A32463C" w14:textId="77777777" w:rsidR="00F829B4" w:rsidRDefault="00361808" w:rsidP="00361808">
      <w:pPr>
        <w:pStyle w:val="Default"/>
        <w:tabs>
          <w:tab w:val="left" w:pos="851"/>
        </w:tabs>
        <w:ind w:left="851"/>
        <w:rPr>
          <w:color w:val="auto"/>
          <w:lang w:val="da-DK"/>
        </w:rPr>
      </w:pPr>
      <w:r w:rsidRPr="00361808">
        <w:rPr>
          <w:color w:val="auto"/>
          <w:lang w:val="da-DK"/>
        </w:rPr>
        <w:t>Inden for hver hyppighedsgruppering er bivirkningerne opstillet efter, hvor alvorlige de er. De alvorligste bivirkninger er anført først.</w:t>
      </w:r>
    </w:p>
    <w:p w14:paraId="7D35E124" w14:textId="77777777" w:rsidR="00F829B4" w:rsidRDefault="00F829B4" w:rsidP="00361808">
      <w:pPr>
        <w:pStyle w:val="Default"/>
        <w:tabs>
          <w:tab w:val="left" w:pos="851"/>
        </w:tabs>
        <w:ind w:left="851"/>
        <w:rPr>
          <w:color w:val="auto"/>
          <w:lang w:val="da-DK"/>
        </w:rPr>
      </w:pPr>
    </w:p>
    <w:p w14:paraId="07331D3B" w14:textId="75BD60C2" w:rsidR="00361808" w:rsidRPr="00361808" w:rsidRDefault="00361808" w:rsidP="00361808">
      <w:pPr>
        <w:pStyle w:val="Default"/>
        <w:tabs>
          <w:tab w:val="left" w:pos="851"/>
        </w:tabs>
        <w:ind w:left="851"/>
        <w:rPr>
          <w:color w:val="auto"/>
          <w:lang w:val="da-DK"/>
        </w:rPr>
      </w:pPr>
      <w:r w:rsidRPr="00361808">
        <w:rPr>
          <w:color w:val="auto"/>
          <w:lang w:val="da-DK"/>
        </w:rPr>
        <w:t xml:space="preserve">Der er benyttet følgende konvention til klassifikation af hyppigheden: </w:t>
      </w:r>
    </w:p>
    <w:p w14:paraId="4EF524B1" w14:textId="77777777" w:rsidR="00361808" w:rsidRPr="00361808" w:rsidRDefault="00361808" w:rsidP="00361808">
      <w:pPr>
        <w:pStyle w:val="Default"/>
        <w:tabs>
          <w:tab w:val="left" w:pos="851"/>
        </w:tabs>
        <w:ind w:left="851"/>
        <w:rPr>
          <w:color w:val="auto"/>
          <w:lang w:val="da-DK"/>
        </w:rPr>
      </w:pPr>
      <w:r w:rsidRPr="00361808">
        <w:rPr>
          <w:color w:val="auto"/>
          <w:lang w:val="da-DK"/>
        </w:rPr>
        <w:t>Meget almindelig (≥ 1/10)</w:t>
      </w:r>
    </w:p>
    <w:p w14:paraId="2D8D8659" w14:textId="77777777" w:rsidR="00361808" w:rsidRPr="00361808" w:rsidRDefault="00361808" w:rsidP="00361808">
      <w:pPr>
        <w:pStyle w:val="Default"/>
        <w:tabs>
          <w:tab w:val="left" w:pos="851"/>
        </w:tabs>
        <w:ind w:left="851"/>
        <w:rPr>
          <w:color w:val="auto"/>
          <w:lang w:val="da-DK"/>
        </w:rPr>
      </w:pPr>
      <w:r w:rsidRPr="00361808">
        <w:rPr>
          <w:color w:val="auto"/>
          <w:lang w:val="da-DK"/>
        </w:rPr>
        <w:t>Almindelig (≥ 1/100 til &lt; 1/10)</w:t>
      </w:r>
    </w:p>
    <w:p w14:paraId="2967DB53" w14:textId="77777777" w:rsidR="00361808" w:rsidRPr="00361808" w:rsidRDefault="00361808" w:rsidP="00361808">
      <w:pPr>
        <w:pStyle w:val="Default"/>
        <w:tabs>
          <w:tab w:val="left" w:pos="851"/>
        </w:tabs>
        <w:ind w:left="851"/>
        <w:rPr>
          <w:color w:val="auto"/>
          <w:lang w:val="da-DK"/>
        </w:rPr>
      </w:pPr>
      <w:r w:rsidRPr="00361808">
        <w:rPr>
          <w:color w:val="auto"/>
          <w:lang w:val="da-DK"/>
        </w:rPr>
        <w:t>Ikke almindelig (≥ 1/1.000 til &lt; 1/100)</w:t>
      </w:r>
    </w:p>
    <w:p w14:paraId="1055D493" w14:textId="77777777" w:rsidR="00361808" w:rsidRPr="00361808" w:rsidRDefault="00361808" w:rsidP="00361808">
      <w:pPr>
        <w:pStyle w:val="Default"/>
        <w:tabs>
          <w:tab w:val="left" w:pos="851"/>
        </w:tabs>
        <w:ind w:left="851"/>
        <w:rPr>
          <w:color w:val="auto"/>
          <w:lang w:val="da-DK"/>
        </w:rPr>
      </w:pPr>
      <w:r w:rsidRPr="00361808">
        <w:rPr>
          <w:color w:val="auto"/>
          <w:lang w:val="da-DK"/>
        </w:rPr>
        <w:t>Sjælden (≥ 1/10.000 til &lt; 1/1.000)</w:t>
      </w:r>
    </w:p>
    <w:p w14:paraId="47C8C193" w14:textId="77777777" w:rsidR="00361808" w:rsidRPr="00361808" w:rsidRDefault="00361808" w:rsidP="00361808">
      <w:pPr>
        <w:pStyle w:val="Default"/>
        <w:tabs>
          <w:tab w:val="left" w:pos="851"/>
        </w:tabs>
        <w:ind w:left="851"/>
        <w:rPr>
          <w:color w:val="auto"/>
          <w:lang w:val="da-DK"/>
        </w:rPr>
      </w:pPr>
      <w:r w:rsidRPr="00361808">
        <w:rPr>
          <w:color w:val="auto"/>
          <w:lang w:val="da-DK"/>
        </w:rPr>
        <w:t>Meget sjælden (&lt; 1/10.000)</w:t>
      </w:r>
    </w:p>
    <w:p w14:paraId="7BB70AC0" w14:textId="77777777" w:rsidR="00361808" w:rsidRPr="00361808" w:rsidRDefault="00361808" w:rsidP="00361808">
      <w:pPr>
        <w:tabs>
          <w:tab w:val="left" w:pos="851"/>
        </w:tabs>
        <w:ind w:left="851"/>
        <w:rPr>
          <w:sz w:val="24"/>
          <w:szCs w:val="24"/>
        </w:rPr>
      </w:pPr>
      <w:r w:rsidRPr="00361808">
        <w:rPr>
          <w:sz w:val="24"/>
          <w:szCs w:val="24"/>
        </w:rPr>
        <w:t>Ikke kendt (kan ikke estimeres ud fra forhåndenværende data)</w:t>
      </w:r>
    </w:p>
    <w:p w14:paraId="38246C99" w14:textId="77777777" w:rsidR="00361808" w:rsidRDefault="00361808" w:rsidP="00361808">
      <w:pPr>
        <w:autoSpaceDE w:val="0"/>
        <w:autoSpaceDN w:val="0"/>
        <w:adjustRightInd w:val="0"/>
        <w:rPr>
          <w:sz w:val="22"/>
          <w:szCs w:val="22"/>
        </w:rPr>
      </w:pPr>
    </w:p>
    <w:tbl>
      <w:tblPr>
        <w:tblW w:w="9645" w:type="dxa"/>
        <w:tblInd w:w="110" w:type="dxa"/>
        <w:tblLayout w:type="fixed"/>
        <w:tblCellMar>
          <w:left w:w="0" w:type="dxa"/>
          <w:right w:w="0" w:type="dxa"/>
        </w:tblCellMar>
        <w:tblLook w:val="04A0" w:firstRow="1" w:lastRow="0" w:firstColumn="1" w:lastColumn="0" w:noHBand="0" w:noVBand="1"/>
      </w:tblPr>
      <w:tblGrid>
        <w:gridCol w:w="1988"/>
        <w:gridCol w:w="1700"/>
        <w:gridCol w:w="2130"/>
        <w:gridCol w:w="1701"/>
        <w:gridCol w:w="2126"/>
      </w:tblGrid>
      <w:tr w:rsidR="00361808" w14:paraId="67E1A1CE"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vAlign w:val="center"/>
            <w:hideMark/>
          </w:tcPr>
          <w:p w14:paraId="6867055E" w14:textId="77777777" w:rsidR="00361808" w:rsidRDefault="00361808">
            <w:pPr>
              <w:keepNext/>
              <w:autoSpaceDE w:val="0"/>
              <w:autoSpaceDN w:val="0"/>
              <w:adjustRightInd w:val="0"/>
              <w:jc w:val="center"/>
              <w:rPr>
                <w:sz w:val="22"/>
                <w:szCs w:val="22"/>
              </w:rPr>
            </w:pPr>
            <w:r>
              <w:rPr>
                <w:b/>
                <w:bCs/>
                <w:sz w:val="22"/>
                <w:szCs w:val="22"/>
              </w:rPr>
              <w:t>Systemorgan-</w:t>
            </w:r>
          </w:p>
          <w:p w14:paraId="5345D48B" w14:textId="77777777" w:rsidR="00361808" w:rsidRDefault="00361808">
            <w:pPr>
              <w:keepNext/>
              <w:autoSpaceDE w:val="0"/>
              <w:autoSpaceDN w:val="0"/>
              <w:adjustRightInd w:val="0"/>
              <w:jc w:val="center"/>
              <w:rPr>
                <w:sz w:val="22"/>
                <w:szCs w:val="22"/>
              </w:rPr>
            </w:pPr>
            <w:r>
              <w:rPr>
                <w:b/>
                <w:bCs/>
                <w:sz w:val="22"/>
                <w:szCs w:val="22"/>
              </w:rPr>
              <w:t>klasse</w:t>
            </w:r>
          </w:p>
        </w:tc>
        <w:tc>
          <w:tcPr>
            <w:tcW w:w="1699" w:type="dxa"/>
            <w:tcBorders>
              <w:top w:val="single" w:sz="4" w:space="0" w:color="000000"/>
              <w:left w:val="single" w:sz="4" w:space="0" w:color="000000"/>
              <w:bottom w:val="single" w:sz="4" w:space="0" w:color="000000"/>
              <w:right w:val="single" w:sz="4" w:space="0" w:color="000000"/>
            </w:tcBorders>
            <w:vAlign w:val="center"/>
            <w:hideMark/>
          </w:tcPr>
          <w:p w14:paraId="38F7B9D4" w14:textId="77777777" w:rsidR="00361808" w:rsidRDefault="00361808">
            <w:pPr>
              <w:keepNext/>
              <w:autoSpaceDE w:val="0"/>
              <w:autoSpaceDN w:val="0"/>
              <w:adjustRightInd w:val="0"/>
              <w:jc w:val="center"/>
              <w:rPr>
                <w:sz w:val="22"/>
                <w:szCs w:val="22"/>
              </w:rPr>
            </w:pPr>
            <w:r>
              <w:rPr>
                <w:b/>
                <w:bCs/>
                <w:sz w:val="22"/>
                <w:szCs w:val="22"/>
              </w:rPr>
              <w:t>Almindelig</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12A0D1FC" w14:textId="77777777" w:rsidR="00361808" w:rsidRDefault="00361808">
            <w:pPr>
              <w:keepNext/>
              <w:autoSpaceDE w:val="0"/>
              <w:autoSpaceDN w:val="0"/>
              <w:adjustRightInd w:val="0"/>
              <w:jc w:val="center"/>
              <w:rPr>
                <w:sz w:val="22"/>
                <w:szCs w:val="22"/>
              </w:rPr>
            </w:pPr>
            <w:r>
              <w:rPr>
                <w:b/>
                <w:bCs/>
                <w:sz w:val="22"/>
                <w:szCs w:val="22"/>
              </w:rPr>
              <w:t>Ikke almindelig</w:t>
            </w:r>
          </w:p>
        </w:tc>
        <w:tc>
          <w:tcPr>
            <w:tcW w:w="1699" w:type="dxa"/>
            <w:tcBorders>
              <w:top w:val="single" w:sz="4" w:space="0" w:color="000000"/>
              <w:left w:val="single" w:sz="4" w:space="0" w:color="000000"/>
              <w:bottom w:val="single" w:sz="4" w:space="0" w:color="000000"/>
              <w:right w:val="single" w:sz="4" w:space="0" w:color="000000"/>
            </w:tcBorders>
            <w:vAlign w:val="center"/>
            <w:hideMark/>
          </w:tcPr>
          <w:p w14:paraId="3EA46D77" w14:textId="77777777" w:rsidR="00361808" w:rsidRDefault="00361808">
            <w:pPr>
              <w:keepNext/>
              <w:autoSpaceDE w:val="0"/>
              <w:autoSpaceDN w:val="0"/>
              <w:adjustRightInd w:val="0"/>
              <w:jc w:val="center"/>
              <w:rPr>
                <w:sz w:val="22"/>
                <w:szCs w:val="22"/>
              </w:rPr>
            </w:pPr>
            <w:r>
              <w:rPr>
                <w:b/>
                <w:bCs/>
                <w:sz w:val="22"/>
                <w:szCs w:val="22"/>
              </w:rPr>
              <w:t>Meget sjælden</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5083B8E" w14:textId="77777777" w:rsidR="00361808" w:rsidRDefault="00361808">
            <w:pPr>
              <w:keepNext/>
              <w:autoSpaceDE w:val="0"/>
              <w:autoSpaceDN w:val="0"/>
              <w:adjustRightInd w:val="0"/>
              <w:jc w:val="center"/>
              <w:rPr>
                <w:sz w:val="22"/>
                <w:szCs w:val="22"/>
              </w:rPr>
            </w:pPr>
            <w:r>
              <w:rPr>
                <w:b/>
                <w:bCs/>
                <w:sz w:val="22"/>
                <w:szCs w:val="22"/>
              </w:rPr>
              <w:t>Ikke kendt</w:t>
            </w:r>
          </w:p>
        </w:tc>
      </w:tr>
      <w:tr w:rsidR="00361808" w14:paraId="05A1D6BA"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56095944" w14:textId="77777777" w:rsidR="00361808" w:rsidRDefault="00361808">
            <w:pPr>
              <w:autoSpaceDE w:val="0"/>
              <w:autoSpaceDN w:val="0"/>
              <w:adjustRightInd w:val="0"/>
              <w:ind w:left="102" w:right="-20"/>
              <w:rPr>
                <w:sz w:val="22"/>
                <w:szCs w:val="22"/>
              </w:rPr>
            </w:pPr>
            <w:r>
              <w:rPr>
                <w:sz w:val="22"/>
                <w:szCs w:val="22"/>
              </w:rPr>
              <w:t>Infektioner og parasitære sygdomme</w:t>
            </w:r>
          </w:p>
        </w:tc>
        <w:tc>
          <w:tcPr>
            <w:tcW w:w="1699" w:type="dxa"/>
            <w:tcBorders>
              <w:top w:val="single" w:sz="4" w:space="0" w:color="000000"/>
              <w:left w:val="single" w:sz="4" w:space="0" w:color="000000"/>
              <w:bottom w:val="single" w:sz="4" w:space="0" w:color="000000"/>
              <w:right w:val="single" w:sz="4" w:space="0" w:color="000000"/>
            </w:tcBorders>
          </w:tcPr>
          <w:p w14:paraId="3FB26217"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hideMark/>
          </w:tcPr>
          <w:p w14:paraId="3969E4C6" w14:textId="77777777" w:rsidR="00361808" w:rsidRDefault="00361808">
            <w:pPr>
              <w:autoSpaceDE w:val="0"/>
              <w:autoSpaceDN w:val="0"/>
              <w:adjustRightInd w:val="0"/>
              <w:ind w:left="102" w:right="272"/>
              <w:rPr>
                <w:sz w:val="22"/>
                <w:szCs w:val="22"/>
              </w:rPr>
            </w:pPr>
            <w:r>
              <w:rPr>
                <w:sz w:val="22"/>
                <w:szCs w:val="22"/>
              </w:rPr>
              <w:t>Candidiasis (herunder vaginitis og oral trøske)</w:t>
            </w:r>
          </w:p>
        </w:tc>
        <w:tc>
          <w:tcPr>
            <w:tcW w:w="1699" w:type="dxa"/>
            <w:tcBorders>
              <w:top w:val="single" w:sz="4" w:space="0" w:color="000000"/>
              <w:left w:val="single" w:sz="4" w:space="0" w:color="000000"/>
              <w:bottom w:val="single" w:sz="4" w:space="0" w:color="000000"/>
              <w:right w:val="single" w:sz="4" w:space="0" w:color="000000"/>
            </w:tcBorders>
          </w:tcPr>
          <w:p w14:paraId="2E7A404B"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tcPr>
          <w:p w14:paraId="23015836" w14:textId="77777777" w:rsidR="00361808" w:rsidRDefault="00361808">
            <w:pPr>
              <w:autoSpaceDE w:val="0"/>
              <w:autoSpaceDN w:val="0"/>
              <w:adjustRightInd w:val="0"/>
              <w:rPr>
                <w:sz w:val="22"/>
                <w:szCs w:val="22"/>
              </w:rPr>
            </w:pPr>
          </w:p>
        </w:tc>
      </w:tr>
      <w:tr w:rsidR="00361808" w14:paraId="449B8C85"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2CB75F82" w14:textId="77777777" w:rsidR="00361808" w:rsidRDefault="00361808">
            <w:pPr>
              <w:autoSpaceDE w:val="0"/>
              <w:autoSpaceDN w:val="0"/>
              <w:adjustRightInd w:val="0"/>
              <w:ind w:left="102" w:right="-20"/>
              <w:rPr>
                <w:sz w:val="22"/>
                <w:szCs w:val="22"/>
              </w:rPr>
            </w:pPr>
            <w:r>
              <w:rPr>
                <w:sz w:val="22"/>
                <w:szCs w:val="22"/>
              </w:rPr>
              <w:t>Blod og lymfesystem</w:t>
            </w:r>
          </w:p>
        </w:tc>
        <w:tc>
          <w:tcPr>
            <w:tcW w:w="1699" w:type="dxa"/>
            <w:tcBorders>
              <w:top w:val="single" w:sz="4" w:space="0" w:color="000000"/>
              <w:left w:val="single" w:sz="4" w:space="0" w:color="000000"/>
              <w:bottom w:val="single" w:sz="4" w:space="0" w:color="000000"/>
              <w:right w:val="single" w:sz="4" w:space="0" w:color="000000"/>
            </w:tcBorders>
            <w:hideMark/>
          </w:tcPr>
          <w:p w14:paraId="11D7D213" w14:textId="77777777" w:rsidR="00361808" w:rsidRDefault="00361808">
            <w:pPr>
              <w:autoSpaceDE w:val="0"/>
              <w:autoSpaceDN w:val="0"/>
              <w:adjustRightInd w:val="0"/>
              <w:ind w:left="102" w:right="-20"/>
              <w:rPr>
                <w:sz w:val="22"/>
                <w:szCs w:val="22"/>
              </w:rPr>
            </w:pPr>
            <w:r>
              <w:rPr>
                <w:sz w:val="22"/>
                <w:szCs w:val="22"/>
              </w:rPr>
              <w:t>Eosinofili</w:t>
            </w:r>
          </w:p>
          <w:p w14:paraId="1FA2E032" w14:textId="77777777" w:rsidR="00361808" w:rsidRDefault="00361808">
            <w:pPr>
              <w:autoSpaceDE w:val="0"/>
              <w:autoSpaceDN w:val="0"/>
              <w:adjustRightInd w:val="0"/>
              <w:ind w:left="102" w:right="-20"/>
              <w:rPr>
                <w:sz w:val="22"/>
                <w:szCs w:val="22"/>
              </w:rPr>
            </w:pPr>
            <w:r>
              <w:rPr>
                <w:sz w:val="22"/>
                <w:szCs w:val="22"/>
              </w:rPr>
              <w:lastRenderedPageBreak/>
              <w:t>Trombocytose</w:t>
            </w:r>
          </w:p>
        </w:tc>
        <w:tc>
          <w:tcPr>
            <w:tcW w:w="2129" w:type="dxa"/>
            <w:tcBorders>
              <w:top w:val="single" w:sz="4" w:space="0" w:color="000000"/>
              <w:left w:val="single" w:sz="4" w:space="0" w:color="000000"/>
              <w:bottom w:val="single" w:sz="4" w:space="0" w:color="000000"/>
              <w:right w:val="single" w:sz="4" w:space="0" w:color="000000"/>
            </w:tcBorders>
            <w:hideMark/>
          </w:tcPr>
          <w:p w14:paraId="467FA7F8" w14:textId="77777777" w:rsidR="00361808" w:rsidRDefault="00361808">
            <w:pPr>
              <w:autoSpaceDE w:val="0"/>
              <w:autoSpaceDN w:val="0"/>
              <w:adjustRightInd w:val="0"/>
              <w:ind w:left="102" w:right="-20"/>
              <w:rPr>
                <w:sz w:val="22"/>
                <w:szCs w:val="22"/>
              </w:rPr>
            </w:pPr>
            <w:r>
              <w:rPr>
                <w:sz w:val="22"/>
                <w:szCs w:val="22"/>
              </w:rPr>
              <w:lastRenderedPageBreak/>
              <w:t>Neutropeni</w:t>
            </w:r>
          </w:p>
          <w:p w14:paraId="2A5BABB6" w14:textId="77777777" w:rsidR="00361808" w:rsidRDefault="00361808">
            <w:pPr>
              <w:autoSpaceDE w:val="0"/>
              <w:autoSpaceDN w:val="0"/>
              <w:adjustRightInd w:val="0"/>
              <w:ind w:left="102" w:right="-20"/>
              <w:rPr>
                <w:sz w:val="22"/>
                <w:szCs w:val="22"/>
              </w:rPr>
            </w:pPr>
            <w:r>
              <w:rPr>
                <w:sz w:val="22"/>
                <w:szCs w:val="22"/>
              </w:rPr>
              <w:lastRenderedPageBreak/>
              <w:t>Leukopeni</w:t>
            </w:r>
          </w:p>
          <w:p w14:paraId="19D73E0F" w14:textId="77777777" w:rsidR="00361808" w:rsidRDefault="00361808">
            <w:pPr>
              <w:autoSpaceDE w:val="0"/>
              <w:autoSpaceDN w:val="0"/>
              <w:adjustRightInd w:val="0"/>
              <w:ind w:left="102" w:right="-20"/>
              <w:rPr>
                <w:sz w:val="22"/>
                <w:szCs w:val="22"/>
              </w:rPr>
            </w:pPr>
            <w:r>
              <w:rPr>
                <w:sz w:val="22"/>
                <w:szCs w:val="22"/>
              </w:rPr>
              <w:t>Trombocytopeni</w:t>
            </w:r>
          </w:p>
        </w:tc>
        <w:tc>
          <w:tcPr>
            <w:tcW w:w="1699" w:type="dxa"/>
            <w:tcBorders>
              <w:top w:val="single" w:sz="4" w:space="0" w:color="000000"/>
              <w:left w:val="single" w:sz="4" w:space="0" w:color="000000"/>
              <w:bottom w:val="single" w:sz="4" w:space="0" w:color="000000"/>
              <w:right w:val="single" w:sz="4" w:space="0" w:color="000000"/>
            </w:tcBorders>
          </w:tcPr>
          <w:p w14:paraId="7174903A"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1FCDE58D" w14:textId="77777777" w:rsidR="00361808" w:rsidRDefault="00361808">
            <w:pPr>
              <w:autoSpaceDE w:val="0"/>
              <w:autoSpaceDN w:val="0"/>
              <w:adjustRightInd w:val="0"/>
              <w:ind w:left="102" w:right="-20"/>
              <w:rPr>
                <w:sz w:val="22"/>
                <w:szCs w:val="22"/>
              </w:rPr>
            </w:pPr>
            <w:r>
              <w:rPr>
                <w:sz w:val="22"/>
                <w:szCs w:val="22"/>
              </w:rPr>
              <w:t>Agranulocytose</w:t>
            </w:r>
          </w:p>
          <w:p w14:paraId="38EC1C07" w14:textId="77777777" w:rsidR="00361808" w:rsidRDefault="00361808">
            <w:pPr>
              <w:autoSpaceDE w:val="0"/>
              <w:autoSpaceDN w:val="0"/>
              <w:adjustRightInd w:val="0"/>
              <w:ind w:left="102" w:right="-20"/>
              <w:rPr>
                <w:sz w:val="22"/>
                <w:szCs w:val="22"/>
              </w:rPr>
            </w:pPr>
            <w:r>
              <w:rPr>
                <w:sz w:val="22"/>
                <w:szCs w:val="22"/>
              </w:rPr>
              <w:lastRenderedPageBreak/>
              <w:t>Hæmolytisk</w:t>
            </w:r>
          </w:p>
          <w:p w14:paraId="54FC0F29" w14:textId="77777777" w:rsidR="00361808" w:rsidRDefault="00361808">
            <w:pPr>
              <w:autoSpaceDE w:val="0"/>
              <w:autoSpaceDN w:val="0"/>
              <w:adjustRightInd w:val="0"/>
              <w:ind w:left="102" w:right="-20"/>
              <w:rPr>
                <w:sz w:val="22"/>
                <w:szCs w:val="22"/>
              </w:rPr>
            </w:pPr>
            <w:r>
              <w:rPr>
                <w:sz w:val="22"/>
                <w:szCs w:val="22"/>
              </w:rPr>
              <w:t>anæmi</w:t>
            </w:r>
          </w:p>
          <w:p w14:paraId="64DE70D5" w14:textId="77777777" w:rsidR="00361808" w:rsidRDefault="00361808">
            <w:pPr>
              <w:autoSpaceDE w:val="0"/>
              <w:autoSpaceDN w:val="0"/>
              <w:adjustRightInd w:val="0"/>
              <w:ind w:left="102" w:right="-20"/>
              <w:rPr>
                <w:sz w:val="22"/>
                <w:szCs w:val="22"/>
              </w:rPr>
            </w:pPr>
            <w:r>
              <w:rPr>
                <w:sz w:val="22"/>
                <w:szCs w:val="22"/>
              </w:rPr>
              <w:t>Lymfocytose</w:t>
            </w:r>
          </w:p>
        </w:tc>
      </w:tr>
      <w:tr w:rsidR="00361808" w14:paraId="28D2D4A5"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1E6AAECC" w14:textId="77777777" w:rsidR="00361808" w:rsidRDefault="00361808">
            <w:pPr>
              <w:autoSpaceDE w:val="0"/>
              <w:autoSpaceDN w:val="0"/>
              <w:adjustRightInd w:val="0"/>
              <w:ind w:left="102" w:right="-20"/>
              <w:rPr>
                <w:sz w:val="22"/>
                <w:szCs w:val="22"/>
              </w:rPr>
            </w:pPr>
            <w:r>
              <w:rPr>
                <w:sz w:val="22"/>
                <w:szCs w:val="22"/>
              </w:rPr>
              <w:lastRenderedPageBreak/>
              <w:t>Immunsystemet</w:t>
            </w:r>
          </w:p>
        </w:tc>
        <w:tc>
          <w:tcPr>
            <w:tcW w:w="1699" w:type="dxa"/>
            <w:tcBorders>
              <w:top w:val="single" w:sz="4" w:space="0" w:color="000000"/>
              <w:left w:val="single" w:sz="4" w:space="0" w:color="000000"/>
              <w:bottom w:val="single" w:sz="4" w:space="0" w:color="000000"/>
              <w:right w:val="single" w:sz="4" w:space="0" w:color="000000"/>
            </w:tcBorders>
          </w:tcPr>
          <w:p w14:paraId="7DC091D6"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5FA7B4C1"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3FCE2D40"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63AAC19F" w14:textId="77777777" w:rsidR="00361808" w:rsidRDefault="00361808">
            <w:pPr>
              <w:autoSpaceDE w:val="0"/>
              <w:autoSpaceDN w:val="0"/>
              <w:adjustRightInd w:val="0"/>
              <w:ind w:left="102" w:right="204"/>
              <w:rPr>
                <w:sz w:val="22"/>
                <w:szCs w:val="22"/>
              </w:rPr>
            </w:pPr>
            <w:r>
              <w:rPr>
                <w:sz w:val="22"/>
                <w:szCs w:val="22"/>
              </w:rPr>
              <w:t>Anafylaksi (herunder bronkospasme og/eller hypotension) (se pkt. 4.4)</w:t>
            </w:r>
          </w:p>
        </w:tc>
      </w:tr>
      <w:tr w:rsidR="00361808" w14:paraId="4BB8682F"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3B34764A" w14:textId="77777777" w:rsidR="00361808" w:rsidRDefault="00361808">
            <w:pPr>
              <w:autoSpaceDE w:val="0"/>
              <w:autoSpaceDN w:val="0"/>
              <w:adjustRightInd w:val="0"/>
              <w:ind w:left="102" w:right="-20"/>
              <w:rPr>
                <w:sz w:val="22"/>
                <w:szCs w:val="22"/>
              </w:rPr>
            </w:pPr>
            <w:r>
              <w:rPr>
                <w:sz w:val="22"/>
                <w:szCs w:val="22"/>
              </w:rPr>
              <w:t>Nervesystemet</w:t>
            </w:r>
          </w:p>
        </w:tc>
        <w:tc>
          <w:tcPr>
            <w:tcW w:w="1699" w:type="dxa"/>
            <w:tcBorders>
              <w:top w:val="single" w:sz="4" w:space="0" w:color="000000"/>
              <w:left w:val="single" w:sz="4" w:space="0" w:color="000000"/>
              <w:bottom w:val="single" w:sz="4" w:space="0" w:color="000000"/>
              <w:right w:val="single" w:sz="4" w:space="0" w:color="000000"/>
            </w:tcBorders>
          </w:tcPr>
          <w:p w14:paraId="66AABF22"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hideMark/>
          </w:tcPr>
          <w:p w14:paraId="3F737BC7" w14:textId="77777777" w:rsidR="00361808" w:rsidRDefault="00361808">
            <w:pPr>
              <w:autoSpaceDE w:val="0"/>
              <w:autoSpaceDN w:val="0"/>
              <w:adjustRightInd w:val="0"/>
              <w:ind w:left="102" w:right="-20"/>
              <w:rPr>
                <w:sz w:val="22"/>
                <w:szCs w:val="22"/>
              </w:rPr>
            </w:pPr>
            <w:r>
              <w:rPr>
                <w:sz w:val="22"/>
                <w:szCs w:val="22"/>
              </w:rPr>
              <w:t>Hovedpine</w:t>
            </w:r>
          </w:p>
          <w:p w14:paraId="4C6067DF" w14:textId="77777777" w:rsidR="00361808" w:rsidRDefault="00361808">
            <w:pPr>
              <w:autoSpaceDE w:val="0"/>
              <w:autoSpaceDN w:val="0"/>
              <w:adjustRightInd w:val="0"/>
              <w:ind w:left="102" w:right="-20"/>
              <w:rPr>
                <w:sz w:val="22"/>
                <w:szCs w:val="22"/>
              </w:rPr>
            </w:pPr>
            <w:r>
              <w:rPr>
                <w:sz w:val="22"/>
                <w:szCs w:val="22"/>
              </w:rPr>
              <w:t>Svimmelhed</w:t>
            </w:r>
          </w:p>
        </w:tc>
        <w:tc>
          <w:tcPr>
            <w:tcW w:w="1699" w:type="dxa"/>
            <w:tcBorders>
              <w:top w:val="single" w:sz="4" w:space="0" w:color="000000"/>
              <w:left w:val="single" w:sz="4" w:space="0" w:color="000000"/>
              <w:bottom w:val="single" w:sz="4" w:space="0" w:color="000000"/>
              <w:right w:val="single" w:sz="4" w:space="0" w:color="000000"/>
            </w:tcBorders>
          </w:tcPr>
          <w:p w14:paraId="297DA30A"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53E485FB" w14:textId="77777777" w:rsidR="00361808" w:rsidRDefault="00361808">
            <w:pPr>
              <w:autoSpaceDE w:val="0"/>
              <w:autoSpaceDN w:val="0"/>
              <w:adjustRightInd w:val="0"/>
              <w:ind w:left="102" w:right="635"/>
              <w:rPr>
                <w:sz w:val="22"/>
                <w:szCs w:val="22"/>
              </w:rPr>
            </w:pPr>
            <w:r>
              <w:rPr>
                <w:sz w:val="22"/>
                <w:szCs w:val="22"/>
              </w:rPr>
              <w:t>Neurologiske sequelae</w:t>
            </w:r>
            <w:r>
              <w:rPr>
                <w:sz w:val="22"/>
                <w:szCs w:val="22"/>
                <w:vertAlign w:val="superscript"/>
              </w:rPr>
              <w:t>1</w:t>
            </w:r>
          </w:p>
          <w:p w14:paraId="00F4D5BD" w14:textId="77777777" w:rsidR="00361808" w:rsidRDefault="00361808">
            <w:pPr>
              <w:autoSpaceDE w:val="0"/>
              <w:autoSpaceDN w:val="0"/>
              <w:adjustRightInd w:val="0"/>
              <w:ind w:left="102" w:right="-20"/>
              <w:rPr>
                <w:sz w:val="22"/>
                <w:szCs w:val="22"/>
              </w:rPr>
            </w:pPr>
            <w:r>
              <w:rPr>
                <w:sz w:val="22"/>
                <w:szCs w:val="22"/>
              </w:rPr>
              <w:t>Paræstesi</w:t>
            </w:r>
          </w:p>
        </w:tc>
      </w:tr>
      <w:tr w:rsidR="00361808" w14:paraId="0F13C449"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7C81B993" w14:textId="77777777" w:rsidR="00361808" w:rsidRDefault="00361808">
            <w:pPr>
              <w:autoSpaceDE w:val="0"/>
              <w:autoSpaceDN w:val="0"/>
              <w:adjustRightInd w:val="0"/>
              <w:ind w:left="102" w:right="-20"/>
              <w:rPr>
                <w:sz w:val="22"/>
                <w:szCs w:val="22"/>
              </w:rPr>
            </w:pPr>
            <w:r>
              <w:rPr>
                <w:sz w:val="22"/>
                <w:szCs w:val="22"/>
              </w:rPr>
              <w:t>Vaskulære sygdomme</w:t>
            </w:r>
          </w:p>
        </w:tc>
        <w:tc>
          <w:tcPr>
            <w:tcW w:w="1699" w:type="dxa"/>
            <w:tcBorders>
              <w:top w:val="single" w:sz="4" w:space="0" w:color="000000"/>
              <w:left w:val="single" w:sz="4" w:space="0" w:color="000000"/>
              <w:bottom w:val="single" w:sz="4" w:space="0" w:color="000000"/>
              <w:right w:val="single" w:sz="4" w:space="0" w:color="000000"/>
            </w:tcBorders>
            <w:hideMark/>
          </w:tcPr>
          <w:p w14:paraId="17B9344A" w14:textId="77777777" w:rsidR="00361808" w:rsidRDefault="00361808">
            <w:pPr>
              <w:autoSpaceDE w:val="0"/>
              <w:autoSpaceDN w:val="0"/>
              <w:adjustRightInd w:val="0"/>
              <w:ind w:left="102" w:right="-20"/>
              <w:rPr>
                <w:sz w:val="22"/>
                <w:szCs w:val="22"/>
              </w:rPr>
            </w:pPr>
            <w:r>
              <w:rPr>
                <w:sz w:val="22"/>
                <w:szCs w:val="22"/>
              </w:rPr>
              <w:t>Flebitis eller tromboflebitis ved intravenøs administration</w:t>
            </w:r>
          </w:p>
        </w:tc>
        <w:tc>
          <w:tcPr>
            <w:tcW w:w="2129" w:type="dxa"/>
            <w:tcBorders>
              <w:top w:val="single" w:sz="4" w:space="0" w:color="000000"/>
              <w:left w:val="single" w:sz="4" w:space="0" w:color="000000"/>
              <w:bottom w:val="single" w:sz="4" w:space="0" w:color="000000"/>
              <w:right w:val="single" w:sz="4" w:space="0" w:color="000000"/>
            </w:tcBorders>
          </w:tcPr>
          <w:p w14:paraId="3717C656"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2620A7B6"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tcPr>
          <w:p w14:paraId="4DCEBC1F" w14:textId="77777777" w:rsidR="00361808" w:rsidRDefault="00361808">
            <w:pPr>
              <w:autoSpaceDE w:val="0"/>
              <w:autoSpaceDN w:val="0"/>
              <w:adjustRightInd w:val="0"/>
              <w:rPr>
                <w:sz w:val="22"/>
                <w:szCs w:val="22"/>
              </w:rPr>
            </w:pPr>
          </w:p>
        </w:tc>
      </w:tr>
      <w:tr w:rsidR="00361808" w14:paraId="6728914F"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045DE1E4" w14:textId="77777777" w:rsidR="00361808" w:rsidRDefault="00361808">
            <w:pPr>
              <w:autoSpaceDE w:val="0"/>
              <w:autoSpaceDN w:val="0"/>
              <w:adjustRightInd w:val="0"/>
              <w:ind w:left="102" w:right="-20"/>
              <w:rPr>
                <w:sz w:val="22"/>
                <w:szCs w:val="22"/>
              </w:rPr>
            </w:pPr>
            <w:r>
              <w:rPr>
                <w:sz w:val="22"/>
                <w:szCs w:val="22"/>
              </w:rPr>
              <w:t>Mave-tarm-kanalen</w:t>
            </w:r>
          </w:p>
        </w:tc>
        <w:tc>
          <w:tcPr>
            <w:tcW w:w="1699" w:type="dxa"/>
            <w:tcBorders>
              <w:top w:val="single" w:sz="4" w:space="0" w:color="000000"/>
              <w:left w:val="single" w:sz="4" w:space="0" w:color="000000"/>
              <w:bottom w:val="single" w:sz="4" w:space="0" w:color="000000"/>
              <w:right w:val="single" w:sz="4" w:space="0" w:color="000000"/>
            </w:tcBorders>
            <w:hideMark/>
          </w:tcPr>
          <w:p w14:paraId="20AF923D" w14:textId="77777777" w:rsidR="00361808" w:rsidRDefault="00361808">
            <w:pPr>
              <w:autoSpaceDE w:val="0"/>
              <w:autoSpaceDN w:val="0"/>
              <w:adjustRightInd w:val="0"/>
              <w:ind w:left="102" w:right="-20"/>
              <w:rPr>
                <w:sz w:val="22"/>
                <w:szCs w:val="22"/>
              </w:rPr>
            </w:pPr>
            <w:r>
              <w:rPr>
                <w:sz w:val="22"/>
                <w:szCs w:val="22"/>
              </w:rPr>
              <w:t>Diarré</w:t>
            </w:r>
          </w:p>
        </w:tc>
        <w:tc>
          <w:tcPr>
            <w:tcW w:w="2129" w:type="dxa"/>
            <w:tcBorders>
              <w:top w:val="single" w:sz="4" w:space="0" w:color="000000"/>
              <w:left w:val="single" w:sz="4" w:space="0" w:color="000000"/>
              <w:bottom w:val="single" w:sz="4" w:space="0" w:color="000000"/>
              <w:right w:val="single" w:sz="4" w:space="0" w:color="000000"/>
            </w:tcBorders>
            <w:hideMark/>
          </w:tcPr>
          <w:p w14:paraId="0A8A00A9" w14:textId="77777777" w:rsidR="00361808" w:rsidRDefault="00361808">
            <w:pPr>
              <w:autoSpaceDE w:val="0"/>
              <w:autoSpaceDN w:val="0"/>
              <w:adjustRightInd w:val="0"/>
              <w:ind w:left="102" w:right="481"/>
              <w:rPr>
                <w:sz w:val="22"/>
                <w:szCs w:val="22"/>
              </w:rPr>
            </w:pPr>
            <w:r>
              <w:rPr>
                <w:sz w:val="22"/>
                <w:szCs w:val="22"/>
              </w:rPr>
              <w:t>Antibiotika-associeret diarré og kolitis</w:t>
            </w:r>
            <w:r>
              <w:rPr>
                <w:sz w:val="22"/>
                <w:szCs w:val="22"/>
                <w:vertAlign w:val="superscript"/>
              </w:rPr>
              <w:t>2</w:t>
            </w:r>
            <w:r>
              <w:rPr>
                <w:sz w:val="22"/>
                <w:szCs w:val="22"/>
              </w:rPr>
              <w:t xml:space="preserve"> (se pkt. 4.4)</w:t>
            </w:r>
          </w:p>
          <w:p w14:paraId="6B480658" w14:textId="77777777" w:rsidR="00361808" w:rsidRDefault="00361808">
            <w:pPr>
              <w:autoSpaceDE w:val="0"/>
              <w:autoSpaceDN w:val="0"/>
              <w:adjustRightInd w:val="0"/>
              <w:ind w:left="102" w:right="481"/>
              <w:rPr>
                <w:sz w:val="22"/>
                <w:szCs w:val="22"/>
              </w:rPr>
            </w:pPr>
            <w:r>
              <w:rPr>
                <w:sz w:val="22"/>
                <w:szCs w:val="22"/>
              </w:rPr>
              <w:t>Abdominal-smerter</w:t>
            </w:r>
          </w:p>
          <w:p w14:paraId="45284B97" w14:textId="77777777" w:rsidR="00361808" w:rsidRDefault="00361808">
            <w:pPr>
              <w:autoSpaceDE w:val="0"/>
              <w:autoSpaceDN w:val="0"/>
              <w:adjustRightInd w:val="0"/>
              <w:ind w:left="102" w:right="481"/>
              <w:rPr>
                <w:sz w:val="22"/>
                <w:szCs w:val="22"/>
              </w:rPr>
            </w:pPr>
            <w:r>
              <w:rPr>
                <w:sz w:val="22"/>
                <w:szCs w:val="22"/>
              </w:rPr>
              <w:t>Kvalme</w:t>
            </w:r>
          </w:p>
          <w:p w14:paraId="35E8AFCE" w14:textId="77777777" w:rsidR="00361808" w:rsidRDefault="00361808">
            <w:pPr>
              <w:autoSpaceDE w:val="0"/>
              <w:autoSpaceDN w:val="0"/>
              <w:adjustRightInd w:val="0"/>
              <w:ind w:left="102" w:right="481"/>
              <w:rPr>
                <w:sz w:val="22"/>
                <w:szCs w:val="22"/>
              </w:rPr>
            </w:pPr>
            <w:r>
              <w:rPr>
                <w:sz w:val="22"/>
                <w:szCs w:val="22"/>
              </w:rPr>
              <w:t>Opkastning</w:t>
            </w:r>
          </w:p>
        </w:tc>
        <w:tc>
          <w:tcPr>
            <w:tcW w:w="1699" w:type="dxa"/>
            <w:tcBorders>
              <w:top w:val="single" w:sz="4" w:space="0" w:color="000000"/>
              <w:left w:val="single" w:sz="4" w:space="0" w:color="000000"/>
              <w:bottom w:val="single" w:sz="4" w:space="0" w:color="000000"/>
              <w:right w:val="single" w:sz="4" w:space="0" w:color="000000"/>
            </w:tcBorders>
          </w:tcPr>
          <w:p w14:paraId="3AAD4468"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24262A11" w14:textId="77777777" w:rsidR="00361808" w:rsidRDefault="00361808">
            <w:pPr>
              <w:autoSpaceDE w:val="0"/>
              <w:autoSpaceDN w:val="0"/>
              <w:adjustRightInd w:val="0"/>
              <w:ind w:left="102" w:right="-20"/>
              <w:rPr>
                <w:sz w:val="22"/>
                <w:szCs w:val="22"/>
              </w:rPr>
            </w:pPr>
            <w:r>
              <w:rPr>
                <w:sz w:val="22"/>
                <w:szCs w:val="22"/>
              </w:rPr>
              <w:t>Dårlig smag i munden</w:t>
            </w:r>
          </w:p>
        </w:tc>
      </w:tr>
      <w:tr w:rsidR="00361808" w14:paraId="13D341D7"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1A5B7A50" w14:textId="77777777" w:rsidR="00361808" w:rsidRDefault="00361808">
            <w:pPr>
              <w:autoSpaceDE w:val="0"/>
              <w:autoSpaceDN w:val="0"/>
              <w:adjustRightInd w:val="0"/>
              <w:ind w:left="102" w:right="-20"/>
              <w:rPr>
                <w:sz w:val="22"/>
                <w:szCs w:val="22"/>
              </w:rPr>
            </w:pPr>
            <w:r>
              <w:rPr>
                <w:sz w:val="22"/>
                <w:szCs w:val="22"/>
              </w:rPr>
              <w:t>Lever og galdeveje</w:t>
            </w:r>
          </w:p>
        </w:tc>
        <w:tc>
          <w:tcPr>
            <w:tcW w:w="1699" w:type="dxa"/>
            <w:tcBorders>
              <w:top w:val="single" w:sz="4" w:space="0" w:color="000000"/>
              <w:left w:val="single" w:sz="4" w:space="0" w:color="000000"/>
              <w:bottom w:val="single" w:sz="4" w:space="0" w:color="000000"/>
              <w:right w:val="single" w:sz="4" w:space="0" w:color="000000"/>
            </w:tcBorders>
            <w:hideMark/>
          </w:tcPr>
          <w:p w14:paraId="42701725" w14:textId="77777777" w:rsidR="00361808" w:rsidRDefault="00361808">
            <w:pPr>
              <w:autoSpaceDE w:val="0"/>
              <w:autoSpaceDN w:val="0"/>
              <w:adjustRightInd w:val="0"/>
              <w:ind w:left="102" w:right="-20"/>
              <w:rPr>
                <w:sz w:val="22"/>
                <w:szCs w:val="22"/>
              </w:rPr>
            </w:pPr>
            <w:r>
              <w:rPr>
                <w:sz w:val="22"/>
                <w:szCs w:val="22"/>
              </w:rPr>
              <w:t>Forbigående forhøjede værdier for et eller flere leverenzymer</w:t>
            </w:r>
            <w:r>
              <w:rPr>
                <w:sz w:val="22"/>
                <w:szCs w:val="22"/>
                <w:vertAlign w:val="superscript"/>
              </w:rPr>
              <w:t>3</w:t>
            </w:r>
          </w:p>
        </w:tc>
        <w:tc>
          <w:tcPr>
            <w:tcW w:w="2129" w:type="dxa"/>
            <w:tcBorders>
              <w:top w:val="single" w:sz="4" w:space="0" w:color="000000"/>
              <w:left w:val="single" w:sz="4" w:space="0" w:color="000000"/>
              <w:bottom w:val="single" w:sz="4" w:space="0" w:color="000000"/>
              <w:right w:val="single" w:sz="4" w:space="0" w:color="000000"/>
            </w:tcBorders>
          </w:tcPr>
          <w:p w14:paraId="6134B63D"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3E402D28"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3F11400E" w14:textId="77777777" w:rsidR="00361808" w:rsidRDefault="00361808">
            <w:pPr>
              <w:autoSpaceDE w:val="0"/>
              <w:autoSpaceDN w:val="0"/>
              <w:adjustRightInd w:val="0"/>
              <w:ind w:left="102" w:right="-20"/>
              <w:rPr>
                <w:sz w:val="22"/>
                <w:szCs w:val="22"/>
              </w:rPr>
            </w:pPr>
            <w:r>
              <w:rPr>
                <w:sz w:val="22"/>
                <w:szCs w:val="22"/>
              </w:rPr>
              <w:t>Gulsot</w:t>
            </w:r>
          </w:p>
        </w:tc>
      </w:tr>
      <w:tr w:rsidR="00361808" w14:paraId="144C998B"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2A918609" w14:textId="77777777" w:rsidR="00361808" w:rsidRDefault="00361808">
            <w:pPr>
              <w:autoSpaceDE w:val="0"/>
              <w:autoSpaceDN w:val="0"/>
              <w:adjustRightInd w:val="0"/>
              <w:ind w:left="102" w:right="-20"/>
              <w:rPr>
                <w:color w:val="FF0000"/>
                <w:sz w:val="22"/>
                <w:szCs w:val="22"/>
              </w:rPr>
            </w:pPr>
            <w:r>
              <w:rPr>
                <w:sz w:val="22"/>
                <w:szCs w:val="22"/>
              </w:rPr>
              <w:t>Hud og subkutane væv</w:t>
            </w:r>
          </w:p>
        </w:tc>
        <w:tc>
          <w:tcPr>
            <w:tcW w:w="1699" w:type="dxa"/>
            <w:tcBorders>
              <w:top w:val="single" w:sz="4" w:space="0" w:color="000000"/>
              <w:left w:val="single" w:sz="4" w:space="0" w:color="000000"/>
              <w:bottom w:val="single" w:sz="4" w:space="0" w:color="000000"/>
              <w:right w:val="single" w:sz="4" w:space="0" w:color="000000"/>
            </w:tcBorders>
            <w:hideMark/>
          </w:tcPr>
          <w:p w14:paraId="2BCFD233" w14:textId="77777777" w:rsidR="00361808" w:rsidRDefault="00361808">
            <w:pPr>
              <w:autoSpaceDE w:val="0"/>
              <w:autoSpaceDN w:val="0"/>
              <w:adjustRightInd w:val="0"/>
              <w:ind w:left="102" w:right="284"/>
              <w:rPr>
                <w:sz w:val="22"/>
                <w:szCs w:val="22"/>
              </w:rPr>
            </w:pPr>
            <w:r>
              <w:rPr>
                <w:sz w:val="22"/>
                <w:szCs w:val="22"/>
              </w:rPr>
              <w:t>Makulopapuløst eller urtikarielt udslæt</w:t>
            </w:r>
          </w:p>
        </w:tc>
        <w:tc>
          <w:tcPr>
            <w:tcW w:w="2129" w:type="dxa"/>
            <w:tcBorders>
              <w:top w:val="single" w:sz="4" w:space="0" w:color="000000"/>
              <w:left w:val="single" w:sz="4" w:space="0" w:color="000000"/>
              <w:bottom w:val="single" w:sz="4" w:space="0" w:color="000000"/>
              <w:right w:val="single" w:sz="4" w:space="0" w:color="000000"/>
            </w:tcBorders>
            <w:hideMark/>
          </w:tcPr>
          <w:p w14:paraId="5EBFBA94" w14:textId="77777777" w:rsidR="00361808" w:rsidRDefault="00361808">
            <w:pPr>
              <w:autoSpaceDE w:val="0"/>
              <w:autoSpaceDN w:val="0"/>
              <w:adjustRightInd w:val="0"/>
              <w:ind w:left="102" w:right="-20"/>
              <w:rPr>
                <w:sz w:val="22"/>
                <w:szCs w:val="22"/>
              </w:rPr>
            </w:pPr>
            <w:r>
              <w:rPr>
                <w:sz w:val="22"/>
                <w:szCs w:val="22"/>
              </w:rPr>
              <w:t>Pruritus</w:t>
            </w:r>
          </w:p>
        </w:tc>
        <w:tc>
          <w:tcPr>
            <w:tcW w:w="1699" w:type="dxa"/>
            <w:tcBorders>
              <w:top w:val="single" w:sz="4" w:space="0" w:color="000000"/>
              <w:left w:val="single" w:sz="4" w:space="0" w:color="000000"/>
              <w:bottom w:val="single" w:sz="4" w:space="0" w:color="000000"/>
              <w:right w:val="single" w:sz="4" w:space="0" w:color="000000"/>
            </w:tcBorders>
          </w:tcPr>
          <w:p w14:paraId="7C65A79D"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62DC28CB" w14:textId="77777777" w:rsidR="00361808" w:rsidRDefault="00361808">
            <w:pPr>
              <w:autoSpaceDE w:val="0"/>
              <w:autoSpaceDN w:val="0"/>
              <w:adjustRightInd w:val="0"/>
              <w:ind w:left="102" w:right="-20"/>
              <w:rPr>
                <w:sz w:val="22"/>
                <w:szCs w:val="22"/>
                <w:lang w:val="nb-NO"/>
              </w:rPr>
            </w:pPr>
            <w:r>
              <w:rPr>
                <w:sz w:val="22"/>
                <w:szCs w:val="22"/>
                <w:lang w:val="nb-NO"/>
              </w:rPr>
              <w:t>Toksisk epidermal nekrolyse</w:t>
            </w:r>
          </w:p>
          <w:p w14:paraId="3315F034" w14:textId="77777777" w:rsidR="00361808" w:rsidRDefault="00361808">
            <w:pPr>
              <w:autoSpaceDE w:val="0"/>
              <w:autoSpaceDN w:val="0"/>
              <w:adjustRightInd w:val="0"/>
              <w:ind w:left="102" w:right="-20"/>
              <w:rPr>
                <w:sz w:val="22"/>
                <w:szCs w:val="22"/>
                <w:lang w:val="nb-NO"/>
              </w:rPr>
            </w:pPr>
            <w:r>
              <w:rPr>
                <w:sz w:val="22"/>
                <w:szCs w:val="22"/>
                <w:lang w:val="nb-NO"/>
              </w:rPr>
              <w:t>Stevens-Johnsons syndrom</w:t>
            </w:r>
          </w:p>
          <w:p w14:paraId="6BACC96A" w14:textId="77777777" w:rsidR="00361808" w:rsidRDefault="00361808">
            <w:pPr>
              <w:autoSpaceDE w:val="0"/>
              <w:autoSpaceDN w:val="0"/>
              <w:adjustRightInd w:val="0"/>
              <w:ind w:left="102" w:right="392"/>
              <w:rPr>
                <w:sz w:val="22"/>
                <w:szCs w:val="22"/>
              </w:rPr>
            </w:pPr>
            <w:r>
              <w:rPr>
                <w:sz w:val="22"/>
                <w:szCs w:val="22"/>
              </w:rPr>
              <w:t>Erythema multiforme</w:t>
            </w:r>
          </w:p>
          <w:p w14:paraId="5EB7CF22" w14:textId="77777777" w:rsidR="00361808" w:rsidRDefault="00361808">
            <w:pPr>
              <w:autoSpaceDE w:val="0"/>
              <w:autoSpaceDN w:val="0"/>
              <w:adjustRightInd w:val="0"/>
              <w:ind w:left="102" w:right="392"/>
              <w:rPr>
                <w:sz w:val="22"/>
                <w:szCs w:val="22"/>
              </w:rPr>
            </w:pPr>
            <w:r>
              <w:rPr>
                <w:sz w:val="22"/>
                <w:szCs w:val="22"/>
              </w:rPr>
              <w:t>Angioødem</w:t>
            </w:r>
          </w:p>
          <w:p w14:paraId="4C922D48" w14:textId="77777777" w:rsidR="00361808" w:rsidRDefault="00361808">
            <w:pPr>
              <w:autoSpaceDE w:val="0"/>
              <w:autoSpaceDN w:val="0"/>
              <w:adjustRightInd w:val="0"/>
              <w:ind w:left="102" w:right="392"/>
              <w:rPr>
                <w:sz w:val="22"/>
                <w:szCs w:val="22"/>
              </w:rPr>
            </w:pPr>
            <w:r>
              <w:rPr>
                <w:sz w:val="22"/>
                <w:szCs w:val="22"/>
              </w:rPr>
              <w:t>Lægemiddel-reaktion med eosinofili og systemiske reaktioner (DRESS)</w:t>
            </w:r>
            <w:r>
              <w:rPr>
                <w:rStyle w:val="Fodnotehenvisning"/>
                <w:sz w:val="22"/>
                <w:szCs w:val="22"/>
              </w:rPr>
              <w:t>4</w:t>
            </w:r>
          </w:p>
          <w:p w14:paraId="1EE00C82" w14:textId="77777777" w:rsidR="00361808" w:rsidRDefault="00361808">
            <w:pPr>
              <w:autoSpaceDE w:val="0"/>
              <w:autoSpaceDN w:val="0"/>
              <w:adjustRightInd w:val="0"/>
              <w:ind w:left="102" w:right="392"/>
              <w:rPr>
                <w:color w:val="FF0000"/>
                <w:sz w:val="22"/>
                <w:szCs w:val="22"/>
              </w:rPr>
            </w:pPr>
            <w:r>
              <w:rPr>
                <w:sz w:val="22"/>
                <w:szCs w:val="22"/>
              </w:rPr>
              <w:t>Akut generaliseret eksantematøs pustulose (AGEP)</w:t>
            </w:r>
          </w:p>
        </w:tc>
      </w:tr>
      <w:tr w:rsidR="00361808" w14:paraId="5F24D8F2" w14:textId="77777777" w:rsidTr="00361808">
        <w:trPr>
          <w:trHeight w:val="20"/>
        </w:trPr>
        <w:tc>
          <w:tcPr>
            <w:tcW w:w="1988" w:type="dxa"/>
            <w:tcBorders>
              <w:top w:val="single" w:sz="4" w:space="0" w:color="000000"/>
              <w:left w:val="single" w:sz="4" w:space="0" w:color="000000"/>
              <w:bottom w:val="single" w:sz="4" w:space="0" w:color="000000"/>
              <w:right w:val="single" w:sz="4" w:space="0" w:color="auto"/>
            </w:tcBorders>
            <w:hideMark/>
          </w:tcPr>
          <w:p w14:paraId="59AB1374" w14:textId="77777777" w:rsidR="00361808" w:rsidRDefault="00361808">
            <w:pPr>
              <w:autoSpaceDE w:val="0"/>
              <w:autoSpaceDN w:val="0"/>
              <w:adjustRightInd w:val="0"/>
              <w:ind w:left="102" w:right="-20"/>
              <w:rPr>
                <w:sz w:val="22"/>
                <w:szCs w:val="22"/>
              </w:rPr>
            </w:pPr>
            <w:r>
              <w:rPr>
                <w:sz w:val="22"/>
                <w:szCs w:val="22"/>
              </w:rPr>
              <w:t>Nyrer og urinveje</w:t>
            </w:r>
          </w:p>
        </w:tc>
        <w:tc>
          <w:tcPr>
            <w:tcW w:w="1699" w:type="dxa"/>
            <w:tcBorders>
              <w:top w:val="single" w:sz="4" w:space="0" w:color="000000"/>
              <w:left w:val="single" w:sz="4" w:space="0" w:color="auto"/>
              <w:bottom w:val="single" w:sz="4" w:space="0" w:color="000000"/>
              <w:right w:val="single" w:sz="4" w:space="0" w:color="auto"/>
            </w:tcBorders>
          </w:tcPr>
          <w:p w14:paraId="13163E8E"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auto"/>
              <w:bottom w:val="single" w:sz="4" w:space="0" w:color="000000"/>
              <w:right w:val="single" w:sz="4" w:space="0" w:color="auto"/>
            </w:tcBorders>
            <w:hideMark/>
          </w:tcPr>
          <w:p w14:paraId="576A9943" w14:textId="77777777" w:rsidR="00361808" w:rsidRDefault="00361808">
            <w:pPr>
              <w:autoSpaceDE w:val="0"/>
              <w:autoSpaceDN w:val="0"/>
              <w:adjustRightInd w:val="0"/>
              <w:ind w:left="102" w:right="-20"/>
              <w:rPr>
                <w:sz w:val="22"/>
                <w:szCs w:val="22"/>
              </w:rPr>
            </w:pPr>
            <w:r>
              <w:rPr>
                <w:sz w:val="22"/>
                <w:szCs w:val="22"/>
              </w:rPr>
              <w:t xml:space="preserve">Forbigående forhøjede værdier af urinstof og urinstof-nitrogen i blodet og/eller serumkreatinin </w:t>
            </w:r>
          </w:p>
        </w:tc>
        <w:tc>
          <w:tcPr>
            <w:tcW w:w="1699" w:type="dxa"/>
            <w:tcBorders>
              <w:top w:val="single" w:sz="4" w:space="0" w:color="000000"/>
              <w:left w:val="single" w:sz="4" w:space="0" w:color="auto"/>
              <w:bottom w:val="single" w:sz="4" w:space="0" w:color="000000"/>
              <w:right w:val="single" w:sz="4" w:space="0" w:color="auto"/>
            </w:tcBorders>
            <w:hideMark/>
          </w:tcPr>
          <w:p w14:paraId="2F868AB7" w14:textId="77777777" w:rsidR="00361808" w:rsidRDefault="00361808">
            <w:pPr>
              <w:autoSpaceDE w:val="0"/>
              <w:autoSpaceDN w:val="0"/>
              <w:adjustRightInd w:val="0"/>
              <w:ind w:left="102" w:right="155"/>
              <w:rPr>
                <w:sz w:val="22"/>
                <w:szCs w:val="22"/>
              </w:rPr>
            </w:pPr>
            <w:r>
              <w:rPr>
                <w:sz w:val="22"/>
                <w:szCs w:val="22"/>
              </w:rPr>
              <w:t>Interstitiel nefritis</w:t>
            </w:r>
          </w:p>
          <w:p w14:paraId="57844D1F" w14:textId="77777777" w:rsidR="00361808" w:rsidRDefault="00361808">
            <w:pPr>
              <w:autoSpaceDE w:val="0"/>
              <w:autoSpaceDN w:val="0"/>
              <w:adjustRightInd w:val="0"/>
              <w:ind w:left="102" w:right="155"/>
              <w:rPr>
                <w:sz w:val="22"/>
                <w:szCs w:val="22"/>
              </w:rPr>
            </w:pPr>
            <w:r>
              <w:rPr>
                <w:sz w:val="22"/>
                <w:szCs w:val="22"/>
              </w:rPr>
              <w:t>Akut nyresvigt</w:t>
            </w:r>
          </w:p>
        </w:tc>
        <w:tc>
          <w:tcPr>
            <w:tcW w:w="2125" w:type="dxa"/>
            <w:tcBorders>
              <w:top w:val="single" w:sz="4" w:space="0" w:color="000000"/>
              <w:left w:val="single" w:sz="4" w:space="0" w:color="auto"/>
              <w:bottom w:val="single" w:sz="4" w:space="0" w:color="000000"/>
              <w:right w:val="single" w:sz="4" w:space="0" w:color="000000"/>
            </w:tcBorders>
          </w:tcPr>
          <w:p w14:paraId="098F7269" w14:textId="77777777" w:rsidR="00361808" w:rsidRDefault="00361808">
            <w:pPr>
              <w:keepNext/>
              <w:autoSpaceDE w:val="0"/>
              <w:autoSpaceDN w:val="0"/>
              <w:adjustRightInd w:val="0"/>
              <w:rPr>
                <w:sz w:val="22"/>
                <w:szCs w:val="22"/>
              </w:rPr>
            </w:pPr>
          </w:p>
        </w:tc>
      </w:tr>
      <w:tr w:rsidR="00361808" w14:paraId="571DB762" w14:textId="77777777" w:rsidTr="00361808">
        <w:trPr>
          <w:trHeight w:val="20"/>
        </w:trPr>
        <w:tc>
          <w:tcPr>
            <w:tcW w:w="19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A39B99" w14:textId="77777777" w:rsidR="00361808" w:rsidRDefault="00361808">
            <w:pPr>
              <w:keepNext/>
              <w:rPr>
                <w:sz w:val="22"/>
                <w:szCs w:val="22"/>
              </w:rPr>
            </w:pPr>
            <w:r>
              <w:rPr>
                <w:sz w:val="22"/>
                <w:szCs w:val="22"/>
              </w:rPr>
              <w:t>Almene symptomer og reaktioner på administrationsstedet</w:t>
            </w:r>
          </w:p>
        </w:tc>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9514B2" w14:textId="77777777" w:rsidR="00361808" w:rsidRDefault="00361808">
            <w:pPr>
              <w:keepNext/>
              <w:rPr>
                <w:sz w:val="22"/>
                <w:szCs w:val="22"/>
              </w:rPr>
            </w:pPr>
            <w:r>
              <w:rPr>
                <w:sz w:val="22"/>
                <w:szCs w:val="22"/>
              </w:rPr>
              <w:t>Smerter og/eller inflammation efter intramuskulær injektion</w:t>
            </w:r>
          </w:p>
        </w:tc>
        <w:tc>
          <w:tcPr>
            <w:tcW w:w="2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47E1E2" w14:textId="77777777" w:rsidR="00361808" w:rsidRDefault="00361808">
            <w:pPr>
              <w:keepNext/>
              <w:rPr>
                <w:sz w:val="22"/>
                <w:szCs w:val="22"/>
              </w:rPr>
            </w:pPr>
            <w:r>
              <w:rPr>
                <w:sz w:val="22"/>
                <w:szCs w:val="22"/>
              </w:rPr>
              <w:t>Feber</w:t>
            </w: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B1602F" w14:textId="77777777" w:rsidR="00361808" w:rsidRDefault="00361808">
            <w:pPr>
              <w:rPr>
                <w:sz w:val="22"/>
                <w:szCs w:val="22"/>
              </w:rPr>
            </w:pPr>
          </w:p>
        </w:tc>
        <w:tc>
          <w:tcPr>
            <w:tcW w:w="21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C3D70C" w14:textId="77777777" w:rsidR="00361808" w:rsidRDefault="00361808">
            <w:pPr>
              <w:rPr>
                <w:sz w:val="22"/>
                <w:szCs w:val="22"/>
              </w:rPr>
            </w:pPr>
          </w:p>
        </w:tc>
      </w:tr>
      <w:tr w:rsidR="00361808" w14:paraId="629501FE" w14:textId="77777777" w:rsidTr="00361808">
        <w:trPr>
          <w:trHeight w:val="20"/>
        </w:trPr>
        <w:tc>
          <w:tcPr>
            <w:tcW w:w="19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110424" w14:textId="77777777" w:rsidR="00361808" w:rsidRDefault="00361808">
            <w:pPr>
              <w:pStyle w:val="Default"/>
              <w:rPr>
                <w:color w:val="auto"/>
                <w:sz w:val="22"/>
                <w:szCs w:val="22"/>
                <w:lang w:val="da-DK"/>
              </w:rPr>
            </w:pPr>
            <w:r>
              <w:rPr>
                <w:color w:val="auto"/>
                <w:sz w:val="22"/>
                <w:szCs w:val="22"/>
                <w:lang w:val="da-DK"/>
              </w:rPr>
              <w:t xml:space="preserve">Undersøgelser </w:t>
            </w:r>
          </w:p>
        </w:tc>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D8B53D" w14:textId="77777777" w:rsidR="00361808" w:rsidRDefault="00361808">
            <w:pPr>
              <w:pStyle w:val="Default"/>
              <w:rPr>
                <w:color w:val="auto"/>
                <w:sz w:val="22"/>
                <w:szCs w:val="22"/>
                <w:lang w:val="da-DK"/>
              </w:rPr>
            </w:pPr>
            <w:r>
              <w:rPr>
                <w:color w:val="auto"/>
                <w:sz w:val="22"/>
                <w:szCs w:val="22"/>
                <w:lang w:val="da-DK"/>
              </w:rPr>
              <w:t>Positiv Coomb test</w:t>
            </w:r>
            <w:r>
              <w:rPr>
                <w:color w:val="auto"/>
                <w:sz w:val="22"/>
                <w:szCs w:val="22"/>
                <w:vertAlign w:val="superscript"/>
                <w:lang w:val="da-DK"/>
              </w:rPr>
              <w:t>5</w:t>
            </w:r>
          </w:p>
        </w:tc>
        <w:tc>
          <w:tcPr>
            <w:tcW w:w="2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ADCF09" w14:textId="77777777" w:rsidR="00361808" w:rsidRDefault="00361808">
            <w:pPr>
              <w:rPr>
                <w:sz w:val="22"/>
                <w:szCs w:val="22"/>
              </w:rPr>
            </w:pP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C58FF" w14:textId="77777777" w:rsidR="00361808" w:rsidRDefault="00361808">
            <w:pPr>
              <w:rPr>
                <w:sz w:val="22"/>
                <w:szCs w:val="22"/>
              </w:rPr>
            </w:pPr>
          </w:p>
        </w:tc>
        <w:tc>
          <w:tcPr>
            <w:tcW w:w="21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1F087B" w14:textId="77777777" w:rsidR="00361808" w:rsidRDefault="00361808">
            <w:pPr>
              <w:rPr>
                <w:sz w:val="22"/>
                <w:szCs w:val="22"/>
              </w:rPr>
            </w:pPr>
          </w:p>
        </w:tc>
      </w:tr>
    </w:tbl>
    <w:p w14:paraId="097A46AB" w14:textId="77777777" w:rsidR="00361808" w:rsidRDefault="00361808" w:rsidP="00361808">
      <w:pPr>
        <w:rPr>
          <w:sz w:val="22"/>
          <w:szCs w:val="22"/>
          <w:lang w:eastAsia="zh-CN"/>
        </w:rPr>
      </w:pPr>
    </w:p>
    <w:p w14:paraId="32F5B5FC" w14:textId="77777777" w:rsidR="00361808" w:rsidRPr="00F829B4" w:rsidRDefault="00361808" w:rsidP="00361808">
      <w:pPr>
        <w:autoSpaceDE w:val="0"/>
        <w:autoSpaceDN w:val="0"/>
        <w:adjustRightInd w:val="0"/>
        <w:ind w:left="140" w:hanging="140"/>
        <w:rPr>
          <w:sz w:val="20"/>
        </w:rPr>
      </w:pPr>
      <w:r w:rsidRPr="00F829B4">
        <w:rPr>
          <w:sz w:val="20"/>
          <w:vertAlign w:val="superscript"/>
        </w:rPr>
        <w:t>1</w:t>
      </w:r>
      <w:r w:rsidRPr="00F829B4">
        <w:rPr>
          <w:sz w:val="20"/>
        </w:rPr>
        <w:t xml:space="preserve"> Der har været rapporter om neurologiske sequalae, herunder tremor, myokloni, kramper, encefalopati samt koma hos patienter med nedsat nyrefunktion, hvor dosis af Ceftazidim ikke har været passende reduceret. </w:t>
      </w:r>
    </w:p>
    <w:p w14:paraId="1753504D" w14:textId="77777777" w:rsidR="00361808" w:rsidRPr="00F829B4" w:rsidRDefault="00361808" w:rsidP="00361808">
      <w:pPr>
        <w:autoSpaceDE w:val="0"/>
        <w:autoSpaceDN w:val="0"/>
        <w:adjustRightInd w:val="0"/>
        <w:ind w:left="140" w:hanging="140"/>
        <w:rPr>
          <w:sz w:val="20"/>
        </w:rPr>
      </w:pPr>
      <w:r w:rsidRPr="00F829B4">
        <w:rPr>
          <w:sz w:val="20"/>
          <w:vertAlign w:val="superscript"/>
        </w:rPr>
        <w:t>2</w:t>
      </w:r>
      <w:r w:rsidRPr="00F829B4">
        <w:rPr>
          <w:sz w:val="20"/>
        </w:rPr>
        <w:t xml:space="preserve"> Diarré og kolitis kan være associeret med </w:t>
      </w:r>
      <w:r w:rsidRPr="00F829B4">
        <w:rPr>
          <w:i/>
          <w:iCs/>
          <w:sz w:val="20"/>
        </w:rPr>
        <w:t>Clostridioides difficile</w:t>
      </w:r>
      <w:r w:rsidRPr="00F829B4">
        <w:rPr>
          <w:sz w:val="20"/>
        </w:rPr>
        <w:t xml:space="preserve"> og kan vise sig som pseudomembranøs kolitis. </w:t>
      </w:r>
    </w:p>
    <w:p w14:paraId="723C65F2" w14:textId="77777777" w:rsidR="00361808" w:rsidRPr="00F829B4" w:rsidRDefault="00361808" w:rsidP="00361808">
      <w:pPr>
        <w:autoSpaceDE w:val="0"/>
        <w:autoSpaceDN w:val="0"/>
        <w:adjustRightInd w:val="0"/>
        <w:ind w:left="560" w:hanging="560"/>
        <w:rPr>
          <w:sz w:val="20"/>
        </w:rPr>
      </w:pPr>
      <w:r w:rsidRPr="00F829B4">
        <w:rPr>
          <w:sz w:val="20"/>
          <w:vertAlign w:val="superscript"/>
        </w:rPr>
        <w:t>3</w:t>
      </w:r>
      <w:r w:rsidRPr="00F829B4">
        <w:rPr>
          <w:sz w:val="20"/>
        </w:rPr>
        <w:t xml:space="preserve"> ALAT, ASAT, LHD, GGT, basisk fosfatase. </w:t>
      </w:r>
    </w:p>
    <w:p w14:paraId="121FFC2A" w14:textId="77777777" w:rsidR="00361808" w:rsidRPr="00F829B4" w:rsidRDefault="00361808" w:rsidP="00361808">
      <w:pPr>
        <w:ind w:left="142" w:hanging="142"/>
        <w:rPr>
          <w:sz w:val="20"/>
        </w:rPr>
      </w:pPr>
      <w:r w:rsidRPr="00F829B4">
        <w:rPr>
          <w:sz w:val="20"/>
          <w:vertAlign w:val="superscript"/>
        </w:rPr>
        <w:t>4</w:t>
      </w:r>
      <w:r w:rsidRPr="00F829B4">
        <w:rPr>
          <w:sz w:val="20"/>
        </w:rPr>
        <w:t xml:space="preserve"> Der er rapporteret sjældne tilfælde, hvor DRESS er blevet associeret med ceftazidim.</w:t>
      </w:r>
    </w:p>
    <w:p w14:paraId="7019857C" w14:textId="77777777" w:rsidR="00361808" w:rsidRPr="00F829B4" w:rsidRDefault="00361808" w:rsidP="00361808">
      <w:pPr>
        <w:ind w:left="98" w:hanging="98"/>
        <w:rPr>
          <w:sz w:val="20"/>
        </w:rPr>
      </w:pPr>
      <w:r w:rsidRPr="00F829B4">
        <w:rPr>
          <w:sz w:val="20"/>
          <w:vertAlign w:val="superscript"/>
        </w:rPr>
        <w:t>5</w:t>
      </w:r>
      <w:r w:rsidRPr="00F829B4">
        <w:rPr>
          <w:sz w:val="20"/>
        </w:rPr>
        <w:t xml:space="preserve"> Der udvikles positiv Coombs test hos ca. 5 % af patienterne, hvilket kan påvirke blodtypematching.</w:t>
      </w:r>
    </w:p>
    <w:p w14:paraId="1E22E906" w14:textId="77777777" w:rsidR="00361808" w:rsidRPr="00361808" w:rsidRDefault="00361808" w:rsidP="00361808">
      <w:pPr>
        <w:tabs>
          <w:tab w:val="left" w:pos="851"/>
        </w:tabs>
        <w:ind w:left="851"/>
        <w:rPr>
          <w:sz w:val="24"/>
          <w:szCs w:val="24"/>
          <w:u w:val="single"/>
        </w:rPr>
      </w:pPr>
    </w:p>
    <w:p w14:paraId="3C525223" w14:textId="77777777" w:rsidR="00361808" w:rsidRPr="00361808" w:rsidRDefault="00361808" w:rsidP="00361808">
      <w:pPr>
        <w:tabs>
          <w:tab w:val="left" w:pos="851"/>
        </w:tabs>
        <w:ind w:left="851"/>
        <w:rPr>
          <w:bCs/>
          <w:sz w:val="24"/>
          <w:szCs w:val="24"/>
          <w:u w:val="single"/>
        </w:rPr>
      </w:pPr>
      <w:r w:rsidRPr="00361808">
        <w:rPr>
          <w:bCs/>
          <w:sz w:val="24"/>
          <w:szCs w:val="24"/>
          <w:u w:val="single"/>
        </w:rPr>
        <w:t>Indberetning af formodede bivirkninger</w:t>
      </w:r>
    </w:p>
    <w:p w14:paraId="633D678E" w14:textId="77777777" w:rsidR="00F829B4" w:rsidRDefault="00361808" w:rsidP="00361808">
      <w:pPr>
        <w:tabs>
          <w:tab w:val="left" w:pos="851"/>
        </w:tabs>
        <w:ind w:left="851"/>
        <w:rPr>
          <w:sz w:val="24"/>
          <w:szCs w:val="24"/>
        </w:rPr>
      </w:pPr>
      <w:r w:rsidRPr="00361808">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F829B4">
        <w:rPr>
          <w:sz w:val="24"/>
          <w:szCs w:val="24"/>
        </w:rPr>
        <w:t>:</w:t>
      </w:r>
    </w:p>
    <w:p w14:paraId="216D7A7A" w14:textId="77777777" w:rsidR="00F829B4" w:rsidRDefault="00F829B4" w:rsidP="00361808">
      <w:pPr>
        <w:tabs>
          <w:tab w:val="left" w:pos="851"/>
        </w:tabs>
        <w:ind w:left="851"/>
        <w:rPr>
          <w:sz w:val="24"/>
          <w:szCs w:val="24"/>
        </w:rPr>
      </w:pPr>
    </w:p>
    <w:p w14:paraId="1158419A" w14:textId="77777777" w:rsidR="00F829B4" w:rsidRDefault="00361808" w:rsidP="00361808">
      <w:pPr>
        <w:tabs>
          <w:tab w:val="left" w:pos="851"/>
        </w:tabs>
        <w:ind w:left="851"/>
        <w:rPr>
          <w:sz w:val="24"/>
          <w:szCs w:val="24"/>
          <w:lang w:val="sk-SK"/>
        </w:rPr>
      </w:pPr>
      <w:r w:rsidRPr="00361808">
        <w:rPr>
          <w:sz w:val="24"/>
          <w:szCs w:val="24"/>
          <w:lang w:val="sk-SK"/>
        </w:rPr>
        <w:t>Lægemiddelstyrelsen</w:t>
      </w:r>
    </w:p>
    <w:p w14:paraId="484E2CBD" w14:textId="77777777" w:rsidR="00F829B4" w:rsidRDefault="00361808" w:rsidP="00361808">
      <w:pPr>
        <w:tabs>
          <w:tab w:val="left" w:pos="851"/>
        </w:tabs>
        <w:ind w:left="851"/>
        <w:rPr>
          <w:sz w:val="24"/>
          <w:szCs w:val="24"/>
          <w:lang w:val="sk-SK"/>
        </w:rPr>
      </w:pPr>
      <w:r w:rsidRPr="00361808">
        <w:rPr>
          <w:sz w:val="24"/>
          <w:szCs w:val="24"/>
          <w:lang w:val="sk-SK"/>
        </w:rPr>
        <w:t>Axel Heides Gade 1</w:t>
      </w:r>
    </w:p>
    <w:p w14:paraId="3D25E314" w14:textId="67DAECC1" w:rsidR="00361808" w:rsidRPr="00361808" w:rsidRDefault="00361808" w:rsidP="00361808">
      <w:pPr>
        <w:tabs>
          <w:tab w:val="left" w:pos="851"/>
        </w:tabs>
        <w:ind w:left="851"/>
        <w:rPr>
          <w:sz w:val="24"/>
          <w:szCs w:val="24"/>
          <w:lang w:val="sk-SK"/>
        </w:rPr>
      </w:pPr>
      <w:r w:rsidRPr="00361808">
        <w:rPr>
          <w:sz w:val="24"/>
          <w:szCs w:val="24"/>
          <w:lang w:val="sk-SK"/>
        </w:rPr>
        <w:t>DK-2300 København S</w:t>
      </w:r>
    </w:p>
    <w:p w14:paraId="7185525A" w14:textId="6CFD30D3" w:rsidR="00361808" w:rsidRPr="00361808" w:rsidRDefault="00361808" w:rsidP="00361808">
      <w:pPr>
        <w:tabs>
          <w:tab w:val="left" w:pos="851"/>
        </w:tabs>
        <w:ind w:left="851"/>
        <w:rPr>
          <w:sz w:val="24"/>
          <w:szCs w:val="24"/>
          <w:lang w:val="sk-SK"/>
        </w:rPr>
      </w:pPr>
      <w:r w:rsidRPr="00361808">
        <w:rPr>
          <w:sz w:val="24"/>
          <w:szCs w:val="24"/>
          <w:lang w:val="sk-SK"/>
        </w:rPr>
        <w:t xml:space="preserve">Websted: </w:t>
      </w:r>
      <w:r w:rsidRPr="00F829B4">
        <w:rPr>
          <w:sz w:val="24"/>
          <w:szCs w:val="24"/>
          <w:lang w:val="sk-SK"/>
        </w:rPr>
        <w:t>www.meldenbivirkning.dk</w:t>
      </w:r>
      <w:r w:rsidRPr="00361808">
        <w:rPr>
          <w:sz w:val="24"/>
          <w:szCs w:val="24"/>
          <w:lang w:val="sk-SK"/>
        </w:rPr>
        <w:t>.</w:t>
      </w:r>
    </w:p>
    <w:p w14:paraId="58614CEB" w14:textId="77777777" w:rsidR="009260DE" w:rsidRPr="00683CB4" w:rsidRDefault="009260DE" w:rsidP="00361808">
      <w:pPr>
        <w:tabs>
          <w:tab w:val="left" w:pos="851"/>
        </w:tabs>
        <w:ind w:left="851"/>
        <w:rPr>
          <w:sz w:val="24"/>
          <w:szCs w:val="24"/>
        </w:rPr>
      </w:pPr>
    </w:p>
    <w:p w14:paraId="27D0A798" w14:textId="77777777" w:rsidR="009260DE" w:rsidRPr="00F06B63" w:rsidRDefault="009260DE" w:rsidP="009260DE">
      <w:pPr>
        <w:tabs>
          <w:tab w:val="left" w:pos="851"/>
        </w:tabs>
        <w:ind w:left="851" w:hanging="851"/>
        <w:rPr>
          <w:b/>
          <w:sz w:val="24"/>
          <w:szCs w:val="24"/>
        </w:rPr>
      </w:pPr>
      <w:r w:rsidRPr="00F06B63">
        <w:rPr>
          <w:b/>
          <w:sz w:val="24"/>
          <w:szCs w:val="24"/>
        </w:rPr>
        <w:t>4.9</w:t>
      </w:r>
      <w:r w:rsidRPr="00F06B63">
        <w:rPr>
          <w:b/>
          <w:sz w:val="24"/>
          <w:szCs w:val="24"/>
        </w:rPr>
        <w:tab/>
        <w:t>Overdosering</w:t>
      </w:r>
    </w:p>
    <w:p w14:paraId="161287B3" w14:textId="77777777" w:rsidR="00F06B63" w:rsidRPr="00F06B63" w:rsidRDefault="00F06B63" w:rsidP="00F06B63">
      <w:pPr>
        <w:tabs>
          <w:tab w:val="left" w:pos="851"/>
        </w:tabs>
        <w:ind w:left="851"/>
        <w:rPr>
          <w:sz w:val="24"/>
          <w:szCs w:val="24"/>
        </w:rPr>
      </w:pPr>
      <w:r w:rsidRPr="00F06B63">
        <w:rPr>
          <w:sz w:val="24"/>
          <w:szCs w:val="24"/>
        </w:rPr>
        <w:t xml:space="preserve">Overdosering kan medføre neurologiske sequalae, herunder encefalopati, kramper og koma. </w:t>
      </w:r>
    </w:p>
    <w:p w14:paraId="5FECAB34" w14:textId="77777777" w:rsidR="00F06B63" w:rsidRPr="00F06B63" w:rsidRDefault="00F06B63" w:rsidP="00F06B63">
      <w:pPr>
        <w:tabs>
          <w:tab w:val="left" w:pos="851"/>
        </w:tabs>
        <w:ind w:left="851"/>
        <w:rPr>
          <w:sz w:val="24"/>
          <w:szCs w:val="24"/>
        </w:rPr>
      </w:pPr>
    </w:p>
    <w:p w14:paraId="1570C72E" w14:textId="77777777" w:rsidR="00F06B63" w:rsidRPr="00F06B63" w:rsidRDefault="00F06B63" w:rsidP="00F06B63">
      <w:pPr>
        <w:tabs>
          <w:tab w:val="left" w:pos="851"/>
        </w:tabs>
        <w:ind w:left="851"/>
        <w:rPr>
          <w:sz w:val="24"/>
          <w:szCs w:val="24"/>
        </w:rPr>
      </w:pPr>
      <w:r w:rsidRPr="00F06B63">
        <w:rPr>
          <w:sz w:val="24"/>
          <w:szCs w:val="24"/>
        </w:rPr>
        <w:t xml:space="preserve">Der kan forekomme symptomer på overdosering, hvis dosis ikke reduceres til et passende niveau hos patienter med nedsat nyrefunktion (se pkt. 4.2 og 4.4). </w:t>
      </w:r>
    </w:p>
    <w:p w14:paraId="2295E8A9" w14:textId="77777777" w:rsidR="00F06B63" w:rsidRPr="00F06B63" w:rsidRDefault="00F06B63" w:rsidP="00F06B63">
      <w:pPr>
        <w:tabs>
          <w:tab w:val="left" w:pos="851"/>
        </w:tabs>
        <w:ind w:left="851"/>
        <w:rPr>
          <w:sz w:val="24"/>
          <w:szCs w:val="24"/>
        </w:rPr>
      </w:pPr>
    </w:p>
    <w:p w14:paraId="6C0B50AB" w14:textId="77777777" w:rsidR="00F06B63" w:rsidRPr="00F06B63" w:rsidRDefault="00F06B63" w:rsidP="00F06B63">
      <w:pPr>
        <w:tabs>
          <w:tab w:val="left" w:pos="851"/>
        </w:tabs>
        <w:ind w:left="851"/>
        <w:rPr>
          <w:sz w:val="24"/>
          <w:szCs w:val="24"/>
        </w:rPr>
      </w:pPr>
      <w:r w:rsidRPr="00F06B63">
        <w:rPr>
          <w:sz w:val="24"/>
          <w:szCs w:val="24"/>
        </w:rPr>
        <w:t xml:space="preserve">Serumniveauer af ceftazidim kan reduceres ved hæmodialyse og peritonealdialyse. </w:t>
      </w:r>
    </w:p>
    <w:p w14:paraId="2336647A" w14:textId="77777777" w:rsidR="009260DE" w:rsidRPr="00C84483" w:rsidRDefault="009260DE" w:rsidP="009260DE">
      <w:pPr>
        <w:tabs>
          <w:tab w:val="left" w:pos="851"/>
        </w:tabs>
        <w:ind w:left="851"/>
        <w:rPr>
          <w:sz w:val="24"/>
          <w:szCs w:val="24"/>
        </w:rPr>
      </w:pPr>
    </w:p>
    <w:p w14:paraId="78B94E7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803591B" w14:textId="74F932AA" w:rsidR="009260DE" w:rsidRPr="00C84483" w:rsidRDefault="00F06B63" w:rsidP="009260DE">
      <w:pPr>
        <w:tabs>
          <w:tab w:val="left" w:pos="851"/>
        </w:tabs>
        <w:ind w:left="851"/>
        <w:rPr>
          <w:sz w:val="24"/>
          <w:szCs w:val="24"/>
        </w:rPr>
      </w:pPr>
      <w:r>
        <w:rPr>
          <w:sz w:val="24"/>
          <w:szCs w:val="24"/>
        </w:rPr>
        <w:t>B</w:t>
      </w:r>
    </w:p>
    <w:p w14:paraId="337E5E04" w14:textId="77777777" w:rsidR="009260DE" w:rsidRPr="00C84483" w:rsidRDefault="009260DE" w:rsidP="009260DE">
      <w:pPr>
        <w:tabs>
          <w:tab w:val="left" w:pos="851"/>
        </w:tabs>
        <w:ind w:left="851"/>
        <w:rPr>
          <w:sz w:val="24"/>
          <w:szCs w:val="24"/>
        </w:rPr>
      </w:pPr>
    </w:p>
    <w:p w14:paraId="11E98703" w14:textId="77777777" w:rsidR="009260DE" w:rsidRPr="00C84483" w:rsidRDefault="009260DE" w:rsidP="009260DE">
      <w:pPr>
        <w:tabs>
          <w:tab w:val="left" w:pos="851"/>
        </w:tabs>
        <w:ind w:left="851"/>
        <w:rPr>
          <w:sz w:val="24"/>
          <w:szCs w:val="24"/>
        </w:rPr>
      </w:pPr>
    </w:p>
    <w:p w14:paraId="46ED437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7425A71" w14:textId="77777777" w:rsidR="009260DE" w:rsidRPr="00C84483" w:rsidRDefault="009260DE" w:rsidP="009260DE">
      <w:pPr>
        <w:tabs>
          <w:tab w:val="left" w:pos="851"/>
        </w:tabs>
        <w:ind w:left="851"/>
        <w:rPr>
          <w:sz w:val="24"/>
          <w:szCs w:val="24"/>
        </w:rPr>
      </w:pPr>
    </w:p>
    <w:p w14:paraId="6794609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B868C40" w14:textId="7BE08D3C" w:rsidR="00F06B63" w:rsidRPr="00F06B63" w:rsidRDefault="00F06B63" w:rsidP="00F06B63">
      <w:pPr>
        <w:pStyle w:val="Default"/>
        <w:ind w:left="851"/>
        <w:rPr>
          <w:color w:val="auto"/>
          <w:lang w:val="da-DK"/>
        </w:rPr>
      </w:pPr>
      <w:r w:rsidRPr="00F06B63">
        <w:rPr>
          <w:color w:val="auto"/>
          <w:lang w:val="da-DK"/>
        </w:rPr>
        <w:t xml:space="preserve">Farmakoterapeutisk klassifikation: </w:t>
      </w:r>
      <w:r>
        <w:rPr>
          <w:color w:val="auto"/>
          <w:lang w:val="da-DK"/>
        </w:rPr>
        <w:t>A</w:t>
      </w:r>
      <w:r w:rsidRPr="00F06B63">
        <w:rPr>
          <w:color w:val="auto"/>
          <w:lang w:val="da-DK"/>
        </w:rPr>
        <w:t>ntibakterielle midler til systemisk brug, 3. generation cephalosporiner, ATC-kode: J01DD02</w:t>
      </w:r>
      <w:r>
        <w:rPr>
          <w:color w:val="auto"/>
          <w:lang w:val="da-DK"/>
        </w:rPr>
        <w:t>.</w:t>
      </w:r>
    </w:p>
    <w:p w14:paraId="73BF74E0" w14:textId="77777777" w:rsidR="00F06B63" w:rsidRPr="00F06B63" w:rsidRDefault="00F06B63" w:rsidP="00F06B63">
      <w:pPr>
        <w:pStyle w:val="Default"/>
        <w:ind w:left="851"/>
        <w:rPr>
          <w:color w:val="auto"/>
          <w:u w:val="single"/>
          <w:lang w:val="da-DK"/>
        </w:rPr>
      </w:pPr>
    </w:p>
    <w:p w14:paraId="12F39882" w14:textId="77777777" w:rsidR="00F06B63" w:rsidRPr="00F06B63" w:rsidRDefault="00F06B63" w:rsidP="00F06B63">
      <w:pPr>
        <w:pStyle w:val="Default"/>
        <w:keepNext/>
        <w:ind w:left="851"/>
        <w:rPr>
          <w:color w:val="auto"/>
          <w:lang w:val="da-DK"/>
        </w:rPr>
      </w:pPr>
      <w:r w:rsidRPr="00F06B63">
        <w:rPr>
          <w:color w:val="auto"/>
          <w:u w:val="single"/>
          <w:lang w:val="da-DK"/>
        </w:rPr>
        <w:t xml:space="preserve">Virkningsmekanisme </w:t>
      </w:r>
    </w:p>
    <w:p w14:paraId="262E72B1" w14:textId="77777777" w:rsidR="00F06B63" w:rsidRPr="00F06B63" w:rsidRDefault="00F06B63" w:rsidP="00F06B63">
      <w:pPr>
        <w:pStyle w:val="Default"/>
        <w:ind w:left="851"/>
        <w:rPr>
          <w:color w:val="auto"/>
          <w:lang w:val="da-DK"/>
        </w:rPr>
      </w:pPr>
      <w:r w:rsidRPr="00F06B63">
        <w:rPr>
          <w:color w:val="auto"/>
          <w:lang w:val="da-DK"/>
        </w:rPr>
        <w:t xml:space="preserve">Ceftazidim hæmmer syntesen af bakteriecellevæggen efter binding til penicillinbindende proteiner (PBP'er). Dette blokerer dannelsen af cellevæggen (peptidoglykan), hvilket fører til bakteriecellelyse og -død. </w:t>
      </w:r>
    </w:p>
    <w:p w14:paraId="5EF2C45E" w14:textId="77777777" w:rsidR="00F06B63" w:rsidRPr="00F06B63" w:rsidRDefault="00F06B63" w:rsidP="00F06B63">
      <w:pPr>
        <w:pStyle w:val="Default"/>
        <w:ind w:left="851"/>
        <w:rPr>
          <w:color w:val="auto"/>
          <w:u w:val="single"/>
          <w:lang w:val="da-DK"/>
        </w:rPr>
      </w:pPr>
    </w:p>
    <w:p w14:paraId="226442B6" w14:textId="77777777" w:rsidR="00F06B63" w:rsidRPr="00F06B63" w:rsidRDefault="00F06B63" w:rsidP="00F06B63">
      <w:pPr>
        <w:pStyle w:val="Default"/>
        <w:keepNext/>
        <w:ind w:left="851"/>
        <w:rPr>
          <w:color w:val="auto"/>
          <w:lang w:val="da-DK"/>
        </w:rPr>
      </w:pPr>
      <w:r w:rsidRPr="00F06B63">
        <w:rPr>
          <w:color w:val="auto"/>
          <w:u w:val="single"/>
          <w:lang w:val="da-DK"/>
        </w:rPr>
        <w:t xml:space="preserve">Sammenhæng mellem farmakokinetik og farmakodynamik </w:t>
      </w:r>
    </w:p>
    <w:p w14:paraId="7B5FFD8E" w14:textId="77777777" w:rsidR="00F06B63" w:rsidRPr="00F06B63" w:rsidRDefault="00F06B63" w:rsidP="00F06B63">
      <w:pPr>
        <w:pStyle w:val="Default"/>
        <w:ind w:left="851"/>
        <w:rPr>
          <w:color w:val="auto"/>
          <w:lang w:val="da-DK"/>
        </w:rPr>
      </w:pPr>
      <w:r w:rsidRPr="00F06B63">
        <w:rPr>
          <w:color w:val="auto"/>
          <w:lang w:val="da-DK"/>
        </w:rPr>
        <w:t xml:space="preserve">For cefalosporiner er det vist, at det vigtigste farmakokinetiske-farmakodynamiske indeks, der korrelerer med virkningen </w:t>
      </w:r>
      <w:r w:rsidRPr="00F06B63">
        <w:rPr>
          <w:i/>
          <w:iCs/>
          <w:color w:val="auto"/>
          <w:lang w:val="da-DK"/>
        </w:rPr>
        <w:t>in vivo</w:t>
      </w:r>
      <w:r w:rsidRPr="00F06B63">
        <w:rPr>
          <w:color w:val="auto"/>
          <w:lang w:val="da-DK"/>
        </w:rPr>
        <w:t xml:space="preserve">, er den procent af doseringsintervallet, hvor den ubundne koncentration ligger over den mindste hæmmende koncentration (MIC) af ceftazidim for de individuelle målarter (dvs. %T &gt; MIC). </w:t>
      </w:r>
    </w:p>
    <w:p w14:paraId="2C8F2EB1" w14:textId="77777777" w:rsidR="00F06B63" w:rsidRPr="00F06B63" w:rsidRDefault="00F06B63" w:rsidP="00F06B63">
      <w:pPr>
        <w:pStyle w:val="Default"/>
        <w:ind w:left="851"/>
        <w:rPr>
          <w:color w:val="auto"/>
          <w:u w:val="single"/>
          <w:lang w:val="da-DK"/>
        </w:rPr>
      </w:pPr>
    </w:p>
    <w:p w14:paraId="0BFF0AC1" w14:textId="77777777" w:rsidR="00F06B63" w:rsidRPr="00F06B63" w:rsidRDefault="00F06B63" w:rsidP="00F06B63">
      <w:pPr>
        <w:pStyle w:val="Default"/>
        <w:ind w:left="851"/>
        <w:rPr>
          <w:color w:val="auto"/>
          <w:lang w:val="da-DK"/>
        </w:rPr>
      </w:pPr>
      <w:r w:rsidRPr="00F06B63">
        <w:rPr>
          <w:color w:val="auto"/>
          <w:u w:val="single"/>
          <w:lang w:val="da-DK"/>
        </w:rPr>
        <w:t xml:space="preserve">Resistensmekanisme </w:t>
      </w:r>
    </w:p>
    <w:p w14:paraId="524C4868" w14:textId="77777777" w:rsidR="00F06B63" w:rsidRPr="00F06B63" w:rsidRDefault="00F06B63" w:rsidP="00F06B63">
      <w:pPr>
        <w:pStyle w:val="Default"/>
        <w:ind w:left="851"/>
        <w:rPr>
          <w:color w:val="auto"/>
          <w:lang w:val="da-DK"/>
        </w:rPr>
      </w:pPr>
      <w:r w:rsidRPr="00F06B63">
        <w:rPr>
          <w:color w:val="auto"/>
          <w:lang w:val="da-DK"/>
        </w:rPr>
        <w:t xml:space="preserve">Bakteriel resistens over for ceftazidim kan skyldes en eller flere af følgende mekanismer: </w:t>
      </w:r>
    </w:p>
    <w:p w14:paraId="5382A3C2"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hydrolyse ved hjælp af beta-laktamaser. Ceftazidim kan effektivt hydrolyseres af extended spectrum beta-laktamaser (ESBL'er), herunder SHV-familien af ESBL'er, og </w:t>
      </w:r>
      <w:r w:rsidRPr="00F06B63">
        <w:rPr>
          <w:color w:val="auto"/>
          <w:lang w:val="da-DK"/>
        </w:rPr>
        <w:lastRenderedPageBreak/>
        <w:t xml:space="preserve">AmpC-enzymer, der kan induceres eller de-undertrykkes i visse aerobe gramnegative bakteriearter, </w:t>
      </w:r>
    </w:p>
    <w:p w14:paraId="55D12B7B"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nedsat affinitet af penicillinbindende proteiner for ceftazidim, </w:t>
      </w:r>
    </w:p>
    <w:p w14:paraId="547DFE00"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impermeabilitet af den ydre membran, hvilket begrænser adgangen af ceftazidim til penicillinbindende proteiner i gramnegative organismer, </w:t>
      </w:r>
    </w:p>
    <w:p w14:paraId="00862A8F" w14:textId="77777777" w:rsidR="00F06B63" w:rsidRPr="00F06B63" w:rsidRDefault="00F06B63" w:rsidP="00F06B63">
      <w:pPr>
        <w:pStyle w:val="Default"/>
        <w:numPr>
          <w:ilvl w:val="0"/>
          <w:numId w:val="7"/>
        </w:numPr>
        <w:ind w:left="1134" w:hanging="283"/>
        <w:jc w:val="both"/>
        <w:rPr>
          <w:color w:val="auto"/>
          <w:lang w:val="da-DK"/>
        </w:rPr>
      </w:pPr>
      <w:r w:rsidRPr="00F06B63">
        <w:rPr>
          <w:color w:val="auto"/>
          <w:lang w:val="da-DK"/>
        </w:rPr>
        <w:t xml:space="preserve">bakterielle efflukspumper. </w:t>
      </w:r>
    </w:p>
    <w:p w14:paraId="361B5A49" w14:textId="77777777" w:rsidR="00F06B63" w:rsidRPr="00F06B63" w:rsidRDefault="00F06B63" w:rsidP="00F06B63">
      <w:pPr>
        <w:ind w:left="851"/>
        <w:rPr>
          <w:sz w:val="24"/>
          <w:szCs w:val="24"/>
        </w:rPr>
      </w:pPr>
    </w:p>
    <w:p w14:paraId="52636E0C" w14:textId="77777777" w:rsidR="00F06B63" w:rsidRPr="00F06B63" w:rsidRDefault="00F06B63" w:rsidP="00F06B63">
      <w:pPr>
        <w:pStyle w:val="Default"/>
        <w:ind w:left="851"/>
        <w:rPr>
          <w:color w:val="auto"/>
          <w:u w:val="single"/>
          <w:lang w:val="da-DK"/>
        </w:rPr>
      </w:pPr>
      <w:r w:rsidRPr="00F06B63">
        <w:rPr>
          <w:color w:val="auto"/>
          <w:u w:val="single"/>
          <w:lang w:val="da-DK"/>
        </w:rPr>
        <w:t xml:space="preserve">Grænseværdier ved følsomhedstestning </w:t>
      </w:r>
    </w:p>
    <w:p w14:paraId="4B81AB42" w14:textId="77777777" w:rsidR="00F06B63" w:rsidRPr="00F06B63" w:rsidRDefault="00F06B63" w:rsidP="00F06B63">
      <w:pPr>
        <w:pStyle w:val="Default"/>
        <w:ind w:left="851"/>
        <w:rPr>
          <w:color w:val="auto"/>
          <w:lang w:val="da-DK"/>
        </w:rPr>
      </w:pPr>
      <w:r w:rsidRPr="00F06B63">
        <w:rPr>
          <w:color w:val="auto"/>
        </w:rPr>
        <w:t>MIC (mindste inhiberende koncentration)-fortolkningskriterierne for følsomhedstestning er fastlagt af European Committee on Antimicrobial Susceptibility Testing (EUCAST) for ceftazidim og er anført her</w:t>
      </w:r>
      <w:r w:rsidRPr="00F06B63">
        <w:rPr>
          <w:color w:val="auto"/>
          <w:lang w:val="da-DK"/>
        </w:rPr>
        <w:t xml:space="preserve">: </w:t>
      </w:r>
      <w:hyperlink r:id="rId8" w:history="1">
        <w:r w:rsidRPr="00F06B63">
          <w:rPr>
            <w:rStyle w:val="Hyperlink"/>
            <w:lang w:val="da-DK"/>
          </w:rPr>
          <w:t>https://www.ema.europa.eu/documents/other/minimum-inhibitory-concentration-mic-breakpoints_en.xlsx</w:t>
        </w:r>
      </w:hyperlink>
      <w:r w:rsidRPr="00F06B63">
        <w:t>.</w:t>
      </w:r>
    </w:p>
    <w:p w14:paraId="4893E834" w14:textId="77777777" w:rsidR="00F06B63" w:rsidRPr="00F06B63" w:rsidRDefault="00F06B63" w:rsidP="00F06B63">
      <w:pPr>
        <w:pStyle w:val="Default"/>
        <w:ind w:left="851"/>
        <w:rPr>
          <w:color w:val="auto"/>
          <w:u w:val="single"/>
          <w:lang w:val="da-DK"/>
        </w:rPr>
      </w:pPr>
    </w:p>
    <w:p w14:paraId="6D3FFBF0" w14:textId="77777777" w:rsidR="00F06B63" w:rsidRPr="00F06B63" w:rsidRDefault="00F06B63" w:rsidP="00F06B63">
      <w:pPr>
        <w:pStyle w:val="Default"/>
        <w:ind w:left="851"/>
        <w:rPr>
          <w:color w:val="auto"/>
          <w:lang w:val="da-DK"/>
        </w:rPr>
      </w:pPr>
      <w:r w:rsidRPr="00F06B63">
        <w:rPr>
          <w:color w:val="auto"/>
          <w:u w:val="single"/>
          <w:lang w:val="da-DK"/>
        </w:rPr>
        <w:t xml:space="preserve">Mikrobiologisk følsomhed </w:t>
      </w:r>
    </w:p>
    <w:p w14:paraId="4AB1195A" w14:textId="77777777" w:rsidR="00F06B63" w:rsidRPr="00F06B63" w:rsidRDefault="00F06B63" w:rsidP="00F06B63">
      <w:pPr>
        <w:pStyle w:val="DefinitionTerm"/>
        <w:ind w:left="851"/>
        <w:rPr>
          <w:szCs w:val="24"/>
          <w:lang w:val="da-DK"/>
        </w:rPr>
      </w:pPr>
      <w:r w:rsidRPr="00F06B63">
        <w:rPr>
          <w:szCs w:val="24"/>
          <w:lang w:val="da-DK"/>
        </w:rPr>
        <w:t xml:space="preserve">Prævalensen af erhvervet resistens kan variere geografisk og over tid for udvalgte arter, og der bør indhentes lokale oplysninger om resistens, især ved behandling af svære infektioner. Ekspertrådgivning bør indhentes, når den lokale prævalens af resistens er sådan, at nytteværdien af ceftazidim til i det mindste nogle typer af infektioner er tvivlsom. </w:t>
      </w:r>
    </w:p>
    <w:p w14:paraId="07267295" w14:textId="77777777" w:rsidR="00F06B63" w:rsidRDefault="00F06B63" w:rsidP="00F06B63">
      <w:pPr>
        <w:autoSpaceDE w:val="0"/>
        <w:autoSpaceDN w:val="0"/>
        <w:adjustRightInd w:val="0"/>
        <w:rPr>
          <w:sz w:val="22"/>
          <w:szCs w:val="22"/>
        </w:rPr>
      </w:pPr>
    </w:p>
    <w:tbl>
      <w:tblPr>
        <w:tblW w:w="9285" w:type="dxa"/>
        <w:tblInd w:w="104" w:type="dxa"/>
        <w:tblLayout w:type="fixed"/>
        <w:tblCellMar>
          <w:left w:w="0" w:type="dxa"/>
          <w:right w:w="0" w:type="dxa"/>
        </w:tblCellMar>
        <w:tblLook w:val="04A0" w:firstRow="1" w:lastRow="0" w:firstColumn="1" w:lastColumn="0" w:noHBand="0" w:noVBand="1"/>
      </w:tblPr>
      <w:tblGrid>
        <w:gridCol w:w="9285"/>
      </w:tblGrid>
      <w:tr w:rsidR="00F06B63" w14:paraId="3675022A"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69066C48" w14:textId="77777777" w:rsidR="00F06B63" w:rsidRDefault="00F06B63">
            <w:pPr>
              <w:autoSpaceDE w:val="0"/>
              <w:autoSpaceDN w:val="0"/>
              <w:adjustRightInd w:val="0"/>
              <w:ind w:left="103" w:right="-20"/>
              <w:rPr>
                <w:b/>
                <w:sz w:val="22"/>
                <w:szCs w:val="22"/>
              </w:rPr>
            </w:pPr>
            <w:r>
              <w:rPr>
                <w:b/>
                <w:bCs/>
                <w:sz w:val="22"/>
                <w:szCs w:val="22"/>
              </w:rPr>
              <w:t>Arter, der normalt er følsomme</w:t>
            </w:r>
          </w:p>
        </w:tc>
      </w:tr>
      <w:tr w:rsidR="00F06B63" w14:paraId="51BE6725"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41E0D056" w14:textId="77777777" w:rsidR="00F06B63" w:rsidRDefault="00F06B63">
            <w:pPr>
              <w:autoSpaceDE w:val="0"/>
              <w:autoSpaceDN w:val="0"/>
              <w:adjustRightInd w:val="0"/>
              <w:ind w:left="102" w:right="-20"/>
              <w:rPr>
                <w:sz w:val="22"/>
                <w:szCs w:val="22"/>
              </w:rPr>
            </w:pPr>
            <w:r>
              <w:rPr>
                <w:sz w:val="22"/>
                <w:szCs w:val="22"/>
                <w:u w:val="single"/>
              </w:rPr>
              <w:t>Grampositive aerobe bakterier</w:t>
            </w:r>
          </w:p>
          <w:p w14:paraId="68A54D3B" w14:textId="77777777" w:rsidR="00F06B63" w:rsidRDefault="00F06B63">
            <w:pPr>
              <w:autoSpaceDE w:val="0"/>
              <w:autoSpaceDN w:val="0"/>
              <w:adjustRightInd w:val="0"/>
              <w:ind w:left="102" w:right="-20"/>
              <w:rPr>
                <w:sz w:val="22"/>
                <w:szCs w:val="22"/>
              </w:rPr>
            </w:pPr>
            <w:r>
              <w:rPr>
                <w:i/>
                <w:iCs/>
                <w:sz w:val="22"/>
                <w:szCs w:val="22"/>
              </w:rPr>
              <w:t>Streptococcus pyogenes</w:t>
            </w:r>
          </w:p>
          <w:p w14:paraId="2890B00B" w14:textId="77777777" w:rsidR="00F06B63" w:rsidRDefault="00F06B63">
            <w:pPr>
              <w:autoSpaceDE w:val="0"/>
              <w:autoSpaceDN w:val="0"/>
              <w:adjustRightInd w:val="0"/>
              <w:ind w:left="102" w:right="-20"/>
              <w:rPr>
                <w:sz w:val="22"/>
                <w:szCs w:val="22"/>
              </w:rPr>
            </w:pPr>
            <w:r>
              <w:rPr>
                <w:i/>
                <w:iCs/>
                <w:sz w:val="22"/>
                <w:szCs w:val="22"/>
              </w:rPr>
              <w:t>Streptococcus agalactiae</w:t>
            </w:r>
          </w:p>
        </w:tc>
      </w:tr>
      <w:tr w:rsidR="00F06B63" w14:paraId="6D124342"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1087C56B" w14:textId="77777777" w:rsidR="00F06B63" w:rsidRDefault="00F06B63">
            <w:pPr>
              <w:autoSpaceDE w:val="0"/>
              <w:autoSpaceDN w:val="0"/>
              <w:adjustRightInd w:val="0"/>
              <w:ind w:left="102" w:right="-20"/>
              <w:rPr>
                <w:sz w:val="22"/>
                <w:szCs w:val="22"/>
                <w:lang w:val="de-DE"/>
              </w:rPr>
            </w:pPr>
            <w:r>
              <w:rPr>
                <w:sz w:val="22"/>
                <w:szCs w:val="22"/>
                <w:u w:val="single"/>
              </w:rPr>
              <w:t>Gramnegative aerobe bakterier</w:t>
            </w:r>
          </w:p>
          <w:p w14:paraId="43AD5E95" w14:textId="77777777" w:rsidR="00F06B63" w:rsidRDefault="00F06B63">
            <w:pPr>
              <w:autoSpaceDE w:val="0"/>
              <w:autoSpaceDN w:val="0"/>
              <w:adjustRightInd w:val="0"/>
              <w:ind w:left="102" w:right="6982"/>
              <w:rPr>
                <w:sz w:val="22"/>
                <w:szCs w:val="22"/>
              </w:rPr>
            </w:pPr>
            <w:r>
              <w:rPr>
                <w:i/>
                <w:iCs/>
                <w:sz w:val="22"/>
                <w:szCs w:val="22"/>
              </w:rPr>
              <w:t>Citrobacter koseri Haemophilus influenzae Moraxella catarrhalis Neisseria meningitidis Pasteurella multocida Proteus mirabilis Proteus spp</w:t>
            </w:r>
            <w:r>
              <w:rPr>
                <w:sz w:val="22"/>
                <w:szCs w:val="22"/>
              </w:rPr>
              <w:t xml:space="preserve">. (andre) </w:t>
            </w:r>
            <w:r>
              <w:rPr>
                <w:i/>
                <w:iCs/>
                <w:sz w:val="22"/>
                <w:szCs w:val="22"/>
              </w:rPr>
              <w:t xml:space="preserve">Providencia </w:t>
            </w:r>
            <w:r>
              <w:rPr>
                <w:sz w:val="22"/>
                <w:szCs w:val="22"/>
              </w:rPr>
              <w:t>spp.</w:t>
            </w:r>
          </w:p>
        </w:tc>
      </w:tr>
      <w:tr w:rsidR="00F06B63" w14:paraId="6FE8550C"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70AB1F9A" w14:textId="77777777" w:rsidR="00F06B63" w:rsidRDefault="00F06B63">
            <w:pPr>
              <w:autoSpaceDE w:val="0"/>
              <w:autoSpaceDN w:val="0"/>
              <w:adjustRightInd w:val="0"/>
              <w:ind w:left="102" w:right="-20"/>
              <w:rPr>
                <w:b/>
                <w:sz w:val="22"/>
                <w:szCs w:val="22"/>
              </w:rPr>
            </w:pPr>
            <w:r>
              <w:rPr>
                <w:b/>
                <w:bCs/>
                <w:sz w:val="22"/>
                <w:szCs w:val="22"/>
              </w:rPr>
              <w:t>Arter, hvor erhvervet resistens kan være et problem</w:t>
            </w:r>
          </w:p>
        </w:tc>
      </w:tr>
      <w:tr w:rsidR="00F06B63" w14:paraId="1EFF71B5"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3F13A22C" w14:textId="77777777" w:rsidR="00F06B63" w:rsidRDefault="00F06B63">
            <w:pPr>
              <w:autoSpaceDE w:val="0"/>
              <w:autoSpaceDN w:val="0"/>
              <w:adjustRightInd w:val="0"/>
              <w:ind w:left="102" w:right="-20"/>
              <w:rPr>
                <w:sz w:val="22"/>
                <w:szCs w:val="22"/>
                <w:lang w:val="de-DE"/>
              </w:rPr>
            </w:pPr>
            <w:r w:rsidRPr="00F06B63">
              <w:rPr>
                <w:sz w:val="22"/>
                <w:szCs w:val="22"/>
                <w:u w:val="single"/>
                <w:lang w:val="en-US"/>
              </w:rPr>
              <w:t>Gramnegative aerobe bakterier</w:t>
            </w:r>
          </w:p>
          <w:p w14:paraId="6F4152B7" w14:textId="77777777" w:rsidR="00F06B63" w:rsidRPr="00F06B63" w:rsidRDefault="00F06B63">
            <w:pPr>
              <w:autoSpaceDE w:val="0"/>
              <w:autoSpaceDN w:val="0"/>
              <w:adjustRightInd w:val="0"/>
              <w:ind w:left="102" w:right="6627"/>
              <w:rPr>
                <w:i/>
                <w:iCs/>
                <w:sz w:val="22"/>
                <w:szCs w:val="22"/>
                <w:lang w:val="en-US"/>
              </w:rPr>
            </w:pPr>
            <w:r w:rsidRPr="00F06B63">
              <w:rPr>
                <w:i/>
                <w:iCs/>
                <w:sz w:val="22"/>
                <w:szCs w:val="22"/>
                <w:lang w:val="en-US"/>
              </w:rPr>
              <w:t>Acinetobacter baumannii</w:t>
            </w:r>
            <w:r w:rsidRPr="00F06B63">
              <w:rPr>
                <w:i/>
                <w:iCs/>
                <w:sz w:val="22"/>
                <w:szCs w:val="22"/>
                <w:vertAlign w:val="superscript"/>
                <w:lang w:val="en-US"/>
              </w:rPr>
              <w:t>+</w:t>
            </w:r>
            <w:r w:rsidRPr="00F06B63">
              <w:rPr>
                <w:i/>
                <w:iCs/>
                <w:sz w:val="22"/>
                <w:szCs w:val="22"/>
                <w:lang w:val="en-US"/>
              </w:rPr>
              <w:t xml:space="preserve"> Burkholderia cepacia Citrobacter freundii Enterobacter cloacae</w:t>
            </w:r>
          </w:p>
          <w:p w14:paraId="380F236D" w14:textId="77777777" w:rsidR="00F06B63" w:rsidRPr="00F06B63" w:rsidRDefault="00F06B63">
            <w:pPr>
              <w:autoSpaceDE w:val="0"/>
              <w:autoSpaceDN w:val="0"/>
              <w:adjustRightInd w:val="0"/>
              <w:ind w:left="102" w:right="-20"/>
              <w:rPr>
                <w:i/>
                <w:iCs/>
                <w:sz w:val="22"/>
                <w:szCs w:val="22"/>
                <w:lang w:val="en-US"/>
              </w:rPr>
            </w:pPr>
            <w:r w:rsidRPr="00F06B63">
              <w:rPr>
                <w:i/>
                <w:iCs/>
                <w:sz w:val="22"/>
                <w:szCs w:val="22"/>
                <w:lang w:val="en-US"/>
              </w:rPr>
              <w:t xml:space="preserve">Escherichia coli </w:t>
            </w:r>
          </w:p>
          <w:p w14:paraId="37CEEAA2" w14:textId="77777777" w:rsidR="00F06B63" w:rsidRPr="00F06B63" w:rsidRDefault="00F06B63">
            <w:pPr>
              <w:autoSpaceDE w:val="0"/>
              <w:autoSpaceDN w:val="0"/>
              <w:adjustRightInd w:val="0"/>
              <w:ind w:left="102" w:right="-20"/>
              <w:rPr>
                <w:i/>
                <w:iCs/>
                <w:sz w:val="22"/>
                <w:szCs w:val="22"/>
                <w:lang w:val="en-US"/>
              </w:rPr>
            </w:pPr>
            <w:r w:rsidRPr="00F06B63">
              <w:rPr>
                <w:i/>
                <w:iCs/>
                <w:sz w:val="22"/>
                <w:szCs w:val="22"/>
                <w:lang w:val="en-US"/>
              </w:rPr>
              <w:t xml:space="preserve">Klebsiella aerogenes </w:t>
            </w:r>
          </w:p>
          <w:p w14:paraId="180C211F"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Klebsiella pneumoniae</w:t>
            </w:r>
          </w:p>
          <w:p w14:paraId="245F54B1"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Klebsiella spp</w:t>
            </w:r>
            <w:r w:rsidRPr="00F06B63">
              <w:rPr>
                <w:sz w:val="22"/>
                <w:szCs w:val="22"/>
                <w:lang w:val="en-US"/>
              </w:rPr>
              <w:t>. (andre)</w:t>
            </w:r>
          </w:p>
          <w:p w14:paraId="7840C724"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Pseudomonas aeruginosa</w:t>
            </w:r>
          </w:p>
          <w:p w14:paraId="68249CCC"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 xml:space="preserve">Serratia </w:t>
            </w:r>
            <w:r w:rsidRPr="00F06B63">
              <w:rPr>
                <w:sz w:val="22"/>
                <w:szCs w:val="22"/>
                <w:lang w:val="en-US"/>
              </w:rPr>
              <w:t>spp.</w:t>
            </w:r>
          </w:p>
          <w:p w14:paraId="5FA02D87" w14:textId="77777777" w:rsidR="00F06B63" w:rsidRDefault="00F06B63">
            <w:pPr>
              <w:autoSpaceDE w:val="0"/>
              <w:autoSpaceDN w:val="0"/>
              <w:adjustRightInd w:val="0"/>
              <w:ind w:left="102" w:right="6627"/>
              <w:rPr>
                <w:sz w:val="22"/>
                <w:szCs w:val="22"/>
              </w:rPr>
            </w:pPr>
            <w:r>
              <w:rPr>
                <w:i/>
                <w:iCs/>
                <w:sz w:val="22"/>
                <w:szCs w:val="22"/>
              </w:rPr>
              <w:t>Morganella morganii</w:t>
            </w:r>
          </w:p>
        </w:tc>
      </w:tr>
      <w:tr w:rsidR="00F06B63" w14:paraId="2281FB76"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48B9E22D" w14:textId="77777777" w:rsidR="00F06B63" w:rsidRDefault="00F06B63">
            <w:pPr>
              <w:autoSpaceDE w:val="0"/>
              <w:autoSpaceDN w:val="0"/>
              <w:adjustRightInd w:val="0"/>
              <w:ind w:left="102" w:right="-20"/>
              <w:rPr>
                <w:sz w:val="22"/>
                <w:szCs w:val="22"/>
                <w:lang w:val="de-DE"/>
              </w:rPr>
            </w:pPr>
            <w:r w:rsidRPr="00F06B63">
              <w:rPr>
                <w:sz w:val="22"/>
                <w:szCs w:val="22"/>
                <w:u w:val="single"/>
                <w:lang w:val="en-US"/>
              </w:rPr>
              <w:t>Grampositive aerobe bakterier</w:t>
            </w:r>
          </w:p>
          <w:p w14:paraId="1E26C5BF" w14:textId="77777777" w:rsidR="00F06B63" w:rsidRPr="00F06B63" w:rsidRDefault="00F06B63">
            <w:pPr>
              <w:tabs>
                <w:tab w:val="left" w:pos="2583"/>
              </w:tabs>
              <w:autoSpaceDE w:val="0"/>
              <w:autoSpaceDN w:val="0"/>
              <w:adjustRightInd w:val="0"/>
              <w:ind w:left="102" w:right="5420"/>
              <w:rPr>
                <w:i/>
                <w:iCs/>
                <w:sz w:val="22"/>
                <w:szCs w:val="22"/>
                <w:lang w:val="en-US"/>
              </w:rPr>
            </w:pPr>
            <w:r w:rsidRPr="00F06B63">
              <w:rPr>
                <w:i/>
                <w:iCs/>
                <w:sz w:val="22"/>
                <w:szCs w:val="22"/>
                <w:lang w:val="en-US"/>
              </w:rPr>
              <w:t>Staphylococcus aureus</w:t>
            </w:r>
            <w:r w:rsidRPr="00F06B63">
              <w:rPr>
                <w:i/>
                <w:iCs/>
                <w:sz w:val="22"/>
                <w:szCs w:val="22"/>
                <w:vertAlign w:val="superscript"/>
                <w:lang w:val="en-US"/>
              </w:rPr>
              <w:t>£</w:t>
            </w:r>
            <w:r w:rsidRPr="00F06B63">
              <w:rPr>
                <w:i/>
                <w:iCs/>
                <w:sz w:val="22"/>
                <w:szCs w:val="22"/>
                <w:lang w:val="en-US"/>
              </w:rPr>
              <w:t xml:space="preserve"> </w:t>
            </w:r>
          </w:p>
          <w:p w14:paraId="507CEB5B" w14:textId="77777777" w:rsidR="00F06B63" w:rsidRDefault="00F06B63">
            <w:pPr>
              <w:tabs>
                <w:tab w:val="left" w:pos="2583"/>
              </w:tabs>
              <w:autoSpaceDE w:val="0"/>
              <w:autoSpaceDN w:val="0"/>
              <w:adjustRightInd w:val="0"/>
              <w:ind w:left="102" w:right="5420"/>
              <w:rPr>
                <w:i/>
                <w:iCs/>
                <w:sz w:val="22"/>
                <w:szCs w:val="22"/>
                <w:vertAlign w:val="superscript"/>
              </w:rPr>
            </w:pPr>
            <w:r>
              <w:rPr>
                <w:i/>
                <w:iCs/>
                <w:sz w:val="22"/>
                <w:szCs w:val="22"/>
              </w:rPr>
              <w:t>Streptococcus pneumoniae</w:t>
            </w:r>
            <w:r>
              <w:rPr>
                <w:i/>
                <w:iCs/>
                <w:sz w:val="22"/>
                <w:szCs w:val="22"/>
                <w:vertAlign w:val="superscript"/>
              </w:rPr>
              <w:t>££</w:t>
            </w:r>
          </w:p>
          <w:p w14:paraId="635DDA06" w14:textId="77777777" w:rsidR="00F06B63" w:rsidRDefault="00F06B63">
            <w:pPr>
              <w:autoSpaceDE w:val="0"/>
              <w:autoSpaceDN w:val="0"/>
              <w:adjustRightInd w:val="0"/>
              <w:ind w:left="102" w:right="6530"/>
              <w:rPr>
                <w:i/>
                <w:iCs/>
                <w:sz w:val="22"/>
                <w:szCs w:val="22"/>
              </w:rPr>
            </w:pPr>
            <w:r>
              <w:rPr>
                <w:i/>
                <w:iCs/>
                <w:sz w:val="22"/>
                <w:szCs w:val="22"/>
              </w:rPr>
              <w:t>Streptococcus viridans</w:t>
            </w:r>
            <w:r>
              <w:rPr>
                <w:sz w:val="22"/>
                <w:szCs w:val="22"/>
              </w:rPr>
              <w:t xml:space="preserve"> </w:t>
            </w:r>
          </w:p>
        </w:tc>
      </w:tr>
      <w:tr w:rsidR="00F06B63" w14:paraId="1317C826"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F98AB31" w14:textId="77777777" w:rsidR="00F06B63" w:rsidRDefault="00F06B63">
            <w:pPr>
              <w:autoSpaceDE w:val="0"/>
              <w:autoSpaceDN w:val="0"/>
              <w:adjustRightInd w:val="0"/>
              <w:ind w:left="102" w:right="-20"/>
              <w:rPr>
                <w:sz w:val="22"/>
                <w:szCs w:val="22"/>
              </w:rPr>
            </w:pPr>
            <w:r>
              <w:rPr>
                <w:sz w:val="22"/>
                <w:szCs w:val="22"/>
                <w:u w:val="single"/>
              </w:rPr>
              <w:t>Grampositive anaerobe bakterier</w:t>
            </w:r>
          </w:p>
          <w:p w14:paraId="4EEC6206" w14:textId="77777777" w:rsidR="00F06B63" w:rsidRDefault="00F06B63">
            <w:pPr>
              <w:autoSpaceDE w:val="0"/>
              <w:autoSpaceDN w:val="0"/>
              <w:adjustRightInd w:val="0"/>
              <w:ind w:left="102" w:right="-20"/>
              <w:rPr>
                <w:sz w:val="22"/>
                <w:szCs w:val="22"/>
              </w:rPr>
            </w:pPr>
            <w:r>
              <w:rPr>
                <w:i/>
                <w:iCs/>
                <w:sz w:val="22"/>
                <w:szCs w:val="22"/>
              </w:rPr>
              <w:t xml:space="preserve">Clostridium perfringens </w:t>
            </w:r>
          </w:p>
          <w:p w14:paraId="5D795752" w14:textId="77777777" w:rsidR="00F06B63" w:rsidRDefault="00F06B63">
            <w:pPr>
              <w:autoSpaceDE w:val="0"/>
              <w:autoSpaceDN w:val="0"/>
              <w:adjustRightInd w:val="0"/>
              <w:ind w:left="102" w:right="-20"/>
              <w:rPr>
                <w:sz w:val="22"/>
                <w:szCs w:val="22"/>
                <w:u w:val="single"/>
              </w:rPr>
            </w:pPr>
            <w:r>
              <w:rPr>
                <w:i/>
                <w:iCs/>
                <w:sz w:val="22"/>
                <w:szCs w:val="22"/>
              </w:rPr>
              <w:t xml:space="preserve">Peptostreptococcus </w:t>
            </w:r>
            <w:r>
              <w:rPr>
                <w:sz w:val="22"/>
                <w:szCs w:val="22"/>
              </w:rPr>
              <w:t>spp.</w:t>
            </w:r>
          </w:p>
        </w:tc>
      </w:tr>
      <w:tr w:rsidR="00F06B63" w14:paraId="10208680"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126607BD" w14:textId="77777777" w:rsidR="00F06B63" w:rsidRDefault="00F06B63">
            <w:pPr>
              <w:autoSpaceDE w:val="0"/>
              <w:autoSpaceDN w:val="0"/>
              <w:adjustRightInd w:val="0"/>
              <w:ind w:left="102" w:right="-20"/>
              <w:rPr>
                <w:sz w:val="22"/>
                <w:szCs w:val="22"/>
              </w:rPr>
            </w:pPr>
            <w:r>
              <w:rPr>
                <w:sz w:val="22"/>
                <w:szCs w:val="22"/>
                <w:u w:val="single"/>
              </w:rPr>
              <w:t>Gramnegative anaerobe bakterier</w:t>
            </w:r>
          </w:p>
          <w:p w14:paraId="6F439E65" w14:textId="77777777" w:rsidR="00F06B63" w:rsidRDefault="00F06B63">
            <w:pPr>
              <w:autoSpaceDE w:val="0"/>
              <w:autoSpaceDN w:val="0"/>
              <w:adjustRightInd w:val="0"/>
              <w:ind w:left="102" w:right="-20"/>
              <w:rPr>
                <w:sz w:val="22"/>
                <w:szCs w:val="22"/>
                <w:u w:val="single"/>
              </w:rPr>
            </w:pPr>
            <w:r>
              <w:rPr>
                <w:i/>
                <w:iCs/>
                <w:sz w:val="22"/>
                <w:szCs w:val="22"/>
              </w:rPr>
              <w:t xml:space="preserve">Fusobacterium </w:t>
            </w:r>
            <w:r>
              <w:rPr>
                <w:sz w:val="22"/>
                <w:szCs w:val="22"/>
              </w:rPr>
              <w:t>spp.</w:t>
            </w:r>
          </w:p>
        </w:tc>
      </w:tr>
      <w:tr w:rsidR="00F06B63" w14:paraId="5781BD0B"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4AD48F14" w14:textId="77777777" w:rsidR="00F06B63" w:rsidRDefault="00F06B63">
            <w:pPr>
              <w:autoSpaceDE w:val="0"/>
              <w:autoSpaceDN w:val="0"/>
              <w:adjustRightInd w:val="0"/>
              <w:ind w:left="102" w:right="-20"/>
              <w:rPr>
                <w:b/>
                <w:sz w:val="22"/>
                <w:szCs w:val="22"/>
              </w:rPr>
            </w:pPr>
            <w:r>
              <w:rPr>
                <w:b/>
                <w:bCs/>
                <w:sz w:val="22"/>
                <w:szCs w:val="22"/>
              </w:rPr>
              <w:lastRenderedPageBreak/>
              <w:t>Naturligt resistente organismer</w:t>
            </w:r>
          </w:p>
        </w:tc>
      </w:tr>
      <w:tr w:rsidR="00F06B63" w14:paraId="2F01B493"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273E337A" w14:textId="77777777" w:rsidR="00F06B63" w:rsidRDefault="00F06B63">
            <w:pPr>
              <w:autoSpaceDE w:val="0"/>
              <w:autoSpaceDN w:val="0"/>
              <w:adjustRightInd w:val="0"/>
              <w:ind w:left="102" w:right="-20"/>
              <w:rPr>
                <w:sz w:val="22"/>
                <w:szCs w:val="22"/>
                <w:lang w:val="de-DE"/>
              </w:rPr>
            </w:pPr>
            <w:r>
              <w:rPr>
                <w:sz w:val="22"/>
                <w:szCs w:val="22"/>
                <w:u w:val="single"/>
              </w:rPr>
              <w:t>Grampositive aerobe bakterier</w:t>
            </w:r>
          </w:p>
          <w:p w14:paraId="1849990D" w14:textId="77777777" w:rsidR="00F06B63" w:rsidRDefault="00F06B63">
            <w:pPr>
              <w:autoSpaceDE w:val="0"/>
              <w:autoSpaceDN w:val="0"/>
              <w:adjustRightInd w:val="0"/>
              <w:ind w:left="102" w:right="-20"/>
              <w:rPr>
                <w:sz w:val="22"/>
                <w:szCs w:val="22"/>
              </w:rPr>
            </w:pPr>
            <w:r>
              <w:rPr>
                <w:sz w:val="22"/>
                <w:szCs w:val="22"/>
              </w:rPr>
              <w:t xml:space="preserve">Enterokokker, herunder </w:t>
            </w:r>
            <w:r>
              <w:rPr>
                <w:i/>
                <w:iCs/>
                <w:sz w:val="22"/>
                <w:szCs w:val="22"/>
              </w:rPr>
              <w:t>Enterococcus faecalis og</w:t>
            </w:r>
            <w:r>
              <w:rPr>
                <w:sz w:val="22"/>
                <w:szCs w:val="22"/>
              </w:rPr>
              <w:t xml:space="preserve"> </w:t>
            </w:r>
            <w:r>
              <w:rPr>
                <w:i/>
                <w:iCs/>
                <w:sz w:val="22"/>
                <w:szCs w:val="22"/>
              </w:rPr>
              <w:t>Enterococcus faecium</w:t>
            </w:r>
          </w:p>
          <w:p w14:paraId="5A81575F" w14:textId="77777777" w:rsidR="00F06B63" w:rsidRDefault="00F06B63">
            <w:pPr>
              <w:autoSpaceDE w:val="0"/>
              <w:autoSpaceDN w:val="0"/>
              <w:adjustRightInd w:val="0"/>
              <w:ind w:left="102" w:right="-20"/>
              <w:rPr>
                <w:sz w:val="22"/>
                <w:szCs w:val="22"/>
                <w:u w:val="single"/>
              </w:rPr>
            </w:pPr>
            <w:r>
              <w:rPr>
                <w:i/>
                <w:iCs/>
                <w:sz w:val="22"/>
                <w:szCs w:val="22"/>
              </w:rPr>
              <w:t xml:space="preserve">Listeria </w:t>
            </w:r>
            <w:r>
              <w:rPr>
                <w:sz w:val="22"/>
                <w:szCs w:val="22"/>
              </w:rPr>
              <w:t>spp</w:t>
            </w:r>
            <w:r>
              <w:rPr>
                <w:i/>
                <w:iCs/>
                <w:sz w:val="22"/>
                <w:szCs w:val="22"/>
              </w:rPr>
              <w:t>.</w:t>
            </w:r>
          </w:p>
        </w:tc>
      </w:tr>
      <w:tr w:rsidR="00F06B63" w:rsidRPr="007D3F2E" w14:paraId="06C37B15"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F7935CE" w14:textId="77777777" w:rsidR="00F06B63" w:rsidRDefault="00F06B63">
            <w:pPr>
              <w:autoSpaceDE w:val="0"/>
              <w:autoSpaceDN w:val="0"/>
              <w:adjustRightInd w:val="0"/>
              <w:ind w:left="102" w:right="-20"/>
              <w:rPr>
                <w:sz w:val="22"/>
                <w:szCs w:val="22"/>
                <w:lang w:val="en-US"/>
              </w:rPr>
            </w:pPr>
            <w:r>
              <w:rPr>
                <w:sz w:val="22"/>
                <w:szCs w:val="22"/>
                <w:u w:val="single"/>
                <w:lang w:val="en-US"/>
              </w:rPr>
              <w:t>Grampositive anaerobe bakterier</w:t>
            </w:r>
          </w:p>
          <w:p w14:paraId="181207D7" w14:textId="77777777" w:rsidR="00F06B63" w:rsidRDefault="00F06B63">
            <w:pPr>
              <w:autoSpaceDE w:val="0"/>
              <w:autoSpaceDN w:val="0"/>
              <w:adjustRightInd w:val="0"/>
              <w:ind w:left="102" w:right="-20"/>
              <w:rPr>
                <w:sz w:val="22"/>
                <w:szCs w:val="22"/>
                <w:u w:val="single"/>
                <w:lang w:val="en-US"/>
              </w:rPr>
            </w:pPr>
            <w:r>
              <w:rPr>
                <w:i/>
                <w:iCs/>
                <w:sz w:val="22"/>
                <w:szCs w:val="22"/>
                <w:lang w:val="en-US"/>
              </w:rPr>
              <w:t>Clostridioides difficile</w:t>
            </w:r>
          </w:p>
        </w:tc>
      </w:tr>
      <w:tr w:rsidR="00F06B63" w14:paraId="2B54C0AE"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14557C0B" w14:textId="77777777" w:rsidR="00F06B63" w:rsidRDefault="00F06B63">
            <w:pPr>
              <w:autoSpaceDE w:val="0"/>
              <w:autoSpaceDN w:val="0"/>
              <w:adjustRightInd w:val="0"/>
              <w:ind w:left="102" w:right="-20"/>
              <w:rPr>
                <w:sz w:val="22"/>
                <w:szCs w:val="22"/>
              </w:rPr>
            </w:pPr>
            <w:r>
              <w:rPr>
                <w:sz w:val="22"/>
                <w:szCs w:val="22"/>
                <w:u w:val="single"/>
              </w:rPr>
              <w:t>Gramnegative anaerobe bakterier</w:t>
            </w:r>
          </w:p>
          <w:p w14:paraId="2E847A4E" w14:textId="77777777" w:rsidR="00F06B63" w:rsidRDefault="00F06B63">
            <w:pPr>
              <w:autoSpaceDE w:val="0"/>
              <w:autoSpaceDN w:val="0"/>
              <w:adjustRightInd w:val="0"/>
              <w:ind w:left="102" w:right="-20"/>
              <w:rPr>
                <w:sz w:val="22"/>
                <w:szCs w:val="22"/>
                <w:u w:val="single"/>
              </w:rPr>
            </w:pPr>
            <w:r>
              <w:rPr>
                <w:i/>
                <w:iCs/>
                <w:sz w:val="22"/>
                <w:szCs w:val="22"/>
              </w:rPr>
              <w:t xml:space="preserve">Bacteroides </w:t>
            </w:r>
            <w:r>
              <w:rPr>
                <w:sz w:val="22"/>
                <w:szCs w:val="22"/>
              </w:rPr>
              <w:t xml:space="preserve">spp. (mange stammer af </w:t>
            </w:r>
            <w:r>
              <w:rPr>
                <w:i/>
                <w:iCs/>
                <w:sz w:val="22"/>
                <w:szCs w:val="22"/>
              </w:rPr>
              <w:t xml:space="preserve">Bacteroides fragilis </w:t>
            </w:r>
            <w:r>
              <w:rPr>
                <w:sz w:val="22"/>
                <w:szCs w:val="22"/>
              </w:rPr>
              <w:t>er resistente)</w:t>
            </w:r>
          </w:p>
        </w:tc>
      </w:tr>
      <w:tr w:rsidR="00F06B63" w14:paraId="7225BFC8"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D708B7B" w14:textId="77777777" w:rsidR="00F06B63" w:rsidRDefault="00F06B63">
            <w:pPr>
              <w:autoSpaceDE w:val="0"/>
              <w:autoSpaceDN w:val="0"/>
              <w:adjustRightInd w:val="0"/>
              <w:ind w:left="102" w:right="-20"/>
              <w:rPr>
                <w:sz w:val="22"/>
                <w:szCs w:val="22"/>
              </w:rPr>
            </w:pPr>
            <w:r>
              <w:rPr>
                <w:sz w:val="22"/>
                <w:szCs w:val="22"/>
                <w:u w:val="single"/>
              </w:rPr>
              <w:t>Andre</w:t>
            </w:r>
          </w:p>
          <w:p w14:paraId="11A3D756" w14:textId="77777777" w:rsidR="00F06B63" w:rsidRDefault="00F06B63">
            <w:pPr>
              <w:autoSpaceDE w:val="0"/>
              <w:autoSpaceDN w:val="0"/>
              <w:adjustRightInd w:val="0"/>
              <w:ind w:left="102" w:right="-20"/>
              <w:rPr>
                <w:sz w:val="22"/>
                <w:szCs w:val="22"/>
              </w:rPr>
            </w:pPr>
            <w:r>
              <w:rPr>
                <w:i/>
                <w:iCs/>
                <w:sz w:val="22"/>
                <w:szCs w:val="22"/>
              </w:rPr>
              <w:t xml:space="preserve">Chlamydia </w:t>
            </w:r>
            <w:r>
              <w:rPr>
                <w:sz w:val="22"/>
                <w:szCs w:val="22"/>
              </w:rPr>
              <w:t xml:space="preserve">spp. </w:t>
            </w:r>
          </w:p>
          <w:p w14:paraId="5588B636" w14:textId="77777777" w:rsidR="00F06B63" w:rsidRDefault="00F06B63">
            <w:pPr>
              <w:autoSpaceDE w:val="0"/>
              <w:autoSpaceDN w:val="0"/>
              <w:adjustRightInd w:val="0"/>
              <w:ind w:left="102" w:right="-20"/>
              <w:rPr>
                <w:sz w:val="22"/>
                <w:szCs w:val="22"/>
              </w:rPr>
            </w:pPr>
            <w:r>
              <w:rPr>
                <w:i/>
                <w:iCs/>
                <w:sz w:val="22"/>
                <w:szCs w:val="22"/>
              </w:rPr>
              <w:t xml:space="preserve">Mycoplasma </w:t>
            </w:r>
            <w:r>
              <w:rPr>
                <w:sz w:val="22"/>
                <w:szCs w:val="22"/>
              </w:rPr>
              <w:t xml:space="preserve">spp. </w:t>
            </w:r>
          </w:p>
          <w:p w14:paraId="78C329C1" w14:textId="77777777" w:rsidR="00F06B63" w:rsidRDefault="00F06B63">
            <w:pPr>
              <w:autoSpaceDE w:val="0"/>
              <w:autoSpaceDN w:val="0"/>
              <w:adjustRightInd w:val="0"/>
              <w:ind w:left="102" w:right="-20"/>
              <w:rPr>
                <w:sz w:val="22"/>
                <w:szCs w:val="22"/>
                <w:u w:val="single"/>
              </w:rPr>
            </w:pPr>
            <w:r>
              <w:rPr>
                <w:i/>
                <w:iCs/>
                <w:sz w:val="22"/>
                <w:szCs w:val="22"/>
              </w:rPr>
              <w:t xml:space="preserve">Legionella </w:t>
            </w:r>
            <w:r>
              <w:rPr>
                <w:sz w:val="22"/>
                <w:szCs w:val="22"/>
              </w:rPr>
              <w:t>spp.</w:t>
            </w:r>
          </w:p>
        </w:tc>
      </w:tr>
      <w:tr w:rsidR="00F06B63" w14:paraId="5599A693" w14:textId="77777777" w:rsidTr="00F06B63">
        <w:trPr>
          <w:trHeight w:val="1309"/>
        </w:trPr>
        <w:tc>
          <w:tcPr>
            <w:tcW w:w="9286" w:type="dxa"/>
            <w:tcBorders>
              <w:top w:val="single" w:sz="4" w:space="0" w:color="000000"/>
              <w:left w:val="single" w:sz="4" w:space="0" w:color="000000"/>
              <w:bottom w:val="single" w:sz="4" w:space="0" w:color="auto"/>
              <w:right w:val="single" w:sz="4" w:space="0" w:color="000000"/>
            </w:tcBorders>
            <w:hideMark/>
          </w:tcPr>
          <w:p w14:paraId="2D3B4070" w14:textId="77777777" w:rsidR="00F06B63" w:rsidRDefault="00F06B63">
            <w:pPr>
              <w:autoSpaceDE w:val="0"/>
              <w:autoSpaceDN w:val="0"/>
              <w:adjustRightInd w:val="0"/>
              <w:ind w:left="103" w:right="-20"/>
              <w:rPr>
                <w:sz w:val="22"/>
                <w:szCs w:val="22"/>
                <w:lang w:val="nb-NO"/>
              </w:rPr>
            </w:pPr>
            <w:r>
              <w:rPr>
                <w:i/>
                <w:iCs/>
                <w:sz w:val="22"/>
                <w:szCs w:val="22"/>
                <w:vertAlign w:val="superscript"/>
              </w:rPr>
              <w:t>£</w:t>
            </w:r>
            <w:r>
              <w:rPr>
                <w:i/>
                <w:iCs/>
                <w:sz w:val="22"/>
                <w:szCs w:val="22"/>
              </w:rPr>
              <w:t xml:space="preserve"> S. aureus</w:t>
            </w:r>
            <w:r>
              <w:rPr>
                <w:sz w:val="22"/>
                <w:szCs w:val="22"/>
              </w:rPr>
              <w:t xml:space="preserve">, som er methicillin-følsomme, anses for at have naturlig lav følsomhed over for ceftazidim. </w:t>
            </w:r>
            <w:r>
              <w:rPr>
                <w:sz w:val="22"/>
                <w:szCs w:val="22"/>
                <w:lang w:val="nb-NO"/>
              </w:rPr>
              <w:t xml:space="preserve">Alle methicillin-resistente </w:t>
            </w:r>
            <w:r>
              <w:rPr>
                <w:i/>
                <w:iCs/>
                <w:sz w:val="22"/>
                <w:szCs w:val="22"/>
                <w:lang w:val="nb-NO"/>
              </w:rPr>
              <w:t xml:space="preserve">S. aureus </w:t>
            </w:r>
            <w:r>
              <w:rPr>
                <w:sz w:val="22"/>
                <w:szCs w:val="22"/>
                <w:lang w:val="nb-NO"/>
              </w:rPr>
              <w:t>er resistente over for ceftazidim.</w:t>
            </w:r>
          </w:p>
          <w:p w14:paraId="5523C800" w14:textId="77777777" w:rsidR="00F06B63" w:rsidRDefault="00F06B63">
            <w:pPr>
              <w:autoSpaceDE w:val="0"/>
              <w:autoSpaceDN w:val="0"/>
              <w:adjustRightInd w:val="0"/>
              <w:ind w:left="102" w:right="227"/>
              <w:rPr>
                <w:sz w:val="22"/>
                <w:szCs w:val="22"/>
              </w:rPr>
            </w:pPr>
            <w:r>
              <w:rPr>
                <w:i/>
                <w:iCs/>
                <w:sz w:val="22"/>
                <w:szCs w:val="22"/>
                <w:vertAlign w:val="superscript"/>
              </w:rPr>
              <w:t>££</w:t>
            </w:r>
            <w:r>
              <w:rPr>
                <w:i/>
                <w:iCs/>
                <w:sz w:val="22"/>
                <w:szCs w:val="22"/>
              </w:rPr>
              <w:t xml:space="preserve"> S. pneumonia</w:t>
            </w:r>
            <w:r>
              <w:rPr>
                <w:sz w:val="22"/>
                <w:szCs w:val="22"/>
              </w:rPr>
              <w:t>e, som udviser intermediær følsomhed eller er resistent over for penicillin, kan forventes at udvise i det mindste nedsat følsomhed over for ceftazidim.</w:t>
            </w:r>
          </w:p>
          <w:p w14:paraId="58BC947F" w14:textId="77777777" w:rsidR="00F06B63" w:rsidRDefault="00F06B63">
            <w:pPr>
              <w:autoSpaceDE w:val="0"/>
              <w:autoSpaceDN w:val="0"/>
              <w:adjustRightInd w:val="0"/>
              <w:ind w:left="102" w:right="-20"/>
              <w:rPr>
                <w:sz w:val="22"/>
                <w:szCs w:val="22"/>
                <w:u w:val="single"/>
              </w:rPr>
            </w:pPr>
            <w:r>
              <w:rPr>
                <w:sz w:val="22"/>
                <w:szCs w:val="22"/>
                <w:vertAlign w:val="superscript"/>
              </w:rPr>
              <w:t>+</w:t>
            </w:r>
            <w:r>
              <w:rPr>
                <w:sz w:val="22"/>
                <w:szCs w:val="22"/>
              </w:rPr>
              <w:t xml:space="preserve"> Høj grad af resistens er observeret i et eller flere områder (lande, regioner) inden for EU.</w:t>
            </w:r>
          </w:p>
        </w:tc>
      </w:tr>
    </w:tbl>
    <w:p w14:paraId="39B42E44" w14:textId="77777777" w:rsidR="009260DE" w:rsidRPr="00C84483" w:rsidRDefault="009260DE" w:rsidP="009260DE">
      <w:pPr>
        <w:tabs>
          <w:tab w:val="left" w:pos="851"/>
        </w:tabs>
        <w:ind w:left="851"/>
        <w:rPr>
          <w:sz w:val="24"/>
          <w:szCs w:val="24"/>
        </w:rPr>
      </w:pPr>
    </w:p>
    <w:p w14:paraId="505FCAE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1BAD3C6" w14:textId="77777777" w:rsidR="00D225E3" w:rsidRPr="00D225E3" w:rsidRDefault="00D225E3" w:rsidP="00D225E3">
      <w:pPr>
        <w:tabs>
          <w:tab w:val="left" w:pos="851"/>
        </w:tabs>
        <w:ind w:left="851"/>
        <w:rPr>
          <w:sz w:val="24"/>
          <w:szCs w:val="24"/>
          <w:u w:val="single"/>
        </w:rPr>
      </w:pPr>
    </w:p>
    <w:p w14:paraId="775B152A" w14:textId="77777777" w:rsidR="00D225E3" w:rsidRPr="00D225E3" w:rsidRDefault="00D225E3" w:rsidP="00D225E3">
      <w:pPr>
        <w:tabs>
          <w:tab w:val="left" w:pos="851"/>
        </w:tabs>
        <w:ind w:left="851"/>
        <w:rPr>
          <w:sz w:val="24"/>
          <w:szCs w:val="24"/>
        </w:rPr>
      </w:pPr>
      <w:r w:rsidRPr="00D225E3">
        <w:rPr>
          <w:sz w:val="24"/>
          <w:szCs w:val="24"/>
          <w:u w:val="single"/>
        </w:rPr>
        <w:t xml:space="preserve">Absorption </w:t>
      </w:r>
    </w:p>
    <w:p w14:paraId="7C47DBFA" w14:textId="77777777" w:rsidR="00D225E3" w:rsidRPr="00D225E3" w:rsidRDefault="00D225E3" w:rsidP="00D225E3">
      <w:pPr>
        <w:tabs>
          <w:tab w:val="left" w:pos="851"/>
        </w:tabs>
        <w:ind w:left="851"/>
        <w:rPr>
          <w:sz w:val="24"/>
          <w:szCs w:val="24"/>
        </w:rPr>
      </w:pPr>
      <w:r w:rsidRPr="00D225E3">
        <w:rPr>
          <w:sz w:val="24"/>
          <w:szCs w:val="24"/>
        </w:rPr>
        <w:t xml:space="preserve">Efter intramuskulær administration af 500 mg og 1 g ceftazidim opnås der hurtigt maksimale plasmaniveauer på henholdsvis 18 og 37 mg/l. Fem minutter efter en intravenøs bolusinjektion af 500 mg, 1 g eller 2 g ligger plasmaniveauet på henholdsvis 46, 87 og 170 mg/l. Kinetikken for ceftazidim er lineær inden for intervallet fra 0,5 til 2,0 g efter intravenøs eller intramuskulær dosering (enkeltdosis). </w:t>
      </w:r>
    </w:p>
    <w:p w14:paraId="6BCEEFFE" w14:textId="77777777" w:rsidR="00D225E3" w:rsidRPr="00D225E3" w:rsidRDefault="00D225E3" w:rsidP="00D225E3">
      <w:pPr>
        <w:tabs>
          <w:tab w:val="left" w:pos="851"/>
        </w:tabs>
        <w:ind w:left="851"/>
        <w:rPr>
          <w:sz w:val="24"/>
          <w:szCs w:val="24"/>
          <w:u w:val="single"/>
        </w:rPr>
      </w:pPr>
    </w:p>
    <w:p w14:paraId="7CD9CBF2" w14:textId="77777777" w:rsidR="00D225E3" w:rsidRPr="00D225E3" w:rsidRDefault="00D225E3" w:rsidP="00D225E3">
      <w:pPr>
        <w:tabs>
          <w:tab w:val="left" w:pos="851"/>
        </w:tabs>
        <w:ind w:left="851"/>
        <w:rPr>
          <w:sz w:val="24"/>
          <w:szCs w:val="24"/>
        </w:rPr>
      </w:pPr>
      <w:r w:rsidRPr="00D225E3">
        <w:rPr>
          <w:sz w:val="24"/>
          <w:szCs w:val="24"/>
          <w:u w:val="single"/>
        </w:rPr>
        <w:t xml:space="preserve">Fordeling </w:t>
      </w:r>
    </w:p>
    <w:p w14:paraId="4A71F9AD" w14:textId="77777777" w:rsidR="00D225E3" w:rsidRPr="00D225E3" w:rsidRDefault="00D225E3" w:rsidP="00D225E3">
      <w:pPr>
        <w:tabs>
          <w:tab w:val="left" w:pos="851"/>
        </w:tabs>
        <w:ind w:left="851"/>
        <w:rPr>
          <w:sz w:val="24"/>
          <w:szCs w:val="24"/>
        </w:rPr>
      </w:pPr>
      <w:r w:rsidRPr="00D225E3">
        <w:rPr>
          <w:sz w:val="24"/>
          <w:szCs w:val="24"/>
        </w:rPr>
        <w:t xml:space="preserve">Mindre end 10 % af ceftazidim er bundet til plasmaproteiner. Koncentrationer, der ligger over MIC for almindelige patogener, kan opnås i væv, væsker og afsondringer som knogler, hjerte, galde, sputum, kammervæske, synovialvæske, pleuravæske og peritonealvæske. </w:t>
      </w:r>
    </w:p>
    <w:p w14:paraId="118437F2" w14:textId="77777777" w:rsidR="00D225E3" w:rsidRPr="00D225E3" w:rsidRDefault="00D225E3" w:rsidP="00D225E3">
      <w:pPr>
        <w:tabs>
          <w:tab w:val="left" w:pos="851"/>
        </w:tabs>
        <w:ind w:left="851"/>
        <w:rPr>
          <w:sz w:val="24"/>
          <w:szCs w:val="24"/>
        </w:rPr>
      </w:pPr>
    </w:p>
    <w:p w14:paraId="1862E714" w14:textId="77777777" w:rsidR="00D225E3" w:rsidRPr="00D225E3" w:rsidRDefault="00D225E3" w:rsidP="00D225E3">
      <w:pPr>
        <w:tabs>
          <w:tab w:val="left" w:pos="851"/>
        </w:tabs>
        <w:ind w:left="851"/>
        <w:rPr>
          <w:sz w:val="24"/>
          <w:szCs w:val="24"/>
        </w:rPr>
      </w:pPr>
      <w:r w:rsidRPr="00D225E3">
        <w:rPr>
          <w:sz w:val="24"/>
          <w:szCs w:val="24"/>
        </w:rPr>
        <w:t xml:space="preserve">Ceftazidim passerer let placenta og udskilles i brystmælken. Penetration af den intakte blodhjernebarriere er ringe, hvilket fører til lave ceftazidimniveauer i cerebrospinalvæsken (CSF) ved fravær af inflammation. Ved inflammation af meninges opnås der imidlertid koncentrationer på 4 til 20 mg/l eller mere i CSF. </w:t>
      </w:r>
    </w:p>
    <w:p w14:paraId="2547AB88" w14:textId="77777777" w:rsidR="00D225E3" w:rsidRPr="00D225E3" w:rsidRDefault="00D225E3" w:rsidP="00D225E3">
      <w:pPr>
        <w:tabs>
          <w:tab w:val="left" w:pos="851"/>
        </w:tabs>
        <w:ind w:left="851"/>
        <w:rPr>
          <w:sz w:val="24"/>
          <w:szCs w:val="24"/>
          <w:u w:val="single"/>
        </w:rPr>
      </w:pPr>
    </w:p>
    <w:p w14:paraId="498C3BE6" w14:textId="77777777" w:rsidR="00D225E3" w:rsidRPr="00D225E3" w:rsidRDefault="00D225E3" w:rsidP="00D225E3">
      <w:pPr>
        <w:tabs>
          <w:tab w:val="left" w:pos="851"/>
        </w:tabs>
        <w:ind w:left="851"/>
        <w:rPr>
          <w:sz w:val="24"/>
          <w:szCs w:val="24"/>
        </w:rPr>
      </w:pPr>
      <w:r w:rsidRPr="00D225E3">
        <w:rPr>
          <w:sz w:val="24"/>
          <w:szCs w:val="24"/>
          <w:u w:val="single"/>
        </w:rPr>
        <w:t>Biotransformation</w:t>
      </w:r>
    </w:p>
    <w:p w14:paraId="23E2C8F0" w14:textId="77777777" w:rsidR="00D225E3" w:rsidRPr="00D225E3" w:rsidRDefault="00D225E3" w:rsidP="00D225E3">
      <w:pPr>
        <w:tabs>
          <w:tab w:val="left" w:pos="851"/>
        </w:tabs>
        <w:ind w:left="851"/>
        <w:rPr>
          <w:b/>
          <w:sz w:val="24"/>
          <w:szCs w:val="24"/>
        </w:rPr>
      </w:pPr>
      <w:r w:rsidRPr="00D225E3">
        <w:rPr>
          <w:sz w:val="24"/>
          <w:szCs w:val="24"/>
        </w:rPr>
        <w:t>Ceftazidim metaboliseres ikke.</w:t>
      </w:r>
    </w:p>
    <w:p w14:paraId="4E43659F" w14:textId="77777777" w:rsidR="00D225E3" w:rsidRPr="00D225E3" w:rsidRDefault="00D225E3" w:rsidP="00D225E3">
      <w:pPr>
        <w:tabs>
          <w:tab w:val="left" w:pos="851"/>
        </w:tabs>
        <w:ind w:left="851"/>
        <w:rPr>
          <w:sz w:val="24"/>
          <w:szCs w:val="24"/>
          <w:u w:val="single"/>
        </w:rPr>
      </w:pPr>
    </w:p>
    <w:p w14:paraId="0A9E54B7" w14:textId="77777777" w:rsidR="00D225E3" w:rsidRPr="00D225E3" w:rsidRDefault="00D225E3" w:rsidP="00D225E3">
      <w:pPr>
        <w:tabs>
          <w:tab w:val="left" w:pos="851"/>
        </w:tabs>
        <w:ind w:left="851"/>
        <w:rPr>
          <w:sz w:val="24"/>
          <w:szCs w:val="24"/>
        </w:rPr>
      </w:pPr>
      <w:r w:rsidRPr="00D225E3">
        <w:rPr>
          <w:sz w:val="24"/>
          <w:szCs w:val="24"/>
          <w:u w:val="single"/>
        </w:rPr>
        <w:t xml:space="preserve">Elimination </w:t>
      </w:r>
    </w:p>
    <w:p w14:paraId="77249CAF" w14:textId="77777777" w:rsidR="00D225E3" w:rsidRPr="00D225E3" w:rsidRDefault="00D225E3" w:rsidP="00D225E3">
      <w:pPr>
        <w:tabs>
          <w:tab w:val="left" w:pos="851"/>
        </w:tabs>
        <w:ind w:left="851"/>
        <w:rPr>
          <w:sz w:val="24"/>
          <w:szCs w:val="24"/>
        </w:rPr>
      </w:pPr>
      <w:r w:rsidRPr="00D225E3">
        <w:rPr>
          <w:sz w:val="24"/>
          <w:szCs w:val="24"/>
        </w:rPr>
        <w:t xml:space="preserve">Efter parenteral administration falder plasmaniveauerne med en halveringstid på ca. 2 timer. </w:t>
      </w:r>
    </w:p>
    <w:p w14:paraId="529BEC38" w14:textId="77777777" w:rsidR="00D225E3" w:rsidRPr="00D225E3" w:rsidRDefault="00D225E3" w:rsidP="00D225E3">
      <w:pPr>
        <w:tabs>
          <w:tab w:val="left" w:pos="851"/>
        </w:tabs>
        <w:ind w:left="851"/>
        <w:rPr>
          <w:sz w:val="24"/>
          <w:szCs w:val="24"/>
        </w:rPr>
      </w:pPr>
      <w:r w:rsidRPr="00D225E3">
        <w:rPr>
          <w:sz w:val="24"/>
          <w:szCs w:val="24"/>
        </w:rPr>
        <w:t xml:space="preserve">Ceftazidim udskilles uomdannet i urinen ved glomerulær filtration; ca. 80-90 % af dosis genfindes i urinen i løbet af 24 timer. Mindre end 1 % udskilles via galden. </w:t>
      </w:r>
    </w:p>
    <w:p w14:paraId="42C209EB" w14:textId="77777777" w:rsidR="00D225E3" w:rsidRPr="00D225E3" w:rsidRDefault="00D225E3" w:rsidP="00D225E3">
      <w:pPr>
        <w:tabs>
          <w:tab w:val="left" w:pos="851"/>
        </w:tabs>
        <w:ind w:left="851"/>
        <w:rPr>
          <w:sz w:val="24"/>
          <w:szCs w:val="24"/>
          <w:u w:val="single"/>
        </w:rPr>
      </w:pPr>
    </w:p>
    <w:p w14:paraId="29035397" w14:textId="77777777" w:rsidR="00D225E3" w:rsidRPr="00D225E3" w:rsidRDefault="00D225E3" w:rsidP="00D225E3">
      <w:pPr>
        <w:tabs>
          <w:tab w:val="left" w:pos="851"/>
        </w:tabs>
        <w:ind w:left="851"/>
        <w:rPr>
          <w:sz w:val="24"/>
          <w:szCs w:val="24"/>
        </w:rPr>
      </w:pPr>
      <w:r w:rsidRPr="00D225E3">
        <w:rPr>
          <w:sz w:val="24"/>
          <w:szCs w:val="24"/>
          <w:u w:val="single"/>
        </w:rPr>
        <w:t xml:space="preserve">Særlige patientpopulationer </w:t>
      </w:r>
    </w:p>
    <w:p w14:paraId="7FAA8BD0" w14:textId="77777777" w:rsidR="00D225E3" w:rsidRPr="00D225E3" w:rsidRDefault="00D225E3" w:rsidP="00D225E3">
      <w:pPr>
        <w:tabs>
          <w:tab w:val="left" w:pos="851"/>
        </w:tabs>
        <w:ind w:left="851"/>
        <w:rPr>
          <w:i/>
          <w:iCs/>
          <w:sz w:val="24"/>
          <w:szCs w:val="24"/>
        </w:rPr>
      </w:pPr>
    </w:p>
    <w:p w14:paraId="4CC2A119" w14:textId="77777777" w:rsidR="00D225E3" w:rsidRPr="00D225E3" w:rsidRDefault="00D225E3" w:rsidP="00D225E3">
      <w:pPr>
        <w:tabs>
          <w:tab w:val="left" w:pos="851"/>
        </w:tabs>
        <w:ind w:left="851"/>
        <w:rPr>
          <w:sz w:val="24"/>
          <w:szCs w:val="24"/>
        </w:rPr>
      </w:pPr>
      <w:r w:rsidRPr="00D225E3">
        <w:rPr>
          <w:i/>
          <w:iCs/>
          <w:sz w:val="24"/>
          <w:szCs w:val="24"/>
        </w:rPr>
        <w:t xml:space="preserve">Nedsat nyrefunktion </w:t>
      </w:r>
    </w:p>
    <w:p w14:paraId="61AB23B5" w14:textId="77777777" w:rsidR="00D225E3" w:rsidRPr="00D225E3" w:rsidRDefault="00D225E3" w:rsidP="00D225E3">
      <w:pPr>
        <w:tabs>
          <w:tab w:val="left" w:pos="851"/>
        </w:tabs>
        <w:ind w:left="851"/>
        <w:rPr>
          <w:sz w:val="24"/>
          <w:szCs w:val="24"/>
        </w:rPr>
      </w:pPr>
      <w:r w:rsidRPr="00D225E3">
        <w:rPr>
          <w:sz w:val="24"/>
          <w:szCs w:val="24"/>
        </w:rPr>
        <w:t xml:space="preserve">Eliminationen af ceftazidim er nedsat hos patienter med nedsat nyrefunktion, og dosis skal reduceres (se pkt. 4.2). </w:t>
      </w:r>
    </w:p>
    <w:p w14:paraId="7D85B89B" w14:textId="77777777" w:rsidR="00D225E3" w:rsidRPr="00D225E3" w:rsidRDefault="00D225E3" w:rsidP="00D225E3">
      <w:pPr>
        <w:tabs>
          <w:tab w:val="left" w:pos="851"/>
        </w:tabs>
        <w:ind w:left="851"/>
        <w:rPr>
          <w:i/>
          <w:iCs/>
          <w:sz w:val="24"/>
          <w:szCs w:val="24"/>
        </w:rPr>
      </w:pPr>
    </w:p>
    <w:p w14:paraId="0E081B0E" w14:textId="77777777" w:rsidR="00D225E3" w:rsidRPr="00D225E3" w:rsidRDefault="00D225E3" w:rsidP="00D225E3">
      <w:pPr>
        <w:tabs>
          <w:tab w:val="left" w:pos="851"/>
        </w:tabs>
        <w:ind w:left="851"/>
        <w:rPr>
          <w:sz w:val="24"/>
          <w:szCs w:val="24"/>
        </w:rPr>
      </w:pPr>
      <w:r w:rsidRPr="00D225E3">
        <w:rPr>
          <w:i/>
          <w:iCs/>
          <w:sz w:val="24"/>
          <w:szCs w:val="24"/>
        </w:rPr>
        <w:t xml:space="preserve">Nedsat leverfunktion </w:t>
      </w:r>
    </w:p>
    <w:p w14:paraId="6802AE97" w14:textId="77777777" w:rsidR="00D225E3" w:rsidRPr="00D225E3" w:rsidRDefault="00D225E3" w:rsidP="00D225E3">
      <w:pPr>
        <w:tabs>
          <w:tab w:val="left" w:pos="851"/>
        </w:tabs>
        <w:ind w:left="851"/>
        <w:rPr>
          <w:sz w:val="24"/>
          <w:szCs w:val="24"/>
        </w:rPr>
      </w:pPr>
      <w:r w:rsidRPr="00D225E3">
        <w:rPr>
          <w:sz w:val="24"/>
          <w:szCs w:val="24"/>
        </w:rPr>
        <w:t xml:space="preserve">Tilstedeværelse af let til moderat nedsat leverfunktion havde ingen virkning på farmakokinetikken af ceftazidim hos personer, der fik 2 g intravenøst hver 8. time i 5 dage, forudsat at nyrefunktionen ikke var nedsat (se pkt. 4.2). </w:t>
      </w:r>
    </w:p>
    <w:p w14:paraId="49F0D423" w14:textId="77777777" w:rsidR="00D225E3" w:rsidRPr="00D225E3" w:rsidRDefault="00D225E3" w:rsidP="00D225E3">
      <w:pPr>
        <w:tabs>
          <w:tab w:val="left" w:pos="851"/>
        </w:tabs>
        <w:ind w:left="851"/>
        <w:rPr>
          <w:i/>
          <w:iCs/>
          <w:sz w:val="24"/>
          <w:szCs w:val="24"/>
        </w:rPr>
      </w:pPr>
    </w:p>
    <w:p w14:paraId="3707112A" w14:textId="77777777" w:rsidR="00D225E3" w:rsidRPr="00D225E3" w:rsidRDefault="00D225E3" w:rsidP="00D225E3">
      <w:pPr>
        <w:tabs>
          <w:tab w:val="left" w:pos="851"/>
        </w:tabs>
        <w:ind w:left="851"/>
        <w:rPr>
          <w:sz w:val="24"/>
          <w:szCs w:val="24"/>
        </w:rPr>
      </w:pPr>
      <w:r w:rsidRPr="00D225E3">
        <w:rPr>
          <w:i/>
          <w:iCs/>
          <w:sz w:val="24"/>
          <w:szCs w:val="24"/>
        </w:rPr>
        <w:t>Ældre</w:t>
      </w:r>
    </w:p>
    <w:p w14:paraId="252A58EB" w14:textId="77777777" w:rsidR="00D225E3" w:rsidRPr="00D225E3" w:rsidRDefault="00D225E3" w:rsidP="00D225E3">
      <w:pPr>
        <w:tabs>
          <w:tab w:val="left" w:pos="851"/>
        </w:tabs>
        <w:ind w:left="851"/>
        <w:rPr>
          <w:sz w:val="24"/>
          <w:szCs w:val="24"/>
        </w:rPr>
      </w:pPr>
      <w:r w:rsidRPr="00D225E3">
        <w:rPr>
          <w:sz w:val="24"/>
          <w:szCs w:val="24"/>
        </w:rPr>
        <w:t xml:space="preserve">Den nedsatte clearance, der observeres hos ældre patienter, skyldtes primært et aldersrelateret fald i den renale clearance af ceftazidim. Den gennemsnitlige eliminationshalveringstid var i intervallet fra 3,5 til 4 timer efter en enkelt dosis eller efter gentagen dosering af 2 g 2 gange dagligt som intravenøse bolusinjektioner i 7 dage hos ældre patienter på 80 år eller derover. </w:t>
      </w:r>
    </w:p>
    <w:p w14:paraId="64A1EEFC" w14:textId="77777777" w:rsidR="00D225E3" w:rsidRPr="00D225E3" w:rsidRDefault="00D225E3" w:rsidP="00D225E3">
      <w:pPr>
        <w:tabs>
          <w:tab w:val="left" w:pos="851"/>
        </w:tabs>
        <w:ind w:left="851"/>
        <w:rPr>
          <w:i/>
          <w:iCs/>
          <w:sz w:val="24"/>
          <w:szCs w:val="24"/>
        </w:rPr>
      </w:pPr>
    </w:p>
    <w:p w14:paraId="335A1B8E" w14:textId="77777777" w:rsidR="00D225E3" w:rsidRPr="00D225E3" w:rsidRDefault="00D225E3" w:rsidP="00D225E3">
      <w:pPr>
        <w:tabs>
          <w:tab w:val="left" w:pos="851"/>
        </w:tabs>
        <w:ind w:left="851"/>
        <w:rPr>
          <w:sz w:val="24"/>
          <w:szCs w:val="24"/>
        </w:rPr>
      </w:pPr>
      <w:r w:rsidRPr="00D225E3">
        <w:rPr>
          <w:i/>
          <w:iCs/>
          <w:sz w:val="24"/>
          <w:szCs w:val="24"/>
        </w:rPr>
        <w:t xml:space="preserve">Pædiatrisk population  </w:t>
      </w:r>
    </w:p>
    <w:p w14:paraId="22DFE08B" w14:textId="77777777" w:rsidR="00D225E3" w:rsidRPr="00D225E3" w:rsidRDefault="00D225E3" w:rsidP="00D225E3">
      <w:pPr>
        <w:tabs>
          <w:tab w:val="left" w:pos="851"/>
        </w:tabs>
        <w:ind w:left="851"/>
        <w:rPr>
          <w:b/>
          <w:sz w:val="24"/>
          <w:szCs w:val="24"/>
        </w:rPr>
      </w:pPr>
      <w:r w:rsidRPr="00D225E3">
        <w:rPr>
          <w:sz w:val="24"/>
          <w:szCs w:val="24"/>
        </w:rPr>
        <w:t>Halveringstiden af ceftazidim er forlænget hos spædbørn, der er født før eller til terminen, med 4,5 til 7,5 timer efter doser på 25 til 30 mg/kg. Når spædbørn er blevet 2 måneder gamle ligger halveringstiden dog inden for intervallet hos voksne.</w:t>
      </w:r>
    </w:p>
    <w:p w14:paraId="01B5F2B1" w14:textId="77777777" w:rsidR="00D225E3" w:rsidRPr="00D225E3" w:rsidRDefault="00D225E3" w:rsidP="00D225E3">
      <w:pPr>
        <w:tabs>
          <w:tab w:val="left" w:pos="851"/>
        </w:tabs>
        <w:ind w:left="851"/>
        <w:rPr>
          <w:sz w:val="24"/>
          <w:szCs w:val="24"/>
        </w:rPr>
      </w:pPr>
    </w:p>
    <w:p w14:paraId="342CD24C"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B0BA22F" w14:textId="77777777" w:rsidR="00E67F23" w:rsidRPr="00E67F23" w:rsidRDefault="00E67F23" w:rsidP="00E67F23">
      <w:pPr>
        <w:tabs>
          <w:tab w:val="left" w:pos="851"/>
        </w:tabs>
        <w:ind w:left="851"/>
        <w:rPr>
          <w:sz w:val="24"/>
          <w:szCs w:val="24"/>
        </w:rPr>
      </w:pPr>
      <w:r w:rsidRPr="00E67F23">
        <w:rPr>
          <w:sz w:val="24"/>
          <w:szCs w:val="24"/>
        </w:rPr>
        <w:t>Non-kliniske data viser ingen speciel risiko for mennesker vurderet ud fra konventionelle studier af sikkerhedsfarmakologi, toksicitet efter gentagne doser, genotoksicitet og reproduktionstoksicitet. Der er ikke udført studier, hvor karcinogeniciteten af ceftazidim er blevet undersøgt.</w:t>
      </w:r>
    </w:p>
    <w:p w14:paraId="48071A85" w14:textId="77777777" w:rsidR="009260DE" w:rsidRPr="00C84483" w:rsidRDefault="009260DE" w:rsidP="009260DE">
      <w:pPr>
        <w:tabs>
          <w:tab w:val="left" w:pos="851"/>
        </w:tabs>
        <w:ind w:left="851"/>
        <w:rPr>
          <w:sz w:val="24"/>
          <w:szCs w:val="24"/>
        </w:rPr>
      </w:pPr>
    </w:p>
    <w:p w14:paraId="53912EEA" w14:textId="77777777" w:rsidR="009260DE" w:rsidRPr="00C84483" w:rsidRDefault="009260DE" w:rsidP="009260DE">
      <w:pPr>
        <w:tabs>
          <w:tab w:val="left" w:pos="851"/>
        </w:tabs>
        <w:ind w:left="851"/>
        <w:rPr>
          <w:sz w:val="24"/>
          <w:szCs w:val="24"/>
        </w:rPr>
      </w:pPr>
    </w:p>
    <w:p w14:paraId="03C1B59B"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960B2AE" w14:textId="77777777" w:rsidR="009260DE" w:rsidRPr="00BA09F1" w:rsidRDefault="009260DE" w:rsidP="009260DE">
      <w:pPr>
        <w:tabs>
          <w:tab w:val="left" w:pos="851"/>
        </w:tabs>
        <w:ind w:left="851"/>
        <w:rPr>
          <w:sz w:val="24"/>
          <w:szCs w:val="24"/>
        </w:rPr>
      </w:pPr>
    </w:p>
    <w:p w14:paraId="4DB39FF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8474F18" w14:textId="77777777" w:rsidR="00F702C8" w:rsidRPr="00F702C8" w:rsidRDefault="00F702C8" w:rsidP="00F702C8">
      <w:pPr>
        <w:tabs>
          <w:tab w:val="left" w:pos="851"/>
        </w:tabs>
        <w:ind w:left="851"/>
        <w:rPr>
          <w:sz w:val="24"/>
          <w:szCs w:val="24"/>
        </w:rPr>
      </w:pPr>
      <w:r w:rsidRPr="00F702C8">
        <w:rPr>
          <w:sz w:val="24"/>
          <w:szCs w:val="24"/>
        </w:rPr>
        <w:t>Natriumcarbonat</w:t>
      </w:r>
    </w:p>
    <w:p w14:paraId="24C8F812" w14:textId="77777777" w:rsidR="009260DE" w:rsidRPr="00C84483" w:rsidRDefault="009260DE" w:rsidP="009260DE">
      <w:pPr>
        <w:tabs>
          <w:tab w:val="left" w:pos="851"/>
        </w:tabs>
        <w:ind w:left="851"/>
        <w:rPr>
          <w:sz w:val="24"/>
          <w:szCs w:val="24"/>
        </w:rPr>
      </w:pPr>
    </w:p>
    <w:p w14:paraId="4CE19EFC"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C6D9325" w14:textId="77777777" w:rsidR="00F702C8" w:rsidRPr="00F702C8" w:rsidRDefault="00F702C8" w:rsidP="00F702C8">
      <w:pPr>
        <w:tabs>
          <w:tab w:val="left" w:pos="851"/>
        </w:tabs>
        <w:ind w:left="851"/>
        <w:rPr>
          <w:bCs/>
          <w:sz w:val="24"/>
          <w:szCs w:val="24"/>
        </w:rPr>
      </w:pPr>
      <w:r w:rsidRPr="00F702C8">
        <w:rPr>
          <w:bCs/>
          <w:sz w:val="24"/>
          <w:szCs w:val="24"/>
        </w:rPr>
        <w:t>Ceftazidim er mindre stabilt i en opløsning med natriumhydrogencarbonat end i andre væsker til intravenøs anvendelse.  Det anbefales ikke som fortyndingsmiddel.</w:t>
      </w:r>
    </w:p>
    <w:p w14:paraId="52B2C34A" w14:textId="77777777" w:rsidR="00F702C8" w:rsidRPr="00F702C8" w:rsidRDefault="00F702C8" w:rsidP="00F702C8">
      <w:pPr>
        <w:tabs>
          <w:tab w:val="left" w:pos="851"/>
        </w:tabs>
        <w:ind w:left="851"/>
        <w:rPr>
          <w:bCs/>
          <w:sz w:val="24"/>
          <w:szCs w:val="24"/>
        </w:rPr>
      </w:pPr>
    </w:p>
    <w:p w14:paraId="2EFAC759" w14:textId="77777777" w:rsidR="00F702C8" w:rsidRPr="00F702C8" w:rsidRDefault="00F702C8" w:rsidP="00F702C8">
      <w:pPr>
        <w:tabs>
          <w:tab w:val="left" w:pos="851"/>
        </w:tabs>
        <w:ind w:left="851"/>
        <w:rPr>
          <w:sz w:val="24"/>
          <w:szCs w:val="24"/>
        </w:rPr>
      </w:pPr>
      <w:r w:rsidRPr="00F702C8">
        <w:rPr>
          <w:sz w:val="24"/>
          <w:szCs w:val="24"/>
        </w:rPr>
        <w:t xml:space="preserve">Ceftazidim og aminoglycosider må ikke blandes i samme infusionssæt eller sprøjte. Der er rapporteret om udfældning ved tilførsel af vancomycin til en opløsning med ceftazidim. Det anbefales, at infusionssæt og katetre til intravenøs adgang gennemskylles mellem administrationen af disse to lægemidler. </w:t>
      </w:r>
    </w:p>
    <w:p w14:paraId="4EEB71E8" w14:textId="77777777" w:rsidR="009260DE" w:rsidRPr="00C84483" w:rsidRDefault="009260DE" w:rsidP="009260DE">
      <w:pPr>
        <w:tabs>
          <w:tab w:val="left" w:pos="851"/>
        </w:tabs>
        <w:ind w:left="851"/>
        <w:rPr>
          <w:sz w:val="24"/>
          <w:szCs w:val="24"/>
        </w:rPr>
      </w:pPr>
    </w:p>
    <w:p w14:paraId="397DAAE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04469F5" w14:textId="0BEB1740" w:rsidR="00F702C8" w:rsidRPr="00F702C8" w:rsidRDefault="00F702C8" w:rsidP="00F702C8">
      <w:pPr>
        <w:tabs>
          <w:tab w:val="left" w:pos="851"/>
        </w:tabs>
        <w:ind w:left="851"/>
        <w:rPr>
          <w:sz w:val="24"/>
          <w:szCs w:val="24"/>
        </w:rPr>
      </w:pPr>
      <w:r w:rsidRPr="00F702C8">
        <w:rPr>
          <w:sz w:val="24"/>
          <w:szCs w:val="24"/>
        </w:rPr>
        <w:t>Uåbnede hætteglas: 2 år</w:t>
      </w:r>
      <w:r>
        <w:rPr>
          <w:sz w:val="24"/>
          <w:szCs w:val="24"/>
        </w:rPr>
        <w:t>.</w:t>
      </w:r>
    </w:p>
    <w:p w14:paraId="5BA18883" w14:textId="77777777" w:rsidR="00F702C8" w:rsidRPr="00F702C8" w:rsidRDefault="00F702C8" w:rsidP="00F702C8">
      <w:pPr>
        <w:tabs>
          <w:tab w:val="left" w:pos="851"/>
        </w:tabs>
        <w:ind w:left="851"/>
        <w:rPr>
          <w:sz w:val="24"/>
          <w:szCs w:val="24"/>
        </w:rPr>
      </w:pPr>
    </w:p>
    <w:p w14:paraId="5EFEDF62" w14:textId="77777777" w:rsidR="00F702C8" w:rsidRPr="00F702C8" w:rsidRDefault="00F702C8" w:rsidP="00F702C8">
      <w:pPr>
        <w:tabs>
          <w:tab w:val="left" w:pos="851"/>
        </w:tabs>
        <w:ind w:left="851"/>
        <w:rPr>
          <w:sz w:val="24"/>
          <w:szCs w:val="24"/>
          <w:u w:val="single"/>
        </w:rPr>
      </w:pPr>
      <w:r w:rsidRPr="00F702C8">
        <w:rPr>
          <w:sz w:val="24"/>
          <w:szCs w:val="24"/>
          <w:u w:val="single"/>
        </w:rPr>
        <w:t xml:space="preserve">Efter rekonstitution og fortynding </w:t>
      </w:r>
    </w:p>
    <w:p w14:paraId="72CC9A00" w14:textId="77777777" w:rsidR="00F702C8" w:rsidRPr="00F702C8" w:rsidRDefault="00F702C8" w:rsidP="00F702C8">
      <w:pPr>
        <w:tabs>
          <w:tab w:val="left" w:pos="851"/>
        </w:tabs>
        <w:ind w:left="851"/>
        <w:rPr>
          <w:sz w:val="24"/>
          <w:szCs w:val="24"/>
        </w:rPr>
      </w:pPr>
      <w:bookmarkStart w:id="1" w:name="_Hlk180596751"/>
      <w:r w:rsidRPr="00F702C8">
        <w:rPr>
          <w:sz w:val="24"/>
          <w:szCs w:val="24"/>
        </w:rPr>
        <w:t xml:space="preserve">Den kemiske og fysiske stabilitet under brug er påvist </w:t>
      </w:r>
      <w:bookmarkEnd w:id="1"/>
      <w:r w:rsidRPr="00F702C8">
        <w:rPr>
          <w:sz w:val="24"/>
          <w:szCs w:val="24"/>
        </w:rPr>
        <w:t xml:space="preserve">i 3 timer ved 25 °C og i 24 timer ved 2-8 °C. De rekonstituerede og fortyndede præparater behøver ikke at blive beskyttet mod lys. </w:t>
      </w:r>
    </w:p>
    <w:p w14:paraId="2E3CE551" w14:textId="77777777" w:rsidR="00F702C8" w:rsidRPr="00F702C8" w:rsidRDefault="00F702C8" w:rsidP="00F702C8">
      <w:pPr>
        <w:tabs>
          <w:tab w:val="left" w:pos="851"/>
        </w:tabs>
        <w:ind w:left="851"/>
        <w:rPr>
          <w:sz w:val="24"/>
          <w:szCs w:val="24"/>
        </w:rPr>
      </w:pPr>
    </w:p>
    <w:p w14:paraId="71361CE1" w14:textId="77777777" w:rsidR="00F702C8" w:rsidRPr="00F702C8" w:rsidRDefault="00F702C8" w:rsidP="00F702C8">
      <w:pPr>
        <w:tabs>
          <w:tab w:val="left" w:pos="851"/>
        </w:tabs>
        <w:ind w:left="851"/>
        <w:rPr>
          <w:sz w:val="24"/>
          <w:szCs w:val="24"/>
        </w:rPr>
      </w:pPr>
      <w:r w:rsidRPr="00F702C8">
        <w:rPr>
          <w:sz w:val="24"/>
          <w:szCs w:val="24"/>
        </w:rPr>
        <w:t xml:space="preserve">Ud fra et mikrobiologisk synspunkt skal præparatet anvendes med det samme, medmindre rekonstitutions- og fortyndingsmetoden udelukker en risiko for kontaminering. </w:t>
      </w:r>
    </w:p>
    <w:p w14:paraId="43FED661" w14:textId="77777777" w:rsidR="00F702C8" w:rsidRPr="00F702C8" w:rsidRDefault="00F702C8" w:rsidP="00F702C8">
      <w:pPr>
        <w:tabs>
          <w:tab w:val="left" w:pos="851"/>
        </w:tabs>
        <w:ind w:left="851"/>
        <w:rPr>
          <w:sz w:val="24"/>
          <w:szCs w:val="24"/>
        </w:rPr>
      </w:pPr>
      <w:bookmarkStart w:id="2" w:name="_Hlk180707971"/>
      <w:r w:rsidRPr="00F702C8">
        <w:rPr>
          <w:sz w:val="24"/>
          <w:szCs w:val="24"/>
        </w:rPr>
        <w:t>Hvis det ikke anvendes med det samme, er opbevaringstiden og -betingelserne under brug brugerens ansvar.</w:t>
      </w:r>
      <w:bookmarkEnd w:id="2"/>
    </w:p>
    <w:p w14:paraId="3D238D8B" w14:textId="77777777" w:rsidR="009260DE" w:rsidRPr="00C84483" w:rsidRDefault="009260DE" w:rsidP="009260DE">
      <w:pPr>
        <w:tabs>
          <w:tab w:val="left" w:pos="851"/>
        </w:tabs>
        <w:ind w:left="851"/>
        <w:rPr>
          <w:sz w:val="24"/>
          <w:szCs w:val="24"/>
        </w:rPr>
      </w:pPr>
    </w:p>
    <w:p w14:paraId="17F9DA9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421542D" w14:textId="77777777" w:rsidR="00F702C8" w:rsidRPr="00F702C8" w:rsidRDefault="00F702C8" w:rsidP="00F702C8">
      <w:pPr>
        <w:tabs>
          <w:tab w:val="left" w:pos="851"/>
        </w:tabs>
        <w:ind w:left="851"/>
        <w:rPr>
          <w:sz w:val="24"/>
          <w:szCs w:val="24"/>
        </w:rPr>
      </w:pPr>
      <w:r w:rsidRPr="00F702C8">
        <w:rPr>
          <w:sz w:val="24"/>
          <w:szCs w:val="24"/>
        </w:rPr>
        <w:t xml:space="preserve">Der er ingen særlige krav vedrørende opbevaringstemperaturer for dette lægemiddel. </w:t>
      </w:r>
      <w:bookmarkStart w:id="3" w:name="_Hlk180708025"/>
      <w:r w:rsidRPr="00F702C8">
        <w:rPr>
          <w:sz w:val="24"/>
          <w:szCs w:val="24"/>
        </w:rPr>
        <w:t>Opbevar hætteglasset i den ydre æske for at beskytte mod lys</w:t>
      </w:r>
      <w:bookmarkEnd w:id="3"/>
      <w:r w:rsidRPr="00F702C8">
        <w:rPr>
          <w:sz w:val="24"/>
          <w:szCs w:val="24"/>
        </w:rPr>
        <w:t>.</w:t>
      </w:r>
    </w:p>
    <w:p w14:paraId="4DA72793" w14:textId="77777777" w:rsidR="00F702C8" w:rsidRPr="00F702C8" w:rsidRDefault="00F702C8" w:rsidP="00F702C8">
      <w:pPr>
        <w:tabs>
          <w:tab w:val="left" w:pos="851"/>
        </w:tabs>
        <w:ind w:left="851"/>
        <w:rPr>
          <w:sz w:val="24"/>
          <w:szCs w:val="24"/>
        </w:rPr>
      </w:pPr>
    </w:p>
    <w:p w14:paraId="20A61B74" w14:textId="14BA2A43" w:rsidR="00F702C8" w:rsidRPr="00F702C8" w:rsidRDefault="00F702C8" w:rsidP="00F702C8">
      <w:pPr>
        <w:tabs>
          <w:tab w:val="left" w:pos="851"/>
        </w:tabs>
        <w:ind w:left="851"/>
        <w:rPr>
          <w:sz w:val="24"/>
          <w:szCs w:val="24"/>
        </w:rPr>
      </w:pPr>
      <w:r w:rsidRPr="00F702C8">
        <w:rPr>
          <w:sz w:val="24"/>
          <w:szCs w:val="24"/>
        </w:rPr>
        <w:t>Opbevaringsforhold efter rekonstitution/fortynding/anbrud af lægemidlet</w:t>
      </w:r>
      <w:r>
        <w:rPr>
          <w:sz w:val="24"/>
          <w:szCs w:val="24"/>
        </w:rPr>
        <w:t xml:space="preserve">: </w:t>
      </w:r>
      <w:r w:rsidR="00A52A1B">
        <w:rPr>
          <w:sz w:val="24"/>
          <w:szCs w:val="24"/>
        </w:rPr>
        <w:t>S</w:t>
      </w:r>
      <w:r w:rsidRPr="00F702C8">
        <w:rPr>
          <w:sz w:val="24"/>
          <w:szCs w:val="24"/>
        </w:rPr>
        <w:t>e pkt. 6.3.</w:t>
      </w:r>
    </w:p>
    <w:p w14:paraId="353D5BFC" w14:textId="77777777" w:rsidR="009260DE" w:rsidRPr="00C84483" w:rsidRDefault="009260DE" w:rsidP="009260DE">
      <w:pPr>
        <w:tabs>
          <w:tab w:val="left" w:pos="851"/>
        </w:tabs>
        <w:ind w:left="851"/>
        <w:rPr>
          <w:sz w:val="24"/>
          <w:szCs w:val="24"/>
        </w:rPr>
      </w:pPr>
    </w:p>
    <w:p w14:paraId="0DFEADD0"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67582FC" w14:textId="77777777" w:rsidR="00A52A1B" w:rsidRDefault="00A52A1B" w:rsidP="00A52A1B">
      <w:pPr>
        <w:tabs>
          <w:tab w:val="left" w:pos="851"/>
        </w:tabs>
        <w:ind w:left="851"/>
        <w:rPr>
          <w:sz w:val="24"/>
          <w:szCs w:val="24"/>
        </w:rPr>
      </w:pPr>
      <w:r w:rsidRPr="00A52A1B">
        <w:rPr>
          <w:sz w:val="24"/>
          <w:szCs w:val="24"/>
        </w:rPr>
        <w:t>Hætteglas af glas med prop af brombutylgummi og aluminiumsforsegling eller aluminiumsforsegling med blåt flip-off-låg af plastic.</w:t>
      </w:r>
    </w:p>
    <w:p w14:paraId="366D8490" w14:textId="77777777" w:rsidR="00A52A1B" w:rsidRDefault="00A52A1B" w:rsidP="00A52A1B">
      <w:pPr>
        <w:tabs>
          <w:tab w:val="left" w:pos="851"/>
        </w:tabs>
        <w:ind w:left="851"/>
        <w:rPr>
          <w:sz w:val="24"/>
          <w:szCs w:val="24"/>
        </w:rPr>
      </w:pPr>
    </w:p>
    <w:p w14:paraId="5CF206D4" w14:textId="5096FFCC" w:rsidR="00A52A1B" w:rsidRDefault="00A52A1B" w:rsidP="00A52A1B">
      <w:pPr>
        <w:tabs>
          <w:tab w:val="left" w:pos="851"/>
        </w:tabs>
        <w:ind w:left="851"/>
        <w:rPr>
          <w:sz w:val="24"/>
          <w:szCs w:val="24"/>
        </w:rPr>
      </w:pPr>
      <w:r>
        <w:rPr>
          <w:sz w:val="24"/>
          <w:szCs w:val="24"/>
        </w:rPr>
        <w:t xml:space="preserve">Pakningsstørrelser: </w:t>
      </w:r>
      <w:r w:rsidRPr="00A52A1B">
        <w:rPr>
          <w:sz w:val="24"/>
          <w:szCs w:val="24"/>
        </w:rPr>
        <w:t>10 hætteglas.</w:t>
      </w:r>
    </w:p>
    <w:p w14:paraId="4BE015B1" w14:textId="77777777" w:rsidR="00A52A1B" w:rsidRDefault="00A52A1B" w:rsidP="00A52A1B">
      <w:pPr>
        <w:tabs>
          <w:tab w:val="left" w:pos="851"/>
        </w:tabs>
        <w:ind w:left="851"/>
        <w:rPr>
          <w:sz w:val="24"/>
          <w:szCs w:val="24"/>
        </w:rPr>
      </w:pPr>
    </w:p>
    <w:p w14:paraId="4B380EBC" w14:textId="7DC02D4E" w:rsidR="00A52A1B" w:rsidRPr="00A52A1B" w:rsidRDefault="00A52A1B" w:rsidP="00A52A1B">
      <w:pPr>
        <w:tabs>
          <w:tab w:val="left" w:pos="851"/>
        </w:tabs>
        <w:ind w:left="851"/>
        <w:rPr>
          <w:sz w:val="24"/>
          <w:szCs w:val="24"/>
        </w:rPr>
      </w:pPr>
      <w:r>
        <w:rPr>
          <w:sz w:val="24"/>
          <w:szCs w:val="24"/>
        </w:rPr>
        <w:t>Ikke alle pakningsstørrelser er nødvendigvis markedsført.</w:t>
      </w:r>
    </w:p>
    <w:p w14:paraId="1425D988" w14:textId="77777777" w:rsidR="009260DE" w:rsidRPr="00C84483" w:rsidRDefault="009260DE" w:rsidP="009260DE">
      <w:pPr>
        <w:tabs>
          <w:tab w:val="left" w:pos="851"/>
        </w:tabs>
        <w:ind w:left="851"/>
        <w:rPr>
          <w:sz w:val="24"/>
          <w:szCs w:val="24"/>
        </w:rPr>
      </w:pPr>
    </w:p>
    <w:p w14:paraId="0B16E564"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654DB0C" w14:textId="77777777" w:rsidR="00582CB2" w:rsidRPr="00582CB2" w:rsidRDefault="00582CB2" w:rsidP="00582CB2">
      <w:pPr>
        <w:pStyle w:val="Default"/>
        <w:ind w:left="851"/>
        <w:rPr>
          <w:color w:val="auto"/>
          <w:lang w:val="da-DK"/>
        </w:rPr>
      </w:pPr>
      <w:r w:rsidRPr="00582CB2">
        <w:rPr>
          <w:color w:val="auto"/>
          <w:lang w:val="da-DK"/>
        </w:rPr>
        <w:t xml:space="preserve">Hætteglas med Ceftazidim "Hameln" leveres under nedsat tryk. Efterhånden som præparatet opløses, frigøres der kuldioxid, og der udvikles et overtryk. Små bobler af kuldioxid i den rekonstituerede opløsning kan ignoreres. </w:t>
      </w:r>
    </w:p>
    <w:p w14:paraId="4064338D" w14:textId="77777777" w:rsidR="00582CB2" w:rsidRPr="00582CB2" w:rsidRDefault="00582CB2" w:rsidP="00582CB2">
      <w:pPr>
        <w:pStyle w:val="Default"/>
        <w:ind w:left="851"/>
        <w:rPr>
          <w:color w:val="auto"/>
          <w:u w:val="single"/>
          <w:lang w:val="da-DK"/>
        </w:rPr>
      </w:pPr>
    </w:p>
    <w:p w14:paraId="5F1A7A0B" w14:textId="77777777" w:rsidR="00582CB2" w:rsidRPr="00582CB2" w:rsidRDefault="00582CB2" w:rsidP="00582CB2">
      <w:pPr>
        <w:pStyle w:val="Default"/>
        <w:ind w:left="851"/>
        <w:rPr>
          <w:color w:val="auto"/>
          <w:lang w:val="da-DK"/>
        </w:rPr>
      </w:pPr>
      <w:r w:rsidRPr="00582CB2">
        <w:rPr>
          <w:color w:val="auto"/>
          <w:u w:val="single"/>
          <w:lang w:val="da-DK"/>
        </w:rPr>
        <w:t xml:space="preserve">Vejledning i rekonstitution/fortynding </w:t>
      </w:r>
    </w:p>
    <w:p w14:paraId="15C8DF53" w14:textId="77777777" w:rsidR="00582CB2" w:rsidRPr="00582CB2" w:rsidRDefault="00582CB2" w:rsidP="00582CB2">
      <w:pPr>
        <w:pStyle w:val="Brdtekst2"/>
        <w:spacing w:line="240" w:lineRule="auto"/>
        <w:ind w:left="851"/>
        <w:rPr>
          <w:color w:val="auto"/>
          <w:szCs w:val="24"/>
          <w:lang w:val="da-DK"/>
        </w:rPr>
      </w:pPr>
      <w:r w:rsidRPr="00582CB2">
        <w:rPr>
          <w:color w:val="auto"/>
          <w:szCs w:val="24"/>
          <w:lang w:val="da-DK"/>
        </w:rPr>
        <w:t>Se tabellen over volumener og koncentrationer af opløsningen, hvilket kan være nyttigt, hvis der er behov for fraktionsdoser.</w:t>
      </w:r>
    </w:p>
    <w:p w14:paraId="562C3922" w14:textId="77777777" w:rsidR="00582CB2" w:rsidRDefault="00582CB2" w:rsidP="00582CB2">
      <w:pPr>
        <w:autoSpaceDE w:val="0"/>
        <w:autoSpaceDN w:val="0"/>
        <w:adjustRightInd w:val="0"/>
        <w:rPr>
          <w:sz w:val="22"/>
          <w:szCs w:val="22"/>
        </w:rPr>
      </w:pPr>
    </w:p>
    <w:tbl>
      <w:tblPr>
        <w:tblW w:w="928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699"/>
        <w:gridCol w:w="2519"/>
        <w:gridCol w:w="2159"/>
      </w:tblGrid>
      <w:tr w:rsidR="00582CB2" w14:paraId="0DB561D2" w14:textId="77777777" w:rsidTr="00582CB2">
        <w:trPr>
          <w:trHeight w:val="397"/>
        </w:trPr>
        <w:tc>
          <w:tcPr>
            <w:tcW w:w="1908" w:type="dxa"/>
            <w:tcBorders>
              <w:top w:val="single" w:sz="4" w:space="0" w:color="auto"/>
              <w:left w:val="single" w:sz="4" w:space="0" w:color="auto"/>
              <w:bottom w:val="single" w:sz="4" w:space="0" w:color="auto"/>
              <w:right w:val="single" w:sz="4" w:space="0" w:color="auto"/>
            </w:tcBorders>
            <w:vAlign w:val="center"/>
            <w:hideMark/>
          </w:tcPr>
          <w:p w14:paraId="7998C037" w14:textId="77777777" w:rsidR="00582CB2" w:rsidRDefault="00582CB2">
            <w:pPr>
              <w:pStyle w:val="Default"/>
              <w:keepNext/>
              <w:jc w:val="center"/>
              <w:rPr>
                <w:color w:val="auto"/>
                <w:sz w:val="22"/>
                <w:szCs w:val="22"/>
                <w:lang w:val="da-DK"/>
              </w:rPr>
            </w:pPr>
            <w:r>
              <w:rPr>
                <w:color w:val="auto"/>
                <w:sz w:val="22"/>
                <w:szCs w:val="22"/>
                <w:lang w:val="da-DK"/>
              </w:rPr>
              <w:t>Præsentation</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412E946" w14:textId="77777777" w:rsidR="00582CB2" w:rsidRDefault="00582CB2">
            <w:pPr>
              <w:pStyle w:val="Default"/>
              <w:keepNext/>
              <w:ind w:hanging="108"/>
              <w:jc w:val="center"/>
              <w:rPr>
                <w:color w:val="auto"/>
                <w:sz w:val="22"/>
                <w:szCs w:val="22"/>
                <w:lang w:val="da-DK"/>
              </w:rPr>
            </w:pPr>
            <w:r>
              <w:rPr>
                <w:color w:val="auto"/>
                <w:sz w:val="22"/>
                <w:szCs w:val="22"/>
                <w:lang w:val="da-DK"/>
              </w:rPr>
              <w:t>Administrationsvej</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48C26D5" w14:textId="77777777" w:rsidR="00582CB2" w:rsidRDefault="00582CB2">
            <w:pPr>
              <w:pStyle w:val="Default"/>
              <w:keepNext/>
              <w:jc w:val="center"/>
              <w:rPr>
                <w:color w:val="auto"/>
                <w:sz w:val="22"/>
                <w:szCs w:val="22"/>
                <w:lang w:val="da-DK"/>
              </w:rPr>
            </w:pPr>
            <w:r>
              <w:rPr>
                <w:color w:val="auto"/>
                <w:sz w:val="22"/>
                <w:szCs w:val="22"/>
                <w:lang w:val="da-DK"/>
              </w:rPr>
              <w:t xml:space="preserve">Mængde diluens, der skal tilsættes [ml]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FBA6B5B" w14:textId="77777777" w:rsidR="00582CB2" w:rsidRDefault="00582CB2">
            <w:pPr>
              <w:pStyle w:val="Default"/>
              <w:keepNext/>
              <w:jc w:val="center"/>
              <w:rPr>
                <w:color w:val="auto"/>
                <w:sz w:val="22"/>
                <w:szCs w:val="22"/>
                <w:lang w:val="da-DK"/>
              </w:rPr>
            </w:pPr>
            <w:r>
              <w:rPr>
                <w:color w:val="auto"/>
                <w:sz w:val="22"/>
                <w:szCs w:val="22"/>
                <w:lang w:val="da-DK"/>
              </w:rPr>
              <w:t>Omtrentlig koncentration af ceftazidim [mg/ml]</w:t>
            </w:r>
          </w:p>
        </w:tc>
      </w:tr>
      <w:tr w:rsidR="00582CB2" w14:paraId="75140ED6" w14:textId="77777777" w:rsidTr="00582CB2">
        <w:trPr>
          <w:trHeight w:val="205"/>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14:paraId="02766E04" w14:textId="77777777" w:rsidR="00582CB2" w:rsidRDefault="00582CB2">
            <w:pPr>
              <w:pStyle w:val="Default"/>
              <w:keepNext/>
              <w:jc w:val="center"/>
              <w:rPr>
                <w:color w:val="auto"/>
                <w:sz w:val="22"/>
                <w:szCs w:val="22"/>
                <w:lang w:val="da-DK"/>
              </w:rPr>
            </w:pPr>
            <w:r>
              <w:rPr>
                <w:color w:val="auto"/>
                <w:sz w:val="22"/>
                <w:szCs w:val="22"/>
                <w:lang w:val="da-DK"/>
              </w:rPr>
              <w:t>500 mg</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4672FD3" w14:textId="77777777" w:rsidR="00582CB2" w:rsidRDefault="00582CB2">
            <w:pPr>
              <w:pStyle w:val="Default"/>
              <w:rPr>
                <w:color w:val="auto"/>
                <w:sz w:val="22"/>
                <w:szCs w:val="22"/>
                <w:lang w:val="da-DK"/>
              </w:rPr>
            </w:pPr>
            <w:r>
              <w:rPr>
                <w:color w:val="auto"/>
                <w:sz w:val="22"/>
                <w:szCs w:val="22"/>
                <w:lang w:val="da-DK"/>
              </w:rPr>
              <w:t>intramuskulær injektion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5A2771D" w14:textId="77777777" w:rsidR="00582CB2" w:rsidRDefault="00582CB2">
            <w:pPr>
              <w:pStyle w:val="Default"/>
              <w:jc w:val="center"/>
              <w:rPr>
                <w:color w:val="auto"/>
                <w:sz w:val="22"/>
                <w:szCs w:val="22"/>
                <w:lang w:val="da-DK"/>
              </w:rPr>
            </w:pPr>
            <w:r>
              <w:rPr>
                <w:color w:val="auto"/>
                <w:sz w:val="22"/>
                <w:szCs w:val="22"/>
                <w:lang w:val="da-DK"/>
              </w:rPr>
              <w:t xml:space="preserve">1,5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4C06CA0" w14:textId="77777777" w:rsidR="00582CB2" w:rsidRDefault="00582CB2">
            <w:pPr>
              <w:pStyle w:val="Default"/>
              <w:jc w:val="center"/>
              <w:rPr>
                <w:color w:val="auto"/>
                <w:sz w:val="22"/>
                <w:szCs w:val="22"/>
                <w:lang w:val="da-DK"/>
              </w:rPr>
            </w:pPr>
            <w:r>
              <w:rPr>
                <w:color w:val="auto"/>
                <w:sz w:val="22"/>
                <w:szCs w:val="22"/>
                <w:lang w:val="da-DK"/>
              </w:rPr>
              <w:t>260</w:t>
            </w:r>
          </w:p>
        </w:tc>
      </w:tr>
      <w:tr w:rsidR="00582CB2" w14:paraId="52D88547" w14:textId="77777777" w:rsidTr="00582CB2">
        <w:trPr>
          <w:trHeight w:val="205"/>
        </w:trPr>
        <w:tc>
          <w:tcPr>
            <w:tcW w:w="1908" w:type="dxa"/>
            <w:vMerge/>
            <w:tcBorders>
              <w:top w:val="single" w:sz="4" w:space="0" w:color="auto"/>
              <w:left w:val="single" w:sz="4" w:space="0" w:color="auto"/>
              <w:bottom w:val="single" w:sz="4" w:space="0" w:color="auto"/>
              <w:right w:val="single" w:sz="4" w:space="0" w:color="auto"/>
            </w:tcBorders>
            <w:vAlign w:val="center"/>
            <w:hideMark/>
          </w:tcPr>
          <w:p w14:paraId="1D8A2A58" w14:textId="77777777" w:rsidR="00582CB2" w:rsidRDefault="00582CB2">
            <w:pPr>
              <w:rPr>
                <w:sz w:val="22"/>
                <w:szCs w:val="22"/>
                <w:lang w:eastAsia="zh-CN"/>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58873C85" w14:textId="77777777" w:rsidR="00582CB2" w:rsidRDefault="00582CB2">
            <w:pPr>
              <w:pStyle w:val="Default"/>
              <w:rPr>
                <w:color w:val="auto"/>
                <w:sz w:val="22"/>
                <w:szCs w:val="22"/>
                <w:lang w:val="da-DK"/>
              </w:rPr>
            </w:pPr>
            <w:r>
              <w:rPr>
                <w:color w:val="auto"/>
                <w:sz w:val="22"/>
                <w:szCs w:val="22"/>
                <w:lang w:val="da-DK"/>
              </w:rPr>
              <w:t>intravenøs bolus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729B041" w14:textId="77777777" w:rsidR="00582CB2" w:rsidRDefault="00582CB2">
            <w:pPr>
              <w:pStyle w:val="Default"/>
              <w:jc w:val="center"/>
              <w:rPr>
                <w:color w:val="auto"/>
                <w:sz w:val="22"/>
                <w:szCs w:val="22"/>
                <w:lang w:val="da-DK"/>
              </w:rPr>
            </w:pPr>
            <w:r>
              <w:rPr>
                <w:color w:val="auto"/>
                <w:sz w:val="22"/>
                <w:szCs w:val="22"/>
                <w:lang w:val="da-DK"/>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5B83B4" w14:textId="77777777" w:rsidR="00582CB2" w:rsidRDefault="00582CB2">
            <w:pPr>
              <w:pStyle w:val="Default"/>
              <w:jc w:val="center"/>
              <w:rPr>
                <w:color w:val="auto"/>
                <w:sz w:val="22"/>
                <w:szCs w:val="22"/>
                <w:lang w:val="da-DK"/>
              </w:rPr>
            </w:pPr>
            <w:r>
              <w:rPr>
                <w:color w:val="auto"/>
                <w:sz w:val="22"/>
                <w:szCs w:val="22"/>
                <w:lang w:val="da-DK"/>
              </w:rPr>
              <w:t>90</w:t>
            </w:r>
          </w:p>
        </w:tc>
      </w:tr>
    </w:tbl>
    <w:p w14:paraId="577DDC6B" w14:textId="77777777" w:rsidR="00582CB2" w:rsidRDefault="00582CB2" w:rsidP="00582CB2">
      <w:pPr>
        <w:rPr>
          <w:bCs/>
          <w:sz w:val="22"/>
          <w:szCs w:val="22"/>
          <w:lang w:eastAsia="zh-CN"/>
        </w:rPr>
      </w:pPr>
    </w:p>
    <w:p w14:paraId="127DD6BB" w14:textId="1CBDCD23" w:rsidR="00582CB2" w:rsidRPr="00582CB2" w:rsidRDefault="00582CB2" w:rsidP="00582CB2">
      <w:pPr>
        <w:ind w:left="851"/>
        <w:rPr>
          <w:bCs/>
          <w:sz w:val="24"/>
          <w:szCs w:val="24"/>
          <w:u w:val="single"/>
        </w:rPr>
      </w:pPr>
      <w:r w:rsidRPr="00582CB2">
        <w:rPr>
          <w:bCs/>
          <w:sz w:val="24"/>
          <w:szCs w:val="24"/>
          <w:u w:val="single"/>
        </w:rPr>
        <w:t>Bemærk</w:t>
      </w:r>
    </w:p>
    <w:p w14:paraId="00A37FF5" w14:textId="77777777" w:rsidR="00582CB2" w:rsidRPr="00582CB2" w:rsidRDefault="00582CB2" w:rsidP="00582CB2">
      <w:pPr>
        <w:ind w:left="851"/>
        <w:rPr>
          <w:bCs/>
          <w:sz w:val="24"/>
          <w:szCs w:val="24"/>
        </w:rPr>
      </w:pPr>
      <w:r w:rsidRPr="00582CB2">
        <w:rPr>
          <w:bCs/>
          <w:sz w:val="24"/>
          <w:szCs w:val="24"/>
        </w:rPr>
        <w:t>Det resulterende volumen af ceftazidimopløsningen i rekonstitutionsmediet er øges på grund af fortrængningsfaktoren for lægemidlet, hvilket fører til de anførte koncentrationer i mg/ml vist i ovenstående tabel.</w:t>
      </w:r>
    </w:p>
    <w:p w14:paraId="1B707A13" w14:textId="77777777" w:rsidR="00582CB2" w:rsidRPr="00582CB2" w:rsidRDefault="00582CB2" w:rsidP="00582CB2">
      <w:pPr>
        <w:ind w:left="851"/>
        <w:rPr>
          <w:bCs/>
          <w:sz w:val="24"/>
          <w:szCs w:val="24"/>
        </w:rPr>
      </w:pPr>
    </w:p>
    <w:p w14:paraId="4507FADA" w14:textId="77777777" w:rsidR="00582CB2" w:rsidRPr="00582CB2" w:rsidRDefault="00582CB2" w:rsidP="00582CB2">
      <w:pPr>
        <w:pStyle w:val="Default"/>
        <w:ind w:left="851"/>
        <w:rPr>
          <w:color w:val="auto"/>
          <w:lang w:val="da-DK"/>
        </w:rPr>
      </w:pPr>
      <w:r w:rsidRPr="00582CB2">
        <w:rPr>
          <w:color w:val="auto"/>
          <w:lang w:val="da-DK"/>
        </w:rPr>
        <w:t xml:space="preserve">Farven af opløsningerne spænder fra farveløs til lysegul, afhængigt af koncentration og opbevaringsbetingelser. Inden for de anførte anbefalinger påvirkes præparatets styrke ikke af sådanne farvevariationer. </w:t>
      </w:r>
    </w:p>
    <w:p w14:paraId="5E2F5B44" w14:textId="77777777" w:rsidR="00582CB2" w:rsidRPr="00582CB2" w:rsidRDefault="00582CB2" w:rsidP="00582CB2">
      <w:pPr>
        <w:pStyle w:val="Default"/>
        <w:ind w:left="851"/>
        <w:rPr>
          <w:color w:val="auto"/>
          <w:lang w:val="da-DK"/>
        </w:rPr>
      </w:pPr>
    </w:p>
    <w:p w14:paraId="59CD2E99" w14:textId="77777777" w:rsidR="00582CB2" w:rsidRPr="00582CB2" w:rsidRDefault="00582CB2" w:rsidP="00582CB2">
      <w:pPr>
        <w:ind w:left="851"/>
        <w:rPr>
          <w:sz w:val="24"/>
          <w:szCs w:val="24"/>
        </w:rPr>
      </w:pPr>
      <w:r w:rsidRPr="00582CB2">
        <w:rPr>
          <w:sz w:val="24"/>
          <w:szCs w:val="24"/>
        </w:rPr>
        <w:t>Anbefalede fortyndingsmedier er: </w:t>
      </w:r>
    </w:p>
    <w:p w14:paraId="2F8176D4"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0,9 % natriumchlorid, </w:t>
      </w:r>
    </w:p>
    <w:p w14:paraId="14B8754A"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glucoseinfusionsvæske, opløsning, </w:t>
      </w:r>
    </w:p>
    <w:p w14:paraId="03785C4C"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 og 0,9 % natriumchlorid, 1:1, </w:t>
      </w:r>
    </w:p>
    <w:p w14:paraId="3B797CDE"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 og 0,9 % natriumchlorid, 2:1, </w:t>
      </w:r>
    </w:p>
    <w:p w14:paraId="3EB81F66"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Ringer opløsning, </w:t>
      </w:r>
    </w:p>
    <w:p w14:paraId="38996239"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Ringer-laktat opløsning, </w:t>
      </w:r>
    </w:p>
    <w:p w14:paraId="6F59FA33"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vand til injektionsvæsker.</w:t>
      </w:r>
    </w:p>
    <w:p w14:paraId="69E05A08" w14:textId="77777777" w:rsidR="00582CB2" w:rsidRPr="00582CB2" w:rsidRDefault="00582CB2" w:rsidP="00582CB2">
      <w:pPr>
        <w:ind w:left="851"/>
        <w:rPr>
          <w:sz w:val="24"/>
          <w:szCs w:val="24"/>
        </w:rPr>
      </w:pPr>
      <w:r w:rsidRPr="00582CB2">
        <w:rPr>
          <w:sz w:val="24"/>
          <w:szCs w:val="24"/>
        </w:rPr>
        <w:t>Ceftazidim ved koncentrationer fra 1 mg/ml til 40 mg/ml er kompatibelt med de ovenfor anførte diluenser.</w:t>
      </w:r>
    </w:p>
    <w:p w14:paraId="5EEAC723" w14:textId="77777777" w:rsidR="00582CB2" w:rsidRPr="00582CB2" w:rsidRDefault="00582CB2" w:rsidP="00582CB2">
      <w:pPr>
        <w:pStyle w:val="Default"/>
        <w:ind w:left="851"/>
        <w:rPr>
          <w:color w:val="auto"/>
          <w:lang w:val="da-DK"/>
        </w:rPr>
      </w:pPr>
      <w:r w:rsidRPr="00582CB2">
        <w:rPr>
          <w:color w:val="auto"/>
          <w:lang w:val="da-DK"/>
        </w:rPr>
        <w:t xml:space="preserve">Ceftazidim kan rekonstitueres til intramuskulær anvendelse med 1 % lidocainhydrochloridinjektionsvæske, opløsning. </w:t>
      </w:r>
    </w:p>
    <w:p w14:paraId="6FE66892" w14:textId="77777777" w:rsidR="00582CB2" w:rsidRPr="00582CB2" w:rsidRDefault="00582CB2" w:rsidP="00582CB2">
      <w:pPr>
        <w:pStyle w:val="Default"/>
        <w:ind w:left="851"/>
        <w:rPr>
          <w:color w:val="auto"/>
          <w:lang w:val="da-DK"/>
        </w:rPr>
      </w:pPr>
    </w:p>
    <w:p w14:paraId="7546A797" w14:textId="77777777" w:rsidR="00582CB2" w:rsidRPr="00582CB2" w:rsidRDefault="00582CB2" w:rsidP="00582CB2">
      <w:pPr>
        <w:pStyle w:val="Default"/>
        <w:ind w:left="851"/>
        <w:rPr>
          <w:color w:val="auto"/>
          <w:lang w:val="da-DK"/>
        </w:rPr>
      </w:pPr>
      <w:r w:rsidRPr="00582CB2">
        <w:rPr>
          <w:color w:val="auto"/>
          <w:u w:val="single"/>
          <w:lang w:val="da-DK"/>
        </w:rPr>
        <w:lastRenderedPageBreak/>
        <w:t xml:space="preserve">Forberedelse af opløsninger til bolusinjektion </w:t>
      </w:r>
    </w:p>
    <w:p w14:paraId="3298441E" w14:textId="77777777" w:rsidR="00582CB2" w:rsidRPr="00582CB2" w:rsidRDefault="00582CB2" w:rsidP="00582CB2">
      <w:pPr>
        <w:pStyle w:val="Default"/>
        <w:ind w:left="1134" w:hanging="283"/>
        <w:rPr>
          <w:color w:val="auto"/>
          <w:lang w:val="da-DK"/>
        </w:rPr>
      </w:pPr>
      <w:r w:rsidRPr="00582CB2">
        <w:rPr>
          <w:color w:val="auto"/>
          <w:lang w:val="da-DK"/>
        </w:rPr>
        <w:t xml:space="preserve">1. </w:t>
      </w:r>
      <w:r w:rsidRPr="00582CB2">
        <w:rPr>
          <w:color w:val="auto"/>
          <w:lang w:val="da-DK"/>
        </w:rPr>
        <w:tab/>
        <w:t xml:space="preserve">Sprøjtekanylen stikkes gennem hætteglassets lukning og det anbefalede volumen af diluens injiceres. Vacuum kan hjælpe med injektionen af diluens. Sprøjtekanylen fjernes. </w:t>
      </w:r>
    </w:p>
    <w:p w14:paraId="1679FAE8" w14:textId="77777777" w:rsidR="00582CB2" w:rsidRPr="00582CB2" w:rsidRDefault="00582CB2" w:rsidP="00582CB2">
      <w:pPr>
        <w:pStyle w:val="Default"/>
        <w:ind w:left="1134" w:hanging="283"/>
        <w:rPr>
          <w:color w:val="auto"/>
          <w:lang w:val="da-DK"/>
        </w:rPr>
      </w:pPr>
      <w:bookmarkStart w:id="4" w:name="_Hlk180600375"/>
      <w:r w:rsidRPr="00582CB2">
        <w:rPr>
          <w:color w:val="auto"/>
          <w:lang w:val="da-DK"/>
        </w:rPr>
        <w:t xml:space="preserve">2. </w:t>
      </w:r>
      <w:r w:rsidRPr="00582CB2">
        <w:rPr>
          <w:color w:val="auto"/>
          <w:lang w:val="da-DK"/>
        </w:rPr>
        <w:tab/>
        <w:t xml:space="preserve">Omrystes for at opløse: der frigøres kuldioxid, og der opnås en klar opløsning i løbet af ca. 1-2 minutter. </w:t>
      </w:r>
    </w:p>
    <w:bookmarkEnd w:id="4"/>
    <w:p w14:paraId="609B5F1C" w14:textId="77777777" w:rsidR="00582CB2" w:rsidRPr="00582CB2" w:rsidRDefault="00582CB2" w:rsidP="00582CB2">
      <w:pPr>
        <w:pStyle w:val="Default"/>
        <w:ind w:left="1134" w:hanging="283"/>
        <w:rPr>
          <w:color w:val="auto"/>
          <w:lang w:val="da-DK"/>
        </w:rPr>
      </w:pPr>
      <w:r w:rsidRPr="00582CB2">
        <w:rPr>
          <w:color w:val="auto"/>
          <w:lang w:val="da-DK"/>
        </w:rPr>
        <w:t xml:space="preserve">3. </w:t>
      </w:r>
      <w:r w:rsidRPr="00582CB2">
        <w:rPr>
          <w:color w:val="auto"/>
          <w:lang w:val="da-DK"/>
        </w:rPr>
        <w:tab/>
        <w:t xml:space="preserve">Hætteglasset vendes på hovedet. Med sprøjtestemplet trykket helt i bund stikkes kanylen gennem hætteglassets lukning, og hele opløsningsvolumenet trækkes op i sprøjten (trykket i hætteglasset kan gøre det lettere at trække indholdet op). Sørg for, at kanylen forbliver i opløsningen og ikke kommer op i det overliggende rum. Den optrukne opløsning kan indeholde små bobler af kuildioxid. Disse kan ignoreres. </w:t>
      </w:r>
    </w:p>
    <w:p w14:paraId="439CA44A" w14:textId="77777777" w:rsidR="00582CB2" w:rsidRPr="00582CB2" w:rsidRDefault="00582CB2" w:rsidP="00582CB2">
      <w:pPr>
        <w:ind w:left="851"/>
        <w:rPr>
          <w:sz w:val="24"/>
          <w:szCs w:val="24"/>
        </w:rPr>
      </w:pPr>
    </w:p>
    <w:p w14:paraId="6B579308" w14:textId="77777777" w:rsidR="00582CB2" w:rsidRPr="00582CB2" w:rsidRDefault="00582CB2" w:rsidP="00582CB2">
      <w:pPr>
        <w:ind w:left="851"/>
        <w:rPr>
          <w:sz w:val="24"/>
          <w:szCs w:val="24"/>
        </w:rPr>
      </w:pPr>
      <w:r w:rsidRPr="00582CB2">
        <w:rPr>
          <w:sz w:val="24"/>
          <w:szCs w:val="24"/>
        </w:rPr>
        <w:t>Disse opløsninger kan administreres direkte i venen eller indføres i slangen, hvis patienten får parenterale væsker. Ceftazidim er forligeligt med de intravenøse væsker angivet nedenfor.</w:t>
      </w:r>
    </w:p>
    <w:p w14:paraId="19B0862E" w14:textId="77777777" w:rsidR="00582CB2" w:rsidRPr="00582CB2" w:rsidRDefault="00582CB2" w:rsidP="00582CB2">
      <w:pPr>
        <w:ind w:left="851"/>
        <w:rPr>
          <w:sz w:val="24"/>
          <w:szCs w:val="24"/>
        </w:rPr>
      </w:pPr>
    </w:p>
    <w:p w14:paraId="24185852" w14:textId="77777777" w:rsidR="00582CB2" w:rsidRPr="00582CB2" w:rsidRDefault="00582CB2" w:rsidP="00582CB2">
      <w:pPr>
        <w:ind w:left="851"/>
        <w:rPr>
          <w:b/>
          <w:sz w:val="24"/>
          <w:szCs w:val="24"/>
          <w:u w:val="single"/>
        </w:rPr>
      </w:pPr>
      <w:r w:rsidRPr="00582CB2">
        <w:rPr>
          <w:sz w:val="24"/>
          <w:szCs w:val="24"/>
        </w:rPr>
        <w:t>Ikke anvendt lægemiddel samt affald heraf skal bortskaffes i henhold til lokale retningslinjer.</w:t>
      </w:r>
    </w:p>
    <w:p w14:paraId="069B37E2" w14:textId="77777777" w:rsidR="009260DE" w:rsidRPr="00C84483" w:rsidRDefault="009260DE" w:rsidP="000730CA">
      <w:pPr>
        <w:tabs>
          <w:tab w:val="left" w:pos="851"/>
        </w:tabs>
        <w:ind w:left="851"/>
        <w:rPr>
          <w:sz w:val="24"/>
          <w:szCs w:val="24"/>
        </w:rPr>
      </w:pPr>
    </w:p>
    <w:p w14:paraId="0BBB90D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539CA5A" w14:textId="77777777" w:rsidR="00582CB2" w:rsidRPr="00582CB2" w:rsidRDefault="00582CB2" w:rsidP="00582CB2">
      <w:pPr>
        <w:tabs>
          <w:tab w:val="left" w:pos="851"/>
        </w:tabs>
        <w:ind w:left="851"/>
        <w:rPr>
          <w:sz w:val="24"/>
          <w:szCs w:val="24"/>
        </w:rPr>
      </w:pPr>
      <w:r w:rsidRPr="00582CB2">
        <w:rPr>
          <w:sz w:val="24"/>
          <w:szCs w:val="24"/>
        </w:rPr>
        <w:t>hameln pharma gmbh</w:t>
      </w:r>
    </w:p>
    <w:p w14:paraId="5514BCCE" w14:textId="77777777" w:rsidR="00582CB2" w:rsidRPr="00582CB2" w:rsidRDefault="00582CB2" w:rsidP="00582CB2">
      <w:pPr>
        <w:tabs>
          <w:tab w:val="left" w:pos="851"/>
        </w:tabs>
        <w:ind w:left="851"/>
        <w:rPr>
          <w:sz w:val="24"/>
          <w:szCs w:val="24"/>
        </w:rPr>
      </w:pPr>
      <w:r w:rsidRPr="00582CB2">
        <w:rPr>
          <w:sz w:val="24"/>
          <w:szCs w:val="24"/>
        </w:rPr>
        <w:t>Inselstraße 1</w:t>
      </w:r>
    </w:p>
    <w:p w14:paraId="179C0A13" w14:textId="77777777" w:rsidR="00582CB2" w:rsidRPr="00582CB2" w:rsidRDefault="00582CB2" w:rsidP="00582CB2">
      <w:pPr>
        <w:tabs>
          <w:tab w:val="left" w:pos="851"/>
        </w:tabs>
        <w:ind w:left="851"/>
        <w:rPr>
          <w:sz w:val="24"/>
          <w:szCs w:val="24"/>
        </w:rPr>
      </w:pPr>
      <w:r w:rsidRPr="00582CB2">
        <w:rPr>
          <w:sz w:val="24"/>
          <w:szCs w:val="24"/>
        </w:rPr>
        <w:t>31787 Hameln</w:t>
      </w:r>
    </w:p>
    <w:p w14:paraId="583B2935" w14:textId="77777777" w:rsidR="00582CB2" w:rsidRPr="00582CB2" w:rsidRDefault="00582CB2" w:rsidP="00582CB2">
      <w:pPr>
        <w:tabs>
          <w:tab w:val="left" w:pos="851"/>
        </w:tabs>
        <w:ind w:left="851"/>
        <w:rPr>
          <w:sz w:val="24"/>
          <w:szCs w:val="24"/>
        </w:rPr>
      </w:pPr>
      <w:r w:rsidRPr="00582CB2">
        <w:rPr>
          <w:sz w:val="24"/>
          <w:szCs w:val="24"/>
        </w:rPr>
        <w:t>Tyskland</w:t>
      </w:r>
    </w:p>
    <w:p w14:paraId="56F8C4D8" w14:textId="77777777" w:rsidR="009260DE" w:rsidRDefault="009260DE" w:rsidP="009260DE">
      <w:pPr>
        <w:tabs>
          <w:tab w:val="left" w:pos="851"/>
        </w:tabs>
        <w:ind w:left="851"/>
        <w:rPr>
          <w:sz w:val="24"/>
          <w:szCs w:val="24"/>
        </w:rPr>
      </w:pPr>
    </w:p>
    <w:p w14:paraId="20A4760D" w14:textId="77777777" w:rsidR="00641C65" w:rsidRDefault="00641C65" w:rsidP="009260DE">
      <w:pPr>
        <w:tabs>
          <w:tab w:val="left" w:pos="851"/>
        </w:tabs>
        <w:ind w:left="851"/>
        <w:rPr>
          <w:sz w:val="24"/>
          <w:szCs w:val="24"/>
        </w:rPr>
      </w:pPr>
      <w:r>
        <w:rPr>
          <w:b/>
          <w:sz w:val="24"/>
          <w:szCs w:val="24"/>
        </w:rPr>
        <w:t>Repræsentant</w:t>
      </w:r>
    </w:p>
    <w:p w14:paraId="0C8908FD" w14:textId="48452CF5" w:rsidR="00582CB2" w:rsidRDefault="00582CB2" w:rsidP="00582CB2">
      <w:pPr>
        <w:tabs>
          <w:tab w:val="left" w:pos="851"/>
        </w:tabs>
        <w:ind w:left="851"/>
        <w:rPr>
          <w:sz w:val="24"/>
          <w:szCs w:val="24"/>
        </w:rPr>
      </w:pPr>
      <w:r w:rsidRPr="00582CB2">
        <w:rPr>
          <w:sz w:val="24"/>
          <w:szCs w:val="24"/>
        </w:rPr>
        <w:t xml:space="preserve">hameln pharma </w:t>
      </w:r>
      <w:r>
        <w:rPr>
          <w:sz w:val="24"/>
          <w:szCs w:val="24"/>
        </w:rPr>
        <w:t>ApS</w:t>
      </w:r>
    </w:p>
    <w:p w14:paraId="20DA868D" w14:textId="3EF7F597" w:rsidR="00582CB2" w:rsidRDefault="00582CB2" w:rsidP="00582CB2">
      <w:pPr>
        <w:tabs>
          <w:tab w:val="left" w:pos="851"/>
        </w:tabs>
        <w:ind w:left="851"/>
        <w:rPr>
          <w:sz w:val="24"/>
          <w:szCs w:val="24"/>
        </w:rPr>
      </w:pPr>
      <w:r>
        <w:rPr>
          <w:sz w:val="24"/>
          <w:szCs w:val="24"/>
        </w:rPr>
        <w:t>Naverland 22</w:t>
      </w:r>
    </w:p>
    <w:p w14:paraId="49957B78" w14:textId="3FD438F8" w:rsidR="00582CB2" w:rsidRDefault="00582CB2" w:rsidP="00582CB2">
      <w:pPr>
        <w:tabs>
          <w:tab w:val="left" w:pos="851"/>
        </w:tabs>
        <w:ind w:left="851"/>
        <w:rPr>
          <w:sz w:val="24"/>
          <w:szCs w:val="24"/>
        </w:rPr>
      </w:pPr>
      <w:r>
        <w:rPr>
          <w:sz w:val="24"/>
          <w:szCs w:val="24"/>
        </w:rPr>
        <w:t>2600 Glostrup</w:t>
      </w:r>
    </w:p>
    <w:p w14:paraId="3496AFB0" w14:textId="77777777" w:rsidR="00641C65" w:rsidRPr="00641C65" w:rsidRDefault="00641C65" w:rsidP="009260DE">
      <w:pPr>
        <w:tabs>
          <w:tab w:val="left" w:pos="851"/>
        </w:tabs>
        <w:ind w:left="851"/>
        <w:rPr>
          <w:sz w:val="24"/>
          <w:szCs w:val="24"/>
        </w:rPr>
      </w:pPr>
    </w:p>
    <w:p w14:paraId="13DECB8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531E229" w14:textId="7F4FB847" w:rsidR="009260DE" w:rsidRPr="00C84483" w:rsidRDefault="00582CB2" w:rsidP="009260DE">
      <w:pPr>
        <w:tabs>
          <w:tab w:val="left" w:pos="851"/>
        </w:tabs>
        <w:ind w:left="851"/>
        <w:rPr>
          <w:sz w:val="24"/>
          <w:szCs w:val="24"/>
        </w:rPr>
      </w:pPr>
      <w:r>
        <w:rPr>
          <w:sz w:val="24"/>
          <w:szCs w:val="24"/>
        </w:rPr>
        <w:t>71546</w:t>
      </w:r>
    </w:p>
    <w:p w14:paraId="45BE37FB" w14:textId="77777777" w:rsidR="009260DE" w:rsidRPr="00C84483" w:rsidRDefault="009260DE" w:rsidP="009260DE">
      <w:pPr>
        <w:tabs>
          <w:tab w:val="left" w:pos="851"/>
        </w:tabs>
        <w:ind w:left="851"/>
        <w:jc w:val="both"/>
        <w:rPr>
          <w:sz w:val="24"/>
          <w:szCs w:val="24"/>
        </w:rPr>
      </w:pPr>
    </w:p>
    <w:p w14:paraId="2D76600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14F40E4" w14:textId="3A377D71" w:rsidR="009260DE" w:rsidRPr="00C84483" w:rsidRDefault="007D3F2E" w:rsidP="009260DE">
      <w:pPr>
        <w:tabs>
          <w:tab w:val="left" w:pos="851"/>
        </w:tabs>
        <w:ind w:left="851"/>
        <w:rPr>
          <w:sz w:val="24"/>
          <w:szCs w:val="24"/>
        </w:rPr>
      </w:pPr>
      <w:r>
        <w:rPr>
          <w:sz w:val="24"/>
          <w:szCs w:val="24"/>
        </w:rPr>
        <w:t>26. august 2025</w:t>
      </w:r>
      <w:bookmarkStart w:id="5" w:name="_GoBack"/>
      <w:bookmarkEnd w:id="5"/>
    </w:p>
    <w:p w14:paraId="48793BD3" w14:textId="77777777" w:rsidR="009260DE" w:rsidRPr="00C84483" w:rsidRDefault="009260DE" w:rsidP="009260DE">
      <w:pPr>
        <w:tabs>
          <w:tab w:val="left" w:pos="851"/>
        </w:tabs>
        <w:ind w:left="851"/>
        <w:rPr>
          <w:sz w:val="24"/>
          <w:szCs w:val="24"/>
        </w:rPr>
      </w:pPr>
    </w:p>
    <w:p w14:paraId="6DF8F50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2DDE70B" w14:textId="0B61C18E" w:rsidR="009260DE" w:rsidRPr="00C84483" w:rsidRDefault="00582CB2"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DFFA5" w14:textId="77777777" w:rsidR="00361808" w:rsidRDefault="00361808">
      <w:r>
        <w:separator/>
      </w:r>
    </w:p>
  </w:endnote>
  <w:endnote w:type="continuationSeparator" w:id="0">
    <w:p w14:paraId="4C462323" w14:textId="77777777" w:rsidR="00361808" w:rsidRDefault="003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D624" w14:textId="77777777" w:rsidR="00361808" w:rsidRDefault="00361808">
    <w:pPr>
      <w:pStyle w:val="Sidefod"/>
      <w:pBdr>
        <w:bottom w:val="single" w:sz="6" w:space="1" w:color="auto"/>
      </w:pBdr>
    </w:pPr>
  </w:p>
  <w:p w14:paraId="55DC14AB" w14:textId="77777777" w:rsidR="00361808" w:rsidRDefault="00361808" w:rsidP="00C42586">
    <w:pPr>
      <w:pStyle w:val="Sidefod"/>
      <w:tabs>
        <w:tab w:val="clear" w:pos="4819"/>
        <w:tab w:val="left" w:pos="8505"/>
      </w:tabs>
      <w:rPr>
        <w:i/>
        <w:sz w:val="18"/>
        <w:szCs w:val="18"/>
      </w:rPr>
    </w:pPr>
  </w:p>
  <w:p w14:paraId="7711CC0B" w14:textId="0FE90461" w:rsidR="00361808" w:rsidRPr="00B373D7" w:rsidRDefault="0036180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Ceftazidim Hameln, injektionsvæske, opløsning 500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8CBA" w14:textId="77777777" w:rsidR="00361808" w:rsidRDefault="00361808">
      <w:r>
        <w:separator/>
      </w:r>
    </w:p>
  </w:footnote>
  <w:footnote w:type="continuationSeparator" w:id="0">
    <w:p w14:paraId="38F3F863" w14:textId="77777777" w:rsidR="00361808" w:rsidRDefault="0036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8C63E50"/>
    <w:multiLevelType w:val="hybridMultilevel"/>
    <w:tmpl w:val="92F8DF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D8B2DB8"/>
    <w:multiLevelType w:val="hybridMultilevel"/>
    <w:tmpl w:val="087A7F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D1A79E9"/>
    <w:multiLevelType w:val="multilevel"/>
    <w:tmpl w:val="5B46E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43"/>
    <w:rsid w:val="000259B9"/>
    <w:rsid w:val="00041491"/>
    <w:rsid w:val="00050D16"/>
    <w:rsid w:val="000730CA"/>
    <w:rsid w:val="00074F2A"/>
    <w:rsid w:val="000A1CA8"/>
    <w:rsid w:val="000A466B"/>
    <w:rsid w:val="000B058C"/>
    <w:rsid w:val="000D68B0"/>
    <w:rsid w:val="000E4EE6"/>
    <w:rsid w:val="00121838"/>
    <w:rsid w:val="001454E2"/>
    <w:rsid w:val="00165943"/>
    <w:rsid w:val="00206CE8"/>
    <w:rsid w:val="0021526C"/>
    <w:rsid w:val="00283A2B"/>
    <w:rsid w:val="002B30AD"/>
    <w:rsid w:val="002C1EC0"/>
    <w:rsid w:val="002C2C01"/>
    <w:rsid w:val="00361808"/>
    <w:rsid w:val="003A29AE"/>
    <w:rsid w:val="003A32D7"/>
    <w:rsid w:val="003B4074"/>
    <w:rsid w:val="003C769A"/>
    <w:rsid w:val="003D3A90"/>
    <w:rsid w:val="003F1838"/>
    <w:rsid w:val="003F65D5"/>
    <w:rsid w:val="004251C1"/>
    <w:rsid w:val="0045746C"/>
    <w:rsid w:val="0049104B"/>
    <w:rsid w:val="004E3B12"/>
    <w:rsid w:val="00532310"/>
    <w:rsid w:val="00565F0F"/>
    <w:rsid w:val="00582CB2"/>
    <w:rsid w:val="00594A86"/>
    <w:rsid w:val="00596D86"/>
    <w:rsid w:val="00637F5A"/>
    <w:rsid w:val="00641C65"/>
    <w:rsid w:val="006560B1"/>
    <w:rsid w:val="006756DD"/>
    <w:rsid w:val="00683CB4"/>
    <w:rsid w:val="0071241E"/>
    <w:rsid w:val="00737275"/>
    <w:rsid w:val="00740EEC"/>
    <w:rsid w:val="0078011A"/>
    <w:rsid w:val="00782AF4"/>
    <w:rsid w:val="00790EE7"/>
    <w:rsid w:val="007B6649"/>
    <w:rsid w:val="007D3F2E"/>
    <w:rsid w:val="0082576E"/>
    <w:rsid w:val="0089346F"/>
    <w:rsid w:val="00907F75"/>
    <w:rsid w:val="009260DE"/>
    <w:rsid w:val="0093258A"/>
    <w:rsid w:val="009C7BA3"/>
    <w:rsid w:val="009D1F5A"/>
    <w:rsid w:val="00A10294"/>
    <w:rsid w:val="00A52A1B"/>
    <w:rsid w:val="00AF56FC"/>
    <w:rsid w:val="00B003BF"/>
    <w:rsid w:val="00B373D7"/>
    <w:rsid w:val="00B55271"/>
    <w:rsid w:val="00BD7931"/>
    <w:rsid w:val="00BF6243"/>
    <w:rsid w:val="00C36276"/>
    <w:rsid w:val="00C42586"/>
    <w:rsid w:val="00C45F6B"/>
    <w:rsid w:val="00C60CCD"/>
    <w:rsid w:val="00C77277"/>
    <w:rsid w:val="00C84483"/>
    <w:rsid w:val="00C95551"/>
    <w:rsid w:val="00CB20D7"/>
    <w:rsid w:val="00D020B0"/>
    <w:rsid w:val="00D11748"/>
    <w:rsid w:val="00D225E3"/>
    <w:rsid w:val="00D237F6"/>
    <w:rsid w:val="00D34D98"/>
    <w:rsid w:val="00D366CF"/>
    <w:rsid w:val="00D93992"/>
    <w:rsid w:val="00E108AA"/>
    <w:rsid w:val="00E3749A"/>
    <w:rsid w:val="00E67F23"/>
    <w:rsid w:val="00E7437F"/>
    <w:rsid w:val="00E865B8"/>
    <w:rsid w:val="00EC0B9B"/>
    <w:rsid w:val="00ED5E9F"/>
    <w:rsid w:val="00F06B63"/>
    <w:rsid w:val="00F66D4F"/>
    <w:rsid w:val="00F702C8"/>
    <w:rsid w:val="00F73955"/>
    <w:rsid w:val="00F829B4"/>
    <w:rsid w:val="00F953D6"/>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1710B"/>
  <w15:chartTrackingRefBased/>
  <w15:docId w15:val="{6BF36952-00A2-4141-A378-0C123188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AF56FC"/>
    <w:pPr>
      <w:autoSpaceDE w:val="0"/>
      <w:autoSpaceDN w:val="0"/>
      <w:adjustRightInd w:val="0"/>
    </w:pPr>
    <w:rPr>
      <w:color w:val="000000"/>
      <w:sz w:val="24"/>
      <w:szCs w:val="24"/>
      <w:lang w:val="de-DE" w:eastAsia="zh-CN"/>
    </w:rPr>
  </w:style>
  <w:style w:type="character" w:styleId="Hyperlink">
    <w:name w:val="Hyperlink"/>
    <w:semiHidden/>
    <w:unhideWhenUsed/>
    <w:rsid w:val="00361808"/>
    <w:rPr>
      <w:color w:val="0563C1"/>
      <w:u w:val="single"/>
    </w:rPr>
  </w:style>
  <w:style w:type="character" w:styleId="Fodnotehenvisning">
    <w:name w:val="footnote reference"/>
    <w:semiHidden/>
    <w:unhideWhenUsed/>
    <w:rsid w:val="00361808"/>
    <w:rPr>
      <w:vertAlign w:val="superscript"/>
    </w:rPr>
  </w:style>
  <w:style w:type="paragraph" w:customStyle="1" w:styleId="DefinitionTerm">
    <w:name w:val="Definition Term"/>
    <w:basedOn w:val="Normal"/>
    <w:next w:val="Normal"/>
    <w:rsid w:val="00F06B63"/>
    <w:pPr>
      <w:snapToGrid w:val="0"/>
    </w:pPr>
    <w:rPr>
      <w:sz w:val="24"/>
      <w:lang w:val="de-DE" w:eastAsia="zh-CN"/>
    </w:rPr>
  </w:style>
  <w:style w:type="paragraph" w:styleId="Brdtekst2">
    <w:name w:val="Body Text 2"/>
    <w:basedOn w:val="Normal"/>
    <w:link w:val="Brdtekst2Tegn"/>
    <w:semiHidden/>
    <w:unhideWhenUsed/>
    <w:rsid w:val="00582CB2"/>
    <w:pPr>
      <w:spacing w:line="360" w:lineRule="auto"/>
    </w:pPr>
    <w:rPr>
      <w:color w:val="800000"/>
      <w:sz w:val="24"/>
      <w:lang w:val="de-DE" w:eastAsia="zh-CN"/>
    </w:rPr>
  </w:style>
  <w:style w:type="character" w:customStyle="1" w:styleId="Brdtekst2Tegn">
    <w:name w:val="Brødtekst 2 Tegn"/>
    <w:basedOn w:val="Standardskrifttypeiafsnit"/>
    <w:link w:val="Brdtekst2"/>
    <w:semiHidden/>
    <w:rsid w:val="00582CB2"/>
    <w:rPr>
      <w:color w:val="800000"/>
      <w:sz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303">
      <w:bodyDiv w:val="1"/>
      <w:marLeft w:val="0"/>
      <w:marRight w:val="0"/>
      <w:marTop w:val="0"/>
      <w:marBottom w:val="0"/>
      <w:divBdr>
        <w:top w:val="none" w:sz="0" w:space="0" w:color="auto"/>
        <w:left w:val="none" w:sz="0" w:space="0" w:color="auto"/>
        <w:bottom w:val="none" w:sz="0" w:space="0" w:color="auto"/>
        <w:right w:val="none" w:sz="0" w:space="0" w:color="auto"/>
      </w:divBdr>
    </w:div>
    <w:div w:id="48503210">
      <w:bodyDiv w:val="1"/>
      <w:marLeft w:val="0"/>
      <w:marRight w:val="0"/>
      <w:marTop w:val="0"/>
      <w:marBottom w:val="0"/>
      <w:divBdr>
        <w:top w:val="none" w:sz="0" w:space="0" w:color="auto"/>
        <w:left w:val="none" w:sz="0" w:space="0" w:color="auto"/>
        <w:bottom w:val="none" w:sz="0" w:space="0" w:color="auto"/>
        <w:right w:val="none" w:sz="0" w:space="0" w:color="auto"/>
      </w:divBdr>
    </w:div>
    <w:div w:id="75984023">
      <w:bodyDiv w:val="1"/>
      <w:marLeft w:val="0"/>
      <w:marRight w:val="0"/>
      <w:marTop w:val="0"/>
      <w:marBottom w:val="0"/>
      <w:divBdr>
        <w:top w:val="none" w:sz="0" w:space="0" w:color="auto"/>
        <w:left w:val="none" w:sz="0" w:space="0" w:color="auto"/>
        <w:bottom w:val="none" w:sz="0" w:space="0" w:color="auto"/>
        <w:right w:val="none" w:sz="0" w:space="0" w:color="auto"/>
      </w:divBdr>
    </w:div>
    <w:div w:id="83259160">
      <w:bodyDiv w:val="1"/>
      <w:marLeft w:val="0"/>
      <w:marRight w:val="0"/>
      <w:marTop w:val="0"/>
      <w:marBottom w:val="0"/>
      <w:divBdr>
        <w:top w:val="none" w:sz="0" w:space="0" w:color="auto"/>
        <w:left w:val="none" w:sz="0" w:space="0" w:color="auto"/>
        <w:bottom w:val="none" w:sz="0" w:space="0" w:color="auto"/>
        <w:right w:val="none" w:sz="0" w:space="0" w:color="auto"/>
      </w:divBdr>
    </w:div>
    <w:div w:id="121314372">
      <w:bodyDiv w:val="1"/>
      <w:marLeft w:val="0"/>
      <w:marRight w:val="0"/>
      <w:marTop w:val="0"/>
      <w:marBottom w:val="0"/>
      <w:divBdr>
        <w:top w:val="none" w:sz="0" w:space="0" w:color="auto"/>
        <w:left w:val="none" w:sz="0" w:space="0" w:color="auto"/>
        <w:bottom w:val="none" w:sz="0" w:space="0" w:color="auto"/>
        <w:right w:val="none" w:sz="0" w:space="0" w:color="auto"/>
      </w:divBdr>
    </w:div>
    <w:div w:id="124391708">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54732854">
      <w:bodyDiv w:val="1"/>
      <w:marLeft w:val="0"/>
      <w:marRight w:val="0"/>
      <w:marTop w:val="0"/>
      <w:marBottom w:val="0"/>
      <w:divBdr>
        <w:top w:val="none" w:sz="0" w:space="0" w:color="auto"/>
        <w:left w:val="none" w:sz="0" w:space="0" w:color="auto"/>
        <w:bottom w:val="none" w:sz="0" w:space="0" w:color="auto"/>
        <w:right w:val="none" w:sz="0" w:space="0" w:color="auto"/>
      </w:divBdr>
    </w:div>
    <w:div w:id="16544070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391354">
      <w:bodyDiv w:val="1"/>
      <w:marLeft w:val="0"/>
      <w:marRight w:val="0"/>
      <w:marTop w:val="0"/>
      <w:marBottom w:val="0"/>
      <w:divBdr>
        <w:top w:val="none" w:sz="0" w:space="0" w:color="auto"/>
        <w:left w:val="none" w:sz="0" w:space="0" w:color="auto"/>
        <w:bottom w:val="none" w:sz="0" w:space="0" w:color="auto"/>
        <w:right w:val="none" w:sz="0" w:space="0" w:color="auto"/>
      </w:divBdr>
    </w:div>
    <w:div w:id="271282519">
      <w:bodyDiv w:val="1"/>
      <w:marLeft w:val="0"/>
      <w:marRight w:val="0"/>
      <w:marTop w:val="0"/>
      <w:marBottom w:val="0"/>
      <w:divBdr>
        <w:top w:val="none" w:sz="0" w:space="0" w:color="auto"/>
        <w:left w:val="none" w:sz="0" w:space="0" w:color="auto"/>
        <w:bottom w:val="none" w:sz="0" w:space="0" w:color="auto"/>
        <w:right w:val="none" w:sz="0" w:space="0" w:color="auto"/>
      </w:divBdr>
    </w:div>
    <w:div w:id="280887754">
      <w:bodyDiv w:val="1"/>
      <w:marLeft w:val="0"/>
      <w:marRight w:val="0"/>
      <w:marTop w:val="0"/>
      <w:marBottom w:val="0"/>
      <w:divBdr>
        <w:top w:val="none" w:sz="0" w:space="0" w:color="auto"/>
        <w:left w:val="none" w:sz="0" w:space="0" w:color="auto"/>
        <w:bottom w:val="none" w:sz="0" w:space="0" w:color="auto"/>
        <w:right w:val="none" w:sz="0" w:space="0" w:color="auto"/>
      </w:divBdr>
    </w:div>
    <w:div w:id="297609045">
      <w:bodyDiv w:val="1"/>
      <w:marLeft w:val="0"/>
      <w:marRight w:val="0"/>
      <w:marTop w:val="0"/>
      <w:marBottom w:val="0"/>
      <w:divBdr>
        <w:top w:val="none" w:sz="0" w:space="0" w:color="auto"/>
        <w:left w:val="none" w:sz="0" w:space="0" w:color="auto"/>
        <w:bottom w:val="none" w:sz="0" w:space="0" w:color="auto"/>
        <w:right w:val="none" w:sz="0" w:space="0" w:color="auto"/>
      </w:divBdr>
    </w:div>
    <w:div w:id="317273827">
      <w:bodyDiv w:val="1"/>
      <w:marLeft w:val="0"/>
      <w:marRight w:val="0"/>
      <w:marTop w:val="0"/>
      <w:marBottom w:val="0"/>
      <w:divBdr>
        <w:top w:val="none" w:sz="0" w:space="0" w:color="auto"/>
        <w:left w:val="none" w:sz="0" w:space="0" w:color="auto"/>
        <w:bottom w:val="none" w:sz="0" w:space="0" w:color="auto"/>
        <w:right w:val="none" w:sz="0" w:space="0" w:color="auto"/>
      </w:divBdr>
    </w:div>
    <w:div w:id="479465311">
      <w:bodyDiv w:val="1"/>
      <w:marLeft w:val="0"/>
      <w:marRight w:val="0"/>
      <w:marTop w:val="0"/>
      <w:marBottom w:val="0"/>
      <w:divBdr>
        <w:top w:val="none" w:sz="0" w:space="0" w:color="auto"/>
        <w:left w:val="none" w:sz="0" w:space="0" w:color="auto"/>
        <w:bottom w:val="none" w:sz="0" w:space="0" w:color="auto"/>
        <w:right w:val="none" w:sz="0" w:space="0" w:color="auto"/>
      </w:divBdr>
    </w:div>
    <w:div w:id="485977330">
      <w:bodyDiv w:val="1"/>
      <w:marLeft w:val="0"/>
      <w:marRight w:val="0"/>
      <w:marTop w:val="0"/>
      <w:marBottom w:val="0"/>
      <w:divBdr>
        <w:top w:val="none" w:sz="0" w:space="0" w:color="auto"/>
        <w:left w:val="none" w:sz="0" w:space="0" w:color="auto"/>
        <w:bottom w:val="none" w:sz="0" w:space="0" w:color="auto"/>
        <w:right w:val="none" w:sz="0" w:space="0" w:color="auto"/>
      </w:divBdr>
    </w:div>
    <w:div w:id="626736250">
      <w:bodyDiv w:val="1"/>
      <w:marLeft w:val="0"/>
      <w:marRight w:val="0"/>
      <w:marTop w:val="0"/>
      <w:marBottom w:val="0"/>
      <w:divBdr>
        <w:top w:val="none" w:sz="0" w:space="0" w:color="auto"/>
        <w:left w:val="none" w:sz="0" w:space="0" w:color="auto"/>
        <w:bottom w:val="none" w:sz="0" w:space="0" w:color="auto"/>
        <w:right w:val="none" w:sz="0" w:space="0" w:color="auto"/>
      </w:divBdr>
    </w:div>
    <w:div w:id="687944709">
      <w:bodyDiv w:val="1"/>
      <w:marLeft w:val="0"/>
      <w:marRight w:val="0"/>
      <w:marTop w:val="0"/>
      <w:marBottom w:val="0"/>
      <w:divBdr>
        <w:top w:val="none" w:sz="0" w:space="0" w:color="auto"/>
        <w:left w:val="none" w:sz="0" w:space="0" w:color="auto"/>
        <w:bottom w:val="none" w:sz="0" w:space="0" w:color="auto"/>
        <w:right w:val="none" w:sz="0" w:space="0" w:color="auto"/>
      </w:divBdr>
    </w:div>
    <w:div w:id="773289428">
      <w:bodyDiv w:val="1"/>
      <w:marLeft w:val="0"/>
      <w:marRight w:val="0"/>
      <w:marTop w:val="0"/>
      <w:marBottom w:val="0"/>
      <w:divBdr>
        <w:top w:val="none" w:sz="0" w:space="0" w:color="auto"/>
        <w:left w:val="none" w:sz="0" w:space="0" w:color="auto"/>
        <w:bottom w:val="none" w:sz="0" w:space="0" w:color="auto"/>
        <w:right w:val="none" w:sz="0" w:space="0" w:color="auto"/>
      </w:divBdr>
    </w:div>
    <w:div w:id="779758104">
      <w:bodyDiv w:val="1"/>
      <w:marLeft w:val="0"/>
      <w:marRight w:val="0"/>
      <w:marTop w:val="0"/>
      <w:marBottom w:val="0"/>
      <w:divBdr>
        <w:top w:val="none" w:sz="0" w:space="0" w:color="auto"/>
        <w:left w:val="none" w:sz="0" w:space="0" w:color="auto"/>
        <w:bottom w:val="none" w:sz="0" w:space="0" w:color="auto"/>
        <w:right w:val="none" w:sz="0" w:space="0" w:color="auto"/>
      </w:divBdr>
    </w:div>
    <w:div w:id="809706578">
      <w:bodyDiv w:val="1"/>
      <w:marLeft w:val="0"/>
      <w:marRight w:val="0"/>
      <w:marTop w:val="0"/>
      <w:marBottom w:val="0"/>
      <w:divBdr>
        <w:top w:val="none" w:sz="0" w:space="0" w:color="auto"/>
        <w:left w:val="none" w:sz="0" w:space="0" w:color="auto"/>
        <w:bottom w:val="none" w:sz="0" w:space="0" w:color="auto"/>
        <w:right w:val="none" w:sz="0" w:space="0" w:color="auto"/>
      </w:divBdr>
    </w:div>
    <w:div w:id="834884596">
      <w:bodyDiv w:val="1"/>
      <w:marLeft w:val="0"/>
      <w:marRight w:val="0"/>
      <w:marTop w:val="0"/>
      <w:marBottom w:val="0"/>
      <w:divBdr>
        <w:top w:val="none" w:sz="0" w:space="0" w:color="auto"/>
        <w:left w:val="none" w:sz="0" w:space="0" w:color="auto"/>
        <w:bottom w:val="none" w:sz="0" w:space="0" w:color="auto"/>
        <w:right w:val="none" w:sz="0" w:space="0" w:color="auto"/>
      </w:divBdr>
    </w:div>
    <w:div w:id="899944363">
      <w:bodyDiv w:val="1"/>
      <w:marLeft w:val="0"/>
      <w:marRight w:val="0"/>
      <w:marTop w:val="0"/>
      <w:marBottom w:val="0"/>
      <w:divBdr>
        <w:top w:val="none" w:sz="0" w:space="0" w:color="auto"/>
        <w:left w:val="none" w:sz="0" w:space="0" w:color="auto"/>
        <w:bottom w:val="none" w:sz="0" w:space="0" w:color="auto"/>
        <w:right w:val="none" w:sz="0" w:space="0" w:color="auto"/>
      </w:divBdr>
    </w:div>
    <w:div w:id="971597494">
      <w:bodyDiv w:val="1"/>
      <w:marLeft w:val="0"/>
      <w:marRight w:val="0"/>
      <w:marTop w:val="0"/>
      <w:marBottom w:val="0"/>
      <w:divBdr>
        <w:top w:val="none" w:sz="0" w:space="0" w:color="auto"/>
        <w:left w:val="none" w:sz="0" w:space="0" w:color="auto"/>
        <w:bottom w:val="none" w:sz="0" w:space="0" w:color="auto"/>
        <w:right w:val="none" w:sz="0" w:space="0" w:color="auto"/>
      </w:divBdr>
    </w:div>
    <w:div w:id="1020397939">
      <w:bodyDiv w:val="1"/>
      <w:marLeft w:val="0"/>
      <w:marRight w:val="0"/>
      <w:marTop w:val="0"/>
      <w:marBottom w:val="0"/>
      <w:divBdr>
        <w:top w:val="none" w:sz="0" w:space="0" w:color="auto"/>
        <w:left w:val="none" w:sz="0" w:space="0" w:color="auto"/>
        <w:bottom w:val="none" w:sz="0" w:space="0" w:color="auto"/>
        <w:right w:val="none" w:sz="0" w:space="0" w:color="auto"/>
      </w:divBdr>
    </w:div>
    <w:div w:id="1099325801">
      <w:bodyDiv w:val="1"/>
      <w:marLeft w:val="0"/>
      <w:marRight w:val="0"/>
      <w:marTop w:val="0"/>
      <w:marBottom w:val="0"/>
      <w:divBdr>
        <w:top w:val="none" w:sz="0" w:space="0" w:color="auto"/>
        <w:left w:val="none" w:sz="0" w:space="0" w:color="auto"/>
        <w:bottom w:val="none" w:sz="0" w:space="0" w:color="auto"/>
        <w:right w:val="none" w:sz="0" w:space="0" w:color="auto"/>
      </w:divBdr>
    </w:div>
    <w:div w:id="1119298834">
      <w:bodyDiv w:val="1"/>
      <w:marLeft w:val="0"/>
      <w:marRight w:val="0"/>
      <w:marTop w:val="0"/>
      <w:marBottom w:val="0"/>
      <w:divBdr>
        <w:top w:val="none" w:sz="0" w:space="0" w:color="auto"/>
        <w:left w:val="none" w:sz="0" w:space="0" w:color="auto"/>
        <w:bottom w:val="none" w:sz="0" w:space="0" w:color="auto"/>
        <w:right w:val="none" w:sz="0" w:space="0" w:color="auto"/>
      </w:divBdr>
    </w:div>
    <w:div w:id="1136527560">
      <w:bodyDiv w:val="1"/>
      <w:marLeft w:val="0"/>
      <w:marRight w:val="0"/>
      <w:marTop w:val="0"/>
      <w:marBottom w:val="0"/>
      <w:divBdr>
        <w:top w:val="none" w:sz="0" w:space="0" w:color="auto"/>
        <w:left w:val="none" w:sz="0" w:space="0" w:color="auto"/>
        <w:bottom w:val="none" w:sz="0" w:space="0" w:color="auto"/>
        <w:right w:val="none" w:sz="0" w:space="0" w:color="auto"/>
      </w:divBdr>
    </w:div>
    <w:div w:id="1157381811">
      <w:bodyDiv w:val="1"/>
      <w:marLeft w:val="0"/>
      <w:marRight w:val="0"/>
      <w:marTop w:val="0"/>
      <w:marBottom w:val="0"/>
      <w:divBdr>
        <w:top w:val="none" w:sz="0" w:space="0" w:color="auto"/>
        <w:left w:val="none" w:sz="0" w:space="0" w:color="auto"/>
        <w:bottom w:val="none" w:sz="0" w:space="0" w:color="auto"/>
        <w:right w:val="none" w:sz="0" w:space="0" w:color="auto"/>
      </w:divBdr>
    </w:div>
    <w:div w:id="1194029773">
      <w:bodyDiv w:val="1"/>
      <w:marLeft w:val="0"/>
      <w:marRight w:val="0"/>
      <w:marTop w:val="0"/>
      <w:marBottom w:val="0"/>
      <w:divBdr>
        <w:top w:val="none" w:sz="0" w:space="0" w:color="auto"/>
        <w:left w:val="none" w:sz="0" w:space="0" w:color="auto"/>
        <w:bottom w:val="none" w:sz="0" w:space="0" w:color="auto"/>
        <w:right w:val="none" w:sz="0" w:space="0" w:color="auto"/>
      </w:divBdr>
    </w:div>
    <w:div w:id="1279991385">
      <w:bodyDiv w:val="1"/>
      <w:marLeft w:val="0"/>
      <w:marRight w:val="0"/>
      <w:marTop w:val="0"/>
      <w:marBottom w:val="0"/>
      <w:divBdr>
        <w:top w:val="none" w:sz="0" w:space="0" w:color="auto"/>
        <w:left w:val="none" w:sz="0" w:space="0" w:color="auto"/>
        <w:bottom w:val="none" w:sz="0" w:space="0" w:color="auto"/>
        <w:right w:val="none" w:sz="0" w:space="0" w:color="auto"/>
      </w:divBdr>
    </w:div>
    <w:div w:id="1326322433">
      <w:bodyDiv w:val="1"/>
      <w:marLeft w:val="0"/>
      <w:marRight w:val="0"/>
      <w:marTop w:val="0"/>
      <w:marBottom w:val="0"/>
      <w:divBdr>
        <w:top w:val="none" w:sz="0" w:space="0" w:color="auto"/>
        <w:left w:val="none" w:sz="0" w:space="0" w:color="auto"/>
        <w:bottom w:val="none" w:sz="0" w:space="0" w:color="auto"/>
        <w:right w:val="none" w:sz="0" w:space="0" w:color="auto"/>
      </w:divBdr>
    </w:div>
    <w:div w:id="1412120838">
      <w:bodyDiv w:val="1"/>
      <w:marLeft w:val="0"/>
      <w:marRight w:val="0"/>
      <w:marTop w:val="0"/>
      <w:marBottom w:val="0"/>
      <w:divBdr>
        <w:top w:val="none" w:sz="0" w:space="0" w:color="auto"/>
        <w:left w:val="none" w:sz="0" w:space="0" w:color="auto"/>
        <w:bottom w:val="none" w:sz="0" w:space="0" w:color="auto"/>
        <w:right w:val="none" w:sz="0" w:space="0" w:color="auto"/>
      </w:divBdr>
    </w:div>
    <w:div w:id="1434595116">
      <w:bodyDiv w:val="1"/>
      <w:marLeft w:val="0"/>
      <w:marRight w:val="0"/>
      <w:marTop w:val="0"/>
      <w:marBottom w:val="0"/>
      <w:divBdr>
        <w:top w:val="none" w:sz="0" w:space="0" w:color="auto"/>
        <w:left w:val="none" w:sz="0" w:space="0" w:color="auto"/>
        <w:bottom w:val="none" w:sz="0" w:space="0" w:color="auto"/>
        <w:right w:val="none" w:sz="0" w:space="0" w:color="auto"/>
      </w:divBdr>
    </w:div>
    <w:div w:id="1482696724">
      <w:bodyDiv w:val="1"/>
      <w:marLeft w:val="0"/>
      <w:marRight w:val="0"/>
      <w:marTop w:val="0"/>
      <w:marBottom w:val="0"/>
      <w:divBdr>
        <w:top w:val="none" w:sz="0" w:space="0" w:color="auto"/>
        <w:left w:val="none" w:sz="0" w:space="0" w:color="auto"/>
        <w:bottom w:val="none" w:sz="0" w:space="0" w:color="auto"/>
        <w:right w:val="none" w:sz="0" w:space="0" w:color="auto"/>
      </w:divBdr>
    </w:div>
    <w:div w:id="1483155444">
      <w:bodyDiv w:val="1"/>
      <w:marLeft w:val="0"/>
      <w:marRight w:val="0"/>
      <w:marTop w:val="0"/>
      <w:marBottom w:val="0"/>
      <w:divBdr>
        <w:top w:val="none" w:sz="0" w:space="0" w:color="auto"/>
        <w:left w:val="none" w:sz="0" w:space="0" w:color="auto"/>
        <w:bottom w:val="none" w:sz="0" w:space="0" w:color="auto"/>
        <w:right w:val="none" w:sz="0" w:space="0" w:color="auto"/>
      </w:divBdr>
    </w:div>
    <w:div w:id="1548104594">
      <w:bodyDiv w:val="1"/>
      <w:marLeft w:val="0"/>
      <w:marRight w:val="0"/>
      <w:marTop w:val="0"/>
      <w:marBottom w:val="0"/>
      <w:divBdr>
        <w:top w:val="none" w:sz="0" w:space="0" w:color="auto"/>
        <w:left w:val="none" w:sz="0" w:space="0" w:color="auto"/>
        <w:bottom w:val="none" w:sz="0" w:space="0" w:color="auto"/>
        <w:right w:val="none" w:sz="0" w:space="0" w:color="auto"/>
      </w:divBdr>
    </w:div>
    <w:div w:id="1736388964">
      <w:bodyDiv w:val="1"/>
      <w:marLeft w:val="0"/>
      <w:marRight w:val="0"/>
      <w:marTop w:val="0"/>
      <w:marBottom w:val="0"/>
      <w:divBdr>
        <w:top w:val="none" w:sz="0" w:space="0" w:color="auto"/>
        <w:left w:val="none" w:sz="0" w:space="0" w:color="auto"/>
        <w:bottom w:val="none" w:sz="0" w:space="0" w:color="auto"/>
        <w:right w:val="none" w:sz="0" w:space="0" w:color="auto"/>
      </w:divBdr>
    </w:div>
    <w:div w:id="1780683193">
      <w:bodyDiv w:val="1"/>
      <w:marLeft w:val="0"/>
      <w:marRight w:val="0"/>
      <w:marTop w:val="0"/>
      <w:marBottom w:val="0"/>
      <w:divBdr>
        <w:top w:val="none" w:sz="0" w:space="0" w:color="auto"/>
        <w:left w:val="none" w:sz="0" w:space="0" w:color="auto"/>
        <w:bottom w:val="none" w:sz="0" w:space="0" w:color="auto"/>
        <w:right w:val="none" w:sz="0" w:space="0" w:color="auto"/>
      </w:divBdr>
    </w:div>
    <w:div w:id="1841314054">
      <w:bodyDiv w:val="1"/>
      <w:marLeft w:val="0"/>
      <w:marRight w:val="0"/>
      <w:marTop w:val="0"/>
      <w:marBottom w:val="0"/>
      <w:divBdr>
        <w:top w:val="none" w:sz="0" w:space="0" w:color="auto"/>
        <w:left w:val="none" w:sz="0" w:space="0" w:color="auto"/>
        <w:bottom w:val="none" w:sz="0" w:space="0" w:color="auto"/>
        <w:right w:val="none" w:sz="0" w:space="0" w:color="auto"/>
      </w:divBdr>
    </w:div>
    <w:div w:id="1907179354">
      <w:bodyDiv w:val="1"/>
      <w:marLeft w:val="0"/>
      <w:marRight w:val="0"/>
      <w:marTop w:val="0"/>
      <w:marBottom w:val="0"/>
      <w:divBdr>
        <w:top w:val="none" w:sz="0" w:space="0" w:color="auto"/>
        <w:left w:val="none" w:sz="0" w:space="0" w:color="auto"/>
        <w:bottom w:val="none" w:sz="0" w:space="0" w:color="auto"/>
        <w:right w:val="none" w:sz="0" w:space="0" w:color="auto"/>
      </w:divBdr>
    </w:div>
    <w:div w:id="2005932308">
      <w:bodyDiv w:val="1"/>
      <w:marLeft w:val="0"/>
      <w:marRight w:val="0"/>
      <w:marTop w:val="0"/>
      <w:marBottom w:val="0"/>
      <w:divBdr>
        <w:top w:val="none" w:sz="0" w:space="0" w:color="auto"/>
        <w:left w:val="none" w:sz="0" w:space="0" w:color="auto"/>
        <w:bottom w:val="none" w:sz="0" w:space="0" w:color="auto"/>
        <w:right w:val="none" w:sz="0" w:space="0" w:color="auto"/>
      </w:divBdr>
    </w:div>
    <w:div w:id="20385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21</TotalTime>
  <Pages>16</Pages>
  <Words>4119</Words>
  <Characters>28039</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2024033959 mt</dc:description>
  <cp:lastModifiedBy>Hanne Thy Iversen</cp:lastModifiedBy>
  <cp:revision>16</cp:revision>
  <cp:lastPrinted>2012-08-22T08:53:00Z</cp:lastPrinted>
  <dcterms:created xsi:type="dcterms:W3CDTF">2025-08-25T14:06:00Z</dcterms:created>
  <dcterms:modified xsi:type="dcterms:W3CDTF">2025-08-26T07:46:00Z</dcterms:modified>
</cp:coreProperties>
</file>