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EC7" w:rsidRPr="008F49E1" w:rsidRDefault="008A2EC7" w:rsidP="008A2EC7">
      <w:pPr>
        <w:rPr>
          <w:sz w:val="24"/>
          <w:szCs w:val="24"/>
        </w:rPr>
      </w:pPr>
      <w:r w:rsidRPr="009260DE">
        <w:rPr>
          <w:noProof/>
          <w:sz w:val="24"/>
          <w:szCs w:val="24"/>
          <w:lang w:eastAsia="da-DK"/>
        </w:rPr>
        <w:drawing>
          <wp:anchor distT="0" distB="0" distL="114300" distR="114300" simplePos="0" relativeHeight="251659264" behindDoc="0" locked="0" layoutInCell="1" allowOverlap="1" wp14:anchorId="14F15D9E" wp14:editId="0AA145D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A2EC7" w:rsidRPr="00C84483" w:rsidRDefault="008A2EC7" w:rsidP="008A2EC7">
      <w:pPr>
        <w:pStyle w:val="Titel"/>
        <w:tabs>
          <w:tab w:val="right" w:pos="9356"/>
        </w:tabs>
        <w:jc w:val="left"/>
        <w:rPr>
          <w:b w:val="0"/>
          <w:szCs w:val="24"/>
          <w:lang w:eastAsia="en-US"/>
        </w:rPr>
      </w:pPr>
      <w:r w:rsidRPr="00C84483">
        <w:rPr>
          <w:b w:val="0"/>
          <w:szCs w:val="24"/>
          <w:lang w:eastAsia="en-US"/>
        </w:rPr>
        <w:tab/>
      </w:r>
      <w:r w:rsidR="00A303DF">
        <w:rPr>
          <w:szCs w:val="24"/>
        </w:rPr>
        <w:t>28</w:t>
      </w:r>
      <w:r>
        <w:rPr>
          <w:szCs w:val="24"/>
        </w:rPr>
        <w:t xml:space="preserve">. </w:t>
      </w:r>
      <w:r w:rsidR="00A303DF">
        <w:rPr>
          <w:szCs w:val="24"/>
        </w:rPr>
        <w:t>november</w:t>
      </w:r>
      <w:r>
        <w:rPr>
          <w:szCs w:val="24"/>
        </w:rPr>
        <w:t xml:space="preserve"> 20</w:t>
      </w:r>
      <w:r w:rsidR="00A303DF">
        <w:rPr>
          <w:szCs w:val="24"/>
        </w:rPr>
        <w:t>24</w:t>
      </w:r>
    </w:p>
    <w:p w:rsidR="008A2EC7" w:rsidRPr="00C84483" w:rsidRDefault="008A2EC7" w:rsidP="008A2EC7">
      <w:pPr>
        <w:pStyle w:val="Titel"/>
        <w:tabs>
          <w:tab w:val="left" w:pos="8222"/>
        </w:tabs>
        <w:jc w:val="left"/>
        <w:rPr>
          <w:b w:val="0"/>
          <w:szCs w:val="24"/>
        </w:rPr>
      </w:pPr>
    </w:p>
    <w:p w:rsidR="008A2EC7" w:rsidRPr="00C84483" w:rsidRDefault="008A2EC7" w:rsidP="008A2EC7">
      <w:pPr>
        <w:pStyle w:val="Titel"/>
        <w:jc w:val="left"/>
        <w:rPr>
          <w:b w:val="0"/>
          <w:szCs w:val="24"/>
        </w:rPr>
      </w:pPr>
    </w:p>
    <w:p w:rsidR="008A2EC7" w:rsidRPr="00C84483" w:rsidRDefault="008A2EC7" w:rsidP="008A2EC7">
      <w:pPr>
        <w:pStyle w:val="Titel"/>
        <w:jc w:val="left"/>
        <w:rPr>
          <w:b w:val="0"/>
          <w:szCs w:val="24"/>
        </w:rPr>
      </w:pPr>
    </w:p>
    <w:p w:rsidR="008A2EC7" w:rsidRPr="00C84483" w:rsidRDefault="008A2EC7" w:rsidP="008A2EC7">
      <w:pPr>
        <w:jc w:val="center"/>
        <w:rPr>
          <w:b/>
          <w:sz w:val="24"/>
          <w:szCs w:val="24"/>
        </w:rPr>
      </w:pPr>
      <w:r w:rsidRPr="00C84483">
        <w:rPr>
          <w:b/>
          <w:sz w:val="24"/>
          <w:szCs w:val="24"/>
        </w:rPr>
        <w:t>PRODUKTRESUMÉ</w:t>
      </w:r>
    </w:p>
    <w:p w:rsidR="008A2EC7" w:rsidRPr="00C84483" w:rsidRDefault="008A2EC7" w:rsidP="008A2EC7">
      <w:pPr>
        <w:jc w:val="center"/>
        <w:rPr>
          <w:b/>
          <w:sz w:val="24"/>
          <w:szCs w:val="24"/>
        </w:rPr>
      </w:pPr>
    </w:p>
    <w:p w:rsidR="008A2EC7" w:rsidRDefault="008A2EC7" w:rsidP="008A2EC7">
      <w:pPr>
        <w:jc w:val="center"/>
        <w:rPr>
          <w:b/>
          <w:sz w:val="24"/>
          <w:szCs w:val="24"/>
        </w:rPr>
      </w:pPr>
      <w:r w:rsidRPr="00C84483">
        <w:rPr>
          <w:b/>
          <w:sz w:val="24"/>
          <w:szCs w:val="24"/>
        </w:rPr>
        <w:t>for</w:t>
      </w:r>
    </w:p>
    <w:p w:rsidR="008A2EC7" w:rsidRPr="00C84483" w:rsidRDefault="008A2EC7" w:rsidP="008A2EC7">
      <w:pPr>
        <w:jc w:val="center"/>
        <w:rPr>
          <w:b/>
          <w:sz w:val="24"/>
          <w:szCs w:val="24"/>
        </w:rPr>
      </w:pPr>
    </w:p>
    <w:p w:rsidR="008A2EC7" w:rsidRPr="00C84483" w:rsidRDefault="008A2EC7" w:rsidP="008A2EC7">
      <w:pPr>
        <w:jc w:val="center"/>
        <w:rPr>
          <w:b/>
          <w:sz w:val="24"/>
          <w:szCs w:val="24"/>
        </w:rPr>
      </w:pPr>
      <w:proofErr w:type="spellStart"/>
      <w:r>
        <w:rPr>
          <w:b/>
          <w:sz w:val="24"/>
          <w:szCs w:val="24"/>
        </w:rPr>
        <w:t>Celecoxib</w:t>
      </w:r>
      <w:proofErr w:type="spellEnd"/>
      <w:r>
        <w:rPr>
          <w:b/>
          <w:sz w:val="24"/>
          <w:szCs w:val="24"/>
        </w:rPr>
        <w:t xml:space="preserve"> "Medical Valley", hårde kapsler</w:t>
      </w:r>
    </w:p>
    <w:p w:rsidR="008A2EC7" w:rsidRPr="00C84483" w:rsidRDefault="008A2EC7" w:rsidP="008A2EC7">
      <w:pPr>
        <w:jc w:val="both"/>
        <w:rPr>
          <w:sz w:val="24"/>
          <w:szCs w:val="24"/>
        </w:rPr>
      </w:pPr>
    </w:p>
    <w:p w:rsidR="008A2EC7" w:rsidRPr="00BF3106" w:rsidRDefault="008A2EC7" w:rsidP="008A2EC7">
      <w:pPr>
        <w:ind w:left="851" w:hanging="851"/>
        <w:jc w:val="both"/>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0.</w:t>
      </w:r>
      <w:r w:rsidRPr="00BF3106">
        <w:rPr>
          <w:b/>
          <w:sz w:val="24"/>
          <w:szCs w:val="24"/>
        </w:rPr>
        <w:tab/>
        <w:t>D.SP.NR.</w:t>
      </w:r>
    </w:p>
    <w:p w:rsidR="008A2EC7" w:rsidRPr="00BF3106" w:rsidRDefault="008A2EC7" w:rsidP="008A2EC7">
      <w:pPr>
        <w:tabs>
          <w:tab w:val="left" w:pos="851"/>
        </w:tabs>
        <w:ind w:left="851" w:hanging="851"/>
        <w:rPr>
          <w:sz w:val="24"/>
          <w:szCs w:val="24"/>
        </w:rPr>
      </w:pPr>
      <w:r>
        <w:rPr>
          <w:sz w:val="24"/>
          <w:szCs w:val="24"/>
        </w:rPr>
        <w:tab/>
      </w:r>
      <w:r w:rsidRPr="00BF3106">
        <w:rPr>
          <w:sz w:val="24"/>
          <w:szCs w:val="24"/>
        </w:rPr>
        <w:t>31221</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1.</w:t>
      </w:r>
      <w:r w:rsidRPr="00BF3106">
        <w:rPr>
          <w:b/>
          <w:sz w:val="24"/>
          <w:szCs w:val="24"/>
        </w:rPr>
        <w:tab/>
        <w:t>LÆGEMIDLETS NAVN</w:t>
      </w:r>
    </w:p>
    <w:p w:rsidR="008A2EC7" w:rsidRPr="00BF3106" w:rsidRDefault="008A2EC7" w:rsidP="008A2EC7">
      <w:pPr>
        <w:tabs>
          <w:tab w:val="left" w:pos="851"/>
        </w:tabs>
        <w:ind w:left="851" w:hanging="851"/>
        <w:rPr>
          <w:sz w:val="24"/>
          <w:szCs w:val="24"/>
        </w:rPr>
      </w:pPr>
      <w:r>
        <w:rPr>
          <w:sz w:val="24"/>
          <w:szCs w:val="24"/>
        </w:rPr>
        <w:tab/>
      </w:r>
      <w:proofErr w:type="spellStart"/>
      <w:r w:rsidRPr="00BF3106">
        <w:rPr>
          <w:sz w:val="24"/>
          <w:szCs w:val="24"/>
        </w:rPr>
        <w:t>Celecoxib</w:t>
      </w:r>
      <w:proofErr w:type="spellEnd"/>
      <w:r w:rsidRPr="00BF3106">
        <w:rPr>
          <w:sz w:val="24"/>
          <w:szCs w:val="24"/>
        </w:rPr>
        <w:t xml:space="preserve"> "Medical Valley"</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2.</w:t>
      </w:r>
      <w:r w:rsidRPr="00BF3106">
        <w:rPr>
          <w:b/>
          <w:sz w:val="24"/>
          <w:szCs w:val="24"/>
        </w:rPr>
        <w:tab/>
        <w:t>KVALITATIV OG KVANTITATIV SAMMENSÆTNING</w:t>
      </w:r>
    </w:p>
    <w:p w:rsidR="00A303DF" w:rsidRPr="00BF3106" w:rsidRDefault="00A303DF" w:rsidP="00A303DF">
      <w:pPr>
        <w:tabs>
          <w:tab w:val="left" w:pos="-720"/>
        </w:tabs>
        <w:suppressAutoHyphens/>
        <w:ind w:left="851"/>
        <w:rPr>
          <w:sz w:val="24"/>
          <w:szCs w:val="24"/>
        </w:rPr>
      </w:pPr>
      <w:bookmarkStart w:id="0" w:name="_Hlk3467995"/>
      <w:r w:rsidRPr="00BF3106">
        <w:rPr>
          <w:i/>
          <w:sz w:val="24"/>
          <w:szCs w:val="24"/>
        </w:rPr>
        <w:t>100 mg</w:t>
      </w:r>
      <w:r w:rsidRPr="00BF3106">
        <w:rPr>
          <w:sz w:val="24"/>
          <w:szCs w:val="24"/>
        </w:rPr>
        <w:t xml:space="preserve">: Hver kapsel indeholder 100 mg </w:t>
      </w:r>
      <w:proofErr w:type="spellStart"/>
      <w:r w:rsidRPr="00BF3106">
        <w:rPr>
          <w:sz w:val="24"/>
          <w:szCs w:val="24"/>
        </w:rPr>
        <w:t>celecoxib</w:t>
      </w:r>
      <w:proofErr w:type="spellEnd"/>
      <w:r w:rsidRPr="00BF3106">
        <w:rPr>
          <w:sz w:val="24"/>
          <w:szCs w:val="24"/>
        </w:rPr>
        <w:t>.</w:t>
      </w:r>
    </w:p>
    <w:p w:rsidR="00A303DF" w:rsidRPr="00BF3106" w:rsidRDefault="00A303DF" w:rsidP="00A303DF">
      <w:pPr>
        <w:tabs>
          <w:tab w:val="left" w:pos="-720"/>
        </w:tabs>
        <w:suppressAutoHyphens/>
        <w:ind w:left="851"/>
        <w:rPr>
          <w:sz w:val="24"/>
          <w:szCs w:val="24"/>
        </w:rPr>
      </w:pPr>
      <w:r w:rsidRPr="00BF3106">
        <w:rPr>
          <w:i/>
          <w:sz w:val="24"/>
          <w:szCs w:val="24"/>
        </w:rPr>
        <w:t>200 mg</w:t>
      </w:r>
      <w:r w:rsidRPr="00BF3106">
        <w:rPr>
          <w:sz w:val="24"/>
          <w:szCs w:val="24"/>
        </w:rPr>
        <w:t xml:space="preserve">: Hver kapsel indeholder 200 mg </w:t>
      </w:r>
      <w:proofErr w:type="spellStart"/>
      <w:r w:rsidRPr="00BF3106">
        <w:rPr>
          <w:sz w:val="24"/>
          <w:szCs w:val="24"/>
        </w:rPr>
        <w:t>celecoxib</w:t>
      </w:r>
      <w:proofErr w:type="spellEnd"/>
      <w:r w:rsidRPr="00BF3106">
        <w:rPr>
          <w:sz w:val="24"/>
          <w:szCs w:val="24"/>
        </w:rPr>
        <w:t>.</w:t>
      </w:r>
    </w:p>
    <w:p w:rsidR="00A303DF" w:rsidRPr="00BF3106" w:rsidRDefault="00A303DF" w:rsidP="00A303DF">
      <w:pPr>
        <w:pStyle w:val="EMEAEnBodyText"/>
        <w:autoSpaceDE w:val="0"/>
        <w:autoSpaceDN w:val="0"/>
        <w:adjustRightInd w:val="0"/>
        <w:spacing w:before="0" w:after="0"/>
        <w:ind w:left="851"/>
        <w:rPr>
          <w:sz w:val="24"/>
          <w:szCs w:val="24"/>
          <w:lang w:val="da-DK"/>
        </w:rPr>
      </w:pPr>
    </w:p>
    <w:bookmarkEnd w:id="0"/>
    <w:p w:rsidR="00A303DF" w:rsidRPr="00BF3106" w:rsidRDefault="00A303DF" w:rsidP="00A303DF">
      <w:pPr>
        <w:pStyle w:val="EMEAEnBodyText"/>
        <w:autoSpaceDE w:val="0"/>
        <w:autoSpaceDN w:val="0"/>
        <w:adjustRightInd w:val="0"/>
        <w:spacing w:before="0" w:after="0"/>
        <w:ind w:left="851"/>
        <w:rPr>
          <w:sz w:val="24"/>
          <w:szCs w:val="24"/>
          <w:u w:val="single"/>
          <w:lang w:val="da-DK"/>
        </w:rPr>
      </w:pPr>
      <w:r w:rsidRPr="00BF3106">
        <w:rPr>
          <w:sz w:val="24"/>
          <w:szCs w:val="24"/>
          <w:u w:val="single"/>
          <w:lang w:val="da-DK"/>
        </w:rPr>
        <w:t>Hjælpestof, som behandleren skal være opmærksom på:</w:t>
      </w:r>
    </w:p>
    <w:p w:rsidR="00A303DF" w:rsidRPr="00BF3106" w:rsidRDefault="00A303DF" w:rsidP="00A303DF">
      <w:pPr>
        <w:tabs>
          <w:tab w:val="left" w:pos="567"/>
        </w:tabs>
        <w:ind w:left="851"/>
        <w:rPr>
          <w:sz w:val="24"/>
          <w:szCs w:val="24"/>
        </w:rPr>
      </w:pPr>
      <w:r w:rsidRPr="00BF3106">
        <w:rPr>
          <w:i/>
          <w:sz w:val="24"/>
          <w:szCs w:val="24"/>
        </w:rPr>
        <w:t>100 mg</w:t>
      </w:r>
      <w:r w:rsidRPr="00BF3106">
        <w:rPr>
          <w:sz w:val="24"/>
          <w:szCs w:val="24"/>
        </w:rPr>
        <w:t xml:space="preserve">: Hver kapsel indeholder 16,90 mg </w:t>
      </w:r>
      <w:proofErr w:type="spellStart"/>
      <w:r w:rsidRPr="00BF3106">
        <w:rPr>
          <w:sz w:val="24"/>
          <w:szCs w:val="24"/>
        </w:rPr>
        <w:t>lactosemonohydrat</w:t>
      </w:r>
      <w:proofErr w:type="spellEnd"/>
      <w:r w:rsidRPr="00BF3106">
        <w:rPr>
          <w:sz w:val="24"/>
          <w:szCs w:val="24"/>
        </w:rPr>
        <w:t xml:space="preserve">, svarende til 16,05 mg </w:t>
      </w:r>
      <w:proofErr w:type="spellStart"/>
      <w:r w:rsidRPr="00BF3106">
        <w:rPr>
          <w:sz w:val="24"/>
          <w:szCs w:val="24"/>
        </w:rPr>
        <w:t>lactose</w:t>
      </w:r>
      <w:proofErr w:type="spellEnd"/>
      <w:r w:rsidRPr="00BF3106">
        <w:rPr>
          <w:sz w:val="24"/>
          <w:szCs w:val="24"/>
        </w:rPr>
        <w:t>.</w:t>
      </w:r>
    </w:p>
    <w:p w:rsidR="00A303DF" w:rsidRPr="00BF3106" w:rsidRDefault="00A303DF" w:rsidP="00A303DF">
      <w:pPr>
        <w:tabs>
          <w:tab w:val="left" w:pos="567"/>
        </w:tabs>
        <w:ind w:left="851"/>
        <w:rPr>
          <w:sz w:val="24"/>
          <w:szCs w:val="24"/>
        </w:rPr>
      </w:pPr>
      <w:r w:rsidRPr="00BF3106">
        <w:rPr>
          <w:i/>
          <w:sz w:val="24"/>
          <w:szCs w:val="24"/>
        </w:rPr>
        <w:t>200 mg</w:t>
      </w:r>
      <w:r w:rsidRPr="00BF3106">
        <w:rPr>
          <w:sz w:val="24"/>
          <w:szCs w:val="24"/>
        </w:rPr>
        <w:t xml:space="preserve">: Hver kapsel indeholder 33,80 mg </w:t>
      </w:r>
      <w:proofErr w:type="spellStart"/>
      <w:r w:rsidRPr="00BF3106">
        <w:rPr>
          <w:sz w:val="24"/>
          <w:szCs w:val="24"/>
        </w:rPr>
        <w:t>lactosemonohydrat</w:t>
      </w:r>
      <w:proofErr w:type="spellEnd"/>
      <w:r w:rsidRPr="00BF3106">
        <w:rPr>
          <w:sz w:val="24"/>
          <w:szCs w:val="24"/>
        </w:rPr>
        <w:t xml:space="preserve">, svarende til 32,11 mg </w:t>
      </w:r>
      <w:proofErr w:type="spellStart"/>
      <w:r w:rsidRPr="00BF3106">
        <w:rPr>
          <w:sz w:val="24"/>
          <w:szCs w:val="24"/>
        </w:rPr>
        <w:t>lactose</w:t>
      </w:r>
      <w:proofErr w:type="spellEnd"/>
      <w:r w:rsidRPr="00BF3106">
        <w:rPr>
          <w:sz w:val="24"/>
          <w:szCs w:val="24"/>
        </w:rPr>
        <w:t>.</w:t>
      </w:r>
    </w:p>
    <w:p w:rsidR="008A2EC7" w:rsidRPr="00BF3106" w:rsidRDefault="008A2EC7" w:rsidP="008A2EC7">
      <w:pPr>
        <w:tabs>
          <w:tab w:val="left" w:pos="567"/>
        </w:tabs>
        <w:ind w:left="851"/>
        <w:rPr>
          <w:sz w:val="24"/>
          <w:szCs w:val="24"/>
        </w:rPr>
      </w:pPr>
    </w:p>
    <w:p w:rsidR="008A2EC7" w:rsidRPr="00BF3106" w:rsidRDefault="008A2EC7" w:rsidP="008A2EC7">
      <w:pPr>
        <w:tabs>
          <w:tab w:val="left" w:pos="567"/>
        </w:tabs>
        <w:ind w:left="851"/>
        <w:rPr>
          <w:snapToGrid w:val="0"/>
          <w:color w:val="FF0000"/>
          <w:sz w:val="24"/>
          <w:szCs w:val="24"/>
        </w:rPr>
      </w:pPr>
      <w:r w:rsidRPr="00BF3106">
        <w:rPr>
          <w:sz w:val="24"/>
          <w:szCs w:val="24"/>
        </w:rPr>
        <w:t>Alle hjælpestoffer er anført under pkt. 6.1.</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3.</w:t>
      </w:r>
      <w:r w:rsidRPr="00BF3106">
        <w:rPr>
          <w:b/>
          <w:sz w:val="24"/>
          <w:szCs w:val="24"/>
        </w:rPr>
        <w:tab/>
        <w:t>LÆGEMIDDELFORM</w:t>
      </w:r>
    </w:p>
    <w:p w:rsidR="00A303DF" w:rsidRPr="00BF3106" w:rsidRDefault="00A303DF" w:rsidP="00A303DF">
      <w:pPr>
        <w:suppressAutoHyphens/>
        <w:ind w:left="851"/>
        <w:rPr>
          <w:sz w:val="24"/>
          <w:szCs w:val="24"/>
        </w:rPr>
      </w:pPr>
      <w:r>
        <w:rPr>
          <w:spacing w:val="-3"/>
          <w:sz w:val="24"/>
          <w:szCs w:val="24"/>
        </w:rPr>
        <w:t>Hårde kapsler (kapsler)</w:t>
      </w:r>
    </w:p>
    <w:p w:rsidR="00A303DF" w:rsidRPr="00BF3106" w:rsidRDefault="00A303DF" w:rsidP="00A303DF">
      <w:pPr>
        <w:suppressAutoHyphens/>
        <w:ind w:left="851"/>
        <w:rPr>
          <w:sz w:val="24"/>
          <w:szCs w:val="24"/>
        </w:rPr>
      </w:pPr>
    </w:p>
    <w:p w:rsidR="00A303DF" w:rsidRPr="00BF3106" w:rsidRDefault="00A303DF" w:rsidP="00A303DF">
      <w:pPr>
        <w:tabs>
          <w:tab w:val="left" w:pos="567"/>
        </w:tabs>
        <w:ind w:left="851"/>
        <w:rPr>
          <w:sz w:val="24"/>
          <w:szCs w:val="24"/>
        </w:rPr>
      </w:pPr>
      <w:proofErr w:type="spellStart"/>
      <w:r>
        <w:rPr>
          <w:sz w:val="24"/>
          <w:szCs w:val="24"/>
        </w:rPr>
        <w:t>Celecoxib</w:t>
      </w:r>
      <w:proofErr w:type="spellEnd"/>
      <w:r>
        <w:rPr>
          <w:sz w:val="24"/>
          <w:szCs w:val="24"/>
        </w:rPr>
        <w:t xml:space="preserve"> 100 mg h</w:t>
      </w:r>
      <w:r w:rsidRPr="00BF3106">
        <w:rPr>
          <w:sz w:val="24"/>
          <w:szCs w:val="24"/>
        </w:rPr>
        <w:t>årde kapsler i størrelse ‘4’ (cirka 14,4 mm ± 0,4 mm), der indeholder et hvidt til råhvidt pulver. Kapslerne har en hvid, uigennemsigtig overdel og en hvid, uigennemsigtig underdel.</w:t>
      </w:r>
    </w:p>
    <w:p w:rsidR="00A303DF" w:rsidRPr="00BF3106" w:rsidRDefault="00A303DF" w:rsidP="00A303DF">
      <w:pPr>
        <w:tabs>
          <w:tab w:val="left" w:pos="567"/>
        </w:tabs>
        <w:ind w:left="851"/>
        <w:rPr>
          <w:sz w:val="24"/>
          <w:szCs w:val="24"/>
        </w:rPr>
      </w:pPr>
    </w:p>
    <w:p w:rsidR="008A2EC7" w:rsidRPr="00BF3106" w:rsidRDefault="00A303DF" w:rsidP="00A303DF">
      <w:pPr>
        <w:tabs>
          <w:tab w:val="left" w:pos="851"/>
        </w:tabs>
        <w:ind w:left="851"/>
        <w:rPr>
          <w:sz w:val="24"/>
          <w:szCs w:val="24"/>
        </w:rPr>
      </w:pPr>
      <w:proofErr w:type="spellStart"/>
      <w:r>
        <w:rPr>
          <w:sz w:val="24"/>
          <w:szCs w:val="24"/>
        </w:rPr>
        <w:t>Celecoxib</w:t>
      </w:r>
      <w:proofErr w:type="spellEnd"/>
      <w:r>
        <w:rPr>
          <w:sz w:val="24"/>
          <w:szCs w:val="24"/>
        </w:rPr>
        <w:t xml:space="preserve"> 200 mg h</w:t>
      </w:r>
      <w:r w:rsidRPr="00BF3106">
        <w:rPr>
          <w:sz w:val="24"/>
          <w:szCs w:val="24"/>
        </w:rPr>
        <w:t>årde kapsler i størrelse ‘2’ (cirka 17,8 mm ± 0,4 mm), der indeholder et hvidt til råhvidt pulver. Kapslerne har en grå, uigennemsigtig overdel og en grå, uigennemsigtig underdel.</w:t>
      </w:r>
    </w:p>
    <w:p w:rsidR="008A2EC7" w:rsidRDefault="008A2EC7" w:rsidP="008A2EC7">
      <w:pPr>
        <w:rPr>
          <w:sz w:val="24"/>
          <w:szCs w:val="24"/>
        </w:rPr>
      </w:pPr>
      <w:r>
        <w:rPr>
          <w:sz w:val="24"/>
          <w:szCs w:val="24"/>
        </w:rPr>
        <w:br w:type="page"/>
      </w:r>
    </w:p>
    <w:p w:rsidR="008A2EC7" w:rsidRPr="00BF3106" w:rsidRDefault="008A2EC7" w:rsidP="008A2EC7">
      <w:pPr>
        <w:tabs>
          <w:tab w:val="left" w:pos="851"/>
        </w:tabs>
        <w:ind w:left="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4.</w:t>
      </w:r>
      <w:r w:rsidRPr="00BF3106">
        <w:rPr>
          <w:b/>
          <w:sz w:val="24"/>
          <w:szCs w:val="24"/>
        </w:rPr>
        <w:tab/>
        <w:t>KLINISKE OPLYSNINGER</w:t>
      </w:r>
    </w:p>
    <w:p w:rsidR="008A2EC7" w:rsidRPr="00BF3106" w:rsidRDefault="008A2EC7" w:rsidP="008A2EC7">
      <w:pPr>
        <w:tabs>
          <w:tab w:val="left" w:pos="851"/>
        </w:tabs>
        <w:ind w:left="851" w:hanging="851"/>
        <w:rPr>
          <w:b/>
          <w:sz w:val="24"/>
          <w:szCs w:val="24"/>
        </w:rPr>
      </w:pPr>
    </w:p>
    <w:p w:rsidR="008A2EC7" w:rsidRPr="00BF3106" w:rsidRDefault="008A2EC7" w:rsidP="008A2EC7">
      <w:pPr>
        <w:tabs>
          <w:tab w:val="left" w:pos="851"/>
        </w:tabs>
        <w:ind w:left="851" w:hanging="851"/>
        <w:rPr>
          <w:b/>
          <w:sz w:val="24"/>
          <w:szCs w:val="24"/>
          <w:u w:val="single"/>
        </w:rPr>
      </w:pPr>
      <w:r w:rsidRPr="00BF3106">
        <w:rPr>
          <w:b/>
          <w:sz w:val="24"/>
          <w:szCs w:val="24"/>
        </w:rPr>
        <w:t>4.1</w:t>
      </w:r>
      <w:r w:rsidRPr="00BF3106">
        <w:rPr>
          <w:b/>
          <w:sz w:val="24"/>
          <w:szCs w:val="24"/>
        </w:rPr>
        <w:tab/>
        <w:t>Terapeutiske indikationer</w:t>
      </w:r>
    </w:p>
    <w:p w:rsidR="008A2EC7" w:rsidRPr="00BF3106" w:rsidRDefault="008A2EC7" w:rsidP="008A2EC7">
      <w:pPr>
        <w:ind w:left="851"/>
        <w:rPr>
          <w:sz w:val="24"/>
          <w:szCs w:val="24"/>
        </w:rPr>
      </w:pPr>
      <w:proofErr w:type="spellStart"/>
      <w:r w:rsidRPr="00BF3106">
        <w:rPr>
          <w:sz w:val="24"/>
          <w:szCs w:val="24"/>
        </w:rPr>
        <w:t>Celecoxib</w:t>
      </w:r>
      <w:proofErr w:type="spellEnd"/>
      <w:r w:rsidRPr="00BF3106">
        <w:rPr>
          <w:sz w:val="24"/>
          <w:szCs w:val="24"/>
        </w:rPr>
        <w:t xml:space="preserve"> </w:t>
      </w:r>
      <w:r>
        <w:rPr>
          <w:sz w:val="24"/>
          <w:szCs w:val="24"/>
        </w:rPr>
        <w:t>"Medical Valley"</w:t>
      </w:r>
      <w:r w:rsidRPr="00BF3106">
        <w:rPr>
          <w:sz w:val="24"/>
          <w:szCs w:val="24"/>
        </w:rPr>
        <w:t xml:space="preserve"> er indiceret hos voksne til symptomlindring ved behandling af </w:t>
      </w:r>
      <w:proofErr w:type="spellStart"/>
      <w:r w:rsidRPr="00BF3106">
        <w:rPr>
          <w:sz w:val="24"/>
          <w:szCs w:val="24"/>
        </w:rPr>
        <w:t>osteoarthrosis</w:t>
      </w:r>
      <w:proofErr w:type="spellEnd"/>
      <w:r w:rsidRPr="00BF3106">
        <w:rPr>
          <w:sz w:val="24"/>
          <w:szCs w:val="24"/>
        </w:rPr>
        <w:t xml:space="preserve">, </w:t>
      </w:r>
      <w:proofErr w:type="spellStart"/>
      <w:r w:rsidRPr="00BF3106">
        <w:rPr>
          <w:sz w:val="24"/>
          <w:szCs w:val="24"/>
        </w:rPr>
        <w:t>rheumatoid</w:t>
      </w:r>
      <w:proofErr w:type="spellEnd"/>
      <w:r w:rsidRPr="00BF3106">
        <w:rPr>
          <w:sz w:val="24"/>
          <w:szCs w:val="24"/>
        </w:rPr>
        <w:t xml:space="preserve"> </w:t>
      </w:r>
      <w:proofErr w:type="spellStart"/>
      <w:r w:rsidRPr="00BF3106">
        <w:rPr>
          <w:sz w:val="24"/>
          <w:szCs w:val="24"/>
        </w:rPr>
        <w:t>arthritis</w:t>
      </w:r>
      <w:proofErr w:type="spellEnd"/>
      <w:r w:rsidRPr="00BF3106">
        <w:rPr>
          <w:sz w:val="24"/>
          <w:szCs w:val="24"/>
        </w:rPr>
        <w:t xml:space="preserve"> og </w:t>
      </w:r>
      <w:proofErr w:type="spellStart"/>
      <w:r w:rsidRPr="00BF3106">
        <w:rPr>
          <w:sz w:val="24"/>
          <w:szCs w:val="24"/>
        </w:rPr>
        <w:t>ankyloserende</w:t>
      </w:r>
      <w:proofErr w:type="spellEnd"/>
      <w:r w:rsidRPr="00BF3106">
        <w:rPr>
          <w:sz w:val="24"/>
          <w:szCs w:val="24"/>
        </w:rPr>
        <w:t xml:space="preserve"> </w:t>
      </w:r>
      <w:proofErr w:type="spellStart"/>
      <w:r w:rsidRPr="00BF3106">
        <w:rPr>
          <w:sz w:val="24"/>
          <w:szCs w:val="24"/>
        </w:rPr>
        <w:t>spondylitis</w:t>
      </w:r>
      <w:proofErr w:type="spellEnd"/>
      <w:r w:rsidRPr="00BF3106">
        <w:rPr>
          <w:sz w:val="24"/>
          <w:szCs w:val="24"/>
        </w:rPr>
        <w:t>.</w:t>
      </w:r>
    </w:p>
    <w:p w:rsidR="008A2EC7" w:rsidRPr="00BF3106" w:rsidRDefault="008A2EC7" w:rsidP="008A2EC7">
      <w:pPr>
        <w:ind w:left="851"/>
        <w:rPr>
          <w:sz w:val="24"/>
          <w:szCs w:val="24"/>
        </w:rPr>
      </w:pPr>
    </w:p>
    <w:p w:rsidR="00A303DF" w:rsidRPr="00BF3106" w:rsidRDefault="00A303DF" w:rsidP="00A303DF">
      <w:pPr>
        <w:ind w:left="851"/>
        <w:rPr>
          <w:sz w:val="24"/>
          <w:szCs w:val="24"/>
        </w:rPr>
      </w:pPr>
      <w:r w:rsidRPr="00BF3106">
        <w:rPr>
          <w:sz w:val="24"/>
          <w:szCs w:val="24"/>
        </w:rPr>
        <w:t xml:space="preserve">Beslutningen om at ordinere en selektiv </w:t>
      </w:r>
      <w:r>
        <w:rPr>
          <w:sz w:val="24"/>
          <w:szCs w:val="24"/>
        </w:rPr>
        <w:t>cyclooxygenase-2 (</w:t>
      </w:r>
      <w:r w:rsidRPr="00BF3106">
        <w:rPr>
          <w:sz w:val="24"/>
          <w:szCs w:val="24"/>
        </w:rPr>
        <w:t>COX-2</w:t>
      </w:r>
      <w:r>
        <w:rPr>
          <w:sz w:val="24"/>
          <w:szCs w:val="24"/>
        </w:rPr>
        <w:t xml:space="preserve">) </w:t>
      </w:r>
      <w:r w:rsidRPr="00BF3106">
        <w:rPr>
          <w:sz w:val="24"/>
          <w:szCs w:val="24"/>
        </w:rPr>
        <w:t>-hæmmer bør bero på en vurdering af den samlede risiko for den enkelte patient (se pkt. 4.3 og 4.4).</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4.2</w:t>
      </w:r>
      <w:r w:rsidRPr="00BF3106">
        <w:rPr>
          <w:b/>
          <w:sz w:val="24"/>
          <w:szCs w:val="24"/>
        </w:rPr>
        <w:tab/>
        <w:t xml:space="preserve">Dosering og </w:t>
      </w:r>
      <w:r w:rsidR="00A303DF">
        <w:rPr>
          <w:b/>
          <w:sz w:val="24"/>
          <w:szCs w:val="24"/>
        </w:rPr>
        <w:t>administration</w:t>
      </w:r>
    </w:p>
    <w:p w:rsidR="008A2EC7" w:rsidRDefault="008A2EC7" w:rsidP="008A2EC7">
      <w:pPr>
        <w:ind w:left="851"/>
        <w:rPr>
          <w:noProof/>
          <w:sz w:val="24"/>
          <w:szCs w:val="24"/>
          <w:u w:val="single"/>
        </w:rPr>
      </w:pPr>
    </w:p>
    <w:p w:rsidR="00A303DF" w:rsidRDefault="00A303DF" w:rsidP="00A303DF">
      <w:pPr>
        <w:ind w:left="851"/>
        <w:rPr>
          <w:noProof/>
          <w:sz w:val="24"/>
          <w:szCs w:val="24"/>
          <w:u w:val="single"/>
        </w:rPr>
      </w:pPr>
      <w:r w:rsidRPr="00BF3106">
        <w:rPr>
          <w:noProof/>
          <w:sz w:val="24"/>
          <w:szCs w:val="24"/>
          <w:u w:val="single"/>
        </w:rPr>
        <w:t>Dosering</w:t>
      </w:r>
    </w:p>
    <w:p w:rsidR="00A303DF" w:rsidRPr="00BF6AA1" w:rsidRDefault="00A303DF" w:rsidP="00A303DF">
      <w:pPr>
        <w:ind w:left="851"/>
        <w:rPr>
          <w:noProof/>
          <w:sz w:val="24"/>
          <w:szCs w:val="24"/>
          <w:u w:val="single"/>
        </w:rPr>
      </w:pPr>
      <w:r w:rsidRPr="00F5535B">
        <w:rPr>
          <w:noProof/>
          <w:sz w:val="24"/>
          <w:szCs w:val="24"/>
          <w:u w:val="single"/>
        </w:rPr>
        <w:t>Da de kardiovaskulære</w:t>
      </w:r>
      <w:r>
        <w:rPr>
          <w:noProof/>
          <w:sz w:val="24"/>
          <w:szCs w:val="24"/>
          <w:u w:val="single"/>
        </w:rPr>
        <w:t xml:space="preserve"> (CV)</w:t>
      </w:r>
      <w:r w:rsidRPr="00BF6AA1">
        <w:rPr>
          <w:noProof/>
          <w:sz w:val="24"/>
          <w:szCs w:val="24"/>
          <w:u w:val="single"/>
        </w:rPr>
        <w:t xml:space="preserve"> risi</w:t>
      </w:r>
      <w:r>
        <w:rPr>
          <w:noProof/>
          <w:sz w:val="24"/>
          <w:szCs w:val="24"/>
          <w:u w:val="single"/>
        </w:rPr>
        <w:t>ci</w:t>
      </w:r>
      <w:r w:rsidRPr="00BF6AA1">
        <w:rPr>
          <w:noProof/>
          <w:sz w:val="24"/>
          <w:szCs w:val="24"/>
          <w:u w:val="single"/>
        </w:rPr>
        <w:t xml:space="preserve"> ved brug af celecoxib kan øges med dosis og behandlingsvarighed, bør den kortest mulige behandlingstid og den lavest effektive daglige dosis anvendes. Patientens behov for symptomlindring samt behandlingsrespons bør genovervejes med jævne mellemrum, især hos patienter med osteoart</w:t>
      </w:r>
      <w:r>
        <w:rPr>
          <w:noProof/>
          <w:sz w:val="24"/>
          <w:szCs w:val="24"/>
          <w:u w:val="single"/>
        </w:rPr>
        <w:t>h</w:t>
      </w:r>
      <w:r w:rsidRPr="00BF6AA1">
        <w:rPr>
          <w:noProof/>
          <w:sz w:val="24"/>
          <w:szCs w:val="24"/>
          <w:u w:val="single"/>
        </w:rPr>
        <w:t>r</w:t>
      </w:r>
      <w:r>
        <w:rPr>
          <w:noProof/>
          <w:sz w:val="24"/>
          <w:szCs w:val="24"/>
          <w:u w:val="single"/>
        </w:rPr>
        <w:t>ose</w:t>
      </w:r>
      <w:r w:rsidRPr="00BF6AA1">
        <w:rPr>
          <w:noProof/>
          <w:sz w:val="24"/>
          <w:szCs w:val="24"/>
          <w:u w:val="single"/>
        </w:rPr>
        <w:t xml:space="preserve"> (se pkt.</w:t>
      </w:r>
      <w:r>
        <w:rPr>
          <w:noProof/>
          <w:sz w:val="24"/>
          <w:szCs w:val="24"/>
          <w:u w:val="single"/>
        </w:rPr>
        <w:t> </w:t>
      </w:r>
      <w:r w:rsidRPr="00BF6AA1">
        <w:rPr>
          <w:noProof/>
          <w:sz w:val="24"/>
          <w:szCs w:val="24"/>
          <w:u w:val="single"/>
        </w:rPr>
        <w:t>4.3, 4.4, 4.8 og 5.1).</w:t>
      </w:r>
    </w:p>
    <w:p w:rsidR="00A303DF" w:rsidRPr="00BF3106" w:rsidRDefault="00A303DF" w:rsidP="00A303DF">
      <w:pPr>
        <w:ind w:left="851"/>
        <w:rPr>
          <w:noProof/>
          <w:sz w:val="24"/>
          <w:szCs w:val="24"/>
          <w:u w:val="single"/>
        </w:rPr>
      </w:pPr>
    </w:p>
    <w:p w:rsidR="00A303DF" w:rsidRDefault="00A303DF" w:rsidP="00A303DF">
      <w:pPr>
        <w:ind w:left="851"/>
        <w:rPr>
          <w:i/>
          <w:noProof/>
          <w:sz w:val="24"/>
          <w:szCs w:val="24"/>
        </w:rPr>
      </w:pPr>
      <w:r w:rsidRPr="00BF3106">
        <w:rPr>
          <w:i/>
          <w:noProof/>
          <w:sz w:val="24"/>
          <w:szCs w:val="24"/>
        </w:rPr>
        <w:t xml:space="preserve">Osteoarthrosis: </w:t>
      </w:r>
    </w:p>
    <w:p w:rsidR="00A303DF" w:rsidRPr="00BF3106" w:rsidRDefault="00A303DF" w:rsidP="00A303DF">
      <w:pPr>
        <w:ind w:left="851"/>
        <w:rPr>
          <w:noProof/>
          <w:sz w:val="24"/>
          <w:szCs w:val="24"/>
        </w:rPr>
      </w:pPr>
      <w:r w:rsidRPr="00BF3106">
        <w:rPr>
          <w:noProof/>
          <w:sz w:val="24"/>
          <w:szCs w:val="24"/>
        </w:rPr>
        <w:t>Den sædanlige, anbefalede daglige dosis er 200 mg én gang dagligt eller fordelt på to doser. Hos nogle patienter med utilstrækkelig symptomlindring kan en dosisøgning til 200 mg to gange dagligt øge virkningen. Hvis der ikke ses en terapeutisk bedring inden for to uger, bør andre behandlingsmuligheder overvejes.</w:t>
      </w:r>
    </w:p>
    <w:p w:rsidR="008A2EC7" w:rsidRPr="00BF3106" w:rsidRDefault="008A2EC7" w:rsidP="008A2EC7">
      <w:pPr>
        <w:ind w:left="851"/>
        <w:rPr>
          <w:noProof/>
          <w:sz w:val="24"/>
          <w:szCs w:val="24"/>
        </w:rPr>
      </w:pPr>
    </w:p>
    <w:p w:rsidR="00A303DF" w:rsidRDefault="00A303DF" w:rsidP="00A303DF">
      <w:pPr>
        <w:ind w:left="851"/>
        <w:rPr>
          <w:noProof/>
          <w:sz w:val="24"/>
          <w:szCs w:val="24"/>
        </w:rPr>
      </w:pPr>
      <w:r w:rsidRPr="00BF3106">
        <w:rPr>
          <w:i/>
          <w:noProof/>
          <w:sz w:val="24"/>
          <w:szCs w:val="24"/>
        </w:rPr>
        <w:t>Rheumatoid arthritis</w:t>
      </w:r>
      <w:r w:rsidRPr="00BF3106">
        <w:rPr>
          <w:noProof/>
          <w:sz w:val="24"/>
          <w:szCs w:val="24"/>
        </w:rPr>
        <w:t xml:space="preserve">: </w:t>
      </w:r>
    </w:p>
    <w:p w:rsidR="00A303DF" w:rsidRPr="00BF3106" w:rsidRDefault="00A303DF" w:rsidP="00A303DF">
      <w:pPr>
        <w:ind w:left="851"/>
        <w:rPr>
          <w:noProof/>
          <w:sz w:val="24"/>
          <w:szCs w:val="24"/>
        </w:rPr>
      </w:pPr>
      <w:r w:rsidRPr="00BF3106">
        <w:rPr>
          <w:noProof/>
          <w:sz w:val="24"/>
          <w:szCs w:val="24"/>
        </w:rPr>
        <w:t xml:space="preserve">Den anbefalede daglige startdosis er 200 mg fordelt på to doser. Om nødvendigt kan dosis senere øges til </w:t>
      </w:r>
      <w:r>
        <w:rPr>
          <w:noProof/>
          <w:sz w:val="24"/>
          <w:szCs w:val="24"/>
        </w:rPr>
        <w:t>200 mg to gange dagligt</w:t>
      </w:r>
      <w:r w:rsidRPr="00BF3106">
        <w:rPr>
          <w:noProof/>
          <w:sz w:val="24"/>
          <w:szCs w:val="24"/>
        </w:rPr>
        <w:t>. Hvis der ikke ses en terapeutisk bedring inden for to uger, bør andre behandlingsmuligheder overvejes.</w:t>
      </w:r>
    </w:p>
    <w:p w:rsidR="008A2EC7" w:rsidRPr="00BF3106" w:rsidRDefault="008A2EC7" w:rsidP="008A2EC7">
      <w:pPr>
        <w:ind w:left="851"/>
        <w:rPr>
          <w:noProof/>
          <w:sz w:val="24"/>
          <w:szCs w:val="24"/>
        </w:rPr>
      </w:pPr>
    </w:p>
    <w:p w:rsidR="008A2EC7" w:rsidRPr="00BF3106" w:rsidRDefault="008A2EC7" w:rsidP="008A2EC7">
      <w:pPr>
        <w:ind w:left="851"/>
        <w:rPr>
          <w:b/>
          <w:i/>
          <w:noProof/>
          <w:sz w:val="24"/>
          <w:szCs w:val="24"/>
        </w:rPr>
      </w:pPr>
      <w:r w:rsidRPr="00BF3106">
        <w:rPr>
          <w:i/>
          <w:noProof/>
          <w:sz w:val="24"/>
          <w:szCs w:val="24"/>
        </w:rPr>
        <w:t>Ankyloserende spondylitis</w:t>
      </w:r>
      <w:r w:rsidRPr="00BF3106">
        <w:rPr>
          <w:b/>
          <w:i/>
          <w:noProof/>
          <w:sz w:val="24"/>
          <w:szCs w:val="24"/>
        </w:rPr>
        <w:t xml:space="preserve">: </w:t>
      </w:r>
      <w:r w:rsidRPr="00BF3106">
        <w:rPr>
          <w:noProof/>
          <w:sz w:val="24"/>
          <w:szCs w:val="24"/>
        </w:rPr>
        <w:t>Den anbefalede daglig dosis er 200 mg én gang dagligt eller fordelt på to doser. Hos nogle få patienter med utilstrækkelig symptomlindring, kan en dosisøgning til 400 mg én gang dagligt eller fordelt på to doser øge virkningen. Hvis der ikke ses en terapeutisk bedring inden for to uger, bør andre behandlingsmuligheder overvejes.</w:t>
      </w:r>
    </w:p>
    <w:p w:rsidR="008A2EC7" w:rsidRPr="00BF3106" w:rsidRDefault="008A2EC7" w:rsidP="008A2EC7">
      <w:pPr>
        <w:ind w:left="851"/>
        <w:rPr>
          <w:noProof/>
          <w:sz w:val="24"/>
          <w:szCs w:val="24"/>
        </w:rPr>
      </w:pPr>
    </w:p>
    <w:p w:rsidR="00A303DF" w:rsidRPr="00BF3106" w:rsidRDefault="00A303DF" w:rsidP="00A303DF">
      <w:pPr>
        <w:ind w:left="851"/>
        <w:rPr>
          <w:noProof/>
          <w:sz w:val="24"/>
          <w:szCs w:val="24"/>
        </w:rPr>
      </w:pPr>
      <w:r w:rsidRPr="00BF3106">
        <w:rPr>
          <w:noProof/>
          <w:sz w:val="24"/>
          <w:szCs w:val="24"/>
        </w:rPr>
        <w:t>Den anbefalede maksimale daglige dosis er 400 mg for alle indikationer.</w:t>
      </w:r>
    </w:p>
    <w:p w:rsidR="00A303DF" w:rsidRPr="00BF3106" w:rsidRDefault="00A303DF" w:rsidP="00A303DF">
      <w:pPr>
        <w:ind w:left="851"/>
        <w:rPr>
          <w:noProof/>
          <w:sz w:val="24"/>
          <w:szCs w:val="24"/>
        </w:rPr>
      </w:pPr>
    </w:p>
    <w:p w:rsidR="00A303DF" w:rsidRDefault="00A303DF" w:rsidP="00A303DF">
      <w:pPr>
        <w:ind w:left="851"/>
        <w:rPr>
          <w:noProof/>
          <w:sz w:val="24"/>
          <w:szCs w:val="24"/>
          <w:u w:val="single"/>
        </w:rPr>
      </w:pPr>
      <w:r w:rsidRPr="00BF3106">
        <w:rPr>
          <w:noProof/>
          <w:sz w:val="24"/>
          <w:szCs w:val="24"/>
          <w:u w:val="single"/>
        </w:rPr>
        <w:t>Særlige populationer</w:t>
      </w:r>
    </w:p>
    <w:p w:rsidR="00A303DF" w:rsidRPr="00BF3106" w:rsidRDefault="00A303DF" w:rsidP="00A303DF">
      <w:pPr>
        <w:ind w:left="851"/>
        <w:rPr>
          <w:noProof/>
          <w:sz w:val="24"/>
          <w:szCs w:val="24"/>
          <w:u w:val="single"/>
        </w:rPr>
      </w:pPr>
    </w:p>
    <w:p w:rsidR="00A303DF" w:rsidRDefault="00A303DF" w:rsidP="00A303DF">
      <w:pPr>
        <w:ind w:left="851"/>
        <w:rPr>
          <w:i/>
          <w:noProof/>
          <w:sz w:val="24"/>
          <w:szCs w:val="24"/>
        </w:rPr>
      </w:pPr>
      <w:r w:rsidRPr="00BF3106">
        <w:rPr>
          <w:i/>
          <w:noProof/>
          <w:sz w:val="24"/>
          <w:szCs w:val="24"/>
        </w:rPr>
        <w:t>Ældre</w:t>
      </w:r>
    </w:p>
    <w:p w:rsidR="00A303DF" w:rsidRDefault="00A303DF" w:rsidP="00A303DF">
      <w:pPr>
        <w:ind w:left="851"/>
        <w:rPr>
          <w:noProof/>
          <w:sz w:val="24"/>
          <w:szCs w:val="24"/>
        </w:rPr>
      </w:pPr>
      <w:r w:rsidRPr="00BF3106">
        <w:rPr>
          <w:noProof/>
          <w:sz w:val="24"/>
          <w:szCs w:val="24"/>
        </w:rPr>
        <w:t>Ligesom hos yngre voksne bør der indledningsvist anvendes 200 mg dagligt. Om nødvendigt kan dosis senere øges til 200 mg to gange dagligt. Der bør udvises særlig forsigtighed hos ældre patienter, der vejer under 50 kg (se pkt. 4.4 og 5.2).</w:t>
      </w:r>
    </w:p>
    <w:p w:rsidR="00A303DF" w:rsidRDefault="00A303DF" w:rsidP="00A303DF">
      <w:pPr>
        <w:ind w:left="851"/>
        <w:rPr>
          <w:noProof/>
          <w:sz w:val="24"/>
          <w:szCs w:val="24"/>
        </w:rPr>
      </w:pPr>
    </w:p>
    <w:p w:rsidR="00A303DF" w:rsidRPr="005967F8" w:rsidRDefault="00A303DF" w:rsidP="00A303DF">
      <w:pPr>
        <w:ind w:left="851"/>
        <w:rPr>
          <w:i/>
          <w:iCs/>
          <w:noProof/>
          <w:sz w:val="24"/>
          <w:szCs w:val="24"/>
        </w:rPr>
      </w:pPr>
      <w:r w:rsidRPr="005967F8">
        <w:rPr>
          <w:i/>
          <w:iCs/>
          <w:noProof/>
          <w:sz w:val="24"/>
          <w:szCs w:val="24"/>
        </w:rPr>
        <w:t>Pædiatrisk population</w:t>
      </w:r>
    </w:p>
    <w:p w:rsidR="00A303DF" w:rsidRDefault="00A303DF" w:rsidP="00A303DF">
      <w:pPr>
        <w:ind w:left="851"/>
        <w:rPr>
          <w:noProof/>
          <w:sz w:val="24"/>
          <w:szCs w:val="24"/>
        </w:rPr>
      </w:pPr>
      <w:r w:rsidRPr="0095604E">
        <w:rPr>
          <w:noProof/>
          <w:sz w:val="24"/>
          <w:szCs w:val="24"/>
        </w:rPr>
        <w:t>Celecoxib er ikke indiceret til børn.</w:t>
      </w:r>
      <w:bookmarkStart w:id="1" w:name="_GoBack"/>
      <w:bookmarkEnd w:id="1"/>
    </w:p>
    <w:p w:rsidR="00A303DF" w:rsidRDefault="00A303DF" w:rsidP="00A303DF">
      <w:pPr>
        <w:ind w:left="851"/>
        <w:rPr>
          <w:noProof/>
          <w:sz w:val="24"/>
          <w:szCs w:val="24"/>
        </w:rPr>
      </w:pPr>
    </w:p>
    <w:p w:rsidR="00A303DF" w:rsidRPr="00507BB4" w:rsidRDefault="00A303DF" w:rsidP="00A303DF">
      <w:pPr>
        <w:ind w:left="851"/>
        <w:rPr>
          <w:i/>
          <w:noProof/>
          <w:sz w:val="24"/>
          <w:szCs w:val="24"/>
        </w:rPr>
      </w:pPr>
      <w:r w:rsidRPr="00507BB4">
        <w:rPr>
          <w:i/>
          <w:noProof/>
          <w:sz w:val="24"/>
          <w:szCs w:val="24"/>
        </w:rPr>
        <w:t>Nedsat CYP2C9-metabolisering</w:t>
      </w:r>
    </w:p>
    <w:p w:rsidR="00A303DF" w:rsidRPr="00507BB4" w:rsidRDefault="00A303DF" w:rsidP="00A303DF">
      <w:pPr>
        <w:ind w:left="851"/>
        <w:rPr>
          <w:noProof/>
          <w:sz w:val="24"/>
          <w:szCs w:val="24"/>
        </w:rPr>
      </w:pPr>
      <w:r w:rsidRPr="00507BB4">
        <w:rPr>
          <w:noProof/>
          <w:sz w:val="24"/>
          <w:szCs w:val="24"/>
        </w:rPr>
        <w:t>Patienter med kendt eller formodet nedsat CYP2C9-metabolisering baseret på genotype</w:t>
      </w:r>
      <w:r w:rsidRPr="00507BB4">
        <w:rPr>
          <w:noProof/>
          <w:sz w:val="24"/>
          <w:szCs w:val="24"/>
        </w:rPr>
        <w:softHyphen/>
        <w:t xml:space="preserve">bestemmelse eller tidligere anamnese/erfaring med andre CYP2C9-substrater bør </w:t>
      </w:r>
      <w:r w:rsidRPr="00507BB4">
        <w:rPr>
          <w:noProof/>
          <w:sz w:val="24"/>
          <w:szCs w:val="24"/>
        </w:rPr>
        <w:lastRenderedPageBreak/>
        <w:t>behandles med forsigtighed med celecoxib på grund af øget risiko for dosisafhængige bivirkninger. Det bør overvejes at nedsætte dosis til halvdelen af den lavest anbefalede dosis (se pkt.</w:t>
      </w:r>
      <w:r>
        <w:rPr>
          <w:noProof/>
          <w:sz w:val="24"/>
          <w:szCs w:val="24"/>
        </w:rPr>
        <w:t> </w:t>
      </w:r>
      <w:r w:rsidRPr="00507BB4">
        <w:rPr>
          <w:noProof/>
          <w:sz w:val="24"/>
          <w:szCs w:val="24"/>
        </w:rPr>
        <w:t>5.2).</w:t>
      </w:r>
    </w:p>
    <w:p w:rsidR="00A303DF" w:rsidRDefault="00A303DF" w:rsidP="00A303DF">
      <w:pPr>
        <w:ind w:left="851"/>
        <w:rPr>
          <w:noProof/>
          <w:sz w:val="24"/>
          <w:szCs w:val="24"/>
        </w:rPr>
      </w:pPr>
    </w:p>
    <w:p w:rsidR="00A303DF" w:rsidRPr="00EA3307" w:rsidRDefault="00A303DF" w:rsidP="00A303DF">
      <w:pPr>
        <w:ind w:left="851"/>
        <w:rPr>
          <w:i/>
          <w:noProof/>
          <w:sz w:val="24"/>
          <w:szCs w:val="24"/>
        </w:rPr>
      </w:pPr>
      <w:r w:rsidRPr="00EA3307">
        <w:rPr>
          <w:i/>
          <w:noProof/>
          <w:sz w:val="24"/>
          <w:szCs w:val="24"/>
        </w:rPr>
        <w:t>Nedsat leverfunktion</w:t>
      </w:r>
    </w:p>
    <w:p w:rsidR="00A303DF" w:rsidRPr="00EA3307" w:rsidRDefault="00A303DF" w:rsidP="00A303DF">
      <w:pPr>
        <w:ind w:left="851"/>
        <w:rPr>
          <w:noProof/>
          <w:sz w:val="24"/>
          <w:szCs w:val="24"/>
        </w:rPr>
      </w:pPr>
      <w:r w:rsidRPr="00EA3307">
        <w:rPr>
          <w:noProof/>
          <w:sz w:val="24"/>
          <w:szCs w:val="24"/>
        </w:rPr>
        <w:t>Hos patienter med moderat nedsat leverfunktion (serumalbumin 25-35 g/l) bør behandlingen indledes med halvdelen af den anbefalede dosis. Erfaring hos sådanne patienter er begrænset til cirrhotiske patienter (se pkt.</w:t>
      </w:r>
      <w:r>
        <w:rPr>
          <w:noProof/>
          <w:sz w:val="24"/>
          <w:szCs w:val="24"/>
        </w:rPr>
        <w:t> </w:t>
      </w:r>
      <w:r w:rsidRPr="00EA3307">
        <w:rPr>
          <w:noProof/>
          <w:sz w:val="24"/>
          <w:szCs w:val="24"/>
        </w:rPr>
        <w:t>4.3, 4.4 og 5.2).</w:t>
      </w:r>
    </w:p>
    <w:p w:rsidR="00A303DF" w:rsidRPr="00BF3106" w:rsidRDefault="00A303DF" w:rsidP="00A303DF">
      <w:pPr>
        <w:ind w:left="851"/>
        <w:rPr>
          <w:noProof/>
          <w:sz w:val="24"/>
          <w:szCs w:val="24"/>
        </w:rPr>
      </w:pPr>
    </w:p>
    <w:p w:rsidR="00A303DF" w:rsidRPr="00BF3106" w:rsidRDefault="00A303DF" w:rsidP="00A303DF">
      <w:pPr>
        <w:ind w:left="851"/>
        <w:rPr>
          <w:noProof/>
          <w:sz w:val="24"/>
          <w:szCs w:val="24"/>
        </w:rPr>
      </w:pPr>
      <w:r w:rsidRPr="00BF3106">
        <w:rPr>
          <w:i/>
          <w:noProof/>
          <w:sz w:val="24"/>
          <w:szCs w:val="24"/>
        </w:rPr>
        <w:t>Nedsat nyrefunktion</w:t>
      </w:r>
      <w:r w:rsidRPr="00BF3106">
        <w:rPr>
          <w:noProof/>
          <w:sz w:val="24"/>
          <w:szCs w:val="24"/>
        </w:rPr>
        <w:t>: Der er begrænset erfaring med celecoxib hos patienter med let til moderat nedsat nyrefunktion, hvorfor sådanne patienter bør behandles med forsigtighed (se pkt. 4.3, 4.4 og 5.2).</w:t>
      </w:r>
    </w:p>
    <w:p w:rsidR="00A303DF" w:rsidRPr="00BF3106" w:rsidRDefault="00A303DF" w:rsidP="00A303DF">
      <w:pPr>
        <w:ind w:left="851"/>
        <w:rPr>
          <w:noProof/>
          <w:sz w:val="24"/>
          <w:szCs w:val="24"/>
        </w:rPr>
      </w:pPr>
    </w:p>
    <w:p w:rsidR="00A303DF" w:rsidRPr="00BF3106" w:rsidRDefault="00A303DF" w:rsidP="00A303DF">
      <w:pPr>
        <w:ind w:left="851"/>
        <w:rPr>
          <w:noProof/>
          <w:sz w:val="24"/>
          <w:szCs w:val="24"/>
          <w:u w:val="single"/>
        </w:rPr>
      </w:pPr>
      <w:r w:rsidRPr="00BF3106">
        <w:rPr>
          <w:noProof/>
          <w:sz w:val="24"/>
          <w:szCs w:val="24"/>
          <w:u w:val="single"/>
        </w:rPr>
        <w:t>Administration</w:t>
      </w:r>
    </w:p>
    <w:p w:rsidR="00A303DF" w:rsidRDefault="00A303DF" w:rsidP="00A303DF">
      <w:pPr>
        <w:ind w:left="851"/>
        <w:rPr>
          <w:noProof/>
          <w:sz w:val="24"/>
          <w:szCs w:val="24"/>
        </w:rPr>
      </w:pPr>
    </w:p>
    <w:p w:rsidR="00A303DF" w:rsidRPr="00BF3106" w:rsidRDefault="00A303DF" w:rsidP="00A303DF">
      <w:pPr>
        <w:ind w:left="851"/>
        <w:rPr>
          <w:noProof/>
          <w:sz w:val="24"/>
          <w:szCs w:val="24"/>
        </w:rPr>
      </w:pPr>
      <w:r w:rsidRPr="007F41CD">
        <w:rPr>
          <w:i/>
          <w:iCs/>
          <w:noProof/>
          <w:sz w:val="24"/>
          <w:szCs w:val="24"/>
        </w:rPr>
        <w:t>Oral anvendelse</w:t>
      </w:r>
    </w:p>
    <w:p w:rsidR="00A303DF" w:rsidRDefault="00A303DF" w:rsidP="00A303DF">
      <w:pPr>
        <w:ind w:left="851"/>
        <w:rPr>
          <w:noProof/>
          <w:sz w:val="24"/>
          <w:szCs w:val="24"/>
        </w:rPr>
      </w:pPr>
      <w:proofErr w:type="spellStart"/>
      <w:r w:rsidRPr="00BF3106">
        <w:rPr>
          <w:sz w:val="24"/>
          <w:szCs w:val="24"/>
        </w:rPr>
        <w:t>Celecoxib</w:t>
      </w:r>
      <w:proofErr w:type="spellEnd"/>
      <w:r w:rsidRPr="00BF3106">
        <w:rPr>
          <w:sz w:val="24"/>
          <w:szCs w:val="24"/>
        </w:rPr>
        <w:t xml:space="preserve"> </w:t>
      </w:r>
      <w:r>
        <w:rPr>
          <w:sz w:val="24"/>
          <w:szCs w:val="24"/>
        </w:rPr>
        <w:t>"Medical Valley"</w:t>
      </w:r>
      <w:r w:rsidRPr="00BF3106">
        <w:rPr>
          <w:sz w:val="24"/>
          <w:szCs w:val="24"/>
        </w:rPr>
        <w:t xml:space="preserve"> </w:t>
      </w:r>
      <w:r w:rsidRPr="00D1306A">
        <w:rPr>
          <w:noProof/>
          <w:sz w:val="24"/>
          <w:szCs w:val="24"/>
        </w:rPr>
        <w:t>kan tages med eller uden føde. Til patienter, der har svært ved at sluge kapsler, kan indholdet af en celecoxib-kapsel tilsættes æblemos, risvælling, yoghurt eller moset banan. I så fald skal hele kapslens indhold omhyggeligt hældes ud på en strøget teskefuld æblemos, risvælling, yoghurt eller moset banan, som er afkølet eller har stuetemperatur, og indtages straks sammen med 240 ml vand. Kapselindhold, der er hældt ud over æblemos, risvælling eller yoghurt, er stabilt i op til 6 timer, når det opbevares i køleskab (2</w:t>
      </w:r>
      <w:r w:rsidRPr="00D1306A">
        <w:rPr>
          <w:noProof/>
          <w:sz w:val="24"/>
          <w:szCs w:val="24"/>
        </w:rPr>
        <w:noBreakHyphen/>
        <w:t>8 °C).</w:t>
      </w:r>
      <w:r w:rsidRPr="00D1306A">
        <w:rPr>
          <w:b/>
          <w:bCs/>
          <w:noProof/>
          <w:sz w:val="24"/>
          <w:szCs w:val="24"/>
        </w:rPr>
        <w:t xml:space="preserve"> </w:t>
      </w:r>
      <w:r w:rsidRPr="00D1306A">
        <w:rPr>
          <w:noProof/>
          <w:sz w:val="24"/>
          <w:szCs w:val="24"/>
        </w:rPr>
        <w:t>Kapselindhold, der er hældt ud over moset banan, må ikke opbevares i køleskab og skal indtages straks.</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4.3</w:t>
      </w:r>
      <w:r w:rsidRPr="00BF3106">
        <w:rPr>
          <w:b/>
          <w:sz w:val="24"/>
          <w:szCs w:val="24"/>
        </w:rPr>
        <w:tab/>
        <w:t>Kontraindikationer</w:t>
      </w:r>
    </w:p>
    <w:p w:rsidR="008A2EC7" w:rsidRPr="00BF3106" w:rsidRDefault="008A2EC7" w:rsidP="008A2EC7">
      <w:pPr>
        <w:ind w:left="851"/>
        <w:rPr>
          <w:sz w:val="24"/>
          <w:szCs w:val="24"/>
        </w:rPr>
      </w:pPr>
      <w:r w:rsidRPr="00BF3106">
        <w:rPr>
          <w:sz w:val="24"/>
          <w:szCs w:val="24"/>
        </w:rPr>
        <w:t>Overfølsomhed over for det aktive stof eller over for et eller flere af hjælpestofferne anført i pkt. 6.1.</w:t>
      </w:r>
    </w:p>
    <w:p w:rsidR="008A2EC7" w:rsidRPr="00BF3106" w:rsidRDefault="008A2EC7" w:rsidP="008A2EC7">
      <w:pPr>
        <w:ind w:left="851"/>
        <w:rPr>
          <w:sz w:val="24"/>
          <w:szCs w:val="24"/>
        </w:rPr>
      </w:pPr>
    </w:p>
    <w:p w:rsidR="00A303DF" w:rsidRPr="006E2F5C" w:rsidRDefault="00A303DF" w:rsidP="00A303DF">
      <w:pPr>
        <w:ind w:left="851"/>
        <w:rPr>
          <w:sz w:val="24"/>
          <w:szCs w:val="24"/>
        </w:rPr>
      </w:pPr>
      <w:r w:rsidRPr="006E2F5C">
        <w:rPr>
          <w:sz w:val="24"/>
          <w:szCs w:val="24"/>
        </w:rPr>
        <w:t>Kendt overfølsomhed over for sulfonamider.</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 xml:space="preserve">Aktivt </w:t>
      </w:r>
      <w:proofErr w:type="spellStart"/>
      <w:r w:rsidRPr="00BF3106">
        <w:rPr>
          <w:sz w:val="24"/>
          <w:szCs w:val="24"/>
        </w:rPr>
        <w:t>peptisk</w:t>
      </w:r>
      <w:proofErr w:type="spellEnd"/>
      <w:r w:rsidRPr="00BF3106">
        <w:rPr>
          <w:sz w:val="24"/>
          <w:szCs w:val="24"/>
        </w:rPr>
        <w:t xml:space="preserve"> ulcus eller </w:t>
      </w:r>
      <w:proofErr w:type="spellStart"/>
      <w:r w:rsidRPr="00BF3106">
        <w:rPr>
          <w:sz w:val="24"/>
          <w:szCs w:val="24"/>
        </w:rPr>
        <w:t>gastrointestinal</w:t>
      </w:r>
      <w:proofErr w:type="spellEnd"/>
      <w:r w:rsidRPr="00BF3106">
        <w:rPr>
          <w:sz w:val="24"/>
          <w:szCs w:val="24"/>
        </w:rPr>
        <w:t xml:space="preserve"> (GI) blødning.</w:t>
      </w:r>
    </w:p>
    <w:p w:rsidR="008A2EC7" w:rsidRPr="00BF3106" w:rsidRDefault="008A2EC7" w:rsidP="008A2EC7">
      <w:pPr>
        <w:ind w:left="851"/>
        <w:rPr>
          <w:sz w:val="24"/>
          <w:szCs w:val="24"/>
        </w:rPr>
      </w:pPr>
    </w:p>
    <w:p w:rsidR="00A303DF" w:rsidRPr="007F41CD" w:rsidRDefault="00A303DF" w:rsidP="00A303DF">
      <w:pPr>
        <w:ind w:left="851"/>
        <w:rPr>
          <w:sz w:val="24"/>
          <w:szCs w:val="24"/>
          <w:lang w:val="nb-NO"/>
        </w:rPr>
      </w:pPr>
      <w:r w:rsidRPr="007F41CD">
        <w:rPr>
          <w:sz w:val="24"/>
          <w:szCs w:val="24"/>
          <w:lang w:val="nb-NO"/>
        </w:rPr>
        <w:t xml:space="preserve">Patienter, som tidligere har oplevet astma, akut rhinitis, nasale polypper, angioødem, urticaria eller anden type af allergisk reaktion efter at have taget acetylsalicylsyre eller andre non-steroide antiinflammatoriske midler </w:t>
      </w:r>
      <w:r>
        <w:rPr>
          <w:sz w:val="24"/>
          <w:szCs w:val="24"/>
          <w:lang w:val="nb-NO"/>
        </w:rPr>
        <w:t>(</w:t>
      </w:r>
      <w:r w:rsidRPr="007F41CD">
        <w:rPr>
          <w:sz w:val="24"/>
          <w:szCs w:val="24"/>
          <w:lang w:val="nb-NO"/>
        </w:rPr>
        <w:t>NSAID</w:t>
      </w:r>
      <w:r>
        <w:rPr>
          <w:sz w:val="24"/>
          <w:szCs w:val="24"/>
          <w:lang w:val="nb-NO"/>
        </w:rPr>
        <w:t>)</w:t>
      </w:r>
      <w:r w:rsidRPr="007F41CD">
        <w:rPr>
          <w:sz w:val="24"/>
          <w:szCs w:val="24"/>
          <w:lang w:val="nb-NO"/>
        </w:rPr>
        <w:t>, herunder COX-2-hæmmere.</w:t>
      </w:r>
    </w:p>
    <w:p w:rsidR="008A2EC7" w:rsidRPr="00A303DF" w:rsidRDefault="008A2EC7" w:rsidP="008A2EC7">
      <w:pPr>
        <w:ind w:left="851"/>
        <w:rPr>
          <w:sz w:val="24"/>
          <w:szCs w:val="24"/>
          <w:lang w:val="nb-NO"/>
        </w:rPr>
      </w:pPr>
    </w:p>
    <w:p w:rsidR="008A2EC7" w:rsidRPr="00BF3106" w:rsidRDefault="008A2EC7" w:rsidP="008A2EC7">
      <w:pPr>
        <w:ind w:left="851"/>
        <w:rPr>
          <w:sz w:val="24"/>
          <w:szCs w:val="24"/>
        </w:rPr>
      </w:pPr>
      <w:r w:rsidRPr="00BF3106">
        <w:rPr>
          <w:sz w:val="24"/>
          <w:szCs w:val="24"/>
        </w:rPr>
        <w:t xml:space="preserve">Under graviditet og til kvinder i den fertile alder, medmindre der anvendes sikker antikonception (se pkt. 4.6). Hos de to dyrearter, der er undersøgt, er det påvist, at </w:t>
      </w:r>
      <w:proofErr w:type="spellStart"/>
      <w:r w:rsidRPr="00BF3106">
        <w:rPr>
          <w:sz w:val="24"/>
          <w:szCs w:val="24"/>
        </w:rPr>
        <w:t>celecoxib</w:t>
      </w:r>
      <w:proofErr w:type="spellEnd"/>
      <w:r w:rsidRPr="00BF3106">
        <w:rPr>
          <w:sz w:val="24"/>
          <w:szCs w:val="24"/>
        </w:rPr>
        <w:t xml:space="preserve"> kan forårsage misdannelser (se pkt. 4.6 og 5.3). Den potentielle risiko under graviditet hos mennesker er ikke klarlagt, men kan ikke udelukkes.</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Amning (se pkt. 4.6 og 5.3).</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 xml:space="preserve">Svær leverdysfunktion (serumalbumin </w:t>
      </w:r>
      <w:r w:rsidRPr="00BF3106">
        <w:rPr>
          <w:sz w:val="24"/>
          <w:szCs w:val="24"/>
        </w:rPr>
        <w:sym w:font="Symbol" w:char="F03C"/>
      </w:r>
      <w:r w:rsidRPr="00BF3106">
        <w:rPr>
          <w:sz w:val="24"/>
          <w:szCs w:val="24"/>
        </w:rPr>
        <w:t> 25 g/l eller Child-</w:t>
      </w:r>
      <w:proofErr w:type="spellStart"/>
      <w:r w:rsidRPr="00BF3106">
        <w:rPr>
          <w:sz w:val="24"/>
          <w:szCs w:val="24"/>
        </w:rPr>
        <w:t>Pugh</w:t>
      </w:r>
      <w:proofErr w:type="spellEnd"/>
      <w:r w:rsidRPr="00BF3106">
        <w:rPr>
          <w:sz w:val="24"/>
          <w:szCs w:val="24"/>
        </w:rPr>
        <w:t xml:space="preserve">-score </w:t>
      </w:r>
      <w:r w:rsidRPr="00BF3106">
        <w:rPr>
          <w:sz w:val="24"/>
          <w:szCs w:val="24"/>
        </w:rPr>
        <w:sym w:font="Symbol" w:char="F0B3"/>
      </w:r>
      <w:r w:rsidRPr="00BF3106">
        <w:rPr>
          <w:sz w:val="24"/>
          <w:szCs w:val="24"/>
        </w:rPr>
        <w:t> 10).</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 xml:space="preserve">Patienter med estimeret </w:t>
      </w:r>
      <w:proofErr w:type="spellStart"/>
      <w:r w:rsidRPr="00BF3106">
        <w:rPr>
          <w:sz w:val="24"/>
          <w:szCs w:val="24"/>
        </w:rPr>
        <w:t>kreatininclearance</w:t>
      </w:r>
      <w:proofErr w:type="spellEnd"/>
      <w:r w:rsidRPr="00BF3106">
        <w:rPr>
          <w:sz w:val="24"/>
          <w:szCs w:val="24"/>
        </w:rPr>
        <w:t xml:space="preserve"> </w:t>
      </w:r>
      <w:r w:rsidRPr="00BF3106">
        <w:rPr>
          <w:sz w:val="24"/>
          <w:szCs w:val="24"/>
        </w:rPr>
        <w:sym w:font="Symbol" w:char="F03C"/>
      </w:r>
      <w:r w:rsidRPr="00BF3106">
        <w:rPr>
          <w:sz w:val="24"/>
          <w:szCs w:val="24"/>
        </w:rPr>
        <w:t> 30 ml/min.</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Inflammatorisk tarmsygdom.</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Kongestiv hjerteinsufficiens (NYHA II-IV).</w:t>
      </w:r>
    </w:p>
    <w:p w:rsidR="008A2EC7" w:rsidRPr="00BF3106" w:rsidRDefault="008A2EC7" w:rsidP="008A2EC7">
      <w:pPr>
        <w:ind w:left="851"/>
        <w:rPr>
          <w:sz w:val="24"/>
          <w:szCs w:val="24"/>
        </w:rPr>
      </w:pPr>
    </w:p>
    <w:p w:rsidR="008A2EC7" w:rsidRDefault="008A2EC7" w:rsidP="00A303DF">
      <w:pPr>
        <w:ind w:left="851"/>
        <w:rPr>
          <w:sz w:val="24"/>
          <w:szCs w:val="24"/>
        </w:rPr>
      </w:pPr>
      <w:r w:rsidRPr="00BF3106">
        <w:rPr>
          <w:sz w:val="24"/>
          <w:szCs w:val="24"/>
        </w:rPr>
        <w:t xml:space="preserve">Konstateret iskæmisk hjertesygdom, perifer arteriel sygdom og/eller </w:t>
      </w:r>
      <w:proofErr w:type="spellStart"/>
      <w:r w:rsidRPr="00BF3106">
        <w:rPr>
          <w:sz w:val="24"/>
          <w:szCs w:val="24"/>
        </w:rPr>
        <w:t>cerebrovaskulær</w:t>
      </w:r>
      <w:proofErr w:type="spellEnd"/>
      <w:r w:rsidRPr="00BF3106">
        <w:rPr>
          <w:sz w:val="24"/>
          <w:szCs w:val="24"/>
        </w:rPr>
        <w:t xml:space="preserve"> sygdom.</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4.4</w:t>
      </w:r>
      <w:r w:rsidRPr="00BF3106">
        <w:rPr>
          <w:b/>
          <w:sz w:val="24"/>
          <w:szCs w:val="24"/>
        </w:rPr>
        <w:tab/>
        <w:t>Særlige advarsler og forsigtighedsregler vedrørende brugen</w:t>
      </w:r>
    </w:p>
    <w:p w:rsidR="008A2EC7" w:rsidRDefault="008A2EC7" w:rsidP="008A2EC7">
      <w:pPr>
        <w:ind w:left="851"/>
        <w:rPr>
          <w:sz w:val="24"/>
          <w:szCs w:val="24"/>
          <w:u w:val="single"/>
        </w:rPr>
      </w:pPr>
    </w:p>
    <w:p w:rsidR="00A303DF" w:rsidRPr="00BF3106" w:rsidRDefault="00A303DF" w:rsidP="00A303DF">
      <w:pPr>
        <w:ind w:left="851"/>
        <w:rPr>
          <w:sz w:val="24"/>
          <w:szCs w:val="24"/>
          <w:u w:val="single"/>
        </w:rPr>
      </w:pPr>
      <w:proofErr w:type="spellStart"/>
      <w:r w:rsidRPr="00BF3106">
        <w:rPr>
          <w:sz w:val="24"/>
          <w:szCs w:val="24"/>
          <w:u w:val="single"/>
        </w:rPr>
        <w:t>Gastrointestinale</w:t>
      </w:r>
      <w:proofErr w:type="spellEnd"/>
      <w:r w:rsidRPr="00BF3106">
        <w:rPr>
          <w:sz w:val="24"/>
          <w:szCs w:val="24"/>
          <w:u w:val="single"/>
        </w:rPr>
        <w:t xml:space="preserve"> (GI) påvirkninger</w:t>
      </w:r>
    </w:p>
    <w:p w:rsidR="00A303DF" w:rsidRPr="00BF3106" w:rsidRDefault="00A303DF" w:rsidP="00A303DF">
      <w:pPr>
        <w:ind w:left="851"/>
        <w:rPr>
          <w:sz w:val="24"/>
          <w:szCs w:val="24"/>
        </w:rPr>
      </w:pPr>
      <w:r w:rsidRPr="00BF3106">
        <w:rPr>
          <w:sz w:val="24"/>
          <w:szCs w:val="24"/>
        </w:rPr>
        <w:t xml:space="preserve">Der er set øvre og nedre </w:t>
      </w:r>
      <w:proofErr w:type="spellStart"/>
      <w:r w:rsidRPr="00BF3106">
        <w:rPr>
          <w:sz w:val="24"/>
          <w:szCs w:val="24"/>
        </w:rPr>
        <w:t>gastrointestinale</w:t>
      </w:r>
      <w:proofErr w:type="spellEnd"/>
      <w:r w:rsidRPr="00BF3106">
        <w:rPr>
          <w:sz w:val="24"/>
          <w:szCs w:val="24"/>
        </w:rPr>
        <w:t xml:space="preserve"> komplikationer (perforationer, </w:t>
      </w:r>
      <w:proofErr w:type="spellStart"/>
      <w:r w:rsidRPr="00BF3106">
        <w:rPr>
          <w:sz w:val="24"/>
          <w:szCs w:val="24"/>
        </w:rPr>
        <w:t>ulcera</w:t>
      </w:r>
      <w:proofErr w:type="spellEnd"/>
      <w:r w:rsidRPr="00BF3106">
        <w:rPr>
          <w:sz w:val="24"/>
          <w:szCs w:val="24"/>
        </w:rPr>
        <w:t xml:space="preserve"> og blødninger (PUB)), nogle med fatal udgang, hos patienter behandlet med </w:t>
      </w:r>
      <w:proofErr w:type="spellStart"/>
      <w:r w:rsidRPr="00BF3106">
        <w:rPr>
          <w:sz w:val="24"/>
          <w:szCs w:val="24"/>
        </w:rPr>
        <w:t>celecoxib</w:t>
      </w:r>
      <w:proofErr w:type="spellEnd"/>
      <w:r w:rsidRPr="00BF3106">
        <w:rPr>
          <w:sz w:val="24"/>
          <w:szCs w:val="24"/>
        </w:rPr>
        <w:t xml:space="preserve">. Der bør udvises forsigtighed ved behandling af patienter, der har høj risiko for at udvikle </w:t>
      </w:r>
      <w:proofErr w:type="spellStart"/>
      <w:r w:rsidRPr="00BF3106">
        <w:rPr>
          <w:sz w:val="24"/>
          <w:szCs w:val="24"/>
        </w:rPr>
        <w:t>gastrointestinale</w:t>
      </w:r>
      <w:proofErr w:type="spellEnd"/>
      <w:r w:rsidRPr="00BF3106">
        <w:rPr>
          <w:sz w:val="24"/>
          <w:szCs w:val="24"/>
        </w:rPr>
        <w:t xml:space="preserve"> komplikationer i forbindelse med </w:t>
      </w:r>
      <w:proofErr w:type="spellStart"/>
      <w:r w:rsidRPr="00BF3106">
        <w:rPr>
          <w:sz w:val="24"/>
          <w:szCs w:val="24"/>
        </w:rPr>
        <w:t>NSAID’er</w:t>
      </w:r>
      <w:proofErr w:type="spellEnd"/>
      <w:r w:rsidRPr="00BF3106">
        <w:rPr>
          <w:sz w:val="24"/>
          <w:szCs w:val="24"/>
        </w:rPr>
        <w:t xml:space="preserve">: ældre personer, patienter, som samtidig får et andet NSAID eller </w:t>
      </w:r>
      <w:proofErr w:type="spellStart"/>
      <w:r>
        <w:rPr>
          <w:sz w:val="24"/>
          <w:szCs w:val="24"/>
        </w:rPr>
        <w:t>trombocythæmmere</w:t>
      </w:r>
      <w:proofErr w:type="spellEnd"/>
      <w:r>
        <w:rPr>
          <w:sz w:val="24"/>
          <w:szCs w:val="24"/>
        </w:rPr>
        <w:t xml:space="preserve"> (som f.eks. </w:t>
      </w:r>
      <w:r w:rsidRPr="00BF3106">
        <w:rPr>
          <w:sz w:val="24"/>
          <w:szCs w:val="24"/>
        </w:rPr>
        <w:t>acetylsalicylsyre</w:t>
      </w:r>
      <w:r>
        <w:rPr>
          <w:sz w:val="24"/>
          <w:szCs w:val="24"/>
        </w:rPr>
        <w:t>)</w:t>
      </w:r>
      <w:r w:rsidRPr="00BF3106">
        <w:rPr>
          <w:sz w:val="24"/>
          <w:szCs w:val="24"/>
        </w:rPr>
        <w:t xml:space="preserve"> eller </w:t>
      </w:r>
      <w:proofErr w:type="spellStart"/>
      <w:r w:rsidRPr="00BF3106">
        <w:rPr>
          <w:sz w:val="24"/>
          <w:szCs w:val="24"/>
        </w:rPr>
        <w:t>glukokortikoider</w:t>
      </w:r>
      <w:proofErr w:type="spellEnd"/>
      <w:r w:rsidRPr="00BF3106">
        <w:rPr>
          <w:sz w:val="24"/>
          <w:szCs w:val="24"/>
        </w:rPr>
        <w:t xml:space="preserve">, patienter, der drikker alkohol, eller patienter, der tidligere har haft en </w:t>
      </w:r>
      <w:proofErr w:type="spellStart"/>
      <w:r w:rsidRPr="00BF3106">
        <w:rPr>
          <w:sz w:val="24"/>
          <w:szCs w:val="24"/>
        </w:rPr>
        <w:t>gastrointestinal</w:t>
      </w:r>
      <w:proofErr w:type="spellEnd"/>
      <w:r w:rsidRPr="00BF3106">
        <w:rPr>
          <w:sz w:val="24"/>
          <w:szCs w:val="24"/>
        </w:rPr>
        <w:t xml:space="preserve"> sygdom, som f.eks. </w:t>
      </w:r>
      <w:proofErr w:type="spellStart"/>
      <w:r w:rsidRPr="00BF3106">
        <w:rPr>
          <w:sz w:val="24"/>
          <w:szCs w:val="24"/>
        </w:rPr>
        <w:t>ulceration</w:t>
      </w:r>
      <w:proofErr w:type="spellEnd"/>
      <w:r w:rsidRPr="00BF3106">
        <w:rPr>
          <w:sz w:val="24"/>
          <w:szCs w:val="24"/>
        </w:rPr>
        <w:t xml:space="preserve"> eller </w:t>
      </w:r>
      <w:proofErr w:type="spellStart"/>
      <w:r w:rsidRPr="00BF3106">
        <w:rPr>
          <w:sz w:val="24"/>
          <w:szCs w:val="24"/>
        </w:rPr>
        <w:t>gastrointestinal</w:t>
      </w:r>
      <w:proofErr w:type="spellEnd"/>
      <w:r w:rsidRPr="00BF3106">
        <w:rPr>
          <w:sz w:val="24"/>
          <w:szCs w:val="24"/>
        </w:rPr>
        <w:t xml:space="preserve"> blødning.</w:t>
      </w:r>
    </w:p>
    <w:p w:rsidR="008A2EC7" w:rsidRPr="00BF3106" w:rsidRDefault="008A2EC7" w:rsidP="008A2EC7">
      <w:pPr>
        <w:ind w:left="851"/>
        <w:rPr>
          <w:sz w:val="24"/>
          <w:szCs w:val="24"/>
        </w:rPr>
      </w:pPr>
    </w:p>
    <w:p w:rsidR="00A303DF" w:rsidRDefault="00A303DF" w:rsidP="00A303DF">
      <w:pPr>
        <w:ind w:left="851"/>
        <w:rPr>
          <w:sz w:val="24"/>
          <w:szCs w:val="24"/>
        </w:rPr>
      </w:pPr>
      <w:r w:rsidRPr="00BF3106">
        <w:rPr>
          <w:sz w:val="24"/>
          <w:szCs w:val="24"/>
        </w:rPr>
        <w:t xml:space="preserve">Der er yderligere øget risiko for </w:t>
      </w:r>
      <w:proofErr w:type="spellStart"/>
      <w:r w:rsidRPr="00BF3106">
        <w:rPr>
          <w:sz w:val="24"/>
          <w:szCs w:val="24"/>
        </w:rPr>
        <w:t>gastrointestinale</w:t>
      </w:r>
      <w:proofErr w:type="spellEnd"/>
      <w:r w:rsidRPr="00BF3106">
        <w:rPr>
          <w:sz w:val="24"/>
          <w:szCs w:val="24"/>
        </w:rPr>
        <w:t xml:space="preserve"> bivirkninger (</w:t>
      </w:r>
      <w:proofErr w:type="spellStart"/>
      <w:r w:rsidRPr="00BF3106">
        <w:rPr>
          <w:sz w:val="24"/>
          <w:szCs w:val="24"/>
        </w:rPr>
        <w:t>gastrointestinale</w:t>
      </w:r>
      <w:proofErr w:type="spellEnd"/>
      <w:r w:rsidRPr="00BF3106">
        <w:rPr>
          <w:sz w:val="24"/>
          <w:szCs w:val="24"/>
        </w:rPr>
        <w:t xml:space="preserve"> </w:t>
      </w:r>
      <w:proofErr w:type="spellStart"/>
      <w:r w:rsidRPr="00BF3106">
        <w:rPr>
          <w:sz w:val="24"/>
          <w:szCs w:val="24"/>
        </w:rPr>
        <w:t>ulcera</w:t>
      </w:r>
      <w:proofErr w:type="spellEnd"/>
      <w:r w:rsidRPr="00BF3106">
        <w:rPr>
          <w:sz w:val="24"/>
          <w:szCs w:val="24"/>
        </w:rPr>
        <w:t xml:space="preserve"> eller andre </w:t>
      </w:r>
      <w:proofErr w:type="spellStart"/>
      <w:r w:rsidRPr="00BF3106">
        <w:rPr>
          <w:sz w:val="24"/>
          <w:szCs w:val="24"/>
        </w:rPr>
        <w:t>gastrointestinale</w:t>
      </w:r>
      <w:proofErr w:type="spellEnd"/>
      <w:r w:rsidRPr="00BF3106">
        <w:rPr>
          <w:sz w:val="24"/>
          <w:szCs w:val="24"/>
        </w:rPr>
        <w:t xml:space="preserve"> komplikationer), hvis </w:t>
      </w:r>
      <w:proofErr w:type="spellStart"/>
      <w:r w:rsidRPr="00BF3106">
        <w:rPr>
          <w:sz w:val="24"/>
          <w:szCs w:val="24"/>
        </w:rPr>
        <w:t>celecoxib</w:t>
      </w:r>
      <w:proofErr w:type="spellEnd"/>
      <w:r w:rsidRPr="00BF3106">
        <w:rPr>
          <w:sz w:val="24"/>
          <w:szCs w:val="24"/>
        </w:rPr>
        <w:t xml:space="preserve"> tages samtidig med acetylsalicylsyre (selv i lave doser).</w:t>
      </w:r>
    </w:p>
    <w:p w:rsidR="00A303DF" w:rsidRPr="00BF3106" w:rsidRDefault="00A303DF" w:rsidP="00A303DF">
      <w:pPr>
        <w:ind w:left="851"/>
        <w:rPr>
          <w:sz w:val="24"/>
          <w:szCs w:val="24"/>
        </w:rPr>
      </w:pPr>
    </w:p>
    <w:p w:rsidR="00A303DF" w:rsidRPr="00BF3106" w:rsidRDefault="00A303DF" w:rsidP="00A303DF">
      <w:pPr>
        <w:ind w:left="851"/>
        <w:rPr>
          <w:sz w:val="24"/>
          <w:szCs w:val="24"/>
        </w:rPr>
      </w:pPr>
      <w:r w:rsidRPr="00BF3106">
        <w:rPr>
          <w:sz w:val="24"/>
          <w:szCs w:val="24"/>
        </w:rPr>
        <w:t xml:space="preserve">Der er ikke påvist nogen signifikant forskel i den </w:t>
      </w:r>
      <w:proofErr w:type="spellStart"/>
      <w:r w:rsidRPr="00BF3106">
        <w:rPr>
          <w:sz w:val="24"/>
          <w:szCs w:val="24"/>
        </w:rPr>
        <w:t>gastrointestinale</w:t>
      </w:r>
      <w:proofErr w:type="spellEnd"/>
      <w:r w:rsidRPr="00BF3106">
        <w:rPr>
          <w:sz w:val="24"/>
          <w:szCs w:val="24"/>
        </w:rPr>
        <w:t xml:space="preserve"> sikkerhed mellem selektive COX-2 </w:t>
      </w:r>
      <w:proofErr w:type="spellStart"/>
      <w:r w:rsidRPr="00BF3106">
        <w:rPr>
          <w:sz w:val="24"/>
          <w:szCs w:val="24"/>
        </w:rPr>
        <w:t>hæmmere</w:t>
      </w:r>
      <w:proofErr w:type="spellEnd"/>
      <w:r w:rsidRPr="00BF3106">
        <w:rPr>
          <w:sz w:val="24"/>
          <w:szCs w:val="24"/>
        </w:rPr>
        <w:t xml:space="preserve"> + acetylsalicylsyre </w:t>
      </w:r>
      <w:r w:rsidRPr="00BF3106">
        <w:rPr>
          <w:i/>
          <w:sz w:val="24"/>
          <w:szCs w:val="24"/>
        </w:rPr>
        <w:t xml:space="preserve">vs. </w:t>
      </w:r>
      <w:proofErr w:type="spellStart"/>
      <w:r w:rsidRPr="00BF3106">
        <w:rPr>
          <w:sz w:val="24"/>
          <w:szCs w:val="24"/>
        </w:rPr>
        <w:t>NSAID’er</w:t>
      </w:r>
      <w:proofErr w:type="spellEnd"/>
      <w:r w:rsidRPr="00BF3106">
        <w:rPr>
          <w:sz w:val="24"/>
          <w:szCs w:val="24"/>
        </w:rPr>
        <w:t xml:space="preserve"> + acetylsalicylsyre i kliniske langtidsforsøg (se pkt. 5.1).</w:t>
      </w:r>
    </w:p>
    <w:p w:rsidR="00A303DF" w:rsidRPr="00BF3106" w:rsidRDefault="00A303DF" w:rsidP="00A303DF">
      <w:pPr>
        <w:ind w:left="851"/>
        <w:rPr>
          <w:sz w:val="24"/>
          <w:szCs w:val="24"/>
        </w:rPr>
      </w:pPr>
    </w:p>
    <w:p w:rsidR="00A303DF" w:rsidRPr="00BF3106" w:rsidRDefault="00A303DF" w:rsidP="00A303DF">
      <w:pPr>
        <w:ind w:left="851"/>
        <w:rPr>
          <w:sz w:val="24"/>
          <w:szCs w:val="24"/>
        </w:rPr>
      </w:pPr>
      <w:r w:rsidRPr="00BF3106">
        <w:rPr>
          <w:sz w:val="24"/>
          <w:szCs w:val="24"/>
          <w:u w:val="single"/>
        </w:rPr>
        <w:t>Samtidig behandling med NSAID</w:t>
      </w:r>
    </w:p>
    <w:p w:rsidR="00A303DF" w:rsidRPr="00BF3106" w:rsidRDefault="00A303DF" w:rsidP="00A303DF">
      <w:pPr>
        <w:ind w:left="851"/>
        <w:rPr>
          <w:sz w:val="24"/>
          <w:szCs w:val="24"/>
        </w:rPr>
      </w:pPr>
      <w:r w:rsidRPr="00BF3106">
        <w:rPr>
          <w:sz w:val="24"/>
          <w:szCs w:val="24"/>
        </w:rPr>
        <w:t xml:space="preserve">Samtidig behandling med </w:t>
      </w:r>
      <w:proofErr w:type="spellStart"/>
      <w:r w:rsidRPr="00BF3106">
        <w:rPr>
          <w:sz w:val="24"/>
          <w:szCs w:val="24"/>
        </w:rPr>
        <w:t>celecoxib</w:t>
      </w:r>
      <w:proofErr w:type="spellEnd"/>
      <w:r w:rsidRPr="00BF3106">
        <w:rPr>
          <w:sz w:val="24"/>
          <w:szCs w:val="24"/>
        </w:rPr>
        <w:t xml:space="preserve"> og et </w:t>
      </w:r>
      <w:r w:rsidRPr="00A6363D">
        <w:rPr>
          <w:sz w:val="24"/>
          <w:szCs w:val="24"/>
        </w:rPr>
        <w:t>ikke</w:t>
      </w:r>
      <w:r>
        <w:rPr>
          <w:sz w:val="24"/>
          <w:szCs w:val="24"/>
        </w:rPr>
        <w:t>-acetylsyre</w:t>
      </w:r>
      <w:r w:rsidRPr="00A6363D">
        <w:rPr>
          <w:sz w:val="24"/>
          <w:szCs w:val="24"/>
        </w:rPr>
        <w:t>holdigt NSAID</w:t>
      </w:r>
      <w:r w:rsidRPr="00BF3106">
        <w:rPr>
          <w:sz w:val="24"/>
          <w:szCs w:val="24"/>
        </w:rPr>
        <w:t xml:space="preserve"> bør undgås.</w:t>
      </w:r>
    </w:p>
    <w:p w:rsidR="008A2EC7" w:rsidRPr="00BF3106" w:rsidRDefault="008A2EC7" w:rsidP="008A2EC7">
      <w:pPr>
        <w:ind w:left="851"/>
        <w:rPr>
          <w:sz w:val="24"/>
          <w:szCs w:val="24"/>
        </w:rPr>
      </w:pPr>
    </w:p>
    <w:p w:rsidR="00A303DF" w:rsidRPr="00BF3106" w:rsidRDefault="00A303DF" w:rsidP="00A303DF">
      <w:pPr>
        <w:ind w:left="851"/>
        <w:rPr>
          <w:sz w:val="24"/>
          <w:szCs w:val="24"/>
          <w:u w:val="single"/>
        </w:rPr>
      </w:pPr>
      <w:proofErr w:type="spellStart"/>
      <w:r w:rsidRPr="00BF3106">
        <w:rPr>
          <w:sz w:val="24"/>
          <w:szCs w:val="24"/>
          <w:u w:val="single"/>
        </w:rPr>
        <w:t>Kardiovaskulære</w:t>
      </w:r>
      <w:proofErr w:type="spellEnd"/>
      <w:r w:rsidRPr="00BF3106">
        <w:rPr>
          <w:sz w:val="24"/>
          <w:szCs w:val="24"/>
          <w:u w:val="single"/>
        </w:rPr>
        <w:t xml:space="preserve"> virkninger</w:t>
      </w:r>
    </w:p>
    <w:p w:rsidR="00A303DF" w:rsidRPr="00BF3106" w:rsidRDefault="00A303DF" w:rsidP="00A303DF">
      <w:pPr>
        <w:ind w:left="851"/>
        <w:rPr>
          <w:sz w:val="24"/>
          <w:szCs w:val="24"/>
        </w:rPr>
      </w:pPr>
      <w:r w:rsidRPr="00BF3106">
        <w:rPr>
          <w:sz w:val="24"/>
          <w:szCs w:val="24"/>
        </w:rPr>
        <w:t xml:space="preserve">Der er set et øget antal alvorlige </w:t>
      </w:r>
      <w:proofErr w:type="spellStart"/>
      <w:r w:rsidRPr="00BF3106">
        <w:rPr>
          <w:sz w:val="24"/>
          <w:szCs w:val="24"/>
        </w:rPr>
        <w:t>kardiovaskulære</w:t>
      </w:r>
      <w:proofErr w:type="spellEnd"/>
      <w:r>
        <w:rPr>
          <w:sz w:val="24"/>
          <w:szCs w:val="24"/>
        </w:rPr>
        <w:t xml:space="preserve"> (CV)</w:t>
      </w:r>
      <w:r w:rsidRPr="00BF3106">
        <w:rPr>
          <w:sz w:val="24"/>
          <w:szCs w:val="24"/>
        </w:rPr>
        <w:t xml:space="preserve"> hændelser, hovedsagelig myokardieinfarkt, i placebokontrollerede langtidsforsøg hos personer med sporadisk </w:t>
      </w:r>
      <w:proofErr w:type="spellStart"/>
      <w:r w:rsidRPr="00BF3106">
        <w:rPr>
          <w:sz w:val="24"/>
          <w:szCs w:val="24"/>
        </w:rPr>
        <w:t>adenomatøs</w:t>
      </w:r>
      <w:proofErr w:type="spellEnd"/>
      <w:r w:rsidRPr="00BF3106">
        <w:rPr>
          <w:sz w:val="24"/>
          <w:szCs w:val="24"/>
        </w:rPr>
        <w:t xml:space="preserve"> polypose behandlet med </w:t>
      </w:r>
      <w:proofErr w:type="spellStart"/>
      <w:r w:rsidRPr="00BF3106">
        <w:rPr>
          <w:sz w:val="24"/>
          <w:szCs w:val="24"/>
        </w:rPr>
        <w:t>celecoxib</w:t>
      </w:r>
      <w:proofErr w:type="spellEnd"/>
      <w:r w:rsidRPr="00BF3106">
        <w:rPr>
          <w:sz w:val="24"/>
          <w:szCs w:val="24"/>
        </w:rPr>
        <w:t xml:space="preserve"> i doser på 200 mg to gange dagligt og 400 mg to gange dagligt sammenlignet med placebo (se pkt. 5.1).</w:t>
      </w:r>
    </w:p>
    <w:p w:rsidR="00A303DF" w:rsidRPr="00BF3106" w:rsidRDefault="00A303DF" w:rsidP="00A303DF">
      <w:pPr>
        <w:ind w:left="851"/>
        <w:rPr>
          <w:sz w:val="24"/>
          <w:szCs w:val="24"/>
        </w:rPr>
      </w:pPr>
    </w:p>
    <w:p w:rsidR="00A303DF" w:rsidRPr="00BF3106" w:rsidRDefault="00A303DF" w:rsidP="00A303DF">
      <w:pPr>
        <w:ind w:left="851"/>
        <w:rPr>
          <w:sz w:val="24"/>
          <w:szCs w:val="24"/>
        </w:rPr>
      </w:pPr>
      <w:r w:rsidRPr="00BF3106">
        <w:rPr>
          <w:sz w:val="24"/>
          <w:szCs w:val="24"/>
        </w:rPr>
        <w:t xml:space="preserve">Da den </w:t>
      </w:r>
      <w:proofErr w:type="spellStart"/>
      <w:r w:rsidRPr="00BF3106">
        <w:rPr>
          <w:sz w:val="24"/>
          <w:szCs w:val="24"/>
        </w:rPr>
        <w:t>kardiovaskulære</w:t>
      </w:r>
      <w:proofErr w:type="spellEnd"/>
      <w:r w:rsidRPr="00BF3106">
        <w:rPr>
          <w:sz w:val="24"/>
          <w:szCs w:val="24"/>
        </w:rPr>
        <w:t xml:space="preserve"> risiko ved brug af </w:t>
      </w:r>
      <w:proofErr w:type="spellStart"/>
      <w:r w:rsidRPr="00BF3106">
        <w:rPr>
          <w:sz w:val="24"/>
          <w:szCs w:val="24"/>
        </w:rPr>
        <w:t>celecoxib</w:t>
      </w:r>
      <w:proofErr w:type="spellEnd"/>
      <w:r w:rsidRPr="00BF3106">
        <w:rPr>
          <w:sz w:val="24"/>
          <w:szCs w:val="24"/>
        </w:rPr>
        <w:t xml:space="preserve"> kan øges med dosis og behandlingsvarighed, bør der anvendes den laveste effektive daglige dosis i så kort tid som muligt. </w:t>
      </w:r>
      <w:r w:rsidRPr="00EF35DC">
        <w:rPr>
          <w:sz w:val="24"/>
          <w:szCs w:val="24"/>
        </w:rPr>
        <w:t>NSAID, herunder selektive COX</w:t>
      </w:r>
      <w:r w:rsidRPr="00EF35DC">
        <w:rPr>
          <w:sz w:val="24"/>
          <w:szCs w:val="24"/>
        </w:rPr>
        <w:noBreakHyphen/>
        <w:t xml:space="preserve">2-hæmmere har været forbundet med øget risiko for </w:t>
      </w:r>
      <w:proofErr w:type="spellStart"/>
      <w:r w:rsidRPr="00EF35DC">
        <w:rPr>
          <w:sz w:val="24"/>
          <w:szCs w:val="24"/>
        </w:rPr>
        <w:t>kardiovaskulære</w:t>
      </w:r>
      <w:proofErr w:type="spellEnd"/>
      <w:r w:rsidRPr="00EF35DC">
        <w:rPr>
          <w:sz w:val="24"/>
          <w:szCs w:val="24"/>
        </w:rPr>
        <w:t xml:space="preserve"> og </w:t>
      </w:r>
      <w:proofErr w:type="spellStart"/>
      <w:r w:rsidRPr="00EF35DC">
        <w:rPr>
          <w:sz w:val="24"/>
          <w:szCs w:val="24"/>
        </w:rPr>
        <w:t>trombotiske</w:t>
      </w:r>
      <w:proofErr w:type="spellEnd"/>
      <w:r w:rsidRPr="00EF35DC">
        <w:rPr>
          <w:sz w:val="24"/>
          <w:szCs w:val="24"/>
        </w:rPr>
        <w:t xml:space="preserve"> uønskede hændelser ved langtidsbehandling. Det nøjagtige omfang af risikoen efter en enkelt dosis er ikke blevet fastlagt. Ligeledes er den nøjagtige behandlingsvarighed, som er forbundet med øget risiko, heller ikke fastlagt</w:t>
      </w:r>
      <w:r>
        <w:rPr>
          <w:sz w:val="24"/>
          <w:szCs w:val="24"/>
        </w:rPr>
        <w:t xml:space="preserve">. </w:t>
      </w:r>
      <w:r w:rsidRPr="00BF3106">
        <w:rPr>
          <w:sz w:val="24"/>
          <w:szCs w:val="24"/>
        </w:rPr>
        <w:t xml:space="preserve">Patientens behov for symptomlindring og behandlingsrespons bør revurderes med jævne mellemrum, især hos patienter med </w:t>
      </w:r>
      <w:proofErr w:type="spellStart"/>
      <w:r w:rsidRPr="00BF3106">
        <w:rPr>
          <w:sz w:val="24"/>
          <w:szCs w:val="24"/>
        </w:rPr>
        <w:t>osteoarthrosis</w:t>
      </w:r>
      <w:proofErr w:type="spellEnd"/>
      <w:r w:rsidRPr="00BF3106">
        <w:rPr>
          <w:sz w:val="24"/>
          <w:szCs w:val="24"/>
        </w:rPr>
        <w:t xml:space="preserve"> (se pkt. 4.2, 4.3, 4.8 og 5.1).</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 xml:space="preserve">Patienter med signifikante risikofaktorer for </w:t>
      </w:r>
      <w:proofErr w:type="spellStart"/>
      <w:r w:rsidRPr="00BF3106">
        <w:rPr>
          <w:sz w:val="24"/>
          <w:szCs w:val="24"/>
        </w:rPr>
        <w:t>kardiovaskulære</w:t>
      </w:r>
      <w:proofErr w:type="spellEnd"/>
      <w:r w:rsidRPr="00BF3106">
        <w:rPr>
          <w:sz w:val="24"/>
          <w:szCs w:val="24"/>
        </w:rPr>
        <w:t xml:space="preserve"> hændelser (f.eks. hypertension, </w:t>
      </w:r>
      <w:proofErr w:type="spellStart"/>
      <w:r w:rsidRPr="00BF3106">
        <w:rPr>
          <w:sz w:val="24"/>
          <w:szCs w:val="24"/>
        </w:rPr>
        <w:t>hyperlipidæmi</w:t>
      </w:r>
      <w:proofErr w:type="spellEnd"/>
      <w:r w:rsidRPr="00BF3106">
        <w:rPr>
          <w:sz w:val="24"/>
          <w:szCs w:val="24"/>
        </w:rPr>
        <w:t xml:space="preserve">, diabetes mellitus, rygning) bør kun behandles med </w:t>
      </w:r>
      <w:proofErr w:type="spellStart"/>
      <w:r w:rsidRPr="00BF3106">
        <w:rPr>
          <w:sz w:val="24"/>
          <w:szCs w:val="24"/>
        </w:rPr>
        <w:t>celecoxib</w:t>
      </w:r>
      <w:proofErr w:type="spellEnd"/>
      <w:r w:rsidRPr="00BF3106">
        <w:rPr>
          <w:sz w:val="24"/>
          <w:szCs w:val="24"/>
        </w:rPr>
        <w:t xml:space="preserve"> efter nøje overvejelser (se pkt. 5.1).</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 xml:space="preserve">På grund af deres manglende </w:t>
      </w:r>
      <w:proofErr w:type="spellStart"/>
      <w:r w:rsidRPr="00BF3106">
        <w:rPr>
          <w:sz w:val="24"/>
          <w:szCs w:val="24"/>
        </w:rPr>
        <w:t>antitrombotiske</w:t>
      </w:r>
      <w:proofErr w:type="spellEnd"/>
      <w:r w:rsidRPr="00BF3106">
        <w:rPr>
          <w:sz w:val="24"/>
          <w:szCs w:val="24"/>
        </w:rPr>
        <w:t xml:space="preserve"> virkning kan selektive COX-2-hæmmere ikke erstatte acetylsalicylsyre som profylakse mod </w:t>
      </w:r>
      <w:proofErr w:type="spellStart"/>
      <w:r w:rsidRPr="00BF3106">
        <w:rPr>
          <w:sz w:val="24"/>
          <w:szCs w:val="24"/>
        </w:rPr>
        <w:t>kardiovaskulær</w:t>
      </w:r>
      <w:proofErr w:type="spellEnd"/>
      <w:r w:rsidRPr="00BF3106">
        <w:rPr>
          <w:sz w:val="24"/>
          <w:szCs w:val="24"/>
        </w:rPr>
        <w:t xml:space="preserve"> </w:t>
      </w:r>
      <w:proofErr w:type="spellStart"/>
      <w:r w:rsidRPr="00BF3106">
        <w:rPr>
          <w:sz w:val="24"/>
          <w:szCs w:val="24"/>
        </w:rPr>
        <w:t>tromboembolisk</w:t>
      </w:r>
      <w:proofErr w:type="spellEnd"/>
      <w:r w:rsidRPr="00BF3106">
        <w:rPr>
          <w:sz w:val="24"/>
          <w:szCs w:val="24"/>
        </w:rPr>
        <w:t xml:space="preserve"> sygdom. </w:t>
      </w:r>
      <w:proofErr w:type="spellStart"/>
      <w:r w:rsidRPr="00BF3106">
        <w:rPr>
          <w:sz w:val="24"/>
          <w:szCs w:val="24"/>
        </w:rPr>
        <w:t>Antitrombotisk</w:t>
      </w:r>
      <w:proofErr w:type="spellEnd"/>
      <w:r w:rsidRPr="00BF3106">
        <w:rPr>
          <w:sz w:val="24"/>
          <w:szCs w:val="24"/>
        </w:rPr>
        <w:t xml:space="preserve"> behandling bør derfor ikke seponeres (se pkt. 5.1).</w:t>
      </w:r>
    </w:p>
    <w:p w:rsidR="008A2EC7" w:rsidRDefault="008A2EC7" w:rsidP="008A2EC7">
      <w:pPr>
        <w:ind w:left="851"/>
        <w:rPr>
          <w:sz w:val="24"/>
          <w:szCs w:val="24"/>
        </w:rPr>
      </w:pPr>
    </w:p>
    <w:p w:rsidR="00A303DF" w:rsidRDefault="00A303DF" w:rsidP="008A2EC7">
      <w:pPr>
        <w:ind w:left="851"/>
        <w:rPr>
          <w:sz w:val="24"/>
          <w:szCs w:val="24"/>
        </w:rPr>
      </w:pPr>
    </w:p>
    <w:p w:rsidR="00A303DF" w:rsidRPr="00BF3106" w:rsidRDefault="00A303DF" w:rsidP="008A2EC7">
      <w:pPr>
        <w:ind w:left="851"/>
        <w:rPr>
          <w:sz w:val="24"/>
          <w:szCs w:val="24"/>
        </w:rPr>
      </w:pPr>
    </w:p>
    <w:p w:rsidR="00A303DF" w:rsidRPr="00BF3106" w:rsidRDefault="00A303DF" w:rsidP="00A303DF">
      <w:pPr>
        <w:ind w:left="851"/>
        <w:rPr>
          <w:sz w:val="24"/>
          <w:szCs w:val="24"/>
          <w:u w:val="single"/>
        </w:rPr>
      </w:pPr>
      <w:r w:rsidRPr="00BF3106">
        <w:rPr>
          <w:sz w:val="24"/>
          <w:szCs w:val="24"/>
          <w:u w:val="single"/>
        </w:rPr>
        <w:lastRenderedPageBreak/>
        <w:t>Væskeretention og ødem</w:t>
      </w:r>
    </w:p>
    <w:p w:rsidR="00A303DF" w:rsidRDefault="00A303DF" w:rsidP="00A303DF">
      <w:pPr>
        <w:ind w:left="851"/>
        <w:rPr>
          <w:sz w:val="24"/>
          <w:szCs w:val="24"/>
        </w:rPr>
      </w:pPr>
      <w:r w:rsidRPr="00C0695C">
        <w:rPr>
          <w:sz w:val="24"/>
          <w:szCs w:val="24"/>
        </w:rPr>
        <w:t xml:space="preserve">Ligesom for andre lægemidler, som hæmmer </w:t>
      </w:r>
      <w:proofErr w:type="spellStart"/>
      <w:r w:rsidRPr="00C0695C">
        <w:rPr>
          <w:sz w:val="24"/>
          <w:szCs w:val="24"/>
        </w:rPr>
        <w:t>prostaglandinsyntesen</w:t>
      </w:r>
      <w:proofErr w:type="spellEnd"/>
      <w:r>
        <w:rPr>
          <w:sz w:val="24"/>
          <w:szCs w:val="24"/>
        </w:rPr>
        <w:t>, er d</w:t>
      </w:r>
      <w:r w:rsidRPr="00BF3106">
        <w:rPr>
          <w:sz w:val="24"/>
          <w:szCs w:val="24"/>
        </w:rPr>
        <w:t xml:space="preserve">er set væskeretention og ødem hos patienter, som har taget </w:t>
      </w:r>
      <w:proofErr w:type="spellStart"/>
      <w:r w:rsidRPr="00BF3106">
        <w:rPr>
          <w:sz w:val="24"/>
          <w:szCs w:val="24"/>
        </w:rPr>
        <w:t>celecoxib</w:t>
      </w:r>
      <w:proofErr w:type="spellEnd"/>
      <w:r w:rsidRPr="00BF3106">
        <w:rPr>
          <w:sz w:val="24"/>
          <w:szCs w:val="24"/>
        </w:rPr>
        <w:t xml:space="preserve">. Derfor bør </w:t>
      </w:r>
      <w:proofErr w:type="spellStart"/>
      <w:r w:rsidRPr="00BF3106">
        <w:rPr>
          <w:sz w:val="24"/>
          <w:szCs w:val="24"/>
        </w:rPr>
        <w:t>celecoxib</w:t>
      </w:r>
      <w:proofErr w:type="spellEnd"/>
      <w:r w:rsidRPr="00BF3106">
        <w:rPr>
          <w:sz w:val="24"/>
          <w:szCs w:val="24"/>
        </w:rPr>
        <w:t xml:space="preserve"> anvendes med forsigtighed til patienter, der tidligere har haft hjertesvigt, venstre </w:t>
      </w:r>
      <w:proofErr w:type="spellStart"/>
      <w:r w:rsidRPr="00BF3106">
        <w:rPr>
          <w:sz w:val="24"/>
          <w:szCs w:val="24"/>
        </w:rPr>
        <w:t>ventrikulær</w:t>
      </w:r>
      <w:proofErr w:type="spellEnd"/>
      <w:r w:rsidRPr="00BF3106">
        <w:rPr>
          <w:sz w:val="24"/>
          <w:szCs w:val="24"/>
        </w:rPr>
        <w:t xml:space="preserve"> dys</w:t>
      </w:r>
      <w:r w:rsidRPr="00BF3106">
        <w:rPr>
          <w:sz w:val="24"/>
          <w:szCs w:val="24"/>
        </w:rPr>
        <w:softHyphen/>
        <w:t xml:space="preserve">funktion eller hypertension, og hos patienter med ødem af anden årsag, da </w:t>
      </w:r>
      <w:proofErr w:type="spellStart"/>
      <w:r w:rsidRPr="00BF3106">
        <w:rPr>
          <w:sz w:val="24"/>
          <w:szCs w:val="24"/>
        </w:rPr>
        <w:t>prostaglandinhæmning</w:t>
      </w:r>
      <w:proofErr w:type="spellEnd"/>
      <w:r w:rsidRPr="00BF3106">
        <w:rPr>
          <w:sz w:val="24"/>
          <w:szCs w:val="24"/>
        </w:rPr>
        <w:t xml:space="preserve"> kan medføre en forværring af nyrefunktionen og væskeretention. Der bør også udvises forsigtighed hos patienter, som er i </w:t>
      </w:r>
      <w:proofErr w:type="spellStart"/>
      <w:r w:rsidRPr="00BF3106">
        <w:rPr>
          <w:sz w:val="24"/>
          <w:szCs w:val="24"/>
        </w:rPr>
        <w:t>diuretikabehandling</w:t>
      </w:r>
      <w:proofErr w:type="spellEnd"/>
      <w:r w:rsidRPr="00BF3106">
        <w:rPr>
          <w:sz w:val="24"/>
          <w:szCs w:val="24"/>
        </w:rPr>
        <w:t xml:space="preserve">, eller som på anden måde har risiko for </w:t>
      </w:r>
      <w:proofErr w:type="spellStart"/>
      <w:r w:rsidRPr="00BF3106">
        <w:rPr>
          <w:sz w:val="24"/>
          <w:szCs w:val="24"/>
        </w:rPr>
        <w:t>hypovolæmi</w:t>
      </w:r>
      <w:proofErr w:type="spellEnd"/>
      <w:r w:rsidRPr="00BF3106">
        <w:rPr>
          <w:sz w:val="24"/>
          <w:szCs w:val="24"/>
        </w:rPr>
        <w:t>.</w:t>
      </w:r>
    </w:p>
    <w:p w:rsidR="00A303DF" w:rsidRDefault="00A303DF" w:rsidP="00A303DF">
      <w:pPr>
        <w:ind w:left="851"/>
        <w:rPr>
          <w:sz w:val="24"/>
          <w:szCs w:val="24"/>
        </w:rPr>
      </w:pPr>
    </w:p>
    <w:p w:rsidR="00A303DF" w:rsidRPr="00BF3106" w:rsidRDefault="00A303DF" w:rsidP="00A303DF">
      <w:pPr>
        <w:ind w:left="851"/>
        <w:rPr>
          <w:sz w:val="24"/>
          <w:szCs w:val="24"/>
          <w:u w:val="single"/>
        </w:rPr>
      </w:pPr>
      <w:r w:rsidRPr="00BF3106">
        <w:rPr>
          <w:sz w:val="24"/>
          <w:szCs w:val="24"/>
          <w:u w:val="single"/>
        </w:rPr>
        <w:t>Hypertension</w:t>
      </w:r>
    </w:p>
    <w:p w:rsidR="00A303DF" w:rsidRPr="00BF3106" w:rsidRDefault="00A303DF" w:rsidP="00A303DF">
      <w:pPr>
        <w:ind w:left="851"/>
        <w:rPr>
          <w:sz w:val="24"/>
          <w:szCs w:val="24"/>
        </w:rPr>
      </w:pPr>
      <w:r w:rsidRPr="003E2910">
        <w:rPr>
          <w:sz w:val="24"/>
          <w:szCs w:val="24"/>
        </w:rPr>
        <w:t xml:space="preserve">Som for alle NSAID </w:t>
      </w:r>
      <w:r>
        <w:rPr>
          <w:sz w:val="24"/>
          <w:szCs w:val="24"/>
        </w:rPr>
        <w:t xml:space="preserve">kan </w:t>
      </w:r>
      <w:proofErr w:type="spellStart"/>
      <w:r>
        <w:rPr>
          <w:sz w:val="24"/>
          <w:szCs w:val="24"/>
        </w:rPr>
        <w:t>c</w:t>
      </w:r>
      <w:r w:rsidRPr="00BF3106">
        <w:rPr>
          <w:sz w:val="24"/>
          <w:szCs w:val="24"/>
        </w:rPr>
        <w:t>elecoxib</w:t>
      </w:r>
      <w:proofErr w:type="spellEnd"/>
      <w:r w:rsidRPr="00BF3106">
        <w:rPr>
          <w:sz w:val="24"/>
          <w:szCs w:val="24"/>
        </w:rPr>
        <w:t xml:space="preserve"> føre til udbrud af ny hypertension eller forværring af eksisterende hypertension, som begge kan være medvirkende årsag til øget hyppighed af </w:t>
      </w:r>
      <w:proofErr w:type="spellStart"/>
      <w:r w:rsidRPr="00BF3106">
        <w:rPr>
          <w:sz w:val="24"/>
          <w:szCs w:val="24"/>
        </w:rPr>
        <w:t>kardiovaskulære</w:t>
      </w:r>
      <w:proofErr w:type="spellEnd"/>
      <w:r w:rsidRPr="00BF3106">
        <w:rPr>
          <w:sz w:val="24"/>
          <w:szCs w:val="24"/>
        </w:rPr>
        <w:t xml:space="preserve"> hændelser. Derfor bør blodtrykket monitoreres nøje ved opstart af behandling med </w:t>
      </w:r>
      <w:proofErr w:type="spellStart"/>
      <w:r w:rsidRPr="00BF3106">
        <w:rPr>
          <w:sz w:val="24"/>
          <w:szCs w:val="24"/>
        </w:rPr>
        <w:t>celecoxib</w:t>
      </w:r>
      <w:proofErr w:type="spellEnd"/>
      <w:r w:rsidRPr="00BF3106">
        <w:rPr>
          <w:sz w:val="24"/>
          <w:szCs w:val="24"/>
        </w:rPr>
        <w:t xml:space="preserve"> og under hele behandlingsforløbet.</w:t>
      </w:r>
    </w:p>
    <w:p w:rsidR="008A2EC7" w:rsidRPr="00BF3106" w:rsidRDefault="008A2EC7" w:rsidP="008A2EC7">
      <w:pPr>
        <w:ind w:left="851"/>
        <w:rPr>
          <w:sz w:val="24"/>
          <w:szCs w:val="24"/>
        </w:rPr>
      </w:pPr>
    </w:p>
    <w:p w:rsidR="008A2EC7" w:rsidRPr="00BF3106" w:rsidRDefault="008A2EC7" w:rsidP="008A2EC7">
      <w:pPr>
        <w:ind w:left="851"/>
        <w:rPr>
          <w:sz w:val="24"/>
          <w:szCs w:val="24"/>
          <w:u w:val="single"/>
        </w:rPr>
      </w:pPr>
      <w:r w:rsidRPr="00BF3106">
        <w:rPr>
          <w:sz w:val="24"/>
          <w:szCs w:val="24"/>
          <w:u w:val="single"/>
        </w:rPr>
        <w:t>Lever- og nyrepåvirkninger</w:t>
      </w:r>
    </w:p>
    <w:p w:rsidR="008A2EC7" w:rsidRPr="00BF3106" w:rsidRDefault="008A2EC7" w:rsidP="008A2EC7">
      <w:pPr>
        <w:ind w:left="851"/>
        <w:rPr>
          <w:sz w:val="24"/>
          <w:szCs w:val="24"/>
        </w:rPr>
      </w:pPr>
      <w:r w:rsidRPr="00BF3106">
        <w:rPr>
          <w:sz w:val="24"/>
          <w:szCs w:val="24"/>
        </w:rPr>
        <w:t>Ældre har hyppigere nedsat nyre- og leverfunktion og især nedsat hjertefunktion, og patienterne bør derfor kontrolleres løbende.</w:t>
      </w:r>
    </w:p>
    <w:p w:rsidR="008A2EC7" w:rsidRPr="00BF3106" w:rsidRDefault="008A2EC7" w:rsidP="008A2EC7">
      <w:pPr>
        <w:ind w:left="851"/>
        <w:rPr>
          <w:sz w:val="24"/>
          <w:szCs w:val="24"/>
        </w:rPr>
      </w:pPr>
    </w:p>
    <w:p w:rsidR="00A303DF" w:rsidRPr="00BF3106" w:rsidRDefault="00A303DF" w:rsidP="00A303DF">
      <w:pPr>
        <w:ind w:left="851"/>
        <w:rPr>
          <w:sz w:val="24"/>
          <w:szCs w:val="24"/>
        </w:rPr>
      </w:pPr>
      <w:proofErr w:type="spellStart"/>
      <w:r w:rsidRPr="00BF3106">
        <w:rPr>
          <w:sz w:val="24"/>
          <w:szCs w:val="24"/>
        </w:rPr>
        <w:t>NSAID’er</w:t>
      </w:r>
      <w:proofErr w:type="spellEnd"/>
      <w:r w:rsidRPr="00BF3106">
        <w:rPr>
          <w:sz w:val="24"/>
          <w:szCs w:val="24"/>
        </w:rPr>
        <w:t xml:space="preserve">, herunder </w:t>
      </w:r>
      <w:proofErr w:type="spellStart"/>
      <w:r w:rsidRPr="00BF3106">
        <w:rPr>
          <w:sz w:val="24"/>
          <w:szCs w:val="24"/>
        </w:rPr>
        <w:t>celecoxib</w:t>
      </w:r>
      <w:proofErr w:type="spellEnd"/>
      <w:r w:rsidRPr="00BF3106">
        <w:rPr>
          <w:sz w:val="24"/>
          <w:szCs w:val="24"/>
        </w:rPr>
        <w:t xml:space="preserve">, kan forårsage nyretoksicitet. Det er påvist i kliniske studier, at </w:t>
      </w:r>
      <w:proofErr w:type="spellStart"/>
      <w:r w:rsidRPr="00BF3106">
        <w:rPr>
          <w:sz w:val="24"/>
          <w:szCs w:val="24"/>
        </w:rPr>
        <w:t>celecoxib</w:t>
      </w:r>
      <w:proofErr w:type="spellEnd"/>
      <w:r w:rsidRPr="00BF3106">
        <w:rPr>
          <w:sz w:val="24"/>
          <w:szCs w:val="24"/>
        </w:rPr>
        <w:t xml:space="preserve"> har samme virkning på nyrerne som de </w:t>
      </w:r>
      <w:proofErr w:type="spellStart"/>
      <w:r w:rsidRPr="00BF3106">
        <w:rPr>
          <w:sz w:val="24"/>
          <w:szCs w:val="24"/>
        </w:rPr>
        <w:t>NSAID’er</w:t>
      </w:r>
      <w:proofErr w:type="spellEnd"/>
      <w:r w:rsidRPr="00BF3106">
        <w:rPr>
          <w:sz w:val="24"/>
          <w:szCs w:val="24"/>
        </w:rPr>
        <w:t xml:space="preserve">, det blev sammenlignet med. De patienter, som har størst risiko for at udvikle nyretoksicitet, er patienter med nedsat nyrefunktion, hjertesvigt, nedsat leverfunktion, patienter som tager </w:t>
      </w:r>
      <w:proofErr w:type="spellStart"/>
      <w:r w:rsidRPr="00BF3106">
        <w:rPr>
          <w:sz w:val="24"/>
          <w:szCs w:val="24"/>
        </w:rPr>
        <w:t>diuretika</w:t>
      </w:r>
      <w:proofErr w:type="spellEnd"/>
      <w:r w:rsidRPr="00BF3106">
        <w:rPr>
          <w:sz w:val="24"/>
          <w:szCs w:val="24"/>
        </w:rPr>
        <w:t>, ACE-</w:t>
      </w:r>
      <w:proofErr w:type="spellStart"/>
      <w:r w:rsidRPr="00BF3106">
        <w:rPr>
          <w:sz w:val="24"/>
          <w:szCs w:val="24"/>
        </w:rPr>
        <w:t>hæmmere</w:t>
      </w:r>
      <w:proofErr w:type="spellEnd"/>
      <w:r>
        <w:rPr>
          <w:sz w:val="24"/>
          <w:szCs w:val="24"/>
        </w:rPr>
        <w:t xml:space="preserve"> (</w:t>
      </w:r>
      <w:proofErr w:type="spellStart"/>
      <w:r w:rsidRPr="00CB6033">
        <w:rPr>
          <w:i/>
          <w:sz w:val="24"/>
          <w:szCs w:val="24"/>
        </w:rPr>
        <w:t>angiotensin</w:t>
      </w:r>
      <w:proofErr w:type="spellEnd"/>
      <w:r w:rsidRPr="00CB6033">
        <w:rPr>
          <w:i/>
          <w:sz w:val="24"/>
          <w:szCs w:val="24"/>
        </w:rPr>
        <w:t xml:space="preserve"> </w:t>
      </w:r>
      <w:proofErr w:type="spellStart"/>
      <w:r w:rsidRPr="00CB6033">
        <w:rPr>
          <w:i/>
          <w:sz w:val="24"/>
          <w:szCs w:val="24"/>
        </w:rPr>
        <w:t>converting</w:t>
      </w:r>
      <w:proofErr w:type="spellEnd"/>
      <w:r w:rsidRPr="00CB6033">
        <w:rPr>
          <w:i/>
          <w:sz w:val="24"/>
          <w:szCs w:val="24"/>
        </w:rPr>
        <w:t xml:space="preserve"> </w:t>
      </w:r>
      <w:proofErr w:type="spellStart"/>
      <w:r w:rsidRPr="00CB6033">
        <w:rPr>
          <w:i/>
          <w:sz w:val="24"/>
          <w:szCs w:val="24"/>
        </w:rPr>
        <w:t>enzyme</w:t>
      </w:r>
      <w:proofErr w:type="spellEnd"/>
      <w:r>
        <w:rPr>
          <w:sz w:val="24"/>
          <w:szCs w:val="24"/>
        </w:rPr>
        <w:t xml:space="preserve"> </w:t>
      </w:r>
      <w:proofErr w:type="spellStart"/>
      <w:r w:rsidRPr="00CB6033">
        <w:rPr>
          <w:sz w:val="24"/>
          <w:szCs w:val="24"/>
        </w:rPr>
        <w:t>hæmmere</w:t>
      </w:r>
      <w:proofErr w:type="spellEnd"/>
      <w:r>
        <w:rPr>
          <w:sz w:val="24"/>
          <w:szCs w:val="24"/>
        </w:rPr>
        <w:t>)</w:t>
      </w:r>
      <w:r w:rsidRPr="00BF3106">
        <w:rPr>
          <w:sz w:val="24"/>
          <w:szCs w:val="24"/>
        </w:rPr>
        <w:t xml:space="preserve">, </w:t>
      </w:r>
      <w:proofErr w:type="spellStart"/>
      <w:r w:rsidRPr="00BF3106">
        <w:rPr>
          <w:sz w:val="24"/>
          <w:szCs w:val="24"/>
        </w:rPr>
        <w:t>angiotensin</w:t>
      </w:r>
      <w:proofErr w:type="spellEnd"/>
      <w:r w:rsidRPr="00BF3106">
        <w:rPr>
          <w:sz w:val="24"/>
          <w:szCs w:val="24"/>
        </w:rPr>
        <w:t>-II-receptorantagonister, og ældre</w:t>
      </w:r>
      <w:r>
        <w:rPr>
          <w:sz w:val="24"/>
          <w:szCs w:val="24"/>
        </w:rPr>
        <w:t xml:space="preserve"> (se pkt. 4.5)</w:t>
      </w:r>
      <w:r w:rsidRPr="00BF3106">
        <w:rPr>
          <w:sz w:val="24"/>
          <w:szCs w:val="24"/>
        </w:rPr>
        <w:t xml:space="preserve">. Disse patienter bør følges nøje under behandling med </w:t>
      </w:r>
      <w:proofErr w:type="spellStart"/>
      <w:r w:rsidRPr="00BF3106">
        <w:rPr>
          <w:sz w:val="24"/>
          <w:szCs w:val="24"/>
        </w:rPr>
        <w:t>celecoxib</w:t>
      </w:r>
      <w:proofErr w:type="spellEnd"/>
      <w:r w:rsidRPr="00BF3106">
        <w:rPr>
          <w:sz w:val="24"/>
          <w:szCs w:val="24"/>
        </w:rPr>
        <w:t>.</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 xml:space="preserve">Der er rapporteret om tilfælde af alvorlige leverpåvirkninger, herunder fulminant hepatitis (inklusive fatale tilfælde), levernekrose og leversvigt (inklusive fatale og levertransplantationskrævende tilfælde) i forbindelse med </w:t>
      </w:r>
      <w:proofErr w:type="spellStart"/>
      <w:r w:rsidRPr="00BF3106">
        <w:rPr>
          <w:sz w:val="24"/>
          <w:szCs w:val="24"/>
        </w:rPr>
        <w:t>celecoxib</w:t>
      </w:r>
      <w:proofErr w:type="spellEnd"/>
      <w:r w:rsidRPr="00BF3106">
        <w:rPr>
          <w:sz w:val="24"/>
          <w:szCs w:val="24"/>
        </w:rPr>
        <w:t xml:space="preserve">. Blandt de tilfælde, hvor tidspunktet for udbrud er rapporteret, er de fleste alvorlige leverbivirkninger udviklet inden for en måned efter opstart af </w:t>
      </w:r>
      <w:proofErr w:type="spellStart"/>
      <w:r w:rsidRPr="00BF3106">
        <w:rPr>
          <w:sz w:val="24"/>
          <w:szCs w:val="24"/>
        </w:rPr>
        <w:t>celecoxibbehandlingen</w:t>
      </w:r>
      <w:proofErr w:type="spellEnd"/>
      <w:r w:rsidRPr="00BF3106">
        <w:rPr>
          <w:sz w:val="24"/>
          <w:szCs w:val="24"/>
        </w:rPr>
        <w:t xml:space="preserve"> (se pkt. 4.8).</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 xml:space="preserve">Hvis der under behandlingen sker en forværring i et af de ovennævnte organsystemer, skal der tages passende forholdsregler, og det bør overvejes at seponere behandlingen med </w:t>
      </w:r>
      <w:proofErr w:type="spellStart"/>
      <w:r w:rsidRPr="00BF3106">
        <w:rPr>
          <w:sz w:val="24"/>
          <w:szCs w:val="24"/>
        </w:rPr>
        <w:t>celecoxib</w:t>
      </w:r>
      <w:proofErr w:type="spellEnd"/>
      <w:r w:rsidRPr="00BF3106">
        <w:rPr>
          <w:sz w:val="24"/>
          <w:szCs w:val="24"/>
        </w:rPr>
        <w:t>.</w:t>
      </w:r>
    </w:p>
    <w:p w:rsidR="008A2EC7" w:rsidRPr="00BF3106" w:rsidRDefault="008A2EC7" w:rsidP="008A2EC7">
      <w:pPr>
        <w:ind w:left="851"/>
        <w:rPr>
          <w:sz w:val="24"/>
          <w:szCs w:val="24"/>
        </w:rPr>
      </w:pPr>
    </w:p>
    <w:p w:rsidR="00A303DF" w:rsidRPr="007F41CD" w:rsidRDefault="00A303DF" w:rsidP="00A303DF">
      <w:pPr>
        <w:ind w:left="851"/>
        <w:rPr>
          <w:sz w:val="24"/>
          <w:szCs w:val="24"/>
          <w:u w:val="single"/>
        </w:rPr>
      </w:pPr>
      <w:r w:rsidRPr="007F41CD">
        <w:rPr>
          <w:sz w:val="24"/>
          <w:szCs w:val="24"/>
          <w:u w:val="single"/>
        </w:rPr>
        <w:t>CYP2D6-hæmning</w:t>
      </w:r>
    </w:p>
    <w:p w:rsidR="00A303DF" w:rsidRPr="00BF3106" w:rsidRDefault="00A303DF" w:rsidP="00A303DF">
      <w:pPr>
        <w:ind w:left="851"/>
        <w:rPr>
          <w:sz w:val="24"/>
          <w:szCs w:val="24"/>
        </w:rPr>
      </w:pPr>
      <w:proofErr w:type="spellStart"/>
      <w:r w:rsidRPr="007F41CD">
        <w:rPr>
          <w:sz w:val="24"/>
          <w:szCs w:val="24"/>
        </w:rPr>
        <w:t>Celecoxib</w:t>
      </w:r>
      <w:proofErr w:type="spellEnd"/>
      <w:r w:rsidRPr="007F41CD">
        <w:rPr>
          <w:sz w:val="24"/>
          <w:szCs w:val="24"/>
        </w:rPr>
        <w:t xml:space="preserve"> hæmmer CYP2D6. </w:t>
      </w:r>
      <w:r w:rsidRPr="00BF3106">
        <w:rPr>
          <w:sz w:val="24"/>
          <w:szCs w:val="24"/>
        </w:rPr>
        <w:t xml:space="preserve">Selvom det ikke er en kraftig hæmmer af dette enzym, kan det være nødvendigt at nedsætte dosen af individuelt dosistitrerede lægemidler, som </w:t>
      </w:r>
      <w:proofErr w:type="spellStart"/>
      <w:r w:rsidRPr="00BF3106">
        <w:rPr>
          <w:sz w:val="24"/>
          <w:szCs w:val="24"/>
        </w:rPr>
        <w:t>metaboliseres</w:t>
      </w:r>
      <w:proofErr w:type="spellEnd"/>
      <w:r w:rsidRPr="00BF3106">
        <w:rPr>
          <w:sz w:val="24"/>
          <w:szCs w:val="24"/>
        </w:rPr>
        <w:t xml:space="preserve"> af CYP2D6 (se pkt. 4.5).</w:t>
      </w:r>
    </w:p>
    <w:p w:rsidR="008A2EC7" w:rsidRPr="00BF3106" w:rsidRDefault="008A2EC7" w:rsidP="008A2EC7">
      <w:pPr>
        <w:ind w:left="851"/>
        <w:rPr>
          <w:sz w:val="24"/>
          <w:szCs w:val="24"/>
        </w:rPr>
      </w:pPr>
    </w:p>
    <w:p w:rsidR="008A2EC7" w:rsidRPr="00BF3106" w:rsidRDefault="008A2EC7" w:rsidP="008A2EC7">
      <w:pPr>
        <w:ind w:left="851"/>
        <w:rPr>
          <w:sz w:val="24"/>
          <w:szCs w:val="24"/>
          <w:u w:val="single"/>
        </w:rPr>
      </w:pPr>
      <w:r w:rsidRPr="00BF3106">
        <w:rPr>
          <w:sz w:val="24"/>
          <w:szCs w:val="24"/>
          <w:u w:val="single"/>
        </w:rPr>
        <w:t>Personer med nedsat CYP2C9-metabolisering</w:t>
      </w:r>
    </w:p>
    <w:p w:rsidR="008A2EC7" w:rsidRPr="00BF3106" w:rsidRDefault="008A2EC7" w:rsidP="008A2EC7">
      <w:pPr>
        <w:ind w:left="851"/>
        <w:rPr>
          <w:sz w:val="24"/>
          <w:szCs w:val="24"/>
        </w:rPr>
      </w:pPr>
      <w:r w:rsidRPr="00BF3106">
        <w:rPr>
          <w:sz w:val="24"/>
          <w:szCs w:val="24"/>
        </w:rPr>
        <w:t>Patienter med nedsat CYP2C9-metabolisering bør behandles med forsigtighed (se pkt. 5.2).</w:t>
      </w:r>
    </w:p>
    <w:p w:rsidR="008A2EC7" w:rsidRPr="00BF3106" w:rsidRDefault="008A2EC7" w:rsidP="008A2EC7">
      <w:pPr>
        <w:ind w:left="851"/>
        <w:rPr>
          <w:sz w:val="24"/>
          <w:szCs w:val="24"/>
        </w:rPr>
      </w:pPr>
    </w:p>
    <w:p w:rsidR="00A303DF" w:rsidRPr="00BF3106" w:rsidRDefault="00A303DF" w:rsidP="00A303DF">
      <w:pPr>
        <w:ind w:left="851"/>
        <w:rPr>
          <w:sz w:val="24"/>
          <w:szCs w:val="24"/>
          <w:u w:val="single"/>
        </w:rPr>
      </w:pPr>
      <w:r w:rsidRPr="00BF3106">
        <w:rPr>
          <w:sz w:val="24"/>
          <w:szCs w:val="24"/>
          <w:u w:val="single"/>
        </w:rPr>
        <w:t>Hudreaktioner og systemiske overfølsomhedsreaktioner</w:t>
      </w:r>
    </w:p>
    <w:p w:rsidR="00A303DF" w:rsidRDefault="00A303DF" w:rsidP="00A303DF">
      <w:pPr>
        <w:ind w:left="851"/>
        <w:rPr>
          <w:sz w:val="24"/>
          <w:szCs w:val="24"/>
        </w:rPr>
      </w:pPr>
      <w:r w:rsidRPr="00BF3106">
        <w:rPr>
          <w:sz w:val="24"/>
          <w:szCs w:val="24"/>
        </w:rPr>
        <w:t xml:space="preserve">Der er rapporteret om meget sjældne tilfælde af alvorlige hudreaktioner, nogle fatale, inklusive </w:t>
      </w:r>
      <w:proofErr w:type="spellStart"/>
      <w:r w:rsidRPr="00BF3106">
        <w:rPr>
          <w:sz w:val="24"/>
          <w:szCs w:val="24"/>
        </w:rPr>
        <w:t>eksfoliativ</w:t>
      </w:r>
      <w:proofErr w:type="spellEnd"/>
      <w:r w:rsidRPr="00BF3106">
        <w:rPr>
          <w:sz w:val="24"/>
          <w:szCs w:val="24"/>
        </w:rPr>
        <w:t xml:space="preserve"> </w:t>
      </w:r>
      <w:proofErr w:type="spellStart"/>
      <w:r w:rsidRPr="00BF3106">
        <w:rPr>
          <w:sz w:val="24"/>
          <w:szCs w:val="24"/>
        </w:rPr>
        <w:t>dermatitis</w:t>
      </w:r>
      <w:proofErr w:type="spellEnd"/>
      <w:r w:rsidRPr="00BF3106">
        <w:rPr>
          <w:sz w:val="24"/>
          <w:szCs w:val="24"/>
        </w:rPr>
        <w:t xml:space="preserve">, Stevens-Johnsons syndrom og toksisk </w:t>
      </w:r>
      <w:proofErr w:type="spellStart"/>
      <w:r w:rsidRPr="00BF3106">
        <w:rPr>
          <w:sz w:val="24"/>
          <w:szCs w:val="24"/>
        </w:rPr>
        <w:t>epidermal</w:t>
      </w:r>
      <w:proofErr w:type="spellEnd"/>
      <w:r w:rsidRPr="00BF3106">
        <w:rPr>
          <w:sz w:val="24"/>
          <w:szCs w:val="24"/>
        </w:rPr>
        <w:t xml:space="preserve"> </w:t>
      </w:r>
      <w:proofErr w:type="spellStart"/>
      <w:r w:rsidRPr="00BF3106">
        <w:rPr>
          <w:sz w:val="24"/>
          <w:szCs w:val="24"/>
        </w:rPr>
        <w:t>nekrolyse</w:t>
      </w:r>
      <w:proofErr w:type="spellEnd"/>
      <w:r w:rsidRPr="00BF3106">
        <w:rPr>
          <w:sz w:val="24"/>
          <w:szCs w:val="24"/>
        </w:rPr>
        <w:t xml:space="preserve"> (se pkt. 4.8). Patienterne synes at have størst risiko for udvikling af disse reaktioner tidligt i behandlingsforløbet. Disse reaktioner optræder i de fleste tilfælde inden for den første </w:t>
      </w:r>
      <w:r w:rsidRPr="00BF3106">
        <w:rPr>
          <w:sz w:val="24"/>
          <w:szCs w:val="24"/>
        </w:rPr>
        <w:lastRenderedPageBreak/>
        <w:t>måned af behandlingen. Der er indberettet alvorlige overfølsomhedsreaktioner (herunder anafylaksi</w:t>
      </w:r>
      <w:r>
        <w:rPr>
          <w:sz w:val="24"/>
          <w:szCs w:val="24"/>
        </w:rPr>
        <w:t>,</w:t>
      </w:r>
      <w:r w:rsidRPr="00BF3106">
        <w:rPr>
          <w:sz w:val="24"/>
          <w:szCs w:val="24"/>
        </w:rPr>
        <w:t xml:space="preserve"> </w:t>
      </w:r>
      <w:proofErr w:type="spellStart"/>
      <w:r w:rsidRPr="00BF3106">
        <w:rPr>
          <w:sz w:val="24"/>
          <w:szCs w:val="24"/>
        </w:rPr>
        <w:t>angioødem</w:t>
      </w:r>
      <w:proofErr w:type="spellEnd"/>
      <w:r w:rsidRPr="00BF3106">
        <w:rPr>
          <w:sz w:val="24"/>
          <w:szCs w:val="24"/>
        </w:rPr>
        <w:t xml:space="preserve"> og lægemiddelfremkaldt udslæt med </w:t>
      </w:r>
      <w:proofErr w:type="spellStart"/>
      <w:r w:rsidRPr="00BF3106">
        <w:rPr>
          <w:sz w:val="24"/>
          <w:szCs w:val="24"/>
        </w:rPr>
        <w:t>eosinofili</w:t>
      </w:r>
      <w:proofErr w:type="spellEnd"/>
      <w:r w:rsidRPr="00BF3106">
        <w:rPr>
          <w:sz w:val="24"/>
          <w:szCs w:val="24"/>
        </w:rPr>
        <w:t xml:space="preserve"> og systemiske symptomer (DRESS) eller overfølsomhedssyndrom</w:t>
      </w:r>
      <w:r>
        <w:rPr>
          <w:sz w:val="24"/>
          <w:szCs w:val="24"/>
        </w:rPr>
        <w:t>)</w:t>
      </w:r>
      <w:r w:rsidRPr="00BF3106">
        <w:rPr>
          <w:sz w:val="24"/>
          <w:szCs w:val="24"/>
        </w:rPr>
        <w:t xml:space="preserve"> hos patienter, der fik </w:t>
      </w:r>
      <w:proofErr w:type="spellStart"/>
      <w:r w:rsidRPr="00BF3106">
        <w:rPr>
          <w:sz w:val="24"/>
          <w:szCs w:val="24"/>
        </w:rPr>
        <w:t>celecoxib</w:t>
      </w:r>
      <w:proofErr w:type="spellEnd"/>
      <w:r w:rsidRPr="00BF3106">
        <w:rPr>
          <w:sz w:val="24"/>
          <w:szCs w:val="24"/>
        </w:rPr>
        <w:t xml:space="preserve"> (se pkt. 4.8). Patienter, der tidligere har haft sulfonamidallergi eller anden lægemiddelallergi, kan have større risiko for alvorlige hudreaktioner og overfølsomhedsreaktioner (se pkt. 4.3). Behandlingen med </w:t>
      </w:r>
      <w:proofErr w:type="spellStart"/>
      <w:r w:rsidRPr="00BF3106">
        <w:rPr>
          <w:sz w:val="24"/>
          <w:szCs w:val="24"/>
        </w:rPr>
        <w:t>celecoxib</w:t>
      </w:r>
      <w:proofErr w:type="spellEnd"/>
      <w:r w:rsidRPr="00BF3106">
        <w:rPr>
          <w:sz w:val="24"/>
          <w:szCs w:val="24"/>
        </w:rPr>
        <w:t xml:space="preserve"> bør seponeres ved den første forekomst af hududslæt, slimhindelæsioner eller andre tegn på overfølsomhed.</w:t>
      </w:r>
    </w:p>
    <w:p w:rsidR="00A303DF" w:rsidRDefault="00A303DF" w:rsidP="00A303DF">
      <w:pPr>
        <w:ind w:left="851"/>
        <w:rPr>
          <w:sz w:val="24"/>
          <w:szCs w:val="24"/>
        </w:rPr>
      </w:pPr>
    </w:p>
    <w:p w:rsidR="008A2EC7" w:rsidRPr="00BF3106" w:rsidRDefault="008A2EC7" w:rsidP="008A2EC7">
      <w:pPr>
        <w:ind w:left="851"/>
        <w:rPr>
          <w:sz w:val="24"/>
          <w:szCs w:val="24"/>
          <w:u w:val="single"/>
        </w:rPr>
      </w:pPr>
      <w:r w:rsidRPr="00BF3106">
        <w:rPr>
          <w:sz w:val="24"/>
          <w:szCs w:val="24"/>
          <w:u w:val="single"/>
        </w:rPr>
        <w:t>Generelt</w:t>
      </w:r>
    </w:p>
    <w:p w:rsidR="00A303DF" w:rsidRPr="00BF3106" w:rsidRDefault="00A303DF" w:rsidP="00A303DF">
      <w:pPr>
        <w:ind w:left="851"/>
        <w:rPr>
          <w:sz w:val="24"/>
          <w:szCs w:val="24"/>
        </w:rPr>
      </w:pPr>
      <w:proofErr w:type="spellStart"/>
      <w:r w:rsidRPr="00BF3106">
        <w:rPr>
          <w:sz w:val="24"/>
          <w:szCs w:val="24"/>
        </w:rPr>
        <w:t>Celecoxib</w:t>
      </w:r>
      <w:proofErr w:type="spellEnd"/>
      <w:r w:rsidRPr="00BF3106">
        <w:rPr>
          <w:sz w:val="24"/>
          <w:szCs w:val="24"/>
        </w:rPr>
        <w:t xml:space="preserve"> kan maskere feber og andre tegn på inflammation.</w:t>
      </w:r>
    </w:p>
    <w:p w:rsidR="008A2EC7" w:rsidRPr="00BF3106" w:rsidRDefault="008A2EC7" w:rsidP="00A303DF">
      <w:pPr>
        <w:rPr>
          <w:sz w:val="24"/>
          <w:szCs w:val="24"/>
        </w:rPr>
      </w:pPr>
    </w:p>
    <w:p w:rsidR="008A2EC7" w:rsidRPr="00BF3106" w:rsidRDefault="008A2EC7" w:rsidP="008A2EC7">
      <w:pPr>
        <w:ind w:left="851"/>
        <w:rPr>
          <w:sz w:val="24"/>
          <w:szCs w:val="24"/>
          <w:u w:val="single"/>
        </w:rPr>
      </w:pPr>
      <w:r w:rsidRPr="00BF3106">
        <w:rPr>
          <w:sz w:val="24"/>
          <w:szCs w:val="24"/>
          <w:u w:val="single"/>
        </w:rPr>
        <w:t xml:space="preserve">Anvendelse sammen med orale </w:t>
      </w:r>
      <w:proofErr w:type="spellStart"/>
      <w:r w:rsidRPr="00BF3106">
        <w:rPr>
          <w:sz w:val="24"/>
          <w:szCs w:val="24"/>
          <w:u w:val="single"/>
        </w:rPr>
        <w:t>antikoagulantia</w:t>
      </w:r>
      <w:proofErr w:type="spellEnd"/>
    </w:p>
    <w:p w:rsidR="008A2EC7" w:rsidRPr="00BF3106" w:rsidRDefault="008A2EC7" w:rsidP="008A2EC7">
      <w:pPr>
        <w:ind w:left="851"/>
        <w:rPr>
          <w:sz w:val="24"/>
          <w:szCs w:val="24"/>
        </w:rPr>
      </w:pPr>
      <w:r w:rsidRPr="00BF3106">
        <w:rPr>
          <w:sz w:val="24"/>
          <w:szCs w:val="24"/>
        </w:rPr>
        <w:t xml:space="preserve">Hos patienter i samtidig behandling med </w:t>
      </w:r>
      <w:proofErr w:type="spellStart"/>
      <w:r w:rsidRPr="00BF3106">
        <w:rPr>
          <w:sz w:val="24"/>
          <w:szCs w:val="24"/>
        </w:rPr>
        <w:t>warfarin</w:t>
      </w:r>
      <w:proofErr w:type="spellEnd"/>
      <w:r w:rsidRPr="00BF3106">
        <w:rPr>
          <w:sz w:val="24"/>
          <w:szCs w:val="24"/>
        </w:rPr>
        <w:t xml:space="preserve"> er der indberettet alvorlige blødningshændelser, hvoraf nogle var fatale. Der er indberettet øget </w:t>
      </w:r>
      <w:proofErr w:type="spellStart"/>
      <w:r w:rsidRPr="00BF3106">
        <w:rPr>
          <w:sz w:val="24"/>
          <w:szCs w:val="24"/>
        </w:rPr>
        <w:t>protrombintid</w:t>
      </w:r>
      <w:proofErr w:type="spellEnd"/>
      <w:r w:rsidRPr="00BF3106">
        <w:rPr>
          <w:sz w:val="24"/>
          <w:szCs w:val="24"/>
        </w:rPr>
        <w:t xml:space="preserve"> (INR) ved samtidig behandling. Dette skal derfor monitoreres nøje hos patienter, der får orale </w:t>
      </w:r>
      <w:proofErr w:type="spellStart"/>
      <w:r w:rsidRPr="00BF3106">
        <w:rPr>
          <w:sz w:val="24"/>
          <w:szCs w:val="24"/>
        </w:rPr>
        <w:t>antikoagulantia</w:t>
      </w:r>
      <w:proofErr w:type="spellEnd"/>
      <w:r w:rsidRPr="00BF3106">
        <w:rPr>
          <w:sz w:val="24"/>
          <w:szCs w:val="24"/>
        </w:rPr>
        <w:t xml:space="preserve"> af typen </w:t>
      </w:r>
      <w:proofErr w:type="spellStart"/>
      <w:r w:rsidRPr="00BF3106">
        <w:rPr>
          <w:sz w:val="24"/>
          <w:szCs w:val="24"/>
        </w:rPr>
        <w:t>warfarin</w:t>
      </w:r>
      <w:proofErr w:type="spellEnd"/>
      <w:r w:rsidRPr="00BF3106">
        <w:rPr>
          <w:sz w:val="24"/>
          <w:szCs w:val="24"/>
        </w:rPr>
        <w:t>/</w:t>
      </w:r>
      <w:proofErr w:type="spellStart"/>
      <w:r w:rsidRPr="00BF3106">
        <w:rPr>
          <w:sz w:val="24"/>
          <w:szCs w:val="24"/>
        </w:rPr>
        <w:t>coumarin</w:t>
      </w:r>
      <w:proofErr w:type="spellEnd"/>
      <w:r w:rsidRPr="00BF3106">
        <w:rPr>
          <w:sz w:val="24"/>
          <w:szCs w:val="24"/>
        </w:rPr>
        <w:t xml:space="preserve">, især når behandling med </w:t>
      </w:r>
      <w:proofErr w:type="spellStart"/>
      <w:r w:rsidRPr="00BF3106">
        <w:rPr>
          <w:sz w:val="24"/>
          <w:szCs w:val="24"/>
        </w:rPr>
        <w:t>celecoxib</w:t>
      </w:r>
      <w:proofErr w:type="spellEnd"/>
      <w:r w:rsidRPr="00BF3106">
        <w:rPr>
          <w:sz w:val="24"/>
          <w:szCs w:val="24"/>
        </w:rPr>
        <w:t xml:space="preserve"> indledes, eller </w:t>
      </w:r>
      <w:proofErr w:type="spellStart"/>
      <w:r w:rsidRPr="00BF3106">
        <w:rPr>
          <w:sz w:val="24"/>
          <w:szCs w:val="24"/>
        </w:rPr>
        <w:t>celecoxib</w:t>
      </w:r>
      <w:proofErr w:type="spellEnd"/>
      <w:r w:rsidRPr="00BF3106">
        <w:rPr>
          <w:sz w:val="24"/>
          <w:szCs w:val="24"/>
        </w:rPr>
        <w:t xml:space="preserve">-dosis ændres (se pkt. 4.5). Brug af </w:t>
      </w:r>
      <w:proofErr w:type="spellStart"/>
      <w:r w:rsidRPr="00BF3106">
        <w:rPr>
          <w:sz w:val="24"/>
          <w:szCs w:val="24"/>
        </w:rPr>
        <w:t>antikoagulantia</w:t>
      </w:r>
      <w:proofErr w:type="spellEnd"/>
      <w:r w:rsidRPr="00BF3106">
        <w:rPr>
          <w:sz w:val="24"/>
          <w:szCs w:val="24"/>
        </w:rPr>
        <w:t xml:space="preserve"> samtidig med </w:t>
      </w:r>
      <w:proofErr w:type="spellStart"/>
      <w:r w:rsidRPr="00BF3106">
        <w:rPr>
          <w:sz w:val="24"/>
          <w:szCs w:val="24"/>
        </w:rPr>
        <w:t>NSAID’er</w:t>
      </w:r>
      <w:proofErr w:type="spellEnd"/>
      <w:r w:rsidRPr="00BF3106">
        <w:rPr>
          <w:sz w:val="24"/>
          <w:szCs w:val="24"/>
        </w:rPr>
        <w:t xml:space="preserve"> kan øge risikoen for blødning. Der bør udvises forsigtighed, når </w:t>
      </w:r>
      <w:proofErr w:type="spellStart"/>
      <w:r w:rsidRPr="00BF3106">
        <w:rPr>
          <w:sz w:val="24"/>
          <w:szCs w:val="24"/>
        </w:rPr>
        <w:t>celecoxib</w:t>
      </w:r>
      <w:proofErr w:type="spellEnd"/>
      <w:r w:rsidRPr="00BF3106">
        <w:rPr>
          <w:sz w:val="24"/>
          <w:szCs w:val="24"/>
        </w:rPr>
        <w:t xml:space="preserve"> kombineres med </w:t>
      </w:r>
      <w:proofErr w:type="spellStart"/>
      <w:r w:rsidRPr="00BF3106">
        <w:rPr>
          <w:sz w:val="24"/>
          <w:szCs w:val="24"/>
        </w:rPr>
        <w:t>warfarin</w:t>
      </w:r>
      <w:proofErr w:type="spellEnd"/>
      <w:r w:rsidRPr="00BF3106">
        <w:rPr>
          <w:sz w:val="24"/>
          <w:szCs w:val="24"/>
        </w:rPr>
        <w:t xml:space="preserve"> eller andre orale </w:t>
      </w:r>
      <w:proofErr w:type="spellStart"/>
      <w:r w:rsidRPr="00BF3106">
        <w:rPr>
          <w:sz w:val="24"/>
          <w:szCs w:val="24"/>
        </w:rPr>
        <w:t>antikoagulantia</w:t>
      </w:r>
      <w:proofErr w:type="spellEnd"/>
      <w:r w:rsidRPr="00BF3106">
        <w:rPr>
          <w:sz w:val="24"/>
          <w:szCs w:val="24"/>
        </w:rPr>
        <w:t xml:space="preserve">, herunder nye </w:t>
      </w:r>
      <w:proofErr w:type="spellStart"/>
      <w:r w:rsidRPr="00BF3106">
        <w:rPr>
          <w:sz w:val="24"/>
          <w:szCs w:val="24"/>
        </w:rPr>
        <w:t>antikoagulantia</w:t>
      </w:r>
      <w:proofErr w:type="spellEnd"/>
      <w:r w:rsidRPr="00BF3106">
        <w:rPr>
          <w:sz w:val="24"/>
          <w:szCs w:val="24"/>
        </w:rPr>
        <w:t xml:space="preserve"> (f.eks. </w:t>
      </w:r>
      <w:proofErr w:type="spellStart"/>
      <w:r w:rsidRPr="00BF3106">
        <w:rPr>
          <w:sz w:val="24"/>
          <w:szCs w:val="24"/>
        </w:rPr>
        <w:t>apixaban</w:t>
      </w:r>
      <w:proofErr w:type="spellEnd"/>
      <w:r w:rsidRPr="00BF3106">
        <w:rPr>
          <w:sz w:val="24"/>
          <w:szCs w:val="24"/>
        </w:rPr>
        <w:t xml:space="preserve">, </w:t>
      </w:r>
      <w:proofErr w:type="spellStart"/>
      <w:r w:rsidRPr="00BF3106">
        <w:rPr>
          <w:sz w:val="24"/>
          <w:szCs w:val="24"/>
        </w:rPr>
        <w:t>dabigatran</w:t>
      </w:r>
      <w:proofErr w:type="spellEnd"/>
      <w:r w:rsidRPr="00BF3106">
        <w:rPr>
          <w:sz w:val="24"/>
          <w:szCs w:val="24"/>
        </w:rPr>
        <w:t xml:space="preserve"> og </w:t>
      </w:r>
      <w:proofErr w:type="spellStart"/>
      <w:r w:rsidRPr="00BF3106">
        <w:rPr>
          <w:sz w:val="24"/>
          <w:szCs w:val="24"/>
        </w:rPr>
        <w:t>rivaroxaban</w:t>
      </w:r>
      <w:proofErr w:type="spellEnd"/>
      <w:r w:rsidRPr="00BF3106">
        <w:rPr>
          <w:sz w:val="24"/>
          <w:szCs w:val="24"/>
        </w:rPr>
        <w:t>).</w:t>
      </w:r>
    </w:p>
    <w:p w:rsidR="008A2EC7" w:rsidRPr="00BF3106" w:rsidRDefault="008A2EC7" w:rsidP="008A2EC7">
      <w:pPr>
        <w:ind w:left="851"/>
        <w:rPr>
          <w:sz w:val="24"/>
          <w:szCs w:val="24"/>
        </w:rPr>
      </w:pPr>
    </w:p>
    <w:p w:rsidR="00A303DF" w:rsidRPr="00BF3106" w:rsidRDefault="00A303DF" w:rsidP="00A303DF">
      <w:pPr>
        <w:ind w:left="851"/>
        <w:rPr>
          <w:sz w:val="24"/>
          <w:szCs w:val="24"/>
        </w:rPr>
      </w:pPr>
      <w:r w:rsidRPr="00BF3106">
        <w:rPr>
          <w:sz w:val="24"/>
          <w:szCs w:val="24"/>
          <w:u w:val="single"/>
        </w:rPr>
        <w:t>Hjælpestoffer</w:t>
      </w:r>
    </w:p>
    <w:p w:rsidR="00A303DF" w:rsidRPr="00BF3106" w:rsidRDefault="00A303DF" w:rsidP="00A303DF">
      <w:pPr>
        <w:ind w:left="851"/>
        <w:rPr>
          <w:sz w:val="24"/>
          <w:szCs w:val="24"/>
        </w:rPr>
      </w:pPr>
      <w:proofErr w:type="spellStart"/>
      <w:r w:rsidRPr="00EA0E17">
        <w:rPr>
          <w:sz w:val="24"/>
          <w:szCs w:val="24"/>
        </w:rPr>
        <w:t>Celecoxib</w:t>
      </w:r>
      <w:proofErr w:type="spellEnd"/>
      <w:r w:rsidRPr="00EA0E17">
        <w:rPr>
          <w:sz w:val="24"/>
          <w:szCs w:val="24"/>
        </w:rPr>
        <w:t xml:space="preserve"> "Medical Valley"</w:t>
      </w:r>
      <w:r>
        <w:rPr>
          <w:sz w:val="24"/>
          <w:szCs w:val="24"/>
        </w:rPr>
        <w:t xml:space="preserve"> 100 mg og 200 mg kapsler</w:t>
      </w:r>
      <w:r w:rsidRPr="00EA0E17">
        <w:rPr>
          <w:sz w:val="24"/>
          <w:szCs w:val="24"/>
        </w:rPr>
        <w:t xml:space="preserve"> indeholder </w:t>
      </w:r>
      <w:proofErr w:type="spellStart"/>
      <w:r w:rsidRPr="00EA0E17">
        <w:rPr>
          <w:sz w:val="24"/>
          <w:szCs w:val="24"/>
        </w:rPr>
        <w:t>lactose</w:t>
      </w:r>
      <w:proofErr w:type="spellEnd"/>
      <w:r>
        <w:rPr>
          <w:sz w:val="24"/>
          <w:szCs w:val="24"/>
        </w:rPr>
        <w:t xml:space="preserve"> (hhv. 16,9 mg eller 33,80 mg)</w:t>
      </w:r>
      <w:r w:rsidRPr="00EA0E17">
        <w:rPr>
          <w:sz w:val="24"/>
          <w:szCs w:val="24"/>
        </w:rPr>
        <w:t xml:space="preserve">. </w:t>
      </w:r>
      <w:r w:rsidRPr="00BF3106">
        <w:rPr>
          <w:sz w:val="24"/>
          <w:szCs w:val="24"/>
        </w:rPr>
        <w:t xml:space="preserve">Bør ikke anvendes til patienter med hereditær </w:t>
      </w:r>
      <w:proofErr w:type="spellStart"/>
      <w:r w:rsidRPr="00BF3106">
        <w:rPr>
          <w:sz w:val="24"/>
          <w:szCs w:val="24"/>
        </w:rPr>
        <w:t>galactoseintolerans</w:t>
      </w:r>
      <w:proofErr w:type="spellEnd"/>
      <w:r w:rsidRPr="00BF3106">
        <w:rPr>
          <w:sz w:val="24"/>
          <w:szCs w:val="24"/>
        </w:rPr>
        <w:t xml:space="preserve">, total </w:t>
      </w:r>
      <w:proofErr w:type="spellStart"/>
      <w:r w:rsidRPr="00BF3106">
        <w:rPr>
          <w:sz w:val="24"/>
          <w:szCs w:val="24"/>
        </w:rPr>
        <w:t>lactasemangel</w:t>
      </w:r>
      <w:proofErr w:type="spellEnd"/>
      <w:r w:rsidRPr="00BF3106">
        <w:rPr>
          <w:sz w:val="24"/>
          <w:szCs w:val="24"/>
        </w:rPr>
        <w:t xml:space="preserve"> eller </w:t>
      </w:r>
      <w:proofErr w:type="spellStart"/>
      <w:r w:rsidRPr="00BF3106">
        <w:rPr>
          <w:sz w:val="24"/>
          <w:szCs w:val="24"/>
        </w:rPr>
        <w:t>glucose</w:t>
      </w:r>
      <w:proofErr w:type="spellEnd"/>
      <w:r w:rsidRPr="00BF3106">
        <w:rPr>
          <w:sz w:val="24"/>
          <w:szCs w:val="24"/>
        </w:rPr>
        <w:t>/</w:t>
      </w:r>
      <w:proofErr w:type="spellStart"/>
      <w:r w:rsidRPr="00BF3106">
        <w:rPr>
          <w:sz w:val="24"/>
          <w:szCs w:val="24"/>
        </w:rPr>
        <w:t>galactosemalabsorption</w:t>
      </w:r>
      <w:proofErr w:type="spellEnd"/>
      <w:r w:rsidRPr="00BF3106">
        <w:rPr>
          <w:sz w:val="24"/>
          <w:szCs w:val="24"/>
        </w:rPr>
        <w:t>.</w:t>
      </w:r>
    </w:p>
    <w:p w:rsidR="00A303DF" w:rsidRDefault="00A303DF" w:rsidP="00A303DF">
      <w:pPr>
        <w:ind w:left="851"/>
        <w:rPr>
          <w:sz w:val="24"/>
          <w:szCs w:val="24"/>
        </w:rPr>
      </w:pPr>
    </w:p>
    <w:p w:rsidR="00A303DF" w:rsidRPr="00BF3106" w:rsidRDefault="00A303DF" w:rsidP="00A303DF">
      <w:pPr>
        <w:ind w:left="851"/>
        <w:rPr>
          <w:sz w:val="24"/>
          <w:szCs w:val="24"/>
        </w:rPr>
      </w:pPr>
      <w:proofErr w:type="spellStart"/>
      <w:r w:rsidRPr="00EA0E17">
        <w:rPr>
          <w:sz w:val="24"/>
          <w:szCs w:val="24"/>
        </w:rPr>
        <w:t>Celecoxib</w:t>
      </w:r>
      <w:proofErr w:type="spellEnd"/>
      <w:r w:rsidRPr="00EA0E17">
        <w:rPr>
          <w:sz w:val="24"/>
          <w:szCs w:val="24"/>
        </w:rPr>
        <w:t xml:space="preserve"> "Medical Valley"</w:t>
      </w:r>
      <w:r>
        <w:rPr>
          <w:sz w:val="24"/>
          <w:szCs w:val="24"/>
        </w:rPr>
        <w:t xml:space="preserve"> 100 mg og 200 mg </w:t>
      </w:r>
      <w:r w:rsidRPr="00BF3106">
        <w:rPr>
          <w:sz w:val="24"/>
          <w:szCs w:val="24"/>
        </w:rPr>
        <w:t>indeholder mindre end 1 mmol (23 mg) natrium pr. kapsel, dvs. det er i det væsentlige natrium-frit.</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4.5</w:t>
      </w:r>
      <w:r w:rsidRPr="00BF3106">
        <w:rPr>
          <w:b/>
          <w:sz w:val="24"/>
          <w:szCs w:val="24"/>
        </w:rPr>
        <w:tab/>
        <w:t>Interaktion med andre lægemidler og andre former for interaktion</w:t>
      </w:r>
    </w:p>
    <w:p w:rsidR="008A2EC7" w:rsidRDefault="008A2EC7" w:rsidP="008A2EC7">
      <w:pPr>
        <w:ind w:left="851"/>
        <w:rPr>
          <w:i/>
          <w:noProof/>
          <w:sz w:val="24"/>
          <w:szCs w:val="24"/>
          <w:u w:val="single"/>
        </w:rPr>
      </w:pPr>
    </w:p>
    <w:p w:rsidR="008A2EC7" w:rsidRPr="00BF3106" w:rsidRDefault="008A2EC7" w:rsidP="008A2EC7">
      <w:pPr>
        <w:ind w:left="851"/>
        <w:rPr>
          <w:i/>
          <w:noProof/>
          <w:sz w:val="24"/>
          <w:szCs w:val="24"/>
          <w:u w:val="single"/>
        </w:rPr>
      </w:pPr>
      <w:r w:rsidRPr="00BF3106">
        <w:rPr>
          <w:i/>
          <w:noProof/>
          <w:sz w:val="24"/>
          <w:szCs w:val="24"/>
          <w:u w:val="single"/>
        </w:rPr>
        <w:t>Farmakodynamiske interaktioner</w:t>
      </w:r>
    </w:p>
    <w:p w:rsidR="008A2EC7" w:rsidRPr="00BF3106" w:rsidRDefault="008A2EC7" w:rsidP="008A2EC7">
      <w:pPr>
        <w:ind w:left="851"/>
        <w:rPr>
          <w:noProof/>
          <w:sz w:val="24"/>
          <w:szCs w:val="24"/>
        </w:rPr>
      </w:pPr>
    </w:p>
    <w:p w:rsidR="008A2EC7" w:rsidRPr="00BF3106" w:rsidRDefault="008A2EC7" w:rsidP="008A2EC7">
      <w:pPr>
        <w:ind w:left="851"/>
        <w:rPr>
          <w:i/>
          <w:noProof/>
          <w:sz w:val="24"/>
          <w:szCs w:val="24"/>
        </w:rPr>
      </w:pPr>
      <w:r w:rsidRPr="00BF3106">
        <w:rPr>
          <w:i/>
          <w:noProof/>
          <w:sz w:val="24"/>
          <w:szCs w:val="24"/>
        </w:rPr>
        <w:t>Antikoagulantia</w:t>
      </w:r>
    </w:p>
    <w:p w:rsidR="008A2EC7" w:rsidRPr="00BF3106" w:rsidRDefault="008A2EC7" w:rsidP="008A2EC7">
      <w:pPr>
        <w:ind w:left="851"/>
        <w:rPr>
          <w:noProof/>
          <w:sz w:val="24"/>
          <w:szCs w:val="24"/>
        </w:rPr>
      </w:pPr>
      <w:r w:rsidRPr="00BF3106">
        <w:rPr>
          <w:noProof/>
          <w:sz w:val="24"/>
          <w:szCs w:val="24"/>
        </w:rPr>
        <w:t>Antikoagulationsparametrene bør monitoreres, især i de første dage efter behandlingsstart eller ved dosisændring af celecoxib, hos patienter, som tager warfarin eller andre antikoagulantia, da disse patienter har en øget risiko for blødningskomplikationer. Patienter, der får orale antikoagulantia, bør derfor monitoreres omhyggeligt med hensyn til protrombintid (INR), især i de første dage efter opstart af behandling med celecoxib eller hvis dosis af celecoxib ændres (se pkt. 4.4). Blødningshændelser i forbindelse med øget protrombintid er især rapporteret hos ældre og hos patienter, som fik warfarin samtidig med celecoxib; nogle tilfælde var fatale.</w:t>
      </w:r>
    </w:p>
    <w:p w:rsidR="008A2EC7" w:rsidRPr="00BF3106" w:rsidRDefault="008A2EC7" w:rsidP="008A2EC7">
      <w:pPr>
        <w:ind w:left="851"/>
        <w:rPr>
          <w:noProof/>
          <w:sz w:val="24"/>
          <w:szCs w:val="24"/>
        </w:rPr>
      </w:pPr>
    </w:p>
    <w:p w:rsidR="008A2EC7" w:rsidRPr="00BF3106" w:rsidRDefault="008A2EC7" w:rsidP="008A2EC7">
      <w:pPr>
        <w:ind w:left="851"/>
        <w:rPr>
          <w:i/>
          <w:noProof/>
          <w:sz w:val="24"/>
          <w:szCs w:val="24"/>
        </w:rPr>
      </w:pPr>
      <w:r w:rsidRPr="00BF3106">
        <w:rPr>
          <w:i/>
          <w:noProof/>
          <w:sz w:val="24"/>
          <w:szCs w:val="24"/>
        </w:rPr>
        <w:t>Antihypertensiva</w:t>
      </w:r>
    </w:p>
    <w:p w:rsidR="008A2EC7" w:rsidRPr="00BF3106" w:rsidRDefault="00A303DF" w:rsidP="00A303DF">
      <w:pPr>
        <w:ind w:left="851"/>
        <w:rPr>
          <w:noProof/>
          <w:sz w:val="24"/>
          <w:szCs w:val="24"/>
        </w:rPr>
      </w:pPr>
      <w:r w:rsidRPr="00BF3106">
        <w:rPr>
          <w:noProof/>
          <w:sz w:val="24"/>
          <w:szCs w:val="24"/>
        </w:rPr>
        <w:t>NSAID’er kan nedsætte virkningen af antihypertensiva, herunder ACE</w:t>
      </w:r>
      <w:r w:rsidRPr="00BF3106">
        <w:rPr>
          <w:noProof/>
          <w:sz w:val="24"/>
          <w:szCs w:val="24"/>
        </w:rPr>
        <w:noBreakHyphen/>
        <w:t>hæmmere, angiotensin-II-receptor-antagonister, diuretika og beta-</w:t>
      </w:r>
      <w:r w:rsidRPr="002E052E">
        <w:rPr>
          <w:noProof/>
          <w:sz w:val="24"/>
          <w:szCs w:val="24"/>
        </w:rPr>
        <w:t xml:space="preserve">blokkere. Som for NSAIDs </w:t>
      </w:r>
      <w:r w:rsidRPr="007F41CD">
        <w:rPr>
          <w:noProof/>
          <w:sz w:val="24"/>
          <w:szCs w:val="24"/>
        </w:rPr>
        <w:t>kan</w:t>
      </w:r>
      <w:r w:rsidRPr="002E052E">
        <w:rPr>
          <w:noProof/>
          <w:sz w:val="24"/>
          <w:szCs w:val="24"/>
        </w:rPr>
        <w:t xml:space="preserve"> risikoen for akut nyreinsufficiens, som sædvanligvis er reversibel, være</w:t>
      </w:r>
      <w:r w:rsidRPr="00BF3106">
        <w:rPr>
          <w:noProof/>
          <w:sz w:val="24"/>
          <w:szCs w:val="24"/>
        </w:rPr>
        <w:t xml:space="preserve"> øget hos nogle patienter med kompromitteret nyrefunktion (f.eks. dehydrerede patienter, patienter i diuretikabehandling eller ældre patienter), hvis ACE-hæmmere eller angiotensin-II-</w:t>
      </w:r>
      <w:r w:rsidRPr="002E052E">
        <w:rPr>
          <w:noProof/>
          <w:sz w:val="24"/>
          <w:szCs w:val="24"/>
        </w:rPr>
        <w:t>receptor-antagonister og/eller diuretika kombineres med NSAID’er, inklusive celecoxib, (se pkt.4.4). Kombinationen</w:t>
      </w:r>
      <w:r w:rsidRPr="00BF3106">
        <w:rPr>
          <w:noProof/>
          <w:sz w:val="24"/>
          <w:szCs w:val="24"/>
        </w:rPr>
        <w:t xml:space="preserve"> bør derfor gives med forsigtighed, især til ældre. Patienter bør </w:t>
      </w:r>
      <w:r w:rsidRPr="00BF3106">
        <w:rPr>
          <w:noProof/>
          <w:sz w:val="24"/>
          <w:szCs w:val="24"/>
        </w:rPr>
        <w:lastRenderedPageBreak/>
        <w:t xml:space="preserve">være normalhydrerede, og det bør overvejes at kontrollere nyrefunktionen efter opstart af kombinationsbehandling og med jævne mellemrum derefter. </w:t>
      </w:r>
    </w:p>
    <w:p w:rsidR="008A2EC7" w:rsidRPr="00BF3106" w:rsidRDefault="008A2EC7" w:rsidP="008A2EC7">
      <w:pPr>
        <w:ind w:left="851"/>
        <w:rPr>
          <w:noProof/>
          <w:sz w:val="24"/>
          <w:szCs w:val="24"/>
        </w:rPr>
      </w:pPr>
    </w:p>
    <w:p w:rsidR="008A2EC7" w:rsidRPr="00BF3106" w:rsidRDefault="008A2EC7" w:rsidP="008A2EC7">
      <w:pPr>
        <w:ind w:left="851"/>
        <w:rPr>
          <w:noProof/>
          <w:sz w:val="24"/>
          <w:szCs w:val="24"/>
        </w:rPr>
      </w:pPr>
      <w:r w:rsidRPr="00BF3106">
        <w:rPr>
          <w:noProof/>
          <w:sz w:val="24"/>
          <w:szCs w:val="24"/>
        </w:rPr>
        <w:t>I et klinisk forsøg af 28 dages varighed med patienter med lisinoprilkontrolleret hypertension på stadie I og II førte administration af celecoxib 200 mg to gange dagligt ikke til klinisk signifikante stigninger i det gennemsnitlige daglige systoliske eller diastoliske blodtryk beregnet ud fra 24-timers ambulant blodtryksmåling sammenlignet med placebo. Blandt de patienter, der fik celecoxib 200 mg to gange dagligt, blev 48 % vurderet til ikke at respondere på lisinopril ved det afsluttende kliniske besøg (defineret enten som diastolisk blodtryk &gt; 90 mmHg eller diastolisk blodtryk øget &gt; 10 % i forhold til baseline), sammenlignet med 27 % af de patienter, der blev behandlet med placebo. Denne forskel var statistisk signifikant.</w:t>
      </w:r>
    </w:p>
    <w:p w:rsidR="008A2EC7" w:rsidRPr="00BF3106" w:rsidRDefault="008A2EC7" w:rsidP="008A2EC7">
      <w:pPr>
        <w:ind w:left="851"/>
        <w:rPr>
          <w:noProof/>
          <w:sz w:val="24"/>
          <w:szCs w:val="24"/>
        </w:rPr>
      </w:pPr>
    </w:p>
    <w:p w:rsidR="008A2EC7" w:rsidRPr="00BF3106" w:rsidRDefault="008A2EC7" w:rsidP="008A2EC7">
      <w:pPr>
        <w:ind w:left="851"/>
        <w:rPr>
          <w:bCs/>
          <w:i/>
          <w:noProof/>
          <w:sz w:val="24"/>
          <w:szCs w:val="24"/>
        </w:rPr>
      </w:pPr>
      <w:r w:rsidRPr="00BF3106">
        <w:rPr>
          <w:bCs/>
          <w:i/>
          <w:noProof/>
          <w:sz w:val="24"/>
          <w:szCs w:val="24"/>
        </w:rPr>
        <w:t>Ciclosporin og tacrolimus</w:t>
      </w:r>
    </w:p>
    <w:p w:rsidR="008A2EC7" w:rsidRPr="00BF3106" w:rsidRDefault="008A2EC7" w:rsidP="008A2EC7">
      <w:pPr>
        <w:ind w:left="851"/>
        <w:rPr>
          <w:noProof/>
          <w:sz w:val="24"/>
          <w:szCs w:val="24"/>
        </w:rPr>
      </w:pPr>
      <w:r w:rsidRPr="00BF3106">
        <w:rPr>
          <w:noProof/>
          <w:sz w:val="24"/>
          <w:szCs w:val="24"/>
        </w:rPr>
        <w:t>Samtidig administration af NSAID’er og ciclosporin eller tacrolimus kan øge den nyretoksiske virkning af henholdsvis ciclosporin og tacrolimus. Nyrefunktionen bør derfor monitoreres ved kombination af celecoxib og et af disse lægemidler.</w:t>
      </w:r>
    </w:p>
    <w:p w:rsidR="008A2EC7" w:rsidRPr="00BF3106" w:rsidRDefault="008A2EC7" w:rsidP="008A2EC7">
      <w:pPr>
        <w:ind w:left="851"/>
        <w:rPr>
          <w:noProof/>
          <w:sz w:val="24"/>
          <w:szCs w:val="24"/>
        </w:rPr>
      </w:pPr>
    </w:p>
    <w:p w:rsidR="008A2EC7" w:rsidRPr="00BF3106" w:rsidRDefault="008A2EC7" w:rsidP="008A2EC7">
      <w:pPr>
        <w:ind w:left="851"/>
        <w:rPr>
          <w:i/>
          <w:noProof/>
          <w:sz w:val="24"/>
          <w:szCs w:val="24"/>
          <w:u w:val="single"/>
        </w:rPr>
      </w:pPr>
      <w:r w:rsidRPr="00BF3106">
        <w:rPr>
          <w:i/>
          <w:noProof/>
          <w:sz w:val="24"/>
          <w:szCs w:val="24"/>
          <w:u w:val="single"/>
        </w:rPr>
        <w:t>Acetylsalicylsyre</w:t>
      </w:r>
    </w:p>
    <w:p w:rsidR="008A2EC7" w:rsidRPr="00BF3106" w:rsidRDefault="008A2EC7" w:rsidP="008A2EC7">
      <w:pPr>
        <w:ind w:left="851"/>
        <w:rPr>
          <w:noProof/>
          <w:sz w:val="24"/>
          <w:szCs w:val="24"/>
        </w:rPr>
      </w:pPr>
      <w:r w:rsidRPr="00BF3106">
        <w:rPr>
          <w:noProof/>
          <w:sz w:val="24"/>
          <w:szCs w:val="24"/>
        </w:rPr>
        <w:t xml:space="preserve">Celecoxib </w:t>
      </w:r>
      <w:r>
        <w:rPr>
          <w:noProof/>
          <w:sz w:val="24"/>
          <w:szCs w:val="24"/>
        </w:rPr>
        <w:t>"Medical Valley"</w:t>
      </w:r>
      <w:r w:rsidRPr="00BF3106">
        <w:rPr>
          <w:noProof/>
          <w:sz w:val="24"/>
          <w:szCs w:val="24"/>
        </w:rPr>
        <w:t xml:space="preserve"> kan anvendes sammen med acetylsalicylsyre i lav dosis, men kan ikke erstatte acetylsalicylsyre til kardiovaskulær profylakse. Ligesom det er tilfældet med andre NSAIDer’, er der påvist en øget risiko for gastrointestinal ulceration eller andre gastrointestinale komplikationer ved samtidig brug af acetylsalicylsyre i lav dosis i forhold til brug af celecoxib alene i de indsendte studier (se pkt. 5.1).</w:t>
      </w:r>
    </w:p>
    <w:p w:rsidR="008A2EC7" w:rsidRPr="00BF3106" w:rsidRDefault="008A2EC7" w:rsidP="008A2EC7">
      <w:pPr>
        <w:ind w:left="851"/>
        <w:rPr>
          <w:noProof/>
          <w:sz w:val="24"/>
          <w:szCs w:val="24"/>
        </w:rPr>
      </w:pPr>
    </w:p>
    <w:p w:rsidR="008A2EC7" w:rsidRPr="00BF3106" w:rsidRDefault="008A2EC7" w:rsidP="008A2EC7">
      <w:pPr>
        <w:ind w:left="851"/>
        <w:rPr>
          <w:i/>
          <w:noProof/>
          <w:sz w:val="24"/>
          <w:szCs w:val="24"/>
          <w:u w:val="single"/>
        </w:rPr>
      </w:pPr>
      <w:r w:rsidRPr="00BF3106">
        <w:rPr>
          <w:i/>
          <w:noProof/>
          <w:sz w:val="24"/>
          <w:szCs w:val="24"/>
          <w:u w:val="single"/>
        </w:rPr>
        <w:t>Farmakokinetiske interaktioner</w:t>
      </w:r>
    </w:p>
    <w:p w:rsidR="008A2EC7" w:rsidRPr="00BF3106" w:rsidRDefault="008A2EC7" w:rsidP="008A2EC7">
      <w:pPr>
        <w:ind w:left="851"/>
        <w:rPr>
          <w:i/>
          <w:noProof/>
          <w:sz w:val="24"/>
          <w:szCs w:val="24"/>
          <w:u w:val="single"/>
        </w:rPr>
      </w:pPr>
    </w:p>
    <w:p w:rsidR="008A2EC7" w:rsidRPr="00BF3106" w:rsidRDefault="008A2EC7" w:rsidP="008A2EC7">
      <w:pPr>
        <w:ind w:left="851"/>
        <w:rPr>
          <w:i/>
          <w:noProof/>
          <w:sz w:val="24"/>
          <w:szCs w:val="24"/>
          <w:u w:val="single"/>
        </w:rPr>
      </w:pPr>
      <w:r w:rsidRPr="00BF3106">
        <w:rPr>
          <w:i/>
          <w:noProof/>
          <w:sz w:val="24"/>
          <w:szCs w:val="24"/>
          <w:u w:val="single"/>
        </w:rPr>
        <w:t>Celecoxibs virkning på andre lægemidler</w:t>
      </w:r>
    </w:p>
    <w:p w:rsidR="008A2EC7" w:rsidRPr="00BF3106" w:rsidRDefault="008A2EC7" w:rsidP="008A2EC7">
      <w:pPr>
        <w:ind w:left="851"/>
        <w:rPr>
          <w:noProof/>
          <w:sz w:val="24"/>
          <w:szCs w:val="24"/>
        </w:rPr>
      </w:pPr>
      <w:r w:rsidRPr="00BF3106">
        <w:rPr>
          <w:noProof/>
          <w:sz w:val="24"/>
          <w:szCs w:val="24"/>
        </w:rPr>
        <w:tab/>
      </w:r>
    </w:p>
    <w:p w:rsidR="008A2EC7" w:rsidRPr="00BF3106" w:rsidRDefault="008A2EC7" w:rsidP="008A2EC7">
      <w:pPr>
        <w:ind w:left="851"/>
        <w:rPr>
          <w:i/>
          <w:noProof/>
          <w:sz w:val="24"/>
          <w:szCs w:val="24"/>
        </w:rPr>
      </w:pPr>
      <w:r w:rsidRPr="00BF3106">
        <w:rPr>
          <w:i/>
          <w:noProof/>
          <w:sz w:val="24"/>
          <w:szCs w:val="24"/>
        </w:rPr>
        <w:t>CYP2D6-hæmning</w:t>
      </w:r>
    </w:p>
    <w:p w:rsidR="008A2EC7" w:rsidRPr="00BF3106" w:rsidRDefault="008A2EC7" w:rsidP="008A2EC7">
      <w:pPr>
        <w:ind w:left="851"/>
        <w:rPr>
          <w:noProof/>
          <w:sz w:val="24"/>
          <w:szCs w:val="24"/>
        </w:rPr>
      </w:pPr>
      <w:r w:rsidRPr="00BF3106">
        <w:rPr>
          <w:noProof/>
          <w:sz w:val="24"/>
          <w:szCs w:val="24"/>
        </w:rPr>
        <w:t xml:space="preserve">Celecoxib </w:t>
      </w:r>
      <w:r>
        <w:rPr>
          <w:noProof/>
          <w:sz w:val="24"/>
          <w:szCs w:val="24"/>
        </w:rPr>
        <w:t>"Medical Valley"</w:t>
      </w:r>
      <w:r w:rsidRPr="00BF3106">
        <w:rPr>
          <w:noProof/>
          <w:sz w:val="24"/>
          <w:szCs w:val="24"/>
        </w:rPr>
        <w:t xml:space="preserve"> er en CYP2D6-hæmmer. Plasmakoncentrationen af lægemidler, der er substrater for dette enzym, kan stige ved samtidig brug af celecoxib. Eksempler på lægemidler, der metaboliseres af CYP2D6, er antidepressiva (tricycliske og SSRI’er), neuroleptika, antiarytmika, etc. Dosen af individuelt dosistitrerede CYP2D6-substrater bør muligvis nedsættes ved opstart af celecoxib og øges ved seponering af celecoxib.</w:t>
      </w:r>
    </w:p>
    <w:p w:rsidR="008A2EC7" w:rsidRPr="00BF3106" w:rsidRDefault="008A2EC7" w:rsidP="008A2EC7">
      <w:pPr>
        <w:ind w:left="851"/>
        <w:rPr>
          <w:noProof/>
          <w:sz w:val="24"/>
          <w:szCs w:val="24"/>
        </w:rPr>
      </w:pPr>
    </w:p>
    <w:p w:rsidR="008A2EC7" w:rsidRPr="00BF3106" w:rsidRDefault="008A2EC7" w:rsidP="008A2EC7">
      <w:pPr>
        <w:ind w:left="851"/>
        <w:rPr>
          <w:noProof/>
          <w:sz w:val="24"/>
          <w:szCs w:val="24"/>
        </w:rPr>
      </w:pPr>
      <w:r w:rsidRPr="00BF3106">
        <w:rPr>
          <w:noProof/>
          <w:sz w:val="24"/>
          <w:szCs w:val="24"/>
        </w:rPr>
        <w:t>Samtidig administration af celecoxib 200 mg to gange dagligt medførte stigninger i plasmakon</w:t>
      </w:r>
      <w:r w:rsidRPr="00BF3106">
        <w:rPr>
          <w:noProof/>
          <w:sz w:val="24"/>
          <w:szCs w:val="24"/>
        </w:rPr>
        <w:softHyphen/>
        <w:t>centrationen af dextromethorphan og metoprolol (CYP2D6-substrater) på henholdsvis 2,6 og 1,5 gange. Disse stigninger skyldes celecoxibs hæmning af CYP2D6-substratmetabolismen.</w:t>
      </w:r>
    </w:p>
    <w:p w:rsidR="008A2EC7" w:rsidRPr="00BF3106" w:rsidRDefault="008A2EC7" w:rsidP="008A2EC7">
      <w:pPr>
        <w:ind w:left="851"/>
        <w:rPr>
          <w:noProof/>
          <w:sz w:val="24"/>
          <w:szCs w:val="24"/>
        </w:rPr>
      </w:pPr>
    </w:p>
    <w:p w:rsidR="008A2EC7" w:rsidRPr="00BF3106" w:rsidRDefault="008A2EC7" w:rsidP="008A2EC7">
      <w:pPr>
        <w:ind w:left="851"/>
        <w:rPr>
          <w:i/>
          <w:noProof/>
          <w:sz w:val="24"/>
          <w:szCs w:val="24"/>
        </w:rPr>
      </w:pPr>
      <w:r w:rsidRPr="00BF3106">
        <w:rPr>
          <w:i/>
          <w:noProof/>
          <w:sz w:val="24"/>
          <w:szCs w:val="24"/>
        </w:rPr>
        <w:t>CYP2C19-hæmning</w:t>
      </w:r>
    </w:p>
    <w:p w:rsidR="008A2EC7" w:rsidRPr="00BF3106" w:rsidRDefault="008A2EC7" w:rsidP="008A2EC7">
      <w:pPr>
        <w:ind w:left="851"/>
        <w:rPr>
          <w:noProof/>
          <w:sz w:val="24"/>
          <w:szCs w:val="24"/>
        </w:rPr>
      </w:pPr>
      <w:r w:rsidRPr="00BF3106">
        <w:rPr>
          <w:i/>
          <w:noProof/>
          <w:sz w:val="24"/>
          <w:szCs w:val="24"/>
        </w:rPr>
        <w:t>In vitro</w:t>
      </w:r>
      <w:r w:rsidRPr="00BF3106">
        <w:rPr>
          <w:noProof/>
          <w:sz w:val="24"/>
          <w:szCs w:val="24"/>
        </w:rPr>
        <w:t xml:space="preserve">-forsøg har vist mulighed for, at celecoxib kan hæmme CYP2C19-katalyseret metabolisme. Den kliniske betydning af disse </w:t>
      </w:r>
      <w:r w:rsidRPr="00BF3106">
        <w:rPr>
          <w:i/>
          <w:noProof/>
          <w:sz w:val="24"/>
          <w:szCs w:val="24"/>
        </w:rPr>
        <w:t>in vitro-</w:t>
      </w:r>
      <w:r w:rsidRPr="00BF3106">
        <w:rPr>
          <w:noProof/>
          <w:sz w:val="24"/>
          <w:szCs w:val="24"/>
        </w:rPr>
        <w:t>fund er ikke kendt. Eksempler på lægemidler, som metaboliseres af CYP2C19, er diazepam, citalopram og imipramin.</w:t>
      </w:r>
    </w:p>
    <w:p w:rsidR="008A2EC7" w:rsidRPr="00BF3106" w:rsidRDefault="008A2EC7" w:rsidP="008A2EC7">
      <w:pPr>
        <w:ind w:left="851"/>
        <w:rPr>
          <w:i/>
          <w:noProof/>
          <w:sz w:val="24"/>
          <w:szCs w:val="24"/>
        </w:rPr>
      </w:pPr>
    </w:p>
    <w:p w:rsidR="008A2EC7" w:rsidRPr="00BF3106" w:rsidRDefault="008A2EC7" w:rsidP="008A2EC7">
      <w:pPr>
        <w:ind w:left="851"/>
        <w:rPr>
          <w:i/>
          <w:noProof/>
          <w:sz w:val="24"/>
          <w:szCs w:val="24"/>
        </w:rPr>
      </w:pPr>
      <w:r w:rsidRPr="00BF3106">
        <w:rPr>
          <w:i/>
          <w:noProof/>
          <w:sz w:val="24"/>
          <w:szCs w:val="24"/>
        </w:rPr>
        <w:t>Methotrexat</w:t>
      </w:r>
    </w:p>
    <w:p w:rsidR="008A2EC7" w:rsidRPr="00BF3106" w:rsidRDefault="008A2EC7" w:rsidP="008A2EC7">
      <w:pPr>
        <w:ind w:left="851"/>
        <w:rPr>
          <w:noProof/>
          <w:sz w:val="24"/>
          <w:szCs w:val="24"/>
        </w:rPr>
      </w:pPr>
      <w:r w:rsidRPr="00BF3106">
        <w:rPr>
          <w:noProof/>
          <w:sz w:val="24"/>
          <w:szCs w:val="24"/>
        </w:rPr>
        <w:t xml:space="preserve">Hos patienter med rheumatoid arthritis havde celecoxib ingen signifikant virkning på farmakokinetikken (plasma- eller nyreclearence) af methotrexat (i reumatologiske doser). </w:t>
      </w:r>
      <w:r w:rsidRPr="00BF3106">
        <w:rPr>
          <w:noProof/>
          <w:sz w:val="24"/>
          <w:szCs w:val="24"/>
        </w:rPr>
        <w:lastRenderedPageBreak/>
        <w:t>Ikke desto mindre bør det overvejes at monitorere for methotrexatrelateret toksicitet, når disse to lægemidler kombineres.</w:t>
      </w:r>
    </w:p>
    <w:p w:rsidR="008A2EC7" w:rsidRPr="00BF3106" w:rsidRDefault="008A2EC7" w:rsidP="008A2EC7">
      <w:pPr>
        <w:ind w:left="851"/>
        <w:rPr>
          <w:noProof/>
          <w:sz w:val="24"/>
          <w:szCs w:val="24"/>
        </w:rPr>
      </w:pPr>
    </w:p>
    <w:p w:rsidR="008A2EC7" w:rsidRPr="00BF3106" w:rsidRDefault="008A2EC7" w:rsidP="008A2EC7">
      <w:pPr>
        <w:ind w:left="851"/>
        <w:rPr>
          <w:noProof/>
          <w:sz w:val="24"/>
          <w:szCs w:val="24"/>
        </w:rPr>
      </w:pPr>
      <w:r w:rsidRPr="00BF3106">
        <w:rPr>
          <w:i/>
          <w:noProof/>
          <w:sz w:val="24"/>
          <w:szCs w:val="24"/>
        </w:rPr>
        <w:t>Lithium</w:t>
      </w:r>
    </w:p>
    <w:p w:rsidR="008A2EC7" w:rsidRPr="00BF3106" w:rsidRDefault="008A2EC7" w:rsidP="008A2EC7">
      <w:pPr>
        <w:ind w:left="851"/>
        <w:rPr>
          <w:noProof/>
          <w:sz w:val="24"/>
          <w:szCs w:val="24"/>
        </w:rPr>
      </w:pPr>
      <w:r w:rsidRPr="00BF3106">
        <w:rPr>
          <w:noProof/>
          <w:sz w:val="24"/>
          <w:szCs w:val="24"/>
        </w:rPr>
        <w:t>Hos raske frivillige personer resulterede samtidig administration af celecoxib 200 mg to gange dagligt og 450 mg lithium to gange dagligt i en gennemsnitlig stigning på 16 % i lithiums C</w:t>
      </w:r>
      <w:r w:rsidRPr="00BF3106">
        <w:rPr>
          <w:noProof/>
          <w:sz w:val="24"/>
          <w:szCs w:val="24"/>
          <w:vertAlign w:val="subscript"/>
        </w:rPr>
        <w:t>max</w:t>
      </w:r>
      <w:r w:rsidRPr="00BF3106">
        <w:rPr>
          <w:noProof/>
          <w:sz w:val="24"/>
          <w:szCs w:val="24"/>
        </w:rPr>
        <w:t xml:space="preserve"> og på 18 % i lithiums AUC. Derfor bør patienter, som behandles med lithium, følges omhyggeligt, når behandling med celecoxib initieres eller afbrydes.</w:t>
      </w:r>
    </w:p>
    <w:p w:rsidR="008A2EC7" w:rsidRPr="00BF3106" w:rsidRDefault="008A2EC7" w:rsidP="008A2EC7">
      <w:pPr>
        <w:ind w:left="851"/>
        <w:rPr>
          <w:noProof/>
          <w:sz w:val="24"/>
          <w:szCs w:val="24"/>
        </w:rPr>
      </w:pPr>
    </w:p>
    <w:p w:rsidR="008A2EC7" w:rsidRPr="00BF3106" w:rsidRDefault="008A2EC7" w:rsidP="008A2EC7">
      <w:pPr>
        <w:ind w:left="851"/>
        <w:rPr>
          <w:i/>
          <w:noProof/>
          <w:sz w:val="24"/>
          <w:szCs w:val="24"/>
        </w:rPr>
      </w:pPr>
      <w:r w:rsidRPr="00BF3106">
        <w:rPr>
          <w:i/>
          <w:noProof/>
          <w:sz w:val="24"/>
          <w:szCs w:val="24"/>
        </w:rPr>
        <w:t>Orale antikonceptionsmidler</w:t>
      </w:r>
    </w:p>
    <w:p w:rsidR="008A2EC7" w:rsidRPr="00BF3106" w:rsidRDefault="008A2EC7" w:rsidP="008A2EC7">
      <w:pPr>
        <w:ind w:left="851"/>
        <w:rPr>
          <w:noProof/>
          <w:sz w:val="24"/>
          <w:szCs w:val="24"/>
        </w:rPr>
      </w:pPr>
      <w:r w:rsidRPr="00BF3106">
        <w:rPr>
          <w:noProof/>
          <w:sz w:val="24"/>
          <w:szCs w:val="24"/>
        </w:rPr>
        <w:t>I et interaktionsstudie havde celecoxib ingen klinisk relevant virkning på farmako</w:t>
      </w:r>
      <w:r>
        <w:rPr>
          <w:noProof/>
          <w:sz w:val="24"/>
          <w:szCs w:val="24"/>
        </w:rPr>
        <w:softHyphen/>
      </w:r>
      <w:r w:rsidRPr="00BF3106">
        <w:rPr>
          <w:noProof/>
          <w:sz w:val="24"/>
          <w:szCs w:val="24"/>
        </w:rPr>
        <w:t>kinetikken af orale antikonceptionsmidler (1 mg norethisteron/35 μg ethinylestradiol).</w:t>
      </w:r>
    </w:p>
    <w:p w:rsidR="008A2EC7" w:rsidRPr="00BF3106" w:rsidRDefault="008A2EC7" w:rsidP="008A2EC7">
      <w:pPr>
        <w:ind w:left="851"/>
        <w:rPr>
          <w:noProof/>
          <w:sz w:val="24"/>
          <w:szCs w:val="24"/>
        </w:rPr>
      </w:pPr>
    </w:p>
    <w:p w:rsidR="008A2EC7" w:rsidRPr="00BF3106" w:rsidRDefault="008A2EC7" w:rsidP="008A2EC7">
      <w:pPr>
        <w:ind w:left="851"/>
        <w:rPr>
          <w:i/>
          <w:noProof/>
          <w:sz w:val="24"/>
          <w:szCs w:val="24"/>
        </w:rPr>
      </w:pPr>
      <w:r w:rsidRPr="00BF3106">
        <w:rPr>
          <w:i/>
          <w:noProof/>
          <w:sz w:val="24"/>
          <w:szCs w:val="24"/>
        </w:rPr>
        <w:t>Glibenclamid/tolbutamid</w:t>
      </w:r>
    </w:p>
    <w:p w:rsidR="008A2EC7" w:rsidRPr="00BF3106" w:rsidRDefault="008A2EC7" w:rsidP="008A2EC7">
      <w:pPr>
        <w:ind w:left="851"/>
        <w:rPr>
          <w:noProof/>
          <w:sz w:val="24"/>
          <w:szCs w:val="24"/>
        </w:rPr>
      </w:pPr>
      <w:r w:rsidRPr="00BF3106">
        <w:rPr>
          <w:noProof/>
          <w:sz w:val="24"/>
          <w:szCs w:val="24"/>
        </w:rPr>
        <w:t>Celecoxib påvirker ikke farmakokinetikken af tolbutamid (CYP2C9-substrat) eller glibenclamid i klinisk relevant grad.</w:t>
      </w:r>
    </w:p>
    <w:p w:rsidR="008A2EC7" w:rsidRPr="00BF3106" w:rsidRDefault="008A2EC7" w:rsidP="008A2EC7">
      <w:pPr>
        <w:ind w:left="851"/>
        <w:rPr>
          <w:i/>
          <w:noProof/>
          <w:sz w:val="24"/>
          <w:szCs w:val="24"/>
        </w:rPr>
      </w:pPr>
    </w:p>
    <w:p w:rsidR="008A2EC7" w:rsidRPr="00BF3106" w:rsidRDefault="008A2EC7" w:rsidP="008A2EC7">
      <w:pPr>
        <w:ind w:left="851"/>
        <w:rPr>
          <w:i/>
          <w:noProof/>
          <w:sz w:val="24"/>
          <w:szCs w:val="24"/>
          <w:u w:val="single"/>
        </w:rPr>
      </w:pPr>
      <w:r w:rsidRPr="00BF3106">
        <w:rPr>
          <w:i/>
          <w:noProof/>
          <w:sz w:val="24"/>
          <w:szCs w:val="24"/>
          <w:u w:val="single"/>
        </w:rPr>
        <w:t>Andre lægemidlers virkning på celecoxib</w:t>
      </w:r>
    </w:p>
    <w:p w:rsidR="008A2EC7" w:rsidRPr="00BF3106" w:rsidRDefault="008A2EC7" w:rsidP="008A2EC7">
      <w:pPr>
        <w:ind w:left="851"/>
        <w:rPr>
          <w:noProof/>
          <w:sz w:val="24"/>
          <w:szCs w:val="24"/>
        </w:rPr>
      </w:pPr>
    </w:p>
    <w:p w:rsidR="008A2EC7" w:rsidRPr="00BF3106" w:rsidRDefault="008A2EC7" w:rsidP="008A2EC7">
      <w:pPr>
        <w:ind w:left="851"/>
        <w:rPr>
          <w:i/>
          <w:noProof/>
          <w:sz w:val="24"/>
          <w:szCs w:val="24"/>
        </w:rPr>
      </w:pPr>
      <w:r w:rsidRPr="00BF3106">
        <w:rPr>
          <w:i/>
          <w:noProof/>
          <w:sz w:val="24"/>
          <w:szCs w:val="24"/>
        </w:rPr>
        <w:t>Personer med nedsat CYP2C9-metabolisering</w:t>
      </w:r>
    </w:p>
    <w:p w:rsidR="008A2EC7" w:rsidRPr="00BF3106" w:rsidRDefault="008A2EC7" w:rsidP="008A2EC7">
      <w:pPr>
        <w:ind w:left="851"/>
        <w:rPr>
          <w:noProof/>
          <w:sz w:val="24"/>
          <w:szCs w:val="24"/>
        </w:rPr>
      </w:pPr>
      <w:r w:rsidRPr="00BF3106">
        <w:rPr>
          <w:noProof/>
          <w:sz w:val="24"/>
          <w:szCs w:val="24"/>
        </w:rPr>
        <w:t>Hos personer, som har nedsat CYP2C9-metabolisering, og som viser øget systemisk eksponering for celecoxib, kan samtidig behandling med CYP2C9-hæmmere som f.eks. fluconazol føre til yderligere stigning i eksponeringen for celecoxib. Sådanne kombinationer bør undgås hos personer med nedsat CYP2C9-metabolisering (se pkt. 4.2 og 5.2).</w:t>
      </w:r>
    </w:p>
    <w:p w:rsidR="008A2EC7" w:rsidRPr="00BF3106" w:rsidRDefault="008A2EC7" w:rsidP="008A2EC7">
      <w:pPr>
        <w:ind w:left="851"/>
        <w:rPr>
          <w:noProof/>
          <w:sz w:val="24"/>
          <w:szCs w:val="24"/>
        </w:rPr>
      </w:pPr>
    </w:p>
    <w:p w:rsidR="008A2EC7" w:rsidRPr="00BF3106" w:rsidRDefault="008A2EC7" w:rsidP="008A2EC7">
      <w:pPr>
        <w:ind w:left="851"/>
        <w:rPr>
          <w:i/>
          <w:noProof/>
          <w:sz w:val="24"/>
          <w:szCs w:val="24"/>
        </w:rPr>
      </w:pPr>
      <w:r w:rsidRPr="00BF3106">
        <w:rPr>
          <w:i/>
          <w:noProof/>
          <w:sz w:val="24"/>
          <w:szCs w:val="24"/>
        </w:rPr>
        <w:t>CYP2C9-hæmmere og -induktorer</w:t>
      </w:r>
    </w:p>
    <w:p w:rsidR="008A2EC7" w:rsidRPr="00BF3106" w:rsidRDefault="008A2EC7" w:rsidP="008A2EC7">
      <w:pPr>
        <w:ind w:left="851"/>
        <w:rPr>
          <w:noProof/>
          <w:sz w:val="24"/>
          <w:szCs w:val="24"/>
        </w:rPr>
      </w:pPr>
      <w:r w:rsidRPr="00BF3106">
        <w:rPr>
          <w:noProof/>
          <w:sz w:val="24"/>
          <w:szCs w:val="24"/>
        </w:rPr>
        <w:t>Da celecoxib overvejende metaboliseres af CYP2C9, bør det bruges i halvdelen af den anbefalede dosis hos patienter, som får fluconazol. Samtidig brug af 200 mg celecoxib som enkeltdosis og 200 mg fluconazol, en potent CYP2C9-hæmmer, én gang dagligt resulterede i en gennemsnitlig stigning i celecoxibs C</w:t>
      </w:r>
      <w:r w:rsidRPr="00BF3106">
        <w:rPr>
          <w:noProof/>
          <w:sz w:val="24"/>
          <w:szCs w:val="24"/>
          <w:vertAlign w:val="subscript"/>
        </w:rPr>
        <w:t>max</w:t>
      </w:r>
      <w:r w:rsidRPr="00BF3106">
        <w:rPr>
          <w:noProof/>
          <w:sz w:val="24"/>
          <w:szCs w:val="24"/>
        </w:rPr>
        <w:t xml:space="preserve"> og AUC på henholdsvis 60 % og 130 %. Plasmakoncentrationen af celecoxib kan reduceres ved samtidig brug af CYP2C9-induktorer, såsom rifampicin, carbamazepin og barbiturater.</w:t>
      </w:r>
    </w:p>
    <w:p w:rsidR="008A2EC7" w:rsidRPr="00BF3106" w:rsidRDefault="008A2EC7" w:rsidP="008A2EC7">
      <w:pPr>
        <w:ind w:left="851"/>
        <w:rPr>
          <w:noProof/>
          <w:sz w:val="24"/>
          <w:szCs w:val="24"/>
        </w:rPr>
      </w:pPr>
    </w:p>
    <w:p w:rsidR="008A2EC7" w:rsidRPr="00BF3106" w:rsidRDefault="008A2EC7" w:rsidP="008A2EC7">
      <w:pPr>
        <w:ind w:left="851"/>
        <w:rPr>
          <w:i/>
          <w:noProof/>
          <w:sz w:val="24"/>
          <w:szCs w:val="24"/>
        </w:rPr>
      </w:pPr>
      <w:r w:rsidRPr="00BF3106">
        <w:rPr>
          <w:i/>
          <w:noProof/>
          <w:sz w:val="24"/>
          <w:szCs w:val="24"/>
        </w:rPr>
        <w:t>Ketoconazol og antacida</w:t>
      </w:r>
    </w:p>
    <w:p w:rsidR="008A2EC7" w:rsidRPr="00BF3106" w:rsidRDefault="008A2EC7" w:rsidP="008A2EC7">
      <w:pPr>
        <w:ind w:left="851"/>
        <w:rPr>
          <w:noProof/>
          <w:sz w:val="24"/>
          <w:szCs w:val="24"/>
        </w:rPr>
      </w:pPr>
      <w:r w:rsidRPr="00BF3106">
        <w:rPr>
          <w:noProof/>
          <w:sz w:val="24"/>
          <w:szCs w:val="24"/>
        </w:rPr>
        <w:t>Der er ikke set virkninger på celecoxibs farmakokinetik ved samtidig brug af ketoconazol eller antacida.</w:t>
      </w:r>
    </w:p>
    <w:p w:rsidR="008A2EC7" w:rsidRPr="00BF3106" w:rsidRDefault="008A2EC7" w:rsidP="008A2EC7">
      <w:pPr>
        <w:ind w:left="851"/>
        <w:rPr>
          <w:noProof/>
          <w:sz w:val="24"/>
          <w:szCs w:val="24"/>
        </w:rPr>
      </w:pPr>
    </w:p>
    <w:p w:rsidR="008A2EC7" w:rsidRPr="00BF3106" w:rsidRDefault="008A2EC7" w:rsidP="008A2EC7">
      <w:pPr>
        <w:ind w:left="851"/>
        <w:rPr>
          <w:noProof/>
          <w:sz w:val="24"/>
          <w:szCs w:val="24"/>
          <w:u w:val="single"/>
        </w:rPr>
      </w:pPr>
      <w:r w:rsidRPr="00BF3106">
        <w:rPr>
          <w:noProof/>
          <w:sz w:val="24"/>
          <w:szCs w:val="24"/>
          <w:u w:val="single"/>
        </w:rPr>
        <w:t>Pædiatrisk population</w:t>
      </w:r>
    </w:p>
    <w:p w:rsidR="008A2EC7" w:rsidRPr="00BF3106" w:rsidRDefault="008A2EC7" w:rsidP="008A2EC7">
      <w:pPr>
        <w:ind w:left="851"/>
        <w:rPr>
          <w:noProof/>
          <w:sz w:val="24"/>
          <w:szCs w:val="24"/>
        </w:rPr>
      </w:pPr>
      <w:r w:rsidRPr="00BF3106">
        <w:rPr>
          <w:noProof/>
          <w:sz w:val="24"/>
          <w:szCs w:val="24"/>
        </w:rPr>
        <w:t>Interaktionsforsøg er kun udført hos voksne.</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4.6</w:t>
      </w:r>
      <w:r w:rsidRPr="00BF3106">
        <w:rPr>
          <w:b/>
          <w:sz w:val="24"/>
          <w:szCs w:val="24"/>
        </w:rPr>
        <w:tab/>
      </w:r>
      <w:r w:rsidR="00622FCD">
        <w:rPr>
          <w:b/>
          <w:sz w:val="24"/>
          <w:szCs w:val="24"/>
        </w:rPr>
        <w:t>Fertilitet, g</w:t>
      </w:r>
      <w:r w:rsidRPr="00BF3106">
        <w:rPr>
          <w:b/>
          <w:sz w:val="24"/>
          <w:szCs w:val="24"/>
        </w:rPr>
        <w:t>raviditet og amning</w:t>
      </w:r>
    </w:p>
    <w:p w:rsidR="008A2EC7" w:rsidRDefault="008A2EC7" w:rsidP="008A2EC7">
      <w:pPr>
        <w:ind w:left="851"/>
        <w:rPr>
          <w:noProof/>
          <w:sz w:val="24"/>
          <w:szCs w:val="24"/>
          <w:u w:val="single"/>
        </w:rPr>
      </w:pPr>
    </w:p>
    <w:p w:rsidR="008A2EC7" w:rsidRPr="00BF3106" w:rsidRDefault="008A2EC7" w:rsidP="008A2EC7">
      <w:pPr>
        <w:ind w:left="851"/>
        <w:rPr>
          <w:noProof/>
          <w:sz w:val="24"/>
          <w:szCs w:val="24"/>
        </w:rPr>
      </w:pPr>
      <w:r w:rsidRPr="00BF3106">
        <w:rPr>
          <w:noProof/>
          <w:sz w:val="24"/>
          <w:szCs w:val="24"/>
          <w:u w:val="single"/>
        </w:rPr>
        <w:t>Graviditet</w:t>
      </w:r>
    </w:p>
    <w:p w:rsidR="008A2EC7" w:rsidRPr="00BF3106" w:rsidRDefault="008A2EC7" w:rsidP="008A2EC7">
      <w:pPr>
        <w:ind w:left="851"/>
        <w:rPr>
          <w:noProof/>
          <w:sz w:val="24"/>
          <w:szCs w:val="24"/>
        </w:rPr>
      </w:pPr>
      <w:r w:rsidRPr="00BF3106">
        <w:rPr>
          <w:noProof/>
          <w:sz w:val="24"/>
          <w:szCs w:val="24"/>
        </w:rPr>
        <w:t xml:space="preserve">Dyreforsøg (rotter og kaniner) har vist reproduktionstoksicitet inklusive misdannelser (se pkt. 4.3 og 5.3). Hæmning af prostaglandinsyntesen kan have en skadelig virkning på graviditeten. Data fra epidemiologiske forsøg tyder på en øget risiko for spontan abort efter anvendelse af prostaglandinsyntesehæmmere tidligt i graviditeten. Den potentielle risiko under graviditet hos mennesker er ikke kendt, men kan ikke udelukkes. Ligesom andre lægemidler, der hæmmer prostaglandinsyntesen, kan celecoxib i tredje trimester af graviditeten forårsage vehæmning og præmatur lukning af ductus arteriosus. </w:t>
      </w:r>
    </w:p>
    <w:p w:rsidR="008A2EC7" w:rsidRPr="00BF3106" w:rsidRDefault="008A2EC7" w:rsidP="008A2EC7">
      <w:pPr>
        <w:ind w:left="851"/>
        <w:rPr>
          <w:noProof/>
          <w:sz w:val="24"/>
          <w:szCs w:val="24"/>
        </w:rPr>
      </w:pPr>
    </w:p>
    <w:p w:rsidR="00557A2B" w:rsidRPr="002E052E" w:rsidRDefault="00557A2B" w:rsidP="00557A2B">
      <w:pPr>
        <w:ind w:left="851"/>
        <w:rPr>
          <w:noProof/>
          <w:sz w:val="24"/>
          <w:szCs w:val="24"/>
        </w:rPr>
      </w:pPr>
      <w:r w:rsidRPr="00BF3106">
        <w:rPr>
          <w:noProof/>
          <w:sz w:val="24"/>
          <w:szCs w:val="24"/>
        </w:rPr>
        <w:t xml:space="preserve">Brug af NSAID’er, herunder celecoxib, i andet eller tredje graviditetstrimester kan forårsage renal dysfunktion hos fostret, og dette kan resultere i en reduceret mængde fostervand eller i svære tilfælde oligohydramnios. Sådanne virkninger kan sætte ind kort tid </w:t>
      </w:r>
      <w:r w:rsidRPr="002E052E">
        <w:rPr>
          <w:noProof/>
          <w:sz w:val="24"/>
          <w:szCs w:val="24"/>
        </w:rPr>
        <w:t>efter påbegyndt behandling, og de er oftest reversible ved seponering.</w:t>
      </w:r>
    </w:p>
    <w:p w:rsidR="008A2EC7" w:rsidRPr="00BF3106" w:rsidRDefault="008A2EC7" w:rsidP="008A2EC7">
      <w:pPr>
        <w:ind w:left="851"/>
        <w:rPr>
          <w:noProof/>
          <w:sz w:val="24"/>
          <w:szCs w:val="24"/>
        </w:rPr>
      </w:pPr>
    </w:p>
    <w:p w:rsidR="00557A2B" w:rsidRPr="002E052E" w:rsidRDefault="00557A2B" w:rsidP="00557A2B">
      <w:pPr>
        <w:ind w:left="851"/>
        <w:rPr>
          <w:noProof/>
          <w:sz w:val="24"/>
          <w:szCs w:val="24"/>
        </w:rPr>
      </w:pPr>
      <w:r w:rsidRPr="002E052E">
        <w:rPr>
          <w:noProof/>
          <w:sz w:val="24"/>
          <w:szCs w:val="24"/>
        </w:rPr>
        <w:t>Celecoxib er kontraindiceret under graviditet og til kvinder, som kan blive gravide (se pkt. 4.3 og 4.4.). Hvis en kvinde bliver gravid under behandling med celecoxib, bør behandlingen afbrydes.</w:t>
      </w:r>
    </w:p>
    <w:p w:rsidR="008A2EC7" w:rsidRPr="00BF3106" w:rsidRDefault="008A2EC7" w:rsidP="008A2EC7">
      <w:pPr>
        <w:ind w:left="851"/>
        <w:rPr>
          <w:noProof/>
          <w:sz w:val="24"/>
          <w:szCs w:val="24"/>
          <w:u w:val="single"/>
        </w:rPr>
      </w:pPr>
    </w:p>
    <w:p w:rsidR="00557A2B" w:rsidRPr="002E052E" w:rsidRDefault="00557A2B" w:rsidP="00557A2B">
      <w:pPr>
        <w:ind w:left="851"/>
        <w:rPr>
          <w:noProof/>
          <w:sz w:val="24"/>
          <w:szCs w:val="24"/>
        </w:rPr>
      </w:pPr>
      <w:r w:rsidRPr="002E052E">
        <w:rPr>
          <w:noProof/>
          <w:sz w:val="24"/>
          <w:szCs w:val="24"/>
          <w:u w:val="single"/>
        </w:rPr>
        <w:t>Amning</w:t>
      </w:r>
    </w:p>
    <w:p w:rsidR="00557A2B" w:rsidRPr="00BF3106" w:rsidRDefault="00557A2B" w:rsidP="00557A2B">
      <w:pPr>
        <w:ind w:left="851"/>
        <w:rPr>
          <w:noProof/>
          <w:sz w:val="24"/>
          <w:szCs w:val="24"/>
        </w:rPr>
      </w:pPr>
      <w:r w:rsidRPr="002E052E">
        <w:rPr>
          <w:noProof/>
          <w:sz w:val="24"/>
          <w:szCs w:val="24"/>
        </w:rPr>
        <w:t>Hos rotter udskilles celecoxib i mælken i koncentrationer svarende til plasma</w:t>
      </w:r>
      <w:r w:rsidRPr="002E052E">
        <w:rPr>
          <w:noProof/>
          <w:sz w:val="24"/>
          <w:szCs w:val="24"/>
        </w:rPr>
        <w:softHyphen/>
        <w:t>koncentrationerne. Anvendelse af celecoxib hos et begrænset antal ammende kvinder har vist, at celecoxib overføres til mælken i meget små mængder. Kvinder i behandling med Celecoxib ”Medical Valley” bør ikke</w:t>
      </w:r>
      <w:r w:rsidRPr="00BF3106">
        <w:rPr>
          <w:noProof/>
          <w:sz w:val="24"/>
          <w:szCs w:val="24"/>
        </w:rPr>
        <w:t xml:space="preserve"> amme.</w:t>
      </w:r>
    </w:p>
    <w:p w:rsidR="008A2EC7" w:rsidRPr="00BF3106" w:rsidRDefault="008A2EC7" w:rsidP="008A2EC7">
      <w:pPr>
        <w:ind w:left="851"/>
        <w:rPr>
          <w:noProof/>
          <w:sz w:val="24"/>
          <w:szCs w:val="24"/>
        </w:rPr>
      </w:pPr>
    </w:p>
    <w:p w:rsidR="008A2EC7" w:rsidRPr="00BF3106" w:rsidRDefault="008A2EC7" w:rsidP="008A2EC7">
      <w:pPr>
        <w:ind w:left="851"/>
        <w:rPr>
          <w:noProof/>
          <w:sz w:val="24"/>
          <w:szCs w:val="24"/>
          <w:u w:val="single"/>
        </w:rPr>
      </w:pPr>
      <w:r w:rsidRPr="00BF3106">
        <w:rPr>
          <w:noProof/>
          <w:sz w:val="24"/>
          <w:szCs w:val="24"/>
          <w:u w:val="single"/>
        </w:rPr>
        <w:t>Fertilitet</w:t>
      </w:r>
    </w:p>
    <w:p w:rsidR="008A2EC7" w:rsidRPr="00BF3106" w:rsidRDefault="008A2EC7" w:rsidP="008A2EC7">
      <w:pPr>
        <w:ind w:left="851"/>
        <w:rPr>
          <w:noProof/>
          <w:sz w:val="24"/>
          <w:szCs w:val="24"/>
        </w:rPr>
      </w:pPr>
      <w:r w:rsidRPr="00BF3106">
        <w:rPr>
          <w:noProof/>
          <w:sz w:val="24"/>
          <w:szCs w:val="24"/>
        </w:rPr>
        <w:t>Baseret på virkningsmekanismen kan anvendelse af NSAID’er, herunder celecoxib, forsinke eller forhindre hindebristning af ovariefollikler, hvilket har været forbundet med reversibel infertilitet hos nogle kvinder.</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4.7</w:t>
      </w:r>
      <w:r w:rsidRPr="00BF3106">
        <w:rPr>
          <w:b/>
          <w:sz w:val="24"/>
          <w:szCs w:val="24"/>
        </w:rPr>
        <w:tab/>
        <w:t xml:space="preserve">Virkning på evnen til at føre motorkøretøj </w:t>
      </w:r>
      <w:r w:rsidR="00557A2B">
        <w:rPr>
          <w:b/>
          <w:sz w:val="24"/>
          <w:szCs w:val="24"/>
        </w:rPr>
        <w:t>og</w:t>
      </w:r>
      <w:r w:rsidRPr="00BF3106">
        <w:rPr>
          <w:b/>
          <w:sz w:val="24"/>
          <w:szCs w:val="24"/>
        </w:rPr>
        <w:t xml:space="preserve"> betjene maskiner</w:t>
      </w:r>
    </w:p>
    <w:p w:rsidR="008A2EC7" w:rsidRDefault="008A2EC7" w:rsidP="008A2EC7">
      <w:pPr>
        <w:ind w:left="851"/>
        <w:rPr>
          <w:sz w:val="24"/>
          <w:szCs w:val="24"/>
        </w:rPr>
      </w:pPr>
      <w:r>
        <w:rPr>
          <w:sz w:val="24"/>
          <w:szCs w:val="24"/>
        </w:rPr>
        <w:t>Ikke mærkning.</w:t>
      </w:r>
    </w:p>
    <w:p w:rsidR="00557A2B" w:rsidRPr="00BF3106" w:rsidRDefault="00557A2B" w:rsidP="00557A2B">
      <w:pPr>
        <w:ind w:left="851"/>
        <w:rPr>
          <w:sz w:val="24"/>
          <w:szCs w:val="24"/>
        </w:rPr>
      </w:pPr>
      <w:proofErr w:type="spellStart"/>
      <w:r w:rsidRPr="002E052E">
        <w:t>Celecoxib</w:t>
      </w:r>
      <w:proofErr w:type="spellEnd"/>
      <w:r w:rsidRPr="002E052E">
        <w:t xml:space="preserve"> ”Medical Valley” kan i mindre grad påvirke evnen til at føre motorkøretøj og betjene maskiner</w:t>
      </w:r>
      <w:r w:rsidRPr="002E052E">
        <w:rPr>
          <w:sz w:val="24"/>
          <w:szCs w:val="24"/>
        </w:rPr>
        <w:t xml:space="preserve"> Patienter</w:t>
      </w:r>
      <w:r w:rsidRPr="00BF3106">
        <w:rPr>
          <w:sz w:val="24"/>
          <w:szCs w:val="24"/>
        </w:rPr>
        <w:t xml:space="preserve">, som oplever svimmelhed, </w:t>
      </w:r>
      <w:proofErr w:type="spellStart"/>
      <w:r w:rsidRPr="00BF3106">
        <w:rPr>
          <w:sz w:val="24"/>
          <w:szCs w:val="24"/>
        </w:rPr>
        <w:t>vertigo</w:t>
      </w:r>
      <w:proofErr w:type="spellEnd"/>
      <w:r w:rsidRPr="00BF3106">
        <w:rPr>
          <w:sz w:val="24"/>
          <w:szCs w:val="24"/>
        </w:rPr>
        <w:t xml:space="preserve"> eller døsighed, mens de er i behandling med </w:t>
      </w:r>
      <w:proofErr w:type="spellStart"/>
      <w:r w:rsidRPr="00BF3106">
        <w:rPr>
          <w:sz w:val="24"/>
          <w:szCs w:val="24"/>
        </w:rPr>
        <w:t>celecoxib</w:t>
      </w:r>
      <w:proofErr w:type="spellEnd"/>
      <w:r w:rsidRPr="00BF3106">
        <w:rPr>
          <w:sz w:val="24"/>
          <w:szCs w:val="24"/>
        </w:rPr>
        <w:t>, bør undlade at føre motorkøretøj og betjene maskiner.</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4.8</w:t>
      </w:r>
      <w:r w:rsidRPr="00BF3106">
        <w:rPr>
          <w:b/>
          <w:sz w:val="24"/>
          <w:szCs w:val="24"/>
        </w:rPr>
        <w:tab/>
        <w:t>Bivirkninger</w:t>
      </w:r>
    </w:p>
    <w:p w:rsidR="008A2EC7" w:rsidRPr="00BF3106" w:rsidRDefault="008A2EC7" w:rsidP="008A2EC7">
      <w:pPr>
        <w:ind w:left="851"/>
        <w:rPr>
          <w:noProof/>
          <w:sz w:val="24"/>
          <w:szCs w:val="24"/>
        </w:rPr>
      </w:pPr>
      <w:r w:rsidRPr="00BF3106">
        <w:rPr>
          <w:noProof/>
          <w:sz w:val="24"/>
          <w:szCs w:val="24"/>
        </w:rPr>
        <w:t xml:space="preserve">Bivirkningerne i </w:t>
      </w:r>
      <w:r w:rsidRPr="00BF3106">
        <w:rPr>
          <w:b/>
          <w:noProof/>
          <w:sz w:val="24"/>
          <w:szCs w:val="24"/>
        </w:rPr>
        <w:t>tabel 1</w:t>
      </w:r>
      <w:r w:rsidRPr="00BF3106">
        <w:rPr>
          <w:noProof/>
          <w:sz w:val="24"/>
          <w:szCs w:val="24"/>
        </w:rPr>
        <w:t xml:space="preserve"> er anført efter systemorganklasse og i henhold til frekvens og afspejler information fra følgende kilder:</w:t>
      </w:r>
    </w:p>
    <w:p w:rsidR="008A2EC7" w:rsidRPr="00BF3106" w:rsidRDefault="008A2EC7" w:rsidP="008A2EC7">
      <w:pPr>
        <w:numPr>
          <w:ilvl w:val="0"/>
          <w:numId w:val="6"/>
        </w:numPr>
        <w:tabs>
          <w:tab w:val="clear" w:pos="1211"/>
        </w:tabs>
        <w:ind w:left="1276" w:hanging="425"/>
        <w:rPr>
          <w:noProof/>
          <w:sz w:val="24"/>
          <w:szCs w:val="24"/>
        </w:rPr>
      </w:pPr>
      <w:r w:rsidRPr="00BF3106">
        <w:rPr>
          <w:noProof/>
          <w:sz w:val="24"/>
          <w:szCs w:val="24"/>
        </w:rPr>
        <w:t xml:space="preserve">Bivirkninger, der er indberettet hos patienter med osteoarthrosis og rheumatoid arthritis med en hyppighed over 0,01 % og med en større hyppighed end de bivirkninger, der blev indberettet med placebo, i 12 placebo- og/eller aktivkontrollerede kliniske forsøg med en varighed på op til 12 uger, hvor celecoxib blev indgivet i daglige doser fra100 mg til 800 mg. I yderligere forsøg, hvor ikke-selektive NSAID’er blev anvendt som komparatorer, blev ca. 7.400 patienter med arthritis behandlet med daglige doser af celecoxib på op til 800 mg, herunder ca. 2.300 patienter, der blev behandlet i 1 år eller mere. De bivirkninger, der blev set med celecoxib i disse yderligere forsøg, var de samme som dem, der blev set ved osteoarthrosis og rheumatoid arthritis, og som er anført i </w:t>
      </w:r>
      <w:r w:rsidRPr="00BF3106">
        <w:rPr>
          <w:b/>
          <w:noProof/>
          <w:sz w:val="24"/>
          <w:szCs w:val="24"/>
        </w:rPr>
        <w:t>tabel 1</w:t>
      </w:r>
      <w:r w:rsidRPr="00BF3106">
        <w:rPr>
          <w:noProof/>
          <w:sz w:val="24"/>
          <w:szCs w:val="24"/>
        </w:rPr>
        <w:t>.</w:t>
      </w:r>
    </w:p>
    <w:p w:rsidR="00557A2B" w:rsidRPr="00BF3106" w:rsidRDefault="00557A2B" w:rsidP="00557A2B">
      <w:pPr>
        <w:numPr>
          <w:ilvl w:val="0"/>
          <w:numId w:val="6"/>
        </w:numPr>
        <w:tabs>
          <w:tab w:val="clear" w:pos="1211"/>
        </w:tabs>
        <w:ind w:left="1276" w:hanging="425"/>
        <w:rPr>
          <w:noProof/>
          <w:sz w:val="24"/>
          <w:szCs w:val="24"/>
          <w:u w:val="single"/>
        </w:rPr>
      </w:pPr>
      <w:r w:rsidRPr="00BF3106">
        <w:rPr>
          <w:noProof/>
          <w:sz w:val="24"/>
          <w:szCs w:val="24"/>
        </w:rPr>
        <w:t xml:space="preserve">Bivirkninger, der er indberettet med en større hyppighed end med placebo hos personer, der blev behandlet med celecoxib 400 mg dagligt i langtidsforsøg vedrørende forebyggelse af polypper med en varighed på op til 3 år (forsøgene Adenoma Prevention with Celecoxib (APC) og Prevention of Colorectal Sporadic Adenomatous Polyps (PreSAP); se pkt. 5.1, </w:t>
      </w:r>
      <w:r>
        <w:rPr>
          <w:noProof/>
          <w:sz w:val="24"/>
          <w:szCs w:val="24"/>
        </w:rPr>
        <w:t>k</w:t>
      </w:r>
      <w:r w:rsidRPr="00BF3106">
        <w:rPr>
          <w:noProof/>
          <w:sz w:val="24"/>
          <w:szCs w:val="24"/>
        </w:rPr>
        <w:t xml:space="preserve">ardiovaskulær sikkerhed – </w:t>
      </w:r>
      <w:r>
        <w:rPr>
          <w:noProof/>
          <w:sz w:val="24"/>
          <w:szCs w:val="24"/>
        </w:rPr>
        <w:t>l</w:t>
      </w:r>
      <w:r w:rsidRPr="00BF3106">
        <w:rPr>
          <w:noProof/>
          <w:sz w:val="24"/>
          <w:szCs w:val="24"/>
        </w:rPr>
        <w:t>angtidsforsøg hos patienter med sporadisk adenomatøs polypose).</w:t>
      </w:r>
    </w:p>
    <w:p w:rsidR="008A2EC7" w:rsidRPr="00557A2B" w:rsidRDefault="008A2EC7" w:rsidP="008A2EC7">
      <w:pPr>
        <w:numPr>
          <w:ilvl w:val="0"/>
          <w:numId w:val="6"/>
        </w:numPr>
        <w:tabs>
          <w:tab w:val="clear" w:pos="1211"/>
        </w:tabs>
        <w:ind w:left="1276" w:hanging="425"/>
        <w:rPr>
          <w:noProof/>
          <w:sz w:val="24"/>
          <w:szCs w:val="24"/>
          <w:u w:val="single"/>
        </w:rPr>
      </w:pPr>
      <w:r w:rsidRPr="00BF3106">
        <w:rPr>
          <w:noProof/>
          <w:sz w:val="24"/>
          <w:szCs w:val="24"/>
        </w:rPr>
        <w:t xml:space="preserve">Bivirkninger fra postmarketing-overvågningen, der er indberettet som spontane rapporter over en periode, hvor det anslås, at &gt; 70 millioner patienter er blevet behandlet med celecoxib (variable doser, varigheder og indikationer). Selvom disse er identificeret som bivirkninger i indberetninger efter markedsføringen, er der anvendt data fra kliniske forsøg til at anslå hyppigheden. Hyppighederne er baseret på </w:t>
      </w:r>
      <w:r w:rsidRPr="00BF3106">
        <w:rPr>
          <w:noProof/>
          <w:sz w:val="24"/>
          <w:szCs w:val="24"/>
        </w:rPr>
        <w:lastRenderedPageBreak/>
        <w:t>kumulative metaanalyser med pooling af kliniske forsøg, der repræsenterer eksponering hos 38.102 patienter.</w:t>
      </w:r>
    </w:p>
    <w:p w:rsidR="008A2EC7" w:rsidRPr="00BF3106" w:rsidRDefault="008A2EC7" w:rsidP="008A2EC7">
      <w:pPr>
        <w:ind w:left="851" w:hanging="851"/>
        <w:rPr>
          <w:noProof/>
          <w:sz w:val="24"/>
          <w:szCs w:val="24"/>
        </w:rPr>
      </w:pPr>
    </w:p>
    <w:p w:rsidR="00557A2B" w:rsidRPr="00BF3106" w:rsidRDefault="00557A2B" w:rsidP="00557A2B">
      <w:pPr>
        <w:rPr>
          <w:b/>
          <w:bCs/>
          <w:iCs/>
          <w:noProof/>
          <w:sz w:val="24"/>
          <w:szCs w:val="24"/>
        </w:rPr>
      </w:pPr>
      <w:r w:rsidRPr="00BF3106">
        <w:rPr>
          <w:b/>
          <w:bCs/>
          <w:iCs/>
          <w:noProof/>
          <w:sz w:val="24"/>
          <w:szCs w:val="24"/>
        </w:rPr>
        <w:t>Tabel 1. Bivirkninger fra kliniske forsøg med celecoxib og erfaringer fra bivirkningsovervågning (foretrukne MedDRA-termer)</w:t>
      </w:r>
      <w:r w:rsidRPr="00BF3106">
        <w:rPr>
          <w:b/>
          <w:bCs/>
          <w:iCs/>
          <w:noProof/>
          <w:sz w:val="24"/>
          <w:szCs w:val="24"/>
          <w:vertAlign w:val="superscript"/>
        </w:rPr>
        <w:t>1, 2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091"/>
        <w:gridCol w:w="1487"/>
        <w:gridCol w:w="1364"/>
        <w:gridCol w:w="1524"/>
        <w:gridCol w:w="1715"/>
        <w:gridCol w:w="1032"/>
      </w:tblGrid>
      <w:tr w:rsidR="00557A2B" w:rsidRPr="00791FA6" w:rsidTr="007F41CD">
        <w:tc>
          <w:tcPr>
            <w:tcW w:w="741" w:type="pct"/>
            <w:tcBorders>
              <w:top w:val="single" w:sz="4" w:space="0" w:color="auto"/>
              <w:left w:val="single" w:sz="4" w:space="0" w:color="auto"/>
              <w:bottom w:val="single" w:sz="4" w:space="0" w:color="auto"/>
              <w:right w:val="single" w:sz="4" w:space="0" w:color="auto"/>
            </w:tcBorders>
          </w:tcPr>
          <w:p w:rsidR="00557A2B" w:rsidRPr="000C6FAF" w:rsidRDefault="00557A2B" w:rsidP="007F41CD">
            <w:pPr>
              <w:rPr>
                <w:b/>
                <w:noProof/>
                <w:sz w:val="22"/>
                <w:szCs w:val="22"/>
              </w:rPr>
            </w:pPr>
          </w:p>
        </w:tc>
        <w:tc>
          <w:tcPr>
            <w:tcW w:w="4259" w:type="pct"/>
            <w:gridSpan w:val="6"/>
            <w:tcBorders>
              <w:top w:val="single" w:sz="4" w:space="0" w:color="auto"/>
              <w:left w:val="single" w:sz="4" w:space="0" w:color="auto"/>
              <w:bottom w:val="single" w:sz="4" w:space="0" w:color="auto"/>
              <w:right w:val="single" w:sz="4" w:space="0" w:color="auto"/>
            </w:tcBorders>
          </w:tcPr>
          <w:p w:rsidR="00557A2B" w:rsidRPr="000C6FAF" w:rsidRDefault="00557A2B" w:rsidP="007F41CD">
            <w:pPr>
              <w:jc w:val="center"/>
              <w:rPr>
                <w:b/>
                <w:noProof/>
                <w:sz w:val="22"/>
                <w:szCs w:val="22"/>
              </w:rPr>
            </w:pPr>
            <w:r w:rsidRPr="000C6FAF">
              <w:rPr>
                <w:b/>
                <w:noProof/>
                <w:sz w:val="22"/>
                <w:szCs w:val="22"/>
              </w:rPr>
              <w:t>Hyppighed</w:t>
            </w:r>
          </w:p>
        </w:tc>
      </w:tr>
      <w:tr w:rsidR="00557A2B" w:rsidRPr="00791FA6" w:rsidTr="007F41CD">
        <w:tc>
          <w:tcPr>
            <w:tcW w:w="74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System-organklasse</w:t>
            </w:r>
          </w:p>
        </w:tc>
        <w:tc>
          <w:tcPr>
            <w:tcW w:w="57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Meget alminde</w:t>
            </w:r>
            <w:r>
              <w:rPr>
                <w:b/>
                <w:noProof/>
                <w:sz w:val="22"/>
                <w:szCs w:val="22"/>
              </w:rPr>
              <w:softHyphen/>
            </w:r>
            <w:r w:rsidRPr="000C6FAF">
              <w:rPr>
                <w:b/>
                <w:noProof/>
                <w:sz w:val="22"/>
                <w:szCs w:val="22"/>
              </w:rPr>
              <w:t>lig</w:t>
            </w:r>
          </w:p>
          <w:p w:rsidR="00557A2B" w:rsidRPr="00791FA6" w:rsidRDefault="00557A2B" w:rsidP="007F41CD">
            <w:pPr>
              <w:rPr>
                <w:noProof/>
                <w:sz w:val="22"/>
                <w:szCs w:val="22"/>
              </w:rPr>
            </w:pPr>
            <w:r w:rsidRPr="00791FA6">
              <w:rPr>
                <w:noProof/>
                <w:sz w:val="22"/>
                <w:szCs w:val="22"/>
              </w:rPr>
              <w:t>(&gt;1/10)</w:t>
            </w:r>
          </w:p>
        </w:tc>
        <w:tc>
          <w:tcPr>
            <w:tcW w:w="713"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Almindelig</w:t>
            </w:r>
          </w:p>
          <w:p w:rsidR="00557A2B" w:rsidRPr="00791FA6" w:rsidRDefault="00557A2B" w:rsidP="007F41CD">
            <w:pPr>
              <w:rPr>
                <w:noProof/>
                <w:sz w:val="22"/>
                <w:szCs w:val="22"/>
              </w:rPr>
            </w:pPr>
            <w:r w:rsidRPr="00791FA6">
              <w:rPr>
                <w:noProof/>
                <w:sz w:val="22"/>
                <w:szCs w:val="22"/>
              </w:rPr>
              <w:t>(</w:t>
            </w:r>
            <w:r w:rsidRPr="00791FA6">
              <w:rPr>
                <w:noProof/>
                <w:sz w:val="22"/>
                <w:szCs w:val="22"/>
              </w:rPr>
              <w:sym w:font="Symbol" w:char="F0B3"/>
            </w:r>
            <w:r w:rsidRPr="00791FA6">
              <w:rPr>
                <w:noProof/>
                <w:sz w:val="22"/>
                <w:szCs w:val="22"/>
              </w:rPr>
              <w:t>1/100 og &lt;1/10)</w:t>
            </w:r>
          </w:p>
        </w:tc>
        <w:tc>
          <w:tcPr>
            <w:tcW w:w="722"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Ikke almindelig</w:t>
            </w:r>
          </w:p>
          <w:p w:rsidR="00557A2B" w:rsidRPr="00791FA6" w:rsidRDefault="00557A2B" w:rsidP="007F41CD">
            <w:pPr>
              <w:rPr>
                <w:noProof/>
                <w:sz w:val="22"/>
                <w:szCs w:val="22"/>
              </w:rPr>
            </w:pPr>
            <w:r w:rsidRPr="00791FA6">
              <w:rPr>
                <w:noProof/>
                <w:sz w:val="22"/>
                <w:szCs w:val="22"/>
              </w:rPr>
              <w:t>(</w:t>
            </w:r>
            <w:r w:rsidRPr="00791FA6">
              <w:rPr>
                <w:noProof/>
                <w:sz w:val="22"/>
                <w:szCs w:val="22"/>
              </w:rPr>
              <w:sym w:font="Symbol" w:char="F0B3"/>
            </w:r>
            <w:r w:rsidRPr="00791FA6">
              <w:rPr>
                <w:noProof/>
                <w:sz w:val="22"/>
                <w:szCs w:val="22"/>
              </w:rPr>
              <w:t>1/1.000 og &lt;1/100)</w:t>
            </w:r>
          </w:p>
        </w:tc>
        <w:tc>
          <w:tcPr>
            <w:tcW w:w="816"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Sjælden</w:t>
            </w:r>
          </w:p>
          <w:p w:rsidR="00557A2B" w:rsidRPr="00791FA6" w:rsidRDefault="00557A2B" w:rsidP="007F41CD">
            <w:pPr>
              <w:rPr>
                <w:noProof/>
                <w:sz w:val="22"/>
                <w:szCs w:val="22"/>
              </w:rPr>
            </w:pPr>
            <w:r w:rsidRPr="00791FA6">
              <w:rPr>
                <w:noProof/>
                <w:sz w:val="22"/>
                <w:szCs w:val="22"/>
              </w:rPr>
              <w:t>(</w:t>
            </w:r>
            <w:r w:rsidRPr="00791FA6">
              <w:rPr>
                <w:noProof/>
                <w:sz w:val="22"/>
                <w:szCs w:val="22"/>
              </w:rPr>
              <w:sym w:font="Symbol" w:char="F0B3"/>
            </w:r>
            <w:r w:rsidRPr="00791FA6">
              <w:rPr>
                <w:noProof/>
                <w:sz w:val="22"/>
                <w:szCs w:val="22"/>
              </w:rPr>
              <w:t>1/10.000 og &lt;1/1.000)</w:t>
            </w:r>
          </w:p>
        </w:tc>
        <w:tc>
          <w:tcPr>
            <w:tcW w:w="898"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Meget sjælden</w:t>
            </w:r>
          </w:p>
          <w:p w:rsidR="00557A2B" w:rsidRPr="00791FA6" w:rsidRDefault="00557A2B" w:rsidP="007F41CD">
            <w:pPr>
              <w:rPr>
                <w:noProof/>
                <w:sz w:val="22"/>
                <w:szCs w:val="22"/>
              </w:rPr>
            </w:pPr>
            <w:r w:rsidRPr="00791FA6">
              <w:rPr>
                <w:noProof/>
                <w:sz w:val="22"/>
                <w:szCs w:val="22"/>
              </w:rPr>
              <w:t>(&lt;1/10.000)</w:t>
            </w:r>
          </w:p>
        </w:tc>
        <w:tc>
          <w:tcPr>
            <w:tcW w:w="540"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Ikke kendt</w:t>
            </w:r>
          </w:p>
          <w:p w:rsidR="00557A2B" w:rsidRPr="00791FA6" w:rsidRDefault="00557A2B" w:rsidP="007F41CD">
            <w:pPr>
              <w:rPr>
                <w:noProof/>
                <w:sz w:val="22"/>
                <w:szCs w:val="22"/>
                <w:vertAlign w:val="superscript"/>
              </w:rPr>
            </w:pPr>
            <w:r w:rsidRPr="000C6FAF">
              <w:rPr>
                <w:b/>
                <w:noProof/>
                <w:sz w:val="22"/>
                <w:szCs w:val="22"/>
              </w:rPr>
              <w:t>(kan ikke estime</w:t>
            </w:r>
            <w:r>
              <w:rPr>
                <w:b/>
                <w:noProof/>
                <w:sz w:val="22"/>
                <w:szCs w:val="22"/>
              </w:rPr>
              <w:softHyphen/>
            </w:r>
            <w:r w:rsidRPr="000C6FAF">
              <w:rPr>
                <w:b/>
                <w:noProof/>
                <w:sz w:val="22"/>
                <w:szCs w:val="22"/>
              </w:rPr>
              <w:t>res ud fra forhånd</w:t>
            </w:r>
            <w:r>
              <w:rPr>
                <w:b/>
                <w:noProof/>
                <w:sz w:val="22"/>
                <w:szCs w:val="22"/>
              </w:rPr>
              <w:softHyphen/>
            </w:r>
            <w:r w:rsidRPr="000C6FAF">
              <w:rPr>
                <w:b/>
                <w:noProof/>
                <w:sz w:val="22"/>
                <w:szCs w:val="22"/>
              </w:rPr>
              <w:t>envæ</w:t>
            </w:r>
            <w:r>
              <w:rPr>
                <w:b/>
                <w:noProof/>
                <w:sz w:val="22"/>
                <w:szCs w:val="22"/>
              </w:rPr>
              <w:softHyphen/>
            </w:r>
            <w:r w:rsidRPr="000C6FAF">
              <w:rPr>
                <w:b/>
                <w:noProof/>
                <w:sz w:val="22"/>
                <w:szCs w:val="22"/>
              </w:rPr>
              <w:t>rende data)</w:t>
            </w:r>
            <w:r w:rsidRPr="000C6FAF">
              <w:rPr>
                <w:b/>
                <w:noProof/>
                <w:sz w:val="22"/>
                <w:szCs w:val="22"/>
                <w:vertAlign w:val="superscript"/>
              </w:rPr>
              <w:t>3</w:t>
            </w:r>
          </w:p>
        </w:tc>
      </w:tr>
      <w:tr w:rsidR="00557A2B" w:rsidRPr="009816AE" w:rsidTr="007F41CD">
        <w:trPr>
          <w:trHeight w:val="750"/>
        </w:trPr>
        <w:tc>
          <w:tcPr>
            <w:tcW w:w="74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Infektioner og parasi</w:t>
            </w:r>
            <w:r w:rsidRPr="000C6FAF">
              <w:rPr>
                <w:b/>
                <w:noProof/>
                <w:sz w:val="22"/>
                <w:szCs w:val="22"/>
              </w:rPr>
              <w:softHyphen/>
              <w:t>tære syg</w:t>
            </w:r>
            <w:r w:rsidRPr="000C6FAF">
              <w:rPr>
                <w:b/>
                <w:noProof/>
                <w:sz w:val="22"/>
                <w:szCs w:val="22"/>
              </w:rPr>
              <w:softHyphen/>
              <w:t>domme</w:t>
            </w:r>
          </w:p>
        </w:tc>
        <w:tc>
          <w:tcPr>
            <w:tcW w:w="571"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rsidR="00557A2B" w:rsidRPr="00E660C4" w:rsidRDefault="00557A2B" w:rsidP="007F41CD">
            <w:pPr>
              <w:rPr>
                <w:noProof/>
                <w:sz w:val="22"/>
                <w:szCs w:val="22"/>
                <w:lang w:val="sv-SE"/>
              </w:rPr>
            </w:pPr>
            <w:r w:rsidRPr="00E660C4">
              <w:rPr>
                <w:noProof/>
                <w:sz w:val="22"/>
                <w:szCs w:val="22"/>
                <w:lang w:val="sv-SE"/>
              </w:rPr>
              <w:t>Sinuitis, øvre luftvejs</w:t>
            </w:r>
            <w:r w:rsidRPr="00E660C4">
              <w:rPr>
                <w:noProof/>
                <w:sz w:val="22"/>
                <w:szCs w:val="22"/>
                <w:lang w:val="sv-SE"/>
              </w:rPr>
              <w:softHyphen/>
              <w:t>infektion, pharyngitis, urinvejs</w:t>
            </w:r>
            <w:r>
              <w:rPr>
                <w:noProof/>
                <w:sz w:val="22"/>
                <w:szCs w:val="22"/>
                <w:lang w:val="sv-SE"/>
              </w:rPr>
              <w:t>-</w:t>
            </w:r>
            <w:r w:rsidRPr="00E660C4">
              <w:rPr>
                <w:noProof/>
                <w:sz w:val="22"/>
                <w:szCs w:val="22"/>
                <w:lang w:val="sv-SE"/>
              </w:rPr>
              <w:t>infektion</w:t>
            </w:r>
          </w:p>
        </w:tc>
        <w:tc>
          <w:tcPr>
            <w:tcW w:w="722" w:type="pct"/>
            <w:tcBorders>
              <w:top w:val="single" w:sz="4" w:space="0" w:color="auto"/>
              <w:left w:val="single" w:sz="4" w:space="0" w:color="auto"/>
              <w:bottom w:val="single" w:sz="4" w:space="0" w:color="auto"/>
              <w:right w:val="single" w:sz="4" w:space="0" w:color="auto"/>
            </w:tcBorders>
          </w:tcPr>
          <w:p w:rsidR="00557A2B" w:rsidRPr="00E660C4" w:rsidRDefault="00557A2B" w:rsidP="007F41CD">
            <w:pPr>
              <w:rPr>
                <w:noProof/>
                <w:sz w:val="22"/>
                <w:szCs w:val="22"/>
                <w:lang w:val="sv-SE"/>
              </w:rPr>
            </w:pPr>
          </w:p>
        </w:tc>
        <w:tc>
          <w:tcPr>
            <w:tcW w:w="816" w:type="pct"/>
            <w:tcBorders>
              <w:top w:val="single" w:sz="4" w:space="0" w:color="auto"/>
              <w:left w:val="single" w:sz="4" w:space="0" w:color="auto"/>
              <w:bottom w:val="single" w:sz="4" w:space="0" w:color="auto"/>
              <w:right w:val="single" w:sz="4" w:space="0" w:color="auto"/>
            </w:tcBorders>
          </w:tcPr>
          <w:p w:rsidR="00557A2B" w:rsidRPr="00E660C4" w:rsidRDefault="00557A2B" w:rsidP="007F41CD">
            <w:pPr>
              <w:rPr>
                <w:noProof/>
                <w:sz w:val="22"/>
                <w:szCs w:val="22"/>
                <w:lang w:val="sv-SE"/>
              </w:rPr>
            </w:pPr>
          </w:p>
        </w:tc>
        <w:tc>
          <w:tcPr>
            <w:tcW w:w="898" w:type="pct"/>
            <w:tcBorders>
              <w:top w:val="single" w:sz="4" w:space="0" w:color="auto"/>
              <w:left w:val="single" w:sz="4" w:space="0" w:color="auto"/>
              <w:bottom w:val="single" w:sz="4" w:space="0" w:color="auto"/>
              <w:right w:val="single" w:sz="4" w:space="0" w:color="auto"/>
            </w:tcBorders>
          </w:tcPr>
          <w:p w:rsidR="00557A2B" w:rsidRPr="00E660C4" w:rsidRDefault="00557A2B" w:rsidP="007F41CD">
            <w:pPr>
              <w:rPr>
                <w:i/>
                <w:noProof/>
                <w:sz w:val="22"/>
                <w:szCs w:val="22"/>
                <w:lang w:val="sv-SE"/>
              </w:rPr>
            </w:pPr>
          </w:p>
        </w:tc>
        <w:tc>
          <w:tcPr>
            <w:tcW w:w="540" w:type="pct"/>
            <w:tcBorders>
              <w:top w:val="single" w:sz="4" w:space="0" w:color="auto"/>
              <w:left w:val="single" w:sz="4" w:space="0" w:color="auto"/>
              <w:bottom w:val="single" w:sz="4" w:space="0" w:color="auto"/>
              <w:right w:val="single" w:sz="4" w:space="0" w:color="auto"/>
            </w:tcBorders>
          </w:tcPr>
          <w:p w:rsidR="00557A2B" w:rsidRPr="00E660C4" w:rsidRDefault="00557A2B" w:rsidP="007F41CD">
            <w:pPr>
              <w:rPr>
                <w:i/>
                <w:noProof/>
                <w:sz w:val="22"/>
                <w:szCs w:val="22"/>
                <w:lang w:val="sv-SE"/>
              </w:rPr>
            </w:pPr>
          </w:p>
        </w:tc>
      </w:tr>
      <w:tr w:rsidR="00557A2B" w:rsidRPr="00791FA6" w:rsidTr="007F41CD">
        <w:tc>
          <w:tcPr>
            <w:tcW w:w="74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Blod og lymfesystem</w:t>
            </w:r>
          </w:p>
        </w:tc>
        <w:tc>
          <w:tcPr>
            <w:tcW w:w="571"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iCs/>
                <w:noProof/>
                <w:sz w:val="22"/>
                <w:szCs w:val="22"/>
              </w:rPr>
            </w:pPr>
            <w:r w:rsidRPr="00791FA6">
              <w:rPr>
                <w:iCs/>
                <w:noProof/>
                <w:sz w:val="22"/>
                <w:szCs w:val="22"/>
              </w:rPr>
              <w:t>Anæmi</w:t>
            </w:r>
          </w:p>
        </w:tc>
        <w:tc>
          <w:tcPr>
            <w:tcW w:w="816"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iCs/>
                <w:noProof/>
                <w:sz w:val="22"/>
                <w:szCs w:val="22"/>
              </w:rPr>
            </w:pPr>
            <w:r w:rsidRPr="00791FA6">
              <w:rPr>
                <w:iCs/>
                <w:noProof/>
                <w:sz w:val="22"/>
                <w:szCs w:val="22"/>
              </w:rPr>
              <w:t>Leukopeni, trombocyto</w:t>
            </w:r>
            <w:r w:rsidRPr="00791FA6">
              <w:rPr>
                <w:iCs/>
                <w:noProof/>
                <w:sz w:val="22"/>
                <w:szCs w:val="22"/>
              </w:rPr>
              <w:softHyphen/>
              <w:t>peni</w:t>
            </w:r>
          </w:p>
        </w:tc>
        <w:tc>
          <w:tcPr>
            <w:tcW w:w="898"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Pancytopeni</w:t>
            </w:r>
            <w:r w:rsidRPr="00791FA6">
              <w:rPr>
                <w:noProof/>
                <w:sz w:val="22"/>
                <w:szCs w:val="22"/>
                <w:vertAlign w:val="superscript"/>
              </w:rPr>
              <w:t>4</w:t>
            </w:r>
          </w:p>
        </w:tc>
        <w:tc>
          <w:tcPr>
            <w:tcW w:w="540"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r>
      <w:tr w:rsidR="00557A2B" w:rsidRPr="00791FA6" w:rsidTr="007F41CD">
        <w:tc>
          <w:tcPr>
            <w:tcW w:w="74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Immun</w:t>
            </w:r>
            <w:r w:rsidRPr="000C6FAF">
              <w:rPr>
                <w:b/>
                <w:noProof/>
                <w:sz w:val="22"/>
                <w:szCs w:val="22"/>
              </w:rPr>
              <w:softHyphen/>
              <w:t>systemet</w:t>
            </w:r>
          </w:p>
        </w:tc>
        <w:tc>
          <w:tcPr>
            <w:tcW w:w="571"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iCs/>
                <w:noProof/>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iCs/>
                <w:noProof/>
                <w:sz w:val="22"/>
                <w:szCs w:val="22"/>
              </w:rPr>
              <w:t>Overfølsom</w:t>
            </w:r>
            <w:r>
              <w:rPr>
                <w:iCs/>
                <w:noProof/>
                <w:sz w:val="22"/>
                <w:szCs w:val="22"/>
              </w:rPr>
              <w:t>-</w:t>
            </w:r>
            <w:r w:rsidRPr="00791FA6">
              <w:rPr>
                <w:iCs/>
                <w:noProof/>
                <w:sz w:val="22"/>
                <w:szCs w:val="22"/>
              </w:rPr>
              <w:t>hed</w:t>
            </w:r>
          </w:p>
        </w:tc>
        <w:tc>
          <w:tcPr>
            <w:tcW w:w="722"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iCs/>
                <w:noProof/>
                <w:sz w:val="22"/>
                <w:szCs w:val="22"/>
              </w:rPr>
            </w:pPr>
          </w:p>
        </w:tc>
        <w:tc>
          <w:tcPr>
            <w:tcW w:w="816"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iCs/>
                <w:noProof/>
                <w:sz w:val="22"/>
                <w:szCs w:val="22"/>
              </w:rPr>
            </w:pPr>
          </w:p>
        </w:tc>
        <w:tc>
          <w:tcPr>
            <w:tcW w:w="898"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Anafylaktisk shock</w:t>
            </w:r>
            <w:r w:rsidRPr="00791FA6">
              <w:rPr>
                <w:noProof/>
                <w:sz w:val="22"/>
                <w:szCs w:val="22"/>
                <w:vertAlign w:val="superscript"/>
              </w:rPr>
              <w:t>4</w:t>
            </w:r>
            <w:r w:rsidRPr="00791FA6">
              <w:rPr>
                <w:noProof/>
                <w:sz w:val="22"/>
                <w:szCs w:val="22"/>
              </w:rPr>
              <w:t>, anafylaktisk reaktion</w:t>
            </w:r>
            <w:r w:rsidRPr="00791FA6">
              <w:rPr>
                <w:noProof/>
                <w:sz w:val="22"/>
                <w:szCs w:val="22"/>
                <w:vertAlign w:val="superscript"/>
              </w:rPr>
              <w:t>4</w:t>
            </w:r>
          </w:p>
        </w:tc>
        <w:tc>
          <w:tcPr>
            <w:tcW w:w="540"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iCs/>
                <w:noProof/>
                <w:sz w:val="22"/>
                <w:szCs w:val="22"/>
              </w:rPr>
            </w:pPr>
          </w:p>
        </w:tc>
      </w:tr>
      <w:tr w:rsidR="00557A2B" w:rsidRPr="00791FA6" w:rsidTr="007F41CD">
        <w:tc>
          <w:tcPr>
            <w:tcW w:w="741" w:type="pct"/>
            <w:tcBorders>
              <w:top w:val="single" w:sz="4" w:space="0" w:color="auto"/>
              <w:left w:val="single" w:sz="4" w:space="0" w:color="auto"/>
              <w:bottom w:val="nil"/>
              <w:right w:val="single" w:sz="4" w:space="0" w:color="auto"/>
            </w:tcBorders>
            <w:hideMark/>
          </w:tcPr>
          <w:p w:rsidR="00557A2B" w:rsidRPr="000C6FAF" w:rsidRDefault="00557A2B" w:rsidP="007F41CD">
            <w:pPr>
              <w:rPr>
                <w:b/>
                <w:noProof/>
                <w:sz w:val="22"/>
                <w:szCs w:val="22"/>
              </w:rPr>
            </w:pPr>
            <w:r w:rsidRPr="000C6FAF">
              <w:rPr>
                <w:b/>
                <w:noProof/>
                <w:sz w:val="22"/>
                <w:szCs w:val="22"/>
              </w:rPr>
              <w:t>Metabolisme og ernæring</w:t>
            </w:r>
          </w:p>
        </w:tc>
        <w:tc>
          <w:tcPr>
            <w:tcW w:w="571"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c>
          <w:tcPr>
            <w:tcW w:w="722"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sidRPr="00791FA6">
              <w:rPr>
                <w:noProof/>
                <w:sz w:val="22"/>
                <w:szCs w:val="22"/>
              </w:rPr>
              <w:t>Hyper</w:t>
            </w:r>
            <w:r>
              <w:rPr>
                <w:noProof/>
                <w:sz w:val="22"/>
                <w:szCs w:val="22"/>
              </w:rPr>
              <w:t>-</w:t>
            </w:r>
            <w:r w:rsidRPr="00791FA6">
              <w:rPr>
                <w:noProof/>
                <w:sz w:val="22"/>
                <w:szCs w:val="22"/>
              </w:rPr>
              <w:t>kaliæmi</w:t>
            </w:r>
          </w:p>
        </w:tc>
        <w:tc>
          <w:tcPr>
            <w:tcW w:w="816"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c>
          <w:tcPr>
            <w:tcW w:w="898" w:type="pct"/>
            <w:tcBorders>
              <w:top w:val="single" w:sz="4" w:space="0" w:color="auto"/>
              <w:left w:val="single" w:sz="4" w:space="0" w:color="auto"/>
              <w:bottom w:val="nil"/>
              <w:right w:val="single" w:sz="4" w:space="0" w:color="auto"/>
            </w:tcBorders>
          </w:tcPr>
          <w:p w:rsidR="00557A2B" w:rsidRPr="00791FA6" w:rsidRDefault="00557A2B" w:rsidP="007F41CD">
            <w:pPr>
              <w:rPr>
                <w:i/>
                <w:noProof/>
                <w:sz w:val="22"/>
                <w:szCs w:val="22"/>
              </w:rPr>
            </w:pPr>
          </w:p>
        </w:tc>
        <w:tc>
          <w:tcPr>
            <w:tcW w:w="540" w:type="pct"/>
            <w:tcBorders>
              <w:top w:val="single" w:sz="4" w:space="0" w:color="auto"/>
              <w:left w:val="single" w:sz="4" w:space="0" w:color="auto"/>
              <w:bottom w:val="nil"/>
              <w:right w:val="single" w:sz="4" w:space="0" w:color="auto"/>
            </w:tcBorders>
          </w:tcPr>
          <w:p w:rsidR="00557A2B" w:rsidRPr="00791FA6" w:rsidRDefault="00557A2B" w:rsidP="007F41CD">
            <w:pPr>
              <w:rPr>
                <w:i/>
                <w:noProof/>
                <w:sz w:val="22"/>
                <w:szCs w:val="22"/>
              </w:rPr>
            </w:pPr>
          </w:p>
        </w:tc>
      </w:tr>
      <w:tr w:rsidR="00557A2B" w:rsidRPr="00791FA6" w:rsidTr="007F41CD">
        <w:tc>
          <w:tcPr>
            <w:tcW w:w="741" w:type="pct"/>
            <w:tcBorders>
              <w:top w:val="single" w:sz="4" w:space="0" w:color="auto"/>
              <w:left w:val="single" w:sz="4" w:space="0" w:color="auto"/>
              <w:bottom w:val="nil"/>
              <w:right w:val="single" w:sz="4" w:space="0" w:color="auto"/>
            </w:tcBorders>
            <w:hideMark/>
          </w:tcPr>
          <w:p w:rsidR="00557A2B" w:rsidRPr="000C6FAF" w:rsidRDefault="00557A2B" w:rsidP="007F41CD">
            <w:pPr>
              <w:rPr>
                <w:b/>
                <w:noProof/>
                <w:sz w:val="22"/>
                <w:szCs w:val="22"/>
              </w:rPr>
            </w:pPr>
            <w:r w:rsidRPr="000C6FAF">
              <w:rPr>
                <w:b/>
                <w:noProof/>
                <w:sz w:val="22"/>
                <w:szCs w:val="22"/>
              </w:rPr>
              <w:t>Psykiske forstyrrelser</w:t>
            </w:r>
          </w:p>
        </w:tc>
        <w:tc>
          <w:tcPr>
            <w:tcW w:w="571"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sidRPr="00791FA6">
              <w:rPr>
                <w:noProof/>
                <w:sz w:val="22"/>
                <w:szCs w:val="22"/>
              </w:rPr>
              <w:t>Søvnløshed</w:t>
            </w:r>
          </w:p>
        </w:tc>
        <w:tc>
          <w:tcPr>
            <w:tcW w:w="722"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sidRPr="00791FA6">
              <w:rPr>
                <w:noProof/>
                <w:sz w:val="22"/>
                <w:szCs w:val="22"/>
              </w:rPr>
              <w:t>Angst, depression, træthed</w:t>
            </w:r>
          </w:p>
        </w:tc>
        <w:tc>
          <w:tcPr>
            <w:tcW w:w="816"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sidRPr="00791FA6">
              <w:rPr>
                <w:iCs/>
                <w:noProof/>
                <w:sz w:val="22"/>
                <w:szCs w:val="22"/>
              </w:rPr>
              <w:t>Konfusion, hallucinatio</w:t>
            </w:r>
            <w:r>
              <w:rPr>
                <w:iCs/>
                <w:noProof/>
                <w:sz w:val="22"/>
                <w:szCs w:val="22"/>
              </w:rPr>
              <w:softHyphen/>
            </w:r>
            <w:r w:rsidRPr="00791FA6">
              <w:rPr>
                <w:iCs/>
                <w:noProof/>
                <w:sz w:val="22"/>
                <w:szCs w:val="22"/>
              </w:rPr>
              <w:t>ner</w:t>
            </w:r>
            <w:r w:rsidRPr="00791FA6">
              <w:rPr>
                <w:iCs/>
                <w:noProof/>
                <w:sz w:val="22"/>
                <w:szCs w:val="22"/>
                <w:vertAlign w:val="superscript"/>
              </w:rPr>
              <w:t>4</w:t>
            </w:r>
          </w:p>
        </w:tc>
        <w:tc>
          <w:tcPr>
            <w:tcW w:w="898" w:type="pct"/>
            <w:tcBorders>
              <w:top w:val="single" w:sz="4" w:space="0" w:color="auto"/>
              <w:left w:val="single" w:sz="4" w:space="0" w:color="auto"/>
              <w:bottom w:val="nil"/>
              <w:right w:val="single" w:sz="4" w:space="0" w:color="auto"/>
            </w:tcBorders>
          </w:tcPr>
          <w:p w:rsidR="00557A2B" w:rsidRPr="00791FA6" w:rsidRDefault="00557A2B" w:rsidP="007F41CD">
            <w:pPr>
              <w:rPr>
                <w:iCs/>
                <w:noProof/>
                <w:sz w:val="22"/>
                <w:szCs w:val="22"/>
              </w:rPr>
            </w:pPr>
          </w:p>
        </w:tc>
        <w:tc>
          <w:tcPr>
            <w:tcW w:w="540"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r>
      <w:tr w:rsidR="00557A2B" w:rsidRPr="00791FA6" w:rsidTr="007F41CD">
        <w:tc>
          <w:tcPr>
            <w:tcW w:w="741" w:type="pct"/>
            <w:tcBorders>
              <w:top w:val="single" w:sz="4" w:space="0" w:color="auto"/>
              <w:left w:val="single" w:sz="4" w:space="0" w:color="auto"/>
              <w:bottom w:val="nil"/>
              <w:right w:val="single" w:sz="4" w:space="0" w:color="auto"/>
            </w:tcBorders>
            <w:hideMark/>
          </w:tcPr>
          <w:p w:rsidR="00557A2B" w:rsidRPr="000C6FAF" w:rsidRDefault="00557A2B" w:rsidP="007F41CD">
            <w:pPr>
              <w:rPr>
                <w:b/>
                <w:noProof/>
                <w:sz w:val="22"/>
                <w:szCs w:val="22"/>
              </w:rPr>
            </w:pPr>
            <w:r w:rsidRPr="000C6FAF">
              <w:rPr>
                <w:b/>
                <w:noProof/>
                <w:sz w:val="22"/>
                <w:szCs w:val="22"/>
              </w:rPr>
              <w:t>Nerve</w:t>
            </w:r>
            <w:r w:rsidRPr="000C6FAF">
              <w:rPr>
                <w:b/>
                <w:noProof/>
                <w:sz w:val="22"/>
                <w:szCs w:val="22"/>
              </w:rPr>
              <w:softHyphen/>
              <w:t>systemet</w:t>
            </w:r>
          </w:p>
        </w:tc>
        <w:tc>
          <w:tcPr>
            <w:tcW w:w="571"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sidRPr="00791FA6">
              <w:rPr>
                <w:noProof/>
                <w:sz w:val="22"/>
                <w:szCs w:val="22"/>
              </w:rPr>
              <w:t>Svimmelhed, hypertoni, hovedpine</w:t>
            </w:r>
            <w:r w:rsidRPr="00791FA6">
              <w:rPr>
                <w:noProof/>
                <w:sz w:val="22"/>
                <w:szCs w:val="22"/>
                <w:vertAlign w:val="superscript"/>
              </w:rPr>
              <w:t>4</w:t>
            </w:r>
          </w:p>
        </w:tc>
        <w:tc>
          <w:tcPr>
            <w:tcW w:w="722"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Pr>
                <w:noProof/>
                <w:sz w:val="22"/>
                <w:szCs w:val="22"/>
              </w:rPr>
              <w:t>C</w:t>
            </w:r>
            <w:r w:rsidRPr="00791FA6">
              <w:rPr>
                <w:noProof/>
                <w:sz w:val="22"/>
                <w:szCs w:val="22"/>
              </w:rPr>
              <w:t xml:space="preserve">erebralt </w:t>
            </w:r>
            <w:r w:rsidRPr="001F5EBB">
              <w:rPr>
                <w:noProof/>
                <w:sz w:val="22"/>
                <w:szCs w:val="22"/>
              </w:rPr>
              <w:t>infarkt</w:t>
            </w:r>
            <w:r w:rsidRPr="007F41CD">
              <w:rPr>
                <w:noProof/>
                <w:sz w:val="22"/>
                <w:szCs w:val="22"/>
              </w:rPr>
              <w:t>1</w:t>
            </w:r>
            <w:r>
              <w:rPr>
                <w:noProof/>
                <w:sz w:val="22"/>
                <w:szCs w:val="22"/>
              </w:rPr>
              <w:t>, p</w:t>
            </w:r>
            <w:r w:rsidRPr="001F5EBB">
              <w:rPr>
                <w:noProof/>
                <w:sz w:val="22"/>
                <w:szCs w:val="22"/>
              </w:rPr>
              <w:t>aræstesi</w:t>
            </w:r>
            <w:r w:rsidRPr="00791FA6">
              <w:rPr>
                <w:noProof/>
                <w:sz w:val="22"/>
                <w:szCs w:val="22"/>
              </w:rPr>
              <w:t xml:space="preserve">, døsighed, </w:t>
            </w:r>
          </w:p>
        </w:tc>
        <w:tc>
          <w:tcPr>
            <w:tcW w:w="816"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sidRPr="00791FA6">
              <w:rPr>
                <w:noProof/>
                <w:sz w:val="22"/>
                <w:szCs w:val="22"/>
              </w:rPr>
              <w:t>Ataksi, dysgeusi</w:t>
            </w:r>
          </w:p>
        </w:tc>
        <w:tc>
          <w:tcPr>
            <w:tcW w:w="898" w:type="pct"/>
            <w:tcBorders>
              <w:top w:val="single" w:sz="4" w:space="0" w:color="auto"/>
              <w:left w:val="single" w:sz="4" w:space="0" w:color="auto"/>
              <w:bottom w:val="nil"/>
              <w:right w:val="single" w:sz="4" w:space="0" w:color="auto"/>
            </w:tcBorders>
            <w:hideMark/>
          </w:tcPr>
          <w:p w:rsidR="00557A2B" w:rsidRPr="00791FA6" w:rsidRDefault="00557A2B" w:rsidP="007F41CD">
            <w:pPr>
              <w:rPr>
                <w:iCs/>
                <w:noProof/>
                <w:sz w:val="22"/>
                <w:szCs w:val="22"/>
              </w:rPr>
            </w:pPr>
            <w:r w:rsidRPr="00791FA6">
              <w:rPr>
                <w:iCs/>
                <w:noProof/>
                <w:sz w:val="22"/>
                <w:szCs w:val="22"/>
              </w:rPr>
              <w:t>Intrakraniel blødning (herunder fatal intrakraniel blødning)</w:t>
            </w:r>
            <w:r w:rsidRPr="00791FA6">
              <w:rPr>
                <w:iCs/>
                <w:noProof/>
                <w:sz w:val="22"/>
                <w:szCs w:val="22"/>
                <w:vertAlign w:val="superscript"/>
              </w:rPr>
              <w:t>4</w:t>
            </w:r>
            <w:r w:rsidRPr="00791FA6">
              <w:rPr>
                <w:iCs/>
                <w:noProof/>
                <w:sz w:val="22"/>
                <w:szCs w:val="22"/>
              </w:rPr>
              <w:t xml:space="preserve">, </w:t>
            </w:r>
            <w:r w:rsidRPr="00791FA6">
              <w:rPr>
                <w:noProof/>
                <w:sz w:val="22"/>
                <w:szCs w:val="22"/>
              </w:rPr>
              <w:t>aseptisk meningitis</w:t>
            </w:r>
            <w:r w:rsidRPr="00791FA6">
              <w:rPr>
                <w:iCs/>
                <w:noProof/>
                <w:sz w:val="22"/>
                <w:szCs w:val="22"/>
                <w:vertAlign w:val="superscript"/>
              </w:rPr>
              <w:t>4</w:t>
            </w:r>
            <w:r w:rsidRPr="00791FA6">
              <w:rPr>
                <w:noProof/>
                <w:sz w:val="22"/>
                <w:szCs w:val="22"/>
              </w:rPr>
              <w:t>, epilepsi (herunder forværret epilepsi</w:t>
            </w:r>
            <w:r>
              <w:rPr>
                <w:noProof/>
                <w:sz w:val="22"/>
                <w:szCs w:val="22"/>
              </w:rPr>
              <w:t>)</w:t>
            </w:r>
            <w:r w:rsidRPr="00791FA6">
              <w:rPr>
                <w:iCs/>
                <w:noProof/>
                <w:sz w:val="22"/>
                <w:szCs w:val="22"/>
                <w:vertAlign w:val="superscript"/>
              </w:rPr>
              <w:t>4</w:t>
            </w:r>
            <w:r w:rsidRPr="00791FA6">
              <w:rPr>
                <w:noProof/>
                <w:sz w:val="22"/>
                <w:szCs w:val="22"/>
              </w:rPr>
              <w:t>, tab af smagssans</w:t>
            </w:r>
            <w:r w:rsidRPr="00791FA6">
              <w:rPr>
                <w:iCs/>
                <w:noProof/>
                <w:sz w:val="22"/>
                <w:szCs w:val="22"/>
                <w:vertAlign w:val="superscript"/>
              </w:rPr>
              <w:t>4</w:t>
            </w:r>
            <w:r w:rsidRPr="00791FA6">
              <w:rPr>
                <w:noProof/>
                <w:sz w:val="22"/>
                <w:szCs w:val="22"/>
              </w:rPr>
              <w:t>, anosmi</w:t>
            </w:r>
            <w:r w:rsidRPr="00791FA6">
              <w:rPr>
                <w:iCs/>
                <w:noProof/>
                <w:sz w:val="22"/>
                <w:szCs w:val="22"/>
                <w:vertAlign w:val="superscript"/>
              </w:rPr>
              <w:t>4</w:t>
            </w:r>
          </w:p>
        </w:tc>
        <w:tc>
          <w:tcPr>
            <w:tcW w:w="540"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r>
      <w:tr w:rsidR="00557A2B" w:rsidRPr="00791FA6" w:rsidTr="007F41CD">
        <w:tc>
          <w:tcPr>
            <w:tcW w:w="74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Øjne</w:t>
            </w:r>
          </w:p>
        </w:tc>
        <w:tc>
          <w:tcPr>
            <w:tcW w:w="571"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iCs/>
                <w:noProof/>
                <w:sz w:val="22"/>
                <w:szCs w:val="22"/>
              </w:rPr>
            </w:pPr>
            <w:r w:rsidRPr="00791FA6">
              <w:rPr>
                <w:iCs/>
                <w:noProof/>
                <w:sz w:val="22"/>
                <w:szCs w:val="22"/>
              </w:rPr>
              <w:t>Sløret syn, conjunctivi</w:t>
            </w:r>
            <w:r w:rsidRPr="00791FA6">
              <w:rPr>
                <w:iCs/>
                <w:noProof/>
                <w:sz w:val="22"/>
                <w:szCs w:val="22"/>
              </w:rPr>
              <w:softHyphen/>
              <w:t>tis</w:t>
            </w:r>
            <w:r w:rsidRPr="00791FA6">
              <w:rPr>
                <w:iCs/>
                <w:noProof/>
                <w:sz w:val="22"/>
                <w:szCs w:val="22"/>
                <w:vertAlign w:val="superscript"/>
              </w:rPr>
              <w:t>4</w:t>
            </w:r>
          </w:p>
        </w:tc>
        <w:tc>
          <w:tcPr>
            <w:tcW w:w="816"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iCs/>
                <w:noProof/>
                <w:sz w:val="22"/>
                <w:szCs w:val="22"/>
              </w:rPr>
            </w:pPr>
            <w:r w:rsidRPr="00791FA6">
              <w:rPr>
                <w:iCs/>
                <w:noProof/>
                <w:sz w:val="22"/>
                <w:szCs w:val="22"/>
              </w:rPr>
              <w:t>Øjenblødning</w:t>
            </w:r>
            <w:r w:rsidRPr="00791FA6">
              <w:rPr>
                <w:iCs/>
                <w:noProof/>
                <w:sz w:val="22"/>
                <w:szCs w:val="22"/>
                <w:vertAlign w:val="superscript"/>
              </w:rPr>
              <w:t>4</w:t>
            </w:r>
          </w:p>
        </w:tc>
        <w:tc>
          <w:tcPr>
            <w:tcW w:w="898"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iCs/>
                <w:noProof/>
                <w:sz w:val="22"/>
                <w:szCs w:val="22"/>
              </w:rPr>
            </w:pPr>
            <w:r w:rsidRPr="00791FA6">
              <w:rPr>
                <w:iCs/>
                <w:noProof/>
                <w:sz w:val="22"/>
                <w:szCs w:val="22"/>
              </w:rPr>
              <w:t>Okklusion af nethindearterie</w:t>
            </w:r>
            <w:r w:rsidRPr="00791FA6">
              <w:rPr>
                <w:iCs/>
                <w:noProof/>
                <w:sz w:val="22"/>
                <w:szCs w:val="22"/>
                <w:vertAlign w:val="superscript"/>
              </w:rPr>
              <w:t xml:space="preserve"> </w:t>
            </w:r>
            <w:r w:rsidRPr="00791FA6">
              <w:rPr>
                <w:iCs/>
                <w:noProof/>
                <w:sz w:val="22"/>
                <w:szCs w:val="22"/>
              </w:rPr>
              <w:t>eller nethindevene</w:t>
            </w:r>
            <w:r w:rsidRPr="00791FA6">
              <w:rPr>
                <w:iCs/>
                <w:noProof/>
                <w:sz w:val="22"/>
                <w:szCs w:val="22"/>
                <w:vertAlign w:val="superscript"/>
              </w:rPr>
              <w:t>4</w:t>
            </w:r>
          </w:p>
        </w:tc>
        <w:tc>
          <w:tcPr>
            <w:tcW w:w="540"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i/>
                <w:iCs/>
                <w:noProof/>
                <w:sz w:val="22"/>
                <w:szCs w:val="22"/>
              </w:rPr>
            </w:pPr>
          </w:p>
        </w:tc>
      </w:tr>
      <w:tr w:rsidR="00557A2B" w:rsidRPr="00791FA6" w:rsidTr="007F41CD">
        <w:tc>
          <w:tcPr>
            <w:tcW w:w="74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Øre og labyrint</w:t>
            </w:r>
          </w:p>
        </w:tc>
        <w:tc>
          <w:tcPr>
            <w:tcW w:w="571"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Tinnitus, høretab</w:t>
            </w:r>
            <w:r w:rsidRPr="00791FA6">
              <w:rPr>
                <w:noProof/>
                <w:sz w:val="22"/>
                <w:szCs w:val="22"/>
                <w:vertAlign w:val="superscript"/>
              </w:rPr>
              <w:t>1</w:t>
            </w:r>
          </w:p>
        </w:tc>
        <w:tc>
          <w:tcPr>
            <w:tcW w:w="816"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898"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540"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r>
      <w:tr w:rsidR="00557A2B" w:rsidRPr="00791FA6" w:rsidTr="007F41CD">
        <w:tc>
          <w:tcPr>
            <w:tcW w:w="741" w:type="pct"/>
            <w:tcBorders>
              <w:top w:val="single" w:sz="4" w:space="0" w:color="auto"/>
              <w:left w:val="single" w:sz="4" w:space="0" w:color="auto"/>
              <w:bottom w:val="nil"/>
              <w:right w:val="single" w:sz="4" w:space="0" w:color="auto"/>
            </w:tcBorders>
            <w:hideMark/>
          </w:tcPr>
          <w:p w:rsidR="00557A2B" w:rsidRPr="000C6FAF" w:rsidRDefault="00557A2B" w:rsidP="007F41CD">
            <w:pPr>
              <w:rPr>
                <w:b/>
                <w:noProof/>
                <w:sz w:val="22"/>
                <w:szCs w:val="22"/>
              </w:rPr>
            </w:pPr>
            <w:r w:rsidRPr="000C6FAF">
              <w:rPr>
                <w:b/>
                <w:noProof/>
                <w:sz w:val="22"/>
                <w:szCs w:val="22"/>
              </w:rPr>
              <w:lastRenderedPageBreak/>
              <w:t>Hjerte</w:t>
            </w:r>
          </w:p>
        </w:tc>
        <w:tc>
          <w:tcPr>
            <w:tcW w:w="571"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sidRPr="00791FA6">
              <w:rPr>
                <w:noProof/>
                <w:sz w:val="22"/>
                <w:szCs w:val="22"/>
              </w:rPr>
              <w:t>Myokardie</w:t>
            </w:r>
            <w:r w:rsidRPr="00791FA6">
              <w:rPr>
                <w:noProof/>
                <w:sz w:val="22"/>
                <w:szCs w:val="22"/>
              </w:rPr>
              <w:softHyphen/>
              <w:t>infarkt</w:t>
            </w:r>
            <w:r w:rsidRPr="00791FA6">
              <w:rPr>
                <w:noProof/>
                <w:sz w:val="22"/>
                <w:szCs w:val="22"/>
                <w:vertAlign w:val="superscript"/>
              </w:rPr>
              <w:t>1</w:t>
            </w:r>
          </w:p>
        </w:tc>
        <w:tc>
          <w:tcPr>
            <w:tcW w:w="722"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sidRPr="00791FA6">
              <w:rPr>
                <w:noProof/>
                <w:sz w:val="22"/>
                <w:szCs w:val="22"/>
              </w:rPr>
              <w:t>Hjertesvigt, palpitationer, takykardi</w:t>
            </w:r>
          </w:p>
        </w:tc>
        <w:tc>
          <w:tcPr>
            <w:tcW w:w="816"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sidRPr="00791FA6">
              <w:rPr>
                <w:noProof/>
                <w:sz w:val="22"/>
                <w:szCs w:val="22"/>
              </w:rPr>
              <w:t>Arytmi</w:t>
            </w:r>
            <w:r w:rsidRPr="00791FA6">
              <w:rPr>
                <w:noProof/>
                <w:sz w:val="22"/>
                <w:szCs w:val="22"/>
                <w:vertAlign w:val="superscript"/>
              </w:rPr>
              <w:t>4</w:t>
            </w:r>
          </w:p>
        </w:tc>
        <w:tc>
          <w:tcPr>
            <w:tcW w:w="898"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c>
          <w:tcPr>
            <w:tcW w:w="540"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r>
      <w:tr w:rsidR="00557A2B" w:rsidRPr="00791FA6" w:rsidTr="007F41CD">
        <w:tc>
          <w:tcPr>
            <w:tcW w:w="74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 xml:space="preserve">Vaskulære sygdomme </w:t>
            </w:r>
          </w:p>
        </w:tc>
        <w:tc>
          <w:tcPr>
            <w:tcW w:w="571"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vertAlign w:val="superscript"/>
              </w:rPr>
            </w:pPr>
            <w:r w:rsidRPr="00791FA6">
              <w:rPr>
                <w:noProof/>
                <w:sz w:val="22"/>
                <w:szCs w:val="22"/>
              </w:rPr>
              <w:t>Hyperten</w:t>
            </w:r>
            <w:r>
              <w:rPr>
                <w:noProof/>
                <w:sz w:val="22"/>
                <w:szCs w:val="22"/>
              </w:rPr>
              <w:softHyphen/>
            </w:r>
            <w:r w:rsidRPr="00791FA6">
              <w:rPr>
                <w:noProof/>
                <w:sz w:val="22"/>
                <w:szCs w:val="22"/>
              </w:rPr>
              <w:t>sion (herunder forværret hyperten</w:t>
            </w:r>
            <w:r w:rsidRPr="00791FA6">
              <w:rPr>
                <w:noProof/>
                <w:sz w:val="22"/>
                <w:szCs w:val="22"/>
              </w:rPr>
              <w:softHyphen/>
              <w:t>sion)</w:t>
            </w:r>
            <w:r w:rsidRPr="00791FA6">
              <w:rPr>
                <w:noProof/>
                <w:sz w:val="22"/>
                <w:szCs w:val="22"/>
                <w:vertAlign w:val="superscript"/>
              </w:rPr>
              <w:t>1</w:t>
            </w:r>
          </w:p>
        </w:tc>
        <w:tc>
          <w:tcPr>
            <w:tcW w:w="713"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22"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816"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iCs/>
                <w:noProof/>
                <w:sz w:val="22"/>
                <w:szCs w:val="22"/>
              </w:rPr>
              <w:t>Lungeemboli</w:t>
            </w:r>
            <w:r w:rsidRPr="00791FA6">
              <w:rPr>
                <w:iCs/>
                <w:noProof/>
                <w:sz w:val="22"/>
                <w:szCs w:val="22"/>
                <w:vertAlign w:val="superscript"/>
              </w:rPr>
              <w:t>4</w:t>
            </w:r>
            <w:r w:rsidRPr="00791FA6">
              <w:rPr>
                <w:iCs/>
                <w:noProof/>
                <w:sz w:val="22"/>
                <w:szCs w:val="22"/>
              </w:rPr>
              <w:t>,</w:t>
            </w:r>
            <w:r>
              <w:rPr>
                <w:iCs/>
                <w:noProof/>
                <w:sz w:val="22"/>
                <w:szCs w:val="22"/>
              </w:rPr>
              <w:t xml:space="preserve"> </w:t>
            </w:r>
            <w:r w:rsidRPr="00791FA6">
              <w:rPr>
                <w:iCs/>
                <w:noProof/>
                <w:sz w:val="22"/>
                <w:szCs w:val="22"/>
              </w:rPr>
              <w:t>rødmen</w:t>
            </w:r>
            <w:r w:rsidRPr="00791FA6">
              <w:rPr>
                <w:iCs/>
                <w:noProof/>
                <w:sz w:val="22"/>
                <w:szCs w:val="22"/>
                <w:vertAlign w:val="superscript"/>
              </w:rPr>
              <w:t>4</w:t>
            </w:r>
          </w:p>
        </w:tc>
        <w:tc>
          <w:tcPr>
            <w:tcW w:w="898"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iCs/>
                <w:noProof/>
                <w:sz w:val="22"/>
                <w:szCs w:val="22"/>
              </w:rPr>
            </w:pPr>
            <w:r w:rsidRPr="00791FA6">
              <w:rPr>
                <w:iCs/>
                <w:noProof/>
                <w:sz w:val="22"/>
                <w:szCs w:val="22"/>
              </w:rPr>
              <w:t>Vaskulitis</w:t>
            </w:r>
            <w:r w:rsidRPr="00791FA6">
              <w:rPr>
                <w:iCs/>
                <w:noProof/>
                <w:sz w:val="22"/>
                <w:szCs w:val="22"/>
                <w:vertAlign w:val="superscript"/>
              </w:rPr>
              <w:t>4</w:t>
            </w:r>
          </w:p>
        </w:tc>
        <w:tc>
          <w:tcPr>
            <w:tcW w:w="540"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i/>
                <w:noProof/>
                <w:sz w:val="22"/>
                <w:szCs w:val="22"/>
              </w:rPr>
            </w:pPr>
          </w:p>
        </w:tc>
      </w:tr>
      <w:tr w:rsidR="00557A2B" w:rsidRPr="00791FA6" w:rsidTr="007F41CD">
        <w:tc>
          <w:tcPr>
            <w:tcW w:w="74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Luftveje, thorax og mediastinum</w:t>
            </w:r>
          </w:p>
        </w:tc>
        <w:tc>
          <w:tcPr>
            <w:tcW w:w="571"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Rhinitis, hoste, dyspnø</w:t>
            </w:r>
            <w:r w:rsidRPr="00791FA6">
              <w:rPr>
                <w:noProof/>
                <w:sz w:val="22"/>
                <w:szCs w:val="22"/>
                <w:vertAlign w:val="superscript"/>
              </w:rPr>
              <w:t>1</w:t>
            </w:r>
          </w:p>
        </w:tc>
        <w:tc>
          <w:tcPr>
            <w:tcW w:w="722"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Bronko</w:t>
            </w:r>
            <w:r w:rsidRPr="00791FA6">
              <w:rPr>
                <w:noProof/>
                <w:sz w:val="22"/>
                <w:szCs w:val="22"/>
              </w:rPr>
              <w:softHyphen/>
              <w:t>spasme</w:t>
            </w:r>
            <w:r w:rsidRPr="00791FA6">
              <w:rPr>
                <w:iCs/>
                <w:noProof/>
                <w:sz w:val="22"/>
                <w:szCs w:val="22"/>
                <w:vertAlign w:val="superscript"/>
              </w:rPr>
              <w:t>4</w:t>
            </w:r>
          </w:p>
        </w:tc>
        <w:tc>
          <w:tcPr>
            <w:tcW w:w="816"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Pneumonitis</w:t>
            </w:r>
            <w:r w:rsidRPr="00791FA6">
              <w:rPr>
                <w:noProof/>
                <w:sz w:val="22"/>
                <w:szCs w:val="22"/>
                <w:vertAlign w:val="superscript"/>
              </w:rPr>
              <w:t>4</w:t>
            </w:r>
          </w:p>
        </w:tc>
        <w:tc>
          <w:tcPr>
            <w:tcW w:w="898"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540"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r>
      <w:tr w:rsidR="00557A2B" w:rsidRPr="00791FA6" w:rsidTr="007F41CD">
        <w:tc>
          <w:tcPr>
            <w:tcW w:w="741" w:type="pct"/>
            <w:tcBorders>
              <w:top w:val="single" w:sz="4" w:space="0" w:color="auto"/>
              <w:left w:val="single" w:sz="4" w:space="0" w:color="auto"/>
              <w:bottom w:val="nil"/>
              <w:right w:val="single" w:sz="4" w:space="0" w:color="auto"/>
            </w:tcBorders>
            <w:hideMark/>
          </w:tcPr>
          <w:p w:rsidR="00557A2B" w:rsidRPr="000C6FAF" w:rsidRDefault="00557A2B" w:rsidP="007F41CD">
            <w:pPr>
              <w:rPr>
                <w:b/>
                <w:noProof/>
                <w:sz w:val="22"/>
                <w:szCs w:val="22"/>
              </w:rPr>
            </w:pPr>
            <w:r w:rsidRPr="000C6FAF">
              <w:rPr>
                <w:b/>
                <w:noProof/>
                <w:sz w:val="22"/>
                <w:szCs w:val="22"/>
              </w:rPr>
              <w:t xml:space="preserve">Mave-tarm-kanalen </w:t>
            </w:r>
          </w:p>
        </w:tc>
        <w:tc>
          <w:tcPr>
            <w:tcW w:w="571"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sidRPr="00791FA6">
              <w:rPr>
                <w:noProof/>
                <w:sz w:val="22"/>
                <w:szCs w:val="22"/>
              </w:rPr>
              <w:t>Kvalme</w:t>
            </w:r>
            <w:r w:rsidRPr="00791FA6">
              <w:rPr>
                <w:iCs/>
                <w:noProof/>
                <w:sz w:val="22"/>
                <w:szCs w:val="22"/>
                <w:vertAlign w:val="superscript"/>
              </w:rPr>
              <w:t>4</w:t>
            </w:r>
            <w:r w:rsidRPr="00791FA6">
              <w:rPr>
                <w:noProof/>
                <w:sz w:val="22"/>
                <w:szCs w:val="22"/>
              </w:rPr>
              <w:t>, abdominal</w:t>
            </w:r>
            <w:r w:rsidRPr="00791FA6">
              <w:rPr>
                <w:noProof/>
                <w:sz w:val="22"/>
                <w:szCs w:val="22"/>
              </w:rPr>
              <w:softHyphen/>
              <w:t>smerter, diarré, dyspepsi, flatulens, opkastning</w:t>
            </w:r>
            <w:r w:rsidRPr="00791FA6">
              <w:rPr>
                <w:noProof/>
                <w:sz w:val="22"/>
                <w:szCs w:val="22"/>
                <w:vertAlign w:val="superscript"/>
              </w:rPr>
              <w:t>1</w:t>
            </w:r>
            <w:r w:rsidRPr="00791FA6">
              <w:rPr>
                <w:noProof/>
                <w:sz w:val="22"/>
                <w:szCs w:val="22"/>
              </w:rPr>
              <w:t>, dysfagi</w:t>
            </w:r>
            <w:r w:rsidRPr="00791FA6">
              <w:rPr>
                <w:noProof/>
                <w:sz w:val="22"/>
                <w:szCs w:val="22"/>
                <w:vertAlign w:val="superscript"/>
              </w:rPr>
              <w:t>1</w:t>
            </w:r>
          </w:p>
        </w:tc>
        <w:tc>
          <w:tcPr>
            <w:tcW w:w="722" w:type="pct"/>
            <w:tcBorders>
              <w:top w:val="single" w:sz="4" w:space="0" w:color="auto"/>
              <w:left w:val="single" w:sz="4" w:space="0" w:color="auto"/>
              <w:bottom w:val="nil"/>
              <w:right w:val="single" w:sz="4" w:space="0" w:color="auto"/>
            </w:tcBorders>
            <w:hideMark/>
          </w:tcPr>
          <w:p w:rsidR="00557A2B" w:rsidRPr="001E059F" w:rsidRDefault="00557A2B" w:rsidP="007F41CD">
            <w:pPr>
              <w:rPr>
                <w:noProof/>
                <w:sz w:val="22"/>
                <w:szCs w:val="22"/>
              </w:rPr>
            </w:pPr>
            <w:r w:rsidRPr="001E059F">
              <w:rPr>
                <w:noProof/>
                <w:sz w:val="22"/>
                <w:szCs w:val="22"/>
              </w:rPr>
              <w:t>Obstipation, gastritis, sto</w:t>
            </w:r>
            <w:r w:rsidRPr="001E059F">
              <w:rPr>
                <w:noProof/>
                <w:sz w:val="22"/>
                <w:szCs w:val="22"/>
              </w:rPr>
              <w:softHyphen/>
              <w:t>matitis, gastrointes</w:t>
            </w:r>
            <w:r w:rsidRPr="001E059F">
              <w:rPr>
                <w:noProof/>
                <w:sz w:val="22"/>
                <w:szCs w:val="22"/>
              </w:rPr>
              <w:softHyphen/>
              <w:t>tinal inflam</w:t>
            </w:r>
            <w:r w:rsidRPr="001E059F">
              <w:rPr>
                <w:noProof/>
                <w:sz w:val="22"/>
                <w:szCs w:val="22"/>
              </w:rPr>
              <w:softHyphen/>
              <w:t>mation (herunder forværring af gastro</w:t>
            </w:r>
            <w:r w:rsidRPr="001E059F">
              <w:rPr>
                <w:noProof/>
                <w:sz w:val="22"/>
                <w:szCs w:val="22"/>
              </w:rPr>
              <w:softHyphen/>
              <w:t>intestinal inflam</w:t>
            </w:r>
            <w:r w:rsidRPr="001E059F">
              <w:rPr>
                <w:noProof/>
                <w:sz w:val="22"/>
                <w:szCs w:val="22"/>
              </w:rPr>
              <w:softHyphen/>
              <w:t>mation), opstød</w:t>
            </w:r>
          </w:p>
        </w:tc>
        <w:tc>
          <w:tcPr>
            <w:tcW w:w="816" w:type="pct"/>
            <w:tcBorders>
              <w:top w:val="single" w:sz="4" w:space="0" w:color="auto"/>
              <w:left w:val="single" w:sz="4" w:space="0" w:color="auto"/>
              <w:bottom w:val="nil"/>
              <w:right w:val="single" w:sz="4" w:space="0" w:color="auto"/>
            </w:tcBorders>
            <w:hideMark/>
          </w:tcPr>
          <w:p w:rsidR="00557A2B" w:rsidRPr="001E059F" w:rsidRDefault="00557A2B" w:rsidP="007F41CD">
            <w:pPr>
              <w:rPr>
                <w:iCs/>
                <w:noProof/>
                <w:sz w:val="22"/>
                <w:szCs w:val="22"/>
              </w:rPr>
            </w:pPr>
            <w:r w:rsidRPr="001E059F">
              <w:rPr>
                <w:noProof/>
                <w:sz w:val="22"/>
                <w:szCs w:val="22"/>
              </w:rPr>
              <w:t>Gastro-intestinal blødning</w:t>
            </w:r>
            <w:r w:rsidRPr="001E059F">
              <w:rPr>
                <w:iCs/>
                <w:noProof/>
                <w:sz w:val="22"/>
                <w:szCs w:val="22"/>
                <w:vertAlign w:val="superscript"/>
              </w:rPr>
              <w:t>4</w:t>
            </w:r>
            <w:r w:rsidRPr="001E059F">
              <w:rPr>
                <w:noProof/>
                <w:sz w:val="22"/>
                <w:szCs w:val="22"/>
              </w:rPr>
              <w:t>, sår i tolv-finger</w:t>
            </w:r>
            <w:r w:rsidRPr="001E059F">
              <w:rPr>
                <w:noProof/>
                <w:sz w:val="22"/>
                <w:szCs w:val="22"/>
              </w:rPr>
              <w:softHyphen/>
              <w:t>tarmen, sår i mavesæk, sår i spiserør, sår i tyndtarmen, sår i tyktarmen, intestinal perforation, oesophagitis, melæna, pancreatitis, colitis</w:t>
            </w:r>
            <w:r w:rsidRPr="001E059F">
              <w:rPr>
                <w:iCs/>
                <w:noProof/>
                <w:sz w:val="22"/>
                <w:szCs w:val="22"/>
                <w:vertAlign w:val="superscript"/>
              </w:rPr>
              <w:t>4</w:t>
            </w:r>
          </w:p>
        </w:tc>
        <w:tc>
          <w:tcPr>
            <w:tcW w:w="898"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c>
          <w:tcPr>
            <w:tcW w:w="540"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r>
      <w:tr w:rsidR="00557A2B" w:rsidRPr="00791FA6" w:rsidTr="007F41CD">
        <w:tc>
          <w:tcPr>
            <w:tcW w:w="741" w:type="pct"/>
            <w:tcBorders>
              <w:top w:val="single" w:sz="4" w:space="0" w:color="auto"/>
              <w:left w:val="single" w:sz="4" w:space="0" w:color="auto"/>
              <w:bottom w:val="nil"/>
              <w:right w:val="single" w:sz="4" w:space="0" w:color="auto"/>
            </w:tcBorders>
            <w:hideMark/>
          </w:tcPr>
          <w:p w:rsidR="00557A2B" w:rsidRPr="005A5A50" w:rsidRDefault="00557A2B" w:rsidP="007F41CD">
            <w:pPr>
              <w:rPr>
                <w:b/>
                <w:noProof/>
                <w:sz w:val="22"/>
                <w:szCs w:val="22"/>
              </w:rPr>
            </w:pPr>
            <w:r w:rsidRPr="005A5A50">
              <w:rPr>
                <w:b/>
                <w:noProof/>
                <w:sz w:val="22"/>
                <w:szCs w:val="22"/>
              </w:rPr>
              <w:t>Lever og galdeveje</w:t>
            </w:r>
          </w:p>
        </w:tc>
        <w:tc>
          <w:tcPr>
            <w:tcW w:w="571"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sidRPr="00791FA6">
              <w:rPr>
                <w:noProof/>
                <w:sz w:val="22"/>
                <w:szCs w:val="22"/>
              </w:rPr>
              <w:t xml:space="preserve"> </w:t>
            </w:r>
          </w:p>
        </w:tc>
        <w:tc>
          <w:tcPr>
            <w:tcW w:w="722" w:type="pct"/>
            <w:tcBorders>
              <w:top w:val="single" w:sz="4" w:space="0" w:color="auto"/>
              <w:left w:val="single" w:sz="4" w:space="0" w:color="auto"/>
              <w:bottom w:val="nil"/>
              <w:right w:val="single" w:sz="4" w:space="0" w:color="auto"/>
            </w:tcBorders>
            <w:hideMark/>
          </w:tcPr>
          <w:p w:rsidR="00557A2B" w:rsidRPr="001E059F" w:rsidRDefault="00557A2B" w:rsidP="007F41CD">
            <w:pPr>
              <w:rPr>
                <w:noProof/>
                <w:sz w:val="22"/>
                <w:szCs w:val="22"/>
              </w:rPr>
            </w:pPr>
            <w:r w:rsidRPr="001E059F">
              <w:rPr>
                <w:noProof/>
                <w:sz w:val="22"/>
                <w:szCs w:val="22"/>
              </w:rPr>
              <w:t>Abnorm le</w:t>
            </w:r>
            <w:r w:rsidRPr="001E059F">
              <w:rPr>
                <w:noProof/>
                <w:sz w:val="22"/>
                <w:szCs w:val="22"/>
              </w:rPr>
              <w:softHyphen/>
              <w:t>verfunktion, forhøjede leverenzym</w:t>
            </w:r>
            <w:r>
              <w:rPr>
                <w:noProof/>
                <w:sz w:val="22"/>
                <w:szCs w:val="22"/>
              </w:rPr>
              <w:t>-</w:t>
            </w:r>
            <w:r w:rsidRPr="001E059F">
              <w:rPr>
                <w:noProof/>
                <w:sz w:val="22"/>
                <w:szCs w:val="22"/>
              </w:rPr>
              <w:t>er (he</w:t>
            </w:r>
            <w:r w:rsidRPr="00A744F7">
              <w:rPr>
                <w:noProof/>
                <w:sz w:val="22"/>
                <w:szCs w:val="22"/>
              </w:rPr>
              <w:t>r</w:t>
            </w:r>
            <w:r w:rsidRPr="001E059F">
              <w:rPr>
                <w:noProof/>
                <w:sz w:val="22"/>
                <w:szCs w:val="22"/>
              </w:rPr>
              <w:t>under forhøjet ASAT og ALAT)</w:t>
            </w:r>
          </w:p>
        </w:tc>
        <w:tc>
          <w:tcPr>
            <w:tcW w:w="816" w:type="pct"/>
            <w:tcBorders>
              <w:top w:val="single" w:sz="4" w:space="0" w:color="auto"/>
              <w:left w:val="single" w:sz="4" w:space="0" w:color="auto"/>
              <w:bottom w:val="nil"/>
              <w:right w:val="single" w:sz="4" w:space="0" w:color="auto"/>
            </w:tcBorders>
            <w:hideMark/>
          </w:tcPr>
          <w:p w:rsidR="00557A2B" w:rsidRPr="001E059F" w:rsidRDefault="00557A2B" w:rsidP="007F41CD">
            <w:pPr>
              <w:rPr>
                <w:noProof/>
                <w:sz w:val="22"/>
                <w:szCs w:val="22"/>
              </w:rPr>
            </w:pPr>
            <w:r w:rsidRPr="001E059F">
              <w:rPr>
                <w:noProof/>
                <w:sz w:val="22"/>
                <w:szCs w:val="22"/>
              </w:rPr>
              <w:t>Hepatitis</w:t>
            </w:r>
          </w:p>
        </w:tc>
        <w:tc>
          <w:tcPr>
            <w:tcW w:w="898" w:type="pct"/>
            <w:tcBorders>
              <w:top w:val="single" w:sz="4" w:space="0" w:color="auto"/>
              <w:left w:val="single" w:sz="4" w:space="0" w:color="auto"/>
              <w:bottom w:val="nil"/>
              <w:right w:val="single" w:sz="4" w:space="0" w:color="auto"/>
            </w:tcBorders>
            <w:hideMark/>
          </w:tcPr>
          <w:p w:rsidR="00557A2B" w:rsidRPr="00791FA6" w:rsidRDefault="00557A2B" w:rsidP="007F41CD">
            <w:pPr>
              <w:rPr>
                <w:noProof/>
                <w:sz w:val="22"/>
                <w:szCs w:val="22"/>
              </w:rPr>
            </w:pPr>
            <w:r w:rsidRPr="00791FA6">
              <w:rPr>
                <w:noProof/>
                <w:sz w:val="22"/>
                <w:szCs w:val="22"/>
              </w:rPr>
              <w:t>Leversvigt</w:t>
            </w:r>
            <w:r w:rsidRPr="00791FA6">
              <w:rPr>
                <w:iCs/>
                <w:noProof/>
                <w:sz w:val="22"/>
                <w:szCs w:val="22"/>
                <w:vertAlign w:val="superscript"/>
              </w:rPr>
              <w:t>4</w:t>
            </w:r>
            <w:r w:rsidRPr="00791FA6">
              <w:rPr>
                <w:noProof/>
                <w:sz w:val="22"/>
                <w:szCs w:val="22"/>
              </w:rPr>
              <w:t xml:space="preserve"> (som nogle gange er fatalt eller kræver levertrans</w:t>
            </w:r>
            <w:r w:rsidRPr="00791FA6">
              <w:rPr>
                <w:noProof/>
                <w:sz w:val="22"/>
                <w:szCs w:val="22"/>
              </w:rPr>
              <w:softHyphen/>
              <w:t>plantation), fulminant hepatitis</w:t>
            </w:r>
            <w:r w:rsidRPr="00791FA6">
              <w:rPr>
                <w:iCs/>
                <w:noProof/>
                <w:sz w:val="22"/>
                <w:szCs w:val="22"/>
                <w:vertAlign w:val="superscript"/>
              </w:rPr>
              <w:t>4</w:t>
            </w:r>
            <w:r w:rsidRPr="00791FA6">
              <w:rPr>
                <w:noProof/>
                <w:sz w:val="22"/>
                <w:szCs w:val="22"/>
              </w:rPr>
              <w:t>, (herunder fatale tilfælde), lever</w:t>
            </w:r>
            <w:r w:rsidRPr="00791FA6">
              <w:rPr>
                <w:noProof/>
                <w:sz w:val="22"/>
                <w:szCs w:val="22"/>
              </w:rPr>
              <w:softHyphen/>
              <w:t>nekrose</w:t>
            </w:r>
            <w:r w:rsidRPr="00791FA6">
              <w:rPr>
                <w:iCs/>
                <w:noProof/>
                <w:sz w:val="22"/>
                <w:szCs w:val="22"/>
                <w:vertAlign w:val="superscript"/>
              </w:rPr>
              <w:t>4</w:t>
            </w:r>
            <w:r w:rsidRPr="00791FA6">
              <w:rPr>
                <w:noProof/>
                <w:sz w:val="22"/>
                <w:szCs w:val="22"/>
              </w:rPr>
              <w:t>, kolestatisk hepatitis</w:t>
            </w:r>
            <w:r w:rsidRPr="00791FA6">
              <w:rPr>
                <w:iCs/>
                <w:noProof/>
                <w:sz w:val="22"/>
                <w:szCs w:val="22"/>
                <w:vertAlign w:val="superscript"/>
              </w:rPr>
              <w:t>4</w:t>
            </w:r>
            <w:r w:rsidRPr="00791FA6">
              <w:rPr>
                <w:noProof/>
                <w:sz w:val="22"/>
                <w:szCs w:val="22"/>
              </w:rPr>
              <w:t>,</w:t>
            </w:r>
          </w:p>
          <w:p w:rsidR="00557A2B" w:rsidRPr="00791FA6" w:rsidRDefault="00557A2B" w:rsidP="007F41CD">
            <w:pPr>
              <w:rPr>
                <w:iCs/>
                <w:noProof/>
                <w:sz w:val="22"/>
                <w:szCs w:val="22"/>
              </w:rPr>
            </w:pPr>
            <w:r w:rsidRPr="00791FA6">
              <w:rPr>
                <w:noProof/>
                <w:sz w:val="22"/>
                <w:szCs w:val="22"/>
              </w:rPr>
              <w:t>hepatitis, icterus</w:t>
            </w:r>
            <w:r w:rsidRPr="00791FA6">
              <w:rPr>
                <w:iCs/>
                <w:noProof/>
                <w:sz w:val="22"/>
                <w:szCs w:val="22"/>
                <w:vertAlign w:val="superscript"/>
              </w:rPr>
              <w:t>4</w:t>
            </w:r>
          </w:p>
        </w:tc>
        <w:tc>
          <w:tcPr>
            <w:tcW w:w="540" w:type="pct"/>
            <w:tcBorders>
              <w:top w:val="single" w:sz="4" w:space="0" w:color="auto"/>
              <w:left w:val="single" w:sz="4" w:space="0" w:color="auto"/>
              <w:bottom w:val="nil"/>
              <w:right w:val="single" w:sz="4" w:space="0" w:color="auto"/>
            </w:tcBorders>
          </w:tcPr>
          <w:p w:rsidR="00557A2B" w:rsidRPr="00791FA6" w:rsidRDefault="00557A2B" w:rsidP="007F41CD">
            <w:pPr>
              <w:rPr>
                <w:noProof/>
                <w:sz w:val="22"/>
                <w:szCs w:val="22"/>
              </w:rPr>
            </w:pPr>
          </w:p>
        </w:tc>
      </w:tr>
      <w:tr w:rsidR="00557A2B" w:rsidRPr="00791FA6" w:rsidTr="007F41CD">
        <w:tc>
          <w:tcPr>
            <w:tcW w:w="741" w:type="pct"/>
            <w:tcBorders>
              <w:top w:val="single" w:sz="4" w:space="0" w:color="auto"/>
              <w:left w:val="single" w:sz="4" w:space="0" w:color="auto"/>
              <w:bottom w:val="single" w:sz="4" w:space="0" w:color="auto"/>
              <w:right w:val="single" w:sz="4" w:space="0" w:color="auto"/>
            </w:tcBorders>
            <w:hideMark/>
          </w:tcPr>
          <w:p w:rsidR="00557A2B" w:rsidRPr="005A5A50" w:rsidRDefault="00557A2B" w:rsidP="007F41CD">
            <w:pPr>
              <w:rPr>
                <w:b/>
                <w:noProof/>
                <w:sz w:val="22"/>
                <w:szCs w:val="22"/>
                <w:u w:val="single"/>
              </w:rPr>
            </w:pPr>
            <w:r w:rsidRPr="005A5A50">
              <w:rPr>
                <w:b/>
                <w:noProof/>
                <w:sz w:val="22"/>
                <w:szCs w:val="22"/>
              </w:rPr>
              <w:t xml:space="preserve">Hud og subkutane væv </w:t>
            </w:r>
          </w:p>
        </w:tc>
        <w:tc>
          <w:tcPr>
            <w:tcW w:w="571"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Udslæt, pruritus (herunder generaliseret pruritus)</w:t>
            </w:r>
          </w:p>
        </w:tc>
        <w:tc>
          <w:tcPr>
            <w:tcW w:w="722"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Urticaria, ekkymose</w:t>
            </w:r>
            <w:r w:rsidRPr="00791FA6">
              <w:rPr>
                <w:iCs/>
                <w:noProof/>
                <w:sz w:val="22"/>
                <w:szCs w:val="22"/>
                <w:vertAlign w:val="superscript"/>
              </w:rPr>
              <w:t>4</w:t>
            </w:r>
          </w:p>
        </w:tc>
        <w:tc>
          <w:tcPr>
            <w:tcW w:w="816"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Angioødem</w:t>
            </w:r>
            <w:r w:rsidRPr="00791FA6">
              <w:rPr>
                <w:iCs/>
                <w:noProof/>
                <w:sz w:val="22"/>
                <w:szCs w:val="22"/>
                <w:vertAlign w:val="superscript"/>
              </w:rPr>
              <w:t>4</w:t>
            </w:r>
            <w:r w:rsidRPr="00791FA6">
              <w:rPr>
                <w:noProof/>
                <w:sz w:val="22"/>
                <w:szCs w:val="22"/>
              </w:rPr>
              <w:t>, alopeci, foto</w:t>
            </w:r>
            <w:r w:rsidRPr="00791FA6">
              <w:rPr>
                <w:noProof/>
                <w:sz w:val="22"/>
                <w:szCs w:val="22"/>
              </w:rPr>
              <w:softHyphen/>
              <w:t>sensitivitet</w:t>
            </w:r>
          </w:p>
        </w:tc>
        <w:tc>
          <w:tcPr>
            <w:tcW w:w="898"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Eksfoliativ dermatitis</w:t>
            </w:r>
            <w:r w:rsidRPr="00791FA6">
              <w:rPr>
                <w:iCs/>
                <w:noProof/>
                <w:sz w:val="22"/>
                <w:szCs w:val="22"/>
                <w:vertAlign w:val="superscript"/>
              </w:rPr>
              <w:t>4</w:t>
            </w:r>
            <w:r w:rsidRPr="00791FA6">
              <w:rPr>
                <w:noProof/>
                <w:sz w:val="22"/>
                <w:szCs w:val="22"/>
              </w:rPr>
              <w:t>, erythema multiforme</w:t>
            </w:r>
            <w:r w:rsidRPr="00791FA6">
              <w:rPr>
                <w:iCs/>
                <w:noProof/>
                <w:sz w:val="22"/>
                <w:szCs w:val="22"/>
                <w:vertAlign w:val="superscript"/>
              </w:rPr>
              <w:t>4</w:t>
            </w:r>
            <w:r w:rsidRPr="00791FA6">
              <w:rPr>
                <w:noProof/>
                <w:sz w:val="22"/>
                <w:szCs w:val="22"/>
              </w:rPr>
              <w:t>, Stevens-Johnsons syndrom</w:t>
            </w:r>
            <w:r w:rsidRPr="00791FA6">
              <w:rPr>
                <w:iCs/>
                <w:noProof/>
                <w:sz w:val="22"/>
                <w:szCs w:val="22"/>
                <w:vertAlign w:val="superscript"/>
              </w:rPr>
              <w:t>4</w:t>
            </w:r>
            <w:r w:rsidRPr="00791FA6">
              <w:rPr>
                <w:noProof/>
                <w:sz w:val="22"/>
                <w:szCs w:val="22"/>
              </w:rPr>
              <w:t>, toksisk epidermal nekrolyse</w:t>
            </w:r>
            <w:r w:rsidRPr="00791FA6">
              <w:rPr>
                <w:iCs/>
                <w:noProof/>
                <w:sz w:val="22"/>
                <w:szCs w:val="22"/>
                <w:vertAlign w:val="superscript"/>
              </w:rPr>
              <w:t>4</w:t>
            </w:r>
            <w:r w:rsidRPr="00791FA6">
              <w:rPr>
                <w:noProof/>
                <w:sz w:val="22"/>
                <w:szCs w:val="22"/>
              </w:rPr>
              <w:t>, lægemiddelfrem</w:t>
            </w:r>
            <w:r>
              <w:rPr>
                <w:noProof/>
                <w:sz w:val="22"/>
                <w:szCs w:val="22"/>
              </w:rPr>
              <w:t>-</w:t>
            </w:r>
            <w:r w:rsidRPr="00791FA6">
              <w:rPr>
                <w:noProof/>
                <w:sz w:val="22"/>
                <w:szCs w:val="22"/>
              </w:rPr>
              <w:t xml:space="preserve">kaldt reaktion </w:t>
            </w:r>
            <w:r w:rsidRPr="00791FA6">
              <w:rPr>
                <w:noProof/>
                <w:sz w:val="22"/>
                <w:szCs w:val="22"/>
              </w:rPr>
              <w:lastRenderedPageBreak/>
              <w:t>med eosinofili og systemiske symptomer (DRESS)</w:t>
            </w:r>
            <w:r w:rsidRPr="00791FA6">
              <w:rPr>
                <w:iCs/>
                <w:noProof/>
                <w:sz w:val="22"/>
                <w:szCs w:val="22"/>
                <w:vertAlign w:val="superscript"/>
              </w:rPr>
              <w:t>4</w:t>
            </w:r>
            <w:r w:rsidRPr="00791FA6">
              <w:rPr>
                <w:noProof/>
                <w:sz w:val="22"/>
                <w:szCs w:val="22"/>
              </w:rPr>
              <w:t>, akut generaliseret eksantematøs pustulose (AGEP)</w:t>
            </w:r>
            <w:r w:rsidRPr="00791FA6">
              <w:rPr>
                <w:iCs/>
                <w:noProof/>
                <w:sz w:val="22"/>
                <w:szCs w:val="22"/>
                <w:vertAlign w:val="superscript"/>
              </w:rPr>
              <w:t>4</w:t>
            </w:r>
            <w:r w:rsidRPr="00791FA6">
              <w:rPr>
                <w:noProof/>
                <w:sz w:val="22"/>
                <w:szCs w:val="22"/>
              </w:rPr>
              <w:t xml:space="preserve">, </w:t>
            </w:r>
            <w:r w:rsidRPr="00791FA6">
              <w:rPr>
                <w:iCs/>
                <w:noProof/>
                <w:sz w:val="22"/>
                <w:szCs w:val="22"/>
              </w:rPr>
              <w:t>bulløs dermatitis</w:t>
            </w:r>
            <w:r w:rsidRPr="00791FA6">
              <w:rPr>
                <w:iCs/>
                <w:noProof/>
                <w:sz w:val="22"/>
                <w:szCs w:val="22"/>
                <w:vertAlign w:val="superscript"/>
              </w:rPr>
              <w:t>4</w:t>
            </w:r>
          </w:p>
        </w:tc>
        <w:tc>
          <w:tcPr>
            <w:tcW w:w="540"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r>
      <w:tr w:rsidR="00557A2B" w:rsidRPr="00791FA6" w:rsidTr="007F41CD">
        <w:tc>
          <w:tcPr>
            <w:tcW w:w="74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Knogler, led, muskler og bindevæv</w:t>
            </w:r>
          </w:p>
        </w:tc>
        <w:tc>
          <w:tcPr>
            <w:tcW w:w="571"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iCs/>
                <w:noProof/>
                <w:sz w:val="22"/>
                <w:szCs w:val="22"/>
              </w:rPr>
              <w:t>Artralgi</w:t>
            </w:r>
            <w:r w:rsidRPr="00791FA6">
              <w:rPr>
                <w:iCs/>
                <w:noProof/>
                <w:sz w:val="22"/>
                <w:szCs w:val="22"/>
                <w:vertAlign w:val="superscript"/>
              </w:rPr>
              <w:t>4</w:t>
            </w:r>
          </w:p>
        </w:tc>
        <w:tc>
          <w:tcPr>
            <w:tcW w:w="722"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Muskelspas</w:t>
            </w:r>
            <w:r>
              <w:rPr>
                <w:noProof/>
                <w:sz w:val="22"/>
                <w:szCs w:val="22"/>
              </w:rPr>
              <w:t>-</w:t>
            </w:r>
            <w:r w:rsidRPr="00791FA6">
              <w:rPr>
                <w:noProof/>
                <w:sz w:val="22"/>
                <w:szCs w:val="22"/>
              </w:rPr>
              <w:t>mer (lægkram</w:t>
            </w:r>
            <w:r>
              <w:rPr>
                <w:noProof/>
                <w:sz w:val="22"/>
                <w:szCs w:val="22"/>
              </w:rPr>
              <w:t>-</w:t>
            </w:r>
            <w:r w:rsidRPr="00791FA6">
              <w:rPr>
                <w:noProof/>
                <w:sz w:val="22"/>
                <w:szCs w:val="22"/>
              </w:rPr>
              <w:t>per)</w:t>
            </w:r>
          </w:p>
        </w:tc>
        <w:tc>
          <w:tcPr>
            <w:tcW w:w="816"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898"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iCs/>
                <w:noProof/>
                <w:sz w:val="22"/>
                <w:szCs w:val="22"/>
              </w:rPr>
            </w:pPr>
            <w:r w:rsidRPr="00791FA6">
              <w:rPr>
                <w:iCs/>
                <w:noProof/>
                <w:sz w:val="22"/>
                <w:szCs w:val="22"/>
              </w:rPr>
              <w:t>Myositis</w:t>
            </w:r>
            <w:r w:rsidRPr="00791FA6">
              <w:rPr>
                <w:iCs/>
                <w:noProof/>
                <w:sz w:val="22"/>
                <w:szCs w:val="22"/>
                <w:vertAlign w:val="superscript"/>
              </w:rPr>
              <w:t>4</w:t>
            </w:r>
          </w:p>
        </w:tc>
        <w:tc>
          <w:tcPr>
            <w:tcW w:w="540"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iCs/>
                <w:noProof/>
                <w:sz w:val="22"/>
                <w:szCs w:val="22"/>
              </w:rPr>
            </w:pPr>
          </w:p>
        </w:tc>
      </w:tr>
      <w:tr w:rsidR="00557A2B" w:rsidRPr="00791FA6" w:rsidTr="007F41CD">
        <w:tc>
          <w:tcPr>
            <w:tcW w:w="74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Nyrer og urinveje</w:t>
            </w:r>
          </w:p>
        </w:tc>
        <w:tc>
          <w:tcPr>
            <w:tcW w:w="571"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iCs/>
                <w:noProof/>
                <w:sz w:val="22"/>
                <w:szCs w:val="22"/>
              </w:rPr>
            </w:pPr>
          </w:p>
        </w:tc>
        <w:tc>
          <w:tcPr>
            <w:tcW w:w="713"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iCs/>
                <w:noProof/>
                <w:sz w:val="22"/>
                <w:szCs w:val="22"/>
              </w:rPr>
            </w:pPr>
          </w:p>
        </w:tc>
        <w:tc>
          <w:tcPr>
            <w:tcW w:w="722"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iCs/>
                <w:noProof/>
                <w:sz w:val="22"/>
                <w:szCs w:val="22"/>
              </w:rPr>
            </w:pPr>
            <w:r w:rsidRPr="00791FA6">
              <w:rPr>
                <w:iCs/>
                <w:noProof/>
                <w:sz w:val="22"/>
                <w:szCs w:val="22"/>
              </w:rPr>
              <w:t>Forhøjet blodkreati</w:t>
            </w:r>
            <w:r w:rsidRPr="00791FA6">
              <w:rPr>
                <w:iCs/>
                <w:noProof/>
                <w:sz w:val="22"/>
                <w:szCs w:val="22"/>
              </w:rPr>
              <w:softHyphen/>
              <w:t>nin, forhøjet urinkvæl</w:t>
            </w:r>
            <w:r>
              <w:rPr>
                <w:iCs/>
                <w:noProof/>
                <w:sz w:val="22"/>
                <w:szCs w:val="22"/>
              </w:rPr>
              <w:t>-</w:t>
            </w:r>
            <w:r w:rsidRPr="00791FA6">
              <w:rPr>
                <w:iCs/>
                <w:noProof/>
                <w:sz w:val="22"/>
                <w:szCs w:val="22"/>
              </w:rPr>
              <w:t>stof i blodet</w:t>
            </w:r>
          </w:p>
        </w:tc>
        <w:tc>
          <w:tcPr>
            <w:tcW w:w="816"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iCs/>
                <w:noProof/>
                <w:sz w:val="22"/>
                <w:szCs w:val="22"/>
              </w:rPr>
            </w:pPr>
            <w:r w:rsidRPr="00791FA6">
              <w:rPr>
                <w:noProof/>
                <w:sz w:val="22"/>
                <w:szCs w:val="22"/>
              </w:rPr>
              <w:t>Akut nyre</w:t>
            </w:r>
            <w:r w:rsidRPr="00791FA6">
              <w:rPr>
                <w:noProof/>
                <w:sz w:val="22"/>
                <w:szCs w:val="22"/>
              </w:rPr>
              <w:softHyphen/>
              <w:t>svigt</w:t>
            </w:r>
            <w:r w:rsidRPr="00791FA6">
              <w:rPr>
                <w:iCs/>
                <w:noProof/>
                <w:sz w:val="22"/>
                <w:szCs w:val="22"/>
                <w:vertAlign w:val="superscript"/>
              </w:rPr>
              <w:t>4</w:t>
            </w:r>
            <w:r w:rsidRPr="00791FA6">
              <w:rPr>
                <w:noProof/>
                <w:sz w:val="22"/>
                <w:szCs w:val="22"/>
              </w:rPr>
              <w:t xml:space="preserve">, </w:t>
            </w:r>
            <w:r w:rsidRPr="00791FA6">
              <w:rPr>
                <w:iCs/>
                <w:noProof/>
                <w:sz w:val="22"/>
                <w:szCs w:val="22"/>
              </w:rPr>
              <w:t>hyponatriæmi</w:t>
            </w:r>
            <w:r w:rsidRPr="00791FA6">
              <w:rPr>
                <w:iCs/>
                <w:noProof/>
                <w:sz w:val="22"/>
                <w:szCs w:val="22"/>
                <w:vertAlign w:val="superscript"/>
              </w:rPr>
              <w:t>4</w:t>
            </w:r>
          </w:p>
        </w:tc>
        <w:tc>
          <w:tcPr>
            <w:tcW w:w="898"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Tubulointerstitiel nefritis</w:t>
            </w:r>
            <w:r w:rsidRPr="00791FA6">
              <w:rPr>
                <w:iCs/>
                <w:noProof/>
                <w:sz w:val="22"/>
                <w:szCs w:val="22"/>
                <w:vertAlign w:val="superscript"/>
              </w:rPr>
              <w:t>4</w:t>
            </w:r>
            <w:r w:rsidRPr="00791FA6">
              <w:rPr>
                <w:iCs/>
                <w:noProof/>
                <w:sz w:val="22"/>
                <w:szCs w:val="22"/>
              </w:rPr>
              <w:t xml:space="preserve">, </w:t>
            </w:r>
            <w:r w:rsidRPr="00791FA6">
              <w:rPr>
                <w:noProof/>
                <w:sz w:val="22"/>
                <w:szCs w:val="22"/>
              </w:rPr>
              <w:t>nefrotisk syndrom</w:t>
            </w:r>
            <w:r w:rsidRPr="00791FA6">
              <w:rPr>
                <w:iCs/>
                <w:noProof/>
                <w:sz w:val="22"/>
                <w:szCs w:val="22"/>
                <w:vertAlign w:val="superscript"/>
              </w:rPr>
              <w:t>4</w:t>
            </w:r>
            <w:r w:rsidRPr="00791FA6">
              <w:rPr>
                <w:noProof/>
                <w:sz w:val="22"/>
                <w:szCs w:val="22"/>
              </w:rPr>
              <w:t xml:space="preserve">, </w:t>
            </w:r>
            <w:r w:rsidRPr="00791FA6">
              <w:rPr>
                <w:i/>
                <w:noProof/>
                <w:sz w:val="22"/>
                <w:szCs w:val="22"/>
              </w:rPr>
              <w:t>minimal change</w:t>
            </w:r>
            <w:r w:rsidRPr="00791FA6">
              <w:rPr>
                <w:noProof/>
                <w:sz w:val="22"/>
                <w:szCs w:val="22"/>
              </w:rPr>
              <w:t>-glomerulo</w:t>
            </w:r>
            <w:r>
              <w:rPr>
                <w:noProof/>
                <w:sz w:val="22"/>
                <w:szCs w:val="22"/>
              </w:rPr>
              <w:t>-</w:t>
            </w:r>
            <w:r w:rsidRPr="00791FA6">
              <w:rPr>
                <w:noProof/>
                <w:sz w:val="22"/>
                <w:szCs w:val="22"/>
              </w:rPr>
              <w:t>nefritis</w:t>
            </w:r>
            <w:r w:rsidRPr="00791FA6">
              <w:rPr>
                <w:iCs/>
                <w:noProof/>
                <w:sz w:val="22"/>
                <w:szCs w:val="22"/>
                <w:vertAlign w:val="superscript"/>
              </w:rPr>
              <w:t>4</w:t>
            </w:r>
          </w:p>
        </w:tc>
        <w:tc>
          <w:tcPr>
            <w:tcW w:w="540"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iCs/>
                <w:noProof/>
                <w:sz w:val="22"/>
                <w:szCs w:val="22"/>
              </w:rPr>
            </w:pPr>
          </w:p>
        </w:tc>
      </w:tr>
      <w:tr w:rsidR="00557A2B" w:rsidRPr="00791FA6" w:rsidTr="007F41CD">
        <w:tc>
          <w:tcPr>
            <w:tcW w:w="741" w:type="pct"/>
            <w:tcBorders>
              <w:top w:val="nil"/>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Det repro</w:t>
            </w:r>
            <w:r w:rsidRPr="000C6FAF">
              <w:rPr>
                <w:b/>
                <w:noProof/>
                <w:sz w:val="22"/>
                <w:szCs w:val="22"/>
              </w:rPr>
              <w:softHyphen/>
              <w:t xml:space="preserve">duktive system og mammae </w:t>
            </w:r>
          </w:p>
        </w:tc>
        <w:tc>
          <w:tcPr>
            <w:tcW w:w="571" w:type="pct"/>
            <w:tcBorders>
              <w:top w:val="nil"/>
              <w:left w:val="single" w:sz="4" w:space="0" w:color="auto"/>
              <w:bottom w:val="single" w:sz="4" w:space="0" w:color="auto"/>
              <w:right w:val="single" w:sz="4" w:space="0" w:color="auto"/>
            </w:tcBorders>
          </w:tcPr>
          <w:p w:rsidR="00557A2B" w:rsidRPr="00791FA6" w:rsidRDefault="00557A2B" w:rsidP="007F41CD">
            <w:pPr>
              <w:rPr>
                <w:iCs/>
                <w:noProof/>
                <w:sz w:val="22"/>
                <w:szCs w:val="22"/>
              </w:rPr>
            </w:pPr>
          </w:p>
        </w:tc>
        <w:tc>
          <w:tcPr>
            <w:tcW w:w="713" w:type="pct"/>
            <w:tcBorders>
              <w:top w:val="nil"/>
              <w:left w:val="single" w:sz="4" w:space="0" w:color="auto"/>
              <w:bottom w:val="single" w:sz="4" w:space="0" w:color="auto"/>
              <w:right w:val="single" w:sz="4" w:space="0" w:color="auto"/>
            </w:tcBorders>
          </w:tcPr>
          <w:p w:rsidR="00557A2B" w:rsidRPr="00791FA6" w:rsidRDefault="00557A2B" w:rsidP="007F41CD">
            <w:pPr>
              <w:rPr>
                <w:iCs/>
                <w:noProof/>
                <w:sz w:val="22"/>
                <w:szCs w:val="22"/>
              </w:rPr>
            </w:pPr>
          </w:p>
        </w:tc>
        <w:tc>
          <w:tcPr>
            <w:tcW w:w="722" w:type="pct"/>
            <w:tcBorders>
              <w:top w:val="nil"/>
              <w:left w:val="single" w:sz="4" w:space="0" w:color="auto"/>
              <w:bottom w:val="single" w:sz="4" w:space="0" w:color="auto"/>
              <w:right w:val="single" w:sz="4" w:space="0" w:color="auto"/>
            </w:tcBorders>
          </w:tcPr>
          <w:p w:rsidR="00557A2B" w:rsidRPr="00791FA6" w:rsidRDefault="00557A2B" w:rsidP="007F41CD">
            <w:pPr>
              <w:rPr>
                <w:iCs/>
                <w:noProof/>
                <w:sz w:val="22"/>
                <w:szCs w:val="22"/>
              </w:rPr>
            </w:pPr>
          </w:p>
        </w:tc>
        <w:tc>
          <w:tcPr>
            <w:tcW w:w="816" w:type="pct"/>
            <w:tcBorders>
              <w:top w:val="nil"/>
              <w:left w:val="single" w:sz="4" w:space="0" w:color="auto"/>
              <w:bottom w:val="single" w:sz="4" w:space="0" w:color="auto"/>
              <w:right w:val="single" w:sz="4" w:space="0" w:color="auto"/>
            </w:tcBorders>
            <w:hideMark/>
          </w:tcPr>
          <w:p w:rsidR="00557A2B" w:rsidRPr="00791FA6" w:rsidRDefault="00557A2B" w:rsidP="007F41CD">
            <w:pPr>
              <w:rPr>
                <w:iCs/>
                <w:noProof/>
                <w:sz w:val="22"/>
                <w:szCs w:val="22"/>
              </w:rPr>
            </w:pPr>
            <w:r w:rsidRPr="00791FA6">
              <w:rPr>
                <w:noProof/>
                <w:sz w:val="22"/>
                <w:szCs w:val="22"/>
              </w:rPr>
              <w:t>Menstruations</w:t>
            </w:r>
            <w:r>
              <w:rPr>
                <w:noProof/>
                <w:sz w:val="22"/>
                <w:szCs w:val="22"/>
              </w:rPr>
              <w:t>-</w:t>
            </w:r>
            <w:r w:rsidRPr="00791FA6">
              <w:rPr>
                <w:noProof/>
                <w:sz w:val="22"/>
                <w:szCs w:val="22"/>
              </w:rPr>
              <w:t xml:space="preserve">forstyrrelser </w:t>
            </w:r>
            <w:r w:rsidRPr="00791FA6">
              <w:rPr>
                <w:iCs/>
                <w:noProof/>
                <w:sz w:val="22"/>
                <w:szCs w:val="22"/>
                <w:vertAlign w:val="superscript"/>
              </w:rPr>
              <w:t>4</w:t>
            </w:r>
          </w:p>
        </w:tc>
        <w:tc>
          <w:tcPr>
            <w:tcW w:w="898" w:type="pct"/>
            <w:tcBorders>
              <w:top w:val="nil"/>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540" w:type="pct"/>
            <w:tcBorders>
              <w:top w:val="nil"/>
              <w:left w:val="single" w:sz="4" w:space="0" w:color="auto"/>
              <w:bottom w:val="single" w:sz="4" w:space="0" w:color="auto"/>
              <w:right w:val="single" w:sz="4" w:space="0" w:color="auto"/>
            </w:tcBorders>
            <w:hideMark/>
          </w:tcPr>
          <w:p w:rsidR="00557A2B" w:rsidRPr="00791FA6" w:rsidRDefault="00557A2B" w:rsidP="007F41CD">
            <w:pPr>
              <w:rPr>
                <w:iCs/>
                <w:noProof/>
                <w:sz w:val="22"/>
                <w:szCs w:val="22"/>
              </w:rPr>
            </w:pPr>
            <w:r w:rsidRPr="00791FA6">
              <w:rPr>
                <w:noProof/>
                <w:sz w:val="22"/>
                <w:szCs w:val="22"/>
              </w:rPr>
              <w:t>Infertili</w:t>
            </w:r>
            <w:r>
              <w:rPr>
                <w:noProof/>
                <w:sz w:val="22"/>
                <w:szCs w:val="22"/>
              </w:rPr>
              <w:softHyphen/>
            </w:r>
            <w:r w:rsidRPr="00791FA6">
              <w:rPr>
                <w:noProof/>
                <w:sz w:val="22"/>
                <w:szCs w:val="22"/>
              </w:rPr>
              <w:t>tet hos kvinder, (nedsat fertilitet hos kvinder)</w:t>
            </w:r>
            <w:r w:rsidRPr="00791FA6">
              <w:rPr>
                <w:noProof/>
                <w:sz w:val="22"/>
                <w:szCs w:val="22"/>
                <w:vertAlign w:val="superscript"/>
              </w:rPr>
              <w:t>3</w:t>
            </w:r>
          </w:p>
        </w:tc>
      </w:tr>
      <w:tr w:rsidR="00557A2B" w:rsidRPr="00791FA6" w:rsidTr="007F41CD">
        <w:trPr>
          <w:trHeight w:val="1351"/>
        </w:trPr>
        <w:tc>
          <w:tcPr>
            <w:tcW w:w="74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Almene symptomer og reaktion</w:t>
            </w:r>
            <w:r w:rsidRPr="000C6FAF">
              <w:rPr>
                <w:b/>
                <w:noProof/>
                <w:sz w:val="22"/>
                <w:szCs w:val="22"/>
              </w:rPr>
              <w:softHyphen/>
              <w:t>er på admi</w:t>
            </w:r>
            <w:r w:rsidRPr="000C6FAF">
              <w:rPr>
                <w:b/>
                <w:noProof/>
                <w:sz w:val="22"/>
                <w:szCs w:val="22"/>
              </w:rPr>
              <w:softHyphen/>
              <w:t>nistrations</w:t>
            </w:r>
            <w:r w:rsidRPr="000C6FAF">
              <w:rPr>
                <w:b/>
                <w:noProof/>
                <w:sz w:val="22"/>
                <w:szCs w:val="22"/>
              </w:rPr>
              <w:softHyphen/>
              <w:t>stedet</w:t>
            </w:r>
          </w:p>
        </w:tc>
        <w:tc>
          <w:tcPr>
            <w:tcW w:w="571"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rsidR="00557A2B" w:rsidRDefault="00557A2B" w:rsidP="007F41CD">
            <w:pPr>
              <w:rPr>
                <w:noProof/>
                <w:sz w:val="22"/>
                <w:szCs w:val="22"/>
              </w:rPr>
            </w:pPr>
            <w:r w:rsidRPr="00791FA6">
              <w:rPr>
                <w:noProof/>
                <w:sz w:val="22"/>
                <w:szCs w:val="22"/>
              </w:rPr>
              <w:t>Influenza</w:t>
            </w:r>
            <w:r w:rsidRPr="00791FA6">
              <w:rPr>
                <w:noProof/>
                <w:sz w:val="22"/>
                <w:szCs w:val="22"/>
              </w:rPr>
              <w:softHyphen/>
              <w:t>lignende symptomer, perifert ødem/</w:t>
            </w:r>
          </w:p>
          <w:p w:rsidR="00557A2B" w:rsidRPr="00791FA6" w:rsidRDefault="00557A2B" w:rsidP="007F41CD">
            <w:pPr>
              <w:rPr>
                <w:noProof/>
                <w:sz w:val="22"/>
                <w:szCs w:val="22"/>
              </w:rPr>
            </w:pPr>
            <w:r w:rsidRPr="00791FA6">
              <w:rPr>
                <w:noProof/>
                <w:sz w:val="22"/>
                <w:szCs w:val="22"/>
              </w:rPr>
              <w:t>Væske</w:t>
            </w:r>
            <w:r>
              <w:rPr>
                <w:noProof/>
                <w:sz w:val="22"/>
                <w:szCs w:val="22"/>
              </w:rPr>
              <w:t>-</w:t>
            </w:r>
            <w:r w:rsidRPr="00791FA6">
              <w:rPr>
                <w:noProof/>
                <w:sz w:val="22"/>
                <w:szCs w:val="22"/>
              </w:rPr>
              <w:t>retention</w:t>
            </w:r>
          </w:p>
        </w:tc>
        <w:tc>
          <w:tcPr>
            <w:tcW w:w="722"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Bryst</w:t>
            </w:r>
            <w:r>
              <w:rPr>
                <w:noProof/>
                <w:sz w:val="22"/>
                <w:szCs w:val="22"/>
              </w:rPr>
              <w:t>-</w:t>
            </w:r>
            <w:r w:rsidRPr="00791FA6">
              <w:rPr>
                <w:noProof/>
                <w:sz w:val="22"/>
                <w:szCs w:val="22"/>
              </w:rPr>
              <w:t>smerter, ansigtsødem</w:t>
            </w:r>
            <w:r w:rsidRPr="00791FA6">
              <w:rPr>
                <w:iCs/>
                <w:noProof/>
                <w:sz w:val="22"/>
                <w:szCs w:val="22"/>
                <w:vertAlign w:val="superscript"/>
              </w:rPr>
              <w:t>4</w:t>
            </w:r>
          </w:p>
        </w:tc>
        <w:tc>
          <w:tcPr>
            <w:tcW w:w="816"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898"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540"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i/>
                <w:noProof/>
                <w:sz w:val="22"/>
                <w:szCs w:val="22"/>
              </w:rPr>
            </w:pPr>
          </w:p>
        </w:tc>
      </w:tr>
      <w:tr w:rsidR="00557A2B" w:rsidRPr="00791FA6" w:rsidTr="007F41CD">
        <w:trPr>
          <w:trHeight w:val="1351"/>
        </w:trPr>
        <w:tc>
          <w:tcPr>
            <w:tcW w:w="741" w:type="pct"/>
            <w:tcBorders>
              <w:top w:val="single" w:sz="4" w:space="0" w:color="auto"/>
              <w:left w:val="single" w:sz="4" w:space="0" w:color="auto"/>
              <w:bottom w:val="single" w:sz="4" w:space="0" w:color="auto"/>
              <w:right w:val="single" w:sz="4" w:space="0" w:color="auto"/>
            </w:tcBorders>
            <w:hideMark/>
          </w:tcPr>
          <w:p w:rsidR="00557A2B" w:rsidRPr="000C6FAF" w:rsidRDefault="00557A2B" w:rsidP="007F41CD">
            <w:pPr>
              <w:rPr>
                <w:b/>
                <w:noProof/>
                <w:sz w:val="22"/>
                <w:szCs w:val="22"/>
              </w:rPr>
            </w:pPr>
            <w:r w:rsidRPr="000C6FAF">
              <w:rPr>
                <w:b/>
                <w:noProof/>
                <w:sz w:val="22"/>
                <w:szCs w:val="22"/>
              </w:rPr>
              <w:t>Traumer, forgiftninger og behandlings</w:t>
            </w:r>
            <w:r w:rsidRPr="000C6FAF">
              <w:rPr>
                <w:b/>
                <w:noProof/>
                <w:sz w:val="22"/>
                <w:szCs w:val="22"/>
              </w:rPr>
              <w:softHyphen/>
              <w:t>komplika</w:t>
            </w:r>
            <w:r w:rsidRPr="000C6FAF">
              <w:rPr>
                <w:b/>
                <w:noProof/>
                <w:sz w:val="22"/>
                <w:szCs w:val="22"/>
              </w:rPr>
              <w:softHyphen/>
              <w:t>tioner</w:t>
            </w:r>
          </w:p>
        </w:tc>
        <w:tc>
          <w:tcPr>
            <w:tcW w:w="571"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713" w:type="pct"/>
            <w:tcBorders>
              <w:top w:val="single" w:sz="4" w:space="0" w:color="auto"/>
              <w:left w:val="single" w:sz="4" w:space="0" w:color="auto"/>
              <w:bottom w:val="single" w:sz="4" w:space="0" w:color="auto"/>
              <w:right w:val="single" w:sz="4" w:space="0" w:color="auto"/>
            </w:tcBorders>
            <w:hideMark/>
          </w:tcPr>
          <w:p w:rsidR="00557A2B" w:rsidRPr="00791FA6" w:rsidRDefault="00557A2B" w:rsidP="007F41CD">
            <w:pPr>
              <w:rPr>
                <w:noProof/>
                <w:sz w:val="22"/>
                <w:szCs w:val="22"/>
              </w:rPr>
            </w:pPr>
            <w:r w:rsidRPr="00791FA6">
              <w:rPr>
                <w:noProof/>
                <w:sz w:val="22"/>
                <w:szCs w:val="22"/>
              </w:rPr>
              <w:t>Traumer (utilsigtet tilskadekomst)</w:t>
            </w:r>
          </w:p>
        </w:tc>
        <w:tc>
          <w:tcPr>
            <w:tcW w:w="722"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816"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898"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c>
          <w:tcPr>
            <w:tcW w:w="540" w:type="pct"/>
            <w:tcBorders>
              <w:top w:val="single" w:sz="4" w:space="0" w:color="auto"/>
              <w:left w:val="single" w:sz="4" w:space="0" w:color="auto"/>
              <w:bottom w:val="single" w:sz="4" w:space="0" w:color="auto"/>
              <w:right w:val="single" w:sz="4" w:space="0" w:color="auto"/>
            </w:tcBorders>
          </w:tcPr>
          <w:p w:rsidR="00557A2B" w:rsidRPr="00791FA6" w:rsidRDefault="00557A2B" w:rsidP="007F41CD">
            <w:pPr>
              <w:rPr>
                <w:noProof/>
                <w:sz w:val="22"/>
                <w:szCs w:val="22"/>
              </w:rPr>
            </w:pPr>
          </w:p>
        </w:tc>
      </w:tr>
      <w:tr w:rsidR="00557A2B" w:rsidRPr="009816AE" w:rsidTr="007F41CD">
        <w:trPr>
          <w:trHeight w:val="473"/>
        </w:trPr>
        <w:tc>
          <w:tcPr>
            <w:tcW w:w="5000" w:type="pct"/>
            <w:gridSpan w:val="7"/>
            <w:tcBorders>
              <w:top w:val="single" w:sz="4" w:space="0" w:color="auto"/>
              <w:left w:val="single" w:sz="4" w:space="0" w:color="auto"/>
              <w:bottom w:val="single" w:sz="4" w:space="0" w:color="auto"/>
              <w:right w:val="single" w:sz="4" w:space="0" w:color="auto"/>
            </w:tcBorders>
          </w:tcPr>
          <w:p w:rsidR="00557A2B" w:rsidRPr="007F41CD" w:rsidRDefault="00557A2B" w:rsidP="007F41CD">
            <w:pPr>
              <w:rPr>
                <w:noProof/>
                <w:sz w:val="22"/>
                <w:szCs w:val="22"/>
                <w:lang w:val="sv-SE"/>
              </w:rPr>
            </w:pPr>
            <w:r w:rsidRPr="007F41CD">
              <w:rPr>
                <w:noProof/>
                <w:sz w:val="22"/>
                <w:szCs w:val="22"/>
                <w:lang w:val="sv-SE"/>
              </w:rPr>
              <w:t>ASAT - serum glutamin-oksalsyre-transaminase</w:t>
            </w:r>
          </w:p>
          <w:p w:rsidR="00557A2B" w:rsidRPr="007F41CD" w:rsidRDefault="00557A2B" w:rsidP="007F41CD">
            <w:pPr>
              <w:rPr>
                <w:noProof/>
                <w:sz w:val="22"/>
                <w:szCs w:val="22"/>
                <w:lang w:val="sv-SE"/>
              </w:rPr>
            </w:pPr>
            <w:r w:rsidRPr="007F41CD">
              <w:rPr>
                <w:noProof/>
                <w:sz w:val="22"/>
                <w:szCs w:val="22"/>
                <w:lang w:val="sv-SE"/>
              </w:rPr>
              <w:t>ALAT - glutamat-pyrovattransferase i serum</w:t>
            </w:r>
          </w:p>
        </w:tc>
      </w:tr>
      <w:tr w:rsidR="00557A2B" w:rsidRPr="00791FA6" w:rsidTr="007F41CD">
        <w:trPr>
          <w:trHeight w:val="629"/>
        </w:trPr>
        <w:tc>
          <w:tcPr>
            <w:tcW w:w="5000" w:type="pct"/>
            <w:gridSpan w:val="7"/>
            <w:tcBorders>
              <w:top w:val="single" w:sz="4" w:space="0" w:color="auto"/>
              <w:left w:val="single" w:sz="4" w:space="0" w:color="auto"/>
              <w:bottom w:val="single" w:sz="4" w:space="0" w:color="auto"/>
              <w:right w:val="single" w:sz="4" w:space="0" w:color="auto"/>
            </w:tcBorders>
            <w:hideMark/>
          </w:tcPr>
          <w:p w:rsidR="00557A2B" w:rsidRPr="00A75422" w:rsidRDefault="00557A2B" w:rsidP="007F41CD">
            <w:pPr>
              <w:rPr>
                <w:noProof/>
                <w:sz w:val="22"/>
                <w:szCs w:val="22"/>
              </w:rPr>
            </w:pPr>
            <w:r w:rsidRPr="00A75422">
              <w:rPr>
                <w:noProof/>
                <w:sz w:val="22"/>
                <w:szCs w:val="22"/>
                <w:vertAlign w:val="superscript"/>
              </w:rPr>
              <w:t>1</w:t>
            </w:r>
            <w:r w:rsidRPr="00A75422">
              <w:rPr>
                <w:noProof/>
                <w:sz w:val="22"/>
                <w:szCs w:val="22"/>
              </w:rPr>
              <w:t xml:space="preserve"> Bivirkninger set i forsøg vedrørende forebyggelse af polypper omfattende personer behandlet med celecoxib 400 mg dagligt i 2 kliniske forsøg af op til 3 års varighed (APC- og PreSAP-forsøgene). Bivirkninger fra forsøgene vedrørende forebyggelse af polypper er kun anført ovenfor, hvis de forinden er blevet anerkendt i postmarketing-overvågningen, eller hvis de forekom hyppigere end i artritis-forsøgene.</w:t>
            </w:r>
          </w:p>
          <w:p w:rsidR="00557A2B" w:rsidRPr="00A75422" w:rsidRDefault="00557A2B" w:rsidP="007F41CD">
            <w:pPr>
              <w:rPr>
                <w:noProof/>
                <w:sz w:val="22"/>
                <w:szCs w:val="22"/>
              </w:rPr>
            </w:pPr>
            <w:r w:rsidRPr="00A75422">
              <w:rPr>
                <w:noProof/>
                <w:sz w:val="22"/>
                <w:szCs w:val="22"/>
                <w:vertAlign w:val="superscript"/>
              </w:rPr>
              <w:t>2</w:t>
            </w:r>
            <w:r w:rsidRPr="00A75422">
              <w:rPr>
                <w:noProof/>
                <w:sz w:val="22"/>
                <w:szCs w:val="22"/>
              </w:rPr>
              <w:t xml:space="preserve"> Desuden er følgende </w:t>
            </w:r>
            <w:r w:rsidRPr="00A75422">
              <w:rPr>
                <w:i/>
                <w:noProof/>
                <w:sz w:val="22"/>
                <w:szCs w:val="22"/>
              </w:rPr>
              <w:t>tidligere ukendte</w:t>
            </w:r>
            <w:r w:rsidRPr="00A75422">
              <w:rPr>
                <w:noProof/>
                <w:sz w:val="22"/>
                <w:szCs w:val="22"/>
              </w:rPr>
              <w:t xml:space="preserve"> bivirkninger set i forsøg vedrørende forebyggelse af polypper omfattende personer behandlet med celexocib 400 mg dagligt i 2 kliniske forsøg af op til 3 års varighed (APC- og PreSAP-forsøgene): </w:t>
            </w:r>
            <w:r w:rsidRPr="007F41CD">
              <w:rPr>
                <w:b/>
                <w:bCs/>
                <w:noProof/>
                <w:sz w:val="22"/>
                <w:szCs w:val="22"/>
              </w:rPr>
              <w:t>Almindelig</w:t>
            </w:r>
            <w:r w:rsidRPr="00A75422">
              <w:rPr>
                <w:noProof/>
                <w:sz w:val="22"/>
                <w:szCs w:val="22"/>
              </w:rPr>
              <w:t xml:space="preserve">: angina pectoris, colon irritabile-syndrom, nephrolithiasis, øget blod-kreatinin, benign prostatahyperplasi, vægtøgning. </w:t>
            </w:r>
            <w:r w:rsidRPr="007F41CD">
              <w:rPr>
                <w:b/>
                <w:bCs/>
                <w:noProof/>
                <w:sz w:val="22"/>
                <w:szCs w:val="22"/>
              </w:rPr>
              <w:t>Ikke almindelig</w:t>
            </w:r>
            <w:r w:rsidRPr="00A75422">
              <w:rPr>
                <w:noProof/>
                <w:sz w:val="22"/>
                <w:szCs w:val="22"/>
              </w:rPr>
              <w:t>: helicobacter-infektion, herpes zoster, erysipelas, bronkopneumoni, labyrinthitis, tandkødsinfektion, lipom, mouches volantes, haemorrhagia conjunctivae, dyb venetrombose, dysfoni, hæmoroideblødning, hyppig</w:t>
            </w:r>
            <w:r>
              <w:rPr>
                <w:noProof/>
                <w:sz w:val="22"/>
                <w:szCs w:val="22"/>
              </w:rPr>
              <w:t>e tarmbevægelser</w:t>
            </w:r>
            <w:r w:rsidRPr="00A75422">
              <w:rPr>
                <w:noProof/>
                <w:sz w:val="22"/>
                <w:szCs w:val="22"/>
              </w:rPr>
              <w:t>, mundsår, allergisk dermatit, ganglion, nykturi, vaginalblødning, brystømhed, underekstremitetsfraktur, forhøjet natrium i blodet.</w:t>
            </w:r>
          </w:p>
          <w:p w:rsidR="00557A2B" w:rsidRPr="00A75422" w:rsidRDefault="00557A2B" w:rsidP="007F41CD">
            <w:pPr>
              <w:rPr>
                <w:noProof/>
                <w:sz w:val="22"/>
                <w:szCs w:val="22"/>
              </w:rPr>
            </w:pPr>
            <w:r w:rsidRPr="00A75422">
              <w:rPr>
                <w:noProof/>
                <w:sz w:val="22"/>
                <w:szCs w:val="22"/>
                <w:vertAlign w:val="superscript"/>
              </w:rPr>
              <w:t>3</w:t>
            </w:r>
            <w:r w:rsidRPr="00A75422">
              <w:rPr>
                <w:noProof/>
                <w:sz w:val="22"/>
                <w:szCs w:val="22"/>
              </w:rPr>
              <w:t xml:space="preserve"> </w:t>
            </w:r>
            <w:r w:rsidRPr="00003D22">
              <w:rPr>
                <w:noProof/>
                <w:sz w:val="22"/>
                <w:szCs w:val="22"/>
              </w:rPr>
              <w:t>Kvinder, der planlægger at blive gravide, er udelukket fra alle forsøg, og det gav derfor ikke mening at undersøge forsøgsdatabasen med hensyn til hyppigheden af denne hændelse</w:t>
            </w:r>
            <w:r w:rsidRPr="00A75422">
              <w:rPr>
                <w:noProof/>
                <w:sz w:val="22"/>
                <w:szCs w:val="22"/>
              </w:rPr>
              <w:t>.</w:t>
            </w:r>
          </w:p>
          <w:p w:rsidR="00557A2B" w:rsidRPr="000C6FAF" w:rsidRDefault="00557A2B" w:rsidP="007F41CD">
            <w:pPr>
              <w:rPr>
                <w:b/>
                <w:noProof/>
                <w:sz w:val="22"/>
                <w:szCs w:val="22"/>
                <w:vertAlign w:val="superscript"/>
              </w:rPr>
            </w:pPr>
            <w:r w:rsidRPr="00A75422">
              <w:rPr>
                <w:noProof/>
                <w:sz w:val="22"/>
                <w:szCs w:val="22"/>
                <w:vertAlign w:val="superscript"/>
              </w:rPr>
              <w:lastRenderedPageBreak/>
              <w:t>4</w:t>
            </w:r>
            <w:r w:rsidRPr="00A75422">
              <w:rPr>
                <w:noProof/>
                <w:sz w:val="22"/>
                <w:szCs w:val="22"/>
              </w:rPr>
              <w:t xml:space="preserve"> Hyppighederne er baseret på kumulative metaanalyser med pooling af kliniske forsøg, der repræsenterer eksponering hos 38.102 patienter.</w:t>
            </w:r>
          </w:p>
        </w:tc>
      </w:tr>
    </w:tbl>
    <w:p w:rsidR="00557A2B" w:rsidRPr="00BF3106" w:rsidRDefault="00557A2B" w:rsidP="00557A2B">
      <w:pPr>
        <w:ind w:left="851" w:hanging="851"/>
        <w:rPr>
          <w:noProof/>
          <w:sz w:val="24"/>
          <w:szCs w:val="24"/>
        </w:rPr>
      </w:pPr>
    </w:p>
    <w:p w:rsidR="00557A2B" w:rsidRPr="00BF3106" w:rsidRDefault="00557A2B" w:rsidP="00557A2B">
      <w:pPr>
        <w:ind w:left="851"/>
        <w:rPr>
          <w:noProof/>
          <w:sz w:val="24"/>
          <w:szCs w:val="24"/>
        </w:rPr>
      </w:pPr>
      <w:r w:rsidRPr="00BF3106">
        <w:rPr>
          <w:noProof/>
          <w:sz w:val="24"/>
          <w:szCs w:val="24"/>
        </w:rPr>
        <w:t>De endelige data (bedømt) fra APC- og PreSAP-forsøgene, hvor patienterne blev behandlet med celecoxib 400 mg dagligt i op til 3 år (samlede data fra begge forsøg; se pkt. 5.1 for resultater fra de enkelte forsøg), viser en overrepræsentation i forhold til placebo af myokardieinfarkt på 7,6 hændelser pr. 1.000 patienter (ikke almindelig), men ingen overrepræsentation af slagtilfælde (typer ikke differentieret) i forhold til placebo.</w:t>
      </w:r>
    </w:p>
    <w:p w:rsidR="008A2EC7" w:rsidRPr="00BF3106" w:rsidRDefault="008A2EC7" w:rsidP="008A2EC7">
      <w:pPr>
        <w:ind w:left="851"/>
        <w:rPr>
          <w:noProof/>
          <w:sz w:val="24"/>
          <w:szCs w:val="24"/>
        </w:rPr>
      </w:pPr>
    </w:p>
    <w:p w:rsidR="008A2EC7" w:rsidRPr="00BF3106" w:rsidRDefault="008A2EC7" w:rsidP="008A2EC7">
      <w:pPr>
        <w:autoSpaceDE w:val="0"/>
        <w:autoSpaceDN w:val="0"/>
        <w:adjustRightInd w:val="0"/>
        <w:ind w:left="851"/>
        <w:rPr>
          <w:sz w:val="24"/>
          <w:szCs w:val="24"/>
          <w:u w:val="single"/>
        </w:rPr>
      </w:pPr>
      <w:r w:rsidRPr="00BF3106">
        <w:rPr>
          <w:noProof/>
          <w:sz w:val="24"/>
          <w:szCs w:val="24"/>
          <w:u w:val="single"/>
        </w:rPr>
        <w:t>Indberetning af formodede bivirkninger</w:t>
      </w:r>
    </w:p>
    <w:p w:rsidR="008A2EC7" w:rsidRPr="00BF3106" w:rsidRDefault="008A2EC7" w:rsidP="008A2EC7">
      <w:pPr>
        <w:autoSpaceDE w:val="0"/>
        <w:autoSpaceDN w:val="0"/>
        <w:adjustRightInd w:val="0"/>
        <w:ind w:left="851"/>
        <w:rPr>
          <w:noProof/>
          <w:sz w:val="24"/>
          <w:szCs w:val="24"/>
        </w:rPr>
      </w:pPr>
      <w:r w:rsidRPr="00BF3106">
        <w:rPr>
          <w:noProof/>
          <w:sz w:val="24"/>
          <w:szCs w:val="24"/>
        </w:rPr>
        <w:t>Når lægemidlet er godkendt, er indberetning af formodede bivirkninger vigtig.</w:t>
      </w:r>
      <w:r w:rsidRPr="00BF3106">
        <w:rPr>
          <w:sz w:val="24"/>
          <w:szCs w:val="24"/>
        </w:rPr>
        <w:t xml:space="preserve"> </w:t>
      </w:r>
      <w:r w:rsidRPr="00BF3106">
        <w:rPr>
          <w:noProof/>
          <w:sz w:val="24"/>
          <w:szCs w:val="24"/>
        </w:rPr>
        <w:t>Det muliggør løbende overvågning af benefit/risk-forholdet for lægemidlet.</w:t>
      </w:r>
      <w:r w:rsidRPr="00BF3106">
        <w:rPr>
          <w:sz w:val="24"/>
          <w:szCs w:val="24"/>
        </w:rPr>
        <w:t xml:space="preserve"> </w:t>
      </w:r>
      <w:r w:rsidR="00557A2B">
        <w:rPr>
          <w:sz w:val="24"/>
          <w:szCs w:val="24"/>
        </w:rPr>
        <w:t>S</w:t>
      </w:r>
      <w:r w:rsidRPr="00BF3106">
        <w:rPr>
          <w:noProof/>
          <w:sz w:val="24"/>
          <w:szCs w:val="24"/>
        </w:rPr>
        <w:t>undhedsperson</w:t>
      </w:r>
      <w:r w:rsidR="00557A2B">
        <w:rPr>
          <w:noProof/>
          <w:sz w:val="24"/>
          <w:szCs w:val="24"/>
        </w:rPr>
        <w:t>er</w:t>
      </w:r>
      <w:r w:rsidRPr="00BF3106">
        <w:rPr>
          <w:noProof/>
          <w:sz w:val="24"/>
          <w:szCs w:val="24"/>
        </w:rPr>
        <w:t xml:space="preserve"> anmodes om at indberette alle formodede bivirkninger via: </w:t>
      </w:r>
    </w:p>
    <w:p w:rsidR="008A2EC7" w:rsidRPr="00BF3106" w:rsidRDefault="008A2EC7" w:rsidP="008A2EC7">
      <w:pPr>
        <w:autoSpaceDE w:val="0"/>
        <w:autoSpaceDN w:val="0"/>
        <w:adjustRightInd w:val="0"/>
        <w:ind w:left="851"/>
        <w:rPr>
          <w:noProof/>
          <w:sz w:val="24"/>
          <w:szCs w:val="24"/>
        </w:rPr>
      </w:pPr>
    </w:p>
    <w:p w:rsidR="008A2EC7" w:rsidRPr="00BF3106" w:rsidRDefault="008A2EC7" w:rsidP="008A2EC7">
      <w:pPr>
        <w:autoSpaceDE w:val="0"/>
        <w:autoSpaceDN w:val="0"/>
        <w:adjustRightInd w:val="0"/>
        <w:ind w:left="851"/>
        <w:rPr>
          <w:noProof/>
          <w:sz w:val="24"/>
          <w:szCs w:val="24"/>
        </w:rPr>
      </w:pPr>
      <w:r w:rsidRPr="00BF3106">
        <w:rPr>
          <w:noProof/>
          <w:sz w:val="24"/>
          <w:szCs w:val="24"/>
        </w:rPr>
        <w:t>Lægemiddelstyrelsen</w:t>
      </w:r>
    </w:p>
    <w:p w:rsidR="008A2EC7" w:rsidRPr="00BF3106" w:rsidRDefault="008A2EC7" w:rsidP="008A2EC7">
      <w:pPr>
        <w:autoSpaceDE w:val="0"/>
        <w:autoSpaceDN w:val="0"/>
        <w:adjustRightInd w:val="0"/>
        <w:ind w:left="851"/>
        <w:rPr>
          <w:noProof/>
          <w:sz w:val="24"/>
          <w:szCs w:val="24"/>
        </w:rPr>
      </w:pPr>
      <w:r w:rsidRPr="00BF3106">
        <w:rPr>
          <w:noProof/>
          <w:sz w:val="24"/>
          <w:szCs w:val="24"/>
        </w:rPr>
        <w:t>Axel Heides Gade 1</w:t>
      </w:r>
    </w:p>
    <w:p w:rsidR="008A2EC7" w:rsidRPr="00BF3106" w:rsidRDefault="008A2EC7" w:rsidP="008A2EC7">
      <w:pPr>
        <w:autoSpaceDE w:val="0"/>
        <w:autoSpaceDN w:val="0"/>
        <w:adjustRightInd w:val="0"/>
        <w:ind w:left="851"/>
        <w:rPr>
          <w:noProof/>
          <w:sz w:val="24"/>
          <w:szCs w:val="24"/>
        </w:rPr>
      </w:pPr>
      <w:r w:rsidRPr="00BF3106">
        <w:rPr>
          <w:noProof/>
          <w:sz w:val="24"/>
          <w:szCs w:val="24"/>
        </w:rPr>
        <w:t>DK-2300 København S</w:t>
      </w:r>
    </w:p>
    <w:p w:rsidR="008A2EC7" w:rsidRPr="00BF3106" w:rsidRDefault="008A2EC7" w:rsidP="00557A2B">
      <w:pPr>
        <w:autoSpaceDE w:val="0"/>
        <w:autoSpaceDN w:val="0"/>
        <w:adjustRightInd w:val="0"/>
        <w:ind w:left="851"/>
        <w:rPr>
          <w:noProof/>
          <w:sz w:val="24"/>
          <w:szCs w:val="24"/>
          <w:lang w:val="en-US"/>
        </w:rPr>
      </w:pPr>
      <w:r w:rsidRPr="00BF3106">
        <w:rPr>
          <w:noProof/>
          <w:sz w:val="24"/>
          <w:szCs w:val="24"/>
          <w:lang w:val="en-US"/>
        </w:rPr>
        <w:t>Websted: www.meldenbivirkning.dk</w:t>
      </w:r>
    </w:p>
    <w:p w:rsidR="008A2EC7" w:rsidRPr="00BF3106" w:rsidRDefault="008A2EC7" w:rsidP="008A2EC7">
      <w:pPr>
        <w:pStyle w:val="Sidehoved"/>
        <w:tabs>
          <w:tab w:val="left" w:pos="851"/>
        </w:tabs>
        <w:ind w:left="851" w:hanging="851"/>
        <w:rPr>
          <w:szCs w:val="24"/>
          <w:lang w:val="en-US"/>
        </w:rPr>
      </w:pPr>
    </w:p>
    <w:p w:rsidR="008A2EC7" w:rsidRPr="00BF3106" w:rsidRDefault="008A2EC7" w:rsidP="008A2EC7">
      <w:pPr>
        <w:tabs>
          <w:tab w:val="left" w:pos="851"/>
        </w:tabs>
        <w:ind w:left="851" w:hanging="851"/>
        <w:rPr>
          <w:b/>
          <w:sz w:val="24"/>
          <w:szCs w:val="24"/>
        </w:rPr>
      </w:pPr>
      <w:r w:rsidRPr="00BF3106">
        <w:rPr>
          <w:b/>
          <w:sz w:val="24"/>
          <w:szCs w:val="24"/>
        </w:rPr>
        <w:t>4.9</w:t>
      </w:r>
      <w:r w:rsidRPr="00BF3106">
        <w:rPr>
          <w:b/>
          <w:sz w:val="24"/>
          <w:szCs w:val="24"/>
        </w:rPr>
        <w:tab/>
        <w:t>Overdosering</w:t>
      </w:r>
    </w:p>
    <w:p w:rsidR="008A2EC7" w:rsidRPr="00BF3106" w:rsidRDefault="008A2EC7" w:rsidP="008A2EC7">
      <w:pPr>
        <w:ind w:left="851"/>
        <w:rPr>
          <w:sz w:val="24"/>
          <w:szCs w:val="24"/>
        </w:rPr>
      </w:pPr>
      <w:r w:rsidRPr="00BF3106">
        <w:rPr>
          <w:sz w:val="24"/>
          <w:szCs w:val="24"/>
        </w:rPr>
        <w:t>Der er ingen klinisk erfaring med overdosering. Enkeltdoser på op til 1.200 mg og gentagne doser på op til 1.200 mg to gange dagligt er blevet givet til raske personer i 9 dage uden klinisk betydende bivirkninger. Ved mistanke om overdosering bør der iværksættes relevant understøttende medicinsk behandling, for eksempel ventrikeltømning og klinisk overvågning, og om nødvendigt bør der iværksættes symptomatisk behandling. På grund af det aktive stofs høje proteinbinding er dialyse sandsynligvis ikke en effektiv metode til fjernelse af lægemidlet.</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4.10</w:t>
      </w:r>
      <w:r w:rsidRPr="00BF3106">
        <w:rPr>
          <w:b/>
          <w:sz w:val="24"/>
          <w:szCs w:val="24"/>
        </w:rPr>
        <w:tab/>
        <w:t>Udlevering</w:t>
      </w:r>
    </w:p>
    <w:p w:rsidR="008A2EC7" w:rsidRPr="00BF3106" w:rsidRDefault="008A2EC7" w:rsidP="008A2EC7">
      <w:pPr>
        <w:tabs>
          <w:tab w:val="left" w:pos="851"/>
        </w:tabs>
        <w:ind w:left="851" w:hanging="851"/>
        <w:rPr>
          <w:sz w:val="24"/>
          <w:szCs w:val="24"/>
        </w:rPr>
      </w:pPr>
      <w:r>
        <w:rPr>
          <w:sz w:val="24"/>
          <w:szCs w:val="24"/>
        </w:rPr>
        <w:tab/>
      </w:r>
      <w:r w:rsidRPr="00BF3106">
        <w:rPr>
          <w:sz w:val="24"/>
          <w:szCs w:val="24"/>
        </w:rPr>
        <w:t>B</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5.</w:t>
      </w:r>
      <w:r w:rsidRPr="00BF3106">
        <w:rPr>
          <w:b/>
          <w:sz w:val="24"/>
          <w:szCs w:val="24"/>
        </w:rPr>
        <w:tab/>
        <w:t>FARMAKOLOGISKE EGENSKABER</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num" w:pos="851"/>
        </w:tabs>
        <w:ind w:left="851" w:hanging="851"/>
        <w:rPr>
          <w:b/>
          <w:sz w:val="24"/>
          <w:szCs w:val="24"/>
        </w:rPr>
      </w:pPr>
      <w:r w:rsidRPr="00BF3106">
        <w:rPr>
          <w:b/>
          <w:sz w:val="24"/>
          <w:szCs w:val="24"/>
        </w:rPr>
        <w:t>5.1</w:t>
      </w:r>
      <w:r w:rsidRPr="00BF3106">
        <w:rPr>
          <w:b/>
          <w:sz w:val="24"/>
          <w:szCs w:val="24"/>
        </w:rPr>
        <w:tab/>
      </w:r>
      <w:proofErr w:type="spellStart"/>
      <w:r w:rsidRPr="00BF3106">
        <w:rPr>
          <w:b/>
          <w:sz w:val="24"/>
          <w:szCs w:val="24"/>
        </w:rPr>
        <w:t>Farmakodynamiske</w:t>
      </w:r>
      <w:proofErr w:type="spellEnd"/>
      <w:r w:rsidRPr="00BF3106">
        <w:rPr>
          <w:b/>
          <w:sz w:val="24"/>
          <w:szCs w:val="24"/>
        </w:rPr>
        <w:t xml:space="preserve"> egenskaber</w:t>
      </w:r>
    </w:p>
    <w:p w:rsidR="00557A2B" w:rsidRPr="00BF3106" w:rsidRDefault="00557A2B" w:rsidP="00557A2B">
      <w:pPr>
        <w:suppressAutoHyphens/>
        <w:ind w:left="851"/>
        <w:rPr>
          <w:sz w:val="24"/>
          <w:szCs w:val="24"/>
        </w:rPr>
      </w:pPr>
      <w:r w:rsidRPr="00C93089">
        <w:rPr>
          <w:bCs/>
          <w:noProof/>
          <w:sz w:val="24"/>
          <w:szCs w:val="24"/>
          <w:u w:val="single"/>
        </w:rPr>
        <w:t xml:space="preserve">Farmakoterapeutisk klassifikation: </w:t>
      </w:r>
      <w:r w:rsidRPr="00C93089">
        <w:rPr>
          <w:sz w:val="24"/>
          <w:szCs w:val="24"/>
        </w:rPr>
        <w:t xml:space="preserve">Antiinflammatoriske og </w:t>
      </w:r>
      <w:proofErr w:type="spellStart"/>
      <w:r w:rsidRPr="00C93089">
        <w:rPr>
          <w:sz w:val="24"/>
          <w:szCs w:val="24"/>
        </w:rPr>
        <w:t>antirheumatiske</w:t>
      </w:r>
      <w:proofErr w:type="spellEnd"/>
      <w:r w:rsidRPr="00C93089">
        <w:rPr>
          <w:sz w:val="24"/>
          <w:szCs w:val="24"/>
        </w:rPr>
        <w:t xml:space="preserve"> midler, non-</w:t>
      </w:r>
      <w:proofErr w:type="spellStart"/>
      <w:r w:rsidRPr="00C93089">
        <w:rPr>
          <w:sz w:val="24"/>
          <w:szCs w:val="24"/>
        </w:rPr>
        <w:t>steroide</w:t>
      </w:r>
      <w:proofErr w:type="spellEnd"/>
      <w:r w:rsidRPr="00C93089">
        <w:rPr>
          <w:sz w:val="24"/>
          <w:szCs w:val="24"/>
        </w:rPr>
        <w:t xml:space="preserve">, </w:t>
      </w:r>
      <w:proofErr w:type="spellStart"/>
      <w:r w:rsidRPr="00C93089">
        <w:rPr>
          <w:sz w:val="24"/>
          <w:szCs w:val="24"/>
        </w:rPr>
        <w:t>coxibs</w:t>
      </w:r>
      <w:proofErr w:type="spellEnd"/>
      <w:r w:rsidRPr="00C93089">
        <w:rPr>
          <w:sz w:val="24"/>
          <w:szCs w:val="24"/>
        </w:rPr>
        <w:t>. ATC-kode: M 01 AH 01</w:t>
      </w:r>
    </w:p>
    <w:p w:rsidR="008A2EC7" w:rsidRDefault="008A2EC7" w:rsidP="008A2EC7">
      <w:pPr>
        <w:suppressAutoHyphens/>
        <w:ind w:left="851"/>
        <w:rPr>
          <w:bCs/>
          <w:noProof/>
          <w:sz w:val="24"/>
          <w:szCs w:val="24"/>
          <w:u w:val="single"/>
        </w:rPr>
      </w:pPr>
    </w:p>
    <w:p w:rsidR="008A2EC7" w:rsidRPr="00BF3106" w:rsidRDefault="008A2EC7" w:rsidP="008A2EC7">
      <w:pPr>
        <w:suppressAutoHyphens/>
        <w:ind w:left="851"/>
        <w:rPr>
          <w:bCs/>
          <w:noProof/>
          <w:sz w:val="24"/>
          <w:szCs w:val="24"/>
          <w:u w:val="single"/>
        </w:rPr>
      </w:pPr>
      <w:r w:rsidRPr="00BF3106">
        <w:rPr>
          <w:bCs/>
          <w:noProof/>
          <w:sz w:val="24"/>
          <w:szCs w:val="24"/>
          <w:u w:val="single"/>
        </w:rPr>
        <w:t>Virkningsmekanisme</w:t>
      </w:r>
    </w:p>
    <w:p w:rsidR="00557A2B" w:rsidRPr="00BF3106" w:rsidRDefault="00557A2B" w:rsidP="00557A2B">
      <w:pPr>
        <w:suppressAutoHyphens/>
        <w:ind w:left="851"/>
        <w:rPr>
          <w:bCs/>
          <w:noProof/>
          <w:sz w:val="24"/>
          <w:szCs w:val="24"/>
        </w:rPr>
      </w:pPr>
      <w:r w:rsidRPr="00BF3106">
        <w:rPr>
          <w:bCs/>
          <w:noProof/>
          <w:sz w:val="24"/>
          <w:szCs w:val="24"/>
        </w:rPr>
        <w:t xml:space="preserve">Celecoxib er inden for det kliniske dosisområde (200-400 mg dagligt) en oral, selektiv COX-2-hæmmer. Inden for dette dosisområde er der hos raske frivillige personer ikke observeret nogen statistisk signifikant hæmning af COX-1 (vurderet som </w:t>
      </w:r>
      <w:r w:rsidRPr="00BF3106">
        <w:rPr>
          <w:bCs/>
          <w:i/>
          <w:noProof/>
          <w:sz w:val="24"/>
          <w:szCs w:val="24"/>
        </w:rPr>
        <w:t>ex vivo</w:t>
      </w:r>
      <w:r w:rsidRPr="00BF3106">
        <w:rPr>
          <w:bCs/>
          <w:noProof/>
          <w:sz w:val="24"/>
          <w:szCs w:val="24"/>
        </w:rPr>
        <w:t>-hæmning af dannelsen af tromboxan B</w:t>
      </w:r>
      <w:r w:rsidRPr="00BF3106">
        <w:rPr>
          <w:bCs/>
          <w:noProof/>
          <w:sz w:val="24"/>
          <w:szCs w:val="24"/>
          <w:vertAlign w:val="subscript"/>
        </w:rPr>
        <w:t>2</w:t>
      </w:r>
      <w:r w:rsidRPr="00BF3106">
        <w:rPr>
          <w:bCs/>
          <w:noProof/>
          <w:sz w:val="24"/>
          <w:szCs w:val="24"/>
        </w:rPr>
        <w:t xml:space="preserve"> (TxB</w:t>
      </w:r>
      <w:r w:rsidRPr="00BF3106">
        <w:rPr>
          <w:bCs/>
          <w:noProof/>
          <w:sz w:val="24"/>
          <w:szCs w:val="24"/>
          <w:vertAlign w:val="subscript"/>
        </w:rPr>
        <w:t>2</w:t>
      </w:r>
      <w:r w:rsidRPr="00BF3106">
        <w:rPr>
          <w:bCs/>
          <w:noProof/>
          <w:sz w:val="24"/>
          <w:szCs w:val="24"/>
        </w:rPr>
        <w:t>)).</w:t>
      </w:r>
    </w:p>
    <w:p w:rsidR="008A2EC7" w:rsidRPr="00BF3106" w:rsidRDefault="008A2EC7" w:rsidP="008A2EC7">
      <w:pPr>
        <w:suppressAutoHyphens/>
        <w:ind w:left="851"/>
        <w:rPr>
          <w:bCs/>
          <w:noProof/>
          <w:sz w:val="24"/>
          <w:szCs w:val="24"/>
        </w:rPr>
      </w:pPr>
    </w:p>
    <w:p w:rsidR="008A2EC7" w:rsidRPr="00BF3106" w:rsidRDefault="008A2EC7" w:rsidP="008A2EC7">
      <w:pPr>
        <w:suppressAutoHyphens/>
        <w:ind w:left="851"/>
        <w:rPr>
          <w:bCs/>
          <w:noProof/>
          <w:sz w:val="24"/>
          <w:szCs w:val="24"/>
          <w:u w:val="single"/>
        </w:rPr>
      </w:pPr>
      <w:r w:rsidRPr="00BF3106">
        <w:rPr>
          <w:bCs/>
          <w:noProof/>
          <w:sz w:val="24"/>
          <w:szCs w:val="24"/>
          <w:u w:val="single"/>
        </w:rPr>
        <w:t>Farmakodynamisk virkning</w:t>
      </w:r>
    </w:p>
    <w:p w:rsidR="008A2EC7" w:rsidRPr="00BF3106" w:rsidRDefault="008A2EC7" w:rsidP="008A2EC7">
      <w:pPr>
        <w:suppressAutoHyphens/>
        <w:ind w:left="851"/>
        <w:rPr>
          <w:bCs/>
          <w:noProof/>
          <w:sz w:val="24"/>
          <w:szCs w:val="24"/>
        </w:rPr>
      </w:pPr>
      <w:r w:rsidRPr="00BF3106">
        <w:rPr>
          <w:bCs/>
          <w:noProof/>
          <w:sz w:val="24"/>
          <w:szCs w:val="24"/>
        </w:rPr>
        <w:t xml:space="preserve">Cyclooxygenase er ansvarlig for dannelsen af prostaglandiner. Der er identificeret to isoformer, COX-1 og COX-2. Det er påvist, at COX-2 er isoformen af det enzym, som induceres af pro-inflammatoriske stimuli, og som man mener hovedsageligt har ansvaret for syntesen af prostanoide smerte-, inflammations- og febermediatorer. COX-2 er også involveret i ovulation, implantation og lukning af ductus arteriosus, regulering af nyrefunktionen og funktioner i centralnervesystemet (feberinduktion, smerteopfattelse og </w:t>
      </w:r>
      <w:r w:rsidRPr="00BF3106">
        <w:rPr>
          <w:bCs/>
          <w:noProof/>
          <w:sz w:val="24"/>
          <w:szCs w:val="24"/>
        </w:rPr>
        <w:lastRenderedPageBreak/>
        <w:t>kognitive funktioner). Det spiller muligvis også en rolle i ulcusheling. COX-2 er påvist i vævet omkring gastriske ulcera hos mennesker, men dets relevans ved heling af ulcera er ikke fastslået.</w:t>
      </w:r>
    </w:p>
    <w:p w:rsidR="008A2EC7" w:rsidRPr="00BF3106" w:rsidRDefault="008A2EC7" w:rsidP="008A2EC7">
      <w:pPr>
        <w:suppressAutoHyphens/>
        <w:ind w:left="851"/>
        <w:rPr>
          <w:bCs/>
          <w:noProof/>
          <w:sz w:val="24"/>
          <w:szCs w:val="24"/>
        </w:rPr>
      </w:pPr>
    </w:p>
    <w:p w:rsidR="008A2EC7" w:rsidRPr="00BF3106" w:rsidRDefault="008A2EC7" w:rsidP="008A2EC7">
      <w:pPr>
        <w:suppressAutoHyphens/>
        <w:ind w:left="851"/>
        <w:rPr>
          <w:bCs/>
          <w:noProof/>
          <w:sz w:val="24"/>
          <w:szCs w:val="24"/>
        </w:rPr>
      </w:pPr>
      <w:r w:rsidRPr="00BF3106">
        <w:rPr>
          <w:bCs/>
          <w:noProof/>
          <w:sz w:val="24"/>
          <w:szCs w:val="24"/>
        </w:rPr>
        <w:t>Forskellen i den antitrombotiske virkning mellem visse COX-1-hæmmende NSAID’er og COX-2-selektive hæmmere kan være af klinisk betydning hos patienter med risiko for udvikling af tromboemboliske reaktioner. COX-2-selektive hæmmere reducerer dannelsen af systemisk (og dermed muligvis endotel-deriveret) prostacyclin uden at påvirke tromboxan i blodpladerne.</w:t>
      </w:r>
    </w:p>
    <w:p w:rsidR="008A2EC7" w:rsidRPr="00BF3106" w:rsidRDefault="008A2EC7" w:rsidP="008A2EC7">
      <w:pPr>
        <w:suppressAutoHyphens/>
        <w:ind w:left="851"/>
        <w:rPr>
          <w:bCs/>
          <w:noProof/>
          <w:sz w:val="24"/>
          <w:szCs w:val="24"/>
        </w:rPr>
      </w:pPr>
    </w:p>
    <w:p w:rsidR="008A2EC7" w:rsidRPr="00BF3106" w:rsidRDefault="008A2EC7" w:rsidP="008A2EC7">
      <w:pPr>
        <w:suppressAutoHyphens/>
        <w:ind w:left="851"/>
        <w:rPr>
          <w:bCs/>
          <w:noProof/>
          <w:sz w:val="24"/>
          <w:szCs w:val="24"/>
        </w:rPr>
      </w:pPr>
      <w:r w:rsidRPr="00BF3106">
        <w:rPr>
          <w:bCs/>
          <w:noProof/>
          <w:sz w:val="24"/>
          <w:szCs w:val="24"/>
        </w:rPr>
        <w:t>Celecoxib er et diaryl-substitueret pyrazol med kemisk lighed med andre non-arylamin-sulfonamider (f.eks. thiazider, furosemid), men adskiller sig fra arylaminsulfonamider (f.eks. sulfamethoxizol og andre sulfonamid-antibiotika).</w:t>
      </w:r>
    </w:p>
    <w:p w:rsidR="008A2EC7" w:rsidRPr="00BF3106" w:rsidRDefault="008A2EC7" w:rsidP="008A2EC7">
      <w:pPr>
        <w:suppressAutoHyphens/>
        <w:ind w:left="851"/>
        <w:rPr>
          <w:bCs/>
          <w:noProof/>
          <w:sz w:val="24"/>
          <w:szCs w:val="24"/>
        </w:rPr>
      </w:pPr>
    </w:p>
    <w:p w:rsidR="008A2EC7" w:rsidRPr="00BF3106" w:rsidRDefault="008A2EC7" w:rsidP="008A2EC7">
      <w:pPr>
        <w:suppressAutoHyphens/>
        <w:ind w:left="851"/>
        <w:rPr>
          <w:bCs/>
          <w:noProof/>
          <w:sz w:val="24"/>
          <w:szCs w:val="24"/>
        </w:rPr>
      </w:pPr>
      <w:r w:rsidRPr="00BF3106">
        <w:rPr>
          <w:bCs/>
          <w:noProof/>
          <w:sz w:val="24"/>
          <w:szCs w:val="24"/>
        </w:rPr>
        <w:t>Der er observeret en dosisafhængig virkning på TxB</w:t>
      </w:r>
      <w:r w:rsidRPr="00BF3106">
        <w:rPr>
          <w:bCs/>
          <w:noProof/>
          <w:sz w:val="24"/>
          <w:szCs w:val="24"/>
          <w:vertAlign w:val="subscript"/>
        </w:rPr>
        <w:t>2</w:t>
      </w:r>
      <w:r w:rsidRPr="00BF3106">
        <w:rPr>
          <w:bCs/>
          <w:noProof/>
          <w:sz w:val="24"/>
          <w:szCs w:val="24"/>
        </w:rPr>
        <w:t>-dannelsen med høje doser af celecoxib. Dog havde gentagne doser af celecoxib 600 mg to gange dagligt (tre gange den højeste anbefalede dosis) ingen virkning på trombocytaggregationen og blødningstiden i sammenligning med placebo i mindre forsøg med raske forsøgspersoner.</w:t>
      </w:r>
    </w:p>
    <w:p w:rsidR="008A2EC7" w:rsidRPr="00BF3106" w:rsidRDefault="008A2EC7" w:rsidP="008A2EC7">
      <w:pPr>
        <w:suppressAutoHyphens/>
        <w:ind w:left="851"/>
        <w:rPr>
          <w:bCs/>
          <w:noProof/>
          <w:sz w:val="24"/>
          <w:szCs w:val="24"/>
        </w:rPr>
      </w:pPr>
    </w:p>
    <w:p w:rsidR="008A2EC7" w:rsidRPr="00BF3106" w:rsidRDefault="008A2EC7" w:rsidP="008A2EC7">
      <w:pPr>
        <w:suppressAutoHyphens/>
        <w:ind w:left="851"/>
        <w:rPr>
          <w:bCs/>
          <w:noProof/>
          <w:sz w:val="24"/>
          <w:szCs w:val="24"/>
          <w:u w:val="single"/>
        </w:rPr>
      </w:pPr>
      <w:r w:rsidRPr="00BF3106">
        <w:rPr>
          <w:bCs/>
          <w:noProof/>
          <w:sz w:val="24"/>
          <w:szCs w:val="24"/>
          <w:u w:val="single"/>
        </w:rPr>
        <w:t>Klinisk virkning og sikkerhed</w:t>
      </w:r>
    </w:p>
    <w:p w:rsidR="008A2EC7" w:rsidRPr="00BF3106" w:rsidRDefault="008A2EC7" w:rsidP="008A2EC7">
      <w:pPr>
        <w:suppressAutoHyphens/>
        <w:ind w:left="851"/>
        <w:rPr>
          <w:bCs/>
          <w:noProof/>
          <w:sz w:val="24"/>
          <w:szCs w:val="24"/>
        </w:rPr>
      </w:pPr>
      <w:r w:rsidRPr="00BF3106">
        <w:rPr>
          <w:bCs/>
          <w:noProof/>
          <w:sz w:val="24"/>
          <w:szCs w:val="24"/>
        </w:rPr>
        <w:t>Virkningen og sikkerheden ved behandling af osteoarthrosis, rheumatoid arthritis og ankyloserende spondylitis er blevet bekræftet i flere kliniske studier. Celecoxib er undersøgt til behandling af inflammation og smerte ved osteoarthrosis i knæ og hofte hos ca. 4.200 patienter i kliniske forsøg af op til 12 ugers varighed med placebo- og aktivkontrol. Det er også undersøgt til behandling af inflammation og smerte ved rheumatoid arthritis hos ca. 2.100 patienter i kliniske forsøg af op til 24 ugers varighed med placebo- og aktivkontrol. Celecoxib i daglige doser på 200-400 mg gav smertelindring inden for 24 timer efter indtagelsen.Celecoxib er undersøgt til symptomatisk behandling af ankyloserende spondylitis hos 896 patienter i kliniske forsøg med placebo- og aktivkontrol af op til 12 ugers varighed. I disse forsøg blev der påvist signifikant bedring af smerte, generel sygdomsaktivitet og funktion ved ankyloserende spondylitis med celecoxib i doser på 100 mg to gange dagligt, 200 mg én gang dagligt, 200 mg to gange dagligt og 400 mg én gang dagligt.</w:t>
      </w:r>
    </w:p>
    <w:p w:rsidR="008A2EC7" w:rsidRPr="00BF3106" w:rsidRDefault="008A2EC7" w:rsidP="008A2EC7">
      <w:pPr>
        <w:suppressAutoHyphens/>
        <w:ind w:left="851"/>
        <w:rPr>
          <w:bCs/>
          <w:noProof/>
          <w:sz w:val="24"/>
          <w:szCs w:val="24"/>
        </w:rPr>
      </w:pPr>
    </w:p>
    <w:p w:rsidR="008A2EC7" w:rsidRPr="00BF3106" w:rsidRDefault="008A2EC7" w:rsidP="008A2EC7">
      <w:pPr>
        <w:suppressAutoHyphens/>
        <w:ind w:left="851"/>
        <w:rPr>
          <w:bCs/>
          <w:noProof/>
          <w:sz w:val="24"/>
          <w:szCs w:val="24"/>
        </w:rPr>
      </w:pPr>
      <w:r w:rsidRPr="00BF3106">
        <w:rPr>
          <w:bCs/>
          <w:noProof/>
          <w:sz w:val="24"/>
          <w:szCs w:val="24"/>
        </w:rPr>
        <w:t>Der er blevet udført fem randomiserede, dobbeltblinde, kontrollerede forsøg inklusive skemalagt øvre gastroskopi hos ca. 4.500 patienter uden initial ulceration (celecoxibdoser på 50-400 mg 2 gange dagligt). I endoskopiforsøg over 12 uger var celecoxib (100-800 mg dagligt) forbundet med en signifikant lavere risiko for mavesår end naproxen (1.000 mg dagligt) og ibuprofen (2.400 mg dagligt). Dataene var ikke konsekvente i forhold til diclofenac (150 mg dagligt). I to 12-ugers forsøg var andelen af patienter med endoskopisk mavesår ikke signifikant forskellig mellem placebo og celecoxib 200 mg to gange dagligt eller 400 mg to gange dagligt.</w:t>
      </w:r>
    </w:p>
    <w:p w:rsidR="008A2EC7" w:rsidRPr="00BF3106" w:rsidRDefault="008A2EC7" w:rsidP="008A2EC7">
      <w:pPr>
        <w:suppressAutoHyphens/>
        <w:ind w:left="851"/>
        <w:rPr>
          <w:bCs/>
          <w:noProof/>
          <w:sz w:val="24"/>
          <w:szCs w:val="24"/>
        </w:rPr>
      </w:pPr>
    </w:p>
    <w:p w:rsidR="008A2EC7" w:rsidRPr="00BF3106" w:rsidRDefault="008A2EC7" w:rsidP="008A2EC7">
      <w:pPr>
        <w:suppressAutoHyphens/>
        <w:ind w:left="851"/>
        <w:rPr>
          <w:bCs/>
          <w:noProof/>
          <w:sz w:val="24"/>
          <w:szCs w:val="24"/>
        </w:rPr>
      </w:pPr>
      <w:r w:rsidRPr="00BF3106">
        <w:rPr>
          <w:bCs/>
          <w:noProof/>
          <w:sz w:val="24"/>
          <w:szCs w:val="24"/>
        </w:rPr>
        <w:t>I et prospektivt langsigtet sikkerhedsstudie (6-15 måneders varighed, CLASS-forsøget) fik 5.800 patienter med osteoarthrosis og 2.200 patienter med rheumatoid arthritis celecoxib 400 mg to gange dagligt (4 gange og 2 gange den anbefalede dosis til henholdsvis osteoarthrosis og rheumatoid arthritis), ibuprofen 800 mg tre gange dagligt eller diclofenac 75 mg to gange dagligt (begge i terapeutiske doser). 22 % af de inkluderede patienter fik samtidig lavdosis-acetylsalicylsyre (</w:t>
      </w:r>
      <w:r w:rsidRPr="00BF3106">
        <w:rPr>
          <w:bCs/>
          <w:noProof/>
          <w:sz w:val="24"/>
          <w:szCs w:val="24"/>
        </w:rPr>
        <w:sym w:font="Symbol" w:char="F0A3"/>
      </w:r>
      <w:r w:rsidRPr="00BF3106">
        <w:rPr>
          <w:bCs/>
          <w:noProof/>
          <w:sz w:val="24"/>
          <w:szCs w:val="24"/>
        </w:rPr>
        <w:t xml:space="preserve"> 325 mg/dag), primært som kardiovaskulær profylakse. Hvad angik det primære endepunkt, komplicerede mavesår (defineret som gastrointestinal blødning, perforation eller obstruktion), var celecoxib ikke signifikant </w:t>
      </w:r>
      <w:r w:rsidRPr="00BF3106">
        <w:rPr>
          <w:bCs/>
          <w:noProof/>
          <w:sz w:val="24"/>
          <w:szCs w:val="24"/>
        </w:rPr>
        <w:lastRenderedPageBreak/>
        <w:t>forskellig fra hverken ibuprofen eller diclofenac hver for sig. For den kombinerede NSAID-gruppe var der heller ingen statistisk signifikant forskel, hvad angik komplicerede mavesår (relativ risiko 0,77; 95 %, KI 0,41-1,46, set over hele forsøgsperioden). Hvad angik det kombinerede endepunkt, komplicerede og symptomatiske mavesår, var hyppigheden i celecoxib-gruppen signifikant lavere end i NSAID-gruppen (relativ risiko 0,66; 95% KI 0,45-0,97), men ikke mellem celecoxib og diclofenac. De patienter, som fik celecoxib og lavdosis-acetylsalicylsyre samtidig, oplevede fire gange hyppigere komplicerede mavesår end dem, der fik celecoxib alene. Hyppigheden af klinisk betydende fald i hæmoglobin (&gt; 2 g/dl), bekræftet ved gentagne målinger, var signifikant lavere hos de patienter, der fik celecoxib, end i NSAID-gruppen (relativ risiko 0,29; 95% KI 0,17-0,48). Den signifikant lavere hyppighed af disse hændelser med cele</w:t>
      </w:r>
      <w:r w:rsidRPr="00BF3106">
        <w:rPr>
          <w:bCs/>
          <w:noProof/>
          <w:sz w:val="24"/>
          <w:szCs w:val="24"/>
        </w:rPr>
        <w:softHyphen/>
        <w:t>coxib blev bevaret med eller uden brug af acetylsalicylsyre.</w:t>
      </w:r>
    </w:p>
    <w:p w:rsidR="008A2EC7" w:rsidRPr="00BF3106" w:rsidRDefault="008A2EC7" w:rsidP="008A2EC7">
      <w:pPr>
        <w:suppressAutoHyphens/>
        <w:ind w:left="851"/>
        <w:rPr>
          <w:bCs/>
          <w:noProof/>
          <w:sz w:val="24"/>
          <w:szCs w:val="24"/>
        </w:rPr>
      </w:pPr>
    </w:p>
    <w:p w:rsidR="008A2EC7" w:rsidRPr="00BF3106" w:rsidRDefault="008A2EC7" w:rsidP="008A2EC7">
      <w:pPr>
        <w:suppressAutoHyphens/>
        <w:ind w:left="851"/>
        <w:rPr>
          <w:bCs/>
          <w:noProof/>
          <w:sz w:val="24"/>
          <w:szCs w:val="24"/>
        </w:rPr>
      </w:pPr>
      <w:r w:rsidRPr="00BF3106">
        <w:rPr>
          <w:bCs/>
          <w:noProof/>
          <w:sz w:val="24"/>
          <w:szCs w:val="24"/>
        </w:rPr>
        <w:t xml:space="preserve">I et prospektivt, randomiseret 24-ugers sikkerhedsforsøg hos patienter i alderen </w:t>
      </w:r>
      <w:r w:rsidRPr="00BF3106">
        <w:rPr>
          <w:bCs/>
          <w:noProof/>
          <w:sz w:val="24"/>
          <w:szCs w:val="24"/>
        </w:rPr>
        <w:sym w:font="Symbol" w:char="F0B3"/>
      </w:r>
      <w:r w:rsidRPr="00BF3106">
        <w:rPr>
          <w:bCs/>
          <w:noProof/>
          <w:sz w:val="24"/>
          <w:szCs w:val="24"/>
        </w:rPr>
        <w:t> 60 år eller med mavesår i anamnesen (patienter, der tog acetylsalicylsyre, blev udelukket) var andelen af patienter med nedsat hæmoglobin (</w:t>
      </w:r>
      <w:r w:rsidRPr="00BF3106">
        <w:rPr>
          <w:bCs/>
          <w:noProof/>
          <w:sz w:val="24"/>
          <w:szCs w:val="24"/>
        </w:rPr>
        <w:sym w:font="Symbol" w:char="F0B3"/>
      </w:r>
      <w:r w:rsidRPr="00BF3106">
        <w:rPr>
          <w:bCs/>
          <w:noProof/>
          <w:sz w:val="24"/>
          <w:szCs w:val="24"/>
        </w:rPr>
        <w:t> 2 g/dl) og/eller hæmatokrit (</w:t>
      </w:r>
      <w:r w:rsidRPr="00BF3106">
        <w:rPr>
          <w:bCs/>
          <w:noProof/>
          <w:sz w:val="24"/>
          <w:szCs w:val="24"/>
        </w:rPr>
        <w:sym w:font="Symbol" w:char="F0B3"/>
      </w:r>
      <w:r w:rsidRPr="00BF3106">
        <w:rPr>
          <w:bCs/>
          <w:noProof/>
          <w:sz w:val="24"/>
          <w:szCs w:val="24"/>
        </w:rPr>
        <w:t> 10 %) af påvist eller formodet gastrointestinal oprindelse lavere hos de patienter, der blev behandlet med celecoxib 200 mg to gange dagligt (N=2.238), end hos de patienter, der blev behandlet med diclofenac depot 75 mg to gange dagligt + omeprazol 20 mg én gang dagligt (N=2.246) (0,2 % vs. 1,1 % ved påvist gastrointestinal oprindelse, p=0,004; 0,4 % vs. 2,4 % ved formodet gastrointestinal oprindelse, p=0,0001). Hyppigheden af klinisk manifeste gastrointestinale komplikationer, som f.eks. perforation, obstruktion eller blødning, var meget lav og ens mellem behandlingsgrupperne (4-5 pr. gruppe).</w:t>
      </w:r>
    </w:p>
    <w:p w:rsidR="008A2EC7" w:rsidRPr="00BF3106" w:rsidRDefault="008A2EC7" w:rsidP="008A2EC7">
      <w:pPr>
        <w:suppressAutoHyphens/>
        <w:ind w:left="851"/>
        <w:rPr>
          <w:bCs/>
          <w:noProof/>
          <w:sz w:val="24"/>
          <w:szCs w:val="24"/>
        </w:rPr>
      </w:pPr>
    </w:p>
    <w:p w:rsidR="008A2EC7" w:rsidRPr="00BF3106" w:rsidRDefault="008A2EC7" w:rsidP="008A2EC7">
      <w:pPr>
        <w:suppressAutoHyphens/>
        <w:ind w:left="851"/>
        <w:rPr>
          <w:b/>
          <w:bCs/>
          <w:noProof/>
          <w:sz w:val="24"/>
          <w:szCs w:val="24"/>
          <w:u w:val="single"/>
        </w:rPr>
      </w:pPr>
      <w:r w:rsidRPr="00BF3106">
        <w:rPr>
          <w:b/>
          <w:bCs/>
          <w:noProof/>
          <w:sz w:val="24"/>
          <w:szCs w:val="24"/>
          <w:u w:val="single"/>
        </w:rPr>
        <w:t>Kardiovaskulær sikkerhed – langtidsforsøg hos patienter med sporadisk adenomatøs polypose</w:t>
      </w:r>
    </w:p>
    <w:p w:rsidR="00557A2B" w:rsidRPr="00BF3106" w:rsidRDefault="00557A2B" w:rsidP="00557A2B">
      <w:pPr>
        <w:suppressAutoHyphens/>
        <w:ind w:left="851"/>
        <w:rPr>
          <w:bCs/>
          <w:noProof/>
          <w:sz w:val="24"/>
          <w:szCs w:val="24"/>
        </w:rPr>
      </w:pPr>
      <w:r w:rsidRPr="00BF3106">
        <w:rPr>
          <w:bCs/>
          <w:noProof/>
          <w:sz w:val="24"/>
          <w:szCs w:val="24"/>
        </w:rPr>
        <w:t>Der er gennemført to forsøg med personer med sporadisk adenomatøs polypose med celecoxib, dvs. APC-forsøget og PreSAP-forsøget . I APC-forsøget var der en dosis-relateret øgning af det sammensatte endepunkt (kardiovaskulær død, myokardieinfarkt eller slagtilfælde (bekræftet)) med celecoxib sammenlignet med placebo over en behandlingsperiode på 3 år. PreSAP-forsøget viste ikke nogen statistisk signifikant øget risiko for samme sammensatte endepunkt.</w:t>
      </w:r>
    </w:p>
    <w:p w:rsidR="008A2EC7" w:rsidRPr="00BF3106" w:rsidRDefault="008A2EC7" w:rsidP="008A2EC7">
      <w:pPr>
        <w:suppressAutoHyphens/>
        <w:ind w:left="851"/>
        <w:rPr>
          <w:bCs/>
          <w:noProof/>
          <w:sz w:val="24"/>
          <w:szCs w:val="24"/>
        </w:rPr>
      </w:pPr>
    </w:p>
    <w:p w:rsidR="008A2EC7" w:rsidRPr="00BF3106" w:rsidRDefault="008A2EC7" w:rsidP="008A2EC7">
      <w:pPr>
        <w:suppressAutoHyphens/>
        <w:ind w:left="851"/>
        <w:rPr>
          <w:bCs/>
          <w:noProof/>
          <w:sz w:val="24"/>
          <w:szCs w:val="24"/>
        </w:rPr>
      </w:pPr>
      <w:r w:rsidRPr="00BF3106">
        <w:rPr>
          <w:bCs/>
          <w:noProof/>
          <w:sz w:val="24"/>
          <w:szCs w:val="24"/>
        </w:rPr>
        <w:t>I APC-forsøget var den relative risiko sammenlignet med placebo for det sammensatte endepunkt (bekræftet) kardiovaskulær død, myokardieinfarkt eller slagtilfælde 3,4 (95 % KI 1,4-8,5) med celecoxib 400 mg to gange dagligt og 2,8 (95 % KI 1,1-7,2) med celecoxib 200 mg to gange dagligt. De kumulative procenter for dette sammensatte endepunkt over 3 år var henholdsvis 3 % (20/671 forsøgspersoner) og 2,5 % (17/685 forsøgspersoner) sammenlignet med 0,9 % (6/679 forsøgspersoner) med placebo. Stigningen i begge celecoxibdosisgrupper versus placebo kunne primært tilskrives en stigning i hyppigheden af myokardieinfarkt.</w:t>
      </w:r>
    </w:p>
    <w:p w:rsidR="008A2EC7" w:rsidRPr="00BF3106" w:rsidRDefault="008A2EC7" w:rsidP="008A2EC7">
      <w:pPr>
        <w:suppressAutoHyphens/>
        <w:ind w:left="851"/>
        <w:rPr>
          <w:bCs/>
          <w:noProof/>
          <w:sz w:val="24"/>
          <w:szCs w:val="24"/>
        </w:rPr>
      </w:pPr>
    </w:p>
    <w:p w:rsidR="008A2EC7" w:rsidRPr="00BF3106" w:rsidRDefault="008A2EC7" w:rsidP="008A2EC7">
      <w:pPr>
        <w:suppressAutoHyphens/>
        <w:ind w:left="851"/>
        <w:rPr>
          <w:bCs/>
          <w:noProof/>
          <w:sz w:val="24"/>
          <w:szCs w:val="24"/>
        </w:rPr>
      </w:pPr>
      <w:r w:rsidRPr="00BF3106">
        <w:rPr>
          <w:bCs/>
          <w:noProof/>
          <w:sz w:val="24"/>
          <w:szCs w:val="24"/>
        </w:rPr>
        <w:t>I PreSAP-forsøget var den relative risiko sammenlignet med placebo for det samme sammensatte endepunkt (kræftet) 1,2 (95 % KI 0,6-2,4) med celecoxib 400 mg én gang dagligt sammenlignet med placebo. Kumulative procenter for det sammensatte endepunkt over 3 år var henholdsvis 2,3 % (21/933 forsøgspersoner) og 1,9 % (12/628 forsøgs</w:t>
      </w:r>
      <w:r>
        <w:rPr>
          <w:bCs/>
          <w:noProof/>
          <w:sz w:val="24"/>
          <w:szCs w:val="24"/>
        </w:rPr>
        <w:softHyphen/>
      </w:r>
      <w:r w:rsidRPr="00BF3106">
        <w:rPr>
          <w:bCs/>
          <w:noProof/>
          <w:sz w:val="24"/>
          <w:szCs w:val="24"/>
        </w:rPr>
        <w:t>personer). Hyppigheden af myokardieinfarkt (bekræftet) var 1,0 % (9/933 forsøgspersoner) med celecoxib 400 mg én gang dagligt og 0,6 % (4/628 forsøgspersoner) med placebo.</w:t>
      </w:r>
    </w:p>
    <w:p w:rsidR="008A2EC7" w:rsidRPr="00BF3106" w:rsidRDefault="008A2EC7" w:rsidP="008A2EC7">
      <w:pPr>
        <w:suppressAutoHyphens/>
        <w:ind w:left="851"/>
        <w:rPr>
          <w:bCs/>
          <w:noProof/>
          <w:sz w:val="24"/>
          <w:szCs w:val="24"/>
        </w:rPr>
      </w:pPr>
    </w:p>
    <w:p w:rsidR="00557A2B" w:rsidRPr="003D719A" w:rsidRDefault="00557A2B" w:rsidP="00557A2B">
      <w:pPr>
        <w:suppressAutoHyphens/>
        <w:ind w:left="851"/>
        <w:rPr>
          <w:bCs/>
          <w:noProof/>
          <w:sz w:val="24"/>
          <w:szCs w:val="24"/>
        </w:rPr>
      </w:pPr>
      <w:r w:rsidRPr="003D719A">
        <w:rPr>
          <w:bCs/>
          <w:noProof/>
          <w:sz w:val="24"/>
          <w:szCs w:val="24"/>
        </w:rPr>
        <w:t xml:space="preserve">Data fra et tredje langtidsforsøg ADAPT (The Alzheimer’s Disease Anti-inflammatory Prevention Trial) viser ikke en signifikant øget kardiovaskulær risiko med celecoxib </w:t>
      </w:r>
      <w:r w:rsidRPr="003D719A">
        <w:rPr>
          <w:bCs/>
          <w:noProof/>
          <w:sz w:val="24"/>
          <w:szCs w:val="24"/>
        </w:rPr>
        <w:lastRenderedPageBreak/>
        <w:t>200 mg to gange dagligt sammenlignet med placebo. Den relative risiko sammenlignet med placebo for et lignende sammensat endepunkt (kardiovaskulær død, myokardieinfarkt, slagtilfælde) var 1,14 (95 % KI 0,61-2,15) med celecoxib 200 mg to gange dagligt. Hyppigheden af myokardieinfarkt var 1,1 % (8/717 patienter) med celecoxib 200 mg to gange dagligt og 1,2 % (13/1.070 patienter) med placebo.</w:t>
      </w:r>
    </w:p>
    <w:p w:rsidR="00557A2B" w:rsidRPr="003D719A" w:rsidRDefault="00557A2B" w:rsidP="00557A2B">
      <w:pPr>
        <w:suppressAutoHyphens/>
        <w:ind w:left="851"/>
        <w:rPr>
          <w:bCs/>
          <w:noProof/>
          <w:sz w:val="24"/>
          <w:szCs w:val="24"/>
        </w:rPr>
      </w:pPr>
    </w:p>
    <w:p w:rsidR="00557A2B" w:rsidRPr="003D719A" w:rsidRDefault="00557A2B" w:rsidP="00557A2B">
      <w:pPr>
        <w:suppressAutoHyphens/>
        <w:ind w:left="851"/>
        <w:rPr>
          <w:bCs/>
          <w:noProof/>
          <w:sz w:val="24"/>
          <w:szCs w:val="24"/>
          <w:u w:val="single"/>
        </w:rPr>
      </w:pPr>
      <w:r w:rsidRPr="003D719A">
        <w:rPr>
          <w:bCs/>
          <w:noProof/>
          <w:sz w:val="24"/>
          <w:szCs w:val="24"/>
          <w:u w:val="single"/>
        </w:rPr>
        <w:t>Prospektiv randomiseret evaluering af integreret sikkerhed for celecoxib vs. ibuprofen eller naproxen (PRECISION)</w:t>
      </w:r>
    </w:p>
    <w:p w:rsidR="00557A2B" w:rsidRPr="003D719A" w:rsidRDefault="00557A2B" w:rsidP="00557A2B">
      <w:pPr>
        <w:suppressAutoHyphens/>
        <w:ind w:left="851"/>
        <w:rPr>
          <w:bCs/>
          <w:noProof/>
          <w:sz w:val="24"/>
          <w:szCs w:val="24"/>
        </w:rPr>
      </w:pPr>
      <w:r w:rsidRPr="003D719A">
        <w:rPr>
          <w:bCs/>
          <w:noProof/>
          <w:sz w:val="24"/>
          <w:szCs w:val="24"/>
        </w:rPr>
        <w:t>PRECISION-forsøget var et dobbeltblindet forsøg, som undersøgte kardiovaskulær sikkerhed hos patienter med osteoartrit (OA) eller reumatoid artrit (RA) med risiko for eller høj risiko for kardiovaskulær sygdom, hvor man sammenlignede celecoxib (200</w:t>
      </w:r>
      <w:r w:rsidRPr="003D719A">
        <w:rPr>
          <w:bCs/>
          <w:noProof/>
          <w:sz w:val="24"/>
          <w:szCs w:val="24"/>
        </w:rPr>
        <w:noBreakHyphen/>
        <w:t>400</w:t>
      </w:r>
      <w:r w:rsidRPr="007F41CD">
        <w:rPr>
          <w:bCs/>
          <w:noProof/>
          <w:sz w:val="24"/>
          <w:szCs w:val="24"/>
        </w:rPr>
        <w:t> </w:t>
      </w:r>
      <w:r w:rsidRPr="003D719A">
        <w:rPr>
          <w:bCs/>
          <w:noProof/>
          <w:sz w:val="24"/>
          <w:szCs w:val="24"/>
        </w:rPr>
        <w:t>mg daglig) med naproxen (750</w:t>
      </w:r>
      <w:r w:rsidRPr="003D719A">
        <w:rPr>
          <w:bCs/>
          <w:noProof/>
          <w:sz w:val="24"/>
          <w:szCs w:val="24"/>
        </w:rPr>
        <w:noBreakHyphen/>
        <w:t>1.000</w:t>
      </w:r>
      <w:r w:rsidRPr="007F41CD">
        <w:rPr>
          <w:bCs/>
          <w:noProof/>
          <w:sz w:val="24"/>
          <w:szCs w:val="24"/>
        </w:rPr>
        <w:t> </w:t>
      </w:r>
      <w:r w:rsidRPr="003D719A">
        <w:rPr>
          <w:bCs/>
          <w:noProof/>
          <w:sz w:val="24"/>
          <w:szCs w:val="24"/>
        </w:rPr>
        <w:t>mg daglig) og ibuprofen (1.800</w:t>
      </w:r>
      <w:r w:rsidRPr="003D719A">
        <w:rPr>
          <w:bCs/>
          <w:noProof/>
          <w:sz w:val="24"/>
          <w:szCs w:val="24"/>
        </w:rPr>
        <w:noBreakHyphen/>
        <w:t>2.400</w:t>
      </w:r>
      <w:r w:rsidRPr="007F41CD">
        <w:rPr>
          <w:bCs/>
          <w:noProof/>
          <w:sz w:val="24"/>
          <w:szCs w:val="24"/>
        </w:rPr>
        <w:t> </w:t>
      </w:r>
      <w:r w:rsidRPr="003D719A">
        <w:rPr>
          <w:bCs/>
          <w:noProof/>
          <w:sz w:val="24"/>
          <w:szCs w:val="24"/>
        </w:rPr>
        <w:t>mg daglig). Det primære APTC-endepunkt (Antiplatelet Trialists Collaboration) blev bedømt uafhængigt og var sammensat af kardiovaskulær død (herunder hæmoragisk død), ikke-fatalt myokardieinfarkt eller ikke-fatalt slagtilfælde. Forsøget blev planlagt med en statistisk styrke på 80% for at evaluere non-inferioritet. Alle patienter fik ordineret open-label esomeprazol (20</w:t>
      </w:r>
      <w:r w:rsidRPr="003D719A">
        <w:rPr>
          <w:bCs/>
          <w:noProof/>
          <w:sz w:val="24"/>
          <w:szCs w:val="24"/>
        </w:rPr>
        <w:noBreakHyphen/>
        <w:t>40</w:t>
      </w:r>
      <w:r w:rsidRPr="007F41CD">
        <w:rPr>
          <w:bCs/>
          <w:noProof/>
          <w:sz w:val="24"/>
          <w:szCs w:val="24"/>
        </w:rPr>
        <w:t> </w:t>
      </w:r>
      <w:r w:rsidRPr="003D719A">
        <w:rPr>
          <w:bCs/>
          <w:noProof/>
          <w:sz w:val="24"/>
          <w:szCs w:val="24"/>
        </w:rPr>
        <w:t>mg) for at forebygge mavesår. Patienter, som fik acetylsalicylsyre i lav dosis, fik tilladelse til at fortsætte behandlingen. Cirka halvdelen af forsøgspersonerne fik acetylsalicylsyre ved baseline. Sekundære og tertiære endepunkter omfattede kardiovaskulære, gastrointestinale og renale resultater. Den dispenserede gennemsnitlige dosis var 209±37</w:t>
      </w:r>
      <w:r w:rsidRPr="007F41CD">
        <w:rPr>
          <w:bCs/>
          <w:noProof/>
          <w:sz w:val="24"/>
          <w:szCs w:val="24"/>
        </w:rPr>
        <w:t> </w:t>
      </w:r>
      <w:r w:rsidRPr="003D719A">
        <w:rPr>
          <w:bCs/>
          <w:noProof/>
          <w:sz w:val="24"/>
          <w:szCs w:val="24"/>
        </w:rPr>
        <w:t>mg/dag for celecoxib, 2045±246 for ibuprofen og 852±103 for naproxen.</w:t>
      </w:r>
    </w:p>
    <w:p w:rsidR="00557A2B" w:rsidRPr="003D719A" w:rsidRDefault="00557A2B" w:rsidP="00557A2B">
      <w:pPr>
        <w:suppressAutoHyphens/>
        <w:ind w:left="851"/>
        <w:rPr>
          <w:bCs/>
          <w:noProof/>
          <w:sz w:val="24"/>
          <w:szCs w:val="24"/>
        </w:rPr>
      </w:pPr>
      <w:r w:rsidRPr="003D719A">
        <w:rPr>
          <w:bCs/>
          <w:noProof/>
          <w:sz w:val="24"/>
          <w:szCs w:val="24"/>
        </w:rPr>
        <w:t>Når celecoxib blev sammenlignet med enten naproxen eller ibuprofen, opfyldte det alle 4 foruddefinerede krav om non-inferioritet, hvad angik det primære endepunkt, se tabel 2.</w:t>
      </w:r>
    </w:p>
    <w:p w:rsidR="00557A2B" w:rsidRPr="003D719A" w:rsidRDefault="00557A2B" w:rsidP="00557A2B">
      <w:pPr>
        <w:suppressAutoHyphens/>
        <w:ind w:left="851"/>
        <w:rPr>
          <w:bCs/>
          <w:noProof/>
          <w:sz w:val="24"/>
          <w:szCs w:val="24"/>
        </w:rPr>
      </w:pPr>
    </w:p>
    <w:p w:rsidR="00557A2B" w:rsidRPr="003D719A" w:rsidRDefault="00557A2B" w:rsidP="00557A2B">
      <w:pPr>
        <w:suppressAutoHyphens/>
        <w:ind w:left="851"/>
        <w:rPr>
          <w:bCs/>
          <w:noProof/>
          <w:sz w:val="24"/>
          <w:szCs w:val="24"/>
        </w:rPr>
      </w:pPr>
      <w:r w:rsidRPr="003D719A">
        <w:rPr>
          <w:bCs/>
          <w:noProof/>
          <w:sz w:val="24"/>
          <w:szCs w:val="24"/>
        </w:rPr>
        <w:t>Andre uafhængigt bedømte sekundære og tertiære endepunkter omfattede kardiovaskulære, gastrointestinale og renale resultater. Derudover blev der udført et del-forsøg af 4</w:t>
      </w:r>
      <w:r w:rsidRPr="007F41CD">
        <w:rPr>
          <w:bCs/>
          <w:noProof/>
          <w:sz w:val="24"/>
          <w:szCs w:val="24"/>
        </w:rPr>
        <w:t> </w:t>
      </w:r>
      <w:r w:rsidRPr="003D719A">
        <w:rPr>
          <w:bCs/>
          <w:noProof/>
          <w:sz w:val="24"/>
          <w:szCs w:val="24"/>
        </w:rPr>
        <w:t>måneders varighed, hvor man fokuserede på virkningerne af 3</w:t>
      </w:r>
      <w:r w:rsidRPr="007F41CD">
        <w:rPr>
          <w:bCs/>
          <w:noProof/>
          <w:sz w:val="24"/>
          <w:szCs w:val="24"/>
        </w:rPr>
        <w:t> </w:t>
      </w:r>
      <w:r w:rsidRPr="003D719A">
        <w:rPr>
          <w:bCs/>
          <w:noProof/>
          <w:sz w:val="24"/>
          <w:szCs w:val="24"/>
        </w:rPr>
        <w:t>lægemidler på blodtryk, hvilket blev målt ved ambulant blodtryksmåling (ABPM).</w:t>
      </w:r>
    </w:p>
    <w:p w:rsidR="00557A2B" w:rsidRPr="003D719A" w:rsidRDefault="00557A2B" w:rsidP="00557A2B">
      <w:pPr>
        <w:suppressAutoHyphens/>
        <w:ind w:left="851"/>
        <w:rPr>
          <w:bCs/>
          <w:noProof/>
          <w:sz w:val="24"/>
          <w:szCs w:val="24"/>
        </w:rPr>
      </w:pPr>
    </w:p>
    <w:p w:rsidR="00557A2B" w:rsidRPr="003D719A" w:rsidRDefault="00557A2B" w:rsidP="00557A2B">
      <w:pPr>
        <w:suppressAutoHyphens/>
        <w:rPr>
          <w:b/>
          <w:bCs/>
          <w:noProof/>
          <w:sz w:val="24"/>
          <w:szCs w:val="24"/>
        </w:rPr>
      </w:pPr>
      <w:r w:rsidRPr="003D719A">
        <w:rPr>
          <w:b/>
          <w:bCs/>
          <w:noProof/>
          <w:sz w:val="24"/>
          <w:szCs w:val="24"/>
        </w:rPr>
        <w:t>Tabel 2. Primær analyse af det bedømte sammensatte APTC-endepunkt</w:t>
      </w:r>
    </w:p>
    <w:p w:rsidR="00557A2B" w:rsidRPr="003D719A" w:rsidRDefault="00557A2B" w:rsidP="00557A2B">
      <w:pPr>
        <w:suppressAutoHyphens/>
        <w:ind w:left="851"/>
        <w:rPr>
          <w:bCs/>
          <w:noProof/>
          <w:sz w:val="24"/>
          <w:szCs w:val="24"/>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6"/>
        <w:gridCol w:w="2514"/>
        <w:gridCol w:w="2520"/>
        <w:gridCol w:w="2520"/>
      </w:tblGrid>
      <w:tr w:rsidR="00557A2B" w:rsidRPr="003D719A" w:rsidTr="007F41CD">
        <w:trPr>
          <w:trHeight w:val="288"/>
        </w:trPr>
        <w:tc>
          <w:tcPr>
            <w:tcW w:w="9720" w:type="dxa"/>
            <w:gridSpan w:val="4"/>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keepNext/>
              <w:overflowPunct w:val="0"/>
              <w:autoSpaceDE w:val="0"/>
              <w:autoSpaceDN w:val="0"/>
              <w:adjustRightInd w:val="0"/>
              <w:textAlignment w:val="baseline"/>
              <w:rPr>
                <w:rFonts w:eastAsia="SimSun"/>
                <w:b/>
                <w:szCs w:val="24"/>
                <w:lang w:eastAsia="zh-CN"/>
              </w:rPr>
            </w:pPr>
            <w:r w:rsidRPr="003D719A">
              <w:rPr>
                <w:rFonts w:eastAsia="SimSun"/>
                <w:b/>
                <w:szCs w:val="24"/>
                <w:lang w:eastAsia="zh-CN"/>
              </w:rPr>
              <w:t>Intent-To-</w:t>
            </w:r>
            <w:proofErr w:type="spellStart"/>
            <w:r w:rsidRPr="003D719A">
              <w:rPr>
                <w:rFonts w:eastAsia="SimSun"/>
                <w:b/>
                <w:szCs w:val="24"/>
                <w:lang w:eastAsia="zh-CN"/>
              </w:rPr>
              <w:t>Treat</w:t>
            </w:r>
            <w:proofErr w:type="spellEnd"/>
            <w:r w:rsidRPr="003D719A">
              <w:rPr>
                <w:rFonts w:eastAsia="SimSun"/>
                <w:b/>
                <w:szCs w:val="24"/>
                <w:lang w:eastAsia="zh-CN"/>
              </w:rPr>
              <w:t xml:space="preserve"> analyse (ITT, efter 30</w:t>
            </w:r>
            <w:r w:rsidRPr="007F41CD">
              <w:rPr>
                <w:rFonts w:eastAsia="SimSun"/>
                <w:b/>
                <w:szCs w:val="24"/>
                <w:lang w:eastAsia="zh-CN"/>
              </w:rPr>
              <w:t> </w:t>
            </w:r>
            <w:r w:rsidRPr="003D719A">
              <w:rPr>
                <w:rFonts w:eastAsia="SimSun"/>
                <w:b/>
                <w:szCs w:val="24"/>
                <w:lang w:eastAsia="zh-CN"/>
              </w:rPr>
              <w:t>måneder)</w:t>
            </w:r>
          </w:p>
        </w:tc>
      </w:tr>
      <w:tr w:rsidR="00557A2B" w:rsidRPr="003D719A" w:rsidTr="007F41CD">
        <w:trPr>
          <w:trHeight w:val="288"/>
        </w:trPr>
        <w:tc>
          <w:tcPr>
            <w:tcW w:w="2166" w:type="dxa"/>
            <w:tcBorders>
              <w:top w:val="single" w:sz="4" w:space="0" w:color="auto"/>
              <w:left w:val="single" w:sz="4" w:space="0" w:color="auto"/>
              <w:bottom w:val="single" w:sz="4" w:space="0" w:color="auto"/>
              <w:right w:val="single" w:sz="4" w:space="0" w:color="auto"/>
            </w:tcBorders>
          </w:tcPr>
          <w:p w:rsidR="00557A2B" w:rsidRPr="003D719A" w:rsidRDefault="00557A2B" w:rsidP="007F41CD">
            <w:pPr>
              <w:keepNext/>
              <w:overflowPunct w:val="0"/>
              <w:autoSpaceDE w:val="0"/>
              <w:autoSpaceDN w:val="0"/>
              <w:adjustRightInd w:val="0"/>
              <w:textAlignment w:val="baseline"/>
              <w:rPr>
                <w:rFonts w:eastAsia="SimSun"/>
                <w:szCs w:val="24"/>
                <w:lang w:eastAsia="zh-CN"/>
              </w:rPr>
            </w:pPr>
          </w:p>
        </w:tc>
        <w:tc>
          <w:tcPr>
            <w:tcW w:w="2514"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keepNext/>
              <w:overflowPunct w:val="0"/>
              <w:autoSpaceDE w:val="0"/>
              <w:autoSpaceDN w:val="0"/>
              <w:adjustRightInd w:val="0"/>
              <w:jc w:val="center"/>
              <w:textAlignment w:val="baseline"/>
              <w:rPr>
                <w:rFonts w:eastAsia="SimSun"/>
                <w:b/>
                <w:szCs w:val="24"/>
                <w:lang w:eastAsia="zh-CN"/>
              </w:rPr>
            </w:pPr>
            <w:proofErr w:type="spellStart"/>
            <w:r w:rsidRPr="003D719A">
              <w:rPr>
                <w:rFonts w:eastAsia="SimSun"/>
                <w:b/>
                <w:szCs w:val="24"/>
                <w:lang w:eastAsia="zh-CN"/>
              </w:rPr>
              <w:t>Celecoxib</w:t>
            </w:r>
            <w:proofErr w:type="spellEnd"/>
            <w:r w:rsidRPr="003D719A">
              <w:rPr>
                <w:rFonts w:eastAsia="SimSun"/>
                <w:b/>
                <w:szCs w:val="24"/>
                <w:lang w:eastAsia="zh-CN"/>
              </w:rPr>
              <w:t xml:space="preserve"> 100-200</w:t>
            </w:r>
            <w:r w:rsidRPr="007F41CD">
              <w:rPr>
                <w:rFonts w:eastAsia="SimSun"/>
                <w:b/>
                <w:szCs w:val="24"/>
                <w:lang w:eastAsia="zh-CN"/>
              </w:rPr>
              <w:t> </w:t>
            </w:r>
            <w:r w:rsidRPr="003D719A">
              <w:rPr>
                <w:rFonts w:eastAsia="SimSun"/>
                <w:b/>
                <w:szCs w:val="24"/>
                <w:lang w:eastAsia="zh-CN"/>
              </w:rPr>
              <w:t>mg 2</w:t>
            </w:r>
            <w:r w:rsidRPr="007F41CD">
              <w:rPr>
                <w:rFonts w:eastAsia="SimSun"/>
                <w:b/>
                <w:szCs w:val="24"/>
                <w:lang w:eastAsia="zh-CN"/>
              </w:rPr>
              <w:t> </w:t>
            </w:r>
            <w:r w:rsidRPr="003D719A">
              <w:rPr>
                <w:rFonts w:eastAsia="SimSun"/>
                <w:b/>
                <w:szCs w:val="24"/>
                <w:lang w:eastAsia="zh-CN"/>
              </w:rPr>
              <w:t>gange daglig</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keepNext/>
              <w:overflowPunct w:val="0"/>
              <w:autoSpaceDE w:val="0"/>
              <w:autoSpaceDN w:val="0"/>
              <w:adjustRightInd w:val="0"/>
              <w:jc w:val="center"/>
              <w:textAlignment w:val="baseline"/>
              <w:rPr>
                <w:rFonts w:eastAsia="SimSun"/>
                <w:b/>
                <w:szCs w:val="24"/>
                <w:lang w:eastAsia="zh-CN"/>
              </w:rPr>
            </w:pPr>
            <w:r w:rsidRPr="003D719A">
              <w:rPr>
                <w:rFonts w:eastAsia="SimSun"/>
                <w:b/>
                <w:szCs w:val="24"/>
                <w:lang w:eastAsia="zh-CN"/>
              </w:rPr>
              <w:t>Ibuprofen 600-800</w:t>
            </w:r>
            <w:r w:rsidRPr="007F41CD">
              <w:rPr>
                <w:rFonts w:eastAsia="SimSun"/>
                <w:b/>
                <w:szCs w:val="24"/>
                <w:lang w:eastAsia="zh-CN"/>
              </w:rPr>
              <w:t> </w:t>
            </w:r>
            <w:r w:rsidRPr="003D719A">
              <w:rPr>
                <w:rFonts w:eastAsia="SimSun"/>
                <w:b/>
                <w:szCs w:val="24"/>
                <w:lang w:eastAsia="zh-CN"/>
              </w:rPr>
              <w:t>mg 3</w:t>
            </w:r>
            <w:r w:rsidRPr="007F41CD">
              <w:rPr>
                <w:rFonts w:eastAsia="SimSun"/>
                <w:b/>
                <w:szCs w:val="24"/>
                <w:lang w:eastAsia="zh-CN"/>
              </w:rPr>
              <w:t> </w:t>
            </w:r>
            <w:r w:rsidRPr="003D719A">
              <w:rPr>
                <w:rFonts w:eastAsia="SimSun"/>
                <w:b/>
                <w:szCs w:val="24"/>
                <w:lang w:eastAsia="zh-CN"/>
              </w:rPr>
              <w:t>gange daglig</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keepNext/>
              <w:overflowPunct w:val="0"/>
              <w:autoSpaceDE w:val="0"/>
              <w:autoSpaceDN w:val="0"/>
              <w:adjustRightInd w:val="0"/>
              <w:jc w:val="center"/>
              <w:textAlignment w:val="baseline"/>
              <w:rPr>
                <w:rFonts w:eastAsia="SimSun"/>
                <w:szCs w:val="24"/>
                <w:lang w:eastAsia="zh-CN"/>
              </w:rPr>
            </w:pPr>
            <w:proofErr w:type="spellStart"/>
            <w:r w:rsidRPr="003D719A">
              <w:rPr>
                <w:rFonts w:eastAsia="SimSun"/>
                <w:b/>
                <w:szCs w:val="24"/>
                <w:lang w:eastAsia="zh-CN"/>
              </w:rPr>
              <w:t>Naproxen</w:t>
            </w:r>
            <w:proofErr w:type="spellEnd"/>
            <w:r w:rsidRPr="003D719A">
              <w:rPr>
                <w:rFonts w:eastAsia="SimSun"/>
                <w:b/>
                <w:szCs w:val="24"/>
                <w:lang w:eastAsia="zh-CN"/>
              </w:rPr>
              <w:t xml:space="preserve"> 375-500</w:t>
            </w:r>
            <w:r w:rsidRPr="007F41CD">
              <w:rPr>
                <w:rFonts w:eastAsia="SimSun"/>
                <w:b/>
                <w:szCs w:val="24"/>
                <w:lang w:eastAsia="zh-CN"/>
              </w:rPr>
              <w:t> </w:t>
            </w:r>
            <w:r w:rsidRPr="003D719A">
              <w:rPr>
                <w:rFonts w:eastAsia="SimSun"/>
                <w:b/>
                <w:szCs w:val="24"/>
                <w:lang w:eastAsia="zh-CN"/>
              </w:rPr>
              <w:t>mg 2</w:t>
            </w:r>
            <w:r w:rsidRPr="007F41CD">
              <w:rPr>
                <w:rFonts w:eastAsia="SimSun"/>
                <w:b/>
                <w:szCs w:val="24"/>
                <w:lang w:eastAsia="zh-CN"/>
              </w:rPr>
              <w:t> </w:t>
            </w:r>
            <w:r w:rsidRPr="003D719A">
              <w:rPr>
                <w:rFonts w:eastAsia="SimSun"/>
                <w:b/>
                <w:szCs w:val="24"/>
                <w:lang w:eastAsia="zh-CN"/>
              </w:rPr>
              <w:t>gange daglig</w:t>
            </w:r>
          </w:p>
        </w:tc>
      </w:tr>
      <w:tr w:rsidR="00557A2B" w:rsidRPr="003D719A" w:rsidTr="007F41CD">
        <w:trPr>
          <w:trHeight w:val="288"/>
        </w:trPr>
        <w:tc>
          <w:tcPr>
            <w:tcW w:w="2166"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textAlignment w:val="baseline"/>
              <w:rPr>
                <w:rFonts w:eastAsia="SimSun"/>
                <w:szCs w:val="24"/>
                <w:lang w:eastAsia="zh-CN"/>
              </w:rPr>
            </w:pPr>
            <w:r w:rsidRPr="003D719A">
              <w:rPr>
                <w:rFonts w:eastAsia="SimSun"/>
                <w:szCs w:val="24"/>
                <w:lang w:eastAsia="zh-CN"/>
              </w:rPr>
              <w:t>N</w:t>
            </w:r>
          </w:p>
        </w:tc>
        <w:tc>
          <w:tcPr>
            <w:tcW w:w="2514"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lang w:eastAsia="zh-CN"/>
              </w:rPr>
            </w:pPr>
            <w:r w:rsidRPr="003D719A">
              <w:rPr>
                <w:rFonts w:eastAsia="SimSun"/>
                <w:szCs w:val="24"/>
                <w:lang w:eastAsia="zh-CN"/>
              </w:rPr>
              <w:t xml:space="preserve">8.072 </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lang w:eastAsia="zh-CN"/>
              </w:rPr>
            </w:pPr>
            <w:r w:rsidRPr="003D719A">
              <w:rPr>
                <w:rFonts w:eastAsia="SimSun"/>
                <w:szCs w:val="24"/>
                <w:lang w:eastAsia="zh-CN"/>
              </w:rPr>
              <w:t>8.040</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lang w:eastAsia="zh-CN"/>
              </w:rPr>
            </w:pPr>
            <w:r w:rsidRPr="003D719A">
              <w:rPr>
                <w:rFonts w:eastAsia="SimSun"/>
                <w:szCs w:val="24"/>
                <w:lang w:eastAsia="zh-CN"/>
              </w:rPr>
              <w:t>7.969</w:t>
            </w:r>
          </w:p>
        </w:tc>
      </w:tr>
      <w:tr w:rsidR="00557A2B" w:rsidRPr="003D719A" w:rsidTr="007F41CD">
        <w:trPr>
          <w:trHeight w:val="288"/>
        </w:trPr>
        <w:tc>
          <w:tcPr>
            <w:tcW w:w="2166"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textAlignment w:val="baseline"/>
              <w:rPr>
                <w:rFonts w:eastAsia="SimSun"/>
                <w:szCs w:val="24"/>
                <w:lang w:eastAsia="zh-CN"/>
              </w:rPr>
            </w:pPr>
            <w:r w:rsidRPr="003D719A">
              <w:rPr>
                <w:rFonts w:eastAsia="SimSun"/>
                <w:szCs w:val="24"/>
                <w:lang w:eastAsia="zh-CN"/>
              </w:rPr>
              <w:t>Forsøgspersoner med hændelser</w:t>
            </w:r>
          </w:p>
        </w:tc>
        <w:tc>
          <w:tcPr>
            <w:tcW w:w="2514"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lang w:eastAsia="zh-CN"/>
              </w:rPr>
            </w:pPr>
            <w:r w:rsidRPr="003D719A">
              <w:rPr>
                <w:rFonts w:eastAsia="SimSun"/>
                <w:color w:val="000000"/>
                <w:szCs w:val="24"/>
                <w:lang w:eastAsia="zh-CN"/>
              </w:rPr>
              <w:t>188 (2,3</w:t>
            </w:r>
            <w:r w:rsidRPr="007F41CD">
              <w:rPr>
                <w:rFonts w:eastAsia="SimSun"/>
                <w:color w:val="000000"/>
                <w:szCs w:val="24"/>
                <w:lang w:eastAsia="zh-CN"/>
              </w:rPr>
              <w:t> </w:t>
            </w:r>
            <w:r w:rsidRPr="003D719A">
              <w:rPr>
                <w:rFonts w:eastAsia="SimSun"/>
                <w:color w:val="000000"/>
                <w:szCs w:val="24"/>
                <w:lang w:eastAsia="zh-CN"/>
              </w:rPr>
              <w:t>%)</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color w:val="000000"/>
                <w:szCs w:val="24"/>
                <w:lang w:eastAsia="zh-CN"/>
              </w:rPr>
            </w:pPr>
            <w:r w:rsidRPr="003D719A">
              <w:rPr>
                <w:rFonts w:eastAsia="SimSun"/>
                <w:color w:val="000000"/>
                <w:szCs w:val="24"/>
                <w:lang w:eastAsia="zh-CN"/>
              </w:rPr>
              <w:t>218 (2,7</w:t>
            </w:r>
            <w:r w:rsidRPr="007F41CD">
              <w:rPr>
                <w:rFonts w:eastAsia="SimSun"/>
                <w:color w:val="000000"/>
                <w:szCs w:val="24"/>
                <w:lang w:eastAsia="zh-CN"/>
              </w:rPr>
              <w:t> </w:t>
            </w:r>
            <w:r w:rsidRPr="003D719A">
              <w:rPr>
                <w:rFonts w:eastAsia="SimSun"/>
                <w:color w:val="000000"/>
                <w:szCs w:val="24"/>
                <w:lang w:eastAsia="zh-CN"/>
              </w:rPr>
              <w:t>%)</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lang w:eastAsia="zh-CN"/>
              </w:rPr>
            </w:pPr>
            <w:r w:rsidRPr="003D719A">
              <w:rPr>
                <w:rFonts w:eastAsia="SimSun"/>
                <w:color w:val="000000"/>
                <w:szCs w:val="24"/>
                <w:lang w:eastAsia="zh-CN"/>
              </w:rPr>
              <w:t>201 (2,5</w:t>
            </w:r>
            <w:r w:rsidRPr="007F41CD">
              <w:rPr>
                <w:rFonts w:eastAsia="SimSun"/>
                <w:color w:val="000000"/>
                <w:szCs w:val="24"/>
                <w:lang w:eastAsia="zh-CN"/>
              </w:rPr>
              <w:t> </w:t>
            </w:r>
            <w:r w:rsidRPr="003D719A">
              <w:rPr>
                <w:rFonts w:eastAsia="SimSun"/>
                <w:color w:val="000000"/>
                <w:szCs w:val="24"/>
                <w:lang w:eastAsia="zh-CN"/>
              </w:rPr>
              <w:t>%)</w:t>
            </w:r>
          </w:p>
        </w:tc>
      </w:tr>
      <w:tr w:rsidR="00557A2B" w:rsidRPr="003D719A" w:rsidTr="007F41CD">
        <w:trPr>
          <w:trHeight w:val="288"/>
        </w:trPr>
        <w:tc>
          <w:tcPr>
            <w:tcW w:w="2166"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textAlignment w:val="baseline"/>
              <w:rPr>
                <w:rFonts w:eastAsia="SimSun"/>
                <w:szCs w:val="24"/>
                <w:lang w:eastAsia="zh-CN"/>
              </w:rPr>
            </w:pPr>
            <w:r w:rsidRPr="003D719A">
              <w:rPr>
                <w:rFonts w:eastAsia="SimSun"/>
                <w:szCs w:val="24"/>
                <w:lang w:eastAsia="zh-CN"/>
              </w:rPr>
              <w:t>Parvis sammenligning</w:t>
            </w:r>
          </w:p>
        </w:tc>
        <w:tc>
          <w:tcPr>
            <w:tcW w:w="2514"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b/>
                <w:szCs w:val="24"/>
                <w:lang w:eastAsia="zh-CN"/>
              </w:rPr>
            </w:pPr>
            <w:proofErr w:type="spellStart"/>
            <w:r w:rsidRPr="003D719A">
              <w:rPr>
                <w:rFonts w:eastAsia="SimSun"/>
                <w:b/>
                <w:szCs w:val="24"/>
                <w:lang w:eastAsia="zh-CN"/>
              </w:rPr>
              <w:t>Celecoxib</w:t>
            </w:r>
            <w:proofErr w:type="spellEnd"/>
            <w:r w:rsidRPr="003D719A">
              <w:rPr>
                <w:rFonts w:eastAsia="SimSun"/>
                <w:b/>
                <w:szCs w:val="24"/>
                <w:lang w:eastAsia="zh-CN"/>
              </w:rPr>
              <w:t xml:space="preserve"> vs. </w:t>
            </w:r>
            <w:proofErr w:type="spellStart"/>
            <w:r w:rsidRPr="003D719A">
              <w:rPr>
                <w:rFonts w:eastAsia="SimSun"/>
                <w:b/>
                <w:szCs w:val="24"/>
                <w:lang w:eastAsia="zh-CN"/>
              </w:rPr>
              <w:t>naproxen</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b/>
                <w:szCs w:val="24"/>
                <w:lang w:eastAsia="zh-CN"/>
              </w:rPr>
            </w:pPr>
            <w:proofErr w:type="spellStart"/>
            <w:r w:rsidRPr="003D719A">
              <w:rPr>
                <w:rFonts w:eastAsia="SimSun"/>
                <w:b/>
                <w:szCs w:val="24"/>
                <w:lang w:eastAsia="zh-CN"/>
              </w:rPr>
              <w:t>Celecoxib</w:t>
            </w:r>
            <w:proofErr w:type="spellEnd"/>
            <w:r w:rsidRPr="003D719A">
              <w:rPr>
                <w:rFonts w:eastAsia="SimSun"/>
                <w:b/>
                <w:szCs w:val="24"/>
                <w:lang w:eastAsia="zh-CN"/>
              </w:rPr>
              <w:t xml:space="preserve"> vs. ibuprofen </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lang w:eastAsia="zh-CN"/>
              </w:rPr>
            </w:pPr>
            <w:r w:rsidRPr="003D719A">
              <w:rPr>
                <w:rFonts w:eastAsia="SimSun"/>
                <w:b/>
                <w:szCs w:val="24"/>
                <w:lang w:eastAsia="zh-CN"/>
              </w:rPr>
              <w:t xml:space="preserve">Ibuprofen vs. </w:t>
            </w:r>
            <w:proofErr w:type="spellStart"/>
            <w:r w:rsidRPr="003D719A">
              <w:rPr>
                <w:rFonts w:eastAsia="SimSun"/>
                <w:b/>
                <w:szCs w:val="24"/>
                <w:lang w:eastAsia="zh-CN"/>
              </w:rPr>
              <w:t>naproxen</w:t>
            </w:r>
            <w:proofErr w:type="spellEnd"/>
            <w:r w:rsidRPr="003D719A">
              <w:rPr>
                <w:rFonts w:eastAsia="SimSun"/>
                <w:b/>
                <w:szCs w:val="24"/>
                <w:lang w:eastAsia="zh-CN"/>
              </w:rPr>
              <w:t xml:space="preserve"> </w:t>
            </w:r>
          </w:p>
        </w:tc>
      </w:tr>
      <w:tr w:rsidR="00557A2B" w:rsidRPr="003D719A" w:rsidTr="007F41CD">
        <w:trPr>
          <w:trHeight w:val="301"/>
        </w:trPr>
        <w:tc>
          <w:tcPr>
            <w:tcW w:w="2166"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textAlignment w:val="baseline"/>
              <w:rPr>
                <w:rFonts w:eastAsia="SimSun"/>
                <w:szCs w:val="24"/>
                <w:lang w:eastAsia="zh-CN"/>
              </w:rPr>
            </w:pPr>
            <w:r w:rsidRPr="007F41CD">
              <w:rPr>
                <w:rFonts w:eastAsia="SimSun"/>
                <w:szCs w:val="24"/>
                <w:lang w:eastAsia="zh-CN"/>
              </w:rPr>
              <w:t xml:space="preserve">  </w:t>
            </w:r>
            <w:r w:rsidRPr="003D719A">
              <w:rPr>
                <w:rFonts w:eastAsia="SimSun"/>
                <w:szCs w:val="24"/>
                <w:lang w:eastAsia="zh-CN"/>
              </w:rPr>
              <w:t>HR (95</w:t>
            </w:r>
            <w:r w:rsidRPr="007F41CD">
              <w:rPr>
                <w:rFonts w:eastAsia="SimSun"/>
                <w:szCs w:val="24"/>
                <w:lang w:eastAsia="zh-CN"/>
              </w:rPr>
              <w:t> </w:t>
            </w:r>
            <w:r w:rsidRPr="003D719A">
              <w:rPr>
                <w:rFonts w:eastAsia="SimSun"/>
                <w:szCs w:val="24"/>
                <w:lang w:eastAsia="zh-CN"/>
              </w:rPr>
              <w:t>%</w:t>
            </w:r>
            <w:r w:rsidRPr="007F41CD">
              <w:rPr>
                <w:rFonts w:eastAsia="SimSun"/>
                <w:szCs w:val="24"/>
                <w:lang w:eastAsia="zh-CN"/>
              </w:rPr>
              <w:t> </w:t>
            </w:r>
            <w:r w:rsidRPr="003D719A">
              <w:rPr>
                <w:rFonts w:eastAsia="SimSun"/>
                <w:szCs w:val="24"/>
                <w:lang w:eastAsia="zh-CN"/>
              </w:rPr>
              <w:t>CI)</w:t>
            </w:r>
          </w:p>
        </w:tc>
        <w:tc>
          <w:tcPr>
            <w:tcW w:w="2514"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color w:val="000000"/>
                <w:szCs w:val="24"/>
                <w:lang w:eastAsia="zh-CN"/>
              </w:rPr>
            </w:pPr>
            <w:r w:rsidRPr="003D719A">
              <w:rPr>
                <w:rFonts w:eastAsia="SimSun"/>
                <w:color w:val="000000"/>
                <w:szCs w:val="24"/>
              </w:rPr>
              <w:t>0,93 (0,76</w:t>
            </w:r>
            <w:r w:rsidRPr="007F41CD">
              <w:rPr>
                <w:rFonts w:eastAsia="SimSun"/>
                <w:color w:val="000000"/>
                <w:szCs w:val="24"/>
              </w:rPr>
              <w:t>‒</w:t>
            </w:r>
            <w:r w:rsidRPr="003D719A">
              <w:rPr>
                <w:rFonts w:eastAsia="SimSun"/>
                <w:color w:val="000000"/>
                <w:szCs w:val="24"/>
              </w:rPr>
              <w:t>1,13)</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color w:val="000000"/>
                <w:szCs w:val="24"/>
                <w:lang w:eastAsia="zh-CN"/>
              </w:rPr>
            </w:pPr>
            <w:r w:rsidRPr="003D719A">
              <w:rPr>
                <w:rFonts w:eastAsia="SimSun"/>
                <w:color w:val="000000"/>
                <w:szCs w:val="24"/>
              </w:rPr>
              <w:t>0,8</w:t>
            </w:r>
            <w:r w:rsidRPr="003D719A">
              <w:rPr>
                <w:rFonts w:eastAsia="SimSun"/>
                <w:color w:val="000000"/>
                <w:szCs w:val="24"/>
                <w:lang w:eastAsia="zh-CN"/>
              </w:rPr>
              <w:t>6</w:t>
            </w:r>
            <w:r w:rsidRPr="003D719A">
              <w:rPr>
                <w:rFonts w:eastAsia="SimSun"/>
                <w:color w:val="000000"/>
                <w:szCs w:val="24"/>
              </w:rPr>
              <w:t xml:space="preserve"> (0,</w:t>
            </w:r>
            <w:r w:rsidRPr="003D719A">
              <w:rPr>
                <w:rFonts w:eastAsia="SimSun"/>
                <w:color w:val="000000"/>
                <w:szCs w:val="24"/>
                <w:lang w:eastAsia="zh-CN"/>
              </w:rPr>
              <w:t>70</w:t>
            </w:r>
            <w:r w:rsidRPr="007F41CD">
              <w:rPr>
                <w:rFonts w:eastAsia="SimSun"/>
                <w:color w:val="000000"/>
                <w:szCs w:val="24"/>
              </w:rPr>
              <w:t>‒</w:t>
            </w:r>
            <w:r w:rsidRPr="003D719A">
              <w:rPr>
                <w:rFonts w:eastAsia="SimSun"/>
                <w:color w:val="000000"/>
                <w:szCs w:val="24"/>
              </w:rPr>
              <w:t>1,0</w:t>
            </w:r>
            <w:r w:rsidRPr="003D719A">
              <w:rPr>
                <w:rFonts w:eastAsia="SimSun"/>
                <w:color w:val="000000"/>
                <w:szCs w:val="24"/>
                <w:lang w:eastAsia="zh-CN"/>
              </w:rPr>
              <w:t>4</w:t>
            </w:r>
            <w:r w:rsidRPr="003D719A">
              <w:rPr>
                <w:rFonts w:eastAsia="SimSun"/>
                <w:color w:val="000000"/>
                <w:szCs w:val="24"/>
              </w:rPr>
              <w:t>)</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color w:val="000000"/>
                <w:szCs w:val="24"/>
                <w:lang w:eastAsia="zh-CN"/>
              </w:rPr>
            </w:pPr>
            <w:r w:rsidRPr="003D719A">
              <w:rPr>
                <w:rFonts w:eastAsia="SimSun"/>
                <w:color w:val="000000"/>
                <w:szCs w:val="24"/>
              </w:rPr>
              <w:t>1,</w:t>
            </w:r>
            <w:r w:rsidRPr="003D719A">
              <w:rPr>
                <w:rFonts w:eastAsia="SimSun"/>
                <w:color w:val="000000"/>
                <w:szCs w:val="24"/>
                <w:lang w:eastAsia="zh-CN"/>
              </w:rPr>
              <w:t xml:space="preserve">08 </w:t>
            </w:r>
            <w:r w:rsidRPr="003D719A">
              <w:rPr>
                <w:rFonts w:eastAsia="SimSun"/>
                <w:color w:val="000000"/>
                <w:szCs w:val="24"/>
              </w:rPr>
              <w:t>(0,</w:t>
            </w:r>
            <w:r w:rsidRPr="003D719A">
              <w:rPr>
                <w:rFonts w:eastAsia="SimSun"/>
                <w:color w:val="000000"/>
                <w:szCs w:val="24"/>
                <w:lang w:eastAsia="zh-CN"/>
              </w:rPr>
              <w:t>89</w:t>
            </w:r>
            <w:r w:rsidRPr="007F41CD">
              <w:rPr>
                <w:rFonts w:eastAsia="SimSun"/>
                <w:color w:val="000000"/>
                <w:szCs w:val="24"/>
              </w:rPr>
              <w:t>‒</w:t>
            </w:r>
            <w:r w:rsidRPr="003D719A">
              <w:rPr>
                <w:rFonts w:eastAsia="SimSun"/>
                <w:color w:val="000000"/>
                <w:szCs w:val="24"/>
              </w:rPr>
              <w:t>1,</w:t>
            </w:r>
            <w:r w:rsidRPr="003D719A">
              <w:rPr>
                <w:rFonts w:eastAsia="SimSun"/>
                <w:color w:val="000000"/>
                <w:szCs w:val="24"/>
                <w:lang w:eastAsia="zh-CN"/>
              </w:rPr>
              <w:t>31</w:t>
            </w:r>
            <w:r w:rsidRPr="003D719A">
              <w:rPr>
                <w:rFonts w:eastAsia="SimSun"/>
                <w:color w:val="000000"/>
                <w:szCs w:val="24"/>
              </w:rPr>
              <w:t>)</w:t>
            </w:r>
          </w:p>
        </w:tc>
      </w:tr>
      <w:tr w:rsidR="00557A2B" w:rsidRPr="003D719A" w:rsidTr="007F41CD">
        <w:trPr>
          <w:trHeight w:val="288"/>
        </w:trPr>
        <w:tc>
          <w:tcPr>
            <w:tcW w:w="9720" w:type="dxa"/>
            <w:gridSpan w:val="4"/>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textAlignment w:val="baseline"/>
              <w:rPr>
                <w:rFonts w:eastAsia="SimSun"/>
                <w:color w:val="000000"/>
                <w:szCs w:val="24"/>
              </w:rPr>
            </w:pPr>
            <w:r w:rsidRPr="003D719A">
              <w:rPr>
                <w:rFonts w:eastAsia="SimSun"/>
                <w:b/>
                <w:szCs w:val="24"/>
                <w:lang w:eastAsia="zh-CN"/>
              </w:rPr>
              <w:t>Modificeret Intent-To-</w:t>
            </w:r>
            <w:proofErr w:type="spellStart"/>
            <w:r w:rsidRPr="003D719A">
              <w:rPr>
                <w:rFonts w:eastAsia="SimSun"/>
                <w:b/>
                <w:szCs w:val="24"/>
                <w:lang w:eastAsia="zh-CN"/>
              </w:rPr>
              <w:t>Treat</w:t>
            </w:r>
            <w:proofErr w:type="spellEnd"/>
            <w:r w:rsidRPr="003D719A">
              <w:rPr>
                <w:rFonts w:eastAsia="SimSun"/>
                <w:b/>
                <w:szCs w:val="24"/>
                <w:lang w:eastAsia="zh-CN"/>
              </w:rPr>
              <w:t xml:space="preserve"> analyse (</w:t>
            </w:r>
            <w:proofErr w:type="spellStart"/>
            <w:r w:rsidRPr="003D719A">
              <w:rPr>
                <w:rFonts w:eastAsia="SimSun"/>
                <w:b/>
                <w:szCs w:val="24"/>
                <w:lang w:eastAsia="zh-CN"/>
              </w:rPr>
              <w:t>mITT</w:t>
            </w:r>
            <w:proofErr w:type="spellEnd"/>
            <w:r w:rsidRPr="003D719A">
              <w:rPr>
                <w:rFonts w:eastAsia="SimSun"/>
                <w:b/>
                <w:szCs w:val="24"/>
                <w:lang w:eastAsia="zh-CN"/>
              </w:rPr>
              <w:t>, efter 43 måneders behandling)</w:t>
            </w:r>
          </w:p>
        </w:tc>
      </w:tr>
      <w:tr w:rsidR="00557A2B" w:rsidRPr="003D719A" w:rsidTr="007F41CD">
        <w:trPr>
          <w:trHeight w:val="288"/>
        </w:trPr>
        <w:tc>
          <w:tcPr>
            <w:tcW w:w="2166" w:type="dxa"/>
            <w:tcBorders>
              <w:top w:val="single" w:sz="4" w:space="0" w:color="auto"/>
              <w:left w:val="single" w:sz="4" w:space="0" w:color="auto"/>
              <w:bottom w:val="single" w:sz="4" w:space="0" w:color="auto"/>
              <w:right w:val="single" w:sz="4" w:space="0" w:color="auto"/>
            </w:tcBorders>
          </w:tcPr>
          <w:p w:rsidR="00557A2B" w:rsidRPr="003D719A" w:rsidRDefault="00557A2B" w:rsidP="007F41CD">
            <w:pPr>
              <w:overflowPunct w:val="0"/>
              <w:autoSpaceDE w:val="0"/>
              <w:autoSpaceDN w:val="0"/>
              <w:adjustRightInd w:val="0"/>
              <w:textAlignment w:val="baseline"/>
              <w:rPr>
                <w:rFonts w:eastAsia="SimSun"/>
                <w:szCs w:val="24"/>
                <w:lang w:eastAsia="zh-CN"/>
              </w:rPr>
            </w:pPr>
          </w:p>
        </w:tc>
        <w:tc>
          <w:tcPr>
            <w:tcW w:w="2514"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b/>
                <w:szCs w:val="24"/>
                <w:lang w:eastAsia="zh-CN"/>
              </w:rPr>
            </w:pPr>
            <w:proofErr w:type="spellStart"/>
            <w:r w:rsidRPr="003D719A">
              <w:rPr>
                <w:rFonts w:eastAsia="SimSun"/>
                <w:b/>
                <w:szCs w:val="24"/>
                <w:lang w:eastAsia="zh-CN"/>
              </w:rPr>
              <w:t>Celecoxib</w:t>
            </w:r>
            <w:proofErr w:type="spellEnd"/>
            <w:r w:rsidRPr="003D719A">
              <w:rPr>
                <w:rFonts w:eastAsia="SimSun"/>
                <w:b/>
                <w:szCs w:val="24"/>
                <w:lang w:eastAsia="zh-CN"/>
              </w:rPr>
              <w:t xml:space="preserve"> 100-200</w:t>
            </w:r>
            <w:r w:rsidRPr="007F41CD">
              <w:rPr>
                <w:rFonts w:eastAsia="SimSun"/>
                <w:b/>
                <w:szCs w:val="24"/>
                <w:lang w:eastAsia="zh-CN"/>
              </w:rPr>
              <w:t> </w:t>
            </w:r>
            <w:r w:rsidRPr="003D719A">
              <w:rPr>
                <w:rFonts w:eastAsia="SimSun"/>
                <w:b/>
                <w:szCs w:val="24"/>
                <w:lang w:eastAsia="zh-CN"/>
              </w:rPr>
              <w:t>mg 2</w:t>
            </w:r>
            <w:r w:rsidRPr="007F41CD">
              <w:rPr>
                <w:rFonts w:eastAsia="SimSun"/>
                <w:b/>
                <w:szCs w:val="24"/>
                <w:lang w:eastAsia="zh-CN"/>
              </w:rPr>
              <w:t> </w:t>
            </w:r>
            <w:r w:rsidRPr="003D719A">
              <w:rPr>
                <w:rFonts w:eastAsia="SimSun"/>
                <w:b/>
                <w:szCs w:val="24"/>
                <w:lang w:eastAsia="zh-CN"/>
              </w:rPr>
              <w:t>gange daglig</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b/>
                <w:szCs w:val="24"/>
                <w:lang w:eastAsia="zh-CN"/>
              </w:rPr>
            </w:pPr>
            <w:r w:rsidRPr="003D719A">
              <w:rPr>
                <w:rFonts w:eastAsia="SimSun"/>
                <w:b/>
                <w:szCs w:val="24"/>
                <w:lang w:eastAsia="zh-CN"/>
              </w:rPr>
              <w:t>Ibuprofen 600-800</w:t>
            </w:r>
            <w:r w:rsidRPr="007F41CD">
              <w:rPr>
                <w:rFonts w:eastAsia="SimSun"/>
                <w:b/>
                <w:szCs w:val="24"/>
                <w:lang w:eastAsia="zh-CN"/>
              </w:rPr>
              <w:t> </w:t>
            </w:r>
            <w:r w:rsidRPr="003D719A">
              <w:rPr>
                <w:rFonts w:eastAsia="SimSun"/>
                <w:b/>
                <w:szCs w:val="24"/>
                <w:lang w:eastAsia="zh-CN"/>
              </w:rPr>
              <w:t>mg 3</w:t>
            </w:r>
            <w:r w:rsidRPr="007F41CD">
              <w:rPr>
                <w:rFonts w:eastAsia="SimSun"/>
                <w:b/>
                <w:szCs w:val="24"/>
                <w:lang w:eastAsia="zh-CN"/>
              </w:rPr>
              <w:t> </w:t>
            </w:r>
            <w:r w:rsidRPr="003D719A">
              <w:rPr>
                <w:rFonts w:eastAsia="SimSun"/>
                <w:b/>
                <w:szCs w:val="24"/>
                <w:lang w:eastAsia="zh-CN"/>
              </w:rPr>
              <w:t>gange daglig</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lang w:eastAsia="zh-CN"/>
              </w:rPr>
            </w:pPr>
            <w:proofErr w:type="spellStart"/>
            <w:r w:rsidRPr="003D719A">
              <w:rPr>
                <w:rFonts w:eastAsia="SimSun"/>
                <w:b/>
                <w:szCs w:val="24"/>
                <w:lang w:eastAsia="zh-CN"/>
              </w:rPr>
              <w:t>Naproxen</w:t>
            </w:r>
            <w:proofErr w:type="spellEnd"/>
            <w:r w:rsidRPr="003D719A">
              <w:rPr>
                <w:rFonts w:eastAsia="SimSun"/>
                <w:b/>
                <w:szCs w:val="24"/>
                <w:lang w:eastAsia="zh-CN"/>
              </w:rPr>
              <w:t xml:space="preserve"> 375-500</w:t>
            </w:r>
            <w:r w:rsidRPr="007F41CD">
              <w:rPr>
                <w:rFonts w:eastAsia="SimSun"/>
                <w:b/>
                <w:szCs w:val="24"/>
                <w:lang w:eastAsia="zh-CN"/>
              </w:rPr>
              <w:t> </w:t>
            </w:r>
            <w:r w:rsidRPr="003D719A">
              <w:rPr>
                <w:rFonts w:eastAsia="SimSun"/>
                <w:b/>
                <w:szCs w:val="24"/>
                <w:lang w:eastAsia="zh-CN"/>
              </w:rPr>
              <w:t>mg 2</w:t>
            </w:r>
            <w:r w:rsidRPr="007F41CD">
              <w:rPr>
                <w:rFonts w:eastAsia="SimSun"/>
                <w:b/>
                <w:szCs w:val="24"/>
                <w:lang w:eastAsia="zh-CN"/>
              </w:rPr>
              <w:t> </w:t>
            </w:r>
            <w:r w:rsidRPr="003D719A">
              <w:rPr>
                <w:rFonts w:eastAsia="SimSun"/>
                <w:b/>
                <w:szCs w:val="24"/>
                <w:lang w:eastAsia="zh-CN"/>
              </w:rPr>
              <w:t>gange daglig</w:t>
            </w:r>
          </w:p>
        </w:tc>
      </w:tr>
      <w:tr w:rsidR="00557A2B" w:rsidRPr="003D719A" w:rsidTr="007F41CD">
        <w:trPr>
          <w:trHeight w:val="288"/>
        </w:trPr>
        <w:tc>
          <w:tcPr>
            <w:tcW w:w="2166"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textAlignment w:val="baseline"/>
              <w:rPr>
                <w:rFonts w:eastAsia="SimSun"/>
                <w:szCs w:val="24"/>
                <w:lang w:eastAsia="zh-CN"/>
              </w:rPr>
            </w:pPr>
            <w:r w:rsidRPr="003D719A">
              <w:rPr>
                <w:rFonts w:eastAsia="SimSun"/>
                <w:szCs w:val="24"/>
                <w:lang w:eastAsia="zh-CN"/>
              </w:rPr>
              <w:t>N</w:t>
            </w:r>
          </w:p>
        </w:tc>
        <w:tc>
          <w:tcPr>
            <w:tcW w:w="2514"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rPr>
            </w:pPr>
            <w:r w:rsidRPr="003D719A">
              <w:rPr>
                <w:rFonts w:eastAsia="SimSun"/>
                <w:szCs w:val="24"/>
              </w:rPr>
              <w:t>8.030</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rPr>
            </w:pPr>
            <w:r w:rsidRPr="003D719A">
              <w:rPr>
                <w:rFonts w:eastAsia="SimSun"/>
                <w:szCs w:val="24"/>
              </w:rPr>
              <w:t>7.990</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rPr>
            </w:pPr>
            <w:r w:rsidRPr="003D719A">
              <w:rPr>
                <w:rFonts w:eastAsia="SimSun"/>
                <w:szCs w:val="24"/>
              </w:rPr>
              <w:t>7.933</w:t>
            </w:r>
          </w:p>
        </w:tc>
      </w:tr>
      <w:tr w:rsidR="00557A2B" w:rsidRPr="003D719A" w:rsidTr="007F41CD">
        <w:trPr>
          <w:trHeight w:val="288"/>
        </w:trPr>
        <w:tc>
          <w:tcPr>
            <w:tcW w:w="2166"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textAlignment w:val="baseline"/>
              <w:rPr>
                <w:rFonts w:eastAsia="SimSun"/>
                <w:szCs w:val="24"/>
                <w:lang w:eastAsia="zh-CN"/>
              </w:rPr>
            </w:pPr>
            <w:r w:rsidRPr="003D719A">
              <w:rPr>
                <w:rFonts w:eastAsia="SimSun"/>
                <w:szCs w:val="24"/>
                <w:lang w:eastAsia="zh-CN"/>
              </w:rPr>
              <w:t>Forsøgspersoner med hændelser</w:t>
            </w:r>
          </w:p>
        </w:tc>
        <w:tc>
          <w:tcPr>
            <w:tcW w:w="2514"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lang w:eastAsia="zh-CN"/>
              </w:rPr>
            </w:pPr>
            <w:r w:rsidRPr="003D719A">
              <w:rPr>
                <w:rFonts w:eastAsia="SimSun"/>
                <w:color w:val="000000"/>
                <w:szCs w:val="24"/>
                <w:lang w:eastAsia="zh-CN"/>
              </w:rPr>
              <w:t>134 (1,7</w:t>
            </w:r>
            <w:r w:rsidRPr="007F41CD">
              <w:rPr>
                <w:rFonts w:eastAsia="SimSun"/>
                <w:color w:val="000000"/>
                <w:szCs w:val="24"/>
                <w:lang w:eastAsia="zh-CN"/>
              </w:rPr>
              <w:t> </w:t>
            </w:r>
            <w:r w:rsidRPr="003D719A">
              <w:rPr>
                <w:rFonts w:eastAsia="SimSun"/>
                <w:color w:val="000000"/>
                <w:szCs w:val="24"/>
                <w:lang w:eastAsia="zh-CN"/>
              </w:rPr>
              <w:t>%)</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color w:val="000000"/>
                <w:szCs w:val="24"/>
                <w:lang w:eastAsia="zh-CN"/>
              </w:rPr>
            </w:pPr>
            <w:r w:rsidRPr="003D719A">
              <w:rPr>
                <w:rFonts w:eastAsia="SimSun"/>
                <w:color w:val="000000"/>
                <w:szCs w:val="24"/>
                <w:lang w:eastAsia="zh-CN"/>
              </w:rPr>
              <w:t>155 (1,9</w:t>
            </w:r>
            <w:r w:rsidRPr="007F41CD">
              <w:rPr>
                <w:rFonts w:eastAsia="SimSun"/>
                <w:color w:val="000000"/>
                <w:szCs w:val="24"/>
                <w:lang w:eastAsia="zh-CN"/>
              </w:rPr>
              <w:t> </w:t>
            </w:r>
            <w:r w:rsidRPr="003D719A">
              <w:rPr>
                <w:rFonts w:eastAsia="SimSun"/>
                <w:color w:val="000000"/>
                <w:szCs w:val="24"/>
                <w:lang w:eastAsia="zh-CN"/>
              </w:rPr>
              <w:t>%)</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lang w:eastAsia="zh-CN"/>
              </w:rPr>
            </w:pPr>
            <w:r w:rsidRPr="003D719A">
              <w:rPr>
                <w:rFonts w:eastAsia="SimSun"/>
                <w:color w:val="000000"/>
                <w:szCs w:val="24"/>
                <w:lang w:eastAsia="zh-CN"/>
              </w:rPr>
              <w:t>144 (1,8</w:t>
            </w:r>
            <w:r w:rsidRPr="007F41CD">
              <w:rPr>
                <w:rFonts w:eastAsia="SimSun"/>
                <w:color w:val="000000"/>
                <w:szCs w:val="24"/>
                <w:lang w:eastAsia="zh-CN"/>
              </w:rPr>
              <w:t> </w:t>
            </w:r>
            <w:r w:rsidRPr="003D719A">
              <w:rPr>
                <w:rFonts w:eastAsia="SimSun"/>
                <w:color w:val="000000"/>
                <w:szCs w:val="24"/>
                <w:lang w:eastAsia="zh-CN"/>
              </w:rPr>
              <w:t>%)</w:t>
            </w:r>
          </w:p>
        </w:tc>
      </w:tr>
      <w:tr w:rsidR="00557A2B" w:rsidRPr="003D719A" w:rsidTr="007F41CD">
        <w:trPr>
          <w:trHeight w:val="288"/>
        </w:trPr>
        <w:tc>
          <w:tcPr>
            <w:tcW w:w="2166"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textAlignment w:val="baseline"/>
              <w:rPr>
                <w:rFonts w:eastAsia="SimSun"/>
                <w:szCs w:val="24"/>
                <w:lang w:eastAsia="zh-CN"/>
              </w:rPr>
            </w:pPr>
            <w:r w:rsidRPr="003D719A">
              <w:rPr>
                <w:rFonts w:eastAsia="SimSun"/>
                <w:szCs w:val="24"/>
                <w:lang w:eastAsia="zh-CN"/>
              </w:rPr>
              <w:t>Parvis sammenligning</w:t>
            </w:r>
          </w:p>
        </w:tc>
        <w:tc>
          <w:tcPr>
            <w:tcW w:w="2514"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b/>
                <w:szCs w:val="24"/>
                <w:lang w:eastAsia="zh-CN"/>
              </w:rPr>
            </w:pPr>
            <w:proofErr w:type="spellStart"/>
            <w:r w:rsidRPr="003D719A">
              <w:rPr>
                <w:rFonts w:eastAsia="SimSun"/>
                <w:b/>
                <w:szCs w:val="24"/>
                <w:lang w:eastAsia="zh-CN"/>
              </w:rPr>
              <w:t>Celecoxib</w:t>
            </w:r>
            <w:proofErr w:type="spellEnd"/>
            <w:r w:rsidRPr="003D719A">
              <w:rPr>
                <w:rFonts w:eastAsia="SimSun"/>
                <w:b/>
                <w:szCs w:val="24"/>
                <w:lang w:eastAsia="zh-CN"/>
              </w:rPr>
              <w:t xml:space="preserve"> vs. </w:t>
            </w:r>
            <w:proofErr w:type="spellStart"/>
            <w:r w:rsidRPr="003D719A">
              <w:rPr>
                <w:rFonts w:eastAsia="SimSun"/>
                <w:b/>
                <w:szCs w:val="24"/>
                <w:lang w:eastAsia="zh-CN"/>
              </w:rPr>
              <w:t>naproxen</w:t>
            </w:r>
            <w:proofErr w:type="spellEnd"/>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b/>
                <w:szCs w:val="24"/>
                <w:lang w:eastAsia="zh-CN"/>
              </w:rPr>
            </w:pPr>
            <w:proofErr w:type="spellStart"/>
            <w:r w:rsidRPr="003D719A">
              <w:rPr>
                <w:rFonts w:eastAsia="SimSun"/>
                <w:b/>
                <w:szCs w:val="24"/>
                <w:lang w:eastAsia="zh-CN"/>
              </w:rPr>
              <w:t>Celecoxib</w:t>
            </w:r>
            <w:proofErr w:type="spellEnd"/>
            <w:r w:rsidRPr="003D719A">
              <w:rPr>
                <w:rFonts w:eastAsia="SimSun"/>
                <w:b/>
                <w:szCs w:val="24"/>
                <w:lang w:eastAsia="zh-CN"/>
              </w:rPr>
              <w:t xml:space="preserve"> vs. ibuprofen </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szCs w:val="24"/>
                <w:lang w:eastAsia="zh-CN"/>
              </w:rPr>
            </w:pPr>
            <w:r w:rsidRPr="003D719A">
              <w:rPr>
                <w:rFonts w:eastAsia="SimSun"/>
                <w:b/>
                <w:szCs w:val="24"/>
                <w:lang w:eastAsia="zh-CN"/>
              </w:rPr>
              <w:t xml:space="preserve">Ibuprofen vs. </w:t>
            </w:r>
            <w:proofErr w:type="spellStart"/>
            <w:r w:rsidRPr="003D719A">
              <w:rPr>
                <w:rFonts w:eastAsia="SimSun"/>
                <w:b/>
                <w:szCs w:val="24"/>
                <w:lang w:eastAsia="zh-CN"/>
              </w:rPr>
              <w:t>naproxen</w:t>
            </w:r>
            <w:proofErr w:type="spellEnd"/>
            <w:r w:rsidRPr="003D719A">
              <w:rPr>
                <w:rFonts w:eastAsia="SimSun"/>
                <w:b/>
                <w:szCs w:val="24"/>
                <w:lang w:eastAsia="zh-CN"/>
              </w:rPr>
              <w:t xml:space="preserve"> </w:t>
            </w:r>
          </w:p>
        </w:tc>
      </w:tr>
      <w:tr w:rsidR="00557A2B" w:rsidRPr="003D719A" w:rsidTr="007F41CD">
        <w:trPr>
          <w:trHeight w:val="288"/>
        </w:trPr>
        <w:tc>
          <w:tcPr>
            <w:tcW w:w="2166"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textAlignment w:val="baseline"/>
              <w:rPr>
                <w:rFonts w:eastAsia="SimSun"/>
                <w:szCs w:val="24"/>
                <w:lang w:eastAsia="zh-CN"/>
              </w:rPr>
            </w:pPr>
            <w:r w:rsidRPr="003D719A">
              <w:rPr>
                <w:rFonts w:eastAsia="SimSun"/>
                <w:szCs w:val="24"/>
                <w:lang w:eastAsia="zh-CN"/>
              </w:rPr>
              <w:t xml:space="preserve">  HR (95</w:t>
            </w:r>
            <w:r w:rsidRPr="007F41CD">
              <w:rPr>
                <w:rFonts w:eastAsia="SimSun"/>
                <w:szCs w:val="24"/>
                <w:lang w:eastAsia="zh-CN"/>
              </w:rPr>
              <w:t> </w:t>
            </w:r>
            <w:r w:rsidRPr="003D719A">
              <w:rPr>
                <w:rFonts w:eastAsia="SimSun"/>
                <w:szCs w:val="24"/>
                <w:lang w:eastAsia="zh-CN"/>
              </w:rPr>
              <w:t>%</w:t>
            </w:r>
            <w:r w:rsidRPr="007F41CD">
              <w:rPr>
                <w:rFonts w:eastAsia="SimSun"/>
                <w:szCs w:val="24"/>
                <w:lang w:eastAsia="zh-CN"/>
              </w:rPr>
              <w:t> </w:t>
            </w:r>
            <w:r w:rsidRPr="003D719A">
              <w:rPr>
                <w:rFonts w:eastAsia="SimSun"/>
                <w:szCs w:val="24"/>
                <w:lang w:eastAsia="zh-CN"/>
              </w:rPr>
              <w:t>CI)</w:t>
            </w:r>
          </w:p>
        </w:tc>
        <w:tc>
          <w:tcPr>
            <w:tcW w:w="2514"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color w:val="000000"/>
                <w:szCs w:val="24"/>
                <w:lang w:eastAsia="zh-CN"/>
              </w:rPr>
            </w:pPr>
            <w:r w:rsidRPr="003D719A">
              <w:rPr>
                <w:rFonts w:eastAsia="SimSun"/>
                <w:color w:val="000000"/>
                <w:szCs w:val="24"/>
              </w:rPr>
              <w:t>0,90 (0,72</w:t>
            </w:r>
            <w:r w:rsidRPr="007F41CD">
              <w:rPr>
                <w:rFonts w:eastAsia="SimSun"/>
                <w:color w:val="000000"/>
                <w:szCs w:val="24"/>
              </w:rPr>
              <w:t>‒</w:t>
            </w:r>
            <w:r w:rsidRPr="003D719A">
              <w:rPr>
                <w:rFonts w:eastAsia="SimSun"/>
                <w:color w:val="000000"/>
                <w:szCs w:val="24"/>
              </w:rPr>
              <w:t>1.14)</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color w:val="000000"/>
                <w:szCs w:val="24"/>
                <w:lang w:eastAsia="zh-CN"/>
              </w:rPr>
            </w:pPr>
            <w:r w:rsidRPr="003D719A">
              <w:rPr>
                <w:rFonts w:eastAsia="SimSun"/>
                <w:color w:val="000000"/>
                <w:szCs w:val="24"/>
              </w:rPr>
              <w:t>0,81 (0,64</w:t>
            </w:r>
            <w:r w:rsidRPr="007F41CD">
              <w:rPr>
                <w:rFonts w:eastAsia="SimSun"/>
                <w:color w:val="000000"/>
                <w:szCs w:val="24"/>
              </w:rPr>
              <w:t>‒</w:t>
            </w:r>
            <w:r w:rsidRPr="003D719A">
              <w:rPr>
                <w:rFonts w:eastAsia="SimSun"/>
                <w:color w:val="000000"/>
                <w:szCs w:val="24"/>
              </w:rPr>
              <w:t>1,02)</w:t>
            </w:r>
          </w:p>
        </w:tc>
        <w:tc>
          <w:tcPr>
            <w:tcW w:w="2520" w:type="dxa"/>
            <w:tcBorders>
              <w:top w:val="single" w:sz="4" w:space="0" w:color="auto"/>
              <w:left w:val="single" w:sz="4" w:space="0" w:color="auto"/>
              <w:bottom w:val="single" w:sz="4" w:space="0" w:color="auto"/>
              <w:right w:val="single" w:sz="4" w:space="0" w:color="auto"/>
            </w:tcBorders>
            <w:hideMark/>
          </w:tcPr>
          <w:p w:rsidR="00557A2B" w:rsidRPr="003D719A" w:rsidRDefault="00557A2B" w:rsidP="007F41CD">
            <w:pPr>
              <w:overflowPunct w:val="0"/>
              <w:autoSpaceDE w:val="0"/>
              <w:autoSpaceDN w:val="0"/>
              <w:adjustRightInd w:val="0"/>
              <w:jc w:val="center"/>
              <w:textAlignment w:val="baseline"/>
              <w:rPr>
                <w:rFonts w:eastAsia="SimSun"/>
                <w:color w:val="000000"/>
                <w:szCs w:val="24"/>
                <w:lang w:eastAsia="zh-CN"/>
              </w:rPr>
            </w:pPr>
            <w:r w:rsidRPr="003D719A">
              <w:rPr>
                <w:rFonts w:eastAsia="SimSun"/>
                <w:color w:val="000000"/>
                <w:szCs w:val="24"/>
              </w:rPr>
              <w:t>1,</w:t>
            </w:r>
            <w:r w:rsidRPr="003D719A">
              <w:rPr>
                <w:rFonts w:eastAsia="SimSun"/>
                <w:color w:val="000000"/>
                <w:szCs w:val="24"/>
                <w:lang w:eastAsia="zh-CN"/>
              </w:rPr>
              <w:t>12</w:t>
            </w:r>
            <w:r w:rsidRPr="003D719A">
              <w:rPr>
                <w:rFonts w:eastAsia="SimSun"/>
                <w:color w:val="000000"/>
                <w:szCs w:val="24"/>
              </w:rPr>
              <w:t xml:space="preserve"> (0,</w:t>
            </w:r>
            <w:r w:rsidRPr="003D719A">
              <w:rPr>
                <w:rFonts w:eastAsia="SimSun"/>
                <w:color w:val="000000"/>
                <w:szCs w:val="24"/>
                <w:lang w:eastAsia="zh-CN"/>
              </w:rPr>
              <w:t>889</w:t>
            </w:r>
            <w:r w:rsidRPr="007F41CD">
              <w:rPr>
                <w:rFonts w:eastAsia="SimSun"/>
                <w:color w:val="000000"/>
                <w:szCs w:val="24"/>
                <w:lang w:eastAsia="zh-CN"/>
              </w:rPr>
              <w:t>‒</w:t>
            </w:r>
            <w:r w:rsidRPr="003D719A">
              <w:rPr>
                <w:rFonts w:eastAsia="SimSun"/>
                <w:color w:val="000000"/>
                <w:szCs w:val="24"/>
              </w:rPr>
              <w:t>1,</w:t>
            </w:r>
            <w:r w:rsidRPr="003D719A">
              <w:rPr>
                <w:rFonts w:eastAsia="SimSun"/>
                <w:color w:val="000000"/>
                <w:szCs w:val="24"/>
                <w:lang w:eastAsia="zh-CN"/>
              </w:rPr>
              <w:t>40</w:t>
            </w:r>
            <w:r w:rsidRPr="003D719A">
              <w:rPr>
                <w:rFonts w:eastAsia="SimSun"/>
                <w:color w:val="000000"/>
                <w:szCs w:val="24"/>
              </w:rPr>
              <w:t>)</w:t>
            </w:r>
          </w:p>
        </w:tc>
      </w:tr>
    </w:tbl>
    <w:p w:rsidR="00557A2B" w:rsidRPr="003D719A" w:rsidRDefault="00557A2B" w:rsidP="00557A2B">
      <w:pPr>
        <w:rPr>
          <w:sz w:val="20"/>
        </w:rPr>
      </w:pPr>
      <w:r w:rsidRPr="003D719A">
        <w:rPr>
          <w:sz w:val="20"/>
        </w:rPr>
        <w:t xml:space="preserve">HR - </w:t>
      </w:r>
      <w:proofErr w:type="spellStart"/>
      <w:r w:rsidRPr="003D719A">
        <w:rPr>
          <w:sz w:val="20"/>
        </w:rPr>
        <w:t>hazard</w:t>
      </w:r>
      <w:proofErr w:type="spellEnd"/>
      <w:r w:rsidRPr="003D719A">
        <w:rPr>
          <w:sz w:val="20"/>
        </w:rPr>
        <w:t xml:space="preserve"> ratio</w:t>
      </w:r>
    </w:p>
    <w:p w:rsidR="00557A2B" w:rsidRPr="003D719A" w:rsidRDefault="00557A2B" w:rsidP="00557A2B">
      <w:pPr>
        <w:ind w:left="851"/>
        <w:rPr>
          <w:szCs w:val="24"/>
        </w:rPr>
      </w:pPr>
    </w:p>
    <w:p w:rsidR="00557A2B" w:rsidRPr="003D719A" w:rsidRDefault="00557A2B" w:rsidP="00557A2B">
      <w:pPr>
        <w:suppressAutoHyphens/>
        <w:ind w:left="851"/>
        <w:rPr>
          <w:bCs/>
          <w:noProof/>
          <w:sz w:val="24"/>
          <w:szCs w:val="24"/>
        </w:rPr>
      </w:pPr>
      <w:r w:rsidRPr="003D719A">
        <w:rPr>
          <w:bCs/>
          <w:noProof/>
          <w:sz w:val="24"/>
          <w:szCs w:val="24"/>
        </w:rPr>
        <w:t>Resultaterne var overvejende numerisk identiske mellem celecoxib- og komparator</w:t>
      </w:r>
      <w:r w:rsidRPr="003D719A">
        <w:rPr>
          <w:bCs/>
          <w:noProof/>
          <w:sz w:val="24"/>
          <w:szCs w:val="24"/>
        </w:rPr>
        <w:softHyphen/>
        <w:t>grupperne for de sekundære og tertiære endepunkter, og man fandt ingen uventede sikkerhedsproblemer.</w:t>
      </w:r>
    </w:p>
    <w:p w:rsidR="00557A2B" w:rsidRPr="003D719A" w:rsidRDefault="00557A2B" w:rsidP="00557A2B">
      <w:pPr>
        <w:suppressAutoHyphens/>
        <w:ind w:left="851"/>
        <w:rPr>
          <w:bCs/>
          <w:noProof/>
          <w:sz w:val="24"/>
          <w:szCs w:val="24"/>
        </w:rPr>
      </w:pPr>
    </w:p>
    <w:p w:rsidR="00557A2B" w:rsidRPr="003D719A" w:rsidRDefault="00557A2B" w:rsidP="00557A2B">
      <w:pPr>
        <w:suppressAutoHyphens/>
        <w:ind w:left="851"/>
        <w:rPr>
          <w:bCs/>
          <w:noProof/>
          <w:sz w:val="24"/>
          <w:szCs w:val="24"/>
        </w:rPr>
      </w:pPr>
      <w:r w:rsidRPr="003D719A">
        <w:rPr>
          <w:bCs/>
          <w:noProof/>
          <w:sz w:val="24"/>
          <w:szCs w:val="24"/>
        </w:rPr>
        <w:t>Med hensyn til kardiovaskulære bivirkninger tyder PRECISION-forsøget samlet set på, at celecoxib i den laveste godkendte dosis på 100</w:t>
      </w:r>
      <w:r w:rsidRPr="007F41CD">
        <w:rPr>
          <w:bCs/>
          <w:noProof/>
          <w:sz w:val="24"/>
          <w:szCs w:val="24"/>
        </w:rPr>
        <w:t> </w:t>
      </w:r>
      <w:r w:rsidRPr="003D719A">
        <w:rPr>
          <w:bCs/>
          <w:noProof/>
          <w:sz w:val="24"/>
          <w:szCs w:val="24"/>
        </w:rPr>
        <w:t>mg 2</w:t>
      </w:r>
      <w:r w:rsidRPr="007F41CD">
        <w:rPr>
          <w:bCs/>
          <w:noProof/>
          <w:sz w:val="24"/>
          <w:szCs w:val="24"/>
        </w:rPr>
        <w:t> </w:t>
      </w:r>
      <w:r w:rsidRPr="003D719A">
        <w:rPr>
          <w:bCs/>
          <w:noProof/>
          <w:sz w:val="24"/>
          <w:szCs w:val="24"/>
        </w:rPr>
        <w:t>gange daglig ikke er inferiørt sammenlignet med ibuprofen i en dosis i intervallet 600</w:t>
      </w:r>
      <w:r w:rsidRPr="007F41CD">
        <w:rPr>
          <w:bCs/>
          <w:noProof/>
          <w:sz w:val="24"/>
          <w:szCs w:val="24"/>
        </w:rPr>
        <w:t>‒</w:t>
      </w:r>
      <w:r w:rsidRPr="003D719A">
        <w:rPr>
          <w:bCs/>
          <w:noProof/>
          <w:sz w:val="24"/>
          <w:szCs w:val="24"/>
        </w:rPr>
        <w:t>800</w:t>
      </w:r>
      <w:r w:rsidRPr="007F41CD">
        <w:rPr>
          <w:bCs/>
          <w:noProof/>
          <w:sz w:val="24"/>
          <w:szCs w:val="24"/>
        </w:rPr>
        <w:t> </w:t>
      </w:r>
      <w:r w:rsidRPr="003D719A">
        <w:rPr>
          <w:bCs/>
          <w:noProof/>
          <w:sz w:val="24"/>
          <w:szCs w:val="24"/>
        </w:rPr>
        <w:t>mg 3</w:t>
      </w:r>
      <w:r w:rsidRPr="007F41CD">
        <w:rPr>
          <w:bCs/>
          <w:noProof/>
          <w:sz w:val="24"/>
          <w:szCs w:val="24"/>
        </w:rPr>
        <w:t> </w:t>
      </w:r>
      <w:r w:rsidRPr="003D719A">
        <w:rPr>
          <w:bCs/>
          <w:noProof/>
          <w:sz w:val="24"/>
          <w:szCs w:val="24"/>
        </w:rPr>
        <w:t>gange daglig, eller naproxen i en dosis i intervallet 375</w:t>
      </w:r>
      <w:r w:rsidRPr="007F41CD">
        <w:rPr>
          <w:bCs/>
          <w:noProof/>
          <w:sz w:val="24"/>
          <w:szCs w:val="24"/>
        </w:rPr>
        <w:t>‒</w:t>
      </w:r>
      <w:r w:rsidRPr="003D719A">
        <w:rPr>
          <w:bCs/>
          <w:noProof/>
          <w:sz w:val="24"/>
          <w:szCs w:val="24"/>
        </w:rPr>
        <w:t>500</w:t>
      </w:r>
      <w:r w:rsidRPr="007F41CD">
        <w:rPr>
          <w:bCs/>
          <w:noProof/>
          <w:sz w:val="24"/>
          <w:szCs w:val="24"/>
        </w:rPr>
        <w:t> </w:t>
      </w:r>
      <w:r w:rsidRPr="003D719A">
        <w:rPr>
          <w:bCs/>
          <w:noProof/>
          <w:sz w:val="24"/>
          <w:szCs w:val="24"/>
        </w:rPr>
        <w:t>mg 2</w:t>
      </w:r>
      <w:r w:rsidRPr="007F41CD">
        <w:rPr>
          <w:bCs/>
          <w:noProof/>
          <w:sz w:val="24"/>
          <w:szCs w:val="24"/>
        </w:rPr>
        <w:t> </w:t>
      </w:r>
      <w:r w:rsidRPr="003D719A">
        <w:rPr>
          <w:bCs/>
          <w:noProof/>
          <w:sz w:val="24"/>
          <w:szCs w:val="24"/>
        </w:rPr>
        <w:t>gange daglig. De kardiovaskulære risici inden for NSAID-klassen, herunder COX-2-hæmmere, er dosisafhængige. Derfor kan resultaterne for virkningen af celecoxib 200</w:t>
      </w:r>
      <w:r w:rsidRPr="007F41CD">
        <w:rPr>
          <w:bCs/>
          <w:noProof/>
          <w:sz w:val="24"/>
          <w:szCs w:val="24"/>
        </w:rPr>
        <w:t> </w:t>
      </w:r>
      <w:r w:rsidRPr="003D719A">
        <w:rPr>
          <w:bCs/>
          <w:noProof/>
          <w:sz w:val="24"/>
          <w:szCs w:val="24"/>
        </w:rPr>
        <w:t>mg daglig på det sammensatte kardio</w:t>
      </w:r>
      <w:r w:rsidRPr="003D719A">
        <w:rPr>
          <w:bCs/>
          <w:noProof/>
          <w:sz w:val="24"/>
          <w:szCs w:val="24"/>
        </w:rPr>
        <w:softHyphen/>
        <w:t>vaskulære endepunkt ikke ekstrapoleres til dosisregimer, der anvender højere doser af celecoxib.</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5.2</w:t>
      </w:r>
      <w:r w:rsidRPr="00BF3106">
        <w:rPr>
          <w:b/>
          <w:sz w:val="24"/>
          <w:szCs w:val="24"/>
        </w:rPr>
        <w:tab/>
      </w:r>
      <w:proofErr w:type="spellStart"/>
      <w:r w:rsidRPr="00BF3106">
        <w:rPr>
          <w:b/>
          <w:sz w:val="24"/>
          <w:szCs w:val="24"/>
        </w:rPr>
        <w:t>Farmakokinetiske</w:t>
      </w:r>
      <w:proofErr w:type="spellEnd"/>
      <w:r w:rsidRPr="00BF3106">
        <w:rPr>
          <w:b/>
          <w:sz w:val="24"/>
          <w:szCs w:val="24"/>
        </w:rPr>
        <w:t xml:space="preserve"> egenskaber</w:t>
      </w:r>
    </w:p>
    <w:p w:rsidR="008A2EC7" w:rsidRDefault="008A2EC7" w:rsidP="008A2EC7">
      <w:pPr>
        <w:ind w:left="851"/>
        <w:rPr>
          <w:sz w:val="24"/>
          <w:szCs w:val="24"/>
          <w:u w:val="single"/>
        </w:rPr>
      </w:pPr>
    </w:p>
    <w:p w:rsidR="008A2EC7" w:rsidRPr="00BF3106" w:rsidRDefault="008A2EC7" w:rsidP="008A2EC7">
      <w:pPr>
        <w:ind w:left="851"/>
        <w:rPr>
          <w:sz w:val="24"/>
          <w:szCs w:val="24"/>
          <w:u w:val="single"/>
        </w:rPr>
      </w:pPr>
      <w:r w:rsidRPr="00BF3106">
        <w:rPr>
          <w:sz w:val="24"/>
          <w:szCs w:val="24"/>
          <w:u w:val="single"/>
        </w:rPr>
        <w:t>Absorption</w:t>
      </w:r>
    </w:p>
    <w:p w:rsidR="008A2EC7" w:rsidRPr="00BF3106" w:rsidRDefault="008A2EC7" w:rsidP="008A2EC7">
      <w:pPr>
        <w:ind w:left="851"/>
        <w:rPr>
          <w:sz w:val="24"/>
          <w:szCs w:val="24"/>
        </w:rPr>
      </w:pPr>
      <w:proofErr w:type="spellStart"/>
      <w:r w:rsidRPr="00BF3106">
        <w:rPr>
          <w:sz w:val="24"/>
          <w:szCs w:val="24"/>
        </w:rPr>
        <w:t>Celecoxib</w:t>
      </w:r>
      <w:proofErr w:type="spellEnd"/>
      <w:r w:rsidRPr="00BF3106">
        <w:rPr>
          <w:sz w:val="24"/>
          <w:szCs w:val="24"/>
        </w:rPr>
        <w:t xml:space="preserve"> absorberes godt, og den maksimale plasmakoncentration opnås efter ca. 2-3 timer. Indtagelse sammen med føde (fedtrigt måltid) forsinker absorptionen af </w:t>
      </w:r>
      <w:proofErr w:type="spellStart"/>
      <w:r w:rsidRPr="00BF3106">
        <w:rPr>
          <w:sz w:val="24"/>
          <w:szCs w:val="24"/>
        </w:rPr>
        <w:t>celecoxib</w:t>
      </w:r>
      <w:proofErr w:type="spellEnd"/>
      <w:r w:rsidRPr="00BF3106">
        <w:rPr>
          <w:sz w:val="24"/>
          <w:szCs w:val="24"/>
        </w:rPr>
        <w:t xml:space="preserve"> med ca. 1 time, hvilket medfører et </w:t>
      </w:r>
      <w:proofErr w:type="spellStart"/>
      <w:r w:rsidRPr="00BF3106">
        <w:rPr>
          <w:sz w:val="24"/>
          <w:szCs w:val="24"/>
        </w:rPr>
        <w:t>T</w:t>
      </w:r>
      <w:r w:rsidRPr="00BF3106">
        <w:rPr>
          <w:sz w:val="24"/>
          <w:szCs w:val="24"/>
          <w:vertAlign w:val="subscript"/>
        </w:rPr>
        <w:t>max</w:t>
      </w:r>
      <w:proofErr w:type="spellEnd"/>
      <w:r w:rsidRPr="00BF3106">
        <w:rPr>
          <w:sz w:val="24"/>
          <w:szCs w:val="24"/>
        </w:rPr>
        <w:t xml:space="preserve"> på ca. 4 timer og øger biotilgængeligheden med ca. 20 %.</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 xml:space="preserve">Hos raske voksne frivillige var den samlede systemiske eksponering (AUC) for </w:t>
      </w:r>
      <w:proofErr w:type="spellStart"/>
      <w:r w:rsidRPr="00BF3106">
        <w:rPr>
          <w:sz w:val="24"/>
          <w:szCs w:val="24"/>
        </w:rPr>
        <w:t>celecoxib</w:t>
      </w:r>
      <w:proofErr w:type="spellEnd"/>
      <w:r w:rsidRPr="00BF3106">
        <w:rPr>
          <w:sz w:val="24"/>
          <w:szCs w:val="24"/>
        </w:rPr>
        <w:t xml:space="preserve"> den samme, uanset om </w:t>
      </w:r>
      <w:proofErr w:type="spellStart"/>
      <w:r w:rsidRPr="00BF3106">
        <w:rPr>
          <w:sz w:val="24"/>
          <w:szCs w:val="24"/>
        </w:rPr>
        <w:t>celecoxib</w:t>
      </w:r>
      <w:proofErr w:type="spellEnd"/>
      <w:r w:rsidRPr="00BF3106">
        <w:rPr>
          <w:sz w:val="24"/>
          <w:szCs w:val="24"/>
        </w:rPr>
        <w:t xml:space="preserve"> blev administreret som intakt kapsel, eller om kapselindholdet blev drysset ud over æblemos. Der var ingen signifikante ændringer i </w:t>
      </w:r>
      <w:proofErr w:type="spellStart"/>
      <w:r w:rsidRPr="00BF3106">
        <w:rPr>
          <w:sz w:val="24"/>
          <w:szCs w:val="24"/>
        </w:rPr>
        <w:t>C</w:t>
      </w:r>
      <w:r w:rsidRPr="00BF3106">
        <w:rPr>
          <w:sz w:val="24"/>
          <w:szCs w:val="24"/>
          <w:vertAlign w:val="subscript"/>
        </w:rPr>
        <w:t>max</w:t>
      </w:r>
      <w:proofErr w:type="spellEnd"/>
      <w:r w:rsidRPr="00BF3106">
        <w:rPr>
          <w:sz w:val="24"/>
          <w:szCs w:val="24"/>
        </w:rPr>
        <w:t xml:space="preserve">, </w:t>
      </w:r>
      <w:proofErr w:type="spellStart"/>
      <w:r w:rsidRPr="00BF3106">
        <w:rPr>
          <w:sz w:val="24"/>
          <w:szCs w:val="24"/>
        </w:rPr>
        <w:t>T</w:t>
      </w:r>
      <w:r w:rsidRPr="00BF3106">
        <w:rPr>
          <w:sz w:val="24"/>
          <w:szCs w:val="24"/>
          <w:vertAlign w:val="subscript"/>
        </w:rPr>
        <w:t>max</w:t>
      </w:r>
      <w:proofErr w:type="spellEnd"/>
      <w:r w:rsidRPr="00BF3106">
        <w:rPr>
          <w:sz w:val="24"/>
          <w:szCs w:val="24"/>
        </w:rPr>
        <w:t xml:space="preserve"> eller T</w:t>
      </w:r>
      <w:r w:rsidRPr="00BF3106">
        <w:rPr>
          <w:sz w:val="24"/>
          <w:szCs w:val="24"/>
          <w:vertAlign w:val="subscript"/>
        </w:rPr>
        <w:t>1/2</w:t>
      </w:r>
      <w:r w:rsidRPr="00BF3106">
        <w:rPr>
          <w:sz w:val="24"/>
          <w:szCs w:val="24"/>
        </w:rPr>
        <w:t xml:space="preserve"> efter administration af kapselindholdet på æblemos.</w:t>
      </w:r>
    </w:p>
    <w:p w:rsidR="008A2EC7" w:rsidRPr="00BF3106" w:rsidRDefault="008A2EC7" w:rsidP="008A2EC7">
      <w:pPr>
        <w:ind w:left="851"/>
        <w:rPr>
          <w:sz w:val="24"/>
          <w:szCs w:val="24"/>
        </w:rPr>
      </w:pPr>
    </w:p>
    <w:p w:rsidR="008A2EC7" w:rsidRPr="00BF3106" w:rsidRDefault="008A2EC7" w:rsidP="008A2EC7">
      <w:pPr>
        <w:ind w:left="851"/>
        <w:rPr>
          <w:sz w:val="24"/>
          <w:szCs w:val="24"/>
          <w:u w:val="single"/>
        </w:rPr>
      </w:pPr>
      <w:r w:rsidRPr="00BF3106">
        <w:rPr>
          <w:noProof/>
          <w:sz w:val="24"/>
          <w:szCs w:val="24"/>
          <w:u w:val="single"/>
        </w:rPr>
        <w:t>Fordeling</w:t>
      </w:r>
    </w:p>
    <w:p w:rsidR="00557A2B" w:rsidRPr="00BF3106" w:rsidRDefault="00557A2B" w:rsidP="00557A2B">
      <w:pPr>
        <w:ind w:left="851"/>
        <w:rPr>
          <w:sz w:val="24"/>
          <w:szCs w:val="24"/>
        </w:rPr>
      </w:pPr>
      <w:r w:rsidRPr="00BF3106">
        <w:rPr>
          <w:sz w:val="24"/>
          <w:szCs w:val="24"/>
        </w:rPr>
        <w:t xml:space="preserve">Plasmaproteinbindingen er ca. 97 % ved terapeutiske plasmakoncentrationer, og </w:t>
      </w:r>
      <w:r w:rsidRPr="003D719A">
        <w:rPr>
          <w:sz w:val="24"/>
          <w:szCs w:val="24"/>
        </w:rPr>
        <w:t>lægemidlet har ikke præference for binding til erytrocytterne.</w:t>
      </w:r>
    </w:p>
    <w:p w:rsidR="008A2EC7" w:rsidRPr="00BF3106" w:rsidRDefault="008A2EC7" w:rsidP="008A2EC7">
      <w:pPr>
        <w:ind w:left="851"/>
        <w:rPr>
          <w:sz w:val="24"/>
          <w:szCs w:val="24"/>
          <w:u w:val="single"/>
        </w:rPr>
      </w:pPr>
    </w:p>
    <w:p w:rsidR="008A2EC7" w:rsidRPr="00BF3106" w:rsidRDefault="008A2EC7" w:rsidP="008A2EC7">
      <w:pPr>
        <w:ind w:left="851"/>
        <w:rPr>
          <w:sz w:val="24"/>
          <w:szCs w:val="24"/>
          <w:u w:val="single"/>
        </w:rPr>
      </w:pPr>
      <w:r w:rsidRPr="00BF3106">
        <w:rPr>
          <w:sz w:val="24"/>
          <w:szCs w:val="24"/>
          <w:u w:val="single"/>
        </w:rPr>
        <w:t>Biotransformation</w:t>
      </w:r>
    </w:p>
    <w:p w:rsidR="008A2EC7" w:rsidRPr="00BF3106" w:rsidRDefault="008A2EC7" w:rsidP="008A2EC7">
      <w:pPr>
        <w:ind w:left="851"/>
        <w:rPr>
          <w:sz w:val="24"/>
          <w:szCs w:val="24"/>
        </w:rPr>
      </w:pPr>
      <w:proofErr w:type="spellStart"/>
      <w:r w:rsidRPr="00BF3106">
        <w:rPr>
          <w:sz w:val="24"/>
          <w:szCs w:val="24"/>
        </w:rPr>
        <w:t>Celecoxibs</w:t>
      </w:r>
      <w:proofErr w:type="spellEnd"/>
      <w:r w:rsidRPr="00BF3106">
        <w:rPr>
          <w:sz w:val="24"/>
          <w:szCs w:val="24"/>
        </w:rPr>
        <w:t xml:space="preserve"> metabolisme medieres hovedsageligt af </w:t>
      </w:r>
      <w:proofErr w:type="spellStart"/>
      <w:r w:rsidRPr="00BF3106">
        <w:rPr>
          <w:sz w:val="24"/>
          <w:szCs w:val="24"/>
        </w:rPr>
        <w:t>cytokrom</w:t>
      </w:r>
      <w:proofErr w:type="spellEnd"/>
      <w:r w:rsidRPr="00BF3106">
        <w:rPr>
          <w:sz w:val="24"/>
          <w:szCs w:val="24"/>
        </w:rPr>
        <w:t xml:space="preserve"> P450 2C9. Der er identificeret tre metabolitter, inaktive som COX-1- eller COX-2-hæmmere, i humant plasma, dvs. en primær alkohol, den tilsvarende carboxylsyre og dets </w:t>
      </w:r>
      <w:proofErr w:type="spellStart"/>
      <w:r w:rsidRPr="00BF3106">
        <w:rPr>
          <w:sz w:val="24"/>
          <w:szCs w:val="24"/>
        </w:rPr>
        <w:t>glukuronidkonjugat</w:t>
      </w:r>
      <w:proofErr w:type="spellEnd"/>
      <w:r w:rsidRPr="00BF3106">
        <w:rPr>
          <w:sz w:val="24"/>
          <w:szCs w:val="24"/>
        </w:rPr>
        <w:t>.</w:t>
      </w:r>
    </w:p>
    <w:p w:rsidR="008A2EC7" w:rsidRPr="00BF3106" w:rsidRDefault="008A2EC7" w:rsidP="008A2EC7">
      <w:pPr>
        <w:ind w:left="851"/>
        <w:rPr>
          <w:sz w:val="24"/>
          <w:szCs w:val="24"/>
        </w:rPr>
      </w:pPr>
    </w:p>
    <w:p w:rsidR="008A2EC7" w:rsidRPr="00BF3106" w:rsidRDefault="008A2EC7" w:rsidP="008A2EC7">
      <w:pPr>
        <w:ind w:left="851"/>
        <w:rPr>
          <w:sz w:val="24"/>
          <w:szCs w:val="24"/>
        </w:rPr>
      </w:pPr>
      <w:proofErr w:type="spellStart"/>
      <w:r w:rsidRPr="00BF3106">
        <w:rPr>
          <w:sz w:val="24"/>
          <w:szCs w:val="24"/>
        </w:rPr>
        <w:t>Cytokrom</w:t>
      </w:r>
      <w:proofErr w:type="spellEnd"/>
      <w:r w:rsidRPr="00BF3106">
        <w:rPr>
          <w:sz w:val="24"/>
          <w:szCs w:val="24"/>
        </w:rPr>
        <w:t xml:space="preserve"> P450 2C9-aktiviteten er nedsat hos personer med genetiske polymorfismer, der fører til nedsat enzymaktivitet, som f.eks. personer, der er </w:t>
      </w:r>
      <w:proofErr w:type="spellStart"/>
      <w:r w:rsidRPr="00BF3106">
        <w:rPr>
          <w:sz w:val="24"/>
          <w:szCs w:val="24"/>
        </w:rPr>
        <w:t>homozygote</w:t>
      </w:r>
      <w:proofErr w:type="spellEnd"/>
      <w:r w:rsidRPr="00BF3106">
        <w:rPr>
          <w:sz w:val="24"/>
          <w:szCs w:val="24"/>
        </w:rPr>
        <w:t xml:space="preserve"> for CYP2C9*3-polymorfisme.</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 xml:space="preserve">I et </w:t>
      </w:r>
      <w:proofErr w:type="spellStart"/>
      <w:r w:rsidRPr="00BF3106">
        <w:rPr>
          <w:sz w:val="24"/>
          <w:szCs w:val="24"/>
        </w:rPr>
        <w:t>farmakokinetisk</w:t>
      </w:r>
      <w:proofErr w:type="spellEnd"/>
      <w:r w:rsidRPr="00BF3106">
        <w:rPr>
          <w:sz w:val="24"/>
          <w:szCs w:val="24"/>
        </w:rPr>
        <w:t xml:space="preserve"> forsøg med </w:t>
      </w:r>
      <w:proofErr w:type="spellStart"/>
      <w:r w:rsidRPr="00BF3106">
        <w:rPr>
          <w:sz w:val="24"/>
          <w:szCs w:val="24"/>
        </w:rPr>
        <w:t>celecoxib</w:t>
      </w:r>
      <w:proofErr w:type="spellEnd"/>
      <w:r w:rsidRPr="00BF3106">
        <w:rPr>
          <w:sz w:val="24"/>
          <w:szCs w:val="24"/>
        </w:rPr>
        <w:t xml:space="preserve"> 200 mg indgivet én gang dagligt til raske frivillige forsøgspersoner med genotype CYP2C9*1/*1, CYP2C9*1/*3 eller CYP2C9*3/*3 var median </w:t>
      </w:r>
      <w:proofErr w:type="spellStart"/>
      <w:r w:rsidRPr="00BF3106">
        <w:rPr>
          <w:sz w:val="24"/>
          <w:szCs w:val="24"/>
        </w:rPr>
        <w:t>C</w:t>
      </w:r>
      <w:r w:rsidRPr="00BF3106">
        <w:rPr>
          <w:sz w:val="24"/>
          <w:szCs w:val="24"/>
          <w:vertAlign w:val="subscript"/>
        </w:rPr>
        <w:t>max</w:t>
      </w:r>
      <w:proofErr w:type="spellEnd"/>
      <w:r w:rsidRPr="00BF3106">
        <w:rPr>
          <w:sz w:val="24"/>
          <w:szCs w:val="24"/>
        </w:rPr>
        <w:t xml:space="preserve"> og AUC</w:t>
      </w:r>
      <w:r w:rsidRPr="00BF3106">
        <w:rPr>
          <w:sz w:val="24"/>
          <w:szCs w:val="24"/>
          <w:vertAlign w:val="subscript"/>
        </w:rPr>
        <w:t>0-24</w:t>
      </w:r>
      <w:r w:rsidRPr="00BF3106">
        <w:rPr>
          <w:sz w:val="24"/>
          <w:szCs w:val="24"/>
        </w:rPr>
        <w:t xml:space="preserve"> for </w:t>
      </w:r>
      <w:proofErr w:type="spellStart"/>
      <w:r w:rsidRPr="00BF3106">
        <w:rPr>
          <w:sz w:val="24"/>
          <w:szCs w:val="24"/>
        </w:rPr>
        <w:t>celecoxib</w:t>
      </w:r>
      <w:proofErr w:type="spellEnd"/>
      <w:r w:rsidRPr="00BF3106">
        <w:rPr>
          <w:sz w:val="24"/>
          <w:szCs w:val="24"/>
        </w:rPr>
        <w:t xml:space="preserve"> på dag 7 henholdsvis ca. firdoblet og syvdoblet hos personer med genotype CYP2C9*3/*3 sammenlignet med andre genotyper. I tre separate enkeltdosisforsøg, der omfattede i alt fem forsøgspersoner med genotype CYP2C9*3/*3, var enkeltdosis-AUC</w:t>
      </w:r>
      <w:r w:rsidRPr="00BF3106">
        <w:rPr>
          <w:sz w:val="24"/>
          <w:szCs w:val="24"/>
          <w:vertAlign w:val="subscript"/>
        </w:rPr>
        <w:t>0-24</w:t>
      </w:r>
      <w:r w:rsidRPr="00BF3106">
        <w:rPr>
          <w:sz w:val="24"/>
          <w:szCs w:val="24"/>
        </w:rPr>
        <w:t>, ca. tredoblet sammenlignet med personer med normal metabolisme. Det anslås, at hyppigheden af homozygot *3/*3-genotype er 0,3-1,0 % i forskellige etniske grupper.</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lastRenderedPageBreak/>
        <w:t xml:space="preserve">Patienter med kendt eller formodet nedsat CYP2C9-metabolisering baseret på anamnese/tidligere erfaring med andre CYP2C9-substrater bør behandles med forsigtighed med </w:t>
      </w:r>
      <w:proofErr w:type="spellStart"/>
      <w:r w:rsidRPr="00BF3106">
        <w:rPr>
          <w:sz w:val="24"/>
          <w:szCs w:val="24"/>
        </w:rPr>
        <w:t>celecoxib</w:t>
      </w:r>
      <w:proofErr w:type="spellEnd"/>
      <w:r w:rsidRPr="00BF3106">
        <w:rPr>
          <w:sz w:val="24"/>
          <w:szCs w:val="24"/>
        </w:rPr>
        <w:t xml:space="preserve"> (se pkt. 4.2).</w:t>
      </w:r>
    </w:p>
    <w:p w:rsidR="008A2EC7" w:rsidRPr="00BF3106" w:rsidRDefault="008A2EC7" w:rsidP="008A2EC7">
      <w:pPr>
        <w:ind w:left="851"/>
        <w:rPr>
          <w:sz w:val="24"/>
          <w:szCs w:val="24"/>
        </w:rPr>
      </w:pPr>
    </w:p>
    <w:p w:rsidR="00557A2B" w:rsidRPr="00BF3106" w:rsidRDefault="00557A2B" w:rsidP="00557A2B">
      <w:pPr>
        <w:ind w:left="851"/>
        <w:rPr>
          <w:sz w:val="24"/>
          <w:szCs w:val="24"/>
        </w:rPr>
      </w:pPr>
      <w:r w:rsidRPr="00BF3106">
        <w:rPr>
          <w:sz w:val="24"/>
          <w:szCs w:val="24"/>
        </w:rPr>
        <w:t xml:space="preserve">Der er ikke fundet klinisk signifikante forskelle i </w:t>
      </w:r>
      <w:proofErr w:type="spellStart"/>
      <w:r w:rsidRPr="0024668B">
        <w:rPr>
          <w:sz w:val="24"/>
          <w:szCs w:val="24"/>
        </w:rPr>
        <w:t>celecoxibs</w:t>
      </w:r>
      <w:proofErr w:type="spellEnd"/>
      <w:r w:rsidRPr="0024668B">
        <w:rPr>
          <w:sz w:val="24"/>
          <w:szCs w:val="24"/>
        </w:rPr>
        <w:t xml:space="preserve"> </w:t>
      </w:r>
      <w:proofErr w:type="spellStart"/>
      <w:r w:rsidRPr="0024668B">
        <w:rPr>
          <w:sz w:val="24"/>
          <w:szCs w:val="24"/>
        </w:rPr>
        <w:t>farmakokinetiske</w:t>
      </w:r>
      <w:proofErr w:type="spellEnd"/>
      <w:r>
        <w:rPr>
          <w:sz w:val="24"/>
          <w:szCs w:val="24"/>
        </w:rPr>
        <w:t xml:space="preserve"> </w:t>
      </w:r>
      <w:r w:rsidRPr="00BF3106">
        <w:rPr>
          <w:sz w:val="24"/>
          <w:szCs w:val="24"/>
        </w:rPr>
        <w:t>parametre mellem ældre afroamerikanere og kaukasiere.</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 xml:space="preserve">Hos ældre kvinder (over 65 år) er plasmakoncentrationen af </w:t>
      </w:r>
      <w:proofErr w:type="spellStart"/>
      <w:r w:rsidRPr="00BF3106">
        <w:rPr>
          <w:sz w:val="24"/>
          <w:szCs w:val="24"/>
        </w:rPr>
        <w:t>celecoxib</w:t>
      </w:r>
      <w:proofErr w:type="spellEnd"/>
      <w:r w:rsidRPr="00BF3106">
        <w:rPr>
          <w:sz w:val="24"/>
          <w:szCs w:val="24"/>
        </w:rPr>
        <w:t xml:space="preserve"> ca. 100 % forhøjet.</w:t>
      </w:r>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 xml:space="preserve">Sammenlignet med personer med normal leverfunktion havde patienter med let nedsat leverfunktion en gennemsnitlig stigning i </w:t>
      </w:r>
      <w:proofErr w:type="spellStart"/>
      <w:r w:rsidRPr="00BF3106">
        <w:rPr>
          <w:sz w:val="24"/>
          <w:szCs w:val="24"/>
        </w:rPr>
        <w:t>celecoxibs</w:t>
      </w:r>
      <w:proofErr w:type="spellEnd"/>
      <w:r w:rsidRPr="00BF3106">
        <w:rPr>
          <w:sz w:val="24"/>
          <w:szCs w:val="24"/>
        </w:rPr>
        <w:t xml:space="preserve"> </w:t>
      </w:r>
      <w:proofErr w:type="spellStart"/>
      <w:r w:rsidRPr="00BF3106">
        <w:rPr>
          <w:sz w:val="24"/>
          <w:szCs w:val="24"/>
        </w:rPr>
        <w:t>C</w:t>
      </w:r>
      <w:r w:rsidRPr="00BF3106">
        <w:rPr>
          <w:sz w:val="24"/>
          <w:szCs w:val="24"/>
          <w:vertAlign w:val="subscript"/>
        </w:rPr>
        <w:t>max</w:t>
      </w:r>
      <w:proofErr w:type="spellEnd"/>
      <w:r w:rsidRPr="00BF3106">
        <w:rPr>
          <w:sz w:val="24"/>
          <w:szCs w:val="24"/>
        </w:rPr>
        <w:t xml:space="preserve"> på 53 % og i AUC på 26 %. De tilsvarende værdier hos patienter med moderat nedsat leverfunktion var henholdsvis 41 % og 146 %. Den metaboliske kapacitet hos patienter med let til moderat nedsat leverfunktion kunne bedst korreleres til deres albuminværdier. Behandlingen skal initieres med halvdelen af den anbefalede dosis hos patienter med moderat nedsat leverfunktion (serumalbumin 25-35 g/l). Patienter med svær nedsat leverfunktion (serumalbumin under 25 g/l) er ikke undersøgt, hvorfor </w:t>
      </w:r>
      <w:proofErr w:type="spellStart"/>
      <w:r w:rsidRPr="00BF3106">
        <w:rPr>
          <w:sz w:val="24"/>
          <w:szCs w:val="24"/>
        </w:rPr>
        <w:t>celecoxib</w:t>
      </w:r>
      <w:proofErr w:type="spellEnd"/>
      <w:r w:rsidRPr="00BF3106">
        <w:rPr>
          <w:sz w:val="24"/>
          <w:szCs w:val="24"/>
        </w:rPr>
        <w:t xml:space="preserve"> er kontraindiceret til denne patientgruppe.</w:t>
      </w:r>
    </w:p>
    <w:p w:rsidR="008A2EC7" w:rsidRPr="00BF3106" w:rsidRDefault="008A2EC7" w:rsidP="008A2EC7">
      <w:pPr>
        <w:ind w:left="851"/>
        <w:rPr>
          <w:sz w:val="24"/>
          <w:szCs w:val="24"/>
        </w:rPr>
      </w:pPr>
    </w:p>
    <w:p w:rsidR="00557A2B" w:rsidRPr="00BF3106" w:rsidRDefault="00557A2B" w:rsidP="00557A2B">
      <w:pPr>
        <w:ind w:left="851"/>
        <w:rPr>
          <w:sz w:val="24"/>
          <w:szCs w:val="24"/>
        </w:rPr>
      </w:pPr>
      <w:r w:rsidRPr="00BF3106">
        <w:rPr>
          <w:sz w:val="24"/>
          <w:szCs w:val="24"/>
        </w:rPr>
        <w:t xml:space="preserve">Der er begrænset erfaring med </w:t>
      </w:r>
      <w:proofErr w:type="spellStart"/>
      <w:r w:rsidRPr="00BF3106">
        <w:rPr>
          <w:sz w:val="24"/>
          <w:szCs w:val="24"/>
        </w:rPr>
        <w:t>celecoxib</w:t>
      </w:r>
      <w:proofErr w:type="spellEnd"/>
      <w:r w:rsidRPr="00BF3106">
        <w:rPr>
          <w:sz w:val="24"/>
          <w:szCs w:val="24"/>
        </w:rPr>
        <w:t xml:space="preserve"> hos patienter med nedsat nyrefunktion. </w:t>
      </w:r>
      <w:proofErr w:type="spellStart"/>
      <w:r w:rsidRPr="00BF3106">
        <w:rPr>
          <w:sz w:val="24"/>
          <w:szCs w:val="24"/>
        </w:rPr>
        <w:t>Celecoxibs</w:t>
      </w:r>
      <w:proofErr w:type="spellEnd"/>
      <w:r w:rsidRPr="00BF3106">
        <w:rPr>
          <w:sz w:val="24"/>
          <w:szCs w:val="24"/>
        </w:rPr>
        <w:t xml:space="preserve"> farmakokinetik er ikke undersøgt hos patienter med nedsat </w:t>
      </w:r>
      <w:r w:rsidRPr="0024668B">
        <w:rPr>
          <w:sz w:val="24"/>
          <w:szCs w:val="24"/>
        </w:rPr>
        <w:t>nyrefunktion, men det er usandsynligt, at den er meget ændret i denne patientgruppe. Forsigtighed anbefales derfor</w:t>
      </w:r>
      <w:r w:rsidRPr="007F41CD">
        <w:rPr>
          <w:sz w:val="24"/>
          <w:szCs w:val="24"/>
        </w:rPr>
        <w:t xml:space="preserve"> </w:t>
      </w:r>
      <w:r w:rsidRPr="0024668B">
        <w:rPr>
          <w:sz w:val="24"/>
          <w:szCs w:val="24"/>
        </w:rPr>
        <w:t>ved behandling af patienter med nedsat nyrefunktion. Svært nedsat nyrefunktion</w:t>
      </w:r>
      <w:r w:rsidRPr="00BF3106">
        <w:rPr>
          <w:sz w:val="24"/>
          <w:szCs w:val="24"/>
        </w:rPr>
        <w:t xml:space="preserve"> er en kontraindikation.</w:t>
      </w:r>
    </w:p>
    <w:p w:rsidR="008A2EC7" w:rsidRPr="00BF3106" w:rsidRDefault="008A2EC7" w:rsidP="008A2EC7">
      <w:pPr>
        <w:ind w:left="851"/>
        <w:rPr>
          <w:sz w:val="24"/>
          <w:szCs w:val="24"/>
        </w:rPr>
      </w:pPr>
    </w:p>
    <w:p w:rsidR="008A2EC7" w:rsidRPr="00BF3106" w:rsidRDefault="008A2EC7" w:rsidP="008A2EC7">
      <w:pPr>
        <w:ind w:left="851"/>
        <w:rPr>
          <w:sz w:val="24"/>
          <w:szCs w:val="24"/>
          <w:u w:val="single"/>
        </w:rPr>
      </w:pPr>
      <w:r w:rsidRPr="00BF3106">
        <w:rPr>
          <w:sz w:val="24"/>
          <w:szCs w:val="24"/>
          <w:u w:val="single"/>
        </w:rPr>
        <w:t>Elimination</w:t>
      </w:r>
    </w:p>
    <w:p w:rsidR="008A2EC7" w:rsidRPr="00BF3106" w:rsidRDefault="008A2EC7" w:rsidP="008A2EC7">
      <w:pPr>
        <w:ind w:left="851"/>
        <w:rPr>
          <w:sz w:val="24"/>
          <w:szCs w:val="24"/>
        </w:rPr>
      </w:pPr>
      <w:proofErr w:type="spellStart"/>
      <w:r w:rsidRPr="00BF3106">
        <w:rPr>
          <w:sz w:val="24"/>
          <w:szCs w:val="24"/>
        </w:rPr>
        <w:t>Celecoxib</w:t>
      </w:r>
      <w:proofErr w:type="spellEnd"/>
      <w:r w:rsidRPr="00BF3106">
        <w:rPr>
          <w:sz w:val="24"/>
          <w:szCs w:val="24"/>
        </w:rPr>
        <w:t xml:space="preserve"> elimineres hovedsageligt via metabolisme. Mindre end 1 % af dosis udskilles uændret i urinen. Den </w:t>
      </w:r>
      <w:proofErr w:type="spellStart"/>
      <w:r w:rsidRPr="00BF3106">
        <w:rPr>
          <w:sz w:val="24"/>
          <w:szCs w:val="24"/>
        </w:rPr>
        <w:t>interindividuelle</w:t>
      </w:r>
      <w:proofErr w:type="spellEnd"/>
      <w:r w:rsidRPr="00BF3106">
        <w:rPr>
          <w:sz w:val="24"/>
          <w:szCs w:val="24"/>
        </w:rPr>
        <w:t xml:space="preserve"> variation i </w:t>
      </w:r>
      <w:proofErr w:type="spellStart"/>
      <w:r w:rsidRPr="00BF3106">
        <w:rPr>
          <w:sz w:val="24"/>
          <w:szCs w:val="24"/>
        </w:rPr>
        <w:t>celecoxib</w:t>
      </w:r>
      <w:proofErr w:type="spellEnd"/>
      <w:r w:rsidRPr="00BF3106">
        <w:rPr>
          <w:sz w:val="24"/>
          <w:szCs w:val="24"/>
        </w:rPr>
        <w:t xml:space="preserve">-eksponeringen er ca. 10-foldig. Inden for det terapeutiske dosisområde har </w:t>
      </w:r>
      <w:proofErr w:type="spellStart"/>
      <w:r w:rsidRPr="00BF3106">
        <w:rPr>
          <w:sz w:val="24"/>
          <w:szCs w:val="24"/>
        </w:rPr>
        <w:t>celecoxib</w:t>
      </w:r>
      <w:proofErr w:type="spellEnd"/>
      <w:r w:rsidRPr="00BF3106">
        <w:rPr>
          <w:sz w:val="24"/>
          <w:szCs w:val="24"/>
        </w:rPr>
        <w:t xml:space="preserve"> dosis- og </w:t>
      </w:r>
      <w:proofErr w:type="spellStart"/>
      <w:r w:rsidRPr="00BF3106">
        <w:rPr>
          <w:sz w:val="24"/>
          <w:szCs w:val="24"/>
        </w:rPr>
        <w:t>tidsuafhængig</w:t>
      </w:r>
      <w:proofErr w:type="spellEnd"/>
      <w:r w:rsidRPr="00BF3106">
        <w:rPr>
          <w:sz w:val="24"/>
          <w:szCs w:val="24"/>
        </w:rPr>
        <w:t xml:space="preserve"> farmakokinetik. Halveringstiden er 8-12 timer. </w:t>
      </w:r>
      <w:proofErr w:type="spellStart"/>
      <w:r w:rsidRPr="00BF3106">
        <w:rPr>
          <w:sz w:val="24"/>
          <w:szCs w:val="24"/>
        </w:rPr>
        <w:t>Steady</w:t>
      </w:r>
      <w:proofErr w:type="spellEnd"/>
      <w:r w:rsidRPr="00BF3106">
        <w:rPr>
          <w:sz w:val="24"/>
          <w:szCs w:val="24"/>
        </w:rPr>
        <w:t xml:space="preserve"> </w:t>
      </w:r>
      <w:proofErr w:type="spellStart"/>
      <w:r w:rsidRPr="00BF3106">
        <w:rPr>
          <w:sz w:val="24"/>
          <w:szCs w:val="24"/>
        </w:rPr>
        <w:t>state</w:t>
      </w:r>
      <w:proofErr w:type="spellEnd"/>
      <w:r w:rsidRPr="00BF3106">
        <w:rPr>
          <w:sz w:val="24"/>
          <w:szCs w:val="24"/>
        </w:rPr>
        <w:t>-plasmakoncentrationer nås inden for 5 dages behandling.</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5.3</w:t>
      </w:r>
      <w:r w:rsidRPr="00BF3106">
        <w:rPr>
          <w:b/>
          <w:sz w:val="24"/>
          <w:szCs w:val="24"/>
        </w:rPr>
        <w:tab/>
      </w:r>
      <w:r w:rsidR="00132D23">
        <w:rPr>
          <w:b/>
          <w:sz w:val="24"/>
          <w:szCs w:val="24"/>
        </w:rPr>
        <w:t>Non-</w:t>
      </w:r>
      <w:r w:rsidRPr="00BF3106">
        <w:rPr>
          <w:b/>
          <w:sz w:val="24"/>
          <w:szCs w:val="24"/>
        </w:rPr>
        <w:t>kliniske sikkerhedsdata</w:t>
      </w:r>
    </w:p>
    <w:p w:rsidR="008A2EC7" w:rsidRPr="00BF3106" w:rsidRDefault="00132D23" w:rsidP="008A2EC7">
      <w:pPr>
        <w:numPr>
          <w:ilvl w:val="12"/>
          <w:numId w:val="0"/>
        </w:numPr>
        <w:ind w:left="851" w:right="11"/>
        <w:rPr>
          <w:sz w:val="24"/>
          <w:szCs w:val="24"/>
        </w:rPr>
      </w:pPr>
      <w:r>
        <w:rPr>
          <w:sz w:val="24"/>
          <w:szCs w:val="24"/>
        </w:rPr>
        <w:t>Non-</w:t>
      </w:r>
      <w:r w:rsidR="008A2EC7" w:rsidRPr="00BF3106">
        <w:rPr>
          <w:sz w:val="24"/>
          <w:szCs w:val="24"/>
        </w:rPr>
        <w:t xml:space="preserve">kliniske data viser ingen speciel risiko for mennesker vurderet ud fra konventionelle studier af toksicitet efter gentagne doser, </w:t>
      </w:r>
      <w:proofErr w:type="spellStart"/>
      <w:r w:rsidR="008A2EC7" w:rsidRPr="00BF3106">
        <w:rPr>
          <w:sz w:val="24"/>
          <w:szCs w:val="24"/>
        </w:rPr>
        <w:t>mutagenicitet</w:t>
      </w:r>
      <w:proofErr w:type="spellEnd"/>
      <w:r w:rsidR="008A2EC7" w:rsidRPr="00BF3106">
        <w:rPr>
          <w:sz w:val="24"/>
          <w:szCs w:val="24"/>
        </w:rPr>
        <w:t xml:space="preserve"> eller </w:t>
      </w:r>
      <w:proofErr w:type="spellStart"/>
      <w:r w:rsidR="008A2EC7" w:rsidRPr="00BF3106">
        <w:rPr>
          <w:sz w:val="24"/>
          <w:szCs w:val="24"/>
        </w:rPr>
        <w:t>karcinogenicitet</w:t>
      </w:r>
      <w:proofErr w:type="spellEnd"/>
      <w:r w:rsidR="008A2EC7" w:rsidRPr="00BF3106">
        <w:rPr>
          <w:sz w:val="24"/>
          <w:szCs w:val="24"/>
        </w:rPr>
        <w:t xml:space="preserve"> ud over hvad, der er beskrevet i pkt. 4.4, 4.6 og 5.1.</w:t>
      </w:r>
    </w:p>
    <w:p w:rsidR="008A2EC7" w:rsidRPr="00BF3106" w:rsidRDefault="008A2EC7" w:rsidP="008A2EC7">
      <w:pPr>
        <w:numPr>
          <w:ilvl w:val="12"/>
          <w:numId w:val="0"/>
        </w:numPr>
        <w:ind w:left="851" w:right="11"/>
        <w:rPr>
          <w:sz w:val="24"/>
          <w:szCs w:val="24"/>
        </w:rPr>
      </w:pPr>
    </w:p>
    <w:p w:rsidR="008A2EC7" w:rsidRPr="00BF3106" w:rsidRDefault="008A2EC7" w:rsidP="008A2EC7">
      <w:pPr>
        <w:numPr>
          <w:ilvl w:val="12"/>
          <w:numId w:val="0"/>
        </w:numPr>
        <w:ind w:left="851" w:right="11"/>
        <w:rPr>
          <w:sz w:val="24"/>
          <w:szCs w:val="24"/>
        </w:rPr>
      </w:pPr>
      <w:proofErr w:type="spellStart"/>
      <w:r w:rsidRPr="00BF3106">
        <w:rPr>
          <w:sz w:val="24"/>
          <w:szCs w:val="24"/>
        </w:rPr>
        <w:t>Celecoxib</w:t>
      </w:r>
      <w:proofErr w:type="spellEnd"/>
      <w:r w:rsidRPr="00BF3106">
        <w:rPr>
          <w:sz w:val="24"/>
          <w:szCs w:val="24"/>
        </w:rPr>
        <w:t xml:space="preserve"> i orale doser </w:t>
      </w:r>
      <w:r w:rsidRPr="00BF3106">
        <w:rPr>
          <w:sz w:val="24"/>
          <w:szCs w:val="24"/>
        </w:rPr>
        <w:sym w:font="Symbol" w:char="F0B3"/>
      </w:r>
      <w:r w:rsidRPr="00BF3106">
        <w:rPr>
          <w:sz w:val="24"/>
          <w:szCs w:val="24"/>
        </w:rPr>
        <w:t>150 mg/kg/dag (ca. 2 gange den humane eksponering ved 200 mg 2 gange dagligt målt som AUC</w:t>
      </w:r>
      <w:r w:rsidRPr="00BF3106">
        <w:rPr>
          <w:sz w:val="24"/>
          <w:szCs w:val="24"/>
          <w:vertAlign w:val="subscript"/>
        </w:rPr>
        <w:t>0-24</w:t>
      </w:r>
      <w:r w:rsidRPr="00BF3106">
        <w:rPr>
          <w:sz w:val="24"/>
          <w:szCs w:val="24"/>
        </w:rPr>
        <w:t xml:space="preserve">) forårsagede en øget forekomst af ventrikelseptumdefekter, en sjælden hændelse, og fosterforandringer, som f.eks. sammenvoksede ribben, sammenvoksede </w:t>
      </w:r>
      <w:proofErr w:type="spellStart"/>
      <w:r w:rsidRPr="00BF3106">
        <w:rPr>
          <w:sz w:val="24"/>
          <w:szCs w:val="24"/>
        </w:rPr>
        <w:t>sternebrae</w:t>
      </w:r>
      <w:proofErr w:type="spellEnd"/>
      <w:r w:rsidRPr="00BF3106">
        <w:rPr>
          <w:sz w:val="24"/>
          <w:szCs w:val="24"/>
        </w:rPr>
        <w:t xml:space="preserve"> og misdannede </w:t>
      </w:r>
      <w:proofErr w:type="spellStart"/>
      <w:r w:rsidRPr="00BF3106">
        <w:rPr>
          <w:sz w:val="24"/>
          <w:szCs w:val="24"/>
        </w:rPr>
        <w:t>sternebrae</w:t>
      </w:r>
      <w:proofErr w:type="spellEnd"/>
      <w:r w:rsidRPr="00BF3106">
        <w:rPr>
          <w:sz w:val="24"/>
          <w:szCs w:val="24"/>
        </w:rPr>
        <w:t xml:space="preserve">, når kaniner blev behandlet gennem hele </w:t>
      </w:r>
      <w:proofErr w:type="spellStart"/>
      <w:r w:rsidRPr="00BF3106">
        <w:rPr>
          <w:sz w:val="24"/>
          <w:szCs w:val="24"/>
        </w:rPr>
        <w:t>organogenesen</w:t>
      </w:r>
      <w:proofErr w:type="spellEnd"/>
      <w:r w:rsidRPr="00BF3106">
        <w:rPr>
          <w:sz w:val="24"/>
          <w:szCs w:val="24"/>
        </w:rPr>
        <w:t xml:space="preserve">. Der blev set en dosis-afhængig forøgelse af </w:t>
      </w:r>
      <w:proofErr w:type="spellStart"/>
      <w:r w:rsidRPr="00BF3106">
        <w:rPr>
          <w:sz w:val="24"/>
          <w:szCs w:val="24"/>
        </w:rPr>
        <w:t>hernier</w:t>
      </w:r>
      <w:proofErr w:type="spellEnd"/>
      <w:r w:rsidRPr="00BF3106">
        <w:rPr>
          <w:sz w:val="24"/>
          <w:szCs w:val="24"/>
        </w:rPr>
        <w:t xml:space="preserve"> i diafragma, når rotter fik </w:t>
      </w:r>
      <w:proofErr w:type="spellStart"/>
      <w:r w:rsidRPr="00BF3106">
        <w:rPr>
          <w:sz w:val="24"/>
          <w:szCs w:val="24"/>
        </w:rPr>
        <w:t>celecoxib</w:t>
      </w:r>
      <w:proofErr w:type="spellEnd"/>
      <w:r w:rsidRPr="00BF3106">
        <w:rPr>
          <w:sz w:val="24"/>
          <w:szCs w:val="24"/>
        </w:rPr>
        <w:t xml:space="preserve"> i orale doser </w:t>
      </w:r>
      <w:r w:rsidRPr="00BF3106">
        <w:rPr>
          <w:sz w:val="24"/>
          <w:szCs w:val="24"/>
        </w:rPr>
        <w:sym w:font="Symbol" w:char="F0B3"/>
      </w:r>
      <w:r w:rsidRPr="00BF3106">
        <w:rPr>
          <w:sz w:val="24"/>
          <w:szCs w:val="24"/>
        </w:rPr>
        <w:t>30 mg/kg/dag (ca. 6 gange den humane eksponering målt som AUC</w:t>
      </w:r>
      <w:r w:rsidRPr="00BF3106">
        <w:rPr>
          <w:sz w:val="24"/>
          <w:szCs w:val="24"/>
          <w:vertAlign w:val="subscript"/>
        </w:rPr>
        <w:t>0-24</w:t>
      </w:r>
      <w:r w:rsidRPr="00BF3106">
        <w:rPr>
          <w:sz w:val="24"/>
          <w:szCs w:val="24"/>
        </w:rPr>
        <w:t xml:space="preserve"> ved 200 mg 2 gange dagligt) gennem hele </w:t>
      </w:r>
      <w:proofErr w:type="spellStart"/>
      <w:r w:rsidRPr="00BF3106">
        <w:rPr>
          <w:sz w:val="24"/>
          <w:szCs w:val="24"/>
        </w:rPr>
        <w:t>organogenesen</w:t>
      </w:r>
      <w:proofErr w:type="spellEnd"/>
      <w:r w:rsidRPr="00BF3106">
        <w:rPr>
          <w:sz w:val="24"/>
          <w:szCs w:val="24"/>
        </w:rPr>
        <w:t xml:space="preserve">. Disse virkninger er forventede som følge af hæmning af </w:t>
      </w:r>
      <w:proofErr w:type="spellStart"/>
      <w:r w:rsidRPr="00BF3106">
        <w:rPr>
          <w:sz w:val="24"/>
          <w:szCs w:val="24"/>
        </w:rPr>
        <w:t>prostaglandinsyntesen</w:t>
      </w:r>
      <w:proofErr w:type="spellEnd"/>
      <w:r w:rsidRPr="00BF3106">
        <w:rPr>
          <w:sz w:val="24"/>
          <w:szCs w:val="24"/>
        </w:rPr>
        <w:t xml:space="preserve">. Hos rotter førte eksponering for </w:t>
      </w:r>
      <w:proofErr w:type="spellStart"/>
      <w:r w:rsidRPr="00BF3106">
        <w:rPr>
          <w:sz w:val="24"/>
          <w:szCs w:val="24"/>
        </w:rPr>
        <w:t>celecoxib</w:t>
      </w:r>
      <w:proofErr w:type="spellEnd"/>
      <w:r w:rsidRPr="00BF3106">
        <w:rPr>
          <w:sz w:val="24"/>
          <w:szCs w:val="24"/>
        </w:rPr>
        <w:t xml:space="preserve"> under den tidlige embryoudvikling til præ- og postimplantationstab og reduceret embryo-/fosteroverlevelse.</w:t>
      </w:r>
    </w:p>
    <w:p w:rsidR="008A2EC7" w:rsidRPr="00BF3106" w:rsidRDefault="008A2EC7" w:rsidP="008A2EC7">
      <w:pPr>
        <w:numPr>
          <w:ilvl w:val="12"/>
          <w:numId w:val="0"/>
        </w:numPr>
        <w:ind w:left="851" w:right="11"/>
        <w:rPr>
          <w:sz w:val="24"/>
          <w:szCs w:val="24"/>
        </w:rPr>
      </w:pPr>
    </w:p>
    <w:p w:rsidR="008A2EC7" w:rsidRPr="00BF3106" w:rsidRDefault="008A2EC7" w:rsidP="008A2EC7">
      <w:pPr>
        <w:numPr>
          <w:ilvl w:val="12"/>
          <w:numId w:val="0"/>
        </w:numPr>
        <w:ind w:left="851" w:right="11"/>
        <w:rPr>
          <w:sz w:val="24"/>
          <w:szCs w:val="24"/>
        </w:rPr>
      </w:pPr>
      <w:proofErr w:type="spellStart"/>
      <w:r w:rsidRPr="00BF3106">
        <w:rPr>
          <w:sz w:val="24"/>
          <w:szCs w:val="24"/>
        </w:rPr>
        <w:t>Celecoxib</w:t>
      </w:r>
      <w:proofErr w:type="spellEnd"/>
      <w:r w:rsidRPr="00BF3106">
        <w:rPr>
          <w:sz w:val="24"/>
          <w:szCs w:val="24"/>
        </w:rPr>
        <w:t xml:space="preserve"> blev udskilt i rottemælk. I et peri-/</w:t>
      </w:r>
      <w:proofErr w:type="spellStart"/>
      <w:r w:rsidRPr="00BF3106">
        <w:rPr>
          <w:sz w:val="24"/>
          <w:szCs w:val="24"/>
        </w:rPr>
        <w:t>postnatalt</w:t>
      </w:r>
      <w:proofErr w:type="spellEnd"/>
      <w:r w:rsidRPr="00BF3106">
        <w:rPr>
          <w:sz w:val="24"/>
          <w:szCs w:val="24"/>
        </w:rPr>
        <w:t xml:space="preserve"> rotteforsøg blev der set toksicitet hos afkommet.</w:t>
      </w:r>
    </w:p>
    <w:p w:rsidR="008A2EC7" w:rsidRPr="00BF3106" w:rsidRDefault="008A2EC7" w:rsidP="008A2EC7">
      <w:pPr>
        <w:numPr>
          <w:ilvl w:val="12"/>
          <w:numId w:val="0"/>
        </w:numPr>
        <w:ind w:left="851" w:right="11"/>
        <w:rPr>
          <w:sz w:val="24"/>
          <w:szCs w:val="24"/>
        </w:rPr>
      </w:pPr>
    </w:p>
    <w:p w:rsidR="008A2EC7" w:rsidRPr="00BF3106" w:rsidRDefault="008A2EC7" w:rsidP="008A2EC7">
      <w:pPr>
        <w:numPr>
          <w:ilvl w:val="12"/>
          <w:numId w:val="0"/>
        </w:numPr>
        <w:ind w:left="851" w:right="11"/>
        <w:rPr>
          <w:sz w:val="24"/>
          <w:szCs w:val="24"/>
        </w:rPr>
      </w:pPr>
      <w:r w:rsidRPr="00BF3106">
        <w:rPr>
          <w:sz w:val="24"/>
          <w:szCs w:val="24"/>
        </w:rPr>
        <w:lastRenderedPageBreak/>
        <w:t>I et 2-årigt toksicitetsforsøg med høje doser er der set en stigning i ikke-binyrebetinget trombose hos hanrotter</w:t>
      </w:r>
      <w:r>
        <w:rPr>
          <w:sz w:val="24"/>
          <w:szCs w:val="24"/>
        </w:rPr>
        <w:t>.</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6.</w:t>
      </w:r>
      <w:r w:rsidRPr="00BF3106">
        <w:rPr>
          <w:b/>
          <w:sz w:val="24"/>
          <w:szCs w:val="24"/>
        </w:rPr>
        <w:tab/>
        <w:t>FARMACEUTISKE OPLYSNINGER</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6.1</w:t>
      </w:r>
      <w:r w:rsidRPr="00BF3106">
        <w:rPr>
          <w:b/>
          <w:sz w:val="24"/>
          <w:szCs w:val="24"/>
        </w:rPr>
        <w:tab/>
        <w:t>Hjælpestoffer</w:t>
      </w:r>
    </w:p>
    <w:p w:rsidR="008A2EC7" w:rsidRPr="00BF3106" w:rsidRDefault="008A2EC7" w:rsidP="008A2EC7">
      <w:pPr>
        <w:ind w:left="851"/>
        <w:rPr>
          <w:sz w:val="24"/>
          <w:szCs w:val="24"/>
        </w:rPr>
      </w:pPr>
      <w:r w:rsidRPr="00BF3106">
        <w:rPr>
          <w:sz w:val="24"/>
          <w:szCs w:val="24"/>
        </w:rPr>
        <w:t>Kapselindhold:</w:t>
      </w:r>
    </w:p>
    <w:p w:rsidR="008A2EC7" w:rsidRPr="00BF3106" w:rsidRDefault="008A2EC7" w:rsidP="008A2EC7">
      <w:pPr>
        <w:ind w:left="851"/>
        <w:rPr>
          <w:sz w:val="24"/>
          <w:szCs w:val="24"/>
        </w:rPr>
      </w:pPr>
      <w:proofErr w:type="spellStart"/>
      <w:r w:rsidRPr="00BF3106">
        <w:rPr>
          <w:sz w:val="24"/>
          <w:szCs w:val="24"/>
        </w:rPr>
        <w:t>Lactosemonohydrat</w:t>
      </w:r>
      <w:proofErr w:type="spellEnd"/>
    </w:p>
    <w:p w:rsidR="008A2EC7" w:rsidRPr="00BF3106" w:rsidRDefault="008A2EC7" w:rsidP="008A2EC7">
      <w:pPr>
        <w:ind w:left="851"/>
        <w:rPr>
          <w:sz w:val="24"/>
          <w:szCs w:val="24"/>
        </w:rPr>
      </w:pPr>
      <w:r w:rsidRPr="00BF3106">
        <w:rPr>
          <w:sz w:val="24"/>
          <w:szCs w:val="24"/>
        </w:rPr>
        <w:t xml:space="preserve">Lavsubstitueret </w:t>
      </w:r>
      <w:proofErr w:type="spellStart"/>
      <w:r w:rsidRPr="00BF3106">
        <w:rPr>
          <w:sz w:val="24"/>
          <w:szCs w:val="24"/>
        </w:rPr>
        <w:t>hydroxypropylcellulose</w:t>
      </w:r>
      <w:proofErr w:type="spellEnd"/>
    </w:p>
    <w:p w:rsidR="008A2EC7" w:rsidRPr="00BF3106" w:rsidRDefault="008A2EC7" w:rsidP="008A2EC7">
      <w:pPr>
        <w:ind w:left="851"/>
        <w:rPr>
          <w:sz w:val="24"/>
          <w:szCs w:val="24"/>
        </w:rPr>
      </w:pPr>
    </w:p>
    <w:p w:rsidR="008A2EC7" w:rsidRPr="00BF3106" w:rsidRDefault="008A2EC7" w:rsidP="008A2EC7">
      <w:pPr>
        <w:ind w:left="851"/>
        <w:rPr>
          <w:sz w:val="24"/>
          <w:szCs w:val="24"/>
          <w:lang w:val="en-US"/>
        </w:rPr>
      </w:pPr>
      <w:proofErr w:type="spellStart"/>
      <w:r w:rsidRPr="00BF3106">
        <w:rPr>
          <w:sz w:val="24"/>
          <w:szCs w:val="24"/>
          <w:lang w:val="en-US"/>
        </w:rPr>
        <w:t>Crospovidon</w:t>
      </w:r>
      <w:proofErr w:type="spellEnd"/>
      <w:r w:rsidRPr="00BF3106">
        <w:rPr>
          <w:sz w:val="24"/>
          <w:szCs w:val="24"/>
          <w:lang w:val="en-US"/>
        </w:rPr>
        <w:t xml:space="preserve"> type A</w:t>
      </w:r>
    </w:p>
    <w:p w:rsidR="008A2EC7" w:rsidRPr="00BF3106" w:rsidRDefault="008A2EC7" w:rsidP="008A2EC7">
      <w:pPr>
        <w:ind w:left="851"/>
        <w:rPr>
          <w:sz w:val="24"/>
          <w:szCs w:val="24"/>
          <w:lang w:val="en-US"/>
        </w:rPr>
      </w:pPr>
      <w:proofErr w:type="spellStart"/>
      <w:r w:rsidRPr="00BF3106">
        <w:rPr>
          <w:sz w:val="24"/>
          <w:szCs w:val="24"/>
          <w:lang w:val="en-US"/>
        </w:rPr>
        <w:t>Povidon</w:t>
      </w:r>
      <w:proofErr w:type="spellEnd"/>
      <w:r w:rsidRPr="00BF3106">
        <w:rPr>
          <w:sz w:val="24"/>
          <w:szCs w:val="24"/>
          <w:lang w:val="en-US"/>
        </w:rPr>
        <w:t xml:space="preserve"> K29/32</w:t>
      </w:r>
    </w:p>
    <w:p w:rsidR="008A2EC7" w:rsidRPr="00BF3106" w:rsidRDefault="008A2EC7" w:rsidP="008A2EC7">
      <w:pPr>
        <w:ind w:left="851"/>
        <w:rPr>
          <w:sz w:val="24"/>
          <w:szCs w:val="24"/>
        </w:rPr>
      </w:pPr>
      <w:proofErr w:type="spellStart"/>
      <w:r w:rsidRPr="00BF3106">
        <w:rPr>
          <w:sz w:val="24"/>
          <w:szCs w:val="24"/>
        </w:rPr>
        <w:t>Natriumlaurilsulfat</w:t>
      </w:r>
      <w:proofErr w:type="spellEnd"/>
    </w:p>
    <w:p w:rsidR="008A2EC7" w:rsidRPr="00BF3106" w:rsidRDefault="008A2EC7" w:rsidP="008A2EC7">
      <w:pPr>
        <w:ind w:left="851"/>
        <w:rPr>
          <w:sz w:val="24"/>
          <w:szCs w:val="24"/>
        </w:rPr>
      </w:pPr>
      <w:proofErr w:type="spellStart"/>
      <w:r w:rsidRPr="00BF3106">
        <w:rPr>
          <w:sz w:val="24"/>
          <w:szCs w:val="24"/>
        </w:rPr>
        <w:t>Magnesiumstearat</w:t>
      </w:r>
      <w:proofErr w:type="spellEnd"/>
    </w:p>
    <w:p w:rsidR="008A2EC7" w:rsidRPr="00BF3106" w:rsidRDefault="008A2EC7" w:rsidP="008A2EC7">
      <w:pPr>
        <w:ind w:left="851"/>
        <w:rPr>
          <w:sz w:val="24"/>
          <w:szCs w:val="24"/>
        </w:rPr>
      </w:pPr>
    </w:p>
    <w:p w:rsidR="008A2EC7" w:rsidRPr="00BF3106" w:rsidRDefault="008A2EC7" w:rsidP="008A2EC7">
      <w:pPr>
        <w:ind w:left="851"/>
        <w:rPr>
          <w:sz w:val="24"/>
          <w:szCs w:val="24"/>
        </w:rPr>
      </w:pPr>
      <w:r w:rsidRPr="00BF3106">
        <w:rPr>
          <w:sz w:val="24"/>
          <w:szCs w:val="24"/>
        </w:rPr>
        <w:t>Kapselskal:</w:t>
      </w:r>
    </w:p>
    <w:p w:rsidR="008A2EC7" w:rsidRPr="00BF3106" w:rsidRDefault="008A2EC7" w:rsidP="008A2EC7">
      <w:pPr>
        <w:ind w:left="851"/>
        <w:rPr>
          <w:sz w:val="24"/>
          <w:szCs w:val="24"/>
        </w:rPr>
      </w:pPr>
      <w:r w:rsidRPr="00BF3106">
        <w:rPr>
          <w:sz w:val="24"/>
          <w:szCs w:val="24"/>
        </w:rPr>
        <w:t>Gelatine</w:t>
      </w:r>
    </w:p>
    <w:p w:rsidR="008A2EC7" w:rsidRPr="00BF3106" w:rsidRDefault="008A2EC7" w:rsidP="008A2EC7">
      <w:pPr>
        <w:ind w:left="851"/>
        <w:rPr>
          <w:sz w:val="24"/>
          <w:szCs w:val="24"/>
        </w:rPr>
      </w:pPr>
      <w:r w:rsidRPr="00BF3106">
        <w:rPr>
          <w:sz w:val="24"/>
          <w:szCs w:val="24"/>
        </w:rPr>
        <w:t>Titandioxid E171</w:t>
      </w:r>
    </w:p>
    <w:p w:rsidR="008A2EC7" w:rsidRPr="00BF3106" w:rsidRDefault="008A2EC7" w:rsidP="008A2EC7">
      <w:pPr>
        <w:ind w:left="851"/>
        <w:rPr>
          <w:sz w:val="24"/>
          <w:szCs w:val="24"/>
        </w:rPr>
      </w:pPr>
      <w:r w:rsidRPr="00BF3106">
        <w:rPr>
          <w:sz w:val="24"/>
          <w:szCs w:val="24"/>
        </w:rPr>
        <w:t>Sort jernoxid E 172 (kun i 200 mg-kapslerne).</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6.2</w:t>
      </w:r>
      <w:r w:rsidRPr="00BF3106">
        <w:rPr>
          <w:b/>
          <w:sz w:val="24"/>
          <w:szCs w:val="24"/>
        </w:rPr>
        <w:tab/>
        <w:t>Uforligeligheder</w:t>
      </w:r>
    </w:p>
    <w:p w:rsidR="008A2EC7" w:rsidRPr="00BF3106" w:rsidRDefault="008A2EC7" w:rsidP="008A2EC7">
      <w:pPr>
        <w:ind w:left="851"/>
        <w:rPr>
          <w:sz w:val="24"/>
          <w:szCs w:val="24"/>
        </w:rPr>
      </w:pPr>
      <w:r w:rsidRPr="00BF3106">
        <w:rPr>
          <w:sz w:val="24"/>
          <w:szCs w:val="24"/>
        </w:rPr>
        <w:t>Ikke relevant.</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6.3</w:t>
      </w:r>
      <w:r w:rsidRPr="00BF3106">
        <w:rPr>
          <w:b/>
          <w:sz w:val="24"/>
          <w:szCs w:val="24"/>
        </w:rPr>
        <w:tab/>
        <w:t>Opbevaringstid</w:t>
      </w:r>
    </w:p>
    <w:p w:rsidR="008A2EC7" w:rsidRPr="00BF3106" w:rsidRDefault="008A2EC7" w:rsidP="008A2EC7">
      <w:pPr>
        <w:ind w:left="851" w:hanging="851"/>
        <w:rPr>
          <w:sz w:val="24"/>
          <w:szCs w:val="24"/>
        </w:rPr>
      </w:pPr>
      <w:r w:rsidRPr="00BF3106">
        <w:rPr>
          <w:sz w:val="24"/>
          <w:szCs w:val="24"/>
        </w:rPr>
        <w:tab/>
        <w:t>3 år.</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6.4</w:t>
      </w:r>
      <w:r w:rsidRPr="00BF3106">
        <w:rPr>
          <w:b/>
          <w:sz w:val="24"/>
          <w:szCs w:val="24"/>
        </w:rPr>
        <w:tab/>
        <w:t>Særlige opbevaringsforhold</w:t>
      </w:r>
    </w:p>
    <w:p w:rsidR="008A2EC7" w:rsidRPr="00BF3106" w:rsidRDefault="008A2EC7" w:rsidP="008A2EC7">
      <w:pPr>
        <w:ind w:left="851"/>
        <w:rPr>
          <w:sz w:val="24"/>
          <w:szCs w:val="24"/>
          <w:highlight w:val="yellow"/>
        </w:rPr>
      </w:pPr>
      <w:r>
        <w:rPr>
          <w:noProof/>
          <w:sz w:val="24"/>
          <w:szCs w:val="24"/>
        </w:rPr>
        <w:t xml:space="preserve">Der er </w:t>
      </w:r>
      <w:r w:rsidRPr="00BF3106">
        <w:rPr>
          <w:noProof/>
          <w:sz w:val="24"/>
          <w:szCs w:val="24"/>
        </w:rPr>
        <w:t xml:space="preserve">ingen særlige </w:t>
      </w:r>
      <w:r>
        <w:rPr>
          <w:noProof/>
          <w:sz w:val="24"/>
          <w:szCs w:val="24"/>
        </w:rPr>
        <w:t>krav</w:t>
      </w:r>
      <w:r w:rsidRPr="00BF3106">
        <w:rPr>
          <w:noProof/>
          <w:sz w:val="24"/>
          <w:szCs w:val="24"/>
        </w:rPr>
        <w:t xml:space="preserve"> vedrørende opbevaring</w:t>
      </w:r>
      <w:r>
        <w:rPr>
          <w:noProof/>
          <w:sz w:val="24"/>
          <w:szCs w:val="24"/>
        </w:rPr>
        <w:t>stemperaturen for dette lægemiddel</w:t>
      </w:r>
      <w:r w:rsidRPr="00BF3106">
        <w:rPr>
          <w:noProof/>
          <w:sz w:val="24"/>
          <w:szCs w:val="24"/>
        </w:rPr>
        <w:t>.</w:t>
      </w:r>
    </w:p>
    <w:p w:rsidR="008A2EC7" w:rsidRPr="00BF3106" w:rsidRDefault="008A2EC7" w:rsidP="008A2EC7">
      <w:pPr>
        <w:ind w:left="851"/>
        <w:rPr>
          <w:sz w:val="24"/>
          <w:szCs w:val="24"/>
        </w:rPr>
      </w:pPr>
      <w:r w:rsidRPr="00BF3106">
        <w:rPr>
          <w:sz w:val="24"/>
          <w:szCs w:val="24"/>
        </w:rPr>
        <w:t>Opbevares i den originale yderpakning for at beskytte mod lys og fugt.</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6.5</w:t>
      </w:r>
      <w:r w:rsidRPr="00BF3106">
        <w:rPr>
          <w:b/>
          <w:sz w:val="24"/>
          <w:szCs w:val="24"/>
        </w:rPr>
        <w:tab/>
        <w:t>Emballagetype og pakningsstørrelser</w:t>
      </w:r>
    </w:p>
    <w:p w:rsidR="008A2EC7" w:rsidRPr="00BF3106" w:rsidRDefault="008A2EC7" w:rsidP="008A2EC7">
      <w:pPr>
        <w:suppressAutoHyphens/>
        <w:ind w:left="851"/>
        <w:rPr>
          <w:sz w:val="24"/>
          <w:szCs w:val="24"/>
        </w:rPr>
      </w:pPr>
      <w:r w:rsidRPr="00BF3106">
        <w:rPr>
          <w:sz w:val="24"/>
          <w:szCs w:val="24"/>
        </w:rPr>
        <w:t>Blister af PVC/PVDC.</w:t>
      </w:r>
    </w:p>
    <w:p w:rsidR="008A2EC7" w:rsidRPr="00BF3106" w:rsidRDefault="008A2EC7" w:rsidP="008A2EC7">
      <w:pPr>
        <w:suppressAutoHyphens/>
        <w:ind w:left="851"/>
        <w:rPr>
          <w:sz w:val="24"/>
          <w:szCs w:val="24"/>
        </w:rPr>
      </w:pPr>
    </w:p>
    <w:p w:rsidR="008A2EC7" w:rsidRPr="00BF3106" w:rsidRDefault="008A2EC7" w:rsidP="008A2EC7">
      <w:pPr>
        <w:suppressAutoHyphens/>
        <w:ind w:left="851"/>
        <w:rPr>
          <w:sz w:val="24"/>
          <w:szCs w:val="24"/>
        </w:rPr>
      </w:pPr>
      <w:r w:rsidRPr="00BF3106">
        <w:rPr>
          <w:sz w:val="24"/>
          <w:szCs w:val="24"/>
        </w:rPr>
        <w:t>Pakning</w:t>
      </w:r>
      <w:r>
        <w:rPr>
          <w:sz w:val="24"/>
          <w:szCs w:val="24"/>
        </w:rPr>
        <w:t>sstørrelser:</w:t>
      </w:r>
      <w:r w:rsidRPr="00BF3106">
        <w:rPr>
          <w:sz w:val="24"/>
          <w:szCs w:val="24"/>
        </w:rPr>
        <w:t xml:space="preserve"> 10, 20, 30, 40, 50, 60 eller 100 </w:t>
      </w:r>
      <w:r>
        <w:rPr>
          <w:sz w:val="24"/>
          <w:szCs w:val="24"/>
        </w:rPr>
        <w:t xml:space="preserve">hårde </w:t>
      </w:r>
      <w:r w:rsidRPr="00BF3106">
        <w:rPr>
          <w:sz w:val="24"/>
          <w:szCs w:val="24"/>
        </w:rPr>
        <w:t>kapsler.</w:t>
      </w:r>
    </w:p>
    <w:p w:rsidR="008A2EC7" w:rsidRPr="00BF3106" w:rsidRDefault="008A2EC7" w:rsidP="008A2EC7">
      <w:pPr>
        <w:suppressAutoHyphens/>
        <w:ind w:left="851"/>
        <w:rPr>
          <w:sz w:val="24"/>
          <w:szCs w:val="24"/>
        </w:rPr>
      </w:pPr>
      <w:r w:rsidRPr="00BF3106">
        <w:rPr>
          <w:sz w:val="24"/>
          <w:szCs w:val="24"/>
        </w:rPr>
        <w:t>Ikke alle pakningsstørrelser er nødvendigvis markedsført</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6.6</w:t>
      </w:r>
      <w:r w:rsidRPr="00BF3106">
        <w:rPr>
          <w:b/>
          <w:sz w:val="24"/>
          <w:szCs w:val="24"/>
        </w:rPr>
        <w:tab/>
        <w:t xml:space="preserve">Regler for </w:t>
      </w:r>
      <w:r w:rsidR="00132D23">
        <w:rPr>
          <w:b/>
          <w:sz w:val="24"/>
          <w:szCs w:val="24"/>
        </w:rPr>
        <w:t>bortskaffelse</w:t>
      </w:r>
      <w:r w:rsidRPr="00BF3106">
        <w:rPr>
          <w:b/>
          <w:sz w:val="24"/>
          <w:szCs w:val="24"/>
        </w:rPr>
        <w:t xml:space="preserve"> og anden håndtering</w:t>
      </w:r>
    </w:p>
    <w:p w:rsidR="00132D23" w:rsidRPr="00BF3106" w:rsidRDefault="00132D23" w:rsidP="00132D23">
      <w:pPr>
        <w:ind w:left="851"/>
        <w:rPr>
          <w:sz w:val="24"/>
          <w:szCs w:val="24"/>
        </w:rPr>
      </w:pPr>
      <w:r w:rsidRPr="0024668B">
        <w:rPr>
          <w:sz w:val="24"/>
          <w:szCs w:val="24"/>
        </w:rPr>
        <w:t>Ikke anvendt lægemiddel samt affald heraf skal bortskaffes i henhold til lokale retningslinjer.</w:t>
      </w:r>
    </w:p>
    <w:p w:rsidR="008A2EC7" w:rsidRPr="00BF3106" w:rsidRDefault="008A2EC7" w:rsidP="008A2EC7">
      <w:pPr>
        <w:tabs>
          <w:tab w:val="left" w:pos="851"/>
        </w:tabs>
        <w:ind w:left="851" w:hanging="851"/>
        <w:jc w:val="both"/>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7.</w:t>
      </w:r>
      <w:r w:rsidRPr="00BF3106">
        <w:rPr>
          <w:b/>
          <w:sz w:val="24"/>
          <w:szCs w:val="24"/>
        </w:rPr>
        <w:tab/>
        <w:t>INDEHAVER AF MARKEDSFØRINGSTILLADELSEN</w:t>
      </w:r>
    </w:p>
    <w:p w:rsidR="008A2EC7" w:rsidRPr="00BF3106" w:rsidRDefault="008A2EC7" w:rsidP="008A2EC7">
      <w:pPr>
        <w:ind w:left="851"/>
        <w:rPr>
          <w:spacing w:val="-3"/>
          <w:sz w:val="24"/>
          <w:szCs w:val="24"/>
        </w:rPr>
      </w:pPr>
      <w:r w:rsidRPr="00BF3106">
        <w:rPr>
          <w:spacing w:val="-3"/>
          <w:sz w:val="24"/>
          <w:szCs w:val="24"/>
        </w:rPr>
        <w:t xml:space="preserve">Medical Valley Invest AB </w:t>
      </w:r>
    </w:p>
    <w:p w:rsidR="008A2EC7" w:rsidRPr="00BF3106" w:rsidRDefault="008A2EC7" w:rsidP="008A2EC7">
      <w:pPr>
        <w:ind w:left="851"/>
        <w:rPr>
          <w:spacing w:val="-3"/>
          <w:sz w:val="24"/>
          <w:szCs w:val="24"/>
        </w:rPr>
      </w:pPr>
      <w:proofErr w:type="spellStart"/>
      <w:r w:rsidRPr="00BF3106">
        <w:rPr>
          <w:spacing w:val="-3"/>
          <w:sz w:val="24"/>
          <w:szCs w:val="24"/>
        </w:rPr>
        <w:t>Brädgårdsvägen</w:t>
      </w:r>
      <w:proofErr w:type="spellEnd"/>
      <w:r w:rsidRPr="00BF3106">
        <w:rPr>
          <w:spacing w:val="-3"/>
          <w:sz w:val="24"/>
          <w:szCs w:val="24"/>
        </w:rPr>
        <w:t xml:space="preserve"> 28</w:t>
      </w:r>
    </w:p>
    <w:p w:rsidR="008A2EC7" w:rsidRPr="00BF3106" w:rsidRDefault="008A2EC7" w:rsidP="008A2EC7">
      <w:pPr>
        <w:ind w:left="851"/>
        <w:rPr>
          <w:spacing w:val="-3"/>
          <w:sz w:val="24"/>
          <w:szCs w:val="24"/>
        </w:rPr>
      </w:pPr>
      <w:r w:rsidRPr="00BF3106">
        <w:rPr>
          <w:spacing w:val="-3"/>
          <w:sz w:val="24"/>
          <w:szCs w:val="24"/>
        </w:rPr>
        <w:t xml:space="preserve">236 32 </w:t>
      </w:r>
      <w:proofErr w:type="spellStart"/>
      <w:r w:rsidRPr="00BF3106">
        <w:rPr>
          <w:spacing w:val="-3"/>
          <w:sz w:val="24"/>
          <w:szCs w:val="24"/>
        </w:rPr>
        <w:t>Höllviken</w:t>
      </w:r>
      <w:proofErr w:type="spellEnd"/>
    </w:p>
    <w:p w:rsidR="008A2EC7" w:rsidRPr="00BF3106" w:rsidRDefault="008A2EC7" w:rsidP="008A2EC7">
      <w:pPr>
        <w:ind w:left="851"/>
        <w:rPr>
          <w:spacing w:val="-3"/>
          <w:sz w:val="24"/>
          <w:szCs w:val="24"/>
        </w:rPr>
      </w:pPr>
      <w:r w:rsidRPr="00BF3106">
        <w:rPr>
          <w:spacing w:val="-3"/>
          <w:sz w:val="24"/>
          <w:szCs w:val="24"/>
        </w:rPr>
        <w:t>Sverige</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8.</w:t>
      </w:r>
      <w:r w:rsidRPr="00BF3106">
        <w:rPr>
          <w:b/>
          <w:sz w:val="24"/>
          <w:szCs w:val="24"/>
        </w:rPr>
        <w:tab/>
        <w:t>MARKEDSFØRINGSTILLADELSESNUMMER (</w:t>
      </w:r>
      <w:r w:rsidR="00A303DF">
        <w:rPr>
          <w:b/>
          <w:sz w:val="24"/>
          <w:szCs w:val="24"/>
        </w:rPr>
        <w:t>-</w:t>
      </w:r>
      <w:r w:rsidRPr="00BF3106">
        <w:rPr>
          <w:b/>
          <w:sz w:val="24"/>
          <w:szCs w:val="24"/>
        </w:rPr>
        <w:t>NUMRE)</w:t>
      </w:r>
    </w:p>
    <w:p w:rsidR="008A2EC7" w:rsidRPr="00BF3106" w:rsidRDefault="008A2EC7" w:rsidP="008A2EC7">
      <w:pPr>
        <w:tabs>
          <w:tab w:val="left" w:pos="851"/>
        </w:tabs>
        <w:ind w:left="851"/>
        <w:rPr>
          <w:sz w:val="24"/>
          <w:szCs w:val="24"/>
        </w:rPr>
      </w:pPr>
      <w:r w:rsidRPr="00BF3106">
        <w:rPr>
          <w:sz w:val="24"/>
          <w:szCs w:val="24"/>
        </w:rPr>
        <w:t>100 mg:</w:t>
      </w:r>
      <w:r>
        <w:rPr>
          <w:sz w:val="24"/>
          <w:szCs w:val="24"/>
        </w:rPr>
        <w:t xml:space="preserve"> 61269</w:t>
      </w:r>
    </w:p>
    <w:p w:rsidR="008A2EC7" w:rsidRPr="00BF3106" w:rsidRDefault="008A2EC7" w:rsidP="008A2EC7">
      <w:pPr>
        <w:tabs>
          <w:tab w:val="left" w:pos="851"/>
        </w:tabs>
        <w:ind w:left="851"/>
        <w:rPr>
          <w:sz w:val="24"/>
          <w:szCs w:val="24"/>
        </w:rPr>
      </w:pPr>
      <w:r w:rsidRPr="00BF3106">
        <w:rPr>
          <w:sz w:val="24"/>
          <w:szCs w:val="24"/>
        </w:rPr>
        <w:t>200 mg:</w:t>
      </w:r>
      <w:r>
        <w:rPr>
          <w:sz w:val="24"/>
          <w:szCs w:val="24"/>
        </w:rPr>
        <w:t xml:space="preserve"> 61270</w:t>
      </w:r>
    </w:p>
    <w:p w:rsidR="008A2EC7" w:rsidRDefault="008A2EC7" w:rsidP="008A2EC7">
      <w:pPr>
        <w:rPr>
          <w:sz w:val="24"/>
          <w:szCs w:val="24"/>
        </w:rPr>
      </w:pPr>
      <w:r>
        <w:rPr>
          <w:sz w:val="24"/>
          <w:szCs w:val="24"/>
        </w:rPr>
        <w:br w:type="page"/>
      </w:r>
    </w:p>
    <w:p w:rsidR="008A2EC7" w:rsidRPr="00BF3106" w:rsidRDefault="008A2EC7" w:rsidP="008A2EC7">
      <w:pPr>
        <w:tabs>
          <w:tab w:val="left" w:pos="851"/>
        </w:tabs>
        <w:ind w:left="851" w:hanging="851"/>
        <w:jc w:val="both"/>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9.</w:t>
      </w:r>
      <w:r w:rsidRPr="00BF3106">
        <w:rPr>
          <w:b/>
          <w:sz w:val="24"/>
          <w:szCs w:val="24"/>
        </w:rPr>
        <w:tab/>
        <w:t>DATO FOR FØRSTE MARKEDSFØRINGSTILLADELSE</w:t>
      </w:r>
    </w:p>
    <w:p w:rsidR="008A2EC7" w:rsidRPr="00BF3106" w:rsidRDefault="008A2EC7" w:rsidP="008A2EC7">
      <w:pPr>
        <w:tabs>
          <w:tab w:val="left" w:pos="851"/>
        </w:tabs>
        <w:ind w:left="851" w:hanging="851"/>
        <w:rPr>
          <w:sz w:val="24"/>
          <w:szCs w:val="24"/>
        </w:rPr>
      </w:pPr>
      <w:r>
        <w:rPr>
          <w:sz w:val="24"/>
          <w:szCs w:val="24"/>
        </w:rPr>
        <w:tab/>
        <w:t>12. april 2019</w:t>
      </w:r>
    </w:p>
    <w:p w:rsidR="008A2EC7" w:rsidRPr="00BF3106" w:rsidRDefault="008A2EC7" w:rsidP="008A2EC7">
      <w:pPr>
        <w:tabs>
          <w:tab w:val="left" w:pos="851"/>
        </w:tabs>
        <w:ind w:left="851" w:hanging="851"/>
        <w:rPr>
          <w:sz w:val="24"/>
          <w:szCs w:val="24"/>
        </w:rPr>
      </w:pPr>
    </w:p>
    <w:p w:rsidR="008A2EC7" w:rsidRPr="00BF3106" w:rsidRDefault="008A2EC7" w:rsidP="008A2EC7">
      <w:pPr>
        <w:tabs>
          <w:tab w:val="left" w:pos="851"/>
        </w:tabs>
        <w:ind w:left="851" w:hanging="851"/>
        <w:rPr>
          <w:b/>
          <w:sz w:val="24"/>
          <w:szCs w:val="24"/>
        </w:rPr>
      </w:pPr>
      <w:r w:rsidRPr="00BF3106">
        <w:rPr>
          <w:b/>
          <w:sz w:val="24"/>
          <w:szCs w:val="24"/>
        </w:rPr>
        <w:t>10.</w:t>
      </w:r>
      <w:r w:rsidRPr="00BF3106">
        <w:rPr>
          <w:b/>
          <w:sz w:val="24"/>
          <w:szCs w:val="24"/>
        </w:rPr>
        <w:tab/>
        <w:t>DATO FOR ÆNDRING AF TEKSTEN</w:t>
      </w:r>
    </w:p>
    <w:p w:rsidR="008A2EC7" w:rsidRPr="00BF3106" w:rsidRDefault="008A2EC7" w:rsidP="008A2EC7">
      <w:pPr>
        <w:tabs>
          <w:tab w:val="left" w:pos="851"/>
        </w:tabs>
        <w:ind w:left="851" w:hanging="851"/>
        <w:rPr>
          <w:sz w:val="24"/>
          <w:szCs w:val="24"/>
        </w:rPr>
      </w:pPr>
      <w:r>
        <w:rPr>
          <w:sz w:val="24"/>
          <w:szCs w:val="24"/>
        </w:rPr>
        <w:tab/>
      </w:r>
      <w:r w:rsidR="00A303DF">
        <w:rPr>
          <w:sz w:val="24"/>
          <w:szCs w:val="24"/>
        </w:rPr>
        <w:t>28. november 2024</w:t>
      </w:r>
    </w:p>
    <w:p w:rsidR="008A2EC7" w:rsidRPr="00145EE3" w:rsidRDefault="008A2EC7" w:rsidP="008A2EC7"/>
    <w:p w:rsidR="008A2EC7" w:rsidRPr="002544DD" w:rsidRDefault="008A2EC7" w:rsidP="008A2EC7"/>
    <w:p w:rsidR="009260DE" w:rsidRPr="008A2EC7" w:rsidRDefault="009260DE" w:rsidP="008A2EC7"/>
    <w:sectPr w:rsidR="009260DE" w:rsidRPr="008A2EC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FCD" w:rsidRDefault="00622FCD">
      <w:r>
        <w:separator/>
      </w:r>
    </w:p>
  </w:endnote>
  <w:endnote w:type="continuationSeparator" w:id="0">
    <w:p w:rsidR="00622FCD" w:rsidRDefault="0062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FCD" w:rsidRDefault="00622FCD">
    <w:pPr>
      <w:pStyle w:val="Sidefod"/>
      <w:pBdr>
        <w:bottom w:val="single" w:sz="6" w:space="1" w:color="auto"/>
      </w:pBdr>
    </w:pPr>
  </w:p>
  <w:p w:rsidR="00622FCD" w:rsidRDefault="00622FCD" w:rsidP="00C42586">
    <w:pPr>
      <w:pStyle w:val="Sidefod"/>
      <w:tabs>
        <w:tab w:val="clear" w:pos="4819"/>
        <w:tab w:val="left" w:pos="8505"/>
      </w:tabs>
      <w:rPr>
        <w:i/>
        <w:sz w:val="18"/>
        <w:szCs w:val="18"/>
      </w:rPr>
    </w:pPr>
  </w:p>
  <w:p w:rsidR="00622FCD" w:rsidRPr="00B373D7" w:rsidRDefault="00132D23" w:rsidP="00C42586">
    <w:pPr>
      <w:pStyle w:val="Sidefod"/>
      <w:tabs>
        <w:tab w:val="clear" w:pos="4819"/>
        <w:tab w:val="left" w:pos="8505"/>
      </w:tabs>
      <w:rPr>
        <w:i/>
        <w:sz w:val="18"/>
        <w:szCs w:val="18"/>
      </w:rPr>
    </w:pPr>
    <w:proofErr w:type="spellStart"/>
    <w:r w:rsidRPr="00132D23">
      <w:rPr>
        <w:i/>
        <w:sz w:val="18"/>
        <w:szCs w:val="18"/>
      </w:rPr>
      <w:t>Celecoxib</w:t>
    </w:r>
    <w:proofErr w:type="spellEnd"/>
    <w:r w:rsidRPr="00132D23">
      <w:rPr>
        <w:i/>
        <w:sz w:val="18"/>
        <w:szCs w:val="18"/>
      </w:rPr>
      <w:t xml:space="preserve"> Medical Valley, hårde kapsler 100 mg og 200 mg</w:t>
    </w:r>
    <w:r w:rsidR="00622FCD" w:rsidRPr="00B373D7">
      <w:rPr>
        <w:i/>
        <w:sz w:val="18"/>
        <w:szCs w:val="18"/>
      </w:rPr>
      <w:tab/>
      <w:t xml:space="preserve">Side </w:t>
    </w:r>
    <w:r w:rsidR="00622FCD" w:rsidRPr="00B373D7">
      <w:rPr>
        <w:rStyle w:val="Sidetal"/>
        <w:i/>
        <w:sz w:val="18"/>
        <w:szCs w:val="18"/>
      </w:rPr>
      <w:fldChar w:fldCharType="begin"/>
    </w:r>
    <w:r w:rsidR="00622FCD" w:rsidRPr="00B373D7">
      <w:rPr>
        <w:rStyle w:val="Sidetal"/>
        <w:i/>
        <w:sz w:val="18"/>
        <w:szCs w:val="18"/>
      </w:rPr>
      <w:instrText xml:space="preserve"> PAGE </w:instrText>
    </w:r>
    <w:r w:rsidR="00622FCD" w:rsidRPr="00B373D7">
      <w:rPr>
        <w:rStyle w:val="Sidetal"/>
        <w:i/>
        <w:sz w:val="18"/>
        <w:szCs w:val="18"/>
      </w:rPr>
      <w:fldChar w:fldCharType="separate"/>
    </w:r>
    <w:r w:rsidR="00622FCD">
      <w:rPr>
        <w:rStyle w:val="Sidetal"/>
        <w:i/>
        <w:noProof/>
        <w:sz w:val="18"/>
        <w:szCs w:val="18"/>
      </w:rPr>
      <w:t>3</w:t>
    </w:r>
    <w:r w:rsidR="00622FCD" w:rsidRPr="00B373D7">
      <w:rPr>
        <w:rStyle w:val="Sidetal"/>
        <w:i/>
        <w:sz w:val="18"/>
        <w:szCs w:val="18"/>
      </w:rPr>
      <w:fldChar w:fldCharType="end"/>
    </w:r>
    <w:r w:rsidR="00622FCD" w:rsidRPr="00B373D7">
      <w:rPr>
        <w:rStyle w:val="Sidetal"/>
        <w:i/>
        <w:sz w:val="18"/>
        <w:szCs w:val="18"/>
      </w:rPr>
      <w:t xml:space="preserve"> af </w:t>
    </w:r>
    <w:r w:rsidR="00622FCD" w:rsidRPr="00B373D7">
      <w:rPr>
        <w:rStyle w:val="Sidetal"/>
        <w:i/>
        <w:sz w:val="18"/>
        <w:szCs w:val="18"/>
      </w:rPr>
      <w:fldChar w:fldCharType="begin"/>
    </w:r>
    <w:r w:rsidR="00622FCD" w:rsidRPr="00B373D7">
      <w:rPr>
        <w:rStyle w:val="Sidetal"/>
        <w:i/>
        <w:sz w:val="18"/>
        <w:szCs w:val="18"/>
      </w:rPr>
      <w:instrText xml:space="preserve"> NUMPAGES </w:instrText>
    </w:r>
    <w:r w:rsidR="00622FCD" w:rsidRPr="00B373D7">
      <w:rPr>
        <w:rStyle w:val="Sidetal"/>
        <w:i/>
        <w:sz w:val="18"/>
        <w:szCs w:val="18"/>
      </w:rPr>
      <w:fldChar w:fldCharType="separate"/>
    </w:r>
    <w:r w:rsidR="00622FCD">
      <w:rPr>
        <w:rStyle w:val="Sidetal"/>
        <w:i/>
        <w:noProof/>
        <w:sz w:val="18"/>
        <w:szCs w:val="18"/>
      </w:rPr>
      <w:t>3</w:t>
    </w:r>
    <w:r w:rsidR="00622FCD"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FCD" w:rsidRDefault="00622FCD">
      <w:r>
        <w:separator/>
      </w:r>
    </w:p>
  </w:footnote>
  <w:footnote w:type="continuationSeparator" w:id="0">
    <w:p w:rsidR="00622FCD" w:rsidRDefault="00622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D5E10A7"/>
    <w:multiLevelType w:val="hybridMultilevel"/>
    <w:tmpl w:val="1E2C09A0"/>
    <w:lvl w:ilvl="0" w:tplc="D33C3840">
      <w:start w:val="1"/>
      <w:numFmt w:val="bullet"/>
      <w:lvlText w:val=""/>
      <w:lvlJc w:val="left"/>
      <w:pPr>
        <w:tabs>
          <w:tab w:val="num" w:pos="1211"/>
        </w:tabs>
        <w:ind w:left="1211" w:hanging="360"/>
      </w:pPr>
      <w:rPr>
        <w:rFonts w:ascii="Symbol" w:hAnsi="Symbol" w:hint="default"/>
        <w:color w:val="auto"/>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EC7"/>
    <w:rsid w:val="000259B9"/>
    <w:rsid w:val="00041491"/>
    <w:rsid w:val="00050D16"/>
    <w:rsid w:val="00074F2A"/>
    <w:rsid w:val="000A1CA8"/>
    <w:rsid w:val="000A466B"/>
    <w:rsid w:val="000B058C"/>
    <w:rsid w:val="000E4EE6"/>
    <w:rsid w:val="00132D23"/>
    <w:rsid w:val="001454E2"/>
    <w:rsid w:val="00206CE8"/>
    <w:rsid w:val="0021526C"/>
    <w:rsid w:val="0024080B"/>
    <w:rsid w:val="00283A2B"/>
    <w:rsid w:val="002B30AD"/>
    <w:rsid w:val="002C2C01"/>
    <w:rsid w:val="003A29AE"/>
    <w:rsid w:val="003A32D7"/>
    <w:rsid w:val="003B4074"/>
    <w:rsid w:val="003C769A"/>
    <w:rsid w:val="003F1838"/>
    <w:rsid w:val="0045746C"/>
    <w:rsid w:val="0049104B"/>
    <w:rsid w:val="004E3B12"/>
    <w:rsid w:val="00532310"/>
    <w:rsid w:val="00557A2B"/>
    <w:rsid w:val="00560ECC"/>
    <w:rsid w:val="00565F0F"/>
    <w:rsid w:val="00594A86"/>
    <w:rsid w:val="00596D86"/>
    <w:rsid w:val="00622FCD"/>
    <w:rsid w:val="00637F5A"/>
    <w:rsid w:val="006560B1"/>
    <w:rsid w:val="006756DD"/>
    <w:rsid w:val="00737275"/>
    <w:rsid w:val="00740EEC"/>
    <w:rsid w:val="0078011A"/>
    <w:rsid w:val="00782AF4"/>
    <w:rsid w:val="00790EE7"/>
    <w:rsid w:val="007B6649"/>
    <w:rsid w:val="0081546F"/>
    <w:rsid w:val="0082576E"/>
    <w:rsid w:val="008A2EC7"/>
    <w:rsid w:val="00907F75"/>
    <w:rsid w:val="009260DE"/>
    <w:rsid w:val="0093258A"/>
    <w:rsid w:val="009C7BA3"/>
    <w:rsid w:val="009D1F5A"/>
    <w:rsid w:val="00A303DF"/>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0C55"/>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958FE"/>
  <w15:chartTrackingRefBased/>
  <w15:docId w15:val="{6B340A14-0714-4CB0-87B8-0C258184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A2EC7"/>
    <w:pPr>
      <w:spacing w:before="120" w:after="120"/>
      <w:jc w:val="both"/>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20</Pages>
  <Words>6321</Words>
  <Characters>41478</Characters>
  <Application>Microsoft Office Word</Application>
  <DocSecurity>0</DocSecurity>
  <Lines>345</Lines>
  <Paragraphs>95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2023103688_x000d_
SPC opdat. pkt. 2., 3., 4.1-4.9, 5.1, 5.2, 6.6 + QRD</dc:description>
  <cp:lastModifiedBy>Marianne Ott Jensen</cp:lastModifiedBy>
  <cp:revision>5</cp:revision>
  <cp:lastPrinted>2012-08-22T08:53:00Z</cp:lastPrinted>
  <dcterms:created xsi:type="dcterms:W3CDTF">2024-11-26T09:34:00Z</dcterms:created>
  <dcterms:modified xsi:type="dcterms:W3CDTF">2024-11-26T10:35:00Z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