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5411D4">
        <w:rPr>
          <w:szCs w:val="24"/>
        </w:rPr>
        <w:t>26. oktober 2022</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E717D5" w:rsidP="009260DE">
      <w:pPr>
        <w:jc w:val="center"/>
        <w:rPr>
          <w:b/>
          <w:sz w:val="24"/>
          <w:szCs w:val="24"/>
        </w:rPr>
      </w:pPr>
      <w:r>
        <w:rPr>
          <w:b/>
          <w:sz w:val="24"/>
          <w:szCs w:val="24"/>
        </w:rPr>
        <w:t>Ceranor, filmovertrukne tabletter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723EB1" w:rsidP="009260DE">
      <w:pPr>
        <w:tabs>
          <w:tab w:val="left" w:pos="851"/>
        </w:tabs>
        <w:ind w:left="851"/>
        <w:rPr>
          <w:sz w:val="24"/>
          <w:szCs w:val="24"/>
        </w:rPr>
      </w:pPr>
      <w:r>
        <w:rPr>
          <w:sz w:val="24"/>
          <w:szCs w:val="24"/>
        </w:rPr>
        <w:t>31992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723EB1" w:rsidP="009260DE">
      <w:pPr>
        <w:tabs>
          <w:tab w:val="left" w:pos="851"/>
        </w:tabs>
        <w:ind w:left="851"/>
        <w:rPr>
          <w:sz w:val="24"/>
          <w:szCs w:val="24"/>
        </w:rPr>
      </w:pPr>
      <w:r>
        <w:rPr>
          <w:sz w:val="24"/>
          <w:szCs w:val="24"/>
        </w:rPr>
        <w:t>Ceranor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F06521" w:rsidRPr="00F06521" w:rsidRDefault="00F06521" w:rsidP="00F06521">
      <w:pPr>
        <w:tabs>
          <w:tab w:val="left" w:pos="851"/>
        </w:tabs>
        <w:ind w:left="851"/>
        <w:rPr>
          <w:bCs/>
          <w:sz w:val="24"/>
          <w:szCs w:val="24"/>
        </w:rPr>
      </w:pPr>
      <w:r w:rsidRPr="00F06521">
        <w:rPr>
          <w:bCs/>
          <w:sz w:val="24"/>
          <w:szCs w:val="24"/>
        </w:rPr>
        <w:t xml:space="preserve">Hver filmoverstrukket tablet indeholder 75 </w:t>
      </w:r>
      <w:r>
        <w:rPr>
          <w:bCs/>
          <w:sz w:val="24"/>
          <w:szCs w:val="24"/>
        </w:rPr>
        <w:t>mikrogram</w:t>
      </w:r>
      <w:r w:rsidRPr="00F06521">
        <w:rPr>
          <w:bCs/>
          <w:sz w:val="24"/>
          <w:szCs w:val="24"/>
        </w:rPr>
        <w:t xml:space="preserve"> desogestrel.</w:t>
      </w:r>
    </w:p>
    <w:p w:rsidR="00F06521" w:rsidRPr="00F06521" w:rsidRDefault="00F06521" w:rsidP="00F06521">
      <w:pPr>
        <w:tabs>
          <w:tab w:val="left" w:pos="851"/>
        </w:tabs>
        <w:ind w:left="851"/>
        <w:rPr>
          <w:b/>
          <w:sz w:val="24"/>
          <w:szCs w:val="24"/>
        </w:rPr>
      </w:pPr>
    </w:p>
    <w:p w:rsidR="00F06521" w:rsidRPr="00F06521" w:rsidRDefault="00F06521" w:rsidP="00F06521">
      <w:pPr>
        <w:tabs>
          <w:tab w:val="left" w:pos="851"/>
        </w:tabs>
        <w:ind w:left="851"/>
        <w:rPr>
          <w:sz w:val="24"/>
          <w:szCs w:val="24"/>
        </w:rPr>
      </w:pPr>
      <w:r w:rsidRPr="00F06521">
        <w:rPr>
          <w:sz w:val="24"/>
          <w:szCs w:val="24"/>
          <w:u w:val="single"/>
        </w:rPr>
        <w:t>Hjælpestoffer, som behandleren skal være opmærksom på</w:t>
      </w:r>
    </w:p>
    <w:p w:rsidR="00F06521" w:rsidRPr="00F06521" w:rsidRDefault="00F06521" w:rsidP="00F06521">
      <w:pPr>
        <w:tabs>
          <w:tab w:val="left" w:pos="851"/>
        </w:tabs>
        <w:ind w:left="851"/>
        <w:rPr>
          <w:sz w:val="24"/>
          <w:szCs w:val="24"/>
        </w:rPr>
      </w:pPr>
      <w:r w:rsidRPr="00F06521">
        <w:rPr>
          <w:sz w:val="24"/>
          <w:szCs w:val="24"/>
        </w:rPr>
        <w:t xml:space="preserve">Lactose monohydrat 55 mg, sojaolie (maximalt 0,026 mg) </w:t>
      </w:r>
    </w:p>
    <w:p w:rsidR="00F06521" w:rsidRPr="00F06521" w:rsidRDefault="00F06521" w:rsidP="00F06521">
      <w:pPr>
        <w:tabs>
          <w:tab w:val="left" w:pos="851"/>
        </w:tabs>
        <w:ind w:left="851"/>
        <w:rPr>
          <w:sz w:val="24"/>
          <w:szCs w:val="24"/>
        </w:rPr>
      </w:pPr>
    </w:p>
    <w:p w:rsidR="00F06521" w:rsidRPr="00F06521" w:rsidRDefault="00F06521" w:rsidP="00F06521">
      <w:pPr>
        <w:tabs>
          <w:tab w:val="left" w:pos="851"/>
        </w:tabs>
        <w:ind w:left="851"/>
        <w:rPr>
          <w:sz w:val="24"/>
          <w:szCs w:val="24"/>
        </w:rPr>
      </w:pPr>
      <w:r w:rsidRPr="00F06521">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8C6AD9" w:rsidRDefault="008C6AD9" w:rsidP="008C6AD9">
      <w:pPr>
        <w:tabs>
          <w:tab w:val="left" w:pos="851"/>
        </w:tabs>
        <w:ind w:left="851"/>
        <w:rPr>
          <w:sz w:val="24"/>
          <w:szCs w:val="24"/>
          <w:lang w:val="fr-LU"/>
        </w:rPr>
      </w:pPr>
      <w:r w:rsidRPr="008C6AD9">
        <w:rPr>
          <w:sz w:val="24"/>
          <w:szCs w:val="24"/>
          <w:lang w:val="fr-LU"/>
        </w:rPr>
        <w:t>Filmovertrukne tabletter</w:t>
      </w:r>
    </w:p>
    <w:p w:rsidR="008C6AD9" w:rsidRPr="008C6AD9" w:rsidRDefault="008C6AD9" w:rsidP="008C6AD9">
      <w:pPr>
        <w:tabs>
          <w:tab w:val="left" w:pos="851"/>
        </w:tabs>
        <w:ind w:left="851"/>
        <w:rPr>
          <w:sz w:val="24"/>
          <w:szCs w:val="24"/>
          <w:lang w:val="fr-LU"/>
        </w:rPr>
      </w:pPr>
    </w:p>
    <w:p w:rsidR="008C6AD9" w:rsidRPr="008C6AD9" w:rsidRDefault="008C6AD9" w:rsidP="008C6AD9">
      <w:pPr>
        <w:tabs>
          <w:tab w:val="left" w:pos="851"/>
        </w:tabs>
        <w:ind w:left="851"/>
        <w:rPr>
          <w:sz w:val="24"/>
          <w:szCs w:val="24"/>
        </w:rPr>
      </w:pPr>
      <w:r w:rsidRPr="008C6AD9">
        <w:rPr>
          <w:sz w:val="24"/>
          <w:szCs w:val="24"/>
        </w:rPr>
        <w:t>Tabletterne er hvide, runde og med en diameter på ca. 5 mm.</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8C6AD9" w:rsidRPr="008C6AD9" w:rsidRDefault="008C6AD9" w:rsidP="008C6AD9">
      <w:pPr>
        <w:tabs>
          <w:tab w:val="left" w:pos="851"/>
        </w:tabs>
        <w:ind w:left="851"/>
        <w:rPr>
          <w:sz w:val="24"/>
          <w:szCs w:val="24"/>
          <w:lang w:val="fr-LU"/>
        </w:rPr>
      </w:pPr>
      <w:r w:rsidRPr="008C6AD9">
        <w:rPr>
          <w:sz w:val="24"/>
          <w:szCs w:val="24"/>
          <w:lang w:val="fr-LU"/>
        </w:rPr>
        <w:t>Oral kontraception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DA31DF" w:rsidRDefault="00DA31DF" w:rsidP="008C6AD9">
      <w:pPr>
        <w:tabs>
          <w:tab w:val="left" w:pos="851"/>
        </w:tabs>
        <w:ind w:left="851"/>
        <w:rPr>
          <w:sz w:val="24"/>
          <w:szCs w:val="24"/>
          <w:u w:val="single"/>
        </w:rPr>
      </w:pPr>
    </w:p>
    <w:p w:rsidR="008C6AD9" w:rsidRPr="00DA31DF" w:rsidRDefault="008C6AD9" w:rsidP="008C6AD9">
      <w:pPr>
        <w:tabs>
          <w:tab w:val="left" w:pos="851"/>
        </w:tabs>
        <w:ind w:left="851"/>
        <w:rPr>
          <w:b/>
          <w:sz w:val="24"/>
          <w:szCs w:val="24"/>
        </w:rPr>
      </w:pPr>
      <w:r w:rsidRPr="00DA31DF">
        <w:rPr>
          <w:b/>
          <w:sz w:val="24"/>
          <w:szCs w:val="24"/>
        </w:rPr>
        <w:t>Dosering</w:t>
      </w:r>
    </w:p>
    <w:p w:rsidR="008C6AD9" w:rsidRPr="008C6AD9" w:rsidRDefault="008C6AD9" w:rsidP="008C6AD9">
      <w:pPr>
        <w:tabs>
          <w:tab w:val="left" w:pos="851"/>
        </w:tabs>
        <w:ind w:left="851"/>
        <w:rPr>
          <w:sz w:val="24"/>
          <w:szCs w:val="24"/>
          <w:lang w:val="fr-LU"/>
        </w:rPr>
      </w:pPr>
      <w:r w:rsidRPr="008C6AD9">
        <w:rPr>
          <w:sz w:val="24"/>
          <w:szCs w:val="24"/>
          <w:lang w:val="fr-LU"/>
        </w:rPr>
        <w:t>For at opnå den svangerskabsforebyggende virkning skal Ceranor anvendes som anvist (se ”Sådan tages Ceranor” og ”Sådan påbegyndes indtagelse af Ceranor”).</w:t>
      </w:r>
    </w:p>
    <w:p w:rsidR="008C6AD9" w:rsidRPr="008C6AD9" w:rsidRDefault="008C6AD9" w:rsidP="008C6AD9">
      <w:pPr>
        <w:tabs>
          <w:tab w:val="left" w:pos="851"/>
        </w:tabs>
        <w:ind w:left="851"/>
        <w:rPr>
          <w:sz w:val="24"/>
          <w:szCs w:val="24"/>
        </w:rPr>
      </w:pPr>
    </w:p>
    <w:p w:rsidR="008C6AD9" w:rsidRPr="008C6AD9" w:rsidRDefault="008C6AD9" w:rsidP="008C6AD9">
      <w:pPr>
        <w:tabs>
          <w:tab w:val="left" w:pos="851"/>
        </w:tabs>
        <w:ind w:left="851"/>
        <w:rPr>
          <w:sz w:val="24"/>
          <w:szCs w:val="24"/>
          <w:u w:val="single"/>
        </w:rPr>
      </w:pPr>
      <w:r w:rsidRPr="008C6AD9">
        <w:rPr>
          <w:sz w:val="24"/>
          <w:szCs w:val="24"/>
          <w:u w:val="single"/>
        </w:rPr>
        <w:t>Særlige populationer</w:t>
      </w:r>
    </w:p>
    <w:p w:rsidR="00DA31DF" w:rsidRDefault="00DA31DF" w:rsidP="008C6AD9">
      <w:pPr>
        <w:tabs>
          <w:tab w:val="left" w:pos="851"/>
        </w:tabs>
        <w:ind w:left="851"/>
        <w:rPr>
          <w:i/>
          <w:iCs/>
          <w:sz w:val="24"/>
          <w:szCs w:val="24"/>
          <w:lang w:val="fr-LU"/>
        </w:rPr>
      </w:pPr>
    </w:p>
    <w:p w:rsidR="008C6AD9" w:rsidRPr="008C6AD9" w:rsidRDefault="008C6AD9" w:rsidP="008C6AD9">
      <w:pPr>
        <w:tabs>
          <w:tab w:val="left" w:pos="851"/>
        </w:tabs>
        <w:ind w:left="851"/>
        <w:rPr>
          <w:i/>
          <w:iCs/>
          <w:sz w:val="24"/>
          <w:szCs w:val="24"/>
          <w:lang w:val="fr-LU"/>
        </w:rPr>
      </w:pPr>
      <w:r w:rsidRPr="008C6AD9">
        <w:rPr>
          <w:i/>
          <w:iCs/>
          <w:sz w:val="24"/>
          <w:szCs w:val="24"/>
          <w:lang w:val="fr-LU"/>
        </w:rPr>
        <w:t>Nedsat nyrefunktion</w:t>
      </w:r>
    </w:p>
    <w:p w:rsidR="008C6AD9" w:rsidRPr="008C6AD9" w:rsidRDefault="008C6AD9" w:rsidP="008C6AD9">
      <w:pPr>
        <w:tabs>
          <w:tab w:val="left" w:pos="851"/>
        </w:tabs>
        <w:ind w:left="851"/>
        <w:rPr>
          <w:sz w:val="24"/>
          <w:szCs w:val="24"/>
          <w:lang w:val="fr-LU"/>
        </w:rPr>
      </w:pPr>
      <w:r w:rsidRPr="008C6AD9">
        <w:rPr>
          <w:sz w:val="24"/>
          <w:szCs w:val="24"/>
          <w:lang w:val="fr-LU"/>
        </w:rPr>
        <w:t>Der er ikke udført kliniske studier hos patienter med nedsat nyrefunktion.</w:t>
      </w:r>
    </w:p>
    <w:p w:rsidR="008C6AD9" w:rsidRPr="008C6AD9" w:rsidRDefault="008C6AD9" w:rsidP="008C6AD9">
      <w:pPr>
        <w:tabs>
          <w:tab w:val="left" w:pos="851"/>
        </w:tabs>
        <w:ind w:left="851"/>
        <w:rPr>
          <w:sz w:val="24"/>
          <w:szCs w:val="24"/>
        </w:rPr>
      </w:pPr>
    </w:p>
    <w:p w:rsidR="008C6AD9" w:rsidRPr="008C6AD9" w:rsidRDefault="008C6AD9" w:rsidP="008C6AD9">
      <w:pPr>
        <w:tabs>
          <w:tab w:val="left" w:pos="851"/>
        </w:tabs>
        <w:ind w:left="851"/>
        <w:rPr>
          <w:i/>
          <w:iCs/>
          <w:sz w:val="24"/>
          <w:szCs w:val="24"/>
          <w:lang w:val="fr-LU"/>
        </w:rPr>
      </w:pPr>
      <w:r w:rsidRPr="008C6AD9">
        <w:rPr>
          <w:i/>
          <w:iCs/>
          <w:sz w:val="24"/>
          <w:szCs w:val="24"/>
          <w:lang w:val="fr-LU"/>
        </w:rPr>
        <w:t>Nedsat leverfunktion</w:t>
      </w:r>
    </w:p>
    <w:p w:rsidR="008C6AD9" w:rsidRPr="008C6AD9" w:rsidRDefault="008C6AD9" w:rsidP="008C6AD9">
      <w:pPr>
        <w:tabs>
          <w:tab w:val="left" w:pos="851"/>
        </w:tabs>
        <w:ind w:left="851"/>
        <w:rPr>
          <w:sz w:val="24"/>
          <w:szCs w:val="24"/>
          <w:lang w:val="fr-LU"/>
        </w:rPr>
      </w:pPr>
      <w:r w:rsidRPr="008C6AD9">
        <w:rPr>
          <w:sz w:val="24"/>
          <w:szCs w:val="24"/>
          <w:lang w:val="fr-LU"/>
        </w:rPr>
        <w:t>Der er ikke udført kliniske studier hos patienter med nedsat leverfunktion. Da omsætningen af steroidhormoner kan være nedsat hos patienter med leversygdom, er anvendelse af Ceranor hos disse kvinder kontraindiceret så længe leverfunktionsværdierne ikke er normale (se pkt. 4.3).</w:t>
      </w:r>
    </w:p>
    <w:p w:rsidR="008C6AD9" w:rsidRPr="008C6AD9" w:rsidRDefault="008C6AD9" w:rsidP="008C6AD9">
      <w:pPr>
        <w:tabs>
          <w:tab w:val="left" w:pos="851"/>
        </w:tabs>
        <w:ind w:left="851"/>
        <w:rPr>
          <w:sz w:val="24"/>
          <w:szCs w:val="24"/>
        </w:rPr>
      </w:pPr>
    </w:p>
    <w:p w:rsidR="008C6AD9" w:rsidRPr="008C6AD9" w:rsidRDefault="008C6AD9" w:rsidP="008C6AD9">
      <w:pPr>
        <w:tabs>
          <w:tab w:val="left" w:pos="851"/>
        </w:tabs>
        <w:ind w:left="851"/>
        <w:rPr>
          <w:i/>
          <w:iCs/>
          <w:sz w:val="24"/>
          <w:szCs w:val="24"/>
        </w:rPr>
      </w:pPr>
      <w:r w:rsidRPr="008C6AD9">
        <w:rPr>
          <w:i/>
          <w:iCs/>
          <w:sz w:val="24"/>
          <w:szCs w:val="24"/>
        </w:rPr>
        <w:t>Pædiatrisk population</w:t>
      </w:r>
    </w:p>
    <w:p w:rsidR="008C6AD9" w:rsidRPr="008C6AD9" w:rsidRDefault="008C6AD9" w:rsidP="008C6AD9">
      <w:pPr>
        <w:tabs>
          <w:tab w:val="left" w:pos="851"/>
        </w:tabs>
        <w:ind w:left="851"/>
        <w:rPr>
          <w:sz w:val="24"/>
          <w:szCs w:val="24"/>
        </w:rPr>
      </w:pPr>
      <w:r w:rsidRPr="008C6AD9">
        <w:rPr>
          <w:sz w:val="24"/>
          <w:szCs w:val="24"/>
        </w:rPr>
        <w:t>Ceranors sikkerhed og virkning hos unge under 18 år er ikke klarlagt. Der foreligger ingen data.</w:t>
      </w:r>
    </w:p>
    <w:p w:rsidR="008C6AD9" w:rsidRPr="008C6AD9" w:rsidRDefault="008C6AD9" w:rsidP="008C6AD9">
      <w:pPr>
        <w:tabs>
          <w:tab w:val="left" w:pos="851"/>
        </w:tabs>
        <w:ind w:left="851"/>
        <w:rPr>
          <w:sz w:val="24"/>
          <w:szCs w:val="24"/>
        </w:rPr>
      </w:pPr>
    </w:p>
    <w:p w:rsidR="008C6AD9" w:rsidRPr="00A771CB" w:rsidRDefault="008C6AD9" w:rsidP="008C6AD9">
      <w:pPr>
        <w:tabs>
          <w:tab w:val="left" w:pos="851"/>
        </w:tabs>
        <w:ind w:left="851"/>
        <w:rPr>
          <w:b/>
          <w:sz w:val="24"/>
          <w:szCs w:val="24"/>
        </w:rPr>
      </w:pPr>
      <w:r w:rsidRPr="00A771CB">
        <w:rPr>
          <w:b/>
          <w:sz w:val="24"/>
          <w:szCs w:val="24"/>
        </w:rPr>
        <w:t>Administration</w:t>
      </w:r>
    </w:p>
    <w:p w:rsidR="008C6AD9" w:rsidRPr="008C6AD9" w:rsidRDefault="008C6AD9" w:rsidP="008C6AD9">
      <w:pPr>
        <w:tabs>
          <w:tab w:val="left" w:pos="851"/>
        </w:tabs>
        <w:ind w:left="851"/>
        <w:rPr>
          <w:sz w:val="24"/>
          <w:szCs w:val="24"/>
        </w:rPr>
      </w:pPr>
      <w:r w:rsidRPr="008C6AD9">
        <w:rPr>
          <w:sz w:val="24"/>
          <w:szCs w:val="24"/>
        </w:rPr>
        <w:t>Oral anvendelse.</w:t>
      </w:r>
    </w:p>
    <w:p w:rsidR="008C6AD9" w:rsidRPr="008C6AD9" w:rsidRDefault="008C6AD9" w:rsidP="008C6AD9">
      <w:pPr>
        <w:tabs>
          <w:tab w:val="left" w:pos="851"/>
        </w:tabs>
        <w:ind w:left="851"/>
        <w:rPr>
          <w:sz w:val="24"/>
          <w:szCs w:val="24"/>
        </w:rPr>
      </w:pPr>
    </w:p>
    <w:p w:rsidR="008C6AD9" w:rsidRPr="008C6AD9" w:rsidRDefault="008C6AD9" w:rsidP="008C6AD9">
      <w:pPr>
        <w:tabs>
          <w:tab w:val="left" w:pos="851"/>
        </w:tabs>
        <w:ind w:left="851"/>
        <w:rPr>
          <w:b/>
          <w:bCs/>
          <w:sz w:val="24"/>
          <w:szCs w:val="24"/>
        </w:rPr>
      </w:pPr>
      <w:r w:rsidRPr="008C6AD9">
        <w:rPr>
          <w:b/>
          <w:bCs/>
          <w:sz w:val="24"/>
          <w:szCs w:val="24"/>
        </w:rPr>
        <w:t>Sådan tages Ceranor</w:t>
      </w:r>
    </w:p>
    <w:p w:rsidR="008C6AD9" w:rsidRPr="008C6AD9" w:rsidRDefault="008C6AD9" w:rsidP="008C6AD9">
      <w:pPr>
        <w:tabs>
          <w:tab w:val="left" w:pos="851"/>
        </w:tabs>
        <w:ind w:left="851"/>
        <w:rPr>
          <w:sz w:val="24"/>
          <w:szCs w:val="24"/>
        </w:rPr>
      </w:pPr>
      <w:r w:rsidRPr="008C6AD9">
        <w:rPr>
          <w:sz w:val="24"/>
          <w:szCs w:val="24"/>
        </w:rPr>
        <w:t>Tabletterne skal tages på det samme tidspunkt hver dag, således at intervallet mellem 2 tabletter altid er 24 timer. Den første tablet bør tages på menstruationens 1. dag. Herefter tages kontinuerligt 1 tablet daglig, uden at der tages hensyn til evt. blødninger. Der startes på en ny blisterpakning umiddelbart efter at alle tabletterne i den foregående pakning er taget.</w:t>
      </w:r>
    </w:p>
    <w:p w:rsidR="008C6AD9" w:rsidRPr="008C6AD9" w:rsidRDefault="008C6AD9" w:rsidP="008C6AD9">
      <w:pPr>
        <w:tabs>
          <w:tab w:val="left" w:pos="851"/>
        </w:tabs>
        <w:ind w:left="851"/>
        <w:rPr>
          <w:sz w:val="24"/>
          <w:szCs w:val="24"/>
        </w:rPr>
      </w:pPr>
    </w:p>
    <w:p w:rsidR="008C6AD9" w:rsidRPr="008C6AD9" w:rsidRDefault="008C6AD9" w:rsidP="008C6AD9">
      <w:pPr>
        <w:tabs>
          <w:tab w:val="left" w:pos="851"/>
        </w:tabs>
        <w:ind w:left="851"/>
        <w:rPr>
          <w:b/>
          <w:bCs/>
          <w:sz w:val="24"/>
          <w:szCs w:val="24"/>
          <w:lang w:val="fr-LU"/>
        </w:rPr>
      </w:pPr>
      <w:r w:rsidRPr="008C6AD9">
        <w:rPr>
          <w:b/>
          <w:bCs/>
          <w:sz w:val="24"/>
          <w:szCs w:val="24"/>
          <w:lang w:val="fr-LU"/>
        </w:rPr>
        <w:t>Sådan påbegyndes indtagelse af Ceranor</w:t>
      </w:r>
    </w:p>
    <w:p w:rsidR="008C6AD9" w:rsidRPr="008C6AD9" w:rsidRDefault="008C6AD9" w:rsidP="008C6AD9">
      <w:pPr>
        <w:tabs>
          <w:tab w:val="left" w:pos="851"/>
        </w:tabs>
        <w:ind w:left="851"/>
        <w:rPr>
          <w:sz w:val="24"/>
          <w:szCs w:val="24"/>
          <w:lang w:val="fr-LU"/>
        </w:rPr>
      </w:pPr>
      <w:r w:rsidRPr="008C6AD9">
        <w:rPr>
          <w:sz w:val="24"/>
          <w:szCs w:val="24"/>
          <w:lang w:val="fr-LU"/>
        </w:rPr>
        <w:tab/>
      </w:r>
    </w:p>
    <w:p w:rsidR="008C6AD9" w:rsidRPr="008C6AD9" w:rsidRDefault="008C6AD9" w:rsidP="008C6AD9">
      <w:pPr>
        <w:tabs>
          <w:tab w:val="left" w:pos="851"/>
        </w:tabs>
        <w:ind w:left="851"/>
        <w:rPr>
          <w:i/>
          <w:iCs/>
          <w:sz w:val="24"/>
          <w:szCs w:val="24"/>
          <w:lang w:val="fr-LU"/>
        </w:rPr>
      </w:pPr>
      <w:r w:rsidRPr="008C6AD9">
        <w:rPr>
          <w:i/>
          <w:iCs/>
          <w:sz w:val="24"/>
          <w:szCs w:val="24"/>
          <w:lang w:val="fr-LU"/>
        </w:rPr>
        <w:t>Ingen forudgående indtagelse af hormonale kontraceptiva (indenfor den sidste måned)</w:t>
      </w:r>
    </w:p>
    <w:p w:rsidR="008C6AD9" w:rsidRPr="008C6AD9" w:rsidRDefault="008C6AD9" w:rsidP="008C6AD9">
      <w:pPr>
        <w:tabs>
          <w:tab w:val="left" w:pos="851"/>
        </w:tabs>
        <w:ind w:left="851"/>
        <w:rPr>
          <w:sz w:val="24"/>
          <w:szCs w:val="24"/>
          <w:lang w:val="fr-LU"/>
        </w:rPr>
      </w:pPr>
      <w:r w:rsidRPr="008C6AD9">
        <w:rPr>
          <w:sz w:val="24"/>
          <w:szCs w:val="24"/>
          <w:lang w:val="fr-LU"/>
        </w:rPr>
        <w:t>Tabletindtagelsen skal påbegyndes dag 1 i kvindens naturlige cyklus (dvs. på den første dag kvinden har en menstruationsblødning). Det er tilladt at påbegynde indtagelsen på dag 2 – 5, men i første cyklus tilrådes det at benytte en barrieremetode samtidig i de første 7 dage af tabletindtagelsen.</w:t>
      </w:r>
    </w:p>
    <w:p w:rsidR="008C6AD9" w:rsidRPr="008C6AD9" w:rsidRDefault="008C6AD9" w:rsidP="008C6AD9">
      <w:pPr>
        <w:tabs>
          <w:tab w:val="left" w:pos="851"/>
        </w:tabs>
        <w:ind w:left="851"/>
        <w:rPr>
          <w:sz w:val="24"/>
          <w:szCs w:val="24"/>
          <w:lang w:val="fr-LU"/>
        </w:rPr>
      </w:pPr>
    </w:p>
    <w:p w:rsidR="008C6AD9" w:rsidRPr="008C6AD9" w:rsidRDefault="008C6AD9" w:rsidP="008C6AD9">
      <w:pPr>
        <w:tabs>
          <w:tab w:val="left" w:pos="851"/>
        </w:tabs>
        <w:ind w:left="851"/>
        <w:rPr>
          <w:i/>
          <w:iCs/>
          <w:sz w:val="24"/>
          <w:szCs w:val="24"/>
          <w:lang w:val="fr-LU"/>
        </w:rPr>
      </w:pPr>
      <w:r w:rsidRPr="008C6AD9">
        <w:rPr>
          <w:i/>
          <w:iCs/>
          <w:sz w:val="24"/>
          <w:szCs w:val="24"/>
          <w:lang w:val="fr-LU"/>
        </w:rPr>
        <w:t>Efter abort i 1. trimester</w:t>
      </w:r>
    </w:p>
    <w:p w:rsidR="008C6AD9" w:rsidRPr="008C6AD9" w:rsidRDefault="008C6AD9" w:rsidP="008C6AD9">
      <w:pPr>
        <w:tabs>
          <w:tab w:val="left" w:pos="851"/>
        </w:tabs>
        <w:ind w:left="851"/>
        <w:rPr>
          <w:sz w:val="24"/>
          <w:szCs w:val="24"/>
          <w:lang w:val="fr-LU"/>
        </w:rPr>
      </w:pPr>
      <w:r w:rsidRPr="008C6AD9">
        <w:rPr>
          <w:sz w:val="24"/>
          <w:szCs w:val="24"/>
          <w:lang w:val="fr-LU"/>
        </w:rPr>
        <w:t>Efter abort i 1. trimester bør behandlingen startes straks. I dette tilfælde er det ikke nødvendigt at anvende anden svangerskabsforebyggende metode.</w:t>
      </w:r>
    </w:p>
    <w:p w:rsidR="008C6AD9" w:rsidRPr="008C6AD9" w:rsidRDefault="008C6AD9" w:rsidP="008C6AD9">
      <w:pPr>
        <w:tabs>
          <w:tab w:val="left" w:pos="851"/>
        </w:tabs>
        <w:ind w:left="851"/>
        <w:rPr>
          <w:sz w:val="24"/>
          <w:szCs w:val="24"/>
          <w:lang w:val="fr-LU"/>
        </w:rPr>
      </w:pPr>
      <w:r w:rsidRPr="008C6AD9">
        <w:rPr>
          <w:sz w:val="24"/>
          <w:szCs w:val="24"/>
          <w:lang w:val="fr-LU"/>
        </w:rPr>
        <w:tab/>
      </w:r>
    </w:p>
    <w:p w:rsidR="008C6AD9" w:rsidRPr="008C6AD9" w:rsidRDefault="008C6AD9" w:rsidP="008C6AD9">
      <w:pPr>
        <w:tabs>
          <w:tab w:val="left" w:pos="851"/>
        </w:tabs>
        <w:ind w:left="851"/>
        <w:rPr>
          <w:i/>
          <w:iCs/>
          <w:sz w:val="24"/>
          <w:szCs w:val="24"/>
          <w:lang w:val="fr-LU"/>
        </w:rPr>
      </w:pPr>
      <w:r w:rsidRPr="008C6AD9">
        <w:rPr>
          <w:i/>
          <w:iCs/>
          <w:sz w:val="24"/>
          <w:szCs w:val="24"/>
          <w:lang w:val="fr-LU"/>
        </w:rPr>
        <w:t>Efter fødsel eller abort i 2. trimester</w:t>
      </w:r>
    </w:p>
    <w:p w:rsidR="008C6AD9" w:rsidRPr="008C6AD9" w:rsidRDefault="008C6AD9" w:rsidP="008C6AD9">
      <w:pPr>
        <w:tabs>
          <w:tab w:val="left" w:pos="851"/>
        </w:tabs>
        <w:ind w:left="851"/>
        <w:rPr>
          <w:sz w:val="24"/>
          <w:szCs w:val="24"/>
          <w:lang w:val="fr-LU"/>
        </w:rPr>
      </w:pPr>
      <w:r w:rsidRPr="008C6AD9">
        <w:rPr>
          <w:sz w:val="24"/>
          <w:szCs w:val="24"/>
          <w:lang w:val="fr-LU"/>
        </w:rPr>
        <w:t xml:space="preserve">Kvinden bør rådes til at starte en dag mellem dag 21 og 28 efter fødsel eller abort i 2. trimester. Ved senere start bør hun rådes til samtidigt at benytte en barrieremetode i de første 7 dage af tabletindtagelsen. Hvis samleje allerede har fundet sted, skal graviditet udelukkes før indtagelse af Ceranor påbegyndes, eller også skal kvinden vente til den første menstruationsperiode. </w:t>
      </w:r>
    </w:p>
    <w:p w:rsidR="008C6AD9" w:rsidRPr="008C6AD9" w:rsidRDefault="008C6AD9" w:rsidP="008C6AD9">
      <w:pPr>
        <w:tabs>
          <w:tab w:val="left" w:pos="851"/>
        </w:tabs>
        <w:ind w:left="851"/>
        <w:rPr>
          <w:sz w:val="24"/>
          <w:szCs w:val="24"/>
          <w:lang w:val="fr-LU"/>
        </w:rPr>
      </w:pPr>
    </w:p>
    <w:p w:rsidR="008C6AD9" w:rsidRPr="008C6AD9" w:rsidRDefault="008C6AD9" w:rsidP="008C6AD9">
      <w:pPr>
        <w:tabs>
          <w:tab w:val="left" w:pos="851"/>
        </w:tabs>
        <w:ind w:left="851"/>
        <w:rPr>
          <w:sz w:val="24"/>
          <w:szCs w:val="24"/>
          <w:lang w:val="fr-LU"/>
        </w:rPr>
      </w:pPr>
      <w:r w:rsidRPr="008C6AD9">
        <w:rPr>
          <w:sz w:val="24"/>
          <w:szCs w:val="24"/>
          <w:lang w:val="fr-LU"/>
        </w:rPr>
        <w:t>Yderligere oplysninger for ammende kvinder: Se pkt. 4.6.</w:t>
      </w:r>
    </w:p>
    <w:p w:rsidR="008C6AD9" w:rsidRPr="008C6AD9" w:rsidRDefault="008C6AD9" w:rsidP="008C6AD9">
      <w:pPr>
        <w:tabs>
          <w:tab w:val="left" w:pos="851"/>
        </w:tabs>
        <w:ind w:left="851"/>
        <w:rPr>
          <w:sz w:val="24"/>
          <w:szCs w:val="24"/>
        </w:rPr>
      </w:pPr>
    </w:p>
    <w:p w:rsidR="008C6AD9" w:rsidRPr="008C6AD9" w:rsidRDefault="008C6AD9" w:rsidP="008C6AD9">
      <w:pPr>
        <w:tabs>
          <w:tab w:val="left" w:pos="851"/>
        </w:tabs>
        <w:ind w:left="851"/>
        <w:rPr>
          <w:b/>
          <w:bCs/>
          <w:sz w:val="24"/>
          <w:szCs w:val="24"/>
        </w:rPr>
      </w:pPr>
      <w:r w:rsidRPr="008C6AD9">
        <w:rPr>
          <w:b/>
          <w:bCs/>
          <w:sz w:val="24"/>
          <w:szCs w:val="24"/>
        </w:rPr>
        <w:t>Sådan påbegyndes indtagelse af Ceranor, når der skiftes fra andre svangerskabsforebyggende metoder</w:t>
      </w:r>
    </w:p>
    <w:p w:rsidR="008C6AD9" w:rsidRPr="008C6AD9" w:rsidRDefault="008C6AD9" w:rsidP="008C6AD9">
      <w:pPr>
        <w:tabs>
          <w:tab w:val="left" w:pos="851"/>
        </w:tabs>
        <w:ind w:left="851"/>
        <w:rPr>
          <w:sz w:val="24"/>
          <w:szCs w:val="24"/>
        </w:rPr>
      </w:pPr>
      <w:r w:rsidRPr="008C6AD9">
        <w:rPr>
          <w:sz w:val="24"/>
          <w:szCs w:val="24"/>
        </w:rPr>
        <w:tab/>
      </w:r>
    </w:p>
    <w:p w:rsidR="008C6AD9" w:rsidRPr="008C6AD9" w:rsidRDefault="008C6AD9" w:rsidP="008C6AD9">
      <w:pPr>
        <w:tabs>
          <w:tab w:val="left" w:pos="851"/>
        </w:tabs>
        <w:ind w:left="851"/>
        <w:rPr>
          <w:i/>
          <w:iCs/>
          <w:sz w:val="24"/>
          <w:szCs w:val="24"/>
        </w:rPr>
      </w:pPr>
      <w:r w:rsidRPr="008C6AD9">
        <w:rPr>
          <w:i/>
          <w:iCs/>
          <w:sz w:val="24"/>
          <w:szCs w:val="24"/>
        </w:rPr>
        <w:t>Ved skift fra et hormonelt antikonceptionsmiddel af kombinationstypen (p-pille, p-ring, p-plaster)</w:t>
      </w:r>
    </w:p>
    <w:p w:rsidR="008C6AD9" w:rsidRPr="008C6AD9" w:rsidRDefault="008C6AD9" w:rsidP="008C6AD9">
      <w:pPr>
        <w:tabs>
          <w:tab w:val="left" w:pos="851"/>
        </w:tabs>
        <w:ind w:left="851"/>
        <w:rPr>
          <w:sz w:val="24"/>
          <w:szCs w:val="24"/>
        </w:rPr>
      </w:pPr>
      <w:r w:rsidRPr="008C6AD9">
        <w:rPr>
          <w:sz w:val="24"/>
          <w:szCs w:val="24"/>
        </w:rPr>
        <w:t xml:space="preserve">Kvinden bør så vidt muligt starte med Ceranor dagen efter hun tog den sidste aktive tablet i sin tidligere p-pillepakke eller den dag hun fjerner sin p-ring eller p-plaster. I disse tilfælde er samtidig anvendelse af anden svangerskabsforebyggende metode ikke nødvendig. Muligvis er ikke alle svangerskabsforebyggende metoder tilgængelige i alle EU-lande. </w:t>
      </w:r>
    </w:p>
    <w:p w:rsidR="008C6AD9" w:rsidRPr="008C6AD9" w:rsidRDefault="008C6AD9" w:rsidP="008C6AD9">
      <w:pPr>
        <w:tabs>
          <w:tab w:val="left" w:pos="851"/>
        </w:tabs>
        <w:ind w:left="851"/>
        <w:rPr>
          <w:sz w:val="24"/>
          <w:szCs w:val="24"/>
        </w:rPr>
      </w:pPr>
      <w:r w:rsidRPr="008C6AD9">
        <w:rPr>
          <w:sz w:val="24"/>
          <w:szCs w:val="24"/>
        </w:rPr>
        <w:lastRenderedPageBreak/>
        <w:tab/>
      </w:r>
    </w:p>
    <w:p w:rsidR="008C6AD9" w:rsidRPr="008C6AD9" w:rsidRDefault="008C6AD9" w:rsidP="008C6AD9">
      <w:pPr>
        <w:tabs>
          <w:tab w:val="left" w:pos="851"/>
        </w:tabs>
        <w:ind w:left="851"/>
        <w:rPr>
          <w:sz w:val="24"/>
          <w:szCs w:val="24"/>
        </w:rPr>
      </w:pPr>
      <w:r w:rsidRPr="008C6AD9">
        <w:rPr>
          <w:sz w:val="24"/>
          <w:szCs w:val="24"/>
        </w:rPr>
        <w:t xml:space="preserve">Kvinden kan også starte med Ceranor senest på den sidste dag i p-pillepausen, sidste dag i den plasterfrie eller ringfrie periode eller placebotabletperioden for hendes tidligere </w:t>
      </w:r>
      <w:r w:rsidRPr="008C6AD9">
        <w:rPr>
          <w:iCs/>
          <w:sz w:val="24"/>
          <w:szCs w:val="24"/>
        </w:rPr>
        <w:t>hormonelle antikonceptionsmiddel af kombinationstypen</w:t>
      </w:r>
      <w:r w:rsidRPr="008C6AD9">
        <w:rPr>
          <w:sz w:val="24"/>
          <w:szCs w:val="24"/>
        </w:rPr>
        <w:t>. I alle disse tilfælde tilrådes det samtidigt at anvende en barrieremetode de første 7 dage af tabletindtagelsen.</w:t>
      </w:r>
    </w:p>
    <w:p w:rsidR="008C6AD9" w:rsidRPr="008C6AD9" w:rsidRDefault="008C6AD9" w:rsidP="008C6AD9">
      <w:pPr>
        <w:tabs>
          <w:tab w:val="left" w:pos="851"/>
        </w:tabs>
        <w:ind w:left="851"/>
        <w:rPr>
          <w:sz w:val="24"/>
          <w:szCs w:val="24"/>
        </w:rPr>
      </w:pPr>
    </w:p>
    <w:p w:rsidR="008C6AD9" w:rsidRPr="008C6AD9" w:rsidRDefault="008C6AD9" w:rsidP="008C6AD9">
      <w:pPr>
        <w:tabs>
          <w:tab w:val="left" w:pos="851"/>
        </w:tabs>
        <w:ind w:left="851"/>
        <w:rPr>
          <w:i/>
          <w:iCs/>
          <w:sz w:val="24"/>
          <w:szCs w:val="24"/>
        </w:rPr>
      </w:pPr>
      <w:r w:rsidRPr="008C6AD9">
        <w:rPr>
          <w:i/>
          <w:iCs/>
          <w:sz w:val="24"/>
          <w:szCs w:val="24"/>
        </w:rPr>
        <w:t>Ved skift fra rene gestagenpræparater (minipiller, injektion, implantat) eller fra et intrauterint system, der frigiver gestagen (IUS)</w:t>
      </w:r>
    </w:p>
    <w:p w:rsidR="008C6AD9" w:rsidRDefault="008C6AD9" w:rsidP="008C6AD9">
      <w:pPr>
        <w:tabs>
          <w:tab w:val="left" w:pos="851"/>
        </w:tabs>
        <w:ind w:left="851"/>
        <w:rPr>
          <w:sz w:val="24"/>
          <w:szCs w:val="24"/>
          <w:lang w:val="fr-LU"/>
        </w:rPr>
      </w:pPr>
      <w:r w:rsidRPr="008C6AD9">
        <w:rPr>
          <w:sz w:val="24"/>
          <w:szCs w:val="24"/>
          <w:lang w:val="fr-LU"/>
        </w:rPr>
        <w:t>Kvinden kan skifte fra minipiller på hvilken dag, det skal være (ved skift fra implantat eller IUS på den dag hvor det fjernes; ved skift fra injektion når næste injektion skulle have været givet).</w:t>
      </w:r>
    </w:p>
    <w:p w:rsidR="00A771CB" w:rsidRPr="008C6AD9" w:rsidRDefault="00A771CB" w:rsidP="008C6AD9">
      <w:pPr>
        <w:tabs>
          <w:tab w:val="left" w:pos="851"/>
        </w:tabs>
        <w:ind w:left="851"/>
        <w:rPr>
          <w:sz w:val="24"/>
          <w:szCs w:val="24"/>
          <w:lang w:val="fr-LU"/>
        </w:rPr>
      </w:pPr>
    </w:p>
    <w:p w:rsidR="008C6AD9" w:rsidRPr="008C6AD9" w:rsidRDefault="008C6AD9" w:rsidP="008C6AD9">
      <w:pPr>
        <w:tabs>
          <w:tab w:val="left" w:pos="851"/>
        </w:tabs>
        <w:ind w:left="851"/>
        <w:rPr>
          <w:b/>
          <w:bCs/>
          <w:sz w:val="24"/>
          <w:szCs w:val="24"/>
          <w:lang w:val="fr-LU"/>
        </w:rPr>
      </w:pPr>
      <w:r w:rsidRPr="008C6AD9">
        <w:rPr>
          <w:b/>
          <w:bCs/>
          <w:sz w:val="24"/>
          <w:szCs w:val="24"/>
          <w:lang w:val="fr-LU"/>
        </w:rPr>
        <w:t>Glemte tabletter</w:t>
      </w:r>
    </w:p>
    <w:p w:rsidR="008C6AD9" w:rsidRPr="008C6AD9" w:rsidRDefault="008C6AD9" w:rsidP="008C6AD9">
      <w:pPr>
        <w:tabs>
          <w:tab w:val="left" w:pos="851"/>
        </w:tabs>
        <w:ind w:left="851"/>
        <w:rPr>
          <w:sz w:val="24"/>
          <w:szCs w:val="24"/>
          <w:lang w:val="fr-LU"/>
        </w:rPr>
      </w:pPr>
      <w:r w:rsidRPr="008C6AD9">
        <w:rPr>
          <w:sz w:val="24"/>
          <w:szCs w:val="24"/>
          <w:lang w:val="fr-LU"/>
        </w:rPr>
        <w:t>Den svangerskabsforebyggende virkning kan blive nedsat, hvis der er gået mere end 36 timer mellem indtagelse af 2 tabletter. Hvis brugeren tager tabletten op til 12 timer for sent, bør den glemte tablet tages, så snart hun husker det, og den næste tablet bør tages til sædvanlig tid. Hvis tabletten tages mere end 12 timer for sent, følges samme råd, men der bør desuden anvendes en anden svangerskabsforebyggende metode i de følgende 7 dage. Hvis tabletten glemmes i den første uge efter påbegyndt indtagelse af Ceranor, og samleje har fundet sted i de seneste 7 dage forinden, bør man overveje muligheden for graviditet.</w:t>
      </w:r>
    </w:p>
    <w:p w:rsidR="008C6AD9" w:rsidRPr="008C6AD9" w:rsidRDefault="008C6AD9" w:rsidP="008C6AD9">
      <w:pPr>
        <w:tabs>
          <w:tab w:val="left" w:pos="851"/>
        </w:tabs>
        <w:ind w:left="851"/>
        <w:rPr>
          <w:sz w:val="24"/>
          <w:szCs w:val="24"/>
          <w:lang w:val="fr-LU"/>
        </w:rPr>
      </w:pPr>
    </w:p>
    <w:p w:rsidR="008C6AD9" w:rsidRPr="008C6AD9" w:rsidRDefault="008C6AD9" w:rsidP="008C6AD9">
      <w:pPr>
        <w:tabs>
          <w:tab w:val="left" w:pos="851"/>
        </w:tabs>
        <w:ind w:left="851"/>
        <w:rPr>
          <w:b/>
          <w:bCs/>
          <w:sz w:val="24"/>
          <w:szCs w:val="24"/>
          <w:lang w:val="fr-LU"/>
        </w:rPr>
      </w:pPr>
      <w:r w:rsidRPr="008C6AD9">
        <w:rPr>
          <w:b/>
          <w:bCs/>
          <w:sz w:val="24"/>
          <w:szCs w:val="24"/>
          <w:lang w:val="fr-LU"/>
        </w:rPr>
        <w:t>Gastrointestinale forstyrrelser</w:t>
      </w:r>
    </w:p>
    <w:p w:rsidR="008C6AD9" w:rsidRPr="008C6AD9" w:rsidRDefault="008C6AD9" w:rsidP="008C6AD9">
      <w:pPr>
        <w:tabs>
          <w:tab w:val="left" w:pos="851"/>
        </w:tabs>
        <w:ind w:left="851"/>
        <w:rPr>
          <w:sz w:val="24"/>
          <w:szCs w:val="24"/>
          <w:lang w:val="fr-LU"/>
        </w:rPr>
      </w:pPr>
      <w:r w:rsidRPr="008C6AD9">
        <w:rPr>
          <w:sz w:val="24"/>
          <w:szCs w:val="24"/>
          <w:lang w:val="fr-LU"/>
        </w:rPr>
        <w:t xml:space="preserve">I tilfælde af alvorlige gastrointestinale forstyrrelser vil absorptionen muligvis ikke være fuldstændig, og andre svangerskabsforebyggende forholdsregler bør tages. </w:t>
      </w:r>
    </w:p>
    <w:p w:rsidR="008C6AD9" w:rsidRPr="008C6AD9" w:rsidRDefault="008C6AD9" w:rsidP="008C6AD9">
      <w:pPr>
        <w:tabs>
          <w:tab w:val="left" w:pos="851"/>
        </w:tabs>
        <w:ind w:left="851"/>
        <w:rPr>
          <w:sz w:val="24"/>
          <w:szCs w:val="24"/>
          <w:lang w:val="fr-LU"/>
        </w:rPr>
      </w:pPr>
    </w:p>
    <w:p w:rsidR="008C6AD9" w:rsidRPr="008C6AD9" w:rsidRDefault="008C6AD9" w:rsidP="008C6AD9">
      <w:pPr>
        <w:tabs>
          <w:tab w:val="left" w:pos="851"/>
        </w:tabs>
        <w:ind w:left="851"/>
        <w:rPr>
          <w:sz w:val="24"/>
          <w:szCs w:val="24"/>
          <w:lang w:val="fr-LU"/>
        </w:rPr>
      </w:pPr>
      <w:r w:rsidRPr="008C6AD9">
        <w:rPr>
          <w:sz w:val="24"/>
          <w:szCs w:val="24"/>
          <w:lang w:val="fr-LU"/>
        </w:rPr>
        <w:t>Hvis der forekommer opkastning indenfor 3 – 4 timer efter tabletindtagelse, vil absorptionen muligvis ikke være fuldstændig. I disse tilfælde følges de samme retningslinier som ved glemte tabletter angivet i pkt. 4.2.</w:t>
      </w:r>
    </w:p>
    <w:p w:rsidR="008C6AD9" w:rsidRPr="008C6AD9" w:rsidRDefault="008C6AD9" w:rsidP="008C6AD9">
      <w:pPr>
        <w:tabs>
          <w:tab w:val="left" w:pos="851"/>
        </w:tabs>
        <w:ind w:left="851"/>
        <w:rPr>
          <w:sz w:val="24"/>
          <w:szCs w:val="24"/>
          <w:lang w:val="fr-LU"/>
        </w:rPr>
      </w:pPr>
    </w:p>
    <w:p w:rsidR="008C6AD9" w:rsidRPr="008C6AD9" w:rsidRDefault="008C6AD9" w:rsidP="008C6AD9">
      <w:pPr>
        <w:tabs>
          <w:tab w:val="left" w:pos="851"/>
        </w:tabs>
        <w:ind w:left="851"/>
        <w:rPr>
          <w:b/>
          <w:bCs/>
          <w:sz w:val="24"/>
          <w:szCs w:val="24"/>
          <w:lang w:val="fr-LU"/>
        </w:rPr>
      </w:pPr>
      <w:r w:rsidRPr="008C6AD9">
        <w:rPr>
          <w:b/>
          <w:bCs/>
          <w:sz w:val="24"/>
          <w:szCs w:val="24"/>
          <w:lang w:val="fr-LU"/>
        </w:rPr>
        <w:t>Kontrol under behandlingen</w:t>
      </w:r>
    </w:p>
    <w:p w:rsidR="008C6AD9" w:rsidRPr="008C6AD9" w:rsidRDefault="008C6AD9" w:rsidP="008C6AD9">
      <w:pPr>
        <w:tabs>
          <w:tab w:val="left" w:pos="851"/>
        </w:tabs>
        <w:ind w:left="851"/>
        <w:rPr>
          <w:sz w:val="24"/>
          <w:szCs w:val="24"/>
          <w:lang w:val="fr-LU"/>
        </w:rPr>
      </w:pPr>
      <w:r w:rsidRPr="008C6AD9">
        <w:rPr>
          <w:sz w:val="24"/>
          <w:szCs w:val="24"/>
          <w:lang w:val="fr-LU"/>
        </w:rPr>
        <w:t xml:space="preserve">Før ordination af Ceranor bør der optages en fuldstændig anamnese, og det anbefales at udføre en grundig gynækologisk undersøgelse for at udelukke graviditet. Blødningsforstyrrelser, såsom oligomenoré og amenoré bør undersøges før ordination. Intervallet mellem kontrollerne afhænger af omstændighederne i hvert enkelt tilfælde. Hvis det ordinerede produkt kan tænkes at influere på en latent eller manifest sygdom (se pkt. 4.4), bør kontrolundersøgelserne afpasses i henhold hertil. </w:t>
      </w:r>
    </w:p>
    <w:p w:rsidR="008C6AD9" w:rsidRPr="008C6AD9" w:rsidRDefault="008C6AD9" w:rsidP="008C6AD9">
      <w:pPr>
        <w:tabs>
          <w:tab w:val="left" w:pos="851"/>
        </w:tabs>
        <w:ind w:left="851"/>
        <w:rPr>
          <w:sz w:val="24"/>
          <w:szCs w:val="24"/>
          <w:lang w:val="fr-LU"/>
        </w:rPr>
      </w:pPr>
    </w:p>
    <w:p w:rsidR="008C6AD9" w:rsidRPr="008C6AD9" w:rsidRDefault="008C6AD9" w:rsidP="008C6AD9">
      <w:pPr>
        <w:tabs>
          <w:tab w:val="left" w:pos="851"/>
        </w:tabs>
        <w:ind w:left="851"/>
        <w:rPr>
          <w:sz w:val="24"/>
          <w:szCs w:val="24"/>
          <w:lang w:val="fr-LU"/>
        </w:rPr>
      </w:pPr>
      <w:r w:rsidRPr="008C6AD9">
        <w:rPr>
          <w:sz w:val="24"/>
          <w:szCs w:val="24"/>
          <w:lang w:val="fr-LU"/>
        </w:rPr>
        <w:t>Selv om Ceranor tages regelmæssigt, kan der opstå blødningsforstyrrelser. Hvis blødning forekommer meget hyppigt og uregelmæssigt, bør man overveje en anden svangerskabsforebyggende metode. Hvis symptomerne vedvarer, bør en organisk årsag udelukkes.</w:t>
      </w:r>
    </w:p>
    <w:p w:rsidR="008C6AD9" w:rsidRPr="008C6AD9" w:rsidRDefault="008C6AD9" w:rsidP="008C6AD9">
      <w:pPr>
        <w:tabs>
          <w:tab w:val="left" w:pos="851"/>
        </w:tabs>
        <w:ind w:left="851"/>
        <w:rPr>
          <w:sz w:val="24"/>
          <w:szCs w:val="24"/>
          <w:lang w:val="fr-LU"/>
        </w:rPr>
      </w:pPr>
    </w:p>
    <w:p w:rsidR="008C6AD9" w:rsidRPr="008C6AD9" w:rsidRDefault="008C6AD9" w:rsidP="008C6AD9">
      <w:pPr>
        <w:tabs>
          <w:tab w:val="left" w:pos="851"/>
        </w:tabs>
        <w:ind w:left="851"/>
        <w:rPr>
          <w:sz w:val="24"/>
          <w:szCs w:val="24"/>
          <w:lang w:val="fr-LU"/>
        </w:rPr>
      </w:pPr>
      <w:r w:rsidRPr="008C6AD9">
        <w:rPr>
          <w:sz w:val="24"/>
          <w:szCs w:val="24"/>
          <w:lang w:val="fr-LU"/>
        </w:rPr>
        <w:t>Behandling af amenoré under p-pille brug afhænger af, hvorvidt tabletterne er taget i henhold til vejledningen og kan omfatte en graviditetstest.</w:t>
      </w:r>
    </w:p>
    <w:p w:rsidR="008C6AD9" w:rsidRPr="008C6AD9" w:rsidRDefault="008C6AD9" w:rsidP="008C6AD9">
      <w:pPr>
        <w:tabs>
          <w:tab w:val="left" w:pos="851"/>
        </w:tabs>
        <w:ind w:left="851"/>
        <w:rPr>
          <w:sz w:val="24"/>
          <w:szCs w:val="24"/>
          <w:lang w:val="fr-LU"/>
        </w:rPr>
      </w:pPr>
    </w:p>
    <w:p w:rsidR="008C6AD9" w:rsidRPr="008C6AD9" w:rsidRDefault="008C6AD9" w:rsidP="008C6AD9">
      <w:pPr>
        <w:tabs>
          <w:tab w:val="left" w:pos="851"/>
        </w:tabs>
        <w:ind w:left="851"/>
        <w:rPr>
          <w:sz w:val="24"/>
          <w:szCs w:val="24"/>
          <w:lang w:val="fr-LU"/>
        </w:rPr>
      </w:pPr>
      <w:r w:rsidRPr="008C6AD9">
        <w:rPr>
          <w:sz w:val="24"/>
          <w:szCs w:val="24"/>
          <w:lang w:val="fr-LU"/>
        </w:rPr>
        <w:t>Behandlingen bør afbrydes, hvis graviditet indtræder.</w:t>
      </w:r>
    </w:p>
    <w:p w:rsidR="008C6AD9" w:rsidRPr="008C6AD9" w:rsidRDefault="008C6AD9" w:rsidP="008C6AD9">
      <w:pPr>
        <w:tabs>
          <w:tab w:val="left" w:pos="851"/>
        </w:tabs>
        <w:ind w:left="851"/>
        <w:rPr>
          <w:sz w:val="24"/>
          <w:szCs w:val="24"/>
          <w:lang w:val="fr-LU"/>
        </w:rPr>
      </w:pPr>
    </w:p>
    <w:p w:rsidR="008C6AD9" w:rsidRPr="008C6AD9" w:rsidRDefault="008C6AD9" w:rsidP="008C6AD9">
      <w:pPr>
        <w:tabs>
          <w:tab w:val="left" w:pos="851"/>
        </w:tabs>
        <w:ind w:left="851"/>
        <w:rPr>
          <w:sz w:val="24"/>
          <w:szCs w:val="24"/>
          <w:lang w:val="fr-LU"/>
        </w:rPr>
      </w:pPr>
      <w:r w:rsidRPr="008C6AD9">
        <w:rPr>
          <w:sz w:val="24"/>
          <w:szCs w:val="24"/>
          <w:lang w:val="fr-LU"/>
        </w:rPr>
        <w:t>Kvinden bør informeres om, at Ceranor ikke beskytter mod HIV infektioner (AIDS) og andre seksuelt overførte sygdomme.</w:t>
      </w:r>
    </w:p>
    <w:p w:rsidR="00A771CB" w:rsidRDefault="00A771CB">
      <w:pPr>
        <w:rPr>
          <w:sz w:val="24"/>
          <w:szCs w:val="24"/>
        </w:rPr>
      </w:pPr>
      <w:r>
        <w:rPr>
          <w:sz w:val="24"/>
          <w:szCs w:val="24"/>
        </w:rPr>
        <w:br w:type="page"/>
      </w:r>
    </w:p>
    <w:p w:rsidR="008C6AD9" w:rsidRPr="008C6AD9" w:rsidRDefault="008C6AD9" w:rsidP="008C6AD9">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4F6AA3" w:rsidRPr="004F6AA3" w:rsidRDefault="004F6AA3" w:rsidP="00161114">
      <w:pPr>
        <w:numPr>
          <w:ilvl w:val="0"/>
          <w:numId w:val="6"/>
        </w:numPr>
        <w:tabs>
          <w:tab w:val="left" w:pos="851"/>
        </w:tabs>
        <w:ind w:left="1134" w:hanging="283"/>
        <w:rPr>
          <w:sz w:val="24"/>
          <w:szCs w:val="24"/>
        </w:rPr>
      </w:pPr>
      <w:r w:rsidRPr="004F6AA3">
        <w:rPr>
          <w:sz w:val="24"/>
          <w:szCs w:val="24"/>
        </w:rPr>
        <w:t>Aktiv venøs tromboembolisk sygdom.</w:t>
      </w:r>
    </w:p>
    <w:p w:rsidR="004F6AA3" w:rsidRPr="004F6AA3" w:rsidRDefault="004F6AA3" w:rsidP="00161114">
      <w:pPr>
        <w:numPr>
          <w:ilvl w:val="0"/>
          <w:numId w:val="6"/>
        </w:numPr>
        <w:tabs>
          <w:tab w:val="left" w:pos="851"/>
        </w:tabs>
        <w:ind w:left="1134" w:hanging="283"/>
        <w:rPr>
          <w:sz w:val="24"/>
          <w:szCs w:val="24"/>
        </w:rPr>
      </w:pPr>
      <w:r w:rsidRPr="004F6AA3">
        <w:rPr>
          <w:sz w:val="24"/>
          <w:szCs w:val="24"/>
        </w:rPr>
        <w:t>Aktuel eller tidligere svær leversygdom, såfremt leverfunktionsværdierne ikke er normaliseret.</w:t>
      </w:r>
    </w:p>
    <w:p w:rsidR="004F6AA3" w:rsidRPr="004F6AA3" w:rsidRDefault="004F6AA3" w:rsidP="00161114">
      <w:pPr>
        <w:numPr>
          <w:ilvl w:val="0"/>
          <w:numId w:val="6"/>
        </w:numPr>
        <w:tabs>
          <w:tab w:val="left" w:pos="851"/>
        </w:tabs>
        <w:ind w:left="1134" w:hanging="283"/>
        <w:rPr>
          <w:sz w:val="24"/>
          <w:szCs w:val="24"/>
        </w:rPr>
      </w:pPr>
      <w:r w:rsidRPr="004F6AA3">
        <w:rPr>
          <w:sz w:val="24"/>
          <w:szCs w:val="24"/>
        </w:rPr>
        <w:t>Kendte eller mistænkte kønshormon-følsomme maligne sygdomme.</w:t>
      </w:r>
    </w:p>
    <w:p w:rsidR="004F6AA3" w:rsidRPr="004F6AA3" w:rsidRDefault="004F6AA3" w:rsidP="00161114">
      <w:pPr>
        <w:numPr>
          <w:ilvl w:val="0"/>
          <w:numId w:val="6"/>
        </w:numPr>
        <w:tabs>
          <w:tab w:val="left" w:pos="851"/>
        </w:tabs>
        <w:ind w:left="1134" w:hanging="283"/>
        <w:rPr>
          <w:sz w:val="24"/>
          <w:szCs w:val="24"/>
        </w:rPr>
      </w:pPr>
      <w:r w:rsidRPr="004F6AA3">
        <w:rPr>
          <w:sz w:val="24"/>
          <w:szCs w:val="24"/>
        </w:rPr>
        <w:t>Udiagnosticeret vaginalblødning.</w:t>
      </w:r>
    </w:p>
    <w:p w:rsidR="004F6AA3" w:rsidRPr="004F6AA3" w:rsidRDefault="004F6AA3" w:rsidP="00161114">
      <w:pPr>
        <w:numPr>
          <w:ilvl w:val="0"/>
          <w:numId w:val="6"/>
        </w:numPr>
        <w:tabs>
          <w:tab w:val="left" w:pos="851"/>
        </w:tabs>
        <w:ind w:left="1134" w:hanging="283"/>
        <w:rPr>
          <w:sz w:val="24"/>
          <w:szCs w:val="24"/>
        </w:rPr>
      </w:pPr>
      <w:r w:rsidRPr="004F6AA3">
        <w:rPr>
          <w:sz w:val="24"/>
          <w:szCs w:val="24"/>
        </w:rPr>
        <w:t>Overfølsomhed over for det aktive stof eller over for et eller flere af hjælpestofferne anført i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161114" w:rsidRPr="00161114" w:rsidRDefault="00161114" w:rsidP="00161114">
      <w:pPr>
        <w:ind w:left="851"/>
        <w:rPr>
          <w:sz w:val="24"/>
          <w:szCs w:val="24"/>
          <w:lang w:val="fr-LU"/>
        </w:rPr>
      </w:pPr>
      <w:r w:rsidRPr="00161114">
        <w:rPr>
          <w:sz w:val="24"/>
          <w:szCs w:val="24"/>
        </w:rPr>
        <w:t>Såfremt nogle af nedenstående risikofaktorer er til stede, bør der foretages en vurdering af fordele og risici for den enkelte kvinde, og dette bør diskuteres med kvinden, inden hun starter med Ceranor. Såfremt nedenstående tilstande forværres eller opstår under brug, bør kvinden kontakte lægen. Lægen må herefter beslutte, om brug af Ceranor skal ophøre.</w:t>
      </w:r>
    </w:p>
    <w:p w:rsidR="00161114" w:rsidRPr="00161114" w:rsidRDefault="00161114" w:rsidP="00161114">
      <w:pPr>
        <w:suppressAutoHyphens/>
        <w:ind w:left="851"/>
        <w:rPr>
          <w:sz w:val="24"/>
          <w:szCs w:val="24"/>
        </w:rPr>
      </w:pPr>
    </w:p>
    <w:p w:rsidR="00161114" w:rsidRPr="00161114" w:rsidRDefault="00161114" w:rsidP="00161114">
      <w:pPr>
        <w:ind w:left="851"/>
        <w:rPr>
          <w:sz w:val="24"/>
          <w:szCs w:val="24"/>
        </w:rPr>
      </w:pPr>
      <w:r w:rsidRPr="00161114">
        <w:rPr>
          <w:sz w:val="24"/>
          <w:szCs w:val="24"/>
        </w:rPr>
        <w:t>Risikoen for brystkræft forøges generelt i takt med stigende alder. Der er en let øget risiko for diagnosticering af brystkræft hos kvinder, som anvender p-piller af kombinationstypen. Den øgede risiko forsvinder gradvist i løbet af 10 år efter ophør med p-piller og er ikke relateret til behandlingsperiodens længde, men til kvindens alder som p-pillebruger. Det forventede antal diagnosticerede tilfælde per 10.000 kvinder, som anvender p-piller af kombinationstypen (op til 10 år efter ophør) i forhold til ikke-brugere over den samme periode, er for den respektive alder blevet målt og ses i tabellen nedenfor.</w:t>
      </w:r>
    </w:p>
    <w:p w:rsidR="00161114" w:rsidRDefault="00161114" w:rsidP="00161114">
      <w:pPr>
        <w:rPr>
          <w:sz w:val="22"/>
          <w:szCs w:val="22"/>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2519"/>
        <w:gridCol w:w="2552"/>
      </w:tblGrid>
      <w:tr w:rsidR="00161114" w:rsidTr="00161114">
        <w:tc>
          <w:tcPr>
            <w:tcW w:w="2017" w:type="dxa"/>
            <w:tcBorders>
              <w:top w:val="single" w:sz="4" w:space="0" w:color="auto"/>
              <w:left w:val="single" w:sz="4" w:space="0" w:color="auto"/>
              <w:bottom w:val="single" w:sz="4" w:space="0" w:color="auto"/>
              <w:right w:val="single" w:sz="4" w:space="0" w:color="auto"/>
            </w:tcBorders>
            <w:hideMark/>
          </w:tcPr>
          <w:p w:rsidR="00161114" w:rsidRDefault="00161114">
            <w:pPr>
              <w:tabs>
                <w:tab w:val="left" w:pos="0"/>
                <w:tab w:val="left" w:pos="851"/>
              </w:tabs>
              <w:spacing w:line="256" w:lineRule="auto"/>
              <w:rPr>
                <w:spacing w:val="-3"/>
                <w:sz w:val="22"/>
                <w:szCs w:val="22"/>
                <w:lang w:val="fr-LU"/>
              </w:rPr>
            </w:pPr>
            <w:r>
              <w:rPr>
                <w:spacing w:val="-3"/>
                <w:sz w:val="22"/>
                <w:szCs w:val="22"/>
              </w:rPr>
              <w:t>Aldersgruppe</w:t>
            </w:r>
          </w:p>
        </w:tc>
        <w:tc>
          <w:tcPr>
            <w:tcW w:w="2519" w:type="dxa"/>
            <w:tcBorders>
              <w:top w:val="single" w:sz="4" w:space="0" w:color="auto"/>
              <w:left w:val="single" w:sz="4" w:space="0" w:color="auto"/>
              <w:bottom w:val="single" w:sz="4" w:space="0" w:color="auto"/>
              <w:right w:val="single" w:sz="4" w:space="0" w:color="auto"/>
            </w:tcBorders>
            <w:hideMark/>
          </w:tcPr>
          <w:p w:rsidR="00161114" w:rsidRDefault="00161114">
            <w:pPr>
              <w:tabs>
                <w:tab w:val="left" w:pos="0"/>
                <w:tab w:val="left" w:pos="851"/>
              </w:tabs>
              <w:spacing w:line="256" w:lineRule="auto"/>
              <w:rPr>
                <w:spacing w:val="-3"/>
                <w:sz w:val="22"/>
                <w:szCs w:val="22"/>
              </w:rPr>
            </w:pPr>
            <w:r>
              <w:rPr>
                <w:spacing w:val="-3"/>
                <w:sz w:val="22"/>
                <w:szCs w:val="22"/>
              </w:rPr>
              <w:t>Forventet antal tilfælde</w:t>
            </w:r>
          </w:p>
          <w:p w:rsidR="00161114" w:rsidRDefault="00161114">
            <w:pPr>
              <w:tabs>
                <w:tab w:val="left" w:pos="0"/>
                <w:tab w:val="left" w:pos="851"/>
              </w:tabs>
              <w:spacing w:line="256" w:lineRule="auto"/>
              <w:rPr>
                <w:spacing w:val="-3"/>
                <w:sz w:val="22"/>
                <w:szCs w:val="22"/>
              </w:rPr>
            </w:pPr>
            <w:r>
              <w:rPr>
                <w:spacing w:val="-3"/>
                <w:sz w:val="22"/>
                <w:szCs w:val="22"/>
              </w:rPr>
              <w:t>(p-pillebrugere)</w:t>
            </w:r>
          </w:p>
        </w:tc>
        <w:tc>
          <w:tcPr>
            <w:tcW w:w="2552" w:type="dxa"/>
            <w:tcBorders>
              <w:top w:val="single" w:sz="4" w:space="0" w:color="auto"/>
              <w:left w:val="single" w:sz="4" w:space="0" w:color="auto"/>
              <w:bottom w:val="single" w:sz="4" w:space="0" w:color="auto"/>
              <w:right w:val="single" w:sz="4" w:space="0" w:color="auto"/>
            </w:tcBorders>
            <w:hideMark/>
          </w:tcPr>
          <w:p w:rsidR="00161114" w:rsidRDefault="00161114">
            <w:pPr>
              <w:tabs>
                <w:tab w:val="left" w:pos="0"/>
                <w:tab w:val="left" w:pos="851"/>
              </w:tabs>
              <w:spacing w:line="256" w:lineRule="auto"/>
              <w:rPr>
                <w:spacing w:val="-3"/>
                <w:sz w:val="22"/>
                <w:szCs w:val="22"/>
              </w:rPr>
            </w:pPr>
            <w:r>
              <w:rPr>
                <w:spacing w:val="-3"/>
                <w:sz w:val="22"/>
                <w:szCs w:val="22"/>
              </w:rPr>
              <w:t>Forventet antal tilfælde</w:t>
            </w:r>
          </w:p>
          <w:p w:rsidR="00161114" w:rsidRDefault="00161114">
            <w:pPr>
              <w:tabs>
                <w:tab w:val="left" w:pos="0"/>
                <w:tab w:val="left" w:pos="851"/>
              </w:tabs>
              <w:spacing w:line="256" w:lineRule="auto"/>
              <w:rPr>
                <w:spacing w:val="-3"/>
                <w:sz w:val="22"/>
                <w:szCs w:val="22"/>
              </w:rPr>
            </w:pPr>
            <w:r>
              <w:rPr>
                <w:spacing w:val="-3"/>
                <w:sz w:val="22"/>
                <w:szCs w:val="22"/>
              </w:rPr>
              <w:t>(ikke p-pillebrugere)</w:t>
            </w:r>
          </w:p>
        </w:tc>
      </w:tr>
      <w:tr w:rsidR="00161114" w:rsidTr="00161114">
        <w:tc>
          <w:tcPr>
            <w:tcW w:w="2017" w:type="dxa"/>
            <w:tcBorders>
              <w:top w:val="single" w:sz="4" w:space="0" w:color="auto"/>
              <w:left w:val="single" w:sz="4" w:space="0" w:color="auto"/>
              <w:bottom w:val="single" w:sz="4" w:space="0" w:color="auto"/>
              <w:right w:val="single" w:sz="4" w:space="0" w:color="auto"/>
            </w:tcBorders>
            <w:hideMark/>
          </w:tcPr>
          <w:p w:rsidR="00161114" w:rsidRDefault="00161114">
            <w:pPr>
              <w:tabs>
                <w:tab w:val="left" w:pos="0"/>
                <w:tab w:val="left" w:pos="851"/>
              </w:tabs>
              <w:spacing w:line="256" w:lineRule="auto"/>
              <w:rPr>
                <w:spacing w:val="-3"/>
                <w:sz w:val="22"/>
                <w:szCs w:val="22"/>
              </w:rPr>
            </w:pPr>
            <w:r>
              <w:rPr>
                <w:spacing w:val="-3"/>
                <w:sz w:val="22"/>
                <w:szCs w:val="22"/>
              </w:rPr>
              <w:t>16 – 19 år</w:t>
            </w:r>
          </w:p>
        </w:tc>
        <w:tc>
          <w:tcPr>
            <w:tcW w:w="2519" w:type="dxa"/>
            <w:tcBorders>
              <w:top w:val="single" w:sz="4" w:space="0" w:color="auto"/>
              <w:left w:val="single" w:sz="4" w:space="0" w:color="auto"/>
              <w:bottom w:val="single" w:sz="4" w:space="0" w:color="auto"/>
              <w:right w:val="single" w:sz="4" w:space="0" w:color="auto"/>
            </w:tcBorders>
            <w:hideMark/>
          </w:tcPr>
          <w:p w:rsidR="00161114" w:rsidRDefault="00161114">
            <w:pPr>
              <w:tabs>
                <w:tab w:val="left" w:pos="0"/>
                <w:tab w:val="left" w:pos="851"/>
              </w:tabs>
              <w:spacing w:line="256" w:lineRule="auto"/>
              <w:jc w:val="center"/>
              <w:rPr>
                <w:spacing w:val="-3"/>
                <w:sz w:val="22"/>
                <w:szCs w:val="22"/>
              </w:rPr>
            </w:pPr>
            <w:r>
              <w:rPr>
                <w:spacing w:val="-3"/>
                <w:sz w:val="22"/>
                <w:szCs w:val="22"/>
              </w:rPr>
              <w:t>4,5</w:t>
            </w:r>
          </w:p>
        </w:tc>
        <w:tc>
          <w:tcPr>
            <w:tcW w:w="2552" w:type="dxa"/>
            <w:tcBorders>
              <w:top w:val="single" w:sz="4" w:space="0" w:color="auto"/>
              <w:left w:val="single" w:sz="4" w:space="0" w:color="auto"/>
              <w:bottom w:val="single" w:sz="4" w:space="0" w:color="auto"/>
              <w:right w:val="single" w:sz="4" w:space="0" w:color="auto"/>
            </w:tcBorders>
            <w:hideMark/>
          </w:tcPr>
          <w:p w:rsidR="00161114" w:rsidRDefault="00161114">
            <w:pPr>
              <w:tabs>
                <w:tab w:val="left" w:pos="0"/>
                <w:tab w:val="left" w:pos="851"/>
              </w:tabs>
              <w:spacing w:line="256" w:lineRule="auto"/>
              <w:jc w:val="center"/>
              <w:rPr>
                <w:spacing w:val="-3"/>
                <w:sz w:val="22"/>
                <w:szCs w:val="22"/>
              </w:rPr>
            </w:pPr>
            <w:r>
              <w:rPr>
                <w:spacing w:val="-3"/>
                <w:sz w:val="22"/>
                <w:szCs w:val="22"/>
              </w:rPr>
              <w:t>4</w:t>
            </w:r>
          </w:p>
        </w:tc>
      </w:tr>
      <w:tr w:rsidR="00161114" w:rsidTr="00161114">
        <w:tc>
          <w:tcPr>
            <w:tcW w:w="2017" w:type="dxa"/>
            <w:tcBorders>
              <w:top w:val="single" w:sz="4" w:space="0" w:color="auto"/>
              <w:left w:val="single" w:sz="4" w:space="0" w:color="auto"/>
              <w:bottom w:val="single" w:sz="4" w:space="0" w:color="auto"/>
              <w:right w:val="single" w:sz="4" w:space="0" w:color="auto"/>
            </w:tcBorders>
            <w:hideMark/>
          </w:tcPr>
          <w:p w:rsidR="00161114" w:rsidRDefault="00161114">
            <w:pPr>
              <w:tabs>
                <w:tab w:val="left" w:pos="0"/>
                <w:tab w:val="left" w:pos="851"/>
              </w:tabs>
              <w:spacing w:line="256" w:lineRule="auto"/>
              <w:rPr>
                <w:spacing w:val="-3"/>
                <w:sz w:val="22"/>
                <w:szCs w:val="22"/>
              </w:rPr>
            </w:pPr>
            <w:r>
              <w:rPr>
                <w:spacing w:val="-3"/>
                <w:sz w:val="22"/>
                <w:szCs w:val="22"/>
              </w:rPr>
              <w:t>20 – 24 år</w:t>
            </w:r>
          </w:p>
        </w:tc>
        <w:tc>
          <w:tcPr>
            <w:tcW w:w="2519" w:type="dxa"/>
            <w:tcBorders>
              <w:top w:val="single" w:sz="4" w:space="0" w:color="auto"/>
              <w:left w:val="single" w:sz="4" w:space="0" w:color="auto"/>
              <w:bottom w:val="single" w:sz="4" w:space="0" w:color="auto"/>
              <w:right w:val="single" w:sz="4" w:space="0" w:color="auto"/>
            </w:tcBorders>
            <w:hideMark/>
          </w:tcPr>
          <w:p w:rsidR="00161114" w:rsidRDefault="00161114">
            <w:pPr>
              <w:tabs>
                <w:tab w:val="left" w:pos="0"/>
                <w:tab w:val="left" w:pos="851"/>
              </w:tabs>
              <w:spacing w:line="256" w:lineRule="auto"/>
              <w:jc w:val="center"/>
              <w:rPr>
                <w:spacing w:val="-3"/>
                <w:sz w:val="22"/>
                <w:szCs w:val="22"/>
              </w:rPr>
            </w:pPr>
            <w:r>
              <w:rPr>
                <w:spacing w:val="-3"/>
                <w:sz w:val="22"/>
                <w:szCs w:val="22"/>
              </w:rPr>
              <w:t>17,5</w:t>
            </w:r>
          </w:p>
        </w:tc>
        <w:tc>
          <w:tcPr>
            <w:tcW w:w="2552" w:type="dxa"/>
            <w:tcBorders>
              <w:top w:val="single" w:sz="4" w:space="0" w:color="auto"/>
              <w:left w:val="single" w:sz="4" w:space="0" w:color="auto"/>
              <w:bottom w:val="single" w:sz="4" w:space="0" w:color="auto"/>
              <w:right w:val="single" w:sz="4" w:space="0" w:color="auto"/>
            </w:tcBorders>
            <w:hideMark/>
          </w:tcPr>
          <w:p w:rsidR="00161114" w:rsidRDefault="00161114">
            <w:pPr>
              <w:tabs>
                <w:tab w:val="left" w:pos="0"/>
                <w:tab w:val="left" w:pos="851"/>
              </w:tabs>
              <w:spacing w:line="256" w:lineRule="auto"/>
              <w:jc w:val="center"/>
              <w:rPr>
                <w:spacing w:val="-3"/>
                <w:sz w:val="22"/>
                <w:szCs w:val="22"/>
              </w:rPr>
            </w:pPr>
            <w:r>
              <w:rPr>
                <w:spacing w:val="-3"/>
                <w:sz w:val="22"/>
                <w:szCs w:val="22"/>
              </w:rPr>
              <w:t>16</w:t>
            </w:r>
          </w:p>
        </w:tc>
      </w:tr>
      <w:tr w:rsidR="00161114" w:rsidTr="00161114">
        <w:tc>
          <w:tcPr>
            <w:tcW w:w="2017" w:type="dxa"/>
            <w:tcBorders>
              <w:top w:val="single" w:sz="4" w:space="0" w:color="auto"/>
              <w:left w:val="single" w:sz="4" w:space="0" w:color="auto"/>
              <w:bottom w:val="single" w:sz="4" w:space="0" w:color="auto"/>
              <w:right w:val="single" w:sz="4" w:space="0" w:color="auto"/>
            </w:tcBorders>
            <w:hideMark/>
          </w:tcPr>
          <w:p w:rsidR="00161114" w:rsidRDefault="00161114">
            <w:pPr>
              <w:tabs>
                <w:tab w:val="left" w:pos="0"/>
                <w:tab w:val="left" w:pos="851"/>
              </w:tabs>
              <w:spacing w:line="256" w:lineRule="auto"/>
              <w:rPr>
                <w:spacing w:val="-3"/>
                <w:sz w:val="22"/>
                <w:szCs w:val="22"/>
              </w:rPr>
            </w:pPr>
            <w:r>
              <w:rPr>
                <w:spacing w:val="-3"/>
                <w:sz w:val="22"/>
                <w:szCs w:val="22"/>
              </w:rPr>
              <w:t>25 – 29 år</w:t>
            </w:r>
          </w:p>
        </w:tc>
        <w:tc>
          <w:tcPr>
            <w:tcW w:w="2519" w:type="dxa"/>
            <w:tcBorders>
              <w:top w:val="single" w:sz="4" w:space="0" w:color="auto"/>
              <w:left w:val="single" w:sz="4" w:space="0" w:color="auto"/>
              <w:bottom w:val="single" w:sz="4" w:space="0" w:color="auto"/>
              <w:right w:val="single" w:sz="4" w:space="0" w:color="auto"/>
            </w:tcBorders>
            <w:hideMark/>
          </w:tcPr>
          <w:p w:rsidR="00161114" w:rsidRDefault="00161114">
            <w:pPr>
              <w:tabs>
                <w:tab w:val="left" w:pos="0"/>
                <w:tab w:val="left" w:pos="851"/>
              </w:tabs>
              <w:spacing w:line="256" w:lineRule="auto"/>
              <w:jc w:val="center"/>
              <w:rPr>
                <w:spacing w:val="-3"/>
                <w:sz w:val="22"/>
                <w:szCs w:val="22"/>
              </w:rPr>
            </w:pPr>
            <w:r>
              <w:rPr>
                <w:spacing w:val="-3"/>
                <w:sz w:val="22"/>
                <w:szCs w:val="22"/>
              </w:rPr>
              <w:t>48,7</w:t>
            </w:r>
          </w:p>
        </w:tc>
        <w:tc>
          <w:tcPr>
            <w:tcW w:w="2552" w:type="dxa"/>
            <w:tcBorders>
              <w:top w:val="single" w:sz="4" w:space="0" w:color="auto"/>
              <w:left w:val="single" w:sz="4" w:space="0" w:color="auto"/>
              <w:bottom w:val="single" w:sz="4" w:space="0" w:color="auto"/>
              <w:right w:val="single" w:sz="4" w:space="0" w:color="auto"/>
            </w:tcBorders>
            <w:hideMark/>
          </w:tcPr>
          <w:p w:rsidR="00161114" w:rsidRDefault="00161114">
            <w:pPr>
              <w:tabs>
                <w:tab w:val="left" w:pos="0"/>
                <w:tab w:val="left" w:pos="851"/>
              </w:tabs>
              <w:spacing w:line="256" w:lineRule="auto"/>
              <w:jc w:val="center"/>
              <w:rPr>
                <w:spacing w:val="-3"/>
                <w:sz w:val="22"/>
                <w:szCs w:val="22"/>
              </w:rPr>
            </w:pPr>
            <w:r>
              <w:rPr>
                <w:spacing w:val="-3"/>
                <w:sz w:val="22"/>
                <w:szCs w:val="22"/>
              </w:rPr>
              <w:t>44</w:t>
            </w:r>
          </w:p>
        </w:tc>
      </w:tr>
      <w:tr w:rsidR="00161114" w:rsidTr="00161114">
        <w:tc>
          <w:tcPr>
            <w:tcW w:w="2017" w:type="dxa"/>
            <w:tcBorders>
              <w:top w:val="single" w:sz="4" w:space="0" w:color="auto"/>
              <w:left w:val="single" w:sz="4" w:space="0" w:color="auto"/>
              <w:bottom w:val="single" w:sz="4" w:space="0" w:color="auto"/>
              <w:right w:val="single" w:sz="4" w:space="0" w:color="auto"/>
            </w:tcBorders>
            <w:hideMark/>
          </w:tcPr>
          <w:p w:rsidR="00161114" w:rsidRDefault="00161114">
            <w:pPr>
              <w:tabs>
                <w:tab w:val="left" w:pos="0"/>
                <w:tab w:val="left" w:pos="851"/>
              </w:tabs>
              <w:spacing w:line="256" w:lineRule="auto"/>
              <w:rPr>
                <w:spacing w:val="-3"/>
                <w:sz w:val="22"/>
                <w:szCs w:val="22"/>
              </w:rPr>
            </w:pPr>
            <w:r>
              <w:rPr>
                <w:spacing w:val="-3"/>
                <w:sz w:val="22"/>
                <w:szCs w:val="22"/>
              </w:rPr>
              <w:t>30 – 34 år</w:t>
            </w:r>
          </w:p>
        </w:tc>
        <w:tc>
          <w:tcPr>
            <w:tcW w:w="2519" w:type="dxa"/>
            <w:tcBorders>
              <w:top w:val="single" w:sz="4" w:space="0" w:color="auto"/>
              <w:left w:val="single" w:sz="4" w:space="0" w:color="auto"/>
              <w:bottom w:val="single" w:sz="4" w:space="0" w:color="auto"/>
              <w:right w:val="single" w:sz="4" w:space="0" w:color="auto"/>
            </w:tcBorders>
            <w:hideMark/>
          </w:tcPr>
          <w:p w:rsidR="00161114" w:rsidRDefault="00161114">
            <w:pPr>
              <w:tabs>
                <w:tab w:val="left" w:pos="0"/>
                <w:tab w:val="left" w:pos="851"/>
              </w:tabs>
              <w:spacing w:line="256" w:lineRule="auto"/>
              <w:jc w:val="center"/>
              <w:rPr>
                <w:spacing w:val="-3"/>
                <w:sz w:val="22"/>
                <w:szCs w:val="22"/>
              </w:rPr>
            </w:pPr>
            <w:r>
              <w:rPr>
                <w:spacing w:val="-3"/>
                <w:sz w:val="22"/>
                <w:szCs w:val="22"/>
              </w:rPr>
              <w:t>110</w:t>
            </w:r>
          </w:p>
        </w:tc>
        <w:tc>
          <w:tcPr>
            <w:tcW w:w="2552" w:type="dxa"/>
            <w:tcBorders>
              <w:top w:val="single" w:sz="4" w:space="0" w:color="auto"/>
              <w:left w:val="single" w:sz="4" w:space="0" w:color="auto"/>
              <w:bottom w:val="single" w:sz="4" w:space="0" w:color="auto"/>
              <w:right w:val="single" w:sz="4" w:space="0" w:color="auto"/>
            </w:tcBorders>
            <w:hideMark/>
          </w:tcPr>
          <w:p w:rsidR="00161114" w:rsidRDefault="00161114">
            <w:pPr>
              <w:tabs>
                <w:tab w:val="left" w:pos="0"/>
                <w:tab w:val="left" w:pos="851"/>
              </w:tabs>
              <w:spacing w:line="256" w:lineRule="auto"/>
              <w:jc w:val="center"/>
              <w:rPr>
                <w:spacing w:val="-3"/>
                <w:sz w:val="22"/>
                <w:szCs w:val="22"/>
              </w:rPr>
            </w:pPr>
            <w:r>
              <w:rPr>
                <w:spacing w:val="-3"/>
                <w:sz w:val="22"/>
                <w:szCs w:val="22"/>
              </w:rPr>
              <w:t>100</w:t>
            </w:r>
          </w:p>
        </w:tc>
      </w:tr>
      <w:tr w:rsidR="00161114" w:rsidTr="00161114">
        <w:tc>
          <w:tcPr>
            <w:tcW w:w="2017" w:type="dxa"/>
            <w:tcBorders>
              <w:top w:val="single" w:sz="4" w:space="0" w:color="auto"/>
              <w:left w:val="single" w:sz="4" w:space="0" w:color="auto"/>
              <w:bottom w:val="single" w:sz="4" w:space="0" w:color="auto"/>
              <w:right w:val="single" w:sz="4" w:space="0" w:color="auto"/>
            </w:tcBorders>
            <w:hideMark/>
          </w:tcPr>
          <w:p w:rsidR="00161114" w:rsidRDefault="00161114">
            <w:pPr>
              <w:tabs>
                <w:tab w:val="left" w:pos="0"/>
                <w:tab w:val="left" w:pos="851"/>
              </w:tabs>
              <w:spacing w:line="256" w:lineRule="auto"/>
              <w:rPr>
                <w:spacing w:val="-3"/>
                <w:sz w:val="22"/>
                <w:szCs w:val="22"/>
              </w:rPr>
            </w:pPr>
            <w:r>
              <w:rPr>
                <w:spacing w:val="-3"/>
                <w:sz w:val="22"/>
                <w:szCs w:val="22"/>
              </w:rPr>
              <w:t>35 – 39 år</w:t>
            </w:r>
          </w:p>
        </w:tc>
        <w:tc>
          <w:tcPr>
            <w:tcW w:w="2519" w:type="dxa"/>
            <w:tcBorders>
              <w:top w:val="single" w:sz="4" w:space="0" w:color="auto"/>
              <w:left w:val="single" w:sz="4" w:space="0" w:color="auto"/>
              <w:bottom w:val="single" w:sz="4" w:space="0" w:color="auto"/>
              <w:right w:val="single" w:sz="4" w:space="0" w:color="auto"/>
            </w:tcBorders>
            <w:hideMark/>
          </w:tcPr>
          <w:p w:rsidR="00161114" w:rsidRDefault="00161114">
            <w:pPr>
              <w:tabs>
                <w:tab w:val="left" w:pos="0"/>
                <w:tab w:val="left" w:pos="851"/>
              </w:tabs>
              <w:spacing w:line="256" w:lineRule="auto"/>
              <w:jc w:val="center"/>
              <w:rPr>
                <w:spacing w:val="-3"/>
                <w:sz w:val="22"/>
                <w:szCs w:val="22"/>
              </w:rPr>
            </w:pPr>
            <w:r>
              <w:rPr>
                <w:spacing w:val="-3"/>
                <w:sz w:val="22"/>
                <w:szCs w:val="22"/>
              </w:rPr>
              <w:t>180</w:t>
            </w:r>
          </w:p>
        </w:tc>
        <w:tc>
          <w:tcPr>
            <w:tcW w:w="2552" w:type="dxa"/>
            <w:tcBorders>
              <w:top w:val="single" w:sz="4" w:space="0" w:color="auto"/>
              <w:left w:val="single" w:sz="4" w:space="0" w:color="auto"/>
              <w:bottom w:val="single" w:sz="4" w:space="0" w:color="auto"/>
              <w:right w:val="single" w:sz="4" w:space="0" w:color="auto"/>
            </w:tcBorders>
            <w:hideMark/>
          </w:tcPr>
          <w:p w:rsidR="00161114" w:rsidRDefault="00161114">
            <w:pPr>
              <w:tabs>
                <w:tab w:val="left" w:pos="0"/>
                <w:tab w:val="left" w:pos="851"/>
              </w:tabs>
              <w:spacing w:line="256" w:lineRule="auto"/>
              <w:jc w:val="center"/>
              <w:rPr>
                <w:spacing w:val="-3"/>
                <w:sz w:val="22"/>
                <w:szCs w:val="22"/>
              </w:rPr>
            </w:pPr>
            <w:r>
              <w:rPr>
                <w:spacing w:val="-3"/>
                <w:sz w:val="22"/>
                <w:szCs w:val="22"/>
              </w:rPr>
              <w:t>160</w:t>
            </w:r>
          </w:p>
        </w:tc>
      </w:tr>
      <w:tr w:rsidR="00161114" w:rsidTr="00161114">
        <w:tc>
          <w:tcPr>
            <w:tcW w:w="2017" w:type="dxa"/>
            <w:tcBorders>
              <w:top w:val="single" w:sz="4" w:space="0" w:color="auto"/>
              <w:left w:val="single" w:sz="4" w:space="0" w:color="auto"/>
              <w:bottom w:val="single" w:sz="4" w:space="0" w:color="auto"/>
              <w:right w:val="single" w:sz="4" w:space="0" w:color="auto"/>
            </w:tcBorders>
            <w:hideMark/>
          </w:tcPr>
          <w:p w:rsidR="00161114" w:rsidRDefault="00161114">
            <w:pPr>
              <w:tabs>
                <w:tab w:val="left" w:pos="0"/>
                <w:tab w:val="left" w:pos="851"/>
              </w:tabs>
              <w:spacing w:line="256" w:lineRule="auto"/>
              <w:rPr>
                <w:spacing w:val="-3"/>
                <w:sz w:val="22"/>
                <w:szCs w:val="22"/>
              </w:rPr>
            </w:pPr>
            <w:r>
              <w:rPr>
                <w:spacing w:val="-3"/>
                <w:sz w:val="22"/>
                <w:szCs w:val="22"/>
              </w:rPr>
              <w:t>40 – 44 år</w:t>
            </w:r>
          </w:p>
        </w:tc>
        <w:tc>
          <w:tcPr>
            <w:tcW w:w="2519" w:type="dxa"/>
            <w:tcBorders>
              <w:top w:val="single" w:sz="4" w:space="0" w:color="auto"/>
              <w:left w:val="single" w:sz="4" w:space="0" w:color="auto"/>
              <w:bottom w:val="single" w:sz="4" w:space="0" w:color="auto"/>
              <w:right w:val="single" w:sz="4" w:space="0" w:color="auto"/>
            </w:tcBorders>
            <w:hideMark/>
          </w:tcPr>
          <w:p w:rsidR="00161114" w:rsidRDefault="00161114">
            <w:pPr>
              <w:tabs>
                <w:tab w:val="left" w:pos="0"/>
                <w:tab w:val="left" w:pos="851"/>
              </w:tabs>
              <w:spacing w:line="256" w:lineRule="auto"/>
              <w:jc w:val="center"/>
              <w:rPr>
                <w:spacing w:val="-3"/>
                <w:sz w:val="22"/>
                <w:szCs w:val="22"/>
              </w:rPr>
            </w:pPr>
            <w:r>
              <w:rPr>
                <w:spacing w:val="-3"/>
                <w:sz w:val="22"/>
                <w:szCs w:val="22"/>
              </w:rPr>
              <w:t>260</w:t>
            </w:r>
          </w:p>
        </w:tc>
        <w:tc>
          <w:tcPr>
            <w:tcW w:w="2552" w:type="dxa"/>
            <w:tcBorders>
              <w:top w:val="single" w:sz="4" w:space="0" w:color="auto"/>
              <w:left w:val="single" w:sz="4" w:space="0" w:color="auto"/>
              <w:bottom w:val="single" w:sz="4" w:space="0" w:color="auto"/>
              <w:right w:val="single" w:sz="4" w:space="0" w:color="auto"/>
            </w:tcBorders>
            <w:hideMark/>
          </w:tcPr>
          <w:p w:rsidR="00161114" w:rsidRDefault="00161114">
            <w:pPr>
              <w:tabs>
                <w:tab w:val="left" w:pos="0"/>
                <w:tab w:val="left" w:pos="851"/>
              </w:tabs>
              <w:spacing w:line="256" w:lineRule="auto"/>
              <w:jc w:val="center"/>
              <w:rPr>
                <w:spacing w:val="-3"/>
                <w:sz w:val="22"/>
                <w:szCs w:val="22"/>
              </w:rPr>
            </w:pPr>
            <w:r>
              <w:rPr>
                <w:spacing w:val="-3"/>
                <w:sz w:val="22"/>
                <w:szCs w:val="22"/>
              </w:rPr>
              <w:t>230</w:t>
            </w:r>
          </w:p>
        </w:tc>
      </w:tr>
    </w:tbl>
    <w:p w:rsidR="00161114" w:rsidRPr="00161114" w:rsidRDefault="00161114" w:rsidP="00161114">
      <w:pPr>
        <w:suppressAutoHyphens/>
        <w:ind w:left="851"/>
        <w:rPr>
          <w:sz w:val="24"/>
          <w:szCs w:val="24"/>
          <w:lang w:eastAsia="fr-LU"/>
        </w:rPr>
      </w:pPr>
    </w:p>
    <w:p w:rsidR="00161114" w:rsidRPr="00161114" w:rsidRDefault="00161114" w:rsidP="00161114">
      <w:pPr>
        <w:ind w:left="851"/>
        <w:rPr>
          <w:sz w:val="24"/>
          <w:szCs w:val="24"/>
          <w:lang w:val="fr-LU"/>
        </w:rPr>
      </w:pPr>
      <w:r w:rsidRPr="00161114">
        <w:rPr>
          <w:sz w:val="24"/>
          <w:szCs w:val="24"/>
        </w:rPr>
        <w:t xml:space="preserve">Risikoen ved anvendelse af piller, som kun indeholder gestagen, såsom Ceranor, er muligvis af samme størrelsesorden som ved anvendelse af p-piller af kombinationstypen. Dog er der mindre konkluderende beviser for piller som kun indeholder gestagen. Sammenlignet med risikoen for at få brystkræft i løbet af livet, er den øgede risiko ved anvendelse af p-piller lav. Der er en tendens til at tilfælde af brystkræft diagnosticeret hos p-pillebrugere er mindre fremskredne end hos dem, som ikke har brugt p-piller. Den øgede risiko hos p-pillebrugere kan skyldes en tidligere diagnose, p-pillens biologiske virkninger eller en kombination af begge. </w:t>
      </w:r>
    </w:p>
    <w:p w:rsidR="00161114" w:rsidRPr="00161114" w:rsidRDefault="00161114" w:rsidP="00161114">
      <w:pPr>
        <w:ind w:left="851"/>
        <w:rPr>
          <w:sz w:val="24"/>
          <w:szCs w:val="24"/>
        </w:rPr>
      </w:pPr>
    </w:p>
    <w:p w:rsidR="00161114" w:rsidRPr="00161114" w:rsidRDefault="00161114" w:rsidP="00161114">
      <w:pPr>
        <w:ind w:left="851"/>
        <w:rPr>
          <w:sz w:val="24"/>
          <w:szCs w:val="24"/>
        </w:rPr>
      </w:pPr>
      <w:r w:rsidRPr="00161114">
        <w:rPr>
          <w:sz w:val="24"/>
          <w:szCs w:val="24"/>
        </w:rPr>
        <w:t>Eftersom en biologisk indvirkning af gestagener på leverkræft ikke kan udelukkes, bør der foretages en individuel vurdering af fordele/ulemper hos kvinder med leverkræft.</w:t>
      </w:r>
    </w:p>
    <w:p w:rsidR="00161114" w:rsidRPr="00161114" w:rsidRDefault="00161114" w:rsidP="00161114">
      <w:pPr>
        <w:suppressAutoHyphens/>
        <w:ind w:left="851"/>
        <w:rPr>
          <w:sz w:val="24"/>
          <w:szCs w:val="24"/>
        </w:rPr>
      </w:pPr>
    </w:p>
    <w:p w:rsidR="00161114" w:rsidRPr="00161114" w:rsidRDefault="00161114" w:rsidP="00161114">
      <w:pPr>
        <w:ind w:left="851"/>
        <w:rPr>
          <w:sz w:val="24"/>
          <w:szCs w:val="24"/>
        </w:rPr>
      </w:pPr>
      <w:r w:rsidRPr="00161114">
        <w:rPr>
          <w:sz w:val="24"/>
          <w:szCs w:val="24"/>
        </w:rPr>
        <w:t>Kvinden bør henvises til en specialist såfremt en akut eller kronisk leverfunktionsforstyrrelse opstår.</w:t>
      </w:r>
    </w:p>
    <w:p w:rsidR="00161114" w:rsidRPr="00161114" w:rsidRDefault="00161114" w:rsidP="00161114">
      <w:pPr>
        <w:ind w:left="851"/>
        <w:rPr>
          <w:sz w:val="24"/>
          <w:szCs w:val="24"/>
        </w:rPr>
      </w:pPr>
    </w:p>
    <w:p w:rsidR="00161114" w:rsidRPr="00161114" w:rsidRDefault="00161114" w:rsidP="00161114">
      <w:pPr>
        <w:ind w:left="851"/>
        <w:rPr>
          <w:sz w:val="24"/>
          <w:szCs w:val="24"/>
        </w:rPr>
      </w:pPr>
      <w:r w:rsidRPr="00161114">
        <w:rPr>
          <w:sz w:val="24"/>
          <w:szCs w:val="24"/>
        </w:rPr>
        <w:t xml:space="preserve">Epidemiologiske undersøgelser har forbundet anvendelse af p-piller af kombinationstypen med et stigende antal tilfælde af venøs tromboembolisme (VTE, dyb venetrombose og lungeemboli). Selv om den kliniske relevans af dette resultat er ukendt i forbindelse med </w:t>
      </w:r>
      <w:r w:rsidRPr="00161114">
        <w:rPr>
          <w:sz w:val="24"/>
          <w:szCs w:val="24"/>
        </w:rPr>
        <w:lastRenderedPageBreak/>
        <w:t>brug af desogestrel som svangerskabsforebyggende middel uden den østrogene komponent, bør anvendelse af Ceranor ophøre i tilfælde af, at der opstår trombose. Ophør med Ceranor bør også overvejes i tilfælde af langtidsimmobilisering pga. operation eller sygdom. Kvinder med en tidligere tromboembolisk sygdom bør gøres opmærksomme på risikoen for tilbagefald.</w:t>
      </w:r>
    </w:p>
    <w:p w:rsidR="00161114" w:rsidRPr="00161114" w:rsidRDefault="00161114" w:rsidP="00161114">
      <w:pPr>
        <w:ind w:left="851"/>
        <w:rPr>
          <w:sz w:val="24"/>
          <w:szCs w:val="24"/>
        </w:rPr>
      </w:pPr>
    </w:p>
    <w:p w:rsidR="00161114" w:rsidRPr="00161114" w:rsidRDefault="00161114" w:rsidP="00161114">
      <w:pPr>
        <w:ind w:left="851"/>
        <w:rPr>
          <w:sz w:val="24"/>
          <w:szCs w:val="24"/>
        </w:rPr>
      </w:pPr>
      <w:r w:rsidRPr="00161114">
        <w:rPr>
          <w:sz w:val="24"/>
          <w:szCs w:val="24"/>
        </w:rPr>
        <w:t>Selvom gestagener kan have en indvirkning på perifer insulinresistens og glukosetolerance, er der ingen beviser for, at det er nødvendigt at ændre det terapeutiske regime hos diabetikere, som bruger piller, der kun indeholder gestagen. Dog bør diabetespatienter, der tager piller, som kun indeholder gestagen, følges nøje i løbet af de første måneder af behandlingen.</w:t>
      </w:r>
    </w:p>
    <w:p w:rsidR="00161114" w:rsidRPr="00161114" w:rsidRDefault="00161114" w:rsidP="00161114">
      <w:pPr>
        <w:ind w:left="851"/>
        <w:rPr>
          <w:sz w:val="24"/>
          <w:szCs w:val="24"/>
        </w:rPr>
      </w:pPr>
    </w:p>
    <w:p w:rsidR="00161114" w:rsidRPr="00161114" w:rsidRDefault="00161114" w:rsidP="00161114">
      <w:pPr>
        <w:ind w:left="851"/>
        <w:rPr>
          <w:sz w:val="24"/>
          <w:szCs w:val="24"/>
        </w:rPr>
      </w:pPr>
      <w:r w:rsidRPr="00161114">
        <w:rPr>
          <w:sz w:val="24"/>
          <w:szCs w:val="24"/>
        </w:rPr>
        <w:t>Opstår der vedvarende hypertension under brug af Ceranor, eller hvis en signifikant øgning i blodtrykket ikke responderer på antihypertensiv behandling, bør det overvejes, hvorvidt behandling med Ceranor skal ophøre.</w:t>
      </w:r>
    </w:p>
    <w:p w:rsidR="00161114" w:rsidRPr="00161114" w:rsidRDefault="00161114" w:rsidP="00161114">
      <w:pPr>
        <w:ind w:left="851"/>
        <w:rPr>
          <w:sz w:val="24"/>
          <w:szCs w:val="24"/>
        </w:rPr>
      </w:pPr>
    </w:p>
    <w:p w:rsidR="00161114" w:rsidRPr="00161114" w:rsidRDefault="00161114" w:rsidP="00161114">
      <w:pPr>
        <w:ind w:left="851"/>
        <w:rPr>
          <w:sz w:val="24"/>
          <w:szCs w:val="24"/>
        </w:rPr>
      </w:pPr>
      <w:r w:rsidRPr="00161114">
        <w:rPr>
          <w:sz w:val="24"/>
          <w:szCs w:val="24"/>
        </w:rPr>
        <w:t xml:space="preserve">Behandling med Ceranor medfører formindskede østradiolserumniveauer til et niveau, som svarer til den tidlige follikulære fase. Det er stadig ukendt om formindskelsen har nogen klinisk relevans for </w:t>
      </w:r>
      <w:r w:rsidRPr="00161114">
        <w:rPr>
          <w:sz w:val="24"/>
          <w:szCs w:val="24"/>
          <w:shd w:val="clear" w:color="auto" w:fill="FFFFFF"/>
        </w:rPr>
        <w:t>knoglemineraltæthed</w:t>
      </w:r>
      <w:r w:rsidRPr="00161114">
        <w:rPr>
          <w:sz w:val="24"/>
          <w:szCs w:val="24"/>
        </w:rPr>
        <w:t>.</w:t>
      </w:r>
    </w:p>
    <w:p w:rsidR="00161114" w:rsidRPr="00161114" w:rsidRDefault="00161114" w:rsidP="00161114">
      <w:pPr>
        <w:suppressAutoHyphens/>
        <w:ind w:left="851"/>
        <w:rPr>
          <w:sz w:val="24"/>
          <w:szCs w:val="24"/>
        </w:rPr>
      </w:pPr>
    </w:p>
    <w:p w:rsidR="00161114" w:rsidRPr="00161114" w:rsidRDefault="00161114" w:rsidP="00161114">
      <w:pPr>
        <w:ind w:left="851"/>
        <w:rPr>
          <w:sz w:val="24"/>
          <w:szCs w:val="24"/>
        </w:rPr>
      </w:pPr>
      <w:r w:rsidRPr="00161114">
        <w:rPr>
          <w:sz w:val="24"/>
          <w:szCs w:val="24"/>
        </w:rPr>
        <w:t>Den beskyttelse, de traditionelle piller som kun indeholder gestagen giver mod ektopiske graviditeter, er ikke ligeså god som med p-piller af kombinationstypen. Dette er blevet forbundet med den hyppige forekomst af ovulationer ved brug af piller, som kun indeholder gestagen. Til trods for at Ceranor konsekvent forårsager hæmning af ovulationen, bør man alligevel være opmærksom på ektopisk graviditet i differentialdiagnosen, hvis kvinden får amenoré eller mavesmerter.</w:t>
      </w:r>
    </w:p>
    <w:p w:rsidR="00161114" w:rsidRPr="00161114" w:rsidRDefault="00161114" w:rsidP="00161114">
      <w:pPr>
        <w:ind w:left="851"/>
        <w:rPr>
          <w:sz w:val="24"/>
          <w:szCs w:val="24"/>
        </w:rPr>
      </w:pPr>
    </w:p>
    <w:p w:rsidR="00161114" w:rsidRPr="00161114" w:rsidRDefault="00161114" w:rsidP="00161114">
      <w:pPr>
        <w:ind w:left="851"/>
        <w:rPr>
          <w:sz w:val="24"/>
          <w:szCs w:val="24"/>
        </w:rPr>
      </w:pPr>
      <w:r w:rsidRPr="00161114">
        <w:rPr>
          <w:sz w:val="24"/>
          <w:szCs w:val="24"/>
        </w:rPr>
        <w:t>Chloasma kan lejlighedsvis opstå, især hos kvinder med chloasma gravidarum i anamnesen. Kvinder med en tendens til chloasma bør undgå at udsætte sig for sollys eller ultraviolet bestråling, mens de tager Ceranor.</w:t>
      </w:r>
    </w:p>
    <w:p w:rsidR="00161114" w:rsidRPr="00161114" w:rsidRDefault="00161114" w:rsidP="00161114">
      <w:pPr>
        <w:ind w:left="851"/>
        <w:rPr>
          <w:sz w:val="24"/>
          <w:szCs w:val="24"/>
        </w:rPr>
      </w:pPr>
    </w:p>
    <w:p w:rsidR="00161114" w:rsidRPr="00161114" w:rsidRDefault="00161114" w:rsidP="00161114">
      <w:pPr>
        <w:ind w:left="851"/>
        <w:rPr>
          <w:sz w:val="24"/>
          <w:szCs w:val="24"/>
        </w:rPr>
      </w:pPr>
      <w:r w:rsidRPr="00161114">
        <w:rPr>
          <w:sz w:val="24"/>
          <w:szCs w:val="24"/>
        </w:rPr>
        <w:t>Følgende tilstande er blevet rapporteret under såvel graviditet som anvendelse af steroidhormoner, men en sammenhæng med gestagener er ikke blevet fastslået: Gulsot og/eller pruritus i forbindelse med kolestase; dannelse af galdesten; porfyri; systemisk lupus erythematosus; hæmolytisk uræmisk syndrom; Sydenham’s chorea; herpes gestationis; høretab forårsaget af otosklerose; (arveligt) angioødem.</w:t>
      </w:r>
    </w:p>
    <w:p w:rsidR="00161114" w:rsidRPr="00161114" w:rsidRDefault="00161114" w:rsidP="00161114">
      <w:pPr>
        <w:ind w:left="851"/>
        <w:rPr>
          <w:sz w:val="24"/>
          <w:szCs w:val="24"/>
        </w:rPr>
      </w:pPr>
    </w:p>
    <w:p w:rsidR="00161114" w:rsidRPr="00161114" w:rsidRDefault="00161114" w:rsidP="00161114">
      <w:pPr>
        <w:ind w:left="851"/>
        <w:rPr>
          <w:sz w:val="24"/>
          <w:szCs w:val="24"/>
        </w:rPr>
      </w:pPr>
      <w:r w:rsidRPr="00161114">
        <w:rPr>
          <w:sz w:val="24"/>
          <w:szCs w:val="24"/>
        </w:rPr>
        <w:t>Nedtrykthed og depression er velkendte bivirkninger ved hormonelle præventionsmidler (se pkt. 4.8). Depression kan være alvorligt og er en velkendt risikofaktor for selvmordsadfærd og selvmord. Kvinder bør rådes til at kontakte deres læge, hvis de oplever humørsvingninger og depressive symptomer, herunder kort tid efter behandlingsstart</w:t>
      </w:r>
      <w:r w:rsidRPr="00161114">
        <w:rPr>
          <w:spacing w:val="-2"/>
          <w:sz w:val="24"/>
          <w:szCs w:val="24"/>
        </w:rPr>
        <w:t>.</w:t>
      </w:r>
    </w:p>
    <w:p w:rsidR="00161114" w:rsidRPr="00161114" w:rsidRDefault="00161114" w:rsidP="00161114">
      <w:pPr>
        <w:ind w:left="851"/>
        <w:rPr>
          <w:sz w:val="24"/>
          <w:szCs w:val="24"/>
        </w:rPr>
      </w:pPr>
    </w:p>
    <w:p w:rsidR="00161114" w:rsidRPr="00161114" w:rsidRDefault="00161114" w:rsidP="00161114">
      <w:pPr>
        <w:ind w:left="851"/>
        <w:rPr>
          <w:sz w:val="24"/>
          <w:szCs w:val="24"/>
        </w:rPr>
      </w:pPr>
      <w:r w:rsidRPr="00161114">
        <w:rPr>
          <w:sz w:val="24"/>
          <w:szCs w:val="24"/>
        </w:rPr>
        <w:t>Ceranors virkning kan være nedsat i tilfælde af fx glemte tabletter (pkt. 4.2), gastro-intestinale lidelser (pkt. 4.2) eller samtidig indtagelse af andre lægemidler, som nedsætter plasmakoncentrationen af etonogestrel, den aktive metabolit af desogestrel (pkt. 4.5).</w:t>
      </w:r>
    </w:p>
    <w:p w:rsidR="00161114" w:rsidRPr="00161114" w:rsidRDefault="00161114" w:rsidP="00161114">
      <w:pPr>
        <w:ind w:left="851"/>
        <w:rPr>
          <w:sz w:val="24"/>
          <w:szCs w:val="24"/>
        </w:rPr>
      </w:pPr>
    </w:p>
    <w:p w:rsidR="00161114" w:rsidRPr="00161114" w:rsidRDefault="00161114" w:rsidP="00161114">
      <w:pPr>
        <w:ind w:left="851"/>
        <w:rPr>
          <w:i/>
          <w:iCs/>
          <w:sz w:val="24"/>
          <w:szCs w:val="24"/>
        </w:rPr>
      </w:pPr>
      <w:r w:rsidRPr="00161114">
        <w:rPr>
          <w:i/>
          <w:iCs/>
          <w:sz w:val="24"/>
          <w:szCs w:val="24"/>
        </w:rPr>
        <w:t>Hver tablet af dette lægemiddel indeholder 55 mg lactose</w:t>
      </w:r>
    </w:p>
    <w:p w:rsidR="00161114" w:rsidRPr="00161114" w:rsidRDefault="00161114" w:rsidP="00161114">
      <w:pPr>
        <w:ind w:left="851"/>
        <w:rPr>
          <w:sz w:val="24"/>
          <w:szCs w:val="24"/>
        </w:rPr>
      </w:pPr>
      <w:r w:rsidRPr="00161114">
        <w:rPr>
          <w:sz w:val="24"/>
          <w:szCs w:val="24"/>
        </w:rPr>
        <w:t>Bør ikke anvendes til patienter med hereditær galactoseintolerans, total lactasemangel eller glucose/galactosemalabsorption.</w:t>
      </w:r>
    </w:p>
    <w:p w:rsidR="00161114" w:rsidRPr="00161114" w:rsidRDefault="00161114" w:rsidP="00161114">
      <w:pPr>
        <w:suppressAutoHyphens/>
        <w:ind w:left="851"/>
        <w:rPr>
          <w:sz w:val="24"/>
          <w:szCs w:val="24"/>
        </w:rPr>
      </w:pPr>
    </w:p>
    <w:p w:rsidR="00161114" w:rsidRPr="00161114" w:rsidRDefault="00161114" w:rsidP="00161114">
      <w:pPr>
        <w:ind w:left="851"/>
        <w:rPr>
          <w:b/>
          <w:bCs/>
          <w:sz w:val="24"/>
          <w:szCs w:val="24"/>
        </w:rPr>
      </w:pPr>
      <w:r w:rsidRPr="00161114">
        <w:rPr>
          <w:b/>
          <w:bCs/>
          <w:sz w:val="24"/>
          <w:szCs w:val="24"/>
        </w:rPr>
        <w:lastRenderedPageBreak/>
        <w:t>Laboratorieprøver</w:t>
      </w:r>
    </w:p>
    <w:p w:rsidR="00161114" w:rsidRPr="00161114" w:rsidRDefault="00161114" w:rsidP="00161114">
      <w:pPr>
        <w:ind w:left="851"/>
        <w:rPr>
          <w:sz w:val="24"/>
          <w:szCs w:val="24"/>
        </w:rPr>
      </w:pPr>
      <w:r w:rsidRPr="00161114">
        <w:rPr>
          <w:sz w:val="24"/>
          <w:szCs w:val="24"/>
        </w:rPr>
        <w:t>Data vedrørende brug af kombinerede orale kontraceptiva har vist, at brugen af kontraceptive steroider kan have indvirkning på resultaterne af visse laboratorieprøver, inklusive biokemiske parametre for lever-, thyroidea-, binyre- og nyrefunktionen. Desuden kan der være indvirkning på serumniveauerne for (transport-) proteiner, fx kortikosteroid-bindende globulin og lipid/lipoprotein fraktioner, parametrene for kulhydratmetabolismen og parametrene for koagulationen og fibrinolysen. Ændringerne ligger sædvanligvis indenfor normalområdet. Det vides ikke i hvilken grad, disse forhold kan overføres til rene gestagenpræparater.</w:t>
      </w:r>
    </w:p>
    <w:p w:rsidR="009260DE" w:rsidRPr="00161114" w:rsidRDefault="009260DE" w:rsidP="0016111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3E149E" w:rsidRPr="003E149E" w:rsidRDefault="003E149E" w:rsidP="003E149E">
      <w:pPr>
        <w:tabs>
          <w:tab w:val="left" w:pos="851"/>
        </w:tabs>
        <w:ind w:left="851"/>
        <w:rPr>
          <w:sz w:val="24"/>
          <w:szCs w:val="24"/>
        </w:rPr>
      </w:pPr>
    </w:p>
    <w:p w:rsidR="003E149E" w:rsidRPr="003E149E" w:rsidRDefault="003E149E" w:rsidP="003E149E">
      <w:pPr>
        <w:tabs>
          <w:tab w:val="left" w:pos="851"/>
        </w:tabs>
        <w:ind w:left="851"/>
        <w:rPr>
          <w:b/>
          <w:bCs/>
          <w:sz w:val="24"/>
          <w:szCs w:val="24"/>
          <w:lang w:val="fr-LU"/>
        </w:rPr>
      </w:pPr>
      <w:r w:rsidRPr="003E149E">
        <w:rPr>
          <w:b/>
          <w:bCs/>
          <w:sz w:val="24"/>
          <w:szCs w:val="24"/>
          <w:lang w:val="fr-LU"/>
        </w:rPr>
        <w:t>Interaktioner</w:t>
      </w:r>
    </w:p>
    <w:p w:rsidR="003E149E" w:rsidRPr="003E149E" w:rsidRDefault="003E149E" w:rsidP="003E149E">
      <w:pPr>
        <w:tabs>
          <w:tab w:val="left" w:pos="851"/>
        </w:tabs>
        <w:ind w:left="851"/>
        <w:rPr>
          <w:sz w:val="24"/>
          <w:szCs w:val="24"/>
          <w:lang w:val="fr-LU"/>
        </w:rPr>
      </w:pPr>
      <w:r w:rsidRPr="003E149E">
        <w:rPr>
          <w:sz w:val="24"/>
          <w:szCs w:val="24"/>
          <w:lang w:val="fr-LU"/>
        </w:rPr>
        <w:t>Bemærk: Produktresuméet for samtidigt administrerede lægemidler skal læses med henblik på at identificere potentielle interaktioner.</w:t>
      </w:r>
    </w:p>
    <w:p w:rsidR="003E149E" w:rsidRPr="003E149E" w:rsidRDefault="003E149E" w:rsidP="003E149E">
      <w:pPr>
        <w:tabs>
          <w:tab w:val="left" w:pos="851"/>
        </w:tabs>
        <w:ind w:left="851"/>
        <w:rPr>
          <w:i/>
          <w:sz w:val="24"/>
          <w:szCs w:val="24"/>
        </w:rPr>
      </w:pPr>
    </w:p>
    <w:p w:rsidR="003E149E" w:rsidRPr="00F33BE5" w:rsidRDefault="003E149E" w:rsidP="003E149E">
      <w:pPr>
        <w:tabs>
          <w:tab w:val="left" w:pos="851"/>
        </w:tabs>
        <w:ind w:left="851"/>
        <w:rPr>
          <w:bCs/>
          <w:sz w:val="24"/>
          <w:szCs w:val="24"/>
          <w:u w:val="single"/>
          <w:lang w:val="fr-LU"/>
        </w:rPr>
      </w:pPr>
      <w:r w:rsidRPr="00F33BE5">
        <w:rPr>
          <w:bCs/>
          <w:sz w:val="24"/>
          <w:szCs w:val="24"/>
          <w:u w:val="single"/>
          <w:lang w:val="fr-LU"/>
        </w:rPr>
        <w:t>Indvirkning af andre lægemidler på Ceranor</w:t>
      </w:r>
    </w:p>
    <w:p w:rsidR="003E149E" w:rsidRPr="003E149E" w:rsidRDefault="003E149E" w:rsidP="003E149E">
      <w:pPr>
        <w:tabs>
          <w:tab w:val="left" w:pos="851"/>
        </w:tabs>
        <w:ind w:left="851"/>
        <w:rPr>
          <w:iCs/>
          <w:sz w:val="24"/>
          <w:szCs w:val="24"/>
          <w:lang w:val="fr-LU"/>
        </w:rPr>
      </w:pPr>
      <w:r w:rsidRPr="003E149E">
        <w:rPr>
          <w:iCs/>
          <w:sz w:val="24"/>
          <w:szCs w:val="24"/>
          <w:lang w:val="fr-LU"/>
        </w:rPr>
        <w:t>Interaktioner kan forekomme med lægemidler, der inducerer mikrosomale enzymer, hvilket kan medføre øget clearance af kønshormoner, og kan resultere i gennembrudsblødning og/eller svigt i den svangerskabsforebyggende effekt.</w:t>
      </w:r>
    </w:p>
    <w:p w:rsidR="003E149E" w:rsidRPr="003E149E" w:rsidRDefault="003E149E" w:rsidP="003E149E">
      <w:pPr>
        <w:tabs>
          <w:tab w:val="left" w:pos="851"/>
        </w:tabs>
        <w:ind w:left="851"/>
        <w:rPr>
          <w:i/>
          <w:sz w:val="24"/>
          <w:szCs w:val="24"/>
        </w:rPr>
      </w:pPr>
    </w:p>
    <w:p w:rsidR="003E149E" w:rsidRPr="003E149E" w:rsidRDefault="003E149E" w:rsidP="003E149E">
      <w:pPr>
        <w:tabs>
          <w:tab w:val="left" w:pos="851"/>
        </w:tabs>
        <w:ind w:left="851"/>
        <w:rPr>
          <w:i/>
          <w:sz w:val="24"/>
          <w:szCs w:val="24"/>
          <w:lang w:val="fr-LU"/>
        </w:rPr>
      </w:pPr>
      <w:r w:rsidRPr="003E149E">
        <w:rPr>
          <w:i/>
          <w:sz w:val="24"/>
          <w:szCs w:val="24"/>
          <w:lang w:val="fr-LU"/>
        </w:rPr>
        <w:t>Forholdsregler</w:t>
      </w:r>
    </w:p>
    <w:p w:rsidR="003E149E" w:rsidRPr="003E149E" w:rsidRDefault="003E149E" w:rsidP="003E149E">
      <w:pPr>
        <w:tabs>
          <w:tab w:val="left" w:pos="851"/>
        </w:tabs>
        <w:ind w:left="851"/>
        <w:rPr>
          <w:iCs/>
          <w:sz w:val="24"/>
          <w:szCs w:val="24"/>
          <w:lang w:val="fr-LU"/>
        </w:rPr>
      </w:pPr>
      <w:r w:rsidRPr="003E149E">
        <w:rPr>
          <w:iCs/>
          <w:sz w:val="24"/>
          <w:szCs w:val="24"/>
          <w:lang w:val="fr-LU"/>
        </w:rPr>
        <w:t>Enzyminduktion kan forekomme efter nogle få dages behandling. Maksimal enzyminduktion ses normalt inden for få uger. Efter ophør med behandling med lægemidlet kan enzyminduktion være opretholdt i omkring 4 uger.</w:t>
      </w:r>
    </w:p>
    <w:p w:rsidR="003E149E" w:rsidRPr="003E149E" w:rsidRDefault="003E149E" w:rsidP="003E149E">
      <w:pPr>
        <w:tabs>
          <w:tab w:val="left" w:pos="851"/>
        </w:tabs>
        <w:ind w:left="851"/>
        <w:rPr>
          <w:iCs/>
          <w:sz w:val="24"/>
          <w:szCs w:val="24"/>
          <w:lang w:val="fr-LU"/>
        </w:rPr>
      </w:pPr>
    </w:p>
    <w:p w:rsidR="003E149E" w:rsidRPr="003E149E" w:rsidRDefault="003E149E" w:rsidP="003E149E">
      <w:pPr>
        <w:tabs>
          <w:tab w:val="left" w:pos="851"/>
        </w:tabs>
        <w:ind w:left="851"/>
        <w:rPr>
          <w:i/>
          <w:sz w:val="24"/>
          <w:szCs w:val="24"/>
          <w:lang w:val="fr-LU"/>
        </w:rPr>
      </w:pPr>
      <w:r w:rsidRPr="003E149E">
        <w:rPr>
          <w:i/>
          <w:sz w:val="24"/>
          <w:szCs w:val="24"/>
          <w:lang w:val="fr-LU"/>
        </w:rPr>
        <w:t>Korttidsbehandling</w:t>
      </w:r>
    </w:p>
    <w:p w:rsidR="003E149E" w:rsidRPr="003E149E" w:rsidRDefault="003E149E" w:rsidP="003E149E">
      <w:pPr>
        <w:tabs>
          <w:tab w:val="left" w:pos="851"/>
        </w:tabs>
        <w:ind w:left="851"/>
        <w:rPr>
          <w:iCs/>
          <w:sz w:val="24"/>
          <w:szCs w:val="24"/>
          <w:lang w:val="fr-LU"/>
        </w:rPr>
      </w:pPr>
      <w:r w:rsidRPr="003E149E">
        <w:rPr>
          <w:iCs/>
          <w:sz w:val="24"/>
          <w:szCs w:val="24"/>
          <w:lang w:val="fr-LU"/>
        </w:rPr>
        <w:t>Kvinder, som er i behandling med leverenzyminducerende lægemidler eller naturlægemidler, skal underrettes om, at Ceranors virkning kan være nedsat. En barrieremetode skal benyttes ud over Ceranor. Barrieremetoden skal anvendes i hele perioden med samtidig brug af  de pågældende lægemidler samt i 28 dage efter ophør med det leverenzyminducerende lægemiddel.</w:t>
      </w:r>
    </w:p>
    <w:p w:rsidR="003E149E" w:rsidRPr="003E149E" w:rsidRDefault="003E149E" w:rsidP="003E149E">
      <w:pPr>
        <w:tabs>
          <w:tab w:val="left" w:pos="851"/>
        </w:tabs>
        <w:ind w:left="851"/>
        <w:rPr>
          <w:iCs/>
          <w:sz w:val="24"/>
          <w:szCs w:val="24"/>
          <w:lang w:val="fr-LU"/>
        </w:rPr>
      </w:pPr>
      <w:r w:rsidRPr="003E149E">
        <w:rPr>
          <w:iCs/>
          <w:sz w:val="24"/>
          <w:szCs w:val="24"/>
          <w:lang w:val="fr-LU"/>
        </w:rPr>
        <w:tab/>
      </w:r>
    </w:p>
    <w:p w:rsidR="003E149E" w:rsidRPr="003E149E" w:rsidRDefault="003E149E" w:rsidP="003E149E">
      <w:pPr>
        <w:tabs>
          <w:tab w:val="left" w:pos="851"/>
        </w:tabs>
        <w:ind w:left="851"/>
        <w:rPr>
          <w:i/>
          <w:sz w:val="24"/>
          <w:szCs w:val="24"/>
          <w:lang w:val="fr-LU"/>
        </w:rPr>
      </w:pPr>
      <w:r w:rsidRPr="003E149E">
        <w:rPr>
          <w:i/>
          <w:sz w:val="24"/>
          <w:szCs w:val="24"/>
          <w:lang w:val="fr-LU"/>
        </w:rPr>
        <w:t>Langtidsbehandling</w:t>
      </w:r>
    </w:p>
    <w:p w:rsidR="003E149E" w:rsidRPr="003E149E" w:rsidRDefault="003E149E" w:rsidP="003E149E">
      <w:pPr>
        <w:tabs>
          <w:tab w:val="left" w:pos="851"/>
        </w:tabs>
        <w:ind w:left="851"/>
        <w:rPr>
          <w:iCs/>
          <w:sz w:val="24"/>
          <w:szCs w:val="24"/>
          <w:lang w:val="fr-LU"/>
        </w:rPr>
      </w:pPr>
      <w:r w:rsidRPr="003E149E">
        <w:rPr>
          <w:iCs/>
          <w:sz w:val="24"/>
          <w:szCs w:val="24"/>
          <w:lang w:val="fr-LU"/>
        </w:rPr>
        <w:t>Hos kvinder, der er i langtidsbehandling med enzyminducerende lægemidler, bør det overvejes at bruge en anden svangerskabsforebyggende metode, som ikke påvirkes af enzyminducerende lægemidler.</w:t>
      </w:r>
    </w:p>
    <w:p w:rsidR="003E149E" w:rsidRPr="003E149E" w:rsidRDefault="003E149E" w:rsidP="003E149E">
      <w:pPr>
        <w:tabs>
          <w:tab w:val="left" w:pos="851"/>
        </w:tabs>
        <w:ind w:left="851"/>
        <w:rPr>
          <w:iCs/>
          <w:sz w:val="24"/>
          <w:szCs w:val="24"/>
          <w:lang w:val="fr-LU"/>
        </w:rPr>
      </w:pPr>
      <w:r w:rsidRPr="003E149E">
        <w:rPr>
          <w:iCs/>
          <w:sz w:val="24"/>
          <w:szCs w:val="24"/>
          <w:lang w:val="fr-LU"/>
        </w:rPr>
        <w:t xml:space="preserve">  </w:t>
      </w:r>
      <w:r w:rsidRPr="003E149E">
        <w:rPr>
          <w:iCs/>
          <w:sz w:val="24"/>
          <w:szCs w:val="24"/>
          <w:lang w:val="fr-LU"/>
        </w:rPr>
        <w:tab/>
      </w:r>
    </w:p>
    <w:p w:rsidR="003E149E" w:rsidRPr="003E149E" w:rsidRDefault="003E149E" w:rsidP="003E149E">
      <w:pPr>
        <w:tabs>
          <w:tab w:val="left" w:pos="851"/>
        </w:tabs>
        <w:ind w:left="851"/>
        <w:rPr>
          <w:i/>
          <w:sz w:val="24"/>
          <w:szCs w:val="24"/>
          <w:lang w:val="fr-LU"/>
        </w:rPr>
      </w:pPr>
      <w:r w:rsidRPr="003E149E">
        <w:rPr>
          <w:i/>
          <w:sz w:val="24"/>
          <w:szCs w:val="24"/>
          <w:lang w:val="fr-LU"/>
        </w:rPr>
        <w:t>Lægemidler, der øger clearance af hormonelle kontraceptiva (nedsat virkning af p-piller ved enzyminduktion) fx</w:t>
      </w:r>
    </w:p>
    <w:p w:rsidR="003E149E" w:rsidRPr="003E149E" w:rsidRDefault="003E149E" w:rsidP="003E149E">
      <w:pPr>
        <w:tabs>
          <w:tab w:val="left" w:pos="851"/>
        </w:tabs>
        <w:ind w:left="851"/>
        <w:rPr>
          <w:iCs/>
          <w:sz w:val="24"/>
          <w:szCs w:val="24"/>
          <w:lang w:val="fr-LU"/>
        </w:rPr>
      </w:pPr>
      <w:r w:rsidRPr="003E149E">
        <w:rPr>
          <w:iCs/>
          <w:sz w:val="24"/>
          <w:szCs w:val="24"/>
          <w:lang w:val="fr-LU"/>
        </w:rPr>
        <w:t>Barbiturater, bosentan, carbamazepin, phenytoin, primidon, rifampicin, efavirenz og muligvis også felbamat, griseofulvin, oxcarbazepin, topiramat, rifabutin samt produkter, der indeholder naturlægemidlet perikon (hypericum perforatum).</w:t>
      </w:r>
    </w:p>
    <w:p w:rsidR="003E149E" w:rsidRPr="003E149E" w:rsidRDefault="003E149E" w:rsidP="003E149E">
      <w:pPr>
        <w:tabs>
          <w:tab w:val="left" w:pos="851"/>
        </w:tabs>
        <w:ind w:left="851"/>
        <w:rPr>
          <w:iCs/>
          <w:sz w:val="24"/>
          <w:szCs w:val="24"/>
          <w:lang w:val="fr-LU"/>
        </w:rPr>
      </w:pPr>
    </w:p>
    <w:p w:rsidR="003E149E" w:rsidRPr="003E149E" w:rsidRDefault="003E149E" w:rsidP="003E149E">
      <w:pPr>
        <w:tabs>
          <w:tab w:val="left" w:pos="851"/>
        </w:tabs>
        <w:ind w:left="851"/>
        <w:rPr>
          <w:i/>
          <w:sz w:val="24"/>
          <w:szCs w:val="24"/>
          <w:lang w:val="fr-LU"/>
        </w:rPr>
      </w:pPr>
      <w:r w:rsidRPr="003E149E">
        <w:rPr>
          <w:i/>
          <w:sz w:val="24"/>
          <w:szCs w:val="24"/>
          <w:lang w:val="fr-LU"/>
        </w:rPr>
        <w:t>Lægemidler med variabel indvirkning på clearance af hormonelle kontraceptiva</w:t>
      </w:r>
    </w:p>
    <w:p w:rsidR="003E149E" w:rsidRPr="003E149E" w:rsidRDefault="003E149E" w:rsidP="003E149E">
      <w:pPr>
        <w:tabs>
          <w:tab w:val="left" w:pos="851"/>
        </w:tabs>
        <w:ind w:left="851"/>
        <w:rPr>
          <w:iCs/>
          <w:sz w:val="24"/>
          <w:szCs w:val="24"/>
          <w:lang w:val="fr-LU"/>
        </w:rPr>
      </w:pPr>
      <w:r w:rsidRPr="003E149E">
        <w:rPr>
          <w:iCs/>
          <w:sz w:val="24"/>
          <w:szCs w:val="24"/>
          <w:lang w:val="fr-LU"/>
        </w:rPr>
        <w:t>Når lægemidlerne administreres sammen med hormonelle kontraceptiva, kan mange kombinationer af HIV-proteasehæmmere (fx ritonavir, nelfinavir) og non-nukleosid revers transkriptasehæmmere (fx nevirapin) og/eller kombinationer med HCV-hæmmere (hepatitis C virus) (fx boceprevir, telaprevir) øge eller reducere plasmakoncentrationerne af gestagener. Nettoeffekten af disse ændringer kan være klinisk relevant i nogle tilfælde.</w:t>
      </w:r>
    </w:p>
    <w:p w:rsidR="003E149E" w:rsidRPr="003E149E" w:rsidRDefault="003E149E" w:rsidP="003E149E">
      <w:pPr>
        <w:tabs>
          <w:tab w:val="left" w:pos="851"/>
        </w:tabs>
        <w:ind w:left="851"/>
        <w:rPr>
          <w:iCs/>
          <w:sz w:val="24"/>
          <w:szCs w:val="24"/>
          <w:lang w:val="fr-LU"/>
        </w:rPr>
      </w:pPr>
    </w:p>
    <w:p w:rsidR="003E149E" w:rsidRPr="003E149E" w:rsidRDefault="003E149E" w:rsidP="003E149E">
      <w:pPr>
        <w:tabs>
          <w:tab w:val="left" w:pos="851"/>
        </w:tabs>
        <w:ind w:left="851"/>
        <w:rPr>
          <w:iCs/>
          <w:sz w:val="24"/>
          <w:szCs w:val="24"/>
          <w:lang w:val="fr-LU"/>
        </w:rPr>
      </w:pPr>
      <w:r w:rsidRPr="003E149E">
        <w:rPr>
          <w:iCs/>
          <w:sz w:val="24"/>
          <w:szCs w:val="24"/>
          <w:lang w:val="fr-LU"/>
        </w:rPr>
        <w:lastRenderedPageBreak/>
        <w:t>Derfor skal produktresuméet for samtidigt administrerede lægemidler mod HIV/HCV læses med henblik på at identificere potentielle interaktioner og relaterede anbefalinger. I tvivlstilfælde skal kvinder, der får behandling med proteasehæmmere eller non-nukleosid revers transkriptasehæmmere, anvende en yderligere barrieremetode.</w:t>
      </w:r>
    </w:p>
    <w:p w:rsidR="003E149E" w:rsidRPr="003E149E" w:rsidRDefault="003E149E" w:rsidP="003E149E">
      <w:pPr>
        <w:tabs>
          <w:tab w:val="left" w:pos="851"/>
        </w:tabs>
        <w:ind w:left="851"/>
        <w:rPr>
          <w:iCs/>
          <w:sz w:val="24"/>
          <w:szCs w:val="24"/>
          <w:lang w:val="fr-LU"/>
        </w:rPr>
      </w:pPr>
    </w:p>
    <w:p w:rsidR="003E149E" w:rsidRPr="003E149E" w:rsidRDefault="003E149E" w:rsidP="003E149E">
      <w:pPr>
        <w:tabs>
          <w:tab w:val="left" w:pos="851"/>
        </w:tabs>
        <w:ind w:left="851"/>
        <w:rPr>
          <w:i/>
          <w:sz w:val="24"/>
          <w:szCs w:val="24"/>
          <w:lang w:val="fr-LU"/>
        </w:rPr>
      </w:pPr>
      <w:r w:rsidRPr="003E149E">
        <w:rPr>
          <w:i/>
          <w:sz w:val="24"/>
          <w:szCs w:val="24"/>
          <w:lang w:val="fr-LU"/>
        </w:rPr>
        <w:t>Lægemidler, der sænker clearance af hormonelle kontraceptiva (enzymhæmmere)</w:t>
      </w:r>
    </w:p>
    <w:p w:rsidR="003E149E" w:rsidRPr="003E149E" w:rsidRDefault="003E149E" w:rsidP="003E149E">
      <w:pPr>
        <w:tabs>
          <w:tab w:val="left" w:pos="851"/>
        </w:tabs>
        <w:ind w:left="851"/>
        <w:rPr>
          <w:iCs/>
          <w:sz w:val="24"/>
          <w:szCs w:val="24"/>
          <w:lang w:val="fr-LU"/>
        </w:rPr>
      </w:pPr>
      <w:r w:rsidRPr="003E149E">
        <w:rPr>
          <w:iCs/>
          <w:sz w:val="24"/>
          <w:szCs w:val="24"/>
          <w:lang w:val="fr-LU"/>
        </w:rPr>
        <w:t>Samtidig administration af potente (fx ketoconazol, itraconazol, clarithromycin) eller moderate (fx fluconazol, diltiazem, erythromycin) CYP3A4-hæmmere kan øge serumkoncentrationerne af gestagener, inklusive etonogestrel, den aktive metabolit af desogestrel.</w:t>
      </w:r>
    </w:p>
    <w:p w:rsidR="003E149E" w:rsidRPr="003E149E" w:rsidRDefault="003E149E" w:rsidP="003E149E">
      <w:pPr>
        <w:tabs>
          <w:tab w:val="left" w:pos="851"/>
        </w:tabs>
        <w:ind w:left="851"/>
        <w:rPr>
          <w:iCs/>
          <w:sz w:val="24"/>
          <w:szCs w:val="24"/>
          <w:lang w:val="fr-LU"/>
        </w:rPr>
      </w:pPr>
    </w:p>
    <w:p w:rsidR="003E149E" w:rsidRPr="00F33BE5" w:rsidRDefault="003E149E" w:rsidP="003E149E">
      <w:pPr>
        <w:tabs>
          <w:tab w:val="left" w:pos="851"/>
        </w:tabs>
        <w:ind w:left="851"/>
        <w:rPr>
          <w:bCs/>
          <w:sz w:val="24"/>
          <w:szCs w:val="24"/>
          <w:u w:val="single"/>
          <w:lang w:val="fr-LU"/>
        </w:rPr>
      </w:pPr>
      <w:r w:rsidRPr="00F33BE5">
        <w:rPr>
          <w:bCs/>
          <w:sz w:val="24"/>
          <w:szCs w:val="24"/>
          <w:u w:val="single"/>
          <w:lang w:val="fr-LU"/>
        </w:rPr>
        <w:t>Indvirkning af Ceranor på andre lægemidler</w:t>
      </w:r>
    </w:p>
    <w:p w:rsidR="003E149E" w:rsidRPr="003E149E" w:rsidRDefault="003E149E" w:rsidP="003E149E">
      <w:pPr>
        <w:tabs>
          <w:tab w:val="left" w:pos="851"/>
        </w:tabs>
        <w:ind w:left="851"/>
        <w:rPr>
          <w:iCs/>
          <w:sz w:val="24"/>
          <w:szCs w:val="24"/>
          <w:lang w:val="fr-LU"/>
        </w:rPr>
      </w:pPr>
      <w:r w:rsidRPr="003E149E">
        <w:rPr>
          <w:iCs/>
          <w:sz w:val="24"/>
          <w:szCs w:val="24"/>
          <w:lang w:val="fr-LU"/>
        </w:rPr>
        <w:t>Hormonelle kontraceptiva kan påvirke metabolismen af andre lægemidler. Herved kan plasma- og vævskoncentrationer af andre aktive stoffer enten stige (fx ciclosporin) eller falde (fx lamotrigin).</w:t>
      </w:r>
      <w:r w:rsidRPr="003E149E">
        <w:rPr>
          <w:iCs/>
          <w:sz w:val="24"/>
          <w:szCs w:val="24"/>
          <w:lang w:val="fr-LU"/>
        </w:rPr>
        <w:tab/>
      </w:r>
    </w:p>
    <w:p w:rsidR="009260DE" w:rsidRPr="003E149E" w:rsidRDefault="009260DE" w:rsidP="009260DE">
      <w:pPr>
        <w:tabs>
          <w:tab w:val="left" w:pos="851"/>
        </w:tabs>
        <w:ind w:left="851"/>
        <w:rPr>
          <w:sz w:val="24"/>
          <w:szCs w:val="24"/>
          <w:lang w:val="fr-LU"/>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rsidR="00C80ED7" w:rsidRPr="00C80ED7" w:rsidRDefault="00C80ED7" w:rsidP="00C80ED7">
      <w:pPr>
        <w:tabs>
          <w:tab w:val="left" w:pos="851"/>
        </w:tabs>
        <w:ind w:left="851"/>
        <w:rPr>
          <w:sz w:val="24"/>
          <w:szCs w:val="24"/>
          <w:lang w:val="fr-LU"/>
        </w:rPr>
      </w:pPr>
    </w:p>
    <w:p w:rsidR="00C80ED7" w:rsidRPr="00C80ED7" w:rsidRDefault="00C80ED7" w:rsidP="00C80ED7">
      <w:pPr>
        <w:tabs>
          <w:tab w:val="left" w:pos="851"/>
        </w:tabs>
        <w:ind w:left="851"/>
        <w:rPr>
          <w:sz w:val="24"/>
          <w:szCs w:val="24"/>
          <w:u w:val="single"/>
          <w:lang w:val="fr-LU"/>
        </w:rPr>
      </w:pPr>
      <w:r w:rsidRPr="00C80ED7">
        <w:rPr>
          <w:sz w:val="24"/>
          <w:szCs w:val="24"/>
          <w:u w:val="single"/>
          <w:lang w:val="fr-LU"/>
        </w:rPr>
        <w:t>Graviditet</w:t>
      </w:r>
    </w:p>
    <w:p w:rsidR="00C80ED7" w:rsidRPr="00C80ED7" w:rsidRDefault="00C80ED7" w:rsidP="00C80ED7">
      <w:pPr>
        <w:tabs>
          <w:tab w:val="left" w:pos="851"/>
        </w:tabs>
        <w:ind w:left="851"/>
        <w:rPr>
          <w:sz w:val="24"/>
          <w:szCs w:val="24"/>
          <w:lang w:val="fr-LU"/>
        </w:rPr>
      </w:pPr>
      <w:r w:rsidRPr="00C80ED7">
        <w:rPr>
          <w:sz w:val="24"/>
          <w:szCs w:val="24"/>
          <w:lang w:val="fr-LU"/>
        </w:rPr>
        <w:t>Der er ingen indikation for Ceranor under graviditet. Hvis kvinden bliver gravid under behandling med Ceranor, bør yderligere indtagelse stoppes.</w:t>
      </w:r>
    </w:p>
    <w:p w:rsidR="00C80ED7" w:rsidRPr="00C80ED7" w:rsidRDefault="00C80ED7" w:rsidP="00C80ED7">
      <w:pPr>
        <w:tabs>
          <w:tab w:val="left" w:pos="851"/>
        </w:tabs>
        <w:ind w:left="851"/>
        <w:rPr>
          <w:sz w:val="24"/>
          <w:szCs w:val="24"/>
          <w:lang w:val="fr-LU"/>
        </w:rPr>
      </w:pPr>
    </w:p>
    <w:p w:rsidR="00C80ED7" w:rsidRPr="00C80ED7" w:rsidRDefault="00C80ED7" w:rsidP="00C80ED7">
      <w:pPr>
        <w:tabs>
          <w:tab w:val="left" w:pos="851"/>
        </w:tabs>
        <w:ind w:left="851"/>
        <w:rPr>
          <w:sz w:val="24"/>
          <w:szCs w:val="24"/>
          <w:lang w:val="fr-LU"/>
        </w:rPr>
      </w:pPr>
      <w:r w:rsidRPr="00C80ED7">
        <w:rPr>
          <w:sz w:val="24"/>
          <w:szCs w:val="24"/>
          <w:lang w:val="fr-LU"/>
        </w:rPr>
        <w:t>Dyreforsøg har vist, at meget høje doser af gestagenholdige substanser kan forårsage virilisering af det kvindelige foster.</w:t>
      </w:r>
    </w:p>
    <w:p w:rsidR="00C80ED7" w:rsidRPr="00C80ED7" w:rsidRDefault="00C80ED7" w:rsidP="00C80ED7">
      <w:pPr>
        <w:tabs>
          <w:tab w:val="left" w:pos="851"/>
        </w:tabs>
        <w:ind w:left="851"/>
        <w:rPr>
          <w:sz w:val="24"/>
          <w:szCs w:val="24"/>
          <w:lang w:val="fr-LU"/>
        </w:rPr>
      </w:pPr>
    </w:p>
    <w:p w:rsidR="00C80ED7" w:rsidRPr="00C80ED7" w:rsidRDefault="00C80ED7" w:rsidP="00C80ED7">
      <w:pPr>
        <w:tabs>
          <w:tab w:val="left" w:pos="851"/>
        </w:tabs>
        <w:ind w:left="851"/>
        <w:rPr>
          <w:sz w:val="24"/>
          <w:szCs w:val="24"/>
          <w:lang w:val="fr-LU"/>
        </w:rPr>
      </w:pPr>
      <w:r w:rsidRPr="00C80ED7">
        <w:rPr>
          <w:sz w:val="24"/>
          <w:szCs w:val="24"/>
          <w:lang w:val="fr-LU"/>
        </w:rPr>
        <w:t>Omfattende epidemiologiske studier har hverken afsløret en øget risiko for fødselsdefekter hos børn, som er født af kvinder, der tog p-piller af kombinationstypen før deres graviditet, eller en teratogen virkning, når p-pillerne blev taget uforvarende tidligt i graviditeten. Indsamlede farmakologiske sikkerhedsdata for forskellige p-piller af kombinationstypen indeholdende desogestrel indikerer heller ikke en øget risiko.</w:t>
      </w:r>
    </w:p>
    <w:p w:rsidR="00C80ED7" w:rsidRPr="00C80ED7" w:rsidRDefault="00C80ED7" w:rsidP="00C80ED7">
      <w:pPr>
        <w:tabs>
          <w:tab w:val="left" w:pos="851"/>
        </w:tabs>
        <w:ind w:left="851"/>
        <w:rPr>
          <w:sz w:val="24"/>
          <w:szCs w:val="24"/>
          <w:u w:val="single"/>
          <w:lang w:val="fr-LU"/>
        </w:rPr>
      </w:pPr>
    </w:p>
    <w:p w:rsidR="00C80ED7" w:rsidRPr="00C80ED7" w:rsidRDefault="00C80ED7" w:rsidP="00C80ED7">
      <w:pPr>
        <w:tabs>
          <w:tab w:val="left" w:pos="851"/>
        </w:tabs>
        <w:ind w:left="851"/>
        <w:rPr>
          <w:sz w:val="24"/>
          <w:szCs w:val="24"/>
          <w:u w:val="single"/>
        </w:rPr>
      </w:pPr>
      <w:r w:rsidRPr="00C80ED7">
        <w:rPr>
          <w:sz w:val="24"/>
          <w:szCs w:val="24"/>
          <w:u w:val="single"/>
        </w:rPr>
        <w:t>Amning</w:t>
      </w:r>
    </w:p>
    <w:p w:rsidR="00C80ED7" w:rsidRPr="00C80ED7" w:rsidRDefault="00C80ED7" w:rsidP="00C80ED7">
      <w:pPr>
        <w:tabs>
          <w:tab w:val="left" w:pos="851"/>
        </w:tabs>
        <w:ind w:left="851"/>
        <w:rPr>
          <w:sz w:val="24"/>
          <w:szCs w:val="24"/>
          <w:lang w:val="fr-LU"/>
        </w:rPr>
      </w:pPr>
      <w:r w:rsidRPr="00C80ED7">
        <w:rPr>
          <w:sz w:val="24"/>
          <w:szCs w:val="24"/>
          <w:lang w:val="fr-LU"/>
        </w:rPr>
        <w:t xml:space="preserve">Baseret på kliniske studier ser det ikke ud til at Ceranor har indflydelse på produktionen eller kvaliteten (protein-, lactose- eller fedtkoncentrationer) af modermælken. Dog har der været sjældne postmarketing rapporteringer om en nedsat modermælksproduktion under brug af Ceranor. Små mængder af etonogestrel bliver udskilt i modermælken. Som et resultat kan 0,01 – 0,05 mikrogram etonogestrel per kg legemsvægt per dag blive optaget af barnet (baseret på en skønsmæssig mælkeindtagelse på 150 ml/kg/dag). Ceranor kan, som andre piller der kun indeholder gestagen, anvendes under amning. </w:t>
      </w:r>
    </w:p>
    <w:p w:rsidR="00C80ED7" w:rsidRPr="00C80ED7" w:rsidRDefault="00C80ED7" w:rsidP="00C80ED7">
      <w:pPr>
        <w:tabs>
          <w:tab w:val="left" w:pos="851"/>
        </w:tabs>
        <w:ind w:left="851"/>
        <w:rPr>
          <w:sz w:val="24"/>
          <w:szCs w:val="24"/>
          <w:lang w:val="fr-LU"/>
        </w:rPr>
      </w:pPr>
    </w:p>
    <w:p w:rsidR="00C80ED7" w:rsidRPr="00C80ED7" w:rsidRDefault="00C80ED7" w:rsidP="00C80ED7">
      <w:pPr>
        <w:tabs>
          <w:tab w:val="left" w:pos="851"/>
        </w:tabs>
        <w:ind w:left="851"/>
        <w:rPr>
          <w:sz w:val="24"/>
          <w:szCs w:val="24"/>
          <w:lang w:val="fr-LU"/>
        </w:rPr>
      </w:pPr>
      <w:r w:rsidRPr="00C80ED7">
        <w:rPr>
          <w:sz w:val="24"/>
          <w:szCs w:val="24"/>
          <w:lang w:val="fr-LU"/>
        </w:rPr>
        <w:t>Der er begrænsede opfølgende langtidsdata for børn, hvis mødre startede med desogestrel 4 – 8 uger efter fødslen. Børnene blev ammet i 7 måneder og fulgt indtil de var 1½ år (n = 32) eller 2½ år (N = 14). Evaluering af vækst, fysisk og psykomotorisk udvikling indikerer ikke nogen forskel sammenlignet med børn, som blev ammet, og hvis mødre anvendte en kobberspiral. Baseret på de tilgængelige data kan Ceranor anvendes under amning. Ikke desto mindre bør udvikling og vækst følges nøje hos børn, som ammes, og hvis mødre indtager Ceranor.</w:t>
      </w:r>
    </w:p>
    <w:p w:rsidR="00C80ED7" w:rsidRPr="00C80ED7" w:rsidRDefault="00C80ED7" w:rsidP="00C80ED7">
      <w:pPr>
        <w:tabs>
          <w:tab w:val="left" w:pos="851"/>
        </w:tabs>
        <w:ind w:left="851"/>
        <w:rPr>
          <w:sz w:val="24"/>
          <w:szCs w:val="24"/>
          <w:lang w:val="fr-LU"/>
        </w:rPr>
      </w:pPr>
    </w:p>
    <w:p w:rsidR="00C80ED7" w:rsidRPr="00C80ED7" w:rsidRDefault="00C80ED7" w:rsidP="00C80ED7">
      <w:pPr>
        <w:tabs>
          <w:tab w:val="left" w:pos="851"/>
        </w:tabs>
        <w:ind w:left="851"/>
        <w:rPr>
          <w:sz w:val="24"/>
          <w:szCs w:val="24"/>
          <w:u w:val="single"/>
        </w:rPr>
      </w:pPr>
      <w:r w:rsidRPr="00C80ED7">
        <w:rPr>
          <w:sz w:val="24"/>
          <w:szCs w:val="24"/>
          <w:u w:val="single"/>
        </w:rPr>
        <w:t>Fertilitet</w:t>
      </w:r>
    </w:p>
    <w:p w:rsidR="00C80ED7" w:rsidRPr="00C80ED7" w:rsidRDefault="00C80ED7" w:rsidP="00C80ED7">
      <w:pPr>
        <w:tabs>
          <w:tab w:val="left" w:pos="851"/>
        </w:tabs>
        <w:ind w:left="851"/>
        <w:rPr>
          <w:iCs/>
          <w:sz w:val="24"/>
          <w:szCs w:val="24"/>
          <w:lang w:val="fr-LU"/>
        </w:rPr>
      </w:pPr>
      <w:r w:rsidRPr="00C80ED7">
        <w:rPr>
          <w:iCs/>
          <w:sz w:val="24"/>
          <w:szCs w:val="24"/>
          <w:lang w:val="fr-LU"/>
        </w:rPr>
        <w:t>Ceranor er indiceret til svangerskabsforebyggelse. For information om tilbagevenden til fertilitet (ovulation) se pkt. 5.1.</w:t>
      </w:r>
    </w:p>
    <w:p w:rsidR="00C80ED7" w:rsidRPr="00C80ED7" w:rsidRDefault="00C80ED7" w:rsidP="00C80ED7">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BD5BCD" w:rsidRPr="00BD5BCD" w:rsidRDefault="00BD5BCD" w:rsidP="00BD5BCD">
      <w:pPr>
        <w:tabs>
          <w:tab w:val="left" w:pos="851"/>
        </w:tabs>
        <w:ind w:left="851"/>
        <w:rPr>
          <w:sz w:val="24"/>
          <w:szCs w:val="24"/>
        </w:rPr>
      </w:pPr>
      <w:r w:rsidRPr="00BD5BCD">
        <w:rPr>
          <w:sz w:val="24"/>
          <w:szCs w:val="24"/>
        </w:rPr>
        <w:t>Ceranor påvirker ikke eller i ubetydelig grad evnen til at føre motorkøretøj og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BD5BCD" w:rsidRPr="00BD5BCD" w:rsidRDefault="00BD5BCD" w:rsidP="00BD5BCD">
      <w:pPr>
        <w:tabs>
          <w:tab w:val="left" w:pos="851"/>
        </w:tabs>
        <w:ind w:left="851"/>
        <w:rPr>
          <w:b/>
          <w:sz w:val="24"/>
          <w:szCs w:val="24"/>
        </w:rPr>
      </w:pPr>
    </w:p>
    <w:p w:rsidR="00BD5BCD" w:rsidRPr="00BD5BCD" w:rsidRDefault="00BD5BCD" w:rsidP="00BD5BCD">
      <w:pPr>
        <w:tabs>
          <w:tab w:val="left" w:pos="851"/>
        </w:tabs>
        <w:ind w:left="851"/>
        <w:rPr>
          <w:sz w:val="24"/>
          <w:szCs w:val="24"/>
          <w:lang w:val="fr-LU"/>
        </w:rPr>
      </w:pPr>
      <w:r w:rsidRPr="00BD5BCD">
        <w:rPr>
          <w:sz w:val="24"/>
          <w:szCs w:val="24"/>
          <w:lang w:val="fr-LU"/>
        </w:rPr>
        <w:t xml:space="preserve">De oftest rapporterede bivirkninger i de kliniske studier er blødningsuregelmæssigheder. En eller anden form for blødningsuregelmæssighed er blevet rapporteret hos op til 50 % af de kvinder, der bruger desogestrel. Eftersom desogestrel forårsager en næsten 100 % ovulationshæmning i modsætning til andre piller som kun indeholder gestagen, er uregelmæssig blødning mere almindelig end ved andre piller, som kun indeholder gestagen. Hos 20 – 30 % af kvinderne kan blødningen optræde mere hyppigt, hvorimod den hos andre 20 % af kvinderne kan optræde mindre hyppigt eller totalt udeblive. Vaginalblødning kan også vare længere. Efter et par måneders behandling har blødningerne en tendens til at optræde mindre hyppigt. Information, vejledning og et dagbogskort kan forbedre kvindens accept af blødningsmønsteret. </w:t>
      </w:r>
    </w:p>
    <w:p w:rsidR="00BD5BCD" w:rsidRPr="00BD5BCD" w:rsidRDefault="00BD5BCD" w:rsidP="00BD5BCD">
      <w:pPr>
        <w:tabs>
          <w:tab w:val="left" w:pos="851"/>
        </w:tabs>
        <w:ind w:left="851"/>
        <w:rPr>
          <w:sz w:val="24"/>
          <w:szCs w:val="24"/>
          <w:lang w:val="fr-LU"/>
        </w:rPr>
      </w:pPr>
    </w:p>
    <w:p w:rsidR="00BD5BCD" w:rsidRPr="00BD5BCD" w:rsidRDefault="00BD5BCD" w:rsidP="00BD5BCD">
      <w:pPr>
        <w:tabs>
          <w:tab w:val="left" w:pos="851"/>
        </w:tabs>
        <w:ind w:left="851"/>
        <w:rPr>
          <w:sz w:val="24"/>
          <w:szCs w:val="24"/>
          <w:lang w:val="fr-LU"/>
        </w:rPr>
      </w:pPr>
      <w:r w:rsidRPr="00BD5BCD">
        <w:rPr>
          <w:sz w:val="24"/>
          <w:szCs w:val="24"/>
          <w:lang w:val="fr-LU"/>
        </w:rPr>
        <w:t>De andre mest almindeligt rapporterede bivirkninger i kliniske studier med desogestrel (&gt; 2,5 %) var akne, humørsvingninger, smerter i brysterne, kvalme og vægtøgning.</w:t>
      </w:r>
    </w:p>
    <w:p w:rsidR="00BD5BCD" w:rsidRPr="00BD5BCD" w:rsidRDefault="00BD5BCD" w:rsidP="00BD5BCD">
      <w:pPr>
        <w:tabs>
          <w:tab w:val="left" w:pos="851"/>
        </w:tabs>
        <w:ind w:left="851"/>
        <w:rPr>
          <w:sz w:val="24"/>
          <w:szCs w:val="24"/>
          <w:lang w:val="fr-LU"/>
        </w:rPr>
      </w:pPr>
    </w:p>
    <w:p w:rsidR="00BD5BCD" w:rsidRPr="00BD5BCD" w:rsidRDefault="00BD5BCD" w:rsidP="00BD5BCD">
      <w:pPr>
        <w:tabs>
          <w:tab w:val="left" w:pos="851"/>
        </w:tabs>
        <w:ind w:left="851"/>
        <w:rPr>
          <w:sz w:val="24"/>
          <w:szCs w:val="24"/>
          <w:lang w:val="fr-LU"/>
        </w:rPr>
      </w:pPr>
      <w:r w:rsidRPr="00BD5BCD">
        <w:rPr>
          <w:sz w:val="24"/>
          <w:szCs w:val="24"/>
          <w:lang w:val="fr-LU"/>
        </w:rPr>
        <w:t xml:space="preserve">Bivirkningerne er nævnt i tabellen nedenfor efter organklasse og frekvens; </w:t>
      </w:r>
    </w:p>
    <w:p w:rsidR="00BD5BCD" w:rsidRPr="00BD5BCD" w:rsidRDefault="00BD5BCD" w:rsidP="00BD5BCD">
      <w:pPr>
        <w:tabs>
          <w:tab w:val="left" w:pos="851"/>
        </w:tabs>
        <w:ind w:left="851"/>
        <w:rPr>
          <w:sz w:val="24"/>
          <w:szCs w:val="24"/>
          <w:lang w:val="fr-LU"/>
        </w:rPr>
      </w:pPr>
    </w:p>
    <w:p w:rsidR="00BD5BCD" w:rsidRPr="00BD5BCD" w:rsidRDefault="00BD5BCD" w:rsidP="00BD5BCD">
      <w:pPr>
        <w:tabs>
          <w:tab w:val="left" w:pos="851"/>
        </w:tabs>
        <w:ind w:left="851"/>
        <w:rPr>
          <w:sz w:val="24"/>
          <w:szCs w:val="24"/>
          <w:lang w:val="fr-LU"/>
        </w:rPr>
      </w:pPr>
      <w:r w:rsidRPr="00BD5BCD">
        <w:rPr>
          <w:sz w:val="24"/>
          <w:szCs w:val="24"/>
          <w:lang w:val="fr-LU"/>
        </w:rPr>
        <w:t xml:space="preserve">Almindelig (≥ 1/100) </w:t>
      </w:r>
    </w:p>
    <w:p w:rsidR="00BD5BCD" w:rsidRPr="00BD5BCD" w:rsidRDefault="00BD5BCD" w:rsidP="00BD5BCD">
      <w:pPr>
        <w:tabs>
          <w:tab w:val="left" w:pos="851"/>
        </w:tabs>
        <w:ind w:left="851"/>
        <w:rPr>
          <w:sz w:val="24"/>
          <w:szCs w:val="24"/>
          <w:lang w:val="fr-LU"/>
        </w:rPr>
      </w:pPr>
      <w:r w:rsidRPr="00BD5BCD">
        <w:rPr>
          <w:sz w:val="24"/>
          <w:szCs w:val="24"/>
          <w:lang w:val="fr-LU"/>
        </w:rPr>
        <w:t xml:space="preserve">Ikke almindelig (1/1.000 til &lt;1/100), </w:t>
      </w:r>
    </w:p>
    <w:p w:rsidR="00BD5BCD" w:rsidRPr="00BD5BCD" w:rsidRDefault="00BD5BCD" w:rsidP="00BD5BCD">
      <w:pPr>
        <w:tabs>
          <w:tab w:val="left" w:pos="851"/>
        </w:tabs>
        <w:ind w:left="851"/>
        <w:rPr>
          <w:sz w:val="24"/>
          <w:szCs w:val="24"/>
          <w:lang w:val="fr-LU"/>
        </w:rPr>
      </w:pPr>
      <w:r w:rsidRPr="00BD5BCD">
        <w:rPr>
          <w:sz w:val="24"/>
          <w:szCs w:val="24"/>
          <w:lang w:val="fr-LU"/>
        </w:rPr>
        <w:t xml:space="preserve">Sjælden (&lt;1/1.000) </w:t>
      </w:r>
    </w:p>
    <w:p w:rsidR="00BD5BCD" w:rsidRPr="00BD5BCD" w:rsidRDefault="00BD5BCD" w:rsidP="00BD5BCD">
      <w:pPr>
        <w:tabs>
          <w:tab w:val="left" w:pos="851"/>
        </w:tabs>
        <w:ind w:left="851"/>
        <w:rPr>
          <w:sz w:val="24"/>
          <w:szCs w:val="24"/>
          <w:lang w:val="fr-LU"/>
        </w:rPr>
      </w:pPr>
      <w:r w:rsidRPr="00BD5BCD">
        <w:rPr>
          <w:sz w:val="24"/>
          <w:szCs w:val="24"/>
          <w:lang w:val="fr-LU"/>
        </w:rPr>
        <w:t>Ikke kendt (kan ikke estimeres ud fra forhåndenværende data).</w:t>
      </w:r>
    </w:p>
    <w:p w:rsidR="00BD5BCD" w:rsidRPr="00BD5BCD" w:rsidRDefault="00BD5BCD" w:rsidP="00BD5BCD">
      <w:pPr>
        <w:tabs>
          <w:tab w:val="left" w:pos="851"/>
        </w:tabs>
        <w:ind w:left="85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30"/>
        <w:gridCol w:w="2379"/>
        <w:gridCol w:w="1495"/>
        <w:gridCol w:w="1285"/>
        <w:gridCol w:w="2139"/>
      </w:tblGrid>
      <w:tr w:rsidR="00BD5BCD" w:rsidRPr="00CC40E1" w:rsidTr="00BD5BCD">
        <w:trPr>
          <w:cantSplit/>
          <w:tblHeader/>
        </w:trPr>
        <w:tc>
          <w:tcPr>
            <w:tcW w:w="0" w:type="auto"/>
            <w:tcBorders>
              <w:top w:val="single" w:sz="4" w:space="0" w:color="auto"/>
              <w:left w:val="single" w:sz="4" w:space="0" w:color="auto"/>
              <w:bottom w:val="single" w:sz="4" w:space="0" w:color="auto"/>
              <w:right w:val="single" w:sz="4" w:space="0" w:color="auto"/>
            </w:tcBorders>
            <w:hideMark/>
          </w:tcPr>
          <w:p w:rsidR="00BD5BCD" w:rsidRPr="00CC40E1" w:rsidRDefault="00BD5BCD" w:rsidP="00CC40E1">
            <w:pPr>
              <w:ind w:left="62"/>
              <w:rPr>
                <w:b/>
                <w:bCs/>
                <w:sz w:val="20"/>
                <w:lang w:val="fr-LU"/>
              </w:rPr>
            </w:pPr>
            <w:r w:rsidRPr="00CC40E1">
              <w:rPr>
                <w:b/>
                <w:bCs/>
                <w:sz w:val="20"/>
                <w:lang w:val="fr-LU"/>
              </w:rPr>
              <w:t>Organklasse (MedRA)*</w:t>
            </w:r>
          </w:p>
        </w:tc>
        <w:tc>
          <w:tcPr>
            <w:tcW w:w="0" w:type="auto"/>
            <w:gridSpan w:val="4"/>
            <w:tcBorders>
              <w:top w:val="single" w:sz="4" w:space="0" w:color="auto"/>
              <w:left w:val="single" w:sz="4" w:space="0" w:color="auto"/>
              <w:bottom w:val="single" w:sz="4" w:space="0" w:color="auto"/>
              <w:right w:val="single" w:sz="4" w:space="0" w:color="auto"/>
            </w:tcBorders>
            <w:hideMark/>
          </w:tcPr>
          <w:p w:rsidR="00BD5BCD" w:rsidRPr="00CC40E1" w:rsidRDefault="00BD5BCD" w:rsidP="00CC40E1">
            <w:pPr>
              <w:ind w:left="83"/>
              <w:rPr>
                <w:b/>
                <w:bCs/>
                <w:sz w:val="20"/>
                <w:lang w:val="fr-LU"/>
              </w:rPr>
            </w:pPr>
            <w:r w:rsidRPr="00CC40E1">
              <w:rPr>
                <w:b/>
                <w:bCs/>
                <w:sz w:val="20"/>
                <w:lang w:val="fr-LU"/>
              </w:rPr>
              <w:t>Frekvens af bivirkninger</w:t>
            </w:r>
          </w:p>
        </w:tc>
      </w:tr>
      <w:tr w:rsidR="00BD5BCD" w:rsidRPr="00CC40E1" w:rsidTr="00BD5BCD">
        <w:trPr>
          <w:trHeight w:val="229"/>
          <w:tblHeader/>
        </w:trPr>
        <w:tc>
          <w:tcPr>
            <w:tcW w:w="0" w:type="auto"/>
            <w:tcBorders>
              <w:top w:val="single" w:sz="4" w:space="0" w:color="auto"/>
              <w:left w:val="single" w:sz="4" w:space="0" w:color="auto"/>
              <w:bottom w:val="single" w:sz="4" w:space="0" w:color="auto"/>
              <w:right w:val="single" w:sz="4" w:space="0" w:color="auto"/>
            </w:tcBorders>
          </w:tcPr>
          <w:p w:rsidR="00BD5BCD" w:rsidRPr="00CC40E1" w:rsidRDefault="00BD5BCD" w:rsidP="00CC40E1">
            <w:pPr>
              <w:ind w:left="62"/>
              <w:rPr>
                <w:b/>
                <w:bCs/>
                <w:sz w:val="20"/>
                <w:lang w:val="fr-LU"/>
              </w:rPr>
            </w:pPr>
          </w:p>
        </w:tc>
        <w:tc>
          <w:tcPr>
            <w:tcW w:w="0" w:type="auto"/>
            <w:tcBorders>
              <w:top w:val="single" w:sz="4" w:space="0" w:color="auto"/>
              <w:left w:val="single" w:sz="4" w:space="0" w:color="auto"/>
              <w:bottom w:val="single" w:sz="4" w:space="0" w:color="auto"/>
              <w:right w:val="single" w:sz="4" w:space="0" w:color="auto"/>
            </w:tcBorders>
            <w:hideMark/>
          </w:tcPr>
          <w:p w:rsidR="00BD5BCD" w:rsidRPr="00CC40E1" w:rsidRDefault="00BD5BCD" w:rsidP="00CC40E1">
            <w:pPr>
              <w:ind w:left="83"/>
              <w:rPr>
                <w:b/>
                <w:bCs/>
                <w:sz w:val="20"/>
                <w:lang w:val="fr-LU"/>
              </w:rPr>
            </w:pPr>
            <w:r w:rsidRPr="00CC40E1">
              <w:rPr>
                <w:b/>
                <w:bCs/>
                <w:sz w:val="20"/>
                <w:lang w:val="fr-LU"/>
              </w:rPr>
              <w:t>Almindelig</w:t>
            </w:r>
          </w:p>
        </w:tc>
        <w:tc>
          <w:tcPr>
            <w:tcW w:w="0" w:type="auto"/>
            <w:tcBorders>
              <w:top w:val="single" w:sz="4" w:space="0" w:color="auto"/>
              <w:left w:val="single" w:sz="4" w:space="0" w:color="auto"/>
              <w:bottom w:val="single" w:sz="4" w:space="0" w:color="auto"/>
              <w:right w:val="single" w:sz="4" w:space="0" w:color="auto"/>
            </w:tcBorders>
            <w:hideMark/>
          </w:tcPr>
          <w:p w:rsidR="00BD5BCD" w:rsidRPr="00CC40E1" w:rsidRDefault="00BD5BCD" w:rsidP="00CC40E1">
            <w:pPr>
              <w:tabs>
                <w:tab w:val="left" w:pos="851"/>
              </w:tabs>
              <w:ind w:left="83"/>
              <w:rPr>
                <w:b/>
                <w:bCs/>
                <w:sz w:val="20"/>
                <w:lang w:val="fr-LU"/>
              </w:rPr>
            </w:pPr>
            <w:r w:rsidRPr="00CC40E1">
              <w:rPr>
                <w:b/>
                <w:bCs/>
                <w:sz w:val="20"/>
                <w:lang w:val="fr-LU"/>
              </w:rPr>
              <w:t>Ikke almindelig</w:t>
            </w:r>
          </w:p>
        </w:tc>
        <w:tc>
          <w:tcPr>
            <w:tcW w:w="0" w:type="auto"/>
            <w:tcBorders>
              <w:top w:val="single" w:sz="4" w:space="0" w:color="auto"/>
              <w:left w:val="single" w:sz="4" w:space="0" w:color="auto"/>
              <w:bottom w:val="single" w:sz="4" w:space="0" w:color="auto"/>
              <w:right w:val="single" w:sz="4" w:space="0" w:color="auto"/>
            </w:tcBorders>
            <w:hideMark/>
          </w:tcPr>
          <w:p w:rsidR="00BD5BCD" w:rsidRPr="00CC40E1" w:rsidRDefault="00BD5BCD" w:rsidP="00CC40E1">
            <w:pPr>
              <w:tabs>
                <w:tab w:val="left" w:pos="851"/>
              </w:tabs>
              <w:ind w:left="83"/>
              <w:rPr>
                <w:b/>
                <w:bCs/>
                <w:sz w:val="20"/>
                <w:lang w:val="fr-LU"/>
              </w:rPr>
            </w:pPr>
            <w:r w:rsidRPr="00CC40E1">
              <w:rPr>
                <w:b/>
                <w:bCs/>
                <w:sz w:val="20"/>
                <w:lang w:val="fr-LU"/>
              </w:rPr>
              <w:t>Sjælden</w:t>
            </w:r>
          </w:p>
        </w:tc>
        <w:tc>
          <w:tcPr>
            <w:tcW w:w="0" w:type="auto"/>
            <w:tcBorders>
              <w:top w:val="single" w:sz="4" w:space="0" w:color="auto"/>
              <w:left w:val="single" w:sz="4" w:space="0" w:color="auto"/>
              <w:bottom w:val="single" w:sz="4" w:space="0" w:color="auto"/>
              <w:right w:val="single" w:sz="4" w:space="0" w:color="auto"/>
            </w:tcBorders>
            <w:hideMark/>
          </w:tcPr>
          <w:p w:rsidR="00BD5BCD" w:rsidRPr="00CC40E1" w:rsidRDefault="00BD5BCD" w:rsidP="00CC40E1">
            <w:pPr>
              <w:tabs>
                <w:tab w:val="left" w:pos="851"/>
              </w:tabs>
              <w:ind w:left="83"/>
              <w:rPr>
                <w:b/>
                <w:bCs/>
                <w:sz w:val="20"/>
                <w:lang w:val="fr-LU"/>
              </w:rPr>
            </w:pPr>
            <w:r w:rsidRPr="00CC40E1">
              <w:rPr>
                <w:b/>
                <w:bCs/>
                <w:sz w:val="20"/>
                <w:lang w:val="fr-LU"/>
              </w:rPr>
              <w:t>Ikke kendt</w:t>
            </w:r>
          </w:p>
        </w:tc>
      </w:tr>
      <w:tr w:rsidR="00BD5BCD" w:rsidRPr="00CC40E1" w:rsidTr="00BD5BCD">
        <w:trPr>
          <w:trHeight w:val="390"/>
        </w:trPr>
        <w:tc>
          <w:tcPr>
            <w:tcW w:w="0" w:type="auto"/>
            <w:tcBorders>
              <w:top w:val="single" w:sz="4" w:space="0" w:color="auto"/>
              <w:left w:val="single" w:sz="4" w:space="0" w:color="auto"/>
              <w:bottom w:val="single" w:sz="4" w:space="0" w:color="auto"/>
              <w:right w:val="single" w:sz="4" w:space="0" w:color="auto"/>
            </w:tcBorders>
            <w:hideMark/>
          </w:tcPr>
          <w:p w:rsidR="00BD5BCD" w:rsidRPr="00CC40E1" w:rsidRDefault="00BD5BCD" w:rsidP="00CC40E1">
            <w:pPr>
              <w:ind w:left="62"/>
              <w:rPr>
                <w:sz w:val="20"/>
                <w:lang w:val="fr-LU"/>
              </w:rPr>
            </w:pPr>
            <w:r w:rsidRPr="00CC40E1">
              <w:rPr>
                <w:sz w:val="20"/>
                <w:lang w:val="fr-LU"/>
              </w:rPr>
              <w:t>Infektioner og parasitære sygdomme</w:t>
            </w:r>
          </w:p>
        </w:tc>
        <w:tc>
          <w:tcPr>
            <w:tcW w:w="0" w:type="auto"/>
            <w:tcBorders>
              <w:top w:val="single" w:sz="4" w:space="0" w:color="auto"/>
              <w:left w:val="single" w:sz="4" w:space="0" w:color="auto"/>
              <w:bottom w:val="single" w:sz="4" w:space="0" w:color="auto"/>
              <w:right w:val="single" w:sz="4" w:space="0" w:color="auto"/>
            </w:tcBorders>
          </w:tcPr>
          <w:p w:rsidR="00BD5BCD" w:rsidRPr="00CC40E1" w:rsidRDefault="00BD5BCD" w:rsidP="00CC40E1">
            <w:pPr>
              <w:ind w:left="83"/>
              <w:rPr>
                <w:sz w:val="20"/>
                <w:lang w:val="fr-LU"/>
              </w:rPr>
            </w:pPr>
          </w:p>
        </w:tc>
        <w:tc>
          <w:tcPr>
            <w:tcW w:w="0" w:type="auto"/>
            <w:tcBorders>
              <w:top w:val="single" w:sz="4" w:space="0" w:color="auto"/>
              <w:left w:val="single" w:sz="4" w:space="0" w:color="auto"/>
              <w:bottom w:val="single" w:sz="4" w:space="0" w:color="auto"/>
              <w:right w:val="single" w:sz="4" w:space="0" w:color="auto"/>
            </w:tcBorders>
            <w:hideMark/>
          </w:tcPr>
          <w:p w:rsidR="00BD5BCD" w:rsidRPr="00CC40E1" w:rsidRDefault="00BD5BCD" w:rsidP="00CC40E1">
            <w:pPr>
              <w:tabs>
                <w:tab w:val="left" w:pos="851"/>
              </w:tabs>
              <w:ind w:left="83"/>
              <w:rPr>
                <w:sz w:val="20"/>
                <w:lang w:val="fr-LU"/>
              </w:rPr>
            </w:pPr>
            <w:r w:rsidRPr="00CC40E1">
              <w:rPr>
                <w:sz w:val="20"/>
                <w:lang w:val="fr-LU"/>
              </w:rPr>
              <w:t>Vaginal infektion</w:t>
            </w:r>
          </w:p>
        </w:tc>
        <w:tc>
          <w:tcPr>
            <w:tcW w:w="0" w:type="auto"/>
            <w:tcBorders>
              <w:top w:val="single" w:sz="4" w:space="0" w:color="auto"/>
              <w:left w:val="single" w:sz="4" w:space="0" w:color="auto"/>
              <w:bottom w:val="single" w:sz="4" w:space="0" w:color="auto"/>
              <w:right w:val="single" w:sz="4" w:space="0" w:color="auto"/>
            </w:tcBorders>
          </w:tcPr>
          <w:p w:rsidR="00BD5BCD" w:rsidRPr="00CC40E1" w:rsidRDefault="00BD5BCD" w:rsidP="00CC40E1">
            <w:pPr>
              <w:tabs>
                <w:tab w:val="left" w:pos="851"/>
              </w:tabs>
              <w:ind w:left="83"/>
              <w:rPr>
                <w:sz w:val="20"/>
                <w:lang w:val="fr-LU"/>
              </w:rPr>
            </w:pPr>
          </w:p>
        </w:tc>
        <w:tc>
          <w:tcPr>
            <w:tcW w:w="0" w:type="auto"/>
            <w:tcBorders>
              <w:top w:val="single" w:sz="4" w:space="0" w:color="auto"/>
              <w:left w:val="single" w:sz="4" w:space="0" w:color="auto"/>
              <w:bottom w:val="single" w:sz="4" w:space="0" w:color="auto"/>
              <w:right w:val="single" w:sz="4" w:space="0" w:color="auto"/>
            </w:tcBorders>
          </w:tcPr>
          <w:p w:rsidR="00BD5BCD" w:rsidRPr="00CC40E1" w:rsidRDefault="00BD5BCD" w:rsidP="00CC40E1">
            <w:pPr>
              <w:tabs>
                <w:tab w:val="left" w:pos="851"/>
              </w:tabs>
              <w:ind w:left="83"/>
              <w:rPr>
                <w:sz w:val="20"/>
                <w:lang w:val="fr-LU"/>
              </w:rPr>
            </w:pPr>
          </w:p>
        </w:tc>
      </w:tr>
      <w:tr w:rsidR="00BD5BCD" w:rsidRPr="00CC40E1" w:rsidTr="00BD5BCD">
        <w:tc>
          <w:tcPr>
            <w:tcW w:w="0" w:type="auto"/>
            <w:tcBorders>
              <w:top w:val="single" w:sz="4" w:space="0" w:color="auto"/>
              <w:left w:val="single" w:sz="4" w:space="0" w:color="auto"/>
              <w:bottom w:val="single" w:sz="4" w:space="0" w:color="auto"/>
              <w:right w:val="single" w:sz="4" w:space="0" w:color="auto"/>
            </w:tcBorders>
            <w:hideMark/>
          </w:tcPr>
          <w:p w:rsidR="00BD5BCD" w:rsidRPr="00CC40E1" w:rsidRDefault="00BD5BCD" w:rsidP="00CC40E1">
            <w:pPr>
              <w:ind w:left="62"/>
              <w:rPr>
                <w:sz w:val="20"/>
                <w:lang w:val="fr-LU"/>
              </w:rPr>
            </w:pPr>
            <w:r w:rsidRPr="00CC40E1">
              <w:rPr>
                <w:sz w:val="20"/>
                <w:lang w:val="fr-LU"/>
              </w:rPr>
              <w:t>Immunsystemet</w:t>
            </w:r>
          </w:p>
        </w:tc>
        <w:tc>
          <w:tcPr>
            <w:tcW w:w="0" w:type="auto"/>
            <w:tcBorders>
              <w:top w:val="single" w:sz="4" w:space="0" w:color="auto"/>
              <w:left w:val="single" w:sz="4" w:space="0" w:color="auto"/>
              <w:bottom w:val="single" w:sz="4" w:space="0" w:color="auto"/>
              <w:right w:val="single" w:sz="4" w:space="0" w:color="auto"/>
            </w:tcBorders>
          </w:tcPr>
          <w:p w:rsidR="00BD5BCD" w:rsidRPr="00CC40E1" w:rsidRDefault="00BD5BCD" w:rsidP="00CC40E1">
            <w:pPr>
              <w:ind w:left="83"/>
              <w:rPr>
                <w:sz w:val="20"/>
                <w:lang w:val="fr-LU"/>
              </w:rPr>
            </w:pPr>
          </w:p>
        </w:tc>
        <w:tc>
          <w:tcPr>
            <w:tcW w:w="0" w:type="auto"/>
            <w:tcBorders>
              <w:top w:val="single" w:sz="4" w:space="0" w:color="auto"/>
              <w:left w:val="single" w:sz="4" w:space="0" w:color="auto"/>
              <w:bottom w:val="single" w:sz="4" w:space="0" w:color="auto"/>
              <w:right w:val="single" w:sz="4" w:space="0" w:color="auto"/>
            </w:tcBorders>
          </w:tcPr>
          <w:p w:rsidR="00BD5BCD" w:rsidRPr="00CC40E1" w:rsidRDefault="00BD5BCD" w:rsidP="00CC40E1">
            <w:pPr>
              <w:tabs>
                <w:tab w:val="left" w:pos="851"/>
              </w:tabs>
              <w:ind w:left="83"/>
              <w:rPr>
                <w:sz w:val="20"/>
                <w:lang w:val="fr-LU"/>
              </w:rPr>
            </w:pPr>
          </w:p>
        </w:tc>
        <w:tc>
          <w:tcPr>
            <w:tcW w:w="0" w:type="auto"/>
            <w:tcBorders>
              <w:top w:val="single" w:sz="4" w:space="0" w:color="auto"/>
              <w:left w:val="single" w:sz="4" w:space="0" w:color="auto"/>
              <w:bottom w:val="single" w:sz="4" w:space="0" w:color="auto"/>
              <w:right w:val="single" w:sz="4" w:space="0" w:color="auto"/>
            </w:tcBorders>
          </w:tcPr>
          <w:p w:rsidR="00BD5BCD" w:rsidRPr="00CC40E1" w:rsidRDefault="00BD5BCD" w:rsidP="00CC40E1">
            <w:pPr>
              <w:tabs>
                <w:tab w:val="left" w:pos="851"/>
              </w:tabs>
              <w:ind w:left="83"/>
              <w:rPr>
                <w:sz w:val="20"/>
                <w:lang w:val="fr-LU"/>
              </w:rPr>
            </w:pPr>
          </w:p>
        </w:tc>
        <w:tc>
          <w:tcPr>
            <w:tcW w:w="0" w:type="auto"/>
            <w:tcBorders>
              <w:top w:val="single" w:sz="4" w:space="0" w:color="auto"/>
              <w:left w:val="single" w:sz="4" w:space="0" w:color="auto"/>
              <w:bottom w:val="single" w:sz="4" w:space="0" w:color="auto"/>
              <w:right w:val="single" w:sz="4" w:space="0" w:color="auto"/>
            </w:tcBorders>
            <w:hideMark/>
          </w:tcPr>
          <w:p w:rsidR="00BD5BCD" w:rsidRPr="00CC40E1" w:rsidRDefault="00BD5BCD" w:rsidP="00CC40E1">
            <w:pPr>
              <w:tabs>
                <w:tab w:val="left" w:pos="851"/>
              </w:tabs>
              <w:ind w:left="83"/>
              <w:rPr>
                <w:sz w:val="20"/>
                <w:lang w:val="fr-LU"/>
              </w:rPr>
            </w:pPr>
            <w:r w:rsidRPr="00CC40E1">
              <w:rPr>
                <w:sz w:val="20"/>
                <w:lang w:val="fr-LU"/>
              </w:rPr>
              <w:t>Overfølsomheds-reaktioner, herunder angioødem og anafylaksi</w:t>
            </w:r>
          </w:p>
        </w:tc>
      </w:tr>
      <w:tr w:rsidR="00BD5BCD" w:rsidRPr="00CC40E1" w:rsidTr="00BD5BCD">
        <w:tc>
          <w:tcPr>
            <w:tcW w:w="0" w:type="auto"/>
            <w:tcBorders>
              <w:top w:val="single" w:sz="4" w:space="0" w:color="auto"/>
              <w:left w:val="single" w:sz="4" w:space="0" w:color="auto"/>
              <w:bottom w:val="single" w:sz="4" w:space="0" w:color="auto"/>
              <w:right w:val="single" w:sz="4" w:space="0" w:color="auto"/>
            </w:tcBorders>
            <w:hideMark/>
          </w:tcPr>
          <w:p w:rsidR="00BD5BCD" w:rsidRPr="00CC40E1" w:rsidRDefault="00BD5BCD" w:rsidP="00CC40E1">
            <w:pPr>
              <w:ind w:left="62"/>
              <w:rPr>
                <w:sz w:val="20"/>
                <w:lang w:val="fr-LU"/>
              </w:rPr>
            </w:pPr>
            <w:r w:rsidRPr="00CC40E1">
              <w:rPr>
                <w:sz w:val="20"/>
                <w:lang w:val="fr-LU"/>
              </w:rPr>
              <w:t>Psykiske forstyrrelser</w:t>
            </w:r>
          </w:p>
        </w:tc>
        <w:tc>
          <w:tcPr>
            <w:tcW w:w="0" w:type="auto"/>
            <w:tcBorders>
              <w:top w:val="single" w:sz="4" w:space="0" w:color="auto"/>
              <w:left w:val="single" w:sz="4" w:space="0" w:color="auto"/>
              <w:bottom w:val="single" w:sz="4" w:space="0" w:color="auto"/>
              <w:right w:val="single" w:sz="4" w:space="0" w:color="auto"/>
            </w:tcBorders>
            <w:hideMark/>
          </w:tcPr>
          <w:p w:rsidR="00BD5BCD" w:rsidRPr="00CC40E1" w:rsidRDefault="00BD5BCD" w:rsidP="00CC40E1">
            <w:pPr>
              <w:ind w:left="83"/>
              <w:rPr>
                <w:sz w:val="20"/>
                <w:lang w:val="fr-LU"/>
              </w:rPr>
            </w:pPr>
            <w:r w:rsidRPr="00CC40E1">
              <w:rPr>
                <w:sz w:val="20"/>
                <w:lang w:val="fr-LU"/>
              </w:rPr>
              <w:t>Humørændringer,</w:t>
            </w:r>
          </w:p>
          <w:p w:rsidR="00BD5BCD" w:rsidRPr="00CC40E1" w:rsidRDefault="00BD5BCD" w:rsidP="00CC40E1">
            <w:pPr>
              <w:ind w:left="83"/>
              <w:rPr>
                <w:sz w:val="20"/>
                <w:lang w:val="fr-LU"/>
              </w:rPr>
            </w:pPr>
            <w:r w:rsidRPr="00CC40E1">
              <w:rPr>
                <w:sz w:val="20"/>
                <w:lang w:val="fr-LU"/>
              </w:rPr>
              <w:t>depression,</w:t>
            </w:r>
          </w:p>
          <w:p w:rsidR="00BD5BCD" w:rsidRPr="00CC40E1" w:rsidRDefault="00BD5BCD" w:rsidP="00CC40E1">
            <w:pPr>
              <w:ind w:left="83"/>
              <w:rPr>
                <w:sz w:val="20"/>
                <w:lang w:val="fr-LU"/>
              </w:rPr>
            </w:pPr>
            <w:r w:rsidRPr="00CC40E1">
              <w:rPr>
                <w:sz w:val="20"/>
                <w:lang w:val="fr-LU"/>
              </w:rPr>
              <w:t>nedsat libido</w:t>
            </w:r>
          </w:p>
        </w:tc>
        <w:tc>
          <w:tcPr>
            <w:tcW w:w="0" w:type="auto"/>
            <w:tcBorders>
              <w:top w:val="single" w:sz="4" w:space="0" w:color="auto"/>
              <w:left w:val="single" w:sz="4" w:space="0" w:color="auto"/>
              <w:bottom w:val="single" w:sz="4" w:space="0" w:color="auto"/>
              <w:right w:val="single" w:sz="4" w:space="0" w:color="auto"/>
            </w:tcBorders>
          </w:tcPr>
          <w:p w:rsidR="00BD5BCD" w:rsidRPr="00CC40E1" w:rsidRDefault="00BD5BCD" w:rsidP="00CC40E1">
            <w:pPr>
              <w:tabs>
                <w:tab w:val="left" w:pos="851"/>
              </w:tabs>
              <w:ind w:left="83"/>
              <w:rPr>
                <w:sz w:val="20"/>
                <w:lang w:val="fr-LU"/>
              </w:rPr>
            </w:pPr>
          </w:p>
        </w:tc>
        <w:tc>
          <w:tcPr>
            <w:tcW w:w="0" w:type="auto"/>
            <w:tcBorders>
              <w:top w:val="single" w:sz="4" w:space="0" w:color="auto"/>
              <w:left w:val="single" w:sz="4" w:space="0" w:color="auto"/>
              <w:bottom w:val="single" w:sz="4" w:space="0" w:color="auto"/>
              <w:right w:val="single" w:sz="4" w:space="0" w:color="auto"/>
            </w:tcBorders>
          </w:tcPr>
          <w:p w:rsidR="00BD5BCD" w:rsidRPr="00CC40E1" w:rsidRDefault="00BD5BCD" w:rsidP="00CC40E1">
            <w:pPr>
              <w:tabs>
                <w:tab w:val="left" w:pos="851"/>
              </w:tabs>
              <w:ind w:left="83"/>
              <w:rPr>
                <w:sz w:val="20"/>
                <w:lang w:val="fr-LU"/>
              </w:rPr>
            </w:pPr>
          </w:p>
        </w:tc>
        <w:tc>
          <w:tcPr>
            <w:tcW w:w="0" w:type="auto"/>
            <w:tcBorders>
              <w:top w:val="single" w:sz="4" w:space="0" w:color="auto"/>
              <w:left w:val="single" w:sz="4" w:space="0" w:color="auto"/>
              <w:bottom w:val="single" w:sz="4" w:space="0" w:color="auto"/>
              <w:right w:val="single" w:sz="4" w:space="0" w:color="auto"/>
            </w:tcBorders>
          </w:tcPr>
          <w:p w:rsidR="00BD5BCD" w:rsidRPr="00CC40E1" w:rsidRDefault="00BD5BCD" w:rsidP="00CC40E1">
            <w:pPr>
              <w:tabs>
                <w:tab w:val="left" w:pos="851"/>
              </w:tabs>
              <w:ind w:left="83"/>
              <w:rPr>
                <w:sz w:val="20"/>
                <w:lang w:val="fr-LU"/>
              </w:rPr>
            </w:pPr>
          </w:p>
        </w:tc>
      </w:tr>
      <w:tr w:rsidR="00BD5BCD" w:rsidRPr="00CC40E1" w:rsidTr="00BD5BCD">
        <w:tc>
          <w:tcPr>
            <w:tcW w:w="0" w:type="auto"/>
            <w:tcBorders>
              <w:top w:val="single" w:sz="4" w:space="0" w:color="auto"/>
              <w:left w:val="single" w:sz="4" w:space="0" w:color="auto"/>
              <w:bottom w:val="single" w:sz="4" w:space="0" w:color="auto"/>
              <w:right w:val="single" w:sz="4" w:space="0" w:color="auto"/>
            </w:tcBorders>
            <w:hideMark/>
          </w:tcPr>
          <w:p w:rsidR="00BD5BCD" w:rsidRPr="00CC40E1" w:rsidRDefault="00BD5BCD" w:rsidP="00CC40E1">
            <w:pPr>
              <w:ind w:left="62"/>
              <w:rPr>
                <w:sz w:val="20"/>
                <w:lang w:val="fr-LU"/>
              </w:rPr>
            </w:pPr>
            <w:r w:rsidRPr="00CC40E1">
              <w:rPr>
                <w:sz w:val="20"/>
                <w:lang w:val="fr-LU"/>
              </w:rPr>
              <w:t>Nervesystemet</w:t>
            </w:r>
          </w:p>
        </w:tc>
        <w:tc>
          <w:tcPr>
            <w:tcW w:w="0" w:type="auto"/>
            <w:tcBorders>
              <w:top w:val="single" w:sz="4" w:space="0" w:color="auto"/>
              <w:left w:val="single" w:sz="4" w:space="0" w:color="auto"/>
              <w:bottom w:val="single" w:sz="4" w:space="0" w:color="auto"/>
              <w:right w:val="single" w:sz="4" w:space="0" w:color="auto"/>
            </w:tcBorders>
            <w:hideMark/>
          </w:tcPr>
          <w:p w:rsidR="00BD5BCD" w:rsidRPr="00CC40E1" w:rsidRDefault="00BD5BCD" w:rsidP="00CC40E1">
            <w:pPr>
              <w:ind w:left="83"/>
              <w:rPr>
                <w:sz w:val="20"/>
                <w:lang w:val="fr-LU"/>
              </w:rPr>
            </w:pPr>
            <w:r w:rsidRPr="00CC40E1">
              <w:rPr>
                <w:sz w:val="20"/>
                <w:lang w:val="fr-LU"/>
              </w:rPr>
              <w:t>Hovedpine</w:t>
            </w:r>
          </w:p>
        </w:tc>
        <w:tc>
          <w:tcPr>
            <w:tcW w:w="0" w:type="auto"/>
            <w:tcBorders>
              <w:top w:val="single" w:sz="4" w:space="0" w:color="auto"/>
              <w:left w:val="single" w:sz="4" w:space="0" w:color="auto"/>
              <w:bottom w:val="single" w:sz="4" w:space="0" w:color="auto"/>
              <w:right w:val="single" w:sz="4" w:space="0" w:color="auto"/>
            </w:tcBorders>
          </w:tcPr>
          <w:p w:rsidR="00BD5BCD" w:rsidRPr="00CC40E1" w:rsidRDefault="00BD5BCD" w:rsidP="00CC40E1">
            <w:pPr>
              <w:tabs>
                <w:tab w:val="left" w:pos="851"/>
              </w:tabs>
              <w:ind w:left="83"/>
              <w:rPr>
                <w:sz w:val="20"/>
                <w:lang w:val="fr-LU"/>
              </w:rPr>
            </w:pPr>
          </w:p>
        </w:tc>
        <w:tc>
          <w:tcPr>
            <w:tcW w:w="0" w:type="auto"/>
            <w:tcBorders>
              <w:top w:val="single" w:sz="4" w:space="0" w:color="auto"/>
              <w:left w:val="single" w:sz="4" w:space="0" w:color="auto"/>
              <w:bottom w:val="single" w:sz="4" w:space="0" w:color="auto"/>
              <w:right w:val="single" w:sz="4" w:space="0" w:color="auto"/>
            </w:tcBorders>
          </w:tcPr>
          <w:p w:rsidR="00BD5BCD" w:rsidRPr="00CC40E1" w:rsidRDefault="00BD5BCD" w:rsidP="00CC40E1">
            <w:pPr>
              <w:tabs>
                <w:tab w:val="left" w:pos="851"/>
              </w:tabs>
              <w:ind w:left="83"/>
              <w:rPr>
                <w:sz w:val="20"/>
                <w:lang w:val="fr-LU"/>
              </w:rPr>
            </w:pPr>
          </w:p>
        </w:tc>
        <w:tc>
          <w:tcPr>
            <w:tcW w:w="0" w:type="auto"/>
            <w:tcBorders>
              <w:top w:val="single" w:sz="4" w:space="0" w:color="auto"/>
              <w:left w:val="single" w:sz="4" w:space="0" w:color="auto"/>
              <w:bottom w:val="single" w:sz="4" w:space="0" w:color="auto"/>
              <w:right w:val="single" w:sz="4" w:space="0" w:color="auto"/>
            </w:tcBorders>
          </w:tcPr>
          <w:p w:rsidR="00BD5BCD" w:rsidRPr="00CC40E1" w:rsidRDefault="00BD5BCD" w:rsidP="00CC40E1">
            <w:pPr>
              <w:tabs>
                <w:tab w:val="left" w:pos="851"/>
              </w:tabs>
              <w:ind w:left="83"/>
              <w:rPr>
                <w:sz w:val="20"/>
                <w:lang w:val="fr-LU"/>
              </w:rPr>
            </w:pPr>
          </w:p>
        </w:tc>
      </w:tr>
      <w:tr w:rsidR="00BD5BCD" w:rsidRPr="00CC40E1" w:rsidTr="00BD5BCD">
        <w:tc>
          <w:tcPr>
            <w:tcW w:w="0" w:type="auto"/>
            <w:tcBorders>
              <w:top w:val="single" w:sz="4" w:space="0" w:color="auto"/>
              <w:left w:val="single" w:sz="4" w:space="0" w:color="auto"/>
              <w:bottom w:val="single" w:sz="4" w:space="0" w:color="auto"/>
              <w:right w:val="single" w:sz="4" w:space="0" w:color="auto"/>
            </w:tcBorders>
            <w:hideMark/>
          </w:tcPr>
          <w:p w:rsidR="00BD5BCD" w:rsidRPr="00CC40E1" w:rsidRDefault="00BD5BCD" w:rsidP="00CC40E1">
            <w:pPr>
              <w:ind w:left="62"/>
              <w:rPr>
                <w:sz w:val="20"/>
                <w:lang w:val="fr-LU"/>
              </w:rPr>
            </w:pPr>
            <w:r w:rsidRPr="00CC40E1">
              <w:rPr>
                <w:sz w:val="20"/>
                <w:lang w:val="fr-LU"/>
              </w:rPr>
              <w:t>Øjne</w:t>
            </w:r>
          </w:p>
        </w:tc>
        <w:tc>
          <w:tcPr>
            <w:tcW w:w="0" w:type="auto"/>
            <w:tcBorders>
              <w:top w:val="single" w:sz="4" w:space="0" w:color="auto"/>
              <w:left w:val="single" w:sz="4" w:space="0" w:color="auto"/>
              <w:bottom w:val="single" w:sz="4" w:space="0" w:color="auto"/>
              <w:right w:val="single" w:sz="4" w:space="0" w:color="auto"/>
            </w:tcBorders>
          </w:tcPr>
          <w:p w:rsidR="00BD5BCD" w:rsidRPr="00CC40E1" w:rsidRDefault="00BD5BCD" w:rsidP="00CC40E1">
            <w:pPr>
              <w:ind w:left="83"/>
              <w:rPr>
                <w:sz w:val="20"/>
                <w:lang w:val="fr-LU"/>
              </w:rPr>
            </w:pPr>
          </w:p>
        </w:tc>
        <w:tc>
          <w:tcPr>
            <w:tcW w:w="0" w:type="auto"/>
            <w:tcBorders>
              <w:top w:val="single" w:sz="4" w:space="0" w:color="auto"/>
              <w:left w:val="single" w:sz="4" w:space="0" w:color="auto"/>
              <w:bottom w:val="single" w:sz="4" w:space="0" w:color="auto"/>
              <w:right w:val="single" w:sz="4" w:space="0" w:color="auto"/>
            </w:tcBorders>
            <w:hideMark/>
          </w:tcPr>
          <w:p w:rsidR="00BD5BCD" w:rsidRPr="00CC40E1" w:rsidRDefault="00BD5BCD" w:rsidP="00CC40E1">
            <w:pPr>
              <w:tabs>
                <w:tab w:val="left" w:pos="851"/>
              </w:tabs>
              <w:ind w:left="83"/>
              <w:rPr>
                <w:sz w:val="20"/>
                <w:lang w:val="fr-LU"/>
              </w:rPr>
            </w:pPr>
            <w:r w:rsidRPr="00CC40E1">
              <w:rPr>
                <w:sz w:val="20"/>
                <w:lang w:val="fr-LU"/>
              </w:rPr>
              <w:t>Intolerance overfor kontaktlinser</w:t>
            </w:r>
          </w:p>
        </w:tc>
        <w:tc>
          <w:tcPr>
            <w:tcW w:w="0" w:type="auto"/>
            <w:tcBorders>
              <w:top w:val="single" w:sz="4" w:space="0" w:color="auto"/>
              <w:left w:val="single" w:sz="4" w:space="0" w:color="auto"/>
              <w:bottom w:val="single" w:sz="4" w:space="0" w:color="auto"/>
              <w:right w:val="single" w:sz="4" w:space="0" w:color="auto"/>
            </w:tcBorders>
          </w:tcPr>
          <w:p w:rsidR="00BD5BCD" w:rsidRPr="00CC40E1" w:rsidRDefault="00BD5BCD" w:rsidP="00CC40E1">
            <w:pPr>
              <w:tabs>
                <w:tab w:val="left" w:pos="851"/>
              </w:tabs>
              <w:ind w:left="83"/>
              <w:rPr>
                <w:sz w:val="20"/>
                <w:lang w:val="fr-LU"/>
              </w:rPr>
            </w:pPr>
          </w:p>
        </w:tc>
        <w:tc>
          <w:tcPr>
            <w:tcW w:w="0" w:type="auto"/>
            <w:tcBorders>
              <w:top w:val="single" w:sz="4" w:space="0" w:color="auto"/>
              <w:left w:val="single" w:sz="4" w:space="0" w:color="auto"/>
              <w:bottom w:val="single" w:sz="4" w:space="0" w:color="auto"/>
              <w:right w:val="single" w:sz="4" w:space="0" w:color="auto"/>
            </w:tcBorders>
          </w:tcPr>
          <w:p w:rsidR="00BD5BCD" w:rsidRPr="00CC40E1" w:rsidRDefault="00BD5BCD" w:rsidP="00CC40E1">
            <w:pPr>
              <w:tabs>
                <w:tab w:val="left" w:pos="851"/>
              </w:tabs>
              <w:ind w:left="83"/>
              <w:rPr>
                <w:sz w:val="20"/>
                <w:lang w:val="fr-LU"/>
              </w:rPr>
            </w:pPr>
          </w:p>
        </w:tc>
      </w:tr>
      <w:tr w:rsidR="00BD5BCD" w:rsidRPr="00CC40E1" w:rsidTr="00BD5BCD">
        <w:tc>
          <w:tcPr>
            <w:tcW w:w="0" w:type="auto"/>
            <w:tcBorders>
              <w:top w:val="single" w:sz="4" w:space="0" w:color="auto"/>
              <w:left w:val="single" w:sz="4" w:space="0" w:color="auto"/>
              <w:bottom w:val="single" w:sz="4" w:space="0" w:color="auto"/>
              <w:right w:val="single" w:sz="4" w:space="0" w:color="auto"/>
            </w:tcBorders>
            <w:hideMark/>
          </w:tcPr>
          <w:p w:rsidR="00BD5BCD" w:rsidRPr="00CC40E1" w:rsidRDefault="00BD5BCD" w:rsidP="00CC40E1">
            <w:pPr>
              <w:ind w:left="62"/>
              <w:rPr>
                <w:sz w:val="20"/>
                <w:lang w:val="fr-LU"/>
              </w:rPr>
            </w:pPr>
            <w:r w:rsidRPr="00CC40E1">
              <w:rPr>
                <w:sz w:val="20"/>
                <w:lang w:val="fr-LU"/>
              </w:rPr>
              <w:t>Mave-tarm-kanalen</w:t>
            </w:r>
          </w:p>
        </w:tc>
        <w:tc>
          <w:tcPr>
            <w:tcW w:w="0" w:type="auto"/>
            <w:tcBorders>
              <w:top w:val="single" w:sz="4" w:space="0" w:color="auto"/>
              <w:left w:val="single" w:sz="4" w:space="0" w:color="auto"/>
              <w:bottom w:val="single" w:sz="4" w:space="0" w:color="auto"/>
              <w:right w:val="single" w:sz="4" w:space="0" w:color="auto"/>
            </w:tcBorders>
            <w:hideMark/>
          </w:tcPr>
          <w:p w:rsidR="00BD5BCD" w:rsidRPr="00CC40E1" w:rsidRDefault="00BD5BCD" w:rsidP="00CC40E1">
            <w:pPr>
              <w:ind w:left="83"/>
              <w:rPr>
                <w:sz w:val="20"/>
                <w:lang w:val="fr-LU"/>
              </w:rPr>
            </w:pPr>
            <w:r w:rsidRPr="00CC40E1">
              <w:rPr>
                <w:sz w:val="20"/>
                <w:lang w:val="fr-LU"/>
              </w:rPr>
              <w:t>Kvalme</w:t>
            </w:r>
          </w:p>
        </w:tc>
        <w:tc>
          <w:tcPr>
            <w:tcW w:w="0" w:type="auto"/>
            <w:tcBorders>
              <w:top w:val="single" w:sz="4" w:space="0" w:color="auto"/>
              <w:left w:val="single" w:sz="4" w:space="0" w:color="auto"/>
              <w:bottom w:val="single" w:sz="4" w:space="0" w:color="auto"/>
              <w:right w:val="single" w:sz="4" w:space="0" w:color="auto"/>
            </w:tcBorders>
            <w:hideMark/>
          </w:tcPr>
          <w:p w:rsidR="00BD5BCD" w:rsidRPr="00CC40E1" w:rsidRDefault="00BD5BCD" w:rsidP="00CC40E1">
            <w:pPr>
              <w:tabs>
                <w:tab w:val="left" w:pos="851"/>
              </w:tabs>
              <w:ind w:left="83"/>
              <w:rPr>
                <w:sz w:val="20"/>
                <w:lang w:val="fr-LU"/>
              </w:rPr>
            </w:pPr>
            <w:r w:rsidRPr="00CC40E1">
              <w:rPr>
                <w:sz w:val="20"/>
                <w:lang w:val="fr-LU"/>
              </w:rPr>
              <w:t>Opkastning</w:t>
            </w:r>
          </w:p>
        </w:tc>
        <w:tc>
          <w:tcPr>
            <w:tcW w:w="0" w:type="auto"/>
            <w:tcBorders>
              <w:top w:val="single" w:sz="4" w:space="0" w:color="auto"/>
              <w:left w:val="single" w:sz="4" w:space="0" w:color="auto"/>
              <w:bottom w:val="single" w:sz="4" w:space="0" w:color="auto"/>
              <w:right w:val="single" w:sz="4" w:space="0" w:color="auto"/>
            </w:tcBorders>
          </w:tcPr>
          <w:p w:rsidR="00BD5BCD" w:rsidRPr="00CC40E1" w:rsidRDefault="00BD5BCD" w:rsidP="00CC40E1">
            <w:pPr>
              <w:tabs>
                <w:tab w:val="left" w:pos="851"/>
              </w:tabs>
              <w:ind w:left="83"/>
              <w:rPr>
                <w:sz w:val="20"/>
                <w:lang w:val="fr-LU"/>
              </w:rPr>
            </w:pPr>
          </w:p>
        </w:tc>
        <w:tc>
          <w:tcPr>
            <w:tcW w:w="0" w:type="auto"/>
            <w:tcBorders>
              <w:top w:val="single" w:sz="4" w:space="0" w:color="auto"/>
              <w:left w:val="single" w:sz="4" w:space="0" w:color="auto"/>
              <w:bottom w:val="single" w:sz="4" w:space="0" w:color="auto"/>
              <w:right w:val="single" w:sz="4" w:space="0" w:color="auto"/>
            </w:tcBorders>
          </w:tcPr>
          <w:p w:rsidR="00BD5BCD" w:rsidRPr="00CC40E1" w:rsidRDefault="00BD5BCD" w:rsidP="00CC40E1">
            <w:pPr>
              <w:tabs>
                <w:tab w:val="left" w:pos="851"/>
              </w:tabs>
              <w:ind w:left="83"/>
              <w:rPr>
                <w:sz w:val="20"/>
                <w:lang w:val="fr-LU"/>
              </w:rPr>
            </w:pPr>
          </w:p>
        </w:tc>
      </w:tr>
      <w:tr w:rsidR="00BD5BCD" w:rsidRPr="00CC40E1" w:rsidTr="00BD5BCD">
        <w:tc>
          <w:tcPr>
            <w:tcW w:w="0" w:type="auto"/>
            <w:tcBorders>
              <w:top w:val="single" w:sz="4" w:space="0" w:color="auto"/>
              <w:left w:val="single" w:sz="4" w:space="0" w:color="auto"/>
              <w:bottom w:val="single" w:sz="4" w:space="0" w:color="auto"/>
              <w:right w:val="single" w:sz="4" w:space="0" w:color="auto"/>
            </w:tcBorders>
            <w:hideMark/>
          </w:tcPr>
          <w:p w:rsidR="00BD5BCD" w:rsidRPr="00CC40E1" w:rsidRDefault="00BD5BCD" w:rsidP="00CC40E1">
            <w:pPr>
              <w:ind w:left="62"/>
              <w:rPr>
                <w:sz w:val="20"/>
                <w:lang w:val="fr-LU"/>
              </w:rPr>
            </w:pPr>
            <w:r w:rsidRPr="00CC40E1">
              <w:rPr>
                <w:sz w:val="20"/>
                <w:lang w:val="fr-LU"/>
              </w:rPr>
              <w:t>Hud og subkutane væv</w:t>
            </w:r>
          </w:p>
        </w:tc>
        <w:tc>
          <w:tcPr>
            <w:tcW w:w="0" w:type="auto"/>
            <w:tcBorders>
              <w:top w:val="single" w:sz="4" w:space="0" w:color="auto"/>
              <w:left w:val="single" w:sz="4" w:space="0" w:color="auto"/>
              <w:bottom w:val="single" w:sz="4" w:space="0" w:color="auto"/>
              <w:right w:val="single" w:sz="4" w:space="0" w:color="auto"/>
            </w:tcBorders>
            <w:hideMark/>
          </w:tcPr>
          <w:p w:rsidR="00BD5BCD" w:rsidRPr="00CC40E1" w:rsidRDefault="00BD5BCD" w:rsidP="00CC40E1">
            <w:pPr>
              <w:ind w:left="83"/>
              <w:rPr>
                <w:sz w:val="20"/>
                <w:lang w:val="fr-LU"/>
              </w:rPr>
            </w:pPr>
            <w:r w:rsidRPr="00CC40E1">
              <w:rPr>
                <w:sz w:val="20"/>
                <w:lang w:val="fr-LU"/>
              </w:rPr>
              <w:t>Akne</w:t>
            </w:r>
          </w:p>
        </w:tc>
        <w:tc>
          <w:tcPr>
            <w:tcW w:w="0" w:type="auto"/>
            <w:tcBorders>
              <w:top w:val="single" w:sz="4" w:space="0" w:color="auto"/>
              <w:left w:val="single" w:sz="4" w:space="0" w:color="auto"/>
              <w:bottom w:val="single" w:sz="4" w:space="0" w:color="auto"/>
              <w:right w:val="single" w:sz="4" w:space="0" w:color="auto"/>
            </w:tcBorders>
            <w:hideMark/>
          </w:tcPr>
          <w:p w:rsidR="00BD5BCD" w:rsidRPr="00CC40E1" w:rsidRDefault="00BD5BCD" w:rsidP="00CC40E1">
            <w:pPr>
              <w:tabs>
                <w:tab w:val="left" w:pos="851"/>
              </w:tabs>
              <w:ind w:left="83"/>
              <w:rPr>
                <w:sz w:val="20"/>
                <w:lang w:val="fr-LU"/>
              </w:rPr>
            </w:pPr>
            <w:r w:rsidRPr="00CC40E1">
              <w:rPr>
                <w:sz w:val="20"/>
                <w:lang w:val="fr-LU"/>
              </w:rPr>
              <w:t>Alopecia</w:t>
            </w:r>
          </w:p>
        </w:tc>
        <w:tc>
          <w:tcPr>
            <w:tcW w:w="0" w:type="auto"/>
            <w:tcBorders>
              <w:top w:val="single" w:sz="4" w:space="0" w:color="auto"/>
              <w:left w:val="single" w:sz="4" w:space="0" w:color="auto"/>
              <w:bottom w:val="single" w:sz="4" w:space="0" w:color="auto"/>
              <w:right w:val="single" w:sz="4" w:space="0" w:color="auto"/>
            </w:tcBorders>
            <w:hideMark/>
          </w:tcPr>
          <w:p w:rsidR="00BD5BCD" w:rsidRPr="00CC40E1" w:rsidRDefault="00BD5BCD" w:rsidP="00CC40E1">
            <w:pPr>
              <w:tabs>
                <w:tab w:val="left" w:pos="851"/>
              </w:tabs>
              <w:ind w:left="83"/>
              <w:rPr>
                <w:sz w:val="20"/>
                <w:lang w:val="fr-LU"/>
              </w:rPr>
            </w:pPr>
            <w:r w:rsidRPr="00CC40E1">
              <w:rPr>
                <w:sz w:val="20"/>
                <w:lang w:val="fr-LU"/>
              </w:rPr>
              <w:t>Udslæt, urticaria, erythema nodosum</w:t>
            </w:r>
          </w:p>
        </w:tc>
        <w:tc>
          <w:tcPr>
            <w:tcW w:w="0" w:type="auto"/>
            <w:tcBorders>
              <w:top w:val="single" w:sz="4" w:space="0" w:color="auto"/>
              <w:left w:val="single" w:sz="4" w:space="0" w:color="auto"/>
              <w:bottom w:val="single" w:sz="4" w:space="0" w:color="auto"/>
              <w:right w:val="single" w:sz="4" w:space="0" w:color="auto"/>
            </w:tcBorders>
          </w:tcPr>
          <w:p w:rsidR="00BD5BCD" w:rsidRPr="00CC40E1" w:rsidRDefault="00BD5BCD" w:rsidP="00CC40E1">
            <w:pPr>
              <w:tabs>
                <w:tab w:val="left" w:pos="851"/>
              </w:tabs>
              <w:ind w:left="83"/>
              <w:rPr>
                <w:sz w:val="20"/>
                <w:lang w:val="fr-LU"/>
              </w:rPr>
            </w:pPr>
          </w:p>
        </w:tc>
      </w:tr>
      <w:tr w:rsidR="00BD5BCD" w:rsidRPr="00CC40E1" w:rsidTr="00BD5BCD">
        <w:tc>
          <w:tcPr>
            <w:tcW w:w="0" w:type="auto"/>
            <w:tcBorders>
              <w:top w:val="single" w:sz="4" w:space="0" w:color="auto"/>
              <w:left w:val="single" w:sz="4" w:space="0" w:color="auto"/>
              <w:bottom w:val="single" w:sz="4" w:space="0" w:color="auto"/>
              <w:right w:val="single" w:sz="4" w:space="0" w:color="auto"/>
            </w:tcBorders>
            <w:hideMark/>
          </w:tcPr>
          <w:p w:rsidR="00BD5BCD" w:rsidRPr="00CC40E1" w:rsidRDefault="00BD5BCD" w:rsidP="00CC40E1">
            <w:pPr>
              <w:ind w:left="62"/>
              <w:rPr>
                <w:sz w:val="20"/>
                <w:lang w:val="fr-LU"/>
              </w:rPr>
            </w:pPr>
            <w:r w:rsidRPr="00CC40E1">
              <w:rPr>
                <w:sz w:val="20"/>
                <w:lang w:val="fr-LU"/>
              </w:rPr>
              <w:t>Det reproduktive system og mammae</w:t>
            </w:r>
          </w:p>
        </w:tc>
        <w:tc>
          <w:tcPr>
            <w:tcW w:w="0" w:type="auto"/>
            <w:tcBorders>
              <w:top w:val="single" w:sz="4" w:space="0" w:color="auto"/>
              <w:left w:val="single" w:sz="4" w:space="0" w:color="auto"/>
              <w:bottom w:val="single" w:sz="4" w:space="0" w:color="auto"/>
              <w:right w:val="single" w:sz="4" w:space="0" w:color="auto"/>
            </w:tcBorders>
          </w:tcPr>
          <w:p w:rsidR="00BD5BCD" w:rsidRPr="00CC40E1" w:rsidRDefault="00BD5BCD" w:rsidP="00CC40E1">
            <w:pPr>
              <w:ind w:left="83"/>
              <w:rPr>
                <w:sz w:val="20"/>
                <w:lang w:val="fr-LU"/>
              </w:rPr>
            </w:pPr>
            <w:r w:rsidRPr="00CC40E1">
              <w:rPr>
                <w:sz w:val="20"/>
                <w:lang w:val="fr-LU"/>
              </w:rPr>
              <w:t>Smerter i brysterne, blødningsforstyrrelser, amenoré</w:t>
            </w:r>
          </w:p>
          <w:p w:rsidR="00BD5BCD" w:rsidRPr="00CC40E1" w:rsidRDefault="00BD5BCD" w:rsidP="00CC40E1">
            <w:pPr>
              <w:ind w:left="83"/>
              <w:rPr>
                <w:sz w:val="20"/>
                <w:lang w:val="fr-LU"/>
              </w:rPr>
            </w:pPr>
          </w:p>
        </w:tc>
        <w:tc>
          <w:tcPr>
            <w:tcW w:w="0" w:type="auto"/>
            <w:tcBorders>
              <w:top w:val="single" w:sz="4" w:space="0" w:color="auto"/>
              <w:left w:val="single" w:sz="4" w:space="0" w:color="auto"/>
              <w:bottom w:val="single" w:sz="4" w:space="0" w:color="auto"/>
              <w:right w:val="single" w:sz="4" w:space="0" w:color="auto"/>
            </w:tcBorders>
            <w:hideMark/>
          </w:tcPr>
          <w:p w:rsidR="00BD5BCD" w:rsidRPr="00CC40E1" w:rsidRDefault="00BD5BCD" w:rsidP="00CC40E1">
            <w:pPr>
              <w:tabs>
                <w:tab w:val="left" w:pos="851"/>
              </w:tabs>
              <w:ind w:left="83"/>
              <w:rPr>
                <w:sz w:val="20"/>
                <w:lang w:val="fr-LU"/>
              </w:rPr>
            </w:pPr>
            <w:r w:rsidRPr="00CC40E1">
              <w:rPr>
                <w:sz w:val="20"/>
                <w:lang w:val="fr-LU"/>
              </w:rPr>
              <w:t>Dysmenoré, ovariecyster</w:t>
            </w:r>
          </w:p>
        </w:tc>
        <w:tc>
          <w:tcPr>
            <w:tcW w:w="0" w:type="auto"/>
            <w:tcBorders>
              <w:top w:val="single" w:sz="4" w:space="0" w:color="auto"/>
              <w:left w:val="single" w:sz="4" w:space="0" w:color="auto"/>
              <w:bottom w:val="single" w:sz="4" w:space="0" w:color="auto"/>
              <w:right w:val="single" w:sz="4" w:space="0" w:color="auto"/>
            </w:tcBorders>
          </w:tcPr>
          <w:p w:rsidR="00BD5BCD" w:rsidRPr="00CC40E1" w:rsidRDefault="00BD5BCD" w:rsidP="00CC40E1">
            <w:pPr>
              <w:tabs>
                <w:tab w:val="left" w:pos="851"/>
              </w:tabs>
              <w:ind w:left="83"/>
              <w:rPr>
                <w:sz w:val="20"/>
                <w:lang w:val="fr-LU"/>
              </w:rPr>
            </w:pPr>
          </w:p>
        </w:tc>
        <w:tc>
          <w:tcPr>
            <w:tcW w:w="0" w:type="auto"/>
            <w:tcBorders>
              <w:top w:val="single" w:sz="4" w:space="0" w:color="auto"/>
              <w:left w:val="single" w:sz="4" w:space="0" w:color="auto"/>
              <w:bottom w:val="single" w:sz="4" w:space="0" w:color="auto"/>
              <w:right w:val="single" w:sz="4" w:space="0" w:color="auto"/>
            </w:tcBorders>
          </w:tcPr>
          <w:p w:rsidR="00BD5BCD" w:rsidRPr="00CC40E1" w:rsidRDefault="00BD5BCD" w:rsidP="00CC40E1">
            <w:pPr>
              <w:tabs>
                <w:tab w:val="left" w:pos="851"/>
              </w:tabs>
              <w:ind w:left="83"/>
              <w:rPr>
                <w:sz w:val="20"/>
                <w:lang w:val="fr-LU"/>
              </w:rPr>
            </w:pPr>
          </w:p>
        </w:tc>
      </w:tr>
      <w:tr w:rsidR="00BD5BCD" w:rsidRPr="00CC40E1" w:rsidTr="00BD5BCD">
        <w:tc>
          <w:tcPr>
            <w:tcW w:w="0" w:type="auto"/>
            <w:tcBorders>
              <w:top w:val="single" w:sz="4" w:space="0" w:color="auto"/>
              <w:left w:val="single" w:sz="4" w:space="0" w:color="auto"/>
              <w:bottom w:val="single" w:sz="4" w:space="0" w:color="auto"/>
              <w:right w:val="single" w:sz="4" w:space="0" w:color="auto"/>
            </w:tcBorders>
            <w:hideMark/>
          </w:tcPr>
          <w:p w:rsidR="00BD5BCD" w:rsidRPr="00CC40E1" w:rsidRDefault="00BD5BCD" w:rsidP="00CC40E1">
            <w:pPr>
              <w:ind w:left="62"/>
              <w:rPr>
                <w:sz w:val="20"/>
                <w:lang w:val="fr-LU"/>
              </w:rPr>
            </w:pPr>
            <w:r w:rsidRPr="00CC40E1">
              <w:rPr>
                <w:sz w:val="20"/>
                <w:lang w:val="fr-LU"/>
              </w:rPr>
              <w:lastRenderedPageBreak/>
              <w:t>Almene symptomer og reaktioner på administrationsstedet</w:t>
            </w:r>
          </w:p>
        </w:tc>
        <w:tc>
          <w:tcPr>
            <w:tcW w:w="0" w:type="auto"/>
            <w:tcBorders>
              <w:top w:val="single" w:sz="4" w:space="0" w:color="auto"/>
              <w:left w:val="single" w:sz="4" w:space="0" w:color="auto"/>
              <w:bottom w:val="single" w:sz="4" w:space="0" w:color="auto"/>
              <w:right w:val="single" w:sz="4" w:space="0" w:color="auto"/>
            </w:tcBorders>
          </w:tcPr>
          <w:p w:rsidR="00BD5BCD" w:rsidRPr="00CC40E1" w:rsidRDefault="00BD5BCD" w:rsidP="00CC40E1">
            <w:pPr>
              <w:ind w:left="83"/>
              <w:rPr>
                <w:sz w:val="20"/>
                <w:lang w:val="fr-LU"/>
              </w:rPr>
            </w:pPr>
          </w:p>
        </w:tc>
        <w:tc>
          <w:tcPr>
            <w:tcW w:w="0" w:type="auto"/>
            <w:tcBorders>
              <w:top w:val="single" w:sz="4" w:space="0" w:color="auto"/>
              <w:left w:val="single" w:sz="4" w:space="0" w:color="auto"/>
              <w:bottom w:val="single" w:sz="4" w:space="0" w:color="auto"/>
              <w:right w:val="single" w:sz="4" w:space="0" w:color="auto"/>
            </w:tcBorders>
            <w:hideMark/>
          </w:tcPr>
          <w:p w:rsidR="00BD5BCD" w:rsidRPr="00CC40E1" w:rsidRDefault="00BD5BCD" w:rsidP="00CC40E1">
            <w:pPr>
              <w:tabs>
                <w:tab w:val="left" w:pos="851"/>
              </w:tabs>
              <w:ind w:left="83"/>
              <w:rPr>
                <w:sz w:val="20"/>
                <w:lang w:val="fr-LU"/>
              </w:rPr>
            </w:pPr>
            <w:r w:rsidRPr="00CC40E1">
              <w:rPr>
                <w:sz w:val="20"/>
                <w:lang w:val="fr-LU"/>
              </w:rPr>
              <w:t>Træthed</w:t>
            </w:r>
          </w:p>
        </w:tc>
        <w:tc>
          <w:tcPr>
            <w:tcW w:w="0" w:type="auto"/>
            <w:tcBorders>
              <w:top w:val="single" w:sz="4" w:space="0" w:color="auto"/>
              <w:left w:val="single" w:sz="4" w:space="0" w:color="auto"/>
              <w:bottom w:val="single" w:sz="4" w:space="0" w:color="auto"/>
              <w:right w:val="single" w:sz="4" w:space="0" w:color="auto"/>
            </w:tcBorders>
          </w:tcPr>
          <w:p w:rsidR="00BD5BCD" w:rsidRPr="00CC40E1" w:rsidRDefault="00BD5BCD" w:rsidP="00CC40E1">
            <w:pPr>
              <w:tabs>
                <w:tab w:val="left" w:pos="851"/>
              </w:tabs>
              <w:ind w:left="83"/>
              <w:rPr>
                <w:sz w:val="20"/>
                <w:lang w:val="fr-LU"/>
              </w:rPr>
            </w:pPr>
          </w:p>
        </w:tc>
        <w:tc>
          <w:tcPr>
            <w:tcW w:w="0" w:type="auto"/>
            <w:tcBorders>
              <w:top w:val="single" w:sz="4" w:space="0" w:color="auto"/>
              <w:left w:val="single" w:sz="4" w:space="0" w:color="auto"/>
              <w:bottom w:val="single" w:sz="4" w:space="0" w:color="auto"/>
              <w:right w:val="single" w:sz="4" w:space="0" w:color="auto"/>
            </w:tcBorders>
          </w:tcPr>
          <w:p w:rsidR="00BD5BCD" w:rsidRPr="00CC40E1" w:rsidRDefault="00BD5BCD" w:rsidP="00CC40E1">
            <w:pPr>
              <w:tabs>
                <w:tab w:val="left" w:pos="851"/>
              </w:tabs>
              <w:ind w:left="83"/>
              <w:rPr>
                <w:sz w:val="20"/>
                <w:lang w:val="fr-LU"/>
              </w:rPr>
            </w:pPr>
          </w:p>
        </w:tc>
      </w:tr>
      <w:tr w:rsidR="00BD5BCD" w:rsidRPr="00CC40E1" w:rsidTr="00BD5BCD">
        <w:tc>
          <w:tcPr>
            <w:tcW w:w="0" w:type="auto"/>
            <w:tcBorders>
              <w:top w:val="single" w:sz="4" w:space="0" w:color="auto"/>
              <w:left w:val="single" w:sz="4" w:space="0" w:color="auto"/>
              <w:bottom w:val="single" w:sz="4" w:space="0" w:color="auto"/>
              <w:right w:val="single" w:sz="4" w:space="0" w:color="auto"/>
            </w:tcBorders>
            <w:hideMark/>
          </w:tcPr>
          <w:p w:rsidR="00BD5BCD" w:rsidRPr="00CC40E1" w:rsidRDefault="00BD5BCD" w:rsidP="00CC40E1">
            <w:pPr>
              <w:ind w:left="62"/>
              <w:rPr>
                <w:sz w:val="20"/>
                <w:lang w:val="fr-LU"/>
              </w:rPr>
            </w:pPr>
            <w:r w:rsidRPr="00CC40E1">
              <w:rPr>
                <w:sz w:val="20"/>
                <w:lang w:val="fr-LU"/>
              </w:rPr>
              <w:t>Undersøgelser</w:t>
            </w:r>
          </w:p>
        </w:tc>
        <w:tc>
          <w:tcPr>
            <w:tcW w:w="0" w:type="auto"/>
            <w:tcBorders>
              <w:top w:val="single" w:sz="4" w:space="0" w:color="auto"/>
              <w:left w:val="single" w:sz="4" w:space="0" w:color="auto"/>
              <w:bottom w:val="single" w:sz="4" w:space="0" w:color="auto"/>
              <w:right w:val="single" w:sz="4" w:space="0" w:color="auto"/>
            </w:tcBorders>
            <w:hideMark/>
          </w:tcPr>
          <w:p w:rsidR="00BD5BCD" w:rsidRPr="00CC40E1" w:rsidRDefault="00BD5BCD" w:rsidP="00CC40E1">
            <w:pPr>
              <w:ind w:left="83"/>
              <w:rPr>
                <w:sz w:val="20"/>
                <w:lang w:val="fr-LU"/>
              </w:rPr>
            </w:pPr>
            <w:r w:rsidRPr="00CC40E1">
              <w:rPr>
                <w:sz w:val="20"/>
                <w:lang w:val="fr-LU"/>
              </w:rPr>
              <w:t>Vægtøgning</w:t>
            </w:r>
          </w:p>
        </w:tc>
        <w:tc>
          <w:tcPr>
            <w:tcW w:w="0" w:type="auto"/>
            <w:tcBorders>
              <w:top w:val="single" w:sz="4" w:space="0" w:color="auto"/>
              <w:left w:val="single" w:sz="4" w:space="0" w:color="auto"/>
              <w:bottom w:val="single" w:sz="4" w:space="0" w:color="auto"/>
              <w:right w:val="single" w:sz="4" w:space="0" w:color="auto"/>
            </w:tcBorders>
          </w:tcPr>
          <w:p w:rsidR="00BD5BCD" w:rsidRPr="00CC40E1" w:rsidRDefault="00BD5BCD" w:rsidP="00CC40E1">
            <w:pPr>
              <w:tabs>
                <w:tab w:val="left" w:pos="851"/>
              </w:tabs>
              <w:ind w:left="83"/>
              <w:rPr>
                <w:sz w:val="20"/>
                <w:lang w:val="fr-LU"/>
              </w:rPr>
            </w:pPr>
          </w:p>
        </w:tc>
        <w:tc>
          <w:tcPr>
            <w:tcW w:w="0" w:type="auto"/>
            <w:tcBorders>
              <w:top w:val="single" w:sz="4" w:space="0" w:color="auto"/>
              <w:left w:val="single" w:sz="4" w:space="0" w:color="auto"/>
              <w:bottom w:val="single" w:sz="4" w:space="0" w:color="auto"/>
              <w:right w:val="single" w:sz="4" w:space="0" w:color="auto"/>
            </w:tcBorders>
          </w:tcPr>
          <w:p w:rsidR="00BD5BCD" w:rsidRPr="00CC40E1" w:rsidRDefault="00BD5BCD" w:rsidP="00CC40E1">
            <w:pPr>
              <w:tabs>
                <w:tab w:val="left" w:pos="851"/>
              </w:tabs>
              <w:ind w:left="83"/>
              <w:rPr>
                <w:sz w:val="20"/>
                <w:lang w:val="fr-LU"/>
              </w:rPr>
            </w:pPr>
          </w:p>
        </w:tc>
        <w:tc>
          <w:tcPr>
            <w:tcW w:w="0" w:type="auto"/>
            <w:tcBorders>
              <w:top w:val="single" w:sz="4" w:space="0" w:color="auto"/>
              <w:left w:val="single" w:sz="4" w:space="0" w:color="auto"/>
              <w:bottom w:val="single" w:sz="4" w:space="0" w:color="auto"/>
              <w:right w:val="single" w:sz="4" w:space="0" w:color="auto"/>
            </w:tcBorders>
          </w:tcPr>
          <w:p w:rsidR="00BD5BCD" w:rsidRPr="00CC40E1" w:rsidRDefault="00BD5BCD" w:rsidP="00CC40E1">
            <w:pPr>
              <w:tabs>
                <w:tab w:val="left" w:pos="851"/>
              </w:tabs>
              <w:ind w:left="83"/>
              <w:rPr>
                <w:sz w:val="20"/>
                <w:lang w:val="fr-LU"/>
              </w:rPr>
            </w:pPr>
          </w:p>
        </w:tc>
      </w:tr>
    </w:tbl>
    <w:p w:rsidR="00BD5BCD" w:rsidRPr="009F6A5F" w:rsidRDefault="00BD5BCD" w:rsidP="00BD5BCD">
      <w:pPr>
        <w:tabs>
          <w:tab w:val="left" w:pos="851"/>
        </w:tabs>
        <w:ind w:left="851"/>
        <w:rPr>
          <w:sz w:val="20"/>
        </w:rPr>
      </w:pPr>
      <w:r w:rsidRPr="009F6A5F">
        <w:rPr>
          <w:sz w:val="20"/>
        </w:rPr>
        <w:t>* MedDRA version 9.0</w:t>
      </w:r>
    </w:p>
    <w:p w:rsidR="00BD5BCD" w:rsidRPr="00BD5BCD" w:rsidRDefault="00BD5BCD" w:rsidP="00BD5BCD">
      <w:pPr>
        <w:tabs>
          <w:tab w:val="left" w:pos="851"/>
        </w:tabs>
        <w:ind w:left="851"/>
        <w:rPr>
          <w:sz w:val="24"/>
          <w:szCs w:val="24"/>
        </w:rPr>
      </w:pPr>
    </w:p>
    <w:p w:rsidR="00BD5BCD" w:rsidRPr="00BD5BCD" w:rsidRDefault="00BD5BCD" w:rsidP="00BD5BCD">
      <w:pPr>
        <w:tabs>
          <w:tab w:val="left" w:pos="851"/>
        </w:tabs>
        <w:ind w:left="851"/>
        <w:rPr>
          <w:sz w:val="24"/>
          <w:szCs w:val="24"/>
        </w:rPr>
      </w:pPr>
      <w:r w:rsidRPr="00BD5BCD">
        <w:rPr>
          <w:sz w:val="24"/>
          <w:szCs w:val="24"/>
        </w:rPr>
        <w:t>Der kan forekomme udflåd fra brysterne under behandlingen med desogestrel. Der er i sjældne tilfælde rapporteret tilfælde af ektopiske graviditeter (se pkt. 4.4). Yderligere kan der forekomme (forværring af) angiødem og/eller forværring af hereditær angiødem (se pkt. 4.4).</w:t>
      </w:r>
    </w:p>
    <w:p w:rsidR="00BD5BCD" w:rsidRPr="00BD5BCD" w:rsidRDefault="00BD5BCD" w:rsidP="00BD5BCD">
      <w:pPr>
        <w:tabs>
          <w:tab w:val="left" w:pos="851"/>
        </w:tabs>
        <w:ind w:left="851"/>
        <w:rPr>
          <w:sz w:val="24"/>
          <w:szCs w:val="24"/>
        </w:rPr>
      </w:pPr>
      <w:r w:rsidRPr="00BD5BCD">
        <w:rPr>
          <w:sz w:val="24"/>
          <w:szCs w:val="24"/>
        </w:rPr>
        <w:tab/>
      </w:r>
    </w:p>
    <w:p w:rsidR="00BD5BCD" w:rsidRPr="00BD5BCD" w:rsidRDefault="00BD5BCD" w:rsidP="00BD5BCD">
      <w:pPr>
        <w:tabs>
          <w:tab w:val="left" w:pos="851"/>
        </w:tabs>
        <w:ind w:left="851"/>
        <w:rPr>
          <w:sz w:val="24"/>
          <w:szCs w:val="24"/>
        </w:rPr>
      </w:pPr>
      <w:r w:rsidRPr="00BD5BCD">
        <w:rPr>
          <w:sz w:val="24"/>
          <w:szCs w:val="24"/>
        </w:rPr>
        <w:t>Fra kvinder som anvender p-piller (af kombinationstypen) er der rapporteret om et antal (alvorlige) uønskede virkninger. Disse inkluderer venøse tromboemboliske lidelser, arterielle tromboemboliske lidelser, hormonafhængige tumorer (fx levertumorer, brystkræft) og chloasma. Visse af disse er beskrevet mere detaljeret i pkt. 4.4.</w:t>
      </w:r>
    </w:p>
    <w:p w:rsidR="00BD5BCD" w:rsidRPr="00BD5BCD" w:rsidRDefault="00BD5BCD" w:rsidP="00BD5BCD">
      <w:pPr>
        <w:tabs>
          <w:tab w:val="left" w:pos="851"/>
        </w:tabs>
        <w:ind w:left="851"/>
        <w:rPr>
          <w:sz w:val="24"/>
          <w:szCs w:val="24"/>
        </w:rPr>
      </w:pPr>
    </w:p>
    <w:p w:rsidR="00BD5BCD" w:rsidRPr="00BD5BCD" w:rsidRDefault="00BD5BCD" w:rsidP="00BD5BCD">
      <w:pPr>
        <w:tabs>
          <w:tab w:val="left" w:pos="851"/>
        </w:tabs>
        <w:ind w:left="851"/>
        <w:rPr>
          <w:sz w:val="24"/>
          <w:szCs w:val="24"/>
        </w:rPr>
      </w:pPr>
      <w:r w:rsidRPr="00BD5BCD">
        <w:rPr>
          <w:sz w:val="24"/>
          <w:szCs w:val="24"/>
        </w:rPr>
        <w:t>Gennembrudsblødning og/eller kontraceptivt svigt kan skyldes interaktioner mellem andre lægemidler (enzyminduktorer) og hormonelle kontraceptiva (se pkt. 4.5).</w:t>
      </w:r>
    </w:p>
    <w:p w:rsidR="00BD5BCD" w:rsidRPr="00BD5BCD" w:rsidRDefault="00BD5BCD" w:rsidP="00BD5BCD">
      <w:pPr>
        <w:tabs>
          <w:tab w:val="left" w:pos="851"/>
        </w:tabs>
        <w:ind w:left="851"/>
        <w:rPr>
          <w:sz w:val="24"/>
          <w:szCs w:val="24"/>
        </w:rPr>
      </w:pPr>
    </w:p>
    <w:p w:rsidR="00BD5BCD" w:rsidRPr="00BD5BCD" w:rsidRDefault="00BD5BCD" w:rsidP="00BD5BCD">
      <w:pPr>
        <w:tabs>
          <w:tab w:val="left" w:pos="851"/>
        </w:tabs>
        <w:ind w:left="851"/>
        <w:rPr>
          <w:sz w:val="24"/>
          <w:szCs w:val="24"/>
          <w:u w:val="single"/>
        </w:rPr>
      </w:pPr>
      <w:r w:rsidRPr="00BD5BCD">
        <w:rPr>
          <w:sz w:val="24"/>
          <w:szCs w:val="24"/>
          <w:u w:val="single"/>
        </w:rPr>
        <w:t>Indberetning af formodede bivirkninger</w:t>
      </w:r>
    </w:p>
    <w:p w:rsidR="00BD5BCD" w:rsidRPr="00BD5BCD" w:rsidRDefault="00BD5BCD" w:rsidP="00BD5BCD">
      <w:pPr>
        <w:tabs>
          <w:tab w:val="left" w:pos="851"/>
        </w:tabs>
        <w:ind w:left="851"/>
        <w:rPr>
          <w:sz w:val="24"/>
          <w:szCs w:val="24"/>
        </w:rPr>
      </w:pPr>
      <w:r w:rsidRPr="00BD5BCD">
        <w:rPr>
          <w:sz w:val="24"/>
          <w:szCs w:val="24"/>
        </w:rPr>
        <w:t>Når lægemidlet er godkendt, er indberetning af formodede bivirkninger vigtig. Det muliggør løbende overvågning af benefit/risk-forholdet for lægemidlet. Sundhedspersoner anmodes om at indberette alle formodede bivirkninger via:</w:t>
      </w:r>
    </w:p>
    <w:p w:rsidR="00BD5BCD" w:rsidRPr="00BD5BCD" w:rsidRDefault="00BD5BCD" w:rsidP="00BD5BCD">
      <w:pPr>
        <w:tabs>
          <w:tab w:val="left" w:pos="851"/>
        </w:tabs>
        <w:ind w:left="851"/>
        <w:rPr>
          <w:sz w:val="24"/>
          <w:szCs w:val="24"/>
        </w:rPr>
      </w:pPr>
    </w:p>
    <w:p w:rsidR="00BD5BCD" w:rsidRPr="00BD5BCD" w:rsidRDefault="00BD5BCD" w:rsidP="00BD5BCD">
      <w:pPr>
        <w:tabs>
          <w:tab w:val="left" w:pos="851"/>
        </w:tabs>
        <w:ind w:left="851"/>
        <w:rPr>
          <w:sz w:val="24"/>
          <w:szCs w:val="24"/>
        </w:rPr>
      </w:pPr>
      <w:r w:rsidRPr="00BD5BCD">
        <w:rPr>
          <w:sz w:val="24"/>
          <w:szCs w:val="24"/>
        </w:rPr>
        <w:t>Lægemiddelstyrelsen</w:t>
      </w:r>
    </w:p>
    <w:p w:rsidR="00BD5BCD" w:rsidRPr="00BD5BCD" w:rsidRDefault="00BD5BCD" w:rsidP="00BD5BCD">
      <w:pPr>
        <w:tabs>
          <w:tab w:val="left" w:pos="851"/>
        </w:tabs>
        <w:ind w:left="851"/>
        <w:rPr>
          <w:sz w:val="24"/>
          <w:szCs w:val="24"/>
        </w:rPr>
      </w:pPr>
      <w:r w:rsidRPr="00BD5BCD">
        <w:rPr>
          <w:sz w:val="24"/>
          <w:szCs w:val="24"/>
        </w:rPr>
        <w:t>Axel Heides Gade 1</w:t>
      </w:r>
    </w:p>
    <w:p w:rsidR="00BD5BCD" w:rsidRPr="00BD5BCD" w:rsidRDefault="00BD5BCD" w:rsidP="00BD5BCD">
      <w:pPr>
        <w:tabs>
          <w:tab w:val="left" w:pos="851"/>
        </w:tabs>
        <w:ind w:left="851"/>
        <w:rPr>
          <w:sz w:val="24"/>
          <w:szCs w:val="24"/>
        </w:rPr>
      </w:pPr>
      <w:r w:rsidRPr="00BD5BCD">
        <w:rPr>
          <w:sz w:val="24"/>
          <w:szCs w:val="24"/>
        </w:rPr>
        <w:t>2300 København S</w:t>
      </w:r>
    </w:p>
    <w:p w:rsidR="00BD5BCD" w:rsidRPr="00BD5BCD" w:rsidRDefault="00BD5BCD" w:rsidP="00BD5BCD">
      <w:pPr>
        <w:tabs>
          <w:tab w:val="left" w:pos="851"/>
        </w:tabs>
        <w:ind w:left="851"/>
        <w:rPr>
          <w:sz w:val="24"/>
          <w:szCs w:val="24"/>
        </w:rPr>
      </w:pPr>
      <w:r w:rsidRPr="00BD5BCD">
        <w:rPr>
          <w:sz w:val="24"/>
          <w:szCs w:val="24"/>
        </w:rPr>
        <w:t>Websted: www.meldenbivirkning.dk</w:t>
      </w:r>
    </w:p>
    <w:p w:rsidR="009260DE" w:rsidRPr="00A10294"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9F6A5F" w:rsidRPr="009F6A5F" w:rsidRDefault="009F6A5F" w:rsidP="009F6A5F">
      <w:pPr>
        <w:tabs>
          <w:tab w:val="left" w:pos="851"/>
        </w:tabs>
        <w:ind w:left="851"/>
        <w:rPr>
          <w:sz w:val="24"/>
          <w:szCs w:val="24"/>
        </w:rPr>
      </w:pPr>
      <w:r w:rsidRPr="009F6A5F">
        <w:rPr>
          <w:sz w:val="24"/>
          <w:szCs w:val="24"/>
        </w:rPr>
        <w:t>Der er ikke blevet rapporteret om alvorlige, skadelige virkninger på grund af overdosering. Symptomer som kan opstå i disse tilfælde, er kvalme, opkastning og hos unge piger en lille vaginalblødning. Der findes ingen antidot, og den videre behandling bør være symptomatisk.</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EC0FAD"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9F6A5F" w:rsidRPr="009F6A5F" w:rsidRDefault="009F6A5F" w:rsidP="009F6A5F">
      <w:pPr>
        <w:tabs>
          <w:tab w:val="left" w:pos="851"/>
        </w:tabs>
        <w:ind w:left="851"/>
        <w:rPr>
          <w:sz w:val="24"/>
          <w:szCs w:val="24"/>
          <w:lang w:val="fr-LU"/>
        </w:rPr>
      </w:pPr>
      <w:r w:rsidRPr="009F6A5F">
        <w:rPr>
          <w:sz w:val="24"/>
          <w:szCs w:val="24"/>
          <w:lang w:val="fr-LU"/>
        </w:rPr>
        <w:t>ATC-kode: G03AC09</w:t>
      </w:r>
      <w:r>
        <w:rPr>
          <w:sz w:val="24"/>
          <w:szCs w:val="24"/>
          <w:lang w:val="fr-LU"/>
        </w:rPr>
        <w:t xml:space="preserve">. </w:t>
      </w:r>
      <w:r w:rsidRPr="009F6A5F">
        <w:rPr>
          <w:sz w:val="24"/>
          <w:szCs w:val="24"/>
          <w:lang w:val="fr-LU"/>
        </w:rPr>
        <w:t>Kønshormoner og modulatorer af genitalsystemet; hormonelle kontraceptiva til systemisk brug</w:t>
      </w:r>
      <w:r>
        <w:rPr>
          <w:sz w:val="24"/>
          <w:szCs w:val="24"/>
          <w:lang w:val="fr-LU"/>
        </w:rPr>
        <w:t>.</w:t>
      </w:r>
    </w:p>
    <w:p w:rsidR="00EC0FAD" w:rsidRDefault="00EC0FAD">
      <w:pPr>
        <w:rPr>
          <w:sz w:val="24"/>
          <w:szCs w:val="24"/>
          <w:lang w:val="fr-LU"/>
        </w:rPr>
      </w:pPr>
      <w:r>
        <w:rPr>
          <w:sz w:val="24"/>
          <w:szCs w:val="24"/>
          <w:lang w:val="fr-LU"/>
        </w:rPr>
        <w:br w:type="page"/>
      </w:r>
    </w:p>
    <w:p w:rsidR="009260DE" w:rsidRPr="009F6A5F" w:rsidRDefault="009260DE" w:rsidP="009260DE">
      <w:pPr>
        <w:tabs>
          <w:tab w:val="left" w:pos="851"/>
        </w:tabs>
        <w:ind w:left="851"/>
        <w:rPr>
          <w:sz w:val="24"/>
          <w:szCs w:val="24"/>
          <w:lang w:val="fr-LU"/>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EC0FAD" w:rsidRDefault="00EC0FAD" w:rsidP="00EC0FAD">
      <w:pPr>
        <w:tabs>
          <w:tab w:val="left" w:pos="851"/>
        </w:tabs>
        <w:ind w:left="851"/>
        <w:rPr>
          <w:sz w:val="24"/>
          <w:szCs w:val="24"/>
          <w:u w:val="single"/>
          <w:lang w:val="fr-LU"/>
        </w:rPr>
      </w:pPr>
    </w:p>
    <w:p w:rsidR="00EC0FAD" w:rsidRPr="00EC0FAD" w:rsidRDefault="00EC0FAD" w:rsidP="00EC0FAD">
      <w:pPr>
        <w:tabs>
          <w:tab w:val="left" w:pos="851"/>
        </w:tabs>
        <w:ind w:left="851"/>
        <w:rPr>
          <w:sz w:val="24"/>
          <w:szCs w:val="24"/>
          <w:u w:val="single"/>
          <w:lang w:val="fr-LU"/>
        </w:rPr>
      </w:pPr>
      <w:r w:rsidRPr="00EC0FAD">
        <w:rPr>
          <w:sz w:val="24"/>
          <w:szCs w:val="24"/>
          <w:u w:val="single"/>
          <w:lang w:val="fr-LU"/>
        </w:rPr>
        <w:t>Virkningsmekanisme</w:t>
      </w:r>
    </w:p>
    <w:p w:rsidR="00EC0FAD" w:rsidRPr="00EC0FAD" w:rsidRDefault="00EC0FAD" w:rsidP="00EC0FAD">
      <w:pPr>
        <w:tabs>
          <w:tab w:val="left" w:pos="851"/>
        </w:tabs>
        <w:ind w:left="851"/>
        <w:rPr>
          <w:sz w:val="24"/>
          <w:szCs w:val="24"/>
        </w:rPr>
      </w:pPr>
      <w:r w:rsidRPr="00EC0FAD">
        <w:rPr>
          <w:sz w:val="24"/>
          <w:szCs w:val="24"/>
          <w:lang w:val="fr-LU"/>
        </w:rPr>
        <w:t xml:space="preserve">Ceranor er en ren gestagenholdig tablet, som indeholder gestagenet desogestrel. Ligesom andre piller, som kun indeholder gestagen, kan Ceranor bruges af kvinder, som ikke kan anvende eller ikke ønsker at anvende østrogener. </w:t>
      </w:r>
      <w:r w:rsidRPr="00EC0FAD">
        <w:rPr>
          <w:sz w:val="24"/>
          <w:szCs w:val="24"/>
        </w:rPr>
        <w:t>I modsætning til de traditionelle piller, som kun indeholder gestagen, opnås Ceranors svangerskabsforebyggende virkning primært ved hæmning af ovulationen. Andre virkninger omfatter øget viskositet af cervikalslimhinden.</w:t>
      </w:r>
    </w:p>
    <w:p w:rsidR="00EC0FAD" w:rsidRPr="00EC0FAD" w:rsidRDefault="00EC0FAD" w:rsidP="00EC0FAD">
      <w:pPr>
        <w:tabs>
          <w:tab w:val="left" w:pos="851"/>
        </w:tabs>
        <w:ind w:left="851"/>
        <w:rPr>
          <w:sz w:val="24"/>
          <w:szCs w:val="24"/>
        </w:rPr>
      </w:pPr>
    </w:p>
    <w:p w:rsidR="00EC0FAD" w:rsidRPr="00EC0FAD" w:rsidRDefault="00EC0FAD" w:rsidP="00EC0FAD">
      <w:pPr>
        <w:tabs>
          <w:tab w:val="left" w:pos="851"/>
        </w:tabs>
        <w:ind w:left="851"/>
        <w:rPr>
          <w:sz w:val="24"/>
          <w:szCs w:val="24"/>
          <w:u w:val="single"/>
        </w:rPr>
      </w:pPr>
      <w:r w:rsidRPr="00EC0FAD">
        <w:rPr>
          <w:sz w:val="24"/>
          <w:szCs w:val="24"/>
          <w:u w:val="single"/>
        </w:rPr>
        <w:t>Klinisk virkning og sikkerhed</w:t>
      </w:r>
    </w:p>
    <w:p w:rsidR="00EC0FAD" w:rsidRPr="00EC0FAD" w:rsidRDefault="00EC0FAD" w:rsidP="00EC0FAD">
      <w:pPr>
        <w:tabs>
          <w:tab w:val="left" w:pos="851"/>
        </w:tabs>
        <w:ind w:left="851"/>
        <w:rPr>
          <w:sz w:val="24"/>
          <w:szCs w:val="24"/>
        </w:rPr>
      </w:pPr>
      <w:r w:rsidRPr="00EC0FAD">
        <w:rPr>
          <w:sz w:val="24"/>
          <w:szCs w:val="24"/>
        </w:rPr>
        <w:t xml:space="preserve">I et studie hvor ovulationsforekomsten blev undersøgt over to cykler (hvor ovulationsdefinitionen var: et progesteron niveau på mere end 16 nmol/l i 5 dage i træk), var ovulationsforekomsten 1 % (1/103) med et 95 % konfidensinterval på 0,02% – 5,29 % i ITT (”Intent-to-Treat”) gruppen (bruger- og metodefejl). Ovulationshæmning blev opnået fra den første desogestrel cyklus. Efter ophør med desogestrel efter 2 cykler (56 dage i træk) indtrådte ovulationen i gennemsnit efter 17 dage (variationsbredde 7 </w:t>
      </w:r>
      <w:r w:rsidRPr="00EC0FAD">
        <w:rPr>
          <w:sz w:val="24"/>
          <w:szCs w:val="24"/>
          <w:lang w:val="fr-LU"/>
        </w:rPr>
        <w:t xml:space="preserve">– </w:t>
      </w:r>
      <w:r w:rsidRPr="00EC0FAD">
        <w:rPr>
          <w:sz w:val="24"/>
          <w:szCs w:val="24"/>
        </w:rPr>
        <w:t>30 dage).</w:t>
      </w:r>
    </w:p>
    <w:p w:rsidR="00EC0FAD" w:rsidRPr="00EC0FAD" w:rsidRDefault="00EC0FAD" w:rsidP="00EC0FAD">
      <w:pPr>
        <w:tabs>
          <w:tab w:val="left" w:pos="851"/>
        </w:tabs>
        <w:ind w:left="851"/>
        <w:rPr>
          <w:sz w:val="24"/>
          <w:szCs w:val="24"/>
        </w:rPr>
      </w:pPr>
    </w:p>
    <w:p w:rsidR="00EC0FAD" w:rsidRPr="00EC0FAD" w:rsidRDefault="00EC0FAD" w:rsidP="00EC0FAD">
      <w:pPr>
        <w:tabs>
          <w:tab w:val="left" w:pos="851"/>
        </w:tabs>
        <w:ind w:left="851"/>
        <w:rPr>
          <w:sz w:val="24"/>
          <w:szCs w:val="24"/>
        </w:rPr>
      </w:pPr>
      <w:r w:rsidRPr="00EC0FAD">
        <w:rPr>
          <w:sz w:val="24"/>
          <w:szCs w:val="24"/>
        </w:rPr>
        <w:t xml:space="preserve">I et sammenlignende effektstudie (hvor der ved glemte piller maksimalt måtte være gået 3 timer) var det overordnede ITT Pearl-indeks for desogestrel 0,4 (95 % konfidensinterval 0,09 – 1,20) sammenlignet med 1,6 (95 % konfidensinterval 0,42 – 3,96) for 30 µg levonorgestrel. </w:t>
      </w:r>
    </w:p>
    <w:p w:rsidR="00EC0FAD" w:rsidRPr="00EC0FAD" w:rsidRDefault="00EC0FAD" w:rsidP="00EC0FAD">
      <w:pPr>
        <w:tabs>
          <w:tab w:val="left" w:pos="851"/>
        </w:tabs>
        <w:ind w:left="851"/>
        <w:rPr>
          <w:sz w:val="24"/>
          <w:szCs w:val="24"/>
        </w:rPr>
      </w:pPr>
      <w:r w:rsidRPr="00EC0FAD">
        <w:rPr>
          <w:sz w:val="24"/>
          <w:szCs w:val="24"/>
        </w:rPr>
        <w:tab/>
      </w:r>
    </w:p>
    <w:p w:rsidR="00EC0FAD" w:rsidRPr="00EC0FAD" w:rsidRDefault="00EC0FAD" w:rsidP="00EC0FAD">
      <w:pPr>
        <w:tabs>
          <w:tab w:val="left" w:pos="851"/>
        </w:tabs>
        <w:ind w:left="851"/>
        <w:rPr>
          <w:sz w:val="24"/>
          <w:szCs w:val="24"/>
        </w:rPr>
      </w:pPr>
      <w:r w:rsidRPr="00EC0FAD">
        <w:rPr>
          <w:sz w:val="24"/>
          <w:szCs w:val="24"/>
        </w:rPr>
        <w:t xml:space="preserve">Pearl-indekset for desogestrel er sammenligneligt med det, som tidligere er fundet for p-piller af kombinationstypen i en almindelig population af p-pillebrugere. </w:t>
      </w:r>
    </w:p>
    <w:p w:rsidR="00EC0FAD" w:rsidRPr="00EC0FAD" w:rsidRDefault="00EC0FAD" w:rsidP="00EC0FAD">
      <w:pPr>
        <w:tabs>
          <w:tab w:val="left" w:pos="851"/>
        </w:tabs>
        <w:ind w:left="851"/>
        <w:rPr>
          <w:sz w:val="24"/>
          <w:szCs w:val="24"/>
        </w:rPr>
      </w:pPr>
    </w:p>
    <w:p w:rsidR="00EC0FAD" w:rsidRPr="00EC0FAD" w:rsidRDefault="00EC0FAD" w:rsidP="00EC0FAD">
      <w:pPr>
        <w:tabs>
          <w:tab w:val="left" w:pos="851"/>
        </w:tabs>
        <w:ind w:left="851"/>
        <w:rPr>
          <w:sz w:val="24"/>
          <w:szCs w:val="24"/>
        </w:rPr>
      </w:pPr>
      <w:r w:rsidRPr="00EC0FAD">
        <w:rPr>
          <w:sz w:val="24"/>
          <w:szCs w:val="24"/>
        </w:rPr>
        <w:t>Behandling med desogestrel medfører sænkning af estradiolniveauet til et niveau svarende til den tidlige follikulære fase. Der er ikke observeret klinisk relevante virkninger på kulhydratmetabolisme, lipidmetabolisme eller hæmostase.</w:t>
      </w:r>
    </w:p>
    <w:p w:rsidR="00EC0FAD" w:rsidRPr="00EC0FAD" w:rsidRDefault="00EC0FAD" w:rsidP="00EC0FAD">
      <w:pPr>
        <w:tabs>
          <w:tab w:val="left" w:pos="851"/>
        </w:tabs>
        <w:ind w:left="851"/>
        <w:rPr>
          <w:sz w:val="24"/>
          <w:szCs w:val="24"/>
        </w:rPr>
      </w:pPr>
    </w:p>
    <w:p w:rsidR="00EC0FAD" w:rsidRPr="00EC0FAD" w:rsidRDefault="00EC0FAD" w:rsidP="00EC0FAD">
      <w:pPr>
        <w:tabs>
          <w:tab w:val="left" w:pos="851"/>
        </w:tabs>
        <w:ind w:left="851"/>
        <w:rPr>
          <w:sz w:val="24"/>
          <w:szCs w:val="24"/>
          <w:u w:val="single"/>
          <w:lang w:val="fr-LU"/>
        </w:rPr>
      </w:pPr>
      <w:r w:rsidRPr="00EC0FAD">
        <w:rPr>
          <w:sz w:val="24"/>
          <w:szCs w:val="24"/>
          <w:u w:val="single"/>
          <w:lang w:val="fr-LU"/>
        </w:rPr>
        <w:t>Pædiatrisk population</w:t>
      </w:r>
    </w:p>
    <w:p w:rsidR="00EC0FAD" w:rsidRPr="00EC0FAD" w:rsidRDefault="00EC0FAD" w:rsidP="00EC0FAD">
      <w:pPr>
        <w:tabs>
          <w:tab w:val="left" w:pos="851"/>
        </w:tabs>
        <w:ind w:left="851"/>
        <w:rPr>
          <w:sz w:val="24"/>
          <w:szCs w:val="24"/>
          <w:lang w:val="fr-LU"/>
        </w:rPr>
      </w:pPr>
      <w:r w:rsidRPr="00EC0FAD">
        <w:rPr>
          <w:sz w:val="24"/>
          <w:szCs w:val="24"/>
          <w:lang w:val="fr-LU"/>
        </w:rPr>
        <w:t>Der foreligger ikke tilgængelige kliniske data vedrørende virkning og sikkerhed hos børn under 18 år.</w:t>
      </w:r>
    </w:p>
    <w:p w:rsidR="009260DE" w:rsidRPr="00EC0FAD" w:rsidRDefault="009260DE" w:rsidP="009260DE">
      <w:pPr>
        <w:tabs>
          <w:tab w:val="left" w:pos="851"/>
        </w:tabs>
        <w:ind w:left="851"/>
        <w:rPr>
          <w:sz w:val="24"/>
          <w:szCs w:val="24"/>
          <w:lang w:val="fr-LU"/>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117097" w:rsidRPr="00117097" w:rsidRDefault="00117097" w:rsidP="00117097">
      <w:pPr>
        <w:tabs>
          <w:tab w:val="left" w:pos="851"/>
        </w:tabs>
        <w:ind w:left="851"/>
        <w:rPr>
          <w:sz w:val="24"/>
          <w:szCs w:val="24"/>
        </w:rPr>
      </w:pPr>
    </w:p>
    <w:p w:rsidR="00117097" w:rsidRPr="00117097" w:rsidRDefault="00117097" w:rsidP="00117097">
      <w:pPr>
        <w:tabs>
          <w:tab w:val="left" w:pos="851"/>
        </w:tabs>
        <w:ind w:left="851"/>
        <w:rPr>
          <w:sz w:val="24"/>
          <w:szCs w:val="24"/>
          <w:u w:val="single"/>
          <w:lang w:val="fr-LU"/>
        </w:rPr>
      </w:pPr>
      <w:r w:rsidRPr="00117097">
        <w:rPr>
          <w:sz w:val="24"/>
          <w:szCs w:val="24"/>
          <w:u w:val="single"/>
          <w:lang w:val="fr-LU"/>
        </w:rPr>
        <w:t>Absorption</w:t>
      </w:r>
    </w:p>
    <w:p w:rsidR="00117097" w:rsidRPr="00117097" w:rsidRDefault="00117097" w:rsidP="00117097">
      <w:pPr>
        <w:tabs>
          <w:tab w:val="left" w:pos="851"/>
        </w:tabs>
        <w:ind w:left="851"/>
        <w:rPr>
          <w:sz w:val="24"/>
          <w:szCs w:val="24"/>
          <w:lang w:val="fr-LU"/>
        </w:rPr>
      </w:pPr>
      <w:r w:rsidRPr="00117097">
        <w:rPr>
          <w:sz w:val="24"/>
          <w:szCs w:val="24"/>
          <w:lang w:val="fr-LU"/>
        </w:rPr>
        <w:t>Efter oral indtagelse af Ceranor absorberes desogestrel hurtigt og omdannes til etonogestrel. Under steady state forhold nås peakplasmaniveauerne 1,8 timer efter tabletindtagelse, og etonogestrels absolutte biotilgængelighed er ca. 70 %.</w:t>
      </w:r>
    </w:p>
    <w:p w:rsidR="00117097" w:rsidRPr="00117097" w:rsidRDefault="00117097" w:rsidP="00117097">
      <w:pPr>
        <w:tabs>
          <w:tab w:val="left" w:pos="851"/>
        </w:tabs>
        <w:ind w:left="851"/>
        <w:rPr>
          <w:sz w:val="24"/>
          <w:szCs w:val="24"/>
          <w:lang w:val="fr-LU"/>
        </w:rPr>
      </w:pPr>
    </w:p>
    <w:p w:rsidR="00117097" w:rsidRPr="00117097" w:rsidRDefault="00117097" w:rsidP="00117097">
      <w:pPr>
        <w:tabs>
          <w:tab w:val="left" w:pos="851"/>
        </w:tabs>
        <w:ind w:left="851"/>
        <w:rPr>
          <w:sz w:val="24"/>
          <w:szCs w:val="24"/>
          <w:u w:val="single"/>
          <w:lang w:val="fr-LU"/>
        </w:rPr>
      </w:pPr>
      <w:r w:rsidRPr="00117097">
        <w:rPr>
          <w:sz w:val="24"/>
          <w:szCs w:val="24"/>
          <w:u w:val="single"/>
          <w:lang w:val="fr-LU"/>
        </w:rPr>
        <w:t>Fordeling</w:t>
      </w:r>
    </w:p>
    <w:p w:rsidR="00117097" w:rsidRPr="00117097" w:rsidRDefault="00117097" w:rsidP="00117097">
      <w:pPr>
        <w:tabs>
          <w:tab w:val="left" w:pos="851"/>
        </w:tabs>
        <w:ind w:left="851"/>
        <w:rPr>
          <w:sz w:val="24"/>
          <w:szCs w:val="24"/>
          <w:lang w:val="fr-LU"/>
        </w:rPr>
      </w:pPr>
      <w:r w:rsidRPr="00117097">
        <w:rPr>
          <w:sz w:val="24"/>
          <w:szCs w:val="24"/>
          <w:lang w:val="fr-LU"/>
        </w:rPr>
        <w:t>Etonogestrel er for 95,5 % – 99 % vedkommende bundet til plasmaproteinerne, hovedsageligt til albumin og i mindre grad til kønshormonbindende globulin (SHBG).</w:t>
      </w:r>
    </w:p>
    <w:p w:rsidR="00117097" w:rsidRPr="00117097" w:rsidRDefault="00117097" w:rsidP="00117097">
      <w:pPr>
        <w:tabs>
          <w:tab w:val="left" w:pos="851"/>
        </w:tabs>
        <w:ind w:left="851"/>
        <w:rPr>
          <w:sz w:val="24"/>
          <w:szCs w:val="24"/>
          <w:lang w:val="fr-LU"/>
        </w:rPr>
      </w:pPr>
    </w:p>
    <w:p w:rsidR="00117097" w:rsidRPr="00117097" w:rsidRDefault="00117097" w:rsidP="00117097">
      <w:pPr>
        <w:tabs>
          <w:tab w:val="left" w:pos="851"/>
        </w:tabs>
        <w:ind w:left="851"/>
        <w:rPr>
          <w:sz w:val="24"/>
          <w:szCs w:val="24"/>
          <w:u w:val="single"/>
          <w:lang w:val="fr-LU"/>
        </w:rPr>
      </w:pPr>
      <w:r w:rsidRPr="00117097">
        <w:rPr>
          <w:sz w:val="24"/>
          <w:szCs w:val="24"/>
          <w:u w:val="single"/>
          <w:lang w:val="fr-LU"/>
        </w:rPr>
        <w:t>Biotransformation</w:t>
      </w:r>
    </w:p>
    <w:p w:rsidR="00117097" w:rsidRPr="00117097" w:rsidRDefault="00117097" w:rsidP="00117097">
      <w:pPr>
        <w:tabs>
          <w:tab w:val="left" w:pos="851"/>
        </w:tabs>
        <w:ind w:left="851"/>
        <w:rPr>
          <w:sz w:val="24"/>
          <w:szCs w:val="24"/>
          <w:lang w:val="fr-LU"/>
        </w:rPr>
      </w:pPr>
      <w:r w:rsidRPr="00117097">
        <w:rPr>
          <w:sz w:val="24"/>
          <w:szCs w:val="24"/>
          <w:lang w:val="fr-LU"/>
        </w:rPr>
        <w:t>Desogestrel metaboliseres via hydroxylering og dehydrogenering til den aktive metabolit etonogestrel. Etonogestrel metaboliseres primært af cytochrom P450 3A (CYP3A)-isoenzymer og konjugeres efterfølgende med sulfat og glucuronid.</w:t>
      </w:r>
    </w:p>
    <w:p w:rsidR="00117097" w:rsidRPr="00117097" w:rsidRDefault="00117097" w:rsidP="00117097">
      <w:pPr>
        <w:tabs>
          <w:tab w:val="left" w:pos="851"/>
        </w:tabs>
        <w:ind w:left="851"/>
        <w:rPr>
          <w:sz w:val="24"/>
          <w:szCs w:val="24"/>
          <w:lang w:val="fr-LU"/>
        </w:rPr>
      </w:pPr>
    </w:p>
    <w:p w:rsidR="00117097" w:rsidRPr="00117097" w:rsidRDefault="00117097" w:rsidP="00117097">
      <w:pPr>
        <w:tabs>
          <w:tab w:val="left" w:pos="851"/>
        </w:tabs>
        <w:ind w:left="851"/>
        <w:rPr>
          <w:sz w:val="24"/>
          <w:szCs w:val="24"/>
          <w:u w:val="single"/>
          <w:lang w:val="fr-LU"/>
        </w:rPr>
      </w:pPr>
      <w:r w:rsidRPr="00117097">
        <w:rPr>
          <w:sz w:val="24"/>
          <w:szCs w:val="24"/>
          <w:u w:val="single"/>
          <w:lang w:val="fr-LU"/>
        </w:rPr>
        <w:lastRenderedPageBreak/>
        <w:t>Elimination</w:t>
      </w:r>
    </w:p>
    <w:p w:rsidR="00117097" w:rsidRPr="00117097" w:rsidRDefault="00117097" w:rsidP="00117097">
      <w:pPr>
        <w:tabs>
          <w:tab w:val="left" w:pos="851"/>
        </w:tabs>
        <w:ind w:left="851"/>
        <w:rPr>
          <w:sz w:val="24"/>
          <w:szCs w:val="24"/>
          <w:lang w:val="fr-LU"/>
        </w:rPr>
      </w:pPr>
      <w:r w:rsidRPr="00117097">
        <w:rPr>
          <w:sz w:val="24"/>
          <w:szCs w:val="24"/>
          <w:lang w:val="fr-LU"/>
        </w:rPr>
        <w:t xml:space="preserve">Etonogestrel elimineres med en gennemsnitlig halveringstid på ca. 30 timer, uden nogen forskel mellem enkelt og multipel dosering. Steady state niveauerne i plasma nås efter 4 </w:t>
      </w:r>
      <w:r w:rsidRPr="00117097">
        <w:rPr>
          <w:sz w:val="24"/>
          <w:szCs w:val="24"/>
        </w:rPr>
        <w:t xml:space="preserve">– </w:t>
      </w:r>
      <w:r w:rsidRPr="00117097">
        <w:rPr>
          <w:sz w:val="24"/>
          <w:szCs w:val="24"/>
          <w:lang w:val="fr-LU"/>
        </w:rPr>
        <w:t xml:space="preserve">5 dage. Serum clearance efter i.v. administration af etonogestrel er ca. 10 l/time. Udskillelse af etonogestrel og dets metabolitter, enten som frie steroider eller som konjugater, sker via urinen og faeces (ratio 1,5:1). Hos ammende kvinder udskilles etonogestrel i brystmælken med et mælk/serum forhold på 0,37 </w:t>
      </w:r>
      <w:r w:rsidRPr="00117097">
        <w:rPr>
          <w:sz w:val="24"/>
          <w:szCs w:val="24"/>
        </w:rPr>
        <w:t xml:space="preserve">– </w:t>
      </w:r>
      <w:r w:rsidRPr="00117097">
        <w:rPr>
          <w:sz w:val="24"/>
          <w:szCs w:val="24"/>
          <w:lang w:val="fr-LU"/>
        </w:rPr>
        <w:t xml:space="preserve">0,55. Udfra disse data og en estimeret mælkeindtagelse på 150 ml/kg/dag, kan 0,01 </w:t>
      </w:r>
      <w:r w:rsidRPr="00117097">
        <w:rPr>
          <w:sz w:val="24"/>
          <w:szCs w:val="24"/>
        </w:rPr>
        <w:t xml:space="preserve">– </w:t>
      </w:r>
      <w:r w:rsidRPr="00117097">
        <w:rPr>
          <w:sz w:val="24"/>
          <w:szCs w:val="24"/>
          <w:lang w:val="fr-LU"/>
        </w:rPr>
        <w:t>0,05 mikrogram etonogestrel blive indtaget af barnet.</w:t>
      </w:r>
    </w:p>
    <w:p w:rsidR="00117097" w:rsidRPr="00117097" w:rsidRDefault="00117097" w:rsidP="00117097">
      <w:pPr>
        <w:tabs>
          <w:tab w:val="left" w:pos="851"/>
        </w:tabs>
        <w:ind w:left="851"/>
        <w:rPr>
          <w:b/>
          <w:sz w:val="24"/>
          <w:szCs w:val="24"/>
        </w:rPr>
      </w:pPr>
    </w:p>
    <w:p w:rsidR="00117097" w:rsidRPr="00117097" w:rsidRDefault="00117097" w:rsidP="00117097">
      <w:pPr>
        <w:tabs>
          <w:tab w:val="left" w:pos="851"/>
        </w:tabs>
        <w:ind w:left="851"/>
        <w:rPr>
          <w:bCs/>
          <w:sz w:val="24"/>
          <w:szCs w:val="24"/>
          <w:u w:val="single"/>
        </w:rPr>
      </w:pPr>
      <w:r w:rsidRPr="00117097">
        <w:rPr>
          <w:bCs/>
          <w:sz w:val="24"/>
          <w:szCs w:val="24"/>
          <w:u w:val="single"/>
        </w:rPr>
        <w:t>Særlige populationer</w:t>
      </w:r>
    </w:p>
    <w:p w:rsidR="00822DC4" w:rsidRDefault="00822DC4" w:rsidP="00117097">
      <w:pPr>
        <w:tabs>
          <w:tab w:val="left" w:pos="851"/>
        </w:tabs>
        <w:ind w:left="851"/>
        <w:rPr>
          <w:bCs/>
          <w:i/>
          <w:iCs/>
          <w:sz w:val="24"/>
          <w:szCs w:val="24"/>
        </w:rPr>
      </w:pPr>
    </w:p>
    <w:p w:rsidR="00117097" w:rsidRPr="00117097" w:rsidRDefault="00117097" w:rsidP="00117097">
      <w:pPr>
        <w:tabs>
          <w:tab w:val="left" w:pos="851"/>
        </w:tabs>
        <w:ind w:left="851"/>
        <w:rPr>
          <w:bCs/>
          <w:i/>
          <w:iCs/>
          <w:sz w:val="24"/>
          <w:szCs w:val="24"/>
        </w:rPr>
      </w:pPr>
      <w:r w:rsidRPr="00117097">
        <w:rPr>
          <w:bCs/>
          <w:i/>
          <w:iCs/>
          <w:sz w:val="24"/>
          <w:szCs w:val="24"/>
        </w:rPr>
        <w:t>Virkning af nedsat nyrefunktion</w:t>
      </w:r>
    </w:p>
    <w:p w:rsidR="00117097" w:rsidRPr="00117097" w:rsidRDefault="00117097" w:rsidP="00117097">
      <w:pPr>
        <w:tabs>
          <w:tab w:val="left" w:pos="851"/>
        </w:tabs>
        <w:ind w:left="851"/>
        <w:rPr>
          <w:bCs/>
          <w:sz w:val="24"/>
          <w:szCs w:val="24"/>
        </w:rPr>
      </w:pPr>
      <w:r w:rsidRPr="00117097">
        <w:rPr>
          <w:bCs/>
          <w:sz w:val="24"/>
          <w:szCs w:val="24"/>
        </w:rPr>
        <w:t>Der er ikke udført studier til vurdering af virkningen af nyresygdom på desogestrels farmakokinetik.</w:t>
      </w:r>
    </w:p>
    <w:p w:rsidR="00117097" w:rsidRPr="00117097" w:rsidRDefault="00117097" w:rsidP="00117097">
      <w:pPr>
        <w:tabs>
          <w:tab w:val="left" w:pos="851"/>
        </w:tabs>
        <w:ind w:left="851"/>
        <w:rPr>
          <w:bCs/>
          <w:sz w:val="24"/>
          <w:szCs w:val="24"/>
        </w:rPr>
      </w:pPr>
    </w:p>
    <w:p w:rsidR="00117097" w:rsidRPr="00117097" w:rsidRDefault="00117097" w:rsidP="00117097">
      <w:pPr>
        <w:tabs>
          <w:tab w:val="left" w:pos="851"/>
        </w:tabs>
        <w:ind w:left="851"/>
        <w:rPr>
          <w:bCs/>
          <w:i/>
          <w:iCs/>
          <w:sz w:val="24"/>
          <w:szCs w:val="24"/>
        </w:rPr>
      </w:pPr>
      <w:r w:rsidRPr="00117097">
        <w:rPr>
          <w:bCs/>
          <w:i/>
          <w:iCs/>
          <w:sz w:val="24"/>
          <w:szCs w:val="24"/>
        </w:rPr>
        <w:t>Virkning af nedsat leverfunktion</w:t>
      </w:r>
    </w:p>
    <w:p w:rsidR="00117097" w:rsidRPr="00117097" w:rsidRDefault="00117097" w:rsidP="00117097">
      <w:pPr>
        <w:tabs>
          <w:tab w:val="left" w:pos="851"/>
        </w:tabs>
        <w:ind w:left="851"/>
        <w:rPr>
          <w:sz w:val="24"/>
          <w:szCs w:val="24"/>
        </w:rPr>
      </w:pPr>
      <w:r w:rsidRPr="00117097">
        <w:rPr>
          <w:sz w:val="24"/>
          <w:szCs w:val="24"/>
        </w:rPr>
        <w:t xml:space="preserve">Der er ikke udført studier til vurdering af virkningen af leversygdom på desogestrels farmakokinetik. Omsætningen af steroidhormoner kan dog være nedsat hos kvinder med nedsat leverfunktion. </w:t>
      </w:r>
    </w:p>
    <w:p w:rsidR="00117097" w:rsidRPr="00117097" w:rsidRDefault="00117097" w:rsidP="00117097">
      <w:pPr>
        <w:tabs>
          <w:tab w:val="left" w:pos="851"/>
        </w:tabs>
        <w:ind w:left="851"/>
        <w:rPr>
          <w:bCs/>
          <w:sz w:val="24"/>
          <w:szCs w:val="24"/>
        </w:rPr>
      </w:pPr>
    </w:p>
    <w:p w:rsidR="00117097" w:rsidRPr="00117097" w:rsidRDefault="00117097" w:rsidP="00117097">
      <w:pPr>
        <w:tabs>
          <w:tab w:val="left" w:pos="851"/>
        </w:tabs>
        <w:ind w:left="851"/>
        <w:rPr>
          <w:bCs/>
          <w:i/>
          <w:iCs/>
          <w:sz w:val="24"/>
          <w:szCs w:val="24"/>
        </w:rPr>
      </w:pPr>
      <w:r w:rsidRPr="00117097">
        <w:rPr>
          <w:bCs/>
          <w:i/>
          <w:iCs/>
          <w:sz w:val="24"/>
          <w:szCs w:val="24"/>
        </w:rPr>
        <w:t>Etniske grupper</w:t>
      </w:r>
    </w:p>
    <w:p w:rsidR="00117097" w:rsidRPr="00117097" w:rsidRDefault="00117097" w:rsidP="00117097">
      <w:pPr>
        <w:tabs>
          <w:tab w:val="left" w:pos="851"/>
        </w:tabs>
        <w:ind w:left="851"/>
        <w:rPr>
          <w:bCs/>
          <w:sz w:val="24"/>
          <w:szCs w:val="24"/>
        </w:rPr>
      </w:pPr>
      <w:r w:rsidRPr="00117097">
        <w:rPr>
          <w:bCs/>
          <w:sz w:val="24"/>
          <w:szCs w:val="24"/>
        </w:rPr>
        <w:t>Der er ikke udført studier til vurdering af farmakokinetikken hos etniske grupper.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97606E" w:rsidRPr="0097606E" w:rsidRDefault="0097606E" w:rsidP="0097606E">
      <w:pPr>
        <w:tabs>
          <w:tab w:val="left" w:pos="851"/>
        </w:tabs>
        <w:ind w:left="851"/>
        <w:rPr>
          <w:sz w:val="24"/>
          <w:szCs w:val="24"/>
          <w:lang w:val="fr-LU"/>
        </w:rPr>
      </w:pPr>
      <w:r w:rsidRPr="0097606E">
        <w:rPr>
          <w:sz w:val="24"/>
          <w:szCs w:val="24"/>
          <w:lang w:val="fr-LU"/>
        </w:rPr>
        <w:t>Toksikologiske studier har ikke afsløret andre virkninger end de</w:t>
      </w:r>
      <w:r>
        <w:rPr>
          <w:sz w:val="24"/>
          <w:szCs w:val="24"/>
          <w:lang w:val="fr-LU"/>
        </w:rPr>
        <w:t>n</w:t>
      </w:r>
      <w:r w:rsidRPr="0097606E">
        <w:rPr>
          <w:sz w:val="24"/>
          <w:szCs w:val="24"/>
          <w:lang w:val="fr-LU"/>
        </w:rPr>
        <w:t>, som kan forklares ud</w:t>
      </w:r>
      <w:r>
        <w:rPr>
          <w:sz w:val="24"/>
          <w:szCs w:val="24"/>
          <w:lang w:val="fr-LU"/>
        </w:rPr>
        <w:t xml:space="preserve"> </w:t>
      </w:r>
      <w:r w:rsidRPr="0097606E">
        <w:rPr>
          <w:sz w:val="24"/>
          <w:szCs w:val="24"/>
          <w:lang w:val="fr-LU"/>
        </w:rPr>
        <w:t>fra desogestrels hormonprofil.</w:t>
      </w:r>
    </w:p>
    <w:p w:rsidR="0097606E" w:rsidRPr="0097606E" w:rsidRDefault="0097606E" w:rsidP="0097606E">
      <w:pPr>
        <w:tabs>
          <w:tab w:val="left" w:pos="851"/>
        </w:tabs>
        <w:ind w:left="851"/>
        <w:rPr>
          <w:sz w:val="24"/>
          <w:szCs w:val="24"/>
          <w:lang w:val="fr-LU"/>
        </w:rPr>
      </w:pPr>
    </w:p>
    <w:p w:rsidR="0097606E" w:rsidRPr="0097606E" w:rsidRDefault="0097606E" w:rsidP="0097606E">
      <w:pPr>
        <w:tabs>
          <w:tab w:val="left" w:pos="851"/>
        </w:tabs>
        <w:ind w:left="851"/>
        <w:rPr>
          <w:sz w:val="24"/>
          <w:szCs w:val="24"/>
          <w:u w:val="single"/>
          <w:lang w:val="fr-LU"/>
        </w:rPr>
      </w:pPr>
      <w:r w:rsidRPr="0097606E">
        <w:rPr>
          <w:sz w:val="24"/>
          <w:szCs w:val="24"/>
          <w:u w:val="single"/>
          <w:lang w:val="fr-LU"/>
        </w:rPr>
        <w:t>Miljørisikovurdering</w:t>
      </w:r>
    </w:p>
    <w:p w:rsidR="0097606E" w:rsidRPr="0097606E" w:rsidRDefault="0097606E" w:rsidP="0097606E">
      <w:pPr>
        <w:tabs>
          <w:tab w:val="left" w:pos="851"/>
        </w:tabs>
        <w:ind w:left="851"/>
        <w:rPr>
          <w:sz w:val="24"/>
          <w:szCs w:val="24"/>
          <w:lang w:val="fr-LU"/>
        </w:rPr>
      </w:pPr>
      <w:r w:rsidRPr="0097606E">
        <w:rPr>
          <w:sz w:val="24"/>
          <w:szCs w:val="24"/>
          <w:lang w:val="fr-LU"/>
        </w:rPr>
        <w:t>Det aktive stof etonogestrel udviser en miljømæssig risiko for fisk.</w:t>
      </w:r>
    </w:p>
    <w:p w:rsidR="009260DE" w:rsidRPr="0097606E" w:rsidRDefault="009260DE" w:rsidP="009260DE">
      <w:pPr>
        <w:tabs>
          <w:tab w:val="left" w:pos="851"/>
        </w:tabs>
        <w:ind w:left="851"/>
        <w:rPr>
          <w:sz w:val="24"/>
          <w:szCs w:val="24"/>
          <w:lang w:val="fr-LU"/>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60558D" w:rsidRDefault="0060558D" w:rsidP="0060558D">
      <w:pPr>
        <w:tabs>
          <w:tab w:val="left" w:pos="851"/>
        </w:tabs>
        <w:ind w:left="851"/>
        <w:rPr>
          <w:b/>
          <w:sz w:val="24"/>
          <w:szCs w:val="24"/>
        </w:rPr>
      </w:pPr>
    </w:p>
    <w:p w:rsidR="0060558D" w:rsidRPr="0060558D" w:rsidRDefault="0060558D" w:rsidP="0060558D">
      <w:pPr>
        <w:tabs>
          <w:tab w:val="left" w:pos="851"/>
        </w:tabs>
        <w:ind w:left="851"/>
        <w:rPr>
          <w:sz w:val="24"/>
          <w:szCs w:val="24"/>
          <w:u w:val="single"/>
        </w:rPr>
      </w:pPr>
      <w:r w:rsidRPr="0060558D">
        <w:rPr>
          <w:sz w:val="24"/>
          <w:szCs w:val="24"/>
          <w:u w:val="single"/>
        </w:rPr>
        <w:t>Tabletkerne</w:t>
      </w:r>
    </w:p>
    <w:p w:rsidR="0060558D" w:rsidRPr="0060558D" w:rsidRDefault="0060558D" w:rsidP="0060558D">
      <w:pPr>
        <w:tabs>
          <w:tab w:val="left" w:pos="851"/>
        </w:tabs>
        <w:ind w:left="851"/>
        <w:rPr>
          <w:bCs/>
          <w:sz w:val="24"/>
          <w:szCs w:val="24"/>
        </w:rPr>
      </w:pPr>
      <w:r w:rsidRPr="0060558D">
        <w:rPr>
          <w:bCs/>
          <w:sz w:val="24"/>
          <w:szCs w:val="24"/>
        </w:rPr>
        <w:t>Lactosemonohydrat</w:t>
      </w:r>
    </w:p>
    <w:p w:rsidR="0060558D" w:rsidRPr="0060558D" w:rsidRDefault="0060558D" w:rsidP="0060558D">
      <w:pPr>
        <w:tabs>
          <w:tab w:val="left" w:pos="851"/>
        </w:tabs>
        <w:ind w:left="851"/>
        <w:rPr>
          <w:bCs/>
          <w:sz w:val="24"/>
          <w:szCs w:val="24"/>
        </w:rPr>
      </w:pPr>
      <w:r w:rsidRPr="0060558D">
        <w:rPr>
          <w:bCs/>
          <w:sz w:val="24"/>
          <w:szCs w:val="24"/>
        </w:rPr>
        <w:t>Majsstivelse</w:t>
      </w:r>
    </w:p>
    <w:p w:rsidR="0060558D" w:rsidRPr="005411D4" w:rsidRDefault="0060558D" w:rsidP="0060558D">
      <w:pPr>
        <w:tabs>
          <w:tab w:val="left" w:pos="851"/>
        </w:tabs>
        <w:ind w:left="851"/>
        <w:rPr>
          <w:bCs/>
          <w:sz w:val="24"/>
          <w:szCs w:val="24"/>
          <w:lang w:val="en-US"/>
        </w:rPr>
      </w:pPr>
      <w:r w:rsidRPr="005411D4">
        <w:rPr>
          <w:bCs/>
          <w:sz w:val="24"/>
          <w:szCs w:val="24"/>
          <w:lang w:val="en-US"/>
        </w:rPr>
        <w:t>Povidon (E1201)</w:t>
      </w:r>
    </w:p>
    <w:p w:rsidR="0060558D" w:rsidRPr="005411D4" w:rsidRDefault="0060558D" w:rsidP="0060558D">
      <w:pPr>
        <w:tabs>
          <w:tab w:val="left" w:pos="851"/>
        </w:tabs>
        <w:ind w:left="851"/>
        <w:rPr>
          <w:bCs/>
          <w:sz w:val="24"/>
          <w:szCs w:val="24"/>
          <w:lang w:val="en-US"/>
        </w:rPr>
      </w:pPr>
      <w:r w:rsidRPr="005411D4">
        <w:rPr>
          <w:bCs/>
          <w:sz w:val="24"/>
          <w:szCs w:val="24"/>
          <w:lang w:val="en-US"/>
        </w:rPr>
        <w:t>RRR-</w:t>
      </w:r>
      <w:r w:rsidRPr="0060558D">
        <w:rPr>
          <w:sz w:val="24"/>
          <w:szCs w:val="24"/>
          <w:lang w:val="fr-LU"/>
        </w:rPr>
        <w:t>α</w:t>
      </w:r>
      <w:r w:rsidRPr="005411D4">
        <w:rPr>
          <w:bCs/>
          <w:sz w:val="24"/>
          <w:szCs w:val="24"/>
          <w:lang w:val="en-US"/>
        </w:rPr>
        <w:t>-Tocopherol (E307)</w:t>
      </w:r>
    </w:p>
    <w:p w:rsidR="0060558D" w:rsidRPr="0060558D" w:rsidRDefault="0060558D" w:rsidP="0060558D">
      <w:pPr>
        <w:tabs>
          <w:tab w:val="left" w:pos="851"/>
        </w:tabs>
        <w:ind w:left="851"/>
        <w:rPr>
          <w:bCs/>
          <w:sz w:val="24"/>
          <w:szCs w:val="24"/>
        </w:rPr>
      </w:pPr>
      <w:r w:rsidRPr="0060558D">
        <w:rPr>
          <w:bCs/>
          <w:sz w:val="24"/>
          <w:szCs w:val="24"/>
        </w:rPr>
        <w:t>Sojaolie</w:t>
      </w:r>
    </w:p>
    <w:p w:rsidR="0060558D" w:rsidRPr="0060558D" w:rsidRDefault="0060558D" w:rsidP="0060558D">
      <w:pPr>
        <w:tabs>
          <w:tab w:val="left" w:pos="851"/>
        </w:tabs>
        <w:ind w:left="851"/>
        <w:rPr>
          <w:bCs/>
          <w:sz w:val="24"/>
          <w:szCs w:val="24"/>
        </w:rPr>
      </w:pPr>
      <w:r w:rsidRPr="0060558D">
        <w:rPr>
          <w:bCs/>
          <w:sz w:val="24"/>
          <w:szCs w:val="24"/>
        </w:rPr>
        <w:t>Silica, kolloid vandfri (E551)</w:t>
      </w:r>
    </w:p>
    <w:p w:rsidR="0060558D" w:rsidRPr="0060558D" w:rsidRDefault="0060558D" w:rsidP="0060558D">
      <w:pPr>
        <w:tabs>
          <w:tab w:val="left" w:pos="851"/>
        </w:tabs>
        <w:ind w:left="851"/>
        <w:rPr>
          <w:bCs/>
          <w:sz w:val="24"/>
          <w:szCs w:val="24"/>
        </w:rPr>
      </w:pPr>
      <w:r w:rsidRPr="0060558D">
        <w:rPr>
          <w:bCs/>
          <w:sz w:val="24"/>
          <w:szCs w:val="24"/>
        </w:rPr>
        <w:t>Silica, kolloid (E551)</w:t>
      </w:r>
    </w:p>
    <w:p w:rsidR="0060558D" w:rsidRPr="0060558D" w:rsidRDefault="0060558D" w:rsidP="0060558D">
      <w:pPr>
        <w:tabs>
          <w:tab w:val="left" w:pos="851"/>
        </w:tabs>
        <w:ind w:left="851"/>
        <w:rPr>
          <w:bCs/>
          <w:sz w:val="24"/>
          <w:szCs w:val="24"/>
        </w:rPr>
      </w:pPr>
      <w:r w:rsidRPr="0060558D">
        <w:rPr>
          <w:bCs/>
          <w:sz w:val="24"/>
          <w:szCs w:val="24"/>
        </w:rPr>
        <w:t>Stearinsyre (E570)</w:t>
      </w:r>
    </w:p>
    <w:p w:rsidR="0060558D" w:rsidRPr="0060558D" w:rsidRDefault="0060558D" w:rsidP="0060558D">
      <w:pPr>
        <w:tabs>
          <w:tab w:val="left" w:pos="851"/>
        </w:tabs>
        <w:ind w:left="851"/>
        <w:rPr>
          <w:sz w:val="24"/>
          <w:szCs w:val="24"/>
        </w:rPr>
      </w:pPr>
    </w:p>
    <w:p w:rsidR="0060558D" w:rsidRPr="0060558D" w:rsidRDefault="0060558D" w:rsidP="0060558D">
      <w:pPr>
        <w:tabs>
          <w:tab w:val="left" w:pos="851"/>
        </w:tabs>
        <w:ind w:left="851"/>
        <w:rPr>
          <w:bCs/>
          <w:sz w:val="24"/>
          <w:szCs w:val="24"/>
          <w:u w:val="single"/>
        </w:rPr>
      </w:pPr>
      <w:r w:rsidRPr="0060558D">
        <w:rPr>
          <w:bCs/>
          <w:sz w:val="24"/>
          <w:szCs w:val="24"/>
          <w:u w:val="single"/>
        </w:rPr>
        <w:t>Overtræk</w:t>
      </w:r>
    </w:p>
    <w:p w:rsidR="0060558D" w:rsidRPr="0060558D" w:rsidRDefault="0060558D" w:rsidP="0060558D">
      <w:pPr>
        <w:tabs>
          <w:tab w:val="left" w:pos="851"/>
        </w:tabs>
        <w:ind w:left="851"/>
        <w:rPr>
          <w:sz w:val="24"/>
          <w:szCs w:val="24"/>
        </w:rPr>
      </w:pPr>
      <w:r w:rsidRPr="0060558D">
        <w:rPr>
          <w:sz w:val="24"/>
          <w:szCs w:val="24"/>
        </w:rPr>
        <w:t>Hypromellose</w:t>
      </w:r>
    </w:p>
    <w:p w:rsidR="0060558D" w:rsidRPr="0060558D" w:rsidRDefault="0060558D" w:rsidP="0060558D">
      <w:pPr>
        <w:tabs>
          <w:tab w:val="left" w:pos="851"/>
        </w:tabs>
        <w:ind w:left="851"/>
        <w:rPr>
          <w:sz w:val="24"/>
          <w:szCs w:val="24"/>
        </w:rPr>
      </w:pPr>
      <w:r w:rsidRPr="0060558D">
        <w:rPr>
          <w:sz w:val="24"/>
          <w:szCs w:val="24"/>
        </w:rPr>
        <w:t>Macrogol</w:t>
      </w:r>
    </w:p>
    <w:p w:rsidR="0060558D" w:rsidRPr="0060558D" w:rsidRDefault="0060558D" w:rsidP="0060558D">
      <w:pPr>
        <w:tabs>
          <w:tab w:val="left" w:pos="851"/>
        </w:tabs>
        <w:ind w:left="851"/>
        <w:rPr>
          <w:sz w:val="24"/>
          <w:szCs w:val="24"/>
        </w:rPr>
      </w:pPr>
      <w:r w:rsidRPr="0060558D">
        <w:rPr>
          <w:sz w:val="24"/>
          <w:szCs w:val="24"/>
        </w:rPr>
        <w:t>Titandioxid (E171)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6.2</w:t>
      </w:r>
      <w:r w:rsidRPr="00C84483">
        <w:rPr>
          <w:b/>
          <w:sz w:val="24"/>
          <w:szCs w:val="24"/>
        </w:rPr>
        <w:tab/>
        <w:t>Uforligeligheder</w:t>
      </w:r>
    </w:p>
    <w:p w:rsidR="0060558D" w:rsidRPr="0060558D" w:rsidRDefault="0060558D" w:rsidP="0060558D">
      <w:pPr>
        <w:tabs>
          <w:tab w:val="left" w:pos="851"/>
        </w:tabs>
        <w:ind w:left="851"/>
        <w:rPr>
          <w:sz w:val="24"/>
          <w:szCs w:val="24"/>
        </w:rPr>
      </w:pPr>
      <w:r w:rsidRPr="0060558D">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9260DE" w:rsidP="009260DE">
      <w:pPr>
        <w:tabs>
          <w:tab w:val="left" w:pos="851"/>
        </w:tabs>
        <w:ind w:left="851" w:hanging="851"/>
        <w:rPr>
          <w:sz w:val="24"/>
          <w:szCs w:val="24"/>
        </w:rPr>
      </w:pPr>
      <w:r w:rsidRPr="00C84483">
        <w:rPr>
          <w:sz w:val="24"/>
          <w:szCs w:val="24"/>
        </w:rPr>
        <w:tab/>
      </w:r>
      <w:r w:rsidR="00870F84">
        <w:rPr>
          <w:sz w:val="24"/>
          <w:szCs w:val="24"/>
        </w:rPr>
        <w:t>2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870F84" w:rsidRDefault="00870F84" w:rsidP="00870F84">
      <w:pPr>
        <w:tabs>
          <w:tab w:val="left" w:pos="851"/>
        </w:tabs>
        <w:ind w:left="851"/>
        <w:rPr>
          <w:sz w:val="24"/>
          <w:szCs w:val="24"/>
        </w:rPr>
      </w:pPr>
      <w:r w:rsidRPr="00870F84">
        <w:rPr>
          <w:sz w:val="24"/>
          <w:szCs w:val="24"/>
        </w:rPr>
        <w:t>Må ikke opbevares over 30</w:t>
      </w:r>
      <w:r>
        <w:rPr>
          <w:sz w:val="24"/>
          <w:szCs w:val="24"/>
        </w:rPr>
        <w:t xml:space="preserve"> ℃</w:t>
      </w:r>
      <w:r w:rsidRPr="00870F84">
        <w:rPr>
          <w:sz w:val="24"/>
          <w:szCs w:val="24"/>
        </w:rPr>
        <w:t>.</w:t>
      </w:r>
    </w:p>
    <w:p w:rsidR="00870F84" w:rsidRDefault="00870F84" w:rsidP="00870F84">
      <w:pPr>
        <w:tabs>
          <w:tab w:val="left" w:pos="851"/>
        </w:tabs>
        <w:ind w:left="851"/>
        <w:rPr>
          <w:sz w:val="24"/>
          <w:szCs w:val="24"/>
        </w:rPr>
      </w:pPr>
    </w:p>
    <w:p w:rsidR="00870F84" w:rsidRPr="00870F84" w:rsidRDefault="00870F84" w:rsidP="00870F84">
      <w:pPr>
        <w:tabs>
          <w:tab w:val="left" w:pos="851"/>
        </w:tabs>
        <w:ind w:left="851"/>
        <w:rPr>
          <w:sz w:val="24"/>
          <w:szCs w:val="24"/>
        </w:rPr>
      </w:pPr>
      <w:r w:rsidRPr="00870F84">
        <w:rPr>
          <w:sz w:val="24"/>
          <w:szCs w:val="24"/>
        </w:rPr>
        <w:t>Opbevar i den originale blisterpakning for at beskytte mod lys.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926561" w:rsidRPr="00926561" w:rsidRDefault="00926561" w:rsidP="00926561">
      <w:pPr>
        <w:tabs>
          <w:tab w:val="left" w:pos="851"/>
        </w:tabs>
        <w:ind w:left="851"/>
        <w:rPr>
          <w:bCs/>
          <w:sz w:val="24"/>
          <w:szCs w:val="24"/>
        </w:rPr>
      </w:pPr>
      <w:r w:rsidRPr="00926561">
        <w:rPr>
          <w:bCs/>
          <w:sz w:val="24"/>
          <w:szCs w:val="24"/>
        </w:rPr>
        <w:t>Blister af aluminium tryk-ud folie og PVC/PVDC film.</w:t>
      </w:r>
    </w:p>
    <w:p w:rsidR="00926561" w:rsidRPr="00926561" w:rsidRDefault="00926561" w:rsidP="00926561">
      <w:pPr>
        <w:tabs>
          <w:tab w:val="left" w:pos="851"/>
        </w:tabs>
        <w:ind w:left="851"/>
        <w:rPr>
          <w:bCs/>
          <w:sz w:val="24"/>
          <w:szCs w:val="24"/>
        </w:rPr>
      </w:pPr>
    </w:p>
    <w:p w:rsidR="00926561" w:rsidRPr="00926561" w:rsidRDefault="00926561" w:rsidP="00926561">
      <w:pPr>
        <w:tabs>
          <w:tab w:val="left" w:pos="851"/>
        </w:tabs>
        <w:ind w:left="851"/>
        <w:rPr>
          <w:bCs/>
          <w:sz w:val="24"/>
          <w:szCs w:val="24"/>
          <w:u w:val="single"/>
        </w:rPr>
      </w:pPr>
      <w:r w:rsidRPr="00926561">
        <w:rPr>
          <w:bCs/>
          <w:sz w:val="24"/>
          <w:szCs w:val="24"/>
          <w:u w:val="single"/>
        </w:rPr>
        <w:t>Pakningsstørrelser:</w:t>
      </w:r>
    </w:p>
    <w:p w:rsidR="00926561" w:rsidRPr="00926561" w:rsidRDefault="00926561" w:rsidP="00926561">
      <w:pPr>
        <w:tabs>
          <w:tab w:val="left" w:pos="851"/>
        </w:tabs>
        <w:ind w:left="851"/>
        <w:rPr>
          <w:bCs/>
          <w:sz w:val="24"/>
          <w:szCs w:val="24"/>
        </w:rPr>
      </w:pPr>
      <w:r w:rsidRPr="00926561">
        <w:rPr>
          <w:bCs/>
          <w:sz w:val="24"/>
          <w:szCs w:val="24"/>
        </w:rPr>
        <w:t>1</w:t>
      </w:r>
      <w:r>
        <w:rPr>
          <w:bCs/>
          <w:sz w:val="24"/>
          <w:szCs w:val="24"/>
        </w:rPr>
        <w:t>×</w:t>
      </w:r>
      <w:r w:rsidRPr="00926561">
        <w:rPr>
          <w:bCs/>
          <w:sz w:val="24"/>
          <w:szCs w:val="24"/>
        </w:rPr>
        <w:t>28</w:t>
      </w:r>
      <w:r w:rsidR="000C2555">
        <w:rPr>
          <w:bCs/>
          <w:sz w:val="24"/>
          <w:szCs w:val="24"/>
        </w:rPr>
        <w:t xml:space="preserve">, </w:t>
      </w:r>
      <w:r w:rsidRPr="00926561">
        <w:rPr>
          <w:bCs/>
          <w:sz w:val="24"/>
          <w:szCs w:val="24"/>
        </w:rPr>
        <w:t>3</w:t>
      </w:r>
      <w:r>
        <w:rPr>
          <w:bCs/>
          <w:sz w:val="24"/>
          <w:szCs w:val="24"/>
        </w:rPr>
        <w:t>×</w:t>
      </w:r>
      <w:r w:rsidRPr="00926561">
        <w:rPr>
          <w:bCs/>
          <w:sz w:val="24"/>
          <w:szCs w:val="24"/>
        </w:rPr>
        <w:t>28</w:t>
      </w:r>
      <w:r w:rsidR="000C2555">
        <w:rPr>
          <w:bCs/>
          <w:sz w:val="24"/>
          <w:szCs w:val="24"/>
        </w:rPr>
        <w:t xml:space="preserve">, </w:t>
      </w:r>
      <w:r w:rsidRPr="00926561">
        <w:rPr>
          <w:bCs/>
          <w:sz w:val="24"/>
          <w:szCs w:val="24"/>
        </w:rPr>
        <w:t>6</w:t>
      </w:r>
      <w:r>
        <w:rPr>
          <w:bCs/>
          <w:sz w:val="24"/>
          <w:szCs w:val="24"/>
        </w:rPr>
        <w:t>×</w:t>
      </w:r>
      <w:r w:rsidRPr="00926561">
        <w:rPr>
          <w:bCs/>
          <w:sz w:val="24"/>
          <w:szCs w:val="24"/>
        </w:rPr>
        <w:t>28</w:t>
      </w:r>
      <w:r w:rsidR="000C2555">
        <w:rPr>
          <w:bCs/>
          <w:sz w:val="24"/>
          <w:szCs w:val="24"/>
        </w:rPr>
        <w:t xml:space="preserve"> og </w:t>
      </w:r>
      <w:r w:rsidRPr="00926561">
        <w:rPr>
          <w:bCs/>
          <w:sz w:val="24"/>
          <w:szCs w:val="24"/>
        </w:rPr>
        <w:t>13</w:t>
      </w:r>
      <w:r>
        <w:rPr>
          <w:bCs/>
          <w:sz w:val="24"/>
          <w:szCs w:val="24"/>
        </w:rPr>
        <w:t>×</w:t>
      </w:r>
      <w:r w:rsidRPr="00926561">
        <w:rPr>
          <w:bCs/>
          <w:sz w:val="24"/>
          <w:szCs w:val="24"/>
        </w:rPr>
        <w:t>28 filmovertrukne tabletter</w:t>
      </w:r>
      <w:r w:rsidR="000C2555">
        <w:rPr>
          <w:bCs/>
          <w:sz w:val="24"/>
          <w:szCs w:val="24"/>
        </w:rPr>
        <w:t>.</w:t>
      </w:r>
    </w:p>
    <w:p w:rsidR="00926561" w:rsidRPr="00926561" w:rsidRDefault="00926561" w:rsidP="00926561">
      <w:pPr>
        <w:tabs>
          <w:tab w:val="left" w:pos="851"/>
        </w:tabs>
        <w:ind w:left="851"/>
        <w:rPr>
          <w:sz w:val="24"/>
          <w:szCs w:val="24"/>
        </w:rPr>
      </w:pPr>
    </w:p>
    <w:p w:rsidR="00926561" w:rsidRPr="00926561" w:rsidRDefault="00926561" w:rsidP="00926561">
      <w:pPr>
        <w:tabs>
          <w:tab w:val="left" w:pos="851"/>
        </w:tabs>
        <w:ind w:left="851"/>
        <w:rPr>
          <w:sz w:val="24"/>
          <w:szCs w:val="24"/>
        </w:rPr>
      </w:pPr>
      <w:r w:rsidRPr="00926561">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0C2555" w:rsidRDefault="000C2555" w:rsidP="000C2555">
      <w:pPr>
        <w:tabs>
          <w:tab w:val="left" w:pos="851"/>
        </w:tabs>
        <w:ind w:left="851"/>
        <w:rPr>
          <w:sz w:val="24"/>
          <w:szCs w:val="24"/>
          <w:lang w:val="fr-LU"/>
        </w:rPr>
      </w:pPr>
      <w:r w:rsidRPr="000C2555">
        <w:rPr>
          <w:sz w:val="24"/>
          <w:szCs w:val="24"/>
          <w:lang w:val="fr-LU"/>
        </w:rPr>
        <w:t>Det aktive stof etonogestrel udviser en miljømæssig risiko for fisk.</w:t>
      </w:r>
    </w:p>
    <w:p w:rsidR="000C2555" w:rsidRPr="000C2555" w:rsidRDefault="000C2555" w:rsidP="000C2555">
      <w:pPr>
        <w:tabs>
          <w:tab w:val="left" w:pos="851"/>
        </w:tabs>
        <w:ind w:left="851"/>
        <w:rPr>
          <w:sz w:val="24"/>
          <w:szCs w:val="24"/>
          <w:lang w:val="fr-LU"/>
        </w:rPr>
      </w:pPr>
    </w:p>
    <w:p w:rsidR="000C2555" w:rsidRPr="000C2555" w:rsidRDefault="000C2555" w:rsidP="000C2555">
      <w:pPr>
        <w:tabs>
          <w:tab w:val="left" w:pos="851"/>
        </w:tabs>
        <w:ind w:left="851"/>
        <w:rPr>
          <w:sz w:val="24"/>
          <w:szCs w:val="24"/>
          <w:lang w:val="fr-LU"/>
        </w:rPr>
      </w:pPr>
      <w:r w:rsidRPr="000C2555">
        <w:rPr>
          <w:sz w:val="24"/>
          <w:szCs w:val="24"/>
          <w:lang w:val="fr-LU"/>
        </w:rPr>
        <w:t>Ikke anvendt lægemiddel samt affald heraf skal bortskaffes i henhold til lokale retningslinjer.</w:t>
      </w:r>
    </w:p>
    <w:p w:rsidR="009260DE" w:rsidRPr="000C2555" w:rsidRDefault="009260DE" w:rsidP="000730CA">
      <w:pPr>
        <w:tabs>
          <w:tab w:val="left" w:pos="851"/>
        </w:tabs>
        <w:ind w:left="851"/>
        <w:rPr>
          <w:sz w:val="24"/>
          <w:szCs w:val="24"/>
          <w:lang w:val="fr-LU"/>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0C2555" w:rsidRPr="000C2555" w:rsidRDefault="000C2555" w:rsidP="000C2555">
      <w:pPr>
        <w:tabs>
          <w:tab w:val="left" w:pos="851"/>
        </w:tabs>
        <w:ind w:left="851"/>
        <w:rPr>
          <w:sz w:val="24"/>
          <w:szCs w:val="24"/>
        </w:rPr>
      </w:pPr>
      <w:r w:rsidRPr="000C2555">
        <w:rPr>
          <w:sz w:val="24"/>
          <w:szCs w:val="24"/>
        </w:rPr>
        <w:t>S</w:t>
      </w:r>
      <w:r w:rsidR="00DA0EF5">
        <w:rPr>
          <w:sz w:val="24"/>
          <w:szCs w:val="24"/>
        </w:rPr>
        <w:t>tada</w:t>
      </w:r>
      <w:r w:rsidRPr="000C2555">
        <w:rPr>
          <w:sz w:val="24"/>
          <w:szCs w:val="24"/>
        </w:rPr>
        <w:t xml:space="preserve"> Arzneimittel AG</w:t>
      </w:r>
    </w:p>
    <w:p w:rsidR="000C2555" w:rsidRPr="000C2555" w:rsidRDefault="000C2555" w:rsidP="000C2555">
      <w:pPr>
        <w:tabs>
          <w:tab w:val="left" w:pos="851"/>
        </w:tabs>
        <w:ind w:left="851"/>
        <w:rPr>
          <w:sz w:val="24"/>
          <w:szCs w:val="24"/>
        </w:rPr>
      </w:pPr>
      <w:r w:rsidRPr="000C2555">
        <w:rPr>
          <w:sz w:val="24"/>
          <w:szCs w:val="24"/>
        </w:rPr>
        <w:t>Stadastrasse 2-18</w:t>
      </w:r>
    </w:p>
    <w:p w:rsidR="000C2555" w:rsidRPr="000C2555" w:rsidRDefault="000C2555" w:rsidP="000C2555">
      <w:pPr>
        <w:tabs>
          <w:tab w:val="left" w:pos="851"/>
        </w:tabs>
        <w:ind w:left="851"/>
        <w:rPr>
          <w:sz w:val="24"/>
          <w:szCs w:val="24"/>
        </w:rPr>
      </w:pPr>
      <w:r w:rsidRPr="000C2555">
        <w:rPr>
          <w:sz w:val="24"/>
          <w:szCs w:val="24"/>
        </w:rPr>
        <w:t>61118 Bad Vilbel</w:t>
      </w:r>
    </w:p>
    <w:p w:rsidR="000C2555" w:rsidRPr="000C2555" w:rsidRDefault="000C2555" w:rsidP="000C2555">
      <w:pPr>
        <w:tabs>
          <w:tab w:val="left" w:pos="851"/>
        </w:tabs>
        <w:ind w:left="851"/>
        <w:rPr>
          <w:sz w:val="24"/>
          <w:szCs w:val="24"/>
        </w:rPr>
      </w:pPr>
      <w:r w:rsidRPr="000C2555">
        <w:rPr>
          <w:sz w:val="24"/>
          <w:szCs w:val="24"/>
        </w:rPr>
        <w:t>Tyskland</w:t>
      </w:r>
    </w:p>
    <w:p w:rsidR="000C2555" w:rsidRPr="000C2555" w:rsidRDefault="000C2555" w:rsidP="000C2555">
      <w:pPr>
        <w:tabs>
          <w:tab w:val="left" w:pos="851"/>
        </w:tabs>
        <w:ind w:left="851"/>
        <w:rPr>
          <w:sz w:val="24"/>
          <w:szCs w:val="24"/>
        </w:rPr>
      </w:pPr>
    </w:p>
    <w:p w:rsidR="000C2555" w:rsidRPr="00DA0EF5" w:rsidRDefault="00DA0EF5" w:rsidP="000C2555">
      <w:pPr>
        <w:tabs>
          <w:tab w:val="left" w:pos="851"/>
        </w:tabs>
        <w:ind w:left="851"/>
        <w:rPr>
          <w:b/>
          <w:sz w:val="24"/>
          <w:szCs w:val="24"/>
        </w:rPr>
      </w:pPr>
      <w:r w:rsidRPr="00DA0EF5">
        <w:rPr>
          <w:b/>
          <w:sz w:val="24"/>
          <w:szCs w:val="24"/>
        </w:rPr>
        <w:t>R</w:t>
      </w:r>
      <w:r w:rsidR="000C2555" w:rsidRPr="00DA0EF5">
        <w:rPr>
          <w:b/>
          <w:sz w:val="24"/>
          <w:szCs w:val="24"/>
        </w:rPr>
        <w:t>epræsentant</w:t>
      </w:r>
    </w:p>
    <w:p w:rsidR="000C2555" w:rsidRPr="000C2555" w:rsidRDefault="000C2555" w:rsidP="000C2555">
      <w:pPr>
        <w:tabs>
          <w:tab w:val="left" w:pos="851"/>
        </w:tabs>
        <w:ind w:left="851"/>
        <w:rPr>
          <w:sz w:val="24"/>
          <w:szCs w:val="24"/>
        </w:rPr>
      </w:pPr>
      <w:r w:rsidRPr="000C2555">
        <w:rPr>
          <w:sz w:val="24"/>
          <w:szCs w:val="24"/>
        </w:rPr>
        <w:t>S</w:t>
      </w:r>
      <w:r w:rsidR="00DA0EF5">
        <w:rPr>
          <w:sz w:val="24"/>
          <w:szCs w:val="24"/>
        </w:rPr>
        <w:t>tada</w:t>
      </w:r>
      <w:r w:rsidRPr="000C2555">
        <w:rPr>
          <w:sz w:val="24"/>
          <w:szCs w:val="24"/>
        </w:rPr>
        <w:t xml:space="preserve"> Nordic ApS</w:t>
      </w:r>
    </w:p>
    <w:p w:rsidR="000C2555" w:rsidRPr="000C2555" w:rsidRDefault="000C2555" w:rsidP="000C2555">
      <w:pPr>
        <w:tabs>
          <w:tab w:val="left" w:pos="851"/>
        </w:tabs>
        <w:ind w:left="851"/>
        <w:rPr>
          <w:sz w:val="24"/>
          <w:szCs w:val="24"/>
        </w:rPr>
      </w:pPr>
      <w:r w:rsidRPr="000C2555">
        <w:rPr>
          <w:sz w:val="24"/>
          <w:szCs w:val="24"/>
        </w:rPr>
        <w:t>Marielundvej 46A</w:t>
      </w:r>
    </w:p>
    <w:p w:rsidR="000C2555" w:rsidRPr="000C2555" w:rsidRDefault="000C2555" w:rsidP="00DA0EF5">
      <w:pPr>
        <w:tabs>
          <w:tab w:val="left" w:pos="851"/>
        </w:tabs>
        <w:ind w:left="851"/>
        <w:rPr>
          <w:sz w:val="24"/>
          <w:szCs w:val="24"/>
        </w:rPr>
      </w:pPr>
      <w:r w:rsidRPr="000C2555">
        <w:rPr>
          <w:sz w:val="24"/>
          <w:szCs w:val="24"/>
        </w:rPr>
        <w:t>2730 Herlev</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260DE" w:rsidRPr="00C84483" w:rsidRDefault="00DA0EF5" w:rsidP="009260DE">
      <w:pPr>
        <w:tabs>
          <w:tab w:val="left" w:pos="851"/>
        </w:tabs>
        <w:ind w:left="851"/>
        <w:rPr>
          <w:sz w:val="24"/>
          <w:szCs w:val="24"/>
        </w:rPr>
      </w:pPr>
      <w:r>
        <w:rPr>
          <w:sz w:val="24"/>
          <w:szCs w:val="24"/>
        </w:rPr>
        <w:t>64153</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5411D4" w:rsidP="009260DE">
      <w:pPr>
        <w:tabs>
          <w:tab w:val="left" w:pos="851"/>
        </w:tabs>
        <w:ind w:left="851"/>
        <w:rPr>
          <w:sz w:val="24"/>
          <w:szCs w:val="24"/>
        </w:rPr>
      </w:pPr>
      <w:r>
        <w:rPr>
          <w:sz w:val="24"/>
          <w:szCs w:val="24"/>
        </w:rPr>
        <w:t>26. oktober 2022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DA0EF5"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7D5" w:rsidRDefault="00E717D5">
      <w:r>
        <w:separator/>
      </w:r>
    </w:p>
  </w:endnote>
  <w:endnote w:type="continuationSeparator" w:id="0">
    <w:p w:rsidR="00E717D5" w:rsidRDefault="00E7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C6AD9">
      <w:rPr>
        <w:i/>
        <w:noProof/>
        <w:sz w:val="18"/>
        <w:szCs w:val="18"/>
      </w:rPr>
      <w:t>Ceranor, filmovertrukne tabletter 75 mikrogram</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7D5" w:rsidRDefault="00E717D5">
      <w:r>
        <w:separator/>
      </w:r>
    </w:p>
  </w:footnote>
  <w:footnote w:type="continuationSeparator" w:id="0">
    <w:p w:rsidR="00E717D5" w:rsidRDefault="00E71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0A641FD"/>
    <w:multiLevelType w:val="hybridMultilevel"/>
    <w:tmpl w:val="8140EE96"/>
    <w:lvl w:ilvl="0" w:tplc="2F6CC972">
      <w:start w:val="4"/>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7D5"/>
    <w:rsid w:val="000259B9"/>
    <w:rsid w:val="00041491"/>
    <w:rsid w:val="00050D16"/>
    <w:rsid w:val="000730CA"/>
    <w:rsid w:val="00074F2A"/>
    <w:rsid w:val="000A1CA8"/>
    <w:rsid w:val="000A466B"/>
    <w:rsid w:val="000B058C"/>
    <w:rsid w:val="000C2555"/>
    <w:rsid w:val="000E4EE6"/>
    <w:rsid w:val="00117097"/>
    <w:rsid w:val="001454E2"/>
    <w:rsid w:val="00161114"/>
    <w:rsid w:val="00206CE8"/>
    <w:rsid w:val="0021526C"/>
    <w:rsid w:val="00283A2B"/>
    <w:rsid w:val="002B30AD"/>
    <w:rsid w:val="002C2C01"/>
    <w:rsid w:val="0031779E"/>
    <w:rsid w:val="003A29AE"/>
    <w:rsid w:val="003A32D7"/>
    <w:rsid w:val="003B4074"/>
    <w:rsid w:val="003C769A"/>
    <w:rsid w:val="003E149E"/>
    <w:rsid w:val="003F1838"/>
    <w:rsid w:val="0045746C"/>
    <w:rsid w:val="0049104B"/>
    <w:rsid w:val="004E3B12"/>
    <w:rsid w:val="004F6AA3"/>
    <w:rsid w:val="00532310"/>
    <w:rsid w:val="005411D4"/>
    <w:rsid w:val="00565F0F"/>
    <w:rsid w:val="00594A86"/>
    <w:rsid w:val="00596D86"/>
    <w:rsid w:val="0060558D"/>
    <w:rsid w:val="00637F5A"/>
    <w:rsid w:val="006560B1"/>
    <w:rsid w:val="006756DD"/>
    <w:rsid w:val="006C23D1"/>
    <w:rsid w:val="00723EB1"/>
    <w:rsid w:val="00737275"/>
    <w:rsid w:val="00740EEC"/>
    <w:rsid w:val="0078011A"/>
    <w:rsid w:val="00782AF4"/>
    <w:rsid w:val="00790EE7"/>
    <w:rsid w:val="007B6649"/>
    <w:rsid w:val="00822DC4"/>
    <w:rsid w:val="0082576E"/>
    <w:rsid w:val="00870F84"/>
    <w:rsid w:val="008C6AD9"/>
    <w:rsid w:val="00907F75"/>
    <w:rsid w:val="009260DE"/>
    <w:rsid w:val="00926561"/>
    <w:rsid w:val="0093258A"/>
    <w:rsid w:val="0097606E"/>
    <w:rsid w:val="009C7BA3"/>
    <w:rsid w:val="009D1F5A"/>
    <w:rsid w:val="009F6A5F"/>
    <w:rsid w:val="00A10294"/>
    <w:rsid w:val="00A22129"/>
    <w:rsid w:val="00A771CB"/>
    <w:rsid w:val="00B003BF"/>
    <w:rsid w:val="00B373D7"/>
    <w:rsid w:val="00BD5BCD"/>
    <w:rsid w:val="00C36276"/>
    <w:rsid w:val="00C42586"/>
    <w:rsid w:val="00C60CCD"/>
    <w:rsid w:val="00C80ED7"/>
    <w:rsid w:val="00C84483"/>
    <w:rsid w:val="00C95551"/>
    <w:rsid w:val="00CB20D7"/>
    <w:rsid w:val="00CC40E1"/>
    <w:rsid w:val="00D020B0"/>
    <w:rsid w:val="00D11748"/>
    <w:rsid w:val="00D366CF"/>
    <w:rsid w:val="00DA0EF5"/>
    <w:rsid w:val="00DA31DF"/>
    <w:rsid w:val="00E108AA"/>
    <w:rsid w:val="00E3749A"/>
    <w:rsid w:val="00E47B32"/>
    <w:rsid w:val="00E717D5"/>
    <w:rsid w:val="00E7437F"/>
    <w:rsid w:val="00E865B8"/>
    <w:rsid w:val="00EC0B9B"/>
    <w:rsid w:val="00EC0FAD"/>
    <w:rsid w:val="00ED5E9F"/>
    <w:rsid w:val="00F06521"/>
    <w:rsid w:val="00F33BE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AFAEB"/>
  <w15:chartTrackingRefBased/>
  <w15:docId w15:val="{1864415E-DD77-407B-B3E1-89B0DCF5A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BD5BCD"/>
    <w:rPr>
      <w:color w:val="0563C1" w:themeColor="hyperlink"/>
      <w:u w:val="single"/>
    </w:rPr>
  </w:style>
  <w:style w:type="character" w:styleId="Ulstomtale">
    <w:name w:val="Unresolved Mention"/>
    <w:basedOn w:val="Standardskrifttypeiafsnit"/>
    <w:uiPriority w:val="99"/>
    <w:semiHidden/>
    <w:unhideWhenUsed/>
    <w:rsid w:val="00BD5B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3079">
      <w:bodyDiv w:val="1"/>
      <w:marLeft w:val="0"/>
      <w:marRight w:val="0"/>
      <w:marTop w:val="0"/>
      <w:marBottom w:val="0"/>
      <w:divBdr>
        <w:top w:val="none" w:sz="0" w:space="0" w:color="auto"/>
        <w:left w:val="none" w:sz="0" w:space="0" w:color="auto"/>
        <w:bottom w:val="none" w:sz="0" w:space="0" w:color="auto"/>
        <w:right w:val="none" w:sz="0" w:space="0" w:color="auto"/>
      </w:divBdr>
    </w:div>
    <w:div w:id="11896133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4437053">
      <w:bodyDiv w:val="1"/>
      <w:marLeft w:val="0"/>
      <w:marRight w:val="0"/>
      <w:marTop w:val="0"/>
      <w:marBottom w:val="0"/>
      <w:divBdr>
        <w:top w:val="none" w:sz="0" w:space="0" w:color="auto"/>
        <w:left w:val="none" w:sz="0" w:space="0" w:color="auto"/>
        <w:bottom w:val="none" w:sz="0" w:space="0" w:color="auto"/>
        <w:right w:val="none" w:sz="0" w:space="0" w:color="auto"/>
      </w:divBdr>
    </w:div>
    <w:div w:id="268782713">
      <w:bodyDiv w:val="1"/>
      <w:marLeft w:val="0"/>
      <w:marRight w:val="0"/>
      <w:marTop w:val="0"/>
      <w:marBottom w:val="0"/>
      <w:divBdr>
        <w:top w:val="none" w:sz="0" w:space="0" w:color="auto"/>
        <w:left w:val="none" w:sz="0" w:space="0" w:color="auto"/>
        <w:bottom w:val="none" w:sz="0" w:space="0" w:color="auto"/>
        <w:right w:val="none" w:sz="0" w:space="0" w:color="auto"/>
      </w:divBdr>
    </w:div>
    <w:div w:id="278756866">
      <w:bodyDiv w:val="1"/>
      <w:marLeft w:val="0"/>
      <w:marRight w:val="0"/>
      <w:marTop w:val="0"/>
      <w:marBottom w:val="0"/>
      <w:divBdr>
        <w:top w:val="none" w:sz="0" w:space="0" w:color="auto"/>
        <w:left w:val="none" w:sz="0" w:space="0" w:color="auto"/>
        <w:bottom w:val="none" w:sz="0" w:space="0" w:color="auto"/>
        <w:right w:val="none" w:sz="0" w:space="0" w:color="auto"/>
      </w:divBdr>
    </w:div>
    <w:div w:id="360404443">
      <w:bodyDiv w:val="1"/>
      <w:marLeft w:val="0"/>
      <w:marRight w:val="0"/>
      <w:marTop w:val="0"/>
      <w:marBottom w:val="0"/>
      <w:divBdr>
        <w:top w:val="none" w:sz="0" w:space="0" w:color="auto"/>
        <w:left w:val="none" w:sz="0" w:space="0" w:color="auto"/>
        <w:bottom w:val="none" w:sz="0" w:space="0" w:color="auto"/>
        <w:right w:val="none" w:sz="0" w:space="0" w:color="auto"/>
      </w:divBdr>
    </w:div>
    <w:div w:id="409548073">
      <w:bodyDiv w:val="1"/>
      <w:marLeft w:val="0"/>
      <w:marRight w:val="0"/>
      <w:marTop w:val="0"/>
      <w:marBottom w:val="0"/>
      <w:divBdr>
        <w:top w:val="none" w:sz="0" w:space="0" w:color="auto"/>
        <w:left w:val="none" w:sz="0" w:space="0" w:color="auto"/>
        <w:bottom w:val="none" w:sz="0" w:space="0" w:color="auto"/>
        <w:right w:val="none" w:sz="0" w:space="0" w:color="auto"/>
      </w:divBdr>
    </w:div>
    <w:div w:id="427968633">
      <w:bodyDiv w:val="1"/>
      <w:marLeft w:val="0"/>
      <w:marRight w:val="0"/>
      <w:marTop w:val="0"/>
      <w:marBottom w:val="0"/>
      <w:divBdr>
        <w:top w:val="none" w:sz="0" w:space="0" w:color="auto"/>
        <w:left w:val="none" w:sz="0" w:space="0" w:color="auto"/>
        <w:bottom w:val="none" w:sz="0" w:space="0" w:color="auto"/>
        <w:right w:val="none" w:sz="0" w:space="0" w:color="auto"/>
      </w:divBdr>
    </w:div>
    <w:div w:id="458106820">
      <w:bodyDiv w:val="1"/>
      <w:marLeft w:val="0"/>
      <w:marRight w:val="0"/>
      <w:marTop w:val="0"/>
      <w:marBottom w:val="0"/>
      <w:divBdr>
        <w:top w:val="none" w:sz="0" w:space="0" w:color="auto"/>
        <w:left w:val="none" w:sz="0" w:space="0" w:color="auto"/>
        <w:bottom w:val="none" w:sz="0" w:space="0" w:color="auto"/>
        <w:right w:val="none" w:sz="0" w:space="0" w:color="auto"/>
      </w:divBdr>
    </w:div>
    <w:div w:id="509025656">
      <w:bodyDiv w:val="1"/>
      <w:marLeft w:val="0"/>
      <w:marRight w:val="0"/>
      <w:marTop w:val="0"/>
      <w:marBottom w:val="0"/>
      <w:divBdr>
        <w:top w:val="none" w:sz="0" w:space="0" w:color="auto"/>
        <w:left w:val="none" w:sz="0" w:space="0" w:color="auto"/>
        <w:bottom w:val="none" w:sz="0" w:space="0" w:color="auto"/>
        <w:right w:val="none" w:sz="0" w:space="0" w:color="auto"/>
      </w:divBdr>
    </w:div>
    <w:div w:id="532499267">
      <w:bodyDiv w:val="1"/>
      <w:marLeft w:val="0"/>
      <w:marRight w:val="0"/>
      <w:marTop w:val="0"/>
      <w:marBottom w:val="0"/>
      <w:divBdr>
        <w:top w:val="none" w:sz="0" w:space="0" w:color="auto"/>
        <w:left w:val="none" w:sz="0" w:space="0" w:color="auto"/>
        <w:bottom w:val="none" w:sz="0" w:space="0" w:color="auto"/>
        <w:right w:val="none" w:sz="0" w:space="0" w:color="auto"/>
      </w:divBdr>
    </w:div>
    <w:div w:id="681396443">
      <w:bodyDiv w:val="1"/>
      <w:marLeft w:val="0"/>
      <w:marRight w:val="0"/>
      <w:marTop w:val="0"/>
      <w:marBottom w:val="0"/>
      <w:divBdr>
        <w:top w:val="none" w:sz="0" w:space="0" w:color="auto"/>
        <w:left w:val="none" w:sz="0" w:space="0" w:color="auto"/>
        <w:bottom w:val="none" w:sz="0" w:space="0" w:color="auto"/>
        <w:right w:val="none" w:sz="0" w:space="0" w:color="auto"/>
      </w:divBdr>
    </w:div>
    <w:div w:id="754060214">
      <w:bodyDiv w:val="1"/>
      <w:marLeft w:val="0"/>
      <w:marRight w:val="0"/>
      <w:marTop w:val="0"/>
      <w:marBottom w:val="0"/>
      <w:divBdr>
        <w:top w:val="none" w:sz="0" w:space="0" w:color="auto"/>
        <w:left w:val="none" w:sz="0" w:space="0" w:color="auto"/>
        <w:bottom w:val="none" w:sz="0" w:space="0" w:color="auto"/>
        <w:right w:val="none" w:sz="0" w:space="0" w:color="auto"/>
      </w:divBdr>
    </w:div>
    <w:div w:id="775367847">
      <w:bodyDiv w:val="1"/>
      <w:marLeft w:val="0"/>
      <w:marRight w:val="0"/>
      <w:marTop w:val="0"/>
      <w:marBottom w:val="0"/>
      <w:divBdr>
        <w:top w:val="none" w:sz="0" w:space="0" w:color="auto"/>
        <w:left w:val="none" w:sz="0" w:space="0" w:color="auto"/>
        <w:bottom w:val="none" w:sz="0" w:space="0" w:color="auto"/>
        <w:right w:val="none" w:sz="0" w:space="0" w:color="auto"/>
      </w:divBdr>
    </w:div>
    <w:div w:id="815954671">
      <w:bodyDiv w:val="1"/>
      <w:marLeft w:val="0"/>
      <w:marRight w:val="0"/>
      <w:marTop w:val="0"/>
      <w:marBottom w:val="0"/>
      <w:divBdr>
        <w:top w:val="none" w:sz="0" w:space="0" w:color="auto"/>
        <w:left w:val="none" w:sz="0" w:space="0" w:color="auto"/>
        <w:bottom w:val="none" w:sz="0" w:space="0" w:color="auto"/>
        <w:right w:val="none" w:sz="0" w:space="0" w:color="auto"/>
      </w:divBdr>
    </w:div>
    <w:div w:id="888996245">
      <w:bodyDiv w:val="1"/>
      <w:marLeft w:val="0"/>
      <w:marRight w:val="0"/>
      <w:marTop w:val="0"/>
      <w:marBottom w:val="0"/>
      <w:divBdr>
        <w:top w:val="none" w:sz="0" w:space="0" w:color="auto"/>
        <w:left w:val="none" w:sz="0" w:space="0" w:color="auto"/>
        <w:bottom w:val="none" w:sz="0" w:space="0" w:color="auto"/>
        <w:right w:val="none" w:sz="0" w:space="0" w:color="auto"/>
      </w:divBdr>
    </w:div>
    <w:div w:id="918174535">
      <w:bodyDiv w:val="1"/>
      <w:marLeft w:val="0"/>
      <w:marRight w:val="0"/>
      <w:marTop w:val="0"/>
      <w:marBottom w:val="0"/>
      <w:divBdr>
        <w:top w:val="none" w:sz="0" w:space="0" w:color="auto"/>
        <w:left w:val="none" w:sz="0" w:space="0" w:color="auto"/>
        <w:bottom w:val="none" w:sz="0" w:space="0" w:color="auto"/>
        <w:right w:val="none" w:sz="0" w:space="0" w:color="auto"/>
      </w:divBdr>
    </w:div>
    <w:div w:id="949363215">
      <w:bodyDiv w:val="1"/>
      <w:marLeft w:val="0"/>
      <w:marRight w:val="0"/>
      <w:marTop w:val="0"/>
      <w:marBottom w:val="0"/>
      <w:divBdr>
        <w:top w:val="none" w:sz="0" w:space="0" w:color="auto"/>
        <w:left w:val="none" w:sz="0" w:space="0" w:color="auto"/>
        <w:bottom w:val="none" w:sz="0" w:space="0" w:color="auto"/>
        <w:right w:val="none" w:sz="0" w:space="0" w:color="auto"/>
      </w:divBdr>
    </w:div>
    <w:div w:id="953755934">
      <w:bodyDiv w:val="1"/>
      <w:marLeft w:val="0"/>
      <w:marRight w:val="0"/>
      <w:marTop w:val="0"/>
      <w:marBottom w:val="0"/>
      <w:divBdr>
        <w:top w:val="none" w:sz="0" w:space="0" w:color="auto"/>
        <w:left w:val="none" w:sz="0" w:space="0" w:color="auto"/>
        <w:bottom w:val="none" w:sz="0" w:space="0" w:color="auto"/>
        <w:right w:val="none" w:sz="0" w:space="0" w:color="auto"/>
      </w:divBdr>
    </w:div>
    <w:div w:id="960764824">
      <w:bodyDiv w:val="1"/>
      <w:marLeft w:val="0"/>
      <w:marRight w:val="0"/>
      <w:marTop w:val="0"/>
      <w:marBottom w:val="0"/>
      <w:divBdr>
        <w:top w:val="none" w:sz="0" w:space="0" w:color="auto"/>
        <w:left w:val="none" w:sz="0" w:space="0" w:color="auto"/>
        <w:bottom w:val="none" w:sz="0" w:space="0" w:color="auto"/>
        <w:right w:val="none" w:sz="0" w:space="0" w:color="auto"/>
      </w:divBdr>
    </w:div>
    <w:div w:id="1106584334">
      <w:bodyDiv w:val="1"/>
      <w:marLeft w:val="0"/>
      <w:marRight w:val="0"/>
      <w:marTop w:val="0"/>
      <w:marBottom w:val="0"/>
      <w:divBdr>
        <w:top w:val="none" w:sz="0" w:space="0" w:color="auto"/>
        <w:left w:val="none" w:sz="0" w:space="0" w:color="auto"/>
        <w:bottom w:val="none" w:sz="0" w:space="0" w:color="auto"/>
        <w:right w:val="none" w:sz="0" w:space="0" w:color="auto"/>
      </w:divBdr>
    </w:div>
    <w:div w:id="1124229765">
      <w:bodyDiv w:val="1"/>
      <w:marLeft w:val="0"/>
      <w:marRight w:val="0"/>
      <w:marTop w:val="0"/>
      <w:marBottom w:val="0"/>
      <w:divBdr>
        <w:top w:val="none" w:sz="0" w:space="0" w:color="auto"/>
        <w:left w:val="none" w:sz="0" w:space="0" w:color="auto"/>
        <w:bottom w:val="none" w:sz="0" w:space="0" w:color="auto"/>
        <w:right w:val="none" w:sz="0" w:space="0" w:color="auto"/>
      </w:divBdr>
    </w:div>
    <w:div w:id="1426727311">
      <w:bodyDiv w:val="1"/>
      <w:marLeft w:val="0"/>
      <w:marRight w:val="0"/>
      <w:marTop w:val="0"/>
      <w:marBottom w:val="0"/>
      <w:divBdr>
        <w:top w:val="none" w:sz="0" w:space="0" w:color="auto"/>
        <w:left w:val="none" w:sz="0" w:space="0" w:color="auto"/>
        <w:bottom w:val="none" w:sz="0" w:space="0" w:color="auto"/>
        <w:right w:val="none" w:sz="0" w:space="0" w:color="auto"/>
      </w:divBdr>
    </w:div>
    <w:div w:id="1456557538">
      <w:bodyDiv w:val="1"/>
      <w:marLeft w:val="0"/>
      <w:marRight w:val="0"/>
      <w:marTop w:val="0"/>
      <w:marBottom w:val="0"/>
      <w:divBdr>
        <w:top w:val="none" w:sz="0" w:space="0" w:color="auto"/>
        <w:left w:val="none" w:sz="0" w:space="0" w:color="auto"/>
        <w:bottom w:val="none" w:sz="0" w:space="0" w:color="auto"/>
        <w:right w:val="none" w:sz="0" w:space="0" w:color="auto"/>
      </w:divBdr>
    </w:div>
    <w:div w:id="1472480293">
      <w:bodyDiv w:val="1"/>
      <w:marLeft w:val="0"/>
      <w:marRight w:val="0"/>
      <w:marTop w:val="0"/>
      <w:marBottom w:val="0"/>
      <w:divBdr>
        <w:top w:val="none" w:sz="0" w:space="0" w:color="auto"/>
        <w:left w:val="none" w:sz="0" w:space="0" w:color="auto"/>
        <w:bottom w:val="none" w:sz="0" w:space="0" w:color="auto"/>
        <w:right w:val="none" w:sz="0" w:space="0" w:color="auto"/>
      </w:divBdr>
    </w:div>
    <w:div w:id="1538393691">
      <w:bodyDiv w:val="1"/>
      <w:marLeft w:val="0"/>
      <w:marRight w:val="0"/>
      <w:marTop w:val="0"/>
      <w:marBottom w:val="0"/>
      <w:divBdr>
        <w:top w:val="none" w:sz="0" w:space="0" w:color="auto"/>
        <w:left w:val="none" w:sz="0" w:space="0" w:color="auto"/>
        <w:bottom w:val="none" w:sz="0" w:space="0" w:color="auto"/>
        <w:right w:val="none" w:sz="0" w:space="0" w:color="auto"/>
      </w:divBdr>
    </w:div>
    <w:div w:id="1653562566">
      <w:bodyDiv w:val="1"/>
      <w:marLeft w:val="0"/>
      <w:marRight w:val="0"/>
      <w:marTop w:val="0"/>
      <w:marBottom w:val="0"/>
      <w:divBdr>
        <w:top w:val="none" w:sz="0" w:space="0" w:color="auto"/>
        <w:left w:val="none" w:sz="0" w:space="0" w:color="auto"/>
        <w:bottom w:val="none" w:sz="0" w:space="0" w:color="auto"/>
        <w:right w:val="none" w:sz="0" w:space="0" w:color="auto"/>
      </w:divBdr>
    </w:div>
    <w:div w:id="1702247380">
      <w:bodyDiv w:val="1"/>
      <w:marLeft w:val="0"/>
      <w:marRight w:val="0"/>
      <w:marTop w:val="0"/>
      <w:marBottom w:val="0"/>
      <w:divBdr>
        <w:top w:val="none" w:sz="0" w:space="0" w:color="auto"/>
        <w:left w:val="none" w:sz="0" w:space="0" w:color="auto"/>
        <w:bottom w:val="none" w:sz="0" w:space="0" w:color="auto"/>
        <w:right w:val="none" w:sz="0" w:space="0" w:color="auto"/>
      </w:divBdr>
    </w:div>
    <w:div w:id="1703168670">
      <w:bodyDiv w:val="1"/>
      <w:marLeft w:val="0"/>
      <w:marRight w:val="0"/>
      <w:marTop w:val="0"/>
      <w:marBottom w:val="0"/>
      <w:divBdr>
        <w:top w:val="none" w:sz="0" w:space="0" w:color="auto"/>
        <w:left w:val="none" w:sz="0" w:space="0" w:color="auto"/>
        <w:bottom w:val="none" w:sz="0" w:space="0" w:color="auto"/>
        <w:right w:val="none" w:sz="0" w:space="0" w:color="auto"/>
      </w:divBdr>
    </w:div>
    <w:div w:id="1717654731">
      <w:bodyDiv w:val="1"/>
      <w:marLeft w:val="0"/>
      <w:marRight w:val="0"/>
      <w:marTop w:val="0"/>
      <w:marBottom w:val="0"/>
      <w:divBdr>
        <w:top w:val="none" w:sz="0" w:space="0" w:color="auto"/>
        <w:left w:val="none" w:sz="0" w:space="0" w:color="auto"/>
        <w:bottom w:val="none" w:sz="0" w:space="0" w:color="auto"/>
        <w:right w:val="none" w:sz="0" w:space="0" w:color="auto"/>
      </w:divBdr>
    </w:div>
    <w:div w:id="1766421896">
      <w:bodyDiv w:val="1"/>
      <w:marLeft w:val="0"/>
      <w:marRight w:val="0"/>
      <w:marTop w:val="0"/>
      <w:marBottom w:val="0"/>
      <w:divBdr>
        <w:top w:val="none" w:sz="0" w:space="0" w:color="auto"/>
        <w:left w:val="none" w:sz="0" w:space="0" w:color="auto"/>
        <w:bottom w:val="none" w:sz="0" w:space="0" w:color="auto"/>
        <w:right w:val="none" w:sz="0" w:space="0" w:color="auto"/>
      </w:divBdr>
    </w:div>
    <w:div w:id="1766727968">
      <w:bodyDiv w:val="1"/>
      <w:marLeft w:val="0"/>
      <w:marRight w:val="0"/>
      <w:marTop w:val="0"/>
      <w:marBottom w:val="0"/>
      <w:divBdr>
        <w:top w:val="none" w:sz="0" w:space="0" w:color="auto"/>
        <w:left w:val="none" w:sz="0" w:space="0" w:color="auto"/>
        <w:bottom w:val="none" w:sz="0" w:space="0" w:color="auto"/>
        <w:right w:val="none" w:sz="0" w:space="0" w:color="auto"/>
      </w:divBdr>
    </w:div>
    <w:div w:id="1788893134">
      <w:bodyDiv w:val="1"/>
      <w:marLeft w:val="0"/>
      <w:marRight w:val="0"/>
      <w:marTop w:val="0"/>
      <w:marBottom w:val="0"/>
      <w:divBdr>
        <w:top w:val="none" w:sz="0" w:space="0" w:color="auto"/>
        <w:left w:val="none" w:sz="0" w:space="0" w:color="auto"/>
        <w:bottom w:val="none" w:sz="0" w:space="0" w:color="auto"/>
        <w:right w:val="none" w:sz="0" w:space="0" w:color="auto"/>
      </w:divBdr>
    </w:div>
    <w:div w:id="1816137840">
      <w:bodyDiv w:val="1"/>
      <w:marLeft w:val="0"/>
      <w:marRight w:val="0"/>
      <w:marTop w:val="0"/>
      <w:marBottom w:val="0"/>
      <w:divBdr>
        <w:top w:val="none" w:sz="0" w:space="0" w:color="auto"/>
        <w:left w:val="none" w:sz="0" w:space="0" w:color="auto"/>
        <w:bottom w:val="none" w:sz="0" w:space="0" w:color="auto"/>
        <w:right w:val="none" w:sz="0" w:space="0" w:color="auto"/>
      </w:divBdr>
    </w:div>
    <w:div w:id="1833788282">
      <w:bodyDiv w:val="1"/>
      <w:marLeft w:val="0"/>
      <w:marRight w:val="0"/>
      <w:marTop w:val="0"/>
      <w:marBottom w:val="0"/>
      <w:divBdr>
        <w:top w:val="none" w:sz="0" w:space="0" w:color="auto"/>
        <w:left w:val="none" w:sz="0" w:space="0" w:color="auto"/>
        <w:bottom w:val="none" w:sz="0" w:space="0" w:color="auto"/>
        <w:right w:val="none" w:sz="0" w:space="0" w:color="auto"/>
      </w:divBdr>
    </w:div>
    <w:div w:id="1906062896">
      <w:bodyDiv w:val="1"/>
      <w:marLeft w:val="0"/>
      <w:marRight w:val="0"/>
      <w:marTop w:val="0"/>
      <w:marBottom w:val="0"/>
      <w:divBdr>
        <w:top w:val="none" w:sz="0" w:space="0" w:color="auto"/>
        <w:left w:val="none" w:sz="0" w:space="0" w:color="auto"/>
        <w:bottom w:val="none" w:sz="0" w:space="0" w:color="auto"/>
        <w:right w:val="none" w:sz="0" w:space="0" w:color="auto"/>
      </w:divBdr>
    </w:div>
    <w:div w:id="1910647185">
      <w:bodyDiv w:val="1"/>
      <w:marLeft w:val="0"/>
      <w:marRight w:val="0"/>
      <w:marTop w:val="0"/>
      <w:marBottom w:val="0"/>
      <w:divBdr>
        <w:top w:val="none" w:sz="0" w:space="0" w:color="auto"/>
        <w:left w:val="none" w:sz="0" w:space="0" w:color="auto"/>
        <w:bottom w:val="none" w:sz="0" w:space="0" w:color="auto"/>
        <w:right w:val="none" w:sz="0" w:space="0" w:color="auto"/>
      </w:divBdr>
    </w:div>
    <w:div w:id="1953970013">
      <w:bodyDiv w:val="1"/>
      <w:marLeft w:val="0"/>
      <w:marRight w:val="0"/>
      <w:marTop w:val="0"/>
      <w:marBottom w:val="0"/>
      <w:divBdr>
        <w:top w:val="none" w:sz="0" w:space="0" w:color="auto"/>
        <w:left w:val="none" w:sz="0" w:space="0" w:color="auto"/>
        <w:bottom w:val="none" w:sz="0" w:space="0" w:color="auto"/>
        <w:right w:val="none" w:sz="0" w:space="0" w:color="auto"/>
      </w:divBdr>
    </w:div>
    <w:div w:id="1956400278">
      <w:bodyDiv w:val="1"/>
      <w:marLeft w:val="0"/>
      <w:marRight w:val="0"/>
      <w:marTop w:val="0"/>
      <w:marBottom w:val="0"/>
      <w:divBdr>
        <w:top w:val="none" w:sz="0" w:space="0" w:color="auto"/>
        <w:left w:val="none" w:sz="0" w:space="0" w:color="auto"/>
        <w:bottom w:val="none" w:sz="0" w:space="0" w:color="auto"/>
        <w:right w:val="none" w:sz="0" w:space="0" w:color="auto"/>
      </w:divBdr>
    </w:div>
    <w:div w:id="1990135172">
      <w:bodyDiv w:val="1"/>
      <w:marLeft w:val="0"/>
      <w:marRight w:val="0"/>
      <w:marTop w:val="0"/>
      <w:marBottom w:val="0"/>
      <w:divBdr>
        <w:top w:val="none" w:sz="0" w:space="0" w:color="auto"/>
        <w:left w:val="none" w:sz="0" w:space="0" w:color="auto"/>
        <w:bottom w:val="none" w:sz="0" w:space="0" w:color="auto"/>
        <w:right w:val="none" w:sz="0" w:space="0" w:color="auto"/>
      </w:divBdr>
    </w:div>
    <w:div w:id="2066488835">
      <w:bodyDiv w:val="1"/>
      <w:marLeft w:val="0"/>
      <w:marRight w:val="0"/>
      <w:marTop w:val="0"/>
      <w:marBottom w:val="0"/>
      <w:divBdr>
        <w:top w:val="none" w:sz="0" w:space="0" w:color="auto"/>
        <w:left w:val="none" w:sz="0" w:space="0" w:color="auto"/>
        <w:bottom w:val="none" w:sz="0" w:space="0" w:color="auto"/>
        <w:right w:val="none" w:sz="0" w:space="0" w:color="auto"/>
      </w:divBdr>
    </w:div>
    <w:div w:id="209343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33</TotalTime>
  <Pages>12</Pages>
  <Words>3546</Words>
  <Characters>23098</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2020031591 mt</dc:description>
  <cp:lastModifiedBy>Hanne Thy Iversen</cp:lastModifiedBy>
  <cp:revision>12</cp:revision>
  <cp:lastPrinted>2012-08-22T08:53:00Z</cp:lastPrinted>
  <dcterms:created xsi:type="dcterms:W3CDTF">2022-10-25T11:56:00Z</dcterms:created>
  <dcterms:modified xsi:type="dcterms:W3CDTF">2022-10-26T13:29:00Z</dcterms:modified>
</cp:coreProperties>
</file>