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008" w:rsidRDefault="00155008" w:rsidP="00155008">
      <w:r>
        <w:rPr>
          <w:b/>
          <w:noProof/>
          <w:lang w:eastAsia="da-DK"/>
        </w:rPr>
        <w:drawing>
          <wp:inline distT="0" distB="0" distL="0" distR="0" wp14:anchorId="2323FC81" wp14:editId="369AA08E">
            <wp:extent cx="2466975" cy="685800"/>
            <wp:effectExtent l="0" t="0" r="9525" b="0"/>
            <wp:docPr id="1" name="Billede 1"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r>
        <w:t xml:space="preserve"> </w:t>
      </w:r>
    </w:p>
    <w:p w:rsidR="00155008" w:rsidRDefault="00155008" w:rsidP="00155008">
      <w:pPr>
        <w:pStyle w:val="Titel"/>
        <w:tabs>
          <w:tab w:val="right" w:pos="9356"/>
        </w:tabs>
        <w:jc w:val="left"/>
        <w:rPr>
          <w:b w:val="0"/>
          <w:sz w:val="23"/>
          <w:lang w:eastAsia="en-US"/>
        </w:rPr>
      </w:pPr>
    </w:p>
    <w:p w:rsidR="00155008" w:rsidRPr="0093258A" w:rsidRDefault="00155008" w:rsidP="00155008">
      <w:pPr>
        <w:pStyle w:val="Titel"/>
        <w:jc w:val="right"/>
        <w:rPr>
          <w:szCs w:val="24"/>
        </w:rPr>
      </w:pPr>
      <w:r>
        <w:rPr>
          <w:b w:val="0"/>
          <w:sz w:val="23"/>
          <w:lang w:eastAsia="en-US"/>
        </w:rPr>
        <w:tab/>
      </w:r>
      <w:r w:rsidR="00545325">
        <w:rPr>
          <w:szCs w:val="24"/>
        </w:rPr>
        <w:t>24. november 2025</w:t>
      </w:r>
    </w:p>
    <w:p w:rsidR="00155008" w:rsidRDefault="00155008" w:rsidP="00155008">
      <w:pPr>
        <w:pStyle w:val="Titel"/>
        <w:tabs>
          <w:tab w:val="left" w:pos="8222"/>
        </w:tabs>
        <w:jc w:val="left"/>
        <w:rPr>
          <w:b w:val="0"/>
        </w:rPr>
      </w:pPr>
    </w:p>
    <w:p w:rsidR="00155008" w:rsidRPr="00EC0B9B" w:rsidRDefault="00155008" w:rsidP="00155008">
      <w:pPr>
        <w:jc w:val="center"/>
        <w:rPr>
          <w:b/>
          <w:sz w:val="24"/>
          <w:szCs w:val="24"/>
        </w:rPr>
      </w:pPr>
      <w:r w:rsidRPr="00EC0B9B">
        <w:rPr>
          <w:b/>
          <w:sz w:val="24"/>
          <w:szCs w:val="24"/>
        </w:rPr>
        <w:t>PRODUKTRESUMÉ</w:t>
      </w:r>
    </w:p>
    <w:p w:rsidR="00155008" w:rsidRPr="00EC0B9B" w:rsidRDefault="00155008" w:rsidP="00155008">
      <w:pPr>
        <w:jc w:val="center"/>
        <w:rPr>
          <w:b/>
          <w:sz w:val="24"/>
          <w:szCs w:val="24"/>
        </w:rPr>
      </w:pPr>
    </w:p>
    <w:p w:rsidR="00155008" w:rsidRPr="00EC0B9B" w:rsidRDefault="00155008" w:rsidP="00155008">
      <w:pPr>
        <w:jc w:val="center"/>
        <w:rPr>
          <w:b/>
          <w:sz w:val="24"/>
          <w:szCs w:val="24"/>
        </w:rPr>
      </w:pPr>
      <w:r w:rsidRPr="00EC0B9B">
        <w:rPr>
          <w:b/>
          <w:sz w:val="24"/>
          <w:szCs w:val="24"/>
        </w:rPr>
        <w:t>for</w:t>
      </w:r>
    </w:p>
    <w:p w:rsidR="00155008" w:rsidRPr="00EC0B9B" w:rsidRDefault="008654D6" w:rsidP="008654D6">
      <w:pPr>
        <w:tabs>
          <w:tab w:val="left" w:pos="460"/>
        </w:tabs>
        <w:rPr>
          <w:b/>
          <w:sz w:val="24"/>
          <w:szCs w:val="24"/>
        </w:rPr>
      </w:pPr>
      <w:r>
        <w:rPr>
          <w:b/>
          <w:sz w:val="24"/>
          <w:szCs w:val="24"/>
        </w:rPr>
        <w:tab/>
      </w:r>
    </w:p>
    <w:p w:rsidR="00155008" w:rsidRPr="0049104B" w:rsidRDefault="00545325" w:rsidP="00155008">
      <w:pPr>
        <w:jc w:val="center"/>
        <w:rPr>
          <w:b/>
          <w:sz w:val="24"/>
          <w:szCs w:val="24"/>
        </w:rPr>
      </w:pPr>
      <w:proofErr w:type="spellStart"/>
      <w:r>
        <w:rPr>
          <w:b/>
          <w:sz w:val="24"/>
          <w:szCs w:val="24"/>
        </w:rPr>
        <w:t>Cereza</w:t>
      </w:r>
      <w:proofErr w:type="spellEnd"/>
      <w:r w:rsidR="00155008">
        <w:rPr>
          <w:b/>
          <w:sz w:val="24"/>
          <w:szCs w:val="24"/>
        </w:rPr>
        <w:t>, filmovertrukne tabletter</w:t>
      </w:r>
      <w:r>
        <w:rPr>
          <w:b/>
          <w:sz w:val="24"/>
          <w:szCs w:val="24"/>
        </w:rPr>
        <w:t xml:space="preserve"> (2care4)</w:t>
      </w:r>
    </w:p>
    <w:p w:rsidR="00155008" w:rsidRPr="00EC0B9B" w:rsidRDefault="00155008" w:rsidP="00155008">
      <w:pPr>
        <w:jc w:val="both"/>
        <w:rPr>
          <w:sz w:val="24"/>
          <w:szCs w:val="24"/>
        </w:rPr>
      </w:pPr>
    </w:p>
    <w:p w:rsidR="00155008" w:rsidRPr="0089122C" w:rsidRDefault="00155008" w:rsidP="00155008">
      <w:pPr>
        <w:ind w:left="851" w:hanging="851"/>
        <w:jc w:val="both"/>
        <w:rPr>
          <w:sz w:val="24"/>
          <w:szCs w:val="24"/>
        </w:rPr>
      </w:pPr>
    </w:p>
    <w:p w:rsidR="00155008" w:rsidRPr="0089122C" w:rsidRDefault="00155008" w:rsidP="00155008">
      <w:pPr>
        <w:numPr>
          <w:ilvl w:val="0"/>
          <w:numId w:val="1"/>
        </w:numPr>
        <w:tabs>
          <w:tab w:val="clear" w:pos="855"/>
        </w:tabs>
        <w:ind w:left="851" w:hanging="851"/>
        <w:rPr>
          <w:b/>
          <w:sz w:val="24"/>
          <w:szCs w:val="24"/>
        </w:rPr>
      </w:pPr>
      <w:r w:rsidRPr="0089122C">
        <w:rPr>
          <w:b/>
          <w:sz w:val="24"/>
          <w:szCs w:val="24"/>
        </w:rPr>
        <w:t>D.SP.NR.</w:t>
      </w:r>
    </w:p>
    <w:p w:rsidR="00155008" w:rsidRPr="0089122C" w:rsidRDefault="00155008" w:rsidP="00155008">
      <w:pPr>
        <w:ind w:left="851" w:hanging="851"/>
        <w:rPr>
          <w:sz w:val="24"/>
          <w:szCs w:val="24"/>
        </w:rPr>
      </w:pPr>
      <w:r w:rsidRPr="0089122C">
        <w:rPr>
          <w:sz w:val="24"/>
          <w:szCs w:val="24"/>
        </w:rPr>
        <w:tab/>
        <w:t>27740</w:t>
      </w:r>
    </w:p>
    <w:p w:rsidR="00155008" w:rsidRPr="0089122C" w:rsidRDefault="00155008" w:rsidP="00155008">
      <w:pPr>
        <w:ind w:left="851" w:hanging="851"/>
        <w:rPr>
          <w:sz w:val="24"/>
          <w:szCs w:val="24"/>
        </w:rPr>
      </w:pPr>
    </w:p>
    <w:p w:rsidR="00155008" w:rsidRPr="0089122C" w:rsidRDefault="00155008" w:rsidP="00155008">
      <w:pPr>
        <w:numPr>
          <w:ilvl w:val="0"/>
          <w:numId w:val="1"/>
        </w:numPr>
        <w:tabs>
          <w:tab w:val="clear" w:pos="855"/>
        </w:tabs>
        <w:ind w:left="851" w:hanging="851"/>
        <w:rPr>
          <w:b/>
          <w:sz w:val="24"/>
          <w:szCs w:val="24"/>
        </w:rPr>
      </w:pPr>
      <w:r w:rsidRPr="0089122C">
        <w:rPr>
          <w:b/>
          <w:sz w:val="24"/>
          <w:szCs w:val="24"/>
        </w:rPr>
        <w:t>LÆGEMIDLETS NAVN</w:t>
      </w:r>
    </w:p>
    <w:p w:rsidR="00155008" w:rsidRPr="0089122C" w:rsidRDefault="00155008" w:rsidP="00155008">
      <w:pPr>
        <w:ind w:left="851" w:hanging="851"/>
        <w:rPr>
          <w:sz w:val="24"/>
          <w:szCs w:val="24"/>
        </w:rPr>
      </w:pPr>
      <w:r>
        <w:rPr>
          <w:sz w:val="24"/>
          <w:szCs w:val="24"/>
        </w:rPr>
        <w:tab/>
      </w:r>
      <w:proofErr w:type="spellStart"/>
      <w:r w:rsidR="00545325">
        <w:rPr>
          <w:sz w:val="24"/>
          <w:szCs w:val="24"/>
        </w:rPr>
        <w:t>Cereza</w:t>
      </w:r>
      <w:proofErr w:type="spellEnd"/>
    </w:p>
    <w:p w:rsidR="00155008" w:rsidRPr="0089122C" w:rsidRDefault="00155008" w:rsidP="00155008">
      <w:pPr>
        <w:ind w:left="851" w:hanging="851"/>
        <w:rPr>
          <w:sz w:val="24"/>
          <w:szCs w:val="24"/>
        </w:rPr>
      </w:pPr>
      <w:r w:rsidRPr="0089122C">
        <w:rPr>
          <w:sz w:val="24"/>
          <w:szCs w:val="24"/>
        </w:rPr>
        <w:tab/>
      </w:r>
    </w:p>
    <w:p w:rsidR="00155008" w:rsidRPr="0089122C" w:rsidRDefault="00155008" w:rsidP="00155008">
      <w:pPr>
        <w:numPr>
          <w:ilvl w:val="0"/>
          <w:numId w:val="1"/>
        </w:numPr>
        <w:tabs>
          <w:tab w:val="clear" w:pos="855"/>
        </w:tabs>
        <w:ind w:left="851" w:hanging="851"/>
        <w:rPr>
          <w:b/>
          <w:sz w:val="24"/>
          <w:szCs w:val="24"/>
        </w:rPr>
      </w:pPr>
      <w:r w:rsidRPr="0089122C">
        <w:rPr>
          <w:b/>
          <w:sz w:val="24"/>
          <w:szCs w:val="24"/>
        </w:rPr>
        <w:t>KVALITATIV OG KVANTITATIV SAMMENSÆTNING</w:t>
      </w:r>
    </w:p>
    <w:p w:rsidR="00AE53F6" w:rsidRDefault="00155008" w:rsidP="00AE53F6">
      <w:pPr>
        <w:suppressAutoHyphens/>
        <w:ind w:left="851" w:hanging="851"/>
        <w:rPr>
          <w:sz w:val="24"/>
          <w:szCs w:val="24"/>
        </w:rPr>
      </w:pPr>
      <w:r w:rsidRPr="0089122C">
        <w:rPr>
          <w:sz w:val="24"/>
          <w:szCs w:val="24"/>
        </w:rPr>
        <w:tab/>
      </w:r>
      <w:r w:rsidR="00AE53F6">
        <w:rPr>
          <w:sz w:val="24"/>
          <w:szCs w:val="24"/>
        </w:rPr>
        <w:t xml:space="preserve">Hver filmovertrukket tablet indeholder 5 mg </w:t>
      </w:r>
      <w:proofErr w:type="spellStart"/>
      <w:r w:rsidR="00AE53F6">
        <w:rPr>
          <w:sz w:val="24"/>
          <w:szCs w:val="24"/>
        </w:rPr>
        <w:t>levocetirizindihydrochlorid</w:t>
      </w:r>
      <w:proofErr w:type="spellEnd"/>
      <w:r w:rsidR="00AE53F6">
        <w:rPr>
          <w:sz w:val="24"/>
          <w:szCs w:val="24"/>
        </w:rPr>
        <w:t>.</w:t>
      </w:r>
    </w:p>
    <w:p w:rsidR="00AE53F6" w:rsidRDefault="00AE53F6" w:rsidP="00AE53F6">
      <w:pPr>
        <w:suppressAutoHyphens/>
        <w:ind w:left="851" w:hanging="851"/>
        <w:rPr>
          <w:sz w:val="24"/>
          <w:szCs w:val="24"/>
        </w:rPr>
      </w:pPr>
      <w:r>
        <w:rPr>
          <w:sz w:val="24"/>
          <w:szCs w:val="24"/>
        </w:rPr>
        <w:tab/>
      </w:r>
    </w:p>
    <w:p w:rsidR="00AE53F6" w:rsidRPr="009C02D4" w:rsidRDefault="00AE53F6" w:rsidP="00AE53F6">
      <w:pPr>
        <w:suppressAutoHyphens/>
        <w:ind w:left="851" w:hanging="851"/>
        <w:rPr>
          <w:sz w:val="24"/>
          <w:szCs w:val="24"/>
          <w:u w:val="single"/>
        </w:rPr>
      </w:pPr>
      <w:r>
        <w:rPr>
          <w:sz w:val="24"/>
          <w:szCs w:val="24"/>
        </w:rPr>
        <w:tab/>
      </w:r>
      <w:r w:rsidRPr="009C02D4">
        <w:rPr>
          <w:sz w:val="24"/>
          <w:szCs w:val="24"/>
          <w:u w:val="single"/>
        </w:rPr>
        <w:t>Hjælpestof, som behandleren skal være opmærksom på</w:t>
      </w:r>
    </w:p>
    <w:p w:rsidR="00AE53F6" w:rsidRDefault="00AE53F6" w:rsidP="00AE53F6">
      <w:pPr>
        <w:suppressAutoHyphens/>
        <w:ind w:left="851"/>
        <w:rPr>
          <w:sz w:val="24"/>
          <w:szCs w:val="24"/>
        </w:rPr>
      </w:pPr>
      <w:r>
        <w:rPr>
          <w:sz w:val="24"/>
          <w:szCs w:val="24"/>
        </w:rPr>
        <w:t xml:space="preserve">88,63 mg </w:t>
      </w:r>
      <w:proofErr w:type="spellStart"/>
      <w:r>
        <w:rPr>
          <w:sz w:val="24"/>
          <w:szCs w:val="24"/>
        </w:rPr>
        <w:t>lactose</w:t>
      </w:r>
      <w:proofErr w:type="spellEnd"/>
      <w:r>
        <w:rPr>
          <w:sz w:val="24"/>
          <w:szCs w:val="24"/>
        </w:rPr>
        <w:t xml:space="preserve"> pr. tablet.</w:t>
      </w:r>
    </w:p>
    <w:p w:rsidR="00155008" w:rsidRDefault="00155008" w:rsidP="00AE53F6">
      <w:pPr>
        <w:suppressAutoHyphens/>
        <w:ind w:left="851" w:hanging="851"/>
        <w:rPr>
          <w:sz w:val="24"/>
          <w:szCs w:val="24"/>
        </w:rPr>
      </w:pPr>
    </w:p>
    <w:p w:rsidR="00155008" w:rsidRPr="0089122C" w:rsidRDefault="00155008" w:rsidP="00155008">
      <w:pPr>
        <w:suppressAutoHyphens/>
        <w:ind w:left="851" w:hanging="851"/>
        <w:rPr>
          <w:sz w:val="24"/>
          <w:szCs w:val="24"/>
        </w:rPr>
      </w:pPr>
      <w:r w:rsidRPr="00370FC1">
        <w:rPr>
          <w:sz w:val="24"/>
          <w:szCs w:val="24"/>
        </w:rPr>
        <w:tab/>
      </w:r>
      <w:r w:rsidRPr="0089122C">
        <w:rPr>
          <w:sz w:val="24"/>
          <w:szCs w:val="24"/>
        </w:rPr>
        <w:t>Alle hjælpestoffer er anført under pkt. 6.1</w:t>
      </w:r>
      <w:r w:rsidR="009C02D4">
        <w:rPr>
          <w:sz w:val="24"/>
          <w:szCs w:val="24"/>
        </w:rPr>
        <w:t>.</w:t>
      </w:r>
    </w:p>
    <w:p w:rsidR="00155008" w:rsidRPr="0089122C" w:rsidRDefault="00155008" w:rsidP="00155008">
      <w:pPr>
        <w:ind w:left="851" w:hanging="851"/>
        <w:rPr>
          <w:sz w:val="24"/>
          <w:szCs w:val="24"/>
        </w:rPr>
      </w:pPr>
    </w:p>
    <w:p w:rsidR="00155008" w:rsidRPr="0089122C" w:rsidRDefault="00155008" w:rsidP="00155008">
      <w:pPr>
        <w:numPr>
          <w:ilvl w:val="0"/>
          <w:numId w:val="1"/>
        </w:numPr>
        <w:tabs>
          <w:tab w:val="clear" w:pos="855"/>
        </w:tabs>
        <w:ind w:left="851" w:hanging="851"/>
        <w:rPr>
          <w:b/>
          <w:sz w:val="24"/>
          <w:szCs w:val="24"/>
        </w:rPr>
      </w:pPr>
      <w:r w:rsidRPr="0089122C">
        <w:rPr>
          <w:b/>
          <w:sz w:val="24"/>
          <w:szCs w:val="24"/>
        </w:rPr>
        <w:t>LÆGEMIDDELFORM</w:t>
      </w:r>
    </w:p>
    <w:p w:rsidR="00155008" w:rsidRPr="0089122C" w:rsidRDefault="00155008" w:rsidP="00155008">
      <w:pPr>
        <w:suppressAutoHyphens/>
        <w:ind w:left="851" w:hanging="851"/>
        <w:rPr>
          <w:sz w:val="24"/>
          <w:szCs w:val="24"/>
        </w:rPr>
      </w:pPr>
      <w:r w:rsidRPr="0089122C">
        <w:rPr>
          <w:sz w:val="24"/>
          <w:szCs w:val="24"/>
        </w:rPr>
        <w:tab/>
        <w:t>Filmovertrukket tablet</w:t>
      </w:r>
      <w:r w:rsidR="00545325">
        <w:rPr>
          <w:sz w:val="24"/>
          <w:szCs w:val="24"/>
        </w:rPr>
        <w:t xml:space="preserve"> (2care4)</w:t>
      </w:r>
    </w:p>
    <w:p w:rsidR="00155008" w:rsidRPr="0089122C" w:rsidRDefault="00155008" w:rsidP="00545325">
      <w:pPr>
        <w:suppressAutoHyphens/>
        <w:ind w:left="851" w:hanging="851"/>
        <w:rPr>
          <w:sz w:val="24"/>
          <w:szCs w:val="24"/>
        </w:rPr>
      </w:pPr>
      <w:r w:rsidRPr="0089122C">
        <w:rPr>
          <w:sz w:val="24"/>
          <w:szCs w:val="24"/>
        </w:rPr>
        <w:tab/>
      </w:r>
    </w:p>
    <w:p w:rsidR="00155008" w:rsidRPr="0089122C" w:rsidRDefault="00155008" w:rsidP="00155008">
      <w:pPr>
        <w:ind w:left="851" w:hanging="851"/>
        <w:rPr>
          <w:sz w:val="24"/>
          <w:szCs w:val="24"/>
        </w:rPr>
      </w:pPr>
    </w:p>
    <w:p w:rsidR="00155008" w:rsidRPr="0089122C" w:rsidRDefault="00155008" w:rsidP="00155008">
      <w:pPr>
        <w:ind w:left="851" w:hanging="851"/>
        <w:rPr>
          <w:sz w:val="24"/>
          <w:szCs w:val="24"/>
        </w:rPr>
      </w:pPr>
    </w:p>
    <w:p w:rsidR="00155008" w:rsidRPr="0089122C" w:rsidRDefault="00155008" w:rsidP="00155008">
      <w:pPr>
        <w:numPr>
          <w:ilvl w:val="0"/>
          <w:numId w:val="1"/>
        </w:numPr>
        <w:tabs>
          <w:tab w:val="clear" w:pos="855"/>
        </w:tabs>
        <w:ind w:left="851" w:hanging="851"/>
        <w:rPr>
          <w:b/>
          <w:sz w:val="24"/>
          <w:szCs w:val="24"/>
        </w:rPr>
      </w:pPr>
      <w:r w:rsidRPr="0089122C">
        <w:rPr>
          <w:b/>
          <w:sz w:val="24"/>
          <w:szCs w:val="24"/>
        </w:rPr>
        <w:t>KLINISKE OPLYSNINGER</w:t>
      </w:r>
    </w:p>
    <w:p w:rsidR="00155008" w:rsidRPr="0089122C" w:rsidRDefault="00155008" w:rsidP="00155008">
      <w:pPr>
        <w:ind w:left="851" w:hanging="851"/>
        <w:rPr>
          <w:b/>
          <w:sz w:val="24"/>
          <w:szCs w:val="24"/>
        </w:rPr>
      </w:pPr>
    </w:p>
    <w:p w:rsidR="00155008" w:rsidRPr="0089122C" w:rsidRDefault="00155008" w:rsidP="00155008">
      <w:pPr>
        <w:numPr>
          <w:ilvl w:val="1"/>
          <w:numId w:val="1"/>
        </w:numPr>
        <w:tabs>
          <w:tab w:val="clear" w:pos="855"/>
        </w:tabs>
        <w:ind w:left="851" w:hanging="851"/>
        <w:rPr>
          <w:b/>
          <w:sz w:val="24"/>
          <w:szCs w:val="24"/>
          <w:u w:val="single"/>
        </w:rPr>
      </w:pPr>
      <w:r w:rsidRPr="0089122C">
        <w:rPr>
          <w:b/>
          <w:sz w:val="24"/>
          <w:szCs w:val="24"/>
        </w:rPr>
        <w:t>Terapeutiske indikationer</w:t>
      </w:r>
    </w:p>
    <w:p w:rsidR="00155008" w:rsidRDefault="00155008" w:rsidP="00155008">
      <w:pPr>
        <w:tabs>
          <w:tab w:val="left" w:pos="851"/>
        </w:tabs>
        <w:ind w:left="851" w:hanging="851"/>
        <w:rPr>
          <w:sz w:val="24"/>
          <w:szCs w:val="24"/>
        </w:rPr>
      </w:pPr>
      <w:r>
        <w:rPr>
          <w:sz w:val="24"/>
          <w:szCs w:val="24"/>
        </w:rPr>
        <w:tab/>
        <w:t xml:space="preserve">Symptomatisk behandling af allergisk </w:t>
      </w:r>
      <w:proofErr w:type="spellStart"/>
      <w:r>
        <w:rPr>
          <w:sz w:val="24"/>
          <w:szCs w:val="24"/>
        </w:rPr>
        <w:t>rhinit</w:t>
      </w:r>
      <w:proofErr w:type="spellEnd"/>
      <w:r>
        <w:rPr>
          <w:sz w:val="24"/>
          <w:szCs w:val="24"/>
        </w:rPr>
        <w:t xml:space="preserve"> (inklusive persisterende allergisk </w:t>
      </w:r>
      <w:proofErr w:type="spellStart"/>
      <w:r>
        <w:rPr>
          <w:sz w:val="24"/>
          <w:szCs w:val="24"/>
        </w:rPr>
        <w:t>rhinit</w:t>
      </w:r>
      <w:proofErr w:type="spellEnd"/>
      <w:r>
        <w:rPr>
          <w:sz w:val="24"/>
          <w:szCs w:val="24"/>
        </w:rPr>
        <w:t xml:space="preserve">) og </w:t>
      </w:r>
      <w:proofErr w:type="spellStart"/>
      <w:r>
        <w:rPr>
          <w:sz w:val="24"/>
          <w:szCs w:val="24"/>
        </w:rPr>
        <w:t>urticaria</w:t>
      </w:r>
      <w:proofErr w:type="spellEnd"/>
      <w:r>
        <w:rPr>
          <w:sz w:val="24"/>
          <w:szCs w:val="24"/>
        </w:rPr>
        <w:t xml:space="preserve"> hos voksne og børn i alderen 6</w:t>
      </w:r>
      <w:r w:rsidR="00CA5D06">
        <w:rPr>
          <w:sz w:val="24"/>
          <w:szCs w:val="24"/>
        </w:rPr>
        <w:t> </w:t>
      </w:r>
      <w:r>
        <w:rPr>
          <w:sz w:val="24"/>
          <w:szCs w:val="24"/>
        </w:rPr>
        <w:t>år og derover.</w:t>
      </w:r>
    </w:p>
    <w:p w:rsidR="00155008" w:rsidRPr="0089122C" w:rsidRDefault="00155008" w:rsidP="00155008">
      <w:pPr>
        <w:ind w:left="851" w:hanging="851"/>
        <w:rPr>
          <w:sz w:val="24"/>
          <w:szCs w:val="24"/>
        </w:rPr>
      </w:pPr>
    </w:p>
    <w:p w:rsidR="00155008" w:rsidRPr="0089122C" w:rsidRDefault="00155008" w:rsidP="00155008">
      <w:pPr>
        <w:numPr>
          <w:ilvl w:val="1"/>
          <w:numId w:val="1"/>
        </w:numPr>
        <w:tabs>
          <w:tab w:val="clear" w:pos="855"/>
        </w:tabs>
        <w:ind w:left="851" w:hanging="851"/>
        <w:rPr>
          <w:b/>
          <w:sz w:val="24"/>
          <w:szCs w:val="24"/>
        </w:rPr>
      </w:pPr>
      <w:r w:rsidRPr="0089122C">
        <w:rPr>
          <w:b/>
          <w:sz w:val="24"/>
          <w:szCs w:val="24"/>
        </w:rPr>
        <w:t xml:space="preserve">Dosering og </w:t>
      </w:r>
      <w:r w:rsidR="004209B0">
        <w:rPr>
          <w:b/>
          <w:sz w:val="24"/>
          <w:szCs w:val="24"/>
        </w:rPr>
        <w:t>administration</w:t>
      </w:r>
    </w:p>
    <w:p w:rsidR="00CA5D06" w:rsidRPr="00CA5D06" w:rsidRDefault="00CA5D06" w:rsidP="00CA5D06">
      <w:pPr>
        <w:ind w:left="851"/>
        <w:rPr>
          <w:noProof/>
          <w:sz w:val="24"/>
          <w:szCs w:val="24"/>
          <w:u w:val="single"/>
        </w:rPr>
      </w:pPr>
      <w:r w:rsidRPr="00CA5D06">
        <w:rPr>
          <w:noProof/>
          <w:sz w:val="24"/>
          <w:szCs w:val="24"/>
          <w:u w:val="single"/>
        </w:rPr>
        <w:t>Dosering</w:t>
      </w:r>
    </w:p>
    <w:p w:rsidR="00CA5D06" w:rsidRPr="00CA5D06" w:rsidRDefault="00CA5D06" w:rsidP="00CA5D06">
      <w:pPr>
        <w:suppressAutoHyphens/>
        <w:ind w:left="851"/>
        <w:rPr>
          <w:sz w:val="24"/>
          <w:szCs w:val="24"/>
        </w:rPr>
      </w:pPr>
    </w:p>
    <w:p w:rsidR="00CA5D06" w:rsidRPr="00CA5D06" w:rsidRDefault="00CA5D06" w:rsidP="00CA5D06">
      <w:pPr>
        <w:ind w:left="851"/>
        <w:rPr>
          <w:i/>
          <w:sz w:val="24"/>
          <w:szCs w:val="24"/>
          <w:u w:val="single"/>
        </w:rPr>
      </w:pPr>
      <w:r w:rsidRPr="00CA5D06">
        <w:rPr>
          <w:i/>
          <w:sz w:val="24"/>
          <w:szCs w:val="24"/>
          <w:u w:val="single"/>
        </w:rPr>
        <w:t>Voksne og unge på 12</w:t>
      </w:r>
      <w:r w:rsidRPr="00CA5D06">
        <w:rPr>
          <w:sz w:val="24"/>
          <w:szCs w:val="24"/>
          <w:u w:val="single"/>
        </w:rPr>
        <w:t> </w:t>
      </w:r>
      <w:r w:rsidRPr="00CA5D06">
        <w:rPr>
          <w:i/>
          <w:sz w:val="24"/>
          <w:szCs w:val="24"/>
          <w:u w:val="single"/>
        </w:rPr>
        <w:t>år og derover</w:t>
      </w:r>
    </w:p>
    <w:p w:rsidR="00CA5D06" w:rsidRPr="00CA5D06" w:rsidRDefault="00CA5D06" w:rsidP="00CA5D06">
      <w:pPr>
        <w:ind w:left="851"/>
        <w:rPr>
          <w:sz w:val="24"/>
          <w:szCs w:val="24"/>
        </w:rPr>
      </w:pPr>
      <w:r w:rsidRPr="00CA5D06">
        <w:rPr>
          <w:sz w:val="24"/>
          <w:szCs w:val="24"/>
        </w:rPr>
        <w:t>Den anbefalede daglige dosis er 5 mg (</w:t>
      </w:r>
      <w:r w:rsidR="009C02D4" w:rsidRPr="00436ECB">
        <w:rPr>
          <w:sz w:val="24"/>
          <w:szCs w:val="24"/>
        </w:rPr>
        <w:t xml:space="preserve">1 filmovertrukket </w:t>
      </w:r>
      <w:r w:rsidRPr="00CA5D06">
        <w:rPr>
          <w:sz w:val="24"/>
          <w:szCs w:val="24"/>
        </w:rPr>
        <w:t>tablet).</w:t>
      </w:r>
    </w:p>
    <w:p w:rsidR="00CA5D06" w:rsidRPr="00CA5D06" w:rsidRDefault="00CA5D06" w:rsidP="00CA5D06">
      <w:pPr>
        <w:ind w:left="851"/>
        <w:rPr>
          <w:sz w:val="24"/>
          <w:szCs w:val="24"/>
        </w:rPr>
      </w:pPr>
    </w:p>
    <w:p w:rsidR="00CA5D06" w:rsidRPr="00CA5D06" w:rsidRDefault="00CA5D06" w:rsidP="00CA5D06">
      <w:pPr>
        <w:ind w:left="851"/>
        <w:rPr>
          <w:i/>
          <w:sz w:val="24"/>
          <w:szCs w:val="24"/>
          <w:u w:val="single"/>
        </w:rPr>
      </w:pPr>
      <w:r w:rsidRPr="00CA5D06">
        <w:rPr>
          <w:i/>
          <w:sz w:val="24"/>
          <w:szCs w:val="24"/>
          <w:u w:val="single"/>
        </w:rPr>
        <w:t>Ældre</w:t>
      </w:r>
    </w:p>
    <w:p w:rsidR="00CA5D06" w:rsidRPr="00CA5D06" w:rsidRDefault="00CA5D06" w:rsidP="00CA5D06">
      <w:pPr>
        <w:ind w:left="851"/>
        <w:rPr>
          <w:sz w:val="24"/>
          <w:szCs w:val="24"/>
        </w:rPr>
      </w:pPr>
      <w:r w:rsidRPr="00CA5D06">
        <w:rPr>
          <w:sz w:val="24"/>
          <w:szCs w:val="24"/>
        </w:rPr>
        <w:t xml:space="preserve">Det anbefales at justere den daglige dosis til ældre patienter med moderat til alvorligt nedsat nyrefunktion (se </w:t>
      </w:r>
      <w:r w:rsidR="003D0AEF">
        <w:rPr>
          <w:i/>
          <w:sz w:val="24"/>
          <w:szCs w:val="24"/>
        </w:rPr>
        <w:t>N</w:t>
      </w:r>
      <w:r w:rsidRPr="00CA5D06">
        <w:rPr>
          <w:i/>
          <w:sz w:val="24"/>
          <w:szCs w:val="24"/>
        </w:rPr>
        <w:t xml:space="preserve">edsat nyrefunktion </w:t>
      </w:r>
      <w:r w:rsidRPr="00CA5D06">
        <w:rPr>
          <w:sz w:val="24"/>
          <w:szCs w:val="24"/>
        </w:rPr>
        <w:t>nedenfor).</w:t>
      </w:r>
    </w:p>
    <w:p w:rsidR="00CA5D06" w:rsidRPr="00CA5D06" w:rsidRDefault="00CA5D06" w:rsidP="00CA5D06">
      <w:pPr>
        <w:ind w:left="851"/>
        <w:rPr>
          <w:sz w:val="24"/>
          <w:szCs w:val="24"/>
          <w:u w:val="single"/>
        </w:rPr>
      </w:pPr>
    </w:p>
    <w:p w:rsidR="00CA5D06" w:rsidRPr="00CA5D06" w:rsidRDefault="00CA5D06" w:rsidP="00CA5D06">
      <w:pPr>
        <w:ind w:left="851"/>
        <w:rPr>
          <w:i/>
          <w:sz w:val="24"/>
          <w:szCs w:val="24"/>
          <w:u w:val="single"/>
        </w:rPr>
      </w:pPr>
    </w:p>
    <w:p w:rsidR="00CA5D06" w:rsidRPr="00CA5D06" w:rsidRDefault="00CA5D06" w:rsidP="00CA5D06">
      <w:pPr>
        <w:ind w:left="851"/>
        <w:rPr>
          <w:sz w:val="24"/>
          <w:szCs w:val="24"/>
          <w:lang w:val="sl-SI"/>
        </w:rPr>
      </w:pPr>
    </w:p>
    <w:p w:rsidR="009C02D4" w:rsidRPr="00436ECB" w:rsidRDefault="009C02D4" w:rsidP="009C02D4">
      <w:pPr>
        <w:keepNext/>
        <w:ind w:left="851"/>
        <w:rPr>
          <w:i/>
          <w:sz w:val="24"/>
          <w:szCs w:val="24"/>
        </w:rPr>
      </w:pPr>
      <w:r w:rsidRPr="00436ECB">
        <w:rPr>
          <w:i/>
          <w:sz w:val="24"/>
          <w:szCs w:val="24"/>
          <w:u w:val="single"/>
        </w:rPr>
        <w:lastRenderedPageBreak/>
        <w:t>Nedsat nyrefunktion</w:t>
      </w:r>
    </w:p>
    <w:p w:rsidR="009C02D4" w:rsidRPr="00436ECB" w:rsidRDefault="009C02D4" w:rsidP="009C02D4">
      <w:pPr>
        <w:pStyle w:val="Slutnotetekst"/>
        <w:widowControl/>
        <w:tabs>
          <w:tab w:val="clear" w:pos="567"/>
          <w:tab w:val="left" w:pos="1304"/>
        </w:tabs>
        <w:ind w:left="851"/>
        <w:rPr>
          <w:sz w:val="24"/>
          <w:szCs w:val="24"/>
        </w:rPr>
      </w:pPr>
      <w:r w:rsidRPr="00436ECB">
        <w:rPr>
          <w:sz w:val="24"/>
          <w:szCs w:val="24"/>
        </w:rPr>
        <w:t>Doseringsintervallerne skal individualiseres i forhold til nyrefunktionen (</w:t>
      </w:r>
      <w:proofErr w:type="spellStart"/>
      <w:r w:rsidRPr="00436ECB">
        <w:rPr>
          <w:sz w:val="24"/>
          <w:szCs w:val="24"/>
        </w:rPr>
        <w:t>eGRF</w:t>
      </w:r>
      <w:proofErr w:type="spellEnd"/>
      <w:r w:rsidRPr="00436ECB">
        <w:rPr>
          <w:sz w:val="24"/>
          <w:szCs w:val="24"/>
        </w:rPr>
        <w:t xml:space="preserve"> – estimeret </w:t>
      </w:r>
      <w:proofErr w:type="spellStart"/>
      <w:r w:rsidRPr="00436ECB">
        <w:rPr>
          <w:sz w:val="24"/>
          <w:szCs w:val="24"/>
        </w:rPr>
        <w:t>glomerulær</w:t>
      </w:r>
      <w:proofErr w:type="spellEnd"/>
      <w:r w:rsidRPr="00436ECB">
        <w:rPr>
          <w:sz w:val="24"/>
          <w:szCs w:val="24"/>
        </w:rPr>
        <w:t xml:space="preserve"> filtrationsrate). Se nedenstående skema og justér doseringen som indikeret.</w:t>
      </w:r>
    </w:p>
    <w:p w:rsidR="009C02D4" w:rsidRPr="00436ECB" w:rsidRDefault="009C02D4" w:rsidP="009C02D4">
      <w:pPr>
        <w:pStyle w:val="Slutnotetekst"/>
        <w:widowControl/>
        <w:tabs>
          <w:tab w:val="clear" w:pos="567"/>
          <w:tab w:val="left" w:pos="1304"/>
        </w:tabs>
        <w:ind w:left="851"/>
        <w:rPr>
          <w:position w:val="-6"/>
          <w:sz w:val="24"/>
          <w:szCs w:val="24"/>
        </w:rPr>
      </w:pPr>
    </w:p>
    <w:p w:rsidR="009C02D4" w:rsidRPr="00436ECB" w:rsidRDefault="009C02D4" w:rsidP="009C02D4">
      <w:pPr>
        <w:pStyle w:val="Slutnotetekst"/>
        <w:widowControl/>
        <w:tabs>
          <w:tab w:val="clear" w:pos="567"/>
          <w:tab w:val="left" w:pos="1304"/>
        </w:tabs>
        <w:ind w:left="851"/>
        <w:rPr>
          <w:sz w:val="24"/>
          <w:szCs w:val="24"/>
        </w:rPr>
      </w:pPr>
      <w:r w:rsidRPr="00436ECB">
        <w:rPr>
          <w:sz w:val="24"/>
          <w:szCs w:val="24"/>
        </w:rPr>
        <w:t>Dosisjusteringer hos patienter med nedsat nyrefunktion:</w:t>
      </w:r>
    </w:p>
    <w:p w:rsidR="00CA5D06" w:rsidRDefault="00CA5D06" w:rsidP="00CA5D06">
      <w:pPr>
        <w:pStyle w:val="Slutnotetekst"/>
        <w:widowControl/>
        <w:tabs>
          <w:tab w:val="clear" w:pos="567"/>
          <w:tab w:val="left" w:pos="1304"/>
        </w:tabs>
        <w:ind w:left="851" w:hanging="851"/>
        <w:rPr>
          <w:sz w:val="24"/>
          <w:szCs w:val="24"/>
          <w:u w:val="single"/>
        </w:rPr>
      </w:pPr>
    </w:p>
    <w:tbl>
      <w:tblPr>
        <w:tblW w:w="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7"/>
        <w:gridCol w:w="2835"/>
      </w:tblGrid>
      <w:tr w:rsidR="009C02D4" w:rsidRPr="00436ECB" w:rsidTr="00D45B69">
        <w:tc>
          <w:tcPr>
            <w:tcW w:w="3119"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i/>
                <w:sz w:val="24"/>
                <w:szCs w:val="24"/>
              </w:rPr>
            </w:pPr>
            <w:r w:rsidRPr="00436ECB">
              <w:rPr>
                <w:i/>
                <w:sz w:val="24"/>
                <w:szCs w:val="24"/>
              </w:rPr>
              <w:t>Gruppe</w:t>
            </w:r>
          </w:p>
        </w:tc>
        <w:tc>
          <w:tcPr>
            <w:tcW w:w="2977"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i/>
                <w:sz w:val="24"/>
                <w:szCs w:val="24"/>
              </w:rPr>
            </w:pPr>
            <w:proofErr w:type="spellStart"/>
            <w:r w:rsidRPr="00436ECB">
              <w:rPr>
                <w:i/>
                <w:sz w:val="24"/>
                <w:szCs w:val="24"/>
              </w:rPr>
              <w:t>eGFR</w:t>
            </w:r>
            <w:proofErr w:type="spellEnd"/>
            <w:r w:rsidRPr="00436ECB">
              <w:rPr>
                <w:i/>
                <w:sz w:val="24"/>
                <w:szCs w:val="24"/>
              </w:rPr>
              <w:t xml:space="preserve"> (ml/min)</w:t>
            </w:r>
          </w:p>
        </w:tc>
        <w:tc>
          <w:tcPr>
            <w:tcW w:w="2835"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i/>
                <w:sz w:val="24"/>
                <w:szCs w:val="24"/>
              </w:rPr>
            </w:pPr>
            <w:r w:rsidRPr="00436ECB">
              <w:rPr>
                <w:i/>
                <w:sz w:val="24"/>
                <w:szCs w:val="24"/>
              </w:rPr>
              <w:t>Dosering og hyppighed</w:t>
            </w:r>
          </w:p>
        </w:tc>
      </w:tr>
      <w:tr w:rsidR="009C02D4" w:rsidRPr="00436ECB" w:rsidTr="00D45B69">
        <w:tc>
          <w:tcPr>
            <w:tcW w:w="3119"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rPr>
                <w:sz w:val="24"/>
                <w:szCs w:val="24"/>
              </w:rPr>
            </w:pPr>
            <w:r w:rsidRPr="00436ECB">
              <w:rPr>
                <w:sz w:val="24"/>
                <w:szCs w:val="24"/>
              </w:rPr>
              <w:t>Normal nyrefunktion</w:t>
            </w:r>
          </w:p>
        </w:tc>
        <w:tc>
          <w:tcPr>
            <w:tcW w:w="2977"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sz w:val="24"/>
                <w:szCs w:val="24"/>
              </w:rPr>
            </w:pPr>
            <w:r w:rsidRPr="00436ECB">
              <w:rPr>
                <w:sz w:val="24"/>
                <w:szCs w:val="24"/>
                <w:u w:val="single"/>
              </w:rPr>
              <w:t>&gt; </w:t>
            </w:r>
            <w:r w:rsidRPr="00436ECB">
              <w:rPr>
                <w:sz w:val="24"/>
                <w:szCs w:val="24"/>
              </w:rPr>
              <w:t>90</w:t>
            </w:r>
          </w:p>
        </w:tc>
        <w:tc>
          <w:tcPr>
            <w:tcW w:w="2835" w:type="dxa"/>
            <w:tcBorders>
              <w:top w:val="single" w:sz="4" w:space="0" w:color="auto"/>
              <w:left w:val="single" w:sz="4" w:space="0" w:color="auto"/>
              <w:bottom w:val="single" w:sz="4" w:space="0" w:color="auto"/>
              <w:right w:val="single" w:sz="4" w:space="0" w:color="auto"/>
            </w:tcBorders>
          </w:tcPr>
          <w:p w:rsidR="009C02D4" w:rsidRPr="00436ECB" w:rsidRDefault="009C02D4" w:rsidP="00D45B69">
            <w:pPr>
              <w:pStyle w:val="Slutnotetekst"/>
              <w:rPr>
                <w:sz w:val="24"/>
                <w:szCs w:val="24"/>
              </w:rPr>
            </w:pPr>
            <w:r w:rsidRPr="00436ECB">
              <w:rPr>
                <w:sz w:val="24"/>
                <w:szCs w:val="24"/>
              </w:rPr>
              <w:t>1 tablet én gang dagligt</w:t>
            </w:r>
          </w:p>
          <w:p w:rsidR="009C02D4" w:rsidRPr="00436ECB" w:rsidRDefault="009C02D4" w:rsidP="00D45B69">
            <w:pPr>
              <w:pStyle w:val="Slutnotetekst"/>
              <w:rPr>
                <w:sz w:val="24"/>
                <w:szCs w:val="24"/>
              </w:rPr>
            </w:pPr>
          </w:p>
        </w:tc>
      </w:tr>
      <w:tr w:rsidR="009C02D4" w:rsidRPr="00436ECB" w:rsidTr="00D45B69">
        <w:tc>
          <w:tcPr>
            <w:tcW w:w="3119"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rPr>
                <w:sz w:val="24"/>
                <w:szCs w:val="24"/>
              </w:rPr>
            </w:pPr>
            <w:r w:rsidRPr="00436ECB">
              <w:rPr>
                <w:sz w:val="24"/>
                <w:szCs w:val="24"/>
              </w:rPr>
              <w:t>Let nedsat nyrefunktion</w:t>
            </w:r>
          </w:p>
        </w:tc>
        <w:tc>
          <w:tcPr>
            <w:tcW w:w="2977"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sz w:val="24"/>
                <w:szCs w:val="24"/>
              </w:rPr>
            </w:pPr>
            <w:r w:rsidRPr="00436ECB">
              <w:rPr>
                <w:sz w:val="24"/>
                <w:szCs w:val="24"/>
              </w:rPr>
              <w:t>60 - &lt; 90</w:t>
            </w:r>
          </w:p>
        </w:tc>
        <w:tc>
          <w:tcPr>
            <w:tcW w:w="2835" w:type="dxa"/>
            <w:tcBorders>
              <w:top w:val="single" w:sz="4" w:space="0" w:color="auto"/>
              <w:left w:val="single" w:sz="4" w:space="0" w:color="auto"/>
              <w:bottom w:val="single" w:sz="4" w:space="0" w:color="auto"/>
              <w:right w:val="single" w:sz="4" w:space="0" w:color="auto"/>
            </w:tcBorders>
          </w:tcPr>
          <w:p w:rsidR="009C02D4" w:rsidRPr="00436ECB" w:rsidRDefault="009C02D4" w:rsidP="00D45B69">
            <w:pPr>
              <w:rPr>
                <w:sz w:val="24"/>
                <w:szCs w:val="24"/>
              </w:rPr>
            </w:pPr>
            <w:r w:rsidRPr="00436ECB">
              <w:rPr>
                <w:sz w:val="24"/>
                <w:szCs w:val="24"/>
              </w:rPr>
              <w:t>1 tablet én gang dagligt</w:t>
            </w:r>
          </w:p>
          <w:p w:rsidR="009C02D4" w:rsidRPr="00436ECB" w:rsidRDefault="009C02D4" w:rsidP="00D45B69">
            <w:pPr>
              <w:rPr>
                <w:sz w:val="24"/>
                <w:szCs w:val="24"/>
              </w:rPr>
            </w:pPr>
          </w:p>
        </w:tc>
      </w:tr>
      <w:tr w:rsidR="009C02D4" w:rsidRPr="00436ECB" w:rsidTr="00D45B69">
        <w:tc>
          <w:tcPr>
            <w:tcW w:w="3119"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rPr>
                <w:sz w:val="24"/>
                <w:szCs w:val="24"/>
              </w:rPr>
            </w:pPr>
            <w:r w:rsidRPr="00436ECB">
              <w:rPr>
                <w:sz w:val="24"/>
                <w:szCs w:val="24"/>
              </w:rPr>
              <w:t>Moderat nedsat nyrefunktion</w:t>
            </w:r>
          </w:p>
        </w:tc>
        <w:tc>
          <w:tcPr>
            <w:tcW w:w="2977"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sz w:val="24"/>
                <w:szCs w:val="24"/>
              </w:rPr>
            </w:pPr>
            <w:r w:rsidRPr="00436ECB">
              <w:rPr>
                <w:sz w:val="24"/>
                <w:szCs w:val="24"/>
              </w:rPr>
              <w:t>30 - &lt; 60</w:t>
            </w:r>
          </w:p>
        </w:tc>
        <w:tc>
          <w:tcPr>
            <w:tcW w:w="2835"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rPr>
                <w:sz w:val="24"/>
                <w:szCs w:val="24"/>
              </w:rPr>
            </w:pPr>
            <w:r w:rsidRPr="00436ECB">
              <w:rPr>
                <w:sz w:val="24"/>
                <w:szCs w:val="24"/>
              </w:rPr>
              <w:t>1 tablet én gang hver 2. dag</w:t>
            </w:r>
          </w:p>
        </w:tc>
      </w:tr>
      <w:tr w:rsidR="009C02D4" w:rsidRPr="00436ECB" w:rsidTr="00D45B69">
        <w:tc>
          <w:tcPr>
            <w:tcW w:w="3119"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rPr>
                <w:sz w:val="24"/>
                <w:szCs w:val="24"/>
              </w:rPr>
            </w:pPr>
            <w:r w:rsidRPr="00436ECB">
              <w:rPr>
                <w:sz w:val="24"/>
                <w:szCs w:val="24"/>
              </w:rPr>
              <w:t>Alvorligt nedsat nyrefunktion</w:t>
            </w:r>
          </w:p>
        </w:tc>
        <w:tc>
          <w:tcPr>
            <w:tcW w:w="2977"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jc w:val="center"/>
              <w:rPr>
                <w:sz w:val="24"/>
                <w:szCs w:val="24"/>
              </w:rPr>
            </w:pPr>
            <w:r w:rsidRPr="00436ECB">
              <w:rPr>
                <w:sz w:val="24"/>
                <w:szCs w:val="24"/>
              </w:rPr>
              <w:t>15 - &lt; 30</w:t>
            </w:r>
          </w:p>
          <w:p w:rsidR="009C02D4" w:rsidRPr="00436ECB" w:rsidRDefault="009C02D4" w:rsidP="00D45B69">
            <w:pPr>
              <w:pStyle w:val="Slutnotetekst"/>
              <w:widowControl/>
              <w:tabs>
                <w:tab w:val="clear" w:pos="567"/>
                <w:tab w:val="left" w:pos="1304"/>
              </w:tabs>
              <w:jc w:val="center"/>
              <w:rPr>
                <w:sz w:val="24"/>
                <w:szCs w:val="24"/>
              </w:rPr>
            </w:pPr>
            <w:r w:rsidRPr="00436ECB">
              <w:rPr>
                <w:sz w:val="24"/>
                <w:szCs w:val="24"/>
              </w:rPr>
              <w:t>(der ikke kræver dialysebehandling)</w:t>
            </w:r>
          </w:p>
        </w:tc>
        <w:tc>
          <w:tcPr>
            <w:tcW w:w="2835"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rPr>
                <w:sz w:val="24"/>
                <w:szCs w:val="24"/>
              </w:rPr>
            </w:pPr>
            <w:r w:rsidRPr="00436ECB">
              <w:rPr>
                <w:sz w:val="24"/>
                <w:szCs w:val="24"/>
              </w:rPr>
              <w:t>1 tablet én gang hver 3. dag</w:t>
            </w:r>
          </w:p>
        </w:tc>
      </w:tr>
      <w:tr w:rsidR="009C02D4" w:rsidRPr="00436ECB" w:rsidTr="00D45B69">
        <w:trPr>
          <w:trHeight w:val="484"/>
        </w:trPr>
        <w:tc>
          <w:tcPr>
            <w:tcW w:w="3119"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widowControl/>
              <w:tabs>
                <w:tab w:val="clear" w:pos="567"/>
                <w:tab w:val="left" w:pos="1304"/>
              </w:tabs>
              <w:rPr>
                <w:sz w:val="24"/>
                <w:szCs w:val="24"/>
              </w:rPr>
            </w:pPr>
            <w:r w:rsidRPr="00436ECB">
              <w:rPr>
                <w:sz w:val="24"/>
                <w:szCs w:val="24"/>
              </w:rPr>
              <w:t>Slutstadiet af nyresygdom</w:t>
            </w:r>
          </w:p>
        </w:tc>
        <w:tc>
          <w:tcPr>
            <w:tcW w:w="2977" w:type="dxa"/>
            <w:tcBorders>
              <w:top w:val="single" w:sz="4" w:space="0" w:color="auto"/>
              <w:left w:val="single" w:sz="4" w:space="0" w:color="auto"/>
              <w:bottom w:val="single" w:sz="4" w:space="0" w:color="auto"/>
              <w:right w:val="single" w:sz="4" w:space="0" w:color="auto"/>
            </w:tcBorders>
            <w:hideMark/>
          </w:tcPr>
          <w:p w:rsidR="009C02D4" w:rsidRPr="00D45B69" w:rsidRDefault="009C02D4" w:rsidP="00D45B69">
            <w:pPr>
              <w:pStyle w:val="Slutnotetekst"/>
              <w:widowControl/>
              <w:tabs>
                <w:tab w:val="clear" w:pos="567"/>
                <w:tab w:val="left" w:pos="1304"/>
              </w:tabs>
              <w:jc w:val="center"/>
              <w:rPr>
                <w:sz w:val="24"/>
                <w:szCs w:val="24"/>
              </w:rPr>
            </w:pPr>
            <w:r w:rsidRPr="00436ECB">
              <w:rPr>
                <w:sz w:val="24"/>
                <w:szCs w:val="24"/>
              </w:rPr>
              <w:t>&lt;</w:t>
            </w:r>
            <w:r w:rsidRPr="00D45B69">
              <w:rPr>
                <w:sz w:val="24"/>
                <w:szCs w:val="24"/>
              </w:rPr>
              <w:t> 15</w:t>
            </w:r>
          </w:p>
          <w:p w:rsidR="009C02D4" w:rsidRPr="00436ECB" w:rsidRDefault="009C02D4" w:rsidP="00D45B69">
            <w:pPr>
              <w:pStyle w:val="Slutnotetekst"/>
              <w:widowControl/>
              <w:tabs>
                <w:tab w:val="clear" w:pos="567"/>
                <w:tab w:val="left" w:pos="1304"/>
              </w:tabs>
              <w:jc w:val="center"/>
              <w:rPr>
                <w:sz w:val="24"/>
                <w:szCs w:val="24"/>
              </w:rPr>
            </w:pPr>
            <w:r w:rsidRPr="00D45B69">
              <w:rPr>
                <w:sz w:val="24"/>
                <w:szCs w:val="24"/>
              </w:rPr>
              <w:t>(</w:t>
            </w:r>
            <w:r w:rsidRPr="00436ECB">
              <w:rPr>
                <w:sz w:val="24"/>
                <w:szCs w:val="24"/>
              </w:rPr>
              <w:t>d</w:t>
            </w:r>
            <w:r w:rsidRPr="00D45B69">
              <w:rPr>
                <w:sz w:val="24"/>
                <w:szCs w:val="24"/>
              </w:rPr>
              <w:t>er kræver dialysebehandling)</w:t>
            </w:r>
          </w:p>
        </w:tc>
        <w:tc>
          <w:tcPr>
            <w:tcW w:w="2835" w:type="dxa"/>
            <w:tcBorders>
              <w:top w:val="single" w:sz="4" w:space="0" w:color="auto"/>
              <w:left w:val="single" w:sz="4" w:space="0" w:color="auto"/>
              <w:bottom w:val="single" w:sz="4" w:space="0" w:color="auto"/>
              <w:right w:val="single" w:sz="4" w:space="0" w:color="auto"/>
            </w:tcBorders>
            <w:hideMark/>
          </w:tcPr>
          <w:p w:rsidR="009C02D4" w:rsidRPr="00436ECB" w:rsidRDefault="009C02D4" w:rsidP="00D45B69">
            <w:pPr>
              <w:pStyle w:val="Slutnotetekst"/>
              <w:rPr>
                <w:sz w:val="24"/>
                <w:szCs w:val="24"/>
              </w:rPr>
            </w:pPr>
            <w:r w:rsidRPr="00436ECB">
              <w:rPr>
                <w:sz w:val="24"/>
                <w:szCs w:val="24"/>
              </w:rPr>
              <w:t>Kontraindiceret</w:t>
            </w:r>
          </w:p>
        </w:tc>
      </w:tr>
    </w:tbl>
    <w:p w:rsidR="00CA5D06" w:rsidRDefault="00CA5D06" w:rsidP="00CA5D06">
      <w:pPr>
        <w:suppressAutoHyphens/>
        <w:ind w:left="851" w:hanging="851"/>
        <w:rPr>
          <w:sz w:val="24"/>
          <w:szCs w:val="24"/>
          <w:u w:val="single"/>
        </w:rPr>
      </w:pPr>
    </w:p>
    <w:p w:rsidR="00CA5D06" w:rsidRPr="00CA5D06" w:rsidRDefault="00CA5D06" w:rsidP="00CA5D06">
      <w:pPr>
        <w:suppressAutoHyphens/>
        <w:ind w:left="851"/>
        <w:rPr>
          <w:sz w:val="24"/>
          <w:szCs w:val="24"/>
          <w:lang w:val="sl-SI"/>
        </w:rPr>
      </w:pPr>
      <w:r w:rsidRPr="00CA5D06">
        <w:rPr>
          <w:sz w:val="24"/>
          <w:szCs w:val="24"/>
          <w:lang w:val="sl-SI"/>
        </w:rPr>
        <w:t>Til pædiatriske patienter med nedsat nyrefunktion skal dosis justeres individuelt under hensyntagen til barnets nyrefunktion og til dets legemsvægt.</w:t>
      </w:r>
    </w:p>
    <w:p w:rsidR="00CA5D06" w:rsidRPr="00CA5D06" w:rsidRDefault="00CA5D06" w:rsidP="00CA5D06">
      <w:pPr>
        <w:suppressAutoHyphens/>
        <w:ind w:left="851"/>
        <w:rPr>
          <w:sz w:val="24"/>
          <w:szCs w:val="24"/>
          <w:lang w:val="sl-SI"/>
        </w:rPr>
      </w:pPr>
      <w:r w:rsidRPr="00CA5D06">
        <w:rPr>
          <w:sz w:val="24"/>
          <w:szCs w:val="24"/>
          <w:lang w:val="sl-SI"/>
        </w:rPr>
        <w:t>Der findes ikke specifikke data for børn med nedsat nyrefunktion.</w:t>
      </w:r>
    </w:p>
    <w:p w:rsidR="00CA5D06" w:rsidRPr="00CA5D06" w:rsidRDefault="00CA5D06" w:rsidP="00CA5D06">
      <w:pPr>
        <w:suppressAutoHyphens/>
        <w:ind w:left="851"/>
        <w:rPr>
          <w:sz w:val="24"/>
          <w:szCs w:val="24"/>
          <w:lang w:val="sl-SI"/>
        </w:rPr>
      </w:pPr>
    </w:p>
    <w:p w:rsidR="00CA5D06" w:rsidRPr="00CA5D06" w:rsidRDefault="00CA5D06" w:rsidP="00CA5D06">
      <w:pPr>
        <w:suppressAutoHyphens/>
        <w:ind w:left="851"/>
        <w:rPr>
          <w:i/>
          <w:sz w:val="24"/>
          <w:szCs w:val="24"/>
        </w:rPr>
      </w:pPr>
      <w:r w:rsidRPr="00CA5D06">
        <w:rPr>
          <w:i/>
          <w:sz w:val="24"/>
          <w:szCs w:val="24"/>
          <w:u w:val="single"/>
        </w:rPr>
        <w:t>Nedsat leverfunktion</w:t>
      </w:r>
    </w:p>
    <w:p w:rsidR="00CA5D06" w:rsidRPr="00CA5D06" w:rsidRDefault="00CA5D06" w:rsidP="00CA5D06">
      <w:pPr>
        <w:suppressAutoHyphens/>
        <w:ind w:left="851"/>
        <w:rPr>
          <w:sz w:val="24"/>
          <w:szCs w:val="24"/>
        </w:rPr>
      </w:pPr>
      <w:r w:rsidRPr="00CA5D06">
        <w:rPr>
          <w:sz w:val="24"/>
          <w:szCs w:val="24"/>
        </w:rPr>
        <w:t xml:space="preserve">Hos patienter, der kun har nedsat leverfunktion, er en dosisjustering ikke nødvendig. Hos patienter med nedsat lever- og nyrefunktion anbefales justering af dosis (se </w:t>
      </w:r>
      <w:r w:rsidRPr="00CA5D06">
        <w:rPr>
          <w:i/>
          <w:sz w:val="24"/>
          <w:szCs w:val="24"/>
        </w:rPr>
        <w:t>Nedsat nyrefunktion</w:t>
      </w:r>
      <w:r w:rsidRPr="00CA5D06">
        <w:rPr>
          <w:sz w:val="24"/>
          <w:szCs w:val="24"/>
        </w:rPr>
        <w:t xml:space="preserve"> ovenfor).</w:t>
      </w:r>
    </w:p>
    <w:p w:rsidR="00CA5D06" w:rsidRPr="00CA5D06" w:rsidRDefault="00CA5D06" w:rsidP="00CA5D06">
      <w:pPr>
        <w:suppressAutoHyphens/>
        <w:ind w:left="851"/>
        <w:rPr>
          <w:sz w:val="24"/>
          <w:szCs w:val="24"/>
        </w:rPr>
      </w:pPr>
    </w:p>
    <w:p w:rsidR="00CA5D06" w:rsidRPr="00CA5D06" w:rsidRDefault="00CA5D06" w:rsidP="00CA5D06">
      <w:pPr>
        <w:ind w:left="851"/>
        <w:rPr>
          <w:i/>
          <w:sz w:val="24"/>
          <w:szCs w:val="24"/>
          <w:u w:val="single"/>
        </w:rPr>
      </w:pPr>
      <w:r w:rsidRPr="00CA5D06">
        <w:rPr>
          <w:i/>
          <w:noProof/>
          <w:sz w:val="24"/>
          <w:szCs w:val="24"/>
          <w:u w:val="single"/>
        </w:rPr>
        <w:t>Pædiatrisk population</w:t>
      </w:r>
      <w:r w:rsidRPr="00CA5D06">
        <w:rPr>
          <w:sz w:val="24"/>
          <w:szCs w:val="24"/>
          <w:u w:val="single"/>
        </w:rPr>
        <w:t xml:space="preserve"> </w:t>
      </w:r>
    </w:p>
    <w:p w:rsidR="00CA5D06" w:rsidRPr="00CA5D06" w:rsidRDefault="00CA5D06" w:rsidP="00CA5D06">
      <w:pPr>
        <w:ind w:left="851"/>
        <w:rPr>
          <w:sz w:val="24"/>
          <w:szCs w:val="24"/>
        </w:rPr>
      </w:pPr>
      <w:r w:rsidRPr="00CA5D06">
        <w:rPr>
          <w:sz w:val="24"/>
          <w:szCs w:val="24"/>
        </w:rPr>
        <w:t>Børn i alderen 6 til 12 år:</w:t>
      </w:r>
    </w:p>
    <w:p w:rsidR="00CA5D06" w:rsidRPr="00CA5D06" w:rsidRDefault="00CA5D06" w:rsidP="00CA5D06">
      <w:pPr>
        <w:ind w:left="851"/>
        <w:rPr>
          <w:sz w:val="24"/>
          <w:szCs w:val="24"/>
        </w:rPr>
      </w:pPr>
      <w:r w:rsidRPr="00CA5D06">
        <w:rPr>
          <w:sz w:val="24"/>
          <w:szCs w:val="24"/>
        </w:rPr>
        <w:t>Den anbefalede daglige dosis er 5 mg (1 filmovertrukket tablet).</w:t>
      </w:r>
    </w:p>
    <w:p w:rsidR="00CA5D06" w:rsidRPr="00CA5D06" w:rsidRDefault="00CA5D06" w:rsidP="00CA5D06">
      <w:pPr>
        <w:ind w:left="851"/>
        <w:rPr>
          <w:sz w:val="24"/>
          <w:szCs w:val="24"/>
        </w:rPr>
      </w:pPr>
    </w:p>
    <w:p w:rsidR="00CA5D06" w:rsidRPr="00CA5D06" w:rsidRDefault="00CA5D06" w:rsidP="00CA5D06">
      <w:pPr>
        <w:ind w:left="851"/>
        <w:rPr>
          <w:sz w:val="24"/>
          <w:szCs w:val="24"/>
          <w:lang w:val="sl-SI"/>
        </w:rPr>
      </w:pPr>
      <w:r w:rsidRPr="00CA5D06">
        <w:rPr>
          <w:sz w:val="24"/>
          <w:szCs w:val="24"/>
          <w:lang w:val="sl-SI"/>
        </w:rPr>
        <w:t>Til børn i alderen 2-6</w:t>
      </w:r>
      <w:r w:rsidRPr="00CA5D06">
        <w:rPr>
          <w:sz w:val="24"/>
          <w:szCs w:val="24"/>
        </w:rPr>
        <w:t> </w:t>
      </w:r>
      <w:r w:rsidRPr="00CA5D06">
        <w:rPr>
          <w:sz w:val="24"/>
          <w:szCs w:val="24"/>
          <w:lang w:val="sl-SI"/>
        </w:rPr>
        <w:t>år er dosisjustering ikke mulig med lægemiddelformen filmovertrukne tabletter. Det anbefales at anvende særlige pædiatriske lægemiddelformuleringer af levocetirizin.</w:t>
      </w:r>
    </w:p>
    <w:p w:rsidR="00CA5D06" w:rsidRPr="00CA5D06" w:rsidRDefault="00CA5D06" w:rsidP="00CA5D06">
      <w:pPr>
        <w:ind w:left="851"/>
        <w:rPr>
          <w:sz w:val="24"/>
          <w:szCs w:val="24"/>
          <w:lang w:val="sl-SI"/>
        </w:rPr>
      </w:pPr>
    </w:p>
    <w:p w:rsidR="00CA5D06" w:rsidRPr="00CA5D06" w:rsidRDefault="00CA5D06" w:rsidP="00CA5D06">
      <w:pPr>
        <w:ind w:left="851"/>
        <w:rPr>
          <w:sz w:val="24"/>
          <w:szCs w:val="24"/>
          <w:lang w:val="sl-SI"/>
        </w:rPr>
      </w:pPr>
      <w:r w:rsidRPr="00CA5D06">
        <w:rPr>
          <w:sz w:val="24"/>
          <w:szCs w:val="24"/>
          <w:u w:val="single"/>
        </w:rPr>
        <w:t>Administration</w:t>
      </w:r>
    </w:p>
    <w:p w:rsidR="00CA5D06" w:rsidRPr="00CA5D06" w:rsidRDefault="00CA5D06" w:rsidP="00CA5D06">
      <w:pPr>
        <w:suppressAutoHyphens/>
        <w:ind w:left="851"/>
        <w:rPr>
          <w:sz w:val="24"/>
          <w:szCs w:val="24"/>
        </w:rPr>
      </w:pPr>
      <w:r w:rsidRPr="00CA5D06">
        <w:rPr>
          <w:sz w:val="24"/>
          <w:szCs w:val="24"/>
        </w:rPr>
        <w:t xml:space="preserve">Den filmovertrukne tablet skal indtages oralt, synkes hel med væske og kan tages sammen med eller uden føde. Det anbefales at tage den daglige dosis på én gang. </w:t>
      </w:r>
    </w:p>
    <w:p w:rsidR="00CA5D06" w:rsidRPr="00CA5D06" w:rsidRDefault="00CA5D06" w:rsidP="00CA5D06">
      <w:pPr>
        <w:suppressAutoHyphens/>
        <w:ind w:left="851"/>
        <w:rPr>
          <w:sz w:val="24"/>
          <w:szCs w:val="24"/>
        </w:rPr>
      </w:pPr>
    </w:p>
    <w:p w:rsidR="00CA5D06" w:rsidRPr="00CA5D06" w:rsidRDefault="00CA5D06" w:rsidP="00CA5D06">
      <w:pPr>
        <w:suppressAutoHyphens/>
        <w:ind w:left="851"/>
        <w:rPr>
          <w:sz w:val="24"/>
          <w:szCs w:val="24"/>
          <w:lang w:val="sl-SI"/>
        </w:rPr>
      </w:pPr>
      <w:r w:rsidRPr="00CA5D06">
        <w:rPr>
          <w:i/>
          <w:sz w:val="24"/>
          <w:szCs w:val="24"/>
          <w:u w:val="single"/>
        </w:rPr>
        <w:t>Anvendelsesvarighed</w:t>
      </w:r>
    </w:p>
    <w:p w:rsidR="00CA5D06" w:rsidRPr="00CA5D06" w:rsidRDefault="00CA5D06" w:rsidP="00CA5D06">
      <w:pPr>
        <w:ind w:left="851"/>
        <w:rPr>
          <w:iCs/>
          <w:sz w:val="24"/>
          <w:szCs w:val="24"/>
        </w:rPr>
      </w:pPr>
      <w:r w:rsidRPr="00CA5D06">
        <w:rPr>
          <w:bCs/>
          <w:sz w:val="24"/>
          <w:szCs w:val="24"/>
        </w:rPr>
        <w:t xml:space="preserve">Intermitterende allergisk </w:t>
      </w:r>
      <w:proofErr w:type="spellStart"/>
      <w:r w:rsidRPr="00CA5D06">
        <w:rPr>
          <w:bCs/>
          <w:sz w:val="24"/>
          <w:szCs w:val="24"/>
        </w:rPr>
        <w:t>rhinitis</w:t>
      </w:r>
      <w:proofErr w:type="spellEnd"/>
      <w:r w:rsidRPr="00CA5D06">
        <w:rPr>
          <w:bCs/>
          <w:sz w:val="24"/>
          <w:szCs w:val="24"/>
        </w:rPr>
        <w:t xml:space="preserve"> (med symptomer som er tilstede mindre end 4</w:t>
      </w:r>
      <w:r w:rsidRPr="00CA5D06">
        <w:rPr>
          <w:sz w:val="24"/>
          <w:szCs w:val="24"/>
        </w:rPr>
        <w:t> </w:t>
      </w:r>
      <w:r w:rsidRPr="00CA5D06">
        <w:rPr>
          <w:bCs/>
          <w:sz w:val="24"/>
          <w:szCs w:val="24"/>
        </w:rPr>
        <w:t>dage om ugen eller mindre end 4</w:t>
      </w:r>
      <w:r w:rsidRPr="00CA5D06">
        <w:rPr>
          <w:sz w:val="24"/>
          <w:szCs w:val="24"/>
        </w:rPr>
        <w:t> </w:t>
      </w:r>
      <w:r w:rsidRPr="00CA5D06">
        <w:rPr>
          <w:bCs/>
          <w:sz w:val="24"/>
          <w:szCs w:val="24"/>
        </w:rPr>
        <w:t>uger årligt) skal behandles i henhold til sygdommen og dens historie. Behandlingen kan stoppes, når symptomerne er forsvundet, og kan genoptages, når symptomerne vender tilbage.</w:t>
      </w:r>
      <w:r w:rsidRPr="00CA5D06">
        <w:rPr>
          <w:sz w:val="24"/>
          <w:szCs w:val="24"/>
        </w:rPr>
        <w:t xml:space="preserve"> </w:t>
      </w:r>
      <w:r w:rsidRPr="00CA5D06">
        <w:rPr>
          <w:iCs/>
          <w:sz w:val="24"/>
          <w:szCs w:val="24"/>
        </w:rPr>
        <w:t xml:space="preserve">I tilfælde af persisterende allergisk </w:t>
      </w:r>
      <w:proofErr w:type="spellStart"/>
      <w:r w:rsidRPr="00CA5D06">
        <w:rPr>
          <w:iCs/>
          <w:sz w:val="24"/>
          <w:szCs w:val="24"/>
        </w:rPr>
        <w:t>rhinit</w:t>
      </w:r>
      <w:proofErr w:type="spellEnd"/>
      <w:r w:rsidRPr="00CA5D06">
        <w:rPr>
          <w:iCs/>
          <w:sz w:val="24"/>
          <w:szCs w:val="24"/>
        </w:rPr>
        <w:t xml:space="preserve"> (</w:t>
      </w:r>
      <w:r w:rsidRPr="00CA5D06">
        <w:rPr>
          <w:bCs/>
          <w:sz w:val="24"/>
          <w:szCs w:val="24"/>
        </w:rPr>
        <w:t>med symptomer som er tilstede mere end 4</w:t>
      </w:r>
      <w:r w:rsidRPr="00CA5D06">
        <w:rPr>
          <w:sz w:val="24"/>
          <w:szCs w:val="24"/>
        </w:rPr>
        <w:t> </w:t>
      </w:r>
      <w:r w:rsidRPr="00CA5D06">
        <w:rPr>
          <w:bCs/>
          <w:sz w:val="24"/>
          <w:szCs w:val="24"/>
        </w:rPr>
        <w:t>dage om ugen eller mere end 4</w:t>
      </w:r>
      <w:r w:rsidRPr="00CA5D06">
        <w:rPr>
          <w:sz w:val="24"/>
          <w:szCs w:val="24"/>
        </w:rPr>
        <w:t> </w:t>
      </w:r>
      <w:r w:rsidRPr="00CA5D06">
        <w:rPr>
          <w:bCs/>
          <w:sz w:val="24"/>
          <w:szCs w:val="24"/>
        </w:rPr>
        <w:t>uger årligt</w:t>
      </w:r>
      <w:r w:rsidRPr="00CA5D06">
        <w:rPr>
          <w:iCs/>
          <w:sz w:val="24"/>
          <w:szCs w:val="24"/>
        </w:rPr>
        <w:t xml:space="preserve">) kan patienten anbefales fortsat behandling i hele perioden, hvor patienten udsættes for allergener. </w:t>
      </w:r>
    </w:p>
    <w:p w:rsidR="00CA5D06" w:rsidRPr="00CA5D06" w:rsidRDefault="00CA5D06" w:rsidP="00CA5D06">
      <w:pPr>
        <w:ind w:left="851"/>
        <w:rPr>
          <w:sz w:val="24"/>
          <w:szCs w:val="24"/>
          <w:lang w:val="sl-SI"/>
        </w:rPr>
      </w:pPr>
    </w:p>
    <w:p w:rsidR="00CA5D06" w:rsidRPr="009C02D4" w:rsidRDefault="00CA5D06" w:rsidP="00CA5D06">
      <w:pPr>
        <w:tabs>
          <w:tab w:val="left" w:pos="2835"/>
          <w:tab w:val="left" w:pos="5670"/>
        </w:tabs>
        <w:suppressAutoHyphens/>
        <w:ind w:left="851"/>
        <w:rPr>
          <w:sz w:val="24"/>
          <w:szCs w:val="24"/>
        </w:rPr>
      </w:pPr>
      <w:r w:rsidRPr="009C02D4">
        <w:rPr>
          <w:sz w:val="24"/>
          <w:szCs w:val="24"/>
        </w:rPr>
        <w:lastRenderedPageBreak/>
        <w:t xml:space="preserve">Der foreligger klinisk erfaring for brug af </w:t>
      </w:r>
      <w:proofErr w:type="spellStart"/>
      <w:r w:rsidRPr="009C02D4">
        <w:rPr>
          <w:sz w:val="24"/>
          <w:szCs w:val="24"/>
        </w:rPr>
        <w:t>levocetirizin</w:t>
      </w:r>
      <w:proofErr w:type="spellEnd"/>
      <w:r w:rsidRPr="009C02D4">
        <w:rPr>
          <w:sz w:val="24"/>
          <w:szCs w:val="24"/>
        </w:rPr>
        <w:t xml:space="preserve"> i behandlingsperioder på mindst 6 måneder. Ved kronisk </w:t>
      </w:r>
      <w:proofErr w:type="spellStart"/>
      <w:r w:rsidRPr="009C02D4">
        <w:rPr>
          <w:sz w:val="24"/>
          <w:szCs w:val="24"/>
        </w:rPr>
        <w:t>urticaria</w:t>
      </w:r>
      <w:proofErr w:type="spellEnd"/>
      <w:r w:rsidRPr="009C02D4">
        <w:rPr>
          <w:sz w:val="24"/>
          <w:szCs w:val="24"/>
        </w:rPr>
        <w:t xml:space="preserve"> og </w:t>
      </w:r>
      <w:proofErr w:type="spellStart"/>
      <w:r w:rsidRPr="009C02D4">
        <w:rPr>
          <w:sz w:val="24"/>
          <w:szCs w:val="24"/>
        </w:rPr>
        <w:t>helårsrhinit</w:t>
      </w:r>
      <w:proofErr w:type="spellEnd"/>
      <w:r w:rsidRPr="009C02D4">
        <w:rPr>
          <w:sz w:val="24"/>
          <w:szCs w:val="24"/>
        </w:rPr>
        <w:t xml:space="preserve"> foreligger der klinisk erfaring for brug af </w:t>
      </w:r>
      <w:proofErr w:type="spellStart"/>
      <w:r w:rsidRPr="009C02D4">
        <w:rPr>
          <w:sz w:val="24"/>
          <w:szCs w:val="24"/>
        </w:rPr>
        <w:t>cetirizin</w:t>
      </w:r>
      <w:proofErr w:type="spellEnd"/>
      <w:r w:rsidRPr="009C02D4">
        <w:rPr>
          <w:sz w:val="24"/>
          <w:szCs w:val="24"/>
        </w:rPr>
        <w:t xml:space="preserve"> (</w:t>
      </w:r>
      <w:proofErr w:type="spellStart"/>
      <w:r w:rsidRPr="009C02D4">
        <w:rPr>
          <w:sz w:val="24"/>
          <w:szCs w:val="24"/>
        </w:rPr>
        <w:t>racemat</w:t>
      </w:r>
      <w:proofErr w:type="spellEnd"/>
      <w:r w:rsidRPr="009C02D4">
        <w:rPr>
          <w:sz w:val="24"/>
          <w:szCs w:val="24"/>
        </w:rPr>
        <w:t>) i op til et år.</w:t>
      </w:r>
    </w:p>
    <w:p w:rsidR="00155008" w:rsidRPr="009C02D4" w:rsidRDefault="00155008" w:rsidP="00155008">
      <w:pPr>
        <w:rPr>
          <w:sz w:val="24"/>
          <w:szCs w:val="24"/>
        </w:rPr>
      </w:pPr>
    </w:p>
    <w:p w:rsidR="00155008" w:rsidRPr="009C02D4" w:rsidRDefault="00155008" w:rsidP="00155008">
      <w:pPr>
        <w:numPr>
          <w:ilvl w:val="1"/>
          <w:numId w:val="1"/>
        </w:numPr>
        <w:tabs>
          <w:tab w:val="clear" w:pos="855"/>
        </w:tabs>
        <w:ind w:left="851" w:hanging="851"/>
        <w:rPr>
          <w:b/>
          <w:sz w:val="24"/>
          <w:szCs w:val="24"/>
        </w:rPr>
      </w:pPr>
      <w:r w:rsidRPr="009C02D4">
        <w:rPr>
          <w:b/>
          <w:sz w:val="24"/>
          <w:szCs w:val="24"/>
        </w:rPr>
        <w:t>Kontraindikationer</w:t>
      </w:r>
    </w:p>
    <w:p w:rsidR="00CA5D06" w:rsidRDefault="00155008" w:rsidP="00CA5D06">
      <w:pPr>
        <w:pStyle w:val="Brdtekstindrykning"/>
        <w:tabs>
          <w:tab w:val="clear" w:pos="851"/>
          <w:tab w:val="left" w:pos="1304"/>
        </w:tabs>
        <w:rPr>
          <w:szCs w:val="24"/>
          <w:lang w:val="sl-SI"/>
        </w:rPr>
      </w:pPr>
      <w:r>
        <w:rPr>
          <w:szCs w:val="24"/>
        </w:rPr>
        <w:tab/>
      </w:r>
      <w:r w:rsidR="00CA5D06">
        <w:rPr>
          <w:szCs w:val="24"/>
          <w:lang w:val="sl-SI"/>
        </w:rPr>
        <w:t xml:space="preserve">Overfølsomhed over for levocetirizin, </w:t>
      </w:r>
      <w:proofErr w:type="spellStart"/>
      <w:r w:rsidR="00CA5D06">
        <w:rPr>
          <w:szCs w:val="24"/>
        </w:rPr>
        <w:t>cetirizin</w:t>
      </w:r>
      <w:proofErr w:type="spellEnd"/>
      <w:r w:rsidR="00CA5D06">
        <w:rPr>
          <w:szCs w:val="24"/>
        </w:rPr>
        <w:t xml:space="preserve">, </w:t>
      </w:r>
      <w:proofErr w:type="spellStart"/>
      <w:r w:rsidR="00CA5D06">
        <w:rPr>
          <w:szCs w:val="24"/>
        </w:rPr>
        <w:t>hydroxyzin</w:t>
      </w:r>
      <w:proofErr w:type="spellEnd"/>
      <w:r w:rsidR="00CA5D06">
        <w:rPr>
          <w:szCs w:val="24"/>
        </w:rPr>
        <w:t xml:space="preserve"> eller</w:t>
      </w:r>
      <w:r w:rsidR="00CA5D06">
        <w:rPr>
          <w:szCs w:val="24"/>
          <w:lang w:val="sl-SI"/>
        </w:rPr>
        <w:t xml:space="preserve"> over for andre piperazinderivater eller over for et eller flere af hjælpestofferne anført i pkt. 6.1.</w:t>
      </w:r>
    </w:p>
    <w:p w:rsidR="00CA5D06" w:rsidRDefault="00CA5D06" w:rsidP="00CA5D06">
      <w:pPr>
        <w:pStyle w:val="Brdtekstindrykning"/>
        <w:tabs>
          <w:tab w:val="clear" w:pos="851"/>
          <w:tab w:val="left" w:pos="1304"/>
        </w:tabs>
        <w:rPr>
          <w:szCs w:val="24"/>
          <w:lang w:val="sl-SI"/>
        </w:rPr>
      </w:pPr>
      <w:r>
        <w:rPr>
          <w:szCs w:val="24"/>
          <w:lang w:val="sl-SI"/>
        </w:rPr>
        <w:tab/>
      </w:r>
    </w:p>
    <w:p w:rsidR="009C02D4" w:rsidRPr="00D45B69" w:rsidRDefault="009C02D4" w:rsidP="009C02D4">
      <w:pPr>
        <w:pStyle w:val="Brdtekstindrykning"/>
        <w:tabs>
          <w:tab w:val="clear" w:pos="851"/>
          <w:tab w:val="left" w:pos="1304"/>
        </w:tabs>
        <w:rPr>
          <w:szCs w:val="24"/>
        </w:rPr>
      </w:pPr>
      <w:r>
        <w:rPr>
          <w:szCs w:val="24"/>
        </w:rPr>
        <w:tab/>
      </w:r>
      <w:r w:rsidRPr="00D45B69">
        <w:rPr>
          <w:szCs w:val="24"/>
        </w:rPr>
        <w:t xml:space="preserve">Patienter i slutstadiet af nyresygdom med estimeret </w:t>
      </w:r>
      <w:proofErr w:type="spellStart"/>
      <w:r w:rsidRPr="00D45B69">
        <w:rPr>
          <w:szCs w:val="24"/>
        </w:rPr>
        <w:t>glomerulær</w:t>
      </w:r>
      <w:proofErr w:type="spellEnd"/>
      <w:r w:rsidRPr="00D45B69">
        <w:rPr>
          <w:szCs w:val="24"/>
        </w:rPr>
        <w:t xml:space="preserve"> filtrationsrate (</w:t>
      </w:r>
      <w:proofErr w:type="spellStart"/>
      <w:r w:rsidRPr="00D45B69">
        <w:rPr>
          <w:szCs w:val="24"/>
        </w:rPr>
        <w:t>eGFR</w:t>
      </w:r>
      <w:proofErr w:type="spellEnd"/>
      <w:r w:rsidRPr="00D45B69">
        <w:rPr>
          <w:szCs w:val="24"/>
        </w:rPr>
        <w:t>) mindre end 15 ml/min (der kræver dialysebehandling).</w:t>
      </w:r>
    </w:p>
    <w:p w:rsidR="00155008" w:rsidRPr="0089122C" w:rsidRDefault="00155008" w:rsidP="00CA5D06">
      <w:pPr>
        <w:pStyle w:val="Brdtekstindrykning"/>
        <w:tabs>
          <w:tab w:val="clear" w:pos="851"/>
        </w:tabs>
        <w:rPr>
          <w:szCs w:val="24"/>
        </w:rPr>
      </w:pPr>
      <w:r>
        <w:rPr>
          <w:szCs w:val="24"/>
          <w:lang w:val="sl-SI"/>
        </w:rPr>
        <w:tab/>
      </w:r>
    </w:p>
    <w:p w:rsidR="00155008" w:rsidRPr="0089122C" w:rsidRDefault="00155008" w:rsidP="00155008">
      <w:pPr>
        <w:numPr>
          <w:ilvl w:val="1"/>
          <w:numId w:val="1"/>
        </w:numPr>
        <w:tabs>
          <w:tab w:val="clear" w:pos="855"/>
        </w:tabs>
        <w:ind w:left="851" w:hanging="851"/>
        <w:rPr>
          <w:b/>
          <w:sz w:val="24"/>
          <w:szCs w:val="24"/>
        </w:rPr>
      </w:pPr>
      <w:r w:rsidRPr="0089122C">
        <w:rPr>
          <w:b/>
          <w:sz w:val="24"/>
          <w:szCs w:val="24"/>
        </w:rPr>
        <w:t>Særlige advarsler og forsigtighedsregler vedrørende brugen</w:t>
      </w:r>
    </w:p>
    <w:p w:rsidR="00CA5D06" w:rsidRPr="009C02D4" w:rsidRDefault="00CA5D06" w:rsidP="00CA5D06">
      <w:pPr>
        <w:tabs>
          <w:tab w:val="left" w:pos="851"/>
        </w:tabs>
        <w:ind w:left="851"/>
        <w:rPr>
          <w:sz w:val="24"/>
          <w:szCs w:val="24"/>
        </w:rPr>
      </w:pPr>
      <w:r w:rsidRPr="009C02D4">
        <w:rPr>
          <w:sz w:val="24"/>
          <w:szCs w:val="24"/>
        </w:rPr>
        <w:t xml:space="preserve">Forsigtighed tilrådes ved samtidig indtagelse af alkohol (se pkt. 4.5). </w:t>
      </w:r>
    </w:p>
    <w:p w:rsidR="00CA5D06" w:rsidRPr="009C02D4" w:rsidRDefault="00CA5D06" w:rsidP="00CA5D06">
      <w:pPr>
        <w:tabs>
          <w:tab w:val="left" w:pos="851"/>
        </w:tabs>
        <w:ind w:left="851"/>
        <w:rPr>
          <w:sz w:val="24"/>
          <w:szCs w:val="24"/>
        </w:rPr>
      </w:pPr>
    </w:p>
    <w:p w:rsidR="00CA5D06" w:rsidRPr="009C02D4" w:rsidRDefault="00CA5D06" w:rsidP="00CA5D06">
      <w:pPr>
        <w:tabs>
          <w:tab w:val="left" w:pos="851"/>
        </w:tabs>
        <w:ind w:left="851"/>
        <w:rPr>
          <w:sz w:val="24"/>
          <w:szCs w:val="24"/>
        </w:rPr>
      </w:pPr>
      <w:r w:rsidRPr="009C02D4">
        <w:rPr>
          <w:sz w:val="24"/>
          <w:szCs w:val="24"/>
        </w:rPr>
        <w:t xml:space="preserve">Der skal udvises forsigtighed ved patienter, som er disponerede for urinretention (f.eks. rygmarvslæsion, </w:t>
      </w:r>
      <w:proofErr w:type="spellStart"/>
      <w:r w:rsidRPr="009C02D4">
        <w:rPr>
          <w:sz w:val="24"/>
          <w:szCs w:val="24"/>
        </w:rPr>
        <w:t>prostatahyperplasi</w:t>
      </w:r>
      <w:proofErr w:type="spellEnd"/>
      <w:r w:rsidRPr="009C02D4">
        <w:rPr>
          <w:sz w:val="24"/>
          <w:szCs w:val="24"/>
        </w:rPr>
        <w:t xml:space="preserve">), da </w:t>
      </w:r>
      <w:proofErr w:type="spellStart"/>
      <w:r w:rsidRPr="009C02D4">
        <w:rPr>
          <w:sz w:val="24"/>
          <w:szCs w:val="24"/>
        </w:rPr>
        <w:t>levocetirizin</w:t>
      </w:r>
      <w:proofErr w:type="spellEnd"/>
      <w:r w:rsidRPr="009C02D4">
        <w:rPr>
          <w:sz w:val="24"/>
          <w:szCs w:val="24"/>
        </w:rPr>
        <w:t xml:space="preserve"> kan øge risikoen for urinretention.</w:t>
      </w:r>
    </w:p>
    <w:p w:rsidR="00CA5D06" w:rsidRPr="009C02D4" w:rsidRDefault="00CA5D06" w:rsidP="00CA5D06">
      <w:pPr>
        <w:tabs>
          <w:tab w:val="left" w:pos="851"/>
        </w:tabs>
        <w:ind w:left="851"/>
        <w:rPr>
          <w:sz w:val="24"/>
          <w:szCs w:val="24"/>
        </w:rPr>
      </w:pPr>
    </w:p>
    <w:p w:rsidR="009C02D4" w:rsidRPr="00D45B69" w:rsidRDefault="009C02D4" w:rsidP="009C02D4">
      <w:pPr>
        <w:tabs>
          <w:tab w:val="left" w:pos="851"/>
        </w:tabs>
        <w:ind w:left="851"/>
        <w:rPr>
          <w:sz w:val="24"/>
          <w:szCs w:val="24"/>
        </w:rPr>
      </w:pPr>
      <w:r w:rsidRPr="00D45B69">
        <w:rPr>
          <w:sz w:val="24"/>
          <w:szCs w:val="24"/>
        </w:rPr>
        <w:t xml:space="preserve">Der skal udvises forsigtighed hos patienter med epilepsi og patienter med risiko for konvulsioner, da </w:t>
      </w:r>
      <w:proofErr w:type="spellStart"/>
      <w:r w:rsidRPr="00D45B69">
        <w:rPr>
          <w:sz w:val="24"/>
          <w:szCs w:val="24"/>
        </w:rPr>
        <w:t>levocetirizin</w:t>
      </w:r>
      <w:proofErr w:type="spellEnd"/>
      <w:r w:rsidRPr="00D45B69">
        <w:rPr>
          <w:sz w:val="24"/>
          <w:szCs w:val="24"/>
        </w:rPr>
        <w:t xml:space="preserve"> kan forårsage forværring af krampeanfald.</w:t>
      </w:r>
    </w:p>
    <w:p w:rsidR="009C02D4" w:rsidRPr="00D45B69" w:rsidRDefault="009C02D4" w:rsidP="009C02D4">
      <w:pPr>
        <w:tabs>
          <w:tab w:val="left" w:pos="851"/>
        </w:tabs>
        <w:ind w:left="851"/>
        <w:rPr>
          <w:sz w:val="24"/>
          <w:szCs w:val="24"/>
        </w:rPr>
      </w:pPr>
    </w:p>
    <w:p w:rsidR="009C02D4" w:rsidRPr="00D45B69" w:rsidRDefault="009C02D4" w:rsidP="009C02D4">
      <w:pPr>
        <w:tabs>
          <w:tab w:val="left" w:pos="851"/>
        </w:tabs>
        <w:ind w:left="851"/>
        <w:rPr>
          <w:sz w:val="24"/>
          <w:szCs w:val="24"/>
        </w:rPr>
      </w:pPr>
      <w:r w:rsidRPr="00D45B69">
        <w:rPr>
          <w:sz w:val="24"/>
          <w:szCs w:val="24"/>
        </w:rPr>
        <w:t>Respons på hudallergitests hæmmes af antihistaminer og det er nødvendigt med en udvaskningsperiode (på 3</w:t>
      </w:r>
      <w:r w:rsidRPr="00436ECB">
        <w:rPr>
          <w:sz w:val="24"/>
          <w:szCs w:val="24"/>
        </w:rPr>
        <w:t> </w:t>
      </w:r>
      <w:r w:rsidRPr="00D45B69">
        <w:rPr>
          <w:sz w:val="24"/>
          <w:szCs w:val="24"/>
        </w:rPr>
        <w:t>dage) før sådanne tests udføres.</w:t>
      </w:r>
    </w:p>
    <w:p w:rsidR="00CA5D06" w:rsidRPr="009C02D4" w:rsidRDefault="00CA5D06" w:rsidP="00CA5D06">
      <w:pPr>
        <w:tabs>
          <w:tab w:val="left" w:pos="851"/>
        </w:tabs>
        <w:ind w:left="851"/>
        <w:rPr>
          <w:sz w:val="24"/>
          <w:szCs w:val="24"/>
        </w:rPr>
      </w:pPr>
    </w:p>
    <w:p w:rsidR="00CA5D06" w:rsidRPr="009C02D4" w:rsidRDefault="00CA5D06" w:rsidP="00CA5D06">
      <w:pPr>
        <w:tabs>
          <w:tab w:val="left" w:pos="851"/>
        </w:tabs>
        <w:ind w:left="851"/>
        <w:rPr>
          <w:sz w:val="24"/>
          <w:szCs w:val="24"/>
        </w:rPr>
      </w:pPr>
      <w:r w:rsidRPr="009C02D4">
        <w:rPr>
          <w:sz w:val="24"/>
          <w:szCs w:val="24"/>
        </w:rPr>
        <w:t xml:space="preserve">Der kan forekomme </w:t>
      </w:r>
      <w:proofErr w:type="spellStart"/>
      <w:r w:rsidRPr="009C02D4">
        <w:rPr>
          <w:sz w:val="24"/>
          <w:szCs w:val="24"/>
        </w:rPr>
        <w:t>pruritus</w:t>
      </w:r>
      <w:proofErr w:type="spellEnd"/>
      <w:r w:rsidRPr="009C02D4">
        <w:rPr>
          <w:sz w:val="24"/>
          <w:szCs w:val="24"/>
        </w:rPr>
        <w:t xml:space="preserve">, når behandling med </w:t>
      </w:r>
      <w:proofErr w:type="spellStart"/>
      <w:r w:rsidRPr="009C02D4">
        <w:rPr>
          <w:sz w:val="24"/>
          <w:szCs w:val="24"/>
        </w:rPr>
        <w:t>levocetirizin</w:t>
      </w:r>
      <w:proofErr w:type="spellEnd"/>
      <w:r w:rsidRPr="009C02D4">
        <w:rPr>
          <w:sz w:val="24"/>
          <w:szCs w:val="24"/>
        </w:rPr>
        <w:t xml:space="preserve"> stoppes, også selvom disse symptomer ikke var til stede før behandlingsstart. Symptomerne forsvinder i nogle tilfælde spontant. I nogle tilfælde kan symptomerne være intense og kan kræve at behandlingen genoptages. Symptomerne bør forsvinde, når behandlingen genoptages. </w:t>
      </w:r>
    </w:p>
    <w:p w:rsidR="00CA5D06" w:rsidRPr="009C02D4" w:rsidRDefault="00CA5D06" w:rsidP="00CA5D06">
      <w:pPr>
        <w:ind w:left="851"/>
        <w:rPr>
          <w:i/>
          <w:noProof/>
          <w:sz w:val="24"/>
          <w:szCs w:val="24"/>
          <w:u w:val="single"/>
        </w:rPr>
      </w:pPr>
    </w:p>
    <w:p w:rsidR="00CA5D06" w:rsidRPr="009C02D4" w:rsidRDefault="00CA5D06" w:rsidP="00CA5D06">
      <w:pPr>
        <w:ind w:left="851"/>
        <w:rPr>
          <w:sz w:val="24"/>
          <w:szCs w:val="24"/>
          <w:u w:val="single"/>
        </w:rPr>
      </w:pPr>
      <w:r w:rsidRPr="009C02D4">
        <w:rPr>
          <w:i/>
          <w:noProof/>
          <w:sz w:val="24"/>
          <w:szCs w:val="24"/>
          <w:u w:val="single"/>
        </w:rPr>
        <w:t>Pædiatrisk population</w:t>
      </w:r>
    </w:p>
    <w:p w:rsidR="00CA5D06" w:rsidRPr="009C02D4" w:rsidRDefault="00CA5D06" w:rsidP="00CA5D06">
      <w:pPr>
        <w:pStyle w:val="Brdtekstindrykning"/>
        <w:ind w:firstLine="0"/>
        <w:rPr>
          <w:szCs w:val="24"/>
          <w:lang w:val="sl-SI"/>
        </w:rPr>
      </w:pPr>
      <w:r w:rsidRPr="009C02D4">
        <w:rPr>
          <w:szCs w:val="24"/>
          <w:lang w:val="sl-SI"/>
        </w:rPr>
        <w:t>Filmovertrukne tabletter frarådes til børn under 6</w:t>
      </w:r>
      <w:r w:rsidRPr="009C02D4">
        <w:rPr>
          <w:szCs w:val="24"/>
        </w:rPr>
        <w:t> </w:t>
      </w:r>
      <w:r w:rsidRPr="009C02D4">
        <w:rPr>
          <w:szCs w:val="24"/>
          <w:lang w:val="sl-SI"/>
        </w:rPr>
        <w:t>år, da denne lægemiddelform ikke tillader passende dosisjustering. Det anbefales at bruge en pædiatrisk lægemiddelformulering af levocetirizin.</w:t>
      </w:r>
    </w:p>
    <w:p w:rsidR="00CA5D06" w:rsidRPr="009C02D4" w:rsidRDefault="00CA5D06" w:rsidP="00CA5D06">
      <w:pPr>
        <w:pStyle w:val="Brdtekstindrykning"/>
        <w:tabs>
          <w:tab w:val="left" w:pos="1304"/>
        </w:tabs>
        <w:ind w:firstLine="0"/>
        <w:rPr>
          <w:szCs w:val="24"/>
        </w:rPr>
      </w:pPr>
    </w:p>
    <w:p w:rsidR="00484F80" w:rsidRPr="009C02D4" w:rsidRDefault="00484F80" w:rsidP="00484F80">
      <w:pPr>
        <w:tabs>
          <w:tab w:val="left" w:pos="851"/>
        </w:tabs>
        <w:ind w:left="851"/>
        <w:rPr>
          <w:sz w:val="24"/>
          <w:szCs w:val="24"/>
        </w:rPr>
      </w:pPr>
      <w:r w:rsidRPr="009C02D4">
        <w:rPr>
          <w:sz w:val="24"/>
          <w:szCs w:val="24"/>
        </w:rPr>
        <w:t xml:space="preserve">Dette lægemiddel indeholder </w:t>
      </w:r>
      <w:proofErr w:type="spellStart"/>
      <w:r w:rsidRPr="009C02D4">
        <w:rPr>
          <w:sz w:val="24"/>
          <w:szCs w:val="24"/>
        </w:rPr>
        <w:t>lactose</w:t>
      </w:r>
      <w:proofErr w:type="spellEnd"/>
      <w:r w:rsidRPr="009C02D4">
        <w:rPr>
          <w:sz w:val="24"/>
          <w:szCs w:val="24"/>
        </w:rPr>
        <w:t xml:space="preserve">. Bør ikke anvendes til patienter med hereditær </w:t>
      </w:r>
      <w:proofErr w:type="spellStart"/>
      <w:r w:rsidRPr="009C02D4">
        <w:rPr>
          <w:sz w:val="24"/>
          <w:szCs w:val="24"/>
        </w:rPr>
        <w:t>galactoseintolerans</w:t>
      </w:r>
      <w:proofErr w:type="spellEnd"/>
      <w:r w:rsidRPr="009C02D4">
        <w:rPr>
          <w:sz w:val="24"/>
          <w:szCs w:val="24"/>
        </w:rPr>
        <w:t xml:space="preserve">, total </w:t>
      </w:r>
      <w:proofErr w:type="spellStart"/>
      <w:r w:rsidRPr="009C02D4">
        <w:rPr>
          <w:sz w:val="24"/>
          <w:szCs w:val="24"/>
        </w:rPr>
        <w:t>lactasemangel</w:t>
      </w:r>
      <w:proofErr w:type="spellEnd"/>
      <w:r w:rsidRPr="009C02D4">
        <w:rPr>
          <w:sz w:val="24"/>
          <w:szCs w:val="24"/>
        </w:rPr>
        <w:t xml:space="preserve"> eller </w:t>
      </w:r>
      <w:proofErr w:type="spellStart"/>
      <w:r w:rsidRPr="009C02D4">
        <w:rPr>
          <w:sz w:val="24"/>
          <w:szCs w:val="24"/>
        </w:rPr>
        <w:t>glucose</w:t>
      </w:r>
      <w:proofErr w:type="spellEnd"/>
      <w:r w:rsidRPr="009C02D4">
        <w:rPr>
          <w:sz w:val="24"/>
          <w:szCs w:val="24"/>
        </w:rPr>
        <w:t>/</w:t>
      </w:r>
      <w:proofErr w:type="spellStart"/>
      <w:r w:rsidRPr="009C02D4">
        <w:rPr>
          <w:sz w:val="24"/>
          <w:szCs w:val="24"/>
        </w:rPr>
        <w:t>galactosemalabsorption</w:t>
      </w:r>
      <w:proofErr w:type="spellEnd"/>
      <w:r w:rsidRPr="009C02D4">
        <w:rPr>
          <w:sz w:val="24"/>
          <w:szCs w:val="24"/>
        </w:rPr>
        <w:t>.</w:t>
      </w:r>
    </w:p>
    <w:p w:rsidR="00155008" w:rsidRPr="0089122C" w:rsidRDefault="00155008" w:rsidP="00155008">
      <w:pPr>
        <w:pStyle w:val="Brdtekstindrykning"/>
        <w:tabs>
          <w:tab w:val="clear" w:pos="851"/>
        </w:tabs>
        <w:rPr>
          <w:szCs w:val="24"/>
        </w:rPr>
      </w:pPr>
    </w:p>
    <w:p w:rsidR="00155008" w:rsidRPr="0089122C" w:rsidRDefault="00155008" w:rsidP="00155008">
      <w:pPr>
        <w:numPr>
          <w:ilvl w:val="1"/>
          <w:numId w:val="1"/>
        </w:numPr>
        <w:tabs>
          <w:tab w:val="clear" w:pos="855"/>
        </w:tabs>
        <w:ind w:left="851" w:hanging="851"/>
        <w:rPr>
          <w:b/>
          <w:sz w:val="24"/>
          <w:szCs w:val="24"/>
        </w:rPr>
      </w:pPr>
      <w:r w:rsidRPr="0089122C">
        <w:rPr>
          <w:b/>
          <w:sz w:val="24"/>
          <w:szCs w:val="24"/>
        </w:rPr>
        <w:t>Interaktion med andre lægemidler og andre former for interaktion</w:t>
      </w:r>
    </w:p>
    <w:p w:rsidR="00CA5D06" w:rsidRPr="00CA5D06" w:rsidRDefault="00CA5D06" w:rsidP="00CA5D06">
      <w:pPr>
        <w:ind w:left="851"/>
        <w:rPr>
          <w:sz w:val="24"/>
          <w:szCs w:val="24"/>
        </w:rPr>
      </w:pPr>
      <w:r w:rsidRPr="00CA5D06">
        <w:rPr>
          <w:sz w:val="24"/>
          <w:szCs w:val="24"/>
        </w:rPr>
        <w:t xml:space="preserve">Der er ikke udført interaktionsstudier med </w:t>
      </w:r>
      <w:proofErr w:type="spellStart"/>
      <w:r w:rsidRPr="00CA5D06">
        <w:rPr>
          <w:sz w:val="24"/>
          <w:szCs w:val="24"/>
        </w:rPr>
        <w:t>levocetirizin</w:t>
      </w:r>
      <w:proofErr w:type="spellEnd"/>
      <w:r w:rsidRPr="00CA5D06">
        <w:rPr>
          <w:sz w:val="24"/>
          <w:szCs w:val="24"/>
        </w:rPr>
        <w:t xml:space="preserve"> (heller ikke studier med C</w:t>
      </w:r>
      <w:r w:rsidR="009C02D4" w:rsidRPr="00436ECB">
        <w:rPr>
          <w:sz w:val="24"/>
          <w:szCs w:val="24"/>
        </w:rPr>
        <w:t>YP3A4-induktorer).</w:t>
      </w:r>
      <w:r w:rsidRPr="00CA5D06">
        <w:rPr>
          <w:sz w:val="24"/>
          <w:szCs w:val="24"/>
        </w:rPr>
        <w:t xml:space="preserve">). Studier med </w:t>
      </w:r>
      <w:proofErr w:type="spellStart"/>
      <w:r w:rsidRPr="00CA5D06">
        <w:rPr>
          <w:sz w:val="24"/>
          <w:szCs w:val="24"/>
        </w:rPr>
        <w:t>racematet</w:t>
      </w:r>
      <w:proofErr w:type="spellEnd"/>
      <w:r w:rsidRPr="00CA5D06">
        <w:rPr>
          <w:sz w:val="24"/>
          <w:szCs w:val="24"/>
        </w:rPr>
        <w:t xml:space="preserve"> </w:t>
      </w:r>
      <w:proofErr w:type="spellStart"/>
      <w:r w:rsidRPr="00CA5D06">
        <w:rPr>
          <w:sz w:val="24"/>
          <w:szCs w:val="24"/>
        </w:rPr>
        <w:t>cetirizin</w:t>
      </w:r>
      <w:proofErr w:type="spellEnd"/>
      <w:r w:rsidRPr="00CA5D06">
        <w:rPr>
          <w:sz w:val="24"/>
          <w:szCs w:val="24"/>
        </w:rPr>
        <w:t xml:space="preserve"> viste, at der ikke var klinisk relevante uønskede interaktioner (med antipyrin, </w:t>
      </w:r>
      <w:proofErr w:type="spellStart"/>
      <w:r w:rsidRPr="00CA5D06">
        <w:rPr>
          <w:sz w:val="24"/>
          <w:szCs w:val="24"/>
        </w:rPr>
        <w:t>azithromycin</w:t>
      </w:r>
      <w:proofErr w:type="spellEnd"/>
      <w:r w:rsidRPr="00CA5D06">
        <w:rPr>
          <w:sz w:val="24"/>
          <w:szCs w:val="24"/>
        </w:rPr>
        <w:t xml:space="preserve">, </w:t>
      </w:r>
      <w:proofErr w:type="spellStart"/>
      <w:r w:rsidRPr="00CA5D06">
        <w:rPr>
          <w:sz w:val="24"/>
          <w:szCs w:val="24"/>
        </w:rPr>
        <w:t>cimetidin</w:t>
      </w:r>
      <w:proofErr w:type="spellEnd"/>
      <w:r w:rsidRPr="00CA5D06">
        <w:rPr>
          <w:sz w:val="24"/>
          <w:szCs w:val="24"/>
        </w:rPr>
        <w:t xml:space="preserve">, </w:t>
      </w:r>
      <w:proofErr w:type="spellStart"/>
      <w:r w:rsidRPr="00CA5D06">
        <w:rPr>
          <w:sz w:val="24"/>
          <w:szCs w:val="24"/>
        </w:rPr>
        <w:t>diazepam</w:t>
      </w:r>
      <w:proofErr w:type="spellEnd"/>
      <w:r w:rsidRPr="00CA5D06">
        <w:rPr>
          <w:sz w:val="24"/>
          <w:szCs w:val="24"/>
        </w:rPr>
        <w:t xml:space="preserve">, </w:t>
      </w:r>
      <w:proofErr w:type="spellStart"/>
      <w:r w:rsidRPr="00CA5D06">
        <w:rPr>
          <w:sz w:val="24"/>
          <w:szCs w:val="24"/>
        </w:rPr>
        <w:t>erythromycin</w:t>
      </w:r>
      <w:proofErr w:type="spellEnd"/>
      <w:r w:rsidRPr="00CA5D06">
        <w:rPr>
          <w:sz w:val="24"/>
          <w:szCs w:val="24"/>
        </w:rPr>
        <w:t xml:space="preserve">, </w:t>
      </w:r>
      <w:proofErr w:type="spellStart"/>
      <w:r w:rsidRPr="00CA5D06">
        <w:rPr>
          <w:sz w:val="24"/>
          <w:szCs w:val="24"/>
        </w:rPr>
        <w:t>glipizid</w:t>
      </w:r>
      <w:proofErr w:type="spellEnd"/>
      <w:r w:rsidRPr="00CA5D06">
        <w:rPr>
          <w:sz w:val="24"/>
          <w:szCs w:val="24"/>
        </w:rPr>
        <w:t xml:space="preserve">, </w:t>
      </w:r>
      <w:proofErr w:type="spellStart"/>
      <w:r w:rsidRPr="00CA5D06">
        <w:rPr>
          <w:sz w:val="22"/>
          <w:szCs w:val="22"/>
        </w:rPr>
        <w:t>ketoconazol</w:t>
      </w:r>
      <w:proofErr w:type="spellEnd"/>
      <w:r w:rsidRPr="00CA5D06">
        <w:rPr>
          <w:sz w:val="24"/>
          <w:szCs w:val="24"/>
        </w:rPr>
        <w:t xml:space="preserve"> og </w:t>
      </w:r>
      <w:proofErr w:type="spellStart"/>
      <w:r w:rsidRPr="00CA5D06">
        <w:rPr>
          <w:sz w:val="24"/>
          <w:szCs w:val="24"/>
        </w:rPr>
        <w:t>pseudoephedrin</w:t>
      </w:r>
      <w:proofErr w:type="spellEnd"/>
      <w:r w:rsidRPr="00CA5D06">
        <w:rPr>
          <w:sz w:val="24"/>
          <w:szCs w:val="24"/>
        </w:rPr>
        <w:t xml:space="preserve">). En mindre reduktion i udskillelsen af </w:t>
      </w:r>
      <w:proofErr w:type="spellStart"/>
      <w:r w:rsidRPr="00CA5D06">
        <w:rPr>
          <w:sz w:val="24"/>
          <w:szCs w:val="24"/>
        </w:rPr>
        <w:t>cetirizin</w:t>
      </w:r>
      <w:proofErr w:type="spellEnd"/>
      <w:r w:rsidRPr="00CA5D06">
        <w:rPr>
          <w:sz w:val="24"/>
          <w:szCs w:val="24"/>
        </w:rPr>
        <w:t xml:space="preserve"> (16 %) blev observeret i et studie med gentagne doser af </w:t>
      </w:r>
      <w:proofErr w:type="spellStart"/>
      <w:r w:rsidRPr="00CA5D06">
        <w:rPr>
          <w:sz w:val="24"/>
          <w:szCs w:val="24"/>
        </w:rPr>
        <w:t>theophyllin</w:t>
      </w:r>
      <w:proofErr w:type="spellEnd"/>
      <w:r w:rsidRPr="00CA5D06">
        <w:rPr>
          <w:sz w:val="24"/>
          <w:szCs w:val="24"/>
        </w:rPr>
        <w:t xml:space="preserve"> (400 mg én gang dagligt), mens dispositionen af </w:t>
      </w:r>
      <w:proofErr w:type="spellStart"/>
      <w:r w:rsidRPr="00CA5D06">
        <w:rPr>
          <w:sz w:val="24"/>
          <w:szCs w:val="24"/>
        </w:rPr>
        <w:t>theophyllin</w:t>
      </w:r>
      <w:proofErr w:type="spellEnd"/>
      <w:r w:rsidRPr="00CA5D06">
        <w:rPr>
          <w:sz w:val="24"/>
          <w:szCs w:val="24"/>
        </w:rPr>
        <w:t xml:space="preserve"> ikke blev ændret ved samtidig administration af </w:t>
      </w:r>
      <w:proofErr w:type="spellStart"/>
      <w:r w:rsidRPr="00CA5D06">
        <w:rPr>
          <w:sz w:val="24"/>
          <w:szCs w:val="24"/>
        </w:rPr>
        <w:t>cetirizin</w:t>
      </w:r>
      <w:proofErr w:type="spellEnd"/>
      <w:r w:rsidRPr="00CA5D06">
        <w:rPr>
          <w:sz w:val="24"/>
          <w:szCs w:val="24"/>
        </w:rPr>
        <w:t>.</w:t>
      </w:r>
    </w:p>
    <w:p w:rsidR="00CA5D06" w:rsidRPr="00CA5D06" w:rsidRDefault="00CA5D06" w:rsidP="00CA5D06">
      <w:pPr>
        <w:ind w:left="851"/>
        <w:rPr>
          <w:sz w:val="24"/>
          <w:szCs w:val="24"/>
        </w:rPr>
      </w:pPr>
      <w:r w:rsidRPr="00CA5D06">
        <w:rPr>
          <w:sz w:val="24"/>
          <w:szCs w:val="24"/>
        </w:rPr>
        <w:t xml:space="preserve">I et studie med </w:t>
      </w:r>
      <w:proofErr w:type="gramStart"/>
      <w:r w:rsidRPr="00CA5D06">
        <w:rPr>
          <w:sz w:val="24"/>
          <w:szCs w:val="24"/>
        </w:rPr>
        <w:t>multipel</w:t>
      </w:r>
      <w:proofErr w:type="gramEnd"/>
      <w:r w:rsidRPr="00CA5D06">
        <w:rPr>
          <w:sz w:val="24"/>
          <w:szCs w:val="24"/>
        </w:rPr>
        <w:t xml:space="preserve"> doser af </w:t>
      </w:r>
      <w:proofErr w:type="spellStart"/>
      <w:r w:rsidRPr="00CA5D06">
        <w:rPr>
          <w:sz w:val="24"/>
          <w:szCs w:val="24"/>
        </w:rPr>
        <w:t>ritonavir</w:t>
      </w:r>
      <w:proofErr w:type="spellEnd"/>
      <w:r w:rsidRPr="00CA5D06">
        <w:rPr>
          <w:sz w:val="24"/>
          <w:szCs w:val="24"/>
        </w:rPr>
        <w:t xml:space="preserve"> (600 mg to gange dagligt) og </w:t>
      </w:r>
      <w:proofErr w:type="spellStart"/>
      <w:r w:rsidRPr="00CA5D06">
        <w:rPr>
          <w:sz w:val="24"/>
          <w:szCs w:val="24"/>
        </w:rPr>
        <w:t>cetirizin</w:t>
      </w:r>
      <w:proofErr w:type="spellEnd"/>
      <w:r w:rsidRPr="00CA5D06">
        <w:rPr>
          <w:sz w:val="24"/>
          <w:szCs w:val="24"/>
        </w:rPr>
        <w:t xml:space="preserve"> (10 mg dagligt) blev eksponeringsgraden for </w:t>
      </w:r>
      <w:proofErr w:type="spellStart"/>
      <w:r w:rsidRPr="00CA5D06">
        <w:rPr>
          <w:sz w:val="24"/>
          <w:szCs w:val="24"/>
        </w:rPr>
        <w:t>cetirizin</w:t>
      </w:r>
      <w:proofErr w:type="spellEnd"/>
      <w:r w:rsidRPr="00CA5D06">
        <w:rPr>
          <w:sz w:val="24"/>
          <w:szCs w:val="24"/>
        </w:rPr>
        <w:t xml:space="preserve"> øget med ca. 40 %, mens dispositionen af </w:t>
      </w:r>
      <w:proofErr w:type="spellStart"/>
      <w:r w:rsidRPr="00CA5D06">
        <w:rPr>
          <w:sz w:val="24"/>
          <w:szCs w:val="24"/>
        </w:rPr>
        <w:t>ritonavir</w:t>
      </w:r>
      <w:proofErr w:type="spellEnd"/>
      <w:r w:rsidRPr="00CA5D06">
        <w:rPr>
          <w:sz w:val="24"/>
          <w:szCs w:val="24"/>
        </w:rPr>
        <w:t xml:space="preserve"> var let ændret (-11 %) ved samtidig administration af </w:t>
      </w:r>
      <w:proofErr w:type="spellStart"/>
      <w:r w:rsidRPr="00CA5D06">
        <w:rPr>
          <w:sz w:val="24"/>
          <w:szCs w:val="24"/>
        </w:rPr>
        <w:t>cetirizin</w:t>
      </w:r>
      <w:proofErr w:type="spellEnd"/>
      <w:r w:rsidRPr="00CA5D06">
        <w:rPr>
          <w:sz w:val="24"/>
          <w:szCs w:val="24"/>
        </w:rPr>
        <w:t>.</w:t>
      </w:r>
    </w:p>
    <w:p w:rsidR="00155008" w:rsidRDefault="00155008" w:rsidP="00155008">
      <w:pPr>
        <w:ind w:left="851"/>
        <w:rPr>
          <w:sz w:val="24"/>
          <w:szCs w:val="24"/>
        </w:rPr>
      </w:pPr>
    </w:p>
    <w:p w:rsidR="00155008" w:rsidRDefault="00155008" w:rsidP="00155008">
      <w:pPr>
        <w:ind w:left="851"/>
        <w:rPr>
          <w:sz w:val="24"/>
          <w:szCs w:val="24"/>
        </w:rPr>
      </w:pPr>
      <w:r>
        <w:rPr>
          <w:sz w:val="24"/>
          <w:szCs w:val="24"/>
        </w:rPr>
        <w:t xml:space="preserve">Absorptionsgraden af </w:t>
      </w:r>
      <w:proofErr w:type="spellStart"/>
      <w:r>
        <w:rPr>
          <w:sz w:val="24"/>
          <w:szCs w:val="24"/>
        </w:rPr>
        <w:t>levocetirizin</w:t>
      </w:r>
      <w:proofErr w:type="spellEnd"/>
      <w:r>
        <w:rPr>
          <w:sz w:val="24"/>
          <w:szCs w:val="24"/>
        </w:rPr>
        <w:t xml:space="preserve"> reduceres ikke ved samtidig indtagelse af føde, selvom absorptionshastigheden er nedsat.</w:t>
      </w:r>
    </w:p>
    <w:p w:rsidR="00155008" w:rsidRDefault="00155008" w:rsidP="00155008">
      <w:pPr>
        <w:ind w:left="851"/>
        <w:rPr>
          <w:sz w:val="24"/>
          <w:szCs w:val="24"/>
        </w:rPr>
      </w:pPr>
    </w:p>
    <w:p w:rsidR="00155008" w:rsidRDefault="00155008" w:rsidP="00155008">
      <w:pPr>
        <w:ind w:left="851"/>
        <w:rPr>
          <w:sz w:val="24"/>
          <w:szCs w:val="24"/>
        </w:rPr>
      </w:pPr>
      <w:r>
        <w:rPr>
          <w:sz w:val="24"/>
          <w:szCs w:val="24"/>
        </w:rPr>
        <w:lastRenderedPageBreak/>
        <w:t xml:space="preserve">Hos følsomme patienter kan samtidig indtagelse af </w:t>
      </w:r>
      <w:proofErr w:type="spellStart"/>
      <w:r>
        <w:rPr>
          <w:sz w:val="24"/>
          <w:szCs w:val="24"/>
        </w:rPr>
        <w:t>cetirizin</w:t>
      </w:r>
      <w:proofErr w:type="spellEnd"/>
      <w:r>
        <w:rPr>
          <w:sz w:val="24"/>
          <w:szCs w:val="24"/>
        </w:rPr>
        <w:t xml:space="preserve"> eller </w:t>
      </w:r>
      <w:proofErr w:type="spellStart"/>
      <w:r>
        <w:rPr>
          <w:sz w:val="24"/>
          <w:szCs w:val="24"/>
        </w:rPr>
        <w:t>levocetirizin</w:t>
      </w:r>
      <w:proofErr w:type="spellEnd"/>
      <w:r>
        <w:rPr>
          <w:sz w:val="24"/>
          <w:szCs w:val="24"/>
        </w:rPr>
        <w:t xml:space="preserve"> og alkohol eller andre CNS-dæmpende lægemidler medføre yderligere reduceret årvågenhed og nedsat præstationsevne.</w:t>
      </w:r>
    </w:p>
    <w:p w:rsidR="00155008" w:rsidRPr="007620E2" w:rsidRDefault="00155008" w:rsidP="00155008">
      <w:pPr>
        <w:rPr>
          <w:sz w:val="24"/>
          <w:szCs w:val="24"/>
        </w:rPr>
      </w:pPr>
    </w:p>
    <w:p w:rsidR="00155008" w:rsidRPr="0089122C" w:rsidRDefault="004209B0" w:rsidP="00155008">
      <w:pPr>
        <w:numPr>
          <w:ilvl w:val="1"/>
          <w:numId w:val="1"/>
        </w:numPr>
        <w:tabs>
          <w:tab w:val="clear" w:pos="855"/>
        </w:tabs>
        <w:ind w:left="851" w:hanging="851"/>
        <w:rPr>
          <w:b/>
          <w:sz w:val="24"/>
          <w:szCs w:val="24"/>
        </w:rPr>
      </w:pPr>
      <w:r>
        <w:rPr>
          <w:b/>
          <w:sz w:val="24"/>
          <w:szCs w:val="24"/>
        </w:rPr>
        <w:t>Fertilitet, g</w:t>
      </w:r>
      <w:r w:rsidR="00155008" w:rsidRPr="0089122C">
        <w:rPr>
          <w:b/>
          <w:sz w:val="24"/>
          <w:szCs w:val="24"/>
        </w:rPr>
        <w:t>raviditet og amning</w:t>
      </w:r>
    </w:p>
    <w:p w:rsidR="00CA5D06" w:rsidRDefault="00CA5D06" w:rsidP="00CA5D06">
      <w:pPr>
        <w:pStyle w:val="Slutnotetekst"/>
        <w:spacing w:line="260" w:lineRule="exact"/>
        <w:ind w:left="851"/>
        <w:rPr>
          <w:sz w:val="24"/>
          <w:szCs w:val="24"/>
          <w:u w:val="single"/>
        </w:rPr>
      </w:pPr>
      <w:r>
        <w:rPr>
          <w:sz w:val="24"/>
          <w:szCs w:val="24"/>
          <w:u w:val="single"/>
        </w:rPr>
        <w:t>Graviditet</w:t>
      </w:r>
    </w:p>
    <w:p w:rsidR="00CA5D06" w:rsidRPr="00CA5D06" w:rsidRDefault="00CA5D06" w:rsidP="00CA5D06">
      <w:pPr>
        <w:ind w:left="851"/>
        <w:rPr>
          <w:sz w:val="24"/>
          <w:szCs w:val="24"/>
        </w:rPr>
      </w:pPr>
      <w:r w:rsidRPr="00CA5D06">
        <w:rPr>
          <w:sz w:val="24"/>
          <w:szCs w:val="24"/>
        </w:rPr>
        <w:t xml:space="preserve">Der er ingen eller utilstrækkelige data (mindre end 300 graviditetsudfald) fra anvendelse af </w:t>
      </w:r>
      <w:proofErr w:type="spellStart"/>
      <w:r w:rsidRPr="00CA5D06">
        <w:rPr>
          <w:sz w:val="24"/>
          <w:szCs w:val="24"/>
        </w:rPr>
        <w:t>levocetirizin</w:t>
      </w:r>
      <w:proofErr w:type="spellEnd"/>
      <w:r w:rsidRPr="00CA5D06">
        <w:rPr>
          <w:sz w:val="24"/>
          <w:szCs w:val="24"/>
        </w:rPr>
        <w:t xml:space="preserve"> til gravide kvinder. For </w:t>
      </w:r>
      <w:proofErr w:type="spellStart"/>
      <w:r w:rsidRPr="00CA5D06">
        <w:rPr>
          <w:sz w:val="24"/>
          <w:szCs w:val="24"/>
        </w:rPr>
        <w:t>levocetirizins</w:t>
      </w:r>
      <w:proofErr w:type="spellEnd"/>
      <w:r w:rsidRPr="00CA5D06">
        <w:rPr>
          <w:sz w:val="24"/>
          <w:szCs w:val="24"/>
        </w:rPr>
        <w:t xml:space="preserve"> </w:t>
      </w:r>
      <w:proofErr w:type="spellStart"/>
      <w:r w:rsidRPr="00CA5D06">
        <w:rPr>
          <w:sz w:val="24"/>
          <w:szCs w:val="24"/>
        </w:rPr>
        <w:t>racemat</w:t>
      </w:r>
      <w:proofErr w:type="spellEnd"/>
      <w:r w:rsidRPr="00CA5D06">
        <w:rPr>
          <w:sz w:val="24"/>
          <w:szCs w:val="24"/>
        </w:rPr>
        <w:t xml:space="preserve"> </w:t>
      </w:r>
      <w:proofErr w:type="spellStart"/>
      <w:r w:rsidRPr="00CA5D06">
        <w:rPr>
          <w:sz w:val="24"/>
          <w:szCs w:val="24"/>
        </w:rPr>
        <w:t>cetirizin</w:t>
      </w:r>
      <w:proofErr w:type="spellEnd"/>
      <w:r w:rsidRPr="00CA5D06">
        <w:rPr>
          <w:sz w:val="24"/>
          <w:szCs w:val="24"/>
        </w:rPr>
        <w:t xml:space="preserve"> viser en </w:t>
      </w:r>
      <w:proofErr w:type="spellStart"/>
      <w:r w:rsidRPr="00CA5D06">
        <w:rPr>
          <w:sz w:val="24"/>
          <w:szCs w:val="24"/>
        </w:rPr>
        <w:t>stormængde</w:t>
      </w:r>
      <w:proofErr w:type="spellEnd"/>
      <w:r w:rsidRPr="00CA5D06">
        <w:rPr>
          <w:sz w:val="24"/>
          <w:szCs w:val="24"/>
        </w:rPr>
        <w:t xml:space="preserve"> data (flere end 1.000 graviditetsudfald) hos gravide kvinder dog ikke misdannelser eller </w:t>
      </w:r>
      <w:proofErr w:type="spellStart"/>
      <w:r w:rsidRPr="00CA5D06">
        <w:rPr>
          <w:sz w:val="24"/>
          <w:szCs w:val="24"/>
        </w:rPr>
        <w:t>føto</w:t>
      </w:r>
      <w:proofErr w:type="spellEnd"/>
      <w:r w:rsidRPr="00CA5D06">
        <w:rPr>
          <w:sz w:val="24"/>
          <w:szCs w:val="24"/>
        </w:rPr>
        <w:t>/neonatal toksicitet. Dyrestudier indikerer hverken direkte eller indirekte skadelige virkninger i forbindelse med graviditet, embryonal/</w:t>
      </w:r>
      <w:proofErr w:type="spellStart"/>
      <w:r w:rsidRPr="00CA5D06">
        <w:rPr>
          <w:sz w:val="24"/>
          <w:szCs w:val="24"/>
        </w:rPr>
        <w:t>føtal</w:t>
      </w:r>
      <w:proofErr w:type="spellEnd"/>
      <w:r w:rsidRPr="00CA5D06">
        <w:rPr>
          <w:sz w:val="24"/>
          <w:szCs w:val="24"/>
        </w:rPr>
        <w:t xml:space="preserve"> udvikling, fødsel eller </w:t>
      </w:r>
      <w:proofErr w:type="spellStart"/>
      <w:r w:rsidRPr="00CA5D06">
        <w:rPr>
          <w:sz w:val="24"/>
          <w:szCs w:val="24"/>
        </w:rPr>
        <w:t>postnatal</w:t>
      </w:r>
      <w:proofErr w:type="spellEnd"/>
      <w:r w:rsidRPr="00CA5D06">
        <w:rPr>
          <w:sz w:val="24"/>
          <w:szCs w:val="24"/>
        </w:rPr>
        <w:t xml:space="preserve"> udvikling (se pkt. 5.3). Brug af </w:t>
      </w:r>
      <w:proofErr w:type="spellStart"/>
      <w:r w:rsidRPr="00CA5D06">
        <w:rPr>
          <w:sz w:val="24"/>
          <w:szCs w:val="24"/>
        </w:rPr>
        <w:t>levocetirizin</w:t>
      </w:r>
      <w:proofErr w:type="spellEnd"/>
      <w:r w:rsidRPr="00CA5D06">
        <w:rPr>
          <w:sz w:val="24"/>
          <w:szCs w:val="24"/>
        </w:rPr>
        <w:t xml:space="preserve"> kan, om nødvendigt, overvejes under graviditet.</w:t>
      </w:r>
    </w:p>
    <w:p w:rsidR="00CA5D06" w:rsidRPr="00CA5D06" w:rsidRDefault="00CA5D06" w:rsidP="00CA5D06">
      <w:pPr>
        <w:ind w:left="851"/>
        <w:rPr>
          <w:sz w:val="24"/>
          <w:szCs w:val="24"/>
        </w:rPr>
      </w:pPr>
    </w:p>
    <w:p w:rsidR="00CA5D06" w:rsidRPr="00CA5D06" w:rsidRDefault="00CA5D06" w:rsidP="00CA5D06">
      <w:pPr>
        <w:ind w:left="851"/>
        <w:rPr>
          <w:sz w:val="24"/>
          <w:szCs w:val="24"/>
        </w:rPr>
      </w:pPr>
      <w:r w:rsidRPr="00CA5D06">
        <w:rPr>
          <w:sz w:val="24"/>
          <w:szCs w:val="24"/>
          <w:u w:val="single"/>
        </w:rPr>
        <w:t>Amning</w:t>
      </w:r>
    </w:p>
    <w:p w:rsidR="00CA5D06" w:rsidRPr="00CA5D06" w:rsidRDefault="00CA5D06" w:rsidP="00CA5D06">
      <w:pPr>
        <w:ind w:left="851"/>
        <w:rPr>
          <w:sz w:val="24"/>
          <w:szCs w:val="24"/>
        </w:rPr>
      </w:pPr>
      <w:r w:rsidRPr="00CA5D06">
        <w:rPr>
          <w:sz w:val="24"/>
          <w:szCs w:val="24"/>
        </w:rPr>
        <w:t xml:space="preserve">Det er vist, at </w:t>
      </w:r>
      <w:proofErr w:type="spellStart"/>
      <w:r w:rsidRPr="00CA5D06">
        <w:rPr>
          <w:sz w:val="24"/>
          <w:szCs w:val="24"/>
        </w:rPr>
        <w:t>levocetirizins</w:t>
      </w:r>
      <w:proofErr w:type="spellEnd"/>
      <w:r w:rsidRPr="00CA5D06">
        <w:rPr>
          <w:sz w:val="24"/>
          <w:szCs w:val="24"/>
        </w:rPr>
        <w:t xml:space="preserve"> </w:t>
      </w:r>
      <w:proofErr w:type="spellStart"/>
      <w:r w:rsidRPr="00CA5D06">
        <w:rPr>
          <w:sz w:val="24"/>
          <w:szCs w:val="24"/>
        </w:rPr>
        <w:t>racemat</w:t>
      </w:r>
      <w:proofErr w:type="spellEnd"/>
      <w:r w:rsidRPr="00CA5D06">
        <w:rPr>
          <w:sz w:val="24"/>
          <w:szCs w:val="24"/>
        </w:rPr>
        <w:t xml:space="preserve"> </w:t>
      </w:r>
      <w:proofErr w:type="spellStart"/>
      <w:r w:rsidRPr="00CA5D06">
        <w:rPr>
          <w:sz w:val="24"/>
          <w:szCs w:val="24"/>
        </w:rPr>
        <w:t>cetirizin</w:t>
      </w:r>
      <w:proofErr w:type="spellEnd"/>
      <w:r w:rsidRPr="00CA5D06">
        <w:rPr>
          <w:sz w:val="24"/>
          <w:szCs w:val="24"/>
        </w:rPr>
        <w:t xml:space="preserve"> udskilles i human modermælk. Det er derfor også sandsynligt, at </w:t>
      </w:r>
      <w:proofErr w:type="spellStart"/>
      <w:r w:rsidRPr="00CA5D06">
        <w:rPr>
          <w:sz w:val="24"/>
          <w:szCs w:val="24"/>
        </w:rPr>
        <w:t>levocetirizin</w:t>
      </w:r>
      <w:proofErr w:type="spellEnd"/>
      <w:r w:rsidRPr="00CA5D06">
        <w:rPr>
          <w:sz w:val="24"/>
          <w:szCs w:val="24"/>
        </w:rPr>
        <w:t xml:space="preserve"> udskilles i human modermælk. Der kan ses bivirkninger, som er relateret til </w:t>
      </w:r>
      <w:proofErr w:type="spellStart"/>
      <w:r w:rsidRPr="00CA5D06">
        <w:rPr>
          <w:sz w:val="24"/>
          <w:szCs w:val="24"/>
        </w:rPr>
        <w:t>levocetirizin</w:t>
      </w:r>
      <w:proofErr w:type="spellEnd"/>
      <w:r w:rsidRPr="00CA5D06">
        <w:rPr>
          <w:sz w:val="24"/>
          <w:szCs w:val="24"/>
        </w:rPr>
        <w:t xml:space="preserve"> hos spædbørn, som ammes. Der bør derfor udvises forsigtighed i forbindelse med ordinering af </w:t>
      </w:r>
      <w:proofErr w:type="spellStart"/>
      <w:r w:rsidRPr="00CA5D06">
        <w:rPr>
          <w:sz w:val="24"/>
          <w:szCs w:val="24"/>
        </w:rPr>
        <w:t>levocetirizin</w:t>
      </w:r>
      <w:proofErr w:type="spellEnd"/>
      <w:r w:rsidRPr="00CA5D06">
        <w:rPr>
          <w:sz w:val="24"/>
          <w:szCs w:val="24"/>
        </w:rPr>
        <w:t xml:space="preserve"> til ammende kvinder.</w:t>
      </w:r>
    </w:p>
    <w:p w:rsidR="009C02D4" w:rsidRDefault="009C02D4" w:rsidP="009C02D4">
      <w:pPr>
        <w:pStyle w:val="Slutnotetekst"/>
        <w:spacing w:line="260" w:lineRule="exact"/>
        <w:ind w:left="851"/>
        <w:rPr>
          <w:sz w:val="24"/>
          <w:szCs w:val="24"/>
          <w:u w:val="single"/>
        </w:rPr>
      </w:pPr>
    </w:p>
    <w:p w:rsidR="009C02D4" w:rsidRPr="00436ECB" w:rsidRDefault="009C02D4" w:rsidP="009C02D4">
      <w:pPr>
        <w:pStyle w:val="Slutnotetekst"/>
        <w:spacing w:line="260" w:lineRule="exact"/>
        <w:ind w:left="851"/>
        <w:rPr>
          <w:sz w:val="24"/>
          <w:szCs w:val="24"/>
          <w:u w:val="single"/>
        </w:rPr>
      </w:pPr>
      <w:r w:rsidRPr="00436ECB">
        <w:rPr>
          <w:sz w:val="24"/>
          <w:szCs w:val="24"/>
          <w:u w:val="single"/>
        </w:rPr>
        <w:t>Fertilitet</w:t>
      </w:r>
    </w:p>
    <w:p w:rsidR="009C02D4" w:rsidRPr="00436ECB" w:rsidRDefault="009C02D4" w:rsidP="009C02D4">
      <w:pPr>
        <w:pStyle w:val="Slutnotetekst"/>
        <w:spacing w:line="260" w:lineRule="exact"/>
        <w:ind w:left="851"/>
        <w:rPr>
          <w:sz w:val="24"/>
          <w:szCs w:val="24"/>
        </w:rPr>
      </w:pPr>
      <w:r w:rsidRPr="00436ECB">
        <w:rPr>
          <w:sz w:val="24"/>
          <w:szCs w:val="24"/>
        </w:rPr>
        <w:t xml:space="preserve">Der er ingen kliniske data for </w:t>
      </w:r>
      <w:proofErr w:type="spellStart"/>
      <w:r w:rsidRPr="00436ECB">
        <w:rPr>
          <w:sz w:val="24"/>
          <w:szCs w:val="24"/>
        </w:rPr>
        <w:t>levocetirizin</w:t>
      </w:r>
      <w:proofErr w:type="spellEnd"/>
      <w:r w:rsidRPr="00436ECB">
        <w:rPr>
          <w:sz w:val="24"/>
          <w:szCs w:val="24"/>
        </w:rPr>
        <w:t>.</w:t>
      </w:r>
    </w:p>
    <w:p w:rsidR="00155008" w:rsidRPr="0089122C" w:rsidRDefault="00155008" w:rsidP="00155008">
      <w:pPr>
        <w:ind w:left="851" w:hanging="851"/>
        <w:rPr>
          <w:sz w:val="24"/>
          <w:szCs w:val="24"/>
        </w:rPr>
      </w:pPr>
    </w:p>
    <w:p w:rsidR="00155008" w:rsidRPr="0089122C" w:rsidRDefault="00155008" w:rsidP="00155008">
      <w:pPr>
        <w:numPr>
          <w:ilvl w:val="1"/>
          <w:numId w:val="1"/>
        </w:numPr>
        <w:tabs>
          <w:tab w:val="clear" w:pos="855"/>
        </w:tabs>
        <w:ind w:left="851" w:hanging="851"/>
        <w:rPr>
          <w:b/>
          <w:sz w:val="24"/>
          <w:szCs w:val="24"/>
        </w:rPr>
      </w:pPr>
      <w:r w:rsidRPr="0089122C">
        <w:rPr>
          <w:b/>
          <w:sz w:val="24"/>
          <w:szCs w:val="24"/>
        </w:rPr>
        <w:t xml:space="preserve">Virkning på evnen til at føre motorkøretøj </w:t>
      </w:r>
      <w:r w:rsidR="004209B0">
        <w:rPr>
          <w:b/>
          <w:sz w:val="24"/>
          <w:szCs w:val="24"/>
        </w:rPr>
        <w:t>og</w:t>
      </w:r>
      <w:r w:rsidRPr="0089122C">
        <w:rPr>
          <w:b/>
          <w:sz w:val="24"/>
          <w:szCs w:val="24"/>
        </w:rPr>
        <w:t xml:space="preserve"> betjene maskiner</w:t>
      </w:r>
    </w:p>
    <w:p w:rsidR="00155008" w:rsidRPr="0089122C" w:rsidRDefault="00155008" w:rsidP="00155008">
      <w:pPr>
        <w:ind w:left="851"/>
        <w:rPr>
          <w:sz w:val="24"/>
          <w:szCs w:val="24"/>
        </w:rPr>
      </w:pPr>
      <w:r w:rsidRPr="0089122C">
        <w:rPr>
          <w:sz w:val="24"/>
          <w:szCs w:val="24"/>
        </w:rPr>
        <w:t>Ikke mærkning.</w:t>
      </w:r>
    </w:p>
    <w:p w:rsidR="00CA5D06" w:rsidRDefault="00CA5D06" w:rsidP="00CA5D06">
      <w:pPr>
        <w:ind w:left="851"/>
        <w:rPr>
          <w:sz w:val="24"/>
          <w:szCs w:val="24"/>
        </w:rPr>
      </w:pPr>
      <w:r>
        <w:rPr>
          <w:sz w:val="24"/>
          <w:szCs w:val="24"/>
        </w:rPr>
        <w:t xml:space="preserve">Sammenlignende kliniske studier har ikke vist at </w:t>
      </w:r>
      <w:proofErr w:type="spellStart"/>
      <w:r>
        <w:rPr>
          <w:sz w:val="24"/>
          <w:szCs w:val="24"/>
        </w:rPr>
        <w:t>levocetirizin</w:t>
      </w:r>
      <w:proofErr w:type="spellEnd"/>
      <w:r>
        <w:rPr>
          <w:sz w:val="24"/>
          <w:szCs w:val="24"/>
        </w:rPr>
        <w:t xml:space="preserve"> i den anbefalede dosering nedsætter koncentration, reaktionsevne eller evnen til at føre motorkøretøj. Nogle patienter oplevede dog </w:t>
      </w:r>
      <w:proofErr w:type="spellStart"/>
      <w:r>
        <w:rPr>
          <w:sz w:val="24"/>
          <w:szCs w:val="24"/>
        </w:rPr>
        <w:t>somnolens</w:t>
      </w:r>
      <w:proofErr w:type="spellEnd"/>
      <w:r>
        <w:rPr>
          <w:sz w:val="24"/>
          <w:szCs w:val="24"/>
        </w:rPr>
        <w:t xml:space="preserve">, træthed og asteni under behandling med </w:t>
      </w:r>
      <w:proofErr w:type="spellStart"/>
      <w:r>
        <w:rPr>
          <w:sz w:val="24"/>
          <w:szCs w:val="24"/>
        </w:rPr>
        <w:t>levocetirizin</w:t>
      </w:r>
      <w:proofErr w:type="spellEnd"/>
      <w:r>
        <w:rPr>
          <w:sz w:val="24"/>
          <w:szCs w:val="24"/>
        </w:rPr>
        <w:t>. Derfor skal patienter, som har til hensigt at føre motorkøretøj, deltage i risikobetonede aktiviteter eller betjene maskiner, tage hensyn til deres respons på lægemidlet.</w:t>
      </w:r>
    </w:p>
    <w:p w:rsidR="00155008" w:rsidRPr="0089122C" w:rsidRDefault="00155008" w:rsidP="00155008">
      <w:pPr>
        <w:ind w:left="851" w:hanging="851"/>
        <w:rPr>
          <w:sz w:val="24"/>
          <w:szCs w:val="24"/>
        </w:rPr>
      </w:pPr>
    </w:p>
    <w:p w:rsidR="00155008" w:rsidRPr="00535AD9" w:rsidRDefault="00155008" w:rsidP="00155008">
      <w:pPr>
        <w:numPr>
          <w:ilvl w:val="1"/>
          <w:numId w:val="1"/>
        </w:numPr>
        <w:tabs>
          <w:tab w:val="clear" w:pos="855"/>
        </w:tabs>
        <w:ind w:left="851" w:hanging="851"/>
        <w:rPr>
          <w:b/>
          <w:sz w:val="24"/>
          <w:szCs w:val="24"/>
        </w:rPr>
      </w:pPr>
      <w:r w:rsidRPr="00535AD9">
        <w:rPr>
          <w:b/>
          <w:sz w:val="24"/>
          <w:szCs w:val="24"/>
        </w:rPr>
        <w:t>Bivirkninger</w:t>
      </w:r>
    </w:p>
    <w:p w:rsidR="00D46847" w:rsidRDefault="00D46847" w:rsidP="00D46847">
      <w:pPr>
        <w:pStyle w:val="Slutnotetekst"/>
        <w:widowControl/>
        <w:tabs>
          <w:tab w:val="clear" w:pos="567"/>
          <w:tab w:val="left" w:pos="851"/>
        </w:tabs>
        <w:ind w:left="851"/>
        <w:rPr>
          <w:sz w:val="24"/>
          <w:szCs w:val="24"/>
        </w:rPr>
      </w:pPr>
      <w:r>
        <w:rPr>
          <w:sz w:val="24"/>
          <w:szCs w:val="24"/>
          <w:u w:val="single"/>
        </w:rPr>
        <w:t>Kliniske studier</w:t>
      </w:r>
    </w:p>
    <w:p w:rsidR="00D46847" w:rsidRDefault="00D46847" w:rsidP="00D46847">
      <w:pPr>
        <w:pStyle w:val="Slutnotetekst"/>
        <w:widowControl/>
        <w:tabs>
          <w:tab w:val="clear" w:pos="567"/>
          <w:tab w:val="left" w:pos="851"/>
        </w:tabs>
        <w:ind w:left="851"/>
        <w:rPr>
          <w:i/>
          <w:sz w:val="24"/>
          <w:szCs w:val="24"/>
        </w:rPr>
      </w:pPr>
      <w:r>
        <w:rPr>
          <w:i/>
          <w:sz w:val="24"/>
          <w:szCs w:val="24"/>
        </w:rPr>
        <w:t>Voksne og unge over 12</w:t>
      </w:r>
      <w:r>
        <w:rPr>
          <w:sz w:val="24"/>
          <w:szCs w:val="24"/>
        </w:rPr>
        <w:t> </w:t>
      </w:r>
      <w:r>
        <w:rPr>
          <w:i/>
          <w:sz w:val="24"/>
          <w:szCs w:val="24"/>
        </w:rPr>
        <w:t>år</w:t>
      </w:r>
    </w:p>
    <w:p w:rsidR="00D46847" w:rsidRDefault="00D46847" w:rsidP="00D46847">
      <w:pPr>
        <w:pStyle w:val="Slutnotetekst"/>
        <w:widowControl/>
        <w:tabs>
          <w:tab w:val="clear" w:pos="567"/>
          <w:tab w:val="left" w:pos="851"/>
        </w:tabs>
        <w:ind w:left="851"/>
        <w:rPr>
          <w:sz w:val="24"/>
          <w:szCs w:val="24"/>
        </w:rPr>
      </w:pPr>
      <w:r>
        <w:rPr>
          <w:sz w:val="24"/>
          <w:szCs w:val="24"/>
        </w:rPr>
        <w:t xml:space="preserve">Ved kliniske studier med kvinder og mænd i alderen 12 til 71 år havde 15,1 % af patienterne i </w:t>
      </w:r>
      <w:proofErr w:type="spellStart"/>
      <w:r>
        <w:rPr>
          <w:sz w:val="24"/>
          <w:szCs w:val="24"/>
        </w:rPr>
        <w:t>levocetirizin</w:t>
      </w:r>
      <w:proofErr w:type="spellEnd"/>
      <w:r>
        <w:rPr>
          <w:sz w:val="24"/>
          <w:szCs w:val="24"/>
        </w:rPr>
        <w:t xml:space="preserve"> 5 mg-gruppen mindst en bivirkning sammenlignet med 11,3 % i placebogruppen. 91,6 % af disse bivirkninger var milde til moderate.</w:t>
      </w:r>
    </w:p>
    <w:p w:rsidR="00D46847" w:rsidRDefault="00D46847" w:rsidP="00D46847">
      <w:pPr>
        <w:pStyle w:val="Slutnotetekst"/>
        <w:widowControl/>
        <w:tabs>
          <w:tab w:val="clear" w:pos="567"/>
          <w:tab w:val="left" w:pos="851"/>
        </w:tabs>
        <w:ind w:left="851"/>
        <w:rPr>
          <w:sz w:val="24"/>
          <w:szCs w:val="24"/>
        </w:rPr>
      </w:pPr>
      <w:r>
        <w:rPr>
          <w:sz w:val="24"/>
          <w:szCs w:val="24"/>
        </w:rPr>
        <w:t xml:space="preserve">I kliniske </w:t>
      </w:r>
      <w:proofErr w:type="spellStart"/>
      <w:r>
        <w:rPr>
          <w:sz w:val="24"/>
          <w:szCs w:val="24"/>
        </w:rPr>
        <w:t>studider</w:t>
      </w:r>
      <w:proofErr w:type="spellEnd"/>
      <w:r>
        <w:rPr>
          <w:sz w:val="24"/>
          <w:szCs w:val="24"/>
        </w:rPr>
        <w:t xml:space="preserve"> med </w:t>
      </w:r>
      <w:proofErr w:type="spellStart"/>
      <w:r>
        <w:rPr>
          <w:sz w:val="24"/>
          <w:szCs w:val="24"/>
        </w:rPr>
        <w:t>levocetirizin</w:t>
      </w:r>
      <w:proofErr w:type="spellEnd"/>
      <w:r>
        <w:rPr>
          <w:sz w:val="24"/>
          <w:szCs w:val="24"/>
        </w:rPr>
        <w:t xml:space="preserve">, var frekvensen af eksklusion på grund af bivirkninger 1,0 % (9/935) for </w:t>
      </w:r>
      <w:proofErr w:type="spellStart"/>
      <w:r>
        <w:rPr>
          <w:sz w:val="24"/>
          <w:szCs w:val="24"/>
        </w:rPr>
        <w:t>levocetirizin</w:t>
      </w:r>
      <w:proofErr w:type="spellEnd"/>
      <w:r>
        <w:rPr>
          <w:sz w:val="24"/>
          <w:szCs w:val="24"/>
        </w:rPr>
        <w:t xml:space="preserve"> 5 mg og (1,8 %, 14/771) for placebo.</w:t>
      </w:r>
    </w:p>
    <w:p w:rsidR="00D46847" w:rsidRPr="00D46847" w:rsidRDefault="00D46847" w:rsidP="00D46847">
      <w:pPr>
        <w:tabs>
          <w:tab w:val="left" w:pos="851"/>
        </w:tabs>
        <w:ind w:left="851"/>
        <w:rPr>
          <w:sz w:val="24"/>
          <w:szCs w:val="24"/>
        </w:rPr>
      </w:pPr>
    </w:p>
    <w:p w:rsidR="00D46847" w:rsidRPr="00D46847" w:rsidRDefault="00D46847" w:rsidP="00D46847">
      <w:pPr>
        <w:ind w:left="851"/>
        <w:rPr>
          <w:sz w:val="24"/>
          <w:szCs w:val="24"/>
        </w:rPr>
      </w:pPr>
      <w:r w:rsidRPr="00D46847">
        <w:rPr>
          <w:sz w:val="24"/>
          <w:szCs w:val="24"/>
        </w:rPr>
        <w:t xml:space="preserve">Kliniske studier med </w:t>
      </w:r>
      <w:proofErr w:type="spellStart"/>
      <w:r w:rsidRPr="00D46847">
        <w:rPr>
          <w:sz w:val="24"/>
          <w:szCs w:val="24"/>
        </w:rPr>
        <w:t>levocetirizin</w:t>
      </w:r>
      <w:proofErr w:type="spellEnd"/>
      <w:r w:rsidRPr="00D46847">
        <w:rPr>
          <w:sz w:val="24"/>
          <w:szCs w:val="24"/>
        </w:rPr>
        <w:t xml:space="preserve"> omfattede 935 personer, som fik lægemidlet i den anbefalede dosis på 5 mg dagligt. På baggrund af de samlede resultater blev følgende bivirkninger rapporteret </w:t>
      </w:r>
      <w:r w:rsidR="009C02D4" w:rsidRPr="00436ECB">
        <w:rPr>
          <w:sz w:val="24"/>
          <w:szCs w:val="24"/>
        </w:rPr>
        <w:t xml:space="preserve">på 1 % eller mere (almindelige: </w:t>
      </w:r>
      <w:r w:rsidR="009C02D4" w:rsidRPr="00436ECB">
        <w:rPr>
          <w:sz w:val="24"/>
          <w:szCs w:val="24"/>
          <w:u w:val="single"/>
        </w:rPr>
        <w:t>&gt; </w:t>
      </w:r>
      <w:r w:rsidR="009C02D4" w:rsidRPr="00436ECB">
        <w:rPr>
          <w:sz w:val="24"/>
          <w:szCs w:val="24"/>
        </w:rPr>
        <w:t xml:space="preserve">1/100 til &lt; 1/10) for </w:t>
      </w:r>
      <w:proofErr w:type="spellStart"/>
      <w:r w:rsidR="009C02D4" w:rsidRPr="00436ECB">
        <w:rPr>
          <w:sz w:val="24"/>
          <w:szCs w:val="24"/>
        </w:rPr>
        <w:t>levocetirizin</w:t>
      </w:r>
      <w:proofErr w:type="spellEnd"/>
      <w:r w:rsidR="009C02D4" w:rsidRPr="00436ECB">
        <w:rPr>
          <w:sz w:val="24"/>
          <w:szCs w:val="24"/>
        </w:rPr>
        <w:t xml:space="preserve"> 5 mg eller placebo:</w:t>
      </w:r>
    </w:p>
    <w:p w:rsidR="00D46847" w:rsidRPr="00D46847" w:rsidRDefault="00D46847" w:rsidP="00D46847">
      <w:pPr>
        <w:ind w:left="851"/>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2551"/>
        <w:gridCol w:w="2977"/>
      </w:tblGrid>
      <w:tr w:rsidR="009C02D4" w:rsidTr="00D46847">
        <w:trPr>
          <w:jc w:val="center"/>
        </w:trPr>
        <w:tc>
          <w:tcPr>
            <w:tcW w:w="2621" w:type="dxa"/>
            <w:tcBorders>
              <w:top w:val="single" w:sz="4" w:space="0" w:color="auto"/>
              <w:left w:val="single" w:sz="4" w:space="0" w:color="auto"/>
              <w:bottom w:val="single" w:sz="4" w:space="0" w:color="auto"/>
              <w:right w:val="single" w:sz="4" w:space="0" w:color="auto"/>
            </w:tcBorders>
            <w:hideMark/>
          </w:tcPr>
          <w:p w:rsidR="009C02D4" w:rsidRDefault="009C02D4" w:rsidP="009C02D4">
            <w:pPr>
              <w:keepNext/>
              <w:jc w:val="center"/>
              <w:rPr>
                <w:b/>
                <w:sz w:val="24"/>
                <w:szCs w:val="24"/>
              </w:rPr>
            </w:pPr>
            <w:r>
              <w:rPr>
                <w:b/>
                <w:sz w:val="24"/>
                <w:szCs w:val="24"/>
              </w:rPr>
              <w:t>Foretrukket term</w:t>
            </w:r>
          </w:p>
          <w:p w:rsidR="009C02D4" w:rsidRDefault="009C02D4" w:rsidP="009C02D4">
            <w:pPr>
              <w:keepNext/>
              <w:jc w:val="center"/>
              <w:rPr>
                <w:sz w:val="24"/>
                <w:szCs w:val="24"/>
              </w:rPr>
            </w:pPr>
            <w:r>
              <w:rPr>
                <w:b/>
                <w:sz w:val="24"/>
                <w:szCs w:val="24"/>
              </w:rPr>
              <w:t>(WHOART)</w:t>
            </w:r>
          </w:p>
        </w:tc>
        <w:tc>
          <w:tcPr>
            <w:tcW w:w="2551" w:type="dxa"/>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jc w:val="center"/>
              <w:rPr>
                <w:b/>
                <w:sz w:val="24"/>
                <w:szCs w:val="24"/>
              </w:rPr>
            </w:pPr>
            <w:r w:rsidRPr="00436ECB">
              <w:rPr>
                <w:b/>
                <w:sz w:val="24"/>
                <w:szCs w:val="24"/>
              </w:rPr>
              <w:t>Placebo</w:t>
            </w:r>
          </w:p>
          <w:p w:rsidR="009C02D4" w:rsidRPr="00436ECB" w:rsidRDefault="009C02D4" w:rsidP="009C02D4">
            <w:pPr>
              <w:jc w:val="center"/>
              <w:rPr>
                <w:sz w:val="24"/>
                <w:szCs w:val="24"/>
              </w:rPr>
            </w:pPr>
            <w:r w:rsidRPr="00436ECB">
              <w:rPr>
                <w:b/>
                <w:sz w:val="24"/>
                <w:szCs w:val="24"/>
              </w:rPr>
              <w:t>(n = 771)</w:t>
            </w:r>
          </w:p>
        </w:tc>
        <w:tc>
          <w:tcPr>
            <w:tcW w:w="2977" w:type="dxa"/>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jc w:val="center"/>
              <w:rPr>
                <w:b/>
                <w:sz w:val="24"/>
                <w:szCs w:val="24"/>
              </w:rPr>
            </w:pPr>
            <w:proofErr w:type="spellStart"/>
            <w:r w:rsidRPr="00436ECB">
              <w:rPr>
                <w:b/>
                <w:sz w:val="24"/>
                <w:szCs w:val="24"/>
              </w:rPr>
              <w:t>Levocetirizin</w:t>
            </w:r>
            <w:proofErr w:type="spellEnd"/>
            <w:r w:rsidRPr="00436ECB">
              <w:rPr>
                <w:b/>
                <w:sz w:val="24"/>
                <w:szCs w:val="24"/>
              </w:rPr>
              <w:t xml:space="preserve"> 5</w:t>
            </w:r>
            <w:r w:rsidRPr="00436ECB">
              <w:rPr>
                <w:sz w:val="24"/>
                <w:szCs w:val="24"/>
              </w:rPr>
              <w:t> </w:t>
            </w:r>
            <w:r w:rsidRPr="00436ECB">
              <w:rPr>
                <w:b/>
                <w:sz w:val="24"/>
                <w:szCs w:val="24"/>
              </w:rPr>
              <w:t>mg</w:t>
            </w:r>
          </w:p>
          <w:p w:rsidR="009C02D4" w:rsidRPr="00436ECB" w:rsidRDefault="009C02D4" w:rsidP="009C02D4">
            <w:pPr>
              <w:jc w:val="center"/>
              <w:rPr>
                <w:sz w:val="24"/>
                <w:szCs w:val="24"/>
              </w:rPr>
            </w:pPr>
            <w:r w:rsidRPr="00436ECB">
              <w:rPr>
                <w:b/>
                <w:sz w:val="24"/>
                <w:szCs w:val="24"/>
              </w:rPr>
              <w:t>(n = 935)</w:t>
            </w:r>
          </w:p>
        </w:tc>
      </w:tr>
      <w:tr w:rsidR="00D46847" w:rsidTr="00D46847">
        <w:trPr>
          <w:jc w:val="center"/>
        </w:trPr>
        <w:tc>
          <w:tcPr>
            <w:tcW w:w="2621" w:type="dxa"/>
            <w:tcBorders>
              <w:top w:val="single" w:sz="4" w:space="0" w:color="auto"/>
              <w:left w:val="single" w:sz="4" w:space="0" w:color="auto"/>
              <w:bottom w:val="single" w:sz="4" w:space="0" w:color="auto"/>
              <w:right w:val="single" w:sz="4" w:space="0" w:color="auto"/>
            </w:tcBorders>
            <w:hideMark/>
          </w:tcPr>
          <w:p w:rsidR="00D46847" w:rsidRDefault="00D46847" w:rsidP="009C62E0">
            <w:pPr>
              <w:keepNext/>
              <w:jc w:val="center"/>
              <w:rPr>
                <w:sz w:val="24"/>
                <w:szCs w:val="24"/>
              </w:rPr>
            </w:pPr>
            <w:r>
              <w:rPr>
                <w:sz w:val="24"/>
                <w:szCs w:val="24"/>
              </w:rPr>
              <w:t>Hovedpine</w:t>
            </w:r>
          </w:p>
        </w:tc>
        <w:tc>
          <w:tcPr>
            <w:tcW w:w="2551"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25 (3,2 %)</w:t>
            </w:r>
          </w:p>
        </w:tc>
        <w:tc>
          <w:tcPr>
            <w:tcW w:w="2977"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24(2,6 %)</w:t>
            </w:r>
          </w:p>
        </w:tc>
      </w:tr>
      <w:tr w:rsidR="00D46847" w:rsidTr="00D46847">
        <w:trPr>
          <w:jc w:val="center"/>
        </w:trPr>
        <w:tc>
          <w:tcPr>
            <w:tcW w:w="2621" w:type="dxa"/>
            <w:tcBorders>
              <w:top w:val="single" w:sz="4" w:space="0" w:color="auto"/>
              <w:left w:val="single" w:sz="4" w:space="0" w:color="auto"/>
              <w:bottom w:val="single" w:sz="4" w:space="0" w:color="auto"/>
              <w:right w:val="single" w:sz="4" w:space="0" w:color="auto"/>
            </w:tcBorders>
            <w:hideMark/>
          </w:tcPr>
          <w:p w:rsidR="00D46847" w:rsidRDefault="00D46847" w:rsidP="009C62E0">
            <w:pPr>
              <w:keepNext/>
              <w:jc w:val="center"/>
              <w:rPr>
                <w:sz w:val="24"/>
                <w:szCs w:val="24"/>
              </w:rPr>
            </w:pPr>
            <w:proofErr w:type="spellStart"/>
            <w:r>
              <w:rPr>
                <w:sz w:val="24"/>
                <w:szCs w:val="24"/>
              </w:rPr>
              <w:t>Somnolens</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11 (1,4 %)</w:t>
            </w:r>
          </w:p>
        </w:tc>
        <w:tc>
          <w:tcPr>
            <w:tcW w:w="2977"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49 (5,2 %)</w:t>
            </w:r>
          </w:p>
        </w:tc>
      </w:tr>
      <w:tr w:rsidR="00D46847" w:rsidTr="00D46847">
        <w:trPr>
          <w:jc w:val="center"/>
        </w:trPr>
        <w:tc>
          <w:tcPr>
            <w:tcW w:w="2621"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Mundtørhed</w:t>
            </w:r>
          </w:p>
        </w:tc>
        <w:tc>
          <w:tcPr>
            <w:tcW w:w="2551"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12 (1,6 %)</w:t>
            </w:r>
          </w:p>
        </w:tc>
        <w:tc>
          <w:tcPr>
            <w:tcW w:w="2977"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24(2,6 %)</w:t>
            </w:r>
          </w:p>
        </w:tc>
      </w:tr>
      <w:tr w:rsidR="00D46847" w:rsidTr="00D46847">
        <w:trPr>
          <w:jc w:val="center"/>
        </w:trPr>
        <w:tc>
          <w:tcPr>
            <w:tcW w:w="2621"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Træthed</w:t>
            </w:r>
          </w:p>
        </w:tc>
        <w:tc>
          <w:tcPr>
            <w:tcW w:w="2551"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9 (1,2 %)</w:t>
            </w:r>
          </w:p>
        </w:tc>
        <w:tc>
          <w:tcPr>
            <w:tcW w:w="2977" w:type="dxa"/>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23 (2,5 %)</w:t>
            </w:r>
          </w:p>
        </w:tc>
      </w:tr>
    </w:tbl>
    <w:p w:rsidR="00D46847" w:rsidRPr="00D46847" w:rsidRDefault="00D46847" w:rsidP="00D46847">
      <w:pPr>
        <w:ind w:left="851"/>
        <w:rPr>
          <w:sz w:val="24"/>
          <w:szCs w:val="24"/>
        </w:rPr>
      </w:pPr>
    </w:p>
    <w:p w:rsidR="00D46847" w:rsidRDefault="00D46847" w:rsidP="00D46847">
      <w:pPr>
        <w:pStyle w:val="Sidehoved"/>
        <w:tabs>
          <w:tab w:val="left" w:pos="851"/>
        </w:tabs>
        <w:ind w:left="851"/>
        <w:rPr>
          <w:szCs w:val="24"/>
          <w:lang w:val="sl-SI"/>
        </w:rPr>
      </w:pPr>
      <w:r>
        <w:rPr>
          <w:szCs w:val="24"/>
          <w:lang w:val="sl-SI"/>
        </w:rPr>
        <w:tab/>
        <w:t xml:space="preserve">Der blev observeret yderligere bivirkninger med hyppigheden ikke almindelig (ikke almindelig </w:t>
      </w:r>
      <w:r w:rsidR="009C02D4" w:rsidRPr="00436ECB">
        <w:rPr>
          <w:szCs w:val="24"/>
          <w:u w:val="single"/>
          <w:lang w:val="sl-SI"/>
        </w:rPr>
        <w:t>&gt; </w:t>
      </w:r>
      <w:r w:rsidR="009C02D4" w:rsidRPr="00436ECB">
        <w:rPr>
          <w:szCs w:val="24"/>
          <w:lang w:val="sl-SI"/>
        </w:rPr>
        <w:t xml:space="preserve">1/1.000 til &lt; 1/100), </w:t>
      </w:r>
      <w:r>
        <w:rPr>
          <w:szCs w:val="24"/>
          <w:lang w:val="sl-SI"/>
        </w:rPr>
        <w:t>såsom asteni eller abdominale smerter.</w:t>
      </w:r>
    </w:p>
    <w:p w:rsidR="00D46847" w:rsidRDefault="00D46847" w:rsidP="00D46847">
      <w:pPr>
        <w:pStyle w:val="Sidehoved"/>
        <w:tabs>
          <w:tab w:val="left" w:pos="851"/>
        </w:tabs>
        <w:ind w:left="851"/>
        <w:rPr>
          <w:szCs w:val="24"/>
          <w:lang w:val="sl-SI"/>
        </w:rPr>
      </w:pPr>
      <w:r>
        <w:rPr>
          <w:szCs w:val="24"/>
          <w:lang w:val="sl-SI"/>
        </w:rPr>
        <w:t>Incidensen af sederende bivirkninger såsom somnolens, træthed og asteni var dog hyppigere (8,1</w:t>
      </w:r>
      <w:r>
        <w:rPr>
          <w:szCs w:val="24"/>
        </w:rPr>
        <w:t> </w:t>
      </w:r>
      <w:r>
        <w:rPr>
          <w:szCs w:val="24"/>
          <w:lang w:val="sl-SI"/>
        </w:rPr>
        <w:t>%) ved levocetirizin 5</w:t>
      </w:r>
      <w:r>
        <w:rPr>
          <w:szCs w:val="24"/>
        </w:rPr>
        <w:t> </w:t>
      </w:r>
      <w:r>
        <w:rPr>
          <w:szCs w:val="24"/>
          <w:lang w:val="sl-SI"/>
        </w:rPr>
        <w:t>mg end ved placebo (3,1</w:t>
      </w:r>
      <w:r>
        <w:rPr>
          <w:szCs w:val="24"/>
        </w:rPr>
        <w:t> </w:t>
      </w:r>
      <w:r>
        <w:rPr>
          <w:szCs w:val="24"/>
          <w:lang w:val="sl-SI"/>
        </w:rPr>
        <w:t>%).</w:t>
      </w:r>
    </w:p>
    <w:p w:rsidR="00D46847" w:rsidRDefault="00D46847" w:rsidP="00D46847">
      <w:pPr>
        <w:pStyle w:val="Sidehoved"/>
        <w:tabs>
          <w:tab w:val="left" w:pos="851"/>
        </w:tabs>
        <w:ind w:left="851"/>
        <w:rPr>
          <w:szCs w:val="24"/>
          <w:lang w:val="sl-SI"/>
        </w:rPr>
      </w:pPr>
    </w:p>
    <w:p w:rsidR="00D46847" w:rsidRPr="00D46847" w:rsidRDefault="00D46847" w:rsidP="00D46847">
      <w:pPr>
        <w:ind w:left="851"/>
        <w:rPr>
          <w:i/>
          <w:sz w:val="24"/>
          <w:szCs w:val="24"/>
          <w:lang w:val="sl-SI"/>
        </w:rPr>
      </w:pPr>
      <w:r w:rsidRPr="00D46847">
        <w:rPr>
          <w:i/>
          <w:sz w:val="24"/>
          <w:szCs w:val="24"/>
          <w:lang w:val="sl-SI"/>
        </w:rPr>
        <w:t>Pædiatrisk population</w:t>
      </w:r>
    </w:p>
    <w:p w:rsidR="00D46847" w:rsidRPr="00D46847" w:rsidRDefault="00D46847" w:rsidP="00D46847">
      <w:pPr>
        <w:ind w:left="851"/>
        <w:rPr>
          <w:sz w:val="24"/>
          <w:szCs w:val="24"/>
        </w:rPr>
      </w:pPr>
      <w:r w:rsidRPr="00D46847">
        <w:rPr>
          <w:sz w:val="24"/>
          <w:szCs w:val="24"/>
          <w:lang w:val="sl-SI"/>
        </w:rPr>
        <w:t>I to placebokontrollerede studier med pædiatriske patienter i alderen 6-11</w:t>
      </w:r>
      <w:r w:rsidRPr="00D46847">
        <w:rPr>
          <w:sz w:val="24"/>
          <w:szCs w:val="24"/>
        </w:rPr>
        <w:t> </w:t>
      </w:r>
      <w:r w:rsidRPr="00D46847">
        <w:rPr>
          <w:sz w:val="24"/>
          <w:szCs w:val="24"/>
          <w:lang w:val="sl-SI"/>
        </w:rPr>
        <w:t>måneder og i alderen 1</w:t>
      </w:r>
      <w:r w:rsidRPr="00D46847">
        <w:rPr>
          <w:sz w:val="24"/>
          <w:szCs w:val="24"/>
        </w:rPr>
        <w:t> </w:t>
      </w:r>
      <w:r w:rsidRPr="00D46847">
        <w:rPr>
          <w:sz w:val="24"/>
          <w:szCs w:val="24"/>
          <w:lang w:val="sl-SI"/>
        </w:rPr>
        <w:t>år til under 6</w:t>
      </w:r>
      <w:r w:rsidRPr="00D46847">
        <w:rPr>
          <w:sz w:val="24"/>
          <w:szCs w:val="24"/>
        </w:rPr>
        <w:t> </w:t>
      </w:r>
      <w:r w:rsidRPr="00D46847">
        <w:rPr>
          <w:sz w:val="24"/>
          <w:szCs w:val="24"/>
          <w:lang w:val="sl-SI"/>
        </w:rPr>
        <w:t>år fik 159</w:t>
      </w:r>
      <w:r w:rsidRPr="00D46847">
        <w:rPr>
          <w:sz w:val="24"/>
          <w:szCs w:val="24"/>
        </w:rPr>
        <w:t> </w:t>
      </w:r>
      <w:r w:rsidRPr="00D46847">
        <w:rPr>
          <w:sz w:val="24"/>
          <w:szCs w:val="24"/>
          <w:lang w:val="sl-SI"/>
        </w:rPr>
        <w:t>forsøgspersoner levocetirizin i en dosis på henholdsvis 1,25</w:t>
      </w:r>
      <w:r w:rsidRPr="00D46847">
        <w:rPr>
          <w:sz w:val="24"/>
          <w:szCs w:val="24"/>
        </w:rPr>
        <w:t> </w:t>
      </w:r>
      <w:r w:rsidRPr="00D46847">
        <w:rPr>
          <w:sz w:val="24"/>
          <w:szCs w:val="24"/>
          <w:lang w:val="sl-SI"/>
        </w:rPr>
        <w:t>mg daglig i 2</w:t>
      </w:r>
      <w:r w:rsidRPr="00D46847">
        <w:rPr>
          <w:sz w:val="24"/>
          <w:szCs w:val="24"/>
        </w:rPr>
        <w:t> </w:t>
      </w:r>
      <w:r w:rsidRPr="00D46847">
        <w:rPr>
          <w:sz w:val="24"/>
          <w:szCs w:val="24"/>
          <w:lang w:val="sl-SI"/>
        </w:rPr>
        <w:t>uger og 1,25</w:t>
      </w:r>
      <w:r w:rsidRPr="00D46847">
        <w:rPr>
          <w:sz w:val="24"/>
          <w:szCs w:val="24"/>
        </w:rPr>
        <w:t> </w:t>
      </w:r>
      <w:r w:rsidRPr="00D46847">
        <w:rPr>
          <w:sz w:val="24"/>
          <w:szCs w:val="24"/>
          <w:lang w:val="sl-SI"/>
        </w:rPr>
        <w:t xml:space="preserve">mg to gange daglig. </w:t>
      </w:r>
      <w:r w:rsidRPr="00D46847">
        <w:rPr>
          <w:sz w:val="24"/>
          <w:szCs w:val="24"/>
        </w:rPr>
        <w:t xml:space="preserve">Følgende bivirkninger blev rapporteret med en hyppighed på 1 % eller derover ved </w:t>
      </w:r>
      <w:proofErr w:type="spellStart"/>
      <w:r w:rsidRPr="00D46847">
        <w:rPr>
          <w:sz w:val="24"/>
          <w:szCs w:val="24"/>
        </w:rPr>
        <w:t>levocetirizin</w:t>
      </w:r>
      <w:proofErr w:type="spellEnd"/>
      <w:r w:rsidRPr="00D46847">
        <w:rPr>
          <w:sz w:val="24"/>
          <w:szCs w:val="24"/>
        </w:rPr>
        <w:t xml:space="preserve"> eller placebo.</w:t>
      </w:r>
    </w:p>
    <w:p w:rsidR="00D46847" w:rsidRDefault="00D46847" w:rsidP="00D46847">
      <w:pPr>
        <w:pStyle w:val="Sidehoved"/>
        <w:tabs>
          <w:tab w:val="left" w:pos="851"/>
        </w:tabs>
        <w:ind w:left="851"/>
        <w:rPr>
          <w:szCs w:val="24"/>
          <w:lang w:val="sl-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1866"/>
        <w:gridCol w:w="2533"/>
      </w:tblGrid>
      <w:tr w:rsidR="009C02D4"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9C02D4" w:rsidRDefault="009C02D4" w:rsidP="009C02D4">
            <w:pPr>
              <w:rPr>
                <w:b/>
                <w:bCs/>
                <w:sz w:val="24"/>
                <w:szCs w:val="24"/>
              </w:rPr>
            </w:pPr>
            <w:r>
              <w:rPr>
                <w:b/>
                <w:bCs/>
                <w:sz w:val="24"/>
                <w:szCs w:val="24"/>
              </w:rPr>
              <w:t>Systemorganklasse og foretrukken term</w:t>
            </w:r>
          </w:p>
        </w:tc>
        <w:tc>
          <w:tcPr>
            <w:tcW w:w="0" w:type="auto"/>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jc w:val="center"/>
              <w:rPr>
                <w:b/>
                <w:bCs/>
                <w:sz w:val="24"/>
                <w:szCs w:val="24"/>
              </w:rPr>
            </w:pPr>
            <w:r w:rsidRPr="00436ECB">
              <w:rPr>
                <w:b/>
                <w:bCs/>
                <w:sz w:val="24"/>
                <w:szCs w:val="24"/>
              </w:rPr>
              <w:t>Placebo (n = 83)</w:t>
            </w:r>
          </w:p>
        </w:tc>
        <w:tc>
          <w:tcPr>
            <w:tcW w:w="0" w:type="auto"/>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jc w:val="center"/>
              <w:rPr>
                <w:b/>
                <w:bCs/>
                <w:sz w:val="24"/>
                <w:szCs w:val="24"/>
              </w:rPr>
            </w:pPr>
            <w:proofErr w:type="spellStart"/>
            <w:r w:rsidRPr="00436ECB">
              <w:rPr>
                <w:b/>
                <w:bCs/>
                <w:sz w:val="24"/>
                <w:szCs w:val="24"/>
              </w:rPr>
              <w:t>Levocetirizin</w:t>
            </w:r>
            <w:proofErr w:type="spellEnd"/>
            <w:r w:rsidRPr="00436ECB">
              <w:rPr>
                <w:b/>
                <w:bCs/>
                <w:sz w:val="24"/>
                <w:szCs w:val="24"/>
              </w:rPr>
              <w:t xml:space="preserve"> (n = 159)</w:t>
            </w: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b/>
                <w:bCs/>
                <w:sz w:val="24"/>
                <w:szCs w:val="24"/>
              </w:rPr>
            </w:pPr>
            <w:r>
              <w:rPr>
                <w:b/>
                <w:bCs/>
                <w:sz w:val="24"/>
                <w:szCs w:val="24"/>
              </w:rPr>
              <w:t>Mave-tarm-kanalen</w:t>
            </w:r>
          </w:p>
        </w:tc>
        <w:tc>
          <w:tcPr>
            <w:tcW w:w="0" w:type="auto"/>
            <w:tcBorders>
              <w:top w:val="single" w:sz="4" w:space="0" w:color="auto"/>
              <w:left w:val="single" w:sz="4" w:space="0" w:color="auto"/>
              <w:bottom w:val="single" w:sz="4" w:space="0" w:color="auto"/>
              <w:right w:val="single" w:sz="4" w:space="0" w:color="auto"/>
            </w:tcBorders>
          </w:tcPr>
          <w:p w:rsidR="00D46847" w:rsidRDefault="00D46847">
            <w:pPr>
              <w:jc w:val="center"/>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D46847" w:rsidRDefault="00D46847">
            <w:pPr>
              <w:jc w:val="center"/>
              <w:rPr>
                <w:b/>
                <w:bCs/>
                <w:sz w:val="24"/>
                <w:szCs w:val="24"/>
              </w:rPr>
            </w:pP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sz w:val="24"/>
                <w:szCs w:val="24"/>
              </w:rPr>
            </w:pPr>
            <w:r>
              <w:rPr>
                <w:sz w:val="24"/>
                <w:szCs w:val="24"/>
              </w:rPr>
              <w:t>Diarré</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3</w:t>
            </w:r>
            <w:r w:rsidR="009C02D4">
              <w:rPr>
                <w:sz w:val="24"/>
                <w:szCs w:val="24"/>
              </w:rPr>
              <w:t xml:space="preserve"> </w:t>
            </w:r>
            <w:r>
              <w:rPr>
                <w:sz w:val="24"/>
                <w:szCs w:val="24"/>
              </w:rPr>
              <w:t>(1,9 %)</w:t>
            </w:r>
          </w:p>
        </w:tc>
      </w:tr>
      <w:tr w:rsidR="009C02D4"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9C02D4" w:rsidRDefault="009C02D4" w:rsidP="009C02D4">
            <w:pPr>
              <w:rPr>
                <w:sz w:val="24"/>
                <w:szCs w:val="24"/>
              </w:rPr>
            </w:pPr>
            <w:r>
              <w:rPr>
                <w:sz w:val="24"/>
                <w:szCs w:val="24"/>
              </w:rPr>
              <w:t>Opkastning</w:t>
            </w:r>
          </w:p>
        </w:tc>
        <w:tc>
          <w:tcPr>
            <w:tcW w:w="0" w:type="auto"/>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jc w:val="center"/>
              <w:rPr>
                <w:sz w:val="24"/>
                <w:szCs w:val="24"/>
              </w:rPr>
            </w:pPr>
            <w:r w:rsidRPr="00436ECB">
              <w:rPr>
                <w:sz w:val="24"/>
                <w:szCs w:val="24"/>
              </w:rPr>
              <w:t>1 (1,2 %)</w:t>
            </w:r>
          </w:p>
        </w:tc>
        <w:tc>
          <w:tcPr>
            <w:tcW w:w="0" w:type="auto"/>
            <w:tcBorders>
              <w:top w:val="single" w:sz="4" w:space="0" w:color="auto"/>
              <w:left w:val="single" w:sz="4" w:space="0" w:color="auto"/>
              <w:bottom w:val="single" w:sz="4" w:space="0" w:color="auto"/>
              <w:right w:val="single" w:sz="4" w:space="0" w:color="auto"/>
            </w:tcBorders>
            <w:hideMark/>
          </w:tcPr>
          <w:p w:rsidR="009C02D4" w:rsidRDefault="009C02D4" w:rsidP="009C02D4">
            <w:pPr>
              <w:jc w:val="center"/>
              <w:rPr>
                <w:sz w:val="24"/>
                <w:szCs w:val="24"/>
              </w:rPr>
            </w:pPr>
            <w:r>
              <w:rPr>
                <w:sz w:val="24"/>
                <w:szCs w:val="24"/>
              </w:rPr>
              <w:t>1 (0,6 %)</w:t>
            </w: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sz w:val="24"/>
                <w:szCs w:val="24"/>
              </w:rPr>
            </w:pPr>
            <w:r>
              <w:rPr>
                <w:sz w:val="24"/>
                <w:szCs w:val="24"/>
              </w:rPr>
              <w:t>Forstoppelse</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w:t>
            </w:r>
            <w:r w:rsidR="009C02D4">
              <w:rPr>
                <w:sz w:val="24"/>
                <w:szCs w:val="24"/>
              </w:rPr>
              <w:t xml:space="preserve"> </w:t>
            </w:r>
            <w:r>
              <w:rPr>
                <w:sz w:val="24"/>
                <w:szCs w:val="24"/>
              </w:rPr>
              <w:t>(1,3 %)</w:t>
            </w: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b/>
                <w:bCs/>
                <w:sz w:val="24"/>
                <w:szCs w:val="24"/>
              </w:rPr>
            </w:pPr>
            <w:r>
              <w:rPr>
                <w:b/>
                <w:bCs/>
                <w:sz w:val="24"/>
                <w:szCs w:val="24"/>
              </w:rPr>
              <w:t>Nervesystemet</w:t>
            </w:r>
          </w:p>
        </w:tc>
        <w:tc>
          <w:tcPr>
            <w:tcW w:w="0" w:type="auto"/>
            <w:tcBorders>
              <w:top w:val="single" w:sz="4" w:space="0" w:color="auto"/>
              <w:left w:val="single" w:sz="4" w:space="0" w:color="auto"/>
              <w:bottom w:val="single" w:sz="4" w:space="0" w:color="auto"/>
              <w:right w:val="single" w:sz="4" w:space="0" w:color="auto"/>
            </w:tcBorders>
          </w:tcPr>
          <w:p w:rsidR="00D46847" w:rsidRDefault="00D46847">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D46847" w:rsidRDefault="00D46847">
            <w:pPr>
              <w:jc w:val="center"/>
              <w:rPr>
                <w:sz w:val="24"/>
                <w:szCs w:val="24"/>
              </w:rPr>
            </w:pP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sz w:val="24"/>
                <w:szCs w:val="24"/>
              </w:rPr>
            </w:pPr>
            <w:r>
              <w:rPr>
                <w:sz w:val="24"/>
                <w:szCs w:val="24"/>
              </w:rPr>
              <w:t>Døsighed</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w:t>
            </w:r>
            <w:r w:rsidR="009C02D4">
              <w:rPr>
                <w:sz w:val="24"/>
                <w:szCs w:val="24"/>
              </w:rPr>
              <w:t xml:space="preserve"> </w:t>
            </w:r>
            <w:r>
              <w:rPr>
                <w:sz w:val="24"/>
                <w:szCs w:val="24"/>
              </w:rPr>
              <w:t>(2,4 %)</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3</w:t>
            </w:r>
            <w:r w:rsidR="009C02D4">
              <w:rPr>
                <w:sz w:val="24"/>
                <w:szCs w:val="24"/>
              </w:rPr>
              <w:t xml:space="preserve"> </w:t>
            </w:r>
            <w:r>
              <w:rPr>
                <w:sz w:val="24"/>
                <w:szCs w:val="24"/>
              </w:rPr>
              <w:t>(1,9 %)</w:t>
            </w: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b/>
                <w:bCs/>
                <w:sz w:val="24"/>
                <w:szCs w:val="24"/>
              </w:rPr>
            </w:pPr>
            <w:r>
              <w:rPr>
                <w:b/>
                <w:bCs/>
                <w:sz w:val="24"/>
                <w:szCs w:val="24"/>
              </w:rPr>
              <w:t>Psykiske forstyrrelser</w:t>
            </w:r>
          </w:p>
        </w:tc>
        <w:tc>
          <w:tcPr>
            <w:tcW w:w="0" w:type="auto"/>
            <w:tcBorders>
              <w:top w:val="single" w:sz="4" w:space="0" w:color="auto"/>
              <w:left w:val="single" w:sz="4" w:space="0" w:color="auto"/>
              <w:bottom w:val="single" w:sz="4" w:space="0" w:color="auto"/>
              <w:right w:val="single" w:sz="4" w:space="0" w:color="auto"/>
            </w:tcBorders>
          </w:tcPr>
          <w:p w:rsidR="00D46847" w:rsidRDefault="00D46847">
            <w:pPr>
              <w:jc w:val="center"/>
              <w:rPr>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D46847" w:rsidRDefault="00D46847">
            <w:pPr>
              <w:jc w:val="center"/>
              <w:rPr>
                <w:b/>
                <w:bCs/>
                <w:sz w:val="24"/>
                <w:szCs w:val="24"/>
              </w:rPr>
            </w:pPr>
          </w:p>
        </w:tc>
      </w:tr>
      <w:tr w:rsidR="00D46847" w:rsidTr="00D46847">
        <w:trPr>
          <w:trHeight w:val="270"/>
        </w:trPr>
        <w:tc>
          <w:tcPr>
            <w:tcW w:w="3631" w:type="dxa"/>
            <w:tcBorders>
              <w:top w:val="single" w:sz="4" w:space="0" w:color="auto"/>
              <w:left w:val="single" w:sz="4" w:space="0" w:color="auto"/>
              <w:bottom w:val="single" w:sz="4" w:space="0" w:color="auto"/>
              <w:right w:val="single" w:sz="4" w:space="0" w:color="auto"/>
            </w:tcBorders>
            <w:hideMark/>
          </w:tcPr>
          <w:p w:rsidR="00D46847" w:rsidRDefault="00D46847">
            <w:pPr>
              <w:rPr>
                <w:sz w:val="24"/>
                <w:szCs w:val="24"/>
              </w:rPr>
            </w:pPr>
            <w:r>
              <w:rPr>
                <w:sz w:val="24"/>
                <w:szCs w:val="24"/>
              </w:rPr>
              <w:t>Søvnforstyrrelser</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w:t>
            </w:r>
            <w:r w:rsidR="009C02D4">
              <w:rPr>
                <w:sz w:val="24"/>
                <w:szCs w:val="24"/>
              </w:rPr>
              <w:t xml:space="preserve"> </w:t>
            </w:r>
            <w:r>
              <w:rPr>
                <w:sz w:val="24"/>
                <w:szCs w:val="24"/>
              </w:rPr>
              <w:t>(1,3 %)</w:t>
            </w:r>
          </w:p>
        </w:tc>
      </w:tr>
    </w:tbl>
    <w:p w:rsidR="00D46847" w:rsidRDefault="00D46847" w:rsidP="00D46847">
      <w:pPr>
        <w:pStyle w:val="Sidehoved"/>
        <w:tabs>
          <w:tab w:val="left" w:pos="851"/>
        </w:tabs>
        <w:ind w:left="851"/>
        <w:rPr>
          <w:szCs w:val="24"/>
          <w:lang w:val="sl-SI"/>
        </w:rPr>
      </w:pPr>
    </w:p>
    <w:p w:rsidR="00D46847" w:rsidRDefault="00D46847" w:rsidP="00D46847">
      <w:pPr>
        <w:pStyle w:val="Default"/>
        <w:ind w:left="851"/>
        <w:rPr>
          <w:lang w:val="da-DK"/>
        </w:rPr>
      </w:pPr>
      <w:r>
        <w:rPr>
          <w:lang w:val="da-DK"/>
        </w:rPr>
        <w:t xml:space="preserve">Hos børn i alderen 6-12 år blev der udført dobbeltblinde, placebokontrollerede studier, hvor 243 børn fik 5 mg </w:t>
      </w:r>
      <w:proofErr w:type="spellStart"/>
      <w:r>
        <w:rPr>
          <w:lang w:val="da-DK"/>
        </w:rPr>
        <w:t>levocetirizin</w:t>
      </w:r>
      <w:proofErr w:type="spellEnd"/>
      <w:r>
        <w:rPr>
          <w:lang w:val="da-DK"/>
        </w:rPr>
        <w:t xml:space="preserve"> daglig i perioder af varierende varighed fra under 1 uge til 13 uger. Følgende bivirkninger blev rapporteret med en hyppighed på 1 % eller derover ved </w:t>
      </w:r>
      <w:proofErr w:type="spellStart"/>
      <w:r>
        <w:rPr>
          <w:lang w:val="da-DK"/>
        </w:rPr>
        <w:t>levocetirizin</w:t>
      </w:r>
      <w:proofErr w:type="spellEnd"/>
      <w:r>
        <w:rPr>
          <w:lang w:val="da-DK"/>
        </w:rPr>
        <w:t xml:space="preserve"> eller placebo.  </w:t>
      </w:r>
    </w:p>
    <w:p w:rsidR="00D46847" w:rsidRDefault="00D46847" w:rsidP="00D46847">
      <w:pPr>
        <w:pStyle w:val="Default"/>
        <w:ind w:left="851"/>
        <w:rPr>
          <w:lang w:val="da-D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1986"/>
        <w:gridCol w:w="3093"/>
      </w:tblGrid>
      <w:tr w:rsidR="009C02D4" w:rsidTr="00D46847">
        <w:trPr>
          <w:jc w:val="center"/>
        </w:trPr>
        <w:tc>
          <w:tcPr>
            <w:tcW w:w="0" w:type="auto"/>
            <w:tcBorders>
              <w:top w:val="single" w:sz="4" w:space="0" w:color="auto"/>
              <w:left w:val="single" w:sz="4" w:space="0" w:color="auto"/>
              <w:bottom w:val="single" w:sz="4" w:space="0" w:color="auto"/>
              <w:right w:val="single" w:sz="4" w:space="0" w:color="auto"/>
            </w:tcBorders>
            <w:hideMark/>
          </w:tcPr>
          <w:p w:rsidR="009C02D4" w:rsidRDefault="009C02D4" w:rsidP="009C02D4">
            <w:pPr>
              <w:rPr>
                <w:b/>
                <w:bCs/>
                <w:sz w:val="24"/>
                <w:szCs w:val="24"/>
              </w:rPr>
            </w:pPr>
            <w:r>
              <w:rPr>
                <w:b/>
                <w:bCs/>
                <w:sz w:val="24"/>
                <w:szCs w:val="24"/>
              </w:rPr>
              <w:t>Foretrukken term</w:t>
            </w:r>
          </w:p>
        </w:tc>
        <w:tc>
          <w:tcPr>
            <w:tcW w:w="0" w:type="auto"/>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rPr>
                <w:b/>
                <w:bCs/>
                <w:sz w:val="24"/>
                <w:szCs w:val="24"/>
              </w:rPr>
            </w:pPr>
            <w:r w:rsidRPr="00436ECB">
              <w:rPr>
                <w:b/>
                <w:bCs/>
                <w:sz w:val="24"/>
                <w:szCs w:val="24"/>
              </w:rPr>
              <w:t>Placebo (n = 240)</w:t>
            </w:r>
          </w:p>
        </w:tc>
        <w:tc>
          <w:tcPr>
            <w:tcW w:w="0" w:type="auto"/>
            <w:tcBorders>
              <w:top w:val="single" w:sz="4" w:space="0" w:color="auto"/>
              <w:left w:val="single" w:sz="4" w:space="0" w:color="auto"/>
              <w:bottom w:val="single" w:sz="4" w:space="0" w:color="auto"/>
              <w:right w:val="single" w:sz="4" w:space="0" w:color="auto"/>
            </w:tcBorders>
            <w:hideMark/>
          </w:tcPr>
          <w:p w:rsidR="009C02D4" w:rsidRPr="00436ECB" w:rsidRDefault="009C02D4" w:rsidP="009C02D4">
            <w:pPr>
              <w:rPr>
                <w:b/>
                <w:bCs/>
                <w:sz w:val="24"/>
                <w:szCs w:val="24"/>
              </w:rPr>
            </w:pPr>
            <w:proofErr w:type="spellStart"/>
            <w:r w:rsidRPr="00436ECB">
              <w:rPr>
                <w:b/>
                <w:bCs/>
                <w:sz w:val="24"/>
                <w:szCs w:val="24"/>
              </w:rPr>
              <w:t>Levocetirizin</w:t>
            </w:r>
            <w:proofErr w:type="spellEnd"/>
            <w:r w:rsidRPr="00436ECB">
              <w:rPr>
                <w:b/>
                <w:bCs/>
                <w:sz w:val="24"/>
                <w:szCs w:val="24"/>
              </w:rPr>
              <w:t xml:space="preserve"> 5</w:t>
            </w:r>
            <w:r w:rsidRPr="00436ECB">
              <w:rPr>
                <w:sz w:val="24"/>
                <w:szCs w:val="24"/>
              </w:rPr>
              <w:t> </w:t>
            </w:r>
            <w:r w:rsidRPr="00436ECB">
              <w:rPr>
                <w:b/>
                <w:bCs/>
                <w:sz w:val="24"/>
                <w:szCs w:val="24"/>
              </w:rPr>
              <w:t>mg (n = 243)</w:t>
            </w:r>
          </w:p>
        </w:tc>
      </w:tr>
      <w:tr w:rsidR="00D46847" w:rsidTr="00D46847">
        <w:trPr>
          <w:jc w:val="center"/>
        </w:trPr>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rPr>
                <w:sz w:val="24"/>
                <w:szCs w:val="24"/>
              </w:rPr>
            </w:pPr>
            <w:r>
              <w:rPr>
                <w:sz w:val="24"/>
                <w:szCs w:val="24"/>
              </w:rPr>
              <w:t>Hovedpine</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5 (2,1 %)</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2 (0,8 %)</w:t>
            </w:r>
          </w:p>
        </w:tc>
      </w:tr>
      <w:tr w:rsidR="00D46847" w:rsidTr="00D46847">
        <w:trPr>
          <w:jc w:val="center"/>
        </w:trPr>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rPr>
                <w:sz w:val="24"/>
                <w:szCs w:val="24"/>
              </w:rPr>
            </w:pPr>
            <w:r>
              <w:rPr>
                <w:sz w:val="24"/>
                <w:szCs w:val="24"/>
              </w:rPr>
              <w:t>Døsighed</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1 (0,4 %)</w:t>
            </w:r>
          </w:p>
        </w:tc>
        <w:tc>
          <w:tcPr>
            <w:tcW w:w="0" w:type="auto"/>
            <w:tcBorders>
              <w:top w:val="single" w:sz="4" w:space="0" w:color="auto"/>
              <w:left w:val="single" w:sz="4" w:space="0" w:color="auto"/>
              <w:bottom w:val="single" w:sz="4" w:space="0" w:color="auto"/>
              <w:right w:val="single" w:sz="4" w:space="0" w:color="auto"/>
            </w:tcBorders>
            <w:hideMark/>
          </w:tcPr>
          <w:p w:rsidR="00D46847" w:rsidRDefault="00D46847">
            <w:pPr>
              <w:jc w:val="center"/>
              <w:rPr>
                <w:sz w:val="24"/>
                <w:szCs w:val="24"/>
              </w:rPr>
            </w:pPr>
            <w:r>
              <w:rPr>
                <w:sz w:val="24"/>
                <w:szCs w:val="24"/>
              </w:rPr>
              <w:t>7 (2,9 %)</w:t>
            </w:r>
          </w:p>
        </w:tc>
      </w:tr>
    </w:tbl>
    <w:p w:rsidR="00D46847" w:rsidRDefault="00D46847" w:rsidP="00D46847">
      <w:pPr>
        <w:pStyle w:val="Sidehoved"/>
        <w:tabs>
          <w:tab w:val="left" w:pos="851"/>
        </w:tabs>
        <w:ind w:left="851"/>
        <w:rPr>
          <w:szCs w:val="24"/>
          <w:lang w:val="sl-SI"/>
        </w:rPr>
      </w:pPr>
    </w:p>
    <w:p w:rsidR="009C02D4" w:rsidRPr="00436ECB" w:rsidRDefault="009C02D4" w:rsidP="009C02D4">
      <w:pPr>
        <w:pStyle w:val="Sidehoved"/>
        <w:tabs>
          <w:tab w:val="left" w:pos="851"/>
        </w:tabs>
        <w:ind w:left="851"/>
        <w:rPr>
          <w:szCs w:val="24"/>
          <w:lang w:val="sl-SI"/>
        </w:rPr>
      </w:pPr>
      <w:r>
        <w:rPr>
          <w:szCs w:val="24"/>
          <w:lang w:val="sl-SI"/>
        </w:rPr>
        <w:t>S</w:t>
      </w:r>
      <w:r w:rsidRPr="00436ECB">
        <w:rPr>
          <w:szCs w:val="24"/>
          <w:lang w:val="sl-SI"/>
        </w:rPr>
        <w:t xml:space="preserve">om nævnt i pkt. 4.2 og 4.4, </w:t>
      </w:r>
      <w:r>
        <w:rPr>
          <w:szCs w:val="24"/>
          <w:lang w:val="sl-SI"/>
        </w:rPr>
        <w:t xml:space="preserve">vær </w:t>
      </w:r>
      <w:r w:rsidRPr="00436ECB">
        <w:rPr>
          <w:szCs w:val="24"/>
          <w:lang w:val="sl-SI"/>
        </w:rPr>
        <w:t>opmærksom på, at selvom kliniske data beskrevet i dette afsnit er tilgængelige hos børn i alderen 6 måneder til 12 år, har vi ikke tilstrækkelige data til at understøtte administration af produktet til spædbørn og børn under 2 år.</w:t>
      </w:r>
    </w:p>
    <w:p w:rsidR="009C02D4" w:rsidRDefault="009C02D4" w:rsidP="00D46847">
      <w:pPr>
        <w:pStyle w:val="Sidehoved"/>
        <w:tabs>
          <w:tab w:val="left" w:pos="851"/>
        </w:tabs>
        <w:ind w:left="851"/>
        <w:rPr>
          <w:szCs w:val="24"/>
          <w:lang w:val="sl-SI"/>
        </w:rPr>
      </w:pPr>
    </w:p>
    <w:p w:rsidR="00D46847" w:rsidRPr="00D46847" w:rsidRDefault="00D46847" w:rsidP="00D46847">
      <w:pPr>
        <w:ind w:left="851"/>
        <w:rPr>
          <w:sz w:val="24"/>
          <w:szCs w:val="24"/>
          <w:u w:val="single"/>
        </w:rPr>
      </w:pPr>
      <w:r w:rsidRPr="00D46847">
        <w:rPr>
          <w:sz w:val="24"/>
          <w:szCs w:val="24"/>
          <w:u w:val="single"/>
        </w:rPr>
        <w:t>Erfaringer efter markedsføring</w:t>
      </w:r>
    </w:p>
    <w:p w:rsidR="00D46847" w:rsidRPr="00D46847" w:rsidRDefault="00D46847" w:rsidP="00D46847">
      <w:pPr>
        <w:ind w:left="851"/>
        <w:rPr>
          <w:sz w:val="24"/>
          <w:szCs w:val="24"/>
        </w:rPr>
      </w:pPr>
      <w:r w:rsidRPr="00D46847">
        <w:rPr>
          <w:sz w:val="24"/>
          <w:szCs w:val="24"/>
        </w:rPr>
        <w:t xml:space="preserve">Bivirkninger efter markedsføringen er opstillet efter systemorganklasse og efter hyppighed. Hyppigheden defineres som følger: </w:t>
      </w:r>
      <w:r w:rsidR="009C02D4" w:rsidRPr="00436ECB">
        <w:rPr>
          <w:sz w:val="24"/>
          <w:szCs w:val="24"/>
        </w:rPr>
        <w:t>meget almindelig (≥ 1/10), almindelig (≥ 1/100 til &lt; 1/10), ikke almindelig (≥ 1/1.000 til &lt; 1/100), sjælden (≥ 1/10.000 til &lt; 1/1.000), meget sjælden (&lt; 1/10.000), ikke kendt (kan ikke estimeres ud fra forhåndenværende data).</w:t>
      </w:r>
    </w:p>
    <w:p w:rsidR="00D46847" w:rsidRDefault="00D46847" w:rsidP="00D46847">
      <w:pPr>
        <w:pStyle w:val="Sidehoved"/>
        <w:tabs>
          <w:tab w:val="left" w:pos="851"/>
        </w:tabs>
        <w:ind w:left="851"/>
        <w:rPr>
          <w:szCs w:val="24"/>
          <w:lang w:val="sl-SI"/>
        </w:rPr>
      </w:pPr>
    </w:p>
    <w:tbl>
      <w:tblPr>
        <w:tblW w:w="4243"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043"/>
      </w:tblGrid>
      <w:tr w:rsidR="00D46847" w:rsidTr="00D46847">
        <w:tc>
          <w:tcPr>
            <w:tcW w:w="1914" w:type="pct"/>
            <w:tcBorders>
              <w:top w:val="single" w:sz="4" w:space="0" w:color="auto"/>
              <w:left w:val="single" w:sz="4" w:space="0" w:color="auto"/>
              <w:bottom w:val="single" w:sz="4" w:space="0" w:color="auto"/>
              <w:right w:val="single" w:sz="4" w:space="0" w:color="auto"/>
            </w:tcBorders>
          </w:tcPr>
          <w:p w:rsidR="00D46847" w:rsidRDefault="00D46847">
            <w:pPr>
              <w:widowControl w:val="0"/>
              <w:tabs>
                <w:tab w:val="left" w:pos="567"/>
              </w:tabs>
              <w:rPr>
                <w:sz w:val="24"/>
                <w:szCs w:val="24"/>
              </w:rPr>
            </w:pP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jc w:val="center"/>
              <w:rPr>
                <w:noProof/>
                <w:sz w:val="24"/>
                <w:szCs w:val="24"/>
                <w:lang w:val="en-GB"/>
              </w:rPr>
            </w:pPr>
            <w:r>
              <w:rPr>
                <w:noProof/>
                <w:sz w:val="24"/>
                <w:szCs w:val="24"/>
                <w:lang w:val="en-GB"/>
              </w:rPr>
              <w:t>Ikke kendt</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Immunsystemet</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Hypersensitivitet, herunder anafylaksi</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Metabolisme og ernæring</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tabs>
                <w:tab w:val="left" w:pos="567"/>
              </w:tabs>
              <w:rPr>
                <w:noProof/>
                <w:sz w:val="24"/>
                <w:szCs w:val="24"/>
                <w:lang w:val="en-GB"/>
              </w:rPr>
            </w:pPr>
            <w:r>
              <w:rPr>
                <w:noProof/>
                <w:sz w:val="24"/>
                <w:szCs w:val="24"/>
                <w:lang w:val="en-GB"/>
              </w:rPr>
              <w:t>Øget appetit</w:t>
            </w:r>
          </w:p>
        </w:tc>
      </w:tr>
      <w:tr w:rsidR="00D46847" w:rsidRPr="000514D5"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Psykiske forstyrrelser</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sv-SE"/>
              </w:rPr>
            </w:pPr>
            <w:r>
              <w:rPr>
                <w:noProof/>
                <w:sz w:val="24"/>
                <w:szCs w:val="24"/>
                <w:lang w:val="sv-SE"/>
              </w:rPr>
              <w:t>Aggression, agitation, hallucination, depression, insomni, selvmordstanker, mareridt</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rsidP="009C62E0">
            <w:pPr>
              <w:keepNext/>
              <w:widowControl w:val="0"/>
              <w:tabs>
                <w:tab w:val="left" w:pos="567"/>
              </w:tabs>
              <w:rPr>
                <w:noProof/>
                <w:sz w:val="24"/>
                <w:szCs w:val="24"/>
                <w:lang w:val="en-GB"/>
              </w:rPr>
            </w:pPr>
            <w:r>
              <w:rPr>
                <w:noProof/>
                <w:sz w:val="24"/>
                <w:szCs w:val="24"/>
                <w:lang w:val="en-GB"/>
              </w:rPr>
              <w:t>Nervesystemet</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rPr>
            </w:pPr>
            <w:r>
              <w:rPr>
                <w:noProof/>
                <w:sz w:val="24"/>
                <w:szCs w:val="24"/>
              </w:rPr>
              <w:t>Kramper, paræstesi, svimmelhed, synkope, tremor, dysgeusi</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Øjne</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Synsforstyrrelser, sløret syn, okulogyration</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lastRenderedPageBreak/>
              <w:t>Øre og labyrint</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Vertigo</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Hjerte</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Palpitationer, takykardi</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Luftveje, thorax og mediastinum</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Dyspnø</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Mave-tarm-kanalen</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Kvalme, opkastning, diarré</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Lever- og galdeveje</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Hepatitis</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Hud og subkutane væv</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rPr>
            </w:pPr>
            <w:r>
              <w:rPr>
                <w:noProof/>
                <w:sz w:val="24"/>
                <w:szCs w:val="24"/>
              </w:rPr>
              <w:t>Angioneurotisk ødem, afgrænset medikamentelt udslæt (fixed drug eruption), pruritus, udslæt, urticaria</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rPr>
            </w:pPr>
            <w:r>
              <w:rPr>
                <w:noProof/>
                <w:sz w:val="24"/>
                <w:szCs w:val="24"/>
              </w:rPr>
              <w:t>Knogler, led, muskler og bindevæv</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Myalgi, artralgi</w:t>
            </w:r>
          </w:p>
        </w:tc>
      </w:tr>
      <w:tr w:rsidR="00D46847" w:rsidTr="00D46847">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Nyre og urinveje</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Dysuri, urinretention</w:t>
            </w:r>
          </w:p>
        </w:tc>
      </w:tr>
      <w:tr w:rsidR="00D46847" w:rsidTr="00D46847">
        <w:tc>
          <w:tcPr>
            <w:tcW w:w="1914" w:type="pct"/>
            <w:tcBorders>
              <w:top w:val="single" w:sz="4" w:space="0" w:color="auto"/>
              <w:left w:val="single" w:sz="4" w:space="0" w:color="auto"/>
              <w:bottom w:val="single" w:sz="4" w:space="0" w:color="auto"/>
              <w:right w:val="single" w:sz="4" w:space="0" w:color="auto"/>
            </w:tcBorders>
          </w:tcPr>
          <w:p w:rsidR="00D46847" w:rsidRDefault="00D46847">
            <w:pPr>
              <w:widowControl w:val="0"/>
              <w:tabs>
                <w:tab w:val="left" w:pos="567"/>
              </w:tabs>
              <w:rPr>
                <w:noProof/>
                <w:sz w:val="24"/>
                <w:szCs w:val="24"/>
              </w:rPr>
            </w:pPr>
            <w:r>
              <w:rPr>
                <w:noProof/>
                <w:sz w:val="24"/>
                <w:szCs w:val="24"/>
              </w:rPr>
              <w:t>Almene symptomer og reaktioner på administrationsstedet</w:t>
            </w:r>
          </w:p>
          <w:p w:rsidR="00D46847" w:rsidRDefault="00D46847">
            <w:pPr>
              <w:widowControl w:val="0"/>
              <w:tabs>
                <w:tab w:val="left" w:pos="567"/>
              </w:tabs>
              <w:rPr>
                <w:noProof/>
                <w:sz w:val="24"/>
                <w:szCs w:val="24"/>
              </w:rPr>
            </w:pP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Ødem</w:t>
            </w:r>
          </w:p>
        </w:tc>
      </w:tr>
      <w:tr w:rsidR="00D46847" w:rsidTr="00D46847">
        <w:trPr>
          <w:trHeight w:val="296"/>
        </w:trPr>
        <w:tc>
          <w:tcPr>
            <w:tcW w:w="1914"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Undersøgelser</w:t>
            </w:r>
          </w:p>
        </w:tc>
        <w:tc>
          <w:tcPr>
            <w:tcW w:w="3086" w:type="pct"/>
            <w:tcBorders>
              <w:top w:val="single" w:sz="4" w:space="0" w:color="auto"/>
              <w:left w:val="single" w:sz="4" w:space="0" w:color="auto"/>
              <w:bottom w:val="single" w:sz="4" w:space="0" w:color="auto"/>
              <w:right w:val="single" w:sz="4" w:space="0" w:color="auto"/>
            </w:tcBorders>
            <w:hideMark/>
          </w:tcPr>
          <w:p w:rsidR="00D46847" w:rsidRDefault="00D46847">
            <w:pPr>
              <w:widowControl w:val="0"/>
              <w:tabs>
                <w:tab w:val="left" w:pos="567"/>
              </w:tabs>
              <w:rPr>
                <w:noProof/>
                <w:sz w:val="24"/>
                <w:szCs w:val="24"/>
                <w:lang w:val="en-GB"/>
              </w:rPr>
            </w:pPr>
            <w:r>
              <w:rPr>
                <w:noProof/>
                <w:sz w:val="24"/>
                <w:szCs w:val="24"/>
                <w:lang w:val="en-GB"/>
              </w:rPr>
              <w:t>Vægtøgning, unormale leverfunktionsværdier</w:t>
            </w:r>
          </w:p>
        </w:tc>
      </w:tr>
    </w:tbl>
    <w:p w:rsidR="00D46847" w:rsidRPr="00D46847" w:rsidRDefault="00D46847" w:rsidP="00D46847">
      <w:pPr>
        <w:ind w:left="851"/>
        <w:jc w:val="both"/>
        <w:rPr>
          <w:sz w:val="24"/>
          <w:szCs w:val="24"/>
          <w:lang w:val="en-GB" w:eastAsia="sl-SI"/>
        </w:rPr>
      </w:pPr>
    </w:p>
    <w:p w:rsidR="00D46847" w:rsidRPr="00D46847" w:rsidRDefault="00D46847" w:rsidP="00D46847">
      <w:pPr>
        <w:autoSpaceDE w:val="0"/>
        <w:autoSpaceDN w:val="0"/>
        <w:ind w:left="851"/>
        <w:rPr>
          <w:sz w:val="24"/>
          <w:szCs w:val="24"/>
          <w:u w:val="single"/>
          <w:lang w:eastAsia="da-DK"/>
        </w:rPr>
      </w:pPr>
      <w:r w:rsidRPr="00D46847">
        <w:rPr>
          <w:sz w:val="24"/>
          <w:szCs w:val="24"/>
          <w:u w:val="single"/>
          <w:lang w:eastAsia="da-DK"/>
        </w:rPr>
        <w:t>Beskrivelse af udvalgte bivirkninger</w:t>
      </w:r>
    </w:p>
    <w:p w:rsidR="00D46847" w:rsidRPr="00D46847" w:rsidRDefault="00D46847" w:rsidP="00D46847">
      <w:pPr>
        <w:autoSpaceDE w:val="0"/>
        <w:autoSpaceDN w:val="0"/>
        <w:ind w:left="851"/>
        <w:rPr>
          <w:sz w:val="24"/>
          <w:szCs w:val="24"/>
          <w:lang w:eastAsia="da-DK"/>
        </w:rPr>
      </w:pPr>
      <w:r w:rsidRPr="00D46847">
        <w:rPr>
          <w:sz w:val="24"/>
          <w:szCs w:val="24"/>
          <w:lang w:eastAsia="da-DK"/>
        </w:rPr>
        <w:t xml:space="preserve">Der er indberettet tilfælde af </w:t>
      </w:r>
      <w:proofErr w:type="spellStart"/>
      <w:r w:rsidRPr="00D46847">
        <w:rPr>
          <w:sz w:val="24"/>
          <w:szCs w:val="24"/>
          <w:lang w:eastAsia="da-DK"/>
        </w:rPr>
        <w:t>pruritus</w:t>
      </w:r>
      <w:proofErr w:type="spellEnd"/>
      <w:r w:rsidRPr="00D46847">
        <w:rPr>
          <w:sz w:val="24"/>
          <w:szCs w:val="24"/>
          <w:lang w:eastAsia="da-DK"/>
        </w:rPr>
        <w:t xml:space="preserve"> efter ophør af behandlingen med </w:t>
      </w:r>
      <w:proofErr w:type="spellStart"/>
      <w:r w:rsidRPr="00D46847">
        <w:rPr>
          <w:sz w:val="24"/>
          <w:szCs w:val="24"/>
          <w:lang w:eastAsia="da-DK"/>
        </w:rPr>
        <w:t>levocetirizin</w:t>
      </w:r>
      <w:proofErr w:type="spellEnd"/>
      <w:r w:rsidRPr="00D46847">
        <w:rPr>
          <w:sz w:val="24"/>
          <w:szCs w:val="24"/>
          <w:lang w:eastAsia="da-DK"/>
        </w:rPr>
        <w:t>.</w:t>
      </w:r>
    </w:p>
    <w:p w:rsidR="00D46847" w:rsidRPr="00D46847" w:rsidRDefault="00D46847" w:rsidP="00D46847">
      <w:pPr>
        <w:autoSpaceDE w:val="0"/>
        <w:autoSpaceDN w:val="0"/>
        <w:ind w:left="851"/>
        <w:rPr>
          <w:sz w:val="24"/>
          <w:szCs w:val="24"/>
          <w:u w:val="single"/>
          <w:lang w:eastAsia="da-DK"/>
        </w:rPr>
      </w:pPr>
    </w:p>
    <w:p w:rsidR="00D46847" w:rsidRPr="00D46847" w:rsidRDefault="00D46847" w:rsidP="00D46847">
      <w:pPr>
        <w:autoSpaceDE w:val="0"/>
        <w:autoSpaceDN w:val="0"/>
        <w:ind w:left="851"/>
        <w:rPr>
          <w:sz w:val="24"/>
          <w:szCs w:val="24"/>
          <w:u w:val="single"/>
          <w:lang w:eastAsia="da-DK"/>
        </w:rPr>
      </w:pPr>
      <w:r w:rsidRPr="00D46847">
        <w:rPr>
          <w:sz w:val="24"/>
          <w:szCs w:val="24"/>
          <w:u w:val="single"/>
          <w:lang w:eastAsia="da-DK"/>
        </w:rPr>
        <w:t>Indberetning af formodede bivirkninger</w:t>
      </w:r>
    </w:p>
    <w:p w:rsidR="00D46847" w:rsidRPr="00D46847" w:rsidRDefault="00D46847" w:rsidP="00D46847">
      <w:pPr>
        <w:ind w:left="851"/>
        <w:rPr>
          <w:sz w:val="24"/>
          <w:szCs w:val="24"/>
          <w:lang w:eastAsia="da-DK"/>
        </w:rPr>
      </w:pPr>
      <w:r w:rsidRPr="00D46847">
        <w:rPr>
          <w:sz w:val="24"/>
          <w:szCs w:val="24"/>
          <w:lang w:eastAsia="da-DK"/>
        </w:rPr>
        <w:t>Når lægemidlet er godkendt, er indberetning af formodede bivirkninger vigtig. Det muliggør løbende overvågning af benefit/</w:t>
      </w:r>
      <w:proofErr w:type="spellStart"/>
      <w:r w:rsidRPr="00D46847">
        <w:rPr>
          <w:sz w:val="24"/>
          <w:szCs w:val="24"/>
          <w:lang w:eastAsia="da-DK"/>
        </w:rPr>
        <w:t>risk</w:t>
      </w:r>
      <w:proofErr w:type="spellEnd"/>
      <w:r w:rsidRPr="00D46847">
        <w:rPr>
          <w:sz w:val="24"/>
          <w:szCs w:val="24"/>
          <w:lang w:eastAsia="da-DK"/>
        </w:rPr>
        <w:t xml:space="preserve">-forholdet for lægemidlet. </w:t>
      </w:r>
      <w:r w:rsidR="004209B0">
        <w:rPr>
          <w:sz w:val="24"/>
          <w:szCs w:val="24"/>
          <w:lang w:eastAsia="da-DK"/>
        </w:rPr>
        <w:t>S</w:t>
      </w:r>
      <w:r w:rsidRPr="00D46847">
        <w:rPr>
          <w:sz w:val="24"/>
          <w:szCs w:val="24"/>
          <w:lang w:eastAsia="da-DK"/>
        </w:rPr>
        <w:t>undhedsperson</w:t>
      </w:r>
      <w:r w:rsidR="004209B0">
        <w:rPr>
          <w:sz w:val="24"/>
          <w:szCs w:val="24"/>
          <w:lang w:eastAsia="da-DK"/>
        </w:rPr>
        <w:t>er</w:t>
      </w:r>
      <w:r w:rsidRPr="00D46847">
        <w:rPr>
          <w:sz w:val="24"/>
          <w:szCs w:val="24"/>
          <w:lang w:eastAsia="da-DK"/>
        </w:rPr>
        <w:t xml:space="preserve"> anmodes om at indberette alle formodede bivirkninger via:</w:t>
      </w:r>
    </w:p>
    <w:p w:rsidR="00D46847" w:rsidRPr="00D46847" w:rsidRDefault="00D46847" w:rsidP="00D46847">
      <w:pPr>
        <w:ind w:left="851"/>
        <w:rPr>
          <w:sz w:val="24"/>
          <w:szCs w:val="24"/>
          <w:lang w:eastAsia="da-DK"/>
        </w:rPr>
      </w:pPr>
    </w:p>
    <w:p w:rsidR="00D46847" w:rsidRPr="00D46847" w:rsidRDefault="00D46847" w:rsidP="00D46847">
      <w:pPr>
        <w:ind w:left="851"/>
        <w:rPr>
          <w:sz w:val="24"/>
          <w:szCs w:val="24"/>
          <w:lang w:eastAsia="da-DK"/>
        </w:rPr>
      </w:pPr>
      <w:r w:rsidRPr="00D46847">
        <w:rPr>
          <w:sz w:val="24"/>
          <w:szCs w:val="24"/>
          <w:lang w:eastAsia="da-DK"/>
        </w:rPr>
        <w:t>Lægemiddelstyrelsen</w:t>
      </w:r>
    </w:p>
    <w:p w:rsidR="00D46847" w:rsidRPr="00D46847" w:rsidRDefault="00D46847" w:rsidP="00D46847">
      <w:pPr>
        <w:ind w:left="851"/>
        <w:rPr>
          <w:sz w:val="24"/>
          <w:szCs w:val="24"/>
          <w:lang w:eastAsia="da-DK"/>
        </w:rPr>
      </w:pPr>
      <w:r w:rsidRPr="00D46847">
        <w:rPr>
          <w:sz w:val="24"/>
          <w:szCs w:val="24"/>
          <w:lang w:eastAsia="da-DK"/>
        </w:rPr>
        <w:t>Axel Heides Gade 1</w:t>
      </w:r>
    </w:p>
    <w:p w:rsidR="00D46847" w:rsidRPr="00D46847" w:rsidRDefault="00D46847" w:rsidP="00D46847">
      <w:pPr>
        <w:ind w:left="851"/>
        <w:rPr>
          <w:sz w:val="24"/>
          <w:szCs w:val="24"/>
          <w:lang w:eastAsia="da-DK"/>
        </w:rPr>
      </w:pPr>
      <w:r w:rsidRPr="00D46847">
        <w:rPr>
          <w:sz w:val="24"/>
          <w:szCs w:val="24"/>
          <w:lang w:eastAsia="da-DK"/>
        </w:rPr>
        <w:t>DK-2300 København S</w:t>
      </w:r>
    </w:p>
    <w:p w:rsidR="00D46847" w:rsidRPr="008654D6" w:rsidRDefault="00D46847" w:rsidP="00D46847">
      <w:pPr>
        <w:ind w:left="851"/>
        <w:rPr>
          <w:sz w:val="24"/>
          <w:szCs w:val="24"/>
          <w:lang w:eastAsia="da-DK"/>
        </w:rPr>
      </w:pPr>
      <w:r w:rsidRPr="008654D6">
        <w:rPr>
          <w:sz w:val="24"/>
          <w:szCs w:val="24"/>
          <w:lang w:eastAsia="da-DK"/>
        </w:rPr>
        <w:t xml:space="preserve">Websted: </w:t>
      </w:r>
      <w:hyperlink r:id="rId8" w:history="1">
        <w:r w:rsidRPr="008654D6">
          <w:rPr>
            <w:rStyle w:val="Hyperlink"/>
            <w:color w:val="0000FF"/>
            <w:sz w:val="24"/>
            <w:szCs w:val="24"/>
            <w:lang w:eastAsia="da-DK"/>
          </w:rPr>
          <w:t>www.meldenbivirkning.dk</w:t>
        </w:r>
      </w:hyperlink>
    </w:p>
    <w:p w:rsidR="00155008" w:rsidRPr="008654D6" w:rsidRDefault="00155008" w:rsidP="00155008">
      <w:pPr>
        <w:ind w:left="1418"/>
        <w:rPr>
          <w:sz w:val="24"/>
          <w:szCs w:val="24"/>
        </w:rPr>
      </w:pPr>
    </w:p>
    <w:p w:rsidR="00155008" w:rsidRPr="0089122C" w:rsidRDefault="00155008" w:rsidP="00155008">
      <w:pPr>
        <w:numPr>
          <w:ilvl w:val="1"/>
          <w:numId w:val="1"/>
        </w:numPr>
        <w:tabs>
          <w:tab w:val="clear" w:pos="855"/>
        </w:tabs>
        <w:ind w:left="851" w:hanging="851"/>
        <w:rPr>
          <w:b/>
          <w:sz w:val="24"/>
          <w:szCs w:val="24"/>
        </w:rPr>
      </w:pPr>
      <w:r w:rsidRPr="0089122C">
        <w:rPr>
          <w:b/>
          <w:sz w:val="24"/>
          <w:szCs w:val="24"/>
        </w:rPr>
        <w:t>Overdosering</w:t>
      </w:r>
    </w:p>
    <w:p w:rsidR="00D46847" w:rsidRDefault="00155008" w:rsidP="00D46847">
      <w:pPr>
        <w:pStyle w:val="Slutnotetekst"/>
        <w:widowControl/>
        <w:tabs>
          <w:tab w:val="clear" w:pos="567"/>
          <w:tab w:val="left" w:pos="1304"/>
        </w:tabs>
        <w:ind w:left="851" w:hanging="851"/>
        <w:rPr>
          <w:sz w:val="24"/>
          <w:szCs w:val="24"/>
          <w:u w:val="single"/>
        </w:rPr>
      </w:pPr>
      <w:r w:rsidRPr="0089122C">
        <w:rPr>
          <w:sz w:val="24"/>
          <w:szCs w:val="24"/>
        </w:rPr>
        <w:tab/>
      </w:r>
      <w:r w:rsidR="00D46847">
        <w:rPr>
          <w:sz w:val="24"/>
          <w:szCs w:val="24"/>
          <w:u w:val="single"/>
        </w:rPr>
        <w:t>Symptomer</w:t>
      </w:r>
    </w:p>
    <w:p w:rsidR="00D46847" w:rsidRDefault="00D46847" w:rsidP="00D46847">
      <w:pPr>
        <w:ind w:left="851"/>
        <w:rPr>
          <w:sz w:val="24"/>
          <w:szCs w:val="24"/>
        </w:rPr>
      </w:pPr>
      <w:r>
        <w:rPr>
          <w:sz w:val="24"/>
          <w:szCs w:val="24"/>
        </w:rPr>
        <w:t>Symptomer på overdosering kan hos voksne omfatte døsighed. Hos børn kan der i første omgang opstå agitation og uro efterfulgt af døsighed.</w:t>
      </w:r>
    </w:p>
    <w:p w:rsidR="00D46847" w:rsidRDefault="00D46847" w:rsidP="00D46847">
      <w:pPr>
        <w:ind w:left="851"/>
        <w:rPr>
          <w:sz w:val="24"/>
          <w:szCs w:val="24"/>
        </w:rPr>
      </w:pPr>
    </w:p>
    <w:p w:rsidR="00D46847" w:rsidRDefault="00D46847" w:rsidP="00D46847">
      <w:pPr>
        <w:pStyle w:val="Slutnotetekst"/>
        <w:widowControl/>
        <w:tabs>
          <w:tab w:val="clear" w:pos="567"/>
          <w:tab w:val="left" w:pos="1304"/>
        </w:tabs>
        <w:ind w:left="851"/>
        <w:rPr>
          <w:sz w:val="24"/>
          <w:szCs w:val="24"/>
          <w:u w:val="single"/>
        </w:rPr>
      </w:pPr>
      <w:r>
        <w:rPr>
          <w:sz w:val="24"/>
          <w:szCs w:val="24"/>
          <w:u w:val="single"/>
        </w:rPr>
        <w:t>Behandling af overdosering</w:t>
      </w:r>
    </w:p>
    <w:p w:rsidR="00D46847" w:rsidRDefault="00D46847" w:rsidP="00D46847">
      <w:pPr>
        <w:ind w:left="851"/>
        <w:rPr>
          <w:sz w:val="24"/>
          <w:szCs w:val="24"/>
        </w:rPr>
      </w:pPr>
      <w:r>
        <w:rPr>
          <w:sz w:val="24"/>
          <w:szCs w:val="24"/>
        </w:rPr>
        <w:t xml:space="preserve">Der er intet kendt, specifik </w:t>
      </w:r>
      <w:proofErr w:type="spellStart"/>
      <w:r>
        <w:rPr>
          <w:sz w:val="24"/>
          <w:szCs w:val="24"/>
        </w:rPr>
        <w:t>antidot</w:t>
      </w:r>
      <w:proofErr w:type="spellEnd"/>
      <w:r>
        <w:rPr>
          <w:sz w:val="24"/>
          <w:szCs w:val="24"/>
        </w:rPr>
        <w:t xml:space="preserve"> mod </w:t>
      </w:r>
      <w:proofErr w:type="spellStart"/>
      <w:r>
        <w:rPr>
          <w:sz w:val="24"/>
          <w:szCs w:val="24"/>
        </w:rPr>
        <w:t>levocetirizin</w:t>
      </w:r>
      <w:proofErr w:type="spellEnd"/>
      <w:r>
        <w:rPr>
          <w:sz w:val="24"/>
          <w:szCs w:val="24"/>
        </w:rPr>
        <w:t>.</w:t>
      </w:r>
    </w:p>
    <w:p w:rsidR="00D46847" w:rsidRDefault="00D46847" w:rsidP="00D46847">
      <w:pPr>
        <w:ind w:left="851"/>
        <w:rPr>
          <w:sz w:val="24"/>
          <w:szCs w:val="24"/>
        </w:rPr>
      </w:pPr>
      <w:r>
        <w:rPr>
          <w:sz w:val="24"/>
          <w:szCs w:val="24"/>
        </w:rPr>
        <w:t xml:space="preserve">Skulle overdosis forekomme, anbefales symptomatisk eller understøttende behandling. Ventrikelskylning kan overvejes kort tid efter indtagelse af lægemidlet. </w:t>
      </w:r>
      <w:proofErr w:type="spellStart"/>
      <w:r>
        <w:rPr>
          <w:sz w:val="24"/>
          <w:szCs w:val="24"/>
        </w:rPr>
        <w:t>Levocetirizin</w:t>
      </w:r>
      <w:proofErr w:type="spellEnd"/>
      <w:r>
        <w:rPr>
          <w:sz w:val="24"/>
          <w:szCs w:val="24"/>
        </w:rPr>
        <w:t xml:space="preserve"> elimineres ikke effektivt ved hæmodialyse.</w:t>
      </w:r>
    </w:p>
    <w:p w:rsidR="00155008" w:rsidRPr="0089122C" w:rsidRDefault="00155008" w:rsidP="00D46847">
      <w:pPr>
        <w:pStyle w:val="Slutnotetekst"/>
        <w:widowControl/>
        <w:tabs>
          <w:tab w:val="clear" w:pos="567"/>
          <w:tab w:val="left" w:pos="1304"/>
        </w:tabs>
        <w:ind w:left="851" w:hanging="851"/>
        <w:rPr>
          <w:sz w:val="24"/>
          <w:szCs w:val="24"/>
        </w:rPr>
      </w:pPr>
    </w:p>
    <w:p w:rsidR="00155008" w:rsidRPr="0089122C" w:rsidRDefault="00155008" w:rsidP="00155008">
      <w:pPr>
        <w:keepNext/>
        <w:numPr>
          <w:ilvl w:val="1"/>
          <w:numId w:val="1"/>
        </w:numPr>
        <w:tabs>
          <w:tab w:val="clear" w:pos="855"/>
        </w:tabs>
        <w:ind w:left="851" w:hanging="851"/>
        <w:rPr>
          <w:b/>
          <w:sz w:val="24"/>
          <w:szCs w:val="24"/>
        </w:rPr>
      </w:pPr>
      <w:r w:rsidRPr="0089122C">
        <w:rPr>
          <w:b/>
          <w:sz w:val="24"/>
          <w:szCs w:val="24"/>
        </w:rPr>
        <w:t>Udlevering</w:t>
      </w:r>
    </w:p>
    <w:p w:rsidR="00155008" w:rsidRPr="0089122C" w:rsidRDefault="00155008" w:rsidP="00155008">
      <w:pPr>
        <w:ind w:left="851" w:hanging="851"/>
        <w:rPr>
          <w:sz w:val="24"/>
          <w:szCs w:val="24"/>
        </w:rPr>
      </w:pPr>
      <w:r w:rsidRPr="0089122C">
        <w:rPr>
          <w:sz w:val="24"/>
          <w:szCs w:val="24"/>
        </w:rPr>
        <w:tab/>
      </w:r>
      <w:r>
        <w:rPr>
          <w:sz w:val="24"/>
          <w:szCs w:val="24"/>
        </w:rPr>
        <w:t>B</w:t>
      </w:r>
    </w:p>
    <w:p w:rsidR="00155008" w:rsidRPr="0089122C" w:rsidRDefault="00155008" w:rsidP="00155008">
      <w:pPr>
        <w:ind w:left="851" w:hanging="851"/>
        <w:rPr>
          <w:sz w:val="24"/>
          <w:szCs w:val="24"/>
        </w:rPr>
      </w:pPr>
    </w:p>
    <w:p w:rsidR="00155008" w:rsidRPr="0089122C" w:rsidRDefault="00155008" w:rsidP="00155008">
      <w:pPr>
        <w:ind w:left="851" w:hanging="851"/>
        <w:rPr>
          <w:sz w:val="24"/>
          <w:szCs w:val="24"/>
        </w:rPr>
      </w:pPr>
    </w:p>
    <w:p w:rsidR="00155008" w:rsidRPr="0089122C" w:rsidRDefault="00155008" w:rsidP="009C62E0">
      <w:pPr>
        <w:keepNext/>
        <w:numPr>
          <w:ilvl w:val="0"/>
          <w:numId w:val="1"/>
        </w:numPr>
        <w:tabs>
          <w:tab w:val="clear" w:pos="855"/>
        </w:tabs>
        <w:ind w:left="851" w:hanging="851"/>
        <w:rPr>
          <w:b/>
          <w:sz w:val="24"/>
          <w:szCs w:val="24"/>
        </w:rPr>
      </w:pPr>
      <w:r w:rsidRPr="0089122C">
        <w:rPr>
          <w:b/>
          <w:sz w:val="24"/>
          <w:szCs w:val="24"/>
        </w:rPr>
        <w:t>FARMAKOLOGISKE EGENSKABER</w:t>
      </w:r>
    </w:p>
    <w:p w:rsidR="00155008" w:rsidRPr="0089122C" w:rsidRDefault="00155008" w:rsidP="00155008">
      <w:pPr>
        <w:ind w:left="851" w:hanging="851"/>
        <w:rPr>
          <w:sz w:val="24"/>
          <w:szCs w:val="24"/>
        </w:rPr>
      </w:pPr>
    </w:p>
    <w:p w:rsidR="00155008" w:rsidRPr="0089122C" w:rsidRDefault="00155008" w:rsidP="00155008">
      <w:pPr>
        <w:numPr>
          <w:ilvl w:val="1"/>
          <w:numId w:val="2"/>
        </w:numPr>
        <w:tabs>
          <w:tab w:val="clear" w:pos="2159"/>
        </w:tabs>
        <w:ind w:left="851" w:hanging="851"/>
        <w:rPr>
          <w:b/>
          <w:sz w:val="24"/>
          <w:szCs w:val="24"/>
        </w:rPr>
      </w:pPr>
      <w:proofErr w:type="spellStart"/>
      <w:r w:rsidRPr="0089122C">
        <w:rPr>
          <w:b/>
          <w:sz w:val="24"/>
          <w:szCs w:val="24"/>
        </w:rPr>
        <w:t>Farmakodynamiske</w:t>
      </w:r>
      <w:proofErr w:type="spellEnd"/>
      <w:r w:rsidRPr="0089122C">
        <w:rPr>
          <w:b/>
          <w:sz w:val="24"/>
          <w:szCs w:val="24"/>
        </w:rPr>
        <w:t xml:space="preserve"> egenskaber</w:t>
      </w:r>
    </w:p>
    <w:p w:rsidR="004209B0" w:rsidRPr="0089122C" w:rsidRDefault="004209B0" w:rsidP="004209B0">
      <w:pPr>
        <w:suppressAutoHyphens/>
        <w:ind w:left="851"/>
        <w:rPr>
          <w:sz w:val="24"/>
          <w:szCs w:val="24"/>
        </w:rPr>
      </w:pPr>
      <w:proofErr w:type="spellStart"/>
      <w:r w:rsidRPr="00D27A3D">
        <w:rPr>
          <w:sz w:val="24"/>
          <w:szCs w:val="24"/>
        </w:rPr>
        <w:t>Farmakoterapeutisk</w:t>
      </w:r>
      <w:proofErr w:type="spellEnd"/>
      <w:r w:rsidRPr="00D27A3D">
        <w:rPr>
          <w:sz w:val="24"/>
          <w:szCs w:val="24"/>
        </w:rPr>
        <w:t xml:space="preserve"> klassifikation:</w:t>
      </w:r>
      <w:r>
        <w:rPr>
          <w:sz w:val="24"/>
          <w:szCs w:val="24"/>
        </w:rPr>
        <w:t xml:space="preserve"> Antihistamin til systemisk anvendelse, </w:t>
      </w:r>
      <w:proofErr w:type="spellStart"/>
      <w:r>
        <w:rPr>
          <w:sz w:val="24"/>
          <w:szCs w:val="24"/>
        </w:rPr>
        <w:t>piperazinderiviat</w:t>
      </w:r>
      <w:proofErr w:type="spellEnd"/>
      <w:r w:rsidR="009C02D4">
        <w:rPr>
          <w:sz w:val="24"/>
          <w:szCs w:val="24"/>
        </w:rPr>
        <w:t>,</w:t>
      </w:r>
      <w:r>
        <w:rPr>
          <w:sz w:val="24"/>
          <w:szCs w:val="24"/>
        </w:rPr>
        <w:t xml:space="preserve"> </w:t>
      </w:r>
      <w:proofErr w:type="gramStart"/>
      <w:r>
        <w:rPr>
          <w:sz w:val="24"/>
          <w:szCs w:val="24"/>
        </w:rPr>
        <w:t>ATC kode</w:t>
      </w:r>
      <w:proofErr w:type="gramEnd"/>
      <w:r>
        <w:rPr>
          <w:sz w:val="24"/>
          <w:szCs w:val="24"/>
        </w:rPr>
        <w:t>: R06AE09.</w:t>
      </w:r>
    </w:p>
    <w:p w:rsidR="004209B0" w:rsidRDefault="004209B0" w:rsidP="004209B0">
      <w:pPr>
        <w:suppressAutoHyphens/>
        <w:rPr>
          <w:sz w:val="24"/>
          <w:szCs w:val="24"/>
          <w:u w:val="single"/>
        </w:rPr>
      </w:pPr>
    </w:p>
    <w:p w:rsidR="00602E3F" w:rsidRDefault="00602E3F" w:rsidP="00602E3F">
      <w:pPr>
        <w:suppressAutoHyphens/>
        <w:ind w:left="1702" w:hanging="851"/>
        <w:rPr>
          <w:sz w:val="24"/>
          <w:szCs w:val="24"/>
          <w:u w:val="single"/>
        </w:rPr>
      </w:pPr>
      <w:r>
        <w:rPr>
          <w:sz w:val="24"/>
          <w:szCs w:val="24"/>
          <w:u w:val="single"/>
        </w:rPr>
        <w:t>Virkningsmekanisme</w:t>
      </w:r>
    </w:p>
    <w:p w:rsidR="00602E3F" w:rsidRDefault="00602E3F" w:rsidP="00602E3F">
      <w:pPr>
        <w:suppressAutoHyphens/>
        <w:ind w:left="851"/>
        <w:rPr>
          <w:sz w:val="24"/>
          <w:szCs w:val="24"/>
          <w:lang w:val="sl-SI"/>
        </w:rPr>
      </w:pPr>
      <w:r>
        <w:rPr>
          <w:sz w:val="24"/>
          <w:szCs w:val="24"/>
          <w:lang w:val="sl-SI"/>
        </w:rPr>
        <w:t>Levocetirizin, (R) enantiomer af cetirizin, er en potent og selektiv perifer H1-receptor- antagonist.</w:t>
      </w:r>
    </w:p>
    <w:p w:rsidR="00602E3F" w:rsidRDefault="00602E3F" w:rsidP="00602E3F">
      <w:pPr>
        <w:suppressAutoHyphens/>
        <w:ind w:left="851"/>
        <w:rPr>
          <w:sz w:val="24"/>
          <w:szCs w:val="24"/>
          <w:lang w:val="sl-SI"/>
        </w:rPr>
      </w:pPr>
    </w:p>
    <w:p w:rsidR="00602E3F" w:rsidRDefault="00602E3F" w:rsidP="00602E3F">
      <w:pPr>
        <w:suppressAutoHyphens/>
        <w:ind w:left="851"/>
        <w:rPr>
          <w:sz w:val="24"/>
          <w:szCs w:val="24"/>
          <w:lang w:val="sl-SI"/>
        </w:rPr>
      </w:pPr>
      <w:r>
        <w:rPr>
          <w:sz w:val="24"/>
          <w:szCs w:val="24"/>
          <w:lang w:val="sl-SI"/>
        </w:rPr>
        <w:t>Bindingsstudier viste, at levocetirizin har høj affinitet til humane H1-receptorer (Ki</w:t>
      </w:r>
      <w:r>
        <w:rPr>
          <w:sz w:val="24"/>
          <w:szCs w:val="24"/>
        </w:rPr>
        <w:t> </w:t>
      </w:r>
      <w:r>
        <w:rPr>
          <w:sz w:val="24"/>
          <w:szCs w:val="24"/>
          <w:lang w:val="sl-SI"/>
        </w:rPr>
        <w:t>=</w:t>
      </w:r>
      <w:r>
        <w:rPr>
          <w:sz w:val="24"/>
          <w:szCs w:val="24"/>
        </w:rPr>
        <w:t> </w:t>
      </w:r>
      <w:r>
        <w:rPr>
          <w:sz w:val="24"/>
          <w:szCs w:val="24"/>
          <w:lang w:val="sl-SI"/>
        </w:rPr>
        <w:t>3,2</w:t>
      </w:r>
      <w:r>
        <w:rPr>
          <w:sz w:val="24"/>
          <w:szCs w:val="24"/>
        </w:rPr>
        <w:t> </w:t>
      </w:r>
      <w:r>
        <w:rPr>
          <w:sz w:val="24"/>
          <w:szCs w:val="24"/>
          <w:lang w:val="sl-SI"/>
        </w:rPr>
        <w:t>nmol/l). Levocetirizin har en affinitet der er 2</w:t>
      </w:r>
      <w:r>
        <w:rPr>
          <w:sz w:val="24"/>
          <w:szCs w:val="24"/>
        </w:rPr>
        <w:t> </w:t>
      </w:r>
      <w:r>
        <w:rPr>
          <w:sz w:val="24"/>
          <w:szCs w:val="24"/>
          <w:lang w:val="sl-SI"/>
        </w:rPr>
        <w:t>gange højere end cetirizins (Ki</w:t>
      </w:r>
      <w:r>
        <w:rPr>
          <w:sz w:val="24"/>
          <w:szCs w:val="24"/>
        </w:rPr>
        <w:t> </w:t>
      </w:r>
      <w:r>
        <w:rPr>
          <w:sz w:val="24"/>
          <w:szCs w:val="24"/>
          <w:lang w:val="sl-SI"/>
        </w:rPr>
        <w:t>=</w:t>
      </w:r>
      <w:r>
        <w:rPr>
          <w:sz w:val="24"/>
          <w:szCs w:val="24"/>
        </w:rPr>
        <w:t> </w:t>
      </w:r>
      <w:r>
        <w:rPr>
          <w:sz w:val="24"/>
          <w:szCs w:val="24"/>
          <w:lang w:val="sl-SI"/>
        </w:rPr>
        <w:t>6,3</w:t>
      </w:r>
      <w:r>
        <w:rPr>
          <w:sz w:val="24"/>
          <w:szCs w:val="24"/>
        </w:rPr>
        <w:t> </w:t>
      </w:r>
      <w:r>
        <w:rPr>
          <w:sz w:val="24"/>
          <w:szCs w:val="24"/>
          <w:lang w:val="sl-SI"/>
        </w:rPr>
        <w:t>nmol/1). Levocetirizin dissocieres fra H1-receptorerne med en halveringstid på 115</w:t>
      </w:r>
      <w:r>
        <w:rPr>
          <w:sz w:val="24"/>
          <w:szCs w:val="24"/>
        </w:rPr>
        <w:t> </w:t>
      </w:r>
      <w:r>
        <w:rPr>
          <w:sz w:val="24"/>
          <w:szCs w:val="24"/>
          <w:u w:val="single"/>
          <w:lang w:val="sl-SI"/>
        </w:rPr>
        <w:t>+</w:t>
      </w:r>
      <w:r>
        <w:rPr>
          <w:sz w:val="24"/>
          <w:szCs w:val="24"/>
        </w:rPr>
        <w:t> </w:t>
      </w:r>
      <w:r>
        <w:rPr>
          <w:sz w:val="24"/>
          <w:szCs w:val="24"/>
          <w:lang w:val="sl-SI"/>
        </w:rPr>
        <w:t>38</w:t>
      </w:r>
      <w:r>
        <w:rPr>
          <w:sz w:val="24"/>
          <w:szCs w:val="24"/>
        </w:rPr>
        <w:t> </w:t>
      </w:r>
      <w:r>
        <w:rPr>
          <w:sz w:val="24"/>
          <w:szCs w:val="24"/>
          <w:lang w:val="sl-SI"/>
        </w:rPr>
        <w:t>min.</w:t>
      </w:r>
    </w:p>
    <w:p w:rsidR="00602E3F" w:rsidRDefault="00602E3F" w:rsidP="00602E3F">
      <w:pPr>
        <w:suppressAutoHyphens/>
        <w:ind w:left="851"/>
        <w:rPr>
          <w:sz w:val="24"/>
          <w:szCs w:val="24"/>
          <w:lang w:val="sl-SI"/>
        </w:rPr>
      </w:pPr>
    </w:p>
    <w:p w:rsidR="00602E3F" w:rsidRDefault="00602E3F" w:rsidP="00602E3F">
      <w:pPr>
        <w:suppressAutoHyphens/>
        <w:ind w:left="851"/>
        <w:rPr>
          <w:sz w:val="24"/>
          <w:szCs w:val="24"/>
          <w:lang w:val="sl-SI"/>
        </w:rPr>
      </w:pPr>
      <w:r>
        <w:rPr>
          <w:sz w:val="24"/>
          <w:szCs w:val="24"/>
          <w:lang w:val="sl-SI"/>
        </w:rPr>
        <w:t>Efter administration af en enkeltdosis levocetirizin var 90</w:t>
      </w:r>
      <w:r>
        <w:rPr>
          <w:sz w:val="24"/>
          <w:szCs w:val="24"/>
        </w:rPr>
        <w:t> </w:t>
      </w:r>
      <w:r>
        <w:rPr>
          <w:sz w:val="24"/>
          <w:szCs w:val="24"/>
          <w:lang w:val="sl-SI"/>
        </w:rPr>
        <w:t>% af receptorerne blokeret efter 4</w:t>
      </w:r>
      <w:r>
        <w:rPr>
          <w:sz w:val="24"/>
          <w:szCs w:val="24"/>
        </w:rPr>
        <w:t> </w:t>
      </w:r>
      <w:r>
        <w:rPr>
          <w:sz w:val="24"/>
          <w:szCs w:val="24"/>
          <w:lang w:val="sl-SI"/>
        </w:rPr>
        <w:t>timer og 57</w:t>
      </w:r>
      <w:r>
        <w:rPr>
          <w:sz w:val="24"/>
          <w:szCs w:val="24"/>
        </w:rPr>
        <w:t> </w:t>
      </w:r>
      <w:r>
        <w:rPr>
          <w:sz w:val="24"/>
          <w:szCs w:val="24"/>
          <w:lang w:val="sl-SI"/>
        </w:rPr>
        <w:t>% efter 24</w:t>
      </w:r>
      <w:r>
        <w:rPr>
          <w:sz w:val="24"/>
          <w:szCs w:val="24"/>
        </w:rPr>
        <w:t> </w:t>
      </w:r>
      <w:r>
        <w:rPr>
          <w:sz w:val="24"/>
          <w:szCs w:val="24"/>
          <w:lang w:val="sl-SI"/>
        </w:rPr>
        <w:t>timer.</w:t>
      </w:r>
    </w:p>
    <w:p w:rsidR="00602E3F" w:rsidRDefault="00602E3F" w:rsidP="00602E3F">
      <w:pPr>
        <w:suppressAutoHyphens/>
        <w:ind w:left="851" w:hanging="851"/>
        <w:rPr>
          <w:sz w:val="24"/>
          <w:szCs w:val="24"/>
          <w:lang w:val="sl-SI"/>
        </w:rPr>
      </w:pPr>
    </w:p>
    <w:p w:rsidR="009C02D4" w:rsidRPr="00436ECB" w:rsidRDefault="009C02D4" w:rsidP="009C02D4">
      <w:pPr>
        <w:suppressAutoHyphens/>
        <w:ind w:left="851"/>
        <w:rPr>
          <w:sz w:val="24"/>
          <w:szCs w:val="24"/>
          <w:lang w:val="sl-SI"/>
        </w:rPr>
      </w:pPr>
      <w:r w:rsidRPr="00436ECB">
        <w:rPr>
          <w:sz w:val="24"/>
          <w:szCs w:val="24"/>
          <w:lang w:val="sl-SI"/>
        </w:rPr>
        <w:t>Farmakodynamiske studier med raske frivillige forsøgspersoner viste, at levocetirizin ved halv dosis, har samme virkning som cetirizin på både hud og næse.</w:t>
      </w:r>
    </w:p>
    <w:p w:rsidR="009C02D4" w:rsidRPr="00436ECB" w:rsidRDefault="009C02D4" w:rsidP="009C02D4">
      <w:pPr>
        <w:suppressAutoHyphens/>
        <w:ind w:left="851" w:hanging="851"/>
        <w:rPr>
          <w:sz w:val="24"/>
          <w:szCs w:val="24"/>
          <w:lang w:val="sl-SI"/>
        </w:rPr>
      </w:pPr>
    </w:p>
    <w:p w:rsidR="009C02D4" w:rsidRPr="00436ECB" w:rsidRDefault="009C02D4" w:rsidP="009C02D4">
      <w:pPr>
        <w:suppressAutoHyphens/>
        <w:ind w:left="851"/>
        <w:rPr>
          <w:sz w:val="24"/>
          <w:szCs w:val="24"/>
          <w:u w:val="single"/>
          <w:lang w:val="sl-SI"/>
        </w:rPr>
      </w:pPr>
      <w:r w:rsidRPr="00436ECB">
        <w:rPr>
          <w:sz w:val="24"/>
          <w:szCs w:val="24"/>
          <w:u w:val="single"/>
          <w:lang w:val="sl-SI"/>
        </w:rPr>
        <w:t>Farmakodynamisk virkning</w:t>
      </w:r>
    </w:p>
    <w:p w:rsidR="009C02D4" w:rsidRPr="00436ECB" w:rsidRDefault="009C02D4" w:rsidP="009C02D4">
      <w:pPr>
        <w:suppressAutoHyphens/>
        <w:ind w:left="851"/>
        <w:rPr>
          <w:sz w:val="24"/>
          <w:szCs w:val="24"/>
        </w:rPr>
      </w:pPr>
      <w:r w:rsidRPr="00436ECB">
        <w:rPr>
          <w:sz w:val="24"/>
          <w:szCs w:val="24"/>
        </w:rPr>
        <w:t xml:space="preserve">Den </w:t>
      </w:r>
      <w:proofErr w:type="spellStart"/>
      <w:r w:rsidRPr="00436ECB">
        <w:rPr>
          <w:sz w:val="24"/>
          <w:szCs w:val="24"/>
        </w:rPr>
        <w:t>farmakodynamiske</w:t>
      </w:r>
      <w:proofErr w:type="spellEnd"/>
      <w:r w:rsidRPr="00436ECB">
        <w:rPr>
          <w:sz w:val="24"/>
          <w:szCs w:val="24"/>
        </w:rPr>
        <w:t xml:space="preserve"> virkning af </w:t>
      </w:r>
      <w:proofErr w:type="spellStart"/>
      <w:r w:rsidRPr="00436ECB">
        <w:rPr>
          <w:sz w:val="24"/>
          <w:szCs w:val="24"/>
        </w:rPr>
        <w:t>levocetirizin</w:t>
      </w:r>
      <w:proofErr w:type="spellEnd"/>
      <w:r w:rsidRPr="00436ECB">
        <w:rPr>
          <w:sz w:val="24"/>
          <w:szCs w:val="24"/>
        </w:rPr>
        <w:t xml:space="preserve"> er blevet undersøgt i randomiserede, kontrollerede kliniske studier:</w:t>
      </w:r>
    </w:p>
    <w:p w:rsidR="009C02D4" w:rsidRPr="00436ECB" w:rsidRDefault="009C02D4" w:rsidP="009C02D4">
      <w:pPr>
        <w:suppressAutoHyphens/>
        <w:ind w:left="851" w:hanging="851"/>
        <w:rPr>
          <w:sz w:val="24"/>
          <w:szCs w:val="24"/>
        </w:rPr>
      </w:pPr>
      <w:r w:rsidRPr="00436ECB">
        <w:rPr>
          <w:sz w:val="24"/>
          <w:szCs w:val="24"/>
        </w:rPr>
        <w:tab/>
        <w:t xml:space="preserve">I et studie, som sammenlignede virkningen af </w:t>
      </w:r>
      <w:proofErr w:type="spellStart"/>
      <w:r w:rsidRPr="00436ECB">
        <w:rPr>
          <w:sz w:val="24"/>
          <w:szCs w:val="24"/>
        </w:rPr>
        <w:t>levocetirizin</w:t>
      </w:r>
      <w:proofErr w:type="spellEnd"/>
      <w:r w:rsidRPr="00436ECB">
        <w:rPr>
          <w:sz w:val="24"/>
          <w:szCs w:val="24"/>
        </w:rPr>
        <w:t xml:space="preserve"> 5 mg, </w:t>
      </w:r>
      <w:proofErr w:type="spellStart"/>
      <w:r w:rsidRPr="00436ECB">
        <w:rPr>
          <w:sz w:val="24"/>
          <w:szCs w:val="24"/>
        </w:rPr>
        <w:t>desloratadin</w:t>
      </w:r>
      <w:proofErr w:type="spellEnd"/>
      <w:r w:rsidRPr="00436ECB">
        <w:rPr>
          <w:sz w:val="24"/>
          <w:szCs w:val="24"/>
        </w:rPr>
        <w:t xml:space="preserve"> 5 mg og placebo på histamininducerede vabler og rødme, resulterede </w:t>
      </w:r>
      <w:proofErr w:type="spellStart"/>
      <w:r w:rsidRPr="00436ECB">
        <w:rPr>
          <w:sz w:val="24"/>
          <w:szCs w:val="24"/>
        </w:rPr>
        <w:t>levocetirizinbehandlingen</w:t>
      </w:r>
      <w:proofErr w:type="spellEnd"/>
      <w:r w:rsidRPr="00436ECB">
        <w:rPr>
          <w:sz w:val="24"/>
          <w:szCs w:val="24"/>
        </w:rPr>
        <w:t xml:space="preserve"> i en signifikant nedsættelse af dannelse af vabler og rødme. Nedsættelsen var størst i de første 12 timer og varede i 24 timer (p &lt; 0,001) sammenlignet med placebo og </w:t>
      </w:r>
      <w:proofErr w:type="spellStart"/>
      <w:r w:rsidRPr="00436ECB">
        <w:rPr>
          <w:sz w:val="24"/>
          <w:szCs w:val="24"/>
        </w:rPr>
        <w:t>desloratadin</w:t>
      </w:r>
      <w:proofErr w:type="spellEnd"/>
      <w:r w:rsidRPr="00436ECB">
        <w:rPr>
          <w:sz w:val="24"/>
          <w:szCs w:val="24"/>
        </w:rPr>
        <w:t>.</w:t>
      </w:r>
    </w:p>
    <w:p w:rsidR="009C02D4" w:rsidRPr="00436ECB" w:rsidRDefault="009C02D4" w:rsidP="009C02D4">
      <w:pPr>
        <w:suppressAutoHyphens/>
        <w:ind w:left="851" w:hanging="851"/>
        <w:rPr>
          <w:sz w:val="24"/>
          <w:szCs w:val="24"/>
        </w:rPr>
      </w:pPr>
    </w:p>
    <w:p w:rsidR="009C02D4" w:rsidRPr="00436ECB" w:rsidRDefault="009C02D4" w:rsidP="009C02D4">
      <w:pPr>
        <w:suppressAutoHyphens/>
        <w:ind w:left="851"/>
        <w:rPr>
          <w:sz w:val="24"/>
          <w:szCs w:val="24"/>
        </w:rPr>
      </w:pPr>
      <w:r w:rsidRPr="00436ECB">
        <w:rPr>
          <w:sz w:val="24"/>
          <w:szCs w:val="24"/>
        </w:rPr>
        <w:t xml:space="preserve">Virkningen af </w:t>
      </w:r>
      <w:proofErr w:type="spellStart"/>
      <w:r w:rsidRPr="00436ECB">
        <w:rPr>
          <w:sz w:val="24"/>
          <w:szCs w:val="24"/>
        </w:rPr>
        <w:t>levocetirizin</w:t>
      </w:r>
      <w:proofErr w:type="spellEnd"/>
      <w:r w:rsidRPr="00436ECB">
        <w:rPr>
          <w:sz w:val="24"/>
          <w:szCs w:val="24"/>
        </w:rPr>
        <w:t xml:space="preserve"> 5 mg på polleninducerede symptomer er observeret 1 time efter indtagelse af lægemidlet i placebokontrollerede studier ved brug af ”allergen </w:t>
      </w:r>
      <w:proofErr w:type="spellStart"/>
      <w:r w:rsidRPr="00436ECB">
        <w:rPr>
          <w:sz w:val="24"/>
          <w:szCs w:val="24"/>
        </w:rPr>
        <w:t>challenge</w:t>
      </w:r>
      <w:proofErr w:type="spellEnd"/>
      <w:r w:rsidRPr="00436ECB">
        <w:rPr>
          <w:sz w:val="24"/>
          <w:szCs w:val="24"/>
        </w:rPr>
        <w:t xml:space="preserve"> </w:t>
      </w:r>
      <w:proofErr w:type="spellStart"/>
      <w:r w:rsidRPr="00436ECB">
        <w:rPr>
          <w:sz w:val="24"/>
          <w:szCs w:val="24"/>
        </w:rPr>
        <w:t>chamber</w:t>
      </w:r>
      <w:proofErr w:type="spellEnd"/>
      <w:r w:rsidRPr="00436ECB">
        <w:rPr>
          <w:sz w:val="24"/>
          <w:szCs w:val="24"/>
        </w:rPr>
        <w:t>” modellen.</w:t>
      </w:r>
    </w:p>
    <w:p w:rsidR="009C02D4" w:rsidRPr="00436ECB" w:rsidRDefault="009C02D4" w:rsidP="009C02D4">
      <w:pPr>
        <w:suppressAutoHyphens/>
        <w:ind w:left="851" w:hanging="851"/>
        <w:rPr>
          <w:sz w:val="24"/>
          <w:szCs w:val="24"/>
        </w:rPr>
      </w:pPr>
    </w:p>
    <w:p w:rsidR="009C02D4" w:rsidRPr="00436ECB" w:rsidRDefault="009C02D4" w:rsidP="009C02D4">
      <w:pPr>
        <w:suppressAutoHyphens/>
        <w:ind w:left="851"/>
        <w:rPr>
          <w:sz w:val="24"/>
          <w:szCs w:val="24"/>
        </w:rPr>
      </w:pPr>
      <w:r w:rsidRPr="00436ECB">
        <w:rPr>
          <w:i/>
          <w:sz w:val="24"/>
          <w:szCs w:val="24"/>
        </w:rPr>
        <w:t>In </w:t>
      </w:r>
      <w:proofErr w:type="spellStart"/>
      <w:r w:rsidRPr="00436ECB">
        <w:rPr>
          <w:i/>
          <w:sz w:val="24"/>
          <w:szCs w:val="24"/>
        </w:rPr>
        <w:t>vitro</w:t>
      </w:r>
      <w:proofErr w:type="spellEnd"/>
      <w:r w:rsidRPr="00436ECB">
        <w:rPr>
          <w:sz w:val="24"/>
          <w:szCs w:val="24"/>
        </w:rPr>
        <w:t>-studier (</w:t>
      </w:r>
      <w:proofErr w:type="spellStart"/>
      <w:r w:rsidRPr="00436ECB">
        <w:rPr>
          <w:sz w:val="24"/>
          <w:szCs w:val="24"/>
        </w:rPr>
        <w:t>Boyden</w:t>
      </w:r>
      <w:proofErr w:type="spellEnd"/>
      <w:r w:rsidRPr="00436ECB">
        <w:rPr>
          <w:sz w:val="24"/>
          <w:szCs w:val="24"/>
        </w:rPr>
        <w:t xml:space="preserve">-kamre og cellelagsteknikker) viser, at </w:t>
      </w:r>
      <w:proofErr w:type="spellStart"/>
      <w:r w:rsidRPr="00436ECB">
        <w:rPr>
          <w:sz w:val="24"/>
          <w:szCs w:val="24"/>
        </w:rPr>
        <w:t>levocetirizin</w:t>
      </w:r>
      <w:proofErr w:type="spellEnd"/>
      <w:r w:rsidRPr="00436ECB">
        <w:rPr>
          <w:sz w:val="24"/>
          <w:szCs w:val="24"/>
        </w:rPr>
        <w:t xml:space="preserve"> hæmmer </w:t>
      </w:r>
      <w:proofErr w:type="spellStart"/>
      <w:r w:rsidRPr="00436ECB">
        <w:rPr>
          <w:sz w:val="24"/>
          <w:szCs w:val="24"/>
        </w:rPr>
        <w:t>eotaxin</w:t>
      </w:r>
      <w:proofErr w:type="spellEnd"/>
      <w:r w:rsidRPr="00436ECB">
        <w:rPr>
          <w:sz w:val="24"/>
          <w:szCs w:val="24"/>
        </w:rPr>
        <w:t xml:space="preserve">-induceret </w:t>
      </w:r>
      <w:proofErr w:type="spellStart"/>
      <w:r w:rsidRPr="00436ECB">
        <w:rPr>
          <w:sz w:val="24"/>
          <w:szCs w:val="24"/>
        </w:rPr>
        <w:t>eosinofil</w:t>
      </w:r>
      <w:proofErr w:type="spellEnd"/>
      <w:r w:rsidRPr="00436ECB">
        <w:rPr>
          <w:sz w:val="24"/>
          <w:szCs w:val="24"/>
        </w:rPr>
        <w:t xml:space="preserve"> </w:t>
      </w:r>
      <w:proofErr w:type="spellStart"/>
      <w:r w:rsidRPr="00436ECB">
        <w:rPr>
          <w:sz w:val="24"/>
          <w:szCs w:val="24"/>
        </w:rPr>
        <w:t>transendothelial</w:t>
      </w:r>
      <w:proofErr w:type="spellEnd"/>
      <w:r w:rsidRPr="00436ECB">
        <w:rPr>
          <w:sz w:val="24"/>
          <w:szCs w:val="24"/>
        </w:rPr>
        <w:t xml:space="preserve"> migration gennem både hud- og lungeceller. Et </w:t>
      </w:r>
      <w:proofErr w:type="spellStart"/>
      <w:r w:rsidRPr="00436ECB">
        <w:rPr>
          <w:sz w:val="24"/>
          <w:szCs w:val="24"/>
        </w:rPr>
        <w:t>farmakodynamisk</w:t>
      </w:r>
      <w:proofErr w:type="spellEnd"/>
      <w:r w:rsidRPr="00436ECB">
        <w:rPr>
          <w:sz w:val="24"/>
          <w:szCs w:val="24"/>
        </w:rPr>
        <w:t xml:space="preserve"> eksperimentelt </w:t>
      </w:r>
      <w:r w:rsidRPr="00436ECB">
        <w:rPr>
          <w:i/>
          <w:sz w:val="24"/>
          <w:szCs w:val="24"/>
        </w:rPr>
        <w:t>in </w:t>
      </w:r>
      <w:proofErr w:type="spellStart"/>
      <w:r w:rsidRPr="00436ECB">
        <w:rPr>
          <w:i/>
          <w:sz w:val="24"/>
          <w:szCs w:val="24"/>
        </w:rPr>
        <w:t>vivo</w:t>
      </w:r>
      <w:proofErr w:type="spellEnd"/>
      <w:r w:rsidRPr="00436ECB">
        <w:rPr>
          <w:sz w:val="24"/>
          <w:szCs w:val="24"/>
        </w:rPr>
        <w:t xml:space="preserve">-studie (hud kammer teknik) viste tre primære hæmmende virkninger ved </w:t>
      </w:r>
      <w:proofErr w:type="spellStart"/>
      <w:r w:rsidRPr="00436ECB">
        <w:rPr>
          <w:sz w:val="24"/>
          <w:szCs w:val="24"/>
        </w:rPr>
        <w:t>levocetirizin</w:t>
      </w:r>
      <w:proofErr w:type="spellEnd"/>
      <w:r w:rsidRPr="00436ECB">
        <w:rPr>
          <w:sz w:val="24"/>
          <w:szCs w:val="24"/>
        </w:rPr>
        <w:t xml:space="preserve"> 5 mg i de første 6 timer af en pollen-induceret reaktion, sammenlignet med placebo, hos 14 voksne patienter: hæmning af VCAM-1-release, modulering af </w:t>
      </w:r>
      <w:proofErr w:type="spellStart"/>
      <w:r w:rsidRPr="00436ECB">
        <w:rPr>
          <w:sz w:val="24"/>
          <w:szCs w:val="24"/>
        </w:rPr>
        <w:t>vaskulær</w:t>
      </w:r>
      <w:proofErr w:type="spellEnd"/>
      <w:r w:rsidRPr="00436ECB">
        <w:rPr>
          <w:sz w:val="24"/>
          <w:szCs w:val="24"/>
        </w:rPr>
        <w:t xml:space="preserve"> permeabilitet og reduktion af </w:t>
      </w:r>
      <w:proofErr w:type="spellStart"/>
      <w:r w:rsidRPr="00436ECB">
        <w:rPr>
          <w:sz w:val="24"/>
          <w:szCs w:val="24"/>
        </w:rPr>
        <w:t>eosinofil</w:t>
      </w:r>
      <w:proofErr w:type="spellEnd"/>
      <w:r w:rsidRPr="00436ECB">
        <w:rPr>
          <w:sz w:val="24"/>
          <w:szCs w:val="24"/>
        </w:rPr>
        <w:t xml:space="preserve"> migration.</w:t>
      </w:r>
    </w:p>
    <w:p w:rsidR="009C02D4" w:rsidRPr="00436ECB" w:rsidRDefault="009C02D4" w:rsidP="009C02D4">
      <w:pPr>
        <w:suppressAutoHyphens/>
        <w:ind w:left="851"/>
        <w:rPr>
          <w:sz w:val="24"/>
          <w:szCs w:val="24"/>
        </w:rPr>
      </w:pPr>
    </w:p>
    <w:p w:rsidR="009C02D4" w:rsidRPr="00436ECB" w:rsidRDefault="009C02D4" w:rsidP="009C02D4">
      <w:pPr>
        <w:suppressAutoHyphens/>
        <w:ind w:left="851"/>
        <w:rPr>
          <w:sz w:val="24"/>
          <w:szCs w:val="24"/>
          <w:u w:val="single"/>
          <w:lang w:val="sl-SI"/>
        </w:rPr>
      </w:pPr>
      <w:r w:rsidRPr="00436ECB">
        <w:rPr>
          <w:sz w:val="24"/>
          <w:szCs w:val="24"/>
          <w:u w:val="single"/>
          <w:lang w:val="sl-SI"/>
        </w:rPr>
        <w:t>Klinisk virkning og sikkerhed</w:t>
      </w:r>
    </w:p>
    <w:p w:rsidR="009C02D4" w:rsidRPr="00436ECB" w:rsidRDefault="009C02D4" w:rsidP="009C02D4">
      <w:pPr>
        <w:tabs>
          <w:tab w:val="left" w:pos="851"/>
        </w:tabs>
        <w:ind w:left="851"/>
        <w:rPr>
          <w:sz w:val="24"/>
          <w:szCs w:val="24"/>
        </w:rPr>
      </w:pPr>
      <w:proofErr w:type="spellStart"/>
      <w:r w:rsidRPr="00436ECB">
        <w:rPr>
          <w:sz w:val="24"/>
          <w:szCs w:val="24"/>
        </w:rPr>
        <w:t>Levocetirizins</w:t>
      </w:r>
      <w:proofErr w:type="spellEnd"/>
      <w:r w:rsidRPr="00436ECB">
        <w:rPr>
          <w:sz w:val="24"/>
          <w:szCs w:val="24"/>
        </w:rPr>
        <w:t xml:space="preserve"> effekt og sikkerhed er blevet påvist i flere dobbeltblinde, placebokontrollerede, kliniske studier hos voksne patienter, der lider af sæsonbetonet allergisk </w:t>
      </w:r>
      <w:proofErr w:type="spellStart"/>
      <w:r w:rsidRPr="00436ECB">
        <w:rPr>
          <w:sz w:val="24"/>
          <w:szCs w:val="24"/>
        </w:rPr>
        <w:t>rhinit</w:t>
      </w:r>
      <w:proofErr w:type="spellEnd"/>
      <w:r w:rsidRPr="00436ECB">
        <w:rPr>
          <w:sz w:val="24"/>
          <w:szCs w:val="24"/>
        </w:rPr>
        <w:t xml:space="preserve">, helårs allergisk </w:t>
      </w:r>
      <w:proofErr w:type="spellStart"/>
      <w:r w:rsidRPr="00436ECB">
        <w:rPr>
          <w:sz w:val="24"/>
          <w:szCs w:val="24"/>
        </w:rPr>
        <w:t>rhinit</w:t>
      </w:r>
      <w:proofErr w:type="spellEnd"/>
      <w:r w:rsidRPr="00436ECB">
        <w:rPr>
          <w:sz w:val="24"/>
          <w:szCs w:val="24"/>
        </w:rPr>
        <w:t xml:space="preserve">, eller persisterende allergisk </w:t>
      </w:r>
      <w:proofErr w:type="spellStart"/>
      <w:r w:rsidRPr="00436ECB">
        <w:rPr>
          <w:sz w:val="24"/>
          <w:szCs w:val="24"/>
        </w:rPr>
        <w:t>rhinit</w:t>
      </w:r>
      <w:proofErr w:type="spellEnd"/>
      <w:r w:rsidRPr="00436ECB">
        <w:rPr>
          <w:sz w:val="24"/>
          <w:szCs w:val="24"/>
        </w:rPr>
        <w:t xml:space="preserve">. </w:t>
      </w:r>
      <w:proofErr w:type="spellStart"/>
      <w:r w:rsidRPr="00436ECB">
        <w:rPr>
          <w:sz w:val="24"/>
          <w:szCs w:val="24"/>
        </w:rPr>
        <w:t>Levocetirizin</w:t>
      </w:r>
      <w:proofErr w:type="spellEnd"/>
      <w:r w:rsidRPr="00436ECB">
        <w:rPr>
          <w:sz w:val="24"/>
          <w:szCs w:val="24"/>
        </w:rPr>
        <w:t xml:space="preserve"> forbedrer signifikant symptomerne ved allergisk </w:t>
      </w:r>
      <w:proofErr w:type="spellStart"/>
      <w:r w:rsidRPr="00436ECB">
        <w:rPr>
          <w:sz w:val="24"/>
          <w:szCs w:val="24"/>
        </w:rPr>
        <w:t>rhinit</w:t>
      </w:r>
      <w:proofErr w:type="spellEnd"/>
      <w:r w:rsidRPr="00436ECB">
        <w:rPr>
          <w:sz w:val="24"/>
          <w:szCs w:val="24"/>
        </w:rPr>
        <w:t>, inklusive nasal forstoppelse i visse studier.</w:t>
      </w:r>
    </w:p>
    <w:p w:rsidR="009C02D4" w:rsidRPr="00436ECB" w:rsidRDefault="009C02D4" w:rsidP="009C02D4">
      <w:pPr>
        <w:tabs>
          <w:tab w:val="left" w:pos="851"/>
        </w:tabs>
        <w:ind w:left="851"/>
        <w:rPr>
          <w:sz w:val="24"/>
          <w:szCs w:val="24"/>
        </w:rPr>
      </w:pPr>
    </w:p>
    <w:p w:rsidR="009C02D4" w:rsidRPr="00436ECB" w:rsidRDefault="009C02D4" w:rsidP="009C02D4">
      <w:pPr>
        <w:tabs>
          <w:tab w:val="left" w:pos="851"/>
        </w:tabs>
        <w:ind w:left="851"/>
        <w:rPr>
          <w:sz w:val="24"/>
          <w:szCs w:val="24"/>
        </w:rPr>
      </w:pPr>
      <w:r w:rsidRPr="00436ECB">
        <w:rPr>
          <w:sz w:val="24"/>
          <w:szCs w:val="24"/>
        </w:rPr>
        <w:t xml:space="preserve">Et 6-måneders klinisk studie med 551 voksne patienter (heraf 276 patienter behandlet med </w:t>
      </w:r>
      <w:proofErr w:type="spellStart"/>
      <w:r w:rsidRPr="00436ECB">
        <w:rPr>
          <w:sz w:val="24"/>
          <w:szCs w:val="24"/>
        </w:rPr>
        <w:t>levocetirizin</w:t>
      </w:r>
      <w:proofErr w:type="spellEnd"/>
      <w:r w:rsidRPr="00436ECB">
        <w:rPr>
          <w:sz w:val="24"/>
          <w:szCs w:val="24"/>
        </w:rPr>
        <w:t xml:space="preserve">), som led af persisterende allergisk </w:t>
      </w:r>
      <w:proofErr w:type="spellStart"/>
      <w:r w:rsidRPr="00436ECB">
        <w:rPr>
          <w:sz w:val="24"/>
          <w:szCs w:val="24"/>
        </w:rPr>
        <w:t>rhinit</w:t>
      </w:r>
      <w:proofErr w:type="spellEnd"/>
      <w:r w:rsidRPr="00436ECB">
        <w:rPr>
          <w:sz w:val="24"/>
          <w:szCs w:val="24"/>
        </w:rPr>
        <w:t xml:space="preserve"> (symptomer 4 dage om ugen i mindst 4 på hinanden følgende uger) og som var overfølsomme (sensibiliserede) over for husstøvmider og græspollen viste, at </w:t>
      </w:r>
      <w:proofErr w:type="spellStart"/>
      <w:r w:rsidRPr="00436ECB">
        <w:rPr>
          <w:sz w:val="24"/>
          <w:szCs w:val="24"/>
        </w:rPr>
        <w:t>levocetirizin</w:t>
      </w:r>
      <w:proofErr w:type="spellEnd"/>
      <w:r w:rsidRPr="00436ECB">
        <w:rPr>
          <w:sz w:val="24"/>
          <w:szCs w:val="24"/>
        </w:rPr>
        <w:t xml:space="preserve"> 5 mg var klinisk og statistisk signifikant mere potent end placebo til at lindre totale symptomer (total symptom-score) for allergisk </w:t>
      </w:r>
      <w:proofErr w:type="spellStart"/>
      <w:r w:rsidRPr="00436ECB">
        <w:rPr>
          <w:sz w:val="24"/>
          <w:szCs w:val="24"/>
        </w:rPr>
        <w:t>rhinit</w:t>
      </w:r>
      <w:proofErr w:type="spellEnd"/>
      <w:r w:rsidRPr="00436ECB">
        <w:rPr>
          <w:sz w:val="24"/>
          <w:szCs w:val="24"/>
        </w:rPr>
        <w:t xml:space="preserve"> under hele studiets varighed og uden nogen </w:t>
      </w:r>
      <w:proofErr w:type="spellStart"/>
      <w:r w:rsidRPr="00436ECB">
        <w:rPr>
          <w:sz w:val="24"/>
          <w:szCs w:val="24"/>
        </w:rPr>
        <w:t>takyfylaksi</w:t>
      </w:r>
      <w:proofErr w:type="spellEnd"/>
      <w:r w:rsidRPr="00436ECB">
        <w:rPr>
          <w:sz w:val="24"/>
          <w:szCs w:val="24"/>
        </w:rPr>
        <w:t xml:space="preserve">. Under hele studiets varighed gav </w:t>
      </w:r>
      <w:proofErr w:type="spellStart"/>
      <w:r w:rsidRPr="00436ECB">
        <w:rPr>
          <w:sz w:val="24"/>
          <w:szCs w:val="24"/>
        </w:rPr>
        <w:t>levocetirizin</w:t>
      </w:r>
      <w:proofErr w:type="spellEnd"/>
      <w:r w:rsidRPr="00436ECB">
        <w:rPr>
          <w:sz w:val="24"/>
          <w:szCs w:val="24"/>
        </w:rPr>
        <w:t xml:space="preserve"> en signifikant forbedring af patienternes livskvalitet.</w:t>
      </w:r>
    </w:p>
    <w:p w:rsidR="00602E3F" w:rsidRDefault="00602E3F" w:rsidP="009C02D4">
      <w:pPr>
        <w:tabs>
          <w:tab w:val="left" w:pos="851"/>
        </w:tabs>
        <w:rPr>
          <w:sz w:val="24"/>
          <w:szCs w:val="24"/>
        </w:rPr>
      </w:pPr>
    </w:p>
    <w:p w:rsidR="009C02D4" w:rsidRPr="00436ECB" w:rsidRDefault="009C02D4" w:rsidP="009C02D4">
      <w:pPr>
        <w:suppressAutoHyphens/>
        <w:ind w:left="851"/>
        <w:rPr>
          <w:sz w:val="24"/>
          <w:szCs w:val="24"/>
          <w:lang w:val="sl-SI"/>
        </w:rPr>
      </w:pPr>
      <w:r w:rsidRPr="00436ECB">
        <w:rPr>
          <w:sz w:val="24"/>
          <w:szCs w:val="24"/>
          <w:lang w:val="sl-SI"/>
        </w:rPr>
        <w:lastRenderedPageBreak/>
        <w:t>I et placebokontrolleret klinisk studie med 166</w:t>
      </w:r>
      <w:r w:rsidRPr="00436ECB">
        <w:rPr>
          <w:sz w:val="24"/>
          <w:szCs w:val="24"/>
        </w:rPr>
        <w:t> </w:t>
      </w:r>
      <w:r w:rsidRPr="00436ECB">
        <w:rPr>
          <w:sz w:val="24"/>
          <w:szCs w:val="24"/>
          <w:lang w:val="sl-SI"/>
        </w:rPr>
        <w:t>patienter med kronisk idiopatisk urticaria, blev 85 patienter behandlet med placebo og 81</w:t>
      </w:r>
      <w:r w:rsidRPr="00436ECB">
        <w:rPr>
          <w:sz w:val="24"/>
          <w:szCs w:val="24"/>
        </w:rPr>
        <w:t> </w:t>
      </w:r>
      <w:r w:rsidRPr="00436ECB">
        <w:rPr>
          <w:sz w:val="24"/>
          <w:szCs w:val="24"/>
          <w:lang w:val="sl-SI"/>
        </w:rPr>
        <w:t>patienter med levocetirizin 5</w:t>
      </w:r>
      <w:r w:rsidRPr="00436ECB">
        <w:rPr>
          <w:sz w:val="24"/>
          <w:szCs w:val="24"/>
        </w:rPr>
        <w:t> </w:t>
      </w:r>
      <w:r w:rsidRPr="00436ECB">
        <w:rPr>
          <w:sz w:val="24"/>
          <w:szCs w:val="24"/>
          <w:lang w:val="sl-SI"/>
        </w:rPr>
        <w:t xml:space="preserve">mg én gang dagligt i 6 uger. Behandlingen med levocetirizin resulterede i et signifikant fald i sværhedsgraden af pruritus i den første uge og over hele behandlingsforløbet sammenlignet med placebo. Levocetirizin resulterede også i en større forbedring af sundhedsrelateret livskvalitet vurderet ud fra </w:t>
      </w:r>
      <w:r w:rsidRPr="00D45B69">
        <w:rPr>
          <w:i/>
          <w:iCs/>
          <w:sz w:val="24"/>
          <w:szCs w:val="24"/>
          <w:lang w:val="sl-SI"/>
        </w:rPr>
        <w:t>”Dermatology Life Quality Index”</w:t>
      </w:r>
      <w:r w:rsidRPr="00436ECB">
        <w:rPr>
          <w:sz w:val="24"/>
          <w:szCs w:val="24"/>
          <w:lang w:val="sl-SI"/>
        </w:rPr>
        <w:t xml:space="preserve"> sammenlignet med placebo.</w:t>
      </w:r>
    </w:p>
    <w:p w:rsidR="00602E3F" w:rsidRDefault="00602E3F" w:rsidP="00602E3F">
      <w:pPr>
        <w:suppressAutoHyphens/>
        <w:ind w:left="851" w:hanging="851"/>
        <w:rPr>
          <w:sz w:val="24"/>
          <w:szCs w:val="24"/>
          <w:lang w:val="sl-SI"/>
        </w:rPr>
      </w:pPr>
    </w:p>
    <w:p w:rsidR="00602E3F" w:rsidRDefault="00602E3F" w:rsidP="00602E3F">
      <w:pPr>
        <w:suppressAutoHyphens/>
        <w:ind w:left="851"/>
        <w:rPr>
          <w:sz w:val="24"/>
          <w:szCs w:val="24"/>
          <w:lang w:val="sl-SI"/>
        </w:rPr>
      </w:pPr>
      <w:r>
        <w:rPr>
          <w:sz w:val="24"/>
          <w:szCs w:val="24"/>
          <w:lang w:val="sl-SI"/>
        </w:rPr>
        <w:t>Kronisk idiopatisk urticaria blev undersøgt som model for tilstande med urticaria. Foruden at være virksomt ved kronisk idiopatisk urticaria forventes levocetirizin at være virksomt som symptomlindring ved andre tilstande med urticaria, da frigørelse af histamin er en kausal faktor for sygdomme med urticaria.</w:t>
      </w:r>
    </w:p>
    <w:p w:rsidR="00602E3F" w:rsidRDefault="00602E3F" w:rsidP="00602E3F">
      <w:pPr>
        <w:tabs>
          <w:tab w:val="left" w:pos="851"/>
        </w:tabs>
        <w:ind w:left="851"/>
        <w:rPr>
          <w:sz w:val="24"/>
          <w:szCs w:val="24"/>
          <w:lang w:val="sl-SI"/>
        </w:rPr>
      </w:pPr>
    </w:p>
    <w:p w:rsidR="00602E3F" w:rsidRDefault="00602E3F" w:rsidP="00602E3F">
      <w:pPr>
        <w:tabs>
          <w:tab w:val="left" w:pos="851"/>
        </w:tabs>
        <w:ind w:left="851"/>
        <w:rPr>
          <w:sz w:val="24"/>
          <w:szCs w:val="24"/>
        </w:rPr>
      </w:pPr>
      <w:proofErr w:type="spellStart"/>
      <w:r>
        <w:rPr>
          <w:sz w:val="24"/>
          <w:szCs w:val="24"/>
        </w:rPr>
        <w:t>EKG'er</w:t>
      </w:r>
      <w:proofErr w:type="spellEnd"/>
      <w:r>
        <w:rPr>
          <w:sz w:val="24"/>
          <w:szCs w:val="24"/>
        </w:rPr>
        <w:t xml:space="preserve"> viste ingen relevant effekt af </w:t>
      </w:r>
      <w:proofErr w:type="spellStart"/>
      <w:r>
        <w:rPr>
          <w:sz w:val="24"/>
          <w:szCs w:val="24"/>
        </w:rPr>
        <w:t>levocetirizin</w:t>
      </w:r>
      <w:proofErr w:type="spellEnd"/>
      <w:r>
        <w:rPr>
          <w:sz w:val="24"/>
          <w:szCs w:val="24"/>
        </w:rPr>
        <w:t xml:space="preserve"> på QT-interval.</w:t>
      </w:r>
    </w:p>
    <w:p w:rsidR="00602E3F" w:rsidRDefault="00602E3F" w:rsidP="00602E3F">
      <w:pPr>
        <w:suppressAutoHyphens/>
        <w:ind w:left="851"/>
        <w:rPr>
          <w:sz w:val="24"/>
          <w:szCs w:val="24"/>
        </w:rPr>
      </w:pPr>
    </w:p>
    <w:p w:rsidR="009C02D4" w:rsidRPr="00436ECB" w:rsidRDefault="009C02D4" w:rsidP="009C02D4">
      <w:pPr>
        <w:suppressAutoHyphens/>
        <w:ind w:left="851"/>
        <w:rPr>
          <w:sz w:val="24"/>
          <w:szCs w:val="24"/>
          <w:u w:val="single"/>
        </w:rPr>
      </w:pPr>
      <w:r w:rsidRPr="00436ECB">
        <w:rPr>
          <w:sz w:val="24"/>
          <w:szCs w:val="24"/>
          <w:u w:val="single"/>
        </w:rPr>
        <w:t>Pædiatrisk population</w:t>
      </w:r>
    </w:p>
    <w:p w:rsidR="009C02D4" w:rsidRPr="00436ECB" w:rsidRDefault="009C02D4" w:rsidP="009C02D4">
      <w:pPr>
        <w:suppressAutoHyphens/>
        <w:ind w:left="851"/>
        <w:rPr>
          <w:sz w:val="24"/>
          <w:szCs w:val="24"/>
        </w:rPr>
      </w:pPr>
      <w:proofErr w:type="spellStart"/>
      <w:r w:rsidRPr="00436ECB">
        <w:rPr>
          <w:sz w:val="24"/>
          <w:szCs w:val="24"/>
        </w:rPr>
        <w:t>Levocetirizintabletters</w:t>
      </w:r>
      <w:proofErr w:type="spellEnd"/>
      <w:r w:rsidRPr="00436ECB">
        <w:rPr>
          <w:sz w:val="24"/>
          <w:szCs w:val="24"/>
        </w:rPr>
        <w:t xml:space="preserve"> virkning og sikkerhed hos børn er blevet undersøgt i to placebokontrollerede kliniske studier med børn i alderen 6 til 12 år, som havde henholdsvis sæsonbetonet allergisk </w:t>
      </w:r>
      <w:proofErr w:type="spellStart"/>
      <w:r w:rsidRPr="00436ECB">
        <w:rPr>
          <w:sz w:val="24"/>
          <w:szCs w:val="24"/>
        </w:rPr>
        <w:t>rhinit</w:t>
      </w:r>
      <w:proofErr w:type="spellEnd"/>
      <w:r w:rsidRPr="00436ECB">
        <w:rPr>
          <w:sz w:val="24"/>
          <w:szCs w:val="24"/>
        </w:rPr>
        <w:t xml:space="preserve"> og </w:t>
      </w:r>
      <w:proofErr w:type="spellStart"/>
      <w:r w:rsidRPr="00436ECB">
        <w:rPr>
          <w:sz w:val="24"/>
          <w:szCs w:val="24"/>
        </w:rPr>
        <w:t>helårsrhinit</w:t>
      </w:r>
      <w:proofErr w:type="spellEnd"/>
      <w:r w:rsidRPr="00436ECB">
        <w:rPr>
          <w:sz w:val="24"/>
          <w:szCs w:val="24"/>
        </w:rPr>
        <w:t xml:space="preserve">. </w:t>
      </w:r>
      <w:proofErr w:type="spellStart"/>
      <w:r w:rsidRPr="00436ECB">
        <w:rPr>
          <w:sz w:val="24"/>
          <w:szCs w:val="24"/>
        </w:rPr>
        <w:t>Levocetirizin</w:t>
      </w:r>
      <w:proofErr w:type="spellEnd"/>
      <w:r w:rsidRPr="00436ECB">
        <w:rPr>
          <w:sz w:val="24"/>
          <w:szCs w:val="24"/>
        </w:rPr>
        <w:t xml:space="preserve"> forbedrede symptomerne signifikant i begge studier og forøgede sundhedsrelateret livskvalitet.</w:t>
      </w:r>
    </w:p>
    <w:p w:rsidR="00602E3F" w:rsidRPr="009C02D4" w:rsidRDefault="00602E3F" w:rsidP="00602E3F">
      <w:pPr>
        <w:suppressAutoHyphens/>
        <w:rPr>
          <w:sz w:val="24"/>
          <w:szCs w:val="24"/>
        </w:rPr>
      </w:pPr>
    </w:p>
    <w:p w:rsidR="00602E3F" w:rsidRDefault="00602E3F" w:rsidP="00602E3F">
      <w:pPr>
        <w:suppressAutoHyphens/>
        <w:ind w:left="851"/>
        <w:rPr>
          <w:rFonts w:eastAsia="SimSun"/>
          <w:sz w:val="24"/>
          <w:szCs w:val="24"/>
          <w:lang w:eastAsia="zh-CN"/>
        </w:rPr>
      </w:pPr>
      <w:r>
        <w:rPr>
          <w:sz w:val="24"/>
          <w:szCs w:val="24"/>
        </w:rPr>
        <w:t>Hos børn under 6 år er klinisk sikkerhed blevet fastslået i adskillige kort- og langvarige kliniske studier:</w:t>
      </w:r>
    </w:p>
    <w:p w:rsidR="001A3E7E" w:rsidRPr="00436ECB" w:rsidRDefault="001A3E7E" w:rsidP="001A3E7E">
      <w:pPr>
        <w:pStyle w:val="Listeafsnit"/>
        <w:numPr>
          <w:ilvl w:val="0"/>
          <w:numId w:val="6"/>
        </w:numPr>
        <w:rPr>
          <w:rFonts w:eastAsia="SimSun"/>
          <w:sz w:val="24"/>
          <w:szCs w:val="24"/>
          <w:lang w:eastAsia="zh-CN"/>
        </w:rPr>
      </w:pPr>
      <w:r w:rsidRPr="00436ECB">
        <w:rPr>
          <w:rFonts w:eastAsia="SimSun"/>
          <w:sz w:val="24"/>
          <w:szCs w:val="24"/>
          <w:lang w:eastAsia="zh-CN"/>
        </w:rPr>
        <w:t>et klinisk studie, hvor 29</w:t>
      </w:r>
      <w:r w:rsidRPr="00436ECB">
        <w:rPr>
          <w:sz w:val="24"/>
          <w:szCs w:val="24"/>
        </w:rPr>
        <w:t> </w:t>
      </w:r>
      <w:r w:rsidRPr="00436ECB">
        <w:rPr>
          <w:rFonts w:eastAsia="SimSun"/>
          <w:sz w:val="24"/>
          <w:szCs w:val="24"/>
          <w:lang w:eastAsia="zh-CN"/>
        </w:rPr>
        <w:t>børn i alderen 2-6</w:t>
      </w:r>
      <w:r w:rsidRPr="00436ECB">
        <w:rPr>
          <w:sz w:val="24"/>
          <w:szCs w:val="24"/>
        </w:rPr>
        <w:t> </w:t>
      </w:r>
      <w:r w:rsidRPr="00436ECB">
        <w:rPr>
          <w:rFonts w:eastAsia="SimSun"/>
          <w:sz w:val="24"/>
          <w:szCs w:val="24"/>
          <w:lang w:eastAsia="zh-CN"/>
        </w:rPr>
        <w:t xml:space="preserve">år med allergisk </w:t>
      </w:r>
      <w:proofErr w:type="spellStart"/>
      <w:r w:rsidRPr="00436ECB">
        <w:rPr>
          <w:rFonts w:eastAsia="SimSun"/>
          <w:sz w:val="24"/>
          <w:szCs w:val="24"/>
          <w:lang w:eastAsia="zh-CN"/>
        </w:rPr>
        <w:t>rhinit</w:t>
      </w:r>
      <w:proofErr w:type="spellEnd"/>
      <w:r w:rsidRPr="00436ECB">
        <w:rPr>
          <w:rFonts w:eastAsia="SimSun"/>
          <w:sz w:val="24"/>
          <w:szCs w:val="24"/>
          <w:lang w:eastAsia="zh-CN"/>
        </w:rPr>
        <w:t xml:space="preserve"> blev behandlet med </w:t>
      </w:r>
      <w:proofErr w:type="spellStart"/>
      <w:r w:rsidRPr="00436ECB">
        <w:rPr>
          <w:rFonts w:eastAsia="SimSun"/>
          <w:sz w:val="24"/>
          <w:szCs w:val="24"/>
          <w:lang w:eastAsia="zh-CN"/>
        </w:rPr>
        <w:t>levocetirizin</w:t>
      </w:r>
      <w:proofErr w:type="spellEnd"/>
      <w:r w:rsidRPr="00436ECB">
        <w:rPr>
          <w:rFonts w:eastAsia="SimSun"/>
          <w:sz w:val="24"/>
          <w:szCs w:val="24"/>
          <w:lang w:eastAsia="zh-CN"/>
        </w:rPr>
        <w:t xml:space="preserve"> 1,25</w:t>
      </w:r>
      <w:r w:rsidRPr="00436ECB">
        <w:rPr>
          <w:sz w:val="24"/>
          <w:szCs w:val="24"/>
        </w:rPr>
        <w:t> </w:t>
      </w:r>
      <w:r w:rsidRPr="00436ECB">
        <w:rPr>
          <w:rFonts w:eastAsia="SimSun"/>
          <w:sz w:val="24"/>
          <w:szCs w:val="24"/>
          <w:lang w:eastAsia="zh-CN"/>
        </w:rPr>
        <w:t>mg to gange dagligt i 4 uger</w:t>
      </w:r>
    </w:p>
    <w:p w:rsidR="001A3E7E" w:rsidRPr="00436ECB" w:rsidRDefault="001A3E7E" w:rsidP="001A3E7E">
      <w:pPr>
        <w:pStyle w:val="Listeafsnit"/>
        <w:numPr>
          <w:ilvl w:val="0"/>
          <w:numId w:val="6"/>
        </w:numPr>
        <w:rPr>
          <w:rFonts w:eastAsia="SimSun"/>
          <w:sz w:val="24"/>
          <w:szCs w:val="24"/>
          <w:lang w:eastAsia="zh-CN"/>
        </w:rPr>
      </w:pPr>
      <w:r w:rsidRPr="00436ECB">
        <w:rPr>
          <w:rFonts w:eastAsia="SimSun"/>
          <w:sz w:val="24"/>
          <w:szCs w:val="24"/>
          <w:lang w:eastAsia="zh-CN"/>
        </w:rPr>
        <w:t>et klinisk studie, hvor 114</w:t>
      </w:r>
      <w:r w:rsidRPr="00436ECB">
        <w:rPr>
          <w:sz w:val="24"/>
          <w:szCs w:val="24"/>
        </w:rPr>
        <w:t> </w:t>
      </w:r>
      <w:r w:rsidRPr="00436ECB">
        <w:rPr>
          <w:rFonts w:eastAsia="SimSun"/>
          <w:sz w:val="24"/>
          <w:szCs w:val="24"/>
          <w:lang w:eastAsia="zh-CN"/>
        </w:rPr>
        <w:t>børn i alderen 1-5</w:t>
      </w:r>
      <w:r w:rsidRPr="00436ECB">
        <w:rPr>
          <w:sz w:val="24"/>
          <w:szCs w:val="24"/>
        </w:rPr>
        <w:t> </w:t>
      </w:r>
      <w:r w:rsidRPr="00436ECB">
        <w:rPr>
          <w:rFonts w:eastAsia="SimSun"/>
          <w:sz w:val="24"/>
          <w:szCs w:val="24"/>
          <w:lang w:eastAsia="zh-CN"/>
        </w:rPr>
        <w:t xml:space="preserve">år med allergisk </w:t>
      </w:r>
      <w:proofErr w:type="spellStart"/>
      <w:r w:rsidRPr="00436ECB">
        <w:rPr>
          <w:rFonts w:eastAsia="SimSun"/>
          <w:sz w:val="24"/>
          <w:szCs w:val="24"/>
          <w:lang w:eastAsia="zh-CN"/>
        </w:rPr>
        <w:t>rhinit</w:t>
      </w:r>
      <w:proofErr w:type="spellEnd"/>
      <w:r w:rsidRPr="00436ECB">
        <w:rPr>
          <w:rFonts w:eastAsia="SimSun"/>
          <w:sz w:val="24"/>
          <w:szCs w:val="24"/>
          <w:lang w:eastAsia="zh-CN"/>
        </w:rPr>
        <w:t xml:space="preserve"> eller kronisk idiopatisk </w:t>
      </w:r>
      <w:proofErr w:type="spellStart"/>
      <w:r w:rsidRPr="00436ECB">
        <w:rPr>
          <w:rFonts w:eastAsia="SimSun"/>
          <w:sz w:val="24"/>
          <w:szCs w:val="24"/>
          <w:lang w:eastAsia="zh-CN"/>
        </w:rPr>
        <w:t>urticaria</w:t>
      </w:r>
      <w:proofErr w:type="spellEnd"/>
      <w:r w:rsidRPr="00436ECB">
        <w:rPr>
          <w:rFonts w:eastAsia="SimSun"/>
          <w:sz w:val="24"/>
          <w:szCs w:val="24"/>
          <w:lang w:eastAsia="zh-CN"/>
        </w:rPr>
        <w:t xml:space="preserve"> blev behandlet med </w:t>
      </w:r>
      <w:proofErr w:type="spellStart"/>
      <w:r w:rsidRPr="00436ECB">
        <w:rPr>
          <w:rFonts w:eastAsia="SimSun"/>
          <w:sz w:val="24"/>
          <w:szCs w:val="24"/>
          <w:lang w:eastAsia="zh-CN"/>
        </w:rPr>
        <w:t>levocetirizin</w:t>
      </w:r>
      <w:proofErr w:type="spellEnd"/>
      <w:r w:rsidRPr="00436ECB">
        <w:rPr>
          <w:rFonts w:eastAsia="SimSun"/>
          <w:sz w:val="24"/>
          <w:szCs w:val="24"/>
          <w:lang w:eastAsia="zh-CN"/>
        </w:rPr>
        <w:t xml:space="preserve"> 1,25</w:t>
      </w:r>
      <w:r w:rsidRPr="00436ECB">
        <w:rPr>
          <w:sz w:val="24"/>
          <w:szCs w:val="24"/>
        </w:rPr>
        <w:t> </w:t>
      </w:r>
      <w:r w:rsidRPr="00436ECB">
        <w:rPr>
          <w:rFonts w:eastAsia="SimSun"/>
          <w:sz w:val="24"/>
          <w:szCs w:val="24"/>
          <w:lang w:eastAsia="zh-CN"/>
        </w:rPr>
        <w:t>mg to gange dagligt i 2</w:t>
      </w:r>
      <w:r w:rsidRPr="00436ECB">
        <w:rPr>
          <w:sz w:val="24"/>
          <w:szCs w:val="24"/>
        </w:rPr>
        <w:t> </w:t>
      </w:r>
      <w:r w:rsidRPr="00436ECB">
        <w:rPr>
          <w:rFonts w:eastAsia="SimSun"/>
          <w:sz w:val="24"/>
          <w:szCs w:val="24"/>
          <w:lang w:eastAsia="zh-CN"/>
        </w:rPr>
        <w:t>uger</w:t>
      </w:r>
    </w:p>
    <w:p w:rsidR="001A3E7E" w:rsidRPr="00436ECB" w:rsidRDefault="001A3E7E" w:rsidP="001A3E7E">
      <w:pPr>
        <w:pStyle w:val="Listeafsnit"/>
        <w:numPr>
          <w:ilvl w:val="0"/>
          <w:numId w:val="6"/>
        </w:numPr>
        <w:rPr>
          <w:rFonts w:eastAsia="SimSun"/>
          <w:sz w:val="24"/>
          <w:szCs w:val="24"/>
          <w:lang w:eastAsia="zh-CN"/>
        </w:rPr>
      </w:pPr>
      <w:r w:rsidRPr="00436ECB">
        <w:rPr>
          <w:rFonts w:eastAsia="SimSun"/>
          <w:sz w:val="24"/>
          <w:szCs w:val="24"/>
          <w:lang w:eastAsia="zh-CN"/>
        </w:rPr>
        <w:t>et klinisk studie, hvor 45</w:t>
      </w:r>
      <w:r w:rsidRPr="00436ECB">
        <w:rPr>
          <w:sz w:val="24"/>
          <w:szCs w:val="24"/>
        </w:rPr>
        <w:t> </w:t>
      </w:r>
      <w:r w:rsidRPr="00436ECB">
        <w:rPr>
          <w:rFonts w:eastAsia="SimSun"/>
          <w:sz w:val="24"/>
          <w:szCs w:val="24"/>
          <w:lang w:eastAsia="zh-CN"/>
        </w:rPr>
        <w:t>børn i alderen 6-11</w:t>
      </w:r>
      <w:r w:rsidRPr="00436ECB">
        <w:rPr>
          <w:sz w:val="24"/>
          <w:szCs w:val="24"/>
        </w:rPr>
        <w:t> </w:t>
      </w:r>
      <w:r w:rsidRPr="00436ECB">
        <w:rPr>
          <w:rFonts w:eastAsia="SimSun"/>
          <w:sz w:val="24"/>
          <w:szCs w:val="24"/>
          <w:lang w:eastAsia="zh-CN"/>
        </w:rPr>
        <w:t xml:space="preserve">måneder med allergisk </w:t>
      </w:r>
      <w:proofErr w:type="spellStart"/>
      <w:r w:rsidRPr="00436ECB">
        <w:rPr>
          <w:rFonts w:eastAsia="SimSun"/>
          <w:sz w:val="24"/>
          <w:szCs w:val="24"/>
          <w:lang w:eastAsia="zh-CN"/>
        </w:rPr>
        <w:t>rhinit</w:t>
      </w:r>
      <w:proofErr w:type="spellEnd"/>
      <w:r w:rsidRPr="00436ECB">
        <w:rPr>
          <w:rFonts w:eastAsia="SimSun"/>
          <w:sz w:val="24"/>
          <w:szCs w:val="24"/>
          <w:lang w:eastAsia="zh-CN"/>
        </w:rPr>
        <w:t xml:space="preserve"> eller kronisk idiopatisk </w:t>
      </w:r>
      <w:proofErr w:type="spellStart"/>
      <w:r w:rsidRPr="00436ECB">
        <w:rPr>
          <w:rFonts w:eastAsia="SimSun"/>
          <w:sz w:val="24"/>
          <w:szCs w:val="24"/>
          <w:lang w:eastAsia="zh-CN"/>
        </w:rPr>
        <w:t>urticaria</w:t>
      </w:r>
      <w:proofErr w:type="spellEnd"/>
      <w:r w:rsidRPr="00436ECB">
        <w:rPr>
          <w:rFonts w:eastAsia="SimSun"/>
          <w:sz w:val="24"/>
          <w:szCs w:val="24"/>
          <w:lang w:eastAsia="zh-CN"/>
        </w:rPr>
        <w:t xml:space="preserve"> eller andre tilstande blev behandlet med </w:t>
      </w:r>
      <w:proofErr w:type="spellStart"/>
      <w:r w:rsidRPr="00436ECB">
        <w:rPr>
          <w:rFonts w:eastAsia="SimSun"/>
          <w:sz w:val="24"/>
          <w:szCs w:val="24"/>
          <w:lang w:eastAsia="zh-CN"/>
        </w:rPr>
        <w:t>levocetirizin</w:t>
      </w:r>
      <w:proofErr w:type="spellEnd"/>
      <w:r w:rsidRPr="00436ECB">
        <w:rPr>
          <w:rFonts w:eastAsia="SimSun"/>
          <w:sz w:val="24"/>
          <w:szCs w:val="24"/>
          <w:lang w:eastAsia="zh-CN"/>
        </w:rPr>
        <w:t xml:space="preserve"> 1,25</w:t>
      </w:r>
      <w:r w:rsidRPr="00436ECB">
        <w:rPr>
          <w:sz w:val="24"/>
          <w:szCs w:val="24"/>
        </w:rPr>
        <w:t> </w:t>
      </w:r>
      <w:r w:rsidRPr="00436ECB">
        <w:rPr>
          <w:rFonts w:eastAsia="SimSun"/>
          <w:sz w:val="24"/>
          <w:szCs w:val="24"/>
          <w:lang w:eastAsia="zh-CN"/>
        </w:rPr>
        <w:t>mg én gang dagligt i 2</w:t>
      </w:r>
      <w:r w:rsidRPr="00436ECB">
        <w:rPr>
          <w:sz w:val="24"/>
          <w:szCs w:val="24"/>
        </w:rPr>
        <w:t> </w:t>
      </w:r>
      <w:r w:rsidRPr="00436ECB">
        <w:rPr>
          <w:rFonts w:eastAsia="SimSun"/>
          <w:sz w:val="24"/>
          <w:szCs w:val="24"/>
          <w:lang w:eastAsia="zh-CN"/>
        </w:rPr>
        <w:t>uger</w:t>
      </w:r>
    </w:p>
    <w:p w:rsidR="001A3E7E" w:rsidRPr="00436ECB" w:rsidRDefault="001A3E7E" w:rsidP="001A3E7E">
      <w:pPr>
        <w:pStyle w:val="Default"/>
        <w:numPr>
          <w:ilvl w:val="0"/>
          <w:numId w:val="6"/>
        </w:numPr>
        <w:rPr>
          <w:rFonts w:eastAsia="SimSun"/>
          <w:lang w:val="da-DK" w:eastAsia="zh-CN"/>
        </w:rPr>
      </w:pPr>
      <w:r w:rsidRPr="00436ECB">
        <w:rPr>
          <w:rFonts w:eastAsia="SimSun"/>
          <w:lang w:val="da-DK" w:eastAsia="zh-CN"/>
        </w:rPr>
        <w:t>et langvarigt klinisk studie (18</w:t>
      </w:r>
      <w:r w:rsidRPr="00436ECB">
        <w:rPr>
          <w:lang w:val="da-DK"/>
        </w:rPr>
        <w:t> </w:t>
      </w:r>
      <w:r w:rsidRPr="00436ECB">
        <w:rPr>
          <w:rFonts w:eastAsia="SimSun"/>
          <w:lang w:val="da-DK" w:eastAsia="zh-CN"/>
        </w:rPr>
        <w:t>måneder) med 255</w:t>
      </w:r>
      <w:r w:rsidRPr="00436ECB">
        <w:rPr>
          <w:lang w:val="da-DK"/>
        </w:rPr>
        <w:t> </w:t>
      </w:r>
      <w:proofErr w:type="spellStart"/>
      <w:r w:rsidRPr="00436ECB">
        <w:rPr>
          <w:rFonts w:eastAsia="SimSun"/>
          <w:lang w:val="da-DK" w:eastAsia="zh-CN"/>
        </w:rPr>
        <w:t>atopiske</w:t>
      </w:r>
      <w:proofErr w:type="spellEnd"/>
      <w:r w:rsidRPr="00436ECB">
        <w:rPr>
          <w:rFonts w:eastAsia="SimSun"/>
          <w:lang w:val="da-DK" w:eastAsia="zh-CN"/>
        </w:rPr>
        <w:t xml:space="preserve"> forsøgspersoner i alderen 12-24</w:t>
      </w:r>
      <w:r w:rsidRPr="00436ECB">
        <w:rPr>
          <w:lang w:val="da-DK"/>
        </w:rPr>
        <w:t> </w:t>
      </w:r>
      <w:r w:rsidRPr="00436ECB">
        <w:rPr>
          <w:rFonts w:eastAsia="SimSun"/>
          <w:lang w:val="da-DK" w:eastAsia="zh-CN"/>
        </w:rPr>
        <w:t xml:space="preserve">måneder ved inklusion, som blev behandlet med </w:t>
      </w:r>
      <w:proofErr w:type="spellStart"/>
      <w:r w:rsidRPr="00436ECB">
        <w:rPr>
          <w:rFonts w:eastAsia="SimSun"/>
          <w:lang w:val="da-DK" w:eastAsia="zh-CN"/>
        </w:rPr>
        <w:t>levocetirizin</w:t>
      </w:r>
      <w:proofErr w:type="spellEnd"/>
      <w:r w:rsidRPr="00436ECB">
        <w:rPr>
          <w:rFonts w:eastAsia="SimSun"/>
          <w:lang w:val="da-DK" w:eastAsia="zh-CN"/>
        </w:rPr>
        <w:t>.</w:t>
      </w:r>
    </w:p>
    <w:p w:rsidR="00602E3F" w:rsidRDefault="00602E3F" w:rsidP="00602E3F">
      <w:pPr>
        <w:pStyle w:val="Default"/>
        <w:rPr>
          <w:lang w:val="da-DK"/>
        </w:rPr>
      </w:pPr>
    </w:p>
    <w:p w:rsidR="00602E3F" w:rsidRDefault="00602E3F" w:rsidP="00602E3F">
      <w:pPr>
        <w:tabs>
          <w:tab w:val="left" w:pos="851"/>
        </w:tabs>
        <w:ind w:left="851"/>
        <w:rPr>
          <w:sz w:val="24"/>
          <w:szCs w:val="24"/>
        </w:rPr>
      </w:pPr>
      <w:r>
        <w:rPr>
          <w:sz w:val="24"/>
          <w:szCs w:val="24"/>
        </w:rPr>
        <w:t>Sikkerhedsprofilen var sammenlignelig med den, der blev observeret i de kortvarige studier med børn i alderen 1-5 år.</w:t>
      </w:r>
    </w:p>
    <w:p w:rsidR="00155008" w:rsidRPr="00602E3F" w:rsidRDefault="00155008" w:rsidP="00155008">
      <w:pPr>
        <w:suppressAutoHyphens/>
        <w:ind w:left="851" w:hanging="851"/>
        <w:rPr>
          <w:sz w:val="24"/>
          <w:szCs w:val="24"/>
        </w:rPr>
      </w:pPr>
    </w:p>
    <w:p w:rsidR="00155008" w:rsidRPr="0089122C" w:rsidRDefault="00155008" w:rsidP="00155008">
      <w:pPr>
        <w:numPr>
          <w:ilvl w:val="1"/>
          <w:numId w:val="3"/>
        </w:numPr>
        <w:tabs>
          <w:tab w:val="clear" w:pos="855"/>
        </w:tabs>
        <w:ind w:left="851" w:hanging="851"/>
        <w:rPr>
          <w:b/>
          <w:sz w:val="24"/>
          <w:szCs w:val="24"/>
        </w:rPr>
      </w:pPr>
      <w:proofErr w:type="spellStart"/>
      <w:r w:rsidRPr="0089122C">
        <w:rPr>
          <w:b/>
          <w:sz w:val="24"/>
          <w:szCs w:val="24"/>
        </w:rPr>
        <w:t>Farmakokinetiske</w:t>
      </w:r>
      <w:proofErr w:type="spellEnd"/>
      <w:r w:rsidRPr="0089122C">
        <w:rPr>
          <w:b/>
          <w:sz w:val="24"/>
          <w:szCs w:val="24"/>
        </w:rPr>
        <w:t xml:space="preserve"> egenskaber</w:t>
      </w:r>
    </w:p>
    <w:p w:rsidR="00602E3F" w:rsidRPr="00602E3F" w:rsidRDefault="00602E3F" w:rsidP="00602E3F">
      <w:pPr>
        <w:ind w:left="851"/>
        <w:rPr>
          <w:sz w:val="24"/>
          <w:szCs w:val="24"/>
        </w:rPr>
      </w:pPr>
      <w:proofErr w:type="spellStart"/>
      <w:r w:rsidRPr="00602E3F">
        <w:rPr>
          <w:sz w:val="24"/>
          <w:szCs w:val="24"/>
        </w:rPr>
        <w:t>Levocetirizins</w:t>
      </w:r>
      <w:proofErr w:type="spellEnd"/>
      <w:r w:rsidRPr="00602E3F">
        <w:rPr>
          <w:sz w:val="24"/>
          <w:szCs w:val="24"/>
        </w:rPr>
        <w:t xml:space="preserve"> farmakokinetik er lineær med dosis og </w:t>
      </w:r>
      <w:proofErr w:type="spellStart"/>
      <w:r w:rsidRPr="00602E3F">
        <w:rPr>
          <w:sz w:val="24"/>
          <w:szCs w:val="24"/>
        </w:rPr>
        <w:t>tidsuafhængig</w:t>
      </w:r>
      <w:proofErr w:type="spellEnd"/>
      <w:r w:rsidRPr="00602E3F">
        <w:rPr>
          <w:sz w:val="24"/>
          <w:szCs w:val="24"/>
        </w:rPr>
        <w:t xml:space="preserve"> med lav individuel variation. Den </w:t>
      </w:r>
      <w:proofErr w:type="spellStart"/>
      <w:r w:rsidRPr="00602E3F">
        <w:rPr>
          <w:sz w:val="24"/>
          <w:szCs w:val="24"/>
        </w:rPr>
        <w:t>farmakokinetiske</w:t>
      </w:r>
      <w:proofErr w:type="spellEnd"/>
      <w:r w:rsidRPr="00602E3F">
        <w:rPr>
          <w:sz w:val="24"/>
          <w:szCs w:val="24"/>
        </w:rPr>
        <w:t xml:space="preserve"> profil er den samme, uanset om det administreres som enkelte </w:t>
      </w:r>
      <w:proofErr w:type="spellStart"/>
      <w:r w:rsidRPr="00602E3F">
        <w:rPr>
          <w:sz w:val="24"/>
          <w:szCs w:val="24"/>
        </w:rPr>
        <w:t>enantiomer</w:t>
      </w:r>
      <w:proofErr w:type="spellEnd"/>
      <w:r w:rsidRPr="00602E3F">
        <w:rPr>
          <w:sz w:val="24"/>
          <w:szCs w:val="24"/>
        </w:rPr>
        <w:t xml:space="preserve"> eller som </w:t>
      </w:r>
      <w:proofErr w:type="spellStart"/>
      <w:r w:rsidRPr="00602E3F">
        <w:rPr>
          <w:sz w:val="24"/>
          <w:szCs w:val="24"/>
        </w:rPr>
        <w:t>cetirizin</w:t>
      </w:r>
      <w:proofErr w:type="spellEnd"/>
      <w:r w:rsidRPr="00602E3F">
        <w:rPr>
          <w:sz w:val="24"/>
          <w:szCs w:val="24"/>
        </w:rPr>
        <w:t xml:space="preserve">. Der opstår ingen </w:t>
      </w:r>
      <w:proofErr w:type="spellStart"/>
      <w:r w:rsidRPr="00602E3F">
        <w:rPr>
          <w:sz w:val="24"/>
          <w:szCs w:val="24"/>
        </w:rPr>
        <w:t>chiral</w:t>
      </w:r>
      <w:proofErr w:type="spellEnd"/>
      <w:r w:rsidRPr="00602E3F">
        <w:rPr>
          <w:sz w:val="24"/>
          <w:szCs w:val="24"/>
        </w:rPr>
        <w:t xml:space="preserve"> inversion i løbet af absorption- og udskillelsesprocessen.</w:t>
      </w:r>
    </w:p>
    <w:p w:rsidR="00602E3F" w:rsidRPr="00602E3F" w:rsidRDefault="00602E3F" w:rsidP="00602E3F">
      <w:pPr>
        <w:ind w:left="851"/>
        <w:rPr>
          <w:sz w:val="24"/>
          <w:szCs w:val="24"/>
        </w:rPr>
      </w:pPr>
    </w:p>
    <w:p w:rsidR="00602E3F" w:rsidRPr="00602E3F" w:rsidRDefault="00602E3F" w:rsidP="00602E3F">
      <w:pPr>
        <w:ind w:left="851"/>
        <w:rPr>
          <w:i/>
          <w:sz w:val="24"/>
          <w:szCs w:val="24"/>
        </w:rPr>
      </w:pPr>
      <w:r w:rsidRPr="00602E3F">
        <w:rPr>
          <w:sz w:val="24"/>
          <w:szCs w:val="24"/>
          <w:u w:val="single"/>
        </w:rPr>
        <w:t>Absorption</w:t>
      </w:r>
    </w:p>
    <w:p w:rsidR="00602E3F" w:rsidRPr="00602E3F" w:rsidRDefault="00602E3F" w:rsidP="00602E3F">
      <w:pPr>
        <w:ind w:left="851"/>
        <w:rPr>
          <w:sz w:val="24"/>
          <w:szCs w:val="24"/>
        </w:rPr>
      </w:pPr>
      <w:proofErr w:type="spellStart"/>
      <w:r w:rsidRPr="00602E3F">
        <w:rPr>
          <w:sz w:val="24"/>
          <w:szCs w:val="24"/>
        </w:rPr>
        <w:t>Levocetirizin</w:t>
      </w:r>
      <w:proofErr w:type="spellEnd"/>
      <w:r w:rsidRPr="00602E3F">
        <w:rPr>
          <w:sz w:val="24"/>
          <w:szCs w:val="24"/>
        </w:rPr>
        <w:t xml:space="preserve"> absorberes hurtigt og udtalt ved peroral indgift. Maksimal plasma- koncentration opnås 0,9 timer efter indtagelse. </w:t>
      </w:r>
      <w:proofErr w:type="spellStart"/>
      <w:r w:rsidRPr="001A3E7E">
        <w:rPr>
          <w:i/>
          <w:sz w:val="24"/>
          <w:szCs w:val="24"/>
        </w:rPr>
        <w:t>Steady</w:t>
      </w:r>
      <w:proofErr w:type="spellEnd"/>
      <w:r w:rsidRPr="001A3E7E">
        <w:rPr>
          <w:i/>
          <w:sz w:val="24"/>
          <w:szCs w:val="24"/>
        </w:rPr>
        <w:t xml:space="preserve"> </w:t>
      </w:r>
      <w:proofErr w:type="spellStart"/>
      <w:r w:rsidRPr="001A3E7E">
        <w:rPr>
          <w:i/>
          <w:sz w:val="24"/>
          <w:szCs w:val="24"/>
        </w:rPr>
        <w:t>state</w:t>
      </w:r>
      <w:proofErr w:type="spellEnd"/>
      <w:r w:rsidRPr="00602E3F">
        <w:rPr>
          <w:sz w:val="24"/>
          <w:szCs w:val="24"/>
        </w:rPr>
        <w:t xml:space="preserve"> opnås efter to dage. Maksimal plasmakoncentration er typisk 270 </w:t>
      </w:r>
      <w:proofErr w:type="spellStart"/>
      <w:r w:rsidRPr="00602E3F">
        <w:rPr>
          <w:sz w:val="24"/>
          <w:szCs w:val="24"/>
        </w:rPr>
        <w:t>ng</w:t>
      </w:r>
      <w:proofErr w:type="spellEnd"/>
      <w:r w:rsidRPr="00602E3F">
        <w:rPr>
          <w:sz w:val="24"/>
          <w:szCs w:val="24"/>
        </w:rPr>
        <w:t>/ml og 308 </w:t>
      </w:r>
      <w:proofErr w:type="spellStart"/>
      <w:r w:rsidRPr="00602E3F">
        <w:rPr>
          <w:sz w:val="24"/>
          <w:szCs w:val="24"/>
        </w:rPr>
        <w:t>ng</w:t>
      </w:r>
      <w:proofErr w:type="spellEnd"/>
      <w:r w:rsidRPr="00602E3F">
        <w:rPr>
          <w:sz w:val="24"/>
          <w:szCs w:val="24"/>
        </w:rPr>
        <w:t>/ml efter henholdsvis en enkelt og en gentagen dosis på 5 mg én gang dagligt. Absorptionsgraden er uafhængig af dosis og ændres ikke ved indtagelse af føde, men maksimal koncentration er reduceret og forsinket.</w:t>
      </w:r>
    </w:p>
    <w:p w:rsidR="00602E3F" w:rsidRPr="00602E3F" w:rsidRDefault="00602E3F" w:rsidP="00602E3F">
      <w:pPr>
        <w:ind w:left="851"/>
        <w:rPr>
          <w:sz w:val="24"/>
          <w:szCs w:val="24"/>
        </w:rPr>
      </w:pPr>
    </w:p>
    <w:p w:rsidR="00602E3F" w:rsidRPr="00602E3F" w:rsidRDefault="00602E3F" w:rsidP="001A3E7E">
      <w:pPr>
        <w:keepNext/>
        <w:ind w:left="851"/>
        <w:rPr>
          <w:i/>
          <w:sz w:val="24"/>
          <w:szCs w:val="24"/>
        </w:rPr>
      </w:pPr>
      <w:r w:rsidRPr="00602E3F">
        <w:rPr>
          <w:noProof/>
          <w:sz w:val="24"/>
          <w:szCs w:val="24"/>
          <w:u w:val="single"/>
        </w:rPr>
        <w:lastRenderedPageBreak/>
        <w:t>Fordeling</w:t>
      </w:r>
    </w:p>
    <w:p w:rsidR="00602E3F" w:rsidRPr="00602E3F" w:rsidRDefault="00602E3F" w:rsidP="00602E3F">
      <w:pPr>
        <w:ind w:left="851"/>
        <w:rPr>
          <w:sz w:val="24"/>
          <w:szCs w:val="24"/>
        </w:rPr>
      </w:pPr>
      <w:r w:rsidRPr="00602E3F">
        <w:rPr>
          <w:sz w:val="24"/>
          <w:szCs w:val="24"/>
        </w:rPr>
        <w:t xml:space="preserve">Der er ingen tilgængelige vævsdistributionsdata for mennesker, heller ikke vedrørende </w:t>
      </w:r>
      <w:proofErr w:type="spellStart"/>
      <w:r w:rsidRPr="00602E3F">
        <w:rPr>
          <w:sz w:val="24"/>
          <w:szCs w:val="24"/>
        </w:rPr>
        <w:t>levocetirizins</w:t>
      </w:r>
      <w:proofErr w:type="spellEnd"/>
      <w:r w:rsidRPr="00602E3F">
        <w:rPr>
          <w:sz w:val="24"/>
          <w:szCs w:val="24"/>
        </w:rPr>
        <w:t xml:space="preserve"> passage gennem blod-hjernebarrieren. Hos rotter og hunde fandtes de højeste vævsniveauer i lever og nyrer og de laveste i CNS.</w:t>
      </w:r>
    </w:p>
    <w:p w:rsidR="00602E3F" w:rsidRPr="00602E3F" w:rsidRDefault="00602E3F" w:rsidP="00602E3F">
      <w:pPr>
        <w:ind w:left="851"/>
        <w:rPr>
          <w:sz w:val="24"/>
          <w:szCs w:val="24"/>
        </w:rPr>
      </w:pPr>
      <w:proofErr w:type="spellStart"/>
      <w:r w:rsidRPr="00602E3F">
        <w:rPr>
          <w:sz w:val="24"/>
          <w:szCs w:val="24"/>
        </w:rPr>
        <w:t>Levocetirizin</w:t>
      </w:r>
      <w:proofErr w:type="spellEnd"/>
      <w:r w:rsidRPr="00602E3F">
        <w:rPr>
          <w:sz w:val="24"/>
          <w:szCs w:val="24"/>
        </w:rPr>
        <w:t xml:space="preserve"> er 90 % bundet til plasmaproteiner. Fordelingen af </w:t>
      </w:r>
      <w:proofErr w:type="spellStart"/>
      <w:r w:rsidRPr="00602E3F">
        <w:rPr>
          <w:sz w:val="24"/>
          <w:szCs w:val="24"/>
        </w:rPr>
        <w:t>levocetirizin</w:t>
      </w:r>
      <w:proofErr w:type="spellEnd"/>
      <w:r w:rsidRPr="00602E3F">
        <w:rPr>
          <w:sz w:val="24"/>
          <w:szCs w:val="24"/>
        </w:rPr>
        <w:t xml:space="preserve"> er restriktiv, da fordelingsvolumen er 0,4 l/kg.</w:t>
      </w:r>
    </w:p>
    <w:p w:rsidR="00602E3F" w:rsidRPr="00602E3F" w:rsidRDefault="00602E3F" w:rsidP="00602E3F">
      <w:pPr>
        <w:ind w:left="851"/>
        <w:rPr>
          <w:i/>
          <w:sz w:val="24"/>
          <w:szCs w:val="24"/>
        </w:rPr>
      </w:pPr>
    </w:p>
    <w:p w:rsidR="00602E3F" w:rsidRPr="00602E3F" w:rsidRDefault="00602E3F" w:rsidP="00602E3F">
      <w:pPr>
        <w:ind w:left="851"/>
        <w:rPr>
          <w:i/>
          <w:sz w:val="24"/>
          <w:szCs w:val="24"/>
        </w:rPr>
      </w:pPr>
      <w:r w:rsidRPr="00602E3F">
        <w:rPr>
          <w:sz w:val="24"/>
          <w:szCs w:val="24"/>
          <w:u w:val="single"/>
        </w:rPr>
        <w:t>Biotransformation</w:t>
      </w:r>
    </w:p>
    <w:p w:rsidR="00602E3F" w:rsidRPr="00602E3F" w:rsidRDefault="00602E3F" w:rsidP="00602E3F">
      <w:pPr>
        <w:ind w:left="851"/>
        <w:rPr>
          <w:sz w:val="24"/>
          <w:szCs w:val="24"/>
        </w:rPr>
      </w:pPr>
      <w:proofErr w:type="spellStart"/>
      <w:r w:rsidRPr="00602E3F">
        <w:rPr>
          <w:sz w:val="24"/>
          <w:szCs w:val="24"/>
        </w:rPr>
        <w:t>Metaboliseringsgraden</w:t>
      </w:r>
      <w:proofErr w:type="spellEnd"/>
      <w:r w:rsidRPr="00602E3F">
        <w:rPr>
          <w:sz w:val="24"/>
          <w:szCs w:val="24"/>
        </w:rPr>
        <w:t xml:space="preserve"> af </w:t>
      </w:r>
      <w:proofErr w:type="spellStart"/>
      <w:r w:rsidRPr="00602E3F">
        <w:rPr>
          <w:sz w:val="24"/>
          <w:szCs w:val="24"/>
        </w:rPr>
        <w:t>levocetirizin</w:t>
      </w:r>
      <w:proofErr w:type="spellEnd"/>
      <w:r w:rsidRPr="00602E3F">
        <w:rPr>
          <w:sz w:val="24"/>
          <w:szCs w:val="24"/>
        </w:rPr>
        <w:t xml:space="preserve"> hos mennesker er mindre end 14 % af dosis og derfor forventes forskelle, som skyldes genetisk </w:t>
      </w:r>
      <w:proofErr w:type="spellStart"/>
      <w:r w:rsidRPr="00602E3F">
        <w:rPr>
          <w:sz w:val="24"/>
          <w:szCs w:val="24"/>
        </w:rPr>
        <w:t>polymorfi</w:t>
      </w:r>
      <w:proofErr w:type="spellEnd"/>
      <w:r w:rsidRPr="00602E3F">
        <w:rPr>
          <w:sz w:val="24"/>
          <w:szCs w:val="24"/>
        </w:rPr>
        <w:t xml:space="preserve"> eller samtidig indtagelse af </w:t>
      </w:r>
      <w:proofErr w:type="spellStart"/>
      <w:r w:rsidRPr="00602E3F">
        <w:rPr>
          <w:sz w:val="24"/>
          <w:szCs w:val="24"/>
        </w:rPr>
        <w:t>enzymhæmmere</w:t>
      </w:r>
      <w:proofErr w:type="spellEnd"/>
      <w:r w:rsidRPr="00602E3F">
        <w:rPr>
          <w:sz w:val="24"/>
          <w:szCs w:val="24"/>
        </w:rPr>
        <w:t xml:space="preserve">, at være uden betydning. </w:t>
      </w:r>
      <w:proofErr w:type="spellStart"/>
      <w:r w:rsidRPr="00602E3F">
        <w:rPr>
          <w:sz w:val="24"/>
          <w:szCs w:val="24"/>
        </w:rPr>
        <w:t>Metaboliseringsveje</w:t>
      </w:r>
      <w:proofErr w:type="spellEnd"/>
      <w:r w:rsidRPr="00602E3F">
        <w:rPr>
          <w:sz w:val="24"/>
          <w:szCs w:val="24"/>
        </w:rPr>
        <w:t xml:space="preserve"> omfatter aromatisk oxidation, N- og O</w:t>
      </w:r>
      <w:r w:rsidRPr="00602E3F">
        <w:rPr>
          <w:i/>
          <w:sz w:val="24"/>
          <w:szCs w:val="24"/>
        </w:rPr>
        <w:t>-</w:t>
      </w:r>
      <w:proofErr w:type="spellStart"/>
      <w:r w:rsidRPr="00602E3F">
        <w:rPr>
          <w:sz w:val="24"/>
          <w:szCs w:val="24"/>
        </w:rPr>
        <w:t>dealkylering</w:t>
      </w:r>
      <w:proofErr w:type="spellEnd"/>
      <w:r w:rsidRPr="00602E3F">
        <w:rPr>
          <w:sz w:val="24"/>
          <w:szCs w:val="24"/>
        </w:rPr>
        <w:t xml:space="preserve"> og </w:t>
      </w:r>
      <w:proofErr w:type="spellStart"/>
      <w:r w:rsidRPr="00602E3F">
        <w:rPr>
          <w:sz w:val="24"/>
          <w:szCs w:val="24"/>
        </w:rPr>
        <w:t>taurinkonjugering</w:t>
      </w:r>
      <w:proofErr w:type="spellEnd"/>
      <w:r w:rsidRPr="00602E3F">
        <w:rPr>
          <w:sz w:val="24"/>
          <w:szCs w:val="24"/>
        </w:rPr>
        <w:t xml:space="preserve">. </w:t>
      </w:r>
      <w:proofErr w:type="spellStart"/>
      <w:r w:rsidRPr="00602E3F">
        <w:rPr>
          <w:sz w:val="24"/>
          <w:szCs w:val="24"/>
        </w:rPr>
        <w:t>Dealkyleringsvejene</w:t>
      </w:r>
      <w:proofErr w:type="spellEnd"/>
      <w:r w:rsidRPr="00602E3F">
        <w:rPr>
          <w:sz w:val="24"/>
          <w:szCs w:val="24"/>
        </w:rPr>
        <w:t xml:space="preserve"> er primært medieret af CYP 3A4, mens aromatisk oxidation involverede flere og/eller uidentificerede CYP-</w:t>
      </w:r>
      <w:proofErr w:type="spellStart"/>
      <w:r w:rsidRPr="00602E3F">
        <w:rPr>
          <w:sz w:val="24"/>
          <w:szCs w:val="24"/>
        </w:rPr>
        <w:t>isoformer</w:t>
      </w:r>
      <w:proofErr w:type="spellEnd"/>
      <w:r w:rsidRPr="00602E3F">
        <w:rPr>
          <w:sz w:val="24"/>
          <w:szCs w:val="24"/>
        </w:rPr>
        <w:t xml:space="preserve">. </w:t>
      </w:r>
      <w:proofErr w:type="spellStart"/>
      <w:r w:rsidRPr="00602E3F">
        <w:rPr>
          <w:sz w:val="24"/>
          <w:szCs w:val="24"/>
        </w:rPr>
        <w:t>Levocetirizin</w:t>
      </w:r>
      <w:proofErr w:type="spellEnd"/>
      <w:r w:rsidRPr="00602E3F">
        <w:rPr>
          <w:sz w:val="24"/>
          <w:szCs w:val="24"/>
        </w:rPr>
        <w:t xml:space="preserve"> havde ingen virkning på aktiviteterne af CYP-</w:t>
      </w:r>
      <w:proofErr w:type="spellStart"/>
      <w:r w:rsidRPr="00602E3F">
        <w:rPr>
          <w:sz w:val="24"/>
          <w:szCs w:val="24"/>
        </w:rPr>
        <w:t>isoenzymerne</w:t>
      </w:r>
      <w:proofErr w:type="spellEnd"/>
      <w:r w:rsidRPr="00602E3F">
        <w:rPr>
          <w:sz w:val="24"/>
          <w:szCs w:val="24"/>
        </w:rPr>
        <w:t xml:space="preserve"> 1A2, 2C9, 2C19, 2D6, 2E1 og 3A4 ved koncentrationer langt over maksimale koncentrationer opnået ved en oral dosis på 5 mg.</w:t>
      </w:r>
    </w:p>
    <w:p w:rsidR="00602E3F" w:rsidRPr="00602E3F" w:rsidRDefault="00602E3F" w:rsidP="00602E3F">
      <w:pPr>
        <w:ind w:left="851"/>
        <w:rPr>
          <w:sz w:val="24"/>
          <w:szCs w:val="24"/>
        </w:rPr>
      </w:pPr>
      <w:r w:rsidRPr="00602E3F">
        <w:rPr>
          <w:sz w:val="24"/>
          <w:szCs w:val="24"/>
        </w:rPr>
        <w:t xml:space="preserve">På grund af den lave </w:t>
      </w:r>
      <w:proofErr w:type="spellStart"/>
      <w:r w:rsidRPr="00602E3F">
        <w:rPr>
          <w:sz w:val="24"/>
          <w:szCs w:val="24"/>
        </w:rPr>
        <w:t>metabolisering</w:t>
      </w:r>
      <w:proofErr w:type="spellEnd"/>
      <w:r w:rsidRPr="00602E3F">
        <w:rPr>
          <w:sz w:val="24"/>
          <w:szCs w:val="24"/>
        </w:rPr>
        <w:t xml:space="preserve"> og mangel på potentiale for metabolisk hæmning er interaktion af </w:t>
      </w:r>
      <w:proofErr w:type="spellStart"/>
      <w:r w:rsidRPr="00602E3F">
        <w:rPr>
          <w:sz w:val="24"/>
          <w:szCs w:val="24"/>
        </w:rPr>
        <w:t>levocetirizin</w:t>
      </w:r>
      <w:proofErr w:type="spellEnd"/>
      <w:r w:rsidRPr="00602E3F">
        <w:rPr>
          <w:sz w:val="24"/>
          <w:szCs w:val="24"/>
        </w:rPr>
        <w:t xml:space="preserve"> og andre lægemidler, eller omvendt, usandsynlig.</w:t>
      </w:r>
    </w:p>
    <w:p w:rsidR="00602E3F" w:rsidRPr="00602E3F" w:rsidRDefault="00602E3F" w:rsidP="00602E3F">
      <w:pPr>
        <w:ind w:left="851"/>
        <w:rPr>
          <w:i/>
          <w:sz w:val="24"/>
          <w:szCs w:val="24"/>
        </w:rPr>
      </w:pPr>
    </w:p>
    <w:p w:rsidR="00602E3F" w:rsidRPr="00602E3F" w:rsidRDefault="00602E3F" w:rsidP="00602E3F">
      <w:pPr>
        <w:ind w:left="851"/>
        <w:rPr>
          <w:i/>
          <w:sz w:val="24"/>
          <w:szCs w:val="24"/>
        </w:rPr>
      </w:pPr>
      <w:r w:rsidRPr="00602E3F">
        <w:rPr>
          <w:sz w:val="24"/>
          <w:szCs w:val="24"/>
          <w:u w:val="single"/>
        </w:rPr>
        <w:t>Elimination</w:t>
      </w:r>
    </w:p>
    <w:p w:rsidR="00602E3F" w:rsidRPr="00602E3F" w:rsidRDefault="001A3E7E" w:rsidP="00602E3F">
      <w:pPr>
        <w:ind w:left="851"/>
        <w:rPr>
          <w:sz w:val="24"/>
          <w:szCs w:val="24"/>
        </w:rPr>
      </w:pPr>
      <w:r w:rsidRPr="00436ECB">
        <w:rPr>
          <w:sz w:val="24"/>
          <w:szCs w:val="24"/>
        </w:rPr>
        <w:t>Plasma-halveringstid hos voksne er 7,9 </w:t>
      </w:r>
      <w:r w:rsidRPr="00436ECB">
        <w:rPr>
          <w:sz w:val="24"/>
          <w:szCs w:val="24"/>
          <w:u w:val="single"/>
        </w:rPr>
        <w:t>+</w:t>
      </w:r>
      <w:r w:rsidRPr="00436ECB">
        <w:rPr>
          <w:sz w:val="24"/>
          <w:szCs w:val="24"/>
        </w:rPr>
        <w:t xml:space="preserve"> 1,9 timer. </w:t>
      </w:r>
      <w:r w:rsidR="00602E3F" w:rsidRPr="00602E3F">
        <w:rPr>
          <w:sz w:val="24"/>
          <w:szCs w:val="24"/>
        </w:rPr>
        <w:t xml:space="preserve">Halveringstiden er kortere hos små børn. Den gennemsnitlige samlede udskillelse er 0,63 ml/min/kg. Den vigtigste udskillelsesvej for </w:t>
      </w:r>
      <w:proofErr w:type="spellStart"/>
      <w:r w:rsidR="00602E3F" w:rsidRPr="00602E3F">
        <w:rPr>
          <w:sz w:val="24"/>
          <w:szCs w:val="24"/>
        </w:rPr>
        <w:t>levocetirizin</w:t>
      </w:r>
      <w:proofErr w:type="spellEnd"/>
      <w:r w:rsidR="00602E3F" w:rsidRPr="00602E3F">
        <w:rPr>
          <w:sz w:val="24"/>
          <w:szCs w:val="24"/>
        </w:rPr>
        <w:t xml:space="preserve"> og metabolitter er via urin, som udgør gennemsnitligt 85,4 % af dosis. Udskillelse via fæces udgør kun 12,9 % af dosis. </w:t>
      </w:r>
      <w:proofErr w:type="spellStart"/>
      <w:r w:rsidR="00602E3F" w:rsidRPr="00602E3F">
        <w:rPr>
          <w:sz w:val="24"/>
          <w:szCs w:val="24"/>
        </w:rPr>
        <w:t>Levocetirizin</w:t>
      </w:r>
      <w:proofErr w:type="spellEnd"/>
      <w:r w:rsidR="00602E3F" w:rsidRPr="00602E3F">
        <w:rPr>
          <w:sz w:val="24"/>
          <w:szCs w:val="24"/>
        </w:rPr>
        <w:t xml:space="preserve"> udskilles både ved </w:t>
      </w:r>
      <w:proofErr w:type="spellStart"/>
      <w:r w:rsidR="00602E3F" w:rsidRPr="00602E3F">
        <w:rPr>
          <w:sz w:val="24"/>
          <w:szCs w:val="24"/>
        </w:rPr>
        <w:t>glomerulær</w:t>
      </w:r>
      <w:proofErr w:type="spellEnd"/>
      <w:r w:rsidR="00602E3F" w:rsidRPr="00602E3F">
        <w:rPr>
          <w:sz w:val="24"/>
          <w:szCs w:val="24"/>
        </w:rPr>
        <w:t xml:space="preserve"> filtration og ved aktiv </w:t>
      </w:r>
      <w:proofErr w:type="spellStart"/>
      <w:r w:rsidR="00602E3F" w:rsidRPr="00602E3F">
        <w:rPr>
          <w:sz w:val="24"/>
          <w:szCs w:val="24"/>
        </w:rPr>
        <w:t>tubulær</w:t>
      </w:r>
      <w:proofErr w:type="spellEnd"/>
      <w:r w:rsidR="00602E3F" w:rsidRPr="00602E3F">
        <w:rPr>
          <w:sz w:val="24"/>
          <w:szCs w:val="24"/>
        </w:rPr>
        <w:t xml:space="preserve"> sekretion.</w:t>
      </w:r>
    </w:p>
    <w:p w:rsidR="00602E3F" w:rsidRPr="00602E3F" w:rsidRDefault="00602E3F" w:rsidP="00602E3F">
      <w:pPr>
        <w:ind w:left="851"/>
        <w:rPr>
          <w:i/>
          <w:sz w:val="24"/>
          <w:szCs w:val="24"/>
        </w:rPr>
      </w:pPr>
    </w:p>
    <w:p w:rsidR="00602E3F" w:rsidRPr="00602E3F" w:rsidRDefault="00602E3F" w:rsidP="00602E3F">
      <w:pPr>
        <w:ind w:left="851"/>
        <w:rPr>
          <w:sz w:val="24"/>
          <w:szCs w:val="24"/>
          <w:u w:val="single"/>
        </w:rPr>
      </w:pPr>
      <w:r w:rsidRPr="00602E3F">
        <w:rPr>
          <w:sz w:val="24"/>
          <w:szCs w:val="24"/>
          <w:u w:val="single"/>
        </w:rPr>
        <w:t>Særlige populationer</w:t>
      </w:r>
    </w:p>
    <w:p w:rsidR="00602E3F" w:rsidRPr="00602E3F" w:rsidRDefault="00602E3F" w:rsidP="00602E3F">
      <w:pPr>
        <w:ind w:left="851"/>
        <w:rPr>
          <w:i/>
          <w:sz w:val="24"/>
          <w:szCs w:val="24"/>
        </w:rPr>
      </w:pPr>
      <w:r w:rsidRPr="00602E3F">
        <w:rPr>
          <w:i/>
          <w:sz w:val="24"/>
          <w:szCs w:val="24"/>
        </w:rPr>
        <w:t>Nedsat nyrefunktion</w:t>
      </w:r>
    </w:p>
    <w:p w:rsidR="00602E3F" w:rsidRPr="00602E3F" w:rsidRDefault="001A3E7E" w:rsidP="00602E3F">
      <w:pPr>
        <w:ind w:left="851"/>
        <w:rPr>
          <w:sz w:val="24"/>
          <w:szCs w:val="24"/>
        </w:rPr>
      </w:pPr>
      <w:proofErr w:type="spellStart"/>
      <w:r w:rsidRPr="00436ECB">
        <w:rPr>
          <w:sz w:val="24"/>
          <w:szCs w:val="24"/>
        </w:rPr>
        <w:t>Levocetirizins</w:t>
      </w:r>
      <w:proofErr w:type="spellEnd"/>
      <w:r w:rsidRPr="00436ECB">
        <w:rPr>
          <w:sz w:val="24"/>
          <w:szCs w:val="24"/>
        </w:rPr>
        <w:t xml:space="preserve"> tilsyneladende</w:t>
      </w:r>
      <w:r w:rsidRPr="00602E3F">
        <w:rPr>
          <w:sz w:val="24"/>
          <w:szCs w:val="24"/>
        </w:rPr>
        <w:t xml:space="preserve"> </w:t>
      </w:r>
      <w:proofErr w:type="spellStart"/>
      <w:r w:rsidR="00602E3F" w:rsidRPr="00602E3F">
        <w:rPr>
          <w:sz w:val="24"/>
          <w:szCs w:val="24"/>
        </w:rPr>
        <w:t>clearance</w:t>
      </w:r>
      <w:proofErr w:type="spellEnd"/>
      <w:r w:rsidR="00602E3F" w:rsidRPr="00602E3F">
        <w:rPr>
          <w:sz w:val="24"/>
          <w:szCs w:val="24"/>
        </w:rPr>
        <w:t xml:space="preserve"> fra kroppen er relateret til </w:t>
      </w:r>
      <w:proofErr w:type="spellStart"/>
      <w:r w:rsidR="00602E3F" w:rsidRPr="00602E3F">
        <w:rPr>
          <w:sz w:val="24"/>
          <w:szCs w:val="24"/>
        </w:rPr>
        <w:t>kreatininclearance</w:t>
      </w:r>
      <w:proofErr w:type="spellEnd"/>
      <w:r w:rsidR="00602E3F" w:rsidRPr="00602E3F">
        <w:rPr>
          <w:sz w:val="24"/>
          <w:szCs w:val="24"/>
        </w:rPr>
        <w:t xml:space="preserve">. Det anbefales derfor at justere doseringsintervallerne af </w:t>
      </w:r>
      <w:proofErr w:type="spellStart"/>
      <w:r w:rsidR="00602E3F" w:rsidRPr="00602E3F">
        <w:rPr>
          <w:sz w:val="24"/>
          <w:szCs w:val="24"/>
        </w:rPr>
        <w:t>levocetirizin</w:t>
      </w:r>
      <w:proofErr w:type="spellEnd"/>
      <w:r w:rsidR="00602E3F" w:rsidRPr="00602E3F">
        <w:rPr>
          <w:sz w:val="24"/>
          <w:szCs w:val="24"/>
        </w:rPr>
        <w:t xml:space="preserve">, baseret på </w:t>
      </w:r>
      <w:proofErr w:type="spellStart"/>
      <w:r w:rsidR="00602E3F" w:rsidRPr="00602E3F">
        <w:rPr>
          <w:sz w:val="24"/>
          <w:szCs w:val="24"/>
        </w:rPr>
        <w:t>kreatininclearance</w:t>
      </w:r>
      <w:proofErr w:type="spellEnd"/>
      <w:r w:rsidR="00602E3F" w:rsidRPr="00602E3F">
        <w:rPr>
          <w:sz w:val="24"/>
          <w:szCs w:val="24"/>
        </w:rPr>
        <w:t xml:space="preserve"> hos patienter med moderat til alvorligt nedsat nyrefunktion. Hos personer med </w:t>
      </w:r>
      <w:proofErr w:type="spellStart"/>
      <w:r w:rsidR="00602E3F" w:rsidRPr="00602E3F">
        <w:rPr>
          <w:sz w:val="24"/>
          <w:szCs w:val="24"/>
        </w:rPr>
        <w:t>anuri</w:t>
      </w:r>
      <w:proofErr w:type="spellEnd"/>
      <w:r w:rsidR="00602E3F" w:rsidRPr="00602E3F">
        <w:rPr>
          <w:sz w:val="24"/>
          <w:szCs w:val="24"/>
        </w:rPr>
        <w:t xml:space="preserve"> og med nyresygdom i slutstadiet er den totale </w:t>
      </w:r>
      <w:proofErr w:type="spellStart"/>
      <w:r w:rsidR="00602E3F" w:rsidRPr="00602E3F">
        <w:rPr>
          <w:sz w:val="24"/>
          <w:szCs w:val="24"/>
        </w:rPr>
        <w:t>clearance</w:t>
      </w:r>
      <w:proofErr w:type="spellEnd"/>
      <w:r w:rsidR="00602E3F" w:rsidRPr="00602E3F">
        <w:rPr>
          <w:sz w:val="24"/>
          <w:szCs w:val="24"/>
        </w:rPr>
        <w:t xml:space="preserve"> fra kroppen nedsat med ca. 80 %, sammenlignet med normale forsøgspersoner. Mængden af </w:t>
      </w:r>
      <w:proofErr w:type="spellStart"/>
      <w:r w:rsidR="00602E3F" w:rsidRPr="00602E3F">
        <w:rPr>
          <w:sz w:val="24"/>
          <w:szCs w:val="24"/>
        </w:rPr>
        <w:t>levocetirizin</w:t>
      </w:r>
      <w:proofErr w:type="spellEnd"/>
      <w:r w:rsidR="00602E3F" w:rsidRPr="00602E3F">
        <w:rPr>
          <w:sz w:val="24"/>
          <w:szCs w:val="24"/>
        </w:rPr>
        <w:t xml:space="preserve">, der bliver fjernet i løbet af en 4-timers standard hæmodialyseprocedure, var </w:t>
      </w:r>
      <w:r w:rsidRPr="00436ECB">
        <w:rPr>
          <w:sz w:val="24"/>
          <w:szCs w:val="24"/>
        </w:rPr>
        <w:t>&lt; 10 %.</w:t>
      </w:r>
    </w:p>
    <w:p w:rsidR="00602E3F" w:rsidRPr="00602E3F" w:rsidRDefault="00602E3F" w:rsidP="00602E3F">
      <w:pPr>
        <w:ind w:left="851"/>
        <w:rPr>
          <w:sz w:val="24"/>
          <w:szCs w:val="24"/>
        </w:rPr>
      </w:pPr>
    </w:p>
    <w:p w:rsidR="00602E3F" w:rsidRDefault="00602E3F" w:rsidP="00602E3F">
      <w:pPr>
        <w:pStyle w:val="Default"/>
        <w:keepNext/>
        <w:ind w:left="851"/>
        <w:rPr>
          <w:i/>
          <w:lang w:val="da-DK"/>
        </w:rPr>
      </w:pPr>
      <w:r>
        <w:rPr>
          <w:i/>
          <w:lang w:val="da-DK"/>
        </w:rPr>
        <w:t>Pædiatrisk population</w:t>
      </w:r>
    </w:p>
    <w:p w:rsidR="001A3E7E" w:rsidRPr="00436ECB" w:rsidRDefault="001A3E7E" w:rsidP="001A3E7E">
      <w:pPr>
        <w:pStyle w:val="Default"/>
        <w:ind w:left="851"/>
        <w:rPr>
          <w:lang w:val="da-DK"/>
        </w:rPr>
      </w:pPr>
      <w:r w:rsidRPr="00436ECB">
        <w:rPr>
          <w:lang w:val="da-DK"/>
        </w:rPr>
        <w:t xml:space="preserve">Data fra et </w:t>
      </w:r>
      <w:proofErr w:type="spellStart"/>
      <w:r w:rsidRPr="00436ECB">
        <w:rPr>
          <w:lang w:val="da-DK"/>
        </w:rPr>
        <w:t>farmakokinetisk</w:t>
      </w:r>
      <w:proofErr w:type="spellEnd"/>
      <w:r w:rsidRPr="00436ECB">
        <w:rPr>
          <w:lang w:val="da-DK"/>
        </w:rPr>
        <w:t xml:space="preserve"> studie med pædiatriske patienter, hvor 14 børn i alderen 6-11 år med en kropsvægt på mellem 20-40 kg fik en enkelt oral dosis på 5 mg </w:t>
      </w:r>
      <w:proofErr w:type="spellStart"/>
      <w:r w:rsidRPr="00436ECB">
        <w:rPr>
          <w:lang w:val="da-DK"/>
        </w:rPr>
        <w:t>levocetirizin</w:t>
      </w:r>
      <w:proofErr w:type="spellEnd"/>
      <w:r w:rsidRPr="00436ECB">
        <w:rPr>
          <w:lang w:val="da-DK"/>
        </w:rPr>
        <w:t xml:space="preserve">, viser, at </w:t>
      </w:r>
      <w:proofErr w:type="spellStart"/>
      <w:r w:rsidRPr="00436ECB">
        <w:rPr>
          <w:lang w:val="da-DK"/>
        </w:rPr>
        <w:t>C</w:t>
      </w:r>
      <w:r w:rsidRPr="00436ECB">
        <w:rPr>
          <w:vertAlign w:val="subscript"/>
          <w:lang w:val="da-DK"/>
        </w:rPr>
        <w:t>max</w:t>
      </w:r>
      <w:proofErr w:type="spellEnd"/>
      <w:r w:rsidRPr="00436ECB">
        <w:rPr>
          <w:lang w:val="da-DK"/>
        </w:rPr>
        <w:t xml:space="preserve"> og AUC-værdier er omkring 2 gange højere end, hvad der blev rapporteret hos raske voksne forsøgspersoner i en sammenligning på tværs af studierne. Den gennemsnitlige </w:t>
      </w:r>
      <w:proofErr w:type="spellStart"/>
      <w:r w:rsidRPr="00436ECB">
        <w:rPr>
          <w:lang w:val="da-DK"/>
        </w:rPr>
        <w:t>C</w:t>
      </w:r>
      <w:r w:rsidRPr="00436ECB">
        <w:rPr>
          <w:vertAlign w:val="subscript"/>
          <w:lang w:val="da-DK"/>
        </w:rPr>
        <w:t>max</w:t>
      </w:r>
      <w:proofErr w:type="spellEnd"/>
      <w:r w:rsidRPr="00436ECB">
        <w:rPr>
          <w:lang w:val="da-DK"/>
        </w:rPr>
        <w:t xml:space="preserve"> var 450 </w:t>
      </w:r>
      <w:proofErr w:type="spellStart"/>
      <w:r w:rsidRPr="00436ECB">
        <w:rPr>
          <w:lang w:val="da-DK"/>
        </w:rPr>
        <w:t>ng</w:t>
      </w:r>
      <w:proofErr w:type="spellEnd"/>
      <w:r w:rsidRPr="00436ECB">
        <w:rPr>
          <w:lang w:val="da-DK"/>
        </w:rPr>
        <w:t xml:space="preserve">/ml og blev nået efter gennemsnitligt 1,2 timer; den vægtnormaliserede totale </w:t>
      </w:r>
      <w:proofErr w:type="spellStart"/>
      <w:r w:rsidRPr="00436ECB">
        <w:rPr>
          <w:lang w:val="da-DK"/>
        </w:rPr>
        <w:t>kropsclearance</w:t>
      </w:r>
      <w:proofErr w:type="spellEnd"/>
      <w:r w:rsidRPr="00436ECB">
        <w:rPr>
          <w:lang w:val="da-DK"/>
        </w:rPr>
        <w:t xml:space="preserve"> var 30 % større, og eliminationshalveringstiden 24 % kortere hos denne pædiatriske population sammenlignet med voksne. </w:t>
      </w:r>
      <w:proofErr w:type="spellStart"/>
      <w:r w:rsidRPr="00436ECB">
        <w:rPr>
          <w:lang w:val="da-DK"/>
        </w:rPr>
        <w:t>Farmakokinetiske</w:t>
      </w:r>
      <w:proofErr w:type="spellEnd"/>
      <w:r w:rsidRPr="00436ECB">
        <w:rPr>
          <w:lang w:val="da-DK"/>
        </w:rPr>
        <w:t xml:space="preserve"> studier er ikke udført specifikt med pædiatriske patienter under 6 år. En retrospektiv </w:t>
      </w:r>
      <w:proofErr w:type="spellStart"/>
      <w:r w:rsidRPr="00436ECB">
        <w:rPr>
          <w:lang w:val="da-DK"/>
        </w:rPr>
        <w:t>farmakokinetisk</w:t>
      </w:r>
      <w:proofErr w:type="spellEnd"/>
      <w:r w:rsidRPr="00436ECB">
        <w:rPr>
          <w:lang w:val="da-DK"/>
        </w:rPr>
        <w:t xml:space="preserve"> populationsanalyse blev udført med 324 forsøgspersoner (181 børn i alderen 1-5 år, 18 børn i alderen 6-11 år og 124 voksne i alderen 18-55 år), som fik en enkelt eller flere doser af </w:t>
      </w:r>
      <w:proofErr w:type="spellStart"/>
      <w:r w:rsidRPr="00436ECB">
        <w:rPr>
          <w:lang w:val="da-DK"/>
        </w:rPr>
        <w:t>levocetirizin</w:t>
      </w:r>
      <w:proofErr w:type="spellEnd"/>
      <w:r w:rsidRPr="00436ECB">
        <w:rPr>
          <w:lang w:val="da-DK"/>
        </w:rPr>
        <w:t xml:space="preserve"> varierende fra 1,25 mg til 30 mg. Data baseret på denne analyse indikerede, at administration af 1,25 mg én gang dagligt til børn i alderen 6 måneder til 5 år forventes at resultere i plasmakoncentrationer svarende til dem hos voksne, som fik 5 mg én gang dagligt.</w:t>
      </w:r>
    </w:p>
    <w:p w:rsidR="00602E3F" w:rsidRDefault="00602E3F" w:rsidP="00602E3F">
      <w:pPr>
        <w:pStyle w:val="Default"/>
        <w:ind w:left="851"/>
        <w:rPr>
          <w:lang w:val="da-DK"/>
        </w:rPr>
      </w:pPr>
    </w:p>
    <w:p w:rsidR="00602E3F" w:rsidRPr="00602E3F" w:rsidRDefault="00602E3F" w:rsidP="00602E3F">
      <w:pPr>
        <w:ind w:left="851"/>
        <w:rPr>
          <w:i/>
          <w:sz w:val="24"/>
          <w:szCs w:val="24"/>
        </w:rPr>
      </w:pPr>
      <w:r w:rsidRPr="00602E3F">
        <w:rPr>
          <w:i/>
          <w:sz w:val="24"/>
          <w:szCs w:val="24"/>
        </w:rPr>
        <w:t>Ældre</w:t>
      </w:r>
    </w:p>
    <w:p w:rsidR="00602E3F" w:rsidRPr="00602E3F" w:rsidRDefault="00602E3F" w:rsidP="00602E3F">
      <w:pPr>
        <w:ind w:left="851"/>
        <w:rPr>
          <w:sz w:val="24"/>
          <w:szCs w:val="24"/>
        </w:rPr>
      </w:pPr>
      <w:r w:rsidRPr="00602E3F">
        <w:rPr>
          <w:sz w:val="24"/>
          <w:szCs w:val="24"/>
        </w:rPr>
        <w:t xml:space="preserve">Der foreligger begrænsede </w:t>
      </w:r>
      <w:proofErr w:type="spellStart"/>
      <w:r w:rsidRPr="00602E3F">
        <w:rPr>
          <w:sz w:val="24"/>
          <w:szCs w:val="24"/>
        </w:rPr>
        <w:t>farmakokinetiske</w:t>
      </w:r>
      <w:proofErr w:type="spellEnd"/>
      <w:r w:rsidRPr="00602E3F">
        <w:rPr>
          <w:sz w:val="24"/>
          <w:szCs w:val="24"/>
        </w:rPr>
        <w:t xml:space="preserve"> data vedrørende ældre forsøgspersoner. Efter gentagne orale doser på 30 mg </w:t>
      </w:r>
      <w:proofErr w:type="spellStart"/>
      <w:r w:rsidRPr="00602E3F">
        <w:rPr>
          <w:sz w:val="24"/>
          <w:szCs w:val="24"/>
        </w:rPr>
        <w:t>levocetirizin</w:t>
      </w:r>
      <w:proofErr w:type="spellEnd"/>
      <w:r w:rsidRPr="00602E3F">
        <w:rPr>
          <w:sz w:val="24"/>
          <w:szCs w:val="24"/>
        </w:rPr>
        <w:t xml:space="preserve"> én gang dagligt i 6 dage hos 9 ældre forsøgspersoner (i alderen 65-74 år) var den totale </w:t>
      </w:r>
      <w:proofErr w:type="spellStart"/>
      <w:r w:rsidRPr="00602E3F">
        <w:rPr>
          <w:sz w:val="24"/>
          <w:szCs w:val="24"/>
        </w:rPr>
        <w:t>clearance</w:t>
      </w:r>
      <w:proofErr w:type="spellEnd"/>
      <w:r w:rsidRPr="00602E3F">
        <w:rPr>
          <w:sz w:val="24"/>
          <w:szCs w:val="24"/>
        </w:rPr>
        <w:t xml:space="preserve"> ca. 33 % lavere sammenlignet med yngre voksne. Fordelingen af </w:t>
      </w:r>
      <w:proofErr w:type="spellStart"/>
      <w:r w:rsidRPr="00602E3F">
        <w:rPr>
          <w:sz w:val="24"/>
          <w:szCs w:val="24"/>
        </w:rPr>
        <w:t>racemisk</w:t>
      </w:r>
      <w:proofErr w:type="spellEnd"/>
      <w:r w:rsidRPr="00602E3F">
        <w:rPr>
          <w:sz w:val="24"/>
          <w:szCs w:val="24"/>
        </w:rPr>
        <w:t xml:space="preserve"> </w:t>
      </w:r>
      <w:proofErr w:type="spellStart"/>
      <w:r w:rsidRPr="00602E3F">
        <w:rPr>
          <w:sz w:val="24"/>
          <w:szCs w:val="24"/>
        </w:rPr>
        <w:t>cetirizin</w:t>
      </w:r>
      <w:proofErr w:type="spellEnd"/>
      <w:r w:rsidRPr="00602E3F">
        <w:rPr>
          <w:sz w:val="24"/>
          <w:szCs w:val="24"/>
        </w:rPr>
        <w:t xml:space="preserve"> har vist sig at være afhængig af nyrefunktionen snarere end af alder. Dette resultat kan også forventes at være gældende for </w:t>
      </w:r>
      <w:proofErr w:type="spellStart"/>
      <w:r w:rsidRPr="00602E3F">
        <w:rPr>
          <w:sz w:val="24"/>
          <w:szCs w:val="24"/>
        </w:rPr>
        <w:t>levocetirizin</w:t>
      </w:r>
      <w:proofErr w:type="spellEnd"/>
      <w:r w:rsidRPr="00602E3F">
        <w:rPr>
          <w:sz w:val="24"/>
          <w:szCs w:val="24"/>
        </w:rPr>
        <w:t xml:space="preserve">, da både </w:t>
      </w:r>
      <w:proofErr w:type="spellStart"/>
      <w:r w:rsidRPr="00602E3F">
        <w:rPr>
          <w:sz w:val="24"/>
          <w:szCs w:val="24"/>
        </w:rPr>
        <w:t>levocetirizin</w:t>
      </w:r>
      <w:proofErr w:type="spellEnd"/>
      <w:r w:rsidRPr="00602E3F">
        <w:rPr>
          <w:sz w:val="24"/>
          <w:szCs w:val="24"/>
        </w:rPr>
        <w:t xml:space="preserve"> og </w:t>
      </w:r>
      <w:proofErr w:type="spellStart"/>
      <w:r w:rsidRPr="00602E3F">
        <w:rPr>
          <w:sz w:val="24"/>
          <w:szCs w:val="24"/>
        </w:rPr>
        <w:t>cetirizin</w:t>
      </w:r>
      <w:proofErr w:type="spellEnd"/>
      <w:r w:rsidRPr="00602E3F">
        <w:rPr>
          <w:sz w:val="24"/>
          <w:szCs w:val="24"/>
        </w:rPr>
        <w:t xml:space="preserve"> overvejende udskilles i urinen. Derfor bør </w:t>
      </w:r>
      <w:proofErr w:type="spellStart"/>
      <w:r w:rsidRPr="00602E3F">
        <w:rPr>
          <w:sz w:val="24"/>
          <w:szCs w:val="24"/>
        </w:rPr>
        <w:t>levocetirizin</w:t>
      </w:r>
      <w:proofErr w:type="spellEnd"/>
      <w:r w:rsidR="001A3E7E">
        <w:rPr>
          <w:sz w:val="24"/>
          <w:szCs w:val="24"/>
        </w:rPr>
        <w:t>-</w:t>
      </w:r>
      <w:r w:rsidRPr="00602E3F">
        <w:rPr>
          <w:sz w:val="24"/>
          <w:szCs w:val="24"/>
        </w:rPr>
        <w:t xml:space="preserve">dosis hos ældre patienter justeres i overensstemmelse med nyrefunktionen. </w:t>
      </w:r>
    </w:p>
    <w:p w:rsidR="00602E3F" w:rsidRPr="00602E3F" w:rsidRDefault="00602E3F" w:rsidP="00602E3F">
      <w:pPr>
        <w:ind w:left="851"/>
        <w:rPr>
          <w:sz w:val="24"/>
          <w:szCs w:val="24"/>
        </w:rPr>
      </w:pPr>
    </w:p>
    <w:p w:rsidR="00602E3F" w:rsidRPr="00602E3F" w:rsidRDefault="00602E3F" w:rsidP="00602E3F">
      <w:pPr>
        <w:ind w:left="851"/>
        <w:rPr>
          <w:i/>
          <w:sz w:val="24"/>
          <w:szCs w:val="24"/>
        </w:rPr>
      </w:pPr>
      <w:r w:rsidRPr="00602E3F">
        <w:rPr>
          <w:i/>
          <w:sz w:val="24"/>
          <w:szCs w:val="24"/>
        </w:rPr>
        <w:t>Køn</w:t>
      </w:r>
    </w:p>
    <w:p w:rsidR="00602E3F" w:rsidRDefault="00602E3F" w:rsidP="00602E3F">
      <w:pPr>
        <w:pStyle w:val="Default"/>
        <w:ind w:left="851"/>
        <w:rPr>
          <w:lang w:val="da-DK"/>
        </w:rPr>
      </w:pPr>
      <w:proofErr w:type="spellStart"/>
      <w:r>
        <w:rPr>
          <w:lang w:val="da-DK"/>
        </w:rPr>
        <w:t>Farmakokinetiske</w:t>
      </w:r>
      <w:proofErr w:type="spellEnd"/>
      <w:r>
        <w:rPr>
          <w:lang w:val="da-DK"/>
        </w:rPr>
        <w:t xml:space="preserve"> resultater for 77 patienter (40 mænd, 37 kvinder) blev evalueret med henblik på den potentielle betydning af køn. Halveringstiden var lidt kortere hos kvinder (7,08 ± 1,72 timer) end hos mænd (8,62 ± 1,84 timer), men den vægtjusterede orale </w:t>
      </w:r>
      <w:proofErr w:type="spellStart"/>
      <w:r>
        <w:rPr>
          <w:lang w:val="da-DK"/>
        </w:rPr>
        <w:t>clearance</w:t>
      </w:r>
      <w:proofErr w:type="spellEnd"/>
      <w:r>
        <w:rPr>
          <w:lang w:val="da-DK"/>
        </w:rPr>
        <w:t xml:space="preserve"> hos kvinder (0,67 ± 0,16 ml/min/kg) synes at være sammenlignelig med den, der sås hos mænd (0,59 ± 0,12 ml/min/kg). Samme daglige doser og doseringsintervaller gælder for såvel mænd som kvinder med normal nyrefunktion. </w:t>
      </w:r>
    </w:p>
    <w:p w:rsidR="00602E3F" w:rsidRDefault="00602E3F" w:rsidP="00602E3F">
      <w:pPr>
        <w:pStyle w:val="Default"/>
        <w:ind w:left="851"/>
        <w:rPr>
          <w:lang w:val="da-DK"/>
        </w:rPr>
      </w:pPr>
    </w:p>
    <w:p w:rsidR="00602E3F" w:rsidRDefault="00602E3F" w:rsidP="00602E3F">
      <w:pPr>
        <w:pStyle w:val="Default"/>
        <w:ind w:left="851"/>
        <w:rPr>
          <w:i/>
          <w:lang w:val="da-DK"/>
        </w:rPr>
      </w:pPr>
      <w:r>
        <w:rPr>
          <w:i/>
          <w:lang w:val="da-DK"/>
        </w:rPr>
        <w:t xml:space="preserve">Race </w:t>
      </w:r>
    </w:p>
    <w:p w:rsidR="00602E3F" w:rsidRPr="00602E3F" w:rsidRDefault="00602E3F" w:rsidP="00602E3F">
      <w:pPr>
        <w:ind w:left="851"/>
        <w:rPr>
          <w:rFonts w:eastAsia="SimSun"/>
          <w:color w:val="000000"/>
          <w:sz w:val="24"/>
          <w:szCs w:val="24"/>
        </w:rPr>
      </w:pPr>
      <w:r w:rsidRPr="00602E3F">
        <w:rPr>
          <w:color w:val="000000"/>
          <w:sz w:val="24"/>
          <w:szCs w:val="24"/>
        </w:rPr>
        <w:t xml:space="preserve">Betydningen af race for </w:t>
      </w:r>
      <w:proofErr w:type="spellStart"/>
      <w:r w:rsidRPr="00602E3F">
        <w:rPr>
          <w:color w:val="000000"/>
          <w:sz w:val="24"/>
          <w:szCs w:val="24"/>
        </w:rPr>
        <w:t>levocetirizins</w:t>
      </w:r>
      <w:proofErr w:type="spellEnd"/>
      <w:r w:rsidRPr="00602E3F">
        <w:rPr>
          <w:color w:val="000000"/>
          <w:sz w:val="24"/>
          <w:szCs w:val="24"/>
        </w:rPr>
        <w:t xml:space="preserve"> virkning er ikke blevet undersøgt. Da </w:t>
      </w:r>
      <w:proofErr w:type="spellStart"/>
      <w:r w:rsidRPr="00602E3F">
        <w:rPr>
          <w:color w:val="000000"/>
          <w:sz w:val="24"/>
          <w:szCs w:val="24"/>
        </w:rPr>
        <w:t>levocetirizin</w:t>
      </w:r>
      <w:proofErr w:type="spellEnd"/>
      <w:r w:rsidRPr="00602E3F">
        <w:rPr>
          <w:color w:val="000000"/>
          <w:sz w:val="24"/>
          <w:szCs w:val="24"/>
        </w:rPr>
        <w:t xml:space="preserve"> primært udskilles via nyrerne, og da der ikke er væsentlige racemæssige forskelle hvad angår </w:t>
      </w:r>
      <w:proofErr w:type="spellStart"/>
      <w:r w:rsidRPr="00602E3F">
        <w:rPr>
          <w:color w:val="000000"/>
          <w:sz w:val="24"/>
          <w:szCs w:val="24"/>
        </w:rPr>
        <w:t>kreatininclearance</w:t>
      </w:r>
      <w:proofErr w:type="spellEnd"/>
      <w:r w:rsidRPr="00602E3F">
        <w:rPr>
          <w:color w:val="000000"/>
          <w:sz w:val="24"/>
          <w:szCs w:val="24"/>
        </w:rPr>
        <w:t xml:space="preserve">, forventes </w:t>
      </w:r>
      <w:proofErr w:type="spellStart"/>
      <w:r w:rsidRPr="00602E3F">
        <w:rPr>
          <w:color w:val="000000"/>
          <w:sz w:val="24"/>
          <w:szCs w:val="24"/>
        </w:rPr>
        <w:t>levocetirizins</w:t>
      </w:r>
      <w:proofErr w:type="spellEnd"/>
      <w:r w:rsidRPr="00602E3F">
        <w:rPr>
          <w:color w:val="000000"/>
          <w:sz w:val="24"/>
          <w:szCs w:val="24"/>
        </w:rPr>
        <w:t xml:space="preserve"> </w:t>
      </w:r>
      <w:proofErr w:type="spellStart"/>
      <w:r w:rsidRPr="00602E3F">
        <w:rPr>
          <w:color w:val="000000"/>
          <w:sz w:val="24"/>
          <w:szCs w:val="24"/>
        </w:rPr>
        <w:t>farmakokinetiske</w:t>
      </w:r>
      <w:proofErr w:type="spellEnd"/>
      <w:r w:rsidRPr="00602E3F">
        <w:rPr>
          <w:color w:val="000000"/>
          <w:sz w:val="24"/>
          <w:szCs w:val="24"/>
        </w:rPr>
        <w:t xml:space="preserve"> egenskaber ikke at variere afhængigt af race. Der er ikke observeret racerelaterede forskelle i kinetikken for </w:t>
      </w:r>
      <w:proofErr w:type="spellStart"/>
      <w:r w:rsidRPr="00602E3F">
        <w:rPr>
          <w:color w:val="000000"/>
          <w:sz w:val="24"/>
          <w:szCs w:val="24"/>
        </w:rPr>
        <w:t>racemisk</w:t>
      </w:r>
      <w:proofErr w:type="spellEnd"/>
      <w:r w:rsidRPr="00602E3F">
        <w:rPr>
          <w:color w:val="000000"/>
          <w:sz w:val="24"/>
          <w:szCs w:val="24"/>
        </w:rPr>
        <w:t xml:space="preserve"> </w:t>
      </w:r>
      <w:proofErr w:type="spellStart"/>
      <w:r w:rsidRPr="00602E3F">
        <w:rPr>
          <w:color w:val="000000"/>
          <w:sz w:val="24"/>
          <w:szCs w:val="24"/>
        </w:rPr>
        <w:t>cetirizin</w:t>
      </w:r>
      <w:proofErr w:type="spellEnd"/>
      <w:r w:rsidRPr="00602E3F">
        <w:rPr>
          <w:color w:val="000000"/>
          <w:sz w:val="24"/>
          <w:szCs w:val="24"/>
        </w:rPr>
        <w:t xml:space="preserve">. </w:t>
      </w:r>
    </w:p>
    <w:p w:rsidR="00602E3F" w:rsidRDefault="00602E3F" w:rsidP="00602E3F">
      <w:pPr>
        <w:pStyle w:val="Default"/>
        <w:ind w:left="851"/>
        <w:rPr>
          <w:lang w:val="da-DK"/>
        </w:rPr>
      </w:pPr>
    </w:p>
    <w:p w:rsidR="00602E3F" w:rsidRPr="00602E3F" w:rsidRDefault="00602E3F" w:rsidP="00602E3F">
      <w:pPr>
        <w:ind w:left="851"/>
        <w:rPr>
          <w:rFonts w:eastAsia="SimSun"/>
          <w:color w:val="000000"/>
          <w:sz w:val="24"/>
          <w:szCs w:val="24"/>
        </w:rPr>
      </w:pPr>
      <w:r w:rsidRPr="00602E3F">
        <w:rPr>
          <w:i/>
          <w:color w:val="000000"/>
          <w:sz w:val="24"/>
          <w:szCs w:val="24"/>
        </w:rPr>
        <w:t>Nedsat leverfunktion</w:t>
      </w:r>
      <w:r w:rsidRPr="00602E3F">
        <w:rPr>
          <w:color w:val="000000"/>
          <w:sz w:val="24"/>
          <w:szCs w:val="24"/>
        </w:rPr>
        <w:t xml:space="preserve"> </w:t>
      </w:r>
    </w:p>
    <w:p w:rsidR="00602E3F" w:rsidRPr="00602E3F" w:rsidRDefault="00602E3F" w:rsidP="00602E3F">
      <w:pPr>
        <w:ind w:left="851"/>
        <w:rPr>
          <w:color w:val="000000"/>
          <w:sz w:val="24"/>
          <w:szCs w:val="24"/>
        </w:rPr>
      </w:pPr>
      <w:proofErr w:type="spellStart"/>
      <w:r w:rsidRPr="00602E3F">
        <w:rPr>
          <w:color w:val="000000"/>
          <w:sz w:val="24"/>
          <w:szCs w:val="24"/>
        </w:rPr>
        <w:t>Levocetirizins</w:t>
      </w:r>
      <w:proofErr w:type="spellEnd"/>
      <w:r w:rsidRPr="00602E3F">
        <w:rPr>
          <w:color w:val="000000"/>
          <w:sz w:val="24"/>
          <w:szCs w:val="24"/>
        </w:rPr>
        <w:t xml:space="preserve"> farmakokinetik hos forsøgspersoner med nedsat leverfunktion er ikke blevet undersøgt. Hos patienter med kronisk leversygdom (</w:t>
      </w:r>
      <w:proofErr w:type="spellStart"/>
      <w:r w:rsidRPr="00602E3F">
        <w:rPr>
          <w:color w:val="000000"/>
          <w:sz w:val="24"/>
          <w:szCs w:val="24"/>
        </w:rPr>
        <w:t>hepatocellulær</w:t>
      </w:r>
      <w:proofErr w:type="spellEnd"/>
      <w:r w:rsidRPr="00602E3F">
        <w:rPr>
          <w:color w:val="000000"/>
          <w:sz w:val="24"/>
          <w:szCs w:val="24"/>
        </w:rPr>
        <w:t xml:space="preserve">, </w:t>
      </w:r>
      <w:proofErr w:type="spellStart"/>
      <w:r w:rsidRPr="00602E3F">
        <w:rPr>
          <w:color w:val="000000"/>
          <w:sz w:val="24"/>
          <w:szCs w:val="24"/>
        </w:rPr>
        <w:t>cholestatisk</w:t>
      </w:r>
      <w:proofErr w:type="spellEnd"/>
      <w:r w:rsidRPr="00602E3F">
        <w:rPr>
          <w:color w:val="000000"/>
          <w:sz w:val="24"/>
          <w:szCs w:val="24"/>
        </w:rPr>
        <w:t xml:space="preserve"> og biliær </w:t>
      </w:r>
      <w:proofErr w:type="spellStart"/>
      <w:r w:rsidRPr="00602E3F">
        <w:rPr>
          <w:color w:val="000000"/>
          <w:sz w:val="24"/>
          <w:szCs w:val="24"/>
        </w:rPr>
        <w:t>cirrhose</w:t>
      </w:r>
      <w:proofErr w:type="spellEnd"/>
      <w:r w:rsidRPr="00602E3F">
        <w:rPr>
          <w:color w:val="000000"/>
          <w:sz w:val="24"/>
          <w:szCs w:val="24"/>
        </w:rPr>
        <w:t>), som fik 10 eller 20</w:t>
      </w:r>
      <w:r w:rsidRPr="00602E3F">
        <w:rPr>
          <w:sz w:val="24"/>
          <w:szCs w:val="24"/>
        </w:rPr>
        <w:t> </w:t>
      </w:r>
      <w:r w:rsidRPr="00602E3F">
        <w:rPr>
          <w:color w:val="000000"/>
          <w:sz w:val="24"/>
          <w:szCs w:val="24"/>
        </w:rPr>
        <w:t xml:space="preserve">mg af det </w:t>
      </w:r>
      <w:proofErr w:type="spellStart"/>
      <w:r w:rsidRPr="00602E3F">
        <w:rPr>
          <w:color w:val="000000"/>
          <w:sz w:val="24"/>
          <w:szCs w:val="24"/>
        </w:rPr>
        <w:t>racemiske</w:t>
      </w:r>
      <w:proofErr w:type="spellEnd"/>
      <w:r w:rsidRPr="00602E3F">
        <w:rPr>
          <w:color w:val="000000"/>
          <w:sz w:val="24"/>
          <w:szCs w:val="24"/>
        </w:rPr>
        <w:t xml:space="preserve"> lægemiddelstof </w:t>
      </w:r>
      <w:proofErr w:type="spellStart"/>
      <w:r w:rsidRPr="00602E3F">
        <w:rPr>
          <w:color w:val="000000"/>
          <w:sz w:val="24"/>
          <w:szCs w:val="24"/>
        </w:rPr>
        <w:t>cetirizin</w:t>
      </w:r>
      <w:proofErr w:type="spellEnd"/>
      <w:r w:rsidRPr="00602E3F">
        <w:rPr>
          <w:color w:val="000000"/>
          <w:sz w:val="24"/>
          <w:szCs w:val="24"/>
        </w:rPr>
        <w:t xml:space="preserve"> som en enkelt dosis, sås en forlængelse af halveringstiden på 50</w:t>
      </w:r>
      <w:r w:rsidRPr="00602E3F">
        <w:rPr>
          <w:sz w:val="24"/>
          <w:szCs w:val="24"/>
        </w:rPr>
        <w:t> </w:t>
      </w:r>
      <w:r w:rsidRPr="00602E3F">
        <w:rPr>
          <w:color w:val="000000"/>
          <w:sz w:val="24"/>
          <w:szCs w:val="24"/>
        </w:rPr>
        <w:t xml:space="preserve">% og et fald i </w:t>
      </w:r>
      <w:proofErr w:type="spellStart"/>
      <w:r w:rsidRPr="00602E3F">
        <w:rPr>
          <w:color w:val="000000"/>
          <w:sz w:val="24"/>
          <w:szCs w:val="24"/>
        </w:rPr>
        <w:t>clearance</w:t>
      </w:r>
      <w:proofErr w:type="spellEnd"/>
      <w:r w:rsidRPr="00602E3F">
        <w:rPr>
          <w:color w:val="000000"/>
          <w:sz w:val="24"/>
          <w:szCs w:val="24"/>
        </w:rPr>
        <w:t xml:space="preserve"> på 40</w:t>
      </w:r>
      <w:r w:rsidRPr="00602E3F">
        <w:rPr>
          <w:sz w:val="24"/>
          <w:szCs w:val="24"/>
        </w:rPr>
        <w:t> </w:t>
      </w:r>
      <w:r w:rsidRPr="00602E3F">
        <w:rPr>
          <w:color w:val="000000"/>
          <w:sz w:val="24"/>
          <w:szCs w:val="24"/>
        </w:rPr>
        <w:t>% i forhold til raske forsøgspersoner.</w:t>
      </w:r>
    </w:p>
    <w:p w:rsidR="00602E3F" w:rsidRPr="00602E3F" w:rsidRDefault="00602E3F" w:rsidP="00602E3F">
      <w:pPr>
        <w:ind w:left="851"/>
        <w:rPr>
          <w:sz w:val="24"/>
          <w:szCs w:val="24"/>
        </w:rPr>
      </w:pPr>
    </w:p>
    <w:p w:rsidR="00602E3F" w:rsidRPr="00602E3F" w:rsidRDefault="00602E3F" w:rsidP="00602E3F">
      <w:pPr>
        <w:ind w:left="851"/>
        <w:rPr>
          <w:sz w:val="24"/>
          <w:szCs w:val="24"/>
          <w:u w:val="single"/>
        </w:rPr>
      </w:pPr>
      <w:proofErr w:type="spellStart"/>
      <w:r w:rsidRPr="00602E3F">
        <w:rPr>
          <w:sz w:val="24"/>
          <w:szCs w:val="24"/>
          <w:u w:val="single"/>
        </w:rPr>
        <w:t>Farmakokinetiske</w:t>
      </w:r>
      <w:proofErr w:type="spellEnd"/>
      <w:r w:rsidRPr="00602E3F">
        <w:rPr>
          <w:sz w:val="24"/>
          <w:szCs w:val="24"/>
          <w:u w:val="single"/>
        </w:rPr>
        <w:t>/</w:t>
      </w:r>
      <w:proofErr w:type="spellStart"/>
      <w:r w:rsidRPr="00602E3F">
        <w:rPr>
          <w:sz w:val="24"/>
          <w:szCs w:val="24"/>
          <w:u w:val="single"/>
        </w:rPr>
        <w:t>farmakodynamiske</w:t>
      </w:r>
      <w:proofErr w:type="spellEnd"/>
      <w:r w:rsidRPr="00602E3F">
        <w:rPr>
          <w:sz w:val="24"/>
          <w:szCs w:val="24"/>
          <w:u w:val="single"/>
        </w:rPr>
        <w:t xml:space="preserve"> forhold</w:t>
      </w:r>
    </w:p>
    <w:p w:rsidR="00602E3F" w:rsidRPr="00602E3F" w:rsidRDefault="00602E3F" w:rsidP="00602E3F">
      <w:pPr>
        <w:ind w:left="851"/>
        <w:rPr>
          <w:sz w:val="24"/>
          <w:szCs w:val="24"/>
        </w:rPr>
      </w:pPr>
      <w:r w:rsidRPr="00602E3F">
        <w:rPr>
          <w:sz w:val="24"/>
          <w:szCs w:val="24"/>
        </w:rPr>
        <w:t>Virkningen på histamininducerede hudreaktioner er uafhængig af plasmakoncentrationerne.</w:t>
      </w:r>
    </w:p>
    <w:p w:rsidR="00155008" w:rsidRDefault="00155008" w:rsidP="00155008">
      <w:pPr>
        <w:ind w:left="851"/>
        <w:rPr>
          <w:sz w:val="24"/>
          <w:szCs w:val="24"/>
        </w:rPr>
      </w:pPr>
    </w:p>
    <w:p w:rsidR="00155008" w:rsidRPr="0089122C" w:rsidRDefault="004209B0" w:rsidP="00155008">
      <w:pPr>
        <w:numPr>
          <w:ilvl w:val="1"/>
          <w:numId w:val="4"/>
        </w:numPr>
        <w:tabs>
          <w:tab w:val="clear" w:pos="855"/>
        </w:tabs>
        <w:ind w:left="851" w:hanging="851"/>
        <w:rPr>
          <w:b/>
          <w:sz w:val="24"/>
          <w:szCs w:val="24"/>
        </w:rPr>
      </w:pPr>
      <w:r>
        <w:rPr>
          <w:b/>
          <w:sz w:val="24"/>
          <w:szCs w:val="24"/>
        </w:rPr>
        <w:t>Non-</w:t>
      </w:r>
      <w:r w:rsidR="00155008" w:rsidRPr="0089122C">
        <w:rPr>
          <w:b/>
          <w:sz w:val="24"/>
          <w:szCs w:val="24"/>
        </w:rPr>
        <w:t>kliniske sikkerhedsdata</w:t>
      </w:r>
    </w:p>
    <w:p w:rsidR="001A3E7E" w:rsidRPr="001A3E7E" w:rsidRDefault="001A3E7E" w:rsidP="001A3E7E">
      <w:pPr>
        <w:pStyle w:val="Listeafsnit"/>
        <w:numPr>
          <w:ilvl w:val="12"/>
          <w:numId w:val="4"/>
        </w:numPr>
        <w:ind w:left="851" w:right="11"/>
        <w:rPr>
          <w:sz w:val="24"/>
          <w:szCs w:val="24"/>
        </w:rPr>
      </w:pPr>
      <w:r w:rsidRPr="001A3E7E">
        <w:rPr>
          <w:sz w:val="24"/>
          <w:szCs w:val="24"/>
        </w:rPr>
        <w:t xml:space="preserve">Non-kliniske data viser ingen speciel risiko for mennesker vurderet ud fra konventionelle studier af sikkerhedsfarmakologi, toksicitet efter gentagne doser, genotoksicitet, </w:t>
      </w:r>
      <w:proofErr w:type="spellStart"/>
      <w:r w:rsidRPr="001A3E7E">
        <w:rPr>
          <w:sz w:val="24"/>
          <w:szCs w:val="24"/>
        </w:rPr>
        <w:t>karcinogent</w:t>
      </w:r>
      <w:proofErr w:type="spellEnd"/>
      <w:r w:rsidRPr="001A3E7E">
        <w:rPr>
          <w:sz w:val="24"/>
          <w:szCs w:val="24"/>
        </w:rPr>
        <w:t xml:space="preserve"> potentiale samt reproduktions- og udviklingstoksicitet.</w:t>
      </w:r>
    </w:p>
    <w:p w:rsidR="00155008" w:rsidRDefault="00155008" w:rsidP="00602E3F">
      <w:pPr>
        <w:numPr>
          <w:ilvl w:val="12"/>
          <w:numId w:val="0"/>
        </w:numPr>
        <w:ind w:left="851" w:right="11" w:hanging="851"/>
        <w:rPr>
          <w:sz w:val="24"/>
          <w:szCs w:val="24"/>
        </w:rPr>
      </w:pPr>
    </w:p>
    <w:p w:rsidR="00155008" w:rsidRPr="0089122C" w:rsidRDefault="00155008" w:rsidP="00155008">
      <w:pPr>
        <w:ind w:left="851" w:hanging="851"/>
        <w:rPr>
          <w:sz w:val="24"/>
          <w:szCs w:val="24"/>
        </w:rPr>
      </w:pPr>
    </w:p>
    <w:p w:rsidR="00155008" w:rsidRPr="0089122C" w:rsidRDefault="00155008" w:rsidP="00155008">
      <w:pPr>
        <w:numPr>
          <w:ilvl w:val="0"/>
          <w:numId w:val="3"/>
        </w:numPr>
        <w:tabs>
          <w:tab w:val="clear" w:pos="855"/>
        </w:tabs>
        <w:ind w:left="851" w:hanging="851"/>
        <w:rPr>
          <w:b/>
          <w:sz w:val="24"/>
          <w:szCs w:val="24"/>
        </w:rPr>
      </w:pPr>
      <w:r w:rsidRPr="0089122C">
        <w:rPr>
          <w:b/>
          <w:sz w:val="24"/>
          <w:szCs w:val="24"/>
        </w:rPr>
        <w:t>FARMACEUTISKE OPLYSNINGER</w:t>
      </w:r>
    </w:p>
    <w:p w:rsidR="00155008" w:rsidRPr="0089122C" w:rsidRDefault="00155008" w:rsidP="00155008">
      <w:pPr>
        <w:ind w:left="851" w:hanging="851"/>
        <w:rPr>
          <w:b/>
          <w:sz w:val="24"/>
          <w:szCs w:val="24"/>
        </w:rPr>
      </w:pPr>
    </w:p>
    <w:p w:rsidR="00155008" w:rsidRPr="0089122C" w:rsidRDefault="00155008" w:rsidP="00155008">
      <w:pPr>
        <w:numPr>
          <w:ilvl w:val="1"/>
          <w:numId w:val="5"/>
        </w:numPr>
        <w:tabs>
          <w:tab w:val="clear" w:pos="855"/>
        </w:tabs>
        <w:ind w:left="851" w:hanging="851"/>
        <w:rPr>
          <w:b/>
          <w:sz w:val="24"/>
          <w:szCs w:val="24"/>
        </w:rPr>
      </w:pPr>
      <w:r w:rsidRPr="0089122C">
        <w:rPr>
          <w:b/>
          <w:sz w:val="24"/>
          <w:szCs w:val="24"/>
        </w:rPr>
        <w:t>Hjælpestoffer</w:t>
      </w:r>
    </w:p>
    <w:p w:rsidR="00155008" w:rsidRPr="0089122C" w:rsidRDefault="00155008" w:rsidP="00155008">
      <w:pPr>
        <w:ind w:left="851" w:hanging="851"/>
        <w:rPr>
          <w:sz w:val="24"/>
          <w:szCs w:val="24"/>
          <w:u w:val="single"/>
        </w:rPr>
      </w:pPr>
      <w:r w:rsidRPr="0089122C">
        <w:rPr>
          <w:sz w:val="24"/>
          <w:szCs w:val="24"/>
        </w:rPr>
        <w:tab/>
      </w:r>
      <w:r w:rsidRPr="0089122C">
        <w:rPr>
          <w:sz w:val="24"/>
          <w:szCs w:val="24"/>
          <w:u w:val="single"/>
        </w:rPr>
        <w:t>Tabletkerne:</w:t>
      </w:r>
    </w:p>
    <w:p w:rsidR="00155008" w:rsidRPr="0089122C" w:rsidRDefault="00155008" w:rsidP="00155008">
      <w:pPr>
        <w:ind w:left="851"/>
        <w:rPr>
          <w:sz w:val="24"/>
          <w:szCs w:val="24"/>
        </w:rPr>
      </w:pPr>
      <w:proofErr w:type="spellStart"/>
      <w:r w:rsidRPr="0089122C">
        <w:rPr>
          <w:sz w:val="24"/>
          <w:szCs w:val="24"/>
        </w:rPr>
        <w:t>Lactosemonohydrat</w:t>
      </w:r>
      <w:proofErr w:type="spellEnd"/>
    </w:p>
    <w:p w:rsidR="00155008" w:rsidRPr="0089122C" w:rsidRDefault="00155008" w:rsidP="00155008">
      <w:pPr>
        <w:ind w:left="851"/>
        <w:rPr>
          <w:sz w:val="24"/>
          <w:szCs w:val="24"/>
        </w:rPr>
      </w:pPr>
      <w:r w:rsidRPr="0089122C">
        <w:rPr>
          <w:sz w:val="24"/>
          <w:szCs w:val="24"/>
        </w:rPr>
        <w:t>Cellulose, mikrokrystallinsk</w:t>
      </w:r>
    </w:p>
    <w:p w:rsidR="00155008" w:rsidRPr="0089122C" w:rsidRDefault="00155008" w:rsidP="00155008">
      <w:pPr>
        <w:keepNext/>
        <w:ind w:left="851"/>
        <w:rPr>
          <w:sz w:val="24"/>
          <w:szCs w:val="24"/>
        </w:rPr>
      </w:pPr>
      <w:proofErr w:type="spellStart"/>
      <w:r w:rsidRPr="0089122C">
        <w:rPr>
          <w:sz w:val="24"/>
          <w:szCs w:val="24"/>
        </w:rPr>
        <w:t>Silica</w:t>
      </w:r>
      <w:proofErr w:type="spellEnd"/>
      <w:r w:rsidRPr="0089122C">
        <w:rPr>
          <w:sz w:val="24"/>
          <w:szCs w:val="24"/>
        </w:rPr>
        <w:t>, kolloid vandfri</w:t>
      </w:r>
    </w:p>
    <w:p w:rsidR="00155008" w:rsidRPr="0089122C" w:rsidRDefault="00155008" w:rsidP="00155008">
      <w:pPr>
        <w:ind w:left="851"/>
        <w:rPr>
          <w:sz w:val="24"/>
          <w:szCs w:val="24"/>
        </w:rPr>
      </w:pPr>
      <w:proofErr w:type="spellStart"/>
      <w:r w:rsidRPr="0089122C">
        <w:rPr>
          <w:sz w:val="24"/>
          <w:szCs w:val="24"/>
        </w:rPr>
        <w:t>Magnesiumstearat</w:t>
      </w:r>
      <w:proofErr w:type="spellEnd"/>
    </w:p>
    <w:p w:rsidR="00155008" w:rsidRDefault="00155008" w:rsidP="00155008">
      <w:pPr>
        <w:ind w:firstLine="851"/>
        <w:rPr>
          <w:sz w:val="24"/>
          <w:szCs w:val="24"/>
          <w:u w:val="single"/>
        </w:rPr>
      </w:pPr>
    </w:p>
    <w:p w:rsidR="00155008" w:rsidRPr="0089122C" w:rsidRDefault="00155008" w:rsidP="00155008">
      <w:pPr>
        <w:ind w:firstLine="851"/>
        <w:rPr>
          <w:sz w:val="24"/>
          <w:szCs w:val="24"/>
          <w:u w:val="single"/>
        </w:rPr>
      </w:pPr>
      <w:r w:rsidRPr="0089122C">
        <w:rPr>
          <w:sz w:val="24"/>
          <w:szCs w:val="24"/>
          <w:u w:val="single"/>
        </w:rPr>
        <w:lastRenderedPageBreak/>
        <w:t>Filmovertræk:</w:t>
      </w:r>
    </w:p>
    <w:p w:rsidR="00155008" w:rsidRPr="00454BAB" w:rsidRDefault="00155008" w:rsidP="00155008">
      <w:pPr>
        <w:ind w:firstLine="851"/>
        <w:rPr>
          <w:sz w:val="24"/>
          <w:szCs w:val="24"/>
        </w:rPr>
      </w:pPr>
      <w:proofErr w:type="spellStart"/>
      <w:r w:rsidRPr="00454BAB">
        <w:rPr>
          <w:sz w:val="24"/>
          <w:szCs w:val="24"/>
        </w:rPr>
        <w:t>Lactosemonohydrat</w:t>
      </w:r>
      <w:proofErr w:type="spellEnd"/>
    </w:p>
    <w:p w:rsidR="00155008" w:rsidRPr="00D832B9" w:rsidRDefault="00155008" w:rsidP="00155008">
      <w:pPr>
        <w:ind w:firstLine="851"/>
        <w:rPr>
          <w:sz w:val="24"/>
          <w:szCs w:val="24"/>
        </w:rPr>
      </w:pPr>
      <w:proofErr w:type="spellStart"/>
      <w:r w:rsidRPr="00D832B9">
        <w:rPr>
          <w:sz w:val="24"/>
          <w:szCs w:val="24"/>
        </w:rPr>
        <w:t>Hypromellose</w:t>
      </w:r>
      <w:proofErr w:type="spellEnd"/>
      <w:r w:rsidRPr="00D832B9">
        <w:rPr>
          <w:sz w:val="24"/>
          <w:szCs w:val="24"/>
        </w:rPr>
        <w:t xml:space="preserve"> 6cP</w:t>
      </w:r>
    </w:p>
    <w:p w:rsidR="00155008" w:rsidRPr="00D832B9" w:rsidRDefault="00155008" w:rsidP="00155008">
      <w:pPr>
        <w:ind w:firstLine="851"/>
        <w:rPr>
          <w:sz w:val="24"/>
          <w:szCs w:val="24"/>
        </w:rPr>
      </w:pPr>
      <w:r w:rsidRPr="00D832B9">
        <w:rPr>
          <w:sz w:val="24"/>
          <w:szCs w:val="24"/>
        </w:rPr>
        <w:t>Titandioxid (</w:t>
      </w:r>
      <w:r w:rsidR="00602E3F">
        <w:rPr>
          <w:sz w:val="24"/>
          <w:szCs w:val="24"/>
        </w:rPr>
        <w:t>E 171</w:t>
      </w:r>
      <w:r w:rsidRPr="00D832B9">
        <w:rPr>
          <w:sz w:val="24"/>
          <w:szCs w:val="24"/>
        </w:rPr>
        <w:t>)</w:t>
      </w:r>
    </w:p>
    <w:p w:rsidR="00155008" w:rsidRPr="00D832B9" w:rsidRDefault="00155008" w:rsidP="00155008">
      <w:pPr>
        <w:ind w:firstLine="851"/>
        <w:rPr>
          <w:sz w:val="24"/>
          <w:szCs w:val="24"/>
        </w:rPr>
      </w:pPr>
      <w:proofErr w:type="spellStart"/>
      <w:r w:rsidRPr="00D832B9">
        <w:rPr>
          <w:sz w:val="24"/>
          <w:szCs w:val="24"/>
        </w:rPr>
        <w:t>Macrogol</w:t>
      </w:r>
      <w:proofErr w:type="spellEnd"/>
      <w:r w:rsidRPr="00D832B9">
        <w:rPr>
          <w:sz w:val="24"/>
          <w:szCs w:val="24"/>
        </w:rPr>
        <w:t xml:space="preserve"> 3000</w:t>
      </w:r>
    </w:p>
    <w:p w:rsidR="00155008" w:rsidRPr="00D832B9" w:rsidRDefault="00155008" w:rsidP="00155008">
      <w:pPr>
        <w:ind w:firstLine="851"/>
        <w:rPr>
          <w:sz w:val="24"/>
          <w:szCs w:val="24"/>
        </w:rPr>
      </w:pPr>
      <w:proofErr w:type="spellStart"/>
      <w:r w:rsidRPr="00D832B9">
        <w:rPr>
          <w:sz w:val="24"/>
          <w:szCs w:val="24"/>
        </w:rPr>
        <w:t>Triacetin</w:t>
      </w:r>
      <w:proofErr w:type="spellEnd"/>
    </w:p>
    <w:p w:rsidR="00155008" w:rsidRPr="0089122C" w:rsidRDefault="00155008" w:rsidP="00155008">
      <w:pPr>
        <w:ind w:left="851" w:hanging="851"/>
        <w:rPr>
          <w:sz w:val="24"/>
          <w:szCs w:val="24"/>
        </w:rPr>
      </w:pPr>
    </w:p>
    <w:p w:rsidR="00155008" w:rsidRPr="0089122C" w:rsidRDefault="00155008" w:rsidP="00155008">
      <w:pPr>
        <w:numPr>
          <w:ilvl w:val="1"/>
          <w:numId w:val="5"/>
        </w:numPr>
        <w:tabs>
          <w:tab w:val="clear" w:pos="855"/>
        </w:tabs>
        <w:ind w:left="851" w:hanging="851"/>
        <w:rPr>
          <w:b/>
          <w:sz w:val="24"/>
          <w:szCs w:val="24"/>
        </w:rPr>
      </w:pPr>
      <w:r w:rsidRPr="0089122C">
        <w:rPr>
          <w:b/>
          <w:sz w:val="24"/>
          <w:szCs w:val="24"/>
        </w:rPr>
        <w:t>Uforligeligheder</w:t>
      </w:r>
    </w:p>
    <w:p w:rsidR="00155008" w:rsidRPr="0089122C" w:rsidRDefault="00155008" w:rsidP="00155008">
      <w:pPr>
        <w:ind w:left="851"/>
        <w:jc w:val="both"/>
        <w:rPr>
          <w:sz w:val="24"/>
          <w:szCs w:val="24"/>
        </w:rPr>
      </w:pPr>
      <w:r w:rsidRPr="0089122C">
        <w:rPr>
          <w:sz w:val="24"/>
          <w:szCs w:val="24"/>
        </w:rPr>
        <w:t>Ikke relevant.</w:t>
      </w:r>
    </w:p>
    <w:p w:rsidR="00155008" w:rsidRPr="0089122C" w:rsidRDefault="00155008" w:rsidP="00155008">
      <w:pPr>
        <w:ind w:left="851" w:hanging="851"/>
        <w:rPr>
          <w:sz w:val="24"/>
          <w:szCs w:val="24"/>
        </w:rPr>
      </w:pPr>
    </w:p>
    <w:p w:rsidR="00155008" w:rsidRPr="0089122C" w:rsidRDefault="00155008" w:rsidP="00155008">
      <w:pPr>
        <w:numPr>
          <w:ilvl w:val="1"/>
          <w:numId w:val="5"/>
        </w:numPr>
        <w:tabs>
          <w:tab w:val="clear" w:pos="855"/>
        </w:tabs>
        <w:ind w:left="851" w:hanging="851"/>
        <w:rPr>
          <w:b/>
          <w:sz w:val="24"/>
          <w:szCs w:val="24"/>
        </w:rPr>
      </w:pPr>
      <w:r w:rsidRPr="0089122C">
        <w:rPr>
          <w:b/>
          <w:sz w:val="24"/>
          <w:szCs w:val="24"/>
        </w:rPr>
        <w:t>Opbevaringstid</w:t>
      </w:r>
    </w:p>
    <w:p w:rsidR="00155008" w:rsidRDefault="00155008" w:rsidP="00602E3F">
      <w:pPr>
        <w:ind w:left="851"/>
        <w:jc w:val="both"/>
        <w:rPr>
          <w:sz w:val="24"/>
          <w:szCs w:val="24"/>
        </w:rPr>
      </w:pPr>
      <w:r>
        <w:rPr>
          <w:sz w:val="24"/>
          <w:szCs w:val="24"/>
        </w:rPr>
        <w:t>3</w:t>
      </w:r>
      <w:r w:rsidR="00602E3F">
        <w:rPr>
          <w:sz w:val="24"/>
          <w:szCs w:val="24"/>
        </w:rPr>
        <w:t> </w:t>
      </w:r>
      <w:r>
        <w:rPr>
          <w:sz w:val="24"/>
          <w:szCs w:val="24"/>
        </w:rPr>
        <w:t>år</w:t>
      </w:r>
    </w:p>
    <w:p w:rsidR="00155008" w:rsidRPr="0089122C" w:rsidRDefault="00155008" w:rsidP="00155008">
      <w:pPr>
        <w:ind w:left="851" w:hanging="851"/>
        <w:jc w:val="both"/>
        <w:rPr>
          <w:sz w:val="24"/>
          <w:szCs w:val="24"/>
        </w:rPr>
      </w:pPr>
    </w:p>
    <w:p w:rsidR="00155008" w:rsidRPr="0089122C" w:rsidRDefault="00155008" w:rsidP="00155008">
      <w:pPr>
        <w:numPr>
          <w:ilvl w:val="1"/>
          <w:numId w:val="5"/>
        </w:numPr>
        <w:tabs>
          <w:tab w:val="clear" w:pos="855"/>
        </w:tabs>
        <w:ind w:left="851" w:hanging="851"/>
        <w:rPr>
          <w:b/>
          <w:sz w:val="24"/>
          <w:szCs w:val="24"/>
        </w:rPr>
      </w:pPr>
      <w:r w:rsidRPr="0089122C">
        <w:rPr>
          <w:b/>
          <w:sz w:val="24"/>
          <w:szCs w:val="24"/>
        </w:rPr>
        <w:t>Særlige opbevaringsforhold</w:t>
      </w:r>
    </w:p>
    <w:p w:rsidR="00155008" w:rsidRPr="0089122C" w:rsidRDefault="00155008" w:rsidP="00155008">
      <w:pPr>
        <w:ind w:left="851" w:hanging="851"/>
        <w:jc w:val="both"/>
        <w:rPr>
          <w:sz w:val="24"/>
          <w:szCs w:val="24"/>
        </w:rPr>
      </w:pPr>
      <w:r w:rsidRPr="0089122C">
        <w:rPr>
          <w:sz w:val="24"/>
          <w:szCs w:val="24"/>
        </w:rPr>
        <w:tab/>
        <w:t>Dette lægemiddel kræver ingen særlige forholdsregler vedrørende opbevaringen.</w:t>
      </w:r>
    </w:p>
    <w:p w:rsidR="00155008" w:rsidRPr="0089122C" w:rsidRDefault="00155008" w:rsidP="00155008">
      <w:pPr>
        <w:ind w:left="851" w:hanging="851"/>
        <w:rPr>
          <w:sz w:val="24"/>
          <w:szCs w:val="24"/>
        </w:rPr>
      </w:pPr>
    </w:p>
    <w:p w:rsidR="00155008" w:rsidRPr="0089122C" w:rsidRDefault="00155008" w:rsidP="00155008">
      <w:pPr>
        <w:numPr>
          <w:ilvl w:val="1"/>
          <w:numId w:val="5"/>
        </w:numPr>
        <w:tabs>
          <w:tab w:val="clear" w:pos="855"/>
        </w:tabs>
        <w:ind w:left="851" w:hanging="851"/>
        <w:rPr>
          <w:b/>
          <w:sz w:val="24"/>
          <w:szCs w:val="24"/>
        </w:rPr>
      </w:pPr>
      <w:r w:rsidRPr="0089122C">
        <w:rPr>
          <w:b/>
          <w:sz w:val="24"/>
          <w:szCs w:val="24"/>
        </w:rPr>
        <w:t>Emballagetype og pakningsstørrelser</w:t>
      </w:r>
    </w:p>
    <w:p w:rsidR="00155008" w:rsidRPr="0089122C" w:rsidRDefault="001A3E7E" w:rsidP="00545325">
      <w:pPr>
        <w:pStyle w:val="Slutnotetekst"/>
        <w:tabs>
          <w:tab w:val="clear" w:pos="567"/>
        </w:tabs>
        <w:ind w:left="851"/>
        <w:rPr>
          <w:sz w:val="24"/>
          <w:szCs w:val="24"/>
        </w:rPr>
      </w:pPr>
      <w:r w:rsidRPr="00436ECB">
        <w:rPr>
          <w:sz w:val="24"/>
          <w:szCs w:val="24"/>
        </w:rPr>
        <w:t>Blister</w:t>
      </w:r>
      <w:r w:rsidR="00545325">
        <w:rPr>
          <w:sz w:val="24"/>
          <w:szCs w:val="24"/>
        </w:rPr>
        <w:t xml:space="preserve">. </w:t>
      </w:r>
    </w:p>
    <w:p w:rsidR="00155008" w:rsidRPr="0089122C" w:rsidRDefault="00155008" w:rsidP="00155008">
      <w:pPr>
        <w:ind w:left="851" w:hanging="851"/>
        <w:rPr>
          <w:sz w:val="24"/>
          <w:szCs w:val="24"/>
        </w:rPr>
      </w:pPr>
    </w:p>
    <w:p w:rsidR="00155008" w:rsidRPr="0089122C" w:rsidRDefault="00155008" w:rsidP="00155008">
      <w:pPr>
        <w:numPr>
          <w:ilvl w:val="1"/>
          <w:numId w:val="5"/>
        </w:numPr>
        <w:tabs>
          <w:tab w:val="clear" w:pos="855"/>
        </w:tabs>
        <w:ind w:left="851" w:hanging="851"/>
        <w:rPr>
          <w:b/>
          <w:sz w:val="24"/>
          <w:szCs w:val="24"/>
        </w:rPr>
      </w:pPr>
      <w:r w:rsidRPr="0089122C">
        <w:rPr>
          <w:b/>
          <w:sz w:val="24"/>
          <w:szCs w:val="24"/>
        </w:rPr>
        <w:t xml:space="preserve">Regler for </w:t>
      </w:r>
      <w:r w:rsidR="004209B0">
        <w:rPr>
          <w:b/>
          <w:sz w:val="24"/>
          <w:szCs w:val="24"/>
        </w:rPr>
        <w:t>bortskaffelse</w:t>
      </w:r>
      <w:r w:rsidRPr="0089122C">
        <w:rPr>
          <w:b/>
          <w:sz w:val="24"/>
          <w:szCs w:val="24"/>
        </w:rPr>
        <w:t xml:space="preserve"> og anden håndtering</w:t>
      </w:r>
    </w:p>
    <w:p w:rsidR="00155008" w:rsidRPr="0089122C" w:rsidRDefault="00155008" w:rsidP="00155008">
      <w:pPr>
        <w:ind w:left="851" w:hanging="851"/>
        <w:jc w:val="both"/>
        <w:rPr>
          <w:sz w:val="24"/>
          <w:szCs w:val="24"/>
        </w:rPr>
      </w:pPr>
      <w:r w:rsidRPr="0089122C">
        <w:rPr>
          <w:sz w:val="24"/>
          <w:szCs w:val="24"/>
        </w:rPr>
        <w:tab/>
        <w:t>Ingen særlige forholdsregler</w:t>
      </w:r>
    </w:p>
    <w:p w:rsidR="00155008" w:rsidRPr="0089122C" w:rsidRDefault="00155008" w:rsidP="00155008">
      <w:pPr>
        <w:ind w:left="851" w:hanging="851"/>
        <w:jc w:val="both"/>
        <w:rPr>
          <w:sz w:val="24"/>
          <w:szCs w:val="24"/>
        </w:rPr>
      </w:pPr>
    </w:p>
    <w:p w:rsidR="00155008" w:rsidRPr="0089122C" w:rsidRDefault="00155008" w:rsidP="00155008">
      <w:pPr>
        <w:ind w:left="851" w:hanging="851"/>
        <w:rPr>
          <w:b/>
          <w:sz w:val="24"/>
          <w:szCs w:val="24"/>
        </w:rPr>
      </w:pPr>
      <w:r w:rsidRPr="0089122C">
        <w:rPr>
          <w:b/>
          <w:sz w:val="24"/>
          <w:szCs w:val="24"/>
        </w:rPr>
        <w:t>7.</w:t>
      </w:r>
      <w:r w:rsidRPr="0089122C">
        <w:rPr>
          <w:b/>
          <w:sz w:val="24"/>
          <w:szCs w:val="24"/>
        </w:rPr>
        <w:tab/>
        <w:t>INDEHAVER AF MARKEDSFØRINGSTILLADELSEN</w:t>
      </w:r>
    </w:p>
    <w:p w:rsidR="00545325" w:rsidRPr="002F2B9C" w:rsidRDefault="00545325" w:rsidP="00545325">
      <w:pPr>
        <w:ind w:left="851"/>
        <w:rPr>
          <w:lang w:eastAsia="da-DK"/>
        </w:rPr>
      </w:pPr>
      <w:r w:rsidRPr="002F2B9C">
        <w:rPr>
          <w:lang w:eastAsia="da-DK"/>
        </w:rPr>
        <w:t>2care4 ApS</w:t>
      </w:r>
    </w:p>
    <w:p w:rsidR="00545325" w:rsidRPr="002F2B9C" w:rsidRDefault="00545325" w:rsidP="00545325">
      <w:pPr>
        <w:ind w:left="851"/>
        <w:rPr>
          <w:lang w:eastAsia="da-DK"/>
        </w:rPr>
      </w:pPr>
      <w:r>
        <w:rPr>
          <w:lang w:eastAsia="da-DK"/>
        </w:rPr>
        <w:t>Stenhuggervej 12</w:t>
      </w:r>
    </w:p>
    <w:p w:rsidR="00545325" w:rsidRPr="002F2B9C" w:rsidRDefault="00545325" w:rsidP="00545325">
      <w:pPr>
        <w:ind w:left="851"/>
        <w:rPr>
          <w:lang w:eastAsia="da-DK"/>
        </w:rPr>
      </w:pPr>
      <w:r w:rsidRPr="002F2B9C">
        <w:rPr>
          <w:lang w:eastAsia="da-DK"/>
        </w:rPr>
        <w:t>6710 Esbjerg V</w:t>
      </w:r>
    </w:p>
    <w:p w:rsidR="00545325" w:rsidRDefault="00545325"/>
    <w:p w:rsidR="00155008" w:rsidRPr="0089122C" w:rsidRDefault="00155008" w:rsidP="00155008">
      <w:pPr>
        <w:ind w:left="851" w:hanging="851"/>
        <w:rPr>
          <w:sz w:val="24"/>
          <w:szCs w:val="24"/>
        </w:rPr>
      </w:pPr>
    </w:p>
    <w:p w:rsidR="00155008" w:rsidRPr="0089122C" w:rsidRDefault="00155008" w:rsidP="00155008">
      <w:pPr>
        <w:ind w:left="851" w:hanging="851"/>
        <w:rPr>
          <w:b/>
          <w:sz w:val="24"/>
          <w:szCs w:val="24"/>
        </w:rPr>
      </w:pPr>
      <w:r w:rsidRPr="0089122C">
        <w:rPr>
          <w:b/>
          <w:sz w:val="24"/>
          <w:szCs w:val="24"/>
        </w:rPr>
        <w:t>8.</w:t>
      </w:r>
      <w:r w:rsidRPr="0089122C">
        <w:rPr>
          <w:b/>
          <w:sz w:val="24"/>
          <w:szCs w:val="24"/>
        </w:rPr>
        <w:tab/>
        <w:t>MARKEDSFØRINGSTILLADELSESNUMMER (</w:t>
      </w:r>
      <w:r w:rsidR="004209B0">
        <w:rPr>
          <w:b/>
          <w:sz w:val="24"/>
          <w:szCs w:val="24"/>
        </w:rPr>
        <w:t>-</w:t>
      </w:r>
      <w:r w:rsidRPr="0089122C">
        <w:rPr>
          <w:b/>
          <w:sz w:val="24"/>
          <w:szCs w:val="24"/>
        </w:rPr>
        <w:t>NUMRE)</w:t>
      </w:r>
    </w:p>
    <w:p w:rsidR="00155008" w:rsidRPr="0089122C" w:rsidRDefault="00155008" w:rsidP="00155008">
      <w:pPr>
        <w:ind w:left="851" w:hanging="851"/>
        <w:rPr>
          <w:sz w:val="24"/>
          <w:szCs w:val="24"/>
        </w:rPr>
      </w:pPr>
      <w:r w:rsidRPr="0089122C">
        <w:rPr>
          <w:sz w:val="24"/>
          <w:szCs w:val="24"/>
        </w:rPr>
        <w:tab/>
      </w:r>
      <w:r w:rsidR="00545325">
        <w:rPr>
          <w:sz w:val="24"/>
          <w:szCs w:val="24"/>
        </w:rPr>
        <w:t>74930</w:t>
      </w:r>
      <w:bookmarkStart w:id="0" w:name="_GoBack"/>
      <w:bookmarkEnd w:id="0"/>
    </w:p>
    <w:p w:rsidR="00155008" w:rsidRPr="0089122C" w:rsidRDefault="00155008" w:rsidP="00155008">
      <w:pPr>
        <w:ind w:left="851" w:hanging="851"/>
        <w:jc w:val="both"/>
        <w:rPr>
          <w:sz w:val="24"/>
          <w:szCs w:val="24"/>
        </w:rPr>
      </w:pPr>
    </w:p>
    <w:p w:rsidR="00155008" w:rsidRPr="0089122C" w:rsidRDefault="00155008" w:rsidP="00155008">
      <w:pPr>
        <w:ind w:left="851" w:hanging="851"/>
        <w:rPr>
          <w:b/>
          <w:sz w:val="24"/>
          <w:szCs w:val="24"/>
        </w:rPr>
      </w:pPr>
      <w:r w:rsidRPr="0089122C">
        <w:rPr>
          <w:b/>
          <w:sz w:val="24"/>
          <w:szCs w:val="24"/>
        </w:rPr>
        <w:t>9.</w:t>
      </w:r>
      <w:r w:rsidRPr="0089122C">
        <w:rPr>
          <w:b/>
          <w:sz w:val="24"/>
          <w:szCs w:val="24"/>
        </w:rPr>
        <w:tab/>
        <w:t>DATO FOR FØRSTE MARKEDSFØRINGSTILLADELSE</w:t>
      </w:r>
    </w:p>
    <w:p w:rsidR="00155008" w:rsidRPr="0089122C" w:rsidRDefault="00155008" w:rsidP="00155008">
      <w:pPr>
        <w:ind w:left="851" w:hanging="851"/>
        <w:rPr>
          <w:sz w:val="24"/>
          <w:szCs w:val="24"/>
        </w:rPr>
      </w:pPr>
      <w:r w:rsidRPr="0089122C">
        <w:rPr>
          <w:sz w:val="24"/>
          <w:szCs w:val="24"/>
        </w:rPr>
        <w:tab/>
      </w:r>
      <w:r w:rsidR="00545325">
        <w:rPr>
          <w:sz w:val="24"/>
          <w:szCs w:val="24"/>
        </w:rPr>
        <w:t>24. november 2025</w:t>
      </w:r>
    </w:p>
    <w:p w:rsidR="00155008" w:rsidRPr="0089122C" w:rsidRDefault="00155008" w:rsidP="00155008">
      <w:pPr>
        <w:ind w:left="851" w:hanging="851"/>
        <w:rPr>
          <w:sz w:val="24"/>
          <w:szCs w:val="24"/>
        </w:rPr>
      </w:pPr>
    </w:p>
    <w:p w:rsidR="00155008" w:rsidRPr="0089122C" w:rsidRDefault="00155008" w:rsidP="00155008">
      <w:pPr>
        <w:ind w:left="851" w:hanging="851"/>
        <w:rPr>
          <w:b/>
          <w:sz w:val="24"/>
          <w:szCs w:val="24"/>
        </w:rPr>
      </w:pPr>
      <w:r w:rsidRPr="0089122C">
        <w:rPr>
          <w:b/>
          <w:sz w:val="24"/>
          <w:szCs w:val="24"/>
        </w:rPr>
        <w:t>10.</w:t>
      </w:r>
      <w:r w:rsidRPr="0089122C">
        <w:rPr>
          <w:b/>
          <w:sz w:val="24"/>
          <w:szCs w:val="24"/>
        </w:rPr>
        <w:tab/>
        <w:t>DATO FOR ÆNDRING AF TEKSTEN</w:t>
      </w:r>
    </w:p>
    <w:p w:rsidR="00155008" w:rsidRPr="007620E2" w:rsidRDefault="00155008" w:rsidP="00155008">
      <w:pPr>
        <w:ind w:left="851" w:hanging="851"/>
        <w:rPr>
          <w:sz w:val="24"/>
          <w:szCs w:val="24"/>
        </w:rPr>
      </w:pPr>
      <w:r w:rsidRPr="007620E2">
        <w:rPr>
          <w:sz w:val="24"/>
          <w:szCs w:val="24"/>
        </w:rPr>
        <w:tab/>
      </w:r>
      <w:r w:rsidR="00545325">
        <w:rPr>
          <w:sz w:val="24"/>
          <w:szCs w:val="24"/>
        </w:rPr>
        <w:t>-</w:t>
      </w:r>
    </w:p>
    <w:p w:rsidR="009260DE" w:rsidRPr="00155008" w:rsidRDefault="009260DE" w:rsidP="00155008"/>
    <w:sectPr w:rsidR="009260DE" w:rsidRPr="00155008"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B63" w:rsidRDefault="00E85B63">
      <w:r>
        <w:separator/>
      </w:r>
    </w:p>
  </w:endnote>
  <w:endnote w:type="continuationSeparator" w:id="0">
    <w:p w:rsidR="00E85B63" w:rsidRDefault="00E8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45325">
      <w:rPr>
        <w:i/>
        <w:noProof/>
        <w:sz w:val="18"/>
        <w:szCs w:val="18"/>
      </w:rPr>
      <w:t>Cereza (2care4), filmovertrukne tabletter 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B63" w:rsidRDefault="00E85B63">
      <w:r>
        <w:separator/>
      </w:r>
    </w:p>
  </w:footnote>
  <w:footnote w:type="continuationSeparator" w:id="0">
    <w:p w:rsidR="00E85B63" w:rsidRDefault="00E8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0FF7F10"/>
    <w:multiLevelType w:val="singleLevel"/>
    <w:tmpl w:val="07BC3708"/>
    <w:lvl w:ilvl="0">
      <w:start w:val="1"/>
      <w:numFmt w:val="bullet"/>
      <w:pStyle w:val="Bloktekst"/>
      <w:lvlText w:val=""/>
      <w:lvlJc w:val="left"/>
      <w:pPr>
        <w:tabs>
          <w:tab w:val="num" w:pos="1080"/>
        </w:tabs>
        <w:ind w:left="1080" w:hanging="360"/>
      </w:pPr>
      <w:rPr>
        <w:rFonts w:ascii="Symbol" w:hAnsi="Symbol" w:cs="Symbol"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99C048A"/>
    <w:multiLevelType w:val="hybridMultilevel"/>
    <w:tmpl w:val="8D28C2F4"/>
    <w:lvl w:ilvl="0" w:tplc="2C700F2A">
      <w:numFmt w:val="bullet"/>
      <w:lvlText w:val="-"/>
      <w:lvlJc w:val="left"/>
      <w:pPr>
        <w:tabs>
          <w:tab w:val="num" w:pos="1418"/>
        </w:tabs>
        <w:ind w:left="1418" w:hanging="567"/>
      </w:pPr>
      <w:rPr>
        <w:rFonts w:ascii="Times New Roman" w:eastAsia="SimSun" w:hAnsi="Times New Roman" w:cs="Times New Roman" w:hint="default"/>
      </w:rPr>
    </w:lvl>
    <w:lvl w:ilvl="1" w:tplc="2C700F2A">
      <w:numFmt w:val="bullet"/>
      <w:lvlText w:val="-"/>
      <w:lvlJc w:val="left"/>
      <w:pPr>
        <w:ind w:left="2291" w:hanging="360"/>
      </w:pPr>
      <w:rPr>
        <w:rFonts w:ascii="Times New Roman" w:eastAsia="SimSun" w:hAnsi="Times New Roman" w:cs="Times New Roman" w:hint="default"/>
      </w:rPr>
    </w:lvl>
    <w:lvl w:ilvl="2" w:tplc="080C0005">
      <w:start w:val="1"/>
      <w:numFmt w:val="bullet"/>
      <w:lvlText w:val=""/>
      <w:lvlJc w:val="left"/>
      <w:pPr>
        <w:tabs>
          <w:tab w:val="num" w:pos="3011"/>
        </w:tabs>
        <w:ind w:left="3011" w:hanging="360"/>
      </w:pPr>
      <w:rPr>
        <w:rFonts w:ascii="Wingdings" w:hAnsi="Wingdings" w:hint="default"/>
      </w:rPr>
    </w:lvl>
    <w:lvl w:ilvl="3" w:tplc="080C0001">
      <w:start w:val="1"/>
      <w:numFmt w:val="bullet"/>
      <w:lvlText w:val=""/>
      <w:lvlJc w:val="left"/>
      <w:pPr>
        <w:tabs>
          <w:tab w:val="num" w:pos="3731"/>
        </w:tabs>
        <w:ind w:left="3731" w:hanging="360"/>
      </w:pPr>
      <w:rPr>
        <w:rFonts w:ascii="Symbol" w:hAnsi="Symbol" w:hint="default"/>
      </w:rPr>
    </w:lvl>
    <w:lvl w:ilvl="4" w:tplc="080C0003">
      <w:start w:val="1"/>
      <w:numFmt w:val="bullet"/>
      <w:lvlText w:val="o"/>
      <w:lvlJc w:val="left"/>
      <w:pPr>
        <w:tabs>
          <w:tab w:val="num" w:pos="4451"/>
        </w:tabs>
        <w:ind w:left="4451" w:hanging="360"/>
      </w:pPr>
      <w:rPr>
        <w:rFonts w:ascii="Courier New" w:hAnsi="Courier New" w:cs="Courier New" w:hint="default"/>
      </w:rPr>
    </w:lvl>
    <w:lvl w:ilvl="5" w:tplc="080C0005">
      <w:start w:val="1"/>
      <w:numFmt w:val="bullet"/>
      <w:lvlText w:val=""/>
      <w:lvlJc w:val="left"/>
      <w:pPr>
        <w:tabs>
          <w:tab w:val="num" w:pos="5171"/>
        </w:tabs>
        <w:ind w:left="5171" w:hanging="360"/>
      </w:pPr>
      <w:rPr>
        <w:rFonts w:ascii="Wingdings" w:hAnsi="Wingdings" w:hint="default"/>
      </w:rPr>
    </w:lvl>
    <w:lvl w:ilvl="6" w:tplc="080C0001">
      <w:start w:val="1"/>
      <w:numFmt w:val="bullet"/>
      <w:lvlText w:val=""/>
      <w:lvlJc w:val="left"/>
      <w:pPr>
        <w:tabs>
          <w:tab w:val="num" w:pos="5891"/>
        </w:tabs>
        <w:ind w:left="5891" w:hanging="360"/>
      </w:pPr>
      <w:rPr>
        <w:rFonts w:ascii="Symbol" w:hAnsi="Symbol" w:hint="default"/>
      </w:rPr>
    </w:lvl>
    <w:lvl w:ilvl="7" w:tplc="080C0003">
      <w:start w:val="1"/>
      <w:numFmt w:val="bullet"/>
      <w:lvlText w:val="o"/>
      <w:lvlJc w:val="left"/>
      <w:pPr>
        <w:tabs>
          <w:tab w:val="num" w:pos="6611"/>
        </w:tabs>
        <w:ind w:left="6611" w:hanging="360"/>
      </w:pPr>
      <w:rPr>
        <w:rFonts w:ascii="Courier New" w:hAnsi="Courier New" w:cs="Courier New" w:hint="default"/>
      </w:rPr>
    </w:lvl>
    <w:lvl w:ilvl="8" w:tplc="080C0005">
      <w:start w:val="1"/>
      <w:numFmt w:val="bullet"/>
      <w:lvlText w:val=""/>
      <w:lvlJc w:val="left"/>
      <w:pPr>
        <w:tabs>
          <w:tab w:val="num" w:pos="7331"/>
        </w:tabs>
        <w:ind w:left="7331"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08"/>
    <w:rsid w:val="000259B9"/>
    <w:rsid w:val="00041491"/>
    <w:rsid w:val="00050D16"/>
    <w:rsid w:val="000514D5"/>
    <w:rsid w:val="00074F2A"/>
    <w:rsid w:val="000A1CA8"/>
    <w:rsid w:val="000A466B"/>
    <w:rsid w:val="000B058C"/>
    <w:rsid w:val="000E4EE6"/>
    <w:rsid w:val="001454E2"/>
    <w:rsid w:val="00155008"/>
    <w:rsid w:val="001A3E7E"/>
    <w:rsid w:val="001F3644"/>
    <w:rsid w:val="00206CE8"/>
    <w:rsid w:val="0021526C"/>
    <w:rsid w:val="00240BC0"/>
    <w:rsid w:val="00283A2B"/>
    <w:rsid w:val="002B30AD"/>
    <w:rsid w:val="002C2C01"/>
    <w:rsid w:val="00383CFF"/>
    <w:rsid w:val="003A29AE"/>
    <w:rsid w:val="003A32D7"/>
    <w:rsid w:val="003B4074"/>
    <w:rsid w:val="003C769A"/>
    <w:rsid w:val="003D0AEF"/>
    <w:rsid w:val="003F1838"/>
    <w:rsid w:val="004209B0"/>
    <w:rsid w:val="0045746C"/>
    <w:rsid w:val="00484F80"/>
    <w:rsid w:val="0049104B"/>
    <w:rsid w:val="00492595"/>
    <w:rsid w:val="004A5413"/>
    <w:rsid w:val="004E3B12"/>
    <w:rsid w:val="00532310"/>
    <w:rsid w:val="00540D36"/>
    <w:rsid w:val="00545325"/>
    <w:rsid w:val="00560ECC"/>
    <w:rsid w:val="00565F0F"/>
    <w:rsid w:val="00594A86"/>
    <w:rsid w:val="00596D86"/>
    <w:rsid w:val="00602E3F"/>
    <w:rsid w:val="00637F5A"/>
    <w:rsid w:val="006560B1"/>
    <w:rsid w:val="00663668"/>
    <w:rsid w:val="006756DD"/>
    <w:rsid w:val="006E56AD"/>
    <w:rsid w:val="00737275"/>
    <w:rsid w:val="00740EEC"/>
    <w:rsid w:val="0078011A"/>
    <w:rsid w:val="00782AF4"/>
    <w:rsid w:val="00790EE7"/>
    <w:rsid w:val="007B6649"/>
    <w:rsid w:val="0081546F"/>
    <w:rsid w:val="0082576E"/>
    <w:rsid w:val="008654D6"/>
    <w:rsid w:val="008F0D3C"/>
    <w:rsid w:val="00907F75"/>
    <w:rsid w:val="009260DE"/>
    <w:rsid w:val="0093258A"/>
    <w:rsid w:val="00986A29"/>
    <w:rsid w:val="009C02D4"/>
    <w:rsid w:val="009C62E0"/>
    <w:rsid w:val="009C7BA3"/>
    <w:rsid w:val="009D1F5A"/>
    <w:rsid w:val="00A32A9B"/>
    <w:rsid w:val="00AE53F6"/>
    <w:rsid w:val="00B003BF"/>
    <w:rsid w:val="00B373D7"/>
    <w:rsid w:val="00B558F3"/>
    <w:rsid w:val="00BD5519"/>
    <w:rsid w:val="00C36276"/>
    <w:rsid w:val="00C42586"/>
    <w:rsid w:val="00C44EC9"/>
    <w:rsid w:val="00C60CCD"/>
    <w:rsid w:val="00C70738"/>
    <w:rsid w:val="00C84483"/>
    <w:rsid w:val="00C95551"/>
    <w:rsid w:val="00CA5D06"/>
    <w:rsid w:val="00CB20D7"/>
    <w:rsid w:val="00D020B0"/>
    <w:rsid w:val="00D11748"/>
    <w:rsid w:val="00D366CF"/>
    <w:rsid w:val="00D46847"/>
    <w:rsid w:val="00D95C1B"/>
    <w:rsid w:val="00DB1ED0"/>
    <w:rsid w:val="00E108AA"/>
    <w:rsid w:val="00E31812"/>
    <w:rsid w:val="00E3749A"/>
    <w:rsid w:val="00E7437F"/>
    <w:rsid w:val="00E75027"/>
    <w:rsid w:val="00E85B63"/>
    <w:rsid w:val="00E865B8"/>
    <w:rsid w:val="00EC0B9B"/>
    <w:rsid w:val="00ED5E9F"/>
    <w:rsid w:val="00F1798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C174"/>
  <w15:chartTrackingRefBased/>
  <w15:docId w15:val="{7F981536-E800-46DD-BF01-372667F5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9B0"/>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Slutnotetekst">
    <w:name w:val="endnote text"/>
    <w:basedOn w:val="Normal"/>
    <w:link w:val="SlutnotetekstTegn"/>
    <w:rsid w:val="00155008"/>
    <w:pPr>
      <w:widowControl w:val="0"/>
      <w:tabs>
        <w:tab w:val="left" w:pos="567"/>
      </w:tabs>
    </w:pPr>
    <w:rPr>
      <w:sz w:val="22"/>
      <w:lang w:eastAsia="da-DK"/>
    </w:rPr>
  </w:style>
  <w:style w:type="character" w:customStyle="1" w:styleId="SlutnotetekstTegn">
    <w:name w:val="Slutnotetekst Tegn"/>
    <w:basedOn w:val="Standardskrifttypeiafsnit"/>
    <w:link w:val="Slutnotetekst"/>
    <w:rsid w:val="00155008"/>
    <w:rPr>
      <w:sz w:val="22"/>
    </w:rPr>
  </w:style>
  <w:style w:type="paragraph" w:styleId="Brdtekstindrykning">
    <w:name w:val="Body Text Indent"/>
    <w:basedOn w:val="Normal"/>
    <w:link w:val="BrdtekstindrykningTegn"/>
    <w:rsid w:val="00155008"/>
    <w:pPr>
      <w:tabs>
        <w:tab w:val="left" w:pos="851"/>
      </w:tabs>
      <w:ind w:left="851" w:hanging="851"/>
    </w:pPr>
    <w:rPr>
      <w:sz w:val="24"/>
      <w:lang w:eastAsia="da-DK"/>
    </w:rPr>
  </w:style>
  <w:style w:type="character" w:customStyle="1" w:styleId="BrdtekstindrykningTegn">
    <w:name w:val="Brødtekstindrykning Tegn"/>
    <w:basedOn w:val="Standardskrifttypeiafsnit"/>
    <w:link w:val="Brdtekstindrykning"/>
    <w:rsid w:val="00155008"/>
    <w:rPr>
      <w:sz w:val="24"/>
    </w:rPr>
  </w:style>
  <w:style w:type="paragraph" w:styleId="Listeafsnit">
    <w:name w:val="List Paragraph"/>
    <w:basedOn w:val="Normal"/>
    <w:uiPriority w:val="34"/>
    <w:qFormat/>
    <w:rsid w:val="00155008"/>
    <w:pPr>
      <w:ind w:left="720"/>
      <w:contextualSpacing/>
    </w:pPr>
  </w:style>
  <w:style w:type="paragraph" w:customStyle="1" w:styleId="Default">
    <w:name w:val="Default"/>
    <w:rsid w:val="00155008"/>
    <w:pPr>
      <w:autoSpaceDE w:val="0"/>
      <w:autoSpaceDN w:val="0"/>
      <w:adjustRightInd w:val="0"/>
    </w:pPr>
    <w:rPr>
      <w:color w:val="000000"/>
      <w:sz w:val="24"/>
      <w:szCs w:val="24"/>
      <w:lang w:val="en-US" w:eastAsia="en-US"/>
    </w:rPr>
  </w:style>
  <w:style w:type="character" w:styleId="Hyperlink">
    <w:name w:val="Hyperlink"/>
    <w:basedOn w:val="Standardskrifttypeiafsnit"/>
    <w:uiPriority w:val="99"/>
    <w:semiHidden/>
    <w:unhideWhenUsed/>
    <w:rsid w:val="00155008"/>
    <w:rPr>
      <w:color w:val="0563C1" w:themeColor="hyperlink"/>
      <w:u w:val="single"/>
    </w:rPr>
  </w:style>
  <w:style w:type="paragraph" w:styleId="Bloktekst">
    <w:name w:val="Block Text"/>
    <w:basedOn w:val="Normal"/>
    <w:rsid w:val="004209B0"/>
    <w:pPr>
      <w:widowControl w:val="0"/>
      <w:numPr>
        <w:numId w:val="8"/>
      </w:numPr>
      <w:snapToGrid w:val="0"/>
      <w:spacing w:after="120"/>
      <w:ind w:right="1440"/>
    </w:pPr>
    <w:rPr>
      <w:sz w:val="24"/>
      <w:szCs w:val="2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3078">
      <w:bodyDiv w:val="1"/>
      <w:marLeft w:val="0"/>
      <w:marRight w:val="0"/>
      <w:marTop w:val="0"/>
      <w:marBottom w:val="0"/>
      <w:divBdr>
        <w:top w:val="none" w:sz="0" w:space="0" w:color="auto"/>
        <w:left w:val="none" w:sz="0" w:space="0" w:color="auto"/>
        <w:bottom w:val="none" w:sz="0" w:space="0" w:color="auto"/>
        <w:right w:val="none" w:sz="0" w:space="0" w:color="auto"/>
      </w:divBdr>
    </w:div>
    <w:div w:id="283405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2644656">
      <w:bodyDiv w:val="1"/>
      <w:marLeft w:val="0"/>
      <w:marRight w:val="0"/>
      <w:marTop w:val="0"/>
      <w:marBottom w:val="0"/>
      <w:divBdr>
        <w:top w:val="none" w:sz="0" w:space="0" w:color="auto"/>
        <w:left w:val="none" w:sz="0" w:space="0" w:color="auto"/>
        <w:bottom w:val="none" w:sz="0" w:space="0" w:color="auto"/>
        <w:right w:val="none" w:sz="0" w:space="0" w:color="auto"/>
      </w:divBdr>
    </w:div>
    <w:div w:id="379746193">
      <w:bodyDiv w:val="1"/>
      <w:marLeft w:val="0"/>
      <w:marRight w:val="0"/>
      <w:marTop w:val="0"/>
      <w:marBottom w:val="0"/>
      <w:divBdr>
        <w:top w:val="none" w:sz="0" w:space="0" w:color="auto"/>
        <w:left w:val="none" w:sz="0" w:space="0" w:color="auto"/>
        <w:bottom w:val="none" w:sz="0" w:space="0" w:color="auto"/>
        <w:right w:val="none" w:sz="0" w:space="0" w:color="auto"/>
      </w:divBdr>
    </w:div>
    <w:div w:id="591282256">
      <w:bodyDiv w:val="1"/>
      <w:marLeft w:val="0"/>
      <w:marRight w:val="0"/>
      <w:marTop w:val="0"/>
      <w:marBottom w:val="0"/>
      <w:divBdr>
        <w:top w:val="none" w:sz="0" w:space="0" w:color="auto"/>
        <w:left w:val="none" w:sz="0" w:space="0" w:color="auto"/>
        <w:bottom w:val="none" w:sz="0" w:space="0" w:color="auto"/>
        <w:right w:val="none" w:sz="0" w:space="0" w:color="auto"/>
      </w:divBdr>
    </w:div>
    <w:div w:id="668101413">
      <w:bodyDiv w:val="1"/>
      <w:marLeft w:val="0"/>
      <w:marRight w:val="0"/>
      <w:marTop w:val="0"/>
      <w:marBottom w:val="0"/>
      <w:divBdr>
        <w:top w:val="none" w:sz="0" w:space="0" w:color="auto"/>
        <w:left w:val="none" w:sz="0" w:space="0" w:color="auto"/>
        <w:bottom w:val="none" w:sz="0" w:space="0" w:color="auto"/>
        <w:right w:val="none" w:sz="0" w:space="0" w:color="auto"/>
      </w:divBdr>
    </w:div>
    <w:div w:id="842739700">
      <w:bodyDiv w:val="1"/>
      <w:marLeft w:val="0"/>
      <w:marRight w:val="0"/>
      <w:marTop w:val="0"/>
      <w:marBottom w:val="0"/>
      <w:divBdr>
        <w:top w:val="none" w:sz="0" w:space="0" w:color="auto"/>
        <w:left w:val="none" w:sz="0" w:space="0" w:color="auto"/>
        <w:bottom w:val="none" w:sz="0" w:space="0" w:color="auto"/>
        <w:right w:val="none" w:sz="0" w:space="0" w:color="auto"/>
      </w:divBdr>
    </w:div>
    <w:div w:id="976178659">
      <w:bodyDiv w:val="1"/>
      <w:marLeft w:val="0"/>
      <w:marRight w:val="0"/>
      <w:marTop w:val="0"/>
      <w:marBottom w:val="0"/>
      <w:divBdr>
        <w:top w:val="none" w:sz="0" w:space="0" w:color="auto"/>
        <w:left w:val="none" w:sz="0" w:space="0" w:color="auto"/>
        <w:bottom w:val="none" w:sz="0" w:space="0" w:color="auto"/>
        <w:right w:val="none" w:sz="0" w:space="0" w:color="auto"/>
      </w:divBdr>
    </w:div>
    <w:div w:id="1049378451">
      <w:bodyDiv w:val="1"/>
      <w:marLeft w:val="0"/>
      <w:marRight w:val="0"/>
      <w:marTop w:val="0"/>
      <w:marBottom w:val="0"/>
      <w:divBdr>
        <w:top w:val="none" w:sz="0" w:space="0" w:color="auto"/>
        <w:left w:val="none" w:sz="0" w:space="0" w:color="auto"/>
        <w:bottom w:val="none" w:sz="0" w:space="0" w:color="auto"/>
        <w:right w:val="none" w:sz="0" w:space="0" w:color="auto"/>
      </w:divBdr>
    </w:div>
    <w:div w:id="1169952163">
      <w:bodyDiv w:val="1"/>
      <w:marLeft w:val="0"/>
      <w:marRight w:val="0"/>
      <w:marTop w:val="0"/>
      <w:marBottom w:val="0"/>
      <w:divBdr>
        <w:top w:val="none" w:sz="0" w:space="0" w:color="auto"/>
        <w:left w:val="none" w:sz="0" w:space="0" w:color="auto"/>
        <w:bottom w:val="none" w:sz="0" w:space="0" w:color="auto"/>
        <w:right w:val="none" w:sz="0" w:space="0" w:color="auto"/>
      </w:divBdr>
    </w:div>
    <w:div w:id="1461413751">
      <w:bodyDiv w:val="1"/>
      <w:marLeft w:val="0"/>
      <w:marRight w:val="0"/>
      <w:marTop w:val="0"/>
      <w:marBottom w:val="0"/>
      <w:divBdr>
        <w:top w:val="none" w:sz="0" w:space="0" w:color="auto"/>
        <w:left w:val="none" w:sz="0" w:space="0" w:color="auto"/>
        <w:bottom w:val="none" w:sz="0" w:space="0" w:color="auto"/>
        <w:right w:val="none" w:sz="0" w:space="0" w:color="auto"/>
      </w:divBdr>
    </w:div>
    <w:div w:id="1474059703">
      <w:bodyDiv w:val="1"/>
      <w:marLeft w:val="0"/>
      <w:marRight w:val="0"/>
      <w:marTop w:val="0"/>
      <w:marBottom w:val="0"/>
      <w:divBdr>
        <w:top w:val="none" w:sz="0" w:space="0" w:color="auto"/>
        <w:left w:val="none" w:sz="0" w:space="0" w:color="auto"/>
        <w:bottom w:val="none" w:sz="0" w:space="0" w:color="auto"/>
        <w:right w:val="none" w:sz="0" w:space="0" w:color="auto"/>
      </w:divBdr>
    </w:div>
    <w:div w:id="1576427389">
      <w:bodyDiv w:val="1"/>
      <w:marLeft w:val="0"/>
      <w:marRight w:val="0"/>
      <w:marTop w:val="0"/>
      <w:marBottom w:val="0"/>
      <w:divBdr>
        <w:top w:val="none" w:sz="0" w:space="0" w:color="auto"/>
        <w:left w:val="none" w:sz="0" w:space="0" w:color="auto"/>
        <w:bottom w:val="none" w:sz="0" w:space="0" w:color="auto"/>
        <w:right w:val="none" w:sz="0" w:space="0" w:color="auto"/>
      </w:divBdr>
    </w:div>
    <w:div w:id="1676565132">
      <w:bodyDiv w:val="1"/>
      <w:marLeft w:val="0"/>
      <w:marRight w:val="0"/>
      <w:marTop w:val="0"/>
      <w:marBottom w:val="0"/>
      <w:divBdr>
        <w:top w:val="none" w:sz="0" w:space="0" w:color="auto"/>
        <w:left w:val="none" w:sz="0" w:space="0" w:color="auto"/>
        <w:bottom w:val="none" w:sz="0" w:space="0" w:color="auto"/>
        <w:right w:val="none" w:sz="0" w:space="0" w:color="auto"/>
      </w:divBdr>
    </w:div>
    <w:div w:id="1688405616">
      <w:bodyDiv w:val="1"/>
      <w:marLeft w:val="0"/>
      <w:marRight w:val="0"/>
      <w:marTop w:val="0"/>
      <w:marBottom w:val="0"/>
      <w:divBdr>
        <w:top w:val="none" w:sz="0" w:space="0" w:color="auto"/>
        <w:left w:val="none" w:sz="0" w:space="0" w:color="auto"/>
        <w:bottom w:val="none" w:sz="0" w:space="0" w:color="auto"/>
        <w:right w:val="none" w:sz="0" w:space="0" w:color="auto"/>
      </w:divBdr>
    </w:div>
    <w:div w:id="20653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3418</Words>
  <Characters>21455</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2025102487 - Nyt PI SPC</dc:description>
  <cp:lastModifiedBy>Camilla Sværke Hansen</cp:lastModifiedBy>
  <cp:revision>5</cp:revision>
  <cp:lastPrinted>2012-08-22T08:53:00Z</cp:lastPrinted>
  <dcterms:created xsi:type="dcterms:W3CDTF">2025-01-28T08:19:00Z</dcterms:created>
  <dcterms:modified xsi:type="dcterms:W3CDTF">2025-11-23T12:34:00Z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