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50" w:rsidRPr="008027FD" w:rsidRDefault="00AC7050" w:rsidP="00AC7050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173082C1" wp14:editId="3B14E68D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50" w:rsidRPr="008027FD" w:rsidRDefault="00AC7050" w:rsidP="00AC7050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AC7050" w:rsidRPr="008027FD" w:rsidRDefault="00AC7050" w:rsidP="00AC7050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8027FD">
        <w:rPr>
          <w:b w:val="0"/>
          <w:szCs w:val="24"/>
          <w:lang w:eastAsia="en-US"/>
        </w:rPr>
        <w:tab/>
      </w:r>
      <w:r w:rsidR="00390564">
        <w:rPr>
          <w:szCs w:val="24"/>
        </w:rPr>
        <w:t>17. marts 2021</w:t>
      </w:r>
    </w:p>
    <w:p w:rsidR="00AF05C7" w:rsidRPr="008027FD" w:rsidRDefault="00AF05C7" w:rsidP="00AC7050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AC7050" w:rsidRPr="008027FD" w:rsidRDefault="00AC7050" w:rsidP="00AC7050">
      <w:pPr>
        <w:pStyle w:val="Titel"/>
        <w:jc w:val="left"/>
        <w:rPr>
          <w:b w:val="0"/>
          <w:szCs w:val="24"/>
        </w:rPr>
      </w:pPr>
    </w:p>
    <w:p w:rsidR="00AC7050" w:rsidRPr="008027FD" w:rsidRDefault="00AC7050" w:rsidP="00AC7050">
      <w:pPr>
        <w:pStyle w:val="Titel"/>
        <w:jc w:val="left"/>
        <w:rPr>
          <w:b w:val="0"/>
          <w:szCs w:val="24"/>
        </w:rPr>
      </w:pPr>
    </w:p>
    <w:p w:rsidR="00AC7050" w:rsidRPr="008027FD" w:rsidRDefault="00AC7050" w:rsidP="00AC7050">
      <w:pPr>
        <w:jc w:val="center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PRODUKTRESUMÉ</w:t>
      </w:r>
    </w:p>
    <w:p w:rsidR="00AC7050" w:rsidRPr="008027FD" w:rsidRDefault="00AC7050" w:rsidP="00AC7050">
      <w:pPr>
        <w:jc w:val="center"/>
        <w:rPr>
          <w:b/>
          <w:sz w:val="24"/>
          <w:szCs w:val="24"/>
        </w:rPr>
      </w:pPr>
    </w:p>
    <w:p w:rsidR="00AC7050" w:rsidRPr="008027FD" w:rsidRDefault="00AC7050" w:rsidP="00AC7050">
      <w:pPr>
        <w:jc w:val="center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for</w:t>
      </w:r>
    </w:p>
    <w:p w:rsidR="00AC7050" w:rsidRPr="008027FD" w:rsidRDefault="00AC7050" w:rsidP="00AC7050">
      <w:pPr>
        <w:jc w:val="center"/>
        <w:rPr>
          <w:b/>
          <w:sz w:val="24"/>
          <w:szCs w:val="24"/>
        </w:rPr>
      </w:pPr>
    </w:p>
    <w:p w:rsidR="00AC7050" w:rsidRPr="008027FD" w:rsidRDefault="00AC7050" w:rsidP="00AC7050">
      <w:pPr>
        <w:jc w:val="center"/>
        <w:rPr>
          <w:b/>
          <w:sz w:val="24"/>
          <w:szCs w:val="24"/>
        </w:rPr>
      </w:pPr>
      <w:proofErr w:type="spellStart"/>
      <w:r w:rsidRPr="008027FD">
        <w:rPr>
          <w:b/>
          <w:sz w:val="24"/>
          <w:szCs w:val="24"/>
        </w:rPr>
        <w:t>Cetraxal</w:t>
      </w:r>
      <w:proofErr w:type="spellEnd"/>
      <w:r w:rsidRPr="008027FD">
        <w:rPr>
          <w:b/>
          <w:sz w:val="24"/>
          <w:szCs w:val="24"/>
        </w:rPr>
        <w:t>, øredråber, opløsning</w:t>
      </w:r>
      <w:r w:rsidR="00F72827">
        <w:rPr>
          <w:b/>
          <w:sz w:val="24"/>
          <w:szCs w:val="24"/>
        </w:rPr>
        <w:t xml:space="preserve"> i en</w:t>
      </w:r>
      <w:r w:rsidR="00390564">
        <w:rPr>
          <w:b/>
          <w:sz w:val="24"/>
          <w:szCs w:val="24"/>
        </w:rPr>
        <w:t>keltdosisbeholder</w:t>
      </w:r>
    </w:p>
    <w:p w:rsidR="00AC7050" w:rsidRPr="008027FD" w:rsidRDefault="00AC7050" w:rsidP="00AC7050">
      <w:pPr>
        <w:jc w:val="both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jc w:val="both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0.</w:t>
      </w:r>
      <w:r w:rsidRPr="008027FD">
        <w:rPr>
          <w:b/>
          <w:sz w:val="24"/>
          <w:szCs w:val="24"/>
        </w:rPr>
        <w:tab/>
        <w:t>D.SP.NR.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28453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1.</w:t>
      </w:r>
      <w:r w:rsidRPr="008027FD">
        <w:rPr>
          <w:b/>
          <w:sz w:val="24"/>
          <w:szCs w:val="24"/>
        </w:rPr>
        <w:tab/>
        <w:t>LÆGEMIDLETS NAVN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</w:r>
      <w:proofErr w:type="spellStart"/>
      <w:r w:rsidRPr="008027FD">
        <w:rPr>
          <w:sz w:val="24"/>
          <w:szCs w:val="24"/>
        </w:rPr>
        <w:t>Cetraxal</w:t>
      </w:r>
      <w:proofErr w:type="spellEnd"/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</w: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2.</w:t>
      </w:r>
      <w:r w:rsidRPr="008027FD">
        <w:rPr>
          <w:b/>
          <w:sz w:val="24"/>
          <w:szCs w:val="24"/>
        </w:rPr>
        <w:tab/>
        <w:t>KVALITATIV OG KVANTITATIV SAMMENSÆTNING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 xml:space="preserve">1 ml opløsning indeholder 2 mg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som </w:t>
      </w:r>
      <w:proofErr w:type="spellStart"/>
      <w:r w:rsidRPr="008027FD">
        <w:rPr>
          <w:sz w:val="24"/>
          <w:szCs w:val="24"/>
        </w:rPr>
        <w:t>hydrochlorid</w:t>
      </w:r>
      <w:proofErr w:type="spellEnd"/>
      <w:r w:rsidRPr="008027FD">
        <w:rPr>
          <w:sz w:val="24"/>
          <w:szCs w:val="24"/>
        </w:rPr>
        <w:t>.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Hver enkeltdosis ampul giver 0,25 ml opløsning, der indeholder 0,58 mg </w:t>
      </w:r>
      <w:proofErr w:type="spellStart"/>
      <w:r w:rsidRPr="008027FD">
        <w:rPr>
          <w:sz w:val="24"/>
          <w:szCs w:val="24"/>
        </w:rPr>
        <w:t>ciprofloxacinhydrochloridmonohydrat</w:t>
      </w:r>
      <w:proofErr w:type="spellEnd"/>
      <w:r w:rsidRPr="008027FD">
        <w:rPr>
          <w:sz w:val="24"/>
          <w:szCs w:val="24"/>
        </w:rPr>
        <w:t xml:space="preserve"> svarende til 0,50 mg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>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Alle hjælpestoffer er anført under pkt. 6.1 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3.</w:t>
      </w:r>
      <w:r w:rsidRPr="008027FD">
        <w:rPr>
          <w:b/>
          <w:sz w:val="24"/>
          <w:szCs w:val="24"/>
        </w:rPr>
        <w:tab/>
        <w:t>LÆGEMIDDELFORM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Øredråber, opløsning i enkeltdosisbeholder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Klar, steril, vandig opløsning uden konserveringsmidler.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</w:t>
      </w:r>
      <w:r w:rsidRPr="008027FD">
        <w:rPr>
          <w:b/>
          <w:sz w:val="24"/>
          <w:szCs w:val="24"/>
        </w:rPr>
        <w:tab/>
        <w:t>KLINISKE OPLYSNINGER</w:t>
      </w: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  <w:u w:val="single"/>
        </w:rPr>
      </w:pPr>
      <w:r w:rsidRPr="008027FD">
        <w:rPr>
          <w:b/>
          <w:sz w:val="24"/>
          <w:szCs w:val="24"/>
        </w:rPr>
        <w:t>4.1</w:t>
      </w:r>
      <w:r w:rsidRPr="008027FD">
        <w:rPr>
          <w:b/>
          <w:sz w:val="24"/>
          <w:szCs w:val="24"/>
        </w:rPr>
        <w:tab/>
        <w:t>Terapeutiske indikationer</w:t>
      </w:r>
    </w:p>
    <w:p w:rsidR="00AC7050" w:rsidRPr="008027FD" w:rsidRDefault="00AC7050" w:rsidP="00AC7050">
      <w:pPr>
        <w:ind w:left="855"/>
        <w:rPr>
          <w:sz w:val="24"/>
          <w:szCs w:val="24"/>
        </w:rPr>
      </w:pPr>
      <w:proofErr w:type="spellStart"/>
      <w:r w:rsidRPr="008027FD">
        <w:rPr>
          <w:sz w:val="24"/>
          <w:szCs w:val="24"/>
        </w:rPr>
        <w:t>Cetraxal</w:t>
      </w:r>
      <w:proofErr w:type="spellEnd"/>
      <w:r w:rsidRPr="008027FD">
        <w:rPr>
          <w:sz w:val="24"/>
          <w:szCs w:val="24"/>
        </w:rPr>
        <w:t xml:space="preserve"> er indiceret til behandling af akut </w:t>
      </w:r>
      <w:proofErr w:type="spellStart"/>
      <w:r w:rsidRPr="008027FD">
        <w:rPr>
          <w:sz w:val="24"/>
          <w:szCs w:val="24"/>
        </w:rPr>
        <w:t>otitis</w:t>
      </w:r>
      <w:proofErr w:type="spellEnd"/>
      <w:r w:rsidRPr="008027FD">
        <w:rPr>
          <w:sz w:val="24"/>
          <w:szCs w:val="24"/>
        </w:rPr>
        <w:t xml:space="preserve"> </w:t>
      </w:r>
      <w:proofErr w:type="spellStart"/>
      <w:r w:rsidRPr="008027FD">
        <w:rPr>
          <w:sz w:val="24"/>
          <w:szCs w:val="24"/>
        </w:rPr>
        <w:t>externa</w:t>
      </w:r>
      <w:proofErr w:type="spellEnd"/>
      <w:r w:rsidRPr="008027FD">
        <w:rPr>
          <w:sz w:val="24"/>
          <w:szCs w:val="24"/>
        </w:rPr>
        <w:t xml:space="preserve"> hos voksne og børn der er over 1 år</w:t>
      </w:r>
      <w:r w:rsidRPr="008027FD">
        <w:rPr>
          <w:rFonts w:ascii="Arial" w:hAnsi="Arial" w:cs="Arial"/>
          <w:sz w:val="24"/>
          <w:szCs w:val="24"/>
        </w:rPr>
        <w:t xml:space="preserve"> </w:t>
      </w:r>
      <w:r w:rsidRPr="008027FD">
        <w:rPr>
          <w:sz w:val="24"/>
          <w:szCs w:val="24"/>
        </w:rPr>
        <w:t xml:space="preserve">med intakt trommehinde, forårsaget af </w:t>
      </w:r>
      <w:proofErr w:type="spellStart"/>
      <w:r w:rsidRPr="008027FD">
        <w:rPr>
          <w:sz w:val="24"/>
          <w:szCs w:val="24"/>
        </w:rPr>
        <w:t>ciprofloxacinfølsomme</w:t>
      </w:r>
      <w:proofErr w:type="spellEnd"/>
      <w:r w:rsidRPr="008027FD">
        <w:rPr>
          <w:sz w:val="24"/>
          <w:szCs w:val="24"/>
        </w:rPr>
        <w:t xml:space="preserve"> mikroorganismer (se pkt., 4.4 og 5.1).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Der henvises til den officielle vejledning om korrekt anvendelse af antibakterielle midler. 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4.2</w:t>
      </w:r>
      <w:r w:rsidRPr="008027FD">
        <w:rPr>
          <w:b/>
          <w:sz w:val="24"/>
          <w:szCs w:val="24"/>
        </w:rPr>
        <w:tab/>
        <w:t>Dosering og indgivelsesmåde</w:t>
      </w:r>
    </w:p>
    <w:p w:rsidR="00AC7050" w:rsidRPr="008027FD" w:rsidRDefault="00AC7050" w:rsidP="00AC7050">
      <w:pPr>
        <w:ind w:left="851" w:hanging="851"/>
        <w:rPr>
          <w:i/>
          <w:sz w:val="24"/>
          <w:szCs w:val="24"/>
        </w:rPr>
      </w:pPr>
      <w:r w:rsidRPr="008027FD">
        <w:rPr>
          <w:sz w:val="24"/>
          <w:szCs w:val="24"/>
        </w:rPr>
        <w:tab/>
      </w:r>
      <w:r w:rsidRPr="008027FD">
        <w:rPr>
          <w:i/>
          <w:sz w:val="24"/>
          <w:szCs w:val="24"/>
        </w:rPr>
        <w:t>Voksne og børn i alderen ét år og ældre:</w:t>
      </w:r>
    </w:p>
    <w:p w:rsidR="00AC7050" w:rsidRPr="008027FD" w:rsidRDefault="00AC7050" w:rsidP="00AC7050">
      <w:pPr>
        <w:ind w:left="851"/>
        <w:rPr>
          <w:i/>
          <w:sz w:val="24"/>
          <w:szCs w:val="24"/>
        </w:rPr>
      </w:pPr>
      <w:proofErr w:type="spellStart"/>
      <w:r w:rsidRPr="008027FD">
        <w:rPr>
          <w:sz w:val="24"/>
          <w:szCs w:val="24"/>
        </w:rPr>
        <w:t>Inddryp</w:t>
      </w:r>
      <w:proofErr w:type="spellEnd"/>
      <w:r w:rsidRPr="008027FD">
        <w:rPr>
          <w:sz w:val="24"/>
          <w:szCs w:val="24"/>
        </w:rPr>
        <w:t xml:space="preserve"> indholdet af én enkel ampul i det berørte øre to gange dagligt i syv dage. </w:t>
      </w:r>
    </w:p>
    <w:p w:rsidR="00AC7050" w:rsidRPr="008027FD" w:rsidRDefault="00AC7050" w:rsidP="00AC7050">
      <w:pPr>
        <w:ind w:left="851" w:hanging="851"/>
        <w:rPr>
          <w:i/>
          <w:sz w:val="24"/>
          <w:szCs w:val="24"/>
        </w:rPr>
      </w:pPr>
    </w:p>
    <w:p w:rsidR="00AC7050" w:rsidRPr="008027FD" w:rsidRDefault="00AC7050" w:rsidP="00AC7050">
      <w:pPr>
        <w:ind w:left="851"/>
        <w:rPr>
          <w:i/>
          <w:sz w:val="24"/>
          <w:szCs w:val="24"/>
        </w:rPr>
      </w:pPr>
      <w:r w:rsidRPr="008027FD">
        <w:rPr>
          <w:i/>
          <w:sz w:val="24"/>
          <w:szCs w:val="24"/>
        </w:rPr>
        <w:t>Pædiatriske patienter yngre end ét år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proofErr w:type="spellStart"/>
      <w:r w:rsidRPr="008027FD">
        <w:rPr>
          <w:sz w:val="24"/>
          <w:szCs w:val="24"/>
        </w:rPr>
        <w:t>Cetraxals</w:t>
      </w:r>
      <w:proofErr w:type="spellEnd"/>
      <w:r w:rsidRPr="008027FD">
        <w:rPr>
          <w:sz w:val="24"/>
          <w:szCs w:val="24"/>
        </w:rPr>
        <w:t xml:space="preserve"> sikkerhed og virkning hos børn i alderen under 1 år er ikke klarlagt. Der findes ingen tilgængelige data. Se pkt. 4.4.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Default="00AC7050" w:rsidP="00AC7050">
      <w:pPr>
        <w:ind w:left="851"/>
        <w:rPr>
          <w:sz w:val="24"/>
          <w:szCs w:val="24"/>
          <w:u w:val="single"/>
        </w:rPr>
      </w:pPr>
      <w:r w:rsidRPr="00292246">
        <w:rPr>
          <w:sz w:val="24"/>
          <w:szCs w:val="24"/>
          <w:u w:val="single"/>
        </w:rPr>
        <w:lastRenderedPageBreak/>
        <w:t>Administration</w:t>
      </w:r>
    </w:p>
    <w:p w:rsidR="00AC7050" w:rsidRDefault="00AC7050" w:rsidP="00AC7050">
      <w:pPr>
        <w:ind w:left="851"/>
        <w:rPr>
          <w:sz w:val="24"/>
          <w:szCs w:val="24"/>
          <w:u w:val="single"/>
        </w:rPr>
      </w:pPr>
    </w:p>
    <w:p w:rsidR="00AC7050" w:rsidRPr="0084757F" w:rsidRDefault="00AC7050" w:rsidP="00AC7050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Sikkerhedsforanstaltninger, der skal tages før håndtering og administration af lægemidlet</w:t>
      </w:r>
    </w:p>
    <w:p w:rsidR="00AC7050" w:rsidRPr="008027FD" w:rsidRDefault="00AC7050" w:rsidP="00AC7050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027FD">
        <w:rPr>
          <w:sz w:val="24"/>
          <w:szCs w:val="24"/>
        </w:rPr>
        <w:t xml:space="preserve">Opløsningen bør lunes, ved at holde ampullen i hånden i flere minutter, for at undgå den svimmelhed, der kan opstå på grund af </w:t>
      </w:r>
      <w:proofErr w:type="spellStart"/>
      <w:r w:rsidRPr="008027FD">
        <w:rPr>
          <w:sz w:val="24"/>
          <w:szCs w:val="24"/>
        </w:rPr>
        <w:t>inddrypning</w:t>
      </w:r>
      <w:proofErr w:type="spellEnd"/>
      <w:r w:rsidRPr="008027FD">
        <w:rPr>
          <w:sz w:val="24"/>
          <w:szCs w:val="24"/>
        </w:rPr>
        <w:t xml:space="preserve"> af en kold opløsning i øregangen. </w:t>
      </w:r>
    </w:p>
    <w:p w:rsidR="00AC7050" w:rsidRPr="008027FD" w:rsidRDefault="00AC7050" w:rsidP="00AC7050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027FD">
        <w:rPr>
          <w:sz w:val="24"/>
          <w:szCs w:val="24"/>
        </w:rPr>
        <w:t xml:space="preserve">Patienten bør ligge ned med det berørte øre opad. Derefter dryppes dråberne i øret samtidig med at øret trækkes op og ned et par gange. Denne stilling bør bibeholdes i omkring 5 minutter for at dråberne kan trænge ind i øret. Gentag om nødvendigt for det andet øre. </w:t>
      </w:r>
    </w:p>
    <w:p w:rsidR="00AC7050" w:rsidRPr="008027FD" w:rsidRDefault="00AC7050" w:rsidP="00AC7050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027FD">
        <w:rPr>
          <w:sz w:val="24"/>
          <w:szCs w:val="24"/>
        </w:rPr>
        <w:t>Patienten skal vejledes i at bortskaffe enkeltdosisbeholderen efter anvendelse og ikke at opbevare den til senere brug.</w:t>
      </w:r>
    </w:p>
    <w:p w:rsidR="00AC7050" w:rsidRPr="008027FD" w:rsidRDefault="00AC7050" w:rsidP="00AC7050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027FD">
        <w:rPr>
          <w:sz w:val="24"/>
          <w:szCs w:val="24"/>
        </w:rPr>
        <w:t xml:space="preserve">I de tilfælde, hvor der bruges en </w:t>
      </w:r>
      <w:proofErr w:type="spellStart"/>
      <w:r w:rsidRPr="008027FD">
        <w:rPr>
          <w:sz w:val="24"/>
          <w:szCs w:val="24"/>
        </w:rPr>
        <w:t>Oto-Wick</w:t>
      </w:r>
      <w:proofErr w:type="spellEnd"/>
      <w:r w:rsidRPr="008027FD">
        <w:rPr>
          <w:sz w:val="24"/>
          <w:szCs w:val="24"/>
        </w:rPr>
        <w:t xml:space="preserve">/tampon for at lette administrationen, skal den første dosis fordobles (2 ampuller i stedet for 1). 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Nedsat nyre-/leverfunktion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Eftersom det formodes at plasmakoncentrationen af lægemidlet ikke kan påvises, vurderes det, at dosisjustering ikke er nødvendig for disse patientgrupper.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4.3</w:t>
      </w:r>
      <w:r w:rsidRPr="008027FD">
        <w:rPr>
          <w:b/>
          <w:sz w:val="24"/>
          <w:szCs w:val="24"/>
        </w:rPr>
        <w:tab/>
        <w:t>Kontraindikationer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 xml:space="preserve">Overfølsomhed over for det aktive stof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eller andre </w:t>
      </w:r>
      <w:proofErr w:type="spellStart"/>
      <w:r w:rsidRPr="008027FD">
        <w:rPr>
          <w:sz w:val="24"/>
          <w:szCs w:val="24"/>
        </w:rPr>
        <w:t>quinoloner</w:t>
      </w:r>
      <w:proofErr w:type="spellEnd"/>
      <w:r w:rsidRPr="008027FD">
        <w:rPr>
          <w:sz w:val="24"/>
          <w:szCs w:val="24"/>
        </w:rPr>
        <w:t xml:space="preserve"> i gruppen af antibiotika eller over for et eller flere af hjælpestofferne</w:t>
      </w:r>
      <w:r>
        <w:rPr>
          <w:sz w:val="24"/>
          <w:szCs w:val="24"/>
        </w:rPr>
        <w:t xml:space="preserve"> anført i pkt. 6.1</w:t>
      </w:r>
      <w:r w:rsidRPr="008027FD">
        <w:rPr>
          <w:sz w:val="24"/>
          <w:szCs w:val="24"/>
        </w:rPr>
        <w:t>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4.4</w:t>
      </w:r>
      <w:r w:rsidRPr="008027FD">
        <w:rPr>
          <w:b/>
          <w:sz w:val="24"/>
          <w:szCs w:val="24"/>
        </w:rPr>
        <w:tab/>
        <w:t>Særlige advarsler og forsigtighedsregler vedrørende brugen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Dette lægemiddel er til anvendelse i øret, ikke til anvendelse i øjet, inhalation eller injektion. 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5"/>
        <w:rPr>
          <w:sz w:val="24"/>
          <w:szCs w:val="24"/>
        </w:rPr>
      </w:pPr>
      <w:r w:rsidRPr="008027FD">
        <w:rPr>
          <w:sz w:val="24"/>
          <w:szCs w:val="24"/>
        </w:rPr>
        <w:t>Ved anvendelse i øret er omhyggelig medicinsk kontrol påkrævet for rettidigt at kunne beslutte, om der eventuelt er behov for andre terapeutiske foranstaltninger.</w:t>
      </w:r>
    </w:p>
    <w:p w:rsidR="00AC7050" w:rsidRDefault="00AC7050" w:rsidP="00AC7050">
      <w:pPr>
        <w:ind w:left="855"/>
        <w:rPr>
          <w:sz w:val="24"/>
          <w:szCs w:val="24"/>
          <w:u w:val="single"/>
        </w:rPr>
      </w:pPr>
    </w:p>
    <w:p w:rsidR="00AC7050" w:rsidRPr="00674103" w:rsidRDefault="00AC7050" w:rsidP="00AC7050">
      <w:pPr>
        <w:ind w:left="855"/>
        <w:rPr>
          <w:sz w:val="24"/>
          <w:szCs w:val="24"/>
          <w:u w:val="single"/>
        </w:rPr>
      </w:pPr>
      <w:r w:rsidRPr="00674103">
        <w:rPr>
          <w:sz w:val="24"/>
          <w:szCs w:val="24"/>
          <w:u w:val="single"/>
        </w:rPr>
        <w:t>Pædiatrisk population</w:t>
      </w:r>
    </w:p>
    <w:p w:rsidR="00AC7050" w:rsidRPr="008027FD" w:rsidRDefault="00AC7050" w:rsidP="00AC7050">
      <w:pPr>
        <w:ind w:left="855"/>
        <w:rPr>
          <w:sz w:val="24"/>
          <w:szCs w:val="24"/>
        </w:rPr>
      </w:pPr>
    </w:p>
    <w:p w:rsidR="00AC7050" w:rsidRPr="008027FD" w:rsidRDefault="00AC7050" w:rsidP="00AC7050">
      <w:pPr>
        <w:ind w:left="855"/>
        <w:rPr>
          <w:sz w:val="24"/>
          <w:szCs w:val="24"/>
        </w:rPr>
      </w:pPr>
      <w:r w:rsidRPr="008027FD">
        <w:rPr>
          <w:sz w:val="24"/>
          <w:szCs w:val="24"/>
        </w:rPr>
        <w:t>Dette produkts sikkerhed og virkning blev bestemt hos pædiatriske patienter i alderen 1 år og derover i kontrollerede kliniske studier.</w:t>
      </w:r>
    </w:p>
    <w:p w:rsidR="00AC7050" w:rsidRPr="008027FD" w:rsidRDefault="00AC7050" w:rsidP="00AC7050">
      <w:pPr>
        <w:ind w:left="855"/>
        <w:rPr>
          <w:sz w:val="24"/>
          <w:szCs w:val="24"/>
        </w:rPr>
      </w:pPr>
      <w:r w:rsidRPr="008027FD">
        <w:rPr>
          <w:sz w:val="24"/>
          <w:szCs w:val="24"/>
        </w:rPr>
        <w:t xml:space="preserve">Selv om der er meget begrænsede data til rådighed for patienter under 1 år, som er behandlet for akut </w:t>
      </w:r>
      <w:proofErr w:type="spellStart"/>
      <w:r w:rsidRPr="008027FD">
        <w:rPr>
          <w:sz w:val="24"/>
          <w:szCs w:val="24"/>
        </w:rPr>
        <w:t>otitis</w:t>
      </w:r>
      <w:proofErr w:type="spellEnd"/>
      <w:r w:rsidRPr="008027FD">
        <w:rPr>
          <w:sz w:val="24"/>
          <w:szCs w:val="24"/>
        </w:rPr>
        <w:t xml:space="preserve"> </w:t>
      </w:r>
      <w:proofErr w:type="spellStart"/>
      <w:r w:rsidRPr="008027FD">
        <w:rPr>
          <w:sz w:val="24"/>
          <w:szCs w:val="24"/>
        </w:rPr>
        <w:t>eksterna</w:t>
      </w:r>
      <w:proofErr w:type="spellEnd"/>
      <w:r w:rsidRPr="008027FD">
        <w:rPr>
          <w:sz w:val="24"/>
          <w:szCs w:val="24"/>
        </w:rPr>
        <w:t>, er der ingen forskelle i selve sygdomsforløbet hos denne population, som ville udelukke anvendelse af lægemidlet hos patienter på under 1 år. Baseret på meget begrænsede data, bør den ordinerende læge opveje kliniske fordele af anvendelse mod kendte og mulige ikke kendte risici, ved ordination til patienter, som er yngre end 1 år.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proofErr w:type="spellStart"/>
      <w:r w:rsidRPr="008027FD">
        <w:rPr>
          <w:sz w:val="24"/>
          <w:szCs w:val="24"/>
        </w:rPr>
        <w:t>Cetraxals</w:t>
      </w:r>
      <w:proofErr w:type="spellEnd"/>
      <w:r w:rsidRPr="008027FD">
        <w:rPr>
          <w:sz w:val="24"/>
          <w:szCs w:val="24"/>
        </w:rPr>
        <w:t xml:space="preserve"> sikkerhed og virkning er ikke undersøgt i forbindelse med perforeret trommehinde. Derfor bør </w:t>
      </w:r>
      <w:proofErr w:type="spellStart"/>
      <w:r w:rsidRPr="008027FD">
        <w:rPr>
          <w:sz w:val="24"/>
          <w:szCs w:val="24"/>
        </w:rPr>
        <w:t>Cetraxal</w:t>
      </w:r>
      <w:proofErr w:type="spellEnd"/>
      <w:r w:rsidRPr="008027FD">
        <w:rPr>
          <w:sz w:val="24"/>
          <w:szCs w:val="24"/>
        </w:rPr>
        <w:t xml:space="preserve"> anvendes med forsigtighed hos patienter med kendt eller formodet perforation eller som har risiko for perforation af trommehinden. 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proofErr w:type="spellStart"/>
      <w:r w:rsidRPr="008027FD">
        <w:rPr>
          <w:sz w:val="24"/>
          <w:szCs w:val="24"/>
        </w:rPr>
        <w:t>Cetraxal</w:t>
      </w:r>
      <w:proofErr w:type="spellEnd"/>
      <w:r w:rsidRPr="008027FD">
        <w:rPr>
          <w:sz w:val="24"/>
          <w:szCs w:val="24"/>
        </w:rPr>
        <w:t xml:space="preserve"> skal seponeres ved de første tegn på hududslæt eller ved ethvert tegn på overfølsomhed. Alvorlige og enkelte fatale overfølsomhedsreaktioner (</w:t>
      </w:r>
      <w:proofErr w:type="spellStart"/>
      <w:r w:rsidRPr="008027FD">
        <w:rPr>
          <w:sz w:val="24"/>
          <w:szCs w:val="24"/>
        </w:rPr>
        <w:t>anafylaktiske</w:t>
      </w:r>
      <w:proofErr w:type="spellEnd"/>
      <w:r w:rsidRPr="008027FD">
        <w:rPr>
          <w:sz w:val="24"/>
          <w:szCs w:val="24"/>
        </w:rPr>
        <w:t xml:space="preserve">), nogle allerede efter den første dosis, er rapporteret hos patienter i systemisk behandling med </w:t>
      </w:r>
      <w:proofErr w:type="spellStart"/>
      <w:r w:rsidRPr="008027FD">
        <w:rPr>
          <w:sz w:val="24"/>
          <w:szCs w:val="24"/>
        </w:rPr>
        <w:t>quinoloner</w:t>
      </w:r>
      <w:proofErr w:type="spellEnd"/>
      <w:r w:rsidRPr="008027FD">
        <w:rPr>
          <w:sz w:val="24"/>
          <w:szCs w:val="24"/>
        </w:rPr>
        <w:t>. Alvorlige akutte overfølsomhedsreaktioner kræver øjeblikkelig akut behandling.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lastRenderedPageBreak/>
        <w:t>Som ved andre antibakterielle præparater kan brug af dette produkt føre til overvækst af ikke-følsomme organismer, herunder bakteriestammer, gærsvamp og svamp. Hvis der opstår superinfektion, skal passende behandling igangsættes.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Det tilrådes at revurdere sygdommen og behandlingen yderligere, hvis der efter én uges behandling fortsat forekommer nogle tegn og symptomer.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Nogle patienter, der har fået systemisk behandling med </w:t>
      </w:r>
      <w:proofErr w:type="spellStart"/>
      <w:r w:rsidRPr="008027FD">
        <w:rPr>
          <w:sz w:val="24"/>
          <w:szCs w:val="24"/>
        </w:rPr>
        <w:t>quinoloner</w:t>
      </w:r>
      <w:proofErr w:type="spellEnd"/>
      <w:r w:rsidRPr="008027FD">
        <w:rPr>
          <w:sz w:val="24"/>
          <w:szCs w:val="24"/>
        </w:rPr>
        <w:t xml:space="preserve">, har haft moderate til alvorlige overfølsomhedsreaktioner af huden over for sol. På grund af administrationsvejen er det ikke sandsynligt, at dette produkt giver fotoallergiske reaktioner. 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4.5</w:t>
      </w:r>
      <w:r w:rsidRPr="008027FD">
        <w:rPr>
          <w:b/>
          <w:sz w:val="24"/>
          <w:szCs w:val="24"/>
        </w:rPr>
        <w:tab/>
        <w:t>Interaktion med andre lægemidler og andre former for interaktion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 xml:space="preserve">Der er ikke udført interaktionsstudier med </w:t>
      </w:r>
      <w:proofErr w:type="spellStart"/>
      <w:r w:rsidRPr="008027FD">
        <w:rPr>
          <w:sz w:val="24"/>
          <w:szCs w:val="24"/>
        </w:rPr>
        <w:t>Cetraxal</w:t>
      </w:r>
      <w:proofErr w:type="spellEnd"/>
      <w:r w:rsidRPr="008027FD">
        <w:rPr>
          <w:sz w:val="24"/>
          <w:szCs w:val="24"/>
        </w:rPr>
        <w:t xml:space="preserve">. 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På grund af den forventede lave plasmakoncentration efter administration i øret, er det ikke sandsynligt, at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udviser systemisk interaktion med andre lægemidler.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Det frarådes at anvende andre ørepræparater samtidigt. 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4.6</w:t>
      </w:r>
      <w:r w:rsidRPr="008027FD">
        <w:rPr>
          <w:b/>
          <w:sz w:val="24"/>
          <w:szCs w:val="24"/>
        </w:rPr>
        <w:tab/>
        <w:t>Graviditet og amning</w:t>
      </w:r>
    </w:p>
    <w:p w:rsidR="00AC7050" w:rsidRPr="008027FD" w:rsidRDefault="00AC7050" w:rsidP="00AC7050">
      <w:pPr>
        <w:ind w:left="851" w:hanging="851"/>
        <w:rPr>
          <w:i/>
          <w:sz w:val="24"/>
          <w:szCs w:val="24"/>
        </w:rPr>
      </w:pPr>
      <w:r w:rsidRPr="008027FD">
        <w:rPr>
          <w:sz w:val="24"/>
          <w:szCs w:val="24"/>
        </w:rPr>
        <w:tab/>
      </w:r>
      <w:r w:rsidRPr="008027FD">
        <w:rPr>
          <w:i/>
          <w:sz w:val="24"/>
          <w:szCs w:val="24"/>
        </w:rPr>
        <w:t>Graviditet</w:t>
      </w:r>
    </w:p>
    <w:p w:rsidR="00AC7050" w:rsidRPr="008027FD" w:rsidRDefault="00AC7050" w:rsidP="00AC7050">
      <w:pPr>
        <w:pStyle w:val="GlobalBayerBodyText"/>
        <w:tabs>
          <w:tab w:val="clear" w:pos="11174"/>
          <w:tab w:val="clear" w:pos="15142"/>
        </w:tabs>
        <w:spacing w:before="0" w:after="0"/>
        <w:ind w:left="851"/>
        <w:rPr>
          <w:rFonts w:ascii="Times New Roman" w:hAnsi="Times New Roman"/>
          <w:lang w:val="da-DK"/>
        </w:rPr>
      </w:pPr>
      <w:r w:rsidRPr="008027FD">
        <w:rPr>
          <w:rFonts w:ascii="Times New Roman" w:hAnsi="Times New Roman"/>
          <w:lang w:val="da-DK"/>
        </w:rPr>
        <w:t xml:space="preserve">Der findes ingen data for anvendelse af </w:t>
      </w:r>
      <w:proofErr w:type="spellStart"/>
      <w:r w:rsidRPr="008027FD">
        <w:rPr>
          <w:rFonts w:ascii="Times New Roman" w:hAnsi="Times New Roman"/>
          <w:lang w:val="da-DK"/>
        </w:rPr>
        <w:t>ciprofloxacin</w:t>
      </w:r>
      <w:proofErr w:type="spellEnd"/>
      <w:r w:rsidRPr="008027FD">
        <w:rPr>
          <w:rFonts w:ascii="Times New Roman" w:hAnsi="Times New Roman"/>
          <w:lang w:val="da-DK"/>
        </w:rPr>
        <w:t xml:space="preserve"> øredråber til gravide kvinder.</w:t>
      </w:r>
    </w:p>
    <w:p w:rsidR="00AC7050" w:rsidRPr="008027FD" w:rsidRDefault="00AC7050" w:rsidP="00AC7050">
      <w:pPr>
        <w:pStyle w:val="GlobalBayerBodyText"/>
        <w:tabs>
          <w:tab w:val="clear" w:pos="11174"/>
          <w:tab w:val="clear" w:pos="15142"/>
        </w:tabs>
        <w:spacing w:before="0" w:after="0"/>
        <w:ind w:left="851"/>
        <w:rPr>
          <w:rFonts w:ascii="Times New Roman" w:hAnsi="Times New Roman"/>
          <w:lang w:val="da-DK"/>
        </w:rPr>
      </w:pPr>
      <w:r w:rsidRPr="008027FD">
        <w:rPr>
          <w:rFonts w:ascii="Times New Roman" w:hAnsi="Times New Roman"/>
          <w:lang w:val="da-DK"/>
        </w:rPr>
        <w:t xml:space="preserve">Der findes et moderat antal data for anvendelse af oral </w:t>
      </w:r>
      <w:proofErr w:type="spellStart"/>
      <w:r w:rsidRPr="008027FD">
        <w:rPr>
          <w:rFonts w:ascii="Times New Roman" w:hAnsi="Times New Roman"/>
          <w:lang w:val="da-DK"/>
        </w:rPr>
        <w:t>ciprofloxacin</w:t>
      </w:r>
      <w:proofErr w:type="spellEnd"/>
      <w:r w:rsidRPr="008027FD">
        <w:rPr>
          <w:rFonts w:ascii="Times New Roman" w:hAnsi="Times New Roman"/>
          <w:lang w:val="da-DK"/>
        </w:rPr>
        <w:t xml:space="preserve"> til gravide kvinder. </w:t>
      </w:r>
    </w:p>
    <w:p w:rsidR="00AC7050" w:rsidRPr="008027FD" w:rsidRDefault="00AC7050" w:rsidP="00AC7050">
      <w:pPr>
        <w:pStyle w:val="GlobalBayerBodyText"/>
        <w:tabs>
          <w:tab w:val="clear" w:pos="11174"/>
          <w:tab w:val="clear" w:pos="15142"/>
        </w:tabs>
        <w:spacing w:before="0" w:after="0"/>
        <w:ind w:left="851"/>
        <w:rPr>
          <w:rFonts w:ascii="Times New Roman" w:hAnsi="Times New Roman"/>
          <w:lang w:val="da-DK"/>
        </w:rPr>
      </w:pPr>
      <w:r w:rsidRPr="008027FD">
        <w:rPr>
          <w:rFonts w:ascii="Times New Roman" w:hAnsi="Times New Roman"/>
          <w:lang w:val="da-DK"/>
        </w:rPr>
        <w:t xml:space="preserve">Der er ikke udført reproduktionstoksicitetsstudier efter administration i øret. Efter systemisk eksponering tyder dyrestudier dog ikke på direkte eller indirekte skadelige virkninger med hensyn til reproduktionstoksiciteten (se pkt. 5.3). Fordi systemisk eksponering for </w:t>
      </w:r>
      <w:proofErr w:type="spellStart"/>
      <w:r w:rsidRPr="008027FD">
        <w:rPr>
          <w:rFonts w:ascii="Times New Roman" w:hAnsi="Times New Roman"/>
          <w:lang w:val="da-DK"/>
        </w:rPr>
        <w:t>ciprofloxacin</w:t>
      </w:r>
      <w:proofErr w:type="spellEnd"/>
      <w:r w:rsidRPr="008027FD">
        <w:rPr>
          <w:rFonts w:ascii="Times New Roman" w:hAnsi="Times New Roman"/>
          <w:lang w:val="da-DK"/>
        </w:rPr>
        <w:t xml:space="preserve"> er ubetydelig efter administration i øret, forventes derfor ingen bivirkninger under graviditeten. </w:t>
      </w:r>
      <w:proofErr w:type="spellStart"/>
      <w:r w:rsidRPr="008027FD">
        <w:rPr>
          <w:rFonts w:ascii="Times New Roman" w:hAnsi="Times New Roman"/>
          <w:lang w:val="da-DK"/>
        </w:rPr>
        <w:t>Cetraxal</w:t>
      </w:r>
      <w:proofErr w:type="spellEnd"/>
      <w:r w:rsidRPr="008027FD">
        <w:rPr>
          <w:rFonts w:ascii="Times New Roman" w:hAnsi="Times New Roman"/>
          <w:lang w:val="da-DK"/>
        </w:rPr>
        <w:t xml:space="preserve"> kan anvendes under graviditet.</w:t>
      </w:r>
    </w:p>
    <w:p w:rsidR="00AC7050" w:rsidRPr="008027FD" w:rsidRDefault="00AC7050" w:rsidP="00AC7050">
      <w:pPr>
        <w:pStyle w:val="GlobalBayerBodyText"/>
        <w:tabs>
          <w:tab w:val="clear" w:pos="11174"/>
          <w:tab w:val="clear" w:pos="15142"/>
        </w:tabs>
        <w:spacing w:before="0" w:after="0"/>
        <w:ind w:left="851" w:hanging="851"/>
        <w:rPr>
          <w:rFonts w:ascii="Times New Roman" w:hAnsi="Times New Roman"/>
          <w:lang w:val="da-DK"/>
        </w:rPr>
      </w:pPr>
    </w:p>
    <w:p w:rsidR="00AC7050" w:rsidRPr="008027FD" w:rsidRDefault="00AC7050" w:rsidP="00AC7050">
      <w:pPr>
        <w:pStyle w:val="GlobalBayerBodyText"/>
        <w:tabs>
          <w:tab w:val="clear" w:pos="11174"/>
          <w:tab w:val="clear" w:pos="15142"/>
        </w:tabs>
        <w:spacing w:before="0" w:after="0"/>
        <w:ind w:left="851"/>
        <w:rPr>
          <w:rFonts w:ascii="Times New Roman" w:hAnsi="Times New Roman"/>
          <w:lang w:val="da-DK"/>
        </w:rPr>
      </w:pPr>
      <w:r w:rsidRPr="008027FD">
        <w:rPr>
          <w:rFonts w:ascii="Times New Roman" w:hAnsi="Times New Roman"/>
          <w:i/>
          <w:lang w:val="da-DK"/>
        </w:rPr>
        <w:t>Amning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udskilles i human mælk efter systemisk anvendelse. Det vides ikke om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udskilles i human mælk efter administration i øret. Der forventes ingen påvirkninger af nyfødte, ammet af mødre i behandling med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, da den systemiske eksponering er ubetydelig. </w:t>
      </w:r>
      <w:proofErr w:type="spellStart"/>
      <w:r w:rsidRPr="008027FD">
        <w:rPr>
          <w:sz w:val="24"/>
          <w:szCs w:val="24"/>
        </w:rPr>
        <w:t>Cetraxal</w:t>
      </w:r>
      <w:proofErr w:type="spellEnd"/>
      <w:r w:rsidRPr="008027FD">
        <w:rPr>
          <w:sz w:val="24"/>
          <w:szCs w:val="24"/>
        </w:rPr>
        <w:t xml:space="preserve"> kan anvendes under amningen.</w:t>
      </w:r>
    </w:p>
    <w:p w:rsidR="00AC7050" w:rsidRPr="008027FD" w:rsidRDefault="00AC7050" w:rsidP="00AC7050">
      <w:pPr>
        <w:ind w:left="855"/>
        <w:rPr>
          <w:sz w:val="24"/>
          <w:szCs w:val="24"/>
        </w:rPr>
      </w:pPr>
    </w:p>
    <w:p w:rsidR="00AC7050" w:rsidRPr="008027FD" w:rsidRDefault="00AC7050" w:rsidP="00AC7050">
      <w:pPr>
        <w:ind w:left="855"/>
        <w:rPr>
          <w:i/>
          <w:sz w:val="24"/>
          <w:szCs w:val="24"/>
        </w:rPr>
      </w:pPr>
      <w:r w:rsidRPr="008027FD">
        <w:rPr>
          <w:i/>
          <w:sz w:val="24"/>
          <w:szCs w:val="24"/>
        </w:rPr>
        <w:t>Fertilitet</w:t>
      </w:r>
    </w:p>
    <w:p w:rsidR="00AC7050" w:rsidRPr="008027FD" w:rsidRDefault="00AC7050" w:rsidP="00AC7050">
      <w:pPr>
        <w:ind w:left="855"/>
        <w:rPr>
          <w:sz w:val="24"/>
          <w:szCs w:val="24"/>
        </w:rPr>
      </w:pPr>
      <w:r w:rsidRPr="008027FD">
        <w:rPr>
          <w:sz w:val="24"/>
          <w:szCs w:val="24"/>
        </w:rPr>
        <w:t xml:space="preserve">Dyrestudier med oral administration af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indikerer ingen virkning på fertilitet.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4.7</w:t>
      </w:r>
      <w:r w:rsidRPr="008027FD">
        <w:rPr>
          <w:b/>
          <w:sz w:val="24"/>
          <w:szCs w:val="24"/>
        </w:rPr>
        <w:tab/>
        <w:t>Virkninger på evnen til at føre motorkøretøj eller betjene maskiner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Ikke mærkning.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proofErr w:type="spellStart"/>
      <w:r w:rsidRPr="008027FD">
        <w:rPr>
          <w:sz w:val="24"/>
          <w:szCs w:val="24"/>
        </w:rPr>
        <w:t>Cetraxal</w:t>
      </w:r>
      <w:proofErr w:type="spellEnd"/>
      <w:r w:rsidRPr="008027FD">
        <w:rPr>
          <w:sz w:val="24"/>
          <w:szCs w:val="24"/>
        </w:rPr>
        <w:t xml:space="preserve"> </w:t>
      </w:r>
      <w:r>
        <w:rPr>
          <w:sz w:val="24"/>
          <w:szCs w:val="24"/>
        </w:rPr>
        <w:t>påvirker ikke eller kun i ubetydelig grad</w:t>
      </w:r>
      <w:r w:rsidRPr="008027FD">
        <w:rPr>
          <w:sz w:val="24"/>
          <w:szCs w:val="24"/>
        </w:rPr>
        <w:t xml:space="preserve"> evnen til at føre motorkøretøj </w:t>
      </w:r>
      <w:r>
        <w:rPr>
          <w:sz w:val="24"/>
          <w:szCs w:val="24"/>
        </w:rPr>
        <w:t>og</w:t>
      </w:r>
      <w:r w:rsidRPr="008027FD">
        <w:rPr>
          <w:sz w:val="24"/>
          <w:szCs w:val="24"/>
        </w:rPr>
        <w:t xml:space="preserve"> betjene maskiner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4.8</w:t>
      </w:r>
      <w:r w:rsidRPr="008027FD">
        <w:rPr>
          <w:b/>
          <w:sz w:val="24"/>
          <w:szCs w:val="24"/>
        </w:rPr>
        <w:tab/>
        <w:t>Bivirkninger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 xml:space="preserve">I et klinisk fase III-studie blev i alt 319 patienter behandlet med </w:t>
      </w:r>
      <w:proofErr w:type="spellStart"/>
      <w:r>
        <w:rPr>
          <w:sz w:val="24"/>
          <w:szCs w:val="24"/>
        </w:rPr>
        <w:t>Cetraxal</w:t>
      </w:r>
      <w:proofErr w:type="spellEnd"/>
      <w:r w:rsidRPr="008027FD">
        <w:rPr>
          <w:sz w:val="24"/>
          <w:szCs w:val="24"/>
        </w:rPr>
        <w:t>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De mest almindelige rapporterede bivirkninger er: kløe i øret, som forekommer hos 0,9% af patienter i behandling med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>, og hovedpine og smerter ved applikationsstedet, der begge forekommer hos cirka 0,6% af patienterne.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lastRenderedPageBreak/>
        <w:t>Alle behandlings-relaterede bivirkninger er ikke almindelige (</w:t>
      </w:r>
      <w:r w:rsidRPr="008027FD">
        <w:rPr>
          <w:sz w:val="24"/>
          <w:szCs w:val="24"/>
        </w:rPr>
        <w:sym w:font="Symbol" w:char="F0B3"/>
      </w:r>
      <w:r w:rsidRPr="008027FD">
        <w:rPr>
          <w:sz w:val="24"/>
          <w:szCs w:val="24"/>
        </w:rPr>
        <w:t>1/1000 til &lt;1/100) og anført nedenfor: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i/>
          <w:sz w:val="24"/>
          <w:szCs w:val="24"/>
        </w:rPr>
        <w:t>Øre og labyrint: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Ikke almindelig: kløe i øret, tinnitus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i/>
          <w:sz w:val="24"/>
          <w:szCs w:val="24"/>
        </w:rPr>
      </w:pPr>
      <w:r w:rsidRPr="008027FD">
        <w:rPr>
          <w:i/>
          <w:sz w:val="24"/>
          <w:szCs w:val="24"/>
        </w:rPr>
        <w:t>Nervesystemet: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Ikke almindelig: svimmelhed, hovedpine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i/>
          <w:sz w:val="24"/>
          <w:szCs w:val="24"/>
        </w:rPr>
      </w:pPr>
      <w:r w:rsidRPr="008027FD">
        <w:rPr>
          <w:i/>
          <w:sz w:val="24"/>
          <w:szCs w:val="24"/>
        </w:rPr>
        <w:t>Hud og subkutane væv: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Ikke almindelig: </w:t>
      </w:r>
      <w:proofErr w:type="spellStart"/>
      <w:r w:rsidRPr="008027FD">
        <w:rPr>
          <w:sz w:val="24"/>
          <w:szCs w:val="24"/>
        </w:rPr>
        <w:t>dermatitis</w:t>
      </w:r>
      <w:proofErr w:type="spellEnd"/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i/>
          <w:sz w:val="24"/>
          <w:szCs w:val="24"/>
        </w:rPr>
        <w:t>Almene symptomer og reaktioner på administrationsstedet: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Ikke almindelig: smerter ved administrationsstedet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Ved lokalt applikerede </w:t>
      </w:r>
      <w:proofErr w:type="spellStart"/>
      <w:r w:rsidRPr="008027FD">
        <w:rPr>
          <w:sz w:val="24"/>
          <w:szCs w:val="24"/>
        </w:rPr>
        <w:t>fluoroquinoloner</w:t>
      </w:r>
      <w:proofErr w:type="spellEnd"/>
      <w:r w:rsidRPr="008027FD">
        <w:rPr>
          <w:sz w:val="24"/>
          <w:szCs w:val="24"/>
        </w:rPr>
        <w:t xml:space="preserve"> opstår (generaliseret) hududslæt, toksisk </w:t>
      </w:r>
      <w:proofErr w:type="spellStart"/>
      <w:r w:rsidRPr="008027FD">
        <w:rPr>
          <w:sz w:val="24"/>
          <w:szCs w:val="24"/>
        </w:rPr>
        <w:t>epidermal</w:t>
      </w:r>
      <w:proofErr w:type="spellEnd"/>
      <w:r w:rsidRPr="008027FD">
        <w:rPr>
          <w:sz w:val="24"/>
          <w:szCs w:val="24"/>
        </w:rPr>
        <w:t xml:space="preserve"> </w:t>
      </w:r>
      <w:proofErr w:type="spellStart"/>
      <w:r w:rsidRPr="008027FD">
        <w:rPr>
          <w:sz w:val="24"/>
          <w:szCs w:val="24"/>
        </w:rPr>
        <w:t>nekrolyse</w:t>
      </w:r>
      <w:proofErr w:type="spellEnd"/>
      <w:r w:rsidRPr="008027FD">
        <w:rPr>
          <w:sz w:val="24"/>
          <w:szCs w:val="24"/>
        </w:rPr>
        <w:t xml:space="preserve">, </w:t>
      </w:r>
      <w:proofErr w:type="spellStart"/>
      <w:r w:rsidRPr="008027FD">
        <w:rPr>
          <w:bCs/>
          <w:sz w:val="24"/>
          <w:szCs w:val="24"/>
        </w:rPr>
        <w:t>eksfoliativ</w:t>
      </w:r>
      <w:proofErr w:type="spellEnd"/>
      <w:r w:rsidRPr="008027FD">
        <w:rPr>
          <w:bCs/>
          <w:sz w:val="24"/>
          <w:szCs w:val="24"/>
        </w:rPr>
        <w:t xml:space="preserve"> </w:t>
      </w:r>
      <w:proofErr w:type="spellStart"/>
      <w:r w:rsidRPr="008027FD">
        <w:rPr>
          <w:bCs/>
          <w:sz w:val="24"/>
          <w:szCs w:val="24"/>
        </w:rPr>
        <w:t>dermatitis</w:t>
      </w:r>
      <w:proofErr w:type="spellEnd"/>
      <w:r w:rsidRPr="008027FD">
        <w:rPr>
          <w:sz w:val="24"/>
          <w:szCs w:val="24"/>
        </w:rPr>
        <w:t xml:space="preserve">, </w:t>
      </w:r>
      <w:r w:rsidRPr="008027FD">
        <w:rPr>
          <w:bCs/>
          <w:sz w:val="24"/>
          <w:szCs w:val="24"/>
        </w:rPr>
        <w:t>Stevens</w:t>
      </w:r>
      <w:r w:rsidRPr="008027FD">
        <w:rPr>
          <w:sz w:val="24"/>
          <w:szCs w:val="24"/>
        </w:rPr>
        <w:t>-</w:t>
      </w:r>
      <w:r w:rsidRPr="008027FD">
        <w:rPr>
          <w:bCs/>
          <w:sz w:val="24"/>
          <w:szCs w:val="24"/>
        </w:rPr>
        <w:t xml:space="preserve">Johnsons syndrom og </w:t>
      </w:r>
      <w:proofErr w:type="spellStart"/>
      <w:r w:rsidRPr="008027FD">
        <w:rPr>
          <w:bCs/>
          <w:sz w:val="24"/>
          <w:szCs w:val="24"/>
        </w:rPr>
        <w:t>urticaria</w:t>
      </w:r>
      <w:proofErr w:type="spellEnd"/>
      <w:r w:rsidRPr="008027FD">
        <w:rPr>
          <w:bCs/>
          <w:sz w:val="24"/>
          <w:szCs w:val="24"/>
        </w:rPr>
        <w:t xml:space="preserve"> </w:t>
      </w:r>
      <w:r w:rsidRPr="008027FD">
        <w:rPr>
          <w:sz w:val="24"/>
          <w:szCs w:val="24"/>
        </w:rPr>
        <w:t>meget sjældent.</w:t>
      </w:r>
    </w:p>
    <w:p w:rsidR="00AC7050" w:rsidRDefault="00AC7050" w:rsidP="00AC705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D2069" w:rsidRPr="003952CE" w:rsidRDefault="00FD2069" w:rsidP="00FD2069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FD2069" w:rsidRPr="003952CE" w:rsidRDefault="00FD2069" w:rsidP="00FD2069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FD2069" w:rsidRPr="003952CE" w:rsidRDefault="00FD2069" w:rsidP="00FD2069">
      <w:pPr>
        <w:tabs>
          <w:tab w:val="left" w:pos="2440"/>
        </w:tabs>
        <w:ind w:left="851"/>
        <w:rPr>
          <w:sz w:val="24"/>
          <w:szCs w:val="24"/>
        </w:rPr>
      </w:pPr>
    </w:p>
    <w:p w:rsidR="00FD2069" w:rsidRPr="003952CE" w:rsidRDefault="00FD2069" w:rsidP="00FD2069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FD2069" w:rsidRPr="003952CE" w:rsidRDefault="00FD2069" w:rsidP="00FD2069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FD2069" w:rsidRPr="003952CE" w:rsidRDefault="00FD2069" w:rsidP="00FD2069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FD2069" w:rsidRPr="000A1DC3" w:rsidRDefault="00FD2069" w:rsidP="00FD2069">
      <w:pPr>
        <w:ind w:left="851"/>
        <w:rPr>
          <w:sz w:val="24"/>
          <w:szCs w:val="24"/>
        </w:rPr>
      </w:pPr>
      <w:r w:rsidRPr="000A1DC3">
        <w:rPr>
          <w:sz w:val="24"/>
          <w:szCs w:val="24"/>
        </w:rPr>
        <w:t xml:space="preserve">Websted: </w:t>
      </w:r>
      <w:hyperlink r:id="rId8" w:history="1">
        <w:r w:rsidRPr="000A1DC3">
          <w:rPr>
            <w:rStyle w:val="Hyperlink"/>
            <w:sz w:val="24"/>
            <w:szCs w:val="24"/>
          </w:rPr>
          <w:t>www.meldenbivirkning.dk</w:t>
        </w:r>
      </w:hyperlink>
    </w:p>
    <w:p w:rsidR="00AC7050" w:rsidRPr="008027FD" w:rsidRDefault="00AC7050" w:rsidP="00AC705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4.9</w:t>
      </w:r>
      <w:r w:rsidRPr="008027FD">
        <w:rPr>
          <w:b/>
          <w:sz w:val="24"/>
          <w:szCs w:val="24"/>
        </w:rPr>
        <w:tab/>
        <w:t>Overdosering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 xml:space="preserve">Den potentielle risiko for overdosering med dette enkeltdosispræparat er ubetydelig, fordi den totale </w:t>
      </w:r>
      <w:proofErr w:type="spellStart"/>
      <w:r w:rsidRPr="008027FD">
        <w:rPr>
          <w:sz w:val="24"/>
          <w:szCs w:val="24"/>
        </w:rPr>
        <w:t>ciprofloxacinmængde</w:t>
      </w:r>
      <w:proofErr w:type="spellEnd"/>
      <w:r w:rsidRPr="008027FD">
        <w:rPr>
          <w:sz w:val="24"/>
          <w:szCs w:val="24"/>
        </w:rPr>
        <w:t xml:space="preserve"> er 7,5 mg pr. pakning.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4.10</w:t>
      </w:r>
      <w:r w:rsidRPr="008027FD">
        <w:rPr>
          <w:b/>
          <w:sz w:val="24"/>
          <w:szCs w:val="24"/>
        </w:rPr>
        <w:tab/>
        <w:t>Udlevering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B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5.</w:t>
      </w:r>
      <w:r w:rsidRPr="008027FD">
        <w:rPr>
          <w:b/>
          <w:sz w:val="24"/>
          <w:szCs w:val="24"/>
        </w:rPr>
        <w:tab/>
        <w:t>FARMAKOLOGISKE EGENSKABER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5.0</w:t>
      </w:r>
      <w:r w:rsidRPr="008027FD">
        <w:rPr>
          <w:b/>
          <w:sz w:val="24"/>
          <w:szCs w:val="24"/>
        </w:rPr>
        <w:tab/>
        <w:t>Terapeutisk klassifikation</w:t>
      </w: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sz w:val="24"/>
          <w:szCs w:val="24"/>
        </w:rPr>
        <w:tab/>
        <w:t xml:space="preserve">ATC-kode: </w:t>
      </w:r>
      <w:r w:rsidRPr="008027FD">
        <w:rPr>
          <w:sz w:val="24"/>
          <w:szCs w:val="24"/>
          <w:lang w:eastAsia="es-ES"/>
        </w:rPr>
        <w:t>S</w:t>
      </w:r>
      <w:r w:rsidR="00FD2069">
        <w:rPr>
          <w:sz w:val="24"/>
          <w:szCs w:val="24"/>
          <w:lang w:eastAsia="es-ES"/>
        </w:rPr>
        <w:t xml:space="preserve"> </w:t>
      </w:r>
      <w:r w:rsidRPr="008027FD">
        <w:rPr>
          <w:sz w:val="24"/>
          <w:szCs w:val="24"/>
          <w:lang w:eastAsia="es-ES"/>
        </w:rPr>
        <w:t>02</w:t>
      </w:r>
      <w:r w:rsidR="00FD2069">
        <w:rPr>
          <w:sz w:val="24"/>
          <w:szCs w:val="24"/>
          <w:lang w:eastAsia="es-ES"/>
        </w:rPr>
        <w:t xml:space="preserve"> </w:t>
      </w:r>
      <w:r w:rsidRPr="008027FD">
        <w:rPr>
          <w:sz w:val="24"/>
          <w:szCs w:val="24"/>
          <w:lang w:eastAsia="es-ES"/>
        </w:rPr>
        <w:t>AA</w:t>
      </w:r>
      <w:r w:rsidR="00FD2069">
        <w:rPr>
          <w:sz w:val="24"/>
          <w:szCs w:val="24"/>
          <w:lang w:eastAsia="es-ES"/>
        </w:rPr>
        <w:t xml:space="preserve"> </w:t>
      </w:r>
      <w:r w:rsidRPr="008027FD">
        <w:rPr>
          <w:sz w:val="24"/>
          <w:szCs w:val="24"/>
          <w:lang w:eastAsia="es-ES"/>
        </w:rPr>
        <w:t xml:space="preserve">15. Sanseorganer. </w:t>
      </w:r>
      <w:proofErr w:type="spellStart"/>
      <w:r w:rsidRPr="008027FD">
        <w:rPr>
          <w:sz w:val="24"/>
          <w:szCs w:val="24"/>
          <w:lang w:eastAsia="es-ES"/>
        </w:rPr>
        <w:t>Otologica</w:t>
      </w:r>
      <w:proofErr w:type="spellEnd"/>
      <w:r w:rsidRPr="008027FD">
        <w:rPr>
          <w:sz w:val="24"/>
          <w:szCs w:val="24"/>
          <w:lang w:eastAsia="es-ES"/>
        </w:rPr>
        <w:t xml:space="preserve">. </w:t>
      </w:r>
      <w:proofErr w:type="spellStart"/>
      <w:r w:rsidRPr="008027FD">
        <w:rPr>
          <w:sz w:val="24"/>
          <w:szCs w:val="24"/>
          <w:lang w:eastAsia="es-ES"/>
        </w:rPr>
        <w:t>Antiinfektiva</w:t>
      </w:r>
      <w:proofErr w:type="spellEnd"/>
      <w:r w:rsidRPr="008027FD">
        <w:rPr>
          <w:sz w:val="24"/>
          <w:szCs w:val="24"/>
          <w:lang w:eastAsia="es-ES"/>
        </w:rPr>
        <w:t>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5.1</w:t>
      </w:r>
      <w:r w:rsidRPr="008027FD">
        <w:rPr>
          <w:b/>
          <w:sz w:val="24"/>
          <w:szCs w:val="24"/>
        </w:rPr>
        <w:tab/>
      </w:r>
      <w:proofErr w:type="spellStart"/>
      <w:r w:rsidRPr="008027FD">
        <w:rPr>
          <w:b/>
          <w:sz w:val="24"/>
          <w:szCs w:val="24"/>
        </w:rPr>
        <w:t>Farmakodynamiske</w:t>
      </w:r>
      <w:proofErr w:type="spellEnd"/>
      <w:r w:rsidRPr="008027FD">
        <w:rPr>
          <w:b/>
          <w:sz w:val="24"/>
          <w:szCs w:val="24"/>
        </w:rPr>
        <w:t xml:space="preserve"> egenskaber</w:t>
      </w:r>
    </w:p>
    <w:p w:rsidR="002E2DB5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</w:r>
    </w:p>
    <w:p w:rsidR="00AC7050" w:rsidRPr="008027FD" w:rsidRDefault="00AC7050" w:rsidP="002E2DB5">
      <w:pPr>
        <w:ind w:left="851"/>
        <w:rPr>
          <w:rFonts w:eastAsia="Batang"/>
          <w:i/>
          <w:iCs/>
          <w:noProof/>
          <w:sz w:val="24"/>
          <w:szCs w:val="24"/>
          <w:u w:val="single"/>
        </w:rPr>
      </w:pPr>
      <w:r w:rsidRPr="008027FD">
        <w:rPr>
          <w:rFonts w:eastAsia="Batang"/>
          <w:i/>
          <w:iCs/>
          <w:noProof/>
          <w:sz w:val="24"/>
          <w:szCs w:val="24"/>
          <w:u w:val="single"/>
        </w:rPr>
        <w:t>Virkningsmekanisme</w:t>
      </w:r>
    </w:p>
    <w:p w:rsidR="00AC7050" w:rsidRPr="008027FD" w:rsidRDefault="00AC7050" w:rsidP="00AC7050">
      <w:pPr>
        <w:suppressAutoHyphens/>
        <w:ind w:left="851"/>
        <w:rPr>
          <w:noProof/>
          <w:sz w:val="24"/>
          <w:szCs w:val="24"/>
        </w:rPr>
      </w:pPr>
      <w:r w:rsidRPr="008027FD">
        <w:rPr>
          <w:noProof/>
          <w:sz w:val="24"/>
          <w:szCs w:val="24"/>
        </w:rPr>
        <w:t>Som et fluorquinolon-antibiotikum udøver ciprofloxacin sin baktericide virkning ved at hæmme både type-II topo-isomerase (DNA-gyrase) og topo-isomerase IV, som er nødvendig for bakteriel DNA-replikation, transskription, genopretning og rekombination.</w:t>
      </w:r>
    </w:p>
    <w:p w:rsidR="00AC7050" w:rsidRPr="008027FD" w:rsidRDefault="00AC7050" w:rsidP="00AC7050">
      <w:pPr>
        <w:suppressAutoHyphens/>
        <w:ind w:left="851" w:hanging="851"/>
        <w:rPr>
          <w:noProof/>
          <w:sz w:val="24"/>
          <w:szCs w:val="24"/>
        </w:rPr>
      </w:pPr>
    </w:p>
    <w:p w:rsidR="00AC7050" w:rsidRDefault="00AC7050" w:rsidP="00AC7050">
      <w:pPr>
        <w:rPr>
          <w:rFonts w:eastAsia="Batang"/>
          <w:i/>
          <w:iCs/>
          <w:noProof/>
          <w:sz w:val="24"/>
          <w:szCs w:val="24"/>
          <w:u w:val="single"/>
        </w:rPr>
      </w:pPr>
      <w:r>
        <w:rPr>
          <w:rFonts w:eastAsia="Batang"/>
          <w:i/>
          <w:iCs/>
          <w:noProof/>
          <w:sz w:val="24"/>
          <w:szCs w:val="24"/>
          <w:u w:val="single"/>
        </w:rPr>
        <w:br w:type="page"/>
      </w:r>
    </w:p>
    <w:p w:rsidR="00AC7050" w:rsidRPr="008027FD" w:rsidRDefault="00AC7050" w:rsidP="00AC7050">
      <w:pPr>
        <w:ind w:left="851"/>
        <w:rPr>
          <w:rFonts w:eastAsia="Batang"/>
          <w:i/>
          <w:iCs/>
          <w:noProof/>
          <w:sz w:val="24"/>
          <w:szCs w:val="24"/>
          <w:u w:val="single"/>
        </w:rPr>
      </w:pPr>
      <w:r w:rsidRPr="008027FD">
        <w:rPr>
          <w:rFonts w:eastAsia="Batang"/>
          <w:i/>
          <w:iCs/>
          <w:noProof/>
          <w:sz w:val="24"/>
          <w:szCs w:val="24"/>
          <w:u w:val="single"/>
        </w:rPr>
        <w:lastRenderedPageBreak/>
        <w:t>FK/FD-forhold</w:t>
      </w:r>
    </w:p>
    <w:p w:rsidR="00AC7050" w:rsidRPr="008027FD" w:rsidRDefault="00AC7050" w:rsidP="00AC705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8027FD">
        <w:rPr>
          <w:noProof/>
          <w:sz w:val="24"/>
          <w:szCs w:val="24"/>
        </w:rPr>
        <w:t xml:space="preserve">Der er ikke beskevet noget farmakodynamisk forhold for topikal administration. Ved lokale lægemiddelformer, er den opnåede </w:t>
      </w:r>
      <w:r w:rsidRPr="008027FD">
        <w:rPr>
          <w:i/>
          <w:noProof/>
          <w:sz w:val="24"/>
          <w:szCs w:val="24"/>
        </w:rPr>
        <w:t xml:space="preserve">in-situ </w:t>
      </w:r>
      <w:r w:rsidRPr="008027FD">
        <w:rPr>
          <w:noProof/>
          <w:sz w:val="24"/>
          <w:szCs w:val="24"/>
        </w:rPr>
        <w:t>koncentration meget højere end plasmakoncentrationer.</w:t>
      </w:r>
    </w:p>
    <w:p w:rsidR="00AC7050" w:rsidRPr="008027FD" w:rsidRDefault="00AC7050" w:rsidP="00AC7050">
      <w:pPr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AC7050" w:rsidRPr="008027FD" w:rsidRDefault="00AC7050" w:rsidP="00AC7050">
      <w:pPr>
        <w:ind w:left="851"/>
        <w:rPr>
          <w:rFonts w:eastAsia="Batang"/>
          <w:i/>
          <w:iCs/>
          <w:noProof/>
          <w:sz w:val="24"/>
          <w:szCs w:val="24"/>
          <w:u w:val="single"/>
        </w:rPr>
      </w:pPr>
      <w:r w:rsidRPr="008027FD">
        <w:rPr>
          <w:rFonts w:eastAsia="Batang"/>
          <w:i/>
          <w:iCs/>
          <w:noProof/>
          <w:sz w:val="24"/>
          <w:szCs w:val="24"/>
          <w:u w:val="single"/>
        </w:rPr>
        <w:t>Resistensmekanisme</w:t>
      </w:r>
    </w:p>
    <w:p w:rsidR="00AC7050" w:rsidRPr="008027FD" w:rsidRDefault="00AC7050" w:rsidP="00AC7050">
      <w:pPr>
        <w:ind w:left="851"/>
        <w:rPr>
          <w:noProof/>
          <w:sz w:val="24"/>
          <w:szCs w:val="24"/>
        </w:rPr>
      </w:pPr>
      <w:r w:rsidRPr="008027FD">
        <w:rPr>
          <w:noProof/>
          <w:sz w:val="24"/>
          <w:szCs w:val="24"/>
        </w:rPr>
        <w:t xml:space="preserve">In vitro-resistens over for ciprofloxacin kan erhverves gennem en trinvis proces af mutationer på virkningsstedet af både  </w:t>
      </w:r>
      <w:r w:rsidRPr="008027FD">
        <w:rPr>
          <w:iCs/>
          <w:noProof/>
          <w:sz w:val="24"/>
          <w:szCs w:val="24"/>
        </w:rPr>
        <w:t xml:space="preserve">DNA-gyrase </w:t>
      </w:r>
      <w:r w:rsidRPr="008027FD">
        <w:rPr>
          <w:noProof/>
          <w:sz w:val="24"/>
          <w:szCs w:val="24"/>
        </w:rPr>
        <w:t xml:space="preserve">og topoisomerase IV. Graden af krydsresistens mellem ciprofloxacin og andre fluoroquinoloner, der hidrører herfra, er variabel. Enkelte mutationer resulterer dog nødvendigvis ikke i klinisk resistens, men multiple mutationer resulterer generelt i klinisk resistens over for mange eller alle aktive substanser inden for klassen. </w:t>
      </w:r>
    </w:p>
    <w:p w:rsidR="00AC7050" w:rsidRPr="008027FD" w:rsidRDefault="00AC7050" w:rsidP="00AC7050">
      <w:pPr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iCs/>
          <w:noProof/>
          <w:sz w:val="24"/>
          <w:szCs w:val="24"/>
        </w:rPr>
      </w:pPr>
      <w:proofErr w:type="spellStart"/>
      <w:r w:rsidRPr="008027FD">
        <w:rPr>
          <w:sz w:val="24"/>
          <w:szCs w:val="24"/>
        </w:rPr>
        <w:t>Impermeabilitet</w:t>
      </w:r>
      <w:proofErr w:type="spellEnd"/>
      <w:r w:rsidRPr="008027FD">
        <w:rPr>
          <w:sz w:val="24"/>
          <w:szCs w:val="24"/>
        </w:rPr>
        <w:t xml:space="preserve"> og/eller resistens-drug </w:t>
      </w:r>
      <w:proofErr w:type="spellStart"/>
      <w:r w:rsidRPr="008027FD">
        <w:rPr>
          <w:sz w:val="24"/>
          <w:szCs w:val="24"/>
        </w:rPr>
        <w:t>efflux</w:t>
      </w:r>
      <w:proofErr w:type="spellEnd"/>
      <w:r w:rsidRPr="008027FD">
        <w:rPr>
          <w:sz w:val="24"/>
          <w:szCs w:val="24"/>
        </w:rPr>
        <w:t xml:space="preserve"> pumpemekanismer kan have en varierende virkning på følsomheden overfor </w:t>
      </w:r>
      <w:proofErr w:type="spellStart"/>
      <w:r w:rsidRPr="008027FD">
        <w:rPr>
          <w:sz w:val="24"/>
          <w:szCs w:val="24"/>
        </w:rPr>
        <w:t>fluoroquinoloner</w:t>
      </w:r>
      <w:proofErr w:type="spellEnd"/>
      <w:r w:rsidRPr="008027FD">
        <w:rPr>
          <w:sz w:val="24"/>
          <w:szCs w:val="24"/>
        </w:rPr>
        <w:t xml:space="preserve">, som afhænger af de fysisk-kemiske egenskaber hos de forskellige stoffer indenfor gruppen samt af det enkelte stofs affinitet til transportsystemet. </w:t>
      </w:r>
      <w:r w:rsidRPr="008027FD">
        <w:rPr>
          <w:iCs/>
          <w:noProof/>
          <w:sz w:val="24"/>
          <w:szCs w:val="24"/>
        </w:rPr>
        <w:t xml:space="preserve">Alle </w:t>
      </w:r>
      <w:r w:rsidRPr="008027FD">
        <w:rPr>
          <w:noProof/>
          <w:sz w:val="24"/>
          <w:szCs w:val="24"/>
        </w:rPr>
        <w:t>in vitro-</w:t>
      </w:r>
      <w:r w:rsidRPr="008027FD">
        <w:rPr>
          <w:iCs/>
          <w:noProof/>
          <w:sz w:val="24"/>
          <w:szCs w:val="24"/>
        </w:rPr>
        <w:t xml:space="preserve">mekanismer for resistens ses almindeligvis i kliniske isolater. Resistensmekanismer, som inaktiverer andre antibiotika, som f.eks. permeationsbarrierer (almindelig hos </w:t>
      </w:r>
      <w:r w:rsidRPr="008027FD">
        <w:rPr>
          <w:noProof/>
          <w:sz w:val="24"/>
          <w:szCs w:val="24"/>
        </w:rPr>
        <w:t>Pseudomonas aeruginosa</w:t>
      </w:r>
      <w:r w:rsidRPr="008027FD">
        <w:rPr>
          <w:iCs/>
          <w:noProof/>
          <w:sz w:val="24"/>
          <w:szCs w:val="24"/>
        </w:rPr>
        <w:t xml:space="preserve">) og effluksmekanismer, kan påvirke følsomheden over for ciprofloxacin. </w:t>
      </w:r>
    </w:p>
    <w:p w:rsidR="00AC7050" w:rsidRPr="008027FD" w:rsidRDefault="00AC7050" w:rsidP="00AC7050">
      <w:pPr>
        <w:ind w:firstLine="851"/>
        <w:rPr>
          <w:iCs/>
          <w:noProof/>
          <w:sz w:val="24"/>
          <w:szCs w:val="24"/>
        </w:rPr>
      </w:pPr>
    </w:p>
    <w:p w:rsidR="00AC7050" w:rsidRPr="008027FD" w:rsidRDefault="00AC7050" w:rsidP="00AC7050">
      <w:pPr>
        <w:ind w:firstLine="851"/>
        <w:rPr>
          <w:iCs/>
          <w:noProof/>
          <w:sz w:val="24"/>
          <w:szCs w:val="24"/>
        </w:rPr>
      </w:pPr>
      <w:r w:rsidRPr="008027FD">
        <w:rPr>
          <w:iCs/>
          <w:noProof/>
          <w:sz w:val="24"/>
          <w:szCs w:val="24"/>
        </w:rPr>
        <w:t>Der er set plasmidmedieret resistens kodet via qnr-gener.</w:t>
      </w:r>
    </w:p>
    <w:p w:rsidR="00AC7050" w:rsidRPr="008027FD" w:rsidRDefault="00AC7050" w:rsidP="00AC7050">
      <w:pPr>
        <w:rPr>
          <w:noProof/>
          <w:sz w:val="24"/>
          <w:szCs w:val="24"/>
        </w:rPr>
      </w:pPr>
    </w:p>
    <w:p w:rsidR="00AC7050" w:rsidRPr="008027FD" w:rsidRDefault="00AC7050" w:rsidP="00AC7050">
      <w:pPr>
        <w:tabs>
          <w:tab w:val="left" w:pos="851"/>
          <w:tab w:val="left" w:pos="5760"/>
        </w:tabs>
        <w:ind w:left="851"/>
        <w:rPr>
          <w:i/>
          <w:iCs/>
          <w:noProof/>
          <w:sz w:val="24"/>
          <w:szCs w:val="24"/>
          <w:u w:val="single"/>
        </w:rPr>
      </w:pPr>
      <w:r w:rsidRPr="008027FD">
        <w:rPr>
          <w:i/>
          <w:iCs/>
          <w:noProof/>
          <w:sz w:val="24"/>
          <w:szCs w:val="24"/>
          <w:u w:val="single"/>
        </w:rPr>
        <w:t>Breakpoints</w:t>
      </w:r>
    </w:p>
    <w:p w:rsidR="00AC7050" w:rsidRPr="008027FD" w:rsidRDefault="00AC7050" w:rsidP="00AC7050">
      <w:pPr>
        <w:tabs>
          <w:tab w:val="left" w:pos="851"/>
          <w:tab w:val="left" w:pos="5760"/>
        </w:tabs>
        <w:ind w:left="851"/>
        <w:rPr>
          <w:noProof/>
          <w:sz w:val="24"/>
          <w:szCs w:val="24"/>
        </w:rPr>
      </w:pPr>
      <w:r w:rsidRPr="008027FD">
        <w:rPr>
          <w:noProof/>
          <w:sz w:val="24"/>
          <w:szCs w:val="24"/>
        </w:rPr>
        <w:t>For de fleste topikale stoffer findes begrænsede farmkologiske data og ingen data, der relaterer behandling til resultat. Af denne grund foreslår EUCAST, at epidemiologiske cut- off-værdier (ECOFFs) anvendes for at indikere følsomhed overfor topikale stoffer.</w:t>
      </w:r>
    </w:p>
    <w:p w:rsidR="00AC7050" w:rsidRPr="008027FD" w:rsidRDefault="00AC7050" w:rsidP="00AC7050">
      <w:pPr>
        <w:tabs>
          <w:tab w:val="left" w:pos="851"/>
          <w:tab w:val="left" w:pos="5760"/>
        </w:tabs>
        <w:ind w:left="851"/>
        <w:rPr>
          <w:noProof/>
          <w:sz w:val="24"/>
          <w:szCs w:val="24"/>
        </w:rPr>
      </w:pPr>
    </w:p>
    <w:p w:rsidR="00AC7050" w:rsidRPr="008027FD" w:rsidRDefault="00AC7050" w:rsidP="00AC7050">
      <w:pPr>
        <w:tabs>
          <w:tab w:val="left" w:pos="851"/>
          <w:tab w:val="left" w:pos="5760"/>
        </w:tabs>
        <w:ind w:left="851"/>
        <w:rPr>
          <w:noProof/>
          <w:sz w:val="24"/>
          <w:szCs w:val="24"/>
          <w:lang w:val="en-US"/>
        </w:rPr>
      </w:pPr>
      <w:r w:rsidRPr="008027FD">
        <w:rPr>
          <w:noProof/>
          <w:sz w:val="24"/>
          <w:szCs w:val="24"/>
        </w:rPr>
        <w:t xml:space="preserve">Epidemiologiske cut-off værdier i henhold til EUCAST. </w:t>
      </w:r>
      <w:r w:rsidRPr="008027FD">
        <w:rPr>
          <w:noProof/>
          <w:sz w:val="24"/>
          <w:szCs w:val="24"/>
          <w:lang w:val="en-US"/>
        </w:rPr>
        <w:t>ECOFF ≤ mg/ml</w:t>
      </w:r>
    </w:p>
    <w:p w:rsidR="00AC7050" w:rsidRPr="008027FD" w:rsidRDefault="00AC7050" w:rsidP="00AC7050">
      <w:pPr>
        <w:tabs>
          <w:tab w:val="left" w:pos="851"/>
          <w:tab w:val="left" w:pos="5760"/>
        </w:tabs>
        <w:ind w:left="851"/>
        <w:rPr>
          <w:noProof/>
          <w:sz w:val="24"/>
          <w:szCs w:val="24"/>
          <w:lang w:val="en-US"/>
        </w:rPr>
      </w:pPr>
    </w:p>
    <w:p w:rsidR="00AC7050" w:rsidRPr="008027FD" w:rsidRDefault="00AC7050" w:rsidP="00AC7050">
      <w:pPr>
        <w:tabs>
          <w:tab w:val="left" w:pos="851"/>
          <w:tab w:val="left" w:pos="3402"/>
          <w:tab w:val="left" w:pos="5760"/>
        </w:tabs>
        <w:rPr>
          <w:noProof/>
          <w:sz w:val="24"/>
          <w:szCs w:val="24"/>
          <w:lang w:val="en-US"/>
        </w:rPr>
      </w:pPr>
      <w:r w:rsidRPr="008027FD">
        <w:rPr>
          <w:noProof/>
          <w:sz w:val="24"/>
          <w:szCs w:val="24"/>
          <w:lang w:val="en-US"/>
        </w:rPr>
        <w:tab/>
        <w:t xml:space="preserve">- </w:t>
      </w:r>
      <w:r w:rsidRPr="008027FD">
        <w:rPr>
          <w:i/>
          <w:noProof/>
          <w:sz w:val="24"/>
          <w:szCs w:val="24"/>
          <w:lang w:val="en-US"/>
        </w:rPr>
        <w:t>Enterobacteriaceae</w:t>
      </w:r>
      <w:r w:rsidRPr="008027FD">
        <w:rPr>
          <w:noProof/>
          <w:sz w:val="24"/>
          <w:szCs w:val="24"/>
          <w:lang w:val="en-US"/>
        </w:rPr>
        <w:tab/>
      </w:r>
      <w:r w:rsidRPr="008027FD">
        <w:rPr>
          <w:noProof/>
          <w:sz w:val="24"/>
          <w:szCs w:val="24"/>
          <w:lang w:val="en-US"/>
        </w:rPr>
        <w:tab/>
        <w:t>0,125 mg/l</w:t>
      </w:r>
    </w:p>
    <w:p w:rsidR="00AC7050" w:rsidRPr="008027FD" w:rsidRDefault="00AC7050" w:rsidP="00AC7050">
      <w:pPr>
        <w:tabs>
          <w:tab w:val="left" w:pos="851"/>
          <w:tab w:val="left" w:pos="3402"/>
          <w:tab w:val="left" w:pos="5760"/>
        </w:tabs>
        <w:rPr>
          <w:noProof/>
          <w:sz w:val="24"/>
          <w:szCs w:val="24"/>
          <w:lang w:val="en-US"/>
        </w:rPr>
      </w:pPr>
      <w:r w:rsidRPr="008027FD">
        <w:rPr>
          <w:noProof/>
          <w:sz w:val="24"/>
          <w:szCs w:val="24"/>
          <w:lang w:val="en-US"/>
        </w:rPr>
        <w:tab/>
        <w:t xml:space="preserve">- </w:t>
      </w:r>
      <w:r w:rsidRPr="008027FD">
        <w:rPr>
          <w:i/>
          <w:noProof/>
          <w:sz w:val="24"/>
          <w:szCs w:val="24"/>
          <w:lang w:val="en-US"/>
        </w:rPr>
        <w:t>Staphylococcus spp.</w:t>
      </w:r>
      <w:r w:rsidRPr="008027FD">
        <w:rPr>
          <w:noProof/>
          <w:sz w:val="24"/>
          <w:szCs w:val="24"/>
          <w:lang w:val="en-US"/>
        </w:rPr>
        <w:tab/>
      </w:r>
      <w:r w:rsidRPr="008027FD">
        <w:rPr>
          <w:noProof/>
          <w:sz w:val="24"/>
          <w:szCs w:val="24"/>
          <w:lang w:val="en-US"/>
        </w:rPr>
        <w:tab/>
        <w:t>1 mg/l</w:t>
      </w:r>
    </w:p>
    <w:p w:rsidR="00AC7050" w:rsidRPr="008027FD" w:rsidRDefault="00AC7050" w:rsidP="00AC7050">
      <w:pPr>
        <w:tabs>
          <w:tab w:val="left" w:pos="851"/>
          <w:tab w:val="left" w:pos="3402"/>
          <w:tab w:val="left" w:pos="4536"/>
          <w:tab w:val="left" w:pos="5760"/>
        </w:tabs>
        <w:rPr>
          <w:iCs/>
          <w:noProof/>
          <w:sz w:val="24"/>
          <w:szCs w:val="24"/>
          <w:lang w:val="sv-SE"/>
        </w:rPr>
      </w:pPr>
      <w:r w:rsidRPr="008027FD">
        <w:rPr>
          <w:noProof/>
          <w:sz w:val="24"/>
          <w:szCs w:val="24"/>
          <w:lang w:val="en-US"/>
        </w:rPr>
        <w:tab/>
        <w:t xml:space="preserve">- </w:t>
      </w:r>
      <w:r w:rsidRPr="008027FD">
        <w:rPr>
          <w:i/>
          <w:iCs/>
          <w:noProof/>
          <w:sz w:val="24"/>
          <w:szCs w:val="24"/>
          <w:lang w:val="sv-SE"/>
        </w:rPr>
        <w:t>Pseudomonas aeruginosa</w:t>
      </w:r>
      <w:r w:rsidRPr="008027FD">
        <w:rPr>
          <w:iCs/>
          <w:noProof/>
          <w:sz w:val="24"/>
          <w:szCs w:val="24"/>
          <w:lang w:val="sv-SE"/>
        </w:rPr>
        <w:tab/>
      </w:r>
      <w:r w:rsidRPr="008027FD">
        <w:rPr>
          <w:iCs/>
          <w:noProof/>
          <w:sz w:val="24"/>
          <w:szCs w:val="24"/>
          <w:lang w:val="sv-SE"/>
        </w:rPr>
        <w:tab/>
        <w:t>0,5 mg/l</w:t>
      </w:r>
    </w:p>
    <w:p w:rsidR="00AC7050" w:rsidRPr="008027FD" w:rsidRDefault="00AC7050" w:rsidP="00AC7050">
      <w:pPr>
        <w:tabs>
          <w:tab w:val="left" w:pos="851"/>
        </w:tabs>
        <w:ind w:left="851"/>
        <w:rPr>
          <w:noProof/>
          <w:sz w:val="24"/>
          <w:szCs w:val="24"/>
          <w:lang w:val="en-US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noProof/>
          <w:sz w:val="24"/>
          <w:szCs w:val="24"/>
        </w:rPr>
        <w:t xml:space="preserve">Forekomsten af resistens kan variere geografisk og vejrmæssigt for udvalgte mikroorganismer. Lokal information om resistens bør være tilgængelig, især ved  alvorlige infektioner. </w:t>
      </w:r>
      <w:r w:rsidRPr="008027FD">
        <w:rPr>
          <w:sz w:val="24"/>
          <w:szCs w:val="24"/>
        </w:rPr>
        <w:t>Denne information giver kun en omtrentlig orientering med hensyn til sandsynligheden for om mikroorganismen er følsom over for dette antibiotikum.</w:t>
      </w:r>
    </w:p>
    <w:p w:rsidR="00AC7050" w:rsidRPr="008027FD" w:rsidRDefault="00AC7050" w:rsidP="00AC7050">
      <w:pPr>
        <w:tabs>
          <w:tab w:val="left" w:pos="851"/>
          <w:tab w:val="left" w:pos="5760"/>
        </w:tabs>
        <w:ind w:left="851"/>
        <w:rPr>
          <w:iCs/>
          <w:noProof/>
          <w:sz w:val="24"/>
          <w:szCs w:val="24"/>
        </w:rPr>
      </w:pPr>
      <w:r w:rsidRPr="008027FD">
        <w:rPr>
          <w:iCs/>
          <w:noProof/>
          <w:sz w:val="24"/>
          <w:szCs w:val="24"/>
        </w:rPr>
        <w:t>Baseret på de nuværende data repræsenterer nedenstående tabel modtagelighed af ciprofloxacin til de førende patogener i den godkendte indikation.</w:t>
      </w:r>
    </w:p>
    <w:p w:rsidR="00AC7050" w:rsidRPr="008027FD" w:rsidRDefault="00AC7050" w:rsidP="00AC7050">
      <w:pPr>
        <w:ind w:left="851" w:hanging="851"/>
        <w:rPr>
          <w:i/>
          <w:iCs/>
          <w:noProof/>
          <w:sz w:val="24"/>
          <w:szCs w:val="24"/>
          <w:u w:val="single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9"/>
      </w:tblGrid>
      <w:tr w:rsidR="00AC7050" w:rsidRPr="008027FD" w:rsidTr="00111258">
        <w:tc>
          <w:tcPr>
            <w:tcW w:w="8329" w:type="dxa"/>
          </w:tcPr>
          <w:p w:rsidR="00AC7050" w:rsidRPr="008027FD" w:rsidRDefault="00AC7050" w:rsidP="003B4BCE">
            <w:pPr>
              <w:ind w:left="851" w:hanging="851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ARTER FOR HVILKE ERHVERVET RESISTENS KAN VÆRE ET PROBLEM</w:t>
            </w:r>
          </w:p>
        </w:tc>
      </w:tr>
      <w:tr w:rsidR="00AC7050" w:rsidRPr="00390564" w:rsidTr="00111258">
        <w:tc>
          <w:tcPr>
            <w:tcW w:w="8329" w:type="dxa"/>
          </w:tcPr>
          <w:p w:rsidR="00AC7050" w:rsidRPr="008027FD" w:rsidRDefault="00AC7050" w:rsidP="003B4BCE">
            <w:pPr>
              <w:spacing w:before="100" w:beforeAutospacing="1" w:after="52"/>
              <w:ind w:left="851" w:hanging="851"/>
              <w:rPr>
                <w:i/>
                <w:sz w:val="24"/>
                <w:szCs w:val="24"/>
                <w:u w:val="single"/>
                <w:lang w:val="fr-FR" w:eastAsia="es-ES"/>
              </w:rPr>
            </w:pPr>
            <w:r w:rsidRPr="008027FD">
              <w:rPr>
                <w:i/>
                <w:sz w:val="24"/>
                <w:szCs w:val="24"/>
                <w:u w:val="single"/>
                <w:lang w:val="fr-FR" w:eastAsia="es-ES"/>
              </w:rPr>
              <w:t>Aerobe gram-positive mikroorganismer</w:t>
            </w:r>
          </w:p>
          <w:p w:rsidR="00AC7050" w:rsidRPr="008027FD" w:rsidRDefault="00AC7050" w:rsidP="003B4BCE">
            <w:pPr>
              <w:autoSpaceDE w:val="0"/>
              <w:autoSpaceDN w:val="0"/>
              <w:adjustRightInd w:val="0"/>
              <w:ind w:left="851" w:hanging="851"/>
              <w:rPr>
                <w:i/>
                <w:iCs/>
                <w:sz w:val="24"/>
                <w:szCs w:val="24"/>
                <w:lang w:val="fr-FR" w:eastAsia="es-ES"/>
              </w:rPr>
            </w:pPr>
            <w:r w:rsidRPr="008027FD">
              <w:rPr>
                <w:i/>
                <w:iCs/>
                <w:sz w:val="24"/>
                <w:szCs w:val="24"/>
                <w:lang w:val="fr-FR" w:eastAsia="es-ES"/>
              </w:rPr>
              <w:t>Staphylococcus aureus</w:t>
            </w:r>
          </w:p>
          <w:p w:rsidR="00AC7050" w:rsidRPr="008027FD" w:rsidRDefault="00AC7050" w:rsidP="003B4BCE">
            <w:pPr>
              <w:ind w:left="851" w:hanging="851"/>
              <w:rPr>
                <w:sz w:val="24"/>
                <w:szCs w:val="24"/>
                <w:lang w:val="fr-FR"/>
              </w:rPr>
            </w:pPr>
          </w:p>
        </w:tc>
      </w:tr>
      <w:tr w:rsidR="00AC7050" w:rsidRPr="008027FD" w:rsidTr="00111258">
        <w:tc>
          <w:tcPr>
            <w:tcW w:w="8329" w:type="dxa"/>
          </w:tcPr>
          <w:p w:rsidR="00AC7050" w:rsidRPr="008027FD" w:rsidRDefault="00AC7050" w:rsidP="003B4BCE">
            <w:pPr>
              <w:spacing w:before="100" w:beforeAutospacing="1" w:after="52"/>
              <w:ind w:left="851" w:hanging="851"/>
              <w:rPr>
                <w:i/>
                <w:sz w:val="24"/>
                <w:szCs w:val="24"/>
                <w:u w:val="single"/>
                <w:lang w:val="it-IT" w:eastAsia="es-ES"/>
              </w:rPr>
            </w:pPr>
            <w:r w:rsidRPr="008027FD">
              <w:rPr>
                <w:i/>
                <w:sz w:val="24"/>
                <w:szCs w:val="24"/>
                <w:u w:val="single"/>
                <w:lang w:val="it-IT" w:eastAsia="es-ES"/>
              </w:rPr>
              <w:t>Aerobe gram-negative mikroorganismer</w:t>
            </w:r>
          </w:p>
          <w:p w:rsidR="00AC7050" w:rsidRPr="008027FD" w:rsidRDefault="00AC7050" w:rsidP="003B4BCE">
            <w:pPr>
              <w:ind w:left="851" w:hanging="851"/>
              <w:rPr>
                <w:i/>
                <w:sz w:val="24"/>
                <w:szCs w:val="24"/>
                <w:lang w:val="it-IT" w:eastAsia="es-ES"/>
              </w:rPr>
            </w:pPr>
            <w:r w:rsidRPr="008027FD">
              <w:rPr>
                <w:i/>
                <w:sz w:val="24"/>
                <w:szCs w:val="24"/>
                <w:lang w:val="it-IT" w:eastAsia="es-ES"/>
              </w:rPr>
              <w:t>Pseudomonas aeruginosa</w:t>
            </w:r>
          </w:p>
          <w:p w:rsidR="00AC7050" w:rsidRPr="008027FD" w:rsidRDefault="00AC7050" w:rsidP="003B4BCE">
            <w:pPr>
              <w:ind w:left="851" w:hanging="851"/>
              <w:rPr>
                <w:sz w:val="24"/>
                <w:szCs w:val="24"/>
                <w:lang w:val="en-US"/>
              </w:rPr>
            </w:pPr>
          </w:p>
        </w:tc>
      </w:tr>
    </w:tbl>
    <w:p w:rsidR="00AC7050" w:rsidRPr="008027FD" w:rsidRDefault="00AC7050" w:rsidP="00AC7050">
      <w:pPr>
        <w:ind w:left="851" w:hanging="851"/>
        <w:rPr>
          <w:sz w:val="24"/>
          <w:szCs w:val="24"/>
          <w:lang w:val="en-US"/>
        </w:rPr>
      </w:pPr>
    </w:p>
    <w:p w:rsidR="00AC7050" w:rsidRPr="008027FD" w:rsidRDefault="00AC7050" w:rsidP="00AC705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8027FD">
        <w:rPr>
          <w:sz w:val="24"/>
          <w:szCs w:val="24"/>
        </w:rPr>
        <w:t xml:space="preserve">Bemærk: </w:t>
      </w:r>
      <w:r w:rsidRPr="008027FD">
        <w:rPr>
          <w:noProof/>
          <w:sz w:val="24"/>
          <w:szCs w:val="24"/>
        </w:rPr>
        <w:t xml:space="preserve">Ved lokale lægemiddelformer,  er den opnåede </w:t>
      </w:r>
      <w:r w:rsidRPr="008027FD">
        <w:rPr>
          <w:i/>
          <w:noProof/>
          <w:sz w:val="24"/>
          <w:szCs w:val="24"/>
        </w:rPr>
        <w:t xml:space="preserve">in-situ </w:t>
      </w:r>
      <w:r w:rsidRPr="008027FD">
        <w:rPr>
          <w:noProof/>
          <w:sz w:val="24"/>
          <w:szCs w:val="24"/>
        </w:rPr>
        <w:t xml:space="preserve">koncentration meget højere end plasmakoncentrationer. Kinetikken af koncentrationer </w:t>
      </w:r>
      <w:r w:rsidRPr="008027FD">
        <w:rPr>
          <w:i/>
          <w:noProof/>
          <w:sz w:val="24"/>
          <w:szCs w:val="24"/>
        </w:rPr>
        <w:t>in-situ</w:t>
      </w:r>
      <w:r w:rsidRPr="008027FD">
        <w:rPr>
          <w:noProof/>
          <w:sz w:val="24"/>
          <w:szCs w:val="24"/>
        </w:rPr>
        <w:t xml:space="preserve">, de lokale fysiske </w:t>
      </w:r>
      <w:r w:rsidRPr="008027FD">
        <w:rPr>
          <w:noProof/>
          <w:sz w:val="24"/>
          <w:szCs w:val="24"/>
        </w:rPr>
        <w:lastRenderedPageBreak/>
        <w:t xml:space="preserve">og kemiske forhold, som kan ændre aktiviteten af antibiotikumet og stabiliteten af produktet </w:t>
      </w:r>
      <w:r w:rsidRPr="008027FD">
        <w:rPr>
          <w:i/>
          <w:noProof/>
          <w:sz w:val="24"/>
          <w:szCs w:val="24"/>
        </w:rPr>
        <w:t xml:space="preserve">in-situ </w:t>
      </w:r>
      <w:r w:rsidRPr="008027FD">
        <w:rPr>
          <w:noProof/>
          <w:sz w:val="24"/>
          <w:szCs w:val="24"/>
        </w:rPr>
        <w:t>er stadig uvis</w:t>
      </w:r>
      <w:r w:rsidRPr="008027FD">
        <w:rPr>
          <w:i/>
          <w:noProof/>
          <w:sz w:val="24"/>
          <w:szCs w:val="24"/>
        </w:rPr>
        <w:t>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5.2</w:t>
      </w:r>
      <w:r w:rsidRPr="008027FD">
        <w:rPr>
          <w:b/>
          <w:sz w:val="24"/>
          <w:szCs w:val="24"/>
        </w:rPr>
        <w:tab/>
      </w:r>
      <w:proofErr w:type="spellStart"/>
      <w:r w:rsidRPr="008027FD">
        <w:rPr>
          <w:b/>
          <w:sz w:val="24"/>
          <w:szCs w:val="24"/>
        </w:rPr>
        <w:t>Farmakokinetiske</w:t>
      </w:r>
      <w:proofErr w:type="spellEnd"/>
      <w:r w:rsidRPr="008027FD">
        <w:rPr>
          <w:b/>
          <w:sz w:val="24"/>
          <w:szCs w:val="24"/>
        </w:rPr>
        <w:t xml:space="preserve"> egenskaber</w:t>
      </w:r>
    </w:p>
    <w:p w:rsidR="00AC7050" w:rsidRPr="008027FD" w:rsidRDefault="00AC7050" w:rsidP="00AC7050">
      <w:pPr>
        <w:ind w:left="855"/>
        <w:rPr>
          <w:iCs/>
          <w:sz w:val="24"/>
          <w:szCs w:val="24"/>
        </w:rPr>
      </w:pPr>
      <w:r w:rsidRPr="008027FD">
        <w:rPr>
          <w:iCs/>
          <w:sz w:val="24"/>
          <w:szCs w:val="24"/>
        </w:rPr>
        <w:t xml:space="preserve">Plasmakoncentrationerne af </w:t>
      </w:r>
      <w:proofErr w:type="spellStart"/>
      <w:r w:rsidRPr="008027FD">
        <w:rPr>
          <w:iCs/>
          <w:sz w:val="24"/>
          <w:szCs w:val="24"/>
        </w:rPr>
        <w:t>ciprofloxacin</w:t>
      </w:r>
      <w:proofErr w:type="spellEnd"/>
      <w:r w:rsidRPr="008027FD">
        <w:rPr>
          <w:iCs/>
          <w:sz w:val="24"/>
          <w:szCs w:val="24"/>
        </w:rPr>
        <w:t xml:space="preserve"> blev ikke målt efter administration af 0,25 ml </w:t>
      </w:r>
      <w:proofErr w:type="spellStart"/>
      <w:r w:rsidRPr="008027FD">
        <w:rPr>
          <w:iCs/>
          <w:sz w:val="24"/>
          <w:szCs w:val="24"/>
        </w:rPr>
        <w:t>Cetraxal</w:t>
      </w:r>
      <w:proofErr w:type="spellEnd"/>
      <w:r w:rsidRPr="008027FD">
        <w:rPr>
          <w:iCs/>
          <w:sz w:val="24"/>
          <w:szCs w:val="24"/>
        </w:rPr>
        <w:t xml:space="preserve"> (total dosis: 0,5 mg </w:t>
      </w:r>
      <w:proofErr w:type="spellStart"/>
      <w:r w:rsidRPr="008027FD">
        <w:rPr>
          <w:iCs/>
          <w:sz w:val="24"/>
          <w:szCs w:val="24"/>
        </w:rPr>
        <w:t>ciprofloxacin</w:t>
      </w:r>
      <w:proofErr w:type="spellEnd"/>
      <w:r w:rsidRPr="008027FD">
        <w:rPr>
          <w:iCs/>
          <w:sz w:val="24"/>
          <w:szCs w:val="24"/>
        </w:rPr>
        <w:t xml:space="preserve">). Det forventes, at de systemiske plasmaniveauer ikke kan påvises eller er meget lave, selvom der ikke forventes en signifikant systemisk passage af </w:t>
      </w:r>
      <w:proofErr w:type="spellStart"/>
      <w:r w:rsidRPr="008027FD">
        <w:rPr>
          <w:iCs/>
          <w:sz w:val="24"/>
          <w:szCs w:val="24"/>
        </w:rPr>
        <w:t>ciprofloxacin</w:t>
      </w:r>
      <w:proofErr w:type="spellEnd"/>
      <w:r w:rsidRPr="008027FD">
        <w:rPr>
          <w:iCs/>
          <w:sz w:val="24"/>
          <w:szCs w:val="24"/>
        </w:rPr>
        <w:t xml:space="preserve"> under normale anvendelsesbetingelser.</w:t>
      </w:r>
    </w:p>
    <w:p w:rsidR="00AC7050" w:rsidRPr="008027FD" w:rsidRDefault="00AC7050" w:rsidP="00AC7050">
      <w:pPr>
        <w:ind w:left="855"/>
        <w:rPr>
          <w:iCs/>
          <w:sz w:val="24"/>
          <w:szCs w:val="24"/>
        </w:rPr>
      </w:pPr>
      <w:r w:rsidRPr="008027FD">
        <w:rPr>
          <w:iCs/>
          <w:sz w:val="24"/>
          <w:szCs w:val="24"/>
        </w:rPr>
        <w:t xml:space="preserve">Selvom hele mængden af </w:t>
      </w:r>
      <w:proofErr w:type="spellStart"/>
      <w:r w:rsidRPr="008027FD">
        <w:rPr>
          <w:iCs/>
          <w:sz w:val="24"/>
          <w:szCs w:val="24"/>
        </w:rPr>
        <w:t>ciprofloxacin</w:t>
      </w:r>
      <w:proofErr w:type="spellEnd"/>
      <w:r w:rsidRPr="008027FD">
        <w:rPr>
          <w:iCs/>
          <w:sz w:val="24"/>
          <w:szCs w:val="24"/>
        </w:rPr>
        <w:t xml:space="preserve"> blev absorberet efter en bilateral administration i øret (1 mg total dosis), er det tvivlsomt, om dette vil resultere i en påviselig plasmakoncentration af dette lægemiddel hos et menneske, ved antagelse af 180 l, som </w:t>
      </w:r>
      <w:proofErr w:type="spellStart"/>
      <w:r w:rsidRPr="008027FD">
        <w:rPr>
          <w:iCs/>
          <w:sz w:val="24"/>
          <w:szCs w:val="24"/>
        </w:rPr>
        <w:t>ciprofloxacins</w:t>
      </w:r>
      <w:proofErr w:type="spellEnd"/>
      <w:r w:rsidRPr="008027FD">
        <w:rPr>
          <w:iCs/>
          <w:sz w:val="24"/>
          <w:szCs w:val="24"/>
        </w:rPr>
        <w:t xml:space="preserve"> distributionsvolumen (EUCAST information), og 5 </w:t>
      </w:r>
      <w:proofErr w:type="spellStart"/>
      <w:r w:rsidRPr="008027FD">
        <w:rPr>
          <w:iCs/>
          <w:sz w:val="24"/>
          <w:szCs w:val="24"/>
        </w:rPr>
        <w:t>ng</w:t>
      </w:r>
      <w:proofErr w:type="spellEnd"/>
      <w:r w:rsidRPr="008027FD">
        <w:rPr>
          <w:iCs/>
          <w:sz w:val="24"/>
          <w:szCs w:val="24"/>
        </w:rPr>
        <w:t>/ml som påvisningsgrænse.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5.3</w:t>
      </w:r>
      <w:r w:rsidRPr="008027FD">
        <w:rPr>
          <w:b/>
          <w:sz w:val="24"/>
          <w:szCs w:val="24"/>
        </w:rPr>
        <w:tab/>
        <w:t>Prækliniske sikkerhedsdata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 xml:space="preserve">Der foreligger ingen signifikante resultater fra studier vedrørende </w:t>
      </w:r>
      <w:proofErr w:type="spellStart"/>
      <w:r w:rsidRPr="008027FD">
        <w:rPr>
          <w:sz w:val="24"/>
          <w:szCs w:val="24"/>
        </w:rPr>
        <w:t>karcinogenicitet</w:t>
      </w:r>
      <w:proofErr w:type="spellEnd"/>
      <w:r w:rsidRPr="008027FD">
        <w:rPr>
          <w:sz w:val="24"/>
          <w:szCs w:val="24"/>
        </w:rPr>
        <w:t xml:space="preserve"> eller reproduktions- og udviklingstoksicitet.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tolereres godt, når det applikeres på både intakt og skadet hud i den ydre øregang.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I dyrstudier er der kun observeret toksicitet ved doser, som sammenlignet er langt højere end den højeste dosis, der appliceres i øret.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og andre </w:t>
      </w:r>
      <w:proofErr w:type="spellStart"/>
      <w:r w:rsidRPr="008027FD">
        <w:rPr>
          <w:sz w:val="24"/>
          <w:szCs w:val="24"/>
        </w:rPr>
        <w:t>quinoloner</w:t>
      </w:r>
      <w:proofErr w:type="spellEnd"/>
      <w:r w:rsidRPr="008027FD">
        <w:rPr>
          <w:sz w:val="24"/>
          <w:szCs w:val="24"/>
        </w:rPr>
        <w:t xml:space="preserve"> har efter oral administration vist at forårsage </w:t>
      </w:r>
      <w:proofErr w:type="spellStart"/>
      <w:r w:rsidRPr="008027FD">
        <w:rPr>
          <w:sz w:val="24"/>
          <w:szCs w:val="24"/>
        </w:rPr>
        <w:t>artropati</w:t>
      </w:r>
      <w:proofErr w:type="spellEnd"/>
      <w:r w:rsidRPr="008027FD">
        <w:rPr>
          <w:sz w:val="24"/>
          <w:szCs w:val="24"/>
        </w:rPr>
        <w:t xml:space="preserve"> hos umodne dyr af de fleste arter, der blev testet. Graden af bruskinvolvering viste sig at være afhængig af alder, art og dosering. Med 30 mg/kg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var virkningen på led minimal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 xml:space="preserve">Mens leddene hos nogle arter af unge dyr er følsomme over for de degenererende virkninger af </w:t>
      </w:r>
      <w:proofErr w:type="spellStart"/>
      <w:r w:rsidRPr="008027FD">
        <w:rPr>
          <w:sz w:val="24"/>
          <w:szCs w:val="24"/>
        </w:rPr>
        <w:t>fluoroquinoloner</w:t>
      </w:r>
      <w:proofErr w:type="spellEnd"/>
      <w:r w:rsidRPr="008027FD">
        <w:rPr>
          <w:sz w:val="24"/>
          <w:szCs w:val="24"/>
        </w:rPr>
        <w:t xml:space="preserve"> (primært hunden), viste unge voksne marsvin, som blev behandlet med </w:t>
      </w:r>
      <w:proofErr w:type="spellStart"/>
      <w:r w:rsidRPr="008027FD">
        <w:rPr>
          <w:sz w:val="24"/>
          <w:szCs w:val="24"/>
        </w:rPr>
        <w:t>ciprofloxacin</w:t>
      </w:r>
      <w:proofErr w:type="spellEnd"/>
      <w:r w:rsidRPr="008027FD">
        <w:rPr>
          <w:sz w:val="24"/>
          <w:szCs w:val="24"/>
        </w:rPr>
        <w:t xml:space="preserve"> i mellemøret i én måned ingen lægemiddelrelaterede struktur- eller funktionsændringer i de </w:t>
      </w:r>
      <w:proofErr w:type="spellStart"/>
      <w:r w:rsidRPr="008027FD">
        <w:rPr>
          <w:sz w:val="24"/>
          <w:szCs w:val="24"/>
        </w:rPr>
        <w:t>cochleare</w:t>
      </w:r>
      <w:proofErr w:type="spellEnd"/>
      <w:r w:rsidRPr="008027FD">
        <w:rPr>
          <w:sz w:val="24"/>
          <w:szCs w:val="24"/>
        </w:rPr>
        <w:t xml:space="preserve"> hårceller og ingen sår i øreknoglerne.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6.</w:t>
      </w:r>
      <w:r w:rsidRPr="008027FD">
        <w:rPr>
          <w:b/>
          <w:sz w:val="24"/>
          <w:szCs w:val="24"/>
        </w:rPr>
        <w:tab/>
        <w:t>FARMACEUTISKE OPLYSNINGER</w:t>
      </w: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6.1</w:t>
      </w:r>
      <w:r w:rsidRPr="008027FD">
        <w:rPr>
          <w:b/>
          <w:sz w:val="24"/>
          <w:szCs w:val="24"/>
        </w:rPr>
        <w:tab/>
        <w:t>Hjælpestoffer</w:t>
      </w:r>
    </w:p>
    <w:p w:rsidR="00AC7050" w:rsidRPr="00B97B84" w:rsidRDefault="00AC7050" w:rsidP="00AC7050">
      <w:pPr>
        <w:ind w:left="855"/>
        <w:rPr>
          <w:sz w:val="24"/>
          <w:szCs w:val="24"/>
        </w:rPr>
      </w:pPr>
      <w:r w:rsidRPr="00B97B84">
        <w:rPr>
          <w:sz w:val="24"/>
          <w:szCs w:val="24"/>
        </w:rPr>
        <w:t>Povidon-K-90-F (E1201)</w:t>
      </w:r>
    </w:p>
    <w:p w:rsidR="00AC7050" w:rsidRPr="00B97B84" w:rsidRDefault="00AC7050" w:rsidP="00AC7050">
      <w:pPr>
        <w:ind w:left="855"/>
        <w:rPr>
          <w:sz w:val="24"/>
          <w:szCs w:val="24"/>
        </w:rPr>
      </w:pPr>
      <w:r w:rsidRPr="00B97B84">
        <w:rPr>
          <w:sz w:val="24"/>
          <w:szCs w:val="24"/>
        </w:rPr>
        <w:t>Glycerol (E422)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Renset vand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Natriumhydroxid (E524)</w:t>
      </w: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Mælkesyre (til pH-justering)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6.2</w:t>
      </w:r>
      <w:r w:rsidRPr="008027FD">
        <w:rPr>
          <w:b/>
          <w:sz w:val="24"/>
          <w:szCs w:val="24"/>
        </w:rPr>
        <w:tab/>
        <w:t>Uforligeligheder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Ikke relevant.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6.3</w:t>
      </w:r>
      <w:r w:rsidRPr="008027FD">
        <w:rPr>
          <w:b/>
          <w:sz w:val="24"/>
          <w:szCs w:val="24"/>
        </w:rPr>
        <w:tab/>
        <w:t>Opbevaringstid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2 år.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Indholdet i ampullen bør anvendes umiddelbart efter åbning af enkeltdosis-ampullen. Ikke anvendt lægemiddel skal bortskaffes.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/>
        <w:rPr>
          <w:sz w:val="24"/>
          <w:szCs w:val="24"/>
        </w:rPr>
      </w:pPr>
      <w:r w:rsidRPr="008027FD">
        <w:rPr>
          <w:sz w:val="24"/>
          <w:szCs w:val="24"/>
        </w:rPr>
        <w:t>Opbevaring efter første åbning af posen: 8 dage.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6.4</w:t>
      </w:r>
      <w:r w:rsidRPr="008027FD">
        <w:rPr>
          <w:b/>
          <w:sz w:val="24"/>
          <w:szCs w:val="24"/>
        </w:rPr>
        <w:tab/>
        <w:t>Særlige opbevaringsforhold</w:t>
      </w:r>
    </w:p>
    <w:p w:rsidR="00AC7050" w:rsidRPr="008027FD" w:rsidRDefault="00AC7050" w:rsidP="00AC7050">
      <w:pPr>
        <w:ind w:left="855"/>
        <w:rPr>
          <w:sz w:val="24"/>
          <w:szCs w:val="24"/>
          <w:lang w:eastAsia="es-ES"/>
        </w:rPr>
      </w:pPr>
      <w:r w:rsidRPr="008027FD">
        <w:rPr>
          <w:sz w:val="24"/>
          <w:szCs w:val="24"/>
        </w:rPr>
        <w:t xml:space="preserve">Opbevares ved temperaturer under </w:t>
      </w:r>
      <w:r w:rsidRPr="008027FD">
        <w:rPr>
          <w:sz w:val="24"/>
          <w:szCs w:val="24"/>
          <w:lang w:eastAsia="es-ES"/>
        </w:rPr>
        <w:t>30</w:t>
      </w:r>
      <w:r w:rsidR="00111258">
        <w:rPr>
          <w:sz w:val="24"/>
          <w:szCs w:val="24"/>
          <w:lang w:eastAsia="es-ES"/>
        </w:rPr>
        <w:t xml:space="preserve"> </w:t>
      </w:r>
      <w:r w:rsidRPr="008027FD">
        <w:rPr>
          <w:sz w:val="24"/>
          <w:szCs w:val="24"/>
          <w:lang w:eastAsia="es-ES"/>
        </w:rPr>
        <w:t>ºC. Opbevares i den originale yderpakning for at beskytte mod lys.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6.5</w:t>
      </w:r>
      <w:r w:rsidRPr="008027FD">
        <w:rPr>
          <w:b/>
          <w:sz w:val="24"/>
          <w:szCs w:val="24"/>
        </w:rPr>
        <w:tab/>
        <w:t>Emballagetyper og pakningsstørrelser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0,2 % opløsningen er i en ampul lavet af low-</w:t>
      </w:r>
      <w:proofErr w:type="spellStart"/>
      <w:r w:rsidRPr="008027FD">
        <w:rPr>
          <w:sz w:val="24"/>
          <w:szCs w:val="24"/>
        </w:rPr>
        <w:t>density</w:t>
      </w:r>
      <w:proofErr w:type="spellEnd"/>
      <w:r w:rsidRPr="008027FD">
        <w:rPr>
          <w:sz w:val="24"/>
          <w:szCs w:val="24"/>
        </w:rPr>
        <w:t xml:space="preserve"> </w:t>
      </w:r>
      <w:proofErr w:type="spellStart"/>
      <w:r w:rsidRPr="008027FD">
        <w:rPr>
          <w:sz w:val="24"/>
          <w:szCs w:val="24"/>
        </w:rPr>
        <w:t>polyethylen</w:t>
      </w:r>
      <w:proofErr w:type="spellEnd"/>
      <w:r w:rsidRPr="008027FD">
        <w:rPr>
          <w:sz w:val="24"/>
          <w:szCs w:val="24"/>
        </w:rPr>
        <w:t xml:space="preserve"> (LDPE). Hver enkeltdosis-ampul giver 0,25 ml, som gives dråbevis. Ampullerne er i et beskyttende folieovertræk af aluminium. Hver pakning indeholder 15 ampuller.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6.6</w:t>
      </w:r>
      <w:r w:rsidRPr="008027FD">
        <w:rPr>
          <w:b/>
          <w:sz w:val="24"/>
          <w:szCs w:val="24"/>
        </w:rPr>
        <w:tab/>
        <w:t>Regler for destruktion og anden håndtering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Ikke anvendt lægemiddel samt affald heraf skal bortskaffes i henhold til lokale retningslinjer.</w:t>
      </w:r>
    </w:p>
    <w:p w:rsidR="00AC7050" w:rsidRDefault="00AC7050" w:rsidP="00AC7050">
      <w:pPr>
        <w:ind w:left="851" w:hanging="851"/>
        <w:jc w:val="both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7.</w:t>
      </w:r>
      <w:r w:rsidRPr="008027FD">
        <w:rPr>
          <w:b/>
          <w:sz w:val="24"/>
          <w:szCs w:val="24"/>
        </w:rPr>
        <w:tab/>
        <w:t>INDEHAVER AF MARKEDSFØRINGSTILLADELSEN</w:t>
      </w:r>
    </w:p>
    <w:p w:rsidR="00AC7050" w:rsidRPr="00AF05C7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</w:r>
      <w:r w:rsidRPr="00AF05C7">
        <w:rPr>
          <w:sz w:val="24"/>
          <w:szCs w:val="24"/>
        </w:rPr>
        <w:t>POA Pharma Scandinavia AB</w:t>
      </w:r>
    </w:p>
    <w:p w:rsidR="00AC7050" w:rsidRPr="00F0541A" w:rsidRDefault="00AC7050" w:rsidP="00AC7050">
      <w:pPr>
        <w:ind w:left="851" w:hanging="851"/>
        <w:rPr>
          <w:sz w:val="24"/>
          <w:szCs w:val="24"/>
        </w:rPr>
      </w:pPr>
      <w:r w:rsidRPr="00AF05C7">
        <w:rPr>
          <w:sz w:val="24"/>
          <w:szCs w:val="24"/>
        </w:rPr>
        <w:tab/>
      </w:r>
      <w:r w:rsidRPr="00F0541A">
        <w:rPr>
          <w:sz w:val="24"/>
          <w:szCs w:val="24"/>
        </w:rPr>
        <w:t>Box 24026</w:t>
      </w:r>
    </w:p>
    <w:p w:rsidR="00AC7050" w:rsidRPr="00F0541A" w:rsidRDefault="00AC7050" w:rsidP="00AC7050">
      <w:pPr>
        <w:ind w:left="851" w:hanging="851"/>
        <w:rPr>
          <w:sz w:val="24"/>
          <w:szCs w:val="24"/>
        </w:rPr>
      </w:pPr>
      <w:r w:rsidRPr="00F0541A">
        <w:rPr>
          <w:sz w:val="24"/>
          <w:szCs w:val="24"/>
        </w:rPr>
        <w:tab/>
        <w:t xml:space="preserve">Ebbe </w:t>
      </w:r>
      <w:proofErr w:type="spellStart"/>
      <w:r w:rsidRPr="00F0541A">
        <w:rPr>
          <w:sz w:val="24"/>
          <w:szCs w:val="24"/>
        </w:rPr>
        <w:t>Lieberathsgatan</w:t>
      </w:r>
      <w:proofErr w:type="spellEnd"/>
      <w:r w:rsidRPr="00F0541A">
        <w:rPr>
          <w:sz w:val="24"/>
          <w:szCs w:val="24"/>
        </w:rPr>
        <w:t xml:space="preserve"> 21</w:t>
      </w:r>
    </w:p>
    <w:p w:rsidR="00AC7050" w:rsidRPr="00F0541A" w:rsidRDefault="00AC7050" w:rsidP="00AC7050">
      <w:pPr>
        <w:ind w:left="851" w:hanging="851"/>
        <w:rPr>
          <w:sz w:val="24"/>
          <w:szCs w:val="24"/>
        </w:rPr>
      </w:pPr>
      <w:r w:rsidRPr="00F0541A">
        <w:rPr>
          <w:sz w:val="24"/>
          <w:szCs w:val="24"/>
        </w:rPr>
        <w:tab/>
        <w:t>40022 Göteborg</w:t>
      </w:r>
    </w:p>
    <w:p w:rsidR="00AC7050" w:rsidRPr="00F0541A" w:rsidRDefault="00AC7050" w:rsidP="00AC7050">
      <w:pPr>
        <w:ind w:left="851"/>
        <w:rPr>
          <w:sz w:val="24"/>
          <w:szCs w:val="24"/>
        </w:rPr>
      </w:pPr>
      <w:r w:rsidRPr="00F0541A">
        <w:rPr>
          <w:sz w:val="24"/>
          <w:szCs w:val="24"/>
        </w:rPr>
        <w:t>Sverige</w:t>
      </w:r>
    </w:p>
    <w:p w:rsidR="00AC7050" w:rsidRPr="00F0541A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8.</w:t>
      </w:r>
      <w:r w:rsidRPr="008027FD">
        <w:rPr>
          <w:b/>
          <w:sz w:val="24"/>
          <w:szCs w:val="24"/>
        </w:rPr>
        <w:tab/>
        <w:t>MARKEDSFØRINGSTILLADELSESNUMMER (NUMRE)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51068</w:t>
      </w:r>
    </w:p>
    <w:p w:rsidR="00AC7050" w:rsidRPr="008027FD" w:rsidRDefault="00AC7050" w:rsidP="00AC7050">
      <w:pPr>
        <w:ind w:left="851" w:hanging="851"/>
        <w:jc w:val="both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9.</w:t>
      </w:r>
      <w:r w:rsidRPr="008027FD">
        <w:rPr>
          <w:b/>
          <w:sz w:val="24"/>
          <w:szCs w:val="24"/>
        </w:rPr>
        <w:tab/>
        <w:t>DATO FOR FØRSTE MARKEDSFØRINGSTILLADELSE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  <w:r w:rsidRPr="008027FD">
        <w:rPr>
          <w:sz w:val="24"/>
          <w:szCs w:val="24"/>
        </w:rPr>
        <w:tab/>
        <w:t>20. december 2012</w:t>
      </w:r>
    </w:p>
    <w:p w:rsidR="00AC7050" w:rsidRPr="008027FD" w:rsidRDefault="00AC7050" w:rsidP="00AC7050">
      <w:pPr>
        <w:ind w:left="851" w:hanging="851"/>
        <w:rPr>
          <w:sz w:val="24"/>
          <w:szCs w:val="24"/>
        </w:rPr>
      </w:pPr>
    </w:p>
    <w:p w:rsidR="00AC7050" w:rsidRPr="008027FD" w:rsidRDefault="00AC7050" w:rsidP="00AC7050">
      <w:pPr>
        <w:ind w:left="851" w:hanging="851"/>
        <w:rPr>
          <w:b/>
          <w:sz w:val="24"/>
          <w:szCs w:val="24"/>
        </w:rPr>
      </w:pPr>
      <w:r w:rsidRPr="008027FD">
        <w:rPr>
          <w:b/>
          <w:sz w:val="24"/>
          <w:szCs w:val="24"/>
        </w:rPr>
        <w:t>10.</w:t>
      </w:r>
      <w:r w:rsidRPr="008027FD">
        <w:rPr>
          <w:b/>
          <w:sz w:val="24"/>
          <w:szCs w:val="24"/>
        </w:rPr>
        <w:tab/>
        <w:t>DATO FOR ÆNDRING AF TEKSTEN</w:t>
      </w:r>
    </w:p>
    <w:p w:rsidR="009260DE" w:rsidRPr="00AC7050" w:rsidRDefault="00AC7050" w:rsidP="00FD2069">
      <w:pPr>
        <w:ind w:left="851" w:hanging="851"/>
      </w:pPr>
      <w:r w:rsidRPr="008027FD">
        <w:rPr>
          <w:sz w:val="24"/>
          <w:szCs w:val="24"/>
        </w:rPr>
        <w:tab/>
      </w:r>
      <w:r w:rsidR="00FD2069">
        <w:rPr>
          <w:sz w:val="24"/>
          <w:szCs w:val="24"/>
        </w:rPr>
        <w:t>17. marts 2021</w:t>
      </w:r>
    </w:p>
    <w:sectPr w:rsidR="009260DE" w:rsidRPr="00AC7050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050" w:rsidRDefault="00AC7050">
      <w:r>
        <w:separator/>
      </w:r>
    </w:p>
  </w:endnote>
  <w:endnote w:type="continuationSeparator" w:id="0">
    <w:p w:rsidR="00AC7050" w:rsidRDefault="00AC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90564">
      <w:rPr>
        <w:i/>
        <w:noProof/>
        <w:sz w:val="18"/>
        <w:szCs w:val="18"/>
      </w:rPr>
      <w:t>Cetraxal, øredråber, opløsning i enkeltdosisbeholder 2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050" w:rsidRDefault="00AC7050">
      <w:r>
        <w:separator/>
      </w:r>
    </w:p>
  </w:footnote>
  <w:footnote w:type="continuationSeparator" w:id="0">
    <w:p w:rsidR="00AC7050" w:rsidRDefault="00AC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DC200F5"/>
    <w:multiLevelType w:val="hybridMultilevel"/>
    <w:tmpl w:val="B20A9FAC"/>
    <w:lvl w:ilvl="0" w:tplc="040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50"/>
    <w:rsid w:val="000259B9"/>
    <w:rsid w:val="00041491"/>
    <w:rsid w:val="00050D16"/>
    <w:rsid w:val="00074F2A"/>
    <w:rsid w:val="000A1CA8"/>
    <w:rsid w:val="000A466B"/>
    <w:rsid w:val="000B058C"/>
    <w:rsid w:val="000E4EE6"/>
    <w:rsid w:val="00111258"/>
    <w:rsid w:val="001454E2"/>
    <w:rsid w:val="00206CE8"/>
    <w:rsid w:val="0021526C"/>
    <w:rsid w:val="00283A2B"/>
    <w:rsid w:val="002B30AD"/>
    <w:rsid w:val="002C2C01"/>
    <w:rsid w:val="002E2DB5"/>
    <w:rsid w:val="003221BD"/>
    <w:rsid w:val="00362806"/>
    <w:rsid w:val="00390564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C589A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AC7050"/>
    <w:rsid w:val="00AF05C7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72827"/>
    <w:rsid w:val="00FB6D01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1EEAB"/>
  <w15:chartTrackingRefBased/>
  <w15:docId w15:val="{A691321F-488D-43E7-B73C-B8ED5EDE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GlobalBayerBodyText">
    <w:name w:val="Global Bayer Body Text"/>
    <w:basedOn w:val="Normal"/>
    <w:link w:val="GlobalBayerBodyTextZchn"/>
    <w:rsid w:val="00AC7050"/>
    <w:pPr>
      <w:tabs>
        <w:tab w:val="left" w:pos="11174"/>
        <w:tab w:val="left" w:pos="15142"/>
      </w:tabs>
      <w:suppressAutoHyphens/>
      <w:spacing w:before="120" w:after="240"/>
    </w:pPr>
    <w:rPr>
      <w:rFonts w:ascii="Arial" w:hAnsi="Arial"/>
      <w:sz w:val="24"/>
      <w:szCs w:val="24"/>
      <w:lang w:val="en-US" w:eastAsia="de-DE"/>
    </w:rPr>
  </w:style>
  <w:style w:type="character" w:customStyle="1" w:styleId="GlobalBayerBodyTextZchn">
    <w:name w:val="Global Bayer Body Text Zchn"/>
    <w:link w:val="GlobalBayerBodyText"/>
    <w:locked/>
    <w:rsid w:val="00AC7050"/>
    <w:rPr>
      <w:rFonts w:ascii="Arial" w:hAnsi="Arial"/>
      <w:sz w:val="24"/>
      <w:szCs w:val="24"/>
      <w:lang w:val="en-US" w:eastAsia="de-DE"/>
    </w:rPr>
  </w:style>
  <w:style w:type="character" w:styleId="Hyperlink">
    <w:name w:val="Hyperlink"/>
    <w:basedOn w:val="Standardskrifttypeiafsnit"/>
    <w:uiPriority w:val="99"/>
    <w:unhideWhenUsed/>
    <w:rsid w:val="00FD2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10</TotalTime>
  <Pages>7</Pages>
  <Words>1822</Words>
  <Characters>11969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2021032860, lægemiddelform ændret i overskrift + filnavn</dc:description>
  <cp:lastModifiedBy>Gitte Jørgensen</cp:lastModifiedBy>
  <cp:revision>5</cp:revision>
  <cp:lastPrinted>2012-08-22T08:53:00Z</cp:lastPrinted>
  <dcterms:created xsi:type="dcterms:W3CDTF">2021-03-17T13:26:00Z</dcterms:created>
  <dcterms:modified xsi:type="dcterms:W3CDTF">2021-03-17T13:38:00Z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