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B1EF0"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C1ADF78" wp14:editId="0DFBE3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B67750A" w14:textId="2FD00371" w:rsidR="009260DE" w:rsidRPr="001627B5" w:rsidRDefault="009260DE" w:rsidP="009260DE">
      <w:pPr>
        <w:pStyle w:val="Titel"/>
        <w:tabs>
          <w:tab w:val="right" w:pos="9356"/>
        </w:tabs>
        <w:jc w:val="left"/>
        <w:rPr>
          <w:b w:val="0"/>
          <w:szCs w:val="24"/>
          <w:lang w:eastAsia="en-US"/>
        </w:rPr>
      </w:pPr>
      <w:r w:rsidRPr="00C84483">
        <w:rPr>
          <w:b w:val="0"/>
          <w:szCs w:val="24"/>
          <w:lang w:eastAsia="en-US"/>
        </w:rPr>
        <w:tab/>
      </w:r>
      <w:r w:rsidR="00B01776">
        <w:rPr>
          <w:szCs w:val="24"/>
        </w:rPr>
        <w:t>28. november 2022</w:t>
      </w:r>
    </w:p>
    <w:p w14:paraId="2CE2D6C6" w14:textId="77777777" w:rsidR="009260DE" w:rsidRPr="001627B5" w:rsidRDefault="009260DE" w:rsidP="009260DE">
      <w:pPr>
        <w:pStyle w:val="Titel"/>
        <w:jc w:val="left"/>
        <w:rPr>
          <w:b w:val="0"/>
          <w:szCs w:val="24"/>
        </w:rPr>
      </w:pPr>
    </w:p>
    <w:p w14:paraId="2858FAEA" w14:textId="77777777" w:rsidR="009260DE" w:rsidRPr="001627B5" w:rsidRDefault="009260DE" w:rsidP="009260DE">
      <w:pPr>
        <w:jc w:val="center"/>
        <w:rPr>
          <w:b/>
          <w:sz w:val="24"/>
          <w:szCs w:val="24"/>
        </w:rPr>
      </w:pPr>
      <w:r w:rsidRPr="001627B5">
        <w:rPr>
          <w:b/>
          <w:sz w:val="24"/>
          <w:szCs w:val="24"/>
        </w:rPr>
        <w:t>PRODUKTRESUMÉ</w:t>
      </w:r>
    </w:p>
    <w:p w14:paraId="789EAA43" w14:textId="77777777" w:rsidR="009260DE" w:rsidRPr="001627B5" w:rsidRDefault="009260DE" w:rsidP="009260DE">
      <w:pPr>
        <w:jc w:val="center"/>
        <w:rPr>
          <w:b/>
          <w:sz w:val="24"/>
          <w:szCs w:val="24"/>
        </w:rPr>
      </w:pPr>
    </w:p>
    <w:p w14:paraId="79F6C293" w14:textId="77777777" w:rsidR="009260DE" w:rsidRPr="001627B5" w:rsidRDefault="009260DE" w:rsidP="009260DE">
      <w:pPr>
        <w:jc w:val="center"/>
        <w:rPr>
          <w:b/>
          <w:sz w:val="24"/>
          <w:szCs w:val="24"/>
        </w:rPr>
      </w:pPr>
      <w:r w:rsidRPr="001627B5">
        <w:rPr>
          <w:b/>
          <w:sz w:val="24"/>
          <w:szCs w:val="24"/>
        </w:rPr>
        <w:t>for</w:t>
      </w:r>
    </w:p>
    <w:p w14:paraId="0A937386" w14:textId="77777777" w:rsidR="000B058C" w:rsidRPr="001627B5" w:rsidRDefault="000B058C" w:rsidP="009260DE">
      <w:pPr>
        <w:jc w:val="center"/>
        <w:rPr>
          <w:b/>
          <w:sz w:val="24"/>
          <w:szCs w:val="24"/>
        </w:rPr>
      </w:pPr>
    </w:p>
    <w:p w14:paraId="55C3815E" w14:textId="77777777" w:rsidR="009260DE" w:rsidRPr="001627B5" w:rsidRDefault="00B36286" w:rsidP="009260DE">
      <w:pPr>
        <w:jc w:val="center"/>
        <w:rPr>
          <w:b/>
          <w:sz w:val="24"/>
          <w:szCs w:val="24"/>
        </w:rPr>
      </w:pPr>
      <w:proofErr w:type="spellStart"/>
      <w:r w:rsidRPr="001627B5">
        <w:rPr>
          <w:b/>
          <w:sz w:val="24"/>
          <w:szCs w:val="24"/>
        </w:rPr>
        <w:t>Cholecalciferol</w:t>
      </w:r>
      <w:proofErr w:type="spellEnd"/>
      <w:r w:rsidRPr="001627B5">
        <w:rPr>
          <w:b/>
          <w:sz w:val="24"/>
          <w:szCs w:val="24"/>
        </w:rPr>
        <w:t xml:space="preserve"> "Strides", bløde kapsler</w:t>
      </w:r>
    </w:p>
    <w:p w14:paraId="4846DB00" w14:textId="77777777" w:rsidR="009260DE" w:rsidRPr="001627B5" w:rsidRDefault="009260DE" w:rsidP="009260DE">
      <w:pPr>
        <w:jc w:val="both"/>
        <w:rPr>
          <w:sz w:val="24"/>
          <w:szCs w:val="24"/>
        </w:rPr>
      </w:pPr>
    </w:p>
    <w:p w14:paraId="614C5F65" w14:textId="77777777" w:rsidR="009260DE" w:rsidRPr="001627B5" w:rsidRDefault="009260DE" w:rsidP="009260DE">
      <w:pPr>
        <w:jc w:val="both"/>
        <w:rPr>
          <w:sz w:val="24"/>
          <w:szCs w:val="24"/>
        </w:rPr>
      </w:pPr>
    </w:p>
    <w:p w14:paraId="49F4A212" w14:textId="77777777" w:rsidR="009260DE" w:rsidRPr="007E40E7" w:rsidRDefault="009260DE" w:rsidP="009260DE">
      <w:pPr>
        <w:tabs>
          <w:tab w:val="left" w:pos="851"/>
        </w:tabs>
        <w:ind w:left="851" w:hanging="851"/>
        <w:rPr>
          <w:b/>
          <w:sz w:val="24"/>
          <w:szCs w:val="24"/>
        </w:rPr>
      </w:pPr>
      <w:r w:rsidRPr="007E40E7">
        <w:rPr>
          <w:b/>
          <w:sz w:val="24"/>
          <w:szCs w:val="24"/>
        </w:rPr>
        <w:t>0.</w:t>
      </w:r>
      <w:r w:rsidRPr="007E40E7">
        <w:rPr>
          <w:b/>
          <w:sz w:val="24"/>
          <w:szCs w:val="24"/>
        </w:rPr>
        <w:tab/>
        <w:t>D.SP.NR.</w:t>
      </w:r>
    </w:p>
    <w:p w14:paraId="48FA7A75" w14:textId="351A99A0" w:rsidR="009260DE" w:rsidRPr="00C84483" w:rsidRDefault="007E40E7" w:rsidP="009260DE">
      <w:pPr>
        <w:tabs>
          <w:tab w:val="left" w:pos="851"/>
        </w:tabs>
        <w:ind w:left="851"/>
        <w:rPr>
          <w:sz w:val="24"/>
          <w:szCs w:val="24"/>
        </w:rPr>
      </w:pPr>
      <w:r>
        <w:rPr>
          <w:sz w:val="24"/>
          <w:szCs w:val="24"/>
        </w:rPr>
        <w:t>31883</w:t>
      </w:r>
    </w:p>
    <w:p w14:paraId="4C38C640" w14:textId="77777777" w:rsidR="009260DE" w:rsidRPr="00C84483" w:rsidRDefault="009260DE" w:rsidP="009260DE">
      <w:pPr>
        <w:tabs>
          <w:tab w:val="left" w:pos="851"/>
        </w:tabs>
        <w:ind w:left="851"/>
        <w:rPr>
          <w:sz w:val="24"/>
          <w:szCs w:val="24"/>
        </w:rPr>
      </w:pPr>
    </w:p>
    <w:p w14:paraId="391A66BC"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4E3F9D6" w14:textId="298D455E" w:rsidR="009260DE" w:rsidRPr="00C84483" w:rsidRDefault="007E40E7" w:rsidP="009260DE">
      <w:pPr>
        <w:tabs>
          <w:tab w:val="left" w:pos="851"/>
        </w:tabs>
        <w:ind w:left="851"/>
        <w:rPr>
          <w:sz w:val="24"/>
          <w:szCs w:val="24"/>
        </w:rPr>
      </w:pPr>
      <w:proofErr w:type="spellStart"/>
      <w:r w:rsidRPr="007E40E7">
        <w:rPr>
          <w:sz w:val="24"/>
          <w:szCs w:val="24"/>
        </w:rPr>
        <w:t>Cholecalciferol</w:t>
      </w:r>
      <w:proofErr w:type="spellEnd"/>
      <w:r w:rsidRPr="007E40E7">
        <w:rPr>
          <w:sz w:val="24"/>
          <w:szCs w:val="24"/>
        </w:rPr>
        <w:t xml:space="preserve"> </w:t>
      </w:r>
      <w:r>
        <w:rPr>
          <w:sz w:val="24"/>
          <w:szCs w:val="24"/>
        </w:rPr>
        <w:t>"</w:t>
      </w:r>
      <w:r w:rsidRPr="007E40E7">
        <w:rPr>
          <w:sz w:val="24"/>
          <w:szCs w:val="24"/>
        </w:rPr>
        <w:t>Strides</w:t>
      </w:r>
      <w:r>
        <w:rPr>
          <w:sz w:val="24"/>
          <w:szCs w:val="24"/>
        </w:rPr>
        <w:t>"</w:t>
      </w:r>
    </w:p>
    <w:p w14:paraId="78F461C7" w14:textId="77777777" w:rsidR="009260DE" w:rsidRPr="00C84483" w:rsidRDefault="009260DE" w:rsidP="009260DE">
      <w:pPr>
        <w:tabs>
          <w:tab w:val="left" w:pos="851"/>
        </w:tabs>
        <w:ind w:left="851"/>
        <w:rPr>
          <w:sz w:val="24"/>
          <w:szCs w:val="24"/>
        </w:rPr>
      </w:pPr>
    </w:p>
    <w:p w14:paraId="525803B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E7B4EB9" w14:textId="77777777" w:rsidR="007041DB" w:rsidRDefault="007041DB" w:rsidP="007041DB">
      <w:pPr>
        <w:tabs>
          <w:tab w:val="left" w:pos="851"/>
        </w:tabs>
        <w:ind w:left="851"/>
        <w:rPr>
          <w:sz w:val="24"/>
          <w:szCs w:val="24"/>
        </w:rPr>
      </w:pPr>
      <w:r w:rsidRPr="007041DB">
        <w:rPr>
          <w:sz w:val="24"/>
          <w:szCs w:val="24"/>
        </w:rPr>
        <w:t xml:space="preserve">Hver kapsel indeholder 800 IE </w:t>
      </w:r>
      <w:proofErr w:type="spellStart"/>
      <w:r>
        <w:rPr>
          <w:sz w:val="24"/>
          <w:szCs w:val="24"/>
        </w:rPr>
        <w:t>c</w:t>
      </w:r>
      <w:r w:rsidRPr="007041DB">
        <w:rPr>
          <w:sz w:val="24"/>
          <w:szCs w:val="24"/>
        </w:rPr>
        <w:t>holecalciferol</w:t>
      </w:r>
      <w:proofErr w:type="spellEnd"/>
      <w:r w:rsidRPr="007041DB">
        <w:rPr>
          <w:sz w:val="24"/>
          <w:szCs w:val="24"/>
        </w:rPr>
        <w:t xml:space="preserve"> (svarende til 20 mikrogram vitamin D3).</w:t>
      </w:r>
    </w:p>
    <w:p w14:paraId="13E272A0" w14:textId="77777777" w:rsidR="007041DB" w:rsidRDefault="007041DB" w:rsidP="007041DB">
      <w:pPr>
        <w:tabs>
          <w:tab w:val="left" w:pos="851"/>
        </w:tabs>
        <w:ind w:left="851"/>
        <w:rPr>
          <w:sz w:val="24"/>
          <w:szCs w:val="24"/>
        </w:rPr>
      </w:pPr>
    </w:p>
    <w:p w14:paraId="30FF6D48" w14:textId="71542B87" w:rsidR="007041DB" w:rsidRPr="007041DB" w:rsidRDefault="007041DB" w:rsidP="007041DB">
      <w:pPr>
        <w:tabs>
          <w:tab w:val="left" w:pos="851"/>
        </w:tabs>
        <w:ind w:left="851"/>
        <w:rPr>
          <w:sz w:val="24"/>
          <w:szCs w:val="24"/>
        </w:rPr>
      </w:pPr>
      <w:r w:rsidRPr="007041DB">
        <w:rPr>
          <w:sz w:val="24"/>
          <w:szCs w:val="24"/>
        </w:rPr>
        <w:t>Alle hjælpestoffer er anført under pkt. 6.1</w:t>
      </w:r>
      <w:r>
        <w:rPr>
          <w:sz w:val="24"/>
          <w:szCs w:val="24"/>
        </w:rPr>
        <w:t>.</w:t>
      </w:r>
    </w:p>
    <w:p w14:paraId="6A01497E" w14:textId="77777777" w:rsidR="009260DE" w:rsidRPr="00C84483" w:rsidRDefault="009260DE" w:rsidP="009260DE">
      <w:pPr>
        <w:tabs>
          <w:tab w:val="left" w:pos="851"/>
        </w:tabs>
        <w:ind w:left="851"/>
        <w:rPr>
          <w:sz w:val="24"/>
          <w:szCs w:val="24"/>
        </w:rPr>
      </w:pPr>
    </w:p>
    <w:p w14:paraId="4E6D650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CBE0683" w14:textId="5246E123" w:rsidR="007041DB" w:rsidRDefault="007041DB" w:rsidP="007041DB">
      <w:pPr>
        <w:tabs>
          <w:tab w:val="left" w:pos="851"/>
        </w:tabs>
        <w:ind w:left="851"/>
        <w:rPr>
          <w:sz w:val="24"/>
          <w:szCs w:val="24"/>
        </w:rPr>
      </w:pPr>
      <w:r>
        <w:rPr>
          <w:sz w:val="24"/>
          <w:szCs w:val="24"/>
        </w:rPr>
        <w:t xml:space="preserve">Bløde kapsler </w:t>
      </w:r>
      <w:r w:rsidRPr="007041DB">
        <w:rPr>
          <w:sz w:val="24"/>
          <w:szCs w:val="24"/>
        </w:rPr>
        <w:t>(kapsl</w:t>
      </w:r>
      <w:r>
        <w:rPr>
          <w:sz w:val="24"/>
          <w:szCs w:val="24"/>
        </w:rPr>
        <w:t>er</w:t>
      </w:r>
      <w:r w:rsidRPr="007041DB">
        <w:rPr>
          <w:sz w:val="24"/>
          <w:szCs w:val="24"/>
        </w:rPr>
        <w:t>)</w:t>
      </w:r>
    </w:p>
    <w:p w14:paraId="0437E3CB" w14:textId="77777777" w:rsidR="007041DB" w:rsidRPr="007041DB" w:rsidRDefault="007041DB" w:rsidP="007041DB">
      <w:pPr>
        <w:tabs>
          <w:tab w:val="left" w:pos="851"/>
        </w:tabs>
        <w:ind w:left="851"/>
        <w:rPr>
          <w:sz w:val="24"/>
          <w:szCs w:val="24"/>
        </w:rPr>
      </w:pPr>
    </w:p>
    <w:p w14:paraId="110CA22A" w14:textId="44A307B1" w:rsidR="007041DB" w:rsidRPr="007041DB" w:rsidRDefault="007041DB" w:rsidP="007041DB">
      <w:pPr>
        <w:tabs>
          <w:tab w:val="left" w:pos="851"/>
        </w:tabs>
        <w:ind w:left="851"/>
        <w:rPr>
          <w:sz w:val="24"/>
          <w:szCs w:val="24"/>
        </w:rPr>
      </w:pPr>
      <w:r w:rsidRPr="007041DB">
        <w:rPr>
          <w:sz w:val="24"/>
          <w:szCs w:val="24"/>
        </w:rPr>
        <w:t>Blå, transparente, ovalt formede gelatinekapsler indeholdende klar, gul</w:t>
      </w:r>
      <w:r w:rsidR="005743EB">
        <w:rPr>
          <w:sz w:val="24"/>
          <w:szCs w:val="24"/>
        </w:rPr>
        <w:t>,</w:t>
      </w:r>
      <w:r w:rsidRPr="007041DB">
        <w:rPr>
          <w:sz w:val="24"/>
          <w:szCs w:val="24"/>
        </w:rPr>
        <w:t xml:space="preserve"> olieagtig væske. Kapseldimensioner: </w:t>
      </w:r>
      <w:r w:rsidR="005743EB">
        <w:rPr>
          <w:sz w:val="24"/>
          <w:szCs w:val="24"/>
        </w:rPr>
        <w:t>D</w:t>
      </w:r>
      <w:r w:rsidRPr="007041DB">
        <w:rPr>
          <w:sz w:val="24"/>
          <w:szCs w:val="24"/>
        </w:rPr>
        <w:t>iameter: 6,7 +/- 0,5 mm og længde: 9,6 længde +/- 0,5 mm</w:t>
      </w:r>
      <w:r w:rsidR="005743EB">
        <w:rPr>
          <w:sz w:val="24"/>
          <w:szCs w:val="24"/>
        </w:rPr>
        <w:t>.</w:t>
      </w:r>
    </w:p>
    <w:p w14:paraId="32203802" w14:textId="77777777" w:rsidR="009260DE" w:rsidRPr="00C84483" w:rsidRDefault="009260DE" w:rsidP="009260DE">
      <w:pPr>
        <w:tabs>
          <w:tab w:val="left" w:pos="851"/>
        </w:tabs>
        <w:ind w:left="851"/>
        <w:rPr>
          <w:sz w:val="24"/>
          <w:szCs w:val="24"/>
        </w:rPr>
      </w:pPr>
    </w:p>
    <w:p w14:paraId="19116937" w14:textId="77777777" w:rsidR="009260DE" w:rsidRPr="00C84483" w:rsidRDefault="009260DE" w:rsidP="009260DE">
      <w:pPr>
        <w:tabs>
          <w:tab w:val="left" w:pos="851"/>
        </w:tabs>
        <w:ind w:left="851"/>
        <w:rPr>
          <w:sz w:val="24"/>
          <w:szCs w:val="24"/>
        </w:rPr>
      </w:pPr>
    </w:p>
    <w:p w14:paraId="4BFE1735"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DCD16E1" w14:textId="77777777" w:rsidR="009260DE" w:rsidRPr="00C84483" w:rsidRDefault="009260DE" w:rsidP="009260DE">
      <w:pPr>
        <w:tabs>
          <w:tab w:val="left" w:pos="851"/>
        </w:tabs>
        <w:ind w:left="851"/>
        <w:rPr>
          <w:b/>
          <w:sz w:val="24"/>
          <w:szCs w:val="24"/>
        </w:rPr>
      </w:pPr>
    </w:p>
    <w:p w14:paraId="6FF3B2A4"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99F8711" w14:textId="48ABEC63" w:rsidR="00356B5B" w:rsidRDefault="00E100BA" w:rsidP="00E100BA">
      <w:pPr>
        <w:ind w:left="1134" w:hanging="283"/>
        <w:rPr>
          <w:sz w:val="24"/>
          <w:szCs w:val="24"/>
        </w:rPr>
      </w:pPr>
      <w:r>
        <w:rPr>
          <w:sz w:val="24"/>
          <w:szCs w:val="24"/>
        </w:rPr>
        <w:t>-</w:t>
      </w:r>
      <w:r>
        <w:rPr>
          <w:sz w:val="24"/>
          <w:szCs w:val="24"/>
        </w:rPr>
        <w:tab/>
      </w:r>
      <w:r w:rsidR="00356B5B" w:rsidRPr="00356B5B">
        <w:rPr>
          <w:sz w:val="24"/>
          <w:szCs w:val="24"/>
        </w:rPr>
        <w:t>Forebyggelse og behandling af vitamin D-mangel.</w:t>
      </w:r>
    </w:p>
    <w:p w14:paraId="3DD10643" w14:textId="2D245BA2" w:rsidR="00356B5B" w:rsidRDefault="00E100BA" w:rsidP="00E100BA">
      <w:pPr>
        <w:ind w:left="1134" w:hanging="283"/>
        <w:rPr>
          <w:sz w:val="24"/>
          <w:szCs w:val="24"/>
        </w:rPr>
      </w:pPr>
      <w:r>
        <w:rPr>
          <w:sz w:val="24"/>
          <w:szCs w:val="24"/>
        </w:rPr>
        <w:t>-</w:t>
      </w:r>
      <w:r>
        <w:rPr>
          <w:sz w:val="24"/>
          <w:szCs w:val="24"/>
        </w:rPr>
        <w:tab/>
      </w:r>
      <w:r w:rsidR="00356B5B" w:rsidRPr="00356B5B">
        <w:rPr>
          <w:sz w:val="24"/>
          <w:szCs w:val="24"/>
        </w:rPr>
        <w:t>Som supplement til specifik behandling af osteoporose hos patienter med vitamin D-mangel eller risiko for vitamin D-insufficiens.</w:t>
      </w:r>
    </w:p>
    <w:p w14:paraId="2CBCC0E7" w14:textId="40B6F995" w:rsidR="00356B5B" w:rsidRPr="00356B5B" w:rsidRDefault="00E100BA" w:rsidP="00E100BA">
      <w:pPr>
        <w:ind w:left="1134" w:hanging="283"/>
        <w:rPr>
          <w:sz w:val="24"/>
          <w:szCs w:val="24"/>
        </w:rPr>
      </w:pPr>
      <w:r>
        <w:rPr>
          <w:sz w:val="24"/>
          <w:szCs w:val="24"/>
        </w:rPr>
        <w:t>-</w:t>
      </w:r>
      <w:r>
        <w:rPr>
          <w:sz w:val="24"/>
          <w:szCs w:val="24"/>
        </w:rPr>
        <w:tab/>
      </w:r>
      <w:proofErr w:type="spellStart"/>
      <w:r w:rsidR="00356B5B" w:rsidRPr="00356B5B">
        <w:rPr>
          <w:sz w:val="24"/>
          <w:szCs w:val="24"/>
        </w:rPr>
        <w:t>Colecalceferol</w:t>
      </w:r>
      <w:proofErr w:type="spellEnd"/>
      <w:r w:rsidR="00356B5B" w:rsidRPr="00356B5B">
        <w:rPr>
          <w:sz w:val="24"/>
          <w:szCs w:val="24"/>
        </w:rPr>
        <w:t xml:space="preserve"> er indiceret til voksne, ældre og unge fra 12</w:t>
      </w:r>
      <w:r w:rsidR="00356B5B">
        <w:rPr>
          <w:sz w:val="24"/>
          <w:szCs w:val="24"/>
        </w:rPr>
        <w:t>-</w:t>
      </w:r>
      <w:r w:rsidR="00356B5B" w:rsidRPr="00356B5B">
        <w:rPr>
          <w:sz w:val="24"/>
          <w:szCs w:val="24"/>
        </w:rPr>
        <w:t>års</w:t>
      </w:r>
      <w:r w:rsidR="00356B5B">
        <w:rPr>
          <w:sz w:val="24"/>
          <w:szCs w:val="24"/>
        </w:rPr>
        <w:t xml:space="preserve"> </w:t>
      </w:r>
      <w:r w:rsidR="00356B5B" w:rsidRPr="00356B5B">
        <w:rPr>
          <w:sz w:val="24"/>
          <w:szCs w:val="24"/>
        </w:rPr>
        <w:t>alderen.</w:t>
      </w:r>
    </w:p>
    <w:p w14:paraId="293900DB" w14:textId="77777777" w:rsidR="009260DE" w:rsidRPr="00C84483" w:rsidRDefault="009260DE" w:rsidP="009260DE">
      <w:pPr>
        <w:tabs>
          <w:tab w:val="left" w:pos="851"/>
        </w:tabs>
        <w:ind w:left="851"/>
        <w:rPr>
          <w:sz w:val="24"/>
          <w:szCs w:val="24"/>
        </w:rPr>
      </w:pPr>
    </w:p>
    <w:p w14:paraId="0AE2923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1B7114C0" w14:textId="77777777" w:rsidR="00BC11CE" w:rsidRPr="00BC11CE" w:rsidRDefault="00BC11CE" w:rsidP="00BC11CE">
      <w:pPr>
        <w:tabs>
          <w:tab w:val="left" w:pos="851"/>
        </w:tabs>
        <w:ind w:left="851"/>
        <w:rPr>
          <w:b/>
          <w:sz w:val="24"/>
          <w:szCs w:val="24"/>
        </w:rPr>
      </w:pPr>
    </w:p>
    <w:p w14:paraId="5C35D19B" w14:textId="77777777" w:rsidR="00BC11CE" w:rsidRPr="00B41F70" w:rsidRDefault="00BC11CE" w:rsidP="00BC11CE">
      <w:pPr>
        <w:tabs>
          <w:tab w:val="left" w:pos="851"/>
        </w:tabs>
        <w:ind w:left="851"/>
        <w:rPr>
          <w:b/>
          <w:sz w:val="24"/>
          <w:szCs w:val="24"/>
        </w:rPr>
      </w:pPr>
      <w:r w:rsidRPr="00B41F70">
        <w:rPr>
          <w:b/>
          <w:sz w:val="24"/>
          <w:szCs w:val="24"/>
        </w:rPr>
        <w:t>Dosering</w:t>
      </w:r>
    </w:p>
    <w:p w14:paraId="17B70891" w14:textId="77777777" w:rsidR="00BC11CE" w:rsidRPr="00BC11CE" w:rsidRDefault="00BC11CE" w:rsidP="00BC11CE">
      <w:pPr>
        <w:tabs>
          <w:tab w:val="left" w:pos="851"/>
        </w:tabs>
        <w:ind w:left="851"/>
        <w:rPr>
          <w:sz w:val="24"/>
          <w:szCs w:val="24"/>
        </w:rPr>
      </w:pPr>
    </w:p>
    <w:p w14:paraId="63D073AC" w14:textId="6D1E0DD1" w:rsidR="00BC11CE" w:rsidRDefault="00BC11CE" w:rsidP="00BC11CE">
      <w:pPr>
        <w:tabs>
          <w:tab w:val="left" w:pos="851"/>
        </w:tabs>
        <w:ind w:left="851"/>
        <w:rPr>
          <w:sz w:val="24"/>
          <w:szCs w:val="24"/>
          <w:u w:val="single"/>
        </w:rPr>
      </w:pPr>
      <w:r w:rsidRPr="00B41F70">
        <w:rPr>
          <w:sz w:val="24"/>
          <w:szCs w:val="24"/>
          <w:u w:val="single"/>
        </w:rPr>
        <w:t>Voksne</w:t>
      </w:r>
    </w:p>
    <w:p w14:paraId="3504EEE2" w14:textId="77777777" w:rsidR="00B41F70" w:rsidRPr="00B41F70" w:rsidRDefault="00B41F70" w:rsidP="00BC11CE">
      <w:pPr>
        <w:tabs>
          <w:tab w:val="left" w:pos="851"/>
        </w:tabs>
        <w:ind w:left="851"/>
        <w:rPr>
          <w:sz w:val="24"/>
          <w:szCs w:val="24"/>
        </w:rPr>
      </w:pPr>
    </w:p>
    <w:p w14:paraId="4EF274E3" w14:textId="77777777" w:rsidR="00BC11CE" w:rsidRPr="00BC11CE" w:rsidRDefault="00BC11CE" w:rsidP="00BC11CE">
      <w:pPr>
        <w:tabs>
          <w:tab w:val="left" w:pos="851"/>
        </w:tabs>
        <w:ind w:left="851"/>
        <w:rPr>
          <w:i/>
          <w:sz w:val="24"/>
          <w:szCs w:val="24"/>
        </w:rPr>
      </w:pPr>
      <w:r w:rsidRPr="00BC11CE">
        <w:rPr>
          <w:i/>
          <w:sz w:val="24"/>
          <w:szCs w:val="24"/>
        </w:rPr>
        <w:t>Vitamin D-mangel</w:t>
      </w:r>
    </w:p>
    <w:p w14:paraId="467AF56B" w14:textId="77777777" w:rsidR="00BC11CE" w:rsidRPr="00BC11CE" w:rsidRDefault="00BC11CE" w:rsidP="00BC11CE">
      <w:pPr>
        <w:tabs>
          <w:tab w:val="left" w:pos="851"/>
        </w:tabs>
        <w:ind w:left="851"/>
        <w:rPr>
          <w:sz w:val="24"/>
          <w:szCs w:val="24"/>
        </w:rPr>
      </w:pPr>
      <w:r w:rsidRPr="00BC11CE">
        <w:rPr>
          <w:sz w:val="24"/>
          <w:szCs w:val="24"/>
        </w:rPr>
        <w:t xml:space="preserve">Til vitamin D-mangel hos voksne og ældre personer (serumniveauer &lt;25 nmol/l (&lt;10 </w:t>
      </w:r>
      <w:proofErr w:type="spellStart"/>
      <w:r w:rsidRPr="00BC11CE">
        <w:rPr>
          <w:sz w:val="24"/>
          <w:szCs w:val="24"/>
        </w:rPr>
        <w:t>ng</w:t>
      </w:r>
      <w:proofErr w:type="spellEnd"/>
      <w:r w:rsidRPr="00BC11CE">
        <w:rPr>
          <w:sz w:val="24"/>
          <w:szCs w:val="24"/>
        </w:rPr>
        <w:t>/ml)), 1-4 kapsler (800-3200 IE) daglig i op til 12 uger, afhængigt af sygdommens sværhedsgrad og patientens respons på behandlingen.</w:t>
      </w:r>
    </w:p>
    <w:p w14:paraId="7625D240" w14:textId="77777777" w:rsidR="00BC11CE" w:rsidRPr="00BC11CE" w:rsidRDefault="00BC11CE" w:rsidP="00BC11CE">
      <w:pPr>
        <w:tabs>
          <w:tab w:val="left" w:pos="851"/>
        </w:tabs>
        <w:ind w:left="851"/>
        <w:rPr>
          <w:sz w:val="24"/>
          <w:szCs w:val="24"/>
        </w:rPr>
      </w:pPr>
    </w:p>
    <w:p w14:paraId="23FFCCED" w14:textId="77777777" w:rsidR="00BC11CE" w:rsidRPr="00BC11CE" w:rsidRDefault="00BC11CE" w:rsidP="00BC11CE">
      <w:pPr>
        <w:tabs>
          <w:tab w:val="left" w:pos="851"/>
        </w:tabs>
        <w:ind w:left="851"/>
        <w:rPr>
          <w:i/>
          <w:sz w:val="24"/>
          <w:szCs w:val="24"/>
        </w:rPr>
      </w:pPr>
      <w:r w:rsidRPr="00BC11CE">
        <w:rPr>
          <w:i/>
          <w:sz w:val="24"/>
          <w:szCs w:val="24"/>
        </w:rPr>
        <w:lastRenderedPageBreak/>
        <w:t>Vitamin D-insufficiens</w:t>
      </w:r>
    </w:p>
    <w:p w14:paraId="27655453" w14:textId="3B59EF4B" w:rsidR="00BC11CE" w:rsidRPr="00BC11CE" w:rsidRDefault="00BC11CE" w:rsidP="00BC11CE">
      <w:pPr>
        <w:tabs>
          <w:tab w:val="left" w:pos="851"/>
        </w:tabs>
        <w:ind w:left="851"/>
        <w:rPr>
          <w:sz w:val="24"/>
          <w:szCs w:val="24"/>
        </w:rPr>
      </w:pPr>
      <w:r w:rsidRPr="00BC11CE">
        <w:rPr>
          <w:sz w:val="24"/>
          <w:szCs w:val="24"/>
        </w:rPr>
        <w:t>Ved vitamin D-insufficiens hos voksne og ældre personer (serumniveauer 25</w:t>
      </w:r>
      <w:r w:rsidR="00E100BA">
        <w:rPr>
          <w:sz w:val="24"/>
          <w:szCs w:val="24"/>
        </w:rPr>
        <w:t>-</w:t>
      </w:r>
      <w:r w:rsidRPr="00BC11CE">
        <w:rPr>
          <w:sz w:val="24"/>
          <w:szCs w:val="24"/>
        </w:rPr>
        <w:t xml:space="preserve">50 nmol/l (10-20 </w:t>
      </w:r>
      <w:proofErr w:type="spellStart"/>
      <w:r w:rsidRPr="00BC11CE">
        <w:rPr>
          <w:sz w:val="24"/>
          <w:szCs w:val="24"/>
        </w:rPr>
        <w:t>ng</w:t>
      </w:r>
      <w:proofErr w:type="spellEnd"/>
      <w:r w:rsidRPr="00BC11CE">
        <w:rPr>
          <w:sz w:val="24"/>
          <w:szCs w:val="24"/>
        </w:rPr>
        <w:t>/ml)), langsigtet vedligeholdelsesterapi efter behandling af mangel hos voksne og ældre patienter og til forebyggelse af vitamin D-mangel, 1-2 kapsler (800-1600 IE) daglig.</w:t>
      </w:r>
    </w:p>
    <w:p w14:paraId="7560BEC7" w14:textId="77777777" w:rsidR="00BC11CE" w:rsidRPr="00BC11CE" w:rsidRDefault="00BC11CE" w:rsidP="00BC11CE">
      <w:pPr>
        <w:tabs>
          <w:tab w:val="left" w:pos="851"/>
        </w:tabs>
        <w:ind w:left="851"/>
        <w:rPr>
          <w:sz w:val="24"/>
          <w:szCs w:val="24"/>
        </w:rPr>
      </w:pPr>
    </w:p>
    <w:p w14:paraId="1B83D533" w14:textId="77777777" w:rsidR="00BC11CE" w:rsidRPr="00BC11CE" w:rsidRDefault="00BC11CE" w:rsidP="00BC11CE">
      <w:pPr>
        <w:tabs>
          <w:tab w:val="left" w:pos="851"/>
        </w:tabs>
        <w:ind w:left="851"/>
        <w:rPr>
          <w:i/>
          <w:sz w:val="24"/>
          <w:szCs w:val="24"/>
        </w:rPr>
      </w:pPr>
      <w:r w:rsidRPr="00BC11CE">
        <w:rPr>
          <w:i/>
          <w:sz w:val="24"/>
          <w:szCs w:val="24"/>
        </w:rPr>
        <w:t>Osteoporose</w:t>
      </w:r>
    </w:p>
    <w:p w14:paraId="2B96D793" w14:textId="77777777" w:rsidR="00BC11CE" w:rsidRPr="00BC11CE" w:rsidRDefault="00BC11CE" w:rsidP="00BC11CE">
      <w:pPr>
        <w:tabs>
          <w:tab w:val="left" w:pos="851"/>
        </w:tabs>
        <w:ind w:left="851"/>
        <w:rPr>
          <w:sz w:val="24"/>
          <w:szCs w:val="24"/>
        </w:rPr>
      </w:pPr>
      <w:r w:rsidRPr="00BC11CE">
        <w:rPr>
          <w:sz w:val="24"/>
          <w:szCs w:val="24"/>
        </w:rPr>
        <w:t>Som supplement til specifik behandling af osteoporose, 1 kapsel daglig.</w:t>
      </w:r>
    </w:p>
    <w:p w14:paraId="54D8F845" w14:textId="77777777" w:rsidR="00BC11CE" w:rsidRPr="00BC11CE" w:rsidRDefault="00BC11CE" w:rsidP="00BC11CE">
      <w:pPr>
        <w:tabs>
          <w:tab w:val="left" w:pos="851"/>
        </w:tabs>
        <w:ind w:left="851"/>
        <w:rPr>
          <w:sz w:val="24"/>
          <w:szCs w:val="24"/>
        </w:rPr>
      </w:pPr>
    </w:p>
    <w:p w14:paraId="22B94F0D" w14:textId="77777777" w:rsidR="00BC11CE" w:rsidRPr="00BC11CE" w:rsidRDefault="00BC11CE" w:rsidP="00BC11CE">
      <w:pPr>
        <w:tabs>
          <w:tab w:val="left" w:pos="851"/>
        </w:tabs>
        <w:ind w:left="851"/>
        <w:rPr>
          <w:i/>
          <w:sz w:val="24"/>
          <w:szCs w:val="24"/>
        </w:rPr>
      </w:pPr>
      <w:r w:rsidRPr="00BC11CE">
        <w:rPr>
          <w:i/>
          <w:sz w:val="24"/>
          <w:szCs w:val="24"/>
        </w:rPr>
        <w:t>Dosering ved leverinsufficiens</w:t>
      </w:r>
    </w:p>
    <w:p w14:paraId="3A1A7359" w14:textId="77777777" w:rsidR="00BC11CE" w:rsidRPr="00BC11CE" w:rsidRDefault="00BC11CE" w:rsidP="00BC11CE">
      <w:pPr>
        <w:tabs>
          <w:tab w:val="left" w:pos="851"/>
        </w:tabs>
        <w:ind w:left="851"/>
        <w:rPr>
          <w:sz w:val="24"/>
          <w:szCs w:val="24"/>
        </w:rPr>
      </w:pPr>
      <w:r w:rsidRPr="00BC11CE">
        <w:rPr>
          <w:sz w:val="24"/>
          <w:szCs w:val="24"/>
        </w:rPr>
        <w:t>Ingen dosisjustering påkrævet.</w:t>
      </w:r>
    </w:p>
    <w:p w14:paraId="23C7FE11" w14:textId="77777777" w:rsidR="00BC11CE" w:rsidRPr="00BC11CE" w:rsidRDefault="00BC11CE" w:rsidP="00BC11CE">
      <w:pPr>
        <w:tabs>
          <w:tab w:val="left" w:pos="851"/>
        </w:tabs>
        <w:ind w:left="851"/>
        <w:rPr>
          <w:sz w:val="24"/>
          <w:szCs w:val="24"/>
        </w:rPr>
      </w:pPr>
    </w:p>
    <w:p w14:paraId="4A6A98C2" w14:textId="77777777" w:rsidR="00BC11CE" w:rsidRPr="00BC11CE" w:rsidRDefault="00BC11CE" w:rsidP="00BC11CE">
      <w:pPr>
        <w:tabs>
          <w:tab w:val="left" w:pos="851"/>
        </w:tabs>
        <w:ind w:left="851"/>
        <w:rPr>
          <w:i/>
          <w:sz w:val="24"/>
          <w:szCs w:val="24"/>
        </w:rPr>
      </w:pPr>
      <w:r w:rsidRPr="00BC11CE">
        <w:rPr>
          <w:i/>
          <w:sz w:val="24"/>
          <w:szCs w:val="24"/>
        </w:rPr>
        <w:t>Dosering ved nyreinsufficiens</w:t>
      </w:r>
    </w:p>
    <w:p w14:paraId="7673285C" w14:textId="77777777" w:rsidR="00BC11CE" w:rsidRPr="00BC11CE" w:rsidRDefault="00BC11CE" w:rsidP="00BC11CE">
      <w:pPr>
        <w:tabs>
          <w:tab w:val="left" w:pos="851"/>
        </w:tabs>
        <w:ind w:left="851"/>
        <w:rPr>
          <w:sz w:val="24"/>
          <w:szCs w:val="24"/>
        </w:rPr>
      </w:pPr>
      <w:proofErr w:type="spellStart"/>
      <w:r w:rsidRPr="00BC11CE">
        <w:rPr>
          <w:sz w:val="24"/>
          <w:szCs w:val="24"/>
        </w:rPr>
        <w:t>Cholecalciferol</w:t>
      </w:r>
      <w:proofErr w:type="spellEnd"/>
      <w:r w:rsidRPr="00BC11CE">
        <w:rPr>
          <w:sz w:val="24"/>
          <w:szCs w:val="24"/>
        </w:rPr>
        <w:t xml:space="preserve"> bør ikke anvendes til patienter med svær nyreinsufficiens (se pkt. 4.3).</w:t>
      </w:r>
    </w:p>
    <w:p w14:paraId="3AE0421D" w14:textId="77777777" w:rsidR="00BC11CE" w:rsidRPr="00BC11CE" w:rsidRDefault="00BC11CE" w:rsidP="00BC11CE">
      <w:pPr>
        <w:tabs>
          <w:tab w:val="left" w:pos="851"/>
        </w:tabs>
        <w:ind w:left="851"/>
        <w:rPr>
          <w:sz w:val="24"/>
          <w:szCs w:val="24"/>
        </w:rPr>
      </w:pPr>
    </w:p>
    <w:p w14:paraId="48553391" w14:textId="77777777" w:rsidR="00BC11CE" w:rsidRPr="00E100BA" w:rsidRDefault="00BC11CE" w:rsidP="00BC11CE">
      <w:pPr>
        <w:tabs>
          <w:tab w:val="left" w:pos="851"/>
        </w:tabs>
        <w:ind w:left="851"/>
        <w:rPr>
          <w:sz w:val="24"/>
          <w:szCs w:val="24"/>
          <w:u w:val="single"/>
        </w:rPr>
      </w:pPr>
      <w:r w:rsidRPr="00E100BA">
        <w:rPr>
          <w:sz w:val="24"/>
          <w:szCs w:val="24"/>
          <w:u w:val="single"/>
        </w:rPr>
        <w:t>Pædiatrisk population</w:t>
      </w:r>
    </w:p>
    <w:p w14:paraId="07A82423" w14:textId="77777777" w:rsidR="00BC11CE" w:rsidRPr="00BC11CE" w:rsidRDefault="00BC11CE" w:rsidP="00BC11CE">
      <w:pPr>
        <w:tabs>
          <w:tab w:val="left" w:pos="851"/>
        </w:tabs>
        <w:ind w:left="851"/>
        <w:rPr>
          <w:sz w:val="24"/>
          <w:szCs w:val="24"/>
        </w:rPr>
      </w:pPr>
    </w:p>
    <w:p w14:paraId="587EF9C0" w14:textId="77777777" w:rsidR="00BC11CE" w:rsidRPr="00BC11CE" w:rsidRDefault="00BC11CE" w:rsidP="00BC11CE">
      <w:pPr>
        <w:tabs>
          <w:tab w:val="left" w:pos="851"/>
        </w:tabs>
        <w:ind w:left="851"/>
        <w:rPr>
          <w:i/>
          <w:sz w:val="24"/>
          <w:szCs w:val="24"/>
        </w:rPr>
      </w:pPr>
      <w:r w:rsidRPr="00BC11CE">
        <w:rPr>
          <w:i/>
          <w:sz w:val="24"/>
          <w:szCs w:val="24"/>
        </w:rPr>
        <w:t>Vitamin D-mangel eller -insufficiens</w:t>
      </w:r>
    </w:p>
    <w:p w14:paraId="4BD995E4" w14:textId="77777777" w:rsidR="009D07D9" w:rsidRDefault="00BC11CE" w:rsidP="00BC11CE">
      <w:pPr>
        <w:tabs>
          <w:tab w:val="left" w:pos="851"/>
        </w:tabs>
        <w:ind w:left="851"/>
        <w:rPr>
          <w:sz w:val="24"/>
          <w:szCs w:val="24"/>
        </w:rPr>
      </w:pPr>
      <w:r w:rsidRPr="00BC11CE">
        <w:rPr>
          <w:sz w:val="24"/>
          <w:szCs w:val="24"/>
        </w:rPr>
        <w:t>Vitamin D-mangel eller -insufficiens hos børn over 12 år</w:t>
      </w:r>
      <w:r w:rsidR="009D07D9">
        <w:rPr>
          <w:sz w:val="24"/>
          <w:szCs w:val="24"/>
        </w:rPr>
        <w:t xml:space="preserve">: </w:t>
      </w:r>
      <w:r w:rsidRPr="00BC11CE">
        <w:rPr>
          <w:sz w:val="24"/>
          <w:szCs w:val="24"/>
        </w:rPr>
        <w:t xml:space="preserve">1 kapsel daglig afhængigt af sværhedsgraden af sygdommen og patientens respons på behandlingen. Bør kun </w:t>
      </w:r>
      <w:proofErr w:type="gramStart"/>
      <w:r w:rsidRPr="00BC11CE">
        <w:rPr>
          <w:sz w:val="24"/>
          <w:szCs w:val="24"/>
        </w:rPr>
        <w:t>gives</w:t>
      </w:r>
      <w:r w:rsidR="009D07D9">
        <w:rPr>
          <w:sz w:val="24"/>
          <w:szCs w:val="24"/>
        </w:rPr>
        <w:t xml:space="preserve"> </w:t>
      </w:r>
      <w:r w:rsidRPr="00BC11CE">
        <w:rPr>
          <w:sz w:val="24"/>
          <w:szCs w:val="24"/>
        </w:rPr>
        <w:t xml:space="preserve"> under</w:t>
      </w:r>
      <w:proofErr w:type="gramEnd"/>
      <w:r w:rsidRPr="00BC11CE">
        <w:rPr>
          <w:sz w:val="24"/>
          <w:szCs w:val="24"/>
        </w:rPr>
        <w:t xml:space="preserve"> overvågning af sundhedsperson.</w:t>
      </w:r>
    </w:p>
    <w:p w14:paraId="2B08EC7F" w14:textId="43C73218" w:rsidR="00BC11CE" w:rsidRPr="00BC11CE" w:rsidRDefault="00BC11CE" w:rsidP="00BC11CE">
      <w:pPr>
        <w:tabs>
          <w:tab w:val="left" w:pos="851"/>
        </w:tabs>
        <w:ind w:left="851"/>
        <w:rPr>
          <w:sz w:val="24"/>
          <w:szCs w:val="24"/>
        </w:rPr>
      </w:pPr>
      <w:proofErr w:type="spellStart"/>
      <w:r w:rsidRPr="00BC11CE">
        <w:rPr>
          <w:sz w:val="24"/>
          <w:szCs w:val="24"/>
        </w:rPr>
        <w:t>Cholecalciferol</w:t>
      </w:r>
      <w:proofErr w:type="spellEnd"/>
      <w:r w:rsidRPr="00BC11CE">
        <w:rPr>
          <w:sz w:val="24"/>
          <w:szCs w:val="24"/>
        </w:rPr>
        <w:t xml:space="preserve"> bør ikke anvendes til børn under 12 år.</w:t>
      </w:r>
    </w:p>
    <w:p w14:paraId="1065A0E7" w14:textId="77777777" w:rsidR="00BC11CE" w:rsidRPr="00BC11CE" w:rsidRDefault="00BC11CE" w:rsidP="00BC11CE">
      <w:pPr>
        <w:tabs>
          <w:tab w:val="left" w:pos="851"/>
        </w:tabs>
        <w:ind w:left="851"/>
        <w:rPr>
          <w:sz w:val="24"/>
          <w:szCs w:val="24"/>
        </w:rPr>
      </w:pPr>
    </w:p>
    <w:p w14:paraId="25DA6C73" w14:textId="4734EFB2" w:rsidR="00BC11CE" w:rsidRPr="009D07D9" w:rsidRDefault="00BC11CE" w:rsidP="00BC11CE">
      <w:pPr>
        <w:tabs>
          <w:tab w:val="left" w:pos="851"/>
        </w:tabs>
        <w:ind w:left="851"/>
        <w:rPr>
          <w:b/>
          <w:sz w:val="24"/>
          <w:szCs w:val="24"/>
        </w:rPr>
      </w:pPr>
      <w:r w:rsidRPr="009D07D9">
        <w:rPr>
          <w:b/>
          <w:sz w:val="24"/>
          <w:szCs w:val="24"/>
        </w:rPr>
        <w:t>Administratio</w:t>
      </w:r>
      <w:r w:rsidR="00B41F70" w:rsidRPr="009D07D9">
        <w:rPr>
          <w:b/>
          <w:sz w:val="24"/>
          <w:szCs w:val="24"/>
        </w:rPr>
        <w:t>n</w:t>
      </w:r>
    </w:p>
    <w:p w14:paraId="7942D963" w14:textId="5DA2FB7B" w:rsidR="00BC11CE" w:rsidRPr="00BC11CE" w:rsidRDefault="00BC11CE" w:rsidP="00BC11CE">
      <w:pPr>
        <w:tabs>
          <w:tab w:val="left" w:pos="851"/>
        </w:tabs>
        <w:ind w:left="851"/>
        <w:rPr>
          <w:sz w:val="24"/>
          <w:szCs w:val="24"/>
        </w:rPr>
      </w:pPr>
      <w:r w:rsidRPr="00BC11CE">
        <w:rPr>
          <w:sz w:val="24"/>
          <w:szCs w:val="24"/>
        </w:rPr>
        <w:t>Oral</w:t>
      </w:r>
      <w:r w:rsidR="00B41F70">
        <w:rPr>
          <w:sz w:val="24"/>
          <w:szCs w:val="24"/>
        </w:rPr>
        <w:t xml:space="preserve"> anvendelse.</w:t>
      </w:r>
    </w:p>
    <w:p w14:paraId="0CF2FEF4" w14:textId="77777777" w:rsidR="00BC11CE" w:rsidRPr="00BC11CE" w:rsidRDefault="00BC11CE" w:rsidP="00BC11CE">
      <w:pPr>
        <w:tabs>
          <w:tab w:val="left" w:pos="851"/>
        </w:tabs>
        <w:ind w:left="851"/>
        <w:rPr>
          <w:sz w:val="24"/>
          <w:szCs w:val="24"/>
        </w:rPr>
      </w:pPr>
      <w:r w:rsidRPr="00BC11CE">
        <w:rPr>
          <w:sz w:val="24"/>
          <w:szCs w:val="24"/>
        </w:rPr>
        <w:t>Kapslerne skal synkes hele med vand (må ikke tygges). Kapslerne bør ikke tygges for at gøre det lettere at synke kapslernes indhold. For at øge absorptionen anbefales det at tage vitamin D sammen med et måltid.</w:t>
      </w:r>
    </w:p>
    <w:p w14:paraId="5D0672B2" w14:textId="77777777" w:rsidR="009260DE" w:rsidRPr="00C84483" w:rsidRDefault="009260DE" w:rsidP="009260DE">
      <w:pPr>
        <w:tabs>
          <w:tab w:val="left" w:pos="851"/>
        </w:tabs>
        <w:ind w:left="851"/>
        <w:rPr>
          <w:sz w:val="24"/>
          <w:szCs w:val="24"/>
        </w:rPr>
      </w:pPr>
    </w:p>
    <w:p w14:paraId="5B6B007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BB1FE02" w14:textId="77777777" w:rsidR="0068781D" w:rsidRPr="0068781D" w:rsidRDefault="0068781D" w:rsidP="0068781D">
      <w:pPr>
        <w:pStyle w:val="Listeafsnit"/>
        <w:numPr>
          <w:ilvl w:val="0"/>
          <w:numId w:val="7"/>
        </w:numPr>
        <w:tabs>
          <w:tab w:val="left" w:pos="851"/>
        </w:tabs>
        <w:ind w:left="1134" w:hanging="283"/>
        <w:rPr>
          <w:sz w:val="24"/>
          <w:szCs w:val="24"/>
        </w:rPr>
      </w:pPr>
      <w:r w:rsidRPr="0068781D">
        <w:rPr>
          <w:sz w:val="24"/>
          <w:szCs w:val="24"/>
        </w:rPr>
        <w:t>Overfølsomhed over for det aktive stof eller et eller flere af hjælpestofferne angivet i pkt. 6.1.</w:t>
      </w:r>
    </w:p>
    <w:p w14:paraId="166A48D4" w14:textId="77777777" w:rsidR="0068781D" w:rsidRPr="0068781D" w:rsidRDefault="0068781D" w:rsidP="0068781D">
      <w:pPr>
        <w:pStyle w:val="Listeafsnit"/>
        <w:numPr>
          <w:ilvl w:val="0"/>
          <w:numId w:val="7"/>
        </w:numPr>
        <w:tabs>
          <w:tab w:val="left" w:pos="851"/>
        </w:tabs>
        <w:ind w:left="1134" w:hanging="283"/>
        <w:rPr>
          <w:sz w:val="24"/>
          <w:szCs w:val="24"/>
        </w:rPr>
      </w:pPr>
      <w:proofErr w:type="spellStart"/>
      <w:r w:rsidRPr="0068781D">
        <w:rPr>
          <w:sz w:val="24"/>
          <w:szCs w:val="24"/>
        </w:rPr>
        <w:t>Hypervitaminose</w:t>
      </w:r>
      <w:proofErr w:type="spellEnd"/>
      <w:r w:rsidRPr="0068781D">
        <w:rPr>
          <w:sz w:val="24"/>
          <w:szCs w:val="24"/>
        </w:rPr>
        <w:t xml:space="preserve"> D</w:t>
      </w:r>
    </w:p>
    <w:p w14:paraId="0678A60A" w14:textId="77777777" w:rsidR="0068781D" w:rsidRPr="0068781D" w:rsidRDefault="0068781D" w:rsidP="0068781D">
      <w:pPr>
        <w:pStyle w:val="Listeafsnit"/>
        <w:numPr>
          <w:ilvl w:val="0"/>
          <w:numId w:val="7"/>
        </w:numPr>
        <w:tabs>
          <w:tab w:val="left" w:pos="851"/>
        </w:tabs>
        <w:ind w:left="1134" w:hanging="283"/>
        <w:rPr>
          <w:sz w:val="24"/>
          <w:szCs w:val="24"/>
        </w:rPr>
      </w:pPr>
      <w:r w:rsidRPr="0068781D">
        <w:rPr>
          <w:sz w:val="24"/>
          <w:szCs w:val="24"/>
        </w:rPr>
        <w:t xml:space="preserve">Calcium </w:t>
      </w:r>
      <w:proofErr w:type="spellStart"/>
      <w:r w:rsidRPr="0068781D">
        <w:rPr>
          <w:sz w:val="24"/>
          <w:szCs w:val="24"/>
        </w:rPr>
        <w:t>nephrolithiasis</w:t>
      </w:r>
      <w:proofErr w:type="spellEnd"/>
      <w:r w:rsidRPr="0068781D">
        <w:rPr>
          <w:sz w:val="24"/>
          <w:szCs w:val="24"/>
        </w:rPr>
        <w:t xml:space="preserve">, </w:t>
      </w:r>
      <w:proofErr w:type="spellStart"/>
      <w:r w:rsidRPr="0068781D">
        <w:rPr>
          <w:sz w:val="24"/>
          <w:szCs w:val="24"/>
        </w:rPr>
        <w:t>nephrocalcinose</w:t>
      </w:r>
      <w:proofErr w:type="spellEnd"/>
    </w:p>
    <w:p w14:paraId="5D8689E0" w14:textId="77777777" w:rsidR="0068781D" w:rsidRPr="0068781D" w:rsidRDefault="0068781D" w:rsidP="0068781D">
      <w:pPr>
        <w:pStyle w:val="Listeafsnit"/>
        <w:numPr>
          <w:ilvl w:val="0"/>
          <w:numId w:val="7"/>
        </w:numPr>
        <w:tabs>
          <w:tab w:val="left" w:pos="851"/>
        </w:tabs>
        <w:ind w:left="1134" w:hanging="283"/>
        <w:rPr>
          <w:sz w:val="24"/>
          <w:szCs w:val="24"/>
        </w:rPr>
      </w:pPr>
      <w:r w:rsidRPr="0068781D">
        <w:rPr>
          <w:sz w:val="24"/>
          <w:szCs w:val="24"/>
        </w:rPr>
        <w:t xml:space="preserve">Sygdomme eller tilstande, der medfører </w:t>
      </w:r>
      <w:proofErr w:type="spellStart"/>
      <w:r w:rsidRPr="0068781D">
        <w:rPr>
          <w:sz w:val="24"/>
          <w:szCs w:val="24"/>
        </w:rPr>
        <w:t>hyperkalcæmi</w:t>
      </w:r>
      <w:proofErr w:type="spellEnd"/>
      <w:r w:rsidRPr="0068781D">
        <w:rPr>
          <w:sz w:val="24"/>
          <w:szCs w:val="24"/>
        </w:rPr>
        <w:t xml:space="preserve"> og/eller </w:t>
      </w:r>
      <w:proofErr w:type="spellStart"/>
      <w:r w:rsidRPr="0068781D">
        <w:rPr>
          <w:sz w:val="24"/>
          <w:szCs w:val="24"/>
        </w:rPr>
        <w:t>hyperkalciuri</w:t>
      </w:r>
      <w:proofErr w:type="spellEnd"/>
    </w:p>
    <w:p w14:paraId="0D6431B7" w14:textId="77777777" w:rsidR="0068781D" w:rsidRPr="0068781D" w:rsidRDefault="0068781D" w:rsidP="0068781D">
      <w:pPr>
        <w:pStyle w:val="Listeafsnit"/>
        <w:numPr>
          <w:ilvl w:val="0"/>
          <w:numId w:val="7"/>
        </w:numPr>
        <w:tabs>
          <w:tab w:val="left" w:pos="851"/>
        </w:tabs>
        <w:ind w:left="1134" w:hanging="283"/>
        <w:rPr>
          <w:sz w:val="24"/>
          <w:szCs w:val="24"/>
        </w:rPr>
      </w:pPr>
      <w:r w:rsidRPr="0068781D">
        <w:rPr>
          <w:sz w:val="24"/>
          <w:szCs w:val="24"/>
        </w:rPr>
        <w:t>Svær nyreinsufficiens</w:t>
      </w:r>
    </w:p>
    <w:p w14:paraId="462FB9DF" w14:textId="77777777" w:rsidR="009260DE" w:rsidRPr="00C84483" w:rsidRDefault="009260DE" w:rsidP="009260DE">
      <w:pPr>
        <w:tabs>
          <w:tab w:val="left" w:pos="851"/>
        </w:tabs>
        <w:ind w:left="851"/>
        <w:rPr>
          <w:sz w:val="24"/>
          <w:szCs w:val="24"/>
        </w:rPr>
      </w:pPr>
    </w:p>
    <w:p w14:paraId="2FFA714F"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0547CBE" w14:textId="77777777" w:rsidR="002D4159" w:rsidRPr="002D4159" w:rsidRDefault="002D4159" w:rsidP="002D4159">
      <w:pPr>
        <w:tabs>
          <w:tab w:val="left" w:pos="851"/>
        </w:tabs>
        <w:ind w:left="851"/>
        <w:rPr>
          <w:sz w:val="24"/>
          <w:szCs w:val="24"/>
        </w:rPr>
      </w:pPr>
      <w:r w:rsidRPr="002D4159">
        <w:rPr>
          <w:sz w:val="24"/>
          <w:szCs w:val="24"/>
        </w:rPr>
        <w:t xml:space="preserve">I tilfælde af terapeutisk behandling skal dosis fastlægges individuelt til patienterne ved jævnlig kontrol af calciumniveauer i plasma. Under langtidsbehandling skal serum-calciumniveau, calciumudskillelse i urin og nyrefunktion overvåges ved at måle </w:t>
      </w:r>
      <w:proofErr w:type="spellStart"/>
      <w:r w:rsidRPr="002D4159">
        <w:rPr>
          <w:sz w:val="24"/>
          <w:szCs w:val="24"/>
        </w:rPr>
        <w:t>serumkreatininniveauet</w:t>
      </w:r>
      <w:proofErr w:type="spellEnd"/>
      <w:r w:rsidRPr="002D4159">
        <w:rPr>
          <w:sz w:val="24"/>
          <w:szCs w:val="24"/>
        </w:rPr>
        <w:t>. Monitorering er specielt vigtigt hos ældre patienter, der samtidig tager hjerte-</w:t>
      </w:r>
      <w:proofErr w:type="spellStart"/>
      <w:r w:rsidRPr="002D4159">
        <w:rPr>
          <w:sz w:val="24"/>
          <w:szCs w:val="24"/>
        </w:rPr>
        <w:t>glycosider</w:t>
      </w:r>
      <w:proofErr w:type="spellEnd"/>
      <w:r w:rsidRPr="002D4159">
        <w:rPr>
          <w:sz w:val="24"/>
          <w:szCs w:val="24"/>
        </w:rPr>
        <w:t xml:space="preserve"> eller </w:t>
      </w:r>
      <w:proofErr w:type="spellStart"/>
      <w:r w:rsidRPr="002D4159">
        <w:rPr>
          <w:sz w:val="24"/>
          <w:szCs w:val="24"/>
        </w:rPr>
        <w:t>diuretika</w:t>
      </w:r>
      <w:proofErr w:type="spellEnd"/>
      <w:r w:rsidRPr="002D4159">
        <w:rPr>
          <w:sz w:val="24"/>
          <w:szCs w:val="24"/>
        </w:rPr>
        <w:t xml:space="preserve"> (se pkt. 4.5) og i tilfælde af </w:t>
      </w:r>
      <w:proofErr w:type="spellStart"/>
      <w:r w:rsidRPr="002D4159">
        <w:rPr>
          <w:sz w:val="24"/>
          <w:szCs w:val="24"/>
        </w:rPr>
        <w:t>hyperfosfatæmi</w:t>
      </w:r>
      <w:proofErr w:type="spellEnd"/>
      <w:r w:rsidRPr="002D4159">
        <w:rPr>
          <w:sz w:val="24"/>
          <w:szCs w:val="24"/>
        </w:rPr>
        <w:t xml:space="preserve"> samt for patienter med en øget risiko for </w:t>
      </w:r>
      <w:proofErr w:type="spellStart"/>
      <w:r w:rsidRPr="002D4159">
        <w:rPr>
          <w:sz w:val="24"/>
          <w:szCs w:val="24"/>
        </w:rPr>
        <w:t>lithiasis</w:t>
      </w:r>
      <w:proofErr w:type="spellEnd"/>
      <w:r w:rsidRPr="002D4159">
        <w:rPr>
          <w:sz w:val="24"/>
          <w:szCs w:val="24"/>
        </w:rPr>
        <w:t xml:space="preserve">. I tilfælde af </w:t>
      </w:r>
      <w:proofErr w:type="spellStart"/>
      <w:r w:rsidRPr="002D4159">
        <w:rPr>
          <w:sz w:val="24"/>
          <w:szCs w:val="24"/>
        </w:rPr>
        <w:t>hyperkalciuri</w:t>
      </w:r>
      <w:proofErr w:type="spellEnd"/>
      <w:r w:rsidRPr="002D4159">
        <w:rPr>
          <w:sz w:val="24"/>
          <w:szCs w:val="24"/>
        </w:rPr>
        <w:t xml:space="preserve"> (udskillelse af 300 mg (7,5 </w:t>
      </w:r>
      <w:proofErr w:type="gramStart"/>
      <w:r w:rsidRPr="002D4159">
        <w:rPr>
          <w:sz w:val="24"/>
          <w:szCs w:val="24"/>
        </w:rPr>
        <w:t>mmol)/</w:t>
      </w:r>
      <w:proofErr w:type="gramEnd"/>
      <w:r w:rsidRPr="002D4159">
        <w:rPr>
          <w:sz w:val="24"/>
          <w:szCs w:val="24"/>
        </w:rPr>
        <w:t>24 timer) eller tegn på nedsat nyrefunktion bør dosis reduceres eller behandlingen seponeres.</w:t>
      </w:r>
    </w:p>
    <w:p w14:paraId="14424910" w14:textId="77777777" w:rsidR="002D4159" w:rsidRPr="002D4159" w:rsidRDefault="002D4159" w:rsidP="002D4159">
      <w:pPr>
        <w:tabs>
          <w:tab w:val="left" w:pos="851"/>
        </w:tabs>
        <w:ind w:left="851"/>
        <w:rPr>
          <w:sz w:val="24"/>
          <w:szCs w:val="24"/>
        </w:rPr>
      </w:pPr>
    </w:p>
    <w:p w14:paraId="4DF99B97" w14:textId="77777777" w:rsidR="002D4159" w:rsidRPr="002D4159" w:rsidRDefault="002D4159" w:rsidP="002D4159">
      <w:pPr>
        <w:tabs>
          <w:tab w:val="left" w:pos="851"/>
        </w:tabs>
        <w:ind w:left="851"/>
        <w:rPr>
          <w:sz w:val="24"/>
          <w:szCs w:val="24"/>
        </w:rPr>
      </w:pPr>
      <w:r w:rsidRPr="002D4159">
        <w:rPr>
          <w:sz w:val="24"/>
          <w:szCs w:val="24"/>
          <w:u w:val="single"/>
        </w:rPr>
        <w:t>Nedsat nyrefunktion</w:t>
      </w:r>
    </w:p>
    <w:p w14:paraId="7BD2D335" w14:textId="14B82579" w:rsidR="002D4159" w:rsidRPr="002D4159" w:rsidRDefault="002D4159" w:rsidP="002D4159">
      <w:pPr>
        <w:tabs>
          <w:tab w:val="left" w:pos="851"/>
        </w:tabs>
        <w:ind w:left="851"/>
        <w:rPr>
          <w:sz w:val="24"/>
          <w:szCs w:val="24"/>
        </w:rPr>
      </w:pPr>
      <w:r w:rsidRPr="002D4159">
        <w:rPr>
          <w:sz w:val="24"/>
          <w:szCs w:val="24"/>
        </w:rPr>
        <w:t xml:space="preserve">Vitamin D bør anvendes ned forsigtighed hos patienter med nedsat nyrefunktion, og indvirkningen på calcium- og fosfatniveauer bør monitoreres. Der bør tages højde for risikoen for </w:t>
      </w:r>
      <w:proofErr w:type="spellStart"/>
      <w:r w:rsidRPr="002D4159">
        <w:rPr>
          <w:sz w:val="24"/>
          <w:szCs w:val="24"/>
        </w:rPr>
        <w:t>blødvævskalcifikation</w:t>
      </w:r>
      <w:proofErr w:type="spellEnd"/>
      <w:r w:rsidRPr="002D4159">
        <w:rPr>
          <w:sz w:val="24"/>
          <w:szCs w:val="24"/>
        </w:rPr>
        <w:t xml:space="preserve">. Hos patienter med svær nyreinsufficiens </w:t>
      </w:r>
      <w:proofErr w:type="spellStart"/>
      <w:r w:rsidRPr="002D4159">
        <w:rPr>
          <w:sz w:val="24"/>
          <w:szCs w:val="24"/>
        </w:rPr>
        <w:t>metaboliseres</w:t>
      </w:r>
      <w:proofErr w:type="spellEnd"/>
      <w:r w:rsidRPr="002D4159">
        <w:rPr>
          <w:sz w:val="24"/>
          <w:szCs w:val="24"/>
        </w:rPr>
        <w:t xml:space="preserve"> </w:t>
      </w:r>
      <w:r w:rsidRPr="002D4159">
        <w:rPr>
          <w:sz w:val="24"/>
          <w:szCs w:val="24"/>
        </w:rPr>
        <w:lastRenderedPageBreak/>
        <w:t xml:space="preserve">vitamin D i form af </w:t>
      </w:r>
      <w:proofErr w:type="spellStart"/>
      <w:r w:rsidR="001A2A19">
        <w:rPr>
          <w:sz w:val="24"/>
          <w:szCs w:val="24"/>
        </w:rPr>
        <w:t>c</w:t>
      </w:r>
      <w:r w:rsidRPr="002D4159">
        <w:rPr>
          <w:sz w:val="24"/>
          <w:szCs w:val="24"/>
        </w:rPr>
        <w:t>holecalciferol</w:t>
      </w:r>
      <w:proofErr w:type="spellEnd"/>
      <w:r w:rsidRPr="002D4159">
        <w:rPr>
          <w:sz w:val="24"/>
          <w:szCs w:val="24"/>
        </w:rPr>
        <w:t xml:space="preserve"> ikke normalt, og der bør anvendes andre former for vitamin D (se pkt. 4.3).</w:t>
      </w:r>
    </w:p>
    <w:p w14:paraId="61FD92E9" w14:textId="77777777" w:rsidR="002D4159" w:rsidRPr="002D4159" w:rsidRDefault="002D4159" w:rsidP="002D4159">
      <w:pPr>
        <w:tabs>
          <w:tab w:val="left" w:pos="851"/>
        </w:tabs>
        <w:ind w:left="851"/>
        <w:rPr>
          <w:sz w:val="24"/>
          <w:szCs w:val="24"/>
        </w:rPr>
      </w:pPr>
    </w:p>
    <w:p w14:paraId="57F9DBD2" w14:textId="77777777" w:rsidR="002D4159" w:rsidRPr="002D4159" w:rsidRDefault="002D4159" w:rsidP="002D4159">
      <w:pPr>
        <w:tabs>
          <w:tab w:val="left" w:pos="851"/>
        </w:tabs>
        <w:ind w:left="851"/>
        <w:rPr>
          <w:sz w:val="24"/>
          <w:szCs w:val="24"/>
        </w:rPr>
      </w:pPr>
      <w:r w:rsidRPr="002D4159">
        <w:rPr>
          <w:sz w:val="24"/>
          <w:szCs w:val="24"/>
          <w:u w:val="single"/>
        </w:rPr>
        <w:t>Monitorering af børn, hvis mor modtager behandling med vitamin D</w:t>
      </w:r>
    </w:p>
    <w:p w14:paraId="7DE2D8C5" w14:textId="77777777" w:rsidR="002D4159" w:rsidRPr="002D4159" w:rsidRDefault="002D4159" w:rsidP="002D4159">
      <w:pPr>
        <w:tabs>
          <w:tab w:val="left" w:pos="851"/>
        </w:tabs>
        <w:ind w:left="851"/>
        <w:rPr>
          <w:sz w:val="24"/>
          <w:szCs w:val="24"/>
        </w:rPr>
      </w:pPr>
      <w:r w:rsidRPr="002D4159">
        <w:rPr>
          <w:sz w:val="24"/>
          <w:szCs w:val="24"/>
        </w:rPr>
        <w:t>Tilsvarende monitorering er nødvendig for børn, hvis mor modtager behandling med vitamin D i farmakologiske mængder. Visse børn kan reagere med øget sensibilitet på virkningen af vitamin D.</w:t>
      </w:r>
    </w:p>
    <w:p w14:paraId="02A2E81E" w14:textId="77777777" w:rsidR="002D4159" w:rsidRPr="002D4159" w:rsidRDefault="002D4159" w:rsidP="002D4159">
      <w:pPr>
        <w:tabs>
          <w:tab w:val="left" w:pos="851"/>
        </w:tabs>
        <w:ind w:left="851"/>
        <w:rPr>
          <w:sz w:val="24"/>
          <w:szCs w:val="24"/>
        </w:rPr>
      </w:pPr>
    </w:p>
    <w:p w14:paraId="3EAF85C4" w14:textId="77777777" w:rsidR="002D4159" w:rsidRPr="002D4159" w:rsidRDefault="002D4159" w:rsidP="002D4159">
      <w:pPr>
        <w:tabs>
          <w:tab w:val="left" w:pos="851"/>
        </w:tabs>
        <w:ind w:left="851"/>
        <w:rPr>
          <w:sz w:val="24"/>
          <w:szCs w:val="24"/>
        </w:rPr>
      </w:pPr>
      <w:proofErr w:type="spellStart"/>
      <w:r w:rsidRPr="002D4159">
        <w:rPr>
          <w:sz w:val="24"/>
          <w:szCs w:val="24"/>
          <w:u w:val="single"/>
        </w:rPr>
        <w:t>Pseudohypoparathyroidisme</w:t>
      </w:r>
      <w:proofErr w:type="spellEnd"/>
    </w:p>
    <w:p w14:paraId="6EAB72E4" w14:textId="77777777" w:rsidR="002D4159" w:rsidRPr="002D4159" w:rsidRDefault="002D4159" w:rsidP="002D4159">
      <w:pPr>
        <w:tabs>
          <w:tab w:val="left" w:pos="851"/>
        </w:tabs>
        <w:ind w:left="851"/>
        <w:rPr>
          <w:sz w:val="24"/>
          <w:szCs w:val="24"/>
        </w:rPr>
      </w:pPr>
      <w:r w:rsidRPr="002D4159">
        <w:rPr>
          <w:sz w:val="24"/>
          <w:szCs w:val="24"/>
        </w:rPr>
        <w:t xml:space="preserve">Vitamin D3-kapsler bør ikke tages, dersom der foreligger </w:t>
      </w:r>
      <w:proofErr w:type="spellStart"/>
      <w:r w:rsidRPr="002D4159">
        <w:rPr>
          <w:sz w:val="24"/>
          <w:szCs w:val="24"/>
        </w:rPr>
        <w:t>pseudohypoparathyroidisme</w:t>
      </w:r>
      <w:proofErr w:type="spellEnd"/>
      <w:r w:rsidRPr="002D4159">
        <w:rPr>
          <w:sz w:val="24"/>
          <w:szCs w:val="24"/>
        </w:rPr>
        <w:t xml:space="preserve"> (behovet for vitamin D kan reduceres af den sommetider normale følsomhed over for vitamin D, med risiko for </w:t>
      </w:r>
      <w:proofErr w:type="spellStart"/>
      <w:r w:rsidRPr="002D4159">
        <w:rPr>
          <w:sz w:val="24"/>
          <w:szCs w:val="24"/>
        </w:rPr>
        <w:t>langtids</w:t>
      </w:r>
      <w:proofErr w:type="spellEnd"/>
      <w:r w:rsidRPr="002D4159">
        <w:rPr>
          <w:sz w:val="24"/>
          <w:szCs w:val="24"/>
        </w:rPr>
        <w:t>-overdosering). I sådanne tilfælde findes der vitamin D-derivater, som er lettere at styre.</w:t>
      </w:r>
    </w:p>
    <w:p w14:paraId="426378A2" w14:textId="77777777" w:rsidR="002D4159" w:rsidRPr="002D4159" w:rsidRDefault="002D4159" w:rsidP="002D4159">
      <w:pPr>
        <w:tabs>
          <w:tab w:val="left" w:pos="851"/>
        </w:tabs>
        <w:ind w:left="851"/>
        <w:rPr>
          <w:sz w:val="24"/>
          <w:szCs w:val="24"/>
        </w:rPr>
      </w:pPr>
    </w:p>
    <w:p w14:paraId="7D17B697" w14:textId="77777777" w:rsidR="002D4159" w:rsidRPr="002D4159" w:rsidRDefault="002D4159" w:rsidP="002D4159">
      <w:pPr>
        <w:tabs>
          <w:tab w:val="left" w:pos="851"/>
        </w:tabs>
        <w:ind w:left="851"/>
        <w:rPr>
          <w:sz w:val="24"/>
          <w:szCs w:val="24"/>
        </w:rPr>
      </w:pPr>
      <w:proofErr w:type="spellStart"/>
      <w:r w:rsidRPr="002D4159">
        <w:rPr>
          <w:sz w:val="24"/>
          <w:szCs w:val="24"/>
          <w:u w:val="single"/>
        </w:rPr>
        <w:t>Sarkoidose</w:t>
      </w:r>
      <w:proofErr w:type="spellEnd"/>
    </w:p>
    <w:p w14:paraId="11C4B399" w14:textId="77777777" w:rsidR="002D4159" w:rsidRPr="002D4159" w:rsidRDefault="002D4159" w:rsidP="002D4159">
      <w:pPr>
        <w:tabs>
          <w:tab w:val="left" w:pos="851"/>
        </w:tabs>
        <w:ind w:left="851"/>
        <w:rPr>
          <w:sz w:val="24"/>
          <w:szCs w:val="24"/>
        </w:rPr>
      </w:pPr>
      <w:proofErr w:type="spellStart"/>
      <w:r w:rsidRPr="002D4159">
        <w:rPr>
          <w:sz w:val="24"/>
          <w:szCs w:val="24"/>
        </w:rPr>
        <w:t>Cholecalciferol</w:t>
      </w:r>
      <w:proofErr w:type="spellEnd"/>
      <w:r w:rsidRPr="002D4159">
        <w:rPr>
          <w:sz w:val="24"/>
          <w:szCs w:val="24"/>
        </w:rPr>
        <w:t xml:space="preserve"> bør ordineres med forsigtighed til patienter, der lider af </w:t>
      </w:r>
      <w:proofErr w:type="spellStart"/>
      <w:r w:rsidRPr="002D4159">
        <w:rPr>
          <w:sz w:val="24"/>
          <w:szCs w:val="24"/>
        </w:rPr>
        <w:t>sarkoidose</w:t>
      </w:r>
      <w:proofErr w:type="spellEnd"/>
      <w:r w:rsidRPr="002D4159">
        <w:rPr>
          <w:sz w:val="24"/>
          <w:szCs w:val="24"/>
        </w:rPr>
        <w:t xml:space="preserve"> på grund af risikoen for øget metabolisme af vitamin D til dets aktive form. Disse patienter bør monitoreres med hensyn til calciumindholdet i serum og urin.</w:t>
      </w:r>
    </w:p>
    <w:p w14:paraId="422AA80F" w14:textId="77777777" w:rsidR="002D4159" w:rsidRPr="002D4159" w:rsidRDefault="002D4159" w:rsidP="002D4159">
      <w:pPr>
        <w:tabs>
          <w:tab w:val="left" w:pos="851"/>
        </w:tabs>
        <w:ind w:left="851"/>
        <w:rPr>
          <w:sz w:val="24"/>
          <w:szCs w:val="24"/>
        </w:rPr>
      </w:pPr>
    </w:p>
    <w:p w14:paraId="797E191E" w14:textId="77777777" w:rsidR="002D4159" w:rsidRPr="002D4159" w:rsidRDefault="002D4159" w:rsidP="002D4159">
      <w:pPr>
        <w:tabs>
          <w:tab w:val="left" w:pos="851"/>
        </w:tabs>
        <w:ind w:left="851"/>
        <w:rPr>
          <w:sz w:val="24"/>
          <w:szCs w:val="24"/>
        </w:rPr>
      </w:pPr>
      <w:r w:rsidRPr="002D4159">
        <w:rPr>
          <w:sz w:val="24"/>
          <w:szCs w:val="24"/>
          <w:u w:val="single"/>
        </w:rPr>
        <w:t>Anvendelse af yderligere tilskud</w:t>
      </w:r>
    </w:p>
    <w:p w14:paraId="759693A6" w14:textId="77777777" w:rsidR="002D4159" w:rsidRPr="002D4159" w:rsidRDefault="002D4159" w:rsidP="002D4159">
      <w:pPr>
        <w:tabs>
          <w:tab w:val="left" w:pos="851"/>
        </w:tabs>
        <w:ind w:left="851"/>
        <w:rPr>
          <w:sz w:val="24"/>
          <w:szCs w:val="24"/>
        </w:rPr>
      </w:pPr>
      <w:r w:rsidRPr="002D4159">
        <w:rPr>
          <w:sz w:val="24"/>
          <w:szCs w:val="24"/>
        </w:rPr>
        <w:t>Der bør tages højde for vitamin D-tilskud fra andre kilder. Samtidig anvendelse af multivitaminprodukter og kosttilskud, der indeholder vitamin D, bør undgås.</w:t>
      </w:r>
    </w:p>
    <w:p w14:paraId="2CAB3BF8" w14:textId="77777777" w:rsidR="002D4159" w:rsidRPr="002D4159" w:rsidRDefault="002D4159" w:rsidP="002D4159">
      <w:pPr>
        <w:tabs>
          <w:tab w:val="left" w:pos="851"/>
        </w:tabs>
        <w:ind w:left="851"/>
        <w:rPr>
          <w:sz w:val="24"/>
          <w:szCs w:val="24"/>
        </w:rPr>
      </w:pPr>
    </w:p>
    <w:p w14:paraId="40286BE4" w14:textId="77777777" w:rsidR="002D4159" w:rsidRPr="002D4159" w:rsidRDefault="002D4159" w:rsidP="002D4159">
      <w:pPr>
        <w:tabs>
          <w:tab w:val="left" w:pos="851"/>
        </w:tabs>
        <w:ind w:left="851"/>
        <w:rPr>
          <w:sz w:val="24"/>
          <w:szCs w:val="24"/>
        </w:rPr>
      </w:pPr>
      <w:r w:rsidRPr="002D4159">
        <w:rPr>
          <w:sz w:val="24"/>
          <w:szCs w:val="24"/>
        </w:rPr>
        <w:t>Behov for ekstra calciumtilskud bør overvejes for enkelte patienter. Calciumtilskud bør gives under nøje medicinsk overvågning.</w:t>
      </w:r>
    </w:p>
    <w:p w14:paraId="69BFD8A7" w14:textId="77777777" w:rsidR="002D4159" w:rsidRPr="002D4159" w:rsidRDefault="002D4159" w:rsidP="002D4159">
      <w:pPr>
        <w:tabs>
          <w:tab w:val="left" w:pos="851"/>
        </w:tabs>
        <w:ind w:left="851"/>
        <w:rPr>
          <w:sz w:val="24"/>
          <w:szCs w:val="24"/>
        </w:rPr>
      </w:pPr>
      <w:r w:rsidRPr="002D4159">
        <w:rPr>
          <w:sz w:val="24"/>
          <w:szCs w:val="24"/>
        </w:rPr>
        <w:t xml:space="preserve">Medicinsk overvågning er påkrævet under behandlingen for at undgå </w:t>
      </w:r>
      <w:proofErr w:type="spellStart"/>
      <w:r w:rsidRPr="002D4159">
        <w:rPr>
          <w:sz w:val="24"/>
          <w:szCs w:val="24"/>
        </w:rPr>
        <w:t>hyperkalcæmi</w:t>
      </w:r>
      <w:proofErr w:type="spellEnd"/>
    </w:p>
    <w:p w14:paraId="7FE75BCD" w14:textId="77777777" w:rsidR="002D4159" w:rsidRPr="002D4159" w:rsidRDefault="002D4159" w:rsidP="002D4159">
      <w:pPr>
        <w:tabs>
          <w:tab w:val="left" w:pos="851"/>
        </w:tabs>
        <w:ind w:left="851"/>
        <w:rPr>
          <w:sz w:val="24"/>
          <w:szCs w:val="24"/>
        </w:rPr>
      </w:pPr>
    </w:p>
    <w:p w14:paraId="69B9BF35" w14:textId="77777777" w:rsidR="002D4159" w:rsidRPr="002D4159" w:rsidRDefault="002D4159" w:rsidP="002D4159">
      <w:pPr>
        <w:tabs>
          <w:tab w:val="left" w:pos="851"/>
        </w:tabs>
        <w:ind w:left="851"/>
        <w:rPr>
          <w:sz w:val="24"/>
          <w:szCs w:val="24"/>
        </w:rPr>
      </w:pPr>
      <w:r w:rsidRPr="002D4159">
        <w:rPr>
          <w:sz w:val="24"/>
          <w:szCs w:val="24"/>
          <w:u w:val="single"/>
        </w:rPr>
        <w:t>Pædiatrisk population</w:t>
      </w:r>
    </w:p>
    <w:p w14:paraId="15E93849" w14:textId="77777777" w:rsidR="002D4159" w:rsidRPr="002D4159" w:rsidRDefault="002D4159" w:rsidP="002D4159">
      <w:pPr>
        <w:tabs>
          <w:tab w:val="left" w:pos="851"/>
        </w:tabs>
        <w:ind w:left="851"/>
        <w:rPr>
          <w:sz w:val="24"/>
          <w:szCs w:val="24"/>
        </w:rPr>
      </w:pPr>
      <w:proofErr w:type="spellStart"/>
      <w:r w:rsidRPr="002D4159">
        <w:rPr>
          <w:sz w:val="24"/>
          <w:szCs w:val="24"/>
        </w:rPr>
        <w:t>Cholecalciferol</w:t>
      </w:r>
      <w:proofErr w:type="spellEnd"/>
      <w:r w:rsidRPr="002D4159">
        <w:rPr>
          <w:sz w:val="24"/>
          <w:szCs w:val="24"/>
        </w:rPr>
        <w:t xml:space="preserve"> bør ikke gives til børn &lt;12 år.</w:t>
      </w:r>
    </w:p>
    <w:p w14:paraId="2F210ECE" w14:textId="77777777" w:rsidR="002D4159" w:rsidRPr="002D4159" w:rsidRDefault="002D4159" w:rsidP="002D4159">
      <w:pPr>
        <w:tabs>
          <w:tab w:val="left" w:pos="851"/>
        </w:tabs>
        <w:ind w:left="851"/>
        <w:rPr>
          <w:sz w:val="24"/>
          <w:szCs w:val="24"/>
        </w:rPr>
      </w:pPr>
    </w:p>
    <w:p w14:paraId="2241B6DA" w14:textId="77777777" w:rsidR="002D4159" w:rsidRPr="002D4159" w:rsidRDefault="002D4159" w:rsidP="002D4159">
      <w:pPr>
        <w:tabs>
          <w:tab w:val="left" w:pos="851"/>
        </w:tabs>
        <w:ind w:left="851"/>
        <w:rPr>
          <w:sz w:val="24"/>
          <w:szCs w:val="24"/>
        </w:rPr>
      </w:pPr>
      <w:r w:rsidRPr="002D4159">
        <w:rPr>
          <w:sz w:val="24"/>
          <w:szCs w:val="24"/>
          <w:u w:val="single"/>
        </w:rPr>
        <w:t>Natrium</w:t>
      </w:r>
    </w:p>
    <w:p w14:paraId="4E107DA5" w14:textId="77777777" w:rsidR="002D4159" w:rsidRPr="002D4159" w:rsidRDefault="002D4159" w:rsidP="002D4159">
      <w:pPr>
        <w:tabs>
          <w:tab w:val="left" w:pos="851"/>
        </w:tabs>
        <w:ind w:left="851"/>
        <w:rPr>
          <w:sz w:val="24"/>
          <w:szCs w:val="24"/>
        </w:rPr>
      </w:pPr>
      <w:r w:rsidRPr="002D4159">
        <w:rPr>
          <w:sz w:val="24"/>
          <w:szCs w:val="24"/>
        </w:rPr>
        <w:t>Dette lægemiddel indeholder mindre end 1 mmol natrium (23 mg) pr. 800 IE, det vil sige, at det er praktisk taget 'natrium-frit'.</w:t>
      </w:r>
    </w:p>
    <w:p w14:paraId="7DBF0380" w14:textId="77777777" w:rsidR="009260DE" w:rsidRPr="00C84483" w:rsidRDefault="009260DE" w:rsidP="009260DE">
      <w:pPr>
        <w:tabs>
          <w:tab w:val="left" w:pos="851"/>
        </w:tabs>
        <w:ind w:left="851"/>
        <w:rPr>
          <w:sz w:val="24"/>
          <w:szCs w:val="24"/>
        </w:rPr>
      </w:pPr>
    </w:p>
    <w:p w14:paraId="23F635BF"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320C74E" w14:textId="77777777" w:rsidR="002E39A9" w:rsidRPr="002E39A9" w:rsidRDefault="002E39A9" w:rsidP="002E39A9">
      <w:pPr>
        <w:tabs>
          <w:tab w:val="left" w:pos="851"/>
        </w:tabs>
        <w:ind w:left="851"/>
        <w:rPr>
          <w:sz w:val="24"/>
          <w:szCs w:val="24"/>
        </w:rPr>
      </w:pPr>
      <w:r w:rsidRPr="002E39A9">
        <w:rPr>
          <w:sz w:val="24"/>
          <w:szCs w:val="24"/>
        </w:rPr>
        <w:t xml:space="preserve">Samtidig anvendelse af calciumholdige produkter, som administreres i store doser, kan øge risikoen for </w:t>
      </w:r>
      <w:proofErr w:type="spellStart"/>
      <w:r w:rsidRPr="002E39A9">
        <w:rPr>
          <w:sz w:val="24"/>
          <w:szCs w:val="24"/>
        </w:rPr>
        <w:t>hyperkalcæmi</w:t>
      </w:r>
      <w:proofErr w:type="spellEnd"/>
      <w:r w:rsidRPr="002E39A9">
        <w:rPr>
          <w:sz w:val="24"/>
          <w:szCs w:val="24"/>
        </w:rPr>
        <w:t xml:space="preserve">. </w:t>
      </w:r>
      <w:proofErr w:type="spellStart"/>
      <w:r w:rsidRPr="002E39A9">
        <w:rPr>
          <w:sz w:val="24"/>
          <w:szCs w:val="24"/>
        </w:rPr>
        <w:t>Thiazid-diuretika</w:t>
      </w:r>
      <w:proofErr w:type="spellEnd"/>
      <w:r w:rsidRPr="002E39A9">
        <w:rPr>
          <w:sz w:val="24"/>
          <w:szCs w:val="24"/>
        </w:rPr>
        <w:t xml:space="preserve"> reducerer udskillelse af calcium i urinen. På grund af den øgede risiko for </w:t>
      </w:r>
      <w:proofErr w:type="spellStart"/>
      <w:r w:rsidRPr="002E39A9">
        <w:rPr>
          <w:sz w:val="24"/>
          <w:szCs w:val="24"/>
        </w:rPr>
        <w:t>hyperkalcæmi</w:t>
      </w:r>
      <w:proofErr w:type="spellEnd"/>
      <w:r w:rsidRPr="002E39A9">
        <w:rPr>
          <w:sz w:val="24"/>
          <w:szCs w:val="24"/>
        </w:rPr>
        <w:t xml:space="preserve"> bør serumkalcium jævnligt monitoreres ved samtidig anvendelse af </w:t>
      </w:r>
      <w:proofErr w:type="spellStart"/>
      <w:r w:rsidRPr="002E39A9">
        <w:rPr>
          <w:sz w:val="24"/>
          <w:szCs w:val="24"/>
        </w:rPr>
        <w:t>thiazid-diuretika</w:t>
      </w:r>
      <w:proofErr w:type="spellEnd"/>
      <w:r w:rsidRPr="002E39A9">
        <w:rPr>
          <w:sz w:val="24"/>
          <w:szCs w:val="24"/>
        </w:rPr>
        <w:t xml:space="preserve"> og calciumholdige produkter, som tages i store doser.</w:t>
      </w:r>
    </w:p>
    <w:p w14:paraId="3B8ACEE2" w14:textId="77777777" w:rsidR="002E39A9" w:rsidRPr="002E39A9" w:rsidRDefault="002E39A9" w:rsidP="002E39A9">
      <w:pPr>
        <w:tabs>
          <w:tab w:val="left" w:pos="851"/>
        </w:tabs>
        <w:ind w:left="851"/>
        <w:rPr>
          <w:sz w:val="24"/>
          <w:szCs w:val="24"/>
        </w:rPr>
      </w:pPr>
    </w:p>
    <w:p w14:paraId="53B06764" w14:textId="5CDE26CF" w:rsidR="002E39A9" w:rsidRPr="002E39A9" w:rsidRDefault="002E39A9" w:rsidP="00AC0A8B">
      <w:pPr>
        <w:tabs>
          <w:tab w:val="left" w:pos="851"/>
        </w:tabs>
        <w:ind w:left="851"/>
        <w:rPr>
          <w:sz w:val="24"/>
          <w:szCs w:val="24"/>
        </w:rPr>
      </w:pPr>
      <w:r w:rsidRPr="002E39A9">
        <w:rPr>
          <w:sz w:val="24"/>
          <w:szCs w:val="24"/>
        </w:rPr>
        <w:t xml:space="preserve">Samtidig behandling med </w:t>
      </w:r>
      <w:proofErr w:type="spellStart"/>
      <w:r w:rsidRPr="002E39A9">
        <w:rPr>
          <w:sz w:val="24"/>
          <w:szCs w:val="24"/>
        </w:rPr>
        <w:t>antikonvulsiva</w:t>
      </w:r>
      <w:proofErr w:type="spellEnd"/>
      <w:r w:rsidRPr="002E39A9">
        <w:rPr>
          <w:sz w:val="24"/>
          <w:szCs w:val="24"/>
        </w:rPr>
        <w:t xml:space="preserve"> (som f.eks. </w:t>
      </w:r>
      <w:proofErr w:type="spellStart"/>
      <w:r w:rsidRPr="002E39A9">
        <w:rPr>
          <w:sz w:val="24"/>
          <w:szCs w:val="24"/>
        </w:rPr>
        <w:t>phenytoin</w:t>
      </w:r>
      <w:proofErr w:type="spellEnd"/>
      <w:r w:rsidRPr="002E39A9">
        <w:rPr>
          <w:sz w:val="24"/>
          <w:szCs w:val="24"/>
        </w:rPr>
        <w:t xml:space="preserve">), </w:t>
      </w:r>
      <w:proofErr w:type="spellStart"/>
      <w:r w:rsidRPr="002E39A9">
        <w:rPr>
          <w:sz w:val="24"/>
          <w:szCs w:val="24"/>
        </w:rPr>
        <w:t>hydantoin</w:t>
      </w:r>
      <w:proofErr w:type="spellEnd"/>
      <w:r w:rsidRPr="002E39A9">
        <w:rPr>
          <w:sz w:val="24"/>
          <w:szCs w:val="24"/>
        </w:rPr>
        <w:t xml:space="preserve"> eller barbiturater kan reducere virkningen af vitamin D på grund af metabolisk aktivering. Samtidig anvendelse af </w:t>
      </w:r>
      <w:proofErr w:type="spellStart"/>
      <w:r w:rsidRPr="002E39A9">
        <w:rPr>
          <w:sz w:val="24"/>
          <w:szCs w:val="24"/>
        </w:rPr>
        <w:t>glucocorticoider</w:t>
      </w:r>
      <w:proofErr w:type="spellEnd"/>
      <w:r w:rsidRPr="002E39A9">
        <w:rPr>
          <w:sz w:val="24"/>
          <w:szCs w:val="24"/>
        </w:rPr>
        <w:t xml:space="preserve"> kan nedsætte virkningen af vitamin D. Systematiske </w:t>
      </w:r>
      <w:proofErr w:type="spellStart"/>
      <w:r w:rsidRPr="002E39A9">
        <w:rPr>
          <w:sz w:val="24"/>
          <w:szCs w:val="24"/>
        </w:rPr>
        <w:t>corticosteroider</w:t>
      </w:r>
      <w:proofErr w:type="spellEnd"/>
      <w:r w:rsidRPr="002E39A9">
        <w:rPr>
          <w:sz w:val="24"/>
          <w:szCs w:val="24"/>
        </w:rPr>
        <w:t xml:space="preserve"> hæmmer optagelsen af calcium. Langtidsanvendelse af </w:t>
      </w:r>
      <w:proofErr w:type="spellStart"/>
      <w:r w:rsidRPr="002E39A9">
        <w:rPr>
          <w:sz w:val="24"/>
          <w:szCs w:val="24"/>
        </w:rPr>
        <w:t>corticosteroider</w:t>
      </w:r>
      <w:proofErr w:type="spellEnd"/>
      <w:r w:rsidRPr="002E39A9">
        <w:rPr>
          <w:sz w:val="24"/>
          <w:szCs w:val="24"/>
        </w:rPr>
        <w:t xml:space="preserve"> kan påvirke virkningen af vitamin D.</w:t>
      </w:r>
    </w:p>
    <w:p w14:paraId="317B3C73" w14:textId="77777777" w:rsidR="002E39A9" w:rsidRPr="002E39A9" w:rsidRDefault="002E39A9" w:rsidP="002E39A9">
      <w:pPr>
        <w:tabs>
          <w:tab w:val="left" w:pos="851"/>
        </w:tabs>
        <w:ind w:left="851"/>
        <w:rPr>
          <w:sz w:val="24"/>
          <w:szCs w:val="24"/>
        </w:rPr>
      </w:pPr>
    </w:p>
    <w:p w14:paraId="5FCAC870" w14:textId="77777777" w:rsidR="002E39A9" w:rsidRPr="002E39A9" w:rsidRDefault="002E39A9" w:rsidP="002E39A9">
      <w:pPr>
        <w:tabs>
          <w:tab w:val="left" w:pos="851"/>
        </w:tabs>
        <w:ind w:left="851"/>
        <w:rPr>
          <w:sz w:val="24"/>
          <w:szCs w:val="24"/>
        </w:rPr>
      </w:pPr>
      <w:r w:rsidRPr="002E39A9">
        <w:rPr>
          <w:sz w:val="24"/>
          <w:szCs w:val="24"/>
        </w:rPr>
        <w:t xml:space="preserve">Produkter indeholdende magnesium (såsom </w:t>
      </w:r>
      <w:proofErr w:type="spellStart"/>
      <w:r w:rsidRPr="002E39A9">
        <w:rPr>
          <w:sz w:val="24"/>
          <w:szCs w:val="24"/>
        </w:rPr>
        <w:t>antacida</w:t>
      </w:r>
      <w:proofErr w:type="spellEnd"/>
      <w:r w:rsidRPr="002E39A9">
        <w:rPr>
          <w:sz w:val="24"/>
          <w:szCs w:val="24"/>
        </w:rPr>
        <w:t xml:space="preserve">) må ikke tages under behandling med vitamin D på grund af risikoen for </w:t>
      </w:r>
      <w:proofErr w:type="spellStart"/>
      <w:r w:rsidRPr="002E39A9">
        <w:rPr>
          <w:sz w:val="24"/>
          <w:szCs w:val="24"/>
        </w:rPr>
        <w:t>hypermagnesæmi</w:t>
      </w:r>
      <w:proofErr w:type="spellEnd"/>
      <w:r w:rsidRPr="002E39A9">
        <w:rPr>
          <w:sz w:val="24"/>
          <w:szCs w:val="24"/>
        </w:rPr>
        <w:t>.</w:t>
      </w:r>
    </w:p>
    <w:p w14:paraId="01786787" w14:textId="77777777" w:rsidR="002E39A9" w:rsidRPr="002E39A9" w:rsidRDefault="002E39A9" w:rsidP="002E39A9">
      <w:pPr>
        <w:tabs>
          <w:tab w:val="left" w:pos="851"/>
        </w:tabs>
        <w:ind w:left="851"/>
        <w:rPr>
          <w:sz w:val="24"/>
          <w:szCs w:val="24"/>
        </w:rPr>
      </w:pPr>
    </w:p>
    <w:p w14:paraId="03285CAB" w14:textId="77777777" w:rsidR="002E39A9" w:rsidRPr="002E39A9" w:rsidRDefault="002E39A9" w:rsidP="002E39A9">
      <w:pPr>
        <w:tabs>
          <w:tab w:val="left" w:pos="851"/>
        </w:tabs>
        <w:ind w:left="851"/>
        <w:rPr>
          <w:sz w:val="24"/>
          <w:szCs w:val="24"/>
        </w:rPr>
      </w:pPr>
      <w:r w:rsidRPr="002E39A9">
        <w:rPr>
          <w:sz w:val="24"/>
          <w:szCs w:val="24"/>
        </w:rPr>
        <w:lastRenderedPageBreak/>
        <w:t xml:space="preserve">Samtidig anvendelse af </w:t>
      </w:r>
      <w:proofErr w:type="spellStart"/>
      <w:r w:rsidRPr="002E39A9">
        <w:rPr>
          <w:sz w:val="24"/>
          <w:szCs w:val="24"/>
        </w:rPr>
        <w:t>calcitonin</w:t>
      </w:r>
      <w:proofErr w:type="spellEnd"/>
      <w:r w:rsidRPr="002E39A9">
        <w:rPr>
          <w:sz w:val="24"/>
          <w:szCs w:val="24"/>
        </w:rPr>
        <w:t xml:space="preserve">, </w:t>
      </w:r>
      <w:proofErr w:type="spellStart"/>
      <w:r w:rsidRPr="002E39A9">
        <w:rPr>
          <w:sz w:val="24"/>
          <w:szCs w:val="24"/>
        </w:rPr>
        <w:t>etidronat</w:t>
      </w:r>
      <w:proofErr w:type="spellEnd"/>
      <w:r w:rsidRPr="002E39A9">
        <w:rPr>
          <w:sz w:val="24"/>
          <w:szCs w:val="24"/>
        </w:rPr>
        <w:t xml:space="preserve">, galliumnitrat, </w:t>
      </w:r>
      <w:proofErr w:type="spellStart"/>
      <w:r w:rsidRPr="002E39A9">
        <w:rPr>
          <w:sz w:val="24"/>
          <w:szCs w:val="24"/>
        </w:rPr>
        <w:t>pamidronat</w:t>
      </w:r>
      <w:proofErr w:type="spellEnd"/>
      <w:r w:rsidRPr="002E39A9">
        <w:rPr>
          <w:sz w:val="24"/>
          <w:szCs w:val="24"/>
        </w:rPr>
        <w:t xml:space="preserve"> eller </w:t>
      </w:r>
      <w:proofErr w:type="spellStart"/>
      <w:r w:rsidRPr="002E39A9">
        <w:rPr>
          <w:sz w:val="24"/>
          <w:szCs w:val="24"/>
        </w:rPr>
        <w:t>plicamycin</w:t>
      </w:r>
      <w:proofErr w:type="spellEnd"/>
      <w:r w:rsidRPr="002E39A9">
        <w:rPr>
          <w:sz w:val="24"/>
          <w:szCs w:val="24"/>
        </w:rPr>
        <w:t xml:space="preserve"> og indtagelse af vitamin D kan modvirke effekten af disse produkter ved </w:t>
      </w:r>
      <w:proofErr w:type="spellStart"/>
      <w:r w:rsidRPr="002E39A9">
        <w:rPr>
          <w:sz w:val="24"/>
          <w:szCs w:val="24"/>
        </w:rPr>
        <w:t>hypercalcæmi</w:t>
      </w:r>
      <w:proofErr w:type="spellEnd"/>
      <w:r w:rsidRPr="002E39A9">
        <w:rPr>
          <w:sz w:val="24"/>
          <w:szCs w:val="24"/>
        </w:rPr>
        <w:t>-behandling.</w:t>
      </w:r>
    </w:p>
    <w:p w14:paraId="3E77CF8F" w14:textId="77777777" w:rsidR="002E39A9" w:rsidRPr="002E39A9" w:rsidRDefault="002E39A9" w:rsidP="002E39A9">
      <w:pPr>
        <w:tabs>
          <w:tab w:val="left" w:pos="851"/>
        </w:tabs>
        <w:ind w:left="851"/>
        <w:rPr>
          <w:sz w:val="24"/>
          <w:szCs w:val="24"/>
        </w:rPr>
      </w:pPr>
    </w:p>
    <w:p w14:paraId="15627236" w14:textId="77777777" w:rsidR="002E39A9" w:rsidRPr="002E39A9" w:rsidRDefault="002E39A9" w:rsidP="002E39A9">
      <w:pPr>
        <w:tabs>
          <w:tab w:val="left" w:pos="851"/>
        </w:tabs>
        <w:ind w:left="851"/>
        <w:rPr>
          <w:sz w:val="24"/>
          <w:szCs w:val="24"/>
        </w:rPr>
      </w:pPr>
      <w:r w:rsidRPr="002E39A9">
        <w:rPr>
          <w:sz w:val="24"/>
          <w:szCs w:val="24"/>
        </w:rPr>
        <w:t xml:space="preserve">Produkter indeholdende fosfor anvendt i store doser givet samtidig kan øge risikoen for </w:t>
      </w:r>
      <w:proofErr w:type="spellStart"/>
      <w:r w:rsidRPr="002E39A9">
        <w:rPr>
          <w:sz w:val="24"/>
          <w:szCs w:val="24"/>
        </w:rPr>
        <w:t>hyperfosfatæmi</w:t>
      </w:r>
      <w:proofErr w:type="spellEnd"/>
      <w:r w:rsidRPr="002E39A9">
        <w:rPr>
          <w:sz w:val="24"/>
          <w:szCs w:val="24"/>
        </w:rPr>
        <w:t>.</w:t>
      </w:r>
    </w:p>
    <w:p w14:paraId="7CC430E5" w14:textId="77777777" w:rsidR="002E39A9" w:rsidRPr="002E39A9" w:rsidRDefault="002E39A9" w:rsidP="002E39A9">
      <w:pPr>
        <w:tabs>
          <w:tab w:val="left" w:pos="851"/>
        </w:tabs>
        <w:ind w:left="851"/>
        <w:rPr>
          <w:sz w:val="24"/>
          <w:szCs w:val="24"/>
        </w:rPr>
      </w:pPr>
    </w:p>
    <w:p w14:paraId="0D94B2A3" w14:textId="77777777" w:rsidR="002E39A9" w:rsidRPr="002E39A9" w:rsidRDefault="002E39A9" w:rsidP="002E39A9">
      <w:pPr>
        <w:tabs>
          <w:tab w:val="left" w:pos="851"/>
        </w:tabs>
        <w:ind w:left="851"/>
        <w:rPr>
          <w:sz w:val="24"/>
          <w:szCs w:val="24"/>
        </w:rPr>
      </w:pPr>
      <w:r w:rsidRPr="002E39A9">
        <w:rPr>
          <w:sz w:val="24"/>
          <w:szCs w:val="24"/>
        </w:rPr>
        <w:t xml:space="preserve">Virkningerne af digitalis og andre </w:t>
      </w:r>
      <w:proofErr w:type="spellStart"/>
      <w:r w:rsidRPr="002E39A9">
        <w:rPr>
          <w:sz w:val="24"/>
          <w:szCs w:val="24"/>
        </w:rPr>
        <w:t>hjerteglycosider</w:t>
      </w:r>
      <w:proofErr w:type="spellEnd"/>
      <w:r w:rsidRPr="002E39A9">
        <w:rPr>
          <w:sz w:val="24"/>
          <w:szCs w:val="24"/>
        </w:rPr>
        <w:t xml:space="preserve"> kan øges ved oral administration af calcium kombineret med vitamin D. Streng medicinsk overvågning er påkrævet, og om nødvendigt monitorering af EKG og calcium.</w:t>
      </w:r>
    </w:p>
    <w:p w14:paraId="1C95CAFE" w14:textId="77777777" w:rsidR="002E39A9" w:rsidRPr="002E39A9" w:rsidRDefault="002E39A9" w:rsidP="002E39A9">
      <w:pPr>
        <w:tabs>
          <w:tab w:val="left" w:pos="851"/>
        </w:tabs>
        <w:ind w:left="851"/>
        <w:rPr>
          <w:sz w:val="24"/>
          <w:szCs w:val="24"/>
        </w:rPr>
      </w:pPr>
    </w:p>
    <w:p w14:paraId="39993975" w14:textId="77777777" w:rsidR="002E39A9" w:rsidRPr="002E39A9" w:rsidRDefault="002E39A9" w:rsidP="002E39A9">
      <w:pPr>
        <w:tabs>
          <w:tab w:val="left" w:pos="851"/>
        </w:tabs>
        <w:ind w:left="851"/>
        <w:rPr>
          <w:sz w:val="24"/>
          <w:szCs w:val="24"/>
        </w:rPr>
      </w:pPr>
      <w:r w:rsidRPr="002E39A9">
        <w:rPr>
          <w:sz w:val="24"/>
          <w:szCs w:val="24"/>
        </w:rPr>
        <w:t xml:space="preserve">Samtidig behandling med </w:t>
      </w:r>
      <w:proofErr w:type="spellStart"/>
      <w:r w:rsidRPr="002E39A9">
        <w:rPr>
          <w:sz w:val="24"/>
          <w:szCs w:val="24"/>
        </w:rPr>
        <w:t>ionbytningsresiner</w:t>
      </w:r>
      <w:proofErr w:type="spellEnd"/>
      <w:r w:rsidRPr="002E39A9">
        <w:rPr>
          <w:sz w:val="24"/>
          <w:szCs w:val="24"/>
        </w:rPr>
        <w:t xml:space="preserve">, såsom </w:t>
      </w:r>
      <w:proofErr w:type="spellStart"/>
      <w:r w:rsidRPr="002E39A9">
        <w:rPr>
          <w:sz w:val="24"/>
          <w:szCs w:val="24"/>
        </w:rPr>
        <w:t>cholestyramin</w:t>
      </w:r>
      <w:proofErr w:type="spellEnd"/>
      <w:r w:rsidRPr="002E39A9">
        <w:rPr>
          <w:sz w:val="24"/>
          <w:szCs w:val="24"/>
        </w:rPr>
        <w:t xml:space="preserve"> eller laksativer såsom paraffinolie kan reducere den </w:t>
      </w:r>
      <w:proofErr w:type="spellStart"/>
      <w:r w:rsidRPr="002E39A9">
        <w:rPr>
          <w:sz w:val="24"/>
          <w:szCs w:val="24"/>
        </w:rPr>
        <w:t>gastrointestinale</w:t>
      </w:r>
      <w:proofErr w:type="spellEnd"/>
      <w:r w:rsidRPr="002E39A9">
        <w:rPr>
          <w:sz w:val="24"/>
          <w:szCs w:val="24"/>
        </w:rPr>
        <w:t xml:space="preserve"> absorption af vitamin D.</w:t>
      </w:r>
    </w:p>
    <w:p w14:paraId="463E0669" w14:textId="77777777" w:rsidR="002E39A9" w:rsidRPr="002E39A9" w:rsidRDefault="002E39A9" w:rsidP="002E39A9">
      <w:pPr>
        <w:tabs>
          <w:tab w:val="left" w:pos="851"/>
        </w:tabs>
        <w:ind w:left="851"/>
        <w:rPr>
          <w:sz w:val="24"/>
          <w:szCs w:val="24"/>
        </w:rPr>
      </w:pPr>
    </w:p>
    <w:p w14:paraId="5488B9DE" w14:textId="77777777" w:rsidR="002E39A9" w:rsidRPr="002E39A9" w:rsidRDefault="002E39A9" w:rsidP="002E39A9">
      <w:pPr>
        <w:tabs>
          <w:tab w:val="left" w:pos="851"/>
        </w:tabs>
        <w:ind w:left="851"/>
        <w:rPr>
          <w:sz w:val="24"/>
          <w:szCs w:val="24"/>
        </w:rPr>
      </w:pPr>
      <w:r w:rsidRPr="002E39A9">
        <w:rPr>
          <w:sz w:val="24"/>
          <w:szCs w:val="24"/>
        </w:rPr>
        <w:t xml:space="preserve">Det </w:t>
      </w:r>
      <w:proofErr w:type="spellStart"/>
      <w:r w:rsidRPr="002E39A9">
        <w:rPr>
          <w:sz w:val="24"/>
          <w:szCs w:val="24"/>
        </w:rPr>
        <w:t>cytotoksiske</w:t>
      </w:r>
      <w:proofErr w:type="spellEnd"/>
      <w:r w:rsidRPr="002E39A9">
        <w:rPr>
          <w:sz w:val="24"/>
          <w:szCs w:val="24"/>
        </w:rPr>
        <w:t xml:space="preserve"> middel </w:t>
      </w:r>
      <w:proofErr w:type="spellStart"/>
      <w:r w:rsidRPr="002E39A9">
        <w:rPr>
          <w:sz w:val="24"/>
          <w:szCs w:val="24"/>
        </w:rPr>
        <w:t>actinomycin</w:t>
      </w:r>
      <w:proofErr w:type="spellEnd"/>
      <w:r w:rsidRPr="002E39A9">
        <w:rPr>
          <w:sz w:val="24"/>
          <w:szCs w:val="24"/>
        </w:rPr>
        <w:t xml:space="preserve"> og fungicider påvirker vitamin D-aktiviteten ved at hæmme konverteringen af 25-hydroxyvitamin D til 1,25-dihydroxyvitamin D via nyreenzymet 25-hydroxyvitamin D-1-hydroxylase.</w:t>
      </w:r>
    </w:p>
    <w:p w14:paraId="1C4F5DAE" w14:textId="77777777" w:rsidR="002E39A9" w:rsidRPr="002E39A9" w:rsidRDefault="002E39A9" w:rsidP="002E39A9">
      <w:pPr>
        <w:tabs>
          <w:tab w:val="left" w:pos="851"/>
        </w:tabs>
        <w:ind w:left="851"/>
        <w:rPr>
          <w:sz w:val="24"/>
          <w:szCs w:val="24"/>
        </w:rPr>
      </w:pPr>
    </w:p>
    <w:p w14:paraId="71DB50B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568B6B98" w14:textId="77777777" w:rsidR="008C14AF" w:rsidRPr="008C14AF" w:rsidRDefault="008C14AF" w:rsidP="008C14AF">
      <w:pPr>
        <w:tabs>
          <w:tab w:val="left" w:pos="851"/>
        </w:tabs>
        <w:ind w:left="851"/>
        <w:rPr>
          <w:b/>
          <w:sz w:val="24"/>
          <w:szCs w:val="24"/>
        </w:rPr>
      </w:pPr>
    </w:p>
    <w:p w14:paraId="3DAB81DB" w14:textId="77777777" w:rsidR="008C14AF" w:rsidRPr="008C14AF" w:rsidRDefault="008C14AF" w:rsidP="008C14AF">
      <w:pPr>
        <w:tabs>
          <w:tab w:val="left" w:pos="851"/>
        </w:tabs>
        <w:ind w:left="851"/>
        <w:rPr>
          <w:sz w:val="24"/>
          <w:szCs w:val="24"/>
        </w:rPr>
      </w:pPr>
      <w:r w:rsidRPr="008C14AF">
        <w:rPr>
          <w:sz w:val="24"/>
          <w:szCs w:val="24"/>
          <w:u w:val="single"/>
        </w:rPr>
        <w:t>Graviditet</w:t>
      </w:r>
    </w:p>
    <w:p w14:paraId="77A18E04" w14:textId="36D5E47E" w:rsidR="008C14AF" w:rsidRPr="008C14AF" w:rsidRDefault="008C14AF" w:rsidP="008C14AF">
      <w:pPr>
        <w:tabs>
          <w:tab w:val="left" w:pos="851"/>
        </w:tabs>
        <w:ind w:left="851"/>
        <w:rPr>
          <w:sz w:val="24"/>
          <w:szCs w:val="24"/>
        </w:rPr>
      </w:pPr>
      <w:r w:rsidRPr="008C14AF">
        <w:rPr>
          <w:sz w:val="24"/>
          <w:szCs w:val="24"/>
        </w:rPr>
        <w:t xml:space="preserve">Der foreligger begrænsede oplysninger fra brug af </w:t>
      </w:r>
      <w:proofErr w:type="spellStart"/>
      <w:r>
        <w:rPr>
          <w:sz w:val="24"/>
          <w:szCs w:val="24"/>
        </w:rPr>
        <w:t>c</w:t>
      </w:r>
      <w:r w:rsidRPr="008C14AF">
        <w:rPr>
          <w:sz w:val="24"/>
          <w:szCs w:val="24"/>
        </w:rPr>
        <w:t>holecalciferol</w:t>
      </w:r>
      <w:proofErr w:type="spellEnd"/>
      <w:r w:rsidRPr="008C14AF">
        <w:rPr>
          <w:sz w:val="24"/>
          <w:szCs w:val="24"/>
        </w:rPr>
        <w:t xml:space="preserve"> til gravide kvinder. Vitamin D-mangel er skadeligt for mor og barn. Høje doser vitamin D har vist sig at have </w:t>
      </w:r>
      <w:proofErr w:type="spellStart"/>
      <w:r w:rsidRPr="008C14AF">
        <w:rPr>
          <w:sz w:val="24"/>
          <w:szCs w:val="24"/>
        </w:rPr>
        <w:t>teratogene</w:t>
      </w:r>
      <w:proofErr w:type="spellEnd"/>
      <w:r w:rsidRPr="008C14AF">
        <w:rPr>
          <w:sz w:val="24"/>
          <w:szCs w:val="24"/>
        </w:rPr>
        <w:t xml:space="preserve"> virkninger ved dyreforsøg (se pkt. 5.3).</w:t>
      </w:r>
    </w:p>
    <w:p w14:paraId="0BD21908" w14:textId="77777777" w:rsidR="008C14AF" w:rsidRPr="008C14AF" w:rsidRDefault="008C14AF" w:rsidP="008C14AF">
      <w:pPr>
        <w:tabs>
          <w:tab w:val="left" w:pos="851"/>
        </w:tabs>
        <w:ind w:left="851"/>
        <w:rPr>
          <w:sz w:val="24"/>
          <w:szCs w:val="24"/>
        </w:rPr>
      </w:pPr>
      <w:r w:rsidRPr="008C14AF">
        <w:rPr>
          <w:sz w:val="24"/>
          <w:szCs w:val="24"/>
        </w:rPr>
        <w:t xml:space="preserve">Overdosering af vitamin D skal undgås under graviditet, da længerevarende </w:t>
      </w:r>
      <w:proofErr w:type="spellStart"/>
      <w:r w:rsidRPr="008C14AF">
        <w:rPr>
          <w:sz w:val="24"/>
          <w:szCs w:val="24"/>
        </w:rPr>
        <w:t>hyperkalcæmi</w:t>
      </w:r>
      <w:proofErr w:type="spellEnd"/>
      <w:r w:rsidRPr="008C14AF">
        <w:rPr>
          <w:sz w:val="24"/>
          <w:szCs w:val="24"/>
        </w:rPr>
        <w:t xml:space="preserve"> kan medføre fysisk og mental retardering, </w:t>
      </w:r>
      <w:proofErr w:type="spellStart"/>
      <w:r w:rsidRPr="008C14AF">
        <w:rPr>
          <w:sz w:val="24"/>
          <w:szCs w:val="24"/>
        </w:rPr>
        <w:t>supravalvulær</w:t>
      </w:r>
      <w:proofErr w:type="spellEnd"/>
      <w:r w:rsidRPr="008C14AF">
        <w:rPr>
          <w:sz w:val="24"/>
          <w:szCs w:val="24"/>
        </w:rPr>
        <w:t xml:space="preserve"> aortastenose og </w:t>
      </w:r>
      <w:proofErr w:type="spellStart"/>
      <w:r w:rsidRPr="008C14AF">
        <w:rPr>
          <w:sz w:val="24"/>
          <w:szCs w:val="24"/>
        </w:rPr>
        <w:t>retinopati</w:t>
      </w:r>
      <w:proofErr w:type="spellEnd"/>
      <w:r w:rsidRPr="008C14AF">
        <w:rPr>
          <w:sz w:val="24"/>
          <w:szCs w:val="24"/>
        </w:rPr>
        <w:t xml:space="preserve"> hos barnet.</w:t>
      </w:r>
    </w:p>
    <w:p w14:paraId="1616F8D6" w14:textId="412D8F73" w:rsidR="008C14AF" w:rsidRPr="008C14AF" w:rsidRDefault="008C14AF" w:rsidP="008C14AF">
      <w:pPr>
        <w:tabs>
          <w:tab w:val="left" w:pos="851"/>
        </w:tabs>
        <w:ind w:left="851"/>
        <w:rPr>
          <w:sz w:val="24"/>
          <w:szCs w:val="24"/>
        </w:rPr>
      </w:pPr>
      <w:r w:rsidRPr="008C14AF">
        <w:rPr>
          <w:sz w:val="24"/>
          <w:szCs w:val="24"/>
        </w:rPr>
        <w:t xml:space="preserve">Hvis der foreligger en vitamin D-mangel, afhænger den anbefalede dosis af nationale retningslinjer, men den maksimalt anbefalede dosis er 4.000 IE/dag vitamin D3. Til behandling under graviditet i højere doser anbefales </w:t>
      </w:r>
      <w:proofErr w:type="spellStart"/>
      <w:r w:rsidR="00B75334">
        <w:rPr>
          <w:sz w:val="24"/>
          <w:szCs w:val="24"/>
        </w:rPr>
        <w:t>c</w:t>
      </w:r>
      <w:r w:rsidRPr="008C14AF">
        <w:rPr>
          <w:sz w:val="24"/>
          <w:szCs w:val="24"/>
        </w:rPr>
        <w:t>holecalciferol</w:t>
      </w:r>
      <w:proofErr w:type="spellEnd"/>
      <w:r w:rsidRPr="008C14AF">
        <w:rPr>
          <w:sz w:val="24"/>
          <w:szCs w:val="24"/>
        </w:rPr>
        <w:t xml:space="preserve"> ikke under graviditet.</w:t>
      </w:r>
    </w:p>
    <w:p w14:paraId="0A54F4AD" w14:textId="77777777" w:rsidR="008C14AF" w:rsidRPr="008C14AF" w:rsidRDefault="008C14AF" w:rsidP="008C14AF">
      <w:pPr>
        <w:tabs>
          <w:tab w:val="left" w:pos="851"/>
        </w:tabs>
        <w:ind w:left="851"/>
        <w:rPr>
          <w:sz w:val="24"/>
          <w:szCs w:val="24"/>
        </w:rPr>
      </w:pPr>
    </w:p>
    <w:p w14:paraId="783B3689" w14:textId="77777777" w:rsidR="008C14AF" w:rsidRPr="008C14AF" w:rsidRDefault="008C14AF" w:rsidP="008C14AF">
      <w:pPr>
        <w:tabs>
          <w:tab w:val="left" w:pos="851"/>
        </w:tabs>
        <w:ind w:left="851"/>
        <w:rPr>
          <w:sz w:val="24"/>
          <w:szCs w:val="24"/>
        </w:rPr>
      </w:pPr>
      <w:r w:rsidRPr="008C14AF">
        <w:rPr>
          <w:sz w:val="24"/>
          <w:szCs w:val="24"/>
          <w:u w:val="single"/>
        </w:rPr>
        <w:t>Amning</w:t>
      </w:r>
    </w:p>
    <w:p w14:paraId="12A80DA0" w14:textId="77777777" w:rsidR="008C14AF" w:rsidRPr="008C14AF" w:rsidRDefault="008C14AF" w:rsidP="008C14AF">
      <w:pPr>
        <w:tabs>
          <w:tab w:val="left" w:pos="851"/>
        </w:tabs>
        <w:ind w:left="851"/>
        <w:rPr>
          <w:i/>
          <w:sz w:val="24"/>
          <w:szCs w:val="24"/>
        </w:rPr>
      </w:pPr>
      <w:r w:rsidRPr="008C14AF">
        <w:rPr>
          <w:sz w:val="24"/>
          <w:szCs w:val="24"/>
        </w:rPr>
        <w:t xml:space="preserve">Vitamin D3 og dets metabolitter udskilles i modermælk. Der er ikke observeret nogen bivirkninger hos spædbørn. </w:t>
      </w:r>
      <w:proofErr w:type="spellStart"/>
      <w:r w:rsidRPr="008C14AF">
        <w:rPr>
          <w:sz w:val="24"/>
          <w:szCs w:val="24"/>
        </w:rPr>
        <w:t>Cholecalciferol</w:t>
      </w:r>
      <w:proofErr w:type="spellEnd"/>
      <w:r w:rsidRPr="008C14AF">
        <w:rPr>
          <w:sz w:val="24"/>
          <w:szCs w:val="24"/>
        </w:rPr>
        <w:t xml:space="preserve"> kan anvendes i de anbefalede doser under amning i tilfælde af vitamin D-mangel. Der skal tages højde for dette, hvis der gives ekstra vitamin D til barnet</w:t>
      </w:r>
      <w:r w:rsidRPr="008C14AF">
        <w:rPr>
          <w:i/>
          <w:sz w:val="24"/>
          <w:szCs w:val="24"/>
        </w:rPr>
        <w:t>.</w:t>
      </w:r>
    </w:p>
    <w:p w14:paraId="541F5D4F" w14:textId="77777777" w:rsidR="008C14AF" w:rsidRPr="008C14AF" w:rsidRDefault="008C14AF" w:rsidP="008C14AF">
      <w:pPr>
        <w:tabs>
          <w:tab w:val="left" w:pos="851"/>
        </w:tabs>
        <w:ind w:left="851"/>
        <w:rPr>
          <w:i/>
          <w:sz w:val="24"/>
          <w:szCs w:val="24"/>
        </w:rPr>
      </w:pPr>
    </w:p>
    <w:p w14:paraId="524B83A7" w14:textId="77777777" w:rsidR="008C14AF" w:rsidRPr="008C14AF" w:rsidRDefault="008C14AF" w:rsidP="008C14AF">
      <w:pPr>
        <w:tabs>
          <w:tab w:val="left" w:pos="851"/>
        </w:tabs>
        <w:ind w:left="851"/>
        <w:rPr>
          <w:sz w:val="24"/>
          <w:szCs w:val="24"/>
        </w:rPr>
      </w:pPr>
      <w:r w:rsidRPr="008C14AF">
        <w:rPr>
          <w:sz w:val="24"/>
          <w:szCs w:val="24"/>
          <w:u w:val="single"/>
        </w:rPr>
        <w:t>Fertilitet</w:t>
      </w:r>
    </w:p>
    <w:p w14:paraId="36068359" w14:textId="6A8E7DD4" w:rsidR="008C14AF" w:rsidRPr="008C14AF" w:rsidRDefault="008C14AF" w:rsidP="008C14AF">
      <w:pPr>
        <w:tabs>
          <w:tab w:val="left" w:pos="851"/>
        </w:tabs>
        <w:ind w:left="851"/>
        <w:rPr>
          <w:sz w:val="24"/>
          <w:szCs w:val="24"/>
        </w:rPr>
      </w:pPr>
      <w:r w:rsidRPr="008C14AF">
        <w:rPr>
          <w:sz w:val="24"/>
          <w:szCs w:val="24"/>
        </w:rPr>
        <w:t xml:space="preserve">Der foreligger ingen oplysninger om virkningen af </w:t>
      </w:r>
      <w:proofErr w:type="spellStart"/>
      <w:r w:rsidR="00B75334">
        <w:rPr>
          <w:sz w:val="24"/>
          <w:szCs w:val="24"/>
        </w:rPr>
        <w:t>c</w:t>
      </w:r>
      <w:r w:rsidRPr="008C14AF">
        <w:rPr>
          <w:sz w:val="24"/>
          <w:szCs w:val="24"/>
        </w:rPr>
        <w:t>holecalciferol</w:t>
      </w:r>
      <w:proofErr w:type="spellEnd"/>
      <w:r w:rsidRPr="008C14AF">
        <w:rPr>
          <w:sz w:val="24"/>
          <w:szCs w:val="24"/>
        </w:rPr>
        <w:t xml:space="preserve"> på fertiliteten. Men normale endogene niveauer af vitamin D forventes ikke at have nogen utilsigtede virkninger på fertiliteten.</w:t>
      </w:r>
    </w:p>
    <w:p w14:paraId="680EB04F" w14:textId="77777777" w:rsidR="009260DE" w:rsidRPr="00C84483" w:rsidRDefault="009260DE" w:rsidP="009260DE">
      <w:pPr>
        <w:tabs>
          <w:tab w:val="left" w:pos="851"/>
        </w:tabs>
        <w:ind w:left="851"/>
        <w:rPr>
          <w:sz w:val="24"/>
          <w:szCs w:val="24"/>
        </w:rPr>
      </w:pPr>
    </w:p>
    <w:p w14:paraId="168EBBBD"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42089211" w14:textId="77777777" w:rsidR="00F345CE" w:rsidRDefault="00F345CE" w:rsidP="00F345CE">
      <w:pPr>
        <w:tabs>
          <w:tab w:val="left" w:pos="851"/>
        </w:tabs>
        <w:ind w:left="851"/>
        <w:rPr>
          <w:sz w:val="24"/>
          <w:szCs w:val="24"/>
        </w:rPr>
      </w:pPr>
      <w:r>
        <w:rPr>
          <w:sz w:val="24"/>
          <w:szCs w:val="24"/>
        </w:rPr>
        <w:t>Ikke mærkning.</w:t>
      </w:r>
    </w:p>
    <w:p w14:paraId="785BC800" w14:textId="549061E6" w:rsidR="00F345CE" w:rsidRPr="00F345CE" w:rsidRDefault="00F345CE" w:rsidP="00F345CE">
      <w:pPr>
        <w:tabs>
          <w:tab w:val="left" w:pos="851"/>
        </w:tabs>
        <w:ind w:left="851"/>
        <w:rPr>
          <w:sz w:val="24"/>
          <w:szCs w:val="24"/>
        </w:rPr>
      </w:pPr>
      <w:proofErr w:type="spellStart"/>
      <w:r w:rsidRPr="00F345CE">
        <w:rPr>
          <w:sz w:val="24"/>
          <w:szCs w:val="24"/>
        </w:rPr>
        <w:t>Cholecalciferol</w:t>
      </w:r>
      <w:proofErr w:type="spellEnd"/>
      <w:r w:rsidRPr="00F345CE">
        <w:rPr>
          <w:sz w:val="24"/>
          <w:szCs w:val="24"/>
        </w:rPr>
        <w:t xml:space="preserve"> påvirker ikke evnen til at føre motorkøretøj og betjene maskiner.</w:t>
      </w:r>
    </w:p>
    <w:p w14:paraId="2F24A18A" w14:textId="77777777" w:rsidR="009260DE" w:rsidRPr="00C84483" w:rsidRDefault="009260DE" w:rsidP="009260DE">
      <w:pPr>
        <w:tabs>
          <w:tab w:val="left" w:pos="851"/>
        </w:tabs>
        <w:ind w:left="851"/>
        <w:rPr>
          <w:sz w:val="24"/>
          <w:szCs w:val="24"/>
        </w:rPr>
      </w:pPr>
    </w:p>
    <w:p w14:paraId="2B55E7E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3ACE8C0" w14:textId="77777777" w:rsidR="00713683" w:rsidRPr="00713683" w:rsidRDefault="00713683" w:rsidP="00713683">
      <w:pPr>
        <w:tabs>
          <w:tab w:val="left" w:pos="851"/>
        </w:tabs>
        <w:ind w:left="851"/>
        <w:rPr>
          <w:sz w:val="24"/>
          <w:szCs w:val="24"/>
        </w:rPr>
      </w:pPr>
      <w:r w:rsidRPr="00713683">
        <w:rPr>
          <w:sz w:val="24"/>
          <w:szCs w:val="24"/>
        </w:rPr>
        <w:t>Uønskede bivirkninger er angivet nedenfor efter systemorganklasse og frekvens.</w:t>
      </w:r>
    </w:p>
    <w:p w14:paraId="6B69DB99" w14:textId="26B2F069" w:rsidR="00713683" w:rsidRPr="00713683" w:rsidRDefault="00713683" w:rsidP="00713683">
      <w:pPr>
        <w:tabs>
          <w:tab w:val="left" w:pos="851"/>
        </w:tabs>
        <w:ind w:left="851"/>
        <w:rPr>
          <w:sz w:val="24"/>
          <w:szCs w:val="24"/>
        </w:rPr>
      </w:pPr>
      <w:r w:rsidRPr="00713683">
        <w:rPr>
          <w:sz w:val="24"/>
          <w:szCs w:val="24"/>
        </w:rPr>
        <w:t xml:space="preserve">Hyppigheder er defineret som: </w:t>
      </w:r>
      <w:r w:rsidR="00444449">
        <w:rPr>
          <w:sz w:val="24"/>
          <w:szCs w:val="24"/>
        </w:rPr>
        <w:t>I</w:t>
      </w:r>
      <w:r w:rsidRPr="00713683">
        <w:rPr>
          <w:sz w:val="24"/>
          <w:szCs w:val="24"/>
        </w:rPr>
        <w:t>kke almindelig (&gt;1/1.000, &lt;1/100) eller sjælden (&gt;1/10.000, &lt;1/1.000).</w:t>
      </w:r>
    </w:p>
    <w:p w14:paraId="571A7238" w14:textId="77777777" w:rsidR="00713683" w:rsidRPr="00713683" w:rsidRDefault="00713683" w:rsidP="00713683">
      <w:pPr>
        <w:tabs>
          <w:tab w:val="left" w:pos="851"/>
        </w:tabs>
        <w:ind w:left="851"/>
        <w:rPr>
          <w:sz w:val="24"/>
          <w:szCs w:val="24"/>
        </w:rPr>
      </w:pPr>
    </w:p>
    <w:p w14:paraId="2C9CAF14" w14:textId="77777777" w:rsidR="00713683" w:rsidRPr="00444449" w:rsidRDefault="00713683" w:rsidP="00713683">
      <w:pPr>
        <w:tabs>
          <w:tab w:val="left" w:pos="851"/>
        </w:tabs>
        <w:ind w:left="851"/>
        <w:rPr>
          <w:sz w:val="24"/>
          <w:szCs w:val="24"/>
          <w:u w:val="single"/>
        </w:rPr>
      </w:pPr>
      <w:r w:rsidRPr="00444449">
        <w:rPr>
          <w:sz w:val="24"/>
          <w:szCs w:val="24"/>
          <w:u w:val="single"/>
        </w:rPr>
        <w:lastRenderedPageBreak/>
        <w:t>Immunsystemet</w:t>
      </w:r>
    </w:p>
    <w:p w14:paraId="11F558DA" w14:textId="77777777" w:rsidR="00713683" w:rsidRPr="00713683" w:rsidRDefault="00713683" w:rsidP="00713683">
      <w:pPr>
        <w:tabs>
          <w:tab w:val="left" w:pos="851"/>
        </w:tabs>
        <w:ind w:left="851"/>
        <w:rPr>
          <w:sz w:val="24"/>
          <w:szCs w:val="24"/>
        </w:rPr>
      </w:pPr>
      <w:r w:rsidRPr="00713683">
        <w:rPr>
          <w:sz w:val="24"/>
          <w:szCs w:val="24"/>
        </w:rPr>
        <w:t xml:space="preserve">Ikke kendt (kan ikke skønnes ud fra tilgængelige data): overfølsomhedsreaktioner såsom </w:t>
      </w:r>
      <w:proofErr w:type="spellStart"/>
      <w:r w:rsidRPr="00713683">
        <w:rPr>
          <w:sz w:val="24"/>
          <w:szCs w:val="24"/>
        </w:rPr>
        <w:t>angioødem</w:t>
      </w:r>
      <w:proofErr w:type="spellEnd"/>
      <w:r w:rsidRPr="00713683">
        <w:rPr>
          <w:sz w:val="24"/>
          <w:szCs w:val="24"/>
        </w:rPr>
        <w:t xml:space="preserve"> eller </w:t>
      </w:r>
      <w:proofErr w:type="spellStart"/>
      <w:r w:rsidRPr="00713683">
        <w:rPr>
          <w:sz w:val="24"/>
          <w:szCs w:val="24"/>
        </w:rPr>
        <w:t>laryngealt</w:t>
      </w:r>
      <w:proofErr w:type="spellEnd"/>
      <w:r w:rsidRPr="00713683">
        <w:rPr>
          <w:sz w:val="24"/>
          <w:szCs w:val="24"/>
        </w:rPr>
        <w:t xml:space="preserve"> ødem.</w:t>
      </w:r>
    </w:p>
    <w:p w14:paraId="0C5E5AB8" w14:textId="77777777" w:rsidR="00713683" w:rsidRPr="00713683" w:rsidRDefault="00713683" w:rsidP="00713683">
      <w:pPr>
        <w:tabs>
          <w:tab w:val="left" w:pos="851"/>
        </w:tabs>
        <w:ind w:left="851"/>
        <w:rPr>
          <w:sz w:val="24"/>
          <w:szCs w:val="24"/>
        </w:rPr>
      </w:pPr>
    </w:p>
    <w:p w14:paraId="1ACB0F2D" w14:textId="77777777" w:rsidR="00713683" w:rsidRPr="00444449" w:rsidRDefault="00713683" w:rsidP="00713683">
      <w:pPr>
        <w:tabs>
          <w:tab w:val="left" w:pos="851"/>
        </w:tabs>
        <w:ind w:left="851"/>
        <w:rPr>
          <w:sz w:val="24"/>
          <w:szCs w:val="24"/>
          <w:u w:val="single"/>
        </w:rPr>
      </w:pPr>
      <w:r w:rsidRPr="00444449">
        <w:rPr>
          <w:sz w:val="24"/>
          <w:szCs w:val="24"/>
          <w:u w:val="single"/>
        </w:rPr>
        <w:t>Metabolisme og ernæring</w:t>
      </w:r>
    </w:p>
    <w:p w14:paraId="7B11EC03" w14:textId="77777777" w:rsidR="00713683" w:rsidRPr="00713683" w:rsidRDefault="00713683" w:rsidP="00713683">
      <w:pPr>
        <w:tabs>
          <w:tab w:val="left" w:pos="851"/>
        </w:tabs>
        <w:ind w:left="851"/>
        <w:rPr>
          <w:sz w:val="24"/>
          <w:szCs w:val="24"/>
        </w:rPr>
      </w:pPr>
      <w:r w:rsidRPr="00713683">
        <w:rPr>
          <w:sz w:val="24"/>
          <w:szCs w:val="24"/>
        </w:rPr>
        <w:t xml:space="preserve">Ikke almindelig: </w:t>
      </w:r>
      <w:proofErr w:type="spellStart"/>
      <w:r w:rsidRPr="00713683">
        <w:rPr>
          <w:sz w:val="24"/>
          <w:szCs w:val="24"/>
        </w:rPr>
        <w:t>hyperkalcæmi</w:t>
      </w:r>
      <w:proofErr w:type="spellEnd"/>
      <w:r w:rsidRPr="00713683">
        <w:rPr>
          <w:sz w:val="24"/>
          <w:szCs w:val="24"/>
        </w:rPr>
        <w:t xml:space="preserve"> og </w:t>
      </w:r>
      <w:proofErr w:type="spellStart"/>
      <w:r w:rsidRPr="00713683">
        <w:rPr>
          <w:sz w:val="24"/>
          <w:szCs w:val="24"/>
        </w:rPr>
        <w:t>hyperkalciuri</w:t>
      </w:r>
      <w:proofErr w:type="spellEnd"/>
      <w:r w:rsidRPr="00713683">
        <w:rPr>
          <w:sz w:val="24"/>
          <w:szCs w:val="24"/>
        </w:rPr>
        <w:t>.</w:t>
      </w:r>
    </w:p>
    <w:p w14:paraId="799837E8" w14:textId="77777777" w:rsidR="00713683" w:rsidRPr="00713683" w:rsidRDefault="00713683" w:rsidP="00713683">
      <w:pPr>
        <w:tabs>
          <w:tab w:val="left" w:pos="851"/>
        </w:tabs>
        <w:ind w:left="851"/>
        <w:rPr>
          <w:sz w:val="24"/>
          <w:szCs w:val="24"/>
        </w:rPr>
      </w:pPr>
    </w:p>
    <w:p w14:paraId="5FA5B332" w14:textId="77777777" w:rsidR="00713683" w:rsidRPr="00444449" w:rsidRDefault="00713683" w:rsidP="00713683">
      <w:pPr>
        <w:tabs>
          <w:tab w:val="left" w:pos="851"/>
        </w:tabs>
        <w:ind w:left="851"/>
        <w:rPr>
          <w:sz w:val="24"/>
          <w:szCs w:val="24"/>
          <w:u w:val="single"/>
        </w:rPr>
      </w:pPr>
      <w:r w:rsidRPr="00444449">
        <w:rPr>
          <w:sz w:val="24"/>
          <w:szCs w:val="24"/>
          <w:u w:val="single"/>
        </w:rPr>
        <w:t>Hud og subkutane væv</w:t>
      </w:r>
    </w:p>
    <w:p w14:paraId="72D85F00" w14:textId="77777777" w:rsidR="00713683" w:rsidRPr="00713683" w:rsidRDefault="00713683" w:rsidP="00713683">
      <w:pPr>
        <w:tabs>
          <w:tab w:val="left" w:pos="851"/>
        </w:tabs>
        <w:ind w:left="851"/>
        <w:rPr>
          <w:sz w:val="24"/>
          <w:szCs w:val="24"/>
        </w:rPr>
      </w:pPr>
      <w:r w:rsidRPr="00713683">
        <w:rPr>
          <w:sz w:val="24"/>
          <w:szCs w:val="24"/>
        </w:rPr>
        <w:t xml:space="preserve">Sjælden: </w:t>
      </w:r>
      <w:proofErr w:type="spellStart"/>
      <w:r w:rsidRPr="00713683">
        <w:rPr>
          <w:sz w:val="24"/>
          <w:szCs w:val="24"/>
        </w:rPr>
        <w:t>pruritus</w:t>
      </w:r>
      <w:proofErr w:type="spellEnd"/>
      <w:r w:rsidRPr="00713683">
        <w:rPr>
          <w:sz w:val="24"/>
          <w:szCs w:val="24"/>
        </w:rPr>
        <w:t xml:space="preserve">, udslæt og </w:t>
      </w:r>
      <w:proofErr w:type="spellStart"/>
      <w:r w:rsidRPr="00713683">
        <w:rPr>
          <w:sz w:val="24"/>
          <w:szCs w:val="24"/>
        </w:rPr>
        <w:t>urticaria</w:t>
      </w:r>
      <w:proofErr w:type="spellEnd"/>
      <w:r w:rsidRPr="00713683">
        <w:rPr>
          <w:sz w:val="24"/>
          <w:szCs w:val="24"/>
        </w:rPr>
        <w:t>.</w:t>
      </w:r>
    </w:p>
    <w:p w14:paraId="71C17B08" w14:textId="77777777" w:rsidR="00713683" w:rsidRPr="00713683" w:rsidRDefault="00713683" w:rsidP="00713683">
      <w:pPr>
        <w:tabs>
          <w:tab w:val="left" w:pos="851"/>
        </w:tabs>
        <w:ind w:left="851"/>
        <w:rPr>
          <w:sz w:val="24"/>
          <w:szCs w:val="24"/>
        </w:rPr>
      </w:pPr>
    </w:p>
    <w:p w14:paraId="31BE39C4" w14:textId="77777777" w:rsidR="00444449" w:rsidRPr="008F49E1" w:rsidRDefault="00444449" w:rsidP="00444449">
      <w:pPr>
        <w:autoSpaceDE w:val="0"/>
        <w:autoSpaceDN w:val="0"/>
        <w:ind w:left="851"/>
        <w:rPr>
          <w:sz w:val="24"/>
          <w:szCs w:val="24"/>
          <w:u w:val="single"/>
          <w:lang w:eastAsia="da-DK"/>
        </w:rPr>
      </w:pPr>
      <w:bookmarkStart w:id="0" w:name="_Hlk81310344"/>
      <w:r w:rsidRPr="008F49E1">
        <w:rPr>
          <w:sz w:val="24"/>
          <w:szCs w:val="24"/>
          <w:u w:val="single"/>
          <w:lang w:eastAsia="da-DK"/>
        </w:rPr>
        <w:t>Indberetning af formodede bivirkninger</w:t>
      </w:r>
    </w:p>
    <w:p w14:paraId="69BAE679" w14:textId="77777777" w:rsidR="00444449" w:rsidRPr="008F49E1" w:rsidRDefault="00444449" w:rsidP="00444449">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 xml:space="preserve">Sundhedspersoner </w:t>
      </w:r>
      <w:r w:rsidRPr="008F49E1">
        <w:rPr>
          <w:sz w:val="24"/>
          <w:szCs w:val="24"/>
          <w:lang w:eastAsia="da-DK"/>
        </w:rPr>
        <w:t>anmodes om at indberette alle formodede bivirkninger via:</w:t>
      </w:r>
    </w:p>
    <w:p w14:paraId="42289ABB" w14:textId="77777777" w:rsidR="00444449" w:rsidRPr="008F49E1" w:rsidRDefault="00444449" w:rsidP="00444449">
      <w:pPr>
        <w:ind w:left="851"/>
        <w:rPr>
          <w:sz w:val="24"/>
          <w:szCs w:val="24"/>
          <w:lang w:eastAsia="da-DK"/>
        </w:rPr>
      </w:pPr>
    </w:p>
    <w:p w14:paraId="2AC4CB8E" w14:textId="77777777" w:rsidR="00444449" w:rsidRPr="007A276A" w:rsidRDefault="00444449" w:rsidP="00444449">
      <w:pPr>
        <w:ind w:left="851"/>
        <w:rPr>
          <w:sz w:val="24"/>
          <w:szCs w:val="24"/>
          <w:lang w:eastAsia="da-DK"/>
        </w:rPr>
      </w:pPr>
      <w:bookmarkStart w:id="1" w:name="_Hlk79581812"/>
      <w:r w:rsidRPr="007A276A">
        <w:rPr>
          <w:sz w:val="24"/>
          <w:szCs w:val="24"/>
          <w:lang w:eastAsia="da-DK"/>
        </w:rPr>
        <w:t>Lægemiddelstyrelsen</w:t>
      </w:r>
    </w:p>
    <w:p w14:paraId="5AC1D556" w14:textId="77777777" w:rsidR="00444449" w:rsidRPr="007A276A" w:rsidRDefault="00444449" w:rsidP="00444449">
      <w:pPr>
        <w:ind w:left="851"/>
        <w:rPr>
          <w:sz w:val="24"/>
          <w:szCs w:val="24"/>
          <w:lang w:eastAsia="da-DK"/>
        </w:rPr>
      </w:pPr>
      <w:r w:rsidRPr="007A276A">
        <w:rPr>
          <w:sz w:val="24"/>
          <w:szCs w:val="24"/>
          <w:lang w:eastAsia="da-DK"/>
        </w:rPr>
        <w:t>Axel Heides Gade 1</w:t>
      </w:r>
    </w:p>
    <w:p w14:paraId="59221A69" w14:textId="77777777" w:rsidR="00444449" w:rsidRPr="007A276A" w:rsidRDefault="00444449" w:rsidP="00444449">
      <w:pPr>
        <w:ind w:left="851"/>
        <w:rPr>
          <w:sz w:val="24"/>
          <w:szCs w:val="24"/>
          <w:lang w:eastAsia="da-DK"/>
        </w:rPr>
      </w:pPr>
      <w:r w:rsidRPr="007A276A">
        <w:rPr>
          <w:sz w:val="24"/>
          <w:szCs w:val="24"/>
          <w:lang w:eastAsia="da-DK"/>
        </w:rPr>
        <w:t>DK-2300 København S</w:t>
      </w:r>
    </w:p>
    <w:p w14:paraId="0C5C03A4" w14:textId="77777777" w:rsidR="00444449" w:rsidRPr="00802C99" w:rsidRDefault="00444449" w:rsidP="00444449">
      <w:pPr>
        <w:ind w:left="851"/>
        <w:rPr>
          <w:sz w:val="24"/>
          <w:szCs w:val="24"/>
          <w:lang w:eastAsia="da-DK"/>
        </w:rPr>
      </w:pPr>
      <w:r w:rsidRPr="00802C99">
        <w:rPr>
          <w:sz w:val="24"/>
          <w:szCs w:val="24"/>
          <w:lang w:eastAsia="da-DK"/>
        </w:rPr>
        <w:t xml:space="preserve">Websted: </w:t>
      </w:r>
      <w:r w:rsidRPr="00802C99">
        <w:rPr>
          <w:sz w:val="24"/>
          <w:lang w:eastAsia="da-DK"/>
        </w:rPr>
        <w:t>www.meldenbivirkning.dk</w:t>
      </w:r>
    </w:p>
    <w:bookmarkEnd w:id="0"/>
    <w:bookmarkEnd w:id="1"/>
    <w:p w14:paraId="4E18CBCD" w14:textId="77777777" w:rsidR="009260DE" w:rsidRPr="00A10294" w:rsidRDefault="009260DE" w:rsidP="00A10294">
      <w:pPr>
        <w:tabs>
          <w:tab w:val="left" w:pos="851"/>
        </w:tabs>
        <w:ind w:left="851"/>
        <w:rPr>
          <w:sz w:val="24"/>
          <w:szCs w:val="24"/>
        </w:rPr>
      </w:pPr>
    </w:p>
    <w:p w14:paraId="284F4DC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BCD38A6" w14:textId="77777777" w:rsidR="009F5BBB" w:rsidRPr="009F5BBB" w:rsidRDefault="009F5BBB" w:rsidP="009F5BBB">
      <w:pPr>
        <w:tabs>
          <w:tab w:val="left" w:pos="851"/>
        </w:tabs>
        <w:ind w:left="851"/>
        <w:rPr>
          <w:sz w:val="24"/>
          <w:szCs w:val="24"/>
        </w:rPr>
      </w:pPr>
      <w:r w:rsidRPr="009F5BBB">
        <w:rPr>
          <w:sz w:val="24"/>
          <w:szCs w:val="24"/>
        </w:rPr>
        <w:t xml:space="preserve">De alvorligste følger af akut eller kronisk overdosering er </w:t>
      </w:r>
      <w:proofErr w:type="spellStart"/>
      <w:r w:rsidRPr="009F5BBB">
        <w:rPr>
          <w:sz w:val="24"/>
          <w:szCs w:val="24"/>
        </w:rPr>
        <w:t>hypervitaminose</w:t>
      </w:r>
      <w:proofErr w:type="spellEnd"/>
      <w:r w:rsidRPr="009F5BBB">
        <w:rPr>
          <w:sz w:val="24"/>
          <w:szCs w:val="24"/>
        </w:rPr>
        <w:t xml:space="preserve">, </w:t>
      </w:r>
      <w:proofErr w:type="spellStart"/>
      <w:r w:rsidRPr="009F5BBB">
        <w:rPr>
          <w:sz w:val="24"/>
          <w:szCs w:val="24"/>
        </w:rPr>
        <w:t>hyperkalcæmi</w:t>
      </w:r>
      <w:proofErr w:type="spellEnd"/>
      <w:r w:rsidRPr="009F5BBB">
        <w:rPr>
          <w:sz w:val="24"/>
          <w:szCs w:val="24"/>
        </w:rPr>
        <w:t xml:space="preserve"> og </w:t>
      </w:r>
      <w:proofErr w:type="spellStart"/>
      <w:r w:rsidRPr="009F5BBB">
        <w:rPr>
          <w:sz w:val="24"/>
          <w:szCs w:val="24"/>
        </w:rPr>
        <w:t>hyperfosfatæmi</w:t>
      </w:r>
      <w:proofErr w:type="spellEnd"/>
      <w:r w:rsidRPr="009F5BBB">
        <w:rPr>
          <w:sz w:val="24"/>
          <w:szCs w:val="24"/>
        </w:rPr>
        <w:t xml:space="preserve"> som følge af vitamin D-toksicitet. Symptomerne kan omfatte kvalme, opkastning, </w:t>
      </w:r>
      <w:proofErr w:type="spellStart"/>
      <w:r w:rsidRPr="009F5BBB">
        <w:rPr>
          <w:sz w:val="24"/>
          <w:szCs w:val="24"/>
        </w:rPr>
        <w:t>polyuri</w:t>
      </w:r>
      <w:proofErr w:type="spellEnd"/>
      <w:r w:rsidRPr="009F5BBB">
        <w:rPr>
          <w:sz w:val="24"/>
          <w:szCs w:val="24"/>
        </w:rPr>
        <w:t xml:space="preserve">, anoreksi, svaghed, apati, tørst, konstipation, </w:t>
      </w:r>
      <w:proofErr w:type="spellStart"/>
      <w:r w:rsidRPr="009F5BBB">
        <w:rPr>
          <w:sz w:val="24"/>
          <w:szCs w:val="24"/>
        </w:rPr>
        <w:t>abdominalsmerter</w:t>
      </w:r>
      <w:proofErr w:type="spellEnd"/>
      <w:r w:rsidRPr="009F5BBB">
        <w:rPr>
          <w:sz w:val="24"/>
          <w:szCs w:val="24"/>
        </w:rPr>
        <w:t xml:space="preserve">, muskelsvækkelse, konfusion, polydipsi, knoglesmerter, </w:t>
      </w:r>
      <w:proofErr w:type="spellStart"/>
      <w:r w:rsidRPr="009F5BBB">
        <w:rPr>
          <w:sz w:val="24"/>
          <w:szCs w:val="24"/>
        </w:rPr>
        <w:t>kalcifikation</w:t>
      </w:r>
      <w:proofErr w:type="spellEnd"/>
      <w:r w:rsidRPr="009F5BBB">
        <w:rPr>
          <w:sz w:val="24"/>
          <w:szCs w:val="24"/>
        </w:rPr>
        <w:t xml:space="preserve"> i nyrerne, nyresten, </w:t>
      </w:r>
      <w:proofErr w:type="spellStart"/>
      <w:r w:rsidRPr="009F5BBB">
        <w:rPr>
          <w:sz w:val="24"/>
          <w:szCs w:val="24"/>
        </w:rPr>
        <w:t>vertigo</w:t>
      </w:r>
      <w:proofErr w:type="spellEnd"/>
      <w:r w:rsidRPr="009F5BBB">
        <w:rPr>
          <w:sz w:val="24"/>
          <w:szCs w:val="24"/>
        </w:rPr>
        <w:t xml:space="preserve"> og </w:t>
      </w:r>
      <w:proofErr w:type="spellStart"/>
      <w:r w:rsidRPr="009F5BBB">
        <w:rPr>
          <w:sz w:val="24"/>
          <w:szCs w:val="24"/>
        </w:rPr>
        <w:t>hjertearytmi</w:t>
      </w:r>
      <w:proofErr w:type="spellEnd"/>
      <w:r w:rsidRPr="009F5BBB">
        <w:rPr>
          <w:sz w:val="24"/>
          <w:szCs w:val="24"/>
        </w:rPr>
        <w:t xml:space="preserve"> i svære tilfælde. Kronisk overdosering kan medføre kar- og </w:t>
      </w:r>
      <w:proofErr w:type="spellStart"/>
      <w:r w:rsidRPr="009F5BBB">
        <w:rPr>
          <w:sz w:val="24"/>
          <w:szCs w:val="24"/>
        </w:rPr>
        <w:t>organkalcifikation</w:t>
      </w:r>
      <w:proofErr w:type="spellEnd"/>
      <w:r w:rsidRPr="009F5BBB">
        <w:rPr>
          <w:sz w:val="24"/>
          <w:szCs w:val="24"/>
        </w:rPr>
        <w:t xml:space="preserve"> som følge af </w:t>
      </w:r>
      <w:proofErr w:type="spellStart"/>
      <w:r w:rsidRPr="009F5BBB">
        <w:rPr>
          <w:sz w:val="24"/>
          <w:szCs w:val="24"/>
        </w:rPr>
        <w:t>hypercalcæmi</w:t>
      </w:r>
      <w:proofErr w:type="spellEnd"/>
      <w:r w:rsidRPr="009F5BBB">
        <w:rPr>
          <w:sz w:val="24"/>
          <w:szCs w:val="24"/>
        </w:rPr>
        <w:t xml:space="preserve">. </w:t>
      </w:r>
      <w:proofErr w:type="spellStart"/>
      <w:r w:rsidRPr="009F5BBB">
        <w:rPr>
          <w:sz w:val="24"/>
          <w:szCs w:val="24"/>
        </w:rPr>
        <w:t>Hyperkalcæmi</w:t>
      </w:r>
      <w:proofErr w:type="spellEnd"/>
      <w:r w:rsidRPr="009F5BBB">
        <w:rPr>
          <w:sz w:val="24"/>
          <w:szCs w:val="24"/>
        </w:rPr>
        <w:t xml:space="preserve"> i ekstreme tilfælde kan medføre </w:t>
      </w:r>
      <w:proofErr w:type="spellStart"/>
      <w:r w:rsidRPr="009F5BBB">
        <w:rPr>
          <w:sz w:val="24"/>
          <w:szCs w:val="24"/>
        </w:rPr>
        <w:t>coma</w:t>
      </w:r>
      <w:proofErr w:type="spellEnd"/>
      <w:r w:rsidRPr="009F5BBB">
        <w:rPr>
          <w:sz w:val="24"/>
          <w:szCs w:val="24"/>
        </w:rPr>
        <w:t xml:space="preserve"> eller tilmed dødsfald. Persisterende høje niveauer af calcium kan medføre irreversibel nyreinsufficiens og </w:t>
      </w:r>
      <w:proofErr w:type="spellStart"/>
      <w:r w:rsidRPr="009F5BBB">
        <w:rPr>
          <w:sz w:val="24"/>
          <w:szCs w:val="24"/>
        </w:rPr>
        <w:t>blødvævskalcifikation</w:t>
      </w:r>
      <w:proofErr w:type="spellEnd"/>
      <w:r w:rsidRPr="009F5BBB">
        <w:rPr>
          <w:sz w:val="24"/>
          <w:szCs w:val="24"/>
        </w:rPr>
        <w:t>.</w:t>
      </w:r>
    </w:p>
    <w:p w14:paraId="7B030CBF" w14:textId="77777777" w:rsidR="009F5BBB" w:rsidRPr="009F5BBB" w:rsidRDefault="009F5BBB" w:rsidP="009F5BBB">
      <w:pPr>
        <w:tabs>
          <w:tab w:val="left" w:pos="851"/>
        </w:tabs>
        <w:ind w:left="851"/>
        <w:rPr>
          <w:sz w:val="24"/>
          <w:szCs w:val="24"/>
        </w:rPr>
      </w:pPr>
    </w:p>
    <w:p w14:paraId="3F0CF06D" w14:textId="77777777" w:rsidR="009F5BBB" w:rsidRPr="009F5BBB" w:rsidRDefault="009F5BBB" w:rsidP="009F5BBB">
      <w:pPr>
        <w:tabs>
          <w:tab w:val="left" w:pos="851"/>
        </w:tabs>
        <w:ind w:left="851"/>
        <w:rPr>
          <w:sz w:val="24"/>
          <w:szCs w:val="24"/>
        </w:rPr>
      </w:pPr>
      <w:r w:rsidRPr="009F5BBB">
        <w:rPr>
          <w:sz w:val="24"/>
          <w:szCs w:val="24"/>
        </w:rPr>
        <w:t xml:space="preserve">Behandlingen bør bestå i </w:t>
      </w:r>
      <w:proofErr w:type="spellStart"/>
      <w:r w:rsidRPr="009F5BBB">
        <w:rPr>
          <w:sz w:val="24"/>
          <w:szCs w:val="24"/>
        </w:rPr>
        <w:t>seponering</w:t>
      </w:r>
      <w:proofErr w:type="spellEnd"/>
      <w:r w:rsidRPr="009F5BBB">
        <w:rPr>
          <w:sz w:val="24"/>
          <w:szCs w:val="24"/>
        </w:rPr>
        <w:t xml:space="preserve"> af al indtagelse af vitamin D. Samtidig skal anvendelsen af </w:t>
      </w:r>
      <w:proofErr w:type="spellStart"/>
      <w:r w:rsidRPr="009F5BBB">
        <w:rPr>
          <w:sz w:val="24"/>
          <w:szCs w:val="24"/>
        </w:rPr>
        <w:t>thiazid-diuretika</w:t>
      </w:r>
      <w:proofErr w:type="spellEnd"/>
      <w:r w:rsidRPr="009F5BBB">
        <w:rPr>
          <w:sz w:val="24"/>
          <w:szCs w:val="24"/>
        </w:rPr>
        <w:t xml:space="preserve">, </w:t>
      </w:r>
      <w:proofErr w:type="spellStart"/>
      <w:r w:rsidRPr="009F5BBB">
        <w:rPr>
          <w:sz w:val="24"/>
          <w:szCs w:val="24"/>
        </w:rPr>
        <w:t>lithium</w:t>
      </w:r>
      <w:proofErr w:type="spellEnd"/>
      <w:r w:rsidRPr="009F5BBB">
        <w:rPr>
          <w:sz w:val="24"/>
          <w:szCs w:val="24"/>
        </w:rPr>
        <w:t xml:space="preserve">, vitamin D og A samt </w:t>
      </w:r>
      <w:proofErr w:type="spellStart"/>
      <w:r w:rsidRPr="009F5BBB">
        <w:rPr>
          <w:sz w:val="24"/>
          <w:szCs w:val="24"/>
        </w:rPr>
        <w:t>hjerteglycosider</w:t>
      </w:r>
      <w:proofErr w:type="spellEnd"/>
      <w:r w:rsidRPr="009F5BBB">
        <w:rPr>
          <w:sz w:val="24"/>
          <w:szCs w:val="24"/>
        </w:rPr>
        <w:t xml:space="preserve"> seponeres. I tilfælde af patienter med nedsat bevidsthed er gastrisk tømning også nødvendig. </w:t>
      </w:r>
      <w:proofErr w:type="spellStart"/>
      <w:r w:rsidRPr="009F5BBB">
        <w:rPr>
          <w:sz w:val="24"/>
          <w:szCs w:val="24"/>
        </w:rPr>
        <w:t>Rehydrering</w:t>
      </w:r>
      <w:proofErr w:type="spellEnd"/>
      <w:r w:rsidRPr="009F5BBB">
        <w:rPr>
          <w:sz w:val="24"/>
          <w:szCs w:val="24"/>
        </w:rPr>
        <w:t xml:space="preserve"> og mono- eller kombineret behandling med loop-</w:t>
      </w:r>
      <w:proofErr w:type="spellStart"/>
      <w:r w:rsidRPr="009F5BBB">
        <w:rPr>
          <w:sz w:val="24"/>
          <w:szCs w:val="24"/>
        </w:rPr>
        <w:t>diuretika</w:t>
      </w:r>
      <w:proofErr w:type="spellEnd"/>
      <w:r w:rsidRPr="009F5BBB">
        <w:rPr>
          <w:sz w:val="24"/>
          <w:szCs w:val="24"/>
        </w:rPr>
        <w:t xml:space="preserve">, </w:t>
      </w:r>
      <w:proofErr w:type="spellStart"/>
      <w:r w:rsidRPr="009F5BBB">
        <w:rPr>
          <w:sz w:val="24"/>
          <w:szCs w:val="24"/>
        </w:rPr>
        <w:t>bisfosfonater</w:t>
      </w:r>
      <w:proofErr w:type="spellEnd"/>
      <w:r w:rsidRPr="009F5BBB">
        <w:rPr>
          <w:sz w:val="24"/>
          <w:szCs w:val="24"/>
        </w:rPr>
        <w:t xml:space="preserve">, </w:t>
      </w:r>
      <w:proofErr w:type="spellStart"/>
      <w:r w:rsidRPr="009F5BBB">
        <w:rPr>
          <w:sz w:val="24"/>
          <w:szCs w:val="24"/>
        </w:rPr>
        <w:t>calcitonin</w:t>
      </w:r>
      <w:proofErr w:type="spellEnd"/>
      <w:r w:rsidRPr="009F5BBB">
        <w:rPr>
          <w:sz w:val="24"/>
          <w:szCs w:val="24"/>
        </w:rPr>
        <w:t xml:space="preserve"> og </w:t>
      </w:r>
      <w:proofErr w:type="spellStart"/>
      <w:r w:rsidRPr="009F5BBB">
        <w:rPr>
          <w:sz w:val="24"/>
          <w:szCs w:val="24"/>
        </w:rPr>
        <w:t>corticosteroider</w:t>
      </w:r>
      <w:proofErr w:type="spellEnd"/>
      <w:r w:rsidRPr="009F5BBB">
        <w:rPr>
          <w:sz w:val="24"/>
          <w:szCs w:val="24"/>
        </w:rPr>
        <w:t xml:space="preserve"> kan anvendes, afhængigt af overdoseringens sværhedsgrad. Serumelektrolytniveauer, nyrefunktion og diurese bør monitoreres. I alvorlige tilfælde kan monitorering af EKG og centralt venetryk være nødvendigt.</w:t>
      </w:r>
    </w:p>
    <w:p w14:paraId="6E7054F2" w14:textId="77777777" w:rsidR="009F5BBB" w:rsidRPr="009F5BBB" w:rsidRDefault="009F5BBB" w:rsidP="009F5BBB">
      <w:pPr>
        <w:tabs>
          <w:tab w:val="left" w:pos="851"/>
        </w:tabs>
        <w:ind w:left="851"/>
        <w:rPr>
          <w:sz w:val="24"/>
          <w:szCs w:val="24"/>
        </w:rPr>
      </w:pPr>
    </w:p>
    <w:p w14:paraId="412D98A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D4556AC" w14:textId="4005E6B4" w:rsidR="009260DE" w:rsidRPr="00C84483" w:rsidRDefault="00CF1E29" w:rsidP="009260DE">
      <w:pPr>
        <w:tabs>
          <w:tab w:val="left" w:pos="851"/>
        </w:tabs>
        <w:ind w:left="851"/>
        <w:rPr>
          <w:sz w:val="24"/>
          <w:szCs w:val="24"/>
        </w:rPr>
      </w:pPr>
      <w:r>
        <w:rPr>
          <w:sz w:val="24"/>
          <w:szCs w:val="24"/>
        </w:rPr>
        <w:t>B</w:t>
      </w:r>
    </w:p>
    <w:p w14:paraId="381AB377" w14:textId="77777777" w:rsidR="009260DE" w:rsidRPr="00C84483" w:rsidRDefault="009260DE" w:rsidP="009260DE">
      <w:pPr>
        <w:tabs>
          <w:tab w:val="left" w:pos="851"/>
        </w:tabs>
        <w:ind w:left="851"/>
        <w:rPr>
          <w:sz w:val="24"/>
          <w:szCs w:val="24"/>
        </w:rPr>
      </w:pPr>
    </w:p>
    <w:p w14:paraId="7363B1CC" w14:textId="77777777" w:rsidR="009260DE" w:rsidRPr="00C84483" w:rsidRDefault="009260DE" w:rsidP="009260DE">
      <w:pPr>
        <w:tabs>
          <w:tab w:val="left" w:pos="851"/>
        </w:tabs>
        <w:ind w:left="851"/>
        <w:rPr>
          <w:sz w:val="24"/>
          <w:szCs w:val="24"/>
        </w:rPr>
      </w:pPr>
    </w:p>
    <w:p w14:paraId="52A8C995"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04A3751" w14:textId="77777777" w:rsidR="009260DE" w:rsidRPr="00C84483" w:rsidRDefault="009260DE" w:rsidP="009260DE">
      <w:pPr>
        <w:tabs>
          <w:tab w:val="left" w:pos="851"/>
        </w:tabs>
        <w:ind w:left="851"/>
        <w:rPr>
          <w:sz w:val="24"/>
          <w:szCs w:val="24"/>
        </w:rPr>
      </w:pPr>
    </w:p>
    <w:p w14:paraId="2A38DE44"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21242635" w14:textId="308FB9C8" w:rsidR="009260DE" w:rsidRDefault="00E04CA7" w:rsidP="009260DE">
      <w:pPr>
        <w:tabs>
          <w:tab w:val="left" w:pos="851"/>
        </w:tabs>
        <w:ind w:left="851"/>
        <w:rPr>
          <w:sz w:val="24"/>
          <w:szCs w:val="24"/>
        </w:rPr>
      </w:pPr>
      <w:r w:rsidRPr="00E04CA7">
        <w:rPr>
          <w:sz w:val="24"/>
          <w:szCs w:val="24"/>
        </w:rPr>
        <w:t>ATC-kode: A</w:t>
      </w:r>
      <w:r>
        <w:rPr>
          <w:sz w:val="24"/>
          <w:szCs w:val="24"/>
        </w:rPr>
        <w:t xml:space="preserve"> </w:t>
      </w:r>
      <w:r w:rsidRPr="00E04CA7">
        <w:rPr>
          <w:sz w:val="24"/>
          <w:szCs w:val="24"/>
        </w:rPr>
        <w:t>11</w:t>
      </w:r>
      <w:r>
        <w:rPr>
          <w:sz w:val="24"/>
          <w:szCs w:val="24"/>
        </w:rPr>
        <w:t xml:space="preserve"> </w:t>
      </w:r>
      <w:r w:rsidRPr="00E04CA7">
        <w:rPr>
          <w:sz w:val="24"/>
          <w:szCs w:val="24"/>
        </w:rPr>
        <w:t>CC</w:t>
      </w:r>
      <w:r>
        <w:rPr>
          <w:sz w:val="24"/>
          <w:szCs w:val="24"/>
        </w:rPr>
        <w:t xml:space="preserve"> </w:t>
      </w:r>
      <w:r w:rsidRPr="00E04CA7">
        <w:rPr>
          <w:sz w:val="24"/>
          <w:szCs w:val="24"/>
        </w:rPr>
        <w:t>05</w:t>
      </w:r>
      <w:r>
        <w:rPr>
          <w:sz w:val="24"/>
          <w:szCs w:val="24"/>
        </w:rPr>
        <w:t xml:space="preserve">. </w:t>
      </w:r>
      <w:r w:rsidRPr="00E04CA7">
        <w:rPr>
          <w:sz w:val="24"/>
          <w:szCs w:val="24"/>
        </w:rPr>
        <w:t xml:space="preserve">Vitamin D og </w:t>
      </w:r>
      <w:proofErr w:type="spellStart"/>
      <w:r w:rsidRPr="00E04CA7">
        <w:rPr>
          <w:sz w:val="24"/>
          <w:szCs w:val="24"/>
        </w:rPr>
        <w:t>analoger</w:t>
      </w:r>
      <w:proofErr w:type="spellEnd"/>
      <w:r>
        <w:rPr>
          <w:sz w:val="24"/>
          <w:szCs w:val="24"/>
        </w:rPr>
        <w:t>.</w:t>
      </w:r>
    </w:p>
    <w:p w14:paraId="14D6F477" w14:textId="77777777" w:rsidR="00E04CA7" w:rsidRPr="00C84483" w:rsidRDefault="00E04CA7" w:rsidP="009260DE">
      <w:pPr>
        <w:tabs>
          <w:tab w:val="left" w:pos="851"/>
        </w:tabs>
        <w:ind w:left="851"/>
        <w:rPr>
          <w:sz w:val="24"/>
          <w:szCs w:val="24"/>
        </w:rPr>
      </w:pPr>
    </w:p>
    <w:p w14:paraId="02DA7E9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60DEDEA" w14:textId="77777777" w:rsidR="00302BAF" w:rsidRDefault="00302BAF" w:rsidP="00302BAF">
      <w:pPr>
        <w:tabs>
          <w:tab w:val="left" w:pos="851"/>
        </w:tabs>
        <w:ind w:left="851"/>
        <w:rPr>
          <w:sz w:val="24"/>
          <w:szCs w:val="24"/>
          <w:u w:val="single"/>
        </w:rPr>
      </w:pPr>
    </w:p>
    <w:p w14:paraId="2E968E59" w14:textId="2016642E" w:rsidR="00302BAF" w:rsidRPr="00302BAF" w:rsidRDefault="00302BAF" w:rsidP="00302BAF">
      <w:pPr>
        <w:tabs>
          <w:tab w:val="left" w:pos="851"/>
        </w:tabs>
        <w:ind w:left="851"/>
        <w:rPr>
          <w:sz w:val="24"/>
          <w:szCs w:val="24"/>
        </w:rPr>
      </w:pPr>
      <w:r w:rsidRPr="00302BAF">
        <w:rPr>
          <w:sz w:val="24"/>
          <w:szCs w:val="24"/>
          <w:u w:val="single"/>
        </w:rPr>
        <w:t>Virkningsmekanisme</w:t>
      </w:r>
    </w:p>
    <w:p w14:paraId="60DFBEE7" w14:textId="77777777" w:rsidR="00302BAF" w:rsidRPr="00302BAF" w:rsidRDefault="00302BAF" w:rsidP="00302BAF">
      <w:pPr>
        <w:tabs>
          <w:tab w:val="left" w:pos="851"/>
        </w:tabs>
        <w:ind w:left="851"/>
        <w:rPr>
          <w:sz w:val="24"/>
          <w:szCs w:val="24"/>
        </w:rPr>
      </w:pPr>
      <w:r w:rsidRPr="00302BAF">
        <w:rPr>
          <w:sz w:val="24"/>
          <w:szCs w:val="24"/>
        </w:rPr>
        <w:t xml:space="preserve">I dets biologisk aktive form stimulerer vitamin D3 </w:t>
      </w:r>
      <w:proofErr w:type="spellStart"/>
      <w:r w:rsidRPr="00302BAF">
        <w:rPr>
          <w:sz w:val="24"/>
          <w:szCs w:val="24"/>
        </w:rPr>
        <w:t>intestinal</w:t>
      </w:r>
      <w:proofErr w:type="spellEnd"/>
      <w:r w:rsidRPr="00302BAF">
        <w:rPr>
          <w:sz w:val="24"/>
          <w:szCs w:val="24"/>
        </w:rPr>
        <w:t xml:space="preserve"> calcium-absorption,</w:t>
      </w:r>
    </w:p>
    <w:p w14:paraId="02AB8434" w14:textId="77777777" w:rsidR="00302BAF" w:rsidRPr="00302BAF" w:rsidRDefault="00302BAF" w:rsidP="00302BAF">
      <w:pPr>
        <w:tabs>
          <w:tab w:val="left" w:pos="851"/>
        </w:tabs>
        <w:ind w:left="851"/>
        <w:rPr>
          <w:sz w:val="24"/>
          <w:szCs w:val="24"/>
        </w:rPr>
      </w:pPr>
      <w:r w:rsidRPr="00302BAF">
        <w:rPr>
          <w:sz w:val="24"/>
          <w:szCs w:val="24"/>
        </w:rPr>
        <w:lastRenderedPageBreak/>
        <w:t xml:space="preserve">inddragelse af calcium i </w:t>
      </w:r>
      <w:proofErr w:type="spellStart"/>
      <w:r w:rsidRPr="00302BAF">
        <w:rPr>
          <w:sz w:val="24"/>
          <w:szCs w:val="24"/>
        </w:rPr>
        <w:t>osteoiden</w:t>
      </w:r>
      <w:proofErr w:type="spellEnd"/>
      <w:r w:rsidRPr="00302BAF">
        <w:rPr>
          <w:sz w:val="24"/>
          <w:szCs w:val="24"/>
        </w:rPr>
        <w:t xml:space="preserve"> og frigivelse af calcium fra knoglevævet. I tyndtarmen fremmer det hurtig og forsinket calciumoptagelse. Også passiv og aktiv transport af fosfat stimuleres. I nyrerne hæmmer det udskillelse af calcium ved at fremme </w:t>
      </w:r>
      <w:proofErr w:type="spellStart"/>
      <w:r w:rsidRPr="00302BAF">
        <w:rPr>
          <w:sz w:val="24"/>
          <w:szCs w:val="24"/>
        </w:rPr>
        <w:t>tubulær</w:t>
      </w:r>
      <w:proofErr w:type="spellEnd"/>
      <w:r w:rsidRPr="00302BAF">
        <w:rPr>
          <w:sz w:val="24"/>
          <w:szCs w:val="24"/>
        </w:rPr>
        <w:t xml:space="preserve"> resorption. Produktionen af </w:t>
      </w:r>
      <w:proofErr w:type="spellStart"/>
      <w:r w:rsidRPr="00302BAF">
        <w:rPr>
          <w:sz w:val="24"/>
          <w:szCs w:val="24"/>
        </w:rPr>
        <w:t>parathyroideahormon</w:t>
      </w:r>
      <w:proofErr w:type="spellEnd"/>
      <w:r w:rsidRPr="00302BAF">
        <w:rPr>
          <w:sz w:val="24"/>
          <w:szCs w:val="24"/>
        </w:rPr>
        <w:t xml:space="preserve"> (PTH) i </w:t>
      </w:r>
      <w:proofErr w:type="spellStart"/>
      <w:r w:rsidRPr="00302BAF">
        <w:rPr>
          <w:sz w:val="24"/>
          <w:szCs w:val="24"/>
        </w:rPr>
        <w:t>biskjoldbruskkirtlerne</w:t>
      </w:r>
      <w:proofErr w:type="spellEnd"/>
      <w:r w:rsidRPr="00302BAF">
        <w:rPr>
          <w:sz w:val="24"/>
          <w:szCs w:val="24"/>
        </w:rPr>
        <w:t xml:space="preserve"> hæmmes direkte af den biologisk aktive form af vitamin D3. PTH-udskillelse hæmmes desuden af den øgede calciumoptagelse i tyndtarmen under påvirkning af biologisk aktivt vitamin D3.</w:t>
      </w:r>
    </w:p>
    <w:p w14:paraId="08FB8208" w14:textId="77777777" w:rsidR="00302BAF" w:rsidRPr="00302BAF" w:rsidRDefault="00302BAF" w:rsidP="00302BAF">
      <w:pPr>
        <w:tabs>
          <w:tab w:val="left" w:pos="851"/>
        </w:tabs>
        <w:ind w:left="851"/>
        <w:rPr>
          <w:sz w:val="24"/>
          <w:szCs w:val="24"/>
        </w:rPr>
      </w:pPr>
    </w:p>
    <w:p w14:paraId="33B816CB" w14:textId="77777777" w:rsidR="00302BAF" w:rsidRPr="00302BAF" w:rsidRDefault="00302BAF" w:rsidP="00302BAF">
      <w:pPr>
        <w:tabs>
          <w:tab w:val="left" w:pos="851"/>
        </w:tabs>
        <w:ind w:left="851"/>
        <w:rPr>
          <w:sz w:val="24"/>
          <w:szCs w:val="24"/>
        </w:rPr>
      </w:pPr>
      <w:r w:rsidRPr="00302BAF">
        <w:rPr>
          <w:sz w:val="24"/>
          <w:szCs w:val="24"/>
        </w:rPr>
        <w:t xml:space="preserve">Vitamin D-receptorer findes i flere andre væv udover skeletsystemet, hvorfor vitamin D har forskellig virkning i adskillige fysiologiske processer. Med hensyn til dets cellulærbiologiske virkninger findes der forsøgsdata, der viser </w:t>
      </w:r>
      <w:proofErr w:type="spellStart"/>
      <w:r w:rsidRPr="00302BAF">
        <w:rPr>
          <w:sz w:val="24"/>
          <w:szCs w:val="24"/>
        </w:rPr>
        <w:t>autokrin</w:t>
      </w:r>
      <w:proofErr w:type="spellEnd"/>
      <w:r w:rsidRPr="00302BAF">
        <w:rPr>
          <w:sz w:val="24"/>
          <w:szCs w:val="24"/>
        </w:rPr>
        <w:t>/</w:t>
      </w:r>
      <w:proofErr w:type="spellStart"/>
      <w:r w:rsidRPr="00302BAF">
        <w:rPr>
          <w:sz w:val="24"/>
          <w:szCs w:val="24"/>
        </w:rPr>
        <w:t>parakrin</w:t>
      </w:r>
      <w:proofErr w:type="spellEnd"/>
      <w:r w:rsidRPr="00302BAF">
        <w:rPr>
          <w:sz w:val="24"/>
          <w:szCs w:val="24"/>
        </w:rPr>
        <w:t xml:space="preserve"> realisering af vækst og differentieringskontrol på </w:t>
      </w:r>
      <w:proofErr w:type="spellStart"/>
      <w:r w:rsidRPr="00302BAF">
        <w:rPr>
          <w:sz w:val="24"/>
          <w:szCs w:val="24"/>
        </w:rPr>
        <w:t>hæmatopoietiske</w:t>
      </w:r>
      <w:proofErr w:type="spellEnd"/>
      <w:r w:rsidRPr="00302BAF">
        <w:rPr>
          <w:sz w:val="24"/>
          <w:szCs w:val="24"/>
        </w:rPr>
        <w:t xml:space="preserve"> celler og immunceller, hud-, skelet- og glatte muskelceller samt på celler i hjernen, leveren og visse endokrine organer.</w:t>
      </w:r>
    </w:p>
    <w:p w14:paraId="384F48D2" w14:textId="77777777" w:rsidR="00302BAF" w:rsidRPr="00302BAF" w:rsidRDefault="00302BAF" w:rsidP="00302BAF">
      <w:pPr>
        <w:tabs>
          <w:tab w:val="left" w:pos="851"/>
        </w:tabs>
        <w:ind w:left="851"/>
        <w:rPr>
          <w:sz w:val="24"/>
          <w:szCs w:val="24"/>
        </w:rPr>
      </w:pPr>
    </w:p>
    <w:p w14:paraId="54A97E23" w14:textId="17999B4A" w:rsidR="00302BAF" w:rsidRPr="00302BAF" w:rsidRDefault="00302BAF" w:rsidP="00302BAF">
      <w:pPr>
        <w:tabs>
          <w:tab w:val="left" w:pos="851"/>
        </w:tabs>
        <w:ind w:left="851"/>
        <w:rPr>
          <w:sz w:val="24"/>
          <w:szCs w:val="24"/>
        </w:rPr>
      </w:pPr>
      <w:r w:rsidRPr="00302BAF">
        <w:rPr>
          <w:sz w:val="24"/>
          <w:szCs w:val="24"/>
        </w:rPr>
        <w:t xml:space="preserve">Via dets virkning på forøgelse af calciumabsorptionen øger vitamin D meget effektivt knogleresorptionen og reducerer virkningen af calcium. I en undersøgelse med 148 ældre, </w:t>
      </w:r>
      <w:proofErr w:type="spellStart"/>
      <w:r w:rsidRPr="00302BAF">
        <w:rPr>
          <w:sz w:val="24"/>
          <w:szCs w:val="24"/>
        </w:rPr>
        <w:t>postmenopausale</w:t>
      </w:r>
      <w:proofErr w:type="spellEnd"/>
      <w:r w:rsidRPr="00302BAF">
        <w:rPr>
          <w:sz w:val="24"/>
          <w:szCs w:val="24"/>
        </w:rPr>
        <w:t xml:space="preserve"> kvinder resulterede samtidig administration af 800 </w:t>
      </w:r>
      <w:proofErr w:type="gramStart"/>
      <w:r w:rsidRPr="00302BAF">
        <w:rPr>
          <w:sz w:val="24"/>
          <w:szCs w:val="24"/>
        </w:rPr>
        <w:t>IE vitamin</w:t>
      </w:r>
      <w:proofErr w:type="gramEnd"/>
      <w:r w:rsidRPr="00302BAF">
        <w:rPr>
          <w:sz w:val="24"/>
          <w:szCs w:val="24"/>
        </w:rPr>
        <w:t xml:space="preserve"> D (</w:t>
      </w:r>
      <w:proofErr w:type="spellStart"/>
      <w:r w:rsidR="0028696A">
        <w:rPr>
          <w:sz w:val="24"/>
          <w:szCs w:val="24"/>
        </w:rPr>
        <w:t>c</w:t>
      </w:r>
      <w:r w:rsidRPr="00302BAF">
        <w:rPr>
          <w:sz w:val="24"/>
          <w:szCs w:val="24"/>
        </w:rPr>
        <w:t>holecalciferol</w:t>
      </w:r>
      <w:proofErr w:type="spellEnd"/>
      <w:r w:rsidRPr="00302BAF">
        <w:rPr>
          <w:sz w:val="24"/>
          <w:szCs w:val="24"/>
        </w:rPr>
        <w:t>) og 1200 mg calcium i 72 % forhøjelse af 25(OH)D-niveau og 17 % sænkning af PTH-niveau sammenlignet med supplering af calcium alene.</w:t>
      </w:r>
    </w:p>
    <w:p w14:paraId="2A070B6D" w14:textId="77777777" w:rsidR="009260DE" w:rsidRPr="00C84483" w:rsidRDefault="009260DE" w:rsidP="009260DE">
      <w:pPr>
        <w:tabs>
          <w:tab w:val="left" w:pos="851"/>
        </w:tabs>
        <w:ind w:left="851"/>
        <w:rPr>
          <w:sz w:val="24"/>
          <w:szCs w:val="24"/>
        </w:rPr>
      </w:pPr>
    </w:p>
    <w:p w14:paraId="6B4E284A"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26E07DC5" w14:textId="77777777" w:rsidR="007409FE" w:rsidRPr="007409FE" w:rsidRDefault="007409FE" w:rsidP="007409FE">
      <w:pPr>
        <w:tabs>
          <w:tab w:val="left" w:pos="851"/>
        </w:tabs>
        <w:ind w:left="851"/>
        <w:rPr>
          <w:b/>
          <w:sz w:val="24"/>
          <w:szCs w:val="24"/>
        </w:rPr>
      </w:pPr>
    </w:p>
    <w:p w14:paraId="0D45C6E9" w14:textId="77777777" w:rsidR="007409FE" w:rsidRPr="007409FE" w:rsidRDefault="007409FE" w:rsidP="007409FE">
      <w:pPr>
        <w:tabs>
          <w:tab w:val="left" w:pos="851"/>
        </w:tabs>
        <w:ind w:left="851"/>
        <w:rPr>
          <w:sz w:val="24"/>
          <w:szCs w:val="24"/>
        </w:rPr>
      </w:pPr>
      <w:r w:rsidRPr="007409FE">
        <w:rPr>
          <w:sz w:val="24"/>
          <w:szCs w:val="24"/>
          <w:u w:val="single"/>
        </w:rPr>
        <w:t>Absorption</w:t>
      </w:r>
    </w:p>
    <w:p w14:paraId="48EC920A" w14:textId="392676E0" w:rsidR="007409FE" w:rsidRPr="007409FE" w:rsidRDefault="007409FE" w:rsidP="007409FE">
      <w:pPr>
        <w:tabs>
          <w:tab w:val="left" w:pos="851"/>
        </w:tabs>
        <w:ind w:left="851"/>
        <w:rPr>
          <w:sz w:val="24"/>
          <w:szCs w:val="24"/>
        </w:rPr>
      </w:pPr>
      <w:r w:rsidRPr="007409FE">
        <w:rPr>
          <w:sz w:val="24"/>
          <w:szCs w:val="24"/>
        </w:rPr>
        <w:t>Vitamin D absorberes godt fra mave</w:t>
      </w:r>
      <w:r>
        <w:rPr>
          <w:sz w:val="24"/>
          <w:szCs w:val="24"/>
        </w:rPr>
        <w:t>-</w:t>
      </w:r>
      <w:r w:rsidRPr="007409FE">
        <w:rPr>
          <w:sz w:val="24"/>
          <w:szCs w:val="24"/>
        </w:rPr>
        <w:t>tarm</w:t>
      </w:r>
      <w:r>
        <w:rPr>
          <w:sz w:val="24"/>
          <w:szCs w:val="24"/>
        </w:rPr>
        <w:t>-</w:t>
      </w:r>
      <w:r w:rsidRPr="007409FE">
        <w:rPr>
          <w:sz w:val="24"/>
          <w:szCs w:val="24"/>
        </w:rPr>
        <w:t>kanalen i forbindelse med galde.</w:t>
      </w:r>
    </w:p>
    <w:p w14:paraId="36AB68B8" w14:textId="77777777" w:rsidR="007409FE" w:rsidRPr="007409FE" w:rsidRDefault="007409FE" w:rsidP="007409FE">
      <w:pPr>
        <w:tabs>
          <w:tab w:val="left" w:pos="851"/>
        </w:tabs>
        <w:ind w:left="851"/>
        <w:rPr>
          <w:sz w:val="24"/>
          <w:szCs w:val="24"/>
        </w:rPr>
      </w:pPr>
    </w:p>
    <w:p w14:paraId="68DD2193" w14:textId="77777777" w:rsidR="007409FE" w:rsidRPr="007409FE" w:rsidRDefault="007409FE" w:rsidP="007409FE">
      <w:pPr>
        <w:tabs>
          <w:tab w:val="left" w:pos="851"/>
        </w:tabs>
        <w:ind w:left="851"/>
        <w:rPr>
          <w:sz w:val="24"/>
          <w:szCs w:val="24"/>
        </w:rPr>
      </w:pPr>
      <w:r w:rsidRPr="007409FE">
        <w:rPr>
          <w:sz w:val="24"/>
          <w:szCs w:val="24"/>
          <w:u w:val="single"/>
        </w:rPr>
        <w:t>Fordeling og biotransformation</w:t>
      </w:r>
    </w:p>
    <w:p w14:paraId="065DF03A" w14:textId="3557CD70" w:rsidR="007409FE" w:rsidRPr="007409FE" w:rsidRDefault="007409FE" w:rsidP="007409FE">
      <w:pPr>
        <w:tabs>
          <w:tab w:val="left" w:pos="851"/>
        </w:tabs>
        <w:ind w:left="851"/>
        <w:rPr>
          <w:sz w:val="24"/>
          <w:szCs w:val="24"/>
        </w:rPr>
      </w:pPr>
      <w:r w:rsidRPr="007409FE">
        <w:rPr>
          <w:sz w:val="24"/>
          <w:szCs w:val="24"/>
        </w:rPr>
        <w:t xml:space="preserve">Det </w:t>
      </w:r>
      <w:proofErr w:type="spellStart"/>
      <w:r w:rsidRPr="007409FE">
        <w:rPr>
          <w:sz w:val="24"/>
          <w:szCs w:val="24"/>
        </w:rPr>
        <w:t>hydroxyleres</w:t>
      </w:r>
      <w:proofErr w:type="spellEnd"/>
      <w:r w:rsidRPr="007409FE">
        <w:rPr>
          <w:sz w:val="24"/>
          <w:szCs w:val="24"/>
        </w:rPr>
        <w:t xml:space="preserve"> i leveren og danner 25-hydroxy</w:t>
      </w:r>
      <w:r>
        <w:rPr>
          <w:sz w:val="24"/>
          <w:szCs w:val="24"/>
        </w:rPr>
        <w:t>c</w:t>
      </w:r>
      <w:r w:rsidRPr="007409FE">
        <w:rPr>
          <w:sz w:val="24"/>
          <w:szCs w:val="24"/>
        </w:rPr>
        <w:t xml:space="preserve">holecalciferol og gennemgår derefter yderligere </w:t>
      </w:r>
      <w:proofErr w:type="spellStart"/>
      <w:r w:rsidRPr="007409FE">
        <w:rPr>
          <w:sz w:val="24"/>
          <w:szCs w:val="24"/>
        </w:rPr>
        <w:t>hydroxylering</w:t>
      </w:r>
      <w:proofErr w:type="spellEnd"/>
      <w:r w:rsidRPr="007409FE">
        <w:rPr>
          <w:sz w:val="24"/>
          <w:szCs w:val="24"/>
        </w:rPr>
        <w:t xml:space="preserve"> i nyrerne og danner den aktive metabolit 1, 25 </w:t>
      </w:r>
      <w:proofErr w:type="spellStart"/>
      <w:r w:rsidRPr="007409FE">
        <w:rPr>
          <w:sz w:val="24"/>
          <w:szCs w:val="24"/>
        </w:rPr>
        <w:t>dihydroxy</w:t>
      </w:r>
      <w:r>
        <w:rPr>
          <w:sz w:val="24"/>
          <w:szCs w:val="24"/>
        </w:rPr>
        <w:t>c</w:t>
      </w:r>
      <w:r w:rsidRPr="007409FE">
        <w:rPr>
          <w:sz w:val="24"/>
          <w:szCs w:val="24"/>
        </w:rPr>
        <w:t>holecalciferol</w:t>
      </w:r>
      <w:proofErr w:type="spellEnd"/>
      <w:r w:rsidRPr="007409FE">
        <w:rPr>
          <w:sz w:val="24"/>
          <w:szCs w:val="24"/>
        </w:rPr>
        <w:t xml:space="preserve"> (</w:t>
      </w:r>
      <w:proofErr w:type="spellStart"/>
      <w:r w:rsidRPr="007409FE">
        <w:rPr>
          <w:sz w:val="24"/>
          <w:szCs w:val="24"/>
        </w:rPr>
        <w:t>calcitriol</w:t>
      </w:r>
      <w:proofErr w:type="spellEnd"/>
      <w:r w:rsidRPr="007409FE">
        <w:rPr>
          <w:sz w:val="24"/>
          <w:szCs w:val="24"/>
        </w:rPr>
        <w:t>).</w:t>
      </w:r>
    </w:p>
    <w:p w14:paraId="5CD5A328" w14:textId="77777777" w:rsidR="007409FE" w:rsidRPr="007409FE" w:rsidRDefault="007409FE" w:rsidP="007409FE">
      <w:pPr>
        <w:tabs>
          <w:tab w:val="left" w:pos="851"/>
        </w:tabs>
        <w:ind w:left="851"/>
        <w:rPr>
          <w:sz w:val="24"/>
          <w:szCs w:val="24"/>
        </w:rPr>
      </w:pPr>
    </w:p>
    <w:p w14:paraId="0AE11751" w14:textId="77777777" w:rsidR="007409FE" w:rsidRPr="007409FE" w:rsidRDefault="007409FE" w:rsidP="007409FE">
      <w:pPr>
        <w:tabs>
          <w:tab w:val="left" w:pos="851"/>
        </w:tabs>
        <w:ind w:left="851"/>
        <w:rPr>
          <w:sz w:val="24"/>
          <w:szCs w:val="24"/>
        </w:rPr>
      </w:pPr>
      <w:r w:rsidRPr="007409FE">
        <w:rPr>
          <w:sz w:val="24"/>
          <w:szCs w:val="24"/>
          <w:u w:val="single"/>
        </w:rPr>
        <w:t>Udskillelse</w:t>
      </w:r>
    </w:p>
    <w:p w14:paraId="78483379" w14:textId="77777777" w:rsidR="007409FE" w:rsidRPr="007409FE" w:rsidRDefault="007409FE" w:rsidP="007409FE">
      <w:pPr>
        <w:tabs>
          <w:tab w:val="left" w:pos="851"/>
        </w:tabs>
        <w:ind w:left="851"/>
        <w:rPr>
          <w:sz w:val="24"/>
          <w:szCs w:val="24"/>
        </w:rPr>
      </w:pPr>
      <w:r w:rsidRPr="007409FE">
        <w:rPr>
          <w:sz w:val="24"/>
          <w:szCs w:val="24"/>
        </w:rPr>
        <w:t>Metabolitten cirkulerer i blodet bundet til et specifikt α-</w:t>
      </w:r>
      <w:proofErr w:type="spellStart"/>
      <w:r w:rsidRPr="007409FE">
        <w:rPr>
          <w:sz w:val="24"/>
          <w:szCs w:val="24"/>
        </w:rPr>
        <w:t>globin</w:t>
      </w:r>
      <w:proofErr w:type="spellEnd"/>
      <w:r w:rsidRPr="007409FE">
        <w:rPr>
          <w:sz w:val="24"/>
          <w:szCs w:val="24"/>
        </w:rPr>
        <w:t>, vitamin D og dets metabolitter udskilles hovedsageligt via galde og fæces.</w:t>
      </w:r>
    </w:p>
    <w:p w14:paraId="5181C7C7" w14:textId="77777777" w:rsidR="009260DE" w:rsidRPr="00C84483" w:rsidRDefault="009260DE" w:rsidP="009260DE">
      <w:pPr>
        <w:tabs>
          <w:tab w:val="left" w:pos="851"/>
        </w:tabs>
        <w:ind w:left="851"/>
        <w:rPr>
          <w:sz w:val="24"/>
          <w:szCs w:val="24"/>
        </w:rPr>
      </w:pPr>
    </w:p>
    <w:p w14:paraId="7AD9F32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309F05A0" w14:textId="77777777" w:rsidR="007409FE" w:rsidRPr="007409FE" w:rsidRDefault="007409FE" w:rsidP="007409FE">
      <w:pPr>
        <w:tabs>
          <w:tab w:val="left" w:pos="851"/>
        </w:tabs>
        <w:ind w:left="851"/>
        <w:rPr>
          <w:sz w:val="24"/>
          <w:szCs w:val="24"/>
        </w:rPr>
      </w:pPr>
      <w:proofErr w:type="spellStart"/>
      <w:r w:rsidRPr="007409FE">
        <w:rPr>
          <w:sz w:val="24"/>
          <w:szCs w:val="24"/>
        </w:rPr>
        <w:t>Cholecalciferol</w:t>
      </w:r>
      <w:proofErr w:type="spellEnd"/>
      <w:r w:rsidRPr="007409FE">
        <w:rPr>
          <w:sz w:val="24"/>
          <w:szCs w:val="24"/>
        </w:rPr>
        <w:t xml:space="preserve"> har vist sig </w:t>
      </w:r>
      <w:proofErr w:type="spellStart"/>
      <w:r w:rsidRPr="007409FE">
        <w:rPr>
          <w:sz w:val="24"/>
          <w:szCs w:val="24"/>
        </w:rPr>
        <w:t>teratogent</w:t>
      </w:r>
      <w:proofErr w:type="spellEnd"/>
      <w:r w:rsidRPr="007409FE">
        <w:rPr>
          <w:sz w:val="24"/>
          <w:szCs w:val="24"/>
        </w:rPr>
        <w:t xml:space="preserve"> i høje doser hos dyr (4-15 gange den humane dosis). Unger af drægtige kaniner behandlet med høje doser vitamin D havde læsioner anatomisk svarende til </w:t>
      </w:r>
      <w:proofErr w:type="spellStart"/>
      <w:r w:rsidRPr="007409FE">
        <w:rPr>
          <w:sz w:val="24"/>
          <w:szCs w:val="24"/>
        </w:rPr>
        <w:t>supravalvulær</w:t>
      </w:r>
      <w:proofErr w:type="spellEnd"/>
      <w:r w:rsidRPr="007409FE">
        <w:rPr>
          <w:sz w:val="24"/>
          <w:szCs w:val="24"/>
        </w:rPr>
        <w:t xml:space="preserve"> aortastenose, og unger, der ikke udviste sådanne forandringer, viste </w:t>
      </w:r>
      <w:proofErr w:type="spellStart"/>
      <w:r w:rsidRPr="007409FE">
        <w:rPr>
          <w:sz w:val="24"/>
          <w:szCs w:val="24"/>
        </w:rPr>
        <w:t>vaskulotoksicitet</w:t>
      </w:r>
      <w:proofErr w:type="spellEnd"/>
      <w:r w:rsidRPr="007409FE">
        <w:rPr>
          <w:sz w:val="24"/>
          <w:szCs w:val="24"/>
        </w:rPr>
        <w:t xml:space="preserve"> svarende til det, der fandtes hos voksne efter akut vitamin D-toksicitet. Der foreligger ingen yderligere oplysninger af relevans for sikkerhedsvurderingen udover det, der er angivet i andre dele af produktresuméet.</w:t>
      </w:r>
    </w:p>
    <w:p w14:paraId="6E35C470" w14:textId="77777777" w:rsidR="009260DE" w:rsidRPr="00C84483" w:rsidRDefault="009260DE" w:rsidP="009260DE">
      <w:pPr>
        <w:tabs>
          <w:tab w:val="left" w:pos="851"/>
        </w:tabs>
        <w:ind w:left="851"/>
        <w:rPr>
          <w:sz w:val="24"/>
          <w:szCs w:val="24"/>
        </w:rPr>
      </w:pPr>
    </w:p>
    <w:p w14:paraId="1FBDE464" w14:textId="77777777" w:rsidR="009260DE" w:rsidRPr="00C84483" w:rsidRDefault="009260DE" w:rsidP="009260DE">
      <w:pPr>
        <w:tabs>
          <w:tab w:val="left" w:pos="851"/>
        </w:tabs>
        <w:ind w:left="851"/>
        <w:rPr>
          <w:sz w:val="24"/>
          <w:szCs w:val="24"/>
        </w:rPr>
      </w:pPr>
    </w:p>
    <w:p w14:paraId="52EF92C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BDF2DA4" w14:textId="77777777" w:rsidR="009260DE" w:rsidRPr="00BA09F1" w:rsidRDefault="009260DE" w:rsidP="009260DE">
      <w:pPr>
        <w:tabs>
          <w:tab w:val="left" w:pos="851"/>
        </w:tabs>
        <w:ind w:left="851"/>
        <w:rPr>
          <w:sz w:val="24"/>
          <w:szCs w:val="24"/>
        </w:rPr>
      </w:pPr>
    </w:p>
    <w:p w14:paraId="4BE6D9C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6CFF7CA" w14:textId="77777777" w:rsidR="00EE2BA8" w:rsidRPr="00EE2BA8" w:rsidRDefault="00EE2BA8" w:rsidP="00EE2BA8">
      <w:pPr>
        <w:tabs>
          <w:tab w:val="left" w:pos="851"/>
        </w:tabs>
        <w:ind w:left="851"/>
        <w:rPr>
          <w:b/>
          <w:sz w:val="24"/>
          <w:szCs w:val="24"/>
        </w:rPr>
      </w:pPr>
    </w:p>
    <w:p w14:paraId="40E49CD4" w14:textId="77777777" w:rsidR="00EE2BA8" w:rsidRDefault="00EE2BA8" w:rsidP="00EE2BA8">
      <w:pPr>
        <w:tabs>
          <w:tab w:val="left" w:pos="851"/>
        </w:tabs>
        <w:ind w:left="851"/>
        <w:rPr>
          <w:sz w:val="24"/>
          <w:szCs w:val="24"/>
        </w:rPr>
      </w:pPr>
      <w:r w:rsidRPr="00EE2BA8">
        <w:rPr>
          <w:sz w:val="24"/>
          <w:szCs w:val="24"/>
          <w:u w:val="single"/>
        </w:rPr>
        <w:t>Kapselindhold</w:t>
      </w:r>
    </w:p>
    <w:p w14:paraId="23620A2E" w14:textId="46297E71" w:rsidR="00EE2BA8" w:rsidRPr="00EE2BA8" w:rsidRDefault="00EE2BA8" w:rsidP="00EE2BA8">
      <w:pPr>
        <w:tabs>
          <w:tab w:val="left" w:pos="851"/>
        </w:tabs>
        <w:ind w:left="851"/>
        <w:rPr>
          <w:sz w:val="24"/>
          <w:szCs w:val="24"/>
        </w:rPr>
      </w:pPr>
      <w:r w:rsidRPr="00EE2BA8">
        <w:rPr>
          <w:sz w:val="24"/>
          <w:szCs w:val="24"/>
        </w:rPr>
        <w:t>Majsolie, raffineret</w:t>
      </w:r>
    </w:p>
    <w:p w14:paraId="032D3BB0" w14:textId="77777777" w:rsidR="00EE2BA8" w:rsidRPr="00EE2BA8" w:rsidRDefault="00EE2BA8" w:rsidP="00EE2BA8">
      <w:pPr>
        <w:tabs>
          <w:tab w:val="left" w:pos="851"/>
        </w:tabs>
        <w:ind w:left="851"/>
        <w:rPr>
          <w:sz w:val="24"/>
          <w:szCs w:val="24"/>
        </w:rPr>
      </w:pPr>
    </w:p>
    <w:p w14:paraId="79579285" w14:textId="77777777" w:rsidR="00EE2BA8" w:rsidRPr="00EE2BA8" w:rsidRDefault="00EE2BA8" w:rsidP="00EE2BA8">
      <w:pPr>
        <w:tabs>
          <w:tab w:val="left" w:pos="851"/>
        </w:tabs>
        <w:ind w:left="851"/>
        <w:rPr>
          <w:sz w:val="24"/>
          <w:szCs w:val="24"/>
        </w:rPr>
      </w:pPr>
      <w:r w:rsidRPr="00EE2BA8">
        <w:rPr>
          <w:sz w:val="24"/>
          <w:szCs w:val="24"/>
          <w:u w:val="single"/>
        </w:rPr>
        <w:t>Kapselskal</w:t>
      </w:r>
      <w:r w:rsidRPr="00EE2BA8">
        <w:rPr>
          <w:sz w:val="24"/>
          <w:szCs w:val="24"/>
        </w:rPr>
        <w:t xml:space="preserve"> </w:t>
      </w:r>
    </w:p>
    <w:p w14:paraId="2F9CF261" w14:textId="77777777" w:rsidR="00EE2BA8" w:rsidRPr="00EE2BA8" w:rsidRDefault="00EE2BA8" w:rsidP="00EE2BA8">
      <w:pPr>
        <w:tabs>
          <w:tab w:val="left" w:pos="851"/>
        </w:tabs>
        <w:ind w:left="851"/>
        <w:rPr>
          <w:sz w:val="24"/>
          <w:szCs w:val="24"/>
        </w:rPr>
      </w:pPr>
      <w:r w:rsidRPr="00EE2BA8">
        <w:rPr>
          <w:sz w:val="24"/>
          <w:szCs w:val="24"/>
        </w:rPr>
        <w:t>Gelatine</w:t>
      </w:r>
    </w:p>
    <w:p w14:paraId="330B3999" w14:textId="47AAD7E0" w:rsidR="00EE2BA8" w:rsidRPr="00EE2BA8" w:rsidRDefault="00EE2BA8" w:rsidP="00EE2BA8">
      <w:pPr>
        <w:tabs>
          <w:tab w:val="left" w:pos="851"/>
        </w:tabs>
        <w:ind w:left="851"/>
        <w:rPr>
          <w:sz w:val="24"/>
          <w:szCs w:val="24"/>
        </w:rPr>
      </w:pPr>
      <w:r w:rsidRPr="00EE2BA8">
        <w:rPr>
          <w:sz w:val="24"/>
          <w:szCs w:val="24"/>
        </w:rPr>
        <w:lastRenderedPageBreak/>
        <w:t>Glycerol (E422)</w:t>
      </w:r>
    </w:p>
    <w:p w14:paraId="50AD6B90" w14:textId="77777777" w:rsidR="00EE2BA8" w:rsidRPr="00EE2BA8" w:rsidRDefault="00EE2BA8" w:rsidP="00EE2BA8">
      <w:pPr>
        <w:tabs>
          <w:tab w:val="left" w:pos="851"/>
        </w:tabs>
        <w:ind w:left="851"/>
        <w:rPr>
          <w:sz w:val="24"/>
          <w:szCs w:val="24"/>
        </w:rPr>
      </w:pPr>
      <w:proofErr w:type="spellStart"/>
      <w:r w:rsidRPr="00EE2BA8">
        <w:rPr>
          <w:sz w:val="24"/>
          <w:szCs w:val="24"/>
        </w:rPr>
        <w:t>Brilliant</w:t>
      </w:r>
      <w:proofErr w:type="spellEnd"/>
      <w:r w:rsidRPr="00EE2BA8">
        <w:rPr>
          <w:sz w:val="24"/>
          <w:szCs w:val="24"/>
        </w:rPr>
        <w:t xml:space="preserve"> </w:t>
      </w:r>
      <w:proofErr w:type="spellStart"/>
      <w:r w:rsidRPr="00EE2BA8">
        <w:rPr>
          <w:sz w:val="24"/>
          <w:szCs w:val="24"/>
        </w:rPr>
        <w:t>blue</w:t>
      </w:r>
      <w:proofErr w:type="spellEnd"/>
      <w:r w:rsidRPr="00EE2BA8">
        <w:rPr>
          <w:sz w:val="24"/>
          <w:szCs w:val="24"/>
        </w:rPr>
        <w:t xml:space="preserve"> FCF (E133)</w:t>
      </w:r>
    </w:p>
    <w:p w14:paraId="124F0DAE" w14:textId="77777777" w:rsidR="009260DE" w:rsidRPr="00C84483" w:rsidRDefault="009260DE" w:rsidP="009260DE">
      <w:pPr>
        <w:tabs>
          <w:tab w:val="left" w:pos="851"/>
        </w:tabs>
        <w:ind w:left="851"/>
        <w:rPr>
          <w:sz w:val="24"/>
          <w:szCs w:val="24"/>
        </w:rPr>
      </w:pPr>
    </w:p>
    <w:p w14:paraId="7DCC881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A8D4620" w14:textId="2A73B3B5" w:rsidR="009260DE" w:rsidRPr="00C84483" w:rsidRDefault="000375B6" w:rsidP="009260DE">
      <w:pPr>
        <w:tabs>
          <w:tab w:val="left" w:pos="851"/>
        </w:tabs>
        <w:ind w:left="851"/>
        <w:rPr>
          <w:sz w:val="24"/>
          <w:szCs w:val="24"/>
        </w:rPr>
      </w:pPr>
      <w:r>
        <w:rPr>
          <w:sz w:val="24"/>
          <w:szCs w:val="24"/>
        </w:rPr>
        <w:t>Ikke relevant.</w:t>
      </w:r>
    </w:p>
    <w:p w14:paraId="08C811F8" w14:textId="77777777" w:rsidR="009260DE" w:rsidRPr="00C84483" w:rsidRDefault="009260DE" w:rsidP="009260DE">
      <w:pPr>
        <w:tabs>
          <w:tab w:val="left" w:pos="851"/>
        </w:tabs>
        <w:ind w:left="851"/>
        <w:rPr>
          <w:sz w:val="24"/>
          <w:szCs w:val="24"/>
        </w:rPr>
      </w:pPr>
    </w:p>
    <w:p w14:paraId="7E66107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C936A7F" w14:textId="37C19BF4" w:rsidR="009260DE" w:rsidRPr="00C84483" w:rsidRDefault="009260DE" w:rsidP="009260DE">
      <w:pPr>
        <w:tabs>
          <w:tab w:val="left" w:pos="851"/>
        </w:tabs>
        <w:ind w:left="851" w:hanging="851"/>
        <w:rPr>
          <w:sz w:val="24"/>
          <w:szCs w:val="24"/>
        </w:rPr>
      </w:pPr>
      <w:r w:rsidRPr="00C84483">
        <w:rPr>
          <w:sz w:val="24"/>
          <w:szCs w:val="24"/>
        </w:rPr>
        <w:tab/>
      </w:r>
      <w:r w:rsidR="00B01776">
        <w:rPr>
          <w:sz w:val="24"/>
          <w:szCs w:val="24"/>
        </w:rPr>
        <w:t>3</w:t>
      </w:r>
      <w:r w:rsidR="000375B6">
        <w:rPr>
          <w:sz w:val="24"/>
          <w:szCs w:val="24"/>
        </w:rPr>
        <w:t xml:space="preserve"> år.</w:t>
      </w:r>
    </w:p>
    <w:p w14:paraId="2E6950F2" w14:textId="77777777" w:rsidR="009260DE" w:rsidRPr="00C84483" w:rsidRDefault="009260DE" w:rsidP="009260DE">
      <w:pPr>
        <w:tabs>
          <w:tab w:val="left" w:pos="851"/>
        </w:tabs>
        <w:ind w:left="851"/>
        <w:rPr>
          <w:sz w:val="24"/>
          <w:szCs w:val="24"/>
        </w:rPr>
      </w:pPr>
    </w:p>
    <w:p w14:paraId="19532058" w14:textId="77777777" w:rsidR="009260DE" w:rsidRPr="008014A1" w:rsidRDefault="009260DE" w:rsidP="009260DE">
      <w:pPr>
        <w:tabs>
          <w:tab w:val="left" w:pos="851"/>
        </w:tabs>
        <w:ind w:left="851" w:hanging="851"/>
        <w:rPr>
          <w:b/>
          <w:sz w:val="24"/>
          <w:szCs w:val="24"/>
        </w:rPr>
      </w:pPr>
      <w:r w:rsidRPr="008014A1">
        <w:rPr>
          <w:b/>
          <w:sz w:val="24"/>
          <w:szCs w:val="24"/>
        </w:rPr>
        <w:t>6.4</w:t>
      </w:r>
      <w:r w:rsidRPr="008014A1">
        <w:rPr>
          <w:b/>
          <w:sz w:val="24"/>
          <w:szCs w:val="24"/>
        </w:rPr>
        <w:tab/>
        <w:t>Særlige opbevaringsforhold</w:t>
      </w:r>
    </w:p>
    <w:p w14:paraId="15151FDF" w14:textId="77C969C4" w:rsidR="000375B6" w:rsidRPr="008014A1" w:rsidRDefault="008014A1" w:rsidP="000375B6">
      <w:pPr>
        <w:tabs>
          <w:tab w:val="left" w:pos="851"/>
        </w:tabs>
        <w:ind w:left="851"/>
        <w:rPr>
          <w:sz w:val="24"/>
          <w:szCs w:val="24"/>
        </w:rPr>
      </w:pPr>
      <w:r w:rsidRPr="008014A1">
        <w:rPr>
          <w:sz w:val="24"/>
          <w:szCs w:val="24"/>
        </w:rPr>
        <w:t>Der er ingen særlige krav vedrørende opbevaringstemperaturer for dette lægemiddel.</w:t>
      </w:r>
    </w:p>
    <w:p w14:paraId="04EB6BAF" w14:textId="77777777" w:rsidR="008014A1" w:rsidRPr="008014A1" w:rsidRDefault="008014A1" w:rsidP="000375B6">
      <w:pPr>
        <w:tabs>
          <w:tab w:val="left" w:pos="851"/>
        </w:tabs>
        <w:ind w:left="851"/>
        <w:rPr>
          <w:sz w:val="24"/>
          <w:szCs w:val="24"/>
        </w:rPr>
      </w:pPr>
    </w:p>
    <w:p w14:paraId="787A4A09" w14:textId="66746395" w:rsidR="000375B6" w:rsidRPr="008014A1" w:rsidRDefault="000375B6" w:rsidP="000375B6">
      <w:pPr>
        <w:tabs>
          <w:tab w:val="left" w:pos="851"/>
        </w:tabs>
        <w:ind w:left="851"/>
        <w:rPr>
          <w:sz w:val="24"/>
          <w:szCs w:val="24"/>
        </w:rPr>
      </w:pPr>
      <w:r w:rsidRPr="008014A1">
        <w:rPr>
          <w:sz w:val="24"/>
          <w:szCs w:val="24"/>
        </w:rPr>
        <w:t>Opbevar blisterpakningen i den ydre æske for at beskytte mod lys.</w:t>
      </w:r>
    </w:p>
    <w:p w14:paraId="250C8DF0" w14:textId="0E7C9BF7" w:rsidR="009260DE" w:rsidRPr="008014A1" w:rsidRDefault="009260DE" w:rsidP="009260DE">
      <w:pPr>
        <w:tabs>
          <w:tab w:val="left" w:pos="851"/>
        </w:tabs>
        <w:ind w:left="851"/>
        <w:rPr>
          <w:sz w:val="24"/>
          <w:szCs w:val="24"/>
        </w:rPr>
      </w:pPr>
    </w:p>
    <w:p w14:paraId="4442D41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0CC391E0" w14:textId="49A62EAB" w:rsidR="00CE7F28" w:rsidRDefault="003A0156" w:rsidP="003A0156">
      <w:pPr>
        <w:tabs>
          <w:tab w:val="left" w:pos="851"/>
        </w:tabs>
        <w:ind w:left="851"/>
        <w:rPr>
          <w:sz w:val="24"/>
          <w:szCs w:val="24"/>
        </w:rPr>
      </w:pPr>
      <w:r w:rsidRPr="003A0156">
        <w:rPr>
          <w:sz w:val="24"/>
          <w:szCs w:val="24"/>
        </w:rPr>
        <w:t>PVC-film belagt med aluminiumblisterfolie</w:t>
      </w:r>
      <w:r w:rsidR="00CE7F28">
        <w:rPr>
          <w:sz w:val="24"/>
          <w:szCs w:val="24"/>
        </w:rPr>
        <w:t>,</w:t>
      </w:r>
      <w:r w:rsidRPr="003A0156">
        <w:rPr>
          <w:sz w:val="24"/>
          <w:szCs w:val="24"/>
        </w:rPr>
        <w:t xml:space="preserve"> pakket i kartonæske</w:t>
      </w:r>
      <w:r w:rsidR="00CE7F28">
        <w:rPr>
          <w:sz w:val="24"/>
          <w:szCs w:val="24"/>
        </w:rPr>
        <w:t>.</w:t>
      </w:r>
    </w:p>
    <w:p w14:paraId="6EFBD1E2" w14:textId="77777777" w:rsidR="00CE7F28" w:rsidRDefault="00CE7F28" w:rsidP="003A0156">
      <w:pPr>
        <w:tabs>
          <w:tab w:val="left" w:pos="851"/>
        </w:tabs>
        <w:ind w:left="851"/>
        <w:rPr>
          <w:sz w:val="24"/>
          <w:szCs w:val="24"/>
        </w:rPr>
      </w:pPr>
    </w:p>
    <w:p w14:paraId="24FA84ED" w14:textId="6A11D85C" w:rsidR="003A0156" w:rsidRPr="003A0156" w:rsidRDefault="003A0156" w:rsidP="003A0156">
      <w:pPr>
        <w:tabs>
          <w:tab w:val="left" w:pos="851"/>
        </w:tabs>
        <w:ind w:left="851"/>
        <w:rPr>
          <w:sz w:val="24"/>
          <w:szCs w:val="24"/>
        </w:rPr>
      </w:pPr>
      <w:r w:rsidRPr="003A0156">
        <w:rPr>
          <w:sz w:val="24"/>
          <w:szCs w:val="24"/>
        </w:rPr>
        <w:t>Pakningsstørrelser: 28, 30, 56, 60 og 90 kapsler.</w:t>
      </w:r>
    </w:p>
    <w:p w14:paraId="39CA2D39" w14:textId="77777777" w:rsidR="003A0156" w:rsidRPr="003A0156" w:rsidRDefault="003A0156" w:rsidP="003A0156">
      <w:pPr>
        <w:tabs>
          <w:tab w:val="left" w:pos="851"/>
        </w:tabs>
        <w:ind w:left="851"/>
        <w:rPr>
          <w:sz w:val="24"/>
          <w:szCs w:val="24"/>
        </w:rPr>
      </w:pPr>
      <w:r w:rsidRPr="003A0156">
        <w:rPr>
          <w:sz w:val="24"/>
          <w:szCs w:val="24"/>
        </w:rPr>
        <w:t>Ikke alle pakningsstørrelser er nødvendigvis markedsført.</w:t>
      </w:r>
    </w:p>
    <w:p w14:paraId="5FA7244C" w14:textId="77777777" w:rsidR="009260DE" w:rsidRPr="00C84483" w:rsidRDefault="009260DE" w:rsidP="009260DE">
      <w:pPr>
        <w:tabs>
          <w:tab w:val="left" w:pos="851"/>
        </w:tabs>
        <w:ind w:left="851"/>
        <w:rPr>
          <w:sz w:val="24"/>
          <w:szCs w:val="24"/>
        </w:rPr>
      </w:pPr>
    </w:p>
    <w:p w14:paraId="2A285E56"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196658C3" w14:textId="77777777" w:rsidR="00CE7F28" w:rsidRPr="00CE7F28" w:rsidRDefault="00CE7F28" w:rsidP="00CE7F28">
      <w:pPr>
        <w:tabs>
          <w:tab w:val="left" w:pos="851"/>
        </w:tabs>
        <w:ind w:left="851"/>
        <w:rPr>
          <w:sz w:val="24"/>
          <w:szCs w:val="24"/>
        </w:rPr>
      </w:pPr>
      <w:r w:rsidRPr="00CE7F28">
        <w:rPr>
          <w:sz w:val="24"/>
          <w:szCs w:val="24"/>
        </w:rPr>
        <w:t>Ikke anvendt produkt samt affald heraf skal bortskaffes i henhold til lokale retningslinjer.</w:t>
      </w:r>
    </w:p>
    <w:p w14:paraId="4EBA8C5C" w14:textId="77777777" w:rsidR="009260DE" w:rsidRPr="00C84483" w:rsidRDefault="009260DE" w:rsidP="000730CA">
      <w:pPr>
        <w:tabs>
          <w:tab w:val="left" w:pos="851"/>
        </w:tabs>
        <w:ind w:left="851"/>
        <w:rPr>
          <w:sz w:val="24"/>
          <w:szCs w:val="24"/>
        </w:rPr>
      </w:pPr>
    </w:p>
    <w:p w14:paraId="65A78DB8"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16D4B90" w14:textId="77777777" w:rsidR="00CE7F28" w:rsidRPr="00832552" w:rsidRDefault="00CE7F28" w:rsidP="00CE7F28">
      <w:pPr>
        <w:tabs>
          <w:tab w:val="left" w:pos="851"/>
        </w:tabs>
        <w:ind w:left="851"/>
        <w:rPr>
          <w:b/>
          <w:bCs/>
          <w:sz w:val="24"/>
          <w:szCs w:val="24"/>
        </w:rPr>
      </w:pPr>
      <w:r w:rsidRPr="00832552">
        <w:rPr>
          <w:sz w:val="24"/>
          <w:szCs w:val="24"/>
        </w:rPr>
        <w:t>Strides Pharma (</w:t>
      </w:r>
      <w:proofErr w:type="spellStart"/>
      <w:r w:rsidRPr="00832552">
        <w:rPr>
          <w:sz w:val="24"/>
          <w:szCs w:val="24"/>
        </w:rPr>
        <w:t>Cyprus</w:t>
      </w:r>
      <w:proofErr w:type="spellEnd"/>
      <w:r w:rsidRPr="00832552">
        <w:rPr>
          <w:sz w:val="24"/>
          <w:szCs w:val="24"/>
        </w:rPr>
        <w:t>) Limited</w:t>
      </w:r>
    </w:p>
    <w:p w14:paraId="78F89014" w14:textId="3339B586" w:rsidR="00CE7F28" w:rsidRPr="00CE7F28" w:rsidRDefault="00CE7F28" w:rsidP="00CE7F28">
      <w:pPr>
        <w:tabs>
          <w:tab w:val="left" w:pos="851"/>
        </w:tabs>
        <w:ind w:left="851"/>
        <w:rPr>
          <w:b/>
          <w:bCs/>
          <w:sz w:val="24"/>
          <w:szCs w:val="24"/>
          <w:lang w:val="en-IN"/>
        </w:rPr>
      </w:pPr>
      <w:proofErr w:type="spellStart"/>
      <w:r w:rsidRPr="00CE7F28">
        <w:rPr>
          <w:sz w:val="24"/>
          <w:szCs w:val="24"/>
          <w:lang w:val="en-IN"/>
        </w:rPr>
        <w:t>Themistloki</w:t>
      </w:r>
      <w:proofErr w:type="spellEnd"/>
      <w:r w:rsidRPr="00CE7F28">
        <w:rPr>
          <w:sz w:val="24"/>
          <w:szCs w:val="24"/>
          <w:lang w:val="en-IN"/>
        </w:rPr>
        <w:t xml:space="preserve"> </w:t>
      </w:r>
      <w:proofErr w:type="spellStart"/>
      <w:r w:rsidRPr="00CE7F28">
        <w:rPr>
          <w:sz w:val="24"/>
          <w:szCs w:val="24"/>
          <w:lang w:val="en-IN"/>
        </w:rPr>
        <w:t>Dervi</w:t>
      </w:r>
      <w:proofErr w:type="spellEnd"/>
      <w:r w:rsidR="00941F1D">
        <w:rPr>
          <w:sz w:val="24"/>
          <w:szCs w:val="24"/>
          <w:lang w:val="en-IN"/>
        </w:rPr>
        <w:t>, 3</w:t>
      </w:r>
    </w:p>
    <w:p w14:paraId="394ACE11" w14:textId="320A303C" w:rsidR="00CE7F28" w:rsidRPr="00CE7F28" w:rsidRDefault="00CE7F28" w:rsidP="00CE7F28">
      <w:pPr>
        <w:tabs>
          <w:tab w:val="left" w:pos="851"/>
        </w:tabs>
        <w:ind w:left="851"/>
        <w:rPr>
          <w:b/>
          <w:bCs/>
          <w:sz w:val="24"/>
          <w:szCs w:val="24"/>
          <w:lang w:val="en-IN"/>
        </w:rPr>
      </w:pPr>
      <w:r w:rsidRPr="00CE7F28">
        <w:rPr>
          <w:sz w:val="24"/>
          <w:szCs w:val="24"/>
          <w:lang w:val="en-IN"/>
        </w:rPr>
        <w:t>J</w:t>
      </w:r>
      <w:r w:rsidR="00E817C8">
        <w:rPr>
          <w:sz w:val="24"/>
          <w:szCs w:val="24"/>
          <w:lang w:val="en-IN"/>
        </w:rPr>
        <w:t>ulia</w:t>
      </w:r>
      <w:r w:rsidRPr="00CE7F28">
        <w:rPr>
          <w:sz w:val="24"/>
          <w:szCs w:val="24"/>
          <w:lang w:val="en-IN"/>
        </w:rPr>
        <w:t xml:space="preserve"> House</w:t>
      </w:r>
      <w:r w:rsidR="00E817C8">
        <w:rPr>
          <w:sz w:val="24"/>
          <w:szCs w:val="24"/>
          <w:lang w:val="en-IN"/>
        </w:rPr>
        <w:t xml:space="preserve">, </w:t>
      </w:r>
      <w:r w:rsidRPr="00CE7F28">
        <w:rPr>
          <w:sz w:val="24"/>
          <w:szCs w:val="24"/>
          <w:lang w:val="en-IN"/>
        </w:rPr>
        <w:t>1st Floor</w:t>
      </w:r>
    </w:p>
    <w:p w14:paraId="05D04682" w14:textId="77777777" w:rsidR="00CE7F28" w:rsidRPr="00832552" w:rsidRDefault="00CE7F28" w:rsidP="00CE7F28">
      <w:pPr>
        <w:tabs>
          <w:tab w:val="left" w:pos="851"/>
        </w:tabs>
        <w:ind w:left="851"/>
        <w:rPr>
          <w:b/>
          <w:bCs/>
          <w:sz w:val="24"/>
          <w:szCs w:val="24"/>
        </w:rPr>
      </w:pPr>
      <w:r w:rsidRPr="00832552">
        <w:rPr>
          <w:sz w:val="24"/>
          <w:szCs w:val="24"/>
        </w:rPr>
        <w:t>1066 Nicosia</w:t>
      </w:r>
    </w:p>
    <w:p w14:paraId="222DA506" w14:textId="77777777" w:rsidR="00CE7F28" w:rsidRPr="00832552" w:rsidRDefault="00CE7F28" w:rsidP="00CE7F28">
      <w:pPr>
        <w:tabs>
          <w:tab w:val="left" w:pos="851"/>
        </w:tabs>
        <w:ind w:left="851"/>
        <w:rPr>
          <w:b/>
          <w:bCs/>
          <w:sz w:val="24"/>
          <w:szCs w:val="24"/>
        </w:rPr>
      </w:pPr>
      <w:r w:rsidRPr="00832552">
        <w:rPr>
          <w:sz w:val="24"/>
          <w:szCs w:val="24"/>
        </w:rPr>
        <w:t>Cypern</w:t>
      </w:r>
    </w:p>
    <w:p w14:paraId="345EC461" w14:textId="77777777" w:rsidR="009260DE" w:rsidRPr="00832552" w:rsidRDefault="009260DE" w:rsidP="009260DE">
      <w:pPr>
        <w:tabs>
          <w:tab w:val="left" w:pos="851"/>
        </w:tabs>
        <w:ind w:left="851"/>
        <w:rPr>
          <w:sz w:val="24"/>
          <w:szCs w:val="24"/>
        </w:rPr>
      </w:pPr>
    </w:p>
    <w:p w14:paraId="32A0870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5369879D" w14:textId="702546A4" w:rsidR="009260DE" w:rsidRPr="00C84483" w:rsidRDefault="004611C5" w:rsidP="009260DE">
      <w:pPr>
        <w:tabs>
          <w:tab w:val="left" w:pos="851"/>
        </w:tabs>
        <w:ind w:left="851"/>
        <w:rPr>
          <w:sz w:val="24"/>
          <w:szCs w:val="24"/>
        </w:rPr>
      </w:pPr>
      <w:r>
        <w:rPr>
          <w:sz w:val="24"/>
          <w:szCs w:val="24"/>
        </w:rPr>
        <w:t>63737</w:t>
      </w:r>
    </w:p>
    <w:p w14:paraId="12846AFA" w14:textId="77777777" w:rsidR="009260DE" w:rsidRPr="00C84483" w:rsidRDefault="009260DE" w:rsidP="009260DE">
      <w:pPr>
        <w:tabs>
          <w:tab w:val="left" w:pos="851"/>
        </w:tabs>
        <w:ind w:left="851"/>
        <w:jc w:val="both"/>
        <w:rPr>
          <w:sz w:val="24"/>
          <w:szCs w:val="24"/>
        </w:rPr>
      </w:pPr>
    </w:p>
    <w:p w14:paraId="7D08C39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444A90F" w14:textId="7B655058" w:rsidR="009260DE" w:rsidRPr="00C84483" w:rsidRDefault="00832552" w:rsidP="009260DE">
      <w:pPr>
        <w:tabs>
          <w:tab w:val="left" w:pos="851"/>
        </w:tabs>
        <w:ind w:left="851"/>
        <w:rPr>
          <w:sz w:val="24"/>
          <w:szCs w:val="24"/>
        </w:rPr>
      </w:pPr>
      <w:r>
        <w:rPr>
          <w:sz w:val="24"/>
          <w:szCs w:val="24"/>
        </w:rPr>
        <w:t>24. marts 2022</w:t>
      </w:r>
    </w:p>
    <w:p w14:paraId="6916949D" w14:textId="77777777" w:rsidR="009260DE" w:rsidRPr="00C84483" w:rsidRDefault="009260DE" w:rsidP="009260DE">
      <w:pPr>
        <w:tabs>
          <w:tab w:val="left" w:pos="851"/>
        </w:tabs>
        <w:ind w:left="851"/>
        <w:rPr>
          <w:sz w:val="24"/>
          <w:szCs w:val="24"/>
        </w:rPr>
      </w:pPr>
    </w:p>
    <w:p w14:paraId="22504805"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CE79A64" w14:textId="0DF35460" w:rsidR="009260DE" w:rsidRPr="00C84483" w:rsidRDefault="00B01776" w:rsidP="009260DE">
      <w:pPr>
        <w:tabs>
          <w:tab w:val="left" w:pos="851"/>
        </w:tabs>
        <w:ind w:left="851"/>
        <w:rPr>
          <w:sz w:val="24"/>
          <w:szCs w:val="24"/>
        </w:rPr>
      </w:pPr>
      <w:r>
        <w:rPr>
          <w:sz w:val="24"/>
          <w:szCs w:val="24"/>
        </w:rPr>
        <w:t>28. november 2022</w:t>
      </w:r>
      <w:bookmarkStart w:id="2" w:name="_GoBack"/>
      <w:bookmarkEnd w:id="2"/>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D5E1F" w14:textId="77777777" w:rsidR="00B36286" w:rsidRDefault="00B36286">
      <w:r>
        <w:separator/>
      </w:r>
    </w:p>
  </w:endnote>
  <w:endnote w:type="continuationSeparator" w:id="0">
    <w:p w14:paraId="11200C97" w14:textId="77777777" w:rsidR="00B36286" w:rsidRDefault="00B3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A6BEE" w14:textId="77777777" w:rsidR="000259B9" w:rsidRDefault="000259B9">
    <w:pPr>
      <w:pStyle w:val="Sidefod"/>
      <w:pBdr>
        <w:bottom w:val="single" w:sz="6" w:space="1" w:color="auto"/>
      </w:pBdr>
    </w:pPr>
  </w:p>
  <w:p w14:paraId="18DB50DF" w14:textId="77777777" w:rsidR="000259B9" w:rsidRDefault="000259B9" w:rsidP="00C42586">
    <w:pPr>
      <w:pStyle w:val="Sidefod"/>
      <w:tabs>
        <w:tab w:val="clear" w:pos="4819"/>
        <w:tab w:val="left" w:pos="8505"/>
      </w:tabs>
      <w:rPr>
        <w:i/>
        <w:sz w:val="18"/>
        <w:szCs w:val="18"/>
      </w:rPr>
    </w:pPr>
  </w:p>
  <w:p w14:paraId="30BA3276" w14:textId="2509340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41F70">
      <w:rPr>
        <w:i/>
        <w:noProof/>
        <w:sz w:val="18"/>
        <w:szCs w:val="18"/>
      </w:rPr>
      <w:t>Cholecalciferol Strides, bløde kapsler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C7154" w14:textId="77777777" w:rsidR="00B36286" w:rsidRDefault="00B36286">
      <w:r>
        <w:separator/>
      </w:r>
    </w:p>
  </w:footnote>
  <w:footnote w:type="continuationSeparator" w:id="0">
    <w:p w14:paraId="1BE3CD1F" w14:textId="77777777" w:rsidR="00B36286" w:rsidRDefault="00B36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40B73"/>
    <w:multiLevelType w:val="hybridMultilevel"/>
    <w:tmpl w:val="E062C584"/>
    <w:lvl w:ilvl="0" w:tplc="F82A09C4">
      <w:numFmt w:val="bullet"/>
      <w:lvlText w:val="□"/>
      <w:lvlJc w:val="left"/>
      <w:pPr>
        <w:ind w:left="119" w:hanging="820"/>
      </w:pPr>
      <w:rPr>
        <w:rFonts w:ascii="Times New Roman" w:eastAsia="Times New Roman" w:hAnsi="Times New Roman" w:cs="Times New Roman" w:hint="default"/>
        <w:w w:val="60"/>
        <w:sz w:val="24"/>
        <w:szCs w:val="24"/>
        <w:lang w:val="en-US" w:eastAsia="en-US" w:bidi="ar-SA"/>
      </w:rPr>
    </w:lvl>
    <w:lvl w:ilvl="1" w:tplc="03FAF81C">
      <w:numFmt w:val="bullet"/>
      <w:lvlText w:val="•"/>
      <w:lvlJc w:val="left"/>
      <w:pPr>
        <w:ind w:left="1008" w:hanging="820"/>
      </w:pPr>
      <w:rPr>
        <w:rFonts w:hint="default"/>
        <w:lang w:val="en-US" w:eastAsia="en-US" w:bidi="ar-SA"/>
      </w:rPr>
    </w:lvl>
    <w:lvl w:ilvl="2" w:tplc="F1CA7E48">
      <w:numFmt w:val="bullet"/>
      <w:lvlText w:val="•"/>
      <w:lvlJc w:val="left"/>
      <w:pPr>
        <w:ind w:left="1896" w:hanging="820"/>
      </w:pPr>
      <w:rPr>
        <w:rFonts w:hint="default"/>
        <w:lang w:val="en-US" w:eastAsia="en-US" w:bidi="ar-SA"/>
      </w:rPr>
    </w:lvl>
    <w:lvl w:ilvl="3" w:tplc="F39420B8">
      <w:numFmt w:val="bullet"/>
      <w:lvlText w:val="•"/>
      <w:lvlJc w:val="left"/>
      <w:pPr>
        <w:ind w:left="2784" w:hanging="820"/>
      </w:pPr>
      <w:rPr>
        <w:rFonts w:hint="default"/>
        <w:lang w:val="en-US" w:eastAsia="en-US" w:bidi="ar-SA"/>
      </w:rPr>
    </w:lvl>
    <w:lvl w:ilvl="4" w:tplc="8C74B1A2">
      <w:numFmt w:val="bullet"/>
      <w:lvlText w:val="•"/>
      <w:lvlJc w:val="left"/>
      <w:pPr>
        <w:ind w:left="3672" w:hanging="820"/>
      </w:pPr>
      <w:rPr>
        <w:rFonts w:hint="default"/>
        <w:lang w:val="en-US" w:eastAsia="en-US" w:bidi="ar-SA"/>
      </w:rPr>
    </w:lvl>
    <w:lvl w:ilvl="5" w:tplc="1D0A8B42">
      <w:numFmt w:val="bullet"/>
      <w:lvlText w:val="•"/>
      <w:lvlJc w:val="left"/>
      <w:pPr>
        <w:ind w:left="4560" w:hanging="820"/>
      </w:pPr>
      <w:rPr>
        <w:rFonts w:hint="default"/>
        <w:lang w:val="en-US" w:eastAsia="en-US" w:bidi="ar-SA"/>
      </w:rPr>
    </w:lvl>
    <w:lvl w:ilvl="6" w:tplc="F3B042B6">
      <w:numFmt w:val="bullet"/>
      <w:lvlText w:val="•"/>
      <w:lvlJc w:val="left"/>
      <w:pPr>
        <w:ind w:left="5448" w:hanging="820"/>
      </w:pPr>
      <w:rPr>
        <w:rFonts w:hint="default"/>
        <w:lang w:val="en-US" w:eastAsia="en-US" w:bidi="ar-SA"/>
      </w:rPr>
    </w:lvl>
    <w:lvl w:ilvl="7" w:tplc="D4BA671A">
      <w:numFmt w:val="bullet"/>
      <w:lvlText w:val="•"/>
      <w:lvlJc w:val="left"/>
      <w:pPr>
        <w:ind w:left="6336" w:hanging="820"/>
      </w:pPr>
      <w:rPr>
        <w:rFonts w:hint="default"/>
        <w:lang w:val="en-US" w:eastAsia="en-US" w:bidi="ar-SA"/>
      </w:rPr>
    </w:lvl>
    <w:lvl w:ilvl="8" w:tplc="D3B0BC9A">
      <w:numFmt w:val="bullet"/>
      <w:lvlText w:val="•"/>
      <w:lvlJc w:val="left"/>
      <w:pPr>
        <w:ind w:left="7224" w:hanging="820"/>
      </w:pPr>
      <w:rPr>
        <w:rFonts w:hint="default"/>
        <w:lang w:val="en-US"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FFC1408"/>
    <w:multiLevelType w:val="hybridMultilevel"/>
    <w:tmpl w:val="72D00628"/>
    <w:lvl w:ilvl="0" w:tplc="04060001">
      <w:start w:val="1"/>
      <w:numFmt w:val="bullet"/>
      <w:lvlText w:val=""/>
      <w:lvlJc w:val="left"/>
      <w:pPr>
        <w:ind w:left="19" w:hanging="360"/>
      </w:pPr>
      <w:rPr>
        <w:rFonts w:ascii="Symbol" w:hAnsi="Symbol" w:hint="default"/>
      </w:rPr>
    </w:lvl>
    <w:lvl w:ilvl="1" w:tplc="04060003" w:tentative="1">
      <w:start w:val="1"/>
      <w:numFmt w:val="bullet"/>
      <w:lvlText w:val="o"/>
      <w:lvlJc w:val="left"/>
      <w:pPr>
        <w:ind w:left="739" w:hanging="360"/>
      </w:pPr>
      <w:rPr>
        <w:rFonts w:ascii="Courier New" w:hAnsi="Courier New" w:cs="Courier New" w:hint="default"/>
      </w:rPr>
    </w:lvl>
    <w:lvl w:ilvl="2" w:tplc="04060005" w:tentative="1">
      <w:start w:val="1"/>
      <w:numFmt w:val="bullet"/>
      <w:lvlText w:val=""/>
      <w:lvlJc w:val="left"/>
      <w:pPr>
        <w:ind w:left="1459" w:hanging="360"/>
      </w:pPr>
      <w:rPr>
        <w:rFonts w:ascii="Wingdings" w:hAnsi="Wingdings" w:hint="default"/>
      </w:rPr>
    </w:lvl>
    <w:lvl w:ilvl="3" w:tplc="04060001" w:tentative="1">
      <w:start w:val="1"/>
      <w:numFmt w:val="bullet"/>
      <w:lvlText w:val=""/>
      <w:lvlJc w:val="left"/>
      <w:pPr>
        <w:ind w:left="2179" w:hanging="360"/>
      </w:pPr>
      <w:rPr>
        <w:rFonts w:ascii="Symbol" w:hAnsi="Symbol" w:hint="default"/>
      </w:rPr>
    </w:lvl>
    <w:lvl w:ilvl="4" w:tplc="04060003" w:tentative="1">
      <w:start w:val="1"/>
      <w:numFmt w:val="bullet"/>
      <w:lvlText w:val="o"/>
      <w:lvlJc w:val="left"/>
      <w:pPr>
        <w:ind w:left="2899" w:hanging="360"/>
      </w:pPr>
      <w:rPr>
        <w:rFonts w:ascii="Courier New" w:hAnsi="Courier New" w:cs="Courier New" w:hint="default"/>
      </w:rPr>
    </w:lvl>
    <w:lvl w:ilvl="5" w:tplc="04060005" w:tentative="1">
      <w:start w:val="1"/>
      <w:numFmt w:val="bullet"/>
      <w:lvlText w:val=""/>
      <w:lvlJc w:val="left"/>
      <w:pPr>
        <w:ind w:left="3619" w:hanging="360"/>
      </w:pPr>
      <w:rPr>
        <w:rFonts w:ascii="Wingdings" w:hAnsi="Wingdings" w:hint="default"/>
      </w:rPr>
    </w:lvl>
    <w:lvl w:ilvl="6" w:tplc="04060001" w:tentative="1">
      <w:start w:val="1"/>
      <w:numFmt w:val="bullet"/>
      <w:lvlText w:val=""/>
      <w:lvlJc w:val="left"/>
      <w:pPr>
        <w:ind w:left="4339" w:hanging="360"/>
      </w:pPr>
      <w:rPr>
        <w:rFonts w:ascii="Symbol" w:hAnsi="Symbol" w:hint="default"/>
      </w:rPr>
    </w:lvl>
    <w:lvl w:ilvl="7" w:tplc="04060003" w:tentative="1">
      <w:start w:val="1"/>
      <w:numFmt w:val="bullet"/>
      <w:lvlText w:val="o"/>
      <w:lvlJc w:val="left"/>
      <w:pPr>
        <w:ind w:left="5059" w:hanging="360"/>
      </w:pPr>
      <w:rPr>
        <w:rFonts w:ascii="Courier New" w:hAnsi="Courier New" w:cs="Courier New" w:hint="default"/>
      </w:rPr>
    </w:lvl>
    <w:lvl w:ilvl="8" w:tplc="04060005" w:tentative="1">
      <w:start w:val="1"/>
      <w:numFmt w:val="bullet"/>
      <w:lvlText w:val=""/>
      <w:lvlJc w:val="left"/>
      <w:pPr>
        <w:ind w:left="5779"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86"/>
    <w:rsid w:val="000259B9"/>
    <w:rsid w:val="000375B6"/>
    <w:rsid w:val="00041491"/>
    <w:rsid w:val="00050D16"/>
    <w:rsid w:val="000730CA"/>
    <w:rsid w:val="00074F2A"/>
    <w:rsid w:val="000A1CA8"/>
    <w:rsid w:val="000A466B"/>
    <w:rsid w:val="000B058C"/>
    <w:rsid w:val="000E4EE6"/>
    <w:rsid w:val="001454E2"/>
    <w:rsid w:val="001627B5"/>
    <w:rsid w:val="001A2A19"/>
    <w:rsid w:val="00206CE8"/>
    <w:rsid w:val="0021526C"/>
    <w:rsid w:val="002557DF"/>
    <w:rsid w:val="00282DF0"/>
    <w:rsid w:val="00283A2B"/>
    <w:rsid w:val="0028696A"/>
    <w:rsid w:val="002B30AD"/>
    <w:rsid w:val="002C2C01"/>
    <w:rsid w:val="002D4159"/>
    <w:rsid w:val="002E39A9"/>
    <w:rsid w:val="00302BAF"/>
    <w:rsid w:val="00356B5B"/>
    <w:rsid w:val="003A0156"/>
    <w:rsid w:val="003A29AE"/>
    <w:rsid w:val="003A32D7"/>
    <w:rsid w:val="003B4074"/>
    <w:rsid w:val="003C769A"/>
    <w:rsid w:val="003F1838"/>
    <w:rsid w:val="00444449"/>
    <w:rsid w:val="0045746C"/>
    <w:rsid w:val="004611C5"/>
    <w:rsid w:val="00475365"/>
    <w:rsid w:val="0049104B"/>
    <w:rsid w:val="004E3B12"/>
    <w:rsid w:val="00532310"/>
    <w:rsid w:val="00565F0F"/>
    <w:rsid w:val="005743EB"/>
    <w:rsid w:val="00594A86"/>
    <w:rsid w:val="00596D86"/>
    <w:rsid w:val="00637F5A"/>
    <w:rsid w:val="006560B1"/>
    <w:rsid w:val="006756DD"/>
    <w:rsid w:val="0068781D"/>
    <w:rsid w:val="007041DB"/>
    <w:rsid w:val="00713683"/>
    <w:rsid w:val="00737275"/>
    <w:rsid w:val="007409FE"/>
    <w:rsid w:val="00740EEC"/>
    <w:rsid w:val="0078011A"/>
    <w:rsid w:val="00782AF4"/>
    <w:rsid w:val="00790EE7"/>
    <w:rsid w:val="007B6649"/>
    <w:rsid w:val="007E40E7"/>
    <w:rsid w:val="008014A1"/>
    <w:rsid w:val="0082576E"/>
    <w:rsid w:val="00832552"/>
    <w:rsid w:val="008C14AF"/>
    <w:rsid w:val="00907F75"/>
    <w:rsid w:val="009260DE"/>
    <w:rsid w:val="0093258A"/>
    <w:rsid w:val="00941F1D"/>
    <w:rsid w:val="009C7BA3"/>
    <w:rsid w:val="009D07D9"/>
    <w:rsid w:val="009D1F5A"/>
    <w:rsid w:val="009F5BBB"/>
    <w:rsid w:val="00A10192"/>
    <w:rsid w:val="00A10294"/>
    <w:rsid w:val="00AC0A8B"/>
    <w:rsid w:val="00B003BF"/>
    <w:rsid w:val="00B01776"/>
    <w:rsid w:val="00B36286"/>
    <w:rsid w:val="00B373D7"/>
    <w:rsid w:val="00B41F70"/>
    <w:rsid w:val="00B75334"/>
    <w:rsid w:val="00B97432"/>
    <w:rsid w:val="00BC11CE"/>
    <w:rsid w:val="00C36276"/>
    <w:rsid w:val="00C42586"/>
    <w:rsid w:val="00C60CCD"/>
    <w:rsid w:val="00C84483"/>
    <w:rsid w:val="00C95551"/>
    <w:rsid w:val="00CB20D7"/>
    <w:rsid w:val="00CD0762"/>
    <w:rsid w:val="00CE7F28"/>
    <w:rsid w:val="00CF1E29"/>
    <w:rsid w:val="00D020B0"/>
    <w:rsid w:val="00D11748"/>
    <w:rsid w:val="00D366CF"/>
    <w:rsid w:val="00DE764C"/>
    <w:rsid w:val="00DF2B55"/>
    <w:rsid w:val="00E04CA7"/>
    <w:rsid w:val="00E100BA"/>
    <w:rsid w:val="00E108AA"/>
    <w:rsid w:val="00E3749A"/>
    <w:rsid w:val="00E7437F"/>
    <w:rsid w:val="00E817C8"/>
    <w:rsid w:val="00E865B8"/>
    <w:rsid w:val="00EC0B9B"/>
    <w:rsid w:val="00ED5E9F"/>
    <w:rsid w:val="00EE2BA8"/>
    <w:rsid w:val="00F345C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BDA58"/>
  <w15:chartTrackingRefBased/>
  <w15:docId w15:val="{EB15782E-132B-4E6A-88B0-998F8DAA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8781D"/>
    <w:pPr>
      <w:ind w:left="720"/>
      <w:contextualSpacing/>
    </w:pPr>
  </w:style>
  <w:style w:type="character" w:styleId="Hyperlink">
    <w:name w:val="Hyperlink"/>
    <w:basedOn w:val="Standardskrifttypeiafsnit"/>
    <w:uiPriority w:val="99"/>
    <w:unhideWhenUsed/>
    <w:rsid w:val="00713683"/>
    <w:rPr>
      <w:color w:val="0563C1" w:themeColor="hyperlink"/>
      <w:u w:val="single"/>
    </w:rPr>
  </w:style>
  <w:style w:type="character" w:styleId="Ulstomtale">
    <w:name w:val="Unresolved Mention"/>
    <w:basedOn w:val="Standardskrifttypeiafsnit"/>
    <w:uiPriority w:val="99"/>
    <w:semiHidden/>
    <w:unhideWhenUsed/>
    <w:rsid w:val="00713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B85E-D299-4511-B71F-C1822EDF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GOD 008-00-SKB SPC Hum skabelon</Template>
  <TotalTime>0</TotalTime>
  <Pages>7</Pages>
  <Words>1838</Words>
  <Characters>12240</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 Hansen</dc:creator>
  <cp:keywords/>
  <dc:description>2022074121 SPC pkt. 6.3 til 3 år</dc:description>
  <cp:lastModifiedBy>Kristine Skov Hansen</cp:lastModifiedBy>
  <cp:revision>2</cp:revision>
  <cp:lastPrinted>2012-08-22T08:53:00Z</cp:lastPrinted>
  <dcterms:created xsi:type="dcterms:W3CDTF">2022-11-28T15:34:00Z</dcterms:created>
  <dcterms:modified xsi:type="dcterms:W3CDTF">2022-11-28T15:34:00Z</dcterms:modified>
</cp:coreProperties>
</file>