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14208" w14:textId="77777777" w:rsidR="004A3BF4" w:rsidRPr="00EC3A8E" w:rsidRDefault="00056601" w:rsidP="004A3BF4">
      <w:pPr>
        <w:rPr>
          <w:sz w:val="24"/>
          <w:szCs w:val="24"/>
          <w:lang w:val="en-GB"/>
        </w:rPr>
      </w:pPr>
      <w:bookmarkStart w:id="0" w:name="_GoBack"/>
      <w:bookmarkEnd w:id="0"/>
      <w:r w:rsidRPr="00EC3A8E">
        <w:rPr>
          <w:noProof/>
          <w:sz w:val="24"/>
          <w:szCs w:val="24"/>
          <w:lang w:val="en-GB"/>
        </w:rPr>
        <w:drawing>
          <wp:inline distT="0" distB="0" distL="0" distR="0" wp14:anchorId="39087790" wp14:editId="14DF95D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38F0E17" w14:textId="77777777" w:rsidR="006B3847" w:rsidRPr="00EC3A8E" w:rsidRDefault="006B3847" w:rsidP="006B3847">
      <w:pPr>
        <w:rPr>
          <w:sz w:val="24"/>
          <w:szCs w:val="24"/>
          <w:lang w:val="en-GB"/>
        </w:rPr>
      </w:pPr>
    </w:p>
    <w:p w14:paraId="721C5262" w14:textId="7BF606D8" w:rsidR="006B3847" w:rsidRPr="003B0CB2" w:rsidRDefault="006B3847" w:rsidP="006B3847">
      <w:pPr>
        <w:tabs>
          <w:tab w:val="right" w:pos="9356"/>
        </w:tabs>
        <w:rPr>
          <w:b/>
          <w:sz w:val="24"/>
          <w:szCs w:val="24"/>
          <w:lang w:val="en-US"/>
        </w:rPr>
      </w:pPr>
      <w:r w:rsidRPr="00EC3A8E">
        <w:rPr>
          <w:b/>
          <w:sz w:val="24"/>
          <w:szCs w:val="24"/>
          <w:lang w:val="en-GB"/>
        </w:rPr>
        <w:tab/>
      </w:r>
      <w:r w:rsidR="00956893">
        <w:rPr>
          <w:b/>
          <w:sz w:val="24"/>
          <w:szCs w:val="24"/>
          <w:lang w:val="en-US"/>
        </w:rPr>
        <w:t>17</w:t>
      </w:r>
      <w:r w:rsidR="00523FD8" w:rsidRPr="003B0CB2">
        <w:rPr>
          <w:b/>
          <w:sz w:val="24"/>
          <w:szCs w:val="24"/>
          <w:lang w:val="en-US"/>
        </w:rPr>
        <w:t xml:space="preserve"> </w:t>
      </w:r>
      <w:r w:rsidR="00956893">
        <w:rPr>
          <w:b/>
          <w:sz w:val="24"/>
          <w:szCs w:val="24"/>
          <w:lang w:val="en-US"/>
        </w:rPr>
        <w:t>March</w:t>
      </w:r>
      <w:r w:rsidR="00523FD8" w:rsidRPr="003B0CB2">
        <w:rPr>
          <w:b/>
          <w:sz w:val="24"/>
          <w:szCs w:val="24"/>
          <w:lang w:val="en-US"/>
        </w:rPr>
        <w:t xml:space="preserve"> 202</w:t>
      </w:r>
      <w:r w:rsidR="00956893">
        <w:rPr>
          <w:b/>
          <w:sz w:val="24"/>
          <w:szCs w:val="24"/>
          <w:lang w:val="en-US"/>
        </w:rPr>
        <w:t>5</w:t>
      </w:r>
    </w:p>
    <w:p w14:paraId="43916520" w14:textId="483C9C8B" w:rsidR="006B3847" w:rsidRPr="003B0CB2" w:rsidRDefault="006B3847" w:rsidP="006B3847">
      <w:pPr>
        <w:rPr>
          <w:sz w:val="24"/>
          <w:szCs w:val="24"/>
          <w:lang w:val="en-US"/>
        </w:rPr>
      </w:pPr>
    </w:p>
    <w:p w14:paraId="2A6FC1A9" w14:textId="1D350C5E" w:rsidR="00D16D97" w:rsidRPr="003B0CB2" w:rsidRDefault="00D16D97" w:rsidP="007C5D2A">
      <w:pPr>
        <w:rPr>
          <w:sz w:val="24"/>
          <w:szCs w:val="24"/>
          <w:lang w:val="en-US"/>
        </w:rPr>
      </w:pPr>
    </w:p>
    <w:p w14:paraId="4CC4FBAA" w14:textId="77777777" w:rsidR="007C5D2A" w:rsidRPr="003B0CB2" w:rsidRDefault="007C5D2A" w:rsidP="007C5D2A">
      <w:pPr>
        <w:rPr>
          <w:sz w:val="24"/>
          <w:szCs w:val="24"/>
          <w:lang w:val="en-US"/>
        </w:rPr>
      </w:pPr>
    </w:p>
    <w:p w14:paraId="3BF77E8D" w14:textId="77777777" w:rsidR="007C5D2A" w:rsidRPr="00EC3A8E" w:rsidRDefault="007C5D2A" w:rsidP="007C5D2A">
      <w:pPr>
        <w:jc w:val="center"/>
        <w:rPr>
          <w:b/>
          <w:sz w:val="24"/>
          <w:szCs w:val="24"/>
          <w:lang w:val="en-GB"/>
        </w:rPr>
      </w:pPr>
      <w:bookmarkStart w:id="1" w:name="_Hlk49158549"/>
      <w:r w:rsidRPr="00EC3A8E">
        <w:rPr>
          <w:b/>
          <w:sz w:val="24"/>
          <w:szCs w:val="24"/>
          <w:lang w:val="en-GB"/>
        </w:rPr>
        <w:t>SUMMARY OF PRODUCT CHARACTERISTICS</w:t>
      </w:r>
    </w:p>
    <w:bookmarkEnd w:id="1"/>
    <w:p w14:paraId="20BEC03D" w14:textId="77777777" w:rsidR="007C5D2A" w:rsidRPr="00EC3A8E" w:rsidRDefault="007C5D2A" w:rsidP="007C5D2A">
      <w:pPr>
        <w:jc w:val="center"/>
        <w:rPr>
          <w:sz w:val="24"/>
          <w:szCs w:val="24"/>
          <w:lang w:val="en-GB"/>
        </w:rPr>
      </w:pPr>
    </w:p>
    <w:p w14:paraId="50E1B5E8" w14:textId="77777777" w:rsidR="007C5D2A" w:rsidRPr="00EC3A8E" w:rsidRDefault="007C5D2A" w:rsidP="007C5D2A">
      <w:pPr>
        <w:jc w:val="center"/>
        <w:rPr>
          <w:b/>
          <w:sz w:val="24"/>
          <w:szCs w:val="24"/>
          <w:lang w:val="en-GB"/>
        </w:rPr>
      </w:pPr>
      <w:r w:rsidRPr="00EC3A8E">
        <w:rPr>
          <w:b/>
          <w:sz w:val="24"/>
          <w:szCs w:val="24"/>
          <w:lang w:val="en-GB"/>
        </w:rPr>
        <w:t>for</w:t>
      </w:r>
    </w:p>
    <w:p w14:paraId="7E0C65A3" w14:textId="77777777" w:rsidR="007C5D2A" w:rsidRPr="00EC3A8E" w:rsidRDefault="007C5D2A" w:rsidP="007C5D2A">
      <w:pPr>
        <w:jc w:val="center"/>
        <w:rPr>
          <w:sz w:val="24"/>
          <w:szCs w:val="24"/>
          <w:lang w:val="en-GB"/>
        </w:rPr>
      </w:pPr>
    </w:p>
    <w:p w14:paraId="3CA40EAF" w14:textId="5D7B054E" w:rsidR="007C5D2A" w:rsidRPr="00EC3A8E" w:rsidRDefault="0057489D" w:rsidP="007C5D2A">
      <w:pPr>
        <w:jc w:val="center"/>
        <w:rPr>
          <w:b/>
          <w:sz w:val="24"/>
          <w:szCs w:val="24"/>
          <w:lang w:val="en-GB"/>
        </w:rPr>
      </w:pPr>
      <w:proofErr w:type="spellStart"/>
      <w:r w:rsidRPr="00EC3A8E">
        <w:rPr>
          <w:b/>
          <w:sz w:val="24"/>
          <w:szCs w:val="24"/>
          <w:lang w:val="en-GB"/>
        </w:rPr>
        <w:t>Ciclomex</w:t>
      </w:r>
      <w:proofErr w:type="spellEnd"/>
      <w:r w:rsidRPr="00EC3A8E">
        <w:rPr>
          <w:b/>
          <w:sz w:val="24"/>
          <w:szCs w:val="24"/>
          <w:lang w:val="en-GB"/>
        </w:rPr>
        <w:t>, film-coated tablets 75 micrograms/20 micrograms</w:t>
      </w:r>
    </w:p>
    <w:p w14:paraId="7CD41BC6" w14:textId="77777777" w:rsidR="007C5D2A" w:rsidRPr="00EC3A8E" w:rsidRDefault="007C5D2A" w:rsidP="007C5D2A">
      <w:pPr>
        <w:jc w:val="both"/>
        <w:rPr>
          <w:sz w:val="24"/>
          <w:szCs w:val="24"/>
          <w:lang w:val="en-GB"/>
        </w:rPr>
      </w:pPr>
    </w:p>
    <w:p w14:paraId="703A70B7" w14:textId="77777777" w:rsidR="0042292D" w:rsidRPr="00EC3A8E" w:rsidRDefault="0042292D" w:rsidP="007C5D2A">
      <w:pPr>
        <w:jc w:val="both"/>
        <w:rPr>
          <w:sz w:val="24"/>
          <w:szCs w:val="24"/>
          <w:lang w:val="en-GB"/>
        </w:rPr>
      </w:pPr>
    </w:p>
    <w:p w14:paraId="0D030B01" w14:textId="77777777" w:rsidR="008F2F8C" w:rsidRPr="00EC3A8E" w:rsidRDefault="008F2F8C" w:rsidP="008F2F8C">
      <w:pPr>
        <w:tabs>
          <w:tab w:val="left" w:pos="8222"/>
        </w:tabs>
        <w:ind w:left="851" w:hanging="851"/>
        <w:rPr>
          <w:b/>
          <w:sz w:val="24"/>
          <w:szCs w:val="24"/>
          <w:lang w:val="en-GB"/>
        </w:rPr>
      </w:pPr>
      <w:r w:rsidRPr="00EC3A8E">
        <w:rPr>
          <w:b/>
          <w:sz w:val="24"/>
          <w:szCs w:val="24"/>
          <w:lang w:val="en-GB"/>
        </w:rPr>
        <w:t>0.</w:t>
      </w:r>
      <w:r w:rsidRPr="00EC3A8E">
        <w:rPr>
          <w:b/>
          <w:sz w:val="24"/>
          <w:szCs w:val="24"/>
          <w:lang w:val="en-GB"/>
        </w:rPr>
        <w:tab/>
      </w:r>
      <w:proofErr w:type="gramStart"/>
      <w:r w:rsidRPr="00EC3A8E">
        <w:rPr>
          <w:b/>
          <w:sz w:val="24"/>
          <w:szCs w:val="24"/>
          <w:lang w:val="en-GB"/>
        </w:rPr>
        <w:t>D.SP.NO</w:t>
      </w:r>
      <w:proofErr w:type="gramEnd"/>
      <w:r w:rsidRPr="00EC3A8E">
        <w:rPr>
          <w:b/>
          <w:sz w:val="24"/>
          <w:szCs w:val="24"/>
          <w:lang w:val="en-GB"/>
        </w:rPr>
        <w:t>.</w:t>
      </w:r>
    </w:p>
    <w:p w14:paraId="48C9D5D7" w14:textId="3EEB9376" w:rsidR="008F2F8C" w:rsidRPr="00EC3A8E" w:rsidRDefault="0057489D" w:rsidP="008F2F8C">
      <w:pPr>
        <w:tabs>
          <w:tab w:val="left" w:pos="8222"/>
        </w:tabs>
        <w:ind w:left="851"/>
        <w:rPr>
          <w:sz w:val="24"/>
          <w:szCs w:val="24"/>
          <w:lang w:val="en-GB"/>
        </w:rPr>
      </w:pPr>
      <w:r w:rsidRPr="00EC3A8E">
        <w:rPr>
          <w:sz w:val="24"/>
          <w:szCs w:val="24"/>
          <w:lang w:val="en-GB"/>
        </w:rPr>
        <w:t>31921</w:t>
      </w:r>
    </w:p>
    <w:p w14:paraId="021D86F4" w14:textId="77777777" w:rsidR="007C5D2A" w:rsidRPr="00EC3A8E" w:rsidRDefault="007C5D2A" w:rsidP="007C5D2A">
      <w:pPr>
        <w:tabs>
          <w:tab w:val="left" w:pos="851"/>
        </w:tabs>
        <w:jc w:val="both"/>
        <w:rPr>
          <w:sz w:val="24"/>
          <w:szCs w:val="24"/>
          <w:lang w:val="en-GB"/>
        </w:rPr>
      </w:pPr>
    </w:p>
    <w:p w14:paraId="41CEFD0E" w14:textId="77777777" w:rsidR="007C5D2A" w:rsidRPr="00EC3A8E" w:rsidRDefault="009925C9" w:rsidP="007C5D2A">
      <w:pPr>
        <w:tabs>
          <w:tab w:val="left" w:pos="851"/>
        </w:tabs>
        <w:ind w:left="851" w:hanging="851"/>
        <w:rPr>
          <w:sz w:val="24"/>
          <w:szCs w:val="24"/>
          <w:lang w:val="en-GB"/>
        </w:rPr>
      </w:pPr>
      <w:r w:rsidRPr="00EC3A8E">
        <w:rPr>
          <w:b/>
          <w:sz w:val="24"/>
          <w:szCs w:val="24"/>
          <w:lang w:val="en-GB"/>
        </w:rPr>
        <w:t>1.</w:t>
      </w:r>
      <w:r w:rsidR="007C5D2A" w:rsidRPr="00EC3A8E">
        <w:rPr>
          <w:b/>
          <w:sz w:val="24"/>
          <w:szCs w:val="24"/>
          <w:lang w:val="en-GB"/>
        </w:rPr>
        <w:tab/>
        <w:t>NAME OF THE MEDICINAL PRODUCT</w:t>
      </w:r>
    </w:p>
    <w:p w14:paraId="3CCEE7B1" w14:textId="34E63751" w:rsidR="007C5D2A" w:rsidRPr="00EC3A8E" w:rsidRDefault="0057489D" w:rsidP="004A3BF4">
      <w:pPr>
        <w:tabs>
          <w:tab w:val="left" w:pos="851"/>
        </w:tabs>
        <w:ind w:left="851"/>
        <w:rPr>
          <w:sz w:val="24"/>
          <w:szCs w:val="24"/>
          <w:lang w:val="en-GB"/>
        </w:rPr>
      </w:pPr>
      <w:proofErr w:type="spellStart"/>
      <w:r w:rsidRPr="00EC3A8E">
        <w:rPr>
          <w:sz w:val="24"/>
          <w:szCs w:val="24"/>
          <w:lang w:val="en-GB"/>
        </w:rPr>
        <w:t>Ciclomex</w:t>
      </w:r>
      <w:proofErr w:type="spellEnd"/>
    </w:p>
    <w:p w14:paraId="689B4777" w14:textId="77777777" w:rsidR="007C5D2A" w:rsidRPr="00EC3A8E" w:rsidRDefault="007C5D2A" w:rsidP="004A3BF4">
      <w:pPr>
        <w:tabs>
          <w:tab w:val="left" w:pos="851"/>
        </w:tabs>
        <w:ind w:left="851"/>
        <w:rPr>
          <w:sz w:val="24"/>
          <w:szCs w:val="24"/>
          <w:lang w:val="en-GB"/>
        </w:rPr>
      </w:pPr>
    </w:p>
    <w:p w14:paraId="28119C17" w14:textId="77777777" w:rsidR="007C5D2A" w:rsidRPr="00EC3A8E" w:rsidRDefault="009925C9" w:rsidP="007C5D2A">
      <w:pPr>
        <w:ind w:left="851" w:hanging="851"/>
        <w:rPr>
          <w:b/>
          <w:sz w:val="24"/>
          <w:szCs w:val="24"/>
          <w:lang w:val="en-GB"/>
        </w:rPr>
      </w:pPr>
      <w:r w:rsidRPr="00EC3A8E">
        <w:rPr>
          <w:b/>
          <w:sz w:val="24"/>
          <w:szCs w:val="24"/>
          <w:lang w:val="en-GB"/>
        </w:rPr>
        <w:t>2.</w:t>
      </w:r>
      <w:r w:rsidR="007C5D2A" w:rsidRPr="00EC3A8E">
        <w:rPr>
          <w:b/>
          <w:sz w:val="24"/>
          <w:szCs w:val="24"/>
          <w:lang w:val="en-GB"/>
        </w:rPr>
        <w:tab/>
        <w:t>QUALITATIVE AND QUANTITATIVE COMPOSITION</w:t>
      </w:r>
    </w:p>
    <w:p w14:paraId="66299CB9" w14:textId="0087E4B9" w:rsidR="00450449" w:rsidRPr="00EC3A8E" w:rsidRDefault="00450449" w:rsidP="00B85D9F">
      <w:pPr>
        <w:ind w:left="851"/>
        <w:rPr>
          <w:sz w:val="24"/>
          <w:szCs w:val="24"/>
          <w:lang w:val="en-US"/>
        </w:rPr>
      </w:pPr>
      <w:r w:rsidRPr="00EC3A8E">
        <w:rPr>
          <w:sz w:val="24"/>
          <w:szCs w:val="24"/>
          <w:lang w:val="en-US"/>
        </w:rPr>
        <w:t xml:space="preserve">Each white tablet contains </w:t>
      </w:r>
      <w:r w:rsidR="00B85D9F" w:rsidRPr="00EC3A8E">
        <w:rPr>
          <w:sz w:val="24"/>
          <w:szCs w:val="24"/>
          <w:lang w:val="en-US"/>
        </w:rPr>
        <w:t xml:space="preserve">75 micrograms </w:t>
      </w:r>
      <w:proofErr w:type="spellStart"/>
      <w:r w:rsidRPr="00EC3A8E">
        <w:rPr>
          <w:sz w:val="24"/>
          <w:szCs w:val="24"/>
          <w:lang w:val="en-US"/>
        </w:rPr>
        <w:t>gestodene</w:t>
      </w:r>
      <w:proofErr w:type="spellEnd"/>
      <w:r w:rsidRPr="00EC3A8E">
        <w:rPr>
          <w:sz w:val="24"/>
          <w:szCs w:val="24"/>
          <w:lang w:val="en-US"/>
        </w:rPr>
        <w:t xml:space="preserve"> and</w:t>
      </w:r>
      <w:r w:rsidR="00B85D9F" w:rsidRPr="00EC3A8E">
        <w:rPr>
          <w:sz w:val="24"/>
          <w:szCs w:val="24"/>
          <w:lang w:val="en-US"/>
        </w:rPr>
        <w:t xml:space="preserve"> 20 micrograms </w:t>
      </w:r>
      <w:proofErr w:type="spellStart"/>
      <w:r w:rsidRPr="00EC3A8E">
        <w:rPr>
          <w:sz w:val="24"/>
          <w:szCs w:val="24"/>
          <w:lang w:val="en-US"/>
        </w:rPr>
        <w:t>ethinylestradiol</w:t>
      </w:r>
      <w:proofErr w:type="spellEnd"/>
      <w:r w:rsidR="00B85D9F" w:rsidRPr="00EC3A8E">
        <w:rPr>
          <w:sz w:val="24"/>
          <w:szCs w:val="24"/>
          <w:lang w:val="en-US"/>
        </w:rPr>
        <w:t>.</w:t>
      </w:r>
    </w:p>
    <w:p w14:paraId="5D4A255A" w14:textId="77777777" w:rsidR="00B85D9F" w:rsidRPr="00EC3A8E" w:rsidRDefault="00B85D9F" w:rsidP="00B85D9F">
      <w:pPr>
        <w:ind w:left="851"/>
        <w:rPr>
          <w:sz w:val="24"/>
          <w:szCs w:val="24"/>
          <w:lang w:val="en-US"/>
        </w:rPr>
      </w:pPr>
    </w:p>
    <w:p w14:paraId="656E5F6A" w14:textId="09820D70" w:rsidR="00450449" w:rsidRPr="00F17159" w:rsidRDefault="00450449" w:rsidP="00B85D9F">
      <w:pPr>
        <w:ind w:left="851"/>
        <w:rPr>
          <w:sz w:val="24"/>
          <w:szCs w:val="24"/>
          <w:lang w:val="en-US"/>
        </w:rPr>
      </w:pPr>
      <w:r w:rsidRPr="00F17159">
        <w:rPr>
          <w:sz w:val="24"/>
          <w:szCs w:val="24"/>
          <w:lang w:val="en-US"/>
        </w:rPr>
        <w:t>Excipients with known effect:</w:t>
      </w:r>
    </w:p>
    <w:p w14:paraId="564F4929" w14:textId="77777777" w:rsidR="00450449" w:rsidRPr="00F17159" w:rsidRDefault="00450449" w:rsidP="00B85D9F">
      <w:pPr>
        <w:ind w:left="851"/>
        <w:rPr>
          <w:sz w:val="24"/>
          <w:szCs w:val="24"/>
          <w:lang w:val="en-US"/>
        </w:rPr>
      </w:pPr>
      <w:r w:rsidRPr="00F17159">
        <w:rPr>
          <w:sz w:val="24"/>
          <w:szCs w:val="24"/>
          <w:lang w:val="en-US"/>
        </w:rPr>
        <w:t>Each tablet contains 59.12 mg lactose monohydrate.</w:t>
      </w:r>
    </w:p>
    <w:p w14:paraId="1C0C579D" w14:textId="77777777" w:rsidR="00D90DA2" w:rsidRPr="00F17159" w:rsidRDefault="00D90DA2" w:rsidP="00B85D9F">
      <w:pPr>
        <w:ind w:left="851"/>
        <w:rPr>
          <w:sz w:val="24"/>
          <w:szCs w:val="24"/>
          <w:lang w:val="en-US"/>
        </w:rPr>
      </w:pPr>
    </w:p>
    <w:p w14:paraId="3AB69A10" w14:textId="26A17B85" w:rsidR="00450449" w:rsidRPr="00EC3A8E" w:rsidRDefault="00450449" w:rsidP="00B85D9F">
      <w:pPr>
        <w:ind w:left="851"/>
        <w:rPr>
          <w:sz w:val="24"/>
          <w:szCs w:val="24"/>
          <w:lang w:val="en-US"/>
        </w:rPr>
      </w:pPr>
      <w:r w:rsidRPr="00EC3A8E">
        <w:rPr>
          <w:sz w:val="24"/>
          <w:szCs w:val="24"/>
          <w:lang w:val="en-US"/>
        </w:rPr>
        <w:t>For the full list of excipients, see section 6.1</w:t>
      </w:r>
    </w:p>
    <w:p w14:paraId="30FA795E" w14:textId="77777777" w:rsidR="007C5D2A" w:rsidRPr="00EC3A8E" w:rsidRDefault="007C5D2A" w:rsidP="00C72C33">
      <w:pPr>
        <w:rPr>
          <w:sz w:val="24"/>
          <w:szCs w:val="24"/>
          <w:lang w:val="en-GB"/>
        </w:rPr>
      </w:pPr>
    </w:p>
    <w:p w14:paraId="140EEA03" w14:textId="77777777" w:rsidR="007C5D2A" w:rsidRPr="00EC3A8E" w:rsidRDefault="007C5D2A" w:rsidP="007C5D2A">
      <w:pPr>
        <w:tabs>
          <w:tab w:val="left" w:pos="851"/>
        </w:tabs>
        <w:ind w:left="851" w:hanging="851"/>
        <w:rPr>
          <w:b/>
          <w:sz w:val="24"/>
          <w:szCs w:val="24"/>
          <w:lang w:val="en-GB"/>
        </w:rPr>
      </w:pPr>
      <w:r w:rsidRPr="00EC3A8E">
        <w:rPr>
          <w:b/>
          <w:sz w:val="24"/>
          <w:szCs w:val="24"/>
          <w:lang w:val="en-GB"/>
        </w:rPr>
        <w:t>3.</w:t>
      </w:r>
      <w:r w:rsidRPr="00EC3A8E">
        <w:rPr>
          <w:b/>
          <w:sz w:val="24"/>
          <w:szCs w:val="24"/>
          <w:lang w:val="en-GB"/>
        </w:rPr>
        <w:tab/>
        <w:t>PHARMACEUTICAL FORM</w:t>
      </w:r>
    </w:p>
    <w:p w14:paraId="3F15AC6F" w14:textId="042ED9F1" w:rsidR="00450449" w:rsidRPr="00EC3A8E" w:rsidRDefault="00383282" w:rsidP="00D90DA2">
      <w:pPr>
        <w:ind w:left="851"/>
        <w:rPr>
          <w:noProof/>
          <w:sz w:val="24"/>
          <w:szCs w:val="24"/>
          <w:lang w:val="en-US"/>
        </w:rPr>
      </w:pPr>
      <w:r>
        <w:rPr>
          <w:noProof/>
          <w:sz w:val="24"/>
          <w:szCs w:val="24"/>
          <w:lang w:val="en-US"/>
        </w:rPr>
        <w:t>Film-coated t</w:t>
      </w:r>
      <w:r w:rsidR="00450449" w:rsidRPr="00EC3A8E">
        <w:rPr>
          <w:noProof/>
          <w:sz w:val="24"/>
          <w:szCs w:val="24"/>
          <w:lang w:val="en-US"/>
        </w:rPr>
        <w:t>ablets</w:t>
      </w:r>
    </w:p>
    <w:p w14:paraId="3D85049A" w14:textId="77777777" w:rsidR="00450449" w:rsidRPr="00F17159" w:rsidRDefault="00450449" w:rsidP="00D90DA2">
      <w:pPr>
        <w:ind w:left="851"/>
        <w:rPr>
          <w:sz w:val="24"/>
          <w:szCs w:val="24"/>
          <w:lang w:val="en-US"/>
        </w:rPr>
      </w:pPr>
      <w:r w:rsidRPr="000871A3">
        <w:rPr>
          <w:noProof/>
          <w:sz w:val="24"/>
          <w:szCs w:val="24"/>
          <w:lang w:val="en-US"/>
        </w:rPr>
        <w:t xml:space="preserve">Round, white tablets, with a diameter of 5.7 mm </w:t>
      </w:r>
      <w:r w:rsidRPr="000871A3">
        <w:rPr>
          <w:sz w:val="24"/>
          <w:szCs w:val="24"/>
          <w:lang w:val="en-US"/>
        </w:rPr>
        <w:t xml:space="preserve">approximately. </w:t>
      </w:r>
      <w:r w:rsidRPr="00F17159">
        <w:rPr>
          <w:sz w:val="24"/>
          <w:szCs w:val="24"/>
          <w:lang w:val="en-US"/>
        </w:rPr>
        <w:t>The white tablet is debossed with a ‘</w:t>
      </w:r>
      <w:r w:rsidRPr="00F17159">
        <w:rPr>
          <w:i/>
          <w:sz w:val="24"/>
          <w:szCs w:val="24"/>
          <w:lang w:val="en-US"/>
        </w:rPr>
        <w:t>C’</w:t>
      </w:r>
      <w:r w:rsidRPr="00F17159">
        <w:rPr>
          <w:sz w:val="24"/>
          <w:szCs w:val="24"/>
          <w:lang w:val="en-US"/>
        </w:rPr>
        <w:t xml:space="preserve"> on one side and ‘</w:t>
      </w:r>
      <w:r w:rsidRPr="00F17159">
        <w:rPr>
          <w:i/>
          <w:sz w:val="24"/>
          <w:szCs w:val="24"/>
          <w:lang w:val="en-US"/>
        </w:rPr>
        <w:t>34’</w:t>
      </w:r>
      <w:r w:rsidRPr="00F17159">
        <w:rPr>
          <w:sz w:val="24"/>
          <w:szCs w:val="24"/>
          <w:lang w:val="en-US"/>
        </w:rPr>
        <w:t xml:space="preserve"> on the other side.</w:t>
      </w:r>
    </w:p>
    <w:p w14:paraId="33CAC99F" w14:textId="71DAC004" w:rsidR="00EC3A8E" w:rsidRDefault="00EC3A8E" w:rsidP="004A3BF4">
      <w:pPr>
        <w:tabs>
          <w:tab w:val="left" w:pos="851"/>
        </w:tabs>
        <w:ind w:left="851"/>
        <w:rPr>
          <w:sz w:val="24"/>
          <w:szCs w:val="24"/>
          <w:lang w:val="en-GB"/>
        </w:rPr>
      </w:pPr>
    </w:p>
    <w:p w14:paraId="70055635" w14:textId="77777777" w:rsidR="00383282" w:rsidRPr="00EC3A8E" w:rsidRDefault="00383282" w:rsidP="004A3BF4">
      <w:pPr>
        <w:tabs>
          <w:tab w:val="left" w:pos="851"/>
        </w:tabs>
        <w:ind w:left="851"/>
        <w:rPr>
          <w:sz w:val="24"/>
          <w:szCs w:val="24"/>
          <w:lang w:val="en-GB"/>
        </w:rPr>
      </w:pPr>
    </w:p>
    <w:p w14:paraId="10D769F9" w14:textId="77777777" w:rsidR="007C5D2A" w:rsidRPr="00EC3A8E" w:rsidRDefault="007C5D2A" w:rsidP="007C5D2A">
      <w:pPr>
        <w:ind w:left="851" w:hanging="851"/>
        <w:rPr>
          <w:b/>
          <w:sz w:val="24"/>
          <w:szCs w:val="24"/>
          <w:lang w:val="en-GB"/>
        </w:rPr>
      </w:pPr>
      <w:r w:rsidRPr="00EC3A8E">
        <w:rPr>
          <w:b/>
          <w:sz w:val="24"/>
          <w:szCs w:val="24"/>
          <w:lang w:val="en-GB"/>
        </w:rPr>
        <w:t>4.</w:t>
      </w:r>
      <w:r w:rsidRPr="00EC3A8E">
        <w:rPr>
          <w:b/>
          <w:sz w:val="24"/>
          <w:szCs w:val="24"/>
          <w:lang w:val="en-GB"/>
        </w:rPr>
        <w:tab/>
        <w:t>CLINICAL PARTICULARS</w:t>
      </w:r>
    </w:p>
    <w:p w14:paraId="330941F6" w14:textId="77777777" w:rsidR="007C5D2A" w:rsidRPr="00EC3A8E" w:rsidRDefault="007C5D2A" w:rsidP="004A3BF4">
      <w:pPr>
        <w:tabs>
          <w:tab w:val="left" w:pos="851"/>
        </w:tabs>
        <w:ind w:left="851"/>
        <w:rPr>
          <w:sz w:val="24"/>
          <w:szCs w:val="24"/>
          <w:lang w:val="en-GB"/>
        </w:rPr>
      </w:pPr>
    </w:p>
    <w:p w14:paraId="05343F4E" w14:textId="77777777" w:rsidR="007C5D2A" w:rsidRPr="00EC3A8E" w:rsidRDefault="007C5D2A" w:rsidP="007C5D2A">
      <w:pPr>
        <w:ind w:left="851" w:hanging="851"/>
        <w:rPr>
          <w:b/>
          <w:sz w:val="24"/>
          <w:szCs w:val="24"/>
          <w:u w:val="single"/>
          <w:lang w:val="en-GB"/>
        </w:rPr>
      </w:pPr>
      <w:r w:rsidRPr="00EC3A8E">
        <w:rPr>
          <w:b/>
          <w:sz w:val="24"/>
          <w:szCs w:val="24"/>
          <w:lang w:val="en-GB"/>
        </w:rPr>
        <w:t>4.1</w:t>
      </w:r>
      <w:r w:rsidRPr="00EC3A8E">
        <w:rPr>
          <w:b/>
          <w:sz w:val="24"/>
          <w:szCs w:val="24"/>
          <w:lang w:val="en-GB"/>
        </w:rPr>
        <w:tab/>
        <w:t>Therapeutic indications</w:t>
      </w:r>
    </w:p>
    <w:p w14:paraId="174858A6" w14:textId="77777777" w:rsidR="00D90DA2" w:rsidRPr="00EC3A8E" w:rsidRDefault="00D90DA2" w:rsidP="00D90DA2">
      <w:pPr>
        <w:ind w:left="851"/>
        <w:rPr>
          <w:noProof/>
          <w:sz w:val="24"/>
          <w:szCs w:val="24"/>
          <w:lang w:val="en-US"/>
        </w:rPr>
      </w:pPr>
      <w:r w:rsidRPr="00EC3A8E">
        <w:rPr>
          <w:noProof/>
          <w:sz w:val="24"/>
          <w:szCs w:val="24"/>
          <w:lang w:val="en-US"/>
        </w:rPr>
        <w:t xml:space="preserve">Oral contraception. </w:t>
      </w:r>
    </w:p>
    <w:p w14:paraId="65CAD07F" w14:textId="77777777" w:rsidR="00CF1A52" w:rsidRPr="00EC3A8E" w:rsidRDefault="00CF1A52" w:rsidP="00D90DA2">
      <w:pPr>
        <w:ind w:left="851"/>
        <w:rPr>
          <w:sz w:val="24"/>
          <w:szCs w:val="24"/>
          <w:lang w:val="en-US"/>
        </w:rPr>
      </w:pPr>
    </w:p>
    <w:p w14:paraId="4D7DA27C" w14:textId="35F9153B" w:rsidR="00D90DA2" w:rsidRPr="00EC3A8E" w:rsidRDefault="00D90DA2" w:rsidP="00D90DA2">
      <w:pPr>
        <w:ind w:left="851"/>
        <w:rPr>
          <w:sz w:val="24"/>
          <w:szCs w:val="24"/>
          <w:lang w:val="en-US"/>
        </w:rPr>
      </w:pPr>
      <w:r w:rsidRPr="00EC3A8E">
        <w:rPr>
          <w:sz w:val="24"/>
          <w:szCs w:val="24"/>
          <w:lang w:val="en-US"/>
        </w:rPr>
        <w:t xml:space="preserve">The decision to prescribe </w:t>
      </w:r>
      <w:proofErr w:type="spellStart"/>
      <w:r w:rsidR="000871A3">
        <w:rPr>
          <w:sz w:val="24"/>
          <w:szCs w:val="24"/>
          <w:lang w:val="en-US"/>
        </w:rPr>
        <w:t>Ciclomex</w:t>
      </w:r>
      <w:proofErr w:type="spellEnd"/>
      <w:r w:rsidRPr="00EC3A8E">
        <w:rPr>
          <w:sz w:val="24"/>
          <w:szCs w:val="24"/>
          <w:lang w:val="en-US"/>
        </w:rPr>
        <w:t xml:space="preserve"> should take into consideration the individual woman’s current risk factors, particularly those for venous thromboembolism (VTE), and how the risk of VTE with </w:t>
      </w:r>
      <w:proofErr w:type="spellStart"/>
      <w:r w:rsidR="000871A3">
        <w:rPr>
          <w:sz w:val="24"/>
          <w:szCs w:val="24"/>
          <w:lang w:val="en-US"/>
        </w:rPr>
        <w:t>Ciclomex</w:t>
      </w:r>
      <w:proofErr w:type="spellEnd"/>
      <w:r w:rsidRPr="00EC3A8E">
        <w:rPr>
          <w:sz w:val="24"/>
          <w:szCs w:val="24"/>
          <w:lang w:val="en-US"/>
        </w:rPr>
        <w:t xml:space="preserve"> compares with other CHCs (see sections 4.3 and 4.4).</w:t>
      </w:r>
    </w:p>
    <w:p w14:paraId="505E1C51" w14:textId="20291DC7" w:rsidR="000B2803" w:rsidRDefault="000B2803">
      <w:pPr>
        <w:rPr>
          <w:sz w:val="24"/>
          <w:szCs w:val="24"/>
          <w:lang w:val="en-US"/>
        </w:rPr>
      </w:pPr>
      <w:r>
        <w:rPr>
          <w:sz w:val="24"/>
          <w:szCs w:val="24"/>
          <w:lang w:val="en-US"/>
        </w:rPr>
        <w:br w:type="page"/>
      </w:r>
    </w:p>
    <w:p w14:paraId="64681EBA" w14:textId="77777777" w:rsidR="007C5D2A" w:rsidRPr="00EC3A8E" w:rsidRDefault="007C5D2A" w:rsidP="00D90DA2">
      <w:pPr>
        <w:ind w:left="851"/>
        <w:rPr>
          <w:sz w:val="24"/>
          <w:szCs w:val="24"/>
          <w:lang w:val="en-US"/>
        </w:rPr>
      </w:pPr>
    </w:p>
    <w:p w14:paraId="1D7FE011" w14:textId="77777777" w:rsidR="007C5D2A" w:rsidRPr="00EC3A8E" w:rsidRDefault="009925C9" w:rsidP="007C5D2A">
      <w:pPr>
        <w:tabs>
          <w:tab w:val="left" w:pos="851"/>
        </w:tabs>
        <w:ind w:left="851" w:hanging="851"/>
        <w:rPr>
          <w:sz w:val="24"/>
          <w:szCs w:val="24"/>
          <w:lang w:val="en-GB"/>
        </w:rPr>
      </w:pPr>
      <w:r w:rsidRPr="00EC3A8E">
        <w:rPr>
          <w:b/>
          <w:sz w:val="24"/>
          <w:szCs w:val="24"/>
          <w:lang w:val="en-GB"/>
        </w:rPr>
        <w:t>4.2</w:t>
      </w:r>
      <w:r w:rsidR="007C5D2A" w:rsidRPr="00EC3A8E">
        <w:rPr>
          <w:b/>
          <w:sz w:val="24"/>
          <w:szCs w:val="24"/>
          <w:lang w:val="en-GB"/>
        </w:rPr>
        <w:tab/>
        <w:t>Posology and method of administration</w:t>
      </w:r>
    </w:p>
    <w:p w14:paraId="3F1DE280" w14:textId="77777777" w:rsidR="00EC3A8E" w:rsidRDefault="00EC3A8E" w:rsidP="00CF1A52">
      <w:pPr>
        <w:ind w:left="851"/>
        <w:rPr>
          <w:sz w:val="24"/>
          <w:szCs w:val="24"/>
          <w:u w:val="single"/>
          <w:lang w:val="en-US"/>
        </w:rPr>
      </w:pPr>
    </w:p>
    <w:p w14:paraId="6F836E12" w14:textId="05A5A7AA" w:rsidR="00D90DA2" w:rsidRPr="00EC3A8E" w:rsidRDefault="00D90DA2" w:rsidP="00CF1A52">
      <w:pPr>
        <w:ind w:left="851"/>
        <w:rPr>
          <w:sz w:val="24"/>
          <w:szCs w:val="24"/>
          <w:u w:val="single"/>
          <w:lang w:val="en-US"/>
        </w:rPr>
      </w:pPr>
      <w:r w:rsidRPr="00EC3A8E">
        <w:rPr>
          <w:sz w:val="24"/>
          <w:szCs w:val="24"/>
          <w:u w:val="single"/>
          <w:lang w:val="en-US"/>
        </w:rPr>
        <w:t>Route of administration: oral use</w:t>
      </w:r>
    </w:p>
    <w:p w14:paraId="4A64A8B7" w14:textId="77777777" w:rsidR="00CF1A52" w:rsidRPr="00EC3A8E" w:rsidRDefault="00CF1A52" w:rsidP="00CF1A52">
      <w:pPr>
        <w:ind w:left="851"/>
        <w:rPr>
          <w:i/>
          <w:sz w:val="24"/>
          <w:szCs w:val="24"/>
          <w:lang w:val="en-US"/>
        </w:rPr>
      </w:pPr>
    </w:p>
    <w:p w14:paraId="20229C88" w14:textId="169F63A7" w:rsidR="00D90DA2" w:rsidRPr="00EC3A8E" w:rsidRDefault="00D90DA2" w:rsidP="00CF1A52">
      <w:pPr>
        <w:ind w:left="851"/>
        <w:rPr>
          <w:rFonts w:eastAsia="SimSun"/>
          <w:i/>
          <w:iCs/>
          <w:sz w:val="24"/>
          <w:szCs w:val="24"/>
          <w:u w:val="single"/>
          <w:lang w:val="en-US" w:eastAsia="es-ES"/>
        </w:rPr>
      </w:pPr>
      <w:r w:rsidRPr="00EC3A8E">
        <w:rPr>
          <w:i/>
          <w:sz w:val="24"/>
          <w:szCs w:val="24"/>
          <w:u w:val="single"/>
          <w:lang w:val="en-US"/>
        </w:rPr>
        <w:t xml:space="preserve">How to take </w:t>
      </w:r>
      <w:proofErr w:type="spellStart"/>
      <w:r w:rsidR="000871A3">
        <w:rPr>
          <w:i/>
          <w:sz w:val="24"/>
          <w:szCs w:val="24"/>
          <w:u w:val="single"/>
          <w:lang w:val="en-US"/>
        </w:rPr>
        <w:t>Ciclomex</w:t>
      </w:r>
      <w:proofErr w:type="spellEnd"/>
    </w:p>
    <w:p w14:paraId="6ADBC7C6" w14:textId="788715BF" w:rsidR="00D90DA2" w:rsidRPr="00EC3A8E" w:rsidRDefault="00D90DA2" w:rsidP="00CF1A52">
      <w:pPr>
        <w:ind w:left="851"/>
        <w:rPr>
          <w:sz w:val="24"/>
          <w:szCs w:val="24"/>
          <w:lang w:val="en-GB" w:eastAsia="en-US"/>
        </w:rPr>
      </w:pPr>
      <w:r w:rsidRPr="00EC3A8E">
        <w:rPr>
          <w:sz w:val="24"/>
          <w:szCs w:val="24"/>
          <w:lang w:val="en-US"/>
        </w:rPr>
        <w:t>The tablets must be taken every day at approximately the same time, if necessary with a little liquid, in the order indicated on the blister pack. One tablet per day should be taken for 21 days. Each subsequent pack should be started after a 7-day tablet-free interval during which time a withdrawal bleeding will occur. This bleeding usually starts on the 2</w:t>
      </w:r>
      <w:r w:rsidRPr="00EC3A8E">
        <w:rPr>
          <w:sz w:val="24"/>
          <w:szCs w:val="24"/>
          <w:vertAlign w:val="superscript"/>
          <w:lang w:val="en-US"/>
        </w:rPr>
        <w:t>nd</w:t>
      </w:r>
      <w:r w:rsidRPr="00EC3A8E">
        <w:rPr>
          <w:sz w:val="24"/>
          <w:szCs w:val="24"/>
          <w:lang w:val="en-US"/>
        </w:rPr>
        <w:t xml:space="preserve"> or 3</w:t>
      </w:r>
      <w:r w:rsidRPr="00EC3A8E">
        <w:rPr>
          <w:sz w:val="24"/>
          <w:szCs w:val="24"/>
          <w:vertAlign w:val="superscript"/>
          <w:lang w:val="en-US"/>
        </w:rPr>
        <w:t>rd</w:t>
      </w:r>
      <w:r w:rsidRPr="00EC3A8E">
        <w:rPr>
          <w:sz w:val="24"/>
          <w:szCs w:val="24"/>
          <w:lang w:val="en-US"/>
        </w:rPr>
        <w:t xml:space="preserve"> day after taking the last tablet, and may not stop until the next pack is started.</w:t>
      </w:r>
    </w:p>
    <w:p w14:paraId="0285049B" w14:textId="77777777" w:rsidR="00CF1A52" w:rsidRPr="00EC3A8E" w:rsidRDefault="00CF1A52" w:rsidP="00CF1A52">
      <w:pPr>
        <w:ind w:left="851"/>
        <w:rPr>
          <w:i/>
          <w:sz w:val="24"/>
          <w:szCs w:val="24"/>
          <w:lang w:val="en-US"/>
        </w:rPr>
      </w:pPr>
    </w:p>
    <w:p w14:paraId="0C8BE3E1" w14:textId="5F847441" w:rsidR="00D90DA2" w:rsidRPr="00EC3A8E" w:rsidRDefault="00D90DA2" w:rsidP="00CF1A52">
      <w:pPr>
        <w:ind w:left="851"/>
        <w:rPr>
          <w:i/>
          <w:sz w:val="24"/>
          <w:szCs w:val="24"/>
          <w:lang w:val="en-US"/>
        </w:rPr>
      </w:pPr>
      <w:r w:rsidRPr="00EC3A8E">
        <w:rPr>
          <w:i/>
          <w:sz w:val="24"/>
          <w:szCs w:val="24"/>
          <w:lang w:val="en-US"/>
        </w:rPr>
        <w:t xml:space="preserve">How to start taking </w:t>
      </w:r>
      <w:proofErr w:type="spellStart"/>
      <w:r w:rsidR="000871A3">
        <w:rPr>
          <w:i/>
          <w:sz w:val="24"/>
          <w:szCs w:val="24"/>
          <w:lang w:val="en-US"/>
        </w:rPr>
        <w:t>Ciclomex</w:t>
      </w:r>
      <w:proofErr w:type="spellEnd"/>
    </w:p>
    <w:p w14:paraId="76237531" w14:textId="77777777" w:rsidR="00CF1A52" w:rsidRPr="00EC3A8E" w:rsidRDefault="00CF1A52" w:rsidP="00CF1A52">
      <w:pPr>
        <w:ind w:left="851"/>
        <w:rPr>
          <w:rFonts w:eastAsia="SimSun"/>
          <w:i/>
          <w:iCs/>
          <w:sz w:val="24"/>
          <w:szCs w:val="24"/>
          <w:lang w:val="en-US" w:eastAsia="es-ES"/>
        </w:rPr>
      </w:pPr>
    </w:p>
    <w:p w14:paraId="6DB1E668" w14:textId="440E5D70" w:rsidR="00D90DA2" w:rsidRPr="00EC3A8E" w:rsidRDefault="00D90DA2" w:rsidP="00CF1A52">
      <w:pPr>
        <w:ind w:left="851"/>
        <w:rPr>
          <w:rFonts w:eastAsia="SimSun"/>
          <w:i/>
          <w:iCs/>
          <w:sz w:val="24"/>
          <w:szCs w:val="24"/>
          <w:lang w:val="en-US" w:eastAsia="es-ES"/>
        </w:rPr>
      </w:pPr>
      <w:r w:rsidRPr="00EC3A8E">
        <w:rPr>
          <w:rFonts w:eastAsia="SimSun"/>
          <w:i/>
          <w:iCs/>
          <w:sz w:val="24"/>
          <w:szCs w:val="24"/>
          <w:lang w:val="en-US" w:eastAsia="es-ES"/>
        </w:rPr>
        <w:t>If no preceding hormonal contraceptive use in the past month</w:t>
      </w:r>
    </w:p>
    <w:p w14:paraId="5CE12269" w14:textId="77777777" w:rsidR="00D90DA2" w:rsidRPr="00EC3A8E" w:rsidRDefault="00D90DA2" w:rsidP="00CF1A52">
      <w:pPr>
        <w:ind w:left="851"/>
        <w:rPr>
          <w:rFonts w:eastAsia="SimSun"/>
          <w:sz w:val="24"/>
          <w:szCs w:val="24"/>
          <w:lang w:val="en-US" w:eastAsia="es-ES"/>
        </w:rPr>
      </w:pPr>
      <w:r w:rsidRPr="00EC3A8E">
        <w:rPr>
          <w:rFonts w:eastAsia="SimSun"/>
          <w:sz w:val="24"/>
          <w:szCs w:val="24"/>
          <w:lang w:val="en-US" w:eastAsia="es-ES"/>
        </w:rPr>
        <w:t>Taking of the tablets should begin on the first day of the woman’s natural cycle (i.e. on the first day of the woman’s menstrual bleeding). One may begin taking the pills on day 2-5, but in these cases, it is recommended that a barrier method also be used for the first 7 days on which pills are taken during the first cycle.</w:t>
      </w:r>
    </w:p>
    <w:p w14:paraId="2FAD7937" w14:textId="77777777" w:rsidR="00CF1A52" w:rsidRPr="00EC3A8E" w:rsidRDefault="00CF1A52" w:rsidP="00CF1A52">
      <w:pPr>
        <w:ind w:left="851"/>
        <w:rPr>
          <w:rFonts w:eastAsia="SimSun"/>
          <w:i/>
          <w:iCs/>
          <w:sz w:val="24"/>
          <w:szCs w:val="24"/>
          <w:lang w:val="en-US" w:eastAsia="es-ES"/>
        </w:rPr>
      </w:pPr>
    </w:p>
    <w:p w14:paraId="43F1EF16" w14:textId="4953D209" w:rsidR="00D90DA2" w:rsidRPr="00EC3A8E" w:rsidRDefault="00D90DA2" w:rsidP="00CF1A52">
      <w:pPr>
        <w:ind w:left="851"/>
        <w:rPr>
          <w:rFonts w:eastAsia="SimSun"/>
          <w:i/>
          <w:iCs/>
          <w:sz w:val="24"/>
          <w:szCs w:val="24"/>
          <w:lang w:val="en-US" w:eastAsia="es-ES"/>
        </w:rPr>
      </w:pPr>
      <w:r w:rsidRPr="00EC3A8E">
        <w:rPr>
          <w:rFonts w:eastAsia="SimSun"/>
          <w:i/>
          <w:iCs/>
          <w:sz w:val="24"/>
          <w:szCs w:val="24"/>
          <w:lang w:val="en-US" w:eastAsia="es-ES"/>
        </w:rPr>
        <w:t xml:space="preserve">Changing from a combined hormonal contraceptive (combined oral contraceptive (COC), vaginal ring, or transdermal patch </w:t>
      </w:r>
    </w:p>
    <w:p w14:paraId="336DE9C6" w14:textId="11F75B65" w:rsidR="00D90DA2" w:rsidRPr="00EC3A8E" w:rsidRDefault="00D90DA2" w:rsidP="00CF1A52">
      <w:pPr>
        <w:ind w:left="851"/>
        <w:rPr>
          <w:rFonts w:eastAsia="SimSun"/>
          <w:sz w:val="24"/>
          <w:szCs w:val="24"/>
          <w:lang w:val="en-US" w:eastAsia="es-ES"/>
        </w:rPr>
      </w:pPr>
      <w:r w:rsidRPr="00EC3A8E">
        <w:rPr>
          <w:rFonts w:eastAsia="SimSun"/>
          <w:sz w:val="24"/>
          <w:szCs w:val="24"/>
          <w:lang w:val="en-US" w:eastAsia="es-ES"/>
        </w:rPr>
        <w:t xml:space="preserve">The woman should start taking </w:t>
      </w:r>
      <w:proofErr w:type="spellStart"/>
      <w:r w:rsidR="000871A3">
        <w:rPr>
          <w:rFonts w:eastAsia="SimSun"/>
          <w:sz w:val="24"/>
          <w:szCs w:val="24"/>
          <w:lang w:val="en-US" w:eastAsia="es-ES"/>
        </w:rPr>
        <w:t>Ciclomex</w:t>
      </w:r>
      <w:proofErr w:type="spellEnd"/>
      <w:r w:rsidRPr="00EC3A8E">
        <w:rPr>
          <w:rFonts w:eastAsia="SimSun"/>
          <w:sz w:val="24"/>
          <w:szCs w:val="24"/>
          <w:lang w:val="en-US" w:eastAsia="es-ES"/>
        </w:rPr>
        <w:t xml:space="preserve"> on the next day after taking the last active tablet in her previous package of contraceptive pills – but no later than the day after the usual tablet-free or placebo-tablet period of her previous contraceptive pill.</w:t>
      </w:r>
      <w:r w:rsidRPr="00EC3A8E">
        <w:rPr>
          <w:rFonts w:eastAsia="SimSun"/>
          <w:color w:val="000000"/>
          <w:sz w:val="24"/>
          <w:szCs w:val="24"/>
          <w:lang w:val="en-US" w:eastAsia="nl-NL"/>
        </w:rPr>
        <w:t xml:space="preserve"> </w:t>
      </w:r>
      <w:r w:rsidRPr="00EC3A8E">
        <w:rPr>
          <w:rFonts w:eastAsia="SimSun"/>
          <w:sz w:val="24"/>
          <w:szCs w:val="24"/>
          <w:lang w:val="en-US" w:eastAsia="es-ES"/>
        </w:rPr>
        <w:t xml:space="preserve">In case a vaginal ring or transdermal patch has been used, the woman should start using </w:t>
      </w:r>
      <w:proofErr w:type="spellStart"/>
      <w:r w:rsidR="000871A3">
        <w:rPr>
          <w:rFonts w:eastAsia="SimSun"/>
          <w:sz w:val="24"/>
          <w:szCs w:val="24"/>
          <w:lang w:val="en-US" w:eastAsia="es-ES"/>
        </w:rPr>
        <w:t>Ciclomex</w:t>
      </w:r>
      <w:proofErr w:type="spellEnd"/>
      <w:r w:rsidRPr="00EC3A8E">
        <w:rPr>
          <w:rFonts w:eastAsia="SimSun"/>
          <w:sz w:val="24"/>
          <w:szCs w:val="24"/>
          <w:lang w:val="en-US" w:eastAsia="es-ES"/>
        </w:rPr>
        <w:t xml:space="preserve"> preferably on the day of removal, but at the latest when the next application would have been due.</w:t>
      </w:r>
    </w:p>
    <w:p w14:paraId="22FA88D2" w14:textId="77777777" w:rsidR="00407412" w:rsidRPr="00EC3A8E" w:rsidRDefault="00407412" w:rsidP="00CF1A52">
      <w:pPr>
        <w:ind w:left="851"/>
        <w:rPr>
          <w:rFonts w:eastAsia="SimSun"/>
          <w:i/>
          <w:iCs/>
          <w:sz w:val="24"/>
          <w:szCs w:val="24"/>
          <w:lang w:val="en-US" w:eastAsia="es-ES"/>
        </w:rPr>
      </w:pPr>
    </w:p>
    <w:p w14:paraId="1AAE0F0C" w14:textId="1AFE25BD" w:rsidR="00D90DA2" w:rsidRPr="00EC3A8E" w:rsidRDefault="00D90DA2" w:rsidP="00CF1A52">
      <w:pPr>
        <w:ind w:left="851"/>
        <w:rPr>
          <w:rFonts w:eastAsia="SimSun"/>
          <w:i/>
          <w:iCs/>
          <w:sz w:val="24"/>
          <w:szCs w:val="24"/>
          <w:lang w:val="en-US" w:eastAsia="es-ES"/>
        </w:rPr>
      </w:pPr>
      <w:r w:rsidRPr="00EC3A8E">
        <w:rPr>
          <w:rFonts w:eastAsia="SimSun"/>
          <w:i/>
          <w:iCs/>
          <w:sz w:val="24"/>
          <w:szCs w:val="24"/>
          <w:lang w:val="en-US" w:eastAsia="es-ES"/>
        </w:rPr>
        <w:t>When changing from progestogen-only preparations (progestogen-only pills, injection, implant, or from a progestogen-releasing intrauterine system (IUS)):</w:t>
      </w:r>
    </w:p>
    <w:p w14:paraId="22840917" w14:textId="10B5FAD3" w:rsidR="00D90DA2" w:rsidRPr="00EC3A8E" w:rsidRDefault="00D90DA2" w:rsidP="00CF1A52">
      <w:pPr>
        <w:ind w:left="851"/>
        <w:rPr>
          <w:rFonts w:eastAsia="SimSun"/>
          <w:sz w:val="24"/>
          <w:szCs w:val="24"/>
          <w:lang w:val="en-US" w:eastAsia="es-ES"/>
        </w:rPr>
      </w:pPr>
      <w:r w:rsidRPr="00EC3A8E">
        <w:rPr>
          <w:rFonts w:eastAsia="SimSun"/>
          <w:sz w:val="24"/>
          <w:szCs w:val="24"/>
          <w:lang w:val="en-US" w:eastAsia="es-ES"/>
        </w:rPr>
        <w:t xml:space="preserve">The woman may change from progestogen-only pills (POPs) on any day. The first tablet should be taken on the day after any tablet of the POP package. When changing from an implant or the IUS, </w:t>
      </w:r>
      <w:proofErr w:type="spellStart"/>
      <w:r w:rsidR="000871A3">
        <w:rPr>
          <w:rFonts w:eastAsia="SimSun"/>
          <w:sz w:val="24"/>
          <w:szCs w:val="24"/>
          <w:lang w:val="en-US" w:eastAsia="es-ES"/>
        </w:rPr>
        <w:t>Ciclomex</w:t>
      </w:r>
      <w:proofErr w:type="spellEnd"/>
      <w:r w:rsidRPr="00EC3A8E">
        <w:rPr>
          <w:rFonts w:eastAsia="SimSun"/>
          <w:sz w:val="24"/>
          <w:szCs w:val="24"/>
          <w:lang w:val="en-US" w:eastAsia="es-ES"/>
        </w:rPr>
        <w:t xml:space="preserve"> should be started on the day the implant is removed. When changing from injections, </w:t>
      </w:r>
      <w:proofErr w:type="spellStart"/>
      <w:r w:rsidR="000871A3">
        <w:rPr>
          <w:rFonts w:eastAsia="SimSun"/>
          <w:sz w:val="24"/>
          <w:szCs w:val="24"/>
          <w:lang w:val="en-US" w:eastAsia="es-ES"/>
        </w:rPr>
        <w:t>Ciclomex</w:t>
      </w:r>
      <w:proofErr w:type="spellEnd"/>
      <w:r w:rsidRPr="00EC3A8E">
        <w:rPr>
          <w:rFonts w:eastAsia="SimSun"/>
          <w:sz w:val="24"/>
          <w:szCs w:val="24"/>
          <w:lang w:val="en-US" w:eastAsia="es-ES"/>
        </w:rPr>
        <w:t xml:space="preserve"> should be started when the next injection is due to be given. In all these cases, the woman is advised to also use a barrier method for the first 7 days of taking the pills.</w:t>
      </w:r>
    </w:p>
    <w:p w14:paraId="71778C8C" w14:textId="77777777" w:rsidR="00407412" w:rsidRPr="00EC3A8E" w:rsidRDefault="00407412" w:rsidP="00CF1A52">
      <w:pPr>
        <w:ind w:left="851"/>
        <w:rPr>
          <w:rFonts w:eastAsia="SimSun"/>
          <w:i/>
          <w:iCs/>
          <w:sz w:val="24"/>
          <w:szCs w:val="24"/>
          <w:lang w:val="en-US" w:eastAsia="es-ES"/>
        </w:rPr>
      </w:pPr>
    </w:p>
    <w:p w14:paraId="3E5D8701" w14:textId="005FACDF" w:rsidR="00D90DA2" w:rsidRPr="00EC3A8E" w:rsidRDefault="00D90DA2" w:rsidP="00CF1A52">
      <w:pPr>
        <w:ind w:left="851"/>
        <w:rPr>
          <w:rFonts w:eastAsia="SimSun"/>
          <w:i/>
          <w:iCs/>
          <w:sz w:val="24"/>
          <w:szCs w:val="24"/>
          <w:lang w:val="en-US" w:eastAsia="es-ES"/>
        </w:rPr>
      </w:pPr>
      <w:r w:rsidRPr="00EC3A8E">
        <w:rPr>
          <w:rFonts w:eastAsia="SimSun"/>
          <w:i/>
          <w:iCs/>
          <w:sz w:val="24"/>
          <w:szCs w:val="24"/>
          <w:lang w:val="en-US" w:eastAsia="es-ES"/>
        </w:rPr>
        <w:t>After an abortion in the first trimester</w:t>
      </w:r>
    </w:p>
    <w:p w14:paraId="25110E6D" w14:textId="77777777" w:rsidR="00D90DA2" w:rsidRPr="00EC3A8E" w:rsidRDefault="00D90DA2" w:rsidP="00CF1A52">
      <w:pPr>
        <w:ind w:left="851"/>
        <w:rPr>
          <w:rFonts w:eastAsia="SimSun"/>
          <w:sz w:val="24"/>
          <w:szCs w:val="24"/>
          <w:lang w:val="en-US" w:eastAsia="es-ES"/>
        </w:rPr>
      </w:pPr>
      <w:r w:rsidRPr="00EC3A8E">
        <w:rPr>
          <w:rFonts w:eastAsia="SimSun"/>
          <w:sz w:val="24"/>
          <w:szCs w:val="24"/>
          <w:lang w:val="en-US" w:eastAsia="es-ES"/>
        </w:rPr>
        <w:t xml:space="preserve">The woman may start taking the pills immediately. If she does so, no further contraceptive steps need be taken. </w:t>
      </w:r>
    </w:p>
    <w:p w14:paraId="4EE540BE" w14:textId="77777777" w:rsidR="00407412" w:rsidRPr="00EC3A8E" w:rsidRDefault="00407412" w:rsidP="00CF1A52">
      <w:pPr>
        <w:ind w:left="851"/>
        <w:rPr>
          <w:rFonts w:eastAsia="SimSun"/>
          <w:i/>
          <w:iCs/>
          <w:sz w:val="24"/>
          <w:szCs w:val="24"/>
          <w:lang w:val="en-US" w:eastAsia="es-ES"/>
        </w:rPr>
      </w:pPr>
    </w:p>
    <w:p w14:paraId="1A633601" w14:textId="1257D724" w:rsidR="00D90DA2" w:rsidRPr="00EC3A8E" w:rsidRDefault="00D90DA2" w:rsidP="00CF1A52">
      <w:pPr>
        <w:ind w:left="851"/>
        <w:rPr>
          <w:rFonts w:eastAsia="SimSun"/>
          <w:i/>
          <w:iCs/>
          <w:sz w:val="24"/>
          <w:szCs w:val="24"/>
          <w:lang w:val="en-US" w:eastAsia="es-ES"/>
        </w:rPr>
      </w:pPr>
      <w:r w:rsidRPr="00EC3A8E">
        <w:rPr>
          <w:rFonts w:eastAsia="SimSun"/>
          <w:i/>
          <w:iCs/>
          <w:sz w:val="24"/>
          <w:szCs w:val="24"/>
          <w:lang w:val="en-US" w:eastAsia="es-ES"/>
        </w:rPr>
        <w:t>After delivery or abortion in the second trimester</w:t>
      </w:r>
    </w:p>
    <w:p w14:paraId="6B1B8600" w14:textId="77777777" w:rsidR="00D90DA2" w:rsidRPr="00EC3A8E" w:rsidRDefault="00D90DA2" w:rsidP="00CF1A52">
      <w:pPr>
        <w:ind w:left="851"/>
        <w:rPr>
          <w:rFonts w:eastAsia="SimSun"/>
          <w:sz w:val="24"/>
          <w:szCs w:val="24"/>
          <w:lang w:val="en-US" w:eastAsia="es-ES"/>
        </w:rPr>
      </w:pPr>
      <w:r w:rsidRPr="00EC3A8E">
        <w:rPr>
          <w:rFonts w:eastAsia="SimSun"/>
          <w:sz w:val="24"/>
          <w:szCs w:val="24"/>
          <w:lang w:val="en-US" w:eastAsia="es-ES"/>
        </w:rPr>
        <w:t>For breastfeeding women - see section 4.6.</w:t>
      </w:r>
    </w:p>
    <w:p w14:paraId="0C34AA20" w14:textId="77777777" w:rsidR="00407412" w:rsidRPr="00EC3A8E" w:rsidRDefault="00407412" w:rsidP="00CF1A52">
      <w:pPr>
        <w:ind w:left="851"/>
        <w:rPr>
          <w:rFonts w:eastAsia="SimSun"/>
          <w:sz w:val="24"/>
          <w:szCs w:val="24"/>
          <w:lang w:val="en-US" w:eastAsia="es-ES"/>
        </w:rPr>
      </w:pPr>
    </w:p>
    <w:p w14:paraId="19F08C56" w14:textId="4BF1897F" w:rsidR="00D90DA2" w:rsidRPr="00EC3A8E" w:rsidRDefault="00D90DA2" w:rsidP="00CF1A52">
      <w:pPr>
        <w:ind w:left="851"/>
        <w:rPr>
          <w:rFonts w:eastAsia="SimSun"/>
          <w:sz w:val="24"/>
          <w:szCs w:val="24"/>
          <w:lang w:val="en-US" w:eastAsia="es-ES"/>
        </w:rPr>
      </w:pPr>
      <w:r w:rsidRPr="00EC3A8E">
        <w:rPr>
          <w:rFonts w:eastAsia="SimSun"/>
          <w:sz w:val="24"/>
          <w:szCs w:val="24"/>
          <w:lang w:val="en-US" w:eastAsia="es-ES"/>
        </w:rPr>
        <w:t>The woman should be advised to begin taking the tablets on day 21- 28 after delivery in non-lactating women or after abortion in the second trimester. If she starts later, she should be advised to also use a barrier method during the first 7 days of taking the pills. If she has already had intercourse, the possibility of pregnancy should be excluded before she begins taking the pills, or she should wait for her first menstruation.</w:t>
      </w:r>
    </w:p>
    <w:p w14:paraId="58859892" w14:textId="447A2582" w:rsidR="000871A3" w:rsidRDefault="000871A3">
      <w:pPr>
        <w:rPr>
          <w:rFonts w:eastAsia="SimSun"/>
          <w:i/>
          <w:iCs/>
          <w:sz w:val="24"/>
          <w:szCs w:val="24"/>
          <w:lang w:val="en-US" w:eastAsia="es-ES"/>
        </w:rPr>
      </w:pPr>
      <w:r>
        <w:rPr>
          <w:rFonts w:eastAsia="SimSun"/>
          <w:i/>
          <w:iCs/>
          <w:sz w:val="24"/>
          <w:szCs w:val="24"/>
          <w:lang w:val="en-US" w:eastAsia="es-ES"/>
        </w:rPr>
        <w:br w:type="page"/>
      </w:r>
    </w:p>
    <w:p w14:paraId="1CFDB8A8" w14:textId="77777777" w:rsidR="00407412" w:rsidRPr="00EC3A8E" w:rsidRDefault="00407412" w:rsidP="00CF1A52">
      <w:pPr>
        <w:ind w:left="851"/>
        <w:rPr>
          <w:rFonts w:eastAsia="SimSun"/>
          <w:i/>
          <w:iCs/>
          <w:sz w:val="24"/>
          <w:szCs w:val="24"/>
          <w:lang w:val="en-US" w:eastAsia="es-ES"/>
        </w:rPr>
      </w:pPr>
    </w:p>
    <w:p w14:paraId="3C448D18" w14:textId="5B6F510F" w:rsidR="00D90DA2" w:rsidRPr="00EC3A8E" w:rsidRDefault="00D90DA2" w:rsidP="00CF1A52">
      <w:pPr>
        <w:ind w:left="851"/>
        <w:rPr>
          <w:rFonts w:eastAsia="SimSun"/>
          <w:i/>
          <w:iCs/>
          <w:sz w:val="24"/>
          <w:szCs w:val="24"/>
          <w:lang w:val="en-US" w:eastAsia="es-ES"/>
        </w:rPr>
      </w:pPr>
      <w:r w:rsidRPr="00EC3A8E">
        <w:rPr>
          <w:rFonts w:eastAsia="SimSun"/>
          <w:i/>
          <w:iCs/>
          <w:sz w:val="24"/>
          <w:szCs w:val="24"/>
          <w:lang w:val="en-US" w:eastAsia="es-ES"/>
        </w:rPr>
        <w:t>Management of missed tablets</w:t>
      </w:r>
    </w:p>
    <w:p w14:paraId="2CE5A0FF" w14:textId="77777777" w:rsidR="00D90DA2" w:rsidRPr="00EC3A8E" w:rsidRDefault="00D90DA2" w:rsidP="00CF1A52">
      <w:pPr>
        <w:ind w:left="851"/>
        <w:rPr>
          <w:rFonts w:eastAsia="SimSun"/>
          <w:sz w:val="24"/>
          <w:szCs w:val="24"/>
          <w:lang w:val="en-US" w:eastAsia="es-ES"/>
        </w:rPr>
      </w:pPr>
      <w:r w:rsidRPr="00EC3A8E">
        <w:rPr>
          <w:rFonts w:eastAsia="SimSun"/>
          <w:sz w:val="24"/>
          <w:szCs w:val="24"/>
          <w:lang w:val="en-US" w:eastAsia="es-ES"/>
        </w:rPr>
        <w:t>Missing a tablet for less than 12 hours does not diminish the contraceptive protection. The woman should take the tablet as soon as she remembers, and continue taking the rest of the tablets as usual.</w:t>
      </w:r>
    </w:p>
    <w:p w14:paraId="29228C4D" w14:textId="77777777" w:rsidR="00407412" w:rsidRPr="00EC3A8E" w:rsidRDefault="00407412" w:rsidP="00CF1A52">
      <w:pPr>
        <w:ind w:left="851"/>
        <w:rPr>
          <w:rFonts w:eastAsia="SimSun"/>
          <w:sz w:val="24"/>
          <w:szCs w:val="24"/>
          <w:lang w:val="en-US" w:eastAsia="es-ES"/>
        </w:rPr>
      </w:pPr>
    </w:p>
    <w:p w14:paraId="005E10DC" w14:textId="183AF700" w:rsidR="00D90DA2" w:rsidRPr="00EC3A8E" w:rsidRDefault="00D90DA2" w:rsidP="00CF1A52">
      <w:pPr>
        <w:ind w:left="851"/>
        <w:rPr>
          <w:rFonts w:eastAsia="SimSun"/>
          <w:sz w:val="24"/>
          <w:szCs w:val="24"/>
          <w:lang w:val="en-US" w:eastAsia="es-ES"/>
        </w:rPr>
      </w:pPr>
      <w:r w:rsidRPr="00EC3A8E">
        <w:rPr>
          <w:rFonts w:eastAsia="SimSun"/>
          <w:sz w:val="24"/>
          <w:szCs w:val="24"/>
          <w:lang w:val="en-US" w:eastAsia="es-ES"/>
        </w:rPr>
        <w:t>Missing a tablet for more than 12 hours can diminish the contraceptive protection. The two following rules may be helpful in dealing with missed tablets.</w:t>
      </w:r>
    </w:p>
    <w:p w14:paraId="33B98092" w14:textId="07E8D3B0" w:rsidR="00D90DA2" w:rsidRPr="00EC3A8E" w:rsidRDefault="00D90DA2" w:rsidP="00407412">
      <w:pPr>
        <w:pStyle w:val="Listeafsnit"/>
        <w:numPr>
          <w:ilvl w:val="0"/>
          <w:numId w:val="8"/>
        </w:numPr>
        <w:ind w:left="1276" w:hanging="425"/>
        <w:rPr>
          <w:rFonts w:eastAsia="SimSun"/>
          <w:sz w:val="24"/>
          <w:szCs w:val="24"/>
          <w:lang w:val="en-US" w:eastAsia="es-ES"/>
        </w:rPr>
      </w:pPr>
      <w:r w:rsidRPr="00EC3A8E">
        <w:rPr>
          <w:rFonts w:eastAsia="SimSun"/>
          <w:sz w:val="24"/>
          <w:szCs w:val="24"/>
          <w:lang w:val="en-US" w:eastAsia="es-ES"/>
        </w:rPr>
        <w:t>Taking of the tablets should never be discontinued for longer than 7 days.</w:t>
      </w:r>
    </w:p>
    <w:p w14:paraId="2AA556CE" w14:textId="2AC0CA95" w:rsidR="00D90DA2" w:rsidRPr="00EC3A8E" w:rsidRDefault="00D90DA2" w:rsidP="00F17159">
      <w:pPr>
        <w:pStyle w:val="Listeafsnit"/>
        <w:numPr>
          <w:ilvl w:val="0"/>
          <w:numId w:val="8"/>
        </w:numPr>
        <w:ind w:left="1276" w:hanging="425"/>
        <w:rPr>
          <w:rFonts w:eastAsia="SimSun"/>
          <w:sz w:val="24"/>
          <w:szCs w:val="24"/>
          <w:lang w:val="en-US" w:eastAsia="es-ES"/>
        </w:rPr>
      </w:pPr>
      <w:r w:rsidRPr="00EC3A8E">
        <w:rPr>
          <w:rFonts w:eastAsia="SimSun"/>
          <w:sz w:val="24"/>
          <w:szCs w:val="24"/>
          <w:lang w:val="en-US" w:eastAsia="es-ES"/>
        </w:rPr>
        <w:t>It takes 7 days of uninterrupted ingestion of the tablets to achieve sufficient suppression of the</w:t>
      </w:r>
      <w:r w:rsidR="00407412" w:rsidRPr="00EC3A8E">
        <w:rPr>
          <w:rFonts w:eastAsia="SimSun"/>
          <w:sz w:val="24"/>
          <w:szCs w:val="24"/>
          <w:lang w:val="en-US" w:eastAsia="es-ES"/>
        </w:rPr>
        <w:t xml:space="preserve"> </w:t>
      </w:r>
      <w:r w:rsidRPr="00EC3A8E">
        <w:rPr>
          <w:rFonts w:eastAsia="SimSun"/>
          <w:sz w:val="24"/>
          <w:szCs w:val="24"/>
          <w:lang w:val="en-US" w:eastAsia="es-ES"/>
        </w:rPr>
        <w:t>hypothalamus-pituitary-ovarian axis. Thus, the following advice can be given in daily practice:</w:t>
      </w:r>
    </w:p>
    <w:p w14:paraId="495C2EF8" w14:textId="77777777" w:rsidR="00407412" w:rsidRPr="00EC3A8E" w:rsidRDefault="00407412" w:rsidP="00CF1A52">
      <w:pPr>
        <w:ind w:left="851"/>
        <w:rPr>
          <w:rFonts w:eastAsia="SimSun"/>
          <w:i/>
          <w:iCs/>
          <w:sz w:val="24"/>
          <w:szCs w:val="24"/>
          <w:lang w:val="en-US" w:eastAsia="es-ES"/>
        </w:rPr>
      </w:pPr>
    </w:p>
    <w:p w14:paraId="23FFD9E8" w14:textId="41287D50" w:rsidR="00D90DA2" w:rsidRPr="00EC3A8E" w:rsidRDefault="00D90DA2" w:rsidP="00CF1A52">
      <w:pPr>
        <w:ind w:left="851"/>
        <w:rPr>
          <w:rFonts w:eastAsia="SimSun"/>
          <w:i/>
          <w:iCs/>
          <w:sz w:val="24"/>
          <w:szCs w:val="24"/>
          <w:lang w:val="en-US" w:eastAsia="es-ES"/>
        </w:rPr>
      </w:pPr>
      <w:r w:rsidRPr="00EC3A8E">
        <w:rPr>
          <w:rFonts w:eastAsia="SimSun"/>
          <w:i/>
          <w:iCs/>
          <w:sz w:val="24"/>
          <w:szCs w:val="24"/>
          <w:lang w:val="en-US" w:eastAsia="es-ES"/>
        </w:rPr>
        <w:t>Week 1</w:t>
      </w:r>
    </w:p>
    <w:p w14:paraId="29574E2F" w14:textId="77777777" w:rsidR="00D90DA2" w:rsidRPr="00EC3A8E" w:rsidRDefault="00D90DA2" w:rsidP="00CF1A52">
      <w:pPr>
        <w:ind w:left="851"/>
        <w:rPr>
          <w:rFonts w:eastAsia="SimSun"/>
          <w:sz w:val="24"/>
          <w:szCs w:val="24"/>
          <w:lang w:val="en-US" w:eastAsia="es-ES"/>
        </w:rPr>
      </w:pPr>
      <w:r w:rsidRPr="00EC3A8E">
        <w:rPr>
          <w:rFonts w:eastAsia="SimSun"/>
          <w:sz w:val="24"/>
          <w:szCs w:val="24"/>
          <w:lang w:val="en-US" w:eastAsia="es-ES"/>
        </w:rPr>
        <w:t>The user should take the last missed tablet as soon as she remembers, even if this means that she needs to take 2 tablets at the same time. From then on, she should continue to take the tablets at the usual time. At the same time, she should use a barrier method, i.e. a condom, for the next 7 days. If she had intercourse during the past 7 days, she should consider the possibility that she might be pregnant. The more tablets have been missed, and the closer this happened to the monthly tablet-free period, the higher the risk of pregnancy.</w:t>
      </w:r>
    </w:p>
    <w:p w14:paraId="609FC8F4" w14:textId="77777777" w:rsidR="00407412" w:rsidRPr="00EC3A8E" w:rsidRDefault="00407412" w:rsidP="00CF1A52">
      <w:pPr>
        <w:ind w:left="851"/>
        <w:rPr>
          <w:rFonts w:eastAsia="SimSun"/>
          <w:i/>
          <w:iCs/>
          <w:sz w:val="24"/>
          <w:szCs w:val="24"/>
          <w:lang w:val="en-US" w:eastAsia="es-ES"/>
        </w:rPr>
      </w:pPr>
    </w:p>
    <w:p w14:paraId="155F1DB2" w14:textId="7082AFD1" w:rsidR="00D90DA2" w:rsidRPr="00EC3A8E" w:rsidRDefault="00D90DA2" w:rsidP="00CF1A52">
      <w:pPr>
        <w:ind w:left="851"/>
        <w:rPr>
          <w:rFonts w:eastAsia="SimSun"/>
          <w:i/>
          <w:iCs/>
          <w:sz w:val="24"/>
          <w:szCs w:val="24"/>
          <w:lang w:val="en-US" w:eastAsia="es-ES"/>
        </w:rPr>
      </w:pPr>
      <w:r w:rsidRPr="00EC3A8E">
        <w:rPr>
          <w:rFonts w:eastAsia="SimSun"/>
          <w:i/>
          <w:iCs/>
          <w:sz w:val="24"/>
          <w:szCs w:val="24"/>
          <w:lang w:val="en-US" w:eastAsia="es-ES"/>
        </w:rPr>
        <w:t>Week 2</w:t>
      </w:r>
    </w:p>
    <w:p w14:paraId="7D02E71D" w14:textId="77777777" w:rsidR="00D90DA2" w:rsidRPr="00EC3A8E" w:rsidRDefault="00D90DA2" w:rsidP="00CF1A52">
      <w:pPr>
        <w:ind w:left="851"/>
        <w:rPr>
          <w:rFonts w:eastAsia="SimSun"/>
          <w:sz w:val="24"/>
          <w:szCs w:val="24"/>
          <w:lang w:val="en-US" w:eastAsia="es-ES"/>
        </w:rPr>
      </w:pPr>
      <w:r w:rsidRPr="00EC3A8E">
        <w:rPr>
          <w:rFonts w:eastAsia="SimSun"/>
          <w:sz w:val="24"/>
          <w:szCs w:val="24"/>
          <w:lang w:val="en-US" w:eastAsia="es-ES"/>
        </w:rPr>
        <w:t>The user should take the last missed tablet as soon as she remembers, even if this means that she needs to take 2 tablets at the same time. From then on, she should continue to take the tablets at the usual time. If the tablets have been taken correctly for the 7 days prior to the missed tablet, it is not necessary to take any additional contraceptive precautions. If this is not the case, however, or if more than 1 tablet has been missed, the woman should use a barrier method</w:t>
      </w:r>
      <w:r w:rsidRPr="00EC3A8E">
        <w:rPr>
          <w:rFonts w:eastAsia="SimSun"/>
          <w:b/>
          <w:bCs/>
          <w:sz w:val="24"/>
          <w:szCs w:val="24"/>
          <w:lang w:val="en-US" w:eastAsia="es-ES"/>
        </w:rPr>
        <w:t xml:space="preserve">, </w:t>
      </w:r>
      <w:r w:rsidRPr="00EC3A8E">
        <w:rPr>
          <w:rFonts w:eastAsia="SimSun"/>
          <w:sz w:val="24"/>
          <w:szCs w:val="24"/>
          <w:lang w:val="en-US" w:eastAsia="es-ES"/>
        </w:rPr>
        <w:t>i.e. a condom for the next 7 days.</w:t>
      </w:r>
    </w:p>
    <w:p w14:paraId="60BF29C3" w14:textId="77777777" w:rsidR="00407412" w:rsidRPr="00EC3A8E" w:rsidRDefault="00407412" w:rsidP="00CF1A52">
      <w:pPr>
        <w:ind w:left="851"/>
        <w:rPr>
          <w:rFonts w:eastAsia="SimSun"/>
          <w:i/>
          <w:iCs/>
          <w:sz w:val="24"/>
          <w:szCs w:val="24"/>
          <w:lang w:val="en-US" w:eastAsia="es-ES"/>
        </w:rPr>
      </w:pPr>
    </w:p>
    <w:p w14:paraId="73693F3D" w14:textId="6CED255C" w:rsidR="00D90DA2" w:rsidRPr="00EC3A8E" w:rsidRDefault="00D90DA2" w:rsidP="00CF1A52">
      <w:pPr>
        <w:ind w:left="851"/>
        <w:rPr>
          <w:rFonts w:eastAsia="SimSun"/>
          <w:i/>
          <w:iCs/>
          <w:sz w:val="24"/>
          <w:szCs w:val="24"/>
          <w:lang w:val="en-US" w:eastAsia="es-ES"/>
        </w:rPr>
      </w:pPr>
      <w:r w:rsidRPr="00EC3A8E">
        <w:rPr>
          <w:rFonts w:eastAsia="SimSun"/>
          <w:i/>
          <w:iCs/>
          <w:sz w:val="24"/>
          <w:szCs w:val="24"/>
          <w:lang w:val="en-US" w:eastAsia="es-ES"/>
        </w:rPr>
        <w:t>Week 3</w:t>
      </w:r>
    </w:p>
    <w:p w14:paraId="27AC032B" w14:textId="77777777" w:rsidR="00D90DA2" w:rsidRPr="00EC3A8E" w:rsidRDefault="00D90DA2" w:rsidP="00CF1A52">
      <w:pPr>
        <w:ind w:left="851"/>
        <w:rPr>
          <w:rFonts w:eastAsia="SimSun"/>
          <w:sz w:val="24"/>
          <w:szCs w:val="24"/>
          <w:lang w:val="en-US" w:eastAsia="es-ES"/>
        </w:rPr>
      </w:pPr>
      <w:r w:rsidRPr="00EC3A8E">
        <w:rPr>
          <w:rFonts w:eastAsia="SimSun"/>
          <w:sz w:val="24"/>
          <w:szCs w:val="24"/>
          <w:lang w:val="en-US" w:eastAsia="es-ES"/>
        </w:rPr>
        <w:t>The risk of reduced protection is imminent because of the approaching of the tablet-free period. The reduced contraceptive protection can be prevented, however, by adjusting the intake of the tablets. By adhering to either of the following two options, it is, therefore, not necessary to take any additional contraceptive precautions, provided that the tablets have been taken correctly for the 7 days prior to the missed tablet. If this is not the case, the woman should be advised to follow the first of the two choices, and at the same time use a barrier method</w:t>
      </w:r>
      <w:r w:rsidRPr="00EC3A8E">
        <w:rPr>
          <w:rFonts w:eastAsia="SimSun"/>
          <w:b/>
          <w:bCs/>
          <w:sz w:val="24"/>
          <w:szCs w:val="24"/>
          <w:lang w:val="en-US" w:eastAsia="es-ES"/>
        </w:rPr>
        <w:t xml:space="preserve">, </w:t>
      </w:r>
      <w:r w:rsidRPr="00EC3A8E">
        <w:rPr>
          <w:rFonts w:eastAsia="SimSun"/>
          <w:sz w:val="24"/>
          <w:szCs w:val="24"/>
          <w:lang w:val="en-US" w:eastAsia="es-ES"/>
        </w:rPr>
        <w:t>i.e. a condom for the next 7 days.</w:t>
      </w:r>
    </w:p>
    <w:p w14:paraId="0D0253C7" w14:textId="77777777" w:rsidR="00D90DA2" w:rsidRPr="00EC3A8E" w:rsidRDefault="00D90DA2" w:rsidP="00CF1A52">
      <w:pPr>
        <w:ind w:left="851"/>
        <w:rPr>
          <w:rFonts w:eastAsia="SimSun"/>
          <w:sz w:val="24"/>
          <w:szCs w:val="24"/>
          <w:lang w:val="en-US" w:eastAsia="es-ES"/>
        </w:rPr>
      </w:pPr>
    </w:p>
    <w:p w14:paraId="2D54B3E3" w14:textId="3D663158" w:rsidR="00D90DA2" w:rsidRPr="00EC3A8E" w:rsidRDefault="00D90DA2" w:rsidP="00407412">
      <w:pPr>
        <w:pStyle w:val="Listeafsnit"/>
        <w:numPr>
          <w:ilvl w:val="0"/>
          <w:numId w:val="11"/>
        </w:numPr>
        <w:ind w:left="1276" w:hanging="425"/>
        <w:rPr>
          <w:rFonts w:eastAsia="SimSun"/>
          <w:sz w:val="24"/>
          <w:szCs w:val="24"/>
          <w:lang w:val="en-US" w:eastAsia="es-ES"/>
        </w:rPr>
      </w:pPr>
      <w:r w:rsidRPr="00EC3A8E">
        <w:rPr>
          <w:rFonts w:eastAsia="SimSun"/>
          <w:sz w:val="24"/>
          <w:szCs w:val="24"/>
          <w:lang w:val="en-US" w:eastAsia="es-ES"/>
        </w:rPr>
        <w:t>The user should take the last missed tablet as soon as she remembers even if this means that she needs to take 2 tablets at the same time. From then on, she should continue to take the tablets at the usual time. She begins the next pack immediately after she took the last tablet from the current package; that means no pause between packages. The user will probably not get her menstruation before the end of the second package, but she may experience spotting or withdrawal bleeding on the days when she takes the tablets.</w:t>
      </w:r>
    </w:p>
    <w:p w14:paraId="2585E6F4" w14:textId="43279A94" w:rsidR="00D90DA2" w:rsidRPr="00EC3A8E" w:rsidRDefault="00D90DA2" w:rsidP="00407412">
      <w:pPr>
        <w:pStyle w:val="Listeafsnit"/>
        <w:numPr>
          <w:ilvl w:val="0"/>
          <w:numId w:val="11"/>
        </w:numPr>
        <w:ind w:left="1276" w:hanging="425"/>
        <w:rPr>
          <w:rFonts w:eastAsia="SimSun"/>
          <w:sz w:val="24"/>
          <w:szCs w:val="24"/>
          <w:lang w:val="en-US" w:eastAsia="es-ES"/>
        </w:rPr>
      </w:pPr>
      <w:r w:rsidRPr="00EC3A8E">
        <w:rPr>
          <w:rFonts w:eastAsia="SimSun"/>
          <w:sz w:val="24"/>
          <w:szCs w:val="24"/>
          <w:lang w:val="en-US" w:eastAsia="es-ES"/>
        </w:rPr>
        <w:t>The woman can also be advised to stop taking tablets from the current package. In that case, she should have a tablet-free period for up to 7 days, including the days when she missed the tablets, and subsequently continue with the next pack.</w:t>
      </w:r>
    </w:p>
    <w:p w14:paraId="6BC462D7" w14:textId="77777777" w:rsidR="00407412" w:rsidRPr="00EC3A8E" w:rsidRDefault="00407412" w:rsidP="00CF1A52">
      <w:pPr>
        <w:ind w:left="851"/>
        <w:rPr>
          <w:rFonts w:eastAsia="SimSun"/>
          <w:sz w:val="24"/>
          <w:szCs w:val="24"/>
          <w:lang w:val="en-US" w:eastAsia="es-ES"/>
        </w:rPr>
      </w:pPr>
    </w:p>
    <w:p w14:paraId="1CF9F02A" w14:textId="20B21B0C" w:rsidR="00D90DA2" w:rsidRPr="00EC3A8E" w:rsidRDefault="00D90DA2" w:rsidP="00CF1A52">
      <w:pPr>
        <w:ind w:left="851"/>
        <w:rPr>
          <w:rFonts w:eastAsia="SimSun"/>
          <w:sz w:val="24"/>
          <w:szCs w:val="24"/>
          <w:lang w:val="en-US" w:eastAsia="es-ES"/>
        </w:rPr>
      </w:pPr>
      <w:r w:rsidRPr="00EC3A8E">
        <w:rPr>
          <w:rFonts w:eastAsia="SimSun"/>
          <w:sz w:val="24"/>
          <w:szCs w:val="24"/>
          <w:lang w:val="en-US" w:eastAsia="es-ES"/>
        </w:rPr>
        <w:t>If the woman missed the tablets, and subsequently did not get her menstruation in the first normal tablet-free, she should consider the possibility that she may be pregnant.</w:t>
      </w:r>
    </w:p>
    <w:p w14:paraId="6F89D334" w14:textId="77777777" w:rsidR="00E44450" w:rsidRPr="00EC3A8E" w:rsidRDefault="00E44450" w:rsidP="00CF1A52">
      <w:pPr>
        <w:ind w:left="851"/>
        <w:rPr>
          <w:rFonts w:eastAsia="SimSun"/>
          <w:i/>
          <w:iCs/>
          <w:sz w:val="24"/>
          <w:szCs w:val="24"/>
          <w:lang w:val="en-US" w:eastAsia="es-ES"/>
        </w:rPr>
      </w:pPr>
    </w:p>
    <w:p w14:paraId="3B7F46B6" w14:textId="7C7354D1" w:rsidR="00D90DA2" w:rsidRPr="00EC3A8E" w:rsidRDefault="00D90DA2" w:rsidP="00CF1A52">
      <w:pPr>
        <w:ind w:left="851"/>
        <w:rPr>
          <w:rFonts w:eastAsia="SimSun"/>
          <w:i/>
          <w:iCs/>
          <w:sz w:val="24"/>
          <w:szCs w:val="24"/>
          <w:lang w:val="en-US" w:eastAsia="es-ES"/>
        </w:rPr>
      </w:pPr>
      <w:r w:rsidRPr="00EC3A8E">
        <w:rPr>
          <w:rFonts w:eastAsia="SimSun"/>
          <w:i/>
          <w:iCs/>
          <w:sz w:val="24"/>
          <w:szCs w:val="24"/>
          <w:lang w:val="en-US" w:eastAsia="es-ES"/>
        </w:rPr>
        <w:t>Advice in case of gastro-intestinal disturbances</w:t>
      </w:r>
    </w:p>
    <w:p w14:paraId="1CC88A96" w14:textId="157866B5" w:rsidR="00D90DA2" w:rsidRPr="00EC3A8E" w:rsidRDefault="00D90DA2" w:rsidP="00CF1A52">
      <w:pPr>
        <w:ind w:left="851"/>
        <w:rPr>
          <w:rFonts w:eastAsia="SimSun"/>
          <w:sz w:val="24"/>
          <w:szCs w:val="24"/>
          <w:lang w:val="en-US" w:eastAsia="es-ES"/>
        </w:rPr>
      </w:pPr>
      <w:r w:rsidRPr="00EC3A8E">
        <w:rPr>
          <w:rFonts w:eastAsia="SimSun"/>
          <w:sz w:val="24"/>
          <w:szCs w:val="24"/>
          <w:lang w:val="en-US" w:eastAsia="es-ES"/>
        </w:rPr>
        <w:t xml:space="preserve">In case of severe gastro-intestinal disturbances (e.g., vomiting or </w:t>
      </w:r>
      <w:proofErr w:type="spellStart"/>
      <w:r w:rsidRPr="00EC3A8E">
        <w:rPr>
          <w:rFonts w:eastAsia="SimSun"/>
          <w:sz w:val="24"/>
          <w:szCs w:val="24"/>
          <w:lang w:val="en-US" w:eastAsia="es-ES"/>
        </w:rPr>
        <w:t>diarrohoea</w:t>
      </w:r>
      <w:proofErr w:type="spellEnd"/>
      <w:r w:rsidRPr="00EC3A8E">
        <w:rPr>
          <w:rFonts w:eastAsia="SimSun"/>
          <w:sz w:val="24"/>
          <w:szCs w:val="24"/>
          <w:lang w:val="en-US" w:eastAsia="es-ES"/>
        </w:rPr>
        <w:t>), absorption may not be complete and additional contraceptive measures should be taken. If vomiting occurs within 3- 4 hours after tablet-taking, a new (replacement) tablet should be taken as soon as possible. The new tablet should be taken within 12 hours of the usual time of tablet-taking if possible. If more than 12 hours elapse, the advice concerning missed tablets, as given in section 4.2 “Management of missed tablets”, is applicable. If the woman does not want to change her normal tablet-taking schedule, she has to take the extra tablet(s) from another blister pack.</w:t>
      </w:r>
    </w:p>
    <w:p w14:paraId="3BBDDA35" w14:textId="77777777" w:rsidR="00E44450" w:rsidRPr="00EC3A8E" w:rsidRDefault="00E44450" w:rsidP="00CF1A52">
      <w:pPr>
        <w:ind w:left="851"/>
        <w:rPr>
          <w:rFonts w:eastAsia="SimSun"/>
          <w:i/>
          <w:iCs/>
          <w:sz w:val="24"/>
          <w:szCs w:val="24"/>
          <w:lang w:val="en-US" w:eastAsia="es-ES"/>
        </w:rPr>
      </w:pPr>
    </w:p>
    <w:p w14:paraId="5479677F" w14:textId="4708E81F" w:rsidR="00D90DA2" w:rsidRPr="00EC3A8E" w:rsidRDefault="00D90DA2" w:rsidP="00CF1A52">
      <w:pPr>
        <w:ind w:left="851"/>
        <w:rPr>
          <w:rFonts w:eastAsia="SimSun"/>
          <w:i/>
          <w:iCs/>
          <w:sz w:val="24"/>
          <w:szCs w:val="24"/>
          <w:lang w:val="en-US" w:eastAsia="es-ES"/>
        </w:rPr>
      </w:pPr>
      <w:r w:rsidRPr="00EC3A8E">
        <w:rPr>
          <w:rFonts w:eastAsia="SimSun"/>
          <w:i/>
          <w:iCs/>
          <w:sz w:val="24"/>
          <w:szCs w:val="24"/>
          <w:lang w:val="en-US" w:eastAsia="es-ES"/>
        </w:rPr>
        <w:t>How to postpone a withdrawal bleed</w:t>
      </w:r>
    </w:p>
    <w:p w14:paraId="50844628" w14:textId="2132D3DC" w:rsidR="00D90DA2" w:rsidRPr="00EC3A8E" w:rsidRDefault="00D90DA2" w:rsidP="00CF1A52">
      <w:pPr>
        <w:ind w:left="851"/>
        <w:rPr>
          <w:rFonts w:eastAsia="SimSun"/>
          <w:sz w:val="24"/>
          <w:szCs w:val="24"/>
          <w:lang w:val="en-US" w:eastAsia="es-ES"/>
        </w:rPr>
      </w:pPr>
      <w:r w:rsidRPr="00EC3A8E">
        <w:rPr>
          <w:rFonts w:eastAsia="SimSun"/>
          <w:sz w:val="24"/>
          <w:szCs w:val="24"/>
          <w:lang w:val="en-US" w:eastAsia="es-ES"/>
        </w:rPr>
        <w:t xml:space="preserve">To delay a period the woman should continue with another blister pack of </w:t>
      </w:r>
      <w:proofErr w:type="spellStart"/>
      <w:r w:rsidR="000871A3">
        <w:rPr>
          <w:rFonts w:eastAsia="SimSun"/>
          <w:sz w:val="24"/>
          <w:szCs w:val="24"/>
          <w:lang w:val="en-US" w:eastAsia="es-ES"/>
        </w:rPr>
        <w:t>Ciclomex</w:t>
      </w:r>
      <w:proofErr w:type="spellEnd"/>
      <w:r w:rsidRPr="00EC3A8E">
        <w:rPr>
          <w:rFonts w:eastAsia="SimSun"/>
          <w:sz w:val="24"/>
          <w:szCs w:val="24"/>
          <w:lang w:val="en-US" w:eastAsia="es-ES"/>
        </w:rPr>
        <w:t xml:space="preserve"> without a tablet free period. The extension can be carried on for as long as wished until the end of the second pack. During the extension the woman may experience breakthrough-bleeding or spotting. Regular intake of </w:t>
      </w:r>
      <w:proofErr w:type="spellStart"/>
      <w:r w:rsidR="000871A3">
        <w:rPr>
          <w:rFonts w:eastAsia="SimSun"/>
          <w:sz w:val="24"/>
          <w:szCs w:val="24"/>
          <w:lang w:val="en-US" w:eastAsia="es-ES"/>
        </w:rPr>
        <w:t>Ciclomex</w:t>
      </w:r>
      <w:proofErr w:type="spellEnd"/>
      <w:r w:rsidRPr="00EC3A8E">
        <w:rPr>
          <w:rFonts w:eastAsia="SimSun"/>
          <w:sz w:val="24"/>
          <w:szCs w:val="24"/>
          <w:lang w:val="en-US" w:eastAsia="es-ES"/>
        </w:rPr>
        <w:t xml:space="preserve"> is then resumed after the usual 7-day tablet-free period.</w:t>
      </w:r>
    </w:p>
    <w:p w14:paraId="405D8C68" w14:textId="77777777" w:rsidR="00E44450" w:rsidRPr="00EC3A8E" w:rsidRDefault="00E44450" w:rsidP="00CF1A52">
      <w:pPr>
        <w:ind w:left="851"/>
        <w:rPr>
          <w:rFonts w:eastAsia="SimSun"/>
          <w:sz w:val="24"/>
          <w:szCs w:val="24"/>
          <w:lang w:val="en-US" w:eastAsia="es-ES"/>
        </w:rPr>
      </w:pPr>
    </w:p>
    <w:p w14:paraId="7D845042" w14:textId="7D690123" w:rsidR="00D90DA2" w:rsidRPr="00EC3A8E" w:rsidRDefault="00D90DA2" w:rsidP="00CF1A52">
      <w:pPr>
        <w:ind w:left="851"/>
        <w:rPr>
          <w:rFonts w:eastAsia="SimSun"/>
          <w:sz w:val="24"/>
          <w:szCs w:val="24"/>
          <w:lang w:val="en-US" w:eastAsia="es-ES"/>
        </w:rPr>
      </w:pPr>
      <w:r w:rsidRPr="00EC3A8E">
        <w:rPr>
          <w:rFonts w:eastAsia="SimSun"/>
          <w:sz w:val="24"/>
          <w:szCs w:val="24"/>
          <w:lang w:val="en-US" w:eastAsia="es-ES"/>
        </w:rPr>
        <w:t>To shift her periods to another day of the week than the woman is used to with her current</w:t>
      </w:r>
    </w:p>
    <w:p w14:paraId="5807EB1D" w14:textId="77777777" w:rsidR="00D90DA2" w:rsidRPr="00EC3A8E" w:rsidRDefault="00D90DA2" w:rsidP="00CF1A52">
      <w:pPr>
        <w:ind w:left="851"/>
        <w:rPr>
          <w:rFonts w:eastAsia="SimSun"/>
          <w:sz w:val="24"/>
          <w:szCs w:val="24"/>
          <w:lang w:val="en-US" w:eastAsia="es-ES"/>
        </w:rPr>
      </w:pPr>
      <w:r w:rsidRPr="00EC3A8E">
        <w:rPr>
          <w:rFonts w:eastAsia="SimSun"/>
          <w:sz w:val="24"/>
          <w:szCs w:val="24"/>
          <w:lang w:val="en-US" w:eastAsia="es-ES"/>
        </w:rPr>
        <w:t>scheme, she can be advised to shorten her forthcoming internal tablet-free period by as many days as she likes. The shorter the interval, the higher the risk that she does not have a withdrawal bleed and will experience breakthrough-bleeding and spotting during the subsequent pack (just as when delaying a period).</w:t>
      </w:r>
    </w:p>
    <w:p w14:paraId="6637EB2C" w14:textId="77777777" w:rsidR="007C5D2A" w:rsidRPr="00EC3A8E" w:rsidRDefault="007C5D2A" w:rsidP="00CF1A52">
      <w:pPr>
        <w:ind w:left="851"/>
        <w:rPr>
          <w:sz w:val="24"/>
          <w:szCs w:val="24"/>
          <w:lang w:val="en-US"/>
        </w:rPr>
      </w:pPr>
    </w:p>
    <w:p w14:paraId="0A45E655" w14:textId="77777777" w:rsidR="007C5D2A" w:rsidRPr="00EC3A8E" w:rsidRDefault="007C5D2A" w:rsidP="007C5D2A">
      <w:pPr>
        <w:tabs>
          <w:tab w:val="left" w:pos="851"/>
        </w:tabs>
        <w:ind w:left="851" w:hanging="851"/>
        <w:rPr>
          <w:b/>
          <w:sz w:val="24"/>
          <w:szCs w:val="24"/>
          <w:lang w:val="en-GB"/>
        </w:rPr>
      </w:pPr>
      <w:r w:rsidRPr="00EC3A8E">
        <w:rPr>
          <w:b/>
          <w:sz w:val="24"/>
          <w:szCs w:val="24"/>
          <w:lang w:val="en-GB"/>
        </w:rPr>
        <w:t>4.3</w:t>
      </w:r>
      <w:r w:rsidRPr="00EC3A8E">
        <w:rPr>
          <w:b/>
          <w:sz w:val="24"/>
          <w:szCs w:val="24"/>
          <w:lang w:val="en-GB"/>
        </w:rPr>
        <w:tab/>
        <w:t>Contraindications</w:t>
      </w:r>
    </w:p>
    <w:p w14:paraId="6BAF3EFC" w14:textId="77777777" w:rsidR="00D90DA2" w:rsidRPr="00EC3A8E" w:rsidRDefault="00D90DA2" w:rsidP="00CC754D">
      <w:pPr>
        <w:ind w:left="851"/>
        <w:rPr>
          <w:sz w:val="24"/>
          <w:szCs w:val="24"/>
          <w:lang w:val="en-US"/>
        </w:rPr>
      </w:pPr>
      <w:r w:rsidRPr="00EC3A8E">
        <w:rPr>
          <w:sz w:val="24"/>
          <w:szCs w:val="24"/>
          <w:lang w:val="en-US"/>
        </w:rPr>
        <w:t>Combined hormonal contraceptives (CHCs) should not be used in the following conditions.</w:t>
      </w:r>
    </w:p>
    <w:p w14:paraId="3D102A21" w14:textId="77777777" w:rsidR="00D90DA2" w:rsidRPr="00EC3A8E" w:rsidRDefault="00D90DA2" w:rsidP="00CC754D">
      <w:pPr>
        <w:ind w:left="851"/>
        <w:rPr>
          <w:sz w:val="24"/>
          <w:szCs w:val="24"/>
          <w:lang w:val="en-US"/>
        </w:rPr>
      </w:pPr>
    </w:p>
    <w:p w14:paraId="302D1313" w14:textId="77777777" w:rsidR="00D90DA2" w:rsidRPr="00EC3A8E" w:rsidRDefault="00D90DA2" w:rsidP="00B95028">
      <w:pPr>
        <w:pStyle w:val="Listeafsnit"/>
        <w:numPr>
          <w:ilvl w:val="0"/>
          <w:numId w:val="12"/>
        </w:numPr>
        <w:ind w:left="1276" w:hanging="425"/>
        <w:rPr>
          <w:sz w:val="24"/>
          <w:szCs w:val="24"/>
          <w:lang w:val="en-GB"/>
        </w:rPr>
      </w:pPr>
      <w:r w:rsidRPr="00EC3A8E">
        <w:rPr>
          <w:sz w:val="24"/>
          <w:szCs w:val="24"/>
          <w:lang w:val="en-US"/>
        </w:rPr>
        <w:t>Presence or risk of venous thromboembolism (VTE)</w:t>
      </w:r>
    </w:p>
    <w:p w14:paraId="4C4186A2" w14:textId="77777777" w:rsidR="00D90DA2" w:rsidRPr="00EC3A8E" w:rsidRDefault="00D90DA2" w:rsidP="00B95028">
      <w:pPr>
        <w:pStyle w:val="Listeafsnit"/>
        <w:numPr>
          <w:ilvl w:val="0"/>
          <w:numId w:val="13"/>
        </w:numPr>
        <w:ind w:left="1701" w:hanging="425"/>
        <w:rPr>
          <w:sz w:val="24"/>
          <w:szCs w:val="24"/>
          <w:lang w:val="en-US"/>
        </w:rPr>
      </w:pPr>
      <w:r w:rsidRPr="00EC3A8E">
        <w:rPr>
          <w:sz w:val="24"/>
          <w:szCs w:val="24"/>
          <w:lang w:val="en-US"/>
        </w:rPr>
        <w:t>Venous thromboembolism – current VTE (on anticoagulants) or history of (e.g. deep venous thrombosis [DVT] or pulmonary embolism [PE])</w:t>
      </w:r>
    </w:p>
    <w:p w14:paraId="08D6E0AD" w14:textId="77777777" w:rsidR="00D90DA2" w:rsidRPr="00EC3A8E" w:rsidRDefault="00D90DA2" w:rsidP="00B95028">
      <w:pPr>
        <w:pStyle w:val="Listeafsnit"/>
        <w:numPr>
          <w:ilvl w:val="0"/>
          <w:numId w:val="13"/>
        </w:numPr>
        <w:ind w:left="1701" w:hanging="425"/>
        <w:rPr>
          <w:sz w:val="24"/>
          <w:szCs w:val="24"/>
          <w:lang w:val="en-US"/>
        </w:rPr>
      </w:pPr>
      <w:r w:rsidRPr="00EC3A8E">
        <w:rPr>
          <w:sz w:val="24"/>
          <w:szCs w:val="24"/>
          <w:lang w:val="en-US"/>
        </w:rPr>
        <w:t>Known hereditary or acquired predisposition for venous thromboembolism, such as APC-resistance, (including Factor V Leiden), antithrombin-III-deficiency, protein C deficiency, protein S deficiency</w:t>
      </w:r>
    </w:p>
    <w:p w14:paraId="36760EEF" w14:textId="77777777" w:rsidR="00D90DA2" w:rsidRPr="00EC3A8E" w:rsidRDefault="00D90DA2" w:rsidP="00B95028">
      <w:pPr>
        <w:pStyle w:val="Listeafsnit"/>
        <w:numPr>
          <w:ilvl w:val="0"/>
          <w:numId w:val="13"/>
        </w:numPr>
        <w:ind w:left="1701" w:hanging="425"/>
        <w:rPr>
          <w:sz w:val="24"/>
          <w:szCs w:val="24"/>
          <w:lang w:val="en-US"/>
        </w:rPr>
      </w:pPr>
      <w:r w:rsidRPr="00EC3A8E">
        <w:rPr>
          <w:sz w:val="24"/>
          <w:szCs w:val="24"/>
          <w:lang w:val="en-US"/>
        </w:rPr>
        <w:t xml:space="preserve">Major surgery with prolonged </w:t>
      </w:r>
      <w:proofErr w:type="spellStart"/>
      <w:r w:rsidRPr="00EC3A8E">
        <w:rPr>
          <w:sz w:val="24"/>
          <w:szCs w:val="24"/>
          <w:lang w:val="en-US"/>
        </w:rPr>
        <w:t>immobilisation</w:t>
      </w:r>
      <w:proofErr w:type="spellEnd"/>
      <w:r w:rsidRPr="00EC3A8E">
        <w:rPr>
          <w:sz w:val="24"/>
          <w:szCs w:val="24"/>
          <w:lang w:val="en-US"/>
        </w:rPr>
        <w:t xml:space="preserve"> (see section 4.4)</w:t>
      </w:r>
    </w:p>
    <w:p w14:paraId="6A27C89A" w14:textId="521C8BEE" w:rsidR="00D90DA2" w:rsidRPr="00EC3A8E" w:rsidRDefault="00D90DA2" w:rsidP="00B95028">
      <w:pPr>
        <w:pStyle w:val="Listeafsnit"/>
        <w:numPr>
          <w:ilvl w:val="0"/>
          <w:numId w:val="13"/>
        </w:numPr>
        <w:ind w:left="1701" w:hanging="425"/>
        <w:rPr>
          <w:sz w:val="24"/>
          <w:szCs w:val="24"/>
          <w:lang w:val="en-US"/>
        </w:rPr>
      </w:pPr>
      <w:r w:rsidRPr="00EC3A8E">
        <w:rPr>
          <w:sz w:val="24"/>
          <w:szCs w:val="24"/>
          <w:lang w:val="en-US"/>
        </w:rPr>
        <w:t>A high risk of venous thromboembolism due to the presence of multiple risk factors (see section 4.4)</w:t>
      </w:r>
    </w:p>
    <w:p w14:paraId="2C311BE1" w14:textId="77777777" w:rsidR="00B95028" w:rsidRPr="00EC3A8E" w:rsidRDefault="00B95028" w:rsidP="00B95028">
      <w:pPr>
        <w:pStyle w:val="Listeafsnit"/>
        <w:ind w:left="1701"/>
        <w:rPr>
          <w:sz w:val="24"/>
          <w:szCs w:val="24"/>
          <w:lang w:val="en-US"/>
        </w:rPr>
      </w:pPr>
    </w:p>
    <w:p w14:paraId="1347BDB9" w14:textId="77777777" w:rsidR="00D90DA2" w:rsidRPr="00EC3A8E" w:rsidRDefault="00D90DA2" w:rsidP="00B95028">
      <w:pPr>
        <w:pStyle w:val="Listeafsnit"/>
        <w:numPr>
          <w:ilvl w:val="0"/>
          <w:numId w:val="12"/>
        </w:numPr>
        <w:ind w:left="1276" w:hanging="425"/>
        <w:rPr>
          <w:sz w:val="24"/>
          <w:szCs w:val="24"/>
          <w:lang w:val="en-US"/>
        </w:rPr>
      </w:pPr>
      <w:r w:rsidRPr="00EC3A8E">
        <w:rPr>
          <w:sz w:val="24"/>
          <w:szCs w:val="24"/>
          <w:lang w:val="en-US"/>
        </w:rPr>
        <w:t>Presence or risk of arterial thromboembolism (ATE)</w:t>
      </w:r>
    </w:p>
    <w:p w14:paraId="42462CC3" w14:textId="77777777" w:rsidR="00D90DA2" w:rsidRPr="00EC3A8E" w:rsidRDefault="00D90DA2" w:rsidP="00B95028">
      <w:pPr>
        <w:pStyle w:val="Listeafsnit"/>
        <w:numPr>
          <w:ilvl w:val="0"/>
          <w:numId w:val="14"/>
        </w:numPr>
        <w:ind w:left="1701" w:hanging="425"/>
        <w:rPr>
          <w:sz w:val="24"/>
          <w:szCs w:val="24"/>
          <w:lang w:val="en-US"/>
        </w:rPr>
      </w:pPr>
      <w:r w:rsidRPr="00EC3A8E">
        <w:rPr>
          <w:sz w:val="24"/>
          <w:szCs w:val="24"/>
          <w:lang w:val="en-US"/>
        </w:rPr>
        <w:t>Arterial thromboembolism – current arterial thromboembolism, history of arterial thromboembolism (e.g. myocardial infarction) or prodromal condition (e.g. angina pectoris)</w:t>
      </w:r>
    </w:p>
    <w:p w14:paraId="1930046B" w14:textId="77777777" w:rsidR="00D90DA2" w:rsidRPr="00EC3A8E" w:rsidRDefault="00D90DA2" w:rsidP="00B95028">
      <w:pPr>
        <w:pStyle w:val="Listeafsnit"/>
        <w:numPr>
          <w:ilvl w:val="0"/>
          <w:numId w:val="14"/>
        </w:numPr>
        <w:ind w:left="1701" w:hanging="425"/>
        <w:rPr>
          <w:sz w:val="24"/>
          <w:szCs w:val="24"/>
          <w:lang w:val="en-US"/>
        </w:rPr>
      </w:pPr>
      <w:r w:rsidRPr="00EC3A8E">
        <w:rPr>
          <w:sz w:val="24"/>
          <w:szCs w:val="24"/>
          <w:lang w:val="en-US"/>
        </w:rPr>
        <w:t xml:space="preserve">Cerebrovascular disease – current stroke, history of stroke or prodromal condition (e.g. transient </w:t>
      </w:r>
      <w:proofErr w:type="spellStart"/>
      <w:r w:rsidRPr="00EC3A8E">
        <w:rPr>
          <w:sz w:val="24"/>
          <w:szCs w:val="24"/>
          <w:lang w:val="en-US"/>
        </w:rPr>
        <w:t>ischaemic</w:t>
      </w:r>
      <w:proofErr w:type="spellEnd"/>
      <w:r w:rsidRPr="00EC3A8E">
        <w:rPr>
          <w:sz w:val="24"/>
          <w:szCs w:val="24"/>
          <w:lang w:val="en-US"/>
        </w:rPr>
        <w:t xml:space="preserve"> attack, TIA)</w:t>
      </w:r>
    </w:p>
    <w:p w14:paraId="62262C99" w14:textId="77777777" w:rsidR="00D90DA2" w:rsidRPr="00EC3A8E" w:rsidRDefault="00D90DA2" w:rsidP="00B95028">
      <w:pPr>
        <w:pStyle w:val="Listeafsnit"/>
        <w:numPr>
          <w:ilvl w:val="0"/>
          <w:numId w:val="14"/>
        </w:numPr>
        <w:ind w:left="1701" w:hanging="425"/>
        <w:rPr>
          <w:sz w:val="24"/>
          <w:szCs w:val="24"/>
          <w:lang w:val="en-US"/>
        </w:rPr>
      </w:pPr>
      <w:r w:rsidRPr="00EC3A8E">
        <w:rPr>
          <w:sz w:val="24"/>
          <w:szCs w:val="24"/>
          <w:lang w:val="en-US"/>
        </w:rPr>
        <w:t xml:space="preserve">Known hereditary or acquired predisposition for arterial thromboembolism, such as </w:t>
      </w:r>
      <w:proofErr w:type="spellStart"/>
      <w:r w:rsidRPr="00EC3A8E">
        <w:rPr>
          <w:sz w:val="24"/>
          <w:szCs w:val="24"/>
          <w:lang w:val="en-US"/>
        </w:rPr>
        <w:t>hyperhomocysteinaemia</w:t>
      </w:r>
      <w:proofErr w:type="spellEnd"/>
      <w:r w:rsidRPr="00EC3A8E">
        <w:rPr>
          <w:sz w:val="24"/>
          <w:szCs w:val="24"/>
          <w:lang w:val="en-US"/>
        </w:rPr>
        <w:t xml:space="preserve"> and antiphospholipid-antibodies (anticardiolipin-antibodies, lupus anticoagulant).</w:t>
      </w:r>
    </w:p>
    <w:p w14:paraId="6D89DE78" w14:textId="77777777" w:rsidR="00D90DA2" w:rsidRPr="00EC3A8E" w:rsidRDefault="00D90DA2" w:rsidP="00B95028">
      <w:pPr>
        <w:pStyle w:val="Listeafsnit"/>
        <w:numPr>
          <w:ilvl w:val="0"/>
          <w:numId w:val="14"/>
        </w:numPr>
        <w:ind w:left="1701" w:hanging="425"/>
        <w:rPr>
          <w:sz w:val="24"/>
          <w:szCs w:val="24"/>
          <w:lang w:val="en-US"/>
        </w:rPr>
      </w:pPr>
      <w:r w:rsidRPr="00EC3A8E">
        <w:rPr>
          <w:sz w:val="24"/>
          <w:szCs w:val="24"/>
          <w:lang w:val="en-US"/>
        </w:rPr>
        <w:t>History of migraine with focal neurological symptoms.</w:t>
      </w:r>
    </w:p>
    <w:p w14:paraId="5D288938" w14:textId="77777777" w:rsidR="00D90DA2" w:rsidRPr="00EC3A8E" w:rsidRDefault="00D90DA2" w:rsidP="00B95028">
      <w:pPr>
        <w:pStyle w:val="Listeafsnit"/>
        <w:numPr>
          <w:ilvl w:val="0"/>
          <w:numId w:val="14"/>
        </w:numPr>
        <w:ind w:left="1701" w:hanging="425"/>
        <w:rPr>
          <w:sz w:val="24"/>
          <w:szCs w:val="24"/>
          <w:lang w:val="en-US"/>
        </w:rPr>
      </w:pPr>
      <w:r w:rsidRPr="00EC3A8E">
        <w:rPr>
          <w:sz w:val="24"/>
          <w:szCs w:val="24"/>
          <w:lang w:val="en-US"/>
        </w:rPr>
        <w:t>A high risk of arterial thromboembolism due to multiple risk factors (see section 4.4) or to the presence of one serious risk factor such as:</w:t>
      </w:r>
    </w:p>
    <w:p w14:paraId="77250B46" w14:textId="77777777" w:rsidR="00D90DA2" w:rsidRPr="00EC3A8E" w:rsidRDefault="00D90DA2" w:rsidP="00DA6F88">
      <w:pPr>
        <w:pStyle w:val="Listeafsnit"/>
        <w:numPr>
          <w:ilvl w:val="0"/>
          <w:numId w:val="12"/>
        </w:numPr>
        <w:ind w:left="1985" w:hanging="284"/>
        <w:rPr>
          <w:sz w:val="24"/>
          <w:szCs w:val="24"/>
          <w:lang w:val="en-US"/>
        </w:rPr>
      </w:pPr>
      <w:r w:rsidRPr="00EC3A8E">
        <w:rPr>
          <w:sz w:val="24"/>
          <w:szCs w:val="24"/>
          <w:lang w:val="en-US"/>
        </w:rPr>
        <w:t>diabetes mellitus with vascular symptoms</w:t>
      </w:r>
    </w:p>
    <w:p w14:paraId="632E65C7" w14:textId="77777777" w:rsidR="00D90DA2" w:rsidRPr="00EC3A8E" w:rsidRDefault="00D90DA2" w:rsidP="00DA6F88">
      <w:pPr>
        <w:pStyle w:val="Listeafsnit"/>
        <w:numPr>
          <w:ilvl w:val="0"/>
          <w:numId w:val="12"/>
        </w:numPr>
        <w:ind w:left="1985" w:hanging="284"/>
        <w:rPr>
          <w:sz w:val="24"/>
          <w:szCs w:val="24"/>
        </w:rPr>
      </w:pPr>
      <w:proofErr w:type="spellStart"/>
      <w:r w:rsidRPr="00EC3A8E">
        <w:rPr>
          <w:sz w:val="24"/>
          <w:szCs w:val="24"/>
        </w:rPr>
        <w:lastRenderedPageBreak/>
        <w:t>severe</w:t>
      </w:r>
      <w:proofErr w:type="spellEnd"/>
      <w:r w:rsidRPr="00EC3A8E">
        <w:rPr>
          <w:sz w:val="24"/>
          <w:szCs w:val="24"/>
        </w:rPr>
        <w:t xml:space="preserve"> hypertension</w:t>
      </w:r>
    </w:p>
    <w:p w14:paraId="06036C1F" w14:textId="77777777" w:rsidR="00D90DA2" w:rsidRPr="00EC3A8E" w:rsidRDefault="00D90DA2" w:rsidP="00DA6F88">
      <w:pPr>
        <w:pStyle w:val="Listeafsnit"/>
        <w:numPr>
          <w:ilvl w:val="0"/>
          <w:numId w:val="12"/>
        </w:numPr>
        <w:ind w:left="1985" w:hanging="284"/>
        <w:rPr>
          <w:sz w:val="24"/>
          <w:szCs w:val="24"/>
        </w:rPr>
      </w:pPr>
      <w:proofErr w:type="spellStart"/>
      <w:r w:rsidRPr="00EC3A8E">
        <w:rPr>
          <w:sz w:val="24"/>
          <w:szCs w:val="24"/>
        </w:rPr>
        <w:t>severe</w:t>
      </w:r>
      <w:proofErr w:type="spellEnd"/>
      <w:r w:rsidRPr="00EC3A8E">
        <w:rPr>
          <w:sz w:val="24"/>
          <w:szCs w:val="24"/>
        </w:rPr>
        <w:t xml:space="preserve"> </w:t>
      </w:r>
      <w:proofErr w:type="spellStart"/>
      <w:r w:rsidRPr="00EC3A8E">
        <w:rPr>
          <w:sz w:val="24"/>
          <w:szCs w:val="24"/>
        </w:rPr>
        <w:t>dyslipoproteinaemia</w:t>
      </w:r>
      <w:proofErr w:type="spellEnd"/>
    </w:p>
    <w:p w14:paraId="4C579928" w14:textId="77777777" w:rsidR="00D90DA2" w:rsidRPr="00EC3A8E" w:rsidRDefault="00D90DA2" w:rsidP="00DA6F88">
      <w:pPr>
        <w:pStyle w:val="Listeafsnit"/>
        <w:numPr>
          <w:ilvl w:val="0"/>
          <w:numId w:val="15"/>
        </w:numPr>
        <w:ind w:left="1701" w:hanging="425"/>
        <w:rPr>
          <w:sz w:val="24"/>
          <w:szCs w:val="24"/>
          <w:lang w:val="en-US"/>
        </w:rPr>
      </w:pPr>
      <w:r w:rsidRPr="00EC3A8E">
        <w:rPr>
          <w:sz w:val="24"/>
          <w:szCs w:val="24"/>
          <w:lang w:val="en-US"/>
        </w:rPr>
        <w:t xml:space="preserve">Current or previous pancreatitis if associated with serious hypertriglyceridemia </w:t>
      </w:r>
    </w:p>
    <w:p w14:paraId="579B80B3" w14:textId="77777777" w:rsidR="00D90DA2" w:rsidRPr="00EC3A8E" w:rsidRDefault="00D90DA2" w:rsidP="00DA6F88">
      <w:pPr>
        <w:pStyle w:val="Listeafsnit"/>
        <w:numPr>
          <w:ilvl w:val="0"/>
          <w:numId w:val="15"/>
        </w:numPr>
        <w:ind w:left="1701" w:hanging="425"/>
        <w:rPr>
          <w:sz w:val="24"/>
          <w:szCs w:val="24"/>
          <w:lang w:val="en-US"/>
        </w:rPr>
      </w:pPr>
      <w:r w:rsidRPr="00EC3A8E">
        <w:rPr>
          <w:sz w:val="24"/>
          <w:szCs w:val="24"/>
          <w:lang w:val="en-US"/>
        </w:rPr>
        <w:t>Known or suspected sex-steroid influenced malignancies (e.g. of the genital organs or the breast)</w:t>
      </w:r>
    </w:p>
    <w:p w14:paraId="03A545D2" w14:textId="77777777" w:rsidR="00D90DA2" w:rsidRPr="00EC3A8E" w:rsidRDefault="00D90DA2" w:rsidP="00DA6F88">
      <w:pPr>
        <w:pStyle w:val="Listeafsnit"/>
        <w:numPr>
          <w:ilvl w:val="0"/>
          <w:numId w:val="15"/>
        </w:numPr>
        <w:ind w:left="1701" w:hanging="425"/>
        <w:rPr>
          <w:sz w:val="24"/>
          <w:szCs w:val="24"/>
          <w:lang w:val="en-US"/>
        </w:rPr>
      </w:pPr>
      <w:r w:rsidRPr="00EC3A8E">
        <w:rPr>
          <w:sz w:val="24"/>
          <w:szCs w:val="24"/>
          <w:lang w:val="en-US"/>
        </w:rPr>
        <w:t xml:space="preserve">Presence or history of severe hepatic disorders, as long as liver function tests are not </w:t>
      </w:r>
      <w:proofErr w:type="spellStart"/>
      <w:r w:rsidRPr="00EC3A8E">
        <w:rPr>
          <w:sz w:val="24"/>
          <w:szCs w:val="24"/>
          <w:lang w:val="en-US"/>
        </w:rPr>
        <w:t>normalised</w:t>
      </w:r>
      <w:proofErr w:type="spellEnd"/>
    </w:p>
    <w:p w14:paraId="76744740" w14:textId="77777777" w:rsidR="00D90DA2" w:rsidRPr="00EC3A8E" w:rsidRDefault="00D90DA2" w:rsidP="00DA6F88">
      <w:pPr>
        <w:pStyle w:val="Listeafsnit"/>
        <w:numPr>
          <w:ilvl w:val="0"/>
          <w:numId w:val="15"/>
        </w:numPr>
        <w:ind w:left="1701" w:hanging="425"/>
        <w:rPr>
          <w:sz w:val="24"/>
          <w:szCs w:val="24"/>
          <w:lang w:val="en-US"/>
        </w:rPr>
      </w:pPr>
      <w:r w:rsidRPr="00EC3A8E">
        <w:rPr>
          <w:sz w:val="24"/>
          <w:szCs w:val="24"/>
          <w:lang w:val="en-US"/>
        </w:rPr>
        <w:t>Presence or history of benign or malignant liver tumours</w:t>
      </w:r>
    </w:p>
    <w:p w14:paraId="65DE6AC4" w14:textId="77777777" w:rsidR="00D90DA2" w:rsidRPr="00EC3A8E" w:rsidRDefault="00D90DA2" w:rsidP="00DA6F88">
      <w:pPr>
        <w:pStyle w:val="Listeafsnit"/>
        <w:numPr>
          <w:ilvl w:val="0"/>
          <w:numId w:val="15"/>
        </w:numPr>
        <w:ind w:left="1701" w:hanging="425"/>
        <w:rPr>
          <w:sz w:val="24"/>
          <w:szCs w:val="24"/>
        </w:rPr>
      </w:pPr>
      <w:proofErr w:type="spellStart"/>
      <w:r w:rsidRPr="00EC3A8E">
        <w:rPr>
          <w:sz w:val="24"/>
          <w:szCs w:val="24"/>
        </w:rPr>
        <w:t>Undiagnosed</w:t>
      </w:r>
      <w:proofErr w:type="spellEnd"/>
      <w:r w:rsidRPr="00EC3A8E">
        <w:rPr>
          <w:sz w:val="24"/>
          <w:szCs w:val="24"/>
        </w:rPr>
        <w:t xml:space="preserve"> vaginal </w:t>
      </w:r>
      <w:proofErr w:type="spellStart"/>
      <w:r w:rsidRPr="00EC3A8E">
        <w:rPr>
          <w:sz w:val="24"/>
          <w:szCs w:val="24"/>
        </w:rPr>
        <w:t>bleeding</w:t>
      </w:r>
      <w:proofErr w:type="spellEnd"/>
    </w:p>
    <w:p w14:paraId="20B2DF9C" w14:textId="77777777" w:rsidR="00D90DA2" w:rsidRPr="00EC3A8E" w:rsidRDefault="00D90DA2" w:rsidP="00DA6F88">
      <w:pPr>
        <w:pStyle w:val="Listeafsnit"/>
        <w:numPr>
          <w:ilvl w:val="0"/>
          <w:numId w:val="15"/>
        </w:numPr>
        <w:ind w:left="1701" w:hanging="425"/>
        <w:rPr>
          <w:sz w:val="24"/>
          <w:szCs w:val="24"/>
          <w:lang w:val="en-US"/>
        </w:rPr>
      </w:pPr>
      <w:r w:rsidRPr="00EC3A8E">
        <w:rPr>
          <w:sz w:val="24"/>
          <w:szCs w:val="24"/>
          <w:lang w:val="en-US"/>
        </w:rPr>
        <w:t>Hypersensitivity to the active substances or to any of the excipients</w:t>
      </w:r>
    </w:p>
    <w:p w14:paraId="09392790" w14:textId="77777777" w:rsidR="00D90DA2" w:rsidRPr="00EC3A8E" w:rsidRDefault="00D90DA2" w:rsidP="00CC754D">
      <w:pPr>
        <w:ind w:left="851"/>
        <w:rPr>
          <w:sz w:val="24"/>
          <w:szCs w:val="24"/>
          <w:lang w:val="en-US"/>
        </w:rPr>
      </w:pPr>
    </w:p>
    <w:p w14:paraId="10B2E2F4" w14:textId="77777777" w:rsidR="009D03C4" w:rsidRDefault="009D03C4" w:rsidP="009D03C4">
      <w:pPr>
        <w:ind w:left="851"/>
        <w:rPr>
          <w:sz w:val="24"/>
          <w:szCs w:val="24"/>
          <w:lang w:val="en-US"/>
        </w:rPr>
      </w:pPr>
      <w:proofErr w:type="spellStart"/>
      <w:r>
        <w:rPr>
          <w:sz w:val="24"/>
          <w:szCs w:val="24"/>
          <w:lang w:val="en-US"/>
        </w:rPr>
        <w:t>Ciclomex</w:t>
      </w:r>
      <w:proofErr w:type="spellEnd"/>
      <w:r>
        <w:rPr>
          <w:sz w:val="24"/>
          <w:szCs w:val="24"/>
          <w:lang w:val="en-US"/>
        </w:rPr>
        <w:t xml:space="preserve"> is contraindicated for concomitant use with the medicinal products containing </w:t>
      </w:r>
      <w:proofErr w:type="spellStart"/>
      <w:r>
        <w:rPr>
          <w:sz w:val="24"/>
          <w:szCs w:val="24"/>
          <w:lang w:val="en-US"/>
        </w:rPr>
        <w:t>ombitasvir</w:t>
      </w:r>
      <w:proofErr w:type="spellEnd"/>
      <w:r>
        <w:rPr>
          <w:sz w:val="24"/>
          <w:szCs w:val="24"/>
          <w:lang w:val="en-US"/>
        </w:rPr>
        <w:t>/</w:t>
      </w:r>
      <w:proofErr w:type="spellStart"/>
      <w:r>
        <w:rPr>
          <w:sz w:val="24"/>
          <w:szCs w:val="24"/>
          <w:lang w:val="en-US"/>
        </w:rPr>
        <w:t>paritaprevir</w:t>
      </w:r>
      <w:proofErr w:type="spellEnd"/>
      <w:r>
        <w:rPr>
          <w:sz w:val="24"/>
          <w:szCs w:val="24"/>
          <w:lang w:val="en-US"/>
        </w:rPr>
        <w:t>/ritonavir and dasabuvir</w:t>
      </w:r>
      <w:r w:rsidRPr="009D03C4">
        <w:rPr>
          <w:sz w:val="24"/>
          <w:szCs w:val="24"/>
          <w:lang w:val="en-US"/>
        </w:rPr>
        <w:t>,</w:t>
      </w:r>
      <w:r>
        <w:rPr>
          <w:sz w:val="24"/>
          <w:szCs w:val="24"/>
          <w:lang w:val="en-US"/>
        </w:rPr>
        <w:t xml:space="preserve"> medicinal products containing </w:t>
      </w:r>
      <w:proofErr w:type="spellStart"/>
      <w:r>
        <w:rPr>
          <w:sz w:val="24"/>
          <w:szCs w:val="24"/>
          <w:lang w:val="en-US"/>
        </w:rPr>
        <w:t>glecaprevir</w:t>
      </w:r>
      <w:proofErr w:type="spellEnd"/>
      <w:r>
        <w:rPr>
          <w:sz w:val="24"/>
          <w:szCs w:val="24"/>
          <w:lang w:val="en-US"/>
        </w:rPr>
        <w:t>/</w:t>
      </w:r>
      <w:proofErr w:type="spellStart"/>
      <w:r>
        <w:rPr>
          <w:sz w:val="24"/>
          <w:szCs w:val="24"/>
          <w:lang w:val="en-US"/>
        </w:rPr>
        <w:t>pibrentasvir</w:t>
      </w:r>
      <w:proofErr w:type="spellEnd"/>
      <w:r>
        <w:rPr>
          <w:sz w:val="24"/>
          <w:szCs w:val="24"/>
          <w:lang w:val="en-US"/>
        </w:rPr>
        <w:t xml:space="preserve"> or sofosbuvir/</w:t>
      </w:r>
      <w:proofErr w:type="spellStart"/>
      <w:r>
        <w:rPr>
          <w:sz w:val="24"/>
          <w:szCs w:val="24"/>
          <w:lang w:val="en-US"/>
        </w:rPr>
        <w:t>velpatasvir</w:t>
      </w:r>
      <w:proofErr w:type="spellEnd"/>
      <w:r>
        <w:rPr>
          <w:sz w:val="24"/>
          <w:szCs w:val="24"/>
          <w:lang w:val="en-US"/>
        </w:rPr>
        <w:t>/</w:t>
      </w:r>
      <w:proofErr w:type="spellStart"/>
      <w:r>
        <w:rPr>
          <w:sz w:val="24"/>
          <w:szCs w:val="24"/>
          <w:lang w:val="en-US"/>
        </w:rPr>
        <w:t>voxilaprevir</w:t>
      </w:r>
      <w:proofErr w:type="spellEnd"/>
      <w:r>
        <w:rPr>
          <w:sz w:val="24"/>
          <w:szCs w:val="24"/>
          <w:lang w:val="en-US"/>
        </w:rPr>
        <w:t xml:space="preserve"> (see section 4.5).</w:t>
      </w:r>
    </w:p>
    <w:p w14:paraId="7F2F0029" w14:textId="77777777" w:rsidR="007C5D2A" w:rsidRPr="00EC3A8E" w:rsidRDefault="007C5D2A" w:rsidP="00CC754D">
      <w:pPr>
        <w:ind w:left="851"/>
        <w:rPr>
          <w:sz w:val="24"/>
          <w:szCs w:val="24"/>
          <w:lang w:val="en-US"/>
        </w:rPr>
      </w:pPr>
    </w:p>
    <w:p w14:paraId="492611EA" w14:textId="77777777" w:rsidR="007C5D2A" w:rsidRPr="00EC3A8E" w:rsidRDefault="007C5D2A" w:rsidP="007C5D2A">
      <w:pPr>
        <w:tabs>
          <w:tab w:val="left" w:pos="851"/>
        </w:tabs>
        <w:rPr>
          <w:b/>
          <w:sz w:val="24"/>
          <w:szCs w:val="24"/>
          <w:lang w:val="en-GB"/>
        </w:rPr>
      </w:pPr>
      <w:r w:rsidRPr="00EC3A8E">
        <w:rPr>
          <w:b/>
          <w:sz w:val="24"/>
          <w:szCs w:val="24"/>
          <w:lang w:val="en-GB"/>
        </w:rPr>
        <w:t>4.4</w:t>
      </w:r>
      <w:r w:rsidRPr="00EC3A8E">
        <w:rPr>
          <w:b/>
          <w:sz w:val="24"/>
          <w:szCs w:val="24"/>
          <w:lang w:val="en-GB"/>
        </w:rPr>
        <w:tab/>
        <w:t>Special warnings and precautions for use</w:t>
      </w:r>
    </w:p>
    <w:p w14:paraId="63B7C9B9" w14:textId="77777777" w:rsidR="001F1741" w:rsidRPr="00EC3A8E" w:rsidRDefault="001F1741" w:rsidP="00C72C33">
      <w:pPr>
        <w:rPr>
          <w:rFonts w:eastAsia="SimSun"/>
          <w:sz w:val="24"/>
          <w:szCs w:val="24"/>
          <w:lang w:val="en-US" w:eastAsia="es-ES"/>
        </w:rPr>
      </w:pPr>
    </w:p>
    <w:p w14:paraId="5A1385B5" w14:textId="48D9B9C0" w:rsidR="001278EF" w:rsidRPr="00EC3A8E" w:rsidRDefault="001278EF" w:rsidP="001F1741">
      <w:pPr>
        <w:ind w:left="851"/>
        <w:rPr>
          <w:rFonts w:eastAsia="SimSun"/>
          <w:b/>
          <w:sz w:val="24"/>
          <w:szCs w:val="24"/>
          <w:lang w:val="en-US" w:eastAsia="es-ES"/>
        </w:rPr>
      </w:pPr>
      <w:r w:rsidRPr="00EC3A8E">
        <w:rPr>
          <w:rFonts w:eastAsia="SimSun"/>
          <w:b/>
          <w:sz w:val="24"/>
          <w:szCs w:val="24"/>
          <w:lang w:val="en-US" w:eastAsia="es-ES"/>
        </w:rPr>
        <w:t>Warnings</w:t>
      </w:r>
    </w:p>
    <w:p w14:paraId="39FD5AC7" w14:textId="6604F8C9" w:rsidR="001278EF" w:rsidRPr="00EC3A8E" w:rsidRDefault="001278EF" w:rsidP="001F1741">
      <w:pPr>
        <w:ind w:left="851"/>
        <w:rPr>
          <w:sz w:val="24"/>
          <w:szCs w:val="24"/>
          <w:lang w:val="en-GB" w:eastAsia="en-US"/>
        </w:rPr>
      </w:pPr>
      <w:r w:rsidRPr="00EC3A8E">
        <w:rPr>
          <w:sz w:val="24"/>
          <w:szCs w:val="24"/>
          <w:lang w:val="en-US"/>
        </w:rPr>
        <w:t xml:space="preserve">If any of the conditions or risk factors mentioned below is present, the suitability of </w:t>
      </w:r>
      <w:proofErr w:type="spellStart"/>
      <w:r w:rsidR="000871A3">
        <w:rPr>
          <w:sz w:val="24"/>
          <w:szCs w:val="24"/>
          <w:lang w:val="en-US"/>
        </w:rPr>
        <w:t>Ciclomex</w:t>
      </w:r>
      <w:proofErr w:type="spellEnd"/>
      <w:r w:rsidRPr="00EC3A8E">
        <w:rPr>
          <w:sz w:val="24"/>
          <w:szCs w:val="24"/>
          <w:lang w:val="en-US"/>
        </w:rPr>
        <w:t xml:space="preserve"> should be discussed with the woman.</w:t>
      </w:r>
    </w:p>
    <w:p w14:paraId="29260F72" w14:textId="77777777" w:rsidR="001F1741" w:rsidRPr="00EC3A8E" w:rsidRDefault="001F1741" w:rsidP="001F1741">
      <w:pPr>
        <w:ind w:left="851"/>
        <w:rPr>
          <w:sz w:val="24"/>
          <w:szCs w:val="24"/>
          <w:lang w:val="en-US"/>
        </w:rPr>
      </w:pPr>
    </w:p>
    <w:p w14:paraId="47905EF5" w14:textId="29DA5F9A" w:rsidR="001278EF" w:rsidRPr="00EC3A8E" w:rsidRDefault="001278EF" w:rsidP="001F1741">
      <w:pPr>
        <w:ind w:left="851"/>
        <w:rPr>
          <w:sz w:val="24"/>
          <w:szCs w:val="24"/>
          <w:lang w:val="en-US"/>
        </w:rPr>
      </w:pPr>
      <w:r w:rsidRPr="00EC3A8E">
        <w:rPr>
          <w:sz w:val="24"/>
          <w:szCs w:val="24"/>
          <w:lang w:val="en-US"/>
        </w:rPr>
        <w:t xml:space="preserve">In the event of aggravation, or first appearance of any of these conditions or risk factors, the woman should be advised to contact her doctor to determine whether the use of </w:t>
      </w:r>
      <w:proofErr w:type="spellStart"/>
      <w:r w:rsidR="000871A3">
        <w:rPr>
          <w:sz w:val="24"/>
          <w:szCs w:val="24"/>
          <w:lang w:val="en-US"/>
        </w:rPr>
        <w:t>Ciclomex</w:t>
      </w:r>
      <w:proofErr w:type="spellEnd"/>
      <w:r w:rsidRPr="00EC3A8E">
        <w:rPr>
          <w:sz w:val="24"/>
          <w:szCs w:val="24"/>
          <w:lang w:val="en-US"/>
        </w:rPr>
        <w:t xml:space="preserve"> should be discontinued.</w:t>
      </w:r>
    </w:p>
    <w:p w14:paraId="7AF2DC7F" w14:textId="77777777" w:rsidR="001F1741" w:rsidRPr="00EC3A8E" w:rsidRDefault="001F1741" w:rsidP="001F1741">
      <w:pPr>
        <w:ind w:left="851"/>
        <w:rPr>
          <w:sz w:val="24"/>
          <w:szCs w:val="24"/>
          <w:lang w:val="en-US"/>
        </w:rPr>
      </w:pPr>
    </w:p>
    <w:p w14:paraId="0897AE9B" w14:textId="342B4495" w:rsidR="001278EF" w:rsidRPr="00EC3A8E" w:rsidRDefault="001278EF" w:rsidP="001F1741">
      <w:pPr>
        <w:ind w:left="851"/>
        <w:rPr>
          <w:sz w:val="24"/>
          <w:szCs w:val="24"/>
          <w:lang w:val="en-US"/>
        </w:rPr>
      </w:pPr>
      <w:r w:rsidRPr="00EC3A8E">
        <w:rPr>
          <w:sz w:val="24"/>
          <w:szCs w:val="24"/>
          <w:lang w:val="en-US"/>
        </w:rPr>
        <w:t>In case of suspected or confirmed VTE or ATE, CHC use should be discontinued. In case anti-coagulant therapy is started, adequate alternative contraception should be initiated because of the teratogenicity of anticoagulant therapy (coumarins).</w:t>
      </w:r>
    </w:p>
    <w:p w14:paraId="3E121C5E" w14:textId="77777777" w:rsidR="001278EF" w:rsidRPr="00EC3A8E" w:rsidRDefault="001278EF" w:rsidP="001F1741">
      <w:pPr>
        <w:ind w:left="851"/>
        <w:rPr>
          <w:sz w:val="24"/>
          <w:szCs w:val="24"/>
          <w:lang w:val="en-US"/>
        </w:rPr>
      </w:pPr>
    </w:p>
    <w:p w14:paraId="57D7147E" w14:textId="77777777" w:rsidR="001278EF" w:rsidRPr="00EC3A8E" w:rsidRDefault="001278EF" w:rsidP="001F1741">
      <w:pPr>
        <w:ind w:left="851"/>
        <w:rPr>
          <w:b/>
          <w:sz w:val="24"/>
          <w:szCs w:val="24"/>
          <w:lang w:val="en-US"/>
        </w:rPr>
      </w:pPr>
      <w:r w:rsidRPr="00EC3A8E">
        <w:rPr>
          <w:b/>
          <w:sz w:val="24"/>
          <w:szCs w:val="24"/>
          <w:lang w:val="en-US"/>
        </w:rPr>
        <w:t>Risk of venous thromboembolism (VTE)</w:t>
      </w:r>
    </w:p>
    <w:p w14:paraId="713A1783" w14:textId="31413472" w:rsidR="001278EF" w:rsidRPr="00EC3A8E" w:rsidRDefault="001278EF" w:rsidP="001F1741">
      <w:pPr>
        <w:ind w:left="851"/>
        <w:rPr>
          <w:b/>
          <w:sz w:val="24"/>
          <w:szCs w:val="24"/>
          <w:lang w:val="en-US"/>
        </w:rPr>
      </w:pPr>
      <w:r w:rsidRPr="00EC3A8E">
        <w:rPr>
          <w:sz w:val="24"/>
          <w:szCs w:val="24"/>
          <w:lang w:val="en-US"/>
        </w:rPr>
        <w:t xml:space="preserve">The use of any combined hormonal contraceptive (CHC) increases the risk of venous thromboembolism (VTE) compared with no use. </w:t>
      </w:r>
      <w:r w:rsidRPr="00EC3A8E">
        <w:rPr>
          <w:b/>
          <w:sz w:val="24"/>
          <w:szCs w:val="24"/>
          <w:lang w:val="en-US"/>
        </w:rPr>
        <w:t xml:space="preserve">Products that contain levonorgestrel, </w:t>
      </w:r>
      <w:proofErr w:type="spellStart"/>
      <w:r w:rsidRPr="00EC3A8E">
        <w:rPr>
          <w:b/>
          <w:sz w:val="24"/>
          <w:szCs w:val="24"/>
          <w:lang w:val="en-US"/>
        </w:rPr>
        <w:t>norgestimate</w:t>
      </w:r>
      <w:proofErr w:type="spellEnd"/>
      <w:r w:rsidRPr="00EC3A8E">
        <w:rPr>
          <w:b/>
          <w:sz w:val="24"/>
          <w:szCs w:val="24"/>
          <w:lang w:val="en-US"/>
        </w:rPr>
        <w:t xml:space="preserve"> or norethisterone are associated with the lowest risk of VTE. Other products such as </w:t>
      </w:r>
      <w:proofErr w:type="spellStart"/>
      <w:r w:rsidR="000871A3">
        <w:rPr>
          <w:b/>
          <w:sz w:val="24"/>
          <w:szCs w:val="24"/>
          <w:lang w:val="en-US"/>
        </w:rPr>
        <w:t>Ciclomex</w:t>
      </w:r>
      <w:proofErr w:type="spellEnd"/>
      <w:r w:rsidRPr="00EC3A8E">
        <w:rPr>
          <w:b/>
          <w:sz w:val="24"/>
          <w:szCs w:val="24"/>
          <w:lang w:val="en-US"/>
        </w:rPr>
        <w:t xml:space="preserve"> may have up to twice this level of risk. The decision to use any product other than one with the lowest VTE risk should be taken only after a discussion with the woman to ensure she understands the risk of VTE with </w:t>
      </w:r>
      <w:proofErr w:type="spellStart"/>
      <w:r w:rsidR="000871A3">
        <w:rPr>
          <w:b/>
          <w:sz w:val="24"/>
          <w:szCs w:val="24"/>
          <w:lang w:val="en-US"/>
        </w:rPr>
        <w:t>Ciclomex</w:t>
      </w:r>
      <w:proofErr w:type="spellEnd"/>
      <w:r w:rsidRPr="00EC3A8E">
        <w:rPr>
          <w:b/>
          <w:sz w:val="24"/>
          <w:szCs w:val="24"/>
          <w:lang w:val="en-US"/>
        </w:rPr>
        <w:t>, how her current risk factors influence this risk, and that her VTE risk is highest in the first ever year of use. There is also some evidence that the risk is increased when a CHC is re-started after a break in use of 4 weeks or more.</w:t>
      </w:r>
    </w:p>
    <w:p w14:paraId="2D4FDEA7" w14:textId="77777777" w:rsidR="001F1741" w:rsidRPr="00EC3A8E" w:rsidRDefault="001F1741" w:rsidP="001F1741">
      <w:pPr>
        <w:ind w:left="851"/>
        <w:rPr>
          <w:iCs/>
          <w:sz w:val="24"/>
          <w:szCs w:val="24"/>
          <w:lang w:val="en-US"/>
        </w:rPr>
      </w:pPr>
    </w:p>
    <w:p w14:paraId="5CA4F273" w14:textId="5201E235" w:rsidR="001278EF" w:rsidRPr="00EC3A8E" w:rsidRDefault="001278EF" w:rsidP="001F1741">
      <w:pPr>
        <w:ind w:left="851"/>
        <w:rPr>
          <w:iCs/>
          <w:sz w:val="24"/>
          <w:szCs w:val="24"/>
          <w:lang w:val="en-US"/>
        </w:rPr>
      </w:pPr>
      <w:r w:rsidRPr="00EC3A8E">
        <w:rPr>
          <w:iCs/>
          <w:sz w:val="24"/>
          <w:szCs w:val="24"/>
          <w:lang w:val="en-US"/>
        </w:rPr>
        <w:t>In women who do not use a CHC and are not pregnant about 2 out of 10,000 will develop a VTE over the period of one year. However, in any individual woman the risk may be far higher, depending on her underlying risk factors (see below).</w:t>
      </w:r>
      <w:r w:rsidRPr="00EC3A8E">
        <w:rPr>
          <w:sz w:val="24"/>
          <w:szCs w:val="24"/>
          <w:lang w:val="en-US"/>
        </w:rPr>
        <w:t xml:space="preserve"> </w:t>
      </w:r>
    </w:p>
    <w:p w14:paraId="0AAC08A9" w14:textId="77777777" w:rsidR="00AC4AE0" w:rsidRPr="00EC3A8E" w:rsidRDefault="00AC4AE0" w:rsidP="001F1741">
      <w:pPr>
        <w:ind w:left="851"/>
        <w:rPr>
          <w:iCs/>
          <w:color w:val="000000"/>
          <w:sz w:val="24"/>
          <w:szCs w:val="24"/>
          <w:lang w:val="en-US"/>
        </w:rPr>
      </w:pPr>
    </w:p>
    <w:p w14:paraId="3EF61B57" w14:textId="48FC1B31" w:rsidR="001278EF" w:rsidRPr="00EC3A8E" w:rsidRDefault="001278EF" w:rsidP="001F1741">
      <w:pPr>
        <w:ind w:left="851"/>
        <w:rPr>
          <w:iCs/>
          <w:sz w:val="24"/>
          <w:szCs w:val="24"/>
          <w:lang w:val="en-US"/>
        </w:rPr>
      </w:pPr>
      <w:r w:rsidRPr="00EC3A8E">
        <w:rPr>
          <w:iCs/>
          <w:color w:val="000000"/>
          <w:sz w:val="24"/>
          <w:szCs w:val="24"/>
          <w:lang w:val="en-US"/>
        </w:rPr>
        <w:t>It is estimated</w:t>
      </w:r>
      <w:r w:rsidRPr="00EC3A8E">
        <w:rPr>
          <w:iCs/>
          <w:color w:val="000000"/>
          <w:sz w:val="24"/>
          <w:szCs w:val="24"/>
          <w:vertAlign w:val="superscript"/>
        </w:rPr>
        <w:footnoteReference w:id="1"/>
      </w:r>
      <w:r w:rsidRPr="00EC3A8E">
        <w:rPr>
          <w:iCs/>
          <w:color w:val="000000"/>
          <w:sz w:val="24"/>
          <w:szCs w:val="24"/>
          <w:lang w:val="en-US"/>
        </w:rPr>
        <w:t xml:space="preserve"> that o</w:t>
      </w:r>
      <w:r w:rsidRPr="00EC3A8E">
        <w:rPr>
          <w:iCs/>
          <w:sz w:val="24"/>
          <w:szCs w:val="24"/>
          <w:lang w:val="en-US"/>
        </w:rPr>
        <w:t xml:space="preserve">ut of 10,000 women who use a CHC containing </w:t>
      </w:r>
      <w:proofErr w:type="spellStart"/>
      <w:r w:rsidRPr="00EC3A8E">
        <w:rPr>
          <w:iCs/>
          <w:sz w:val="24"/>
          <w:szCs w:val="24"/>
          <w:lang w:val="en-US"/>
        </w:rPr>
        <w:t>gestodene</w:t>
      </w:r>
      <w:proofErr w:type="spellEnd"/>
      <w:r w:rsidRPr="00EC3A8E">
        <w:rPr>
          <w:iCs/>
          <w:sz w:val="24"/>
          <w:szCs w:val="24"/>
          <w:lang w:val="en-US"/>
        </w:rPr>
        <w:t xml:space="preserve"> between 9 and 12 women will develop a VTE in one year; this compares with about 6</w:t>
      </w:r>
      <w:r w:rsidRPr="00EC3A8E">
        <w:rPr>
          <w:rStyle w:val="Fodnotehenvisning"/>
          <w:rFonts w:ascii="Times New Roman" w:hAnsi="Times New Roman"/>
          <w:iCs/>
          <w:sz w:val="24"/>
          <w:szCs w:val="24"/>
        </w:rPr>
        <w:footnoteReference w:id="2"/>
      </w:r>
      <w:r w:rsidRPr="00EC3A8E">
        <w:rPr>
          <w:iCs/>
          <w:sz w:val="24"/>
          <w:szCs w:val="24"/>
          <w:lang w:val="en-US"/>
        </w:rPr>
        <w:t xml:space="preserve"> in women who use a levonorgestrel-containing CHC. </w:t>
      </w:r>
    </w:p>
    <w:p w14:paraId="792463F0" w14:textId="77777777" w:rsidR="00AC4AE0" w:rsidRPr="00EC3A8E" w:rsidRDefault="00AC4AE0" w:rsidP="001F1741">
      <w:pPr>
        <w:ind w:left="851"/>
        <w:rPr>
          <w:iCs/>
          <w:sz w:val="24"/>
          <w:szCs w:val="24"/>
          <w:lang w:val="en-US"/>
        </w:rPr>
      </w:pPr>
    </w:p>
    <w:p w14:paraId="0283B239" w14:textId="04D4F76B" w:rsidR="001278EF" w:rsidRPr="00EC3A8E" w:rsidRDefault="001278EF" w:rsidP="001F1741">
      <w:pPr>
        <w:ind w:left="851"/>
        <w:rPr>
          <w:sz w:val="24"/>
          <w:szCs w:val="24"/>
          <w:lang w:val="en-US"/>
        </w:rPr>
      </w:pPr>
      <w:r w:rsidRPr="00EC3A8E">
        <w:rPr>
          <w:iCs/>
          <w:sz w:val="24"/>
          <w:szCs w:val="24"/>
          <w:lang w:val="en-US"/>
        </w:rPr>
        <w:t>In both cases, the number of VTEs per year is fewer than the number expected during pregnancy or in the postpartum period.</w:t>
      </w:r>
    </w:p>
    <w:p w14:paraId="16BCD526" w14:textId="77777777" w:rsidR="00AC4AE0" w:rsidRPr="00EC3A8E" w:rsidRDefault="00AC4AE0" w:rsidP="001F1741">
      <w:pPr>
        <w:ind w:left="851"/>
        <w:rPr>
          <w:sz w:val="24"/>
          <w:szCs w:val="24"/>
          <w:lang w:val="en-US"/>
        </w:rPr>
      </w:pPr>
    </w:p>
    <w:p w14:paraId="1158F17A" w14:textId="041AE481" w:rsidR="001278EF" w:rsidRPr="00EC3A8E" w:rsidRDefault="001278EF" w:rsidP="001F1741">
      <w:pPr>
        <w:ind w:left="851"/>
        <w:rPr>
          <w:sz w:val="24"/>
          <w:szCs w:val="24"/>
          <w:lang w:val="en-US"/>
        </w:rPr>
      </w:pPr>
      <w:r w:rsidRPr="00EC3A8E">
        <w:rPr>
          <w:sz w:val="24"/>
          <w:szCs w:val="24"/>
          <w:lang w:val="en-US"/>
        </w:rPr>
        <w:t>VTE may be fatal in 1-2% of the cases.</w:t>
      </w:r>
    </w:p>
    <w:p w14:paraId="5C4B12AD" w14:textId="77777777" w:rsidR="00AC4AE0" w:rsidRPr="00EC3A8E" w:rsidRDefault="00AC4AE0" w:rsidP="001F1741">
      <w:pPr>
        <w:ind w:left="851"/>
        <w:rPr>
          <w:sz w:val="24"/>
          <w:szCs w:val="24"/>
          <w:lang w:val="en-US"/>
        </w:rPr>
      </w:pPr>
    </w:p>
    <w:p w14:paraId="1C3494B7" w14:textId="6549D3B1" w:rsidR="001278EF" w:rsidRPr="00EC3A8E" w:rsidRDefault="001278EF" w:rsidP="001F1741">
      <w:pPr>
        <w:ind w:left="851"/>
        <w:rPr>
          <w:b/>
          <w:sz w:val="24"/>
          <w:szCs w:val="24"/>
          <w:lang w:val="en-US"/>
        </w:rPr>
      </w:pPr>
      <w:r w:rsidRPr="00EC3A8E">
        <w:rPr>
          <w:b/>
          <w:sz w:val="24"/>
          <w:szCs w:val="24"/>
          <w:lang w:val="en-US"/>
        </w:rPr>
        <w:t>Number of VTE events per 10,000 women in one year</w:t>
      </w:r>
    </w:p>
    <w:p w14:paraId="2839EE39" w14:textId="01FE9E9A" w:rsidR="001278EF" w:rsidRPr="00EC3A8E" w:rsidRDefault="001278EF" w:rsidP="00AC4AE0">
      <w:pPr>
        <w:autoSpaceDE w:val="0"/>
        <w:autoSpaceDN w:val="0"/>
        <w:adjustRightInd w:val="0"/>
        <w:spacing w:before="120"/>
        <w:rPr>
          <w:i/>
          <w:sz w:val="24"/>
          <w:szCs w:val="24"/>
        </w:rPr>
      </w:pPr>
      <w:r w:rsidRPr="00EC3A8E">
        <w:rPr>
          <w:i/>
          <w:noProof/>
          <w:sz w:val="24"/>
          <w:szCs w:val="24"/>
        </w:rPr>
        <w:drawing>
          <wp:inline distT="0" distB="0" distL="0" distR="0" wp14:anchorId="79CA1EFB" wp14:editId="4B972F4E">
            <wp:extent cx="5954395" cy="3350260"/>
            <wp:effectExtent l="0" t="0" r="8255" b="2540"/>
            <wp:docPr id="2" name="Billed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4395" cy="3350260"/>
                    </a:xfrm>
                    <a:prstGeom prst="rect">
                      <a:avLst/>
                    </a:prstGeom>
                    <a:noFill/>
                    <a:ln>
                      <a:noFill/>
                    </a:ln>
                  </pic:spPr>
                </pic:pic>
              </a:graphicData>
            </a:graphic>
          </wp:inline>
        </w:drawing>
      </w:r>
    </w:p>
    <w:p w14:paraId="5174CDF5" w14:textId="77777777" w:rsidR="001278EF" w:rsidRPr="00EC3A8E" w:rsidRDefault="001278EF" w:rsidP="00AC4AE0">
      <w:pPr>
        <w:ind w:left="851"/>
        <w:rPr>
          <w:sz w:val="24"/>
          <w:szCs w:val="24"/>
          <w:lang w:val="en-US"/>
        </w:rPr>
      </w:pPr>
      <w:r w:rsidRPr="00EC3A8E">
        <w:rPr>
          <w:sz w:val="24"/>
          <w:szCs w:val="24"/>
          <w:lang w:val="en-US"/>
        </w:rPr>
        <w:t>Extremely rarely, thrombosis has been reported to occur in CHC users in other blood vessels, e.g. hepatic, mesenteric, renal or retinal veins and arteries.</w:t>
      </w:r>
    </w:p>
    <w:p w14:paraId="090E1443" w14:textId="77777777" w:rsidR="001278EF" w:rsidRPr="00EC3A8E" w:rsidRDefault="001278EF" w:rsidP="00AC4AE0">
      <w:pPr>
        <w:ind w:left="851"/>
        <w:rPr>
          <w:sz w:val="24"/>
          <w:szCs w:val="24"/>
          <w:lang w:val="en-US"/>
        </w:rPr>
      </w:pPr>
    </w:p>
    <w:p w14:paraId="7C2C0329" w14:textId="77777777" w:rsidR="001278EF" w:rsidRPr="00EC3A8E" w:rsidRDefault="001278EF" w:rsidP="00AC4AE0">
      <w:pPr>
        <w:ind w:left="851"/>
        <w:rPr>
          <w:b/>
          <w:sz w:val="24"/>
          <w:szCs w:val="24"/>
          <w:u w:val="single"/>
          <w:lang w:val="en-US"/>
        </w:rPr>
      </w:pPr>
      <w:r w:rsidRPr="00EC3A8E">
        <w:rPr>
          <w:b/>
          <w:sz w:val="24"/>
          <w:szCs w:val="24"/>
          <w:u w:val="single"/>
          <w:lang w:val="en-US"/>
        </w:rPr>
        <w:t>Risk factors for VTE</w:t>
      </w:r>
    </w:p>
    <w:p w14:paraId="3F823E45" w14:textId="77777777" w:rsidR="001278EF" w:rsidRPr="00EC3A8E" w:rsidRDefault="001278EF" w:rsidP="00AC4AE0">
      <w:pPr>
        <w:ind w:left="851"/>
        <w:rPr>
          <w:sz w:val="24"/>
          <w:szCs w:val="24"/>
          <w:lang w:val="en-US"/>
        </w:rPr>
      </w:pPr>
      <w:r w:rsidRPr="00EC3A8E">
        <w:rPr>
          <w:sz w:val="24"/>
          <w:szCs w:val="24"/>
          <w:lang w:val="en-US"/>
        </w:rPr>
        <w:t>The risk for venous thromboembolic complications in CHC users may increase substantially in a woman with additional risk factors, particularly if there are multiple risk factors (see table).</w:t>
      </w:r>
    </w:p>
    <w:p w14:paraId="4B3A9E83" w14:textId="77777777" w:rsidR="00B25EB8" w:rsidRPr="00EC3A8E" w:rsidRDefault="00B25EB8" w:rsidP="00AC4AE0">
      <w:pPr>
        <w:ind w:left="851"/>
        <w:rPr>
          <w:sz w:val="24"/>
          <w:szCs w:val="24"/>
          <w:lang w:val="en-US"/>
        </w:rPr>
      </w:pPr>
    </w:p>
    <w:p w14:paraId="029BB902" w14:textId="02F13900" w:rsidR="001278EF" w:rsidRPr="00EC3A8E" w:rsidRDefault="000871A3" w:rsidP="00AC4AE0">
      <w:pPr>
        <w:ind w:left="851"/>
        <w:rPr>
          <w:sz w:val="24"/>
          <w:szCs w:val="24"/>
          <w:lang w:val="en-US"/>
        </w:rPr>
      </w:pPr>
      <w:proofErr w:type="spellStart"/>
      <w:r>
        <w:rPr>
          <w:sz w:val="24"/>
          <w:szCs w:val="24"/>
          <w:lang w:val="en-US"/>
        </w:rPr>
        <w:t>Ciclomex</w:t>
      </w:r>
      <w:proofErr w:type="spellEnd"/>
      <w:r w:rsidR="001278EF" w:rsidRPr="00EC3A8E">
        <w:rPr>
          <w:sz w:val="24"/>
          <w:szCs w:val="24"/>
          <w:lang w:val="en-US"/>
        </w:rPr>
        <w:t xml:space="preserve"> is contraindicated if a woman has multiple risk factors that put her at high risk of venous thrombosis (see section 4.3). If a woman has more than one risk factor, it is possible that the increase in risk is greater than the sum of the individual factors – in this case her total risk of VTE should be considered. If the balance of benefits and risks is considered to be negative a CHC should not be prescribed (see section 4.3).</w:t>
      </w:r>
    </w:p>
    <w:p w14:paraId="2B153055" w14:textId="77777777" w:rsidR="001278EF" w:rsidRPr="00EC3A8E" w:rsidRDefault="001278EF" w:rsidP="00C72C33">
      <w:pPr>
        <w:rPr>
          <w:b/>
          <w:sz w:val="24"/>
          <w:szCs w:val="24"/>
          <w:lang w:val="en-US"/>
        </w:rPr>
      </w:pPr>
    </w:p>
    <w:p w14:paraId="66EC05F8" w14:textId="77777777" w:rsidR="001278EF" w:rsidRPr="00EC3A8E" w:rsidRDefault="001278EF" w:rsidP="00EC3A8E">
      <w:pPr>
        <w:rPr>
          <w:b/>
          <w:sz w:val="24"/>
          <w:szCs w:val="24"/>
        </w:rPr>
      </w:pPr>
      <w:proofErr w:type="spellStart"/>
      <w:r w:rsidRPr="00EC3A8E">
        <w:rPr>
          <w:b/>
          <w:sz w:val="24"/>
          <w:szCs w:val="24"/>
        </w:rPr>
        <w:t>Table</w:t>
      </w:r>
      <w:proofErr w:type="spellEnd"/>
      <w:r w:rsidRPr="00EC3A8E">
        <w:rPr>
          <w:b/>
          <w:sz w:val="24"/>
          <w:szCs w:val="24"/>
        </w:rPr>
        <w:t>: Risk factors for VTE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5609"/>
      </w:tblGrid>
      <w:tr w:rsidR="001278EF" w:rsidRPr="00EC3A8E" w14:paraId="0526F79B" w14:textId="77777777" w:rsidTr="007E0045">
        <w:trPr>
          <w:cantSplit/>
          <w:tblHeader/>
        </w:trPr>
        <w:tc>
          <w:tcPr>
            <w:tcW w:w="2087" w:type="pct"/>
            <w:tcBorders>
              <w:top w:val="single" w:sz="4" w:space="0" w:color="auto"/>
              <w:left w:val="single" w:sz="4" w:space="0" w:color="auto"/>
              <w:bottom w:val="single" w:sz="4" w:space="0" w:color="auto"/>
              <w:right w:val="single" w:sz="4" w:space="0" w:color="auto"/>
            </w:tcBorders>
            <w:vAlign w:val="center"/>
            <w:hideMark/>
          </w:tcPr>
          <w:p w14:paraId="07ADEAD1" w14:textId="77777777" w:rsidR="001278EF" w:rsidRPr="00EC3A8E" w:rsidRDefault="001278EF">
            <w:pPr>
              <w:spacing w:before="120"/>
              <w:rPr>
                <w:b/>
                <w:sz w:val="24"/>
                <w:szCs w:val="24"/>
              </w:rPr>
            </w:pPr>
            <w:r w:rsidRPr="00EC3A8E">
              <w:rPr>
                <w:b/>
                <w:sz w:val="24"/>
                <w:szCs w:val="24"/>
              </w:rPr>
              <w:t xml:space="preserve">Risk factor </w:t>
            </w:r>
          </w:p>
        </w:tc>
        <w:tc>
          <w:tcPr>
            <w:tcW w:w="2913" w:type="pct"/>
            <w:tcBorders>
              <w:top w:val="single" w:sz="4" w:space="0" w:color="auto"/>
              <w:left w:val="single" w:sz="4" w:space="0" w:color="auto"/>
              <w:bottom w:val="single" w:sz="4" w:space="0" w:color="auto"/>
              <w:right w:val="single" w:sz="4" w:space="0" w:color="auto"/>
            </w:tcBorders>
            <w:vAlign w:val="center"/>
            <w:hideMark/>
          </w:tcPr>
          <w:p w14:paraId="361600BC" w14:textId="77777777" w:rsidR="001278EF" w:rsidRPr="00EC3A8E" w:rsidRDefault="001278EF">
            <w:pPr>
              <w:spacing w:before="120"/>
              <w:rPr>
                <w:b/>
                <w:sz w:val="24"/>
                <w:szCs w:val="24"/>
              </w:rPr>
            </w:pPr>
            <w:proofErr w:type="spellStart"/>
            <w:r w:rsidRPr="00EC3A8E">
              <w:rPr>
                <w:b/>
                <w:sz w:val="24"/>
                <w:szCs w:val="24"/>
              </w:rPr>
              <w:t>Comment</w:t>
            </w:r>
            <w:proofErr w:type="spellEnd"/>
          </w:p>
        </w:tc>
      </w:tr>
      <w:tr w:rsidR="001278EF" w:rsidRPr="00942773" w14:paraId="20A530B0" w14:textId="77777777" w:rsidTr="007E0045">
        <w:trPr>
          <w:cantSplit/>
        </w:trPr>
        <w:tc>
          <w:tcPr>
            <w:tcW w:w="2087" w:type="pct"/>
            <w:tcBorders>
              <w:top w:val="single" w:sz="4" w:space="0" w:color="auto"/>
              <w:left w:val="single" w:sz="4" w:space="0" w:color="auto"/>
              <w:bottom w:val="single" w:sz="4" w:space="0" w:color="auto"/>
              <w:right w:val="single" w:sz="4" w:space="0" w:color="auto"/>
            </w:tcBorders>
            <w:vAlign w:val="center"/>
            <w:hideMark/>
          </w:tcPr>
          <w:p w14:paraId="42F5977A" w14:textId="0C5DD2DF" w:rsidR="001278EF" w:rsidRPr="00EC3A8E" w:rsidRDefault="001278EF">
            <w:pPr>
              <w:spacing w:before="120"/>
              <w:rPr>
                <w:sz w:val="24"/>
                <w:szCs w:val="24"/>
                <w:lang w:val="en-US"/>
              </w:rPr>
            </w:pPr>
            <w:r w:rsidRPr="00EC3A8E">
              <w:rPr>
                <w:sz w:val="24"/>
                <w:szCs w:val="24"/>
                <w:lang w:val="en-US"/>
              </w:rPr>
              <w:t>Obesity (body mass index over 30</w:t>
            </w:r>
            <w:r w:rsidR="00A56A40">
              <w:rPr>
                <w:sz w:val="24"/>
                <w:szCs w:val="24"/>
                <w:lang w:val="en-US"/>
              </w:rPr>
              <w:t> </w:t>
            </w:r>
            <w:r w:rsidRPr="00EC3A8E">
              <w:rPr>
                <w:sz w:val="24"/>
                <w:szCs w:val="24"/>
                <w:lang w:val="en-US"/>
              </w:rPr>
              <w:t>kg/m²)</w:t>
            </w:r>
          </w:p>
        </w:tc>
        <w:tc>
          <w:tcPr>
            <w:tcW w:w="2913" w:type="pct"/>
            <w:tcBorders>
              <w:top w:val="single" w:sz="4" w:space="0" w:color="auto"/>
              <w:left w:val="single" w:sz="4" w:space="0" w:color="auto"/>
              <w:bottom w:val="single" w:sz="4" w:space="0" w:color="auto"/>
              <w:right w:val="single" w:sz="4" w:space="0" w:color="auto"/>
            </w:tcBorders>
            <w:vAlign w:val="center"/>
            <w:hideMark/>
          </w:tcPr>
          <w:p w14:paraId="62C0F690" w14:textId="77777777" w:rsidR="001278EF" w:rsidRPr="00EC3A8E" w:rsidRDefault="001278EF">
            <w:pPr>
              <w:spacing w:before="120"/>
              <w:rPr>
                <w:sz w:val="24"/>
                <w:szCs w:val="24"/>
                <w:lang w:val="en-US"/>
              </w:rPr>
            </w:pPr>
            <w:r w:rsidRPr="00EC3A8E">
              <w:rPr>
                <w:sz w:val="24"/>
                <w:szCs w:val="24"/>
                <w:lang w:val="en-US"/>
              </w:rPr>
              <w:t xml:space="preserve">Risk increases substantially as BMI rises. </w:t>
            </w:r>
          </w:p>
          <w:p w14:paraId="1FBFEAF3" w14:textId="77777777" w:rsidR="001278EF" w:rsidRPr="00EC3A8E" w:rsidRDefault="001278EF">
            <w:pPr>
              <w:spacing w:before="120"/>
              <w:rPr>
                <w:sz w:val="24"/>
                <w:szCs w:val="24"/>
                <w:lang w:val="en-US"/>
              </w:rPr>
            </w:pPr>
            <w:r w:rsidRPr="00EC3A8E">
              <w:rPr>
                <w:sz w:val="24"/>
                <w:szCs w:val="24"/>
                <w:lang w:val="en-US"/>
              </w:rPr>
              <w:t>Particularly important to consider if other risk factors also present.</w:t>
            </w:r>
          </w:p>
        </w:tc>
      </w:tr>
      <w:tr w:rsidR="001278EF" w:rsidRPr="00942773" w14:paraId="2B0753F2" w14:textId="77777777" w:rsidTr="007E0045">
        <w:trPr>
          <w:cantSplit/>
        </w:trPr>
        <w:tc>
          <w:tcPr>
            <w:tcW w:w="2087" w:type="pct"/>
            <w:tcBorders>
              <w:top w:val="single" w:sz="4" w:space="0" w:color="auto"/>
              <w:left w:val="single" w:sz="4" w:space="0" w:color="auto"/>
              <w:bottom w:val="single" w:sz="4" w:space="0" w:color="auto"/>
              <w:right w:val="single" w:sz="4" w:space="0" w:color="auto"/>
            </w:tcBorders>
            <w:vAlign w:val="center"/>
          </w:tcPr>
          <w:p w14:paraId="7C49A38E" w14:textId="77777777" w:rsidR="001278EF" w:rsidRPr="00EC3A8E" w:rsidRDefault="001278EF">
            <w:pPr>
              <w:spacing w:before="120"/>
              <w:rPr>
                <w:sz w:val="24"/>
                <w:szCs w:val="24"/>
                <w:lang w:val="en-US"/>
              </w:rPr>
            </w:pPr>
            <w:r w:rsidRPr="00EC3A8E">
              <w:rPr>
                <w:sz w:val="24"/>
                <w:szCs w:val="24"/>
                <w:lang w:val="en-US"/>
              </w:rPr>
              <w:lastRenderedPageBreak/>
              <w:t xml:space="preserve">Prolonged </w:t>
            </w:r>
            <w:proofErr w:type="spellStart"/>
            <w:r w:rsidRPr="00EC3A8E">
              <w:rPr>
                <w:sz w:val="24"/>
                <w:szCs w:val="24"/>
                <w:lang w:val="en-US"/>
              </w:rPr>
              <w:t>immobilisation</w:t>
            </w:r>
            <w:proofErr w:type="spellEnd"/>
            <w:r w:rsidRPr="00EC3A8E">
              <w:rPr>
                <w:sz w:val="24"/>
                <w:szCs w:val="24"/>
                <w:lang w:val="en-US"/>
              </w:rPr>
              <w:t>, major surgery, any surgery to the legs or pelvis, neurosurgery, or major trauma</w:t>
            </w:r>
          </w:p>
          <w:p w14:paraId="301473B3" w14:textId="77777777" w:rsidR="001278EF" w:rsidRPr="00EC3A8E" w:rsidRDefault="001278EF">
            <w:pPr>
              <w:spacing w:before="120"/>
              <w:rPr>
                <w:sz w:val="24"/>
                <w:szCs w:val="24"/>
                <w:lang w:val="en-US"/>
              </w:rPr>
            </w:pPr>
          </w:p>
          <w:p w14:paraId="1BA77046" w14:textId="77777777" w:rsidR="001278EF" w:rsidRPr="00EC3A8E" w:rsidRDefault="001278EF">
            <w:pPr>
              <w:spacing w:before="120"/>
              <w:rPr>
                <w:sz w:val="24"/>
                <w:szCs w:val="24"/>
                <w:lang w:val="en-US"/>
              </w:rPr>
            </w:pPr>
          </w:p>
          <w:p w14:paraId="018AE388" w14:textId="77777777" w:rsidR="001278EF" w:rsidRPr="00EC3A8E" w:rsidRDefault="001278EF">
            <w:pPr>
              <w:spacing w:before="120"/>
              <w:rPr>
                <w:sz w:val="24"/>
                <w:szCs w:val="24"/>
                <w:lang w:val="en-US"/>
              </w:rPr>
            </w:pPr>
          </w:p>
          <w:p w14:paraId="4847916D" w14:textId="77777777" w:rsidR="001278EF" w:rsidRPr="00EC3A8E" w:rsidRDefault="001278EF">
            <w:pPr>
              <w:spacing w:before="120"/>
              <w:rPr>
                <w:sz w:val="24"/>
                <w:szCs w:val="24"/>
                <w:lang w:val="en-US"/>
              </w:rPr>
            </w:pPr>
          </w:p>
          <w:p w14:paraId="7CA2E533" w14:textId="77777777" w:rsidR="001278EF" w:rsidRPr="00EC3A8E" w:rsidRDefault="001278EF">
            <w:pPr>
              <w:spacing w:before="120"/>
              <w:rPr>
                <w:sz w:val="24"/>
                <w:szCs w:val="24"/>
                <w:lang w:val="en-US"/>
              </w:rPr>
            </w:pPr>
          </w:p>
          <w:p w14:paraId="103FE2B2" w14:textId="77777777" w:rsidR="001278EF" w:rsidRPr="00EC3A8E" w:rsidRDefault="001278EF">
            <w:pPr>
              <w:spacing w:before="120"/>
              <w:rPr>
                <w:sz w:val="24"/>
                <w:szCs w:val="24"/>
                <w:lang w:val="en-US"/>
              </w:rPr>
            </w:pPr>
            <w:r w:rsidRPr="00EC3A8E">
              <w:rPr>
                <w:sz w:val="24"/>
                <w:szCs w:val="24"/>
                <w:lang w:val="en-US"/>
              </w:rPr>
              <w:t xml:space="preserve">Note:  temporary </w:t>
            </w:r>
            <w:proofErr w:type="spellStart"/>
            <w:r w:rsidRPr="00EC3A8E">
              <w:rPr>
                <w:sz w:val="24"/>
                <w:szCs w:val="24"/>
                <w:lang w:val="en-US"/>
              </w:rPr>
              <w:t>immobilisation</w:t>
            </w:r>
            <w:proofErr w:type="spellEnd"/>
            <w:r w:rsidRPr="00EC3A8E">
              <w:rPr>
                <w:sz w:val="24"/>
                <w:szCs w:val="24"/>
                <w:lang w:val="en-US"/>
              </w:rPr>
              <w:t xml:space="preserve"> including air travel &gt;4 hours can also be a risk factor for VTE, particularly in women with other risk factors</w:t>
            </w:r>
          </w:p>
        </w:tc>
        <w:tc>
          <w:tcPr>
            <w:tcW w:w="2913" w:type="pct"/>
            <w:tcBorders>
              <w:top w:val="single" w:sz="4" w:space="0" w:color="auto"/>
              <w:left w:val="single" w:sz="4" w:space="0" w:color="auto"/>
              <w:bottom w:val="single" w:sz="4" w:space="0" w:color="auto"/>
              <w:right w:val="single" w:sz="4" w:space="0" w:color="auto"/>
            </w:tcBorders>
            <w:vAlign w:val="center"/>
          </w:tcPr>
          <w:p w14:paraId="7DE8823B" w14:textId="71AB0C2E" w:rsidR="001278EF" w:rsidRPr="00EC3A8E" w:rsidRDefault="001278EF">
            <w:pPr>
              <w:spacing w:before="120"/>
              <w:rPr>
                <w:sz w:val="24"/>
                <w:szCs w:val="24"/>
                <w:lang w:val="en-US"/>
              </w:rPr>
            </w:pPr>
            <w:r w:rsidRPr="00EC3A8E">
              <w:rPr>
                <w:sz w:val="24"/>
                <w:szCs w:val="24"/>
                <w:lang w:val="en-US"/>
              </w:rPr>
              <w:t xml:space="preserve">In these </w:t>
            </w:r>
            <w:r w:rsidR="00A56A40" w:rsidRPr="00EC3A8E">
              <w:rPr>
                <w:sz w:val="24"/>
                <w:szCs w:val="24"/>
                <w:lang w:val="en-US"/>
              </w:rPr>
              <w:t>situations,</w:t>
            </w:r>
            <w:r w:rsidRPr="00EC3A8E">
              <w:rPr>
                <w:sz w:val="24"/>
                <w:szCs w:val="24"/>
                <w:lang w:val="en-US"/>
              </w:rPr>
              <w:t xml:space="preserve"> it is advisable to discontinue use of the patch/pill/ring (in the case of elective surgery at least four weeks in advance) and not resume until two weeks after complete </w:t>
            </w:r>
            <w:proofErr w:type="spellStart"/>
            <w:r w:rsidRPr="00EC3A8E">
              <w:rPr>
                <w:sz w:val="24"/>
                <w:szCs w:val="24"/>
                <w:lang w:val="en-US"/>
              </w:rPr>
              <w:t>remobilisation</w:t>
            </w:r>
            <w:proofErr w:type="spellEnd"/>
            <w:r w:rsidRPr="00EC3A8E">
              <w:rPr>
                <w:sz w:val="24"/>
                <w:szCs w:val="24"/>
                <w:lang w:val="en-US"/>
              </w:rPr>
              <w:t xml:space="preserve">. Another method of contraception should be used to avoid unintentional pregnancy. </w:t>
            </w:r>
          </w:p>
          <w:p w14:paraId="5BD8FAC8" w14:textId="3F55BBA8" w:rsidR="001278EF" w:rsidRPr="00EC3A8E" w:rsidRDefault="001278EF">
            <w:pPr>
              <w:spacing w:before="120"/>
              <w:rPr>
                <w:sz w:val="24"/>
                <w:szCs w:val="24"/>
                <w:lang w:val="en-US"/>
              </w:rPr>
            </w:pPr>
            <w:r w:rsidRPr="00EC3A8E">
              <w:rPr>
                <w:sz w:val="24"/>
                <w:szCs w:val="24"/>
                <w:lang w:val="en-US"/>
              </w:rPr>
              <w:t xml:space="preserve">Antithrombotic treatment should be considered if </w:t>
            </w:r>
            <w:proofErr w:type="spellStart"/>
            <w:r w:rsidR="000871A3">
              <w:rPr>
                <w:sz w:val="24"/>
                <w:szCs w:val="24"/>
                <w:lang w:val="en-US"/>
              </w:rPr>
              <w:t>Ciclomex</w:t>
            </w:r>
            <w:proofErr w:type="spellEnd"/>
            <w:r w:rsidRPr="00EC3A8E">
              <w:rPr>
                <w:sz w:val="24"/>
                <w:szCs w:val="24"/>
                <w:lang w:val="en-US"/>
              </w:rPr>
              <w:t xml:space="preserve"> has not been discontinued in advance.</w:t>
            </w:r>
          </w:p>
          <w:p w14:paraId="2E19B37B" w14:textId="77777777" w:rsidR="001278EF" w:rsidRPr="00EC3A8E" w:rsidRDefault="001278EF">
            <w:pPr>
              <w:spacing w:before="120"/>
              <w:rPr>
                <w:sz w:val="24"/>
                <w:szCs w:val="24"/>
                <w:lang w:val="en-US"/>
              </w:rPr>
            </w:pPr>
          </w:p>
        </w:tc>
      </w:tr>
      <w:tr w:rsidR="001278EF" w:rsidRPr="00942773" w14:paraId="797AF52D" w14:textId="77777777" w:rsidTr="007E0045">
        <w:trPr>
          <w:cantSplit/>
        </w:trPr>
        <w:tc>
          <w:tcPr>
            <w:tcW w:w="2087" w:type="pct"/>
            <w:tcBorders>
              <w:top w:val="single" w:sz="4" w:space="0" w:color="auto"/>
              <w:left w:val="single" w:sz="4" w:space="0" w:color="auto"/>
              <w:bottom w:val="single" w:sz="4" w:space="0" w:color="auto"/>
              <w:right w:val="single" w:sz="4" w:space="0" w:color="auto"/>
            </w:tcBorders>
            <w:vAlign w:val="center"/>
            <w:hideMark/>
          </w:tcPr>
          <w:p w14:paraId="532C31B8" w14:textId="77777777" w:rsidR="001278EF" w:rsidRPr="00EC3A8E" w:rsidRDefault="001278EF">
            <w:pPr>
              <w:spacing w:before="120"/>
              <w:rPr>
                <w:sz w:val="24"/>
                <w:szCs w:val="24"/>
                <w:lang w:val="en-US"/>
              </w:rPr>
            </w:pPr>
            <w:r w:rsidRPr="00EC3A8E">
              <w:rPr>
                <w:sz w:val="24"/>
                <w:szCs w:val="24"/>
                <w:lang w:val="en-US"/>
              </w:rPr>
              <w:t>Positive family history (venous thromboembolism ever in a sibling or parent especially at a relatively early age e.g. before 50).</w:t>
            </w:r>
          </w:p>
        </w:tc>
        <w:tc>
          <w:tcPr>
            <w:tcW w:w="2913" w:type="pct"/>
            <w:tcBorders>
              <w:top w:val="single" w:sz="4" w:space="0" w:color="auto"/>
              <w:left w:val="single" w:sz="4" w:space="0" w:color="auto"/>
              <w:bottom w:val="single" w:sz="4" w:space="0" w:color="auto"/>
              <w:right w:val="single" w:sz="4" w:space="0" w:color="auto"/>
            </w:tcBorders>
            <w:vAlign w:val="center"/>
            <w:hideMark/>
          </w:tcPr>
          <w:p w14:paraId="617C52A2" w14:textId="77777777" w:rsidR="001278EF" w:rsidRPr="00EC3A8E" w:rsidRDefault="001278EF">
            <w:pPr>
              <w:spacing w:before="120"/>
              <w:rPr>
                <w:sz w:val="24"/>
                <w:szCs w:val="24"/>
                <w:lang w:val="en-US"/>
              </w:rPr>
            </w:pPr>
            <w:r w:rsidRPr="00EC3A8E">
              <w:rPr>
                <w:sz w:val="24"/>
                <w:szCs w:val="24"/>
                <w:lang w:val="en-US"/>
              </w:rPr>
              <w:t>If a hereditary predisposition is suspected, the woman should be referred to a specialist for advice before deciding about any CHC use</w:t>
            </w:r>
          </w:p>
        </w:tc>
      </w:tr>
      <w:tr w:rsidR="001278EF" w:rsidRPr="00942773" w14:paraId="4692B543" w14:textId="77777777" w:rsidTr="007E0045">
        <w:trPr>
          <w:cantSplit/>
        </w:trPr>
        <w:tc>
          <w:tcPr>
            <w:tcW w:w="2087" w:type="pct"/>
            <w:tcBorders>
              <w:top w:val="single" w:sz="4" w:space="0" w:color="auto"/>
              <w:left w:val="single" w:sz="4" w:space="0" w:color="auto"/>
              <w:bottom w:val="single" w:sz="4" w:space="0" w:color="auto"/>
              <w:right w:val="single" w:sz="4" w:space="0" w:color="auto"/>
            </w:tcBorders>
            <w:vAlign w:val="center"/>
            <w:hideMark/>
          </w:tcPr>
          <w:p w14:paraId="7D1CC7DD" w14:textId="77777777" w:rsidR="001278EF" w:rsidRPr="00EC3A8E" w:rsidRDefault="001278EF">
            <w:pPr>
              <w:spacing w:before="120"/>
              <w:rPr>
                <w:sz w:val="24"/>
                <w:szCs w:val="24"/>
                <w:lang w:val="en-US"/>
              </w:rPr>
            </w:pPr>
            <w:r w:rsidRPr="00EC3A8E">
              <w:rPr>
                <w:sz w:val="24"/>
                <w:szCs w:val="24"/>
                <w:lang w:val="en-US"/>
              </w:rPr>
              <w:t>Other medical conditions associated with VTE</w:t>
            </w:r>
          </w:p>
        </w:tc>
        <w:tc>
          <w:tcPr>
            <w:tcW w:w="2913" w:type="pct"/>
            <w:tcBorders>
              <w:top w:val="single" w:sz="4" w:space="0" w:color="auto"/>
              <w:left w:val="single" w:sz="4" w:space="0" w:color="auto"/>
              <w:bottom w:val="single" w:sz="4" w:space="0" w:color="auto"/>
              <w:right w:val="single" w:sz="4" w:space="0" w:color="auto"/>
            </w:tcBorders>
            <w:vAlign w:val="center"/>
            <w:hideMark/>
          </w:tcPr>
          <w:p w14:paraId="542C67B0" w14:textId="77777777" w:rsidR="001278EF" w:rsidRPr="00EC3A8E" w:rsidRDefault="001278EF">
            <w:pPr>
              <w:spacing w:before="120"/>
              <w:rPr>
                <w:sz w:val="24"/>
                <w:szCs w:val="24"/>
                <w:lang w:val="en-US"/>
              </w:rPr>
            </w:pPr>
            <w:r w:rsidRPr="00EC3A8E">
              <w:rPr>
                <w:sz w:val="24"/>
                <w:szCs w:val="24"/>
                <w:lang w:val="en-US"/>
              </w:rPr>
              <w:t xml:space="preserve">Cancer, systemic lupus erythematosus, </w:t>
            </w:r>
            <w:proofErr w:type="spellStart"/>
            <w:r w:rsidRPr="00EC3A8E">
              <w:rPr>
                <w:sz w:val="24"/>
                <w:szCs w:val="24"/>
                <w:lang w:val="en-US"/>
              </w:rPr>
              <w:t>haemolytic</w:t>
            </w:r>
            <w:proofErr w:type="spellEnd"/>
            <w:r w:rsidRPr="00EC3A8E">
              <w:rPr>
                <w:sz w:val="24"/>
                <w:szCs w:val="24"/>
                <w:lang w:val="en-US"/>
              </w:rPr>
              <w:t xml:space="preserve"> </w:t>
            </w:r>
            <w:proofErr w:type="spellStart"/>
            <w:r w:rsidRPr="00EC3A8E">
              <w:rPr>
                <w:sz w:val="24"/>
                <w:szCs w:val="24"/>
                <w:lang w:val="en-US"/>
              </w:rPr>
              <w:t>uraemic</w:t>
            </w:r>
            <w:proofErr w:type="spellEnd"/>
            <w:r w:rsidRPr="00EC3A8E">
              <w:rPr>
                <w:sz w:val="24"/>
                <w:szCs w:val="24"/>
                <w:lang w:val="en-US"/>
              </w:rPr>
              <w:t xml:space="preserve"> syndrome, chronic inflammatory bowel disease (Crohn’s disease or ulcerative colitis) and sickle cell disease</w:t>
            </w:r>
          </w:p>
        </w:tc>
      </w:tr>
      <w:tr w:rsidR="001278EF" w:rsidRPr="00EC3A8E" w14:paraId="415FD819" w14:textId="77777777" w:rsidTr="007E0045">
        <w:trPr>
          <w:cantSplit/>
        </w:trPr>
        <w:tc>
          <w:tcPr>
            <w:tcW w:w="2087" w:type="pct"/>
            <w:tcBorders>
              <w:top w:val="single" w:sz="4" w:space="0" w:color="auto"/>
              <w:left w:val="single" w:sz="4" w:space="0" w:color="auto"/>
              <w:bottom w:val="single" w:sz="4" w:space="0" w:color="auto"/>
              <w:right w:val="single" w:sz="4" w:space="0" w:color="auto"/>
            </w:tcBorders>
            <w:vAlign w:val="center"/>
            <w:hideMark/>
          </w:tcPr>
          <w:p w14:paraId="05409B84" w14:textId="77777777" w:rsidR="001278EF" w:rsidRPr="00EC3A8E" w:rsidRDefault="001278EF">
            <w:pPr>
              <w:spacing w:before="120"/>
              <w:rPr>
                <w:sz w:val="24"/>
                <w:szCs w:val="24"/>
              </w:rPr>
            </w:pPr>
            <w:proofErr w:type="spellStart"/>
            <w:r w:rsidRPr="00EC3A8E">
              <w:rPr>
                <w:sz w:val="24"/>
                <w:szCs w:val="24"/>
              </w:rPr>
              <w:t>Increasing</w:t>
            </w:r>
            <w:proofErr w:type="spellEnd"/>
            <w:r w:rsidRPr="00EC3A8E">
              <w:rPr>
                <w:sz w:val="24"/>
                <w:szCs w:val="24"/>
              </w:rPr>
              <w:t xml:space="preserve"> age</w:t>
            </w:r>
          </w:p>
        </w:tc>
        <w:tc>
          <w:tcPr>
            <w:tcW w:w="2913" w:type="pct"/>
            <w:tcBorders>
              <w:top w:val="single" w:sz="4" w:space="0" w:color="auto"/>
              <w:left w:val="single" w:sz="4" w:space="0" w:color="auto"/>
              <w:bottom w:val="single" w:sz="4" w:space="0" w:color="auto"/>
              <w:right w:val="single" w:sz="4" w:space="0" w:color="auto"/>
            </w:tcBorders>
            <w:vAlign w:val="center"/>
            <w:hideMark/>
          </w:tcPr>
          <w:p w14:paraId="1A9AD812" w14:textId="77777777" w:rsidR="001278EF" w:rsidRPr="00EC3A8E" w:rsidRDefault="001278EF">
            <w:pPr>
              <w:spacing w:before="120"/>
              <w:rPr>
                <w:sz w:val="24"/>
                <w:szCs w:val="24"/>
              </w:rPr>
            </w:pPr>
            <w:proofErr w:type="spellStart"/>
            <w:r w:rsidRPr="00EC3A8E">
              <w:rPr>
                <w:sz w:val="24"/>
                <w:szCs w:val="24"/>
              </w:rPr>
              <w:t>Particularly</w:t>
            </w:r>
            <w:proofErr w:type="spellEnd"/>
            <w:r w:rsidRPr="00EC3A8E">
              <w:rPr>
                <w:sz w:val="24"/>
                <w:szCs w:val="24"/>
              </w:rPr>
              <w:t xml:space="preserve"> </w:t>
            </w:r>
            <w:proofErr w:type="spellStart"/>
            <w:r w:rsidRPr="00EC3A8E">
              <w:rPr>
                <w:sz w:val="24"/>
                <w:szCs w:val="24"/>
              </w:rPr>
              <w:t>above</w:t>
            </w:r>
            <w:proofErr w:type="spellEnd"/>
            <w:r w:rsidRPr="00EC3A8E">
              <w:rPr>
                <w:sz w:val="24"/>
                <w:szCs w:val="24"/>
              </w:rPr>
              <w:t xml:space="preserve"> 35 </w:t>
            </w:r>
            <w:proofErr w:type="spellStart"/>
            <w:r w:rsidRPr="00EC3A8E">
              <w:rPr>
                <w:sz w:val="24"/>
                <w:szCs w:val="24"/>
              </w:rPr>
              <w:t>years</w:t>
            </w:r>
            <w:proofErr w:type="spellEnd"/>
          </w:p>
        </w:tc>
      </w:tr>
    </w:tbl>
    <w:p w14:paraId="1A7AAB6F" w14:textId="77777777" w:rsidR="007E0045" w:rsidRPr="00EC3A8E" w:rsidRDefault="007E0045" w:rsidP="007E0045">
      <w:pPr>
        <w:ind w:left="851"/>
        <w:rPr>
          <w:sz w:val="24"/>
          <w:szCs w:val="24"/>
          <w:lang w:val="en-US"/>
        </w:rPr>
      </w:pPr>
    </w:p>
    <w:p w14:paraId="14F1FB58" w14:textId="69C3E024" w:rsidR="001278EF" w:rsidRPr="00EC3A8E" w:rsidRDefault="001278EF" w:rsidP="007E0045">
      <w:pPr>
        <w:ind w:left="851"/>
        <w:rPr>
          <w:sz w:val="24"/>
          <w:szCs w:val="24"/>
          <w:lang w:val="en-GB" w:eastAsia="en-US"/>
        </w:rPr>
      </w:pPr>
      <w:r w:rsidRPr="00EC3A8E">
        <w:rPr>
          <w:sz w:val="24"/>
          <w:szCs w:val="24"/>
          <w:lang w:val="en-US"/>
        </w:rPr>
        <w:t>There is no consensus about the possible role of varicose veins and superficial thrombophlebitis in the onset or progression of venous thrombosis.</w:t>
      </w:r>
    </w:p>
    <w:p w14:paraId="3FB2E620" w14:textId="77777777" w:rsidR="007E0045" w:rsidRPr="00EC3A8E" w:rsidRDefault="007E0045" w:rsidP="007E0045">
      <w:pPr>
        <w:ind w:left="851"/>
        <w:rPr>
          <w:sz w:val="24"/>
          <w:szCs w:val="24"/>
          <w:lang w:val="en-US"/>
        </w:rPr>
      </w:pPr>
    </w:p>
    <w:p w14:paraId="224424A7" w14:textId="6F0F7971" w:rsidR="001278EF" w:rsidRPr="00EC3A8E" w:rsidRDefault="001278EF" w:rsidP="007E0045">
      <w:pPr>
        <w:ind w:left="851"/>
        <w:rPr>
          <w:sz w:val="24"/>
          <w:szCs w:val="24"/>
          <w:lang w:val="en-US"/>
        </w:rPr>
      </w:pPr>
      <w:r w:rsidRPr="00EC3A8E">
        <w:rPr>
          <w:sz w:val="24"/>
          <w:szCs w:val="24"/>
          <w:lang w:val="en-US"/>
        </w:rPr>
        <w:t xml:space="preserve">The increased risk of thromboembolism in pregnancy, and particularly the </w:t>
      </w:r>
      <w:proofErr w:type="gramStart"/>
      <w:r w:rsidRPr="00EC3A8E">
        <w:rPr>
          <w:sz w:val="24"/>
          <w:szCs w:val="24"/>
          <w:lang w:val="en-US"/>
        </w:rPr>
        <w:t>6 week</w:t>
      </w:r>
      <w:proofErr w:type="gramEnd"/>
      <w:r w:rsidRPr="00EC3A8E">
        <w:rPr>
          <w:sz w:val="24"/>
          <w:szCs w:val="24"/>
          <w:lang w:val="en-US"/>
        </w:rPr>
        <w:t xml:space="preserve"> period of the puerperium, must be considered (for information on “Pregnancy and lactation” see section 4.6).</w:t>
      </w:r>
    </w:p>
    <w:p w14:paraId="2B3EF1A9" w14:textId="77777777" w:rsidR="001278EF" w:rsidRPr="00EC3A8E" w:rsidRDefault="001278EF" w:rsidP="007E0045">
      <w:pPr>
        <w:ind w:left="851"/>
        <w:rPr>
          <w:sz w:val="24"/>
          <w:szCs w:val="24"/>
          <w:lang w:val="en-US"/>
        </w:rPr>
      </w:pPr>
    </w:p>
    <w:p w14:paraId="28C9B5D1" w14:textId="77777777" w:rsidR="001278EF" w:rsidRPr="00EC3A8E" w:rsidRDefault="001278EF" w:rsidP="007E0045">
      <w:pPr>
        <w:ind w:left="851"/>
        <w:rPr>
          <w:b/>
          <w:sz w:val="24"/>
          <w:szCs w:val="24"/>
          <w:u w:val="single"/>
          <w:lang w:val="en-US"/>
        </w:rPr>
      </w:pPr>
      <w:r w:rsidRPr="00EC3A8E">
        <w:rPr>
          <w:b/>
          <w:sz w:val="24"/>
          <w:szCs w:val="24"/>
          <w:u w:val="single"/>
          <w:lang w:val="en-US"/>
        </w:rPr>
        <w:t>Symptoms of VTE (deep vein thrombosis and pulmonary embolism)</w:t>
      </w:r>
    </w:p>
    <w:p w14:paraId="5D50C919" w14:textId="77777777" w:rsidR="001278EF" w:rsidRPr="00EC3A8E" w:rsidRDefault="001278EF" w:rsidP="007E0045">
      <w:pPr>
        <w:ind w:left="851"/>
        <w:rPr>
          <w:sz w:val="24"/>
          <w:szCs w:val="24"/>
          <w:lang w:val="en-US"/>
        </w:rPr>
      </w:pPr>
      <w:r w:rsidRPr="00EC3A8E">
        <w:rPr>
          <w:sz w:val="24"/>
          <w:szCs w:val="24"/>
          <w:lang w:val="en-US"/>
        </w:rPr>
        <w:t>In the event of symptoms women should be advised to seek urgent medical attention and to inform the healthcare professional that she is taking a CHC.</w:t>
      </w:r>
    </w:p>
    <w:p w14:paraId="422D182D" w14:textId="77777777" w:rsidR="007E0045" w:rsidRPr="00EC3A8E" w:rsidRDefault="007E0045" w:rsidP="007E0045">
      <w:pPr>
        <w:ind w:left="851"/>
        <w:rPr>
          <w:sz w:val="24"/>
          <w:szCs w:val="24"/>
          <w:lang w:val="en-US"/>
        </w:rPr>
      </w:pPr>
    </w:p>
    <w:p w14:paraId="7F3FAA6E" w14:textId="4D33400D" w:rsidR="001278EF" w:rsidRPr="00EC3A8E" w:rsidRDefault="001278EF" w:rsidP="007E0045">
      <w:pPr>
        <w:ind w:left="851"/>
        <w:rPr>
          <w:sz w:val="24"/>
          <w:szCs w:val="24"/>
          <w:lang w:val="en-US"/>
        </w:rPr>
      </w:pPr>
      <w:r w:rsidRPr="00EC3A8E">
        <w:rPr>
          <w:sz w:val="24"/>
          <w:szCs w:val="24"/>
          <w:lang w:val="en-US"/>
        </w:rPr>
        <w:t>Symptoms of deep vein thrombosis (DVT) can include:</w:t>
      </w:r>
    </w:p>
    <w:p w14:paraId="487A42CF" w14:textId="63709147" w:rsidR="001278EF" w:rsidRPr="00EC3A8E" w:rsidRDefault="001278EF" w:rsidP="007E0045">
      <w:pPr>
        <w:pStyle w:val="Listeafsnit"/>
        <w:numPr>
          <w:ilvl w:val="0"/>
          <w:numId w:val="18"/>
        </w:numPr>
        <w:ind w:left="1276" w:hanging="425"/>
        <w:rPr>
          <w:sz w:val="24"/>
          <w:szCs w:val="24"/>
          <w:lang w:val="en-US"/>
        </w:rPr>
      </w:pPr>
      <w:r w:rsidRPr="00EC3A8E">
        <w:rPr>
          <w:sz w:val="24"/>
          <w:szCs w:val="24"/>
          <w:lang w:val="en-US"/>
        </w:rPr>
        <w:t>unilateral swelling of the leg and/or foot or along a vein in the leg;</w:t>
      </w:r>
    </w:p>
    <w:p w14:paraId="661AE2F1" w14:textId="558A5F2C" w:rsidR="001278EF" w:rsidRPr="00EC3A8E" w:rsidRDefault="001278EF" w:rsidP="00F17159">
      <w:pPr>
        <w:pStyle w:val="Listeafsnit"/>
        <w:numPr>
          <w:ilvl w:val="0"/>
          <w:numId w:val="18"/>
        </w:numPr>
        <w:ind w:left="1276" w:hanging="425"/>
        <w:rPr>
          <w:sz w:val="24"/>
          <w:szCs w:val="24"/>
          <w:lang w:val="en-US"/>
        </w:rPr>
      </w:pPr>
      <w:r w:rsidRPr="00EC3A8E">
        <w:rPr>
          <w:sz w:val="24"/>
          <w:szCs w:val="24"/>
          <w:lang w:val="en-US"/>
        </w:rPr>
        <w:t>pain or tenderness in the leg which may be felt only when standing or walking,</w:t>
      </w:r>
    </w:p>
    <w:p w14:paraId="308118E2" w14:textId="2EF3B02D" w:rsidR="001278EF" w:rsidRPr="00EC3A8E" w:rsidRDefault="001278EF" w:rsidP="007E0045">
      <w:pPr>
        <w:pStyle w:val="Listeafsnit"/>
        <w:numPr>
          <w:ilvl w:val="0"/>
          <w:numId w:val="18"/>
        </w:numPr>
        <w:ind w:left="1276" w:hanging="425"/>
        <w:rPr>
          <w:sz w:val="24"/>
          <w:szCs w:val="24"/>
          <w:lang w:val="en-US"/>
        </w:rPr>
      </w:pPr>
      <w:r w:rsidRPr="00EC3A8E">
        <w:rPr>
          <w:sz w:val="24"/>
          <w:szCs w:val="24"/>
          <w:lang w:val="en-US"/>
        </w:rPr>
        <w:t xml:space="preserve">increased warmth in the affected leg; red or </w:t>
      </w:r>
      <w:proofErr w:type="spellStart"/>
      <w:r w:rsidRPr="00EC3A8E">
        <w:rPr>
          <w:sz w:val="24"/>
          <w:szCs w:val="24"/>
          <w:lang w:val="en-US"/>
        </w:rPr>
        <w:t>discoloured</w:t>
      </w:r>
      <w:proofErr w:type="spellEnd"/>
      <w:r w:rsidRPr="00EC3A8E">
        <w:rPr>
          <w:sz w:val="24"/>
          <w:szCs w:val="24"/>
          <w:lang w:val="en-US"/>
        </w:rPr>
        <w:t xml:space="preserve"> skin on the leg.</w:t>
      </w:r>
    </w:p>
    <w:p w14:paraId="018BD6FE" w14:textId="77777777" w:rsidR="007E0045" w:rsidRPr="00EC3A8E" w:rsidRDefault="007E0045" w:rsidP="007E0045">
      <w:pPr>
        <w:ind w:left="851"/>
        <w:rPr>
          <w:sz w:val="24"/>
          <w:szCs w:val="24"/>
          <w:lang w:val="en-US"/>
        </w:rPr>
      </w:pPr>
    </w:p>
    <w:p w14:paraId="63A46E11" w14:textId="57054DF0" w:rsidR="001278EF" w:rsidRPr="00EC3A8E" w:rsidRDefault="001278EF" w:rsidP="007E0045">
      <w:pPr>
        <w:ind w:left="851"/>
        <w:rPr>
          <w:sz w:val="24"/>
          <w:szCs w:val="24"/>
          <w:lang w:val="en-US"/>
        </w:rPr>
      </w:pPr>
      <w:r w:rsidRPr="00EC3A8E">
        <w:rPr>
          <w:sz w:val="24"/>
          <w:szCs w:val="24"/>
          <w:lang w:val="en-US"/>
        </w:rPr>
        <w:t>Symptoms of pulmonary embolism (PE) can include:</w:t>
      </w:r>
    </w:p>
    <w:p w14:paraId="361F6575" w14:textId="564E56F7" w:rsidR="001278EF" w:rsidRPr="00EC3A8E" w:rsidRDefault="001278EF" w:rsidP="00C924D1">
      <w:pPr>
        <w:pStyle w:val="Listeafsnit"/>
        <w:numPr>
          <w:ilvl w:val="0"/>
          <w:numId w:val="18"/>
        </w:numPr>
        <w:ind w:left="1276" w:hanging="425"/>
        <w:rPr>
          <w:sz w:val="24"/>
          <w:szCs w:val="24"/>
          <w:lang w:val="en-US"/>
        </w:rPr>
      </w:pPr>
      <w:r w:rsidRPr="00EC3A8E">
        <w:rPr>
          <w:sz w:val="24"/>
          <w:szCs w:val="24"/>
          <w:lang w:val="en-US"/>
        </w:rPr>
        <w:t>sudden onset of unexplained shortness of breath or rapid breathing;</w:t>
      </w:r>
    </w:p>
    <w:p w14:paraId="6D8406D4" w14:textId="4E5552D9" w:rsidR="001278EF" w:rsidRPr="00EC3A8E" w:rsidRDefault="001278EF" w:rsidP="00C924D1">
      <w:pPr>
        <w:pStyle w:val="Listeafsnit"/>
        <w:numPr>
          <w:ilvl w:val="0"/>
          <w:numId w:val="18"/>
        </w:numPr>
        <w:ind w:left="1276" w:hanging="425"/>
        <w:rPr>
          <w:sz w:val="24"/>
          <w:szCs w:val="24"/>
          <w:lang w:val="en-US"/>
        </w:rPr>
      </w:pPr>
      <w:r w:rsidRPr="00EC3A8E">
        <w:rPr>
          <w:sz w:val="24"/>
          <w:szCs w:val="24"/>
          <w:lang w:val="en-US"/>
        </w:rPr>
        <w:t xml:space="preserve">sudden coughing which may be associated with </w:t>
      </w:r>
      <w:proofErr w:type="spellStart"/>
      <w:r w:rsidRPr="00EC3A8E">
        <w:rPr>
          <w:sz w:val="24"/>
          <w:szCs w:val="24"/>
          <w:lang w:val="en-US"/>
        </w:rPr>
        <w:t>haemoptysis</w:t>
      </w:r>
      <w:proofErr w:type="spellEnd"/>
      <w:r w:rsidRPr="00EC3A8E">
        <w:rPr>
          <w:sz w:val="24"/>
          <w:szCs w:val="24"/>
          <w:lang w:val="en-US"/>
        </w:rPr>
        <w:t>;</w:t>
      </w:r>
    </w:p>
    <w:p w14:paraId="7D06DE3C" w14:textId="3A8634D8" w:rsidR="001278EF" w:rsidRPr="00EC3A8E" w:rsidRDefault="001278EF" w:rsidP="00C924D1">
      <w:pPr>
        <w:pStyle w:val="Listeafsnit"/>
        <w:numPr>
          <w:ilvl w:val="0"/>
          <w:numId w:val="18"/>
        </w:numPr>
        <w:ind w:left="1276" w:hanging="425"/>
        <w:rPr>
          <w:sz w:val="24"/>
          <w:szCs w:val="24"/>
          <w:lang w:val="en-US"/>
        </w:rPr>
      </w:pPr>
      <w:r w:rsidRPr="00EC3A8E">
        <w:rPr>
          <w:sz w:val="24"/>
          <w:szCs w:val="24"/>
          <w:lang w:val="en-US"/>
        </w:rPr>
        <w:t>sharp chest pain;</w:t>
      </w:r>
    </w:p>
    <w:p w14:paraId="0B88A14E" w14:textId="1D16753E" w:rsidR="001278EF" w:rsidRPr="00EC3A8E" w:rsidRDefault="001278EF" w:rsidP="00C924D1">
      <w:pPr>
        <w:pStyle w:val="Listeafsnit"/>
        <w:numPr>
          <w:ilvl w:val="0"/>
          <w:numId w:val="18"/>
        </w:numPr>
        <w:ind w:left="1276" w:hanging="425"/>
        <w:rPr>
          <w:sz w:val="24"/>
          <w:szCs w:val="24"/>
          <w:lang w:val="en-US"/>
        </w:rPr>
      </w:pPr>
      <w:r w:rsidRPr="00EC3A8E">
        <w:rPr>
          <w:sz w:val="24"/>
          <w:szCs w:val="24"/>
          <w:lang w:val="en-US"/>
        </w:rPr>
        <w:t>severe light headedness or dizziness;</w:t>
      </w:r>
    </w:p>
    <w:p w14:paraId="13A0EA68" w14:textId="7443C5A4" w:rsidR="001278EF" w:rsidRPr="00EC3A8E" w:rsidRDefault="001278EF" w:rsidP="00C924D1">
      <w:pPr>
        <w:pStyle w:val="Listeafsnit"/>
        <w:numPr>
          <w:ilvl w:val="0"/>
          <w:numId w:val="18"/>
        </w:numPr>
        <w:ind w:left="1276" w:hanging="425"/>
        <w:rPr>
          <w:sz w:val="24"/>
          <w:szCs w:val="24"/>
          <w:lang w:val="en-US"/>
        </w:rPr>
      </w:pPr>
      <w:r w:rsidRPr="00EC3A8E">
        <w:rPr>
          <w:sz w:val="24"/>
          <w:szCs w:val="24"/>
          <w:lang w:val="en-US"/>
        </w:rPr>
        <w:t>rapid or irregular heartbeat.</w:t>
      </w:r>
    </w:p>
    <w:p w14:paraId="06121C9B" w14:textId="77777777" w:rsidR="00C924D1" w:rsidRPr="00EC3A8E" w:rsidRDefault="00C924D1" w:rsidP="007E0045">
      <w:pPr>
        <w:ind w:left="851"/>
        <w:rPr>
          <w:sz w:val="24"/>
          <w:szCs w:val="24"/>
          <w:lang w:val="en-US"/>
        </w:rPr>
      </w:pPr>
    </w:p>
    <w:p w14:paraId="1F4D4CAF" w14:textId="3871F007" w:rsidR="001278EF" w:rsidRPr="00EC3A8E" w:rsidRDefault="001278EF" w:rsidP="007E0045">
      <w:pPr>
        <w:ind w:left="851"/>
        <w:rPr>
          <w:sz w:val="24"/>
          <w:szCs w:val="24"/>
          <w:lang w:val="en-US"/>
        </w:rPr>
      </w:pPr>
      <w:r w:rsidRPr="00EC3A8E">
        <w:rPr>
          <w:sz w:val="24"/>
          <w:szCs w:val="24"/>
          <w:lang w:val="en-US"/>
        </w:rPr>
        <w:lastRenderedPageBreak/>
        <w:t>Some of these symptoms (e.g. “shortness of breath”, “coughing”) are non-specific and might be misinterpreted as more common or less severe events (e.g. respiratory tract infections).</w:t>
      </w:r>
    </w:p>
    <w:p w14:paraId="2A966CB9" w14:textId="77777777" w:rsidR="00C924D1" w:rsidRPr="00EC3A8E" w:rsidRDefault="00C924D1" w:rsidP="007E0045">
      <w:pPr>
        <w:ind w:left="851"/>
        <w:rPr>
          <w:sz w:val="24"/>
          <w:szCs w:val="24"/>
          <w:lang w:val="en-US"/>
        </w:rPr>
      </w:pPr>
    </w:p>
    <w:p w14:paraId="73839230" w14:textId="30D305E8" w:rsidR="001278EF" w:rsidRPr="00EC3A8E" w:rsidRDefault="001278EF" w:rsidP="007E0045">
      <w:pPr>
        <w:ind w:left="851"/>
        <w:rPr>
          <w:sz w:val="24"/>
          <w:szCs w:val="24"/>
          <w:lang w:val="en-US"/>
        </w:rPr>
      </w:pPr>
      <w:r w:rsidRPr="00EC3A8E">
        <w:rPr>
          <w:sz w:val="24"/>
          <w:szCs w:val="24"/>
          <w:lang w:val="en-US"/>
        </w:rPr>
        <w:t xml:space="preserve">Other signs of vascular occlusion can include: sudden pain, swelling and slight blue discoloration of an extremity. </w:t>
      </w:r>
    </w:p>
    <w:p w14:paraId="63BCF499" w14:textId="77777777" w:rsidR="003E7796" w:rsidRPr="00EC3A8E" w:rsidRDefault="003E7796" w:rsidP="007E0045">
      <w:pPr>
        <w:ind w:left="851"/>
        <w:rPr>
          <w:sz w:val="24"/>
          <w:szCs w:val="24"/>
          <w:lang w:val="en-US"/>
        </w:rPr>
      </w:pPr>
    </w:p>
    <w:p w14:paraId="198C399F" w14:textId="171D8D28" w:rsidR="001278EF" w:rsidRPr="00EC3A8E" w:rsidRDefault="001278EF" w:rsidP="007E0045">
      <w:pPr>
        <w:ind w:left="851"/>
        <w:rPr>
          <w:sz w:val="24"/>
          <w:szCs w:val="24"/>
          <w:lang w:val="en-US"/>
        </w:rPr>
      </w:pPr>
      <w:r w:rsidRPr="00EC3A8E">
        <w:rPr>
          <w:sz w:val="24"/>
          <w:szCs w:val="24"/>
          <w:lang w:val="en-US"/>
        </w:rPr>
        <w:t>If the occlusion occurs in the eye symptoms can range from painless blurring of vision which can progress to loss of vision. Sometimes loss of vision can occur almost immediately.</w:t>
      </w:r>
    </w:p>
    <w:p w14:paraId="225C7D73" w14:textId="77777777" w:rsidR="003E7796" w:rsidRPr="00EC3A8E" w:rsidRDefault="003E7796" w:rsidP="007E0045">
      <w:pPr>
        <w:ind w:left="851"/>
        <w:rPr>
          <w:b/>
          <w:sz w:val="24"/>
          <w:szCs w:val="24"/>
          <w:lang w:val="en-US"/>
        </w:rPr>
      </w:pPr>
    </w:p>
    <w:p w14:paraId="338B37BE" w14:textId="63006CD8" w:rsidR="001278EF" w:rsidRPr="00EC3A8E" w:rsidRDefault="001278EF" w:rsidP="007E0045">
      <w:pPr>
        <w:ind w:left="851"/>
        <w:rPr>
          <w:b/>
          <w:sz w:val="24"/>
          <w:szCs w:val="24"/>
          <w:lang w:val="en-US"/>
        </w:rPr>
      </w:pPr>
      <w:r w:rsidRPr="00EC3A8E">
        <w:rPr>
          <w:b/>
          <w:sz w:val="24"/>
          <w:szCs w:val="24"/>
          <w:lang w:val="en-US"/>
        </w:rPr>
        <w:t>Risk of arterial thromboembolism (ATE)</w:t>
      </w:r>
    </w:p>
    <w:p w14:paraId="7EE64997" w14:textId="77777777" w:rsidR="001278EF" w:rsidRPr="00EC3A8E" w:rsidRDefault="001278EF" w:rsidP="007E0045">
      <w:pPr>
        <w:ind w:left="851"/>
        <w:rPr>
          <w:sz w:val="24"/>
          <w:szCs w:val="24"/>
          <w:lang w:val="en-US"/>
        </w:rPr>
      </w:pPr>
      <w:r w:rsidRPr="00EC3A8E">
        <w:rPr>
          <w:sz w:val="24"/>
          <w:szCs w:val="24"/>
          <w:lang w:val="en-US"/>
        </w:rPr>
        <w:t xml:space="preserve">Epidemiological studies have associated the use of CHCs with an increased risk for arterial thromboembolism (myocardial infarction) or for cerebrovascular accident (e.g. transient </w:t>
      </w:r>
      <w:proofErr w:type="spellStart"/>
      <w:r w:rsidRPr="00EC3A8E">
        <w:rPr>
          <w:sz w:val="24"/>
          <w:szCs w:val="24"/>
          <w:lang w:val="en-US"/>
        </w:rPr>
        <w:t>ischaemic</w:t>
      </w:r>
      <w:proofErr w:type="spellEnd"/>
      <w:r w:rsidRPr="00EC3A8E">
        <w:rPr>
          <w:sz w:val="24"/>
          <w:szCs w:val="24"/>
          <w:lang w:val="en-US"/>
        </w:rPr>
        <w:t xml:space="preserve"> attack, stroke). Arterial thromboembolic events may be fatal.</w:t>
      </w:r>
    </w:p>
    <w:p w14:paraId="71C9A88F" w14:textId="77777777" w:rsidR="003E7796" w:rsidRPr="00EC3A8E" w:rsidRDefault="003E7796" w:rsidP="007E0045">
      <w:pPr>
        <w:ind w:left="851"/>
        <w:rPr>
          <w:b/>
          <w:sz w:val="24"/>
          <w:szCs w:val="24"/>
          <w:u w:val="single"/>
          <w:lang w:val="en-US"/>
        </w:rPr>
      </w:pPr>
    </w:p>
    <w:p w14:paraId="63A21054" w14:textId="51457C98" w:rsidR="001278EF" w:rsidRPr="00EC3A8E" w:rsidRDefault="001278EF" w:rsidP="007E0045">
      <w:pPr>
        <w:ind w:left="851"/>
        <w:rPr>
          <w:b/>
          <w:sz w:val="24"/>
          <w:szCs w:val="24"/>
          <w:u w:val="single"/>
          <w:lang w:val="en-US"/>
        </w:rPr>
      </w:pPr>
      <w:r w:rsidRPr="00EC3A8E">
        <w:rPr>
          <w:b/>
          <w:sz w:val="24"/>
          <w:szCs w:val="24"/>
          <w:u w:val="single"/>
          <w:lang w:val="en-US"/>
        </w:rPr>
        <w:t>Risk factors for ATE</w:t>
      </w:r>
    </w:p>
    <w:p w14:paraId="5B5944B3" w14:textId="49FF3A52" w:rsidR="001278EF" w:rsidRPr="00EC3A8E" w:rsidRDefault="001278EF" w:rsidP="007E0045">
      <w:pPr>
        <w:ind w:left="851"/>
        <w:rPr>
          <w:sz w:val="24"/>
          <w:szCs w:val="24"/>
          <w:lang w:val="en-US"/>
        </w:rPr>
      </w:pPr>
      <w:r w:rsidRPr="00EC3A8E">
        <w:rPr>
          <w:sz w:val="24"/>
          <w:szCs w:val="24"/>
          <w:lang w:val="en-US"/>
        </w:rPr>
        <w:t xml:space="preserve">The risk of arterial thromboembolic complications or of a cerebrovascular accident in CHC users increases in women with risk factors (see table). </w:t>
      </w:r>
      <w:proofErr w:type="spellStart"/>
      <w:r w:rsidR="000871A3">
        <w:rPr>
          <w:sz w:val="24"/>
          <w:szCs w:val="24"/>
          <w:lang w:val="en-US"/>
        </w:rPr>
        <w:t>Ciclomex</w:t>
      </w:r>
      <w:proofErr w:type="spellEnd"/>
      <w:r w:rsidRPr="00EC3A8E">
        <w:rPr>
          <w:sz w:val="24"/>
          <w:szCs w:val="24"/>
          <w:lang w:val="en-US"/>
        </w:rPr>
        <w:t xml:space="preserve"> is contraindicated if a woman has one serious or multiple risk factors for ATE that puts her at high risk of arterial thrombosis (see section 4.3). If a woman has more than one risk factor, it is possible that the increase in risk is greater than the sum of the individual factors - in this case her total risk should be considered. If the balance of benefits and risks is considered to be negative a CHC should not be prescribed (see section 4.3).</w:t>
      </w:r>
    </w:p>
    <w:p w14:paraId="0AAD6D3C" w14:textId="77777777" w:rsidR="001278EF" w:rsidRPr="00EC3A8E" w:rsidRDefault="001278EF" w:rsidP="007E0045">
      <w:pPr>
        <w:ind w:left="851"/>
        <w:rPr>
          <w:sz w:val="24"/>
          <w:szCs w:val="24"/>
          <w:lang w:val="en-US"/>
        </w:rPr>
      </w:pPr>
    </w:p>
    <w:p w14:paraId="3A4440FB" w14:textId="77777777" w:rsidR="001278EF" w:rsidRPr="00EC3A8E" w:rsidRDefault="001278EF" w:rsidP="00C72C33">
      <w:pPr>
        <w:rPr>
          <w:b/>
          <w:bCs/>
          <w:sz w:val="24"/>
          <w:szCs w:val="24"/>
          <w:lang w:val="en-US"/>
        </w:rPr>
      </w:pPr>
      <w:r w:rsidRPr="00EC3A8E">
        <w:rPr>
          <w:b/>
          <w:bCs/>
          <w:sz w:val="24"/>
          <w:szCs w:val="24"/>
          <w:lang w:val="en-US"/>
        </w:rPr>
        <w:t>Table: Risk factors for 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5609"/>
      </w:tblGrid>
      <w:tr w:rsidR="001278EF" w:rsidRPr="00EC3A8E" w14:paraId="3A4485D3" w14:textId="77777777" w:rsidTr="003E7796">
        <w:trPr>
          <w:cantSplit/>
          <w:tblHeader/>
        </w:trPr>
        <w:tc>
          <w:tcPr>
            <w:tcW w:w="2087" w:type="pct"/>
            <w:tcBorders>
              <w:top w:val="single" w:sz="4" w:space="0" w:color="auto"/>
              <w:left w:val="single" w:sz="4" w:space="0" w:color="auto"/>
              <w:bottom w:val="single" w:sz="4" w:space="0" w:color="auto"/>
              <w:right w:val="single" w:sz="4" w:space="0" w:color="auto"/>
            </w:tcBorders>
            <w:vAlign w:val="center"/>
            <w:hideMark/>
          </w:tcPr>
          <w:p w14:paraId="677DC123" w14:textId="77777777" w:rsidR="001278EF" w:rsidRPr="00EC3A8E" w:rsidRDefault="001278EF">
            <w:pPr>
              <w:spacing w:before="120"/>
              <w:rPr>
                <w:b/>
                <w:sz w:val="24"/>
                <w:szCs w:val="24"/>
              </w:rPr>
            </w:pPr>
            <w:r w:rsidRPr="00EC3A8E">
              <w:rPr>
                <w:b/>
                <w:sz w:val="24"/>
                <w:szCs w:val="24"/>
              </w:rPr>
              <w:t>Risk factor</w:t>
            </w:r>
          </w:p>
        </w:tc>
        <w:tc>
          <w:tcPr>
            <w:tcW w:w="2913" w:type="pct"/>
            <w:tcBorders>
              <w:top w:val="single" w:sz="4" w:space="0" w:color="auto"/>
              <w:left w:val="single" w:sz="4" w:space="0" w:color="auto"/>
              <w:bottom w:val="single" w:sz="4" w:space="0" w:color="auto"/>
              <w:right w:val="single" w:sz="4" w:space="0" w:color="auto"/>
            </w:tcBorders>
            <w:vAlign w:val="center"/>
            <w:hideMark/>
          </w:tcPr>
          <w:p w14:paraId="5E674164" w14:textId="77777777" w:rsidR="001278EF" w:rsidRPr="00EC3A8E" w:rsidRDefault="001278EF">
            <w:pPr>
              <w:spacing w:before="120"/>
              <w:rPr>
                <w:b/>
                <w:sz w:val="24"/>
                <w:szCs w:val="24"/>
              </w:rPr>
            </w:pPr>
            <w:proofErr w:type="spellStart"/>
            <w:r w:rsidRPr="00EC3A8E">
              <w:rPr>
                <w:b/>
                <w:sz w:val="24"/>
                <w:szCs w:val="24"/>
              </w:rPr>
              <w:t>Comment</w:t>
            </w:r>
            <w:proofErr w:type="spellEnd"/>
          </w:p>
        </w:tc>
      </w:tr>
      <w:tr w:rsidR="001278EF" w:rsidRPr="00EC3A8E" w14:paraId="19281615" w14:textId="77777777" w:rsidTr="003E7796">
        <w:trPr>
          <w:cantSplit/>
        </w:trPr>
        <w:tc>
          <w:tcPr>
            <w:tcW w:w="2087" w:type="pct"/>
            <w:tcBorders>
              <w:top w:val="single" w:sz="4" w:space="0" w:color="auto"/>
              <w:left w:val="single" w:sz="4" w:space="0" w:color="auto"/>
              <w:bottom w:val="single" w:sz="4" w:space="0" w:color="auto"/>
              <w:right w:val="single" w:sz="4" w:space="0" w:color="auto"/>
            </w:tcBorders>
            <w:vAlign w:val="center"/>
            <w:hideMark/>
          </w:tcPr>
          <w:p w14:paraId="71CECA17" w14:textId="77777777" w:rsidR="001278EF" w:rsidRPr="00EC3A8E" w:rsidRDefault="001278EF">
            <w:pPr>
              <w:spacing w:before="120"/>
              <w:rPr>
                <w:sz w:val="24"/>
                <w:szCs w:val="24"/>
              </w:rPr>
            </w:pPr>
            <w:proofErr w:type="spellStart"/>
            <w:r w:rsidRPr="00EC3A8E">
              <w:rPr>
                <w:sz w:val="24"/>
                <w:szCs w:val="24"/>
              </w:rPr>
              <w:t>Increasing</w:t>
            </w:r>
            <w:proofErr w:type="spellEnd"/>
            <w:r w:rsidRPr="00EC3A8E">
              <w:rPr>
                <w:sz w:val="24"/>
                <w:szCs w:val="24"/>
              </w:rPr>
              <w:t xml:space="preserve"> age</w:t>
            </w:r>
          </w:p>
        </w:tc>
        <w:tc>
          <w:tcPr>
            <w:tcW w:w="2913" w:type="pct"/>
            <w:tcBorders>
              <w:top w:val="single" w:sz="4" w:space="0" w:color="auto"/>
              <w:left w:val="single" w:sz="4" w:space="0" w:color="auto"/>
              <w:bottom w:val="single" w:sz="4" w:space="0" w:color="auto"/>
              <w:right w:val="single" w:sz="4" w:space="0" w:color="auto"/>
            </w:tcBorders>
            <w:vAlign w:val="center"/>
            <w:hideMark/>
          </w:tcPr>
          <w:p w14:paraId="252BB76A" w14:textId="77777777" w:rsidR="001278EF" w:rsidRPr="00EC3A8E" w:rsidRDefault="001278EF">
            <w:pPr>
              <w:spacing w:before="120"/>
              <w:rPr>
                <w:sz w:val="24"/>
                <w:szCs w:val="24"/>
              </w:rPr>
            </w:pPr>
            <w:proofErr w:type="spellStart"/>
            <w:r w:rsidRPr="00EC3A8E">
              <w:rPr>
                <w:sz w:val="24"/>
                <w:szCs w:val="24"/>
              </w:rPr>
              <w:t>Particularly</w:t>
            </w:r>
            <w:proofErr w:type="spellEnd"/>
            <w:r w:rsidRPr="00EC3A8E">
              <w:rPr>
                <w:sz w:val="24"/>
                <w:szCs w:val="24"/>
              </w:rPr>
              <w:t xml:space="preserve"> </w:t>
            </w:r>
            <w:proofErr w:type="spellStart"/>
            <w:r w:rsidRPr="00EC3A8E">
              <w:rPr>
                <w:sz w:val="24"/>
                <w:szCs w:val="24"/>
              </w:rPr>
              <w:t>above</w:t>
            </w:r>
            <w:proofErr w:type="spellEnd"/>
            <w:r w:rsidRPr="00EC3A8E">
              <w:rPr>
                <w:sz w:val="24"/>
                <w:szCs w:val="24"/>
              </w:rPr>
              <w:t xml:space="preserve"> 35 </w:t>
            </w:r>
            <w:proofErr w:type="spellStart"/>
            <w:r w:rsidRPr="00EC3A8E">
              <w:rPr>
                <w:sz w:val="24"/>
                <w:szCs w:val="24"/>
              </w:rPr>
              <w:t>years</w:t>
            </w:r>
            <w:proofErr w:type="spellEnd"/>
          </w:p>
        </w:tc>
      </w:tr>
      <w:tr w:rsidR="001278EF" w:rsidRPr="00942773" w14:paraId="5133BE4F" w14:textId="77777777" w:rsidTr="003E7796">
        <w:trPr>
          <w:cantSplit/>
        </w:trPr>
        <w:tc>
          <w:tcPr>
            <w:tcW w:w="2087" w:type="pct"/>
            <w:tcBorders>
              <w:top w:val="single" w:sz="4" w:space="0" w:color="auto"/>
              <w:left w:val="single" w:sz="4" w:space="0" w:color="auto"/>
              <w:bottom w:val="single" w:sz="4" w:space="0" w:color="auto"/>
              <w:right w:val="single" w:sz="4" w:space="0" w:color="auto"/>
            </w:tcBorders>
            <w:vAlign w:val="center"/>
            <w:hideMark/>
          </w:tcPr>
          <w:p w14:paraId="31E3DC6D" w14:textId="77777777" w:rsidR="001278EF" w:rsidRPr="00EC3A8E" w:rsidRDefault="001278EF">
            <w:pPr>
              <w:spacing w:before="120"/>
              <w:rPr>
                <w:sz w:val="24"/>
                <w:szCs w:val="24"/>
              </w:rPr>
            </w:pPr>
            <w:r w:rsidRPr="00EC3A8E">
              <w:rPr>
                <w:sz w:val="24"/>
                <w:szCs w:val="24"/>
              </w:rPr>
              <w:t>Smoking</w:t>
            </w:r>
          </w:p>
        </w:tc>
        <w:tc>
          <w:tcPr>
            <w:tcW w:w="2913" w:type="pct"/>
            <w:tcBorders>
              <w:top w:val="single" w:sz="4" w:space="0" w:color="auto"/>
              <w:left w:val="single" w:sz="4" w:space="0" w:color="auto"/>
              <w:bottom w:val="single" w:sz="4" w:space="0" w:color="auto"/>
              <w:right w:val="single" w:sz="4" w:space="0" w:color="auto"/>
            </w:tcBorders>
            <w:vAlign w:val="center"/>
            <w:hideMark/>
          </w:tcPr>
          <w:p w14:paraId="0D8C0F4D" w14:textId="19D96C86" w:rsidR="001278EF" w:rsidRPr="00EC3A8E" w:rsidRDefault="001278EF">
            <w:pPr>
              <w:spacing w:before="120"/>
              <w:rPr>
                <w:sz w:val="24"/>
                <w:szCs w:val="24"/>
                <w:lang w:val="en-US"/>
              </w:rPr>
            </w:pPr>
            <w:r w:rsidRPr="00EC3A8E">
              <w:rPr>
                <w:sz w:val="24"/>
                <w:szCs w:val="24"/>
                <w:lang w:val="en-US"/>
              </w:rPr>
              <w:t>Women should be advised not to smoke if they wish to use a CHC. Women over 35 who continue to smoke should be strongly advised to use a different method of contraception.</w:t>
            </w:r>
          </w:p>
        </w:tc>
      </w:tr>
      <w:tr w:rsidR="001278EF" w:rsidRPr="00EC3A8E" w14:paraId="02F87B5D" w14:textId="77777777" w:rsidTr="003E7796">
        <w:trPr>
          <w:cantSplit/>
        </w:trPr>
        <w:tc>
          <w:tcPr>
            <w:tcW w:w="2087" w:type="pct"/>
            <w:tcBorders>
              <w:top w:val="single" w:sz="4" w:space="0" w:color="auto"/>
              <w:left w:val="single" w:sz="4" w:space="0" w:color="auto"/>
              <w:bottom w:val="single" w:sz="4" w:space="0" w:color="auto"/>
              <w:right w:val="single" w:sz="4" w:space="0" w:color="auto"/>
            </w:tcBorders>
            <w:vAlign w:val="center"/>
            <w:hideMark/>
          </w:tcPr>
          <w:p w14:paraId="4918C586" w14:textId="77777777" w:rsidR="001278EF" w:rsidRPr="00EC3A8E" w:rsidRDefault="001278EF">
            <w:pPr>
              <w:spacing w:before="120"/>
              <w:rPr>
                <w:sz w:val="24"/>
                <w:szCs w:val="24"/>
              </w:rPr>
            </w:pPr>
            <w:r w:rsidRPr="00EC3A8E">
              <w:rPr>
                <w:sz w:val="24"/>
                <w:szCs w:val="24"/>
              </w:rPr>
              <w:t>Hypertension</w:t>
            </w:r>
          </w:p>
        </w:tc>
        <w:tc>
          <w:tcPr>
            <w:tcW w:w="2913" w:type="pct"/>
            <w:tcBorders>
              <w:top w:val="single" w:sz="4" w:space="0" w:color="auto"/>
              <w:left w:val="single" w:sz="4" w:space="0" w:color="auto"/>
              <w:bottom w:val="single" w:sz="4" w:space="0" w:color="auto"/>
              <w:right w:val="single" w:sz="4" w:space="0" w:color="auto"/>
            </w:tcBorders>
            <w:vAlign w:val="center"/>
          </w:tcPr>
          <w:p w14:paraId="565E83F0" w14:textId="77777777" w:rsidR="001278EF" w:rsidRPr="00EC3A8E" w:rsidRDefault="001278EF">
            <w:pPr>
              <w:spacing w:before="120"/>
              <w:rPr>
                <w:sz w:val="24"/>
                <w:szCs w:val="24"/>
              </w:rPr>
            </w:pPr>
          </w:p>
        </w:tc>
      </w:tr>
      <w:tr w:rsidR="001278EF" w:rsidRPr="00942773" w14:paraId="5CE792FC" w14:textId="77777777" w:rsidTr="003E7796">
        <w:trPr>
          <w:cantSplit/>
        </w:trPr>
        <w:tc>
          <w:tcPr>
            <w:tcW w:w="2087" w:type="pct"/>
            <w:tcBorders>
              <w:top w:val="single" w:sz="4" w:space="0" w:color="auto"/>
              <w:left w:val="single" w:sz="4" w:space="0" w:color="auto"/>
              <w:bottom w:val="single" w:sz="4" w:space="0" w:color="auto"/>
              <w:right w:val="single" w:sz="4" w:space="0" w:color="auto"/>
            </w:tcBorders>
            <w:vAlign w:val="center"/>
            <w:hideMark/>
          </w:tcPr>
          <w:p w14:paraId="11A144DA" w14:textId="3A9B677E" w:rsidR="001278EF" w:rsidRPr="00EC3A8E" w:rsidRDefault="001278EF">
            <w:pPr>
              <w:spacing w:before="120"/>
              <w:rPr>
                <w:sz w:val="24"/>
                <w:szCs w:val="24"/>
                <w:lang w:val="en-US"/>
              </w:rPr>
            </w:pPr>
            <w:r w:rsidRPr="00EC3A8E">
              <w:rPr>
                <w:sz w:val="24"/>
                <w:szCs w:val="24"/>
                <w:lang w:val="en-US"/>
              </w:rPr>
              <w:t>Obesity (body mass index over 30</w:t>
            </w:r>
            <w:r w:rsidR="00D74090">
              <w:rPr>
                <w:sz w:val="24"/>
                <w:szCs w:val="24"/>
                <w:lang w:val="en-US"/>
              </w:rPr>
              <w:t> </w:t>
            </w:r>
            <w:r w:rsidRPr="00EC3A8E">
              <w:rPr>
                <w:sz w:val="24"/>
                <w:szCs w:val="24"/>
                <w:lang w:val="en-US"/>
              </w:rPr>
              <w:t>kg/m</w:t>
            </w:r>
            <w:r w:rsidRPr="00EC3A8E">
              <w:rPr>
                <w:sz w:val="24"/>
                <w:szCs w:val="24"/>
                <w:vertAlign w:val="superscript"/>
                <w:lang w:val="en-US"/>
              </w:rPr>
              <w:t>2</w:t>
            </w:r>
            <w:r w:rsidRPr="00EC3A8E">
              <w:rPr>
                <w:sz w:val="24"/>
                <w:szCs w:val="24"/>
                <w:lang w:val="en-US"/>
              </w:rPr>
              <w:t>)</w:t>
            </w:r>
          </w:p>
        </w:tc>
        <w:tc>
          <w:tcPr>
            <w:tcW w:w="2913" w:type="pct"/>
            <w:tcBorders>
              <w:top w:val="single" w:sz="4" w:space="0" w:color="auto"/>
              <w:left w:val="single" w:sz="4" w:space="0" w:color="auto"/>
              <w:bottom w:val="single" w:sz="4" w:space="0" w:color="auto"/>
              <w:right w:val="single" w:sz="4" w:space="0" w:color="auto"/>
            </w:tcBorders>
            <w:vAlign w:val="center"/>
            <w:hideMark/>
          </w:tcPr>
          <w:p w14:paraId="72DB1D29" w14:textId="77777777" w:rsidR="001278EF" w:rsidRPr="00EC3A8E" w:rsidRDefault="001278EF">
            <w:pPr>
              <w:spacing w:before="120"/>
              <w:rPr>
                <w:sz w:val="24"/>
                <w:szCs w:val="24"/>
                <w:lang w:val="en-US"/>
              </w:rPr>
            </w:pPr>
            <w:r w:rsidRPr="00EC3A8E">
              <w:rPr>
                <w:sz w:val="24"/>
                <w:szCs w:val="24"/>
                <w:lang w:val="en-US"/>
              </w:rPr>
              <w:t>Risk increases substantially as BMI increases.</w:t>
            </w:r>
          </w:p>
          <w:p w14:paraId="5AFAA70D" w14:textId="77777777" w:rsidR="001278EF" w:rsidRPr="00EC3A8E" w:rsidRDefault="001278EF">
            <w:pPr>
              <w:spacing w:before="120"/>
              <w:rPr>
                <w:sz w:val="24"/>
                <w:szCs w:val="24"/>
                <w:lang w:val="en-US"/>
              </w:rPr>
            </w:pPr>
            <w:r w:rsidRPr="00EC3A8E">
              <w:rPr>
                <w:sz w:val="24"/>
                <w:szCs w:val="24"/>
                <w:lang w:val="en-US"/>
              </w:rPr>
              <w:t>Particularly important in women with additional risk factors</w:t>
            </w:r>
          </w:p>
        </w:tc>
      </w:tr>
      <w:tr w:rsidR="001278EF" w:rsidRPr="00942773" w14:paraId="7EE5BB9F" w14:textId="77777777" w:rsidTr="003E7796">
        <w:trPr>
          <w:cantSplit/>
        </w:trPr>
        <w:tc>
          <w:tcPr>
            <w:tcW w:w="2087" w:type="pct"/>
            <w:tcBorders>
              <w:top w:val="single" w:sz="4" w:space="0" w:color="auto"/>
              <w:left w:val="single" w:sz="4" w:space="0" w:color="auto"/>
              <w:bottom w:val="single" w:sz="4" w:space="0" w:color="auto"/>
              <w:right w:val="single" w:sz="4" w:space="0" w:color="auto"/>
            </w:tcBorders>
            <w:vAlign w:val="center"/>
            <w:hideMark/>
          </w:tcPr>
          <w:p w14:paraId="3AFEB1A7" w14:textId="77777777" w:rsidR="001278EF" w:rsidRPr="00EC3A8E" w:rsidRDefault="001278EF">
            <w:pPr>
              <w:spacing w:before="120"/>
              <w:rPr>
                <w:sz w:val="24"/>
                <w:szCs w:val="24"/>
                <w:lang w:val="en-US"/>
              </w:rPr>
            </w:pPr>
            <w:r w:rsidRPr="00EC3A8E">
              <w:rPr>
                <w:sz w:val="24"/>
                <w:szCs w:val="24"/>
                <w:lang w:val="en-US"/>
              </w:rPr>
              <w:t>Positive family history (arterial thromboembolism ever in a sibling or parent especially at relatively early age e.g. below 50).</w:t>
            </w:r>
          </w:p>
        </w:tc>
        <w:tc>
          <w:tcPr>
            <w:tcW w:w="2913" w:type="pct"/>
            <w:tcBorders>
              <w:top w:val="single" w:sz="4" w:space="0" w:color="auto"/>
              <w:left w:val="single" w:sz="4" w:space="0" w:color="auto"/>
              <w:bottom w:val="single" w:sz="4" w:space="0" w:color="auto"/>
              <w:right w:val="single" w:sz="4" w:space="0" w:color="auto"/>
            </w:tcBorders>
            <w:vAlign w:val="center"/>
            <w:hideMark/>
          </w:tcPr>
          <w:p w14:paraId="57F220EB" w14:textId="77777777" w:rsidR="001278EF" w:rsidRPr="00EC3A8E" w:rsidRDefault="001278EF">
            <w:pPr>
              <w:spacing w:before="120"/>
              <w:rPr>
                <w:sz w:val="24"/>
                <w:szCs w:val="24"/>
                <w:lang w:val="en-US"/>
              </w:rPr>
            </w:pPr>
            <w:r w:rsidRPr="00EC3A8E">
              <w:rPr>
                <w:sz w:val="24"/>
                <w:szCs w:val="24"/>
                <w:lang w:val="en-US"/>
              </w:rPr>
              <w:t>If a hereditary predisposition is suspected, the woman should be referred to a specialist for advice before deciding about any CHC use</w:t>
            </w:r>
          </w:p>
        </w:tc>
      </w:tr>
      <w:tr w:rsidR="001278EF" w:rsidRPr="00942773" w14:paraId="25104DB6" w14:textId="77777777" w:rsidTr="003E7796">
        <w:trPr>
          <w:cantSplit/>
        </w:trPr>
        <w:tc>
          <w:tcPr>
            <w:tcW w:w="2087" w:type="pct"/>
            <w:tcBorders>
              <w:top w:val="single" w:sz="4" w:space="0" w:color="auto"/>
              <w:left w:val="single" w:sz="4" w:space="0" w:color="auto"/>
              <w:bottom w:val="single" w:sz="4" w:space="0" w:color="auto"/>
              <w:right w:val="single" w:sz="4" w:space="0" w:color="auto"/>
            </w:tcBorders>
            <w:vAlign w:val="center"/>
            <w:hideMark/>
          </w:tcPr>
          <w:p w14:paraId="4E5BC450" w14:textId="77777777" w:rsidR="001278EF" w:rsidRPr="00EC3A8E" w:rsidRDefault="001278EF">
            <w:pPr>
              <w:spacing w:before="120"/>
              <w:rPr>
                <w:sz w:val="24"/>
                <w:szCs w:val="24"/>
              </w:rPr>
            </w:pPr>
            <w:proofErr w:type="spellStart"/>
            <w:r w:rsidRPr="00EC3A8E">
              <w:rPr>
                <w:sz w:val="24"/>
                <w:szCs w:val="24"/>
              </w:rPr>
              <w:t>Migraine</w:t>
            </w:r>
            <w:proofErr w:type="spellEnd"/>
          </w:p>
        </w:tc>
        <w:tc>
          <w:tcPr>
            <w:tcW w:w="2913" w:type="pct"/>
            <w:tcBorders>
              <w:top w:val="single" w:sz="4" w:space="0" w:color="auto"/>
              <w:left w:val="single" w:sz="4" w:space="0" w:color="auto"/>
              <w:bottom w:val="single" w:sz="4" w:space="0" w:color="auto"/>
              <w:right w:val="single" w:sz="4" w:space="0" w:color="auto"/>
            </w:tcBorders>
            <w:vAlign w:val="center"/>
            <w:hideMark/>
          </w:tcPr>
          <w:p w14:paraId="31870D27" w14:textId="77777777" w:rsidR="001278EF" w:rsidRPr="00EC3A8E" w:rsidRDefault="001278EF">
            <w:pPr>
              <w:spacing w:before="120"/>
              <w:rPr>
                <w:sz w:val="24"/>
                <w:szCs w:val="24"/>
                <w:lang w:val="en-US"/>
              </w:rPr>
            </w:pPr>
            <w:r w:rsidRPr="00EC3A8E">
              <w:rPr>
                <w:sz w:val="24"/>
                <w:szCs w:val="24"/>
                <w:lang w:val="en-US"/>
              </w:rPr>
              <w:t>An increase in frequency or severity of migraine during CHC use (which may be prodromal of a cerebrovascular event) may be a reason for immediate discontinuation</w:t>
            </w:r>
          </w:p>
        </w:tc>
      </w:tr>
      <w:tr w:rsidR="001278EF" w:rsidRPr="00942773" w14:paraId="24306382" w14:textId="77777777" w:rsidTr="003E7796">
        <w:trPr>
          <w:cantSplit/>
        </w:trPr>
        <w:tc>
          <w:tcPr>
            <w:tcW w:w="2087" w:type="pct"/>
            <w:tcBorders>
              <w:top w:val="single" w:sz="4" w:space="0" w:color="auto"/>
              <w:left w:val="single" w:sz="4" w:space="0" w:color="auto"/>
              <w:bottom w:val="single" w:sz="4" w:space="0" w:color="auto"/>
              <w:right w:val="single" w:sz="4" w:space="0" w:color="auto"/>
            </w:tcBorders>
            <w:vAlign w:val="center"/>
            <w:hideMark/>
          </w:tcPr>
          <w:p w14:paraId="7D820FF6" w14:textId="77777777" w:rsidR="001278EF" w:rsidRPr="00EC3A8E" w:rsidRDefault="001278EF">
            <w:pPr>
              <w:spacing w:before="120"/>
              <w:rPr>
                <w:sz w:val="24"/>
                <w:szCs w:val="24"/>
                <w:lang w:val="en-US"/>
              </w:rPr>
            </w:pPr>
            <w:r w:rsidRPr="00EC3A8E">
              <w:rPr>
                <w:sz w:val="24"/>
                <w:szCs w:val="24"/>
                <w:lang w:val="en-US"/>
              </w:rPr>
              <w:t>Other medical conditions associated with adverse vascular events</w:t>
            </w:r>
          </w:p>
        </w:tc>
        <w:tc>
          <w:tcPr>
            <w:tcW w:w="2913" w:type="pct"/>
            <w:tcBorders>
              <w:top w:val="single" w:sz="4" w:space="0" w:color="auto"/>
              <w:left w:val="single" w:sz="4" w:space="0" w:color="auto"/>
              <w:bottom w:val="single" w:sz="4" w:space="0" w:color="auto"/>
              <w:right w:val="single" w:sz="4" w:space="0" w:color="auto"/>
            </w:tcBorders>
            <w:vAlign w:val="center"/>
            <w:hideMark/>
          </w:tcPr>
          <w:p w14:paraId="01AB5033" w14:textId="77777777" w:rsidR="001278EF" w:rsidRPr="00EC3A8E" w:rsidRDefault="001278EF">
            <w:pPr>
              <w:spacing w:before="120"/>
              <w:rPr>
                <w:sz w:val="24"/>
                <w:szCs w:val="24"/>
                <w:lang w:val="en-US"/>
              </w:rPr>
            </w:pPr>
            <w:r w:rsidRPr="00EC3A8E">
              <w:rPr>
                <w:sz w:val="24"/>
                <w:szCs w:val="24"/>
                <w:lang w:val="en-US"/>
              </w:rPr>
              <w:t xml:space="preserve">Diabetes mellitus, </w:t>
            </w:r>
            <w:proofErr w:type="spellStart"/>
            <w:r w:rsidRPr="00EC3A8E">
              <w:rPr>
                <w:sz w:val="24"/>
                <w:szCs w:val="24"/>
                <w:lang w:val="en-US"/>
              </w:rPr>
              <w:t>hyperhomocysteinaemia</w:t>
            </w:r>
            <w:proofErr w:type="spellEnd"/>
            <w:r w:rsidRPr="00EC3A8E">
              <w:rPr>
                <w:sz w:val="24"/>
                <w:szCs w:val="24"/>
                <w:lang w:val="en-US"/>
              </w:rPr>
              <w:t xml:space="preserve">, valvular heart disease and atrial fibrillation, </w:t>
            </w:r>
            <w:proofErr w:type="spellStart"/>
            <w:r w:rsidRPr="00EC3A8E">
              <w:rPr>
                <w:sz w:val="24"/>
                <w:szCs w:val="24"/>
                <w:lang w:val="en-US"/>
              </w:rPr>
              <w:t>dyslipoproteinaemia</w:t>
            </w:r>
            <w:proofErr w:type="spellEnd"/>
            <w:r w:rsidRPr="00EC3A8E">
              <w:rPr>
                <w:sz w:val="24"/>
                <w:szCs w:val="24"/>
                <w:lang w:val="en-US"/>
              </w:rPr>
              <w:t xml:space="preserve"> and systemic lupus erythematosus.</w:t>
            </w:r>
          </w:p>
        </w:tc>
      </w:tr>
    </w:tbl>
    <w:p w14:paraId="6F6647CB" w14:textId="77777777" w:rsidR="001278EF" w:rsidRPr="00EC3A8E" w:rsidRDefault="001278EF" w:rsidP="00C72C33">
      <w:pPr>
        <w:rPr>
          <w:sz w:val="24"/>
          <w:szCs w:val="24"/>
          <w:lang w:val="en-GB" w:eastAsia="en-US"/>
        </w:rPr>
      </w:pPr>
    </w:p>
    <w:p w14:paraId="41DD3839" w14:textId="77777777" w:rsidR="001278EF" w:rsidRPr="00EC3A8E" w:rsidRDefault="001278EF" w:rsidP="00436184">
      <w:pPr>
        <w:ind w:left="851"/>
        <w:rPr>
          <w:b/>
          <w:sz w:val="24"/>
          <w:szCs w:val="24"/>
          <w:u w:val="single"/>
          <w:lang w:val="en-US"/>
        </w:rPr>
      </w:pPr>
      <w:r w:rsidRPr="00EC3A8E">
        <w:rPr>
          <w:b/>
          <w:sz w:val="24"/>
          <w:szCs w:val="24"/>
          <w:u w:val="single"/>
          <w:lang w:val="en-US"/>
        </w:rPr>
        <w:t>Symptoms of ATE</w:t>
      </w:r>
    </w:p>
    <w:p w14:paraId="5EC2B7C0" w14:textId="77777777" w:rsidR="001278EF" w:rsidRPr="00EC3A8E" w:rsidRDefault="001278EF" w:rsidP="00436184">
      <w:pPr>
        <w:ind w:left="851"/>
        <w:rPr>
          <w:sz w:val="24"/>
          <w:szCs w:val="24"/>
          <w:lang w:val="en-US"/>
        </w:rPr>
      </w:pPr>
      <w:r w:rsidRPr="00EC3A8E">
        <w:rPr>
          <w:sz w:val="24"/>
          <w:szCs w:val="24"/>
          <w:lang w:val="en-US"/>
        </w:rPr>
        <w:t>In the event of symptoms women should be advised to seek urgent medical attention and to inform the healthcare professional that she is taking a CHC.</w:t>
      </w:r>
    </w:p>
    <w:p w14:paraId="252AA198" w14:textId="77777777" w:rsidR="00436184" w:rsidRPr="00EC3A8E" w:rsidRDefault="00436184" w:rsidP="00436184">
      <w:pPr>
        <w:ind w:left="851"/>
        <w:rPr>
          <w:sz w:val="24"/>
          <w:szCs w:val="24"/>
          <w:lang w:val="en-US"/>
        </w:rPr>
      </w:pPr>
    </w:p>
    <w:p w14:paraId="6F1020CE" w14:textId="25396028" w:rsidR="001278EF" w:rsidRPr="00EC3A8E" w:rsidRDefault="001278EF" w:rsidP="00436184">
      <w:pPr>
        <w:ind w:left="851"/>
        <w:rPr>
          <w:sz w:val="24"/>
          <w:szCs w:val="24"/>
          <w:lang w:val="en-US"/>
        </w:rPr>
      </w:pPr>
      <w:r w:rsidRPr="00EC3A8E">
        <w:rPr>
          <w:sz w:val="24"/>
          <w:szCs w:val="24"/>
          <w:lang w:val="en-US"/>
        </w:rPr>
        <w:t>Symptoms of a cerebrovascular accident can include:</w:t>
      </w:r>
    </w:p>
    <w:p w14:paraId="58C779CB" w14:textId="09B75F4A" w:rsidR="001278EF" w:rsidRPr="00EC3A8E" w:rsidRDefault="001278EF" w:rsidP="00436184">
      <w:pPr>
        <w:pStyle w:val="Listeafsnit"/>
        <w:numPr>
          <w:ilvl w:val="0"/>
          <w:numId w:val="18"/>
        </w:numPr>
        <w:ind w:left="1276" w:hanging="425"/>
        <w:rPr>
          <w:sz w:val="24"/>
          <w:szCs w:val="24"/>
          <w:lang w:val="en-US"/>
        </w:rPr>
      </w:pPr>
      <w:r w:rsidRPr="00EC3A8E">
        <w:rPr>
          <w:sz w:val="24"/>
          <w:szCs w:val="24"/>
          <w:lang w:val="en-US"/>
        </w:rPr>
        <w:t>sudden numbness or weakness of the face, arm or leg, especially on one side of the body;</w:t>
      </w:r>
    </w:p>
    <w:p w14:paraId="77983D6E" w14:textId="04852E6A" w:rsidR="001278EF" w:rsidRPr="00EC3A8E" w:rsidRDefault="001278EF" w:rsidP="00436184">
      <w:pPr>
        <w:pStyle w:val="Listeafsnit"/>
        <w:numPr>
          <w:ilvl w:val="0"/>
          <w:numId w:val="18"/>
        </w:numPr>
        <w:ind w:left="1276" w:hanging="425"/>
        <w:rPr>
          <w:sz w:val="24"/>
          <w:szCs w:val="24"/>
          <w:lang w:val="en-US"/>
        </w:rPr>
      </w:pPr>
      <w:r w:rsidRPr="00EC3A8E">
        <w:rPr>
          <w:sz w:val="24"/>
          <w:szCs w:val="24"/>
          <w:lang w:val="en-US"/>
        </w:rPr>
        <w:t>sudden trouble walking, dizziness, loss of balance or coordination;</w:t>
      </w:r>
    </w:p>
    <w:p w14:paraId="26799940" w14:textId="463002E9" w:rsidR="001278EF" w:rsidRPr="00EC3A8E" w:rsidRDefault="001278EF" w:rsidP="00436184">
      <w:pPr>
        <w:pStyle w:val="Listeafsnit"/>
        <w:numPr>
          <w:ilvl w:val="0"/>
          <w:numId w:val="18"/>
        </w:numPr>
        <w:ind w:left="1276" w:hanging="425"/>
        <w:rPr>
          <w:sz w:val="24"/>
          <w:szCs w:val="24"/>
          <w:lang w:val="en-US"/>
        </w:rPr>
      </w:pPr>
      <w:r w:rsidRPr="00EC3A8E">
        <w:rPr>
          <w:sz w:val="24"/>
          <w:szCs w:val="24"/>
          <w:lang w:val="en-US"/>
        </w:rPr>
        <w:t>sudden confusion, trouble speaking or understanding;</w:t>
      </w:r>
    </w:p>
    <w:p w14:paraId="21F9027F" w14:textId="44479D7C" w:rsidR="001278EF" w:rsidRPr="00EC3A8E" w:rsidRDefault="001278EF" w:rsidP="00436184">
      <w:pPr>
        <w:pStyle w:val="Listeafsnit"/>
        <w:numPr>
          <w:ilvl w:val="0"/>
          <w:numId w:val="18"/>
        </w:numPr>
        <w:ind w:left="1276" w:hanging="425"/>
        <w:rPr>
          <w:sz w:val="24"/>
          <w:szCs w:val="24"/>
          <w:lang w:val="en-US"/>
        </w:rPr>
      </w:pPr>
      <w:r w:rsidRPr="00EC3A8E">
        <w:rPr>
          <w:sz w:val="24"/>
          <w:szCs w:val="24"/>
          <w:lang w:val="en-US"/>
        </w:rPr>
        <w:t>sudden trouble seeing in one or both eyes;</w:t>
      </w:r>
    </w:p>
    <w:p w14:paraId="68E1783C" w14:textId="3486662D" w:rsidR="001278EF" w:rsidRPr="00EC3A8E" w:rsidRDefault="001278EF" w:rsidP="00436184">
      <w:pPr>
        <w:pStyle w:val="Listeafsnit"/>
        <w:numPr>
          <w:ilvl w:val="0"/>
          <w:numId w:val="18"/>
        </w:numPr>
        <w:ind w:left="1276" w:hanging="425"/>
        <w:rPr>
          <w:sz w:val="24"/>
          <w:szCs w:val="24"/>
          <w:lang w:val="en-US"/>
        </w:rPr>
      </w:pPr>
      <w:r w:rsidRPr="00EC3A8E">
        <w:rPr>
          <w:sz w:val="24"/>
          <w:szCs w:val="24"/>
          <w:lang w:val="en-US"/>
        </w:rPr>
        <w:t>sudden, severe or prolonged headache with no known cause;</w:t>
      </w:r>
    </w:p>
    <w:p w14:paraId="2CCE752F" w14:textId="1A3E244D" w:rsidR="001278EF" w:rsidRPr="00EC3A8E" w:rsidRDefault="001278EF" w:rsidP="00436184">
      <w:pPr>
        <w:pStyle w:val="Listeafsnit"/>
        <w:numPr>
          <w:ilvl w:val="0"/>
          <w:numId w:val="18"/>
        </w:numPr>
        <w:ind w:left="1276" w:hanging="425"/>
        <w:rPr>
          <w:sz w:val="24"/>
          <w:szCs w:val="24"/>
          <w:lang w:val="en-US"/>
        </w:rPr>
      </w:pPr>
      <w:r w:rsidRPr="00EC3A8E">
        <w:rPr>
          <w:sz w:val="24"/>
          <w:szCs w:val="24"/>
          <w:lang w:val="en-US"/>
        </w:rPr>
        <w:t>loss of consciousness or fainting with or without seizure.</w:t>
      </w:r>
    </w:p>
    <w:p w14:paraId="0D6C90BA" w14:textId="77777777" w:rsidR="00436184" w:rsidRPr="00EC3A8E" w:rsidRDefault="00436184" w:rsidP="00436184">
      <w:pPr>
        <w:ind w:left="851"/>
        <w:rPr>
          <w:sz w:val="24"/>
          <w:szCs w:val="24"/>
          <w:lang w:val="en-US"/>
        </w:rPr>
      </w:pPr>
    </w:p>
    <w:p w14:paraId="07724852" w14:textId="106F0056" w:rsidR="001278EF" w:rsidRPr="00EC3A8E" w:rsidRDefault="001278EF" w:rsidP="00436184">
      <w:pPr>
        <w:ind w:left="851"/>
        <w:rPr>
          <w:sz w:val="24"/>
          <w:szCs w:val="24"/>
          <w:lang w:val="en-US"/>
        </w:rPr>
      </w:pPr>
      <w:r w:rsidRPr="00EC3A8E">
        <w:rPr>
          <w:sz w:val="24"/>
          <w:szCs w:val="24"/>
          <w:lang w:val="en-US"/>
        </w:rPr>
        <w:t xml:space="preserve">Temporary symptoms suggest the event is a transient </w:t>
      </w:r>
      <w:proofErr w:type="spellStart"/>
      <w:r w:rsidRPr="00EC3A8E">
        <w:rPr>
          <w:sz w:val="24"/>
          <w:szCs w:val="24"/>
          <w:lang w:val="en-US"/>
        </w:rPr>
        <w:t>ischaemic</w:t>
      </w:r>
      <w:proofErr w:type="spellEnd"/>
      <w:r w:rsidRPr="00EC3A8E">
        <w:rPr>
          <w:sz w:val="24"/>
          <w:szCs w:val="24"/>
          <w:lang w:val="en-US"/>
        </w:rPr>
        <w:t xml:space="preserve"> attack (TIA).</w:t>
      </w:r>
    </w:p>
    <w:p w14:paraId="20A3A417" w14:textId="77777777" w:rsidR="00436184" w:rsidRPr="00EC3A8E" w:rsidRDefault="00436184" w:rsidP="00436184">
      <w:pPr>
        <w:ind w:left="851"/>
        <w:rPr>
          <w:sz w:val="24"/>
          <w:szCs w:val="24"/>
          <w:lang w:val="en-US"/>
        </w:rPr>
      </w:pPr>
    </w:p>
    <w:p w14:paraId="464D26C3" w14:textId="18F8ECDD" w:rsidR="001278EF" w:rsidRPr="00EC3A8E" w:rsidRDefault="001278EF" w:rsidP="00436184">
      <w:pPr>
        <w:ind w:left="851"/>
        <w:rPr>
          <w:sz w:val="24"/>
          <w:szCs w:val="24"/>
          <w:lang w:val="en-US"/>
        </w:rPr>
      </w:pPr>
      <w:r w:rsidRPr="00EC3A8E">
        <w:rPr>
          <w:sz w:val="24"/>
          <w:szCs w:val="24"/>
          <w:lang w:val="en-US"/>
        </w:rPr>
        <w:t>Symptoms of myocardial infarction (MI) can include:</w:t>
      </w:r>
    </w:p>
    <w:p w14:paraId="18D4F0CB" w14:textId="557548A6" w:rsidR="001278EF" w:rsidRPr="00EC3A8E" w:rsidRDefault="001278EF" w:rsidP="00436184">
      <w:pPr>
        <w:pStyle w:val="Listeafsnit"/>
        <w:numPr>
          <w:ilvl w:val="0"/>
          <w:numId w:val="18"/>
        </w:numPr>
        <w:ind w:left="1276" w:hanging="425"/>
        <w:rPr>
          <w:sz w:val="24"/>
          <w:szCs w:val="24"/>
          <w:lang w:val="en-US"/>
        </w:rPr>
      </w:pPr>
      <w:r w:rsidRPr="00EC3A8E">
        <w:rPr>
          <w:sz w:val="24"/>
          <w:szCs w:val="24"/>
          <w:lang w:val="en-US"/>
        </w:rPr>
        <w:t>pain, discomfort, pressure, heaviness, sensation of squeezing or fullness in the chest, arm, or below the breastbone;</w:t>
      </w:r>
    </w:p>
    <w:p w14:paraId="3C264914" w14:textId="6D8F2BF8" w:rsidR="001278EF" w:rsidRPr="00EC3A8E" w:rsidRDefault="001278EF" w:rsidP="00436184">
      <w:pPr>
        <w:pStyle w:val="Listeafsnit"/>
        <w:numPr>
          <w:ilvl w:val="0"/>
          <w:numId w:val="18"/>
        </w:numPr>
        <w:ind w:left="1276" w:hanging="425"/>
        <w:rPr>
          <w:sz w:val="24"/>
          <w:szCs w:val="24"/>
          <w:lang w:val="en-US"/>
        </w:rPr>
      </w:pPr>
      <w:r w:rsidRPr="00EC3A8E">
        <w:rPr>
          <w:sz w:val="24"/>
          <w:szCs w:val="24"/>
          <w:lang w:val="en-US"/>
        </w:rPr>
        <w:t>discomfort radiating to the back, jaw, throat, arm, stomach;</w:t>
      </w:r>
    </w:p>
    <w:p w14:paraId="23CE59FC" w14:textId="1437F588" w:rsidR="001278EF" w:rsidRPr="00EC3A8E" w:rsidRDefault="001278EF" w:rsidP="00436184">
      <w:pPr>
        <w:pStyle w:val="Listeafsnit"/>
        <w:numPr>
          <w:ilvl w:val="0"/>
          <w:numId w:val="18"/>
        </w:numPr>
        <w:ind w:left="1276" w:hanging="425"/>
        <w:rPr>
          <w:sz w:val="24"/>
          <w:szCs w:val="24"/>
          <w:lang w:val="en-US"/>
        </w:rPr>
      </w:pPr>
      <w:r w:rsidRPr="00EC3A8E">
        <w:rPr>
          <w:sz w:val="24"/>
          <w:szCs w:val="24"/>
          <w:lang w:val="en-US"/>
        </w:rPr>
        <w:t>feeling of being full, having indigestion or choking;</w:t>
      </w:r>
    </w:p>
    <w:p w14:paraId="3E5EEA98" w14:textId="6513C699" w:rsidR="001278EF" w:rsidRPr="00EC3A8E" w:rsidRDefault="001278EF" w:rsidP="00436184">
      <w:pPr>
        <w:pStyle w:val="Listeafsnit"/>
        <w:numPr>
          <w:ilvl w:val="0"/>
          <w:numId w:val="18"/>
        </w:numPr>
        <w:ind w:left="1276" w:hanging="425"/>
        <w:rPr>
          <w:sz w:val="24"/>
          <w:szCs w:val="24"/>
          <w:lang w:val="en-US"/>
        </w:rPr>
      </w:pPr>
      <w:r w:rsidRPr="00EC3A8E">
        <w:rPr>
          <w:sz w:val="24"/>
          <w:szCs w:val="24"/>
          <w:lang w:val="en-US"/>
        </w:rPr>
        <w:t>sweating, nausea, vomiting or dizziness;</w:t>
      </w:r>
    </w:p>
    <w:p w14:paraId="5A5A9F16" w14:textId="1E837D5B" w:rsidR="001278EF" w:rsidRPr="00EC3A8E" w:rsidRDefault="001278EF" w:rsidP="00436184">
      <w:pPr>
        <w:pStyle w:val="Listeafsnit"/>
        <w:numPr>
          <w:ilvl w:val="0"/>
          <w:numId w:val="18"/>
        </w:numPr>
        <w:ind w:left="1276" w:hanging="425"/>
        <w:rPr>
          <w:sz w:val="24"/>
          <w:szCs w:val="24"/>
          <w:lang w:val="en-US"/>
        </w:rPr>
      </w:pPr>
      <w:r w:rsidRPr="00EC3A8E">
        <w:rPr>
          <w:sz w:val="24"/>
          <w:szCs w:val="24"/>
          <w:lang w:val="en-US"/>
        </w:rPr>
        <w:t>extreme weakness, anxiety, or shortness of breath;</w:t>
      </w:r>
    </w:p>
    <w:p w14:paraId="6195EEF9" w14:textId="6D35A1EB" w:rsidR="001278EF" w:rsidRPr="00EC3A8E" w:rsidRDefault="001278EF" w:rsidP="00436184">
      <w:pPr>
        <w:pStyle w:val="Listeafsnit"/>
        <w:numPr>
          <w:ilvl w:val="0"/>
          <w:numId w:val="18"/>
        </w:numPr>
        <w:ind w:left="1276" w:hanging="425"/>
        <w:rPr>
          <w:sz w:val="24"/>
          <w:szCs w:val="24"/>
          <w:lang w:val="en-US"/>
        </w:rPr>
      </w:pPr>
      <w:r w:rsidRPr="00EC3A8E">
        <w:rPr>
          <w:sz w:val="24"/>
          <w:szCs w:val="24"/>
          <w:lang w:val="en-US"/>
        </w:rPr>
        <w:t>rapid or irregular heartbeats.</w:t>
      </w:r>
    </w:p>
    <w:p w14:paraId="4FFDBA72" w14:textId="77777777" w:rsidR="001278EF" w:rsidRPr="00EC3A8E" w:rsidRDefault="001278EF" w:rsidP="00436184">
      <w:pPr>
        <w:ind w:left="851"/>
        <w:rPr>
          <w:color w:val="000000"/>
          <w:sz w:val="24"/>
          <w:szCs w:val="24"/>
          <w:lang w:val="en-US" w:eastAsia="es-ES"/>
        </w:rPr>
      </w:pPr>
    </w:p>
    <w:p w14:paraId="1FF261B7" w14:textId="77777777" w:rsidR="001278EF" w:rsidRPr="00EC3A8E" w:rsidRDefault="001278EF" w:rsidP="00436184">
      <w:pPr>
        <w:ind w:left="851"/>
        <w:rPr>
          <w:b/>
          <w:sz w:val="24"/>
          <w:szCs w:val="24"/>
          <w:u w:val="single"/>
          <w:lang w:val="en-US"/>
        </w:rPr>
      </w:pPr>
      <w:r w:rsidRPr="00EC3A8E">
        <w:rPr>
          <w:b/>
          <w:sz w:val="24"/>
          <w:szCs w:val="24"/>
          <w:u w:val="single"/>
          <w:lang w:val="en-US"/>
        </w:rPr>
        <w:t xml:space="preserve">Tumours: </w:t>
      </w:r>
    </w:p>
    <w:p w14:paraId="458E0F5A" w14:textId="77777777" w:rsidR="00541A4C" w:rsidRPr="00EC3A8E" w:rsidRDefault="00541A4C" w:rsidP="00436184">
      <w:pPr>
        <w:ind w:left="851"/>
        <w:rPr>
          <w:rFonts w:eastAsia="SimSun"/>
          <w:i/>
          <w:iCs/>
          <w:color w:val="000000"/>
          <w:sz w:val="24"/>
          <w:szCs w:val="24"/>
          <w:lang w:val="en-US" w:eastAsia="es-ES"/>
        </w:rPr>
      </w:pPr>
    </w:p>
    <w:p w14:paraId="309B6593" w14:textId="1138A7E7" w:rsidR="001278EF" w:rsidRPr="00EC3A8E" w:rsidRDefault="001278EF" w:rsidP="00436184">
      <w:pPr>
        <w:ind w:left="851"/>
        <w:rPr>
          <w:rFonts w:eastAsia="SimSun"/>
          <w:color w:val="000000"/>
          <w:sz w:val="24"/>
          <w:szCs w:val="24"/>
          <w:lang w:val="en-US" w:eastAsia="es-ES"/>
        </w:rPr>
      </w:pPr>
      <w:r w:rsidRPr="00EC3A8E">
        <w:rPr>
          <w:rFonts w:eastAsia="SimSun"/>
          <w:i/>
          <w:iCs/>
          <w:color w:val="000000"/>
          <w:sz w:val="24"/>
          <w:szCs w:val="24"/>
          <w:lang w:val="en-US" w:eastAsia="es-ES"/>
        </w:rPr>
        <w:t xml:space="preserve">Cervical cancer </w:t>
      </w:r>
    </w:p>
    <w:p w14:paraId="549485CD" w14:textId="77777777" w:rsidR="001278EF" w:rsidRPr="00EC3A8E" w:rsidRDefault="001278EF" w:rsidP="00436184">
      <w:pPr>
        <w:ind w:left="851"/>
        <w:rPr>
          <w:spacing w:val="-3"/>
          <w:sz w:val="24"/>
          <w:szCs w:val="24"/>
          <w:lang w:val="en-GB" w:eastAsia="en-US"/>
        </w:rPr>
      </w:pPr>
      <w:r w:rsidRPr="00EC3A8E">
        <w:rPr>
          <w:spacing w:val="-3"/>
          <w:sz w:val="24"/>
          <w:szCs w:val="24"/>
          <w:lang w:val="en-US"/>
        </w:rPr>
        <w:t xml:space="preserve">In some epidemiological studies an increased risk of cervical cancer has been reported in long term users of COCs, but it is still not clear to which extent this finding may be influenced by impacts of sexual </w:t>
      </w:r>
      <w:proofErr w:type="spellStart"/>
      <w:r w:rsidRPr="00EC3A8E">
        <w:rPr>
          <w:spacing w:val="-3"/>
          <w:sz w:val="24"/>
          <w:szCs w:val="24"/>
          <w:lang w:val="en-US"/>
        </w:rPr>
        <w:t>behaviour</w:t>
      </w:r>
      <w:proofErr w:type="spellEnd"/>
      <w:r w:rsidRPr="00EC3A8E">
        <w:rPr>
          <w:spacing w:val="-3"/>
          <w:sz w:val="24"/>
          <w:szCs w:val="24"/>
          <w:lang w:val="en-US"/>
        </w:rPr>
        <w:t xml:space="preserve"> and other factors, such as human papilloma virus (HPV).</w:t>
      </w:r>
    </w:p>
    <w:p w14:paraId="0997EF84" w14:textId="77777777" w:rsidR="00541A4C" w:rsidRPr="00EC3A8E" w:rsidRDefault="00541A4C" w:rsidP="00436184">
      <w:pPr>
        <w:ind w:left="851"/>
        <w:rPr>
          <w:rFonts w:eastAsia="SimSun"/>
          <w:i/>
          <w:iCs/>
          <w:color w:val="000000"/>
          <w:sz w:val="24"/>
          <w:szCs w:val="24"/>
          <w:lang w:val="en-US" w:eastAsia="es-ES"/>
        </w:rPr>
      </w:pPr>
    </w:p>
    <w:p w14:paraId="60DDFBA9" w14:textId="75EFBFA4" w:rsidR="001278EF" w:rsidRPr="00EC3A8E" w:rsidRDefault="001278EF" w:rsidP="00436184">
      <w:pPr>
        <w:ind w:left="851"/>
        <w:rPr>
          <w:rFonts w:eastAsia="SimSun"/>
          <w:color w:val="000000"/>
          <w:sz w:val="24"/>
          <w:szCs w:val="24"/>
          <w:lang w:val="en-US" w:eastAsia="es-ES"/>
        </w:rPr>
      </w:pPr>
      <w:r w:rsidRPr="00EC3A8E">
        <w:rPr>
          <w:rFonts w:eastAsia="SimSun"/>
          <w:i/>
          <w:iCs/>
          <w:color w:val="000000"/>
          <w:sz w:val="24"/>
          <w:szCs w:val="24"/>
          <w:lang w:val="en-US" w:eastAsia="es-ES"/>
        </w:rPr>
        <w:t xml:space="preserve">Breast cancer </w:t>
      </w:r>
    </w:p>
    <w:p w14:paraId="3F0C7BB4" w14:textId="77777777" w:rsidR="001278EF" w:rsidRPr="00F17159" w:rsidRDefault="001278EF" w:rsidP="00436184">
      <w:pPr>
        <w:ind w:left="851"/>
        <w:rPr>
          <w:spacing w:val="-3"/>
          <w:sz w:val="24"/>
          <w:szCs w:val="24"/>
          <w:lang w:val="en-US"/>
        </w:rPr>
      </w:pPr>
      <w:r w:rsidRPr="00F17159">
        <w:rPr>
          <w:spacing w:val="-3"/>
          <w:sz w:val="24"/>
          <w:szCs w:val="24"/>
          <w:lang w:val="en-US"/>
        </w:rPr>
        <w:t xml:space="preserve">A meta-analysis from 54 epidemiological studies reported that there is a slightly increased relative risk (RR=1.24) of having breast cancer diagnosed in woman who are currently using COCs. The excess risk gradually disappears during the course of the 10 years after cessation of </w:t>
      </w:r>
      <w:smartTag w:uri="urn:schemas-microsoft-com:office:smarttags" w:element="stockticker">
        <w:r w:rsidRPr="00F17159">
          <w:rPr>
            <w:spacing w:val="-3"/>
            <w:sz w:val="24"/>
            <w:szCs w:val="24"/>
            <w:lang w:val="en-US"/>
          </w:rPr>
          <w:t>COC</w:t>
        </w:r>
      </w:smartTag>
      <w:r w:rsidRPr="00F17159">
        <w:rPr>
          <w:spacing w:val="-3"/>
          <w:sz w:val="24"/>
          <w:szCs w:val="24"/>
          <w:lang w:val="en-US"/>
        </w:rPr>
        <w:t xml:space="preserve"> use. Because breast cancer is rare in women below 40 years of age, the excess number of breast cancer diagnoses in current and recent users of </w:t>
      </w:r>
      <w:smartTag w:uri="urn:schemas-microsoft-com:office:smarttags" w:element="stockticker">
        <w:r w:rsidRPr="00F17159">
          <w:rPr>
            <w:spacing w:val="-3"/>
            <w:sz w:val="24"/>
            <w:szCs w:val="24"/>
            <w:lang w:val="en-US"/>
          </w:rPr>
          <w:t>COC</w:t>
        </w:r>
      </w:smartTag>
      <w:r w:rsidRPr="00F17159">
        <w:rPr>
          <w:spacing w:val="-3"/>
          <w:sz w:val="24"/>
          <w:szCs w:val="24"/>
          <w:lang w:val="en-US"/>
        </w:rPr>
        <w:t xml:space="preserve"> is small in relation to the overall risk of breast cancer. </w:t>
      </w:r>
    </w:p>
    <w:p w14:paraId="4DE69840" w14:textId="77777777" w:rsidR="00541A4C" w:rsidRPr="00F17159" w:rsidRDefault="00541A4C" w:rsidP="00436184">
      <w:pPr>
        <w:ind w:left="851"/>
        <w:rPr>
          <w:spacing w:val="-3"/>
          <w:sz w:val="24"/>
          <w:szCs w:val="24"/>
          <w:lang w:val="en-US"/>
        </w:rPr>
      </w:pPr>
    </w:p>
    <w:p w14:paraId="5CF28527" w14:textId="24CC5506" w:rsidR="001278EF" w:rsidRPr="00F17159" w:rsidRDefault="001278EF" w:rsidP="00436184">
      <w:pPr>
        <w:ind w:left="851"/>
        <w:rPr>
          <w:spacing w:val="-3"/>
          <w:sz w:val="24"/>
          <w:szCs w:val="24"/>
          <w:lang w:val="en-US"/>
        </w:rPr>
      </w:pPr>
      <w:r w:rsidRPr="00EC3A8E">
        <w:rPr>
          <w:spacing w:val="-3"/>
          <w:sz w:val="24"/>
          <w:szCs w:val="24"/>
          <w:lang w:val="en-US"/>
        </w:rPr>
        <w:t xml:space="preserve">These studies do not provide evidence for causation. </w:t>
      </w:r>
      <w:r w:rsidRPr="00F17159">
        <w:rPr>
          <w:spacing w:val="-3"/>
          <w:sz w:val="24"/>
          <w:szCs w:val="24"/>
          <w:lang w:val="en-US"/>
        </w:rPr>
        <w:t xml:space="preserve">The observed pattern of increased risk may be due to an earlier diagnosis of breast cancer in </w:t>
      </w:r>
      <w:smartTag w:uri="urn:schemas-microsoft-com:office:smarttags" w:element="stockticker">
        <w:r w:rsidRPr="00F17159">
          <w:rPr>
            <w:spacing w:val="-3"/>
            <w:sz w:val="24"/>
            <w:szCs w:val="24"/>
            <w:lang w:val="en-US"/>
          </w:rPr>
          <w:t>COC</w:t>
        </w:r>
      </w:smartTag>
      <w:r w:rsidRPr="00F17159">
        <w:rPr>
          <w:spacing w:val="-3"/>
          <w:sz w:val="24"/>
          <w:szCs w:val="24"/>
          <w:lang w:val="en-US"/>
        </w:rPr>
        <w:t xml:space="preserve"> users, the biological effects of COCs or a combination of both. The breast cancers diagnosed in ever-users tend to be less advanced clinically than the cancers diagnosed in never-users.</w:t>
      </w:r>
    </w:p>
    <w:p w14:paraId="1A564598" w14:textId="77777777" w:rsidR="00541A4C" w:rsidRPr="00F17159" w:rsidRDefault="00541A4C" w:rsidP="00436184">
      <w:pPr>
        <w:ind w:left="851"/>
        <w:rPr>
          <w:spacing w:val="-3"/>
          <w:sz w:val="24"/>
          <w:szCs w:val="24"/>
          <w:lang w:val="en-US"/>
        </w:rPr>
      </w:pPr>
    </w:p>
    <w:p w14:paraId="5EEAFE0F" w14:textId="226BBD9F" w:rsidR="001278EF" w:rsidRPr="00F17159" w:rsidRDefault="001278EF" w:rsidP="00436184">
      <w:pPr>
        <w:ind w:left="851"/>
        <w:rPr>
          <w:i/>
          <w:spacing w:val="-3"/>
          <w:sz w:val="24"/>
          <w:szCs w:val="24"/>
          <w:lang w:val="en-US"/>
        </w:rPr>
      </w:pPr>
      <w:r w:rsidRPr="00F17159">
        <w:rPr>
          <w:i/>
          <w:spacing w:val="-3"/>
          <w:sz w:val="24"/>
          <w:szCs w:val="24"/>
          <w:lang w:val="en-US"/>
        </w:rPr>
        <w:t>Liver tumours</w:t>
      </w:r>
    </w:p>
    <w:p w14:paraId="78217DEE" w14:textId="77777777" w:rsidR="001278EF" w:rsidRPr="00F17159" w:rsidRDefault="001278EF" w:rsidP="00436184">
      <w:pPr>
        <w:ind w:left="851"/>
        <w:rPr>
          <w:spacing w:val="-3"/>
          <w:sz w:val="24"/>
          <w:szCs w:val="24"/>
          <w:lang w:val="en-US"/>
        </w:rPr>
      </w:pPr>
      <w:r w:rsidRPr="00F17159">
        <w:rPr>
          <w:spacing w:val="-3"/>
          <w:sz w:val="24"/>
          <w:szCs w:val="24"/>
          <w:lang w:val="en-US"/>
        </w:rPr>
        <w:t xml:space="preserve">In rare cases, benign and malignant liver tumours have been reported in users of COCs. These tumours have, in isolated cases, lead to life threatening, intra-abdominal </w:t>
      </w:r>
      <w:proofErr w:type="spellStart"/>
      <w:r w:rsidRPr="00F17159">
        <w:rPr>
          <w:spacing w:val="-3"/>
          <w:sz w:val="24"/>
          <w:szCs w:val="24"/>
          <w:lang w:val="en-US"/>
        </w:rPr>
        <w:t>haemorrhage</w:t>
      </w:r>
      <w:proofErr w:type="spellEnd"/>
      <w:r w:rsidRPr="00F17159">
        <w:rPr>
          <w:spacing w:val="-3"/>
          <w:sz w:val="24"/>
          <w:szCs w:val="24"/>
          <w:lang w:val="en-US"/>
        </w:rPr>
        <w:t xml:space="preserve">. A liver tumour must be taken into consideration as a differential diagnosis when severe pain occurs in the upper abdomen, if there is hepatomegaly, or if there are signs of intra-abdominal </w:t>
      </w:r>
      <w:proofErr w:type="spellStart"/>
      <w:r w:rsidRPr="00F17159">
        <w:rPr>
          <w:spacing w:val="-3"/>
          <w:sz w:val="24"/>
          <w:szCs w:val="24"/>
          <w:lang w:val="en-US"/>
        </w:rPr>
        <w:t>haemorrhage</w:t>
      </w:r>
      <w:proofErr w:type="spellEnd"/>
      <w:r w:rsidRPr="00F17159">
        <w:rPr>
          <w:spacing w:val="-3"/>
          <w:sz w:val="24"/>
          <w:szCs w:val="24"/>
          <w:lang w:val="en-US"/>
        </w:rPr>
        <w:t xml:space="preserve"> in women taking COCs.</w:t>
      </w:r>
    </w:p>
    <w:p w14:paraId="37E916A9" w14:textId="77777777" w:rsidR="001278EF" w:rsidRPr="00EC3A8E" w:rsidRDefault="001278EF" w:rsidP="00436184">
      <w:pPr>
        <w:ind w:left="851"/>
        <w:rPr>
          <w:rFonts w:eastAsia="SimSun"/>
          <w:color w:val="000000"/>
          <w:sz w:val="24"/>
          <w:szCs w:val="24"/>
          <w:lang w:val="en-US" w:eastAsia="es-ES"/>
        </w:rPr>
      </w:pPr>
    </w:p>
    <w:p w14:paraId="04172D56" w14:textId="77777777" w:rsidR="001278EF" w:rsidRPr="00EC3A8E" w:rsidRDefault="001278EF" w:rsidP="00436184">
      <w:pPr>
        <w:ind w:left="851"/>
        <w:rPr>
          <w:b/>
          <w:sz w:val="24"/>
          <w:szCs w:val="24"/>
          <w:u w:val="single"/>
          <w:lang w:val="en-US" w:eastAsia="en-US"/>
        </w:rPr>
      </w:pPr>
      <w:r w:rsidRPr="00EC3A8E">
        <w:rPr>
          <w:b/>
          <w:sz w:val="24"/>
          <w:szCs w:val="24"/>
          <w:u w:val="single"/>
          <w:lang w:val="en-US"/>
        </w:rPr>
        <w:t xml:space="preserve">Other conditions </w:t>
      </w:r>
    </w:p>
    <w:p w14:paraId="0832EADA" w14:textId="77777777" w:rsidR="001278EF" w:rsidRPr="00F17159" w:rsidRDefault="001278EF" w:rsidP="00436184">
      <w:pPr>
        <w:ind w:left="851"/>
        <w:rPr>
          <w:spacing w:val="-3"/>
          <w:sz w:val="24"/>
          <w:szCs w:val="24"/>
          <w:lang w:val="en-US"/>
        </w:rPr>
      </w:pPr>
      <w:r w:rsidRPr="00F17159">
        <w:rPr>
          <w:spacing w:val="-3"/>
          <w:sz w:val="24"/>
          <w:szCs w:val="24"/>
          <w:lang w:val="en-US"/>
        </w:rPr>
        <w:t xml:space="preserve">Women with </w:t>
      </w:r>
      <w:proofErr w:type="spellStart"/>
      <w:r w:rsidRPr="00F17159">
        <w:rPr>
          <w:spacing w:val="-3"/>
          <w:sz w:val="24"/>
          <w:szCs w:val="24"/>
          <w:lang w:val="en-US"/>
        </w:rPr>
        <w:t>hypertriglyceridaemia</w:t>
      </w:r>
      <w:proofErr w:type="spellEnd"/>
      <w:r w:rsidRPr="00F17159">
        <w:rPr>
          <w:spacing w:val="-3"/>
          <w:sz w:val="24"/>
          <w:szCs w:val="24"/>
          <w:lang w:val="en-US"/>
        </w:rPr>
        <w:t>, or a family history thereof, may be at increased risk of pancreatitis when taking COCs.</w:t>
      </w:r>
    </w:p>
    <w:p w14:paraId="1804589C" w14:textId="77777777" w:rsidR="00541A4C" w:rsidRPr="00F17159" w:rsidRDefault="00541A4C" w:rsidP="00436184">
      <w:pPr>
        <w:ind w:left="851"/>
        <w:rPr>
          <w:spacing w:val="-3"/>
          <w:sz w:val="24"/>
          <w:szCs w:val="24"/>
          <w:lang w:val="en-US"/>
        </w:rPr>
      </w:pPr>
    </w:p>
    <w:p w14:paraId="24685FEC" w14:textId="67CD429D" w:rsidR="001278EF" w:rsidRPr="00F17159" w:rsidRDefault="001278EF" w:rsidP="00436184">
      <w:pPr>
        <w:ind w:left="851"/>
        <w:rPr>
          <w:spacing w:val="-3"/>
          <w:sz w:val="24"/>
          <w:szCs w:val="24"/>
          <w:lang w:val="en-US"/>
        </w:rPr>
      </w:pPr>
      <w:r w:rsidRPr="00EC3A8E">
        <w:rPr>
          <w:spacing w:val="-3"/>
          <w:sz w:val="24"/>
          <w:szCs w:val="24"/>
          <w:lang w:val="en-US"/>
        </w:rPr>
        <w:t xml:space="preserve">In the case of acute or chronic impairment of liver function, the use of </w:t>
      </w:r>
      <w:proofErr w:type="spellStart"/>
      <w:r w:rsidR="000871A3">
        <w:rPr>
          <w:spacing w:val="-3"/>
          <w:sz w:val="24"/>
          <w:szCs w:val="24"/>
          <w:lang w:val="en-US"/>
        </w:rPr>
        <w:t>Ciclomex</w:t>
      </w:r>
      <w:proofErr w:type="spellEnd"/>
      <w:r w:rsidRPr="00EC3A8E">
        <w:rPr>
          <w:spacing w:val="-3"/>
          <w:sz w:val="24"/>
          <w:szCs w:val="24"/>
          <w:lang w:val="en-US"/>
        </w:rPr>
        <w:t xml:space="preserve"> should be stopped until liver function tests have returned to normal. </w:t>
      </w:r>
      <w:r w:rsidRPr="00F17159">
        <w:rPr>
          <w:spacing w:val="-3"/>
          <w:sz w:val="24"/>
          <w:szCs w:val="24"/>
          <w:lang w:val="en-US"/>
        </w:rPr>
        <w:t xml:space="preserve">Steroid hormones may be poorly </w:t>
      </w:r>
      <w:proofErr w:type="spellStart"/>
      <w:r w:rsidRPr="00F17159">
        <w:rPr>
          <w:spacing w:val="-3"/>
          <w:sz w:val="24"/>
          <w:szCs w:val="24"/>
          <w:lang w:val="en-US"/>
        </w:rPr>
        <w:t>metabolised</w:t>
      </w:r>
      <w:proofErr w:type="spellEnd"/>
      <w:r w:rsidRPr="00F17159">
        <w:rPr>
          <w:spacing w:val="-3"/>
          <w:sz w:val="24"/>
          <w:szCs w:val="24"/>
          <w:lang w:val="en-US"/>
        </w:rPr>
        <w:t xml:space="preserve"> in patients with impaired liver function.</w:t>
      </w:r>
    </w:p>
    <w:p w14:paraId="0D4FBF68" w14:textId="77777777" w:rsidR="00541A4C" w:rsidRPr="00F17159" w:rsidRDefault="00541A4C" w:rsidP="00436184">
      <w:pPr>
        <w:ind w:left="851"/>
        <w:rPr>
          <w:spacing w:val="-3"/>
          <w:sz w:val="24"/>
          <w:szCs w:val="24"/>
          <w:lang w:val="en-US"/>
        </w:rPr>
      </w:pPr>
    </w:p>
    <w:p w14:paraId="5334B973" w14:textId="79C81EBA" w:rsidR="001278EF" w:rsidRPr="00F17159" w:rsidRDefault="001278EF" w:rsidP="00436184">
      <w:pPr>
        <w:ind w:left="851"/>
        <w:rPr>
          <w:spacing w:val="-3"/>
          <w:sz w:val="24"/>
          <w:szCs w:val="24"/>
          <w:lang w:val="en-US"/>
        </w:rPr>
      </w:pPr>
      <w:r w:rsidRPr="00EC3A8E">
        <w:rPr>
          <w:spacing w:val="-3"/>
          <w:sz w:val="24"/>
          <w:szCs w:val="24"/>
          <w:lang w:val="en-US"/>
        </w:rPr>
        <w:t xml:space="preserve">Even though slight increases in blood pressure have been reported in many women taking COCs, clinically important increases in blood pressure are rare. </w:t>
      </w:r>
      <w:r w:rsidRPr="00F17159">
        <w:rPr>
          <w:spacing w:val="-3"/>
          <w:sz w:val="24"/>
          <w:szCs w:val="24"/>
          <w:lang w:val="en-US"/>
        </w:rPr>
        <w:t>If persistent clinical hypertension develops during COC use, intake should be discontinued and the hypertension treated. Use of COCs may be resumed, if appropriate, when normotensive values are reached with antihypertensive therapy.</w:t>
      </w:r>
    </w:p>
    <w:p w14:paraId="7DD89A5E" w14:textId="77777777" w:rsidR="00541A4C" w:rsidRPr="00F17159" w:rsidRDefault="00541A4C" w:rsidP="00436184">
      <w:pPr>
        <w:ind w:left="851"/>
        <w:rPr>
          <w:spacing w:val="-3"/>
          <w:sz w:val="24"/>
          <w:szCs w:val="24"/>
          <w:lang w:val="en-US"/>
        </w:rPr>
      </w:pPr>
    </w:p>
    <w:p w14:paraId="28BB4D04" w14:textId="476EB9BE" w:rsidR="001278EF" w:rsidRPr="00EC3A8E" w:rsidRDefault="001278EF" w:rsidP="00436184">
      <w:pPr>
        <w:ind w:left="851"/>
        <w:rPr>
          <w:spacing w:val="-3"/>
          <w:sz w:val="24"/>
          <w:szCs w:val="24"/>
          <w:lang w:val="en-US"/>
        </w:rPr>
      </w:pPr>
      <w:r w:rsidRPr="00EC3A8E">
        <w:rPr>
          <w:spacing w:val="-3"/>
          <w:sz w:val="24"/>
          <w:szCs w:val="24"/>
          <w:lang w:val="en-US"/>
        </w:rPr>
        <w:t xml:space="preserve">It has been reported that the following conditions may occur, or worsen both during pregnancy and during use of COCs, but the evidence of a relationship is inconclusive: Jaundice and/or pruritus in connection with cholestasis; development of gallstones; porphyria; systemic lupus erythematosus; </w:t>
      </w:r>
      <w:proofErr w:type="spellStart"/>
      <w:r w:rsidRPr="00EC3A8E">
        <w:rPr>
          <w:spacing w:val="-3"/>
          <w:sz w:val="24"/>
          <w:szCs w:val="24"/>
          <w:lang w:val="en-US"/>
        </w:rPr>
        <w:t>haemolytic</w:t>
      </w:r>
      <w:proofErr w:type="spellEnd"/>
      <w:r w:rsidRPr="00EC3A8E">
        <w:rPr>
          <w:spacing w:val="-3"/>
          <w:sz w:val="24"/>
          <w:szCs w:val="24"/>
          <w:lang w:val="en-US"/>
        </w:rPr>
        <w:t xml:space="preserve"> </w:t>
      </w:r>
      <w:proofErr w:type="spellStart"/>
      <w:r w:rsidRPr="00EC3A8E">
        <w:rPr>
          <w:spacing w:val="-3"/>
          <w:sz w:val="24"/>
          <w:szCs w:val="24"/>
          <w:lang w:val="en-US"/>
        </w:rPr>
        <w:t>uraemic</w:t>
      </w:r>
      <w:proofErr w:type="spellEnd"/>
      <w:r w:rsidRPr="00EC3A8E">
        <w:rPr>
          <w:spacing w:val="-3"/>
          <w:sz w:val="24"/>
          <w:szCs w:val="24"/>
          <w:lang w:val="en-US"/>
        </w:rPr>
        <w:t xml:space="preserve"> syndrome; Sydenham's chorea; herpes </w:t>
      </w:r>
      <w:proofErr w:type="spellStart"/>
      <w:r w:rsidRPr="00EC3A8E">
        <w:rPr>
          <w:spacing w:val="-3"/>
          <w:sz w:val="24"/>
          <w:szCs w:val="24"/>
          <w:lang w:val="en-US"/>
        </w:rPr>
        <w:t>gestationis</w:t>
      </w:r>
      <w:proofErr w:type="spellEnd"/>
      <w:r w:rsidRPr="00EC3A8E">
        <w:rPr>
          <w:spacing w:val="-3"/>
          <w:sz w:val="24"/>
          <w:szCs w:val="24"/>
          <w:lang w:val="en-US"/>
        </w:rPr>
        <w:t>; loss of hearing due to otosclerosis.</w:t>
      </w:r>
    </w:p>
    <w:p w14:paraId="15F88D77" w14:textId="77777777" w:rsidR="00541A4C" w:rsidRPr="00F17159" w:rsidRDefault="00541A4C" w:rsidP="00436184">
      <w:pPr>
        <w:ind w:left="851"/>
        <w:rPr>
          <w:spacing w:val="-3"/>
          <w:sz w:val="24"/>
          <w:szCs w:val="24"/>
          <w:lang w:val="en-US"/>
        </w:rPr>
      </w:pPr>
    </w:p>
    <w:p w14:paraId="34865CEF" w14:textId="79A6FB03" w:rsidR="001278EF" w:rsidRPr="00F17159" w:rsidRDefault="001278EF" w:rsidP="00436184">
      <w:pPr>
        <w:ind w:left="851"/>
        <w:rPr>
          <w:spacing w:val="-3"/>
          <w:sz w:val="24"/>
          <w:szCs w:val="24"/>
          <w:lang w:val="en-US"/>
        </w:rPr>
      </w:pPr>
      <w:r w:rsidRPr="00EC3A8E">
        <w:rPr>
          <w:spacing w:val="-3"/>
          <w:sz w:val="24"/>
          <w:szCs w:val="24"/>
          <w:lang w:val="en-US"/>
        </w:rPr>
        <w:t xml:space="preserve">COCs may have an influence on the peripheral insulin resistance and glucose tolerance. </w:t>
      </w:r>
      <w:r w:rsidRPr="00F17159">
        <w:rPr>
          <w:spacing w:val="-3"/>
          <w:sz w:val="24"/>
          <w:szCs w:val="24"/>
          <w:lang w:val="en-US"/>
        </w:rPr>
        <w:t>Therefore, diabetics should be closely monitored during COC use.</w:t>
      </w:r>
    </w:p>
    <w:p w14:paraId="725E3B06" w14:textId="77777777" w:rsidR="00541A4C" w:rsidRPr="00F17159" w:rsidRDefault="00541A4C" w:rsidP="00436184">
      <w:pPr>
        <w:ind w:left="851"/>
        <w:rPr>
          <w:spacing w:val="-3"/>
          <w:sz w:val="24"/>
          <w:szCs w:val="24"/>
          <w:lang w:val="en-US"/>
        </w:rPr>
      </w:pPr>
    </w:p>
    <w:p w14:paraId="21A8056F" w14:textId="7B57CCF1" w:rsidR="001278EF" w:rsidRPr="00EC3A8E" w:rsidRDefault="001278EF" w:rsidP="00436184">
      <w:pPr>
        <w:ind w:left="851"/>
        <w:rPr>
          <w:spacing w:val="-3"/>
          <w:sz w:val="24"/>
          <w:szCs w:val="24"/>
          <w:lang w:val="en-US"/>
        </w:rPr>
      </w:pPr>
      <w:r w:rsidRPr="00EC3A8E">
        <w:rPr>
          <w:spacing w:val="-3"/>
          <w:sz w:val="24"/>
          <w:szCs w:val="24"/>
          <w:lang w:val="en-US"/>
        </w:rPr>
        <w:t>Worsening of endogenous depression, of epilepsy (see section 4.5 interactions), of Crohn´s disease and of ulcerative colitis has been reported during COC use.</w:t>
      </w:r>
    </w:p>
    <w:p w14:paraId="611F6AA0" w14:textId="77777777" w:rsidR="00541A4C" w:rsidRPr="00F17159" w:rsidRDefault="00541A4C" w:rsidP="00436184">
      <w:pPr>
        <w:ind w:left="851"/>
        <w:rPr>
          <w:spacing w:val="-3"/>
          <w:sz w:val="24"/>
          <w:szCs w:val="24"/>
          <w:lang w:val="en-US"/>
        </w:rPr>
      </w:pPr>
    </w:p>
    <w:p w14:paraId="45E5272D" w14:textId="0D4A57B1" w:rsidR="001278EF" w:rsidRPr="00F17159" w:rsidRDefault="001278EF" w:rsidP="00436184">
      <w:pPr>
        <w:ind w:left="851"/>
        <w:rPr>
          <w:spacing w:val="-3"/>
          <w:sz w:val="24"/>
          <w:szCs w:val="24"/>
          <w:lang w:val="en-US"/>
        </w:rPr>
      </w:pPr>
      <w:r w:rsidRPr="00EC3A8E">
        <w:rPr>
          <w:spacing w:val="-3"/>
          <w:sz w:val="24"/>
          <w:szCs w:val="24"/>
          <w:lang w:val="en-US"/>
        </w:rPr>
        <w:t xml:space="preserve">Chloasma may occur, in particular in women with a medical history of chloasma gravidarum. </w:t>
      </w:r>
      <w:r w:rsidRPr="00F17159">
        <w:rPr>
          <w:spacing w:val="-3"/>
          <w:sz w:val="24"/>
          <w:szCs w:val="24"/>
          <w:lang w:val="en-US"/>
        </w:rPr>
        <w:t>Women with a tendency to chloasma should avoid exposure to sunlight or ultraviolet radiation while taking COCs.</w:t>
      </w:r>
    </w:p>
    <w:p w14:paraId="7812D36D" w14:textId="0545EA4C" w:rsidR="00541A4C" w:rsidRPr="00F17159" w:rsidRDefault="00541A4C" w:rsidP="00436184">
      <w:pPr>
        <w:ind w:left="851"/>
        <w:rPr>
          <w:spacing w:val="-3"/>
          <w:sz w:val="24"/>
          <w:szCs w:val="24"/>
          <w:lang w:val="en-US"/>
        </w:rPr>
      </w:pPr>
    </w:p>
    <w:tbl>
      <w:tblPr>
        <w:tblStyle w:val="Tabel-Gitter"/>
        <w:tblW w:w="0" w:type="auto"/>
        <w:tblInd w:w="851" w:type="dxa"/>
        <w:tblLook w:val="04A0" w:firstRow="1" w:lastRow="0" w:firstColumn="1" w:lastColumn="0" w:noHBand="0" w:noVBand="1"/>
      </w:tblPr>
      <w:tblGrid>
        <w:gridCol w:w="8777"/>
      </w:tblGrid>
      <w:tr w:rsidR="00541A4C" w:rsidRPr="00942773" w14:paraId="00FF015E" w14:textId="77777777" w:rsidTr="00541A4C">
        <w:tc>
          <w:tcPr>
            <w:tcW w:w="9628" w:type="dxa"/>
          </w:tcPr>
          <w:p w14:paraId="31115538" w14:textId="508A4AEF" w:rsidR="00541A4C" w:rsidRPr="00EC3A8E" w:rsidRDefault="00541A4C" w:rsidP="00436184">
            <w:pPr>
              <w:rPr>
                <w:sz w:val="24"/>
                <w:szCs w:val="24"/>
                <w:lang w:val="en-US"/>
              </w:rPr>
            </w:pPr>
            <w:r w:rsidRPr="00EC3A8E">
              <w:rPr>
                <w:sz w:val="24"/>
                <w:szCs w:val="24"/>
                <w:lang w:val="en-US"/>
              </w:rPr>
              <w:t xml:space="preserve">Herbal preparations containing St John’s wort (Hypericum </w:t>
            </w:r>
            <w:proofErr w:type="spellStart"/>
            <w:r w:rsidRPr="00EC3A8E">
              <w:rPr>
                <w:sz w:val="24"/>
                <w:szCs w:val="24"/>
                <w:lang w:val="en-US"/>
              </w:rPr>
              <w:t>perforatum</w:t>
            </w:r>
            <w:proofErr w:type="spellEnd"/>
            <w:r w:rsidRPr="00EC3A8E">
              <w:rPr>
                <w:sz w:val="24"/>
                <w:szCs w:val="24"/>
                <w:lang w:val="en-US"/>
              </w:rPr>
              <w:t xml:space="preserve">) should not be used while taking </w:t>
            </w:r>
            <w:proofErr w:type="spellStart"/>
            <w:r w:rsidR="000871A3">
              <w:rPr>
                <w:sz w:val="24"/>
                <w:szCs w:val="24"/>
                <w:lang w:val="en-US"/>
              </w:rPr>
              <w:t>Ciclomex</w:t>
            </w:r>
            <w:proofErr w:type="spellEnd"/>
            <w:r w:rsidRPr="00EC3A8E">
              <w:rPr>
                <w:sz w:val="24"/>
                <w:szCs w:val="24"/>
                <w:lang w:val="en-US"/>
              </w:rPr>
              <w:t xml:space="preserve"> due to the risk of decreased plasma concentrations and reduced clinical effects of </w:t>
            </w:r>
            <w:proofErr w:type="spellStart"/>
            <w:r w:rsidR="000871A3">
              <w:rPr>
                <w:sz w:val="24"/>
                <w:szCs w:val="24"/>
                <w:lang w:val="en-US"/>
              </w:rPr>
              <w:t>Ciclomex</w:t>
            </w:r>
            <w:proofErr w:type="spellEnd"/>
            <w:r w:rsidRPr="00EC3A8E">
              <w:rPr>
                <w:sz w:val="24"/>
                <w:szCs w:val="24"/>
                <w:lang w:val="en-US"/>
              </w:rPr>
              <w:t xml:space="preserve"> (see section 4.5).</w:t>
            </w:r>
          </w:p>
        </w:tc>
      </w:tr>
    </w:tbl>
    <w:p w14:paraId="7C49C2E8" w14:textId="77777777" w:rsidR="001278EF" w:rsidRPr="00EC3A8E" w:rsidRDefault="001278EF" w:rsidP="00541A4C">
      <w:pPr>
        <w:rPr>
          <w:sz w:val="24"/>
          <w:szCs w:val="24"/>
          <w:lang w:val="en-US"/>
        </w:rPr>
      </w:pPr>
    </w:p>
    <w:p w14:paraId="34C7339F" w14:textId="77777777" w:rsidR="001278EF" w:rsidRPr="00F17159" w:rsidRDefault="001278EF" w:rsidP="00CA08FB">
      <w:pPr>
        <w:ind w:left="851"/>
        <w:rPr>
          <w:spacing w:val="-3"/>
          <w:sz w:val="24"/>
          <w:szCs w:val="24"/>
          <w:lang w:val="en-US"/>
        </w:rPr>
      </w:pPr>
      <w:r w:rsidRPr="00EC3A8E">
        <w:rPr>
          <w:spacing w:val="-3"/>
          <w:sz w:val="24"/>
          <w:szCs w:val="24"/>
          <w:lang w:val="en-US"/>
        </w:rPr>
        <w:t xml:space="preserve">Depressed mood and depression are well-known undesirable effects of hormonal contraceptive use (see section 4.8). </w:t>
      </w:r>
      <w:r w:rsidRPr="00F17159">
        <w:rPr>
          <w:spacing w:val="-3"/>
          <w:sz w:val="24"/>
          <w:szCs w:val="24"/>
          <w:lang w:val="en-US"/>
        </w:rPr>
        <w:t xml:space="preserve">Depression can be serious and is a well-known risk factor for suicidal </w:t>
      </w:r>
      <w:proofErr w:type="spellStart"/>
      <w:r w:rsidRPr="00F17159">
        <w:rPr>
          <w:spacing w:val="-3"/>
          <w:sz w:val="24"/>
          <w:szCs w:val="24"/>
          <w:lang w:val="en-US"/>
        </w:rPr>
        <w:t>behaviour</w:t>
      </w:r>
      <w:proofErr w:type="spellEnd"/>
      <w:r w:rsidRPr="00F17159">
        <w:rPr>
          <w:spacing w:val="-3"/>
          <w:sz w:val="24"/>
          <w:szCs w:val="24"/>
          <w:lang w:val="en-US"/>
        </w:rPr>
        <w:t xml:space="preserve"> and suicide. Women should be advised to contact their physician in case of mood changes and depressive symptoms, including shortly after initiating the treatment.</w:t>
      </w:r>
    </w:p>
    <w:p w14:paraId="5F0A4C59" w14:textId="77777777" w:rsidR="00CA08FB" w:rsidRPr="00F17159" w:rsidRDefault="00CA08FB" w:rsidP="00CA08FB">
      <w:pPr>
        <w:ind w:left="851"/>
        <w:rPr>
          <w:sz w:val="24"/>
          <w:szCs w:val="24"/>
          <w:lang w:val="en-US"/>
        </w:rPr>
      </w:pPr>
    </w:p>
    <w:p w14:paraId="59141F9F" w14:textId="2BA47431" w:rsidR="001278EF" w:rsidRPr="00EC3A8E" w:rsidRDefault="001278EF" w:rsidP="00CA08FB">
      <w:pPr>
        <w:ind w:left="851"/>
        <w:rPr>
          <w:spacing w:val="-3"/>
          <w:sz w:val="24"/>
          <w:szCs w:val="24"/>
          <w:lang w:val="en-US"/>
        </w:rPr>
      </w:pPr>
      <w:r w:rsidRPr="00EC3A8E">
        <w:rPr>
          <w:sz w:val="24"/>
          <w:szCs w:val="24"/>
          <w:lang w:val="en-US"/>
        </w:rPr>
        <w:t>Exogenous estrogens may induce or exacerbate symptoms of hereditary and acquired angioedema.</w:t>
      </w:r>
    </w:p>
    <w:p w14:paraId="456C9432" w14:textId="77777777" w:rsidR="00CA08FB" w:rsidRPr="00F17159" w:rsidRDefault="00CA08FB" w:rsidP="00CA08FB">
      <w:pPr>
        <w:ind w:left="851"/>
        <w:rPr>
          <w:spacing w:val="-3"/>
          <w:sz w:val="24"/>
          <w:szCs w:val="24"/>
          <w:lang w:val="en-US"/>
        </w:rPr>
      </w:pPr>
    </w:p>
    <w:p w14:paraId="740DEDD3" w14:textId="40D02139" w:rsidR="001278EF" w:rsidRPr="00F17159" w:rsidRDefault="000871A3" w:rsidP="00CA08FB">
      <w:pPr>
        <w:ind w:left="851"/>
        <w:rPr>
          <w:spacing w:val="-3"/>
          <w:sz w:val="24"/>
          <w:szCs w:val="24"/>
          <w:lang w:val="en-US"/>
        </w:rPr>
      </w:pPr>
      <w:proofErr w:type="spellStart"/>
      <w:r w:rsidRPr="00F17159">
        <w:rPr>
          <w:spacing w:val="-3"/>
          <w:sz w:val="24"/>
          <w:szCs w:val="24"/>
          <w:lang w:val="en-US"/>
        </w:rPr>
        <w:t>Ciclomex</w:t>
      </w:r>
      <w:proofErr w:type="spellEnd"/>
      <w:r w:rsidR="001278EF" w:rsidRPr="00F17159">
        <w:rPr>
          <w:spacing w:val="-3"/>
          <w:sz w:val="24"/>
          <w:szCs w:val="24"/>
          <w:lang w:val="en-US"/>
        </w:rPr>
        <w:t xml:space="preserve"> contains lactose. Patients with rare hereditary problems of galactose intolerance, total lactase deficiency or glucose-galactose malabsorption should not take this medicine.</w:t>
      </w:r>
    </w:p>
    <w:p w14:paraId="5569BA67" w14:textId="77777777" w:rsidR="001278EF" w:rsidRPr="00F17159" w:rsidRDefault="001278EF" w:rsidP="00CA08FB">
      <w:pPr>
        <w:ind w:left="851"/>
        <w:rPr>
          <w:spacing w:val="-3"/>
          <w:sz w:val="24"/>
          <w:szCs w:val="24"/>
          <w:lang w:val="en-US"/>
        </w:rPr>
      </w:pPr>
    </w:p>
    <w:p w14:paraId="5420D9E8" w14:textId="77777777" w:rsidR="001278EF" w:rsidRPr="00EC3A8E" w:rsidRDefault="001278EF" w:rsidP="00CA08FB">
      <w:pPr>
        <w:ind w:left="851"/>
        <w:rPr>
          <w:b/>
          <w:sz w:val="24"/>
          <w:szCs w:val="24"/>
          <w:lang w:val="en-US"/>
        </w:rPr>
      </w:pPr>
      <w:r w:rsidRPr="00EC3A8E">
        <w:rPr>
          <w:b/>
          <w:sz w:val="24"/>
          <w:szCs w:val="24"/>
          <w:lang w:val="en-US"/>
        </w:rPr>
        <w:t>Medical examination/consultation</w:t>
      </w:r>
    </w:p>
    <w:p w14:paraId="0B5486FB" w14:textId="2F1891E6" w:rsidR="001278EF" w:rsidRPr="00EC3A8E" w:rsidRDefault="001278EF" w:rsidP="00CA08FB">
      <w:pPr>
        <w:ind w:left="851"/>
        <w:rPr>
          <w:sz w:val="24"/>
          <w:szCs w:val="24"/>
          <w:lang w:val="en-US"/>
        </w:rPr>
      </w:pPr>
      <w:r w:rsidRPr="00EC3A8E">
        <w:rPr>
          <w:sz w:val="24"/>
          <w:szCs w:val="24"/>
          <w:lang w:val="en-US"/>
        </w:rPr>
        <w:t xml:space="preserve">Prior to the initiation or reinstitution of </w:t>
      </w:r>
      <w:proofErr w:type="spellStart"/>
      <w:r w:rsidR="000871A3">
        <w:rPr>
          <w:sz w:val="24"/>
          <w:szCs w:val="24"/>
          <w:lang w:val="en-US"/>
        </w:rPr>
        <w:t>Ciclomex</w:t>
      </w:r>
      <w:proofErr w:type="spellEnd"/>
      <w:r w:rsidRPr="00EC3A8E">
        <w:rPr>
          <w:sz w:val="24"/>
          <w:szCs w:val="24"/>
          <w:lang w:val="en-US"/>
        </w:rPr>
        <w:t xml:space="preserve"> a complete medical history (including family history) should be taken and pregnancy must be ruled out. Blood pressure should be measured and a physical examination should be performed, guided by the contra-</w:t>
      </w:r>
      <w:r w:rsidRPr="00EC3A8E">
        <w:rPr>
          <w:sz w:val="24"/>
          <w:szCs w:val="24"/>
          <w:lang w:val="en-US"/>
        </w:rPr>
        <w:lastRenderedPageBreak/>
        <w:t xml:space="preserve">indications (see section 4.3) and warnings (see section 4.4). It is important to draw a woman’s attention to the information on venous and arterial thrombosis, including the risk of </w:t>
      </w:r>
      <w:proofErr w:type="spellStart"/>
      <w:r w:rsidR="000871A3">
        <w:rPr>
          <w:sz w:val="24"/>
          <w:szCs w:val="24"/>
          <w:lang w:val="en-US"/>
        </w:rPr>
        <w:t>Ciclomex</w:t>
      </w:r>
      <w:proofErr w:type="spellEnd"/>
      <w:r w:rsidRPr="00EC3A8E">
        <w:rPr>
          <w:sz w:val="24"/>
          <w:szCs w:val="24"/>
          <w:lang w:val="en-US"/>
        </w:rPr>
        <w:t xml:space="preserve"> compared with other CHCs, the symptoms of VTE and ATE, the known risk factors and what to do in the event of a suspected thrombosis.</w:t>
      </w:r>
    </w:p>
    <w:p w14:paraId="558D7FA4" w14:textId="77777777" w:rsidR="008D7C82" w:rsidRPr="00EC3A8E" w:rsidRDefault="008D7C82" w:rsidP="00CA08FB">
      <w:pPr>
        <w:ind w:left="851"/>
        <w:rPr>
          <w:sz w:val="24"/>
          <w:szCs w:val="24"/>
          <w:lang w:val="en-US"/>
        </w:rPr>
      </w:pPr>
    </w:p>
    <w:p w14:paraId="44CAFBAA" w14:textId="5B57E232" w:rsidR="001278EF" w:rsidRPr="00EC3A8E" w:rsidRDefault="001278EF" w:rsidP="00CA08FB">
      <w:pPr>
        <w:ind w:left="851"/>
        <w:rPr>
          <w:sz w:val="24"/>
          <w:szCs w:val="24"/>
          <w:lang w:val="en-US"/>
        </w:rPr>
      </w:pPr>
      <w:r w:rsidRPr="00EC3A8E">
        <w:rPr>
          <w:sz w:val="24"/>
          <w:szCs w:val="24"/>
          <w:lang w:val="en-US"/>
        </w:rPr>
        <w:t>The woman should also be instructed to carefully read the user leaflet and to adhere to the advice given. The frequency and nature of examinations should be based on established practice guidelines and be adapted to the individual woman.</w:t>
      </w:r>
    </w:p>
    <w:p w14:paraId="68DC14C2" w14:textId="77777777" w:rsidR="008D7C82" w:rsidRPr="00EC3A8E" w:rsidRDefault="008D7C82" w:rsidP="00CA08FB">
      <w:pPr>
        <w:ind w:left="851"/>
        <w:rPr>
          <w:sz w:val="24"/>
          <w:szCs w:val="24"/>
          <w:lang w:val="en-US"/>
        </w:rPr>
      </w:pPr>
    </w:p>
    <w:p w14:paraId="3A25703D" w14:textId="30668A80" w:rsidR="001278EF" w:rsidRPr="00EC3A8E" w:rsidRDefault="001278EF" w:rsidP="00CA08FB">
      <w:pPr>
        <w:ind w:left="851"/>
        <w:rPr>
          <w:sz w:val="24"/>
          <w:szCs w:val="24"/>
          <w:lang w:val="en-US"/>
        </w:rPr>
      </w:pPr>
      <w:r w:rsidRPr="00EC3A8E">
        <w:rPr>
          <w:sz w:val="24"/>
          <w:szCs w:val="24"/>
          <w:lang w:val="en-US"/>
        </w:rPr>
        <w:t>Women should be advised that hormonal contraceptives do not protect against HIV infections (AIDS) and other sexually transmitted diseases.</w:t>
      </w:r>
    </w:p>
    <w:p w14:paraId="70A5E5AB" w14:textId="77777777" w:rsidR="008D7C82" w:rsidRPr="00EC3A8E" w:rsidRDefault="008D7C82" w:rsidP="00CA08FB">
      <w:pPr>
        <w:ind w:left="851"/>
        <w:rPr>
          <w:rFonts w:eastAsia="SimSun"/>
          <w:b/>
          <w:bCs/>
          <w:color w:val="000000"/>
          <w:sz w:val="24"/>
          <w:szCs w:val="24"/>
          <w:lang w:val="en-US" w:eastAsia="es-ES"/>
        </w:rPr>
      </w:pPr>
    </w:p>
    <w:p w14:paraId="494FB8F0" w14:textId="5E154286" w:rsidR="001278EF" w:rsidRPr="00EC3A8E" w:rsidRDefault="001278EF" w:rsidP="00CA08FB">
      <w:pPr>
        <w:ind w:left="851"/>
        <w:rPr>
          <w:rFonts w:eastAsia="SimSun"/>
          <w:color w:val="000000"/>
          <w:sz w:val="24"/>
          <w:szCs w:val="24"/>
          <w:lang w:val="en-US" w:eastAsia="es-ES"/>
        </w:rPr>
      </w:pPr>
      <w:r w:rsidRPr="00EC3A8E">
        <w:rPr>
          <w:rFonts w:eastAsia="SimSun"/>
          <w:b/>
          <w:bCs/>
          <w:color w:val="000000"/>
          <w:sz w:val="24"/>
          <w:szCs w:val="24"/>
          <w:lang w:val="en-US" w:eastAsia="es-ES"/>
        </w:rPr>
        <w:t xml:space="preserve">Reduced efficacy </w:t>
      </w:r>
    </w:p>
    <w:p w14:paraId="1276B4CB" w14:textId="77777777" w:rsidR="001278EF" w:rsidRPr="00EC3A8E" w:rsidRDefault="001278EF" w:rsidP="00CA08FB">
      <w:pPr>
        <w:ind w:left="851"/>
        <w:rPr>
          <w:rFonts w:eastAsia="SimSun"/>
          <w:color w:val="000000"/>
          <w:sz w:val="24"/>
          <w:szCs w:val="24"/>
          <w:lang w:val="en-US" w:eastAsia="es-ES"/>
        </w:rPr>
      </w:pPr>
      <w:r w:rsidRPr="00EC3A8E">
        <w:rPr>
          <w:rFonts w:eastAsia="SimSun"/>
          <w:color w:val="000000"/>
          <w:sz w:val="24"/>
          <w:szCs w:val="24"/>
          <w:lang w:val="en-US" w:eastAsia="es-ES"/>
        </w:rPr>
        <w:t>The efficacy of oral contraceptives may be reduced in the case of missed tablets, gastro-intestinal disturbances (see section 4.2) or concomitant use of other medicinal product (see section 4.5).</w:t>
      </w:r>
    </w:p>
    <w:p w14:paraId="7A899673" w14:textId="77777777" w:rsidR="008D7C82" w:rsidRPr="00EC3A8E" w:rsidRDefault="008D7C82" w:rsidP="00CA08FB">
      <w:pPr>
        <w:ind w:left="851"/>
        <w:rPr>
          <w:rFonts w:eastAsia="SimSun"/>
          <w:b/>
          <w:bCs/>
          <w:color w:val="000000"/>
          <w:sz w:val="24"/>
          <w:szCs w:val="24"/>
          <w:lang w:val="en-US" w:eastAsia="es-ES"/>
        </w:rPr>
      </w:pPr>
    </w:p>
    <w:p w14:paraId="6F028EE8" w14:textId="2768CCE8" w:rsidR="001278EF" w:rsidRPr="00EC3A8E" w:rsidRDefault="001278EF" w:rsidP="00CA08FB">
      <w:pPr>
        <w:ind w:left="851"/>
        <w:rPr>
          <w:rFonts w:eastAsia="SimSun"/>
          <w:b/>
          <w:bCs/>
          <w:color w:val="000000"/>
          <w:sz w:val="24"/>
          <w:szCs w:val="24"/>
          <w:lang w:val="en-US" w:eastAsia="es-ES"/>
        </w:rPr>
      </w:pPr>
      <w:r w:rsidRPr="00EC3A8E">
        <w:rPr>
          <w:rFonts w:eastAsia="SimSun"/>
          <w:b/>
          <w:bCs/>
          <w:color w:val="000000"/>
          <w:sz w:val="24"/>
          <w:szCs w:val="24"/>
          <w:lang w:val="en-US" w:eastAsia="es-ES"/>
        </w:rPr>
        <w:t>Reduced cycle control</w:t>
      </w:r>
    </w:p>
    <w:p w14:paraId="50315F34" w14:textId="77777777" w:rsidR="001278EF" w:rsidRPr="00EC3A8E" w:rsidRDefault="001278EF" w:rsidP="00CA08FB">
      <w:pPr>
        <w:ind w:left="851"/>
        <w:rPr>
          <w:sz w:val="24"/>
          <w:szCs w:val="24"/>
          <w:lang w:val="en-GB" w:eastAsia="en-US"/>
        </w:rPr>
      </w:pPr>
      <w:r w:rsidRPr="00EC3A8E">
        <w:rPr>
          <w:sz w:val="24"/>
          <w:szCs w:val="24"/>
          <w:lang w:val="en-US"/>
        </w:rPr>
        <w:t>With all COCs, irregular bleeding (spotting or breakthrough bleeding) may occur, especially during the first months of use. Therefore, the evaluation of any irregular bleeding is only meaningful after an adaptation interval of about three cycles.</w:t>
      </w:r>
    </w:p>
    <w:p w14:paraId="2794AE69" w14:textId="77777777" w:rsidR="008D7C82" w:rsidRPr="00EC3A8E" w:rsidRDefault="008D7C82" w:rsidP="00CA08FB">
      <w:pPr>
        <w:ind w:left="851"/>
        <w:rPr>
          <w:sz w:val="24"/>
          <w:szCs w:val="24"/>
          <w:lang w:val="en-US"/>
        </w:rPr>
      </w:pPr>
    </w:p>
    <w:p w14:paraId="111E30B9" w14:textId="0B5DC67F" w:rsidR="001278EF" w:rsidRPr="00EC3A8E" w:rsidRDefault="001278EF" w:rsidP="00CA08FB">
      <w:pPr>
        <w:ind w:left="851"/>
        <w:rPr>
          <w:sz w:val="24"/>
          <w:szCs w:val="24"/>
          <w:lang w:val="en-US"/>
        </w:rPr>
      </w:pPr>
      <w:r w:rsidRPr="00EC3A8E">
        <w:rPr>
          <w:sz w:val="24"/>
          <w:szCs w:val="24"/>
          <w:lang w:val="en-US"/>
        </w:rPr>
        <w:t xml:space="preserve">If bleeding irregularities persist or occur after previously regular cycles, then non-hormonal causes should be considered and adequate diagnostic measures are indicated to exclude malignancy or pregnancy. These may include curettage. </w:t>
      </w:r>
    </w:p>
    <w:p w14:paraId="4D61E847" w14:textId="77777777" w:rsidR="009865B1" w:rsidRPr="00EC3A8E" w:rsidRDefault="009865B1" w:rsidP="00CA08FB">
      <w:pPr>
        <w:ind w:left="851"/>
        <w:rPr>
          <w:sz w:val="24"/>
          <w:szCs w:val="24"/>
          <w:lang w:val="en-US"/>
        </w:rPr>
      </w:pPr>
    </w:p>
    <w:p w14:paraId="477D6DE6" w14:textId="5C98FC07" w:rsidR="001278EF" w:rsidRPr="00EC3A8E" w:rsidRDefault="001278EF" w:rsidP="00CA08FB">
      <w:pPr>
        <w:ind w:left="851"/>
        <w:rPr>
          <w:sz w:val="24"/>
          <w:szCs w:val="24"/>
          <w:lang w:val="en-US"/>
        </w:rPr>
      </w:pPr>
      <w:r w:rsidRPr="00EC3A8E">
        <w:rPr>
          <w:sz w:val="24"/>
          <w:szCs w:val="24"/>
          <w:lang w:val="en-US"/>
        </w:rPr>
        <w:t>In some women withdrawal bleeding may not occur during the tablet-free period. If the COC</w:t>
      </w:r>
      <w:r w:rsidR="009865B1" w:rsidRPr="00EC3A8E">
        <w:rPr>
          <w:sz w:val="24"/>
          <w:szCs w:val="24"/>
          <w:lang w:val="en-US"/>
        </w:rPr>
        <w:t xml:space="preserve"> </w:t>
      </w:r>
      <w:r w:rsidRPr="00EC3A8E">
        <w:rPr>
          <w:sz w:val="24"/>
          <w:szCs w:val="24"/>
          <w:lang w:val="en-US"/>
        </w:rPr>
        <w:t>has been taken according to the directions described in section 4.2, it is unlikely that the woman</w:t>
      </w:r>
      <w:r w:rsidR="009865B1" w:rsidRPr="00EC3A8E">
        <w:rPr>
          <w:sz w:val="24"/>
          <w:szCs w:val="24"/>
          <w:lang w:val="en-US"/>
        </w:rPr>
        <w:t xml:space="preserve"> </w:t>
      </w:r>
      <w:r w:rsidRPr="00EC3A8E">
        <w:rPr>
          <w:sz w:val="24"/>
          <w:szCs w:val="24"/>
          <w:lang w:val="en-US"/>
        </w:rPr>
        <w:t>is pregnant. However, if the COC has not been taken according to these directions prior to the</w:t>
      </w:r>
      <w:r w:rsidR="009865B1" w:rsidRPr="00EC3A8E">
        <w:rPr>
          <w:sz w:val="24"/>
          <w:szCs w:val="24"/>
          <w:lang w:val="en-US"/>
        </w:rPr>
        <w:t xml:space="preserve"> </w:t>
      </w:r>
      <w:r w:rsidRPr="00EC3A8E">
        <w:rPr>
          <w:sz w:val="24"/>
          <w:szCs w:val="24"/>
          <w:lang w:val="en-US"/>
        </w:rPr>
        <w:t>first missed withdrawal bleed or if two withdrawal bleeds are missed, pregnancy must be ruled</w:t>
      </w:r>
      <w:r w:rsidR="009865B1" w:rsidRPr="00EC3A8E">
        <w:rPr>
          <w:sz w:val="24"/>
          <w:szCs w:val="24"/>
          <w:lang w:val="en-US"/>
        </w:rPr>
        <w:t xml:space="preserve"> </w:t>
      </w:r>
      <w:r w:rsidRPr="00EC3A8E">
        <w:rPr>
          <w:sz w:val="24"/>
          <w:szCs w:val="24"/>
          <w:lang w:val="en-US"/>
        </w:rPr>
        <w:t>out before COC use is continued.</w:t>
      </w:r>
    </w:p>
    <w:p w14:paraId="526B1E5D" w14:textId="77777777" w:rsidR="007C5D2A" w:rsidRPr="00EC3A8E" w:rsidRDefault="007C5D2A" w:rsidP="003E0341">
      <w:pPr>
        <w:tabs>
          <w:tab w:val="left" w:pos="851"/>
        </w:tabs>
        <w:ind w:left="851"/>
        <w:rPr>
          <w:sz w:val="24"/>
          <w:szCs w:val="24"/>
          <w:lang w:val="en-GB"/>
        </w:rPr>
      </w:pPr>
    </w:p>
    <w:p w14:paraId="7278B311" w14:textId="77777777" w:rsidR="007C5D2A" w:rsidRPr="00EC3A8E" w:rsidRDefault="007C5D2A" w:rsidP="007C5D2A">
      <w:pPr>
        <w:ind w:left="851" w:hanging="851"/>
        <w:rPr>
          <w:b/>
          <w:sz w:val="24"/>
          <w:szCs w:val="24"/>
          <w:lang w:val="en-GB"/>
        </w:rPr>
      </w:pPr>
      <w:r w:rsidRPr="00EC3A8E">
        <w:rPr>
          <w:b/>
          <w:sz w:val="24"/>
          <w:szCs w:val="24"/>
          <w:lang w:val="en-GB"/>
        </w:rPr>
        <w:t>4.5</w:t>
      </w:r>
      <w:r w:rsidRPr="00EC3A8E">
        <w:rPr>
          <w:b/>
          <w:sz w:val="24"/>
          <w:szCs w:val="24"/>
          <w:lang w:val="en-GB"/>
        </w:rPr>
        <w:tab/>
        <w:t>Interaction with other medicinal products and other forms of interaction</w:t>
      </w:r>
    </w:p>
    <w:p w14:paraId="0FEEF4DE" w14:textId="77777777" w:rsidR="001278EF" w:rsidRPr="00EC3A8E" w:rsidRDefault="001278EF" w:rsidP="009865B1">
      <w:pPr>
        <w:ind w:left="851"/>
        <w:rPr>
          <w:sz w:val="24"/>
          <w:szCs w:val="24"/>
          <w:lang w:val="en-US"/>
        </w:rPr>
      </w:pPr>
      <w:r w:rsidRPr="00EC3A8E">
        <w:rPr>
          <w:sz w:val="24"/>
          <w:szCs w:val="24"/>
          <w:lang w:val="en-US"/>
        </w:rPr>
        <w:t>Note: The prescribing information of concomitant medications should be consulted to identify potential interactions.</w:t>
      </w:r>
    </w:p>
    <w:p w14:paraId="5D349049" w14:textId="77777777" w:rsidR="001278EF" w:rsidRPr="00EC3A8E" w:rsidRDefault="001278EF" w:rsidP="009865B1">
      <w:pPr>
        <w:ind w:left="851"/>
        <w:rPr>
          <w:sz w:val="24"/>
          <w:szCs w:val="24"/>
          <w:lang w:val="en-US"/>
        </w:rPr>
      </w:pPr>
    </w:p>
    <w:p w14:paraId="44901DBB" w14:textId="77777777" w:rsidR="001278EF" w:rsidRPr="00EC3A8E" w:rsidRDefault="001278EF" w:rsidP="009865B1">
      <w:pPr>
        <w:ind w:left="851"/>
        <w:rPr>
          <w:b/>
          <w:sz w:val="24"/>
          <w:szCs w:val="24"/>
          <w:lang w:val="en-US"/>
        </w:rPr>
      </w:pPr>
      <w:r w:rsidRPr="00EC3A8E">
        <w:rPr>
          <w:b/>
          <w:sz w:val="24"/>
          <w:szCs w:val="24"/>
          <w:lang w:val="en-US"/>
        </w:rPr>
        <w:t xml:space="preserve">Pharmacodynamic interactions </w:t>
      </w:r>
    </w:p>
    <w:p w14:paraId="438437E0" w14:textId="77777777" w:rsidR="009D03C4" w:rsidRPr="009D03C4" w:rsidRDefault="009D03C4" w:rsidP="009D03C4">
      <w:pPr>
        <w:ind w:left="851"/>
        <w:rPr>
          <w:sz w:val="24"/>
          <w:szCs w:val="24"/>
          <w:lang w:val="en-US"/>
        </w:rPr>
      </w:pPr>
      <w:r>
        <w:rPr>
          <w:sz w:val="24"/>
          <w:szCs w:val="24"/>
          <w:lang w:val="en-US"/>
        </w:rPr>
        <w:t xml:space="preserve">During clinical trials with patients treated for hepatitis C virus infections (HCV) with medicinal products containing </w:t>
      </w:r>
      <w:proofErr w:type="spellStart"/>
      <w:r>
        <w:rPr>
          <w:sz w:val="24"/>
          <w:szCs w:val="24"/>
          <w:lang w:val="en-US"/>
        </w:rPr>
        <w:t>ombitasvir</w:t>
      </w:r>
      <w:proofErr w:type="spellEnd"/>
      <w:r>
        <w:rPr>
          <w:sz w:val="24"/>
          <w:szCs w:val="24"/>
          <w:lang w:val="en-US"/>
        </w:rPr>
        <w:t>/</w:t>
      </w:r>
      <w:proofErr w:type="spellStart"/>
      <w:r>
        <w:rPr>
          <w:sz w:val="24"/>
          <w:szCs w:val="24"/>
          <w:lang w:val="en-US"/>
        </w:rPr>
        <w:t>paritaprevir</w:t>
      </w:r>
      <w:proofErr w:type="spellEnd"/>
      <w:r>
        <w:rPr>
          <w:sz w:val="24"/>
          <w:szCs w:val="24"/>
          <w:lang w:val="en-US"/>
        </w:rPr>
        <w:t xml:space="preserve">/ritonavir and dasabuvir with or without ribavirin, transaminase (ALT) elevations higher than 5 times the upper limit of normal (ULN) occurred significantly more frequently in women using </w:t>
      </w:r>
      <w:proofErr w:type="spellStart"/>
      <w:r>
        <w:rPr>
          <w:sz w:val="24"/>
          <w:szCs w:val="24"/>
          <w:lang w:val="en-US"/>
        </w:rPr>
        <w:t>ethinylestradiol</w:t>
      </w:r>
      <w:proofErr w:type="spellEnd"/>
      <w:r>
        <w:rPr>
          <w:sz w:val="24"/>
          <w:szCs w:val="24"/>
          <w:lang w:val="en-US"/>
        </w:rPr>
        <w:t xml:space="preserve">-containing medications such as combined hormonal contraceptives (CHCs). Additionally, also in patients treated with </w:t>
      </w:r>
      <w:proofErr w:type="spellStart"/>
      <w:r>
        <w:rPr>
          <w:sz w:val="24"/>
          <w:szCs w:val="24"/>
          <w:lang w:val="en-US"/>
        </w:rPr>
        <w:t>glecaprevir</w:t>
      </w:r>
      <w:proofErr w:type="spellEnd"/>
      <w:r>
        <w:rPr>
          <w:sz w:val="24"/>
          <w:szCs w:val="24"/>
          <w:lang w:val="en-US"/>
        </w:rPr>
        <w:t>/</w:t>
      </w:r>
      <w:proofErr w:type="spellStart"/>
      <w:r>
        <w:rPr>
          <w:sz w:val="24"/>
          <w:szCs w:val="24"/>
          <w:lang w:val="en-US"/>
        </w:rPr>
        <w:t>pibrentasvir</w:t>
      </w:r>
      <w:proofErr w:type="spellEnd"/>
      <w:r>
        <w:rPr>
          <w:sz w:val="24"/>
          <w:szCs w:val="24"/>
          <w:lang w:val="en-US"/>
        </w:rPr>
        <w:t xml:space="preserve"> or sofosbuvir/</w:t>
      </w:r>
      <w:proofErr w:type="spellStart"/>
      <w:r>
        <w:rPr>
          <w:sz w:val="24"/>
          <w:szCs w:val="24"/>
          <w:lang w:val="en-US"/>
        </w:rPr>
        <w:t>velpatasvir</w:t>
      </w:r>
      <w:proofErr w:type="spellEnd"/>
      <w:r>
        <w:rPr>
          <w:sz w:val="24"/>
          <w:szCs w:val="24"/>
          <w:lang w:val="en-US"/>
        </w:rPr>
        <w:t>/</w:t>
      </w:r>
      <w:proofErr w:type="spellStart"/>
      <w:r>
        <w:rPr>
          <w:sz w:val="24"/>
          <w:szCs w:val="24"/>
          <w:lang w:val="en-US"/>
        </w:rPr>
        <w:t>voxilaprevir</w:t>
      </w:r>
      <w:proofErr w:type="spellEnd"/>
      <w:r>
        <w:rPr>
          <w:sz w:val="24"/>
          <w:szCs w:val="24"/>
          <w:lang w:val="en-US"/>
        </w:rPr>
        <w:t xml:space="preserve">, ALT elevations were observed in women using </w:t>
      </w:r>
      <w:proofErr w:type="spellStart"/>
      <w:r>
        <w:rPr>
          <w:sz w:val="24"/>
          <w:szCs w:val="24"/>
          <w:lang w:val="en-US"/>
        </w:rPr>
        <w:t>ethinylestradiol</w:t>
      </w:r>
      <w:proofErr w:type="spellEnd"/>
      <w:r>
        <w:rPr>
          <w:sz w:val="24"/>
          <w:szCs w:val="24"/>
          <w:lang w:val="en-US"/>
        </w:rPr>
        <w:t>-containing medications such as CHCs (see section 4.3)</w:t>
      </w:r>
      <w:r w:rsidRPr="009D03C4">
        <w:rPr>
          <w:sz w:val="24"/>
          <w:szCs w:val="24"/>
          <w:lang w:val="en-US"/>
        </w:rPr>
        <w:t>.</w:t>
      </w:r>
    </w:p>
    <w:p w14:paraId="426051FC" w14:textId="77777777" w:rsidR="009D03C4" w:rsidRDefault="009D03C4" w:rsidP="009D03C4">
      <w:pPr>
        <w:ind w:left="851"/>
        <w:rPr>
          <w:sz w:val="24"/>
          <w:szCs w:val="24"/>
          <w:lang w:val="en-US"/>
        </w:rPr>
      </w:pPr>
    </w:p>
    <w:p w14:paraId="04360093" w14:textId="77777777" w:rsidR="009D03C4" w:rsidRDefault="009D03C4" w:rsidP="009D03C4">
      <w:pPr>
        <w:ind w:left="851"/>
        <w:rPr>
          <w:sz w:val="24"/>
          <w:szCs w:val="24"/>
          <w:lang w:val="en-US"/>
        </w:rPr>
      </w:pPr>
      <w:r>
        <w:rPr>
          <w:sz w:val="24"/>
          <w:szCs w:val="24"/>
          <w:lang w:val="en-US"/>
        </w:rPr>
        <w:t xml:space="preserve">Therefore, </w:t>
      </w:r>
      <w:proofErr w:type="spellStart"/>
      <w:r>
        <w:rPr>
          <w:sz w:val="24"/>
          <w:szCs w:val="24"/>
          <w:lang w:val="en-US"/>
        </w:rPr>
        <w:t>Ciclomex</w:t>
      </w:r>
      <w:proofErr w:type="spellEnd"/>
      <w:r>
        <w:rPr>
          <w:sz w:val="24"/>
          <w:szCs w:val="24"/>
          <w:lang w:val="en-US"/>
        </w:rPr>
        <w:t xml:space="preserve">-users must switch to an alternative method of contraception (e.g., </w:t>
      </w:r>
      <w:proofErr w:type="spellStart"/>
      <w:r>
        <w:rPr>
          <w:sz w:val="24"/>
          <w:szCs w:val="24"/>
          <w:lang w:val="en-US"/>
        </w:rPr>
        <w:t>progestagen</w:t>
      </w:r>
      <w:proofErr w:type="spellEnd"/>
      <w:r>
        <w:rPr>
          <w:sz w:val="24"/>
          <w:szCs w:val="24"/>
          <w:lang w:val="en-US"/>
        </w:rPr>
        <w:t xml:space="preserve">-only contraception or non-hormonal methods) prior to starting therapy with </w:t>
      </w:r>
      <w:r w:rsidRPr="009D03C4">
        <w:rPr>
          <w:sz w:val="24"/>
          <w:szCs w:val="24"/>
          <w:lang w:val="en-US"/>
        </w:rPr>
        <w:t>these</w:t>
      </w:r>
      <w:r>
        <w:rPr>
          <w:sz w:val="24"/>
          <w:szCs w:val="24"/>
          <w:lang w:val="en-US"/>
        </w:rPr>
        <w:t xml:space="preserve"> combination drug regimen</w:t>
      </w:r>
      <w:r w:rsidRPr="009D03C4">
        <w:rPr>
          <w:sz w:val="24"/>
          <w:szCs w:val="24"/>
          <w:lang w:val="en-US"/>
        </w:rPr>
        <w:t>s</w:t>
      </w:r>
      <w:r>
        <w:rPr>
          <w:sz w:val="24"/>
          <w:szCs w:val="24"/>
          <w:lang w:val="en-US"/>
        </w:rPr>
        <w:t xml:space="preserve">. </w:t>
      </w:r>
      <w:proofErr w:type="spellStart"/>
      <w:r>
        <w:rPr>
          <w:sz w:val="24"/>
          <w:szCs w:val="24"/>
          <w:lang w:val="en-US"/>
        </w:rPr>
        <w:t>Ciclomex</w:t>
      </w:r>
      <w:proofErr w:type="spellEnd"/>
      <w:r>
        <w:rPr>
          <w:sz w:val="24"/>
          <w:szCs w:val="24"/>
          <w:lang w:val="en-US"/>
        </w:rPr>
        <w:t xml:space="preserve"> can be restarted 2 weeks following completion of treatment with </w:t>
      </w:r>
      <w:r w:rsidRPr="009D03C4">
        <w:rPr>
          <w:sz w:val="24"/>
          <w:szCs w:val="24"/>
          <w:lang w:val="en-US"/>
        </w:rPr>
        <w:t>these</w:t>
      </w:r>
      <w:r>
        <w:rPr>
          <w:sz w:val="24"/>
          <w:szCs w:val="24"/>
          <w:lang w:val="en-US"/>
        </w:rPr>
        <w:t xml:space="preserve"> combination drug regimen</w:t>
      </w:r>
      <w:r w:rsidRPr="009D03C4">
        <w:rPr>
          <w:sz w:val="24"/>
          <w:szCs w:val="24"/>
          <w:lang w:val="en-US"/>
        </w:rPr>
        <w:t>s</w:t>
      </w:r>
      <w:r>
        <w:rPr>
          <w:sz w:val="24"/>
          <w:szCs w:val="24"/>
          <w:lang w:val="en-US"/>
        </w:rPr>
        <w:t>.</w:t>
      </w:r>
    </w:p>
    <w:p w14:paraId="585AB369" w14:textId="77777777" w:rsidR="001278EF" w:rsidRPr="00EC3A8E" w:rsidRDefault="001278EF" w:rsidP="009865B1">
      <w:pPr>
        <w:ind w:left="851"/>
        <w:rPr>
          <w:sz w:val="24"/>
          <w:szCs w:val="24"/>
          <w:lang w:val="en-US"/>
        </w:rPr>
      </w:pPr>
    </w:p>
    <w:p w14:paraId="2AA1AEF8" w14:textId="3321653A" w:rsidR="001278EF" w:rsidRPr="00EC3A8E" w:rsidRDefault="001278EF" w:rsidP="009865B1">
      <w:pPr>
        <w:ind w:left="851"/>
        <w:rPr>
          <w:b/>
          <w:sz w:val="24"/>
          <w:szCs w:val="24"/>
          <w:lang w:val="en-US"/>
        </w:rPr>
      </w:pPr>
      <w:r w:rsidRPr="00EC3A8E">
        <w:rPr>
          <w:b/>
          <w:sz w:val="24"/>
          <w:szCs w:val="24"/>
          <w:lang w:val="en-US"/>
        </w:rPr>
        <w:lastRenderedPageBreak/>
        <w:t xml:space="preserve">Effect of other medical products on </w:t>
      </w:r>
      <w:proofErr w:type="spellStart"/>
      <w:r w:rsidR="000871A3">
        <w:rPr>
          <w:b/>
          <w:sz w:val="24"/>
          <w:szCs w:val="24"/>
          <w:lang w:val="en-US"/>
        </w:rPr>
        <w:t>Ciclomex</w:t>
      </w:r>
      <w:proofErr w:type="spellEnd"/>
    </w:p>
    <w:p w14:paraId="17C2222F" w14:textId="77777777" w:rsidR="001278EF" w:rsidRPr="00EC3A8E" w:rsidRDefault="001278EF" w:rsidP="009865B1">
      <w:pPr>
        <w:ind w:left="851"/>
        <w:rPr>
          <w:sz w:val="24"/>
          <w:szCs w:val="24"/>
          <w:lang w:val="en-US"/>
        </w:rPr>
      </w:pPr>
    </w:p>
    <w:p w14:paraId="0DA6207F" w14:textId="77777777" w:rsidR="001278EF" w:rsidRPr="00EC3A8E" w:rsidRDefault="001278EF" w:rsidP="009865B1">
      <w:pPr>
        <w:ind w:left="851"/>
        <w:rPr>
          <w:sz w:val="24"/>
          <w:szCs w:val="24"/>
          <w:lang w:val="en-US"/>
        </w:rPr>
      </w:pPr>
      <w:r w:rsidRPr="00EC3A8E">
        <w:rPr>
          <w:sz w:val="24"/>
          <w:szCs w:val="24"/>
          <w:lang w:val="en-US"/>
        </w:rPr>
        <w:t>Interactions can occur with drugs that induce microsomal enzymes which can result in increased clearance of sex hormones and which may lead to breakthrough bleeding and/or contraceptive failure.</w:t>
      </w:r>
    </w:p>
    <w:p w14:paraId="4332A26F" w14:textId="77777777" w:rsidR="009865B1" w:rsidRPr="00EC3A8E" w:rsidRDefault="009865B1" w:rsidP="009865B1">
      <w:pPr>
        <w:ind w:left="851"/>
        <w:rPr>
          <w:b/>
          <w:sz w:val="24"/>
          <w:szCs w:val="24"/>
          <w:lang w:val="en-US"/>
        </w:rPr>
      </w:pPr>
    </w:p>
    <w:p w14:paraId="39395D30" w14:textId="42D01140" w:rsidR="001278EF" w:rsidRPr="00EC3A8E" w:rsidRDefault="001278EF" w:rsidP="009865B1">
      <w:pPr>
        <w:ind w:left="851"/>
        <w:rPr>
          <w:b/>
          <w:sz w:val="24"/>
          <w:szCs w:val="24"/>
          <w:lang w:val="en-US"/>
        </w:rPr>
      </w:pPr>
      <w:r w:rsidRPr="00EC3A8E">
        <w:rPr>
          <w:b/>
          <w:sz w:val="24"/>
          <w:szCs w:val="24"/>
          <w:lang w:val="en-US"/>
        </w:rPr>
        <w:t>Management</w:t>
      </w:r>
    </w:p>
    <w:p w14:paraId="68B8C4FD" w14:textId="77777777" w:rsidR="001278EF" w:rsidRPr="00EC3A8E" w:rsidRDefault="001278EF" w:rsidP="009865B1">
      <w:pPr>
        <w:ind w:left="851"/>
        <w:rPr>
          <w:sz w:val="24"/>
          <w:szCs w:val="24"/>
          <w:lang w:val="en-US"/>
        </w:rPr>
      </w:pPr>
      <w:r w:rsidRPr="00EC3A8E">
        <w:rPr>
          <w:sz w:val="24"/>
          <w:szCs w:val="24"/>
          <w:lang w:val="en-US"/>
        </w:rPr>
        <w:t>Enzyme induction can already be observed after a few days of treatment. Maximal enzyme induction is generally seen within a few weeks. After the cessation of drug therapy enzyme induction may be sustained for about 4 weeks.</w:t>
      </w:r>
    </w:p>
    <w:p w14:paraId="5966A597" w14:textId="77777777" w:rsidR="009865B1" w:rsidRPr="00EC3A8E" w:rsidRDefault="009865B1" w:rsidP="009865B1">
      <w:pPr>
        <w:ind w:left="851"/>
        <w:rPr>
          <w:b/>
          <w:sz w:val="24"/>
          <w:szCs w:val="24"/>
          <w:lang w:val="en-US"/>
        </w:rPr>
      </w:pPr>
    </w:p>
    <w:p w14:paraId="136A13DA" w14:textId="088E6288" w:rsidR="001278EF" w:rsidRPr="00EC3A8E" w:rsidRDefault="001278EF" w:rsidP="009865B1">
      <w:pPr>
        <w:ind w:left="851"/>
        <w:rPr>
          <w:b/>
          <w:sz w:val="24"/>
          <w:szCs w:val="24"/>
          <w:lang w:val="en-US"/>
        </w:rPr>
      </w:pPr>
      <w:r w:rsidRPr="00EC3A8E">
        <w:rPr>
          <w:b/>
          <w:sz w:val="24"/>
          <w:szCs w:val="24"/>
          <w:lang w:val="en-US"/>
        </w:rPr>
        <w:t>Short-term treatment</w:t>
      </w:r>
    </w:p>
    <w:p w14:paraId="678841EC" w14:textId="77777777" w:rsidR="001278EF" w:rsidRPr="00EC3A8E" w:rsidRDefault="001278EF" w:rsidP="009865B1">
      <w:pPr>
        <w:ind w:left="851"/>
        <w:rPr>
          <w:sz w:val="24"/>
          <w:szCs w:val="24"/>
          <w:lang w:val="en-US"/>
        </w:rPr>
      </w:pPr>
      <w:r w:rsidRPr="00EC3A8E">
        <w:rPr>
          <w:sz w:val="24"/>
          <w:szCs w:val="24"/>
          <w:lang w:val="en-US"/>
        </w:rPr>
        <w:t>Women on treatment with enzyme inducing drugs should temporarily use a barrier method or another method of contraception in addition to the COC. The barrier method must be used during the whole time of the concomitant drug therapy and for 28 days after its discontinuation.</w:t>
      </w:r>
    </w:p>
    <w:p w14:paraId="7155EF9F" w14:textId="77777777" w:rsidR="001278EF" w:rsidRPr="00EC3A8E" w:rsidRDefault="001278EF" w:rsidP="009865B1">
      <w:pPr>
        <w:ind w:left="851"/>
        <w:rPr>
          <w:sz w:val="24"/>
          <w:szCs w:val="24"/>
          <w:lang w:val="en-US"/>
        </w:rPr>
      </w:pPr>
      <w:r w:rsidRPr="00EC3A8E">
        <w:rPr>
          <w:sz w:val="24"/>
          <w:szCs w:val="24"/>
          <w:lang w:val="en-US"/>
        </w:rPr>
        <w:t>If the drug therapy runs beyond the end of the tablets in the COC pack, the next COC pack should be started right after the previous one without the usual tablet-free interval.</w:t>
      </w:r>
    </w:p>
    <w:p w14:paraId="08D68E64" w14:textId="77777777" w:rsidR="001278EF" w:rsidRPr="00EC3A8E" w:rsidRDefault="001278EF" w:rsidP="009865B1">
      <w:pPr>
        <w:ind w:left="851"/>
        <w:rPr>
          <w:sz w:val="24"/>
          <w:szCs w:val="24"/>
          <w:lang w:val="en-US"/>
        </w:rPr>
      </w:pPr>
    </w:p>
    <w:p w14:paraId="2A214DE6" w14:textId="77777777" w:rsidR="001278EF" w:rsidRPr="00EC3A8E" w:rsidRDefault="001278EF" w:rsidP="009865B1">
      <w:pPr>
        <w:ind w:left="851"/>
        <w:rPr>
          <w:b/>
          <w:sz w:val="24"/>
          <w:szCs w:val="24"/>
          <w:lang w:val="en-US"/>
        </w:rPr>
      </w:pPr>
      <w:r w:rsidRPr="00EC3A8E">
        <w:rPr>
          <w:b/>
          <w:sz w:val="24"/>
          <w:szCs w:val="24"/>
          <w:lang w:val="en-US"/>
        </w:rPr>
        <w:t>Long-term treatment</w:t>
      </w:r>
    </w:p>
    <w:p w14:paraId="5AB6338A" w14:textId="77777777" w:rsidR="001278EF" w:rsidRPr="00EC3A8E" w:rsidRDefault="001278EF" w:rsidP="009865B1">
      <w:pPr>
        <w:ind w:left="851"/>
        <w:rPr>
          <w:sz w:val="24"/>
          <w:szCs w:val="24"/>
          <w:lang w:val="en-US"/>
        </w:rPr>
      </w:pPr>
      <w:r w:rsidRPr="00EC3A8E">
        <w:rPr>
          <w:sz w:val="24"/>
          <w:szCs w:val="24"/>
          <w:lang w:val="en-US"/>
        </w:rPr>
        <w:t xml:space="preserve">In women on long-term treatment with enzyme-inducing active substances, another reliable, non-hormonal, method of contraception is recommended. </w:t>
      </w:r>
    </w:p>
    <w:p w14:paraId="2845DD63" w14:textId="77777777" w:rsidR="008D6EEB" w:rsidRPr="00EC3A8E" w:rsidRDefault="008D6EEB" w:rsidP="009865B1">
      <w:pPr>
        <w:ind w:left="851"/>
        <w:rPr>
          <w:sz w:val="24"/>
          <w:szCs w:val="24"/>
          <w:lang w:val="en-US"/>
        </w:rPr>
      </w:pPr>
    </w:p>
    <w:p w14:paraId="1AE41DCF" w14:textId="0F0E0797" w:rsidR="001278EF" w:rsidRPr="00EC3A8E" w:rsidRDefault="001278EF" w:rsidP="009865B1">
      <w:pPr>
        <w:ind w:left="851"/>
        <w:rPr>
          <w:sz w:val="24"/>
          <w:szCs w:val="24"/>
          <w:lang w:val="en-US"/>
        </w:rPr>
      </w:pPr>
      <w:r w:rsidRPr="00EC3A8E">
        <w:rPr>
          <w:sz w:val="24"/>
          <w:szCs w:val="24"/>
          <w:lang w:val="en-US"/>
        </w:rPr>
        <w:t>Substances increasing the clearance of COCs (diminished efficacy of COCs by enzyme-induction), e.g.:</w:t>
      </w:r>
    </w:p>
    <w:p w14:paraId="3C585E86" w14:textId="77777777" w:rsidR="001278EF" w:rsidRPr="00EC3A8E" w:rsidRDefault="001278EF" w:rsidP="009865B1">
      <w:pPr>
        <w:ind w:left="851"/>
        <w:rPr>
          <w:sz w:val="24"/>
          <w:szCs w:val="24"/>
          <w:lang w:val="en-US"/>
        </w:rPr>
      </w:pPr>
      <w:r w:rsidRPr="00EC3A8E">
        <w:rPr>
          <w:sz w:val="24"/>
          <w:szCs w:val="24"/>
          <w:lang w:val="en-US"/>
        </w:rPr>
        <w:t xml:space="preserve">Barbiturates, </w:t>
      </w:r>
      <w:proofErr w:type="spellStart"/>
      <w:r w:rsidRPr="00EC3A8E">
        <w:rPr>
          <w:sz w:val="24"/>
          <w:szCs w:val="24"/>
          <w:lang w:val="en-US"/>
        </w:rPr>
        <w:t>bosentan</w:t>
      </w:r>
      <w:proofErr w:type="spellEnd"/>
      <w:r w:rsidRPr="00EC3A8E">
        <w:rPr>
          <w:sz w:val="24"/>
          <w:szCs w:val="24"/>
          <w:lang w:val="en-US"/>
        </w:rPr>
        <w:t xml:space="preserve">, carbamazepine, phenytoin, primidone, rifampicin, and HIV medication ritonavir, nevirapine and efavirenz and possibly also felbamate, griseofulvin, oxcarbazepine, topiramate and products containing the herbal remedy St. John's Wort (Hypericum </w:t>
      </w:r>
      <w:proofErr w:type="spellStart"/>
      <w:r w:rsidRPr="00EC3A8E">
        <w:rPr>
          <w:sz w:val="24"/>
          <w:szCs w:val="24"/>
          <w:lang w:val="en-US"/>
        </w:rPr>
        <w:t>perforatum</w:t>
      </w:r>
      <w:proofErr w:type="spellEnd"/>
      <w:r w:rsidRPr="00EC3A8E">
        <w:rPr>
          <w:sz w:val="24"/>
          <w:szCs w:val="24"/>
          <w:lang w:val="en-US"/>
        </w:rPr>
        <w:t>).</w:t>
      </w:r>
    </w:p>
    <w:p w14:paraId="252F09BB" w14:textId="77777777" w:rsidR="001278EF" w:rsidRPr="00EC3A8E" w:rsidRDefault="001278EF" w:rsidP="009865B1">
      <w:pPr>
        <w:ind w:left="851"/>
        <w:rPr>
          <w:sz w:val="24"/>
          <w:szCs w:val="24"/>
          <w:lang w:val="en-US"/>
        </w:rPr>
      </w:pPr>
    </w:p>
    <w:p w14:paraId="1895169D" w14:textId="77777777" w:rsidR="001278EF" w:rsidRPr="00EC3A8E" w:rsidRDefault="001278EF" w:rsidP="009865B1">
      <w:pPr>
        <w:ind w:left="851"/>
        <w:rPr>
          <w:i/>
          <w:sz w:val="24"/>
          <w:szCs w:val="24"/>
          <w:lang w:val="en-US"/>
        </w:rPr>
      </w:pPr>
      <w:r w:rsidRPr="00EC3A8E">
        <w:rPr>
          <w:i/>
          <w:sz w:val="24"/>
          <w:szCs w:val="24"/>
          <w:lang w:val="en-US"/>
        </w:rPr>
        <w:t>The following interactions have been reported in the literature:</w:t>
      </w:r>
    </w:p>
    <w:p w14:paraId="2A914A0C" w14:textId="77777777" w:rsidR="001278EF" w:rsidRPr="00EC3A8E" w:rsidRDefault="001278EF" w:rsidP="009865B1">
      <w:pPr>
        <w:ind w:left="851"/>
        <w:rPr>
          <w:sz w:val="24"/>
          <w:szCs w:val="24"/>
          <w:u w:val="single"/>
          <w:lang w:val="en-US"/>
        </w:rPr>
      </w:pPr>
      <w:r w:rsidRPr="00EC3A8E">
        <w:rPr>
          <w:sz w:val="24"/>
          <w:szCs w:val="24"/>
          <w:u w:val="single"/>
          <w:lang w:val="en-US"/>
        </w:rPr>
        <w:t>Substances with variable effects on the clearance of COCs</w:t>
      </w:r>
    </w:p>
    <w:p w14:paraId="22D26D00" w14:textId="77777777" w:rsidR="001278EF" w:rsidRPr="00EC3A8E" w:rsidRDefault="001278EF" w:rsidP="009865B1">
      <w:pPr>
        <w:ind w:left="851"/>
        <w:rPr>
          <w:sz w:val="24"/>
          <w:szCs w:val="24"/>
          <w:lang w:val="en-US"/>
        </w:rPr>
      </w:pPr>
      <w:r w:rsidRPr="00EC3A8E">
        <w:rPr>
          <w:sz w:val="24"/>
          <w:szCs w:val="24"/>
          <w:lang w:val="en-US"/>
        </w:rPr>
        <w:t>When co-administered with COCs, many combinations of HIV protease inhibitors and non-nucleoside reverse transcriptase inhibitors, including combinations with HCV inhibitors can increase or decrease plasma concentrations of estrogen or progestins. The net effect of these changes may be clinically relevant in some cases.</w:t>
      </w:r>
    </w:p>
    <w:p w14:paraId="7DAC6D24" w14:textId="77777777" w:rsidR="001278EF" w:rsidRPr="00EC3A8E" w:rsidRDefault="001278EF" w:rsidP="009865B1">
      <w:pPr>
        <w:ind w:left="851"/>
        <w:rPr>
          <w:sz w:val="24"/>
          <w:szCs w:val="24"/>
          <w:lang w:val="en-US"/>
        </w:rPr>
      </w:pPr>
      <w:r w:rsidRPr="00EC3A8E">
        <w:rPr>
          <w:sz w:val="24"/>
          <w:szCs w:val="24"/>
          <w:lang w:val="en-US"/>
        </w:rPr>
        <w:t>Therefore, the prescribing information of concomitant HIV/HCV medications should be consulted to identify potential interactions and any related recommendations. In case of any doubt, an additional barrier contraceptive method should be used by women on protease inhibitor or non-nucleoside reverse transcriptase inhibitor therapy.</w:t>
      </w:r>
    </w:p>
    <w:p w14:paraId="20D6E675" w14:textId="77777777" w:rsidR="008D6EEB" w:rsidRPr="00EC3A8E" w:rsidRDefault="008D6EEB" w:rsidP="009865B1">
      <w:pPr>
        <w:ind w:left="851"/>
        <w:rPr>
          <w:sz w:val="24"/>
          <w:szCs w:val="24"/>
          <w:u w:val="single"/>
          <w:lang w:val="en-US"/>
        </w:rPr>
      </w:pPr>
    </w:p>
    <w:p w14:paraId="5AE3FD9B" w14:textId="49B02931" w:rsidR="001278EF" w:rsidRPr="00EC3A8E" w:rsidRDefault="001278EF" w:rsidP="009865B1">
      <w:pPr>
        <w:ind w:left="851"/>
        <w:rPr>
          <w:sz w:val="24"/>
          <w:szCs w:val="24"/>
          <w:u w:val="single"/>
          <w:lang w:val="en-US"/>
        </w:rPr>
      </w:pPr>
      <w:r w:rsidRPr="00EC3A8E">
        <w:rPr>
          <w:sz w:val="24"/>
          <w:szCs w:val="24"/>
          <w:u w:val="single"/>
          <w:lang w:val="en-US"/>
        </w:rPr>
        <w:t xml:space="preserve">Effects of </w:t>
      </w:r>
      <w:proofErr w:type="spellStart"/>
      <w:r w:rsidR="000871A3">
        <w:rPr>
          <w:sz w:val="24"/>
          <w:szCs w:val="24"/>
          <w:u w:val="single"/>
          <w:lang w:val="en-US"/>
        </w:rPr>
        <w:t>Ciclomex</w:t>
      </w:r>
      <w:proofErr w:type="spellEnd"/>
      <w:r w:rsidRPr="00EC3A8E">
        <w:rPr>
          <w:sz w:val="24"/>
          <w:szCs w:val="24"/>
          <w:u w:val="single"/>
          <w:lang w:val="en-US"/>
        </w:rPr>
        <w:t xml:space="preserve"> on other medicinal products</w:t>
      </w:r>
    </w:p>
    <w:p w14:paraId="77850324" w14:textId="77777777" w:rsidR="001278EF" w:rsidRPr="00EC3A8E" w:rsidRDefault="001278EF" w:rsidP="009865B1">
      <w:pPr>
        <w:ind w:left="851"/>
        <w:rPr>
          <w:sz w:val="24"/>
          <w:szCs w:val="24"/>
          <w:lang w:val="en-US"/>
        </w:rPr>
      </w:pPr>
      <w:r w:rsidRPr="00EC3A8E">
        <w:rPr>
          <w:sz w:val="24"/>
          <w:szCs w:val="24"/>
          <w:lang w:val="en-US"/>
        </w:rPr>
        <w:t>Oral contraceptives may affect the metabolism of other drugs. Accordingly, plasma and tissue concentrations may either increase (e.g. cyclosporine) or decrease (e.g. lamotrigine).</w:t>
      </w:r>
    </w:p>
    <w:p w14:paraId="44D66221" w14:textId="10B38F6D" w:rsidR="00D74090" w:rsidRPr="00F17159" w:rsidRDefault="00D74090">
      <w:pPr>
        <w:rPr>
          <w:spacing w:val="-3"/>
          <w:sz w:val="24"/>
          <w:szCs w:val="24"/>
          <w:lang w:val="en-US"/>
        </w:rPr>
      </w:pPr>
      <w:r w:rsidRPr="00F17159">
        <w:rPr>
          <w:spacing w:val="-3"/>
          <w:sz w:val="24"/>
          <w:szCs w:val="24"/>
          <w:lang w:val="en-US"/>
        </w:rPr>
        <w:br w:type="page"/>
      </w:r>
    </w:p>
    <w:p w14:paraId="5391F302" w14:textId="77777777" w:rsidR="001278EF" w:rsidRPr="00F17159" w:rsidRDefault="001278EF" w:rsidP="009865B1">
      <w:pPr>
        <w:ind w:left="851"/>
        <w:rPr>
          <w:spacing w:val="-3"/>
          <w:sz w:val="24"/>
          <w:szCs w:val="24"/>
          <w:lang w:val="en-US"/>
        </w:rPr>
      </w:pPr>
    </w:p>
    <w:p w14:paraId="6F7F751C" w14:textId="77777777" w:rsidR="001278EF" w:rsidRPr="00EC3A8E" w:rsidRDefault="001278EF" w:rsidP="009865B1">
      <w:pPr>
        <w:ind w:left="851"/>
        <w:rPr>
          <w:b/>
          <w:sz w:val="24"/>
          <w:szCs w:val="24"/>
          <w:lang w:val="en-US"/>
        </w:rPr>
      </w:pPr>
      <w:r w:rsidRPr="00EC3A8E">
        <w:rPr>
          <w:b/>
          <w:sz w:val="24"/>
          <w:szCs w:val="24"/>
          <w:lang w:val="en-US"/>
        </w:rPr>
        <w:t>Laboratory tests</w:t>
      </w:r>
    </w:p>
    <w:p w14:paraId="07BCAD4F" w14:textId="77777777" w:rsidR="001278EF" w:rsidRPr="00EC3A8E" w:rsidRDefault="001278EF" w:rsidP="009865B1">
      <w:pPr>
        <w:ind w:left="851"/>
        <w:rPr>
          <w:sz w:val="24"/>
          <w:szCs w:val="24"/>
          <w:lang w:val="en-US"/>
        </w:rPr>
      </w:pPr>
      <w:r w:rsidRPr="00EC3A8E">
        <w:rPr>
          <w:sz w:val="24"/>
          <w:szCs w:val="24"/>
          <w:lang w:val="en-US"/>
        </w:rPr>
        <w:t>The use of contraceptive steroids can influence the results of certain laboratory tests, including the biochemical parameters of liver, thyroid, adrenal, and kidney function; plasma levels of (transport) proteins, such as corticosteroid-binding globulin and lipid/lipoprotein fractions; the parameters of carbohydrate metabolism, and the parameter of coagulation and fibrinolysis. The changes usually remain within the normal test ranges.</w:t>
      </w:r>
    </w:p>
    <w:p w14:paraId="49469878" w14:textId="77777777" w:rsidR="007C5D2A" w:rsidRPr="00EC3A8E" w:rsidRDefault="007C5D2A" w:rsidP="003E0341">
      <w:pPr>
        <w:tabs>
          <w:tab w:val="left" w:pos="851"/>
        </w:tabs>
        <w:ind w:left="851"/>
        <w:rPr>
          <w:sz w:val="24"/>
          <w:szCs w:val="24"/>
          <w:lang w:val="en-GB"/>
        </w:rPr>
      </w:pPr>
    </w:p>
    <w:p w14:paraId="3454130E" w14:textId="77777777" w:rsidR="007C5D2A" w:rsidRPr="00EC3A8E" w:rsidRDefault="007C5D2A" w:rsidP="007C5D2A">
      <w:pPr>
        <w:tabs>
          <w:tab w:val="left" w:pos="851"/>
        </w:tabs>
        <w:ind w:left="851" w:hanging="851"/>
        <w:rPr>
          <w:b/>
          <w:sz w:val="24"/>
          <w:szCs w:val="24"/>
          <w:lang w:val="en-GB"/>
        </w:rPr>
      </w:pPr>
      <w:r w:rsidRPr="00EC3A8E">
        <w:rPr>
          <w:b/>
          <w:sz w:val="24"/>
          <w:szCs w:val="24"/>
          <w:lang w:val="en-GB"/>
        </w:rPr>
        <w:t>4.6</w:t>
      </w:r>
      <w:r w:rsidRPr="00EC3A8E">
        <w:rPr>
          <w:b/>
          <w:sz w:val="24"/>
          <w:szCs w:val="24"/>
          <w:lang w:val="en-GB"/>
        </w:rPr>
        <w:tab/>
      </w:r>
      <w:r w:rsidR="004860D3" w:rsidRPr="00EC3A8E">
        <w:rPr>
          <w:b/>
          <w:sz w:val="24"/>
          <w:szCs w:val="24"/>
          <w:lang w:val="en-GB"/>
        </w:rPr>
        <w:t>Fertility, p</w:t>
      </w:r>
      <w:r w:rsidRPr="00EC3A8E">
        <w:rPr>
          <w:b/>
          <w:sz w:val="24"/>
          <w:szCs w:val="24"/>
          <w:lang w:val="en-GB"/>
        </w:rPr>
        <w:t>regnancy and lactation</w:t>
      </w:r>
    </w:p>
    <w:p w14:paraId="239F4466" w14:textId="77777777" w:rsidR="0070232A" w:rsidRPr="00EC3A8E" w:rsidRDefault="0070232A" w:rsidP="0070232A">
      <w:pPr>
        <w:ind w:left="851"/>
        <w:rPr>
          <w:rFonts w:eastAsia="SimSun"/>
          <w:sz w:val="24"/>
          <w:szCs w:val="24"/>
          <w:lang w:val="en-US" w:eastAsia="es-ES"/>
        </w:rPr>
      </w:pPr>
    </w:p>
    <w:p w14:paraId="3DB612C8" w14:textId="154F7098" w:rsidR="001278EF" w:rsidRPr="00EC3A8E" w:rsidRDefault="001278EF" w:rsidP="0070232A">
      <w:pPr>
        <w:ind w:left="851"/>
        <w:rPr>
          <w:rFonts w:eastAsia="SimSun"/>
          <w:sz w:val="24"/>
          <w:szCs w:val="24"/>
          <w:u w:val="single"/>
          <w:lang w:val="en-US" w:eastAsia="es-ES"/>
        </w:rPr>
      </w:pPr>
      <w:r w:rsidRPr="00EC3A8E">
        <w:rPr>
          <w:rFonts w:eastAsia="SimSun"/>
          <w:sz w:val="24"/>
          <w:szCs w:val="24"/>
          <w:u w:val="single"/>
          <w:lang w:val="en-US" w:eastAsia="es-ES"/>
        </w:rPr>
        <w:t>Pregnancy</w:t>
      </w:r>
    </w:p>
    <w:p w14:paraId="0CFB66C4" w14:textId="1ABB2854" w:rsidR="001278EF" w:rsidRPr="00EC3A8E" w:rsidRDefault="000871A3" w:rsidP="0070232A">
      <w:pPr>
        <w:ind w:left="851"/>
        <w:rPr>
          <w:rFonts w:eastAsia="SimSun"/>
          <w:sz w:val="24"/>
          <w:szCs w:val="24"/>
          <w:lang w:val="en-US" w:eastAsia="es-ES"/>
        </w:rPr>
      </w:pPr>
      <w:proofErr w:type="spellStart"/>
      <w:r>
        <w:rPr>
          <w:sz w:val="24"/>
          <w:szCs w:val="24"/>
          <w:lang w:val="en-US"/>
        </w:rPr>
        <w:t>Ciclomex</w:t>
      </w:r>
      <w:proofErr w:type="spellEnd"/>
      <w:r w:rsidR="001278EF" w:rsidRPr="00EC3A8E">
        <w:rPr>
          <w:sz w:val="24"/>
          <w:szCs w:val="24"/>
          <w:lang w:val="en-US"/>
        </w:rPr>
        <w:t xml:space="preserve"> is not indicated during pregnancy (see section 4.3). </w:t>
      </w:r>
      <w:r w:rsidR="001278EF" w:rsidRPr="00EC3A8E">
        <w:rPr>
          <w:rFonts w:eastAsia="SimSun"/>
          <w:sz w:val="24"/>
          <w:szCs w:val="24"/>
          <w:lang w:val="en-US" w:eastAsia="es-ES"/>
        </w:rPr>
        <w:t xml:space="preserve">If pregnancy occurs during medication with </w:t>
      </w:r>
      <w:proofErr w:type="spellStart"/>
      <w:r>
        <w:rPr>
          <w:rFonts w:eastAsia="SimSun"/>
          <w:sz w:val="24"/>
          <w:szCs w:val="24"/>
          <w:lang w:val="en-US" w:eastAsia="es-ES"/>
        </w:rPr>
        <w:t>Ciclomex</w:t>
      </w:r>
      <w:proofErr w:type="spellEnd"/>
      <w:r w:rsidR="001278EF" w:rsidRPr="00EC3A8E">
        <w:rPr>
          <w:rFonts w:eastAsia="SimSun"/>
          <w:sz w:val="24"/>
          <w:szCs w:val="24"/>
          <w:lang w:val="en-US" w:eastAsia="es-ES"/>
        </w:rPr>
        <w:t>, the preparation should be withdrawn immediately.</w:t>
      </w:r>
    </w:p>
    <w:p w14:paraId="65785D21" w14:textId="77777777" w:rsidR="0070232A" w:rsidRPr="00EC3A8E" w:rsidRDefault="0070232A" w:rsidP="0070232A">
      <w:pPr>
        <w:ind w:left="851"/>
        <w:rPr>
          <w:sz w:val="24"/>
          <w:szCs w:val="24"/>
          <w:lang w:val="en-US"/>
        </w:rPr>
      </w:pPr>
    </w:p>
    <w:p w14:paraId="23A21418" w14:textId="300FB3FA" w:rsidR="001278EF" w:rsidRPr="00EC3A8E" w:rsidRDefault="001278EF" w:rsidP="0070232A">
      <w:pPr>
        <w:ind w:left="851"/>
        <w:rPr>
          <w:sz w:val="24"/>
          <w:szCs w:val="24"/>
          <w:lang w:val="en-GB" w:eastAsia="en-US"/>
        </w:rPr>
      </w:pPr>
      <w:r w:rsidRPr="00EC3A8E">
        <w:rPr>
          <w:sz w:val="24"/>
          <w:szCs w:val="24"/>
          <w:lang w:val="en-US"/>
        </w:rPr>
        <w:t>Extensive epidemiological studies have revealed neither an increased risk of birth defects in children born to women who used COCs prior to pregnancy, nor a teratogenic effect when COCs were taken inadvertently during pregnancy.</w:t>
      </w:r>
    </w:p>
    <w:p w14:paraId="729F9C9A" w14:textId="77777777" w:rsidR="00132A95" w:rsidRPr="00EC3A8E" w:rsidRDefault="00132A95" w:rsidP="0070232A">
      <w:pPr>
        <w:ind w:left="851"/>
        <w:rPr>
          <w:bCs/>
          <w:sz w:val="24"/>
          <w:szCs w:val="24"/>
          <w:lang w:val="en-US"/>
        </w:rPr>
      </w:pPr>
    </w:p>
    <w:p w14:paraId="1BE99A9D" w14:textId="3525F549" w:rsidR="001278EF" w:rsidRPr="00EC3A8E" w:rsidRDefault="001278EF" w:rsidP="0070232A">
      <w:pPr>
        <w:ind w:left="851"/>
        <w:rPr>
          <w:bCs/>
          <w:sz w:val="24"/>
          <w:szCs w:val="24"/>
          <w:lang w:val="en-US"/>
        </w:rPr>
      </w:pPr>
      <w:r w:rsidRPr="00EC3A8E">
        <w:rPr>
          <w:bCs/>
          <w:sz w:val="24"/>
          <w:szCs w:val="24"/>
          <w:lang w:val="en-US"/>
        </w:rPr>
        <w:t xml:space="preserve">The increased risk of VTE during the postpartum period should be considered when re-starting </w:t>
      </w:r>
      <w:proofErr w:type="spellStart"/>
      <w:r w:rsidR="000871A3">
        <w:rPr>
          <w:bCs/>
          <w:sz w:val="24"/>
          <w:szCs w:val="24"/>
          <w:lang w:val="en-US"/>
        </w:rPr>
        <w:t>Ciclomex</w:t>
      </w:r>
      <w:proofErr w:type="spellEnd"/>
      <w:r w:rsidRPr="00EC3A8E">
        <w:rPr>
          <w:bCs/>
          <w:sz w:val="24"/>
          <w:szCs w:val="24"/>
          <w:lang w:val="en-US"/>
        </w:rPr>
        <w:t xml:space="preserve"> (see section 4.2 and 4.4). </w:t>
      </w:r>
    </w:p>
    <w:p w14:paraId="07C3903F" w14:textId="77777777" w:rsidR="00132A95" w:rsidRPr="00EC3A8E" w:rsidRDefault="00132A95" w:rsidP="0070232A">
      <w:pPr>
        <w:ind w:left="851"/>
        <w:rPr>
          <w:rFonts w:eastAsia="SimSun"/>
          <w:sz w:val="24"/>
          <w:szCs w:val="24"/>
          <w:lang w:val="en-US" w:eastAsia="es-ES"/>
        </w:rPr>
      </w:pPr>
    </w:p>
    <w:p w14:paraId="6BDD2DDB" w14:textId="7047A64B" w:rsidR="001278EF" w:rsidRPr="00EC3A8E" w:rsidRDefault="001278EF" w:rsidP="0070232A">
      <w:pPr>
        <w:ind w:left="851"/>
        <w:rPr>
          <w:rFonts w:eastAsia="SimSun"/>
          <w:sz w:val="24"/>
          <w:szCs w:val="24"/>
          <w:u w:val="single"/>
          <w:lang w:val="en-US" w:eastAsia="es-ES"/>
        </w:rPr>
      </w:pPr>
      <w:r w:rsidRPr="00EC3A8E">
        <w:rPr>
          <w:rFonts w:eastAsia="SimSun"/>
          <w:sz w:val="24"/>
          <w:szCs w:val="24"/>
          <w:u w:val="single"/>
          <w:lang w:val="en-US" w:eastAsia="es-ES"/>
        </w:rPr>
        <w:t>Breast-feeding</w:t>
      </w:r>
    </w:p>
    <w:p w14:paraId="1F352CF0" w14:textId="77777777" w:rsidR="001278EF" w:rsidRPr="00EC3A8E" w:rsidRDefault="001278EF" w:rsidP="0070232A">
      <w:pPr>
        <w:ind w:left="851"/>
        <w:rPr>
          <w:sz w:val="24"/>
          <w:szCs w:val="24"/>
          <w:lang w:val="en-GB" w:eastAsia="en-US"/>
        </w:rPr>
      </w:pPr>
      <w:r w:rsidRPr="00EC3A8E">
        <w:rPr>
          <w:sz w:val="24"/>
          <w:szCs w:val="24"/>
          <w:lang w:val="en-US"/>
        </w:rPr>
        <w:t xml:space="preserve">Contraceptive steroids can influence breastfeeding, as they can lower the amount and change the composition of breast milk. Small amounts of contraceptive steroids and/or their metabolites have been identified in the milk of nursing mothers and a few adverse effects on the child have been reported, including jaundice and breast enlargement. The use of contraceptive steroids should, therefore, generally not be advised to a breastfeeding mother before her child is completely weaned. </w:t>
      </w:r>
    </w:p>
    <w:p w14:paraId="793011D3" w14:textId="77777777" w:rsidR="007C5D2A" w:rsidRPr="00EC3A8E" w:rsidRDefault="007C5D2A" w:rsidP="00C72C33">
      <w:pPr>
        <w:rPr>
          <w:sz w:val="24"/>
          <w:szCs w:val="24"/>
          <w:lang w:val="en-GB"/>
        </w:rPr>
      </w:pPr>
    </w:p>
    <w:p w14:paraId="4428B5FA" w14:textId="77777777" w:rsidR="007C5D2A" w:rsidRPr="00EC3A8E" w:rsidRDefault="007C5D2A" w:rsidP="007C5D2A">
      <w:pPr>
        <w:tabs>
          <w:tab w:val="left" w:pos="851"/>
        </w:tabs>
        <w:ind w:left="851" w:hanging="851"/>
        <w:rPr>
          <w:b/>
          <w:sz w:val="24"/>
          <w:szCs w:val="24"/>
          <w:lang w:val="en-GB"/>
        </w:rPr>
      </w:pPr>
      <w:r w:rsidRPr="00EC3A8E">
        <w:rPr>
          <w:b/>
          <w:sz w:val="24"/>
          <w:szCs w:val="24"/>
          <w:lang w:val="en-GB"/>
        </w:rPr>
        <w:t>4.7</w:t>
      </w:r>
      <w:r w:rsidRPr="00EC3A8E">
        <w:rPr>
          <w:b/>
          <w:sz w:val="24"/>
          <w:szCs w:val="24"/>
          <w:lang w:val="en-GB"/>
        </w:rPr>
        <w:tab/>
        <w:t>Effects on ability to drive and use machines</w:t>
      </w:r>
    </w:p>
    <w:p w14:paraId="75887194" w14:textId="77777777" w:rsidR="00132A95" w:rsidRPr="00EC3A8E" w:rsidRDefault="00132A95" w:rsidP="00132A95">
      <w:pPr>
        <w:ind w:left="851"/>
        <w:rPr>
          <w:sz w:val="24"/>
          <w:szCs w:val="24"/>
          <w:lang w:val="en-US"/>
        </w:rPr>
      </w:pPr>
      <w:r w:rsidRPr="00EC3A8E">
        <w:rPr>
          <w:sz w:val="24"/>
          <w:szCs w:val="24"/>
          <w:lang w:val="en-US"/>
        </w:rPr>
        <w:t>No traffic warning.</w:t>
      </w:r>
    </w:p>
    <w:p w14:paraId="27E03946" w14:textId="2D4CC759" w:rsidR="001278EF" w:rsidRPr="00EC3A8E" w:rsidRDefault="001278EF" w:rsidP="00132A95">
      <w:pPr>
        <w:ind w:left="851"/>
        <w:rPr>
          <w:sz w:val="24"/>
          <w:szCs w:val="24"/>
          <w:lang w:val="en-US"/>
        </w:rPr>
      </w:pPr>
      <w:proofErr w:type="spellStart"/>
      <w:r w:rsidRPr="00EC3A8E">
        <w:rPr>
          <w:sz w:val="24"/>
          <w:szCs w:val="24"/>
          <w:lang w:val="en-US"/>
        </w:rPr>
        <w:t>Gestodene</w:t>
      </w:r>
      <w:proofErr w:type="spellEnd"/>
      <w:r w:rsidRPr="00EC3A8E">
        <w:rPr>
          <w:sz w:val="24"/>
          <w:szCs w:val="24"/>
          <w:lang w:val="en-US"/>
        </w:rPr>
        <w:t>/</w:t>
      </w:r>
      <w:proofErr w:type="spellStart"/>
      <w:r w:rsidRPr="00EC3A8E">
        <w:rPr>
          <w:sz w:val="24"/>
          <w:szCs w:val="24"/>
          <w:lang w:val="en-US"/>
        </w:rPr>
        <w:t>ethinylestradiol</w:t>
      </w:r>
      <w:proofErr w:type="spellEnd"/>
      <w:r w:rsidRPr="00EC3A8E">
        <w:rPr>
          <w:sz w:val="24"/>
          <w:szCs w:val="24"/>
          <w:lang w:val="en-US"/>
        </w:rPr>
        <w:t xml:space="preserve"> has no or negligible influence on the ability to drive and use machines.</w:t>
      </w:r>
    </w:p>
    <w:p w14:paraId="0F7462A0" w14:textId="77777777" w:rsidR="007C5D2A" w:rsidRPr="00EC3A8E" w:rsidRDefault="007C5D2A" w:rsidP="003E0341">
      <w:pPr>
        <w:tabs>
          <w:tab w:val="left" w:pos="851"/>
        </w:tabs>
        <w:ind w:left="851"/>
        <w:rPr>
          <w:sz w:val="24"/>
          <w:szCs w:val="24"/>
          <w:lang w:val="en-GB"/>
        </w:rPr>
      </w:pPr>
    </w:p>
    <w:p w14:paraId="7EF83D8F" w14:textId="77777777" w:rsidR="007C5D2A" w:rsidRPr="00EC3A8E" w:rsidRDefault="007C5D2A" w:rsidP="007C5D2A">
      <w:pPr>
        <w:tabs>
          <w:tab w:val="left" w:pos="851"/>
        </w:tabs>
        <w:ind w:left="851" w:hanging="851"/>
        <w:rPr>
          <w:b/>
          <w:sz w:val="24"/>
          <w:szCs w:val="24"/>
          <w:lang w:val="en-GB"/>
        </w:rPr>
      </w:pPr>
      <w:r w:rsidRPr="00EC3A8E">
        <w:rPr>
          <w:b/>
          <w:sz w:val="24"/>
          <w:szCs w:val="24"/>
          <w:lang w:val="en-GB"/>
        </w:rPr>
        <w:t>4.8</w:t>
      </w:r>
      <w:r w:rsidRPr="00EC3A8E">
        <w:rPr>
          <w:b/>
          <w:sz w:val="24"/>
          <w:szCs w:val="24"/>
          <w:lang w:val="en-GB"/>
        </w:rPr>
        <w:tab/>
        <w:t>Undesirable effects</w:t>
      </w:r>
    </w:p>
    <w:p w14:paraId="2556823F" w14:textId="77777777" w:rsidR="00132A95" w:rsidRPr="00EC3A8E" w:rsidRDefault="00132A95" w:rsidP="00132A95">
      <w:pPr>
        <w:ind w:left="851"/>
        <w:rPr>
          <w:sz w:val="24"/>
          <w:szCs w:val="24"/>
          <w:lang w:val="en-US"/>
        </w:rPr>
      </w:pPr>
    </w:p>
    <w:p w14:paraId="3817EAD5" w14:textId="64517DDD" w:rsidR="001278EF" w:rsidRPr="00EC3A8E" w:rsidRDefault="001278EF" w:rsidP="00132A95">
      <w:pPr>
        <w:ind w:left="851"/>
        <w:rPr>
          <w:bCs/>
          <w:sz w:val="24"/>
          <w:szCs w:val="24"/>
          <w:u w:val="single"/>
          <w:lang w:val="en-US"/>
        </w:rPr>
      </w:pPr>
      <w:r w:rsidRPr="00EC3A8E">
        <w:rPr>
          <w:sz w:val="24"/>
          <w:szCs w:val="24"/>
          <w:u w:val="single"/>
          <w:lang w:val="en-US"/>
        </w:rPr>
        <w:t>Description of selected adverse reactions</w:t>
      </w:r>
    </w:p>
    <w:p w14:paraId="0898BCCE" w14:textId="77777777" w:rsidR="001278EF" w:rsidRPr="00EC3A8E" w:rsidRDefault="001278EF" w:rsidP="00132A95">
      <w:pPr>
        <w:ind w:left="851"/>
        <w:rPr>
          <w:bCs/>
          <w:sz w:val="24"/>
          <w:szCs w:val="24"/>
          <w:lang w:val="en-US"/>
        </w:rPr>
      </w:pPr>
      <w:r w:rsidRPr="00EC3A8E">
        <w:rPr>
          <w:bCs/>
          <w:sz w:val="24"/>
          <w:szCs w:val="24"/>
          <w:lang w:val="en-US"/>
        </w:rPr>
        <w:t>An increased risk of arterial and venous thrombotic and thrombo-embolic events, including myocardial infarction, stroke, transient ischemic attacks, venous thrombosis and pulmonary embolism has been observed in women using CHCs, which are discussed in more detail in section 4.4.</w:t>
      </w:r>
    </w:p>
    <w:p w14:paraId="668FF2FD" w14:textId="77777777" w:rsidR="001278EF" w:rsidRPr="00A20B96" w:rsidRDefault="001278EF" w:rsidP="00132A95">
      <w:pPr>
        <w:ind w:left="851"/>
        <w:rPr>
          <w:bCs/>
          <w:sz w:val="24"/>
          <w:szCs w:val="24"/>
          <w:lang w:val="en-US"/>
        </w:rPr>
      </w:pPr>
    </w:p>
    <w:p w14:paraId="3B69D10A" w14:textId="77777777" w:rsidR="001278EF" w:rsidRPr="00EC3A8E" w:rsidRDefault="001278EF" w:rsidP="00132A95">
      <w:pPr>
        <w:ind w:left="851"/>
        <w:rPr>
          <w:spacing w:val="-3"/>
          <w:sz w:val="24"/>
          <w:szCs w:val="24"/>
          <w:lang w:val="en-US"/>
        </w:rPr>
      </w:pPr>
      <w:r w:rsidRPr="00EC3A8E">
        <w:rPr>
          <w:spacing w:val="-3"/>
          <w:sz w:val="24"/>
          <w:szCs w:val="24"/>
          <w:lang w:val="en-US"/>
        </w:rPr>
        <w:t>The most commonly reported ADRs (&gt; 1/10) are irregular bleeding, nausea, weight increase, breast tenderness and headache. They occur usually at the beginning of therapy and are transient.</w:t>
      </w:r>
    </w:p>
    <w:p w14:paraId="65855382" w14:textId="2124663A" w:rsidR="00D74090" w:rsidRDefault="00D74090">
      <w:pPr>
        <w:rPr>
          <w:bCs/>
          <w:sz w:val="24"/>
          <w:szCs w:val="24"/>
          <w:lang w:val="en-US"/>
        </w:rPr>
      </w:pPr>
      <w:r>
        <w:rPr>
          <w:bCs/>
          <w:sz w:val="24"/>
          <w:szCs w:val="24"/>
          <w:lang w:val="en-US"/>
        </w:rPr>
        <w:br w:type="page"/>
      </w:r>
    </w:p>
    <w:p w14:paraId="0C727206" w14:textId="77777777" w:rsidR="001278EF" w:rsidRPr="00A20B96" w:rsidRDefault="001278EF" w:rsidP="00C72C33">
      <w:pPr>
        <w:rPr>
          <w:bCs/>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6"/>
        <w:gridCol w:w="1725"/>
        <w:gridCol w:w="1619"/>
        <w:gridCol w:w="1825"/>
        <w:gridCol w:w="1268"/>
        <w:gridCol w:w="1595"/>
      </w:tblGrid>
      <w:tr w:rsidR="001278EF" w:rsidRPr="00A20B96" w14:paraId="0B63D313" w14:textId="77777777" w:rsidTr="00132A95">
        <w:trPr>
          <w:trHeight w:val="141"/>
          <w:tblHeader/>
        </w:trPr>
        <w:tc>
          <w:tcPr>
            <w:tcW w:w="834" w:type="pct"/>
            <w:tcBorders>
              <w:top w:val="single" w:sz="4" w:space="0" w:color="auto"/>
              <w:left w:val="single" w:sz="4" w:space="0" w:color="auto"/>
              <w:bottom w:val="single" w:sz="4" w:space="0" w:color="auto"/>
              <w:right w:val="single" w:sz="4" w:space="0" w:color="auto"/>
            </w:tcBorders>
          </w:tcPr>
          <w:p w14:paraId="46E18B20" w14:textId="77777777" w:rsidR="001278EF" w:rsidRPr="00A20B96" w:rsidRDefault="001278EF" w:rsidP="00A20B96">
            <w:pPr>
              <w:rPr>
                <w:b/>
                <w:bCs/>
                <w:sz w:val="22"/>
                <w:szCs w:val="22"/>
              </w:rPr>
            </w:pPr>
            <w:r w:rsidRPr="00A20B96">
              <w:rPr>
                <w:b/>
                <w:bCs/>
                <w:sz w:val="22"/>
                <w:szCs w:val="22"/>
              </w:rPr>
              <w:t>Organ system class</w:t>
            </w:r>
          </w:p>
          <w:p w14:paraId="55A32FDA" w14:textId="77777777" w:rsidR="001278EF" w:rsidRPr="00A20B96" w:rsidRDefault="001278EF" w:rsidP="00A20B96">
            <w:pPr>
              <w:rPr>
                <w:b/>
                <w:bCs/>
                <w:sz w:val="22"/>
                <w:szCs w:val="22"/>
              </w:rPr>
            </w:pPr>
          </w:p>
        </w:tc>
        <w:tc>
          <w:tcPr>
            <w:tcW w:w="901" w:type="pct"/>
            <w:tcBorders>
              <w:top w:val="single" w:sz="4" w:space="0" w:color="auto"/>
              <w:left w:val="single" w:sz="4" w:space="0" w:color="auto"/>
              <w:bottom w:val="single" w:sz="4" w:space="0" w:color="auto"/>
              <w:right w:val="single" w:sz="4" w:space="0" w:color="auto"/>
            </w:tcBorders>
            <w:hideMark/>
          </w:tcPr>
          <w:p w14:paraId="706FA73E" w14:textId="77777777" w:rsidR="001278EF" w:rsidRPr="00A20B96" w:rsidRDefault="001278EF" w:rsidP="00A20B96">
            <w:pPr>
              <w:rPr>
                <w:b/>
                <w:bCs/>
                <w:sz w:val="22"/>
                <w:szCs w:val="22"/>
              </w:rPr>
            </w:pPr>
            <w:r w:rsidRPr="00A20B96">
              <w:rPr>
                <w:b/>
                <w:bCs/>
                <w:sz w:val="22"/>
                <w:szCs w:val="22"/>
              </w:rPr>
              <w:t>Common (≥1/100 to &lt; 1/10)</w:t>
            </w:r>
          </w:p>
        </w:tc>
        <w:tc>
          <w:tcPr>
            <w:tcW w:w="816" w:type="pct"/>
            <w:tcBorders>
              <w:top w:val="single" w:sz="4" w:space="0" w:color="auto"/>
              <w:left w:val="single" w:sz="4" w:space="0" w:color="auto"/>
              <w:bottom w:val="single" w:sz="4" w:space="0" w:color="auto"/>
              <w:right w:val="single" w:sz="4" w:space="0" w:color="auto"/>
            </w:tcBorders>
            <w:hideMark/>
          </w:tcPr>
          <w:p w14:paraId="066FE8B1" w14:textId="77777777" w:rsidR="001278EF" w:rsidRPr="00A20B96" w:rsidRDefault="001278EF" w:rsidP="00A20B96">
            <w:pPr>
              <w:rPr>
                <w:b/>
                <w:bCs/>
                <w:sz w:val="22"/>
                <w:szCs w:val="22"/>
              </w:rPr>
            </w:pPr>
            <w:proofErr w:type="spellStart"/>
            <w:r w:rsidRPr="00A20B96">
              <w:rPr>
                <w:b/>
                <w:bCs/>
                <w:sz w:val="22"/>
                <w:szCs w:val="22"/>
              </w:rPr>
              <w:t>Uncommon</w:t>
            </w:r>
            <w:proofErr w:type="spellEnd"/>
          </w:p>
          <w:p w14:paraId="0E3E88D3" w14:textId="77777777" w:rsidR="001278EF" w:rsidRPr="00A20B96" w:rsidRDefault="001278EF" w:rsidP="00A20B96">
            <w:pPr>
              <w:rPr>
                <w:b/>
                <w:bCs/>
                <w:sz w:val="22"/>
                <w:szCs w:val="22"/>
              </w:rPr>
            </w:pPr>
            <w:r w:rsidRPr="00A20B96">
              <w:rPr>
                <w:b/>
                <w:bCs/>
                <w:sz w:val="22"/>
                <w:szCs w:val="22"/>
              </w:rPr>
              <w:t xml:space="preserve">(≥1/1,000 to &lt; 1/100) </w:t>
            </w:r>
          </w:p>
        </w:tc>
        <w:tc>
          <w:tcPr>
            <w:tcW w:w="953" w:type="pct"/>
            <w:tcBorders>
              <w:top w:val="single" w:sz="4" w:space="0" w:color="auto"/>
              <w:left w:val="single" w:sz="4" w:space="0" w:color="auto"/>
              <w:bottom w:val="single" w:sz="4" w:space="0" w:color="auto"/>
              <w:right w:val="single" w:sz="4" w:space="0" w:color="auto"/>
            </w:tcBorders>
            <w:hideMark/>
          </w:tcPr>
          <w:p w14:paraId="1013B4D0" w14:textId="77777777" w:rsidR="001278EF" w:rsidRPr="00A20B96" w:rsidRDefault="001278EF" w:rsidP="00A20B96">
            <w:pPr>
              <w:rPr>
                <w:b/>
                <w:bCs/>
                <w:sz w:val="22"/>
                <w:szCs w:val="22"/>
              </w:rPr>
            </w:pPr>
            <w:r w:rsidRPr="00A20B96">
              <w:rPr>
                <w:b/>
                <w:bCs/>
                <w:sz w:val="22"/>
                <w:szCs w:val="22"/>
              </w:rPr>
              <w:t xml:space="preserve">Rare </w:t>
            </w:r>
          </w:p>
          <w:p w14:paraId="5F0C3ED7" w14:textId="77777777" w:rsidR="001278EF" w:rsidRPr="00A20B96" w:rsidRDefault="001278EF" w:rsidP="00A20B96">
            <w:pPr>
              <w:rPr>
                <w:b/>
                <w:bCs/>
                <w:sz w:val="22"/>
                <w:szCs w:val="22"/>
              </w:rPr>
            </w:pPr>
            <w:r w:rsidRPr="00A20B96">
              <w:rPr>
                <w:b/>
                <w:bCs/>
                <w:sz w:val="22"/>
                <w:szCs w:val="22"/>
              </w:rPr>
              <w:t>(≥1/10,000 to &lt; 1,000)</w:t>
            </w:r>
          </w:p>
        </w:tc>
        <w:tc>
          <w:tcPr>
            <w:tcW w:w="663" w:type="pct"/>
            <w:tcBorders>
              <w:top w:val="single" w:sz="4" w:space="0" w:color="auto"/>
              <w:left w:val="single" w:sz="4" w:space="0" w:color="auto"/>
              <w:bottom w:val="single" w:sz="4" w:space="0" w:color="auto"/>
              <w:right w:val="single" w:sz="4" w:space="0" w:color="auto"/>
            </w:tcBorders>
            <w:hideMark/>
          </w:tcPr>
          <w:p w14:paraId="73D3AF8B" w14:textId="77777777" w:rsidR="001278EF" w:rsidRPr="00A20B96" w:rsidRDefault="001278EF" w:rsidP="00A20B96">
            <w:pPr>
              <w:rPr>
                <w:b/>
                <w:bCs/>
                <w:sz w:val="22"/>
                <w:szCs w:val="22"/>
              </w:rPr>
            </w:pPr>
            <w:proofErr w:type="spellStart"/>
            <w:r w:rsidRPr="00A20B96">
              <w:rPr>
                <w:b/>
                <w:bCs/>
                <w:sz w:val="22"/>
                <w:szCs w:val="22"/>
              </w:rPr>
              <w:t>Very</w:t>
            </w:r>
            <w:proofErr w:type="spellEnd"/>
            <w:r w:rsidRPr="00A20B96">
              <w:rPr>
                <w:b/>
                <w:bCs/>
                <w:sz w:val="22"/>
                <w:szCs w:val="22"/>
              </w:rPr>
              <w:t xml:space="preserve"> rare </w:t>
            </w:r>
          </w:p>
          <w:p w14:paraId="1B0267DA" w14:textId="77777777" w:rsidR="001278EF" w:rsidRPr="00A20B96" w:rsidRDefault="001278EF" w:rsidP="00A20B96">
            <w:pPr>
              <w:rPr>
                <w:b/>
                <w:bCs/>
                <w:sz w:val="22"/>
                <w:szCs w:val="22"/>
              </w:rPr>
            </w:pPr>
            <w:r w:rsidRPr="00A20B96">
              <w:rPr>
                <w:b/>
                <w:bCs/>
                <w:sz w:val="22"/>
                <w:szCs w:val="22"/>
              </w:rPr>
              <w:t>(</w:t>
            </w:r>
            <w:r w:rsidRPr="00A20B96">
              <w:rPr>
                <w:b/>
                <w:bCs/>
                <w:i/>
                <w:sz w:val="22"/>
                <w:szCs w:val="22"/>
              </w:rPr>
              <w:t>&lt;</w:t>
            </w:r>
            <w:r w:rsidRPr="00A20B96">
              <w:rPr>
                <w:b/>
                <w:bCs/>
                <w:sz w:val="22"/>
                <w:szCs w:val="22"/>
              </w:rPr>
              <w:t>1/10,000)</w:t>
            </w:r>
          </w:p>
        </w:tc>
        <w:tc>
          <w:tcPr>
            <w:tcW w:w="834" w:type="pct"/>
            <w:tcBorders>
              <w:top w:val="single" w:sz="4" w:space="0" w:color="auto"/>
              <w:left w:val="single" w:sz="4" w:space="0" w:color="auto"/>
              <w:bottom w:val="single" w:sz="4" w:space="0" w:color="auto"/>
              <w:right w:val="single" w:sz="4" w:space="0" w:color="auto"/>
            </w:tcBorders>
            <w:hideMark/>
          </w:tcPr>
          <w:p w14:paraId="4656CF84" w14:textId="77777777" w:rsidR="001278EF" w:rsidRPr="00A20B96" w:rsidRDefault="001278EF" w:rsidP="00A20B96">
            <w:pPr>
              <w:rPr>
                <w:b/>
                <w:bCs/>
                <w:sz w:val="22"/>
                <w:szCs w:val="22"/>
              </w:rPr>
            </w:pPr>
            <w:r w:rsidRPr="00A20B96">
              <w:rPr>
                <w:b/>
                <w:bCs/>
                <w:sz w:val="22"/>
                <w:szCs w:val="22"/>
              </w:rPr>
              <w:t xml:space="preserve">Not </w:t>
            </w:r>
            <w:proofErr w:type="spellStart"/>
            <w:r w:rsidRPr="00A20B96">
              <w:rPr>
                <w:b/>
                <w:bCs/>
                <w:sz w:val="22"/>
                <w:szCs w:val="22"/>
              </w:rPr>
              <w:t>Known</w:t>
            </w:r>
            <w:proofErr w:type="spellEnd"/>
          </w:p>
        </w:tc>
      </w:tr>
      <w:tr w:rsidR="001278EF" w:rsidRPr="00A20B96" w14:paraId="32993ABE" w14:textId="77777777" w:rsidTr="00132A95">
        <w:trPr>
          <w:trHeight w:val="141"/>
        </w:trPr>
        <w:tc>
          <w:tcPr>
            <w:tcW w:w="834" w:type="pct"/>
            <w:tcBorders>
              <w:top w:val="single" w:sz="4" w:space="0" w:color="auto"/>
              <w:left w:val="single" w:sz="4" w:space="0" w:color="auto"/>
              <w:bottom w:val="single" w:sz="4" w:space="0" w:color="auto"/>
              <w:right w:val="single" w:sz="4" w:space="0" w:color="auto"/>
            </w:tcBorders>
            <w:hideMark/>
          </w:tcPr>
          <w:p w14:paraId="0FA52465" w14:textId="77777777" w:rsidR="001278EF" w:rsidRPr="00A20B96" w:rsidRDefault="001278EF" w:rsidP="00A20B96">
            <w:pPr>
              <w:rPr>
                <w:bCs/>
                <w:sz w:val="22"/>
                <w:szCs w:val="22"/>
              </w:rPr>
            </w:pPr>
            <w:proofErr w:type="spellStart"/>
            <w:r w:rsidRPr="00A20B96">
              <w:rPr>
                <w:bCs/>
                <w:sz w:val="22"/>
                <w:szCs w:val="22"/>
              </w:rPr>
              <w:t>Nervous</w:t>
            </w:r>
            <w:proofErr w:type="spellEnd"/>
            <w:r w:rsidRPr="00A20B96">
              <w:rPr>
                <w:bCs/>
                <w:sz w:val="22"/>
                <w:szCs w:val="22"/>
              </w:rPr>
              <w:t xml:space="preserve"> system </w:t>
            </w:r>
            <w:proofErr w:type="spellStart"/>
            <w:r w:rsidRPr="00A20B96">
              <w:rPr>
                <w:bCs/>
                <w:sz w:val="22"/>
                <w:szCs w:val="22"/>
              </w:rPr>
              <w:t>disorders</w:t>
            </w:r>
            <w:proofErr w:type="spellEnd"/>
          </w:p>
        </w:tc>
        <w:tc>
          <w:tcPr>
            <w:tcW w:w="901" w:type="pct"/>
            <w:tcBorders>
              <w:top w:val="single" w:sz="4" w:space="0" w:color="auto"/>
              <w:left w:val="single" w:sz="4" w:space="0" w:color="auto"/>
              <w:bottom w:val="single" w:sz="4" w:space="0" w:color="auto"/>
              <w:right w:val="single" w:sz="4" w:space="0" w:color="auto"/>
            </w:tcBorders>
            <w:hideMark/>
          </w:tcPr>
          <w:p w14:paraId="4D71FBC6" w14:textId="77777777" w:rsidR="001278EF" w:rsidRPr="00A20B96" w:rsidRDefault="001278EF" w:rsidP="00A20B96">
            <w:pPr>
              <w:rPr>
                <w:bCs/>
                <w:sz w:val="22"/>
                <w:szCs w:val="22"/>
              </w:rPr>
            </w:pPr>
            <w:proofErr w:type="spellStart"/>
            <w:r w:rsidRPr="00A20B96">
              <w:rPr>
                <w:bCs/>
                <w:sz w:val="22"/>
                <w:szCs w:val="22"/>
              </w:rPr>
              <w:t>Headache</w:t>
            </w:r>
            <w:proofErr w:type="spellEnd"/>
          </w:p>
          <w:p w14:paraId="28D4C6E7" w14:textId="77777777" w:rsidR="001278EF" w:rsidRPr="00A20B96" w:rsidRDefault="001278EF" w:rsidP="00A20B96">
            <w:pPr>
              <w:rPr>
                <w:bCs/>
                <w:sz w:val="22"/>
                <w:szCs w:val="22"/>
              </w:rPr>
            </w:pPr>
            <w:proofErr w:type="spellStart"/>
            <w:r w:rsidRPr="00A20B96">
              <w:rPr>
                <w:bCs/>
                <w:sz w:val="22"/>
                <w:szCs w:val="22"/>
              </w:rPr>
              <w:t>Nervousness</w:t>
            </w:r>
            <w:proofErr w:type="spellEnd"/>
          </w:p>
        </w:tc>
        <w:tc>
          <w:tcPr>
            <w:tcW w:w="816" w:type="pct"/>
            <w:tcBorders>
              <w:top w:val="single" w:sz="4" w:space="0" w:color="auto"/>
              <w:left w:val="single" w:sz="4" w:space="0" w:color="auto"/>
              <w:bottom w:val="single" w:sz="4" w:space="0" w:color="auto"/>
              <w:right w:val="single" w:sz="4" w:space="0" w:color="auto"/>
            </w:tcBorders>
          </w:tcPr>
          <w:p w14:paraId="05DF5BF2" w14:textId="77777777" w:rsidR="001278EF" w:rsidRPr="00A20B96" w:rsidRDefault="001278EF" w:rsidP="00A20B96">
            <w:pPr>
              <w:rPr>
                <w:bCs/>
                <w:sz w:val="22"/>
                <w:szCs w:val="22"/>
              </w:rPr>
            </w:pPr>
          </w:p>
        </w:tc>
        <w:tc>
          <w:tcPr>
            <w:tcW w:w="953" w:type="pct"/>
            <w:tcBorders>
              <w:top w:val="single" w:sz="4" w:space="0" w:color="auto"/>
              <w:left w:val="single" w:sz="4" w:space="0" w:color="auto"/>
              <w:bottom w:val="single" w:sz="4" w:space="0" w:color="auto"/>
              <w:right w:val="single" w:sz="4" w:space="0" w:color="auto"/>
            </w:tcBorders>
          </w:tcPr>
          <w:p w14:paraId="64D70617" w14:textId="77777777" w:rsidR="001278EF" w:rsidRPr="00A20B96" w:rsidRDefault="001278EF" w:rsidP="00A20B96">
            <w:pPr>
              <w:rPr>
                <w:bCs/>
                <w:sz w:val="22"/>
                <w:szCs w:val="22"/>
              </w:rPr>
            </w:pPr>
          </w:p>
        </w:tc>
        <w:tc>
          <w:tcPr>
            <w:tcW w:w="663" w:type="pct"/>
            <w:tcBorders>
              <w:top w:val="single" w:sz="4" w:space="0" w:color="auto"/>
              <w:left w:val="single" w:sz="4" w:space="0" w:color="auto"/>
              <w:bottom w:val="single" w:sz="4" w:space="0" w:color="auto"/>
              <w:right w:val="single" w:sz="4" w:space="0" w:color="auto"/>
            </w:tcBorders>
            <w:hideMark/>
          </w:tcPr>
          <w:p w14:paraId="28117C85" w14:textId="77777777" w:rsidR="001278EF" w:rsidRPr="00A20B96" w:rsidRDefault="001278EF" w:rsidP="00A20B96">
            <w:pPr>
              <w:rPr>
                <w:bCs/>
                <w:sz w:val="22"/>
                <w:szCs w:val="22"/>
              </w:rPr>
            </w:pPr>
            <w:proofErr w:type="spellStart"/>
            <w:r w:rsidRPr="00A20B96">
              <w:rPr>
                <w:bCs/>
                <w:sz w:val="22"/>
                <w:szCs w:val="22"/>
              </w:rPr>
              <w:t>Chorea</w:t>
            </w:r>
            <w:proofErr w:type="spellEnd"/>
          </w:p>
        </w:tc>
        <w:tc>
          <w:tcPr>
            <w:tcW w:w="834" w:type="pct"/>
            <w:tcBorders>
              <w:top w:val="single" w:sz="4" w:space="0" w:color="auto"/>
              <w:left w:val="single" w:sz="4" w:space="0" w:color="auto"/>
              <w:bottom w:val="single" w:sz="4" w:space="0" w:color="auto"/>
              <w:right w:val="single" w:sz="4" w:space="0" w:color="auto"/>
            </w:tcBorders>
          </w:tcPr>
          <w:p w14:paraId="41E2BDD4" w14:textId="77777777" w:rsidR="001278EF" w:rsidRPr="00A20B96" w:rsidRDefault="001278EF" w:rsidP="00A20B96">
            <w:pPr>
              <w:rPr>
                <w:bCs/>
                <w:sz w:val="22"/>
                <w:szCs w:val="22"/>
              </w:rPr>
            </w:pPr>
          </w:p>
        </w:tc>
      </w:tr>
      <w:tr w:rsidR="001278EF" w:rsidRPr="00A20B96" w14:paraId="07A4CCAA" w14:textId="77777777" w:rsidTr="00132A95">
        <w:trPr>
          <w:trHeight w:val="1072"/>
        </w:trPr>
        <w:tc>
          <w:tcPr>
            <w:tcW w:w="834" w:type="pct"/>
            <w:tcBorders>
              <w:top w:val="single" w:sz="4" w:space="0" w:color="auto"/>
              <w:left w:val="single" w:sz="4" w:space="0" w:color="auto"/>
              <w:bottom w:val="single" w:sz="4" w:space="0" w:color="auto"/>
              <w:right w:val="single" w:sz="4" w:space="0" w:color="auto"/>
            </w:tcBorders>
            <w:hideMark/>
          </w:tcPr>
          <w:p w14:paraId="3B6F64DD" w14:textId="77777777" w:rsidR="001278EF" w:rsidRPr="00A20B96" w:rsidRDefault="001278EF" w:rsidP="00A20B96">
            <w:pPr>
              <w:rPr>
                <w:bCs/>
                <w:sz w:val="22"/>
                <w:szCs w:val="22"/>
              </w:rPr>
            </w:pPr>
            <w:r w:rsidRPr="00A20B96">
              <w:rPr>
                <w:bCs/>
                <w:sz w:val="22"/>
                <w:szCs w:val="22"/>
              </w:rPr>
              <w:t xml:space="preserve">Eye </w:t>
            </w:r>
            <w:proofErr w:type="spellStart"/>
            <w:r w:rsidRPr="00A20B96">
              <w:rPr>
                <w:bCs/>
                <w:sz w:val="22"/>
                <w:szCs w:val="22"/>
              </w:rPr>
              <w:t>disorders</w:t>
            </w:r>
            <w:proofErr w:type="spellEnd"/>
          </w:p>
        </w:tc>
        <w:tc>
          <w:tcPr>
            <w:tcW w:w="901" w:type="pct"/>
            <w:tcBorders>
              <w:top w:val="single" w:sz="4" w:space="0" w:color="auto"/>
              <w:left w:val="single" w:sz="4" w:space="0" w:color="auto"/>
              <w:bottom w:val="single" w:sz="4" w:space="0" w:color="auto"/>
              <w:right w:val="single" w:sz="4" w:space="0" w:color="auto"/>
            </w:tcBorders>
            <w:hideMark/>
          </w:tcPr>
          <w:p w14:paraId="3B7D43F5" w14:textId="77777777" w:rsidR="001278EF" w:rsidRPr="00A20B96" w:rsidRDefault="001278EF" w:rsidP="00A20B96">
            <w:pPr>
              <w:rPr>
                <w:bCs/>
                <w:sz w:val="22"/>
                <w:szCs w:val="22"/>
                <w:lang w:val="en-US"/>
              </w:rPr>
            </w:pPr>
            <w:r w:rsidRPr="00A20B96">
              <w:rPr>
                <w:bCs/>
                <w:sz w:val="22"/>
                <w:szCs w:val="22"/>
                <w:lang w:val="en-US"/>
              </w:rPr>
              <w:t>Ocular irritation when wearing contact lenses</w:t>
            </w:r>
          </w:p>
          <w:p w14:paraId="4FA4E765" w14:textId="77777777" w:rsidR="001278EF" w:rsidRPr="00A20B96" w:rsidRDefault="001278EF" w:rsidP="00A20B96">
            <w:pPr>
              <w:rPr>
                <w:bCs/>
                <w:sz w:val="22"/>
                <w:szCs w:val="22"/>
              </w:rPr>
            </w:pPr>
            <w:r w:rsidRPr="00A20B96">
              <w:rPr>
                <w:bCs/>
                <w:sz w:val="22"/>
                <w:szCs w:val="22"/>
              </w:rPr>
              <w:t xml:space="preserve">Visual </w:t>
            </w:r>
            <w:proofErr w:type="spellStart"/>
            <w:r w:rsidRPr="00A20B96">
              <w:rPr>
                <w:bCs/>
                <w:sz w:val="22"/>
                <w:szCs w:val="22"/>
              </w:rPr>
              <w:t>disturbances</w:t>
            </w:r>
            <w:proofErr w:type="spellEnd"/>
          </w:p>
        </w:tc>
        <w:tc>
          <w:tcPr>
            <w:tcW w:w="816" w:type="pct"/>
            <w:tcBorders>
              <w:top w:val="single" w:sz="4" w:space="0" w:color="auto"/>
              <w:left w:val="single" w:sz="4" w:space="0" w:color="auto"/>
              <w:bottom w:val="single" w:sz="4" w:space="0" w:color="auto"/>
              <w:right w:val="single" w:sz="4" w:space="0" w:color="auto"/>
            </w:tcBorders>
          </w:tcPr>
          <w:p w14:paraId="044DDBEC" w14:textId="77777777" w:rsidR="001278EF" w:rsidRPr="00A20B96" w:rsidRDefault="001278EF" w:rsidP="00A20B96">
            <w:pPr>
              <w:rPr>
                <w:bCs/>
                <w:sz w:val="22"/>
                <w:szCs w:val="22"/>
              </w:rPr>
            </w:pPr>
          </w:p>
        </w:tc>
        <w:tc>
          <w:tcPr>
            <w:tcW w:w="953" w:type="pct"/>
            <w:tcBorders>
              <w:top w:val="single" w:sz="4" w:space="0" w:color="auto"/>
              <w:left w:val="single" w:sz="4" w:space="0" w:color="auto"/>
              <w:bottom w:val="single" w:sz="4" w:space="0" w:color="auto"/>
              <w:right w:val="single" w:sz="4" w:space="0" w:color="auto"/>
            </w:tcBorders>
          </w:tcPr>
          <w:p w14:paraId="39FA9220" w14:textId="77777777" w:rsidR="001278EF" w:rsidRPr="00A20B96" w:rsidRDefault="001278EF" w:rsidP="00A20B96">
            <w:pPr>
              <w:rPr>
                <w:bCs/>
                <w:sz w:val="22"/>
                <w:szCs w:val="22"/>
              </w:rPr>
            </w:pPr>
          </w:p>
        </w:tc>
        <w:tc>
          <w:tcPr>
            <w:tcW w:w="663" w:type="pct"/>
            <w:tcBorders>
              <w:top w:val="single" w:sz="4" w:space="0" w:color="auto"/>
              <w:left w:val="single" w:sz="4" w:space="0" w:color="auto"/>
              <w:bottom w:val="single" w:sz="4" w:space="0" w:color="auto"/>
              <w:right w:val="single" w:sz="4" w:space="0" w:color="auto"/>
            </w:tcBorders>
          </w:tcPr>
          <w:p w14:paraId="6DB3A688" w14:textId="77777777" w:rsidR="001278EF" w:rsidRPr="00A20B96" w:rsidRDefault="001278EF" w:rsidP="00A20B96">
            <w:pPr>
              <w:jc w:val="center"/>
              <w:rPr>
                <w:sz w:val="22"/>
                <w:szCs w:val="22"/>
              </w:rPr>
            </w:pPr>
          </w:p>
        </w:tc>
        <w:tc>
          <w:tcPr>
            <w:tcW w:w="834" w:type="pct"/>
            <w:tcBorders>
              <w:top w:val="single" w:sz="4" w:space="0" w:color="auto"/>
              <w:left w:val="single" w:sz="4" w:space="0" w:color="auto"/>
              <w:bottom w:val="single" w:sz="4" w:space="0" w:color="auto"/>
              <w:right w:val="single" w:sz="4" w:space="0" w:color="auto"/>
            </w:tcBorders>
          </w:tcPr>
          <w:p w14:paraId="2008AB6A" w14:textId="77777777" w:rsidR="001278EF" w:rsidRPr="00A20B96" w:rsidRDefault="001278EF" w:rsidP="00A20B96">
            <w:pPr>
              <w:rPr>
                <w:bCs/>
                <w:sz w:val="22"/>
                <w:szCs w:val="22"/>
              </w:rPr>
            </w:pPr>
          </w:p>
        </w:tc>
      </w:tr>
      <w:tr w:rsidR="001278EF" w:rsidRPr="00A20B96" w14:paraId="0E173A37" w14:textId="77777777" w:rsidTr="00132A95">
        <w:trPr>
          <w:trHeight w:val="549"/>
        </w:trPr>
        <w:tc>
          <w:tcPr>
            <w:tcW w:w="834" w:type="pct"/>
            <w:tcBorders>
              <w:top w:val="single" w:sz="4" w:space="0" w:color="auto"/>
              <w:left w:val="single" w:sz="4" w:space="0" w:color="auto"/>
              <w:bottom w:val="single" w:sz="4" w:space="0" w:color="auto"/>
              <w:right w:val="single" w:sz="4" w:space="0" w:color="auto"/>
            </w:tcBorders>
            <w:hideMark/>
          </w:tcPr>
          <w:p w14:paraId="584C505A" w14:textId="77777777" w:rsidR="001278EF" w:rsidRPr="00A20B96" w:rsidRDefault="001278EF" w:rsidP="00A20B96">
            <w:pPr>
              <w:rPr>
                <w:bCs/>
                <w:sz w:val="22"/>
                <w:szCs w:val="22"/>
              </w:rPr>
            </w:pPr>
            <w:proofErr w:type="spellStart"/>
            <w:r w:rsidRPr="00A20B96">
              <w:rPr>
                <w:bCs/>
                <w:sz w:val="22"/>
                <w:szCs w:val="22"/>
              </w:rPr>
              <w:t>Ear</w:t>
            </w:r>
            <w:proofErr w:type="spellEnd"/>
            <w:r w:rsidRPr="00A20B96">
              <w:rPr>
                <w:bCs/>
                <w:sz w:val="22"/>
                <w:szCs w:val="22"/>
              </w:rPr>
              <w:t xml:space="preserve"> and </w:t>
            </w:r>
            <w:proofErr w:type="spellStart"/>
            <w:r w:rsidRPr="00A20B96">
              <w:rPr>
                <w:bCs/>
                <w:sz w:val="22"/>
                <w:szCs w:val="22"/>
              </w:rPr>
              <w:t>labyrinth</w:t>
            </w:r>
            <w:proofErr w:type="spellEnd"/>
            <w:r w:rsidRPr="00A20B96">
              <w:rPr>
                <w:bCs/>
                <w:sz w:val="22"/>
                <w:szCs w:val="22"/>
              </w:rPr>
              <w:t xml:space="preserve"> </w:t>
            </w:r>
            <w:proofErr w:type="spellStart"/>
            <w:r w:rsidRPr="00A20B96">
              <w:rPr>
                <w:bCs/>
                <w:sz w:val="22"/>
                <w:szCs w:val="22"/>
              </w:rPr>
              <w:t>disorders</w:t>
            </w:r>
            <w:proofErr w:type="spellEnd"/>
          </w:p>
        </w:tc>
        <w:tc>
          <w:tcPr>
            <w:tcW w:w="901" w:type="pct"/>
            <w:tcBorders>
              <w:top w:val="single" w:sz="4" w:space="0" w:color="auto"/>
              <w:left w:val="single" w:sz="4" w:space="0" w:color="auto"/>
              <w:bottom w:val="single" w:sz="4" w:space="0" w:color="auto"/>
              <w:right w:val="single" w:sz="4" w:space="0" w:color="auto"/>
            </w:tcBorders>
          </w:tcPr>
          <w:p w14:paraId="02B36830" w14:textId="77777777" w:rsidR="001278EF" w:rsidRPr="00A20B96" w:rsidRDefault="001278EF" w:rsidP="00A20B96">
            <w:pPr>
              <w:rPr>
                <w:bCs/>
                <w:sz w:val="22"/>
                <w:szCs w:val="22"/>
              </w:rPr>
            </w:pPr>
          </w:p>
        </w:tc>
        <w:tc>
          <w:tcPr>
            <w:tcW w:w="816" w:type="pct"/>
            <w:tcBorders>
              <w:top w:val="single" w:sz="4" w:space="0" w:color="auto"/>
              <w:left w:val="single" w:sz="4" w:space="0" w:color="auto"/>
              <w:bottom w:val="single" w:sz="4" w:space="0" w:color="auto"/>
              <w:right w:val="single" w:sz="4" w:space="0" w:color="auto"/>
            </w:tcBorders>
          </w:tcPr>
          <w:p w14:paraId="37B0A499" w14:textId="77777777" w:rsidR="001278EF" w:rsidRPr="00A20B96" w:rsidRDefault="001278EF" w:rsidP="00A20B96">
            <w:pPr>
              <w:rPr>
                <w:bCs/>
                <w:sz w:val="22"/>
                <w:szCs w:val="22"/>
              </w:rPr>
            </w:pPr>
          </w:p>
        </w:tc>
        <w:tc>
          <w:tcPr>
            <w:tcW w:w="953" w:type="pct"/>
            <w:tcBorders>
              <w:top w:val="single" w:sz="4" w:space="0" w:color="auto"/>
              <w:left w:val="single" w:sz="4" w:space="0" w:color="auto"/>
              <w:bottom w:val="single" w:sz="4" w:space="0" w:color="auto"/>
              <w:right w:val="single" w:sz="4" w:space="0" w:color="auto"/>
            </w:tcBorders>
            <w:hideMark/>
          </w:tcPr>
          <w:p w14:paraId="0EA74D0A" w14:textId="77777777" w:rsidR="001278EF" w:rsidRPr="00A20B96" w:rsidRDefault="001278EF" w:rsidP="00A20B96">
            <w:pPr>
              <w:rPr>
                <w:bCs/>
                <w:sz w:val="22"/>
                <w:szCs w:val="22"/>
              </w:rPr>
            </w:pPr>
            <w:proofErr w:type="spellStart"/>
            <w:r w:rsidRPr="00A20B96">
              <w:rPr>
                <w:bCs/>
                <w:sz w:val="22"/>
                <w:szCs w:val="22"/>
              </w:rPr>
              <w:t>Otosclerosis</w:t>
            </w:r>
            <w:proofErr w:type="spellEnd"/>
          </w:p>
        </w:tc>
        <w:tc>
          <w:tcPr>
            <w:tcW w:w="663" w:type="pct"/>
            <w:tcBorders>
              <w:top w:val="single" w:sz="4" w:space="0" w:color="auto"/>
              <w:left w:val="single" w:sz="4" w:space="0" w:color="auto"/>
              <w:bottom w:val="single" w:sz="4" w:space="0" w:color="auto"/>
              <w:right w:val="single" w:sz="4" w:space="0" w:color="auto"/>
            </w:tcBorders>
          </w:tcPr>
          <w:p w14:paraId="43433FBD" w14:textId="77777777" w:rsidR="001278EF" w:rsidRPr="00A20B96" w:rsidRDefault="001278EF" w:rsidP="00A20B96">
            <w:pPr>
              <w:rPr>
                <w:bCs/>
                <w:sz w:val="22"/>
                <w:szCs w:val="22"/>
              </w:rPr>
            </w:pPr>
          </w:p>
        </w:tc>
        <w:tc>
          <w:tcPr>
            <w:tcW w:w="834" w:type="pct"/>
            <w:tcBorders>
              <w:top w:val="single" w:sz="4" w:space="0" w:color="auto"/>
              <w:left w:val="single" w:sz="4" w:space="0" w:color="auto"/>
              <w:bottom w:val="single" w:sz="4" w:space="0" w:color="auto"/>
              <w:right w:val="single" w:sz="4" w:space="0" w:color="auto"/>
            </w:tcBorders>
          </w:tcPr>
          <w:p w14:paraId="05F11DF7" w14:textId="77777777" w:rsidR="001278EF" w:rsidRPr="00A20B96" w:rsidRDefault="001278EF" w:rsidP="00A20B96">
            <w:pPr>
              <w:rPr>
                <w:bCs/>
                <w:sz w:val="22"/>
                <w:szCs w:val="22"/>
              </w:rPr>
            </w:pPr>
          </w:p>
        </w:tc>
      </w:tr>
      <w:tr w:rsidR="001278EF" w:rsidRPr="00A20B96" w14:paraId="6D0F4D55" w14:textId="77777777" w:rsidTr="00132A95">
        <w:trPr>
          <w:trHeight w:val="500"/>
        </w:trPr>
        <w:tc>
          <w:tcPr>
            <w:tcW w:w="834" w:type="pct"/>
            <w:tcBorders>
              <w:top w:val="single" w:sz="4" w:space="0" w:color="auto"/>
              <w:left w:val="single" w:sz="4" w:space="0" w:color="auto"/>
              <w:bottom w:val="single" w:sz="4" w:space="0" w:color="auto"/>
              <w:right w:val="single" w:sz="4" w:space="0" w:color="auto"/>
            </w:tcBorders>
            <w:hideMark/>
          </w:tcPr>
          <w:p w14:paraId="2C210D46" w14:textId="77777777" w:rsidR="001278EF" w:rsidRPr="00A20B96" w:rsidRDefault="001278EF" w:rsidP="00A20B96">
            <w:pPr>
              <w:rPr>
                <w:bCs/>
                <w:sz w:val="22"/>
                <w:szCs w:val="22"/>
              </w:rPr>
            </w:pPr>
            <w:proofErr w:type="spellStart"/>
            <w:r w:rsidRPr="00A20B96">
              <w:rPr>
                <w:bCs/>
                <w:sz w:val="22"/>
                <w:szCs w:val="22"/>
              </w:rPr>
              <w:t>Gastrointestinal</w:t>
            </w:r>
            <w:proofErr w:type="spellEnd"/>
            <w:r w:rsidRPr="00A20B96">
              <w:rPr>
                <w:bCs/>
                <w:sz w:val="22"/>
                <w:szCs w:val="22"/>
              </w:rPr>
              <w:t xml:space="preserve"> </w:t>
            </w:r>
            <w:proofErr w:type="spellStart"/>
            <w:r w:rsidRPr="00A20B96">
              <w:rPr>
                <w:bCs/>
                <w:sz w:val="22"/>
                <w:szCs w:val="22"/>
              </w:rPr>
              <w:t>disorders</w:t>
            </w:r>
            <w:proofErr w:type="spellEnd"/>
          </w:p>
        </w:tc>
        <w:tc>
          <w:tcPr>
            <w:tcW w:w="901" w:type="pct"/>
            <w:tcBorders>
              <w:top w:val="single" w:sz="4" w:space="0" w:color="auto"/>
              <w:left w:val="single" w:sz="4" w:space="0" w:color="auto"/>
              <w:bottom w:val="single" w:sz="4" w:space="0" w:color="auto"/>
              <w:right w:val="single" w:sz="4" w:space="0" w:color="auto"/>
            </w:tcBorders>
          </w:tcPr>
          <w:p w14:paraId="26A0D46A" w14:textId="08299455" w:rsidR="001278EF" w:rsidRPr="00A20B96" w:rsidRDefault="001278EF" w:rsidP="00A20B96">
            <w:pPr>
              <w:rPr>
                <w:bCs/>
                <w:sz w:val="22"/>
                <w:szCs w:val="22"/>
              </w:rPr>
            </w:pPr>
            <w:proofErr w:type="spellStart"/>
            <w:r w:rsidRPr="00A20B96">
              <w:rPr>
                <w:bCs/>
                <w:sz w:val="22"/>
                <w:szCs w:val="22"/>
              </w:rPr>
              <w:t>Nausea</w:t>
            </w:r>
            <w:proofErr w:type="spellEnd"/>
          </w:p>
        </w:tc>
        <w:tc>
          <w:tcPr>
            <w:tcW w:w="816" w:type="pct"/>
            <w:tcBorders>
              <w:top w:val="single" w:sz="4" w:space="0" w:color="auto"/>
              <w:left w:val="single" w:sz="4" w:space="0" w:color="auto"/>
              <w:bottom w:val="single" w:sz="4" w:space="0" w:color="auto"/>
              <w:right w:val="single" w:sz="4" w:space="0" w:color="auto"/>
            </w:tcBorders>
          </w:tcPr>
          <w:p w14:paraId="751A698E" w14:textId="3E2C3122" w:rsidR="001278EF" w:rsidRPr="00A20B96" w:rsidRDefault="001278EF" w:rsidP="00A20B96">
            <w:pPr>
              <w:rPr>
                <w:bCs/>
                <w:sz w:val="22"/>
                <w:szCs w:val="22"/>
              </w:rPr>
            </w:pPr>
            <w:proofErr w:type="spellStart"/>
            <w:r w:rsidRPr="00A20B96">
              <w:rPr>
                <w:bCs/>
                <w:sz w:val="22"/>
                <w:szCs w:val="22"/>
              </w:rPr>
              <w:t>Vomiting</w:t>
            </w:r>
            <w:proofErr w:type="spellEnd"/>
          </w:p>
        </w:tc>
        <w:tc>
          <w:tcPr>
            <w:tcW w:w="953" w:type="pct"/>
            <w:tcBorders>
              <w:top w:val="single" w:sz="4" w:space="0" w:color="auto"/>
              <w:left w:val="single" w:sz="4" w:space="0" w:color="auto"/>
              <w:bottom w:val="single" w:sz="4" w:space="0" w:color="auto"/>
              <w:right w:val="single" w:sz="4" w:space="0" w:color="auto"/>
            </w:tcBorders>
          </w:tcPr>
          <w:p w14:paraId="5142D9E8" w14:textId="4065BE4B" w:rsidR="001278EF" w:rsidRPr="00A20B96" w:rsidRDefault="001278EF" w:rsidP="00A20B96">
            <w:pPr>
              <w:rPr>
                <w:bCs/>
                <w:sz w:val="22"/>
                <w:szCs w:val="22"/>
              </w:rPr>
            </w:pPr>
            <w:proofErr w:type="spellStart"/>
            <w:r w:rsidRPr="00A20B96">
              <w:rPr>
                <w:bCs/>
                <w:sz w:val="22"/>
                <w:szCs w:val="22"/>
              </w:rPr>
              <w:t>Cholelithiasis</w:t>
            </w:r>
            <w:proofErr w:type="spellEnd"/>
          </w:p>
        </w:tc>
        <w:tc>
          <w:tcPr>
            <w:tcW w:w="663" w:type="pct"/>
            <w:tcBorders>
              <w:top w:val="single" w:sz="4" w:space="0" w:color="auto"/>
              <w:left w:val="single" w:sz="4" w:space="0" w:color="auto"/>
              <w:bottom w:val="single" w:sz="4" w:space="0" w:color="auto"/>
              <w:right w:val="single" w:sz="4" w:space="0" w:color="auto"/>
            </w:tcBorders>
            <w:hideMark/>
          </w:tcPr>
          <w:p w14:paraId="0CAE863B" w14:textId="77777777" w:rsidR="001278EF" w:rsidRPr="00A20B96" w:rsidRDefault="001278EF" w:rsidP="00A20B96">
            <w:pPr>
              <w:rPr>
                <w:bCs/>
                <w:sz w:val="22"/>
                <w:szCs w:val="22"/>
              </w:rPr>
            </w:pPr>
            <w:proofErr w:type="spellStart"/>
            <w:r w:rsidRPr="00A20B96">
              <w:rPr>
                <w:bCs/>
                <w:sz w:val="22"/>
                <w:szCs w:val="22"/>
              </w:rPr>
              <w:t>Pancreatitis</w:t>
            </w:r>
            <w:proofErr w:type="spellEnd"/>
          </w:p>
        </w:tc>
        <w:tc>
          <w:tcPr>
            <w:tcW w:w="834" w:type="pct"/>
            <w:tcBorders>
              <w:top w:val="single" w:sz="4" w:space="0" w:color="auto"/>
              <w:left w:val="single" w:sz="4" w:space="0" w:color="auto"/>
              <w:bottom w:val="single" w:sz="4" w:space="0" w:color="auto"/>
              <w:right w:val="single" w:sz="4" w:space="0" w:color="auto"/>
            </w:tcBorders>
          </w:tcPr>
          <w:p w14:paraId="1E603CF5" w14:textId="77777777" w:rsidR="001278EF" w:rsidRPr="00A20B96" w:rsidRDefault="001278EF" w:rsidP="00A20B96">
            <w:pPr>
              <w:rPr>
                <w:bCs/>
                <w:sz w:val="22"/>
                <w:szCs w:val="22"/>
              </w:rPr>
            </w:pPr>
          </w:p>
        </w:tc>
      </w:tr>
      <w:tr w:rsidR="001278EF" w:rsidRPr="00A20B96" w14:paraId="011DFB54" w14:textId="77777777" w:rsidTr="00132A95">
        <w:trPr>
          <w:trHeight w:val="750"/>
        </w:trPr>
        <w:tc>
          <w:tcPr>
            <w:tcW w:w="834" w:type="pct"/>
            <w:tcBorders>
              <w:top w:val="single" w:sz="4" w:space="0" w:color="auto"/>
              <w:left w:val="single" w:sz="4" w:space="0" w:color="auto"/>
              <w:bottom w:val="single" w:sz="4" w:space="0" w:color="auto"/>
              <w:right w:val="single" w:sz="4" w:space="0" w:color="auto"/>
            </w:tcBorders>
            <w:hideMark/>
          </w:tcPr>
          <w:p w14:paraId="7F1696E8" w14:textId="77777777" w:rsidR="001278EF" w:rsidRPr="00A20B96" w:rsidRDefault="001278EF" w:rsidP="00A20B96">
            <w:pPr>
              <w:rPr>
                <w:bCs/>
                <w:sz w:val="22"/>
                <w:szCs w:val="22"/>
                <w:lang w:val="en-US"/>
              </w:rPr>
            </w:pPr>
            <w:r w:rsidRPr="00A20B96">
              <w:rPr>
                <w:bCs/>
                <w:sz w:val="22"/>
                <w:szCs w:val="22"/>
                <w:lang w:val="en-US"/>
              </w:rPr>
              <w:t>Skin and Subcutaneous tissue disorders</w:t>
            </w:r>
          </w:p>
        </w:tc>
        <w:tc>
          <w:tcPr>
            <w:tcW w:w="901" w:type="pct"/>
            <w:tcBorders>
              <w:top w:val="single" w:sz="4" w:space="0" w:color="auto"/>
              <w:left w:val="single" w:sz="4" w:space="0" w:color="auto"/>
              <w:bottom w:val="single" w:sz="4" w:space="0" w:color="auto"/>
              <w:right w:val="single" w:sz="4" w:space="0" w:color="auto"/>
            </w:tcBorders>
          </w:tcPr>
          <w:p w14:paraId="7358D1CA" w14:textId="1A420E07" w:rsidR="001278EF" w:rsidRPr="00A20B96" w:rsidRDefault="001278EF" w:rsidP="00A20B96">
            <w:pPr>
              <w:rPr>
                <w:bCs/>
                <w:sz w:val="22"/>
                <w:szCs w:val="22"/>
              </w:rPr>
            </w:pPr>
            <w:proofErr w:type="spellStart"/>
            <w:r w:rsidRPr="00A20B96">
              <w:rPr>
                <w:bCs/>
                <w:sz w:val="22"/>
                <w:szCs w:val="22"/>
              </w:rPr>
              <w:t>Acne</w:t>
            </w:r>
            <w:proofErr w:type="spellEnd"/>
          </w:p>
        </w:tc>
        <w:tc>
          <w:tcPr>
            <w:tcW w:w="816" w:type="pct"/>
            <w:tcBorders>
              <w:top w:val="single" w:sz="4" w:space="0" w:color="auto"/>
              <w:left w:val="single" w:sz="4" w:space="0" w:color="auto"/>
              <w:bottom w:val="single" w:sz="4" w:space="0" w:color="auto"/>
              <w:right w:val="single" w:sz="4" w:space="0" w:color="auto"/>
            </w:tcBorders>
          </w:tcPr>
          <w:p w14:paraId="3175276C" w14:textId="77777777" w:rsidR="001278EF" w:rsidRPr="00A20B96" w:rsidRDefault="001278EF" w:rsidP="00A20B96">
            <w:pPr>
              <w:rPr>
                <w:bCs/>
                <w:sz w:val="22"/>
                <w:szCs w:val="22"/>
              </w:rPr>
            </w:pPr>
          </w:p>
        </w:tc>
        <w:tc>
          <w:tcPr>
            <w:tcW w:w="953" w:type="pct"/>
            <w:tcBorders>
              <w:top w:val="single" w:sz="4" w:space="0" w:color="auto"/>
              <w:left w:val="single" w:sz="4" w:space="0" w:color="auto"/>
              <w:bottom w:val="single" w:sz="4" w:space="0" w:color="auto"/>
              <w:right w:val="single" w:sz="4" w:space="0" w:color="auto"/>
            </w:tcBorders>
            <w:hideMark/>
          </w:tcPr>
          <w:p w14:paraId="76762995" w14:textId="77777777" w:rsidR="001278EF" w:rsidRPr="00A20B96" w:rsidRDefault="001278EF" w:rsidP="00A20B96">
            <w:pPr>
              <w:rPr>
                <w:bCs/>
                <w:sz w:val="22"/>
                <w:szCs w:val="22"/>
              </w:rPr>
            </w:pPr>
            <w:proofErr w:type="spellStart"/>
            <w:r w:rsidRPr="00A20B96">
              <w:rPr>
                <w:bCs/>
                <w:sz w:val="22"/>
                <w:szCs w:val="22"/>
              </w:rPr>
              <w:t>Chloasma</w:t>
            </w:r>
            <w:proofErr w:type="spellEnd"/>
          </w:p>
        </w:tc>
        <w:tc>
          <w:tcPr>
            <w:tcW w:w="663" w:type="pct"/>
            <w:tcBorders>
              <w:top w:val="single" w:sz="4" w:space="0" w:color="auto"/>
              <w:left w:val="single" w:sz="4" w:space="0" w:color="auto"/>
              <w:bottom w:val="single" w:sz="4" w:space="0" w:color="auto"/>
              <w:right w:val="single" w:sz="4" w:space="0" w:color="auto"/>
            </w:tcBorders>
          </w:tcPr>
          <w:p w14:paraId="2E2620AE" w14:textId="77777777" w:rsidR="001278EF" w:rsidRPr="00A20B96" w:rsidRDefault="001278EF" w:rsidP="00A20B96">
            <w:pPr>
              <w:rPr>
                <w:bCs/>
                <w:sz w:val="22"/>
                <w:szCs w:val="22"/>
              </w:rPr>
            </w:pPr>
          </w:p>
        </w:tc>
        <w:tc>
          <w:tcPr>
            <w:tcW w:w="834" w:type="pct"/>
            <w:tcBorders>
              <w:top w:val="single" w:sz="4" w:space="0" w:color="auto"/>
              <w:left w:val="single" w:sz="4" w:space="0" w:color="auto"/>
              <w:bottom w:val="single" w:sz="4" w:space="0" w:color="auto"/>
              <w:right w:val="single" w:sz="4" w:space="0" w:color="auto"/>
            </w:tcBorders>
          </w:tcPr>
          <w:p w14:paraId="07C08E41" w14:textId="77777777" w:rsidR="001278EF" w:rsidRPr="00A20B96" w:rsidRDefault="001278EF" w:rsidP="00A20B96">
            <w:pPr>
              <w:rPr>
                <w:bCs/>
                <w:sz w:val="22"/>
                <w:szCs w:val="22"/>
              </w:rPr>
            </w:pPr>
          </w:p>
        </w:tc>
      </w:tr>
      <w:tr w:rsidR="001278EF" w:rsidRPr="00A20B96" w14:paraId="6787AD64" w14:textId="77777777" w:rsidTr="00132A95">
        <w:trPr>
          <w:trHeight w:val="519"/>
        </w:trPr>
        <w:tc>
          <w:tcPr>
            <w:tcW w:w="834" w:type="pct"/>
            <w:tcBorders>
              <w:top w:val="single" w:sz="4" w:space="0" w:color="auto"/>
              <w:left w:val="single" w:sz="4" w:space="0" w:color="auto"/>
              <w:bottom w:val="single" w:sz="4" w:space="0" w:color="auto"/>
              <w:right w:val="single" w:sz="4" w:space="0" w:color="auto"/>
            </w:tcBorders>
            <w:hideMark/>
          </w:tcPr>
          <w:p w14:paraId="763F8354" w14:textId="77777777" w:rsidR="001278EF" w:rsidRPr="00A20B96" w:rsidRDefault="001278EF" w:rsidP="00A20B96">
            <w:pPr>
              <w:rPr>
                <w:bCs/>
                <w:sz w:val="22"/>
                <w:szCs w:val="22"/>
              </w:rPr>
            </w:pPr>
            <w:proofErr w:type="spellStart"/>
            <w:r w:rsidRPr="00A20B96">
              <w:rPr>
                <w:bCs/>
                <w:sz w:val="22"/>
                <w:szCs w:val="22"/>
              </w:rPr>
              <w:t>Metabolism</w:t>
            </w:r>
            <w:proofErr w:type="spellEnd"/>
            <w:r w:rsidRPr="00A20B96">
              <w:rPr>
                <w:bCs/>
                <w:sz w:val="22"/>
                <w:szCs w:val="22"/>
              </w:rPr>
              <w:t xml:space="preserve"> and </w:t>
            </w:r>
            <w:proofErr w:type="spellStart"/>
            <w:r w:rsidRPr="00A20B96">
              <w:rPr>
                <w:bCs/>
                <w:sz w:val="22"/>
                <w:szCs w:val="22"/>
              </w:rPr>
              <w:t>nutrition</w:t>
            </w:r>
            <w:proofErr w:type="spellEnd"/>
            <w:r w:rsidRPr="00A20B96">
              <w:rPr>
                <w:bCs/>
                <w:sz w:val="22"/>
                <w:szCs w:val="22"/>
              </w:rPr>
              <w:t xml:space="preserve"> </w:t>
            </w:r>
            <w:proofErr w:type="spellStart"/>
            <w:r w:rsidRPr="00A20B96">
              <w:rPr>
                <w:bCs/>
                <w:sz w:val="22"/>
                <w:szCs w:val="22"/>
              </w:rPr>
              <w:t>disorders</w:t>
            </w:r>
            <w:proofErr w:type="spellEnd"/>
          </w:p>
        </w:tc>
        <w:tc>
          <w:tcPr>
            <w:tcW w:w="901" w:type="pct"/>
            <w:tcBorders>
              <w:top w:val="single" w:sz="4" w:space="0" w:color="auto"/>
              <w:left w:val="single" w:sz="4" w:space="0" w:color="auto"/>
              <w:bottom w:val="single" w:sz="4" w:space="0" w:color="auto"/>
              <w:right w:val="single" w:sz="4" w:space="0" w:color="auto"/>
            </w:tcBorders>
          </w:tcPr>
          <w:p w14:paraId="7D9E2819" w14:textId="77777777" w:rsidR="001278EF" w:rsidRPr="00A20B96" w:rsidRDefault="001278EF" w:rsidP="00A20B96">
            <w:pPr>
              <w:rPr>
                <w:bCs/>
                <w:sz w:val="22"/>
                <w:szCs w:val="22"/>
              </w:rPr>
            </w:pPr>
          </w:p>
        </w:tc>
        <w:tc>
          <w:tcPr>
            <w:tcW w:w="816" w:type="pct"/>
            <w:tcBorders>
              <w:top w:val="single" w:sz="4" w:space="0" w:color="auto"/>
              <w:left w:val="single" w:sz="4" w:space="0" w:color="auto"/>
              <w:bottom w:val="single" w:sz="4" w:space="0" w:color="auto"/>
              <w:right w:val="single" w:sz="4" w:space="0" w:color="auto"/>
            </w:tcBorders>
            <w:hideMark/>
          </w:tcPr>
          <w:p w14:paraId="377532C1" w14:textId="77777777" w:rsidR="001278EF" w:rsidRPr="00A20B96" w:rsidRDefault="001278EF" w:rsidP="00A20B96">
            <w:pPr>
              <w:rPr>
                <w:bCs/>
                <w:sz w:val="22"/>
                <w:szCs w:val="22"/>
              </w:rPr>
            </w:pPr>
            <w:proofErr w:type="spellStart"/>
            <w:r w:rsidRPr="00A20B96">
              <w:rPr>
                <w:bCs/>
                <w:sz w:val="22"/>
                <w:szCs w:val="22"/>
              </w:rPr>
              <w:t>Hyperlipidaemia</w:t>
            </w:r>
            <w:proofErr w:type="spellEnd"/>
          </w:p>
        </w:tc>
        <w:tc>
          <w:tcPr>
            <w:tcW w:w="953" w:type="pct"/>
            <w:tcBorders>
              <w:top w:val="single" w:sz="4" w:space="0" w:color="auto"/>
              <w:left w:val="single" w:sz="4" w:space="0" w:color="auto"/>
              <w:bottom w:val="single" w:sz="4" w:space="0" w:color="auto"/>
              <w:right w:val="single" w:sz="4" w:space="0" w:color="auto"/>
            </w:tcBorders>
          </w:tcPr>
          <w:p w14:paraId="2628F0B4" w14:textId="77777777" w:rsidR="001278EF" w:rsidRPr="00A20B96" w:rsidRDefault="001278EF" w:rsidP="00A20B96">
            <w:pPr>
              <w:rPr>
                <w:bCs/>
                <w:sz w:val="22"/>
                <w:szCs w:val="22"/>
              </w:rPr>
            </w:pPr>
          </w:p>
        </w:tc>
        <w:tc>
          <w:tcPr>
            <w:tcW w:w="663" w:type="pct"/>
            <w:tcBorders>
              <w:top w:val="single" w:sz="4" w:space="0" w:color="auto"/>
              <w:left w:val="single" w:sz="4" w:space="0" w:color="auto"/>
              <w:bottom w:val="single" w:sz="4" w:space="0" w:color="auto"/>
              <w:right w:val="single" w:sz="4" w:space="0" w:color="auto"/>
            </w:tcBorders>
          </w:tcPr>
          <w:p w14:paraId="0BA6F406" w14:textId="77777777" w:rsidR="001278EF" w:rsidRPr="00A20B96" w:rsidRDefault="001278EF" w:rsidP="00A20B96">
            <w:pPr>
              <w:rPr>
                <w:bCs/>
                <w:sz w:val="22"/>
                <w:szCs w:val="22"/>
              </w:rPr>
            </w:pPr>
          </w:p>
        </w:tc>
        <w:tc>
          <w:tcPr>
            <w:tcW w:w="834" w:type="pct"/>
            <w:tcBorders>
              <w:top w:val="single" w:sz="4" w:space="0" w:color="auto"/>
              <w:left w:val="single" w:sz="4" w:space="0" w:color="auto"/>
              <w:bottom w:val="single" w:sz="4" w:space="0" w:color="auto"/>
              <w:right w:val="single" w:sz="4" w:space="0" w:color="auto"/>
            </w:tcBorders>
          </w:tcPr>
          <w:p w14:paraId="1EEC3A5C" w14:textId="77777777" w:rsidR="001278EF" w:rsidRPr="00A20B96" w:rsidRDefault="001278EF" w:rsidP="00A20B96">
            <w:pPr>
              <w:rPr>
                <w:bCs/>
                <w:sz w:val="22"/>
                <w:szCs w:val="22"/>
              </w:rPr>
            </w:pPr>
          </w:p>
        </w:tc>
      </w:tr>
      <w:tr w:rsidR="001278EF" w:rsidRPr="00942773" w14:paraId="40FBC079" w14:textId="77777777" w:rsidTr="00132A95">
        <w:trPr>
          <w:trHeight w:val="1277"/>
        </w:trPr>
        <w:tc>
          <w:tcPr>
            <w:tcW w:w="834" w:type="pct"/>
            <w:tcBorders>
              <w:top w:val="single" w:sz="4" w:space="0" w:color="auto"/>
              <w:left w:val="single" w:sz="4" w:space="0" w:color="auto"/>
              <w:bottom w:val="single" w:sz="4" w:space="0" w:color="auto"/>
              <w:right w:val="single" w:sz="4" w:space="0" w:color="auto"/>
            </w:tcBorders>
            <w:hideMark/>
          </w:tcPr>
          <w:p w14:paraId="5B13CA97" w14:textId="77777777" w:rsidR="001278EF" w:rsidRPr="00A20B96" w:rsidRDefault="001278EF" w:rsidP="00A20B96">
            <w:pPr>
              <w:rPr>
                <w:bCs/>
                <w:sz w:val="22"/>
                <w:szCs w:val="22"/>
              </w:rPr>
            </w:pPr>
            <w:proofErr w:type="spellStart"/>
            <w:r w:rsidRPr="00A20B96">
              <w:rPr>
                <w:bCs/>
                <w:sz w:val="22"/>
                <w:szCs w:val="22"/>
              </w:rPr>
              <w:t>Vascular</w:t>
            </w:r>
            <w:proofErr w:type="spellEnd"/>
            <w:r w:rsidRPr="00A20B96">
              <w:rPr>
                <w:bCs/>
                <w:sz w:val="22"/>
                <w:szCs w:val="22"/>
              </w:rPr>
              <w:t xml:space="preserve"> </w:t>
            </w:r>
            <w:proofErr w:type="spellStart"/>
            <w:r w:rsidRPr="00A20B96">
              <w:rPr>
                <w:bCs/>
                <w:sz w:val="22"/>
                <w:szCs w:val="22"/>
              </w:rPr>
              <w:t>disorders</w:t>
            </w:r>
            <w:proofErr w:type="spellEnd"/>
          </w:p>
        </w:tc>
        <w:tc>
          <w:tcPr>
            <w:tcW w:w="901" w:type="pct"/>
            <w:tcBorders>
              <w:top w:val="single" w:sz="4" w:space="0" w:color="auto"/>
              <w:left w:val="single" w:sz="4" w:space="0" w:color="auto"/>
              <w:bottom w:val="single" w:sz="4" w:space="0" w:color="auto"/>
              <w:right w:val="single" w:sz="4" w:space="0" w:color="auto"/>
            </w:tcBorders>
            <w:hideMark/>
          </w:tcPr>
          <w:p w14:paraId="214FE6F6" w14:textId="77777777" w:rsidR="001278EF" w:rsidRPr="00A20B96" w:rsidRDefault="001278EF" w:rsidP="00A20B96">
            <w:pPr>
              <w:rPr>
                <w:bCs/>
                <w:sz w:val="22"/>
                <w:szCs w:val="22"/>
              </w:rPr>
            </w:pPr>
            <w:proofErr w:type="spellStart"/>
            <w:r w:rsidRPr="00A20B96">
              <w:rPr>
                <w:bCs/>
                <w:sz w:val="22"/>
                <w:szCs w:val="22"/>
              </w:rPr>
              <w:t>Migraine</w:t>
            </w:r>
            <w:proofErr w:type="spellEnd"/>
          </w:p>
        </w:tc>
        <w:tc>
          <w:tcPr>
            <w:tcW w:w="816" w:type="pct"/>
            <w:tcBorders>
              <w:top w:val="single" w:sz="4" w:space="0" w:color="auto"/>
              <w:left w:val="single" w:sz="4" w:space="0" w:color="auto"/>
              <w:bottom w:val="single" w:sz="4" w:space="0" w:color="auto"/>
              <w:right w:val="single" w:sz="4" w:space="0" w:color="auto"/>
            </w:tcBorders>
          </w:tcPr>
          <w:p w14:paraId="19F4E9A8" w14:textId="0A0794AC" w:rsidR="001278EF" w:rsidRPr="00A20B96" w:rsidRDefault="001278EF" w:rsidP="00A20B96">
            <w:pPr>
              <w:rPr>
                <w:bCs/>
                <w:sz w:val="22"/>
                <w:szCs w:val="22"/>
              </w:rPr>
            </w:pPr>
            <w:r w:rsidRPr="00A20B96">
              <w:rPr>
                <w:bCs/>
                <w:sz w:val="22"/>
                <w:szCs w:val="22"/>
              </w:rPr>
              <w:t>Hypertension</w:t>
            </w:r>
          </w:p>
        </w:tc>
        <w:tc>
          <w:tcPr>
            <w:tcW w:w="953" w:type="pct"/>
            <w:tcBorders>
              <w:top w:val="single" w:sz="4" w:space="0" w:color="auto"/>
              <w:left w:val="single" w:sz="4" w:space="0" w:color="auto"/>
              <w:bottom w:val="single" w:sz="4" w:space="0" w:color="auto"/>
              <w:right w:val="single" w:sz="4" w:space="0" w:color="auto"/>
            </w:tcBorders>
            <w:hideMark/>
          </w:tcPr>
          <w:p w14:paraId="63B486DB" w14:textId="77777777" w:rsidR="001278EF" w:rsidRPr="00A20B96" w:rsidRDefault="001278EF" w:rsidP="00A20B96">
            <w:pPr>
              <w:rPr>
                <w:bCs/>
                <w:sz w:val="22"/>
                <w:szCs w:val="22"/>
                <w:lang w:val="en-US"/>
              </w:rPr>
            </w:pPr>
            <w:r w:rsidRPr="00A20B96">
              <w:rPr>
                <w:bCs/>
                <w:sz w:val="22"/>
                <w:szCs w:val="22"/>
                <w:lang w:val="en-US"/>
              </w:rPr>
              <w:t>Venous thromboembolism</w:t>
            </w:r>
          </w:p>
          <w:p w14:paraId="1FA65B93" w14:textId="77777777" w:rsidR="001278EF" w:rsidRPr="00A20B96" w:rsidRDefault="001278EF" w:rsidP="00A20B96">
            <w:pPr>
              <w:rPr>
                <w:bCs/>
                <w:sz w:val="22"/>
                <w:szCs w:val="22"/>
                <w:lang w:val="en-US"/>
              </w:rPr>
            </w:pPr>
            <w:r w:rsidRPr="00A20B96">
              <w:rPr>
                <w:bCs/>
                <w:sz w:val="22"/>
                <w:szCs w:val="22"/>
                <w:lang w:val="en-US"/>
              </w:rPr>
              <w:t>Arterial thromboembolic disorders</w:t>
            </w:r>
          </w:p>
        </w:tc>
        <w:tc>
          <w:tcPr>
            <w:tcW w:w="663" w:type="pct"/>
            <w:tcBorders>
              <w:top w:val="single" w:sz="4" w:space="0" w:color="auto"/>
              <w:left w:val="single" w:sz="4" w:space="0" w:color="auto"/>
              <w:bottom w:val="single" w:sz="4" w:space="0" w:color="auto"/>
              <w:right w:val="single" w:sz="4" w:space="0" w:color="auto"/>
            </w:tcBorders>
          </w:tcPr>
          <w:p w14:paraId="4C13CBFA" w14:textId="77777777" w:rsidR="001278EF" w:rsidRPr="00A20B96" w:rsidRDefault="001278EF" w:rsidP="00A20B96">
            <w:pPr>
              <w:rPr>
                <w:bCs/>
                <w:sz w:val="22"/>
                <w:szCs w:val="22"/>
                <w:lang w:val="en-US"/>
              </w:rPr>
            </w:pPr>
          </w:p>
        </w:tc>
        <w:tc>
          <w:tcPr>
            <w:tcW w:w="834" w:type="pct"/>
            <w:tcBorders>
              <w:top w:val="single" w:sz="4" w:space="0" w:color="auto"/>
              <w:left w:val="single" w:sz="4" w:space="0" w:color="auto"/>
              <w:bottom w:val="single" w:sz="4" w:space="0" w:color="auto"/>
              <w:right w:val="single" w:sz="4" w:space="0" w:color="auto"/>
            </w:tcBorders>
          </w:tcPr>
          <w:p w14:paraId="2E850ACA" w14:textId="77777777" w:rsidR="001278EF" w:rsidRPr="00A20B96" w:rsidRDefault="001278EF" w:rsidP="00A20B96">
            <w:pPr>
              <w:rPr>
                <w:bCs/>
                <w:sz w:val="22"/>
                <w:szCs w:val="22"/>
                <w:lang w:val="en-US"/>
              </w:rPr>
            </w:pPr>
          </w:p>
        </w:tc>
      </w:tr>
      <w:tr w:rsidR="001278EF" w:rsidRPr="00A20B96" w14:paraId="5797674B" w14:textId="77777777" w:rsidTr="00132A95">
        <w:trPr>
          <w:trHeight w:val="801"/>
        </w:trPr>
        <w:tc>
          <w:tcPr>
            <w:tcW w:w="834" w:type="pct"/>
            <w:tcBorders>
              <w:top w:val="single" w:sz="4" w:space="0" w:color="auto"/>
              <w:left w:val="single" w:sz="4" w:space="0" w:color="auto"/>
              <w:bottom w:val="single" w:sz="4" w:space="0" w:color="auto"/>
              <w:right w:val="single" w:sz="4" w:space="0" w:color="auto"/>
            </w:tcBorders>
            <w:hideMark/>
          </w:tcPr>
          <w:p w14:paraId="1513BAAD" w14:textId="77777777" w:rsidR="001278EF" w:rsidRPr="00A20B96" w:rsidRDefault="001278EF" w:rsidP="00A20B96">
            <w:pPr>
              <w:rPr>
                <w:bCs/>
                <w:sz w:val="22"/>
                <w:szCs w:val="22"/>
                <w:lang w:val="en-US"/>
              </w:rPr>
            </w:pPr>
            <w:r w:rsidRPr="00A20B96">
              <w:rPr>
                <w:bCs/>
                <w:sz w:val="22"/>
                <w:szCs w:val="22"/>
                <w:lang w:val="en-US"/>
              </w:rPr>
              <w:t xml:space="preserve">General disorders and administration site conditions </w:t>
            </w:r>
          </w:p>
        </w:tc>
        <w:tc>
          <w:tcPr>
            <w:tcW w:w="901" w:type="pct"/>
            <w:tcBorders>
              <w:top w:val="single" w:sz="4" w:space="0" w:color="auto"/>
              <w:left w:val="single" w:sz="4" w:space="0" w:color="auto"/>
              <w:bottom w:val="single" w:sz="4" w:space="0" w:color="auto"/>
              <w:right w:val="single" w:sz="4" w:space="0" w:color="auto"/>
            </w:tcBorders>
            <w:hideMark/>
          </w:tcPr>
          <w:p w14:paraId="30ED34B9" w14:textId="77777777" w:rsidR="001278EF" w:rsidRPr="00A20B96" w:rsidRDefault="001278EF" w:rsidP="00A20B96">
            <w:pPr>
              <w:rPr>
                <w:bCs/>
                <w:sz w:val="22"/>
                <w:szCs w:val="22"/>
              </w:rPr>
            </w:pPr>
            <w:proofErr w:type="spellStart"/>
            <w:r w:rsidRPr="00A20B96">
              <w:rPr>
                <w:bCs/>
                <w:sz w:val="22"/>
                <w:szCs w:val="22"/>
              </w:rPr>
              <w:t>Weight</w:t>
            </w:r>
            <w:proofErr w:type="spellEnd"/>
            <w:r w:rsidRPr="00A20B96">
              <w:rPr>
                <w:bCs/>
                <w:sz w:val="22"/>
                <w:szCs w:val="22"/>
              </w:rPr>
              <w:t xml:space="preserve"> </w:t>
            </w:r>
            <w:proofErr w:type="spellStart"/>
            <w:r w:rsidRPr="00A20B96">
              <w:rPr>
                <w:bCs/>
                <w:sz w:val="22"/>
                <w:szCs w:val="22"/>
              </w:rPr>
              <w:t>increase</w:t>
            </w:r>
            <w:proofErr w:type="spellEnd"/>
          </w:p>
          <w:p w14:paraId="170C67B0" w14:textId="77777777" w:rsidR="001278EF" w:rsidRPr="00A20B96" w:rsidRDefault="001278EF" w:rsidP="00A20B96">
            <w:pPr>
              <w:rPr>
                <w:bCs/>
                <w:sz w:val="22"/>
                <w:szCs w:val="22"/>
              </w:rPr>
            </w:pPr>
            <w:r w:rsidRPr="00A20B96">
              <w:rPr>
                <w:bCs/>
                <w:sz w:val="22"/>
                <w:szCs w:val="22"/>
              </w:rPr>
              <w:t>Fluid retention</w:t>
            </w:r>
          </w:p>
        </w:tc>
        <w:tc>
          <w:tcPr>
            <w:tcW w:w="816" w:type="pct"/>
            <w:tcBorders>
              <w:top w:val="single" w:sz="4" w:space="0" w:color="auto"/>
              <w:left w:val="single" w:sz="4" w:space="0" w:color="auto"/>
              <w:bottom w:val="single" w:sz="4" w:space="0" w:color="auto"/>
              <w:right w:val="single" w:sz="4" w:space="0" w:color="auto"/>
            </w:tcBorders>
          </w:tcPr>
          <w:p w14:paraId="51F2938B" w14:textId="77777777" w:rsidR="001278EF" w:rsidRPr="00A20B96" w:rsidRDefault="001278EF" w:rsidP="00A20B96">
            <w:pPr>
              <w:rPr>
                <w:bCs/>
                <w:sz w:val="22"/>
                <w:szCs w:val="22"/>
              </w:rPr>
            </w:pPr>
          </w:p>
        </w:tc>
        <w:tc>
          <w:tcPr>
            <w:tcW w:w="953" w:type="pct"/>
            <w:tcBorders>
              <w:top w:val="single" w:sz="4" w:space="0" w:color="auto"/>
              <w:left w:val="single" w:sz="4" w:space="0" w:color="auto"/>
              <w:bottom w:val="single" w:sz="4" w:space="0" w:color="auto"/>
              <w:right w:val="single" w:sz="4" w:space="0" w:color="auto"/>
            </w:tcBorders>
          </w:tcPr>
          <w:p w14:paraId="621315B5" w14:textId="77777777" w:rsidR="001278EF" w:rsidRPr="00A20B96" w:rsidRDefault="001278EF" w:rsidP="00A20B96">
            <w:pPr>
              <w:rPr>
                <w:bCs/>
                <w:sz w:val="22"/>
                <w:szCs w:val="22"/>
              </w:rPr>
            </w:pPr>
          </w:p>
        </w:tc>
        <w:tc>
          <w:tcPr>
            <w:tcW w:w="663" w:type="pct"/>
            <w:tcBorders>
              <w:top w:val="single" w:sz="4" w:space="0" w:color="auto"/>
              <w:left w:val="single" w:sz="4" w:space="0" w:color="auto"/>
              <w:bottom w:val="single" w:sz="4" w:space="0" w:color="auto"/>
              <w:right w:val="single" w:sz="4" w:space="0" w:color="auto"/>
            </w:tcBorders>
          </w:tcPr>
          <w:p w14:paraId="1134B545" w14:textId="77777777" w:rsidR="001278EF" w:rsidRPr="00A20B96" w:rsidRDefault="001278EF" w:rsidP="00A20B96">
            <w:pPr>
              <w:rPr>
                <w:bCs/>
                <w:sz w:val="22"/>
                <w:szCs w:val="22"/>
              </w:rPr>
            </w:pPr>
          </w:p>
        </w:tc>
        <w:tc>
          <w:tcPr>
            <w:tcW w:w="834" w:type="pct"/>
            <w:tcBorders>
              <w:top w:val="single" w:sz="4" w:space="0" w:color="auto"/>
              <w:left w:val="single" w:sz="4" w:space="0" w:color="auto"/>
              <w:bottom w:val="single" w:sz="4" w:space="0" w:color="auto"/>
              <w:right w:val="single" w:sz="4" w:space="0" w:color="auto"/>
            </w:tcBorders>
          </w:tcPr>
          <w:p w14:paraId="2E1ADCDA" w14:textId="77777777" w:rsidR="001278EF" w:rsidRPr="00A20B96" w:rsidRDefault="001278EF" w:rsidP="00A20B96">
            <w:pPr>
              <w:rPr>
                <w:bCs/>
                <w:sz w:val="22"/>
                <w:szCs w:val="22"/>
              </w:rPr>
            </w:pPr>
          </w:p>
        </w:tc>
      </w:tr>
      <w:tr w:rsidR="001278EF" w:rsidRPr="00942773" w14:paraId="23610A8C" w14:textId="77777777" w:rsidTr="00132A95">
        <w:trPr>
          <w:trHeight w:val="500"/>
        </w:trPr>
        <w:tc>
          <w:tcPr>
            <w:tcW w:w="834" w:type="pct"/>
            <w:tcBorders>
              <w:top w:val="single" w:sz="4" w:space="0" w:color="auto"/>
              <w:left w:val="single" w:sz="4" w:space="0" w:color="auto"/>
              <w:bottom w:val="single" w:sz="4" w:space="0" w:color="auto"/>
              <w:right w:val="single" w:sz="4" w:space="0" w:color="auto"/>
            </w:tcBorders>
            <w:hideMark/>
          </w:tcPr>
          <w:p w14:paraId="666288C0" w14:textId="77777777" w:rsidR="001278EF" w:rsidRPr="00A20B96" w:rsidRDefault="001278EF" w:rsidP="00A20B96">
            <w:pPr>
              <w:rPr>
                <w:bCs/>
                <w:sz w:val="22"/>
                <w:szCs w:val="22"/>
              </w:rPr>
            </w:pPr>
            <w:r w:rsidRPr="00A20B96">
              <w:rPr>
                <w:bCs/>
                <w:sz w:val="22"/>
                <w:szCs w:val="22"/>
              </w:rPr>
              <w:t xml:space="preserve">Immune system </w:t>
            </w:r>
            <w:proofErr w:type="spellStart"/>
            <w:r w:rsidRPr="00A20B96">
              <w:rPr>
                <w:bCs/>
                <w:sz w:val="22"/>
                <w:szCs w:val="22"/>
              </w:rPr>
              <w:t>disorders</w:t>
            </w:r>
            <w:proofErr w:type="spellEnd"/>
          </w:p>
        </w:tc>
        <w:tc>
          <w:tcPr>
            <w:tcW w:w="901" w:type="pct"/>
            <w:tcBorders>
              <w:top w:val="single" w:sz="4" w:space="0" w:color="auto"/>
              <w:left w:val="single" w:sz="4" w:space="0" w:color="auto"/>
              <w:bottom w:val="single" w:sz="4" w:space="0" w:color="auto"/>
              <w:right w:val="single" w:sz="4" w:space="0" w:color="auto"/>
            </w:tcBorders>
          </w:tcPr>
          <w:p w14:paraId="6D252C27" w14:textId="77777777" w:rsidR="001278EF" w:rsidRPr="00A20B96" w:rsidRDefault="001278EF" w:rsidP="00A20B96">
            <w:pPr>
              <w:rPr>
                <w:bCs/>
                <w:sz w:val="22"/>
                <w:szCs w:val="22"/>
              </w:rPr>
            </w:pPr>
          </w:p>
        </w:tc>
        <w:tc>
          <w:tcPr>
            <w:tcW w:w="816" w:type="pct"/>
            <w:tcBorders>
              <w:top w:val="single" w:sz="4" w:space="0" w:color="auto"/>
              <w:left w:val="single" w:sz="4" w:space="0" w:color="auto"/>
              <w:bottom w:val="single" w:sz="4" w:space="0" w:color="auto"/>
              <w:right w:val="single" w:sz="4" w:space="0" w:color="auto"/>
            </w:tcBorders>
          </w:tcPr>
          <w:p w14:paraId="461BBE6B" w14:textId="77777777" w:rsidR="001278EF" w:rsidRPr="00A20B96" w:rsidRDefault="001278EF" w:rsidP="00A20B96">
            <w:pPr>
              <w:rPr>
                <w:bCs/>
                <w:sz w:val="22"/>
                <w:szCs w:val="22"/>
              </w:rPr>
            </w:pPr>
          </w:p>
        </w:tc>
        <w:tc>
          <w:tcPr>
            <w:tcW w:w="953" w:type="pct"/>
            <w:tcBorders>
              <w:top w:val="single" w:sz="4" w:space="0" w:color="auto"/>
              <w:left w:val="single" w:sz="4" w:space="0" w:color="auto"/>
              <w:bottom w:val="single" w:sz="4" w:space="0" w:color="auto"/>
              <w:right w:val="single" w:sz="4" w:space="0" w:color="auto"/>
            </w:tcBorders>
            <w:hideMark/>
          </w:tcPr>
          <w:p w14:paraId="3164D83A" w14:textId="77777777" w:rsidR="001278EF" w:rsidRPr="00A20B96" w:rsidRDefault="001278EF" w:rsidP="00A20B96">
            <w:pPr>
              <w:rPr>
                <w:bCs/>
                <w:sz w:val="22"/>
                <w:szCs w:val="22"/>
              </w:rPr>
            </w:pPr>
            <w:r w:rsidRPr="00A20B96">
              <w:rPr>
                <w:bCs/>
                <w:sz w:val="22"/>
                <w:szCs w:val="22"/>
              </w:rPr>
              <w:t xml:space="preserve">Lupus </w:t>
            </w:r>
            <w:proofErr w:type="spellStart"/>
            <w:r w:rsidRPr="00A20B96">
              <w:rPr>
                <w:bCs/>
                <w:sz w:val="22"/>
                <w:szCs w:val="22"/>
              </w:rPr>
              <w:t>erythematosus</w:t>
            </w:r>
            <w:proofErr w:type="spellEnd"/>
          </w:p>
        </w:tc>
        <w:tc>
          <w:tcPr>
            <w:tcW w:w="663" w:type="pct"/>
            <w:tcBorders>
              <w:top w:val="single" w:sz="4" w:space="0" w:color="auto"/>
              <w:left w:val="single" w:sz="4" w:space="0" w:color="auto"/>
              <w:bottom w:val="single" w:sz="4" w:space="0" w:color="auto"/>
              <w:right w:val="single" w:sz="4" w:space="0" w:color="auto"/>
            </w:tcBorders>
          </w:tcPr>
          <w:p w14:paraId="04C7FC3F" w14:textId="77777777" w:rsidR="001278EF" w:rsidRPr="00A20B96" w:rsidRDefault="001278EF" w:rsidP="00A20B96">
            <w:pPr>
              <w:rPr>
                <w:bCs/>
                <w:sz w:val="22"/>
                <w:szCs w:val="22"/>
              </w:rPr>
            </w:pPr>
          </w:p>
        </w:tc>
        <w:tc>
          <w:tcPr>
            <w:tcW w:w="834" w:type="pct"/>
            <w:tcBorders>
              <w:top w:val="single" w:sz="4" w:space="0" w:color="auto"/>
              <w:left w:val="single" w:sz="4" w:space="0" w:color="auto"/>
              <w:bottom w:val="single" w:sz="4" w:space="0" w:color="auto"/>
              <w:right w:val="single" w:sz="4" w:space="0" w:color="auto"/>
            </w:tcBorders>
            <w:hideMark/>
          </w:tcPr>
          <w:p w14:paraId="0724A1D5" w14:textId="77777777" w:rsidR="001278EF" w:rsidRPr="00A20B96" w:rsidRDefault="001278EF" w:rsidP="00A20B96">
            <w:pPr>
              <w:rPr>
                <w:bCs/>
                <w:sz w:val="22"/>
                <w:szCs w:val="22"/>
                <w:lang w:val="en-US"/>
              </w:rPr>
            </w:pPr>
            <w:r w:rsidRPr="00A20B96">
              <w:rPr>
                <w:bCs/>
                <w:sz w:val="22"/>
                <w:szCs w:val="22"/>
                <w:lang w:val="en-US"/>
              </w:rPr>
              <w:t>Exacerbation of symptoms of hereditary and acquired angioedema</w:t>
            </w:r>
          </w:p>
        </w:tc>
      </w:tr>
      <w:tr w:rsidR="001278EF" w:rsidRPr="00A20B96" w14:paraId="05C204D0" w14:textId="77777777" w:rsidTr="00132A95">
        <w:trPr>
          <w:trHeight w:val="1014"/>
        </w:trPr>
        <w:tc>
          <w:tcPr>
            <w:tcW w:w="834" w:type="pct"/>
            <w:tcBorders>
              <w:top w:val="single" w:sz="4" w:space="0" w:color="auto"/>
              <w:left w:val="single" w:sz="4" w:space="0" w:color="auto"/>
              <w:bottom w:val="single" w:sz="4" w:space="0" w:color="auto"/>
              <w:right w:val="single" w:sz="4" w:space="0" w:color="auto"/>
            </w:tcBorders>
          </w:tcPr>
          <w:p w14:paraId="5CDE701A" w14:textId="77777777" w:rsidR="001278EF" w:rsidRPr="00A20B96" w:rsidRDefault="001278EF" w:rsidP="00A20B96">
            <w:pPr>
              <w:rPr>
                <w:bCs/>
                <w:sz w:val="22"/>
                <w:szCs w:val="22"/>
              </w:rPr>
            </w:pPr>
            <w:proofErr w:type="spellStart"/>
            <w:r w:rsidRPr="00A20B96">
              <w:rPr>
                <w:bCs/>
                <w:sz w:val="22"/>
                <w:szCs w:val="22"/>
              </w:rPr>
              <w:t>Reproduction</w:t>
            </w:r>
            <w:proofErr w:type="spellEnd"/>
            <w:r w:rsidRPr="00A20B96">
              <w:rPr>
                <w:bCs/>
                <w:sz w:val="22"/>
                <w:szCs w:val="22"/>
              </w:rPr>
              <w:t xml:space="preserve"> system and </w:t>
            </w:r>
            <w:proofErr w:type="spellStart"/>
            <w:r w:rsidRPr="00A20B96">
              <w:rPr>
                <w:bCs/>
                <w:sz w:val="22"/>
                <w:szCs w:val="22"/>
              </w:rPr>
              <w:t>breast</w:t>
            </w:r>
            <w:proofErr w:type="spellEnd"/>
            <w:r w:rsidRPr="00A20B96">
              <w:rPr>
                <w:bCs/>
                <w:sz w:val="22"/>
                <w:szCs w:val="22"/>
              </w:rPr>
              <w:t xml:space="preserve"> </w:t>
            </w:r>
            <w:proofErr w:type="spellStart"/>
            <w:r w:rsidRPr="00A20B96">
              <w:rPr>
                <w:bCs/>
                <w:sz w:val="22"/>
                <w:szCs w:val="22"/>
              </w:rPr>
              <w:t>disorders</w:t>
            </w:r>
            <w:proofErr w:type="spellEnd"/>
          </w:p>
          <w:p w14:paraId="5C7F8E14" w14:textId="77777777" w:rsidR="001278EF" w:rsidRPr="00A20B96" w:rsidRDefault="001278EF" w:rsidP="00A20B96">
            <w:pPr>
              <w:rPr>
                <w:bCs/>
                <w:sz w:val="22"/>
                <w:szCs w:val="22"/>
              </w:rPr>
            </w:pPr>
          </w:p>
        </w:tc>
        <w:tc>
          <w:tcPr>
            <w:tcW w:w="901" w:type="pct"/>
            <w:tcBorders>
              <w:top w:val="single" w:sz="4" w:space="0" w:color="auto"/>
              <w:left w:val="single" w:sz="4" w:space="0" w:color="auto"/>
              <w:bottom w:val="single" w:sz="4" w:space="0" w:color="auto"/>
              <w:right w:val="single" w:sz="4" w:space="0" w:color="auto"/>
            </w:tcBorders>
            <w:hideMark/>
          </w:tcPr>
          <w:p w14:paraId="247A800A" w14:textId="77777777" w:rsidR="001278EF" w:rsidRPr="00A20B96" w:rsidRDefault="001278EF" w:rsidP="00A20B96">
            <w:pPr>
              <w:rPr>
                <w:bCs/>
                <w:sz w:val="22"/>
                <w:szCs w:val="22"/>
                <w:lang w:val="en-US"/>
              </w:rPr>
            </w:pPr>
            <w:r w:rsidRPr="00A20B96">
              <w:rPr>
                <w:bCs/>
                <w:sz w:val="22"/>
                <w:szCs w:val="22"/>
                <w:lang w:val="en-US"/>
              </w:rPr>
              <w:t>Irregular bleeding</w:t>
            </w:r>
          </w:p>
          <w:p w14:paraId="0A8ED342" w14:textId="77777777" w:rsidR="001278EF" w:rsidRPr="00A20B96" w:rsidRDefault="001278EF" w:rsidP="00A20B96">
            <w:pPr>
              <w:rPr>
                <w:bCs/>
                <w:sz w:val="22"/>
                <w:szCs w:val="22"/>
                <w:lang w:val="en-US"/>
              </w:rPr>
            </w:pPr>
            <w:proofErr w:type="spellStart"/>
            <w:r w:rsidRPr="00A20B96">
              <w:rPr>
                <w:bCs/>
                <w:sz w:val="22"/>
                <w:szCs w:val="22"/>
                <w:lang w:val="en-US"/>
              </w:rPr>
              <w:t>Amenorrhoea</w:t>
            </w:r>
            <w:proofErr w:type="spellEnd"/>
          </w:p>
          <w:p w14:paraId="244B335D" w14:textId="77777777" w:rsidR="001278EF" w:rsidRPr="00A20B96" w:rsidRDefault="001278EF" w:rsidP="00A20B96">
            <w:pPr>
              <w:rPr>
                <w:bCs/>
                <w:sz w:val="22"/>
                <w:szCs w:val="22"/>
                <w:lang w:val="en-US"/>
              </w:rPr>
            </w:pPr>
            <w:proofErr w:type="spellStart"/>
            <w:r w:rsidRPr="00A20B96">
              <w:rPr>
                <w:bCs/>
                <w:sz w:val="22"/>
                <w:szCs w:val="22"/>
                <w:lang w:val="en-US"/>
              </w:rPr>
              <w:t>Hypomenorrhoea</w:t>
            </w:r>
            <w:proofErr w:type="spellEnd"/>
          </w:p>
          <w:p w14:paraId="73FE4CF3" w14:textId="77777777" w:rsidR="001278EF" w:rsidRPr="00A20B96" w:rsidRDefault="001278EF" w:rsidP="00A20B96">
            <w:pPr>
              <w:rPr>
                <w:bCs/>
                <w:sz w:val="22"/>
                <w:szCs w:val="22"/>
                <w:lang w:val="en-US"/>
              </w:rPr>
            </w:pPr>
            <w:r w:rsidRPr="00A20B96">
              <w:rPr>
                <w:bCs/>
                <w:sz w:val="22"/>
                <w:szCs w:val="22"/>
                <w:lang w:val="en-US"/>
              </w:rPr>
              <w:t>Breast tenderness</w:t>
            </w:r>
          </w:p>
        </w:tc>
        <w:tc>
          <w:tcPr>
            <w:tcW w:w="816" w:type="pct"/>
            <w:tcBorders>
              <w:top w:val="single" w:sz="4" w:space="0" w:color="auto"/>
              <w:left w:val="single" w:sz="4" w:space="0" w:color="auto"/>
              <w:bottom w:val="single" w:sz="4" w:space="0" w:color="auto"/>
              <w:right w:val="single" w:sz="4" w:space="0" w:color="auto"/>
            </w:tcBorders>
          </w:tcPr>
          <w:p w14:paraId="7DDB0221" w14:textId="77777777" w:rsidR="001278EF" w:rsidRPr="00A20B96" w:rsidRDefault="001278EF" w:rsidP="00A20B96">
            <w:pPr>
              <w:rPr>
                <w:bCs/>
                <w:sz w:val="22"/>
                <w:szCs w:val="22"/>
                <w:lang w:val="en-US"/>
              </w:rPr>
            </w:pPr>
          </w:p>
        </w:tc>
        <w:tc>
          <w:tcPr>
            <w:tcW w:w="953" w:type="pct"/>
            <w:tcBorders>
              <w:top w:val="single" w:sz="4" w:space="0" w:color="auto"/>
              <w:left w:val="single" w:sz="4" w:space="0" w:color="auto"/>
              <w:bottom w:val="single" w:sz="4" w:space="0" w:color="auto"/>
              <w:right w:val="single" w:sz="4" w:space="0" w:color="auto"/>
            </w:tcBorders>
            <w:hideMark/>
          </w:tcPr>
          <w:p w14:paraId="55EDB5EE" w14:textId="77777777" w:rsidR="001278EF" w:rsidRPr="00A20B96" w:rsidRDefault="001278EF" w:rsidP="00A20B96">
            <w:pPr>
              <w:rPr>
                <w:bCs/>
                <w:sz w:val="22"/>
                <w:szCs w:val="22"/>
              </w:rPr>
            </w:pPr>
            <w:r w:rsidRPr="00A20B96">
              <w:rPr>
                <w:bCs/>
                <w:sz w:val="22"/>
                <w:szCs w:val="22"/>
              </w:rPr>
              <w:t xml:space="preserve">Changes in vaginal </w:t>
            </w:r>
            <w:proofErr w:type="spellStart"/>
            <w:r w:rsidRPr="00A20B96">
              <w:rPr>
                <w:bCs/>
                <w:sz w:val="22"/>
                <w:szCs w:val="22"/>
              </w:rPr>
              <w:t>secretion</w:t>
            </w:r>
            <w:proofErr w:type="spellEnd"/>
          </w:p>
        </w:tc>
        <w:tc>
          <w:tcPr>
            <w:tcW w:w="663" w:type="pct"/>
            <w:tcBorders>
              <w:top w:val="single" w:sz="4" w:space="0" w:color="auto"/>
              <w:left w:val="single" w:sz="4" w:space="0" w:color="auto"/>
              <w:bottom w:val="single" w:sz="4" w:space="0" w:color="auto"/>
              <w:right w:val="single" w:sz="4" w:space="0" w:color="auto"/>
            </w:tcBorders>
          </w:tcPr>
          <w:p w14:paraId="1B6954BD" w14:textId="77777777" w:rsidR="001278EF" w:rsidRPr="00A20B96" w:rsidRDefault="001278EF" w:rsidP="00A20B96">
            <w:pPr>
              <w:rPr>
                <w:bCs/>
                <w:sz w:val="22"/>
                <w:szCs w:val="22"/>
              </w:rPr>
            </w:pPr>
          </w:p>
        </w:tc>
        <w:tc>
          <w:tcPr>
            <w:tcW w:w="834" w:type="pct"/>
            <w:tcBorders>
              <w:top w:val="single" w:sz="4" w:space="0" w:color="auto"/>
              <w:left w:val="single" w:sz="4" w:space="0" w:color="auto"/>
              <w:bottom w:val="single" w:sz="4" w:space="0" w:color="auto"/>
              <w:right w:val="single" w:sz="4" w:space="0" w:color="auto"/>
            </w:tcBorders>
          </w:tcPr>
          <w:p w14:paraId="32E49201" w14:textId="77777777" w:rsidR="001278EF" w:rsidRPr="00A20B96" w:rsidRDefault="001278EF" w:rsidP="00A20B96">
            <w:pPr>
              <w:rPr>
                <w:bCs/>
                <w:sz w:val="22"/>
                <w:szCs w:val="22"/>
              </w:rPr>
            </w:pPr>
          </w:p>
        </w:tc>
      </w:tr>
      <w:tr w:rsidR="001278EF" w:rsidRPr="00942773" w14:paraId="446B6DFE" w14:textId="77777777" w:rsidTr="00132A95">
        <w:trPr>
          <w:trHeight w:val="764"/>
        </w:trPr>
        <w:tc>
          <w:tcPr>
            <w:tcW w:w="834" w:type="pct"/>
            <w:tcBorders>
              <w:top w:val="single" w:sz="4" w:space="0" w:color="auto"/>
              <w:left w:val="single" w:sz="4" w:space="0" w:color="auto"/>
              <w:bottom w:val="single" w:sz="4" w:space="0" w:color="auto"/>
              <w:right w:val="single" w:sz="4" w:space="0" w:color="auto"/>
            </w:tcBorders>
            <w:hideMark/>
          </w:tcPr>
          <w:p w14:paraId="7F3F47DF" w14:textId="77777777" w:rsidR="001278EF" w:rsidRPr="00A20B96" w:rsidRDefault="001278EF" w:rsidP="00A20B96">
            <w:pPr>
              <w:rPr>
                <w:bCs/>
                <w:sz w:val="22"/>
                <w:szCs w:val="22"/>
              </w:rPr>
            </w:pPr>
            <w:proofErr w:type="spellStart"/>
            <w:r w:rsidRPr="00A20B96">
              <w:rPr>
                <w:bCs/>
                <w:sz w:val="22"/>
                <w:szCs w:val="22"/>
              </w:rPr>
              <w:t>Psychiatric</w:t>
            </w:r>
            <w:proofErr w:type="spellEnd"/>
            <w:r w:rsidRPr="00A20B96">
              <w:rPr>
                <w:bCs/>
                <w:sz w:val="22"/>
                <w:szCs w:val="22"/>
              </w:rPr>
              <w:t xml:space="preserve"> </w:t>
            </w:r>
            <w:proofErr w:type="spellStart"/>
            <w:r w:rsidRPr="00A20B96">
              <w:rPr>
                <w:bCs/>
                <w:sz w:val="22"/>
                <w:szCs w:val="22"/>
              </w:rPr>
              <w:t>disorders</w:t>
            </w:r>
            <w:proofErr w:type="spellEnd"/>
          </w:p>
        </w:tc>
        <w:tc>
          <w:tcPr>
            <w:tcW w:w="901" w:type="pct"/>
            <w:tcBorders>
              <w:top w:val="single" w:sz="4" w:space="0" w:color="auto"/>
              <w:left w:val="single" w:sz="4" w:space="0" w:color="auto"/>
              <w:bottom w:val="single" w:sz="4" w:space="0" w:color="auto"/>
              <w:right w:val="single" w:sz="4" w:space="0" w:color="auto"/>
            </w:tcBorders>
            <w:hideMark/>
          </w:tcPr>
          <w:p w14:paraId="39B52B93" w14:textId="77777777" w:rsidR="001278EF" w:rsidRPr="00A20B96" w:rsidRDefault="001278EF" w:rsidP="00A20B96">
            <w:pPr>
              <w:rPr>
                <w:bCs/>
                <w:sz w:val="22"/>
                <w:szCs w:val="22"/>
                <w:lang w:val="en-US"/>
              </w:rPr>
            </w:pPr>
            <w:r w:rsidRPr="00A20B96">
              <w:rPr>
                <w:bCs/>
                <w:sz w:val="22"/>
                <w:szCs w:val="22"/>
                <w:lang w:val="en-US"/>
              </w:rPr>
              <w:t>Changes in libido</w:t>
            </w:r>
          </w:p>
          <w:p w14:paraId="76558017" w14:textId="77777777" w:rsidR="001278EF" w:rsidRPr="00A20B96" w:rsidRDefault="001278EF" w:rsidP="00A20B96">
            <w:pPr>
              <w:rPr>
                <w:bCs/>
                <w:sz w:val="22"/>
                <w:szCs w:val="22"/>
                <w:lang w:val="en-US"/>
              </w:rPr>
            </w:pPr>
            <w:r w:rsidRPr="00A20B96">
              <w:rPr>
                <w:bCs/>
                <w:sz w:val="22"/>
                <w:szCs w:val="22"/>
                <w:lang w:val="en-US"/>
              </w:rPr>
              <w:t>Depression</w:t>
            </w:r>
          </w:p>
          <w:p w14:paraId="491FDC74" w14:textId="77777777" w:rsidR="001278EF" w:rsidRPr="00A20B96" w:rsidRDefault="001278EF" w:rsidP="00A20B96">
            <w:pPr>
              <w:rPr>
                <w:bCs/>
                <w:sz w:val="22"/>
                <w:szCs w:val="22"/>
                <w:lang w:val="en-US"/>
              </w:rPr>
            </w:pPr>
            <w:r w:rsidRPr="00A20B96">
              <w:rPr>
                <w:bCs/>
                <w:sz w:val="22"/>
                <w:szCs w:val="22"/>
                <w:lang w:val="en-US"/>
              </w:rPr>
              <w:t>Irritability</w:t>
            </w:r>
          </w:p>
        </w:tc>
        <w:tc>
          <w:tcPr>
            <w:tcW w:w="816" w:type="pct"/>
            <w:tcBorders>
              <w:top w:val="single" w:sz="4" w:space="0" w:color="auto"/>
              <w:left w:val="single" w:sz="4" w:space="0" w:color="auto"/>
              <w:bottom w:val="single" w:sz="4" w:space="0" w:color="auto"/>
              <w:right w:val="single" w:sz="4" w:space="0" w:color="auto"/>
            </w:tcBorders>
          </w:tcPr>
          <w:p w14:paraId="66592FC5" w14:textId="77777777" w:rsidR="001278EF" w:rsidRPr="00A20B96" w:rsidRDefault="001278EF" w:rsidP="00A20B96">
            <w:pPr>
              <w:rPr>
                <w:bCs/>
                <w:sz w:val="22"/>
                <w:szCs w:val="22"/>
                <w:lang w:val="en-US"/>
              </w:rPr>
            </w:pPr>
          </w:p>
        </w:tc>
        <w:tc>
          <w:tcPr>
            <w:tcW w:w="953" w:type="pct"/>
            <w:tcBorders>
              <w:top w:val="single" w:sz="4" w:space="0" w:color="auto"/>
              <w:left w:val="single" w:sz="4" w:space="0" w:color="auto"/>
              <w:bottom w:val="single" w:sz="4" w:space="0" w:color="auto"/>
              <w:right w:val="single" w:sz="4" w:space="0" w:color="auto"/>
            </w:tcBorders>
          </w:tcPr>
          <w:p w14:paraId="068A8C69" w14:textId="77777777" w:rsidR="001278EF" w:rsidRPr="00A20B96" w:rsidRDefault="001278EF" w:rsidP="00A20B96">
            <w:pPr>
              <w:rPr>
                <w:bCs/>
                <w:sz w:val="22"/>
                <w:szCs w:val="22"/>
                <w:lang w:val="en-US"/>
              </w:rPr>
            </w:pPr>
          </w:p>
        </w:tc>
        <w:tc>
          <w:tcPr>
            <w:tcW w:w="663" w:type="pct"/>
            <w:tcBorders>
              <w:top w:val="single" w:sz="4" w:space="0" w:color="auto"/>
              <w:left w:val="single" w:sz="4" w:space="0" w:color="auto"/>
              <w:bottom w:val="single" w:sz="4" w:space="0" w:color="auto"/>
              <w:right w:val="single" w:sz="4" w:space="0" w:color="auto"/>
            </w:tcBorders>
          </w:tcPr>
          <w:p w14:paraId="0C394495" w14:textId="77777777" w:rsidR="001278EF" w:rsidRPr="00A20B96" w:rsidRDefault="001278EF" w:rsidP="00A20B96">
            <w:pPr>
              <w:rPr>
                <w:bCs/>
                <w:sz w:val="22"/>
                <w:szCs w:val="22"/>
                <w:lang w:val="en-US"/>
              </w:rPr>
            </w:pPr>
          </w:p>
        </w:tc>
        <w:tc>
          <w:tcPr>
            <w:tcW w:w="834" w:type="pct"/>
            <w:tcBorders>
              <w:top w:val="single" w:sz="4" w:space="0" w:color="auto"/>
              <w:left w:val="single" w:sz="4" w:space="0" w:color="auto"/>
              <w:bottom w:val="single" w:sz="4" w:space="0" w:color="auto"/>
              <w:right w:val="single" w:sz="4" w:space="0" w:color="auto"/>
            </w:tcBorders>
          </w:tcPr>
          <w:p w14:paraId="0C08B098" w14:textId="77777777" w:rsidR="001278EF" w:rsidRPr="00A20B96" w:rsidRDefault="001278EF" w:rsidP="00A20B96">
            <w:pPr>
              <w:rPr>
                <w:bCs/>
                <w:sz w:val="22"/>
                <w:szCs w:val="22"/>
                <w:lang w:val="en-US"/>
              </w:rPr>
            </w:pPr>
          </w:p>
        </w:tc>
      </w:tr>
    </w:tbl>
    <w:p w14:paraId="68677AA5" w14:textId="77777777" w:rsidR="001278EF" w:rsidRPr="00EC3A8E" w:rsidRDefault="001278EF" w:rsidP="00C72C33">
      <w:pPr>
        <w:rPr>
          <w:rFonts w:eastAsia="SimSun"/>
          <w:sz w:val="24"/>
          <w:szCs w:val="24"/>
          <w:lang w:val="en-GB" w:eastAsia="zh-CN"/>
        </w:rPr>
      </w:pPr>
    </w:p>
    <w:p w14:paraId="64D8EFD2" w14:textId="77777777" w:rsidR="001278EF" w:rsidRPr="00F17159" w:rsidRDefault="001278EF" w:rsidP="00021998">
      <w:pPr>
        <w:ind w:left="851"/>
        <w:rPr>
          <w:sz w:val="24"/>
          <w:szCs w:val="24"/>
          <w:lang w:val="en-US"/>
        </w:rPr>
      </w:pPr>
      <w:r w:rsidRPr="00F17159">
        <w:rPr>
          <w:sz w:val="24"/>
          <w:szCs w:val="24"/>
          <w:lang w:val="en-US"/>
        </w:rPr>
        <w:t>The following serious adverse events have been reported in women using COCs, see sections 4.3 and 4.4.</w:t>
      </w:r>
    </w:p>
    <w:p w14:paraId="717529FF" w14:textId="77777777" w:rsidR="001278EF" w:rsidRPr="00EC3A8E" w:rsidRDefault="001278EF" w:rsidP="00021998">
      <w:pPr>
        <w:pStyle w:val="Listeafsnit"/>
        <w:numPr>
          <w:ilvl w:val="0"/>
          <w:numId w:val="22"/>
        </w:numPr>
        <w:ind w:left="1276" w:hanging="425"/>
        <w:rPr>
          <w:bCs/>
          <w:sz w:val="24"/>
          <w:szCs w:val="24"/>
          <w:lang w:val="en-US"/>
        </w:rPr>
      </w:pPr>
      <w:r w:rsidRPr="00EC3A8E">
        <w:rPr>
          <w:bCs/>
          <w:sz w:val="24"/>
          <w:szCs w:val="24"/>
          <w:lang w:val="en-US"/>
        </w:rPr>
        <w:t>Venous thromboembolism, i.e. deep leg or pelvic venous thrombosis and pulmonary embolism.</w:t>
      </w:r>
    </w:p>
    <w:p w14:paraId="36D90C41" w14:textId="77777777" w:rsidR="001278EF" w:rsidRPr="00EC3A8E" w:rsidRDefault="001278EF" w:rsidP="00021998">
      <w:pPr>
        <w:pStyle w:val="Listeafsnit"/>
        <w:numPr>
          <w:ilvl w:val="0"/>
          <w:numId w:val="22"/>
        </w:numPr>
        <w:ind w:left="1276" w:hanging="425"/>
        <w:rPr>
          <w:bCs/>
          <w:sz w:val="24"/>
          <w:szCs w:val="24"/>
        </w:rPr>
      </w:pPr>
      <w:proofErr w:type="spellStart"/>
      <w:r w:rsidRPr="00EC3A8E">
        <w:rPr>
          <w:bCs/>
          <w:sz w:val="24"/>
          <w:szCs w:val="24"/>
        </w:rPr>
        <w:t>Arterial</w:t>
      </w:r>
      <w:proofErr w:type="spellEnd"/>
      <w:r w:rsidRPr="00EC3A8E">
        <w:rPr>
          <w:bCs/>
          <w:sz w:val="24"/>
          <w:szCs w:val="24"/>
        </w:rPr>
        <w:t xml:space="preserve"> </w:t>
      </w:r>
      <w:proofErr w:type="spellStart"/>
      <w:r w:rsidRPr="00EC3A8E">
        <w:rPr>
          <w:bCs/>
          <w:sz w:val="24"/>
          <w:szCs w:val="24"/>
        </w:rPr>
        <w:t>thromboembolic</w:t>
      </w:r>
      <w:proofErr w:type="spellEnd"/>
      <w:r w:rsidRPr="00EC3A8E">
        <w:rPr>
          <w:bCs/>
          <w:sz w:val="24"/>
          <w:szCs w:val="24"/>
        </w:rPr>
        <w:t xml:space="preserve"> </w:t>
      </w:r>
      <w:proofErr w:type="spellStart"/>
      <w:r w:rsidRPr="00EC3A8E">
        <w:rPr>
          <w:bCs/>
          <w:sz w:val="24"/>
          <w:szCs w:val="24"/>
        </w:rPr>
        <w:t>disorders</w:t>
      </w:r>
      <w:proofErr w:type="spellEnd"/>
    </w:p>
    <w:p w14:paraId="3FB7F3C1" w14:textId="77777777" w:rsidR="001278EF" w:rsidRPr="00EC3A8E" w:rsidRDefault="001278EF" w:rsidP="00021998">
      <w:pPr>
        <w:pStyle w:val="Listeafsnit"/>
        <w:numPr>
          <w:ilvl w:val="0"/>
          <w:numId w:val="22"/>
        </w:numPr>
        <w:ind w:left="1276" w:hanging="425"/>
        <w:rPr>
          <w:bCs/>
          <w:sz w:val="24"/>
          <w:szCs w:val="24"/>
        </w:rPr>
      </w:pPr>
      <w:r w:rsidRPr="00EC3A8E">
        <w:rPr>
          <w:bCs/>
          <w:sz w:val="24"/>
          <w:szCs w:val="24"/>
        </w:rPr>
        <w:t>Liver tumours</w:t>
      </w:r>
    </w:p>
    <w:p w14:paraId="0F0EFA4C" w14:textId="77777777" w:rsidR="001278EF" w:rsidRPr="00EC3A8E" w:rsidRDefault="001278EF" w:rsidP="00021998">
      <w:pPr>
        <w:pStyle w:val="Listeafsnit"/>
        <w:numPr>
          <w:ilvl w:val="0"/>
          <w:numId w:val="22"/>
        </w:numPr>
        <w:ind w:left="1276" w:hanging="425"/>
        <w:rPr>
          <w:bCs/>
          <w:sz w:val="24"/>
          <w:szCs w:val="24"/>
          <w:lang w:val="en-US"/>
        </w:rPr>
      </w:pPr>
      <w:r w:rsidRPr="00EC3A8E">
        <w:rPr>
          <w:bCs/>
          <w:sz w:val="24"/>
          <w:szCs w:val="24"/>
          <w:lang w:val="en-US"/>
        </w:rPr>
        <w:t>Skin and subcutaneous disorders: chloasma.</w:t>
      </w:r>
    </w:p>
    <w:p w14:paraId="63A46248" w14:textId="77777777" w:rsidR="00021998" w:rsidRPr="00EC3A8E" w:rsidRDefault="00021998" w:rsidP="00021998">
      <w:pPr>
        <w:ind w:left="851"/>
        <w:rPr>
          <w:spacing w:val="-3"/>
          <w:sz w:val="24"/>
          <w:szCs w:val="24"/>
          <w:lang w:val="en-US"/>
        </w:rPr>
      </w:pPr>
    </w:p>
    <w:p w14:paraId="4CA4FE84" w14:textId="47214D6E" w:rsidR="001278EF" w:rsidRPr="00F17159" w:rsidRDefault="001278EF" w:rsidP="00021998">
      <w:pPr>
        <w:ind w:left="851"/>
        <w:rPr>
          <w:spacing w:val="-3"/>
          <w:sz w:val="24"/>
          <w:szCs w:val="24"/>
          <w:lang w:val="en-US"/>
        </w:rPr>
      </w:pPr>
      <w:r w:rsidRPr="00EC3A8E">
        <w:rPr>
          <w:spacing w:val="-3"/>
          <w:sz w:val="24"/>
          <w:szCs w:val="24"/>
          <w:lang w:val="en-US"/>
        </w:rPr>
        <w:t xml:space="preserve">The frequency of diagnosis of breast cancer is very slightly increased among COC-users. </w:t>
      </w:r>
      <w:r w:rsidRPr="00F17159">
        <w:rPr>
          <w:spacing w:val="-3"/>
          <w:sz w:val="24"/>
          <w:szCs w:val="24"/>
          <w:lang w:val="en-US"/>
        </w:rPr>
        <w:t xml:space="preserve">As breast cancer is rare in women under 40 years of age the excess number is small in relation to </w:t>
      </w:r>
      <w:r w:rsidRPr="00F17159">
        <w:rPr>
          <w:spacing w:val="-3"/>
          <w:sz w:val="24"/>
          <w:szCs w:val="24"/>
          <w:lang w:val="en-US"/>
        </w:rPr>
        <w:lastRenderedPageBreak/>
        <w:t>the overall risk of breast cancer. Causation with COC use is unknown. For further information, see sections 4.3 and 4.4.</w:t>
      </w:r>
    </w:p>
    <w:p w14:paraId="2B7A5068" w14:textId="77777777" w:rsidR="00021998" w:rsidRPr="00F17159" w:rsidRDefault="00021998" w:rsidP="00021998">
      <w:pPr>
        <w:ind w:left="851"/>
        <w:rPr>
          <w:spacing w:val="-3"/>
          <w:sz w:val="24"/>
          <w:szCs w:val="24"/>
          <w:u w:val="single"/>
          <w:lang w:val="en-US"/>
        </w:rPr>
      </w:pPr>
    </w:p>
    <w:p w14:paraId="70C4DDAD" w14:textId="345B3E85" w:rsidR="001278EF" w:rsidRPr="00F17159" w:rsidRDefault="001278EF" w:rsidP="00021998">
      <w:pPr>
        <w:ind w:left="851"/>
        <w:rPr>
          <w:spacing w:val="-3"/>
          <w:sz w:val="24"/>
          <w:szCs w:val="24"/>
          <w:u w:val="single"/>
          <w:lang w:val="en-US"/>
        </w:rPr>
      </w:pPr>
      <w:r w:rsidRPr="00F17159">
        <w:rPr>
          <w:spacing w:val="-3"/>
          <w:sz w:val="24"/>
          <w:szCs w:val="24"/>
          <w:u w:val="single"/>
          <w:lang w:val="en-US"/>
        </w:rPr>
        <w:t>Interactions</w:t>
      </w:r>
    </w:p>
    <w:p w14:paraId="4B7919E0" w14:textId="77777777" w:rsidR="001278EF" w:rsidRPr="00F17159" w:rsidRDefault="001278EF" w:rsidP="00021998">
      <w:pPr>
        <w:ind w:left="851"/>
        <w:rPr>
          <w:spacing w:val="-3"/>
          <w:sz w:val="24"/>
          <w:szCs w:val="24"/>
          <w:lang w:val="en-US"/>
        </w:rPr>
      </w:pPr>
      <w:r w:rsidRPr="00F17159">
        <w:rPr>
          <w:spacing w:val="-3"/>
          <w:sz w:val="24"/>
          <w:szCs w:val="24"/>
          <w:lang w:val="en-US"/>
        </w:rPr>
        <w:t>Breakthrough bleeding and/or contraceptive failure may result from interactions of other drugs (enzyme inducers) with oral contraceptives (see section 4.5).</w:t>
      </w:r>
    </w:p>
    <w:p w14:paraId="7FE29318" w14:textId="77777777" w:rsidR="001278EF" w:rsidRPr="00F17159" w:rsidRDefault="001278EF" w:rsidP="00C72C33">
      <w:pPr>
        <w:rPr>
          <w:spacing w:val="-3"/>
          <w:sz w:val="24"/>
          <w:szCs w:val="24"/>
          <w:lang w:val="en-US"/>
        </w:rPr>
      </w:pPr>
    </w:p>
    <w:p w14:paraId="2A9F0D5E" w14:textId="77777777" w:rsidR="00883479" w:rsidRPr="00EC3A8E" w:rsidRDefault="00883479" w:rsidP="00883479">
      <w:pPr>
        <w:ind w:left="851"/>
        <w:rPr>
          <w:sz w:val="24"/>
          <w:szCs w:val="24"/>
          <w:u w:val="single"/>
          <w:lang w:val="en-GB"/>
        </w:rPr>
      </w:pPr>
      <w:r w:rsidRPr="00EC3A8E">
        <w:rPr>
          <w:sz w:val="24"/>
          <w:szCs w:val="24"/>
          <w:u w:val="single"/>
          <w:lang w:val="en-GB"/>
        </w:rPr>
        <w:t>Reporting of suspected adverse reactions</w:t>
      </w:r>
    </w:p>
    <w:p w14:paraId="32D0944F" w14:textId="77777777" w:rsidR="00883479" w:rsidRPr="00EC3A8E" w:rsidRDefault="00883479" w:rsidP="00883479">
      <w:pPr>
        <w:ind w:left="851"/>
        <w:rPr>
          <w:sz w:val="24"/>
          <w:szCs w:val="24"/>
          <w:lang w:val="en-GB"/>
        </w:rPr>
      </w:pPr>
      <w:r w:rsidRPr="00EC3A8E">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6D66748" w14:textId="77777777" w:rsidR="00883479" w:rsidRPr="00EC3A8E" w:rsidRDefault="00883479" w:rsidP="00883479">
      <w:pPr>
        <w:ind w:left="851"/>
        <w:rPr>
          <w:sz w:val="24"/>
          <w:szCs w:val="24"/>
          <w:lang w:val="en-GB"/>
        </w:rPr>
      </w:pPr>
    </w:p>
    <w:p w14:paraId="6A44DAB1" w14:textId="77777777" w:rsidR="00883479" w:rsidRPr="00EC3A8E" w:rsidRDefault="00883479" w:rsidP="00883479">
      <w:pPr>
        <w:ind w:left="851"/>
        <w:rPr>
          <w:sz w:val="24"/>
          <w:szCs w:val="24"/>
        </w:rPr>
      </w:pPr>
      <w:r w:rsidRPr="00EC3A8E">
        <w:rPr>
          <w:sz w:val="24"/>
          <w:szCs w:val="24"/>
        </w:rPr>
        <w:t>Lægemiddelstyrelsen</w:t>
      </w:r>
    </w:p>
    <w:p w14:paraId="6E86B893" w14:textId="77777777" w:rsidR="00883479" w:rsidRPr="00EC3A8E" w:rsidRDefault="00883479" w:rsidP="00883479">
      <w:pPr>
        <w:ind w:left="851"/>
        <w:rPr>
          <w:sz w:val="24"/>
          <w:szCs w:val="24"/>
        </w:rPr>
      </w:pPr>
      <w:r w:rsidRPr="00EC3A8E">
        <w:rPr>
          <w:sz w:val="24"/>
          <w:szCs w:val="24"/>
        </w:rPr>
        <w:t>Axel Heides Gade 1</w:t>
      </w:r>
    </w:p>
    <w:p w14:paraId="4163DE68" w14:textId="77777777" w:rsidR="00883479" w:rsidRPr="00EC3A8E" w:rsidRDefault="00883479" w:rsidP="00883479">
      <w:pPr>
        <w:ind w:left="851"/>
        <w:rPr>
          <w:sz w:val="24"/>
          <w:szCs w:val="24"/>
        </w:rPr>
      </w:pPr>
      <w:r w:rsidRPr="00EC3A8E">
        <w:rPr>
          <w:sz w:val="24"/>
          <w:szCs w:val="24"/>
        </w:rPr>
        <w:t>DK-2300 København S</w:t>
      </w:r>
    </w:p>
    <w:p w14:paraId="2F581120" w14:textId="77777777" w:rsidR="00883479" w:rsidRPr="00EC3A8E" w:rsidRDefault="00883479" w:rsidP="00883479">
      <w:pPr>
        <w:ind w:left="851"/>
        <w:rPr>
          <w:sz w:val="24"/>
          <w:szCs w:val="24"/>
          <w:lang w:val="en-US"/>
        </w:rPr>
      </w:pPr>
      <w:r w:rsidRPr="00EC3A8E">
        <w:rPr>
          <w:sz w:val="24"/>
          <w:szCs w:val="24"/>
          <w:lang w:val="en-US"/>
        </w:rPr>
        <w:t>Website: www.meldenbivirkning.dk</w:t>
      </w:r>
    </w:p>
    <w:p w14:paraId="08AC0971" w14:textId="77777777" w:rsidR="007C5D2A" w:rsidRPr="00EC3A8E" w:rsidRDefault="007C5D2A" w:rsidP="00C72C33">
      <w:pPr>
        <w:rPr>
          <w:sz w:val="24"/>
          <w:szCs w:val="24"/>
          <w:lang w:val="en-GB"/>
        </w:rPr>
      </w:pPr>
    </w:p>
    <w:p w14:paraId="4AF2F670" w14:textId="77777777" w:rsidR="007C5D2A" w:rsidRPr="00EC3A8E" w:rsidRDefault="007C5D2A" w:rsidP="007C5D2A">
      <w:pPr>
        <w:tabs>
          <w:tab w:val="left" w:pos="851"/>
        </w:tabs>
        <w:ind w:left="851" w:hanging="851"/>
        <w:rPr>
          <w:b/>
          <w:sz w:val="24"/>
          <w:szCs w:val="24"/>
          <w:lang w:val="en-GB"/>
        </w:rPr>
      </w:pPr>
      <w:r w:rsidRPr="00EC3A8E">
        <w:rPr>
          <w:b/>
          <w:sz w:val="24"/>
          <w:szCs w:val="24"/>
          <w:lang w:val="en-GB"/>
        </w:rPr>
        <w:t>4.9</w:t>
      </w:r>
      <w:r w:rsidRPr="00EC3A8E">
        <w:rPr>
          <w:b/>
          <w:sz w:val="24"/>
          <w:szCs w:val="24"/>
          <w:lang w:val="en-GB"/>
        </w:rPr>
        <w:tab/>
        <w:t>Overdose</w:t>
      </w:r>
    </w:p>
    <w:p w14:paraId="5A4A861A" w14:textId="2507D08B" w:rsidR="001278EF" w:rsidRPr="00EC3A8E" w:rsidRDefault="001278EF" w:rsidP="008C53F2">
      <w:pPr>
        <w:ind w:left="851"/>
        <w:rPr>
          <w:sz w:val="24"/>
          <w:szCs w:val="24"/>
          <w:lang w:val="en-US"/>
        </w:rPr>
      </w:pPr>
      <w:r w:rsidRPr="00EC3A8E">
        <w:rPr>
          <w:sz w:val="24"/>
          <w:szCs w:val="24"/>
          <w:lang w:val="en-US"/>
        </w:rPr>
        <w:t>No serious harmful effects have been reported with overdoses. Symptoms that can arise in connection with</w:t>
      </w:r>
      <w:r w:rsidR="008C53F2" w:rsidRPr="00EC3A8E">
        <w:rPr>
          <w:sz w:val="24"/>
          <w:szCs w:val="24"/>
          <w:lang w:val="en-US"/>
        </w:rPr>
        <w:t xml:space="preserve"> </w:t>
      </w:r>
      <w:r w:rsidRPr="00EC3A8E">
        <w:rPr>
          <w:sz w:val="24"/>
          <w:szCs w:val="24"/>
          <w:lang w:val="en-US"/>
        </w:rPr>
        <w:t>an overdose are: Nausea, vomiting, and vaginal bleeding. There is no antidote, and further treatment should be symptomatic.</w:t>
      </w:r>
    </w:p>
    <w:p w14:paraId="1CF0511D" w14:textId="77777777" w:rsidR="007C5D2A" w:rsidRPr="00EC3A8E" w:rsidRDefault="007C5D2A" w:rsidP="00C72C33">
      <w:pPr>
        <w:rPr>
          <w:sz w:val="24"/>
          <w:szCs w:val="24"/>
          <w:lang w:val="en-GB"/>
        </w:rPr>
      </w:pPr>
    </w:p>
    <w:p w14:paraId="4A649196" w14:textId="77777777" w:rsidR="008F2F8C" w:rsidRPr="00EC3A8E" w:rsidRDefault="0042292D" w:rsidP="0042292D">
      <w:pPr>
        <w:tabs>
          <w:tab w:val="left" w:pos="851"/>
        </w:tabs>
        <w:rPr>
          <w:b/>
          <w:sz w:val="24"/>
          <w:szCs w:val="24"/>
          <w:lang w:val="en-GB"/>
        </w:rPr>
      </w:pPr>
      <w:r w:rsidRPr="00EC3A8E">
        <w:rPr>
          <w:b/>
          <w:sz w:val="24"/>
          <w:szCs w:val="24"/>
          <w:lang w:val="en-GB"/>
        </w:rPr>
        <w:t>4.10</w:t>
      </w:r>
      <w:r w:rsidRPr="00EC3A8E">
        <w:rPr>
          <w:b/>
          <w:sz w:val="24"/>
          <w:szCs w:val="24"/>
          <w:lang w:val="en-GB"/>
        </w:rPr>
        <w:tab/>
        <w:t>Legal status</w:t>
      </w:r>
    </w:p>
    <w:p w14:paraId="0F320F59" w14:textId="721337BF" w:rsidR="00AD2E36" w:rsidRPr="00EC3A8E" w:rsidRDefault="00542656" w:rsidP="00AD2E36">
      <w:pPr>
        <w:tabs>
          <w:tab w:val="left" w:pos="851"/>
        </w:tabs>
        <w:ind w:left="851"/>
        <w:rPr>
          <w:sz w:val="24"/>
          <w:szCs w:val="24"/>
          <w:lang w:val="en-GB"/>
        </w:rPr>
      </w:pPr>
      <w:r w:rsidRPr="00EC3A8E">
        <w:rPr>
          <w:sz w:val="24"/>
          <w:szCs w:val="24"/>
          <w:lang w:val="en-GB"/>
        </w:rPr>
        <w:t>B</w:t>
      </w:r>
    </w:p>
    <w:p w14:paraId="0E83735F" w14:textId="77777777" w:rsidR="007C5D2A" w:rsidRPr="00EC3A8E" w:rsidRDefault="007C5D2A" w:rsidP="003E0341">
      <w:pPr>
        <w:tabs>
          <w:tab w:val="left" w:pos="851"/>
        </w:tabs>
        <w:ind w:left="851"/>
        <w:rPr>
          <w:sz w:val="24"/>
          <w:szCs w:val="24"/>
          <w:lang w:val="en-GB"/>
        </w:rPr>
      </w:pPr>
    </w:p>
    <w:p w14:paraId="63EDB32A" w14:textId="77777777" w:rsidR="00AD2E36" w:rsidRPr="00EC3A8E" w:rsidRDefault="00AD2E36" w:rsidP="003E0341">
      <w:pPr>
        <w:tabs>
          <w:tab w:val="left" w:pos="851"/>
        </w:tabs>
        <w:ind w:left="851"/>
        <w:rPr>
          <w:sz w:val="24"/>
          <w:szCs w:val="24"/>
          <w:lang w:val="en-GB"/>
        </w:rPr>
      </w:pPr>
    </w:p>
    <w:p w14:paraId="30FF402E" w14:textId="77777777" w:rsidR="007C5D2A" w:rsidRPr="00EC3A8E" w:rsidRDefault="007C5D2A" w:rsidP="007C5D2A">
      <w:pPr>
        <w:tabs>
          <w:tab w:val="left" w:pos="851"/>
        </w:tabs>
        <w:rPr>
          <w:b/>
          <w:sz w:val="24"/>
          <w:szCs w:val="24"/>
          <w:lang w:val="en-GB"/>
        </w:rPr>
      </w:pPr>
      <w:r w:rsidRPr="00EC3A8E">
        <w:rPr>
          <w:b/>
          <w:sz w:val="24"/>
          <w:szCs w:val="24"/>
          <w:lang w:val="en-GB"/>
        </w:rPr>
        <w:t>5.</w:t>
      </w:r>
      <w:r w:rsidRPr="00EC3A8E">
        <w:rPr>
          <w:b/>
          <w:sz w:val="24"/>
          <w:szCs w:val="24"/>
          <w:lang w:val="en-GB"/>
        </w:rPr>
        <w:tab/>
        <w:t>PHARMACOLOGICAL PROPERTIES</w:t>
      </w:r>
    </w:p>
    <w:p w14:paraId="4B4DEA18" w14:textId="77777777" w:rsidR="007C5D2A" w:rsidRPr="00EC3A8E" w:rsidRDefault="007C5D2A" w:rsidP="003E0341">
      <w:pPr>
        <w:tabs>
          <w:tab w:val="left" w:pos="851"/>
        </w:tabs>
        <w:ind w:left="851"/>
        <w:rPr>
          <w:sz w:val="24"/>
          <w:szCs w:val="24"/>
          <w:lang w:val="en-GB"/>
        </w:rPr>
      </w:pPr>
    </w:p>
    <w:p w14:paraId="3B062F13" w14:textId="77777777" w:rsidR="007C5D2A" w:rsidRPr="00EC3A8E" w:rsidRDefault="007C5D2A" w:rsidP="007C5D2A">
      <w:pPr>
        <w:tabs>
          <w:tab w:val="left" w:pos="851"/>
        </w:tabs>
        <w:ind w:left="851" w:hanging="851"/>
        <w:rPr>
          <w:b/>
          <w:sz w:val="24"/>
          <w:szCs w:val="24"/>
          <w:lang w:val="en-GB"/>
        </w:rPr>
      </w:pPr>
      <w:r w:rsidRPr="00EC3A8E">
        <w:rPr>
          <w:b/>
          <w:sz w:val="24"/>
          <w:szCs w:val="24"/>
          <w:lang w:val="en-GB"/>
        </w:rPr>
        <w:t>5.1</w:t>
      </w:r>
      <w:r w:rsidRPr="00EC3A8E">
        <w:rPr>
          <w:b/>
          <w:sz w:val="24"/>
          <w:szCs w:val="24"/>
          <w:lang w:val="en-GB"/>
        </w:rPr>
        <w:tab/>
        <w:t>Pharmacodynamic properties</w:t>
      </w:r>
      <w:r w:rsidRPr="00EC3A8E">
        <w:rPr>
          <w:b/>
          <w:sz w:val="24"/>
          <w:szCs w:val="24"/>
          <w:lang w:val="en-GB"/>
        </w:rPr>
        <w:tab/>
      </w:r>
    </w:p>
    <w:p w14:paraId="3F3EF29F" w14:textId="7D4AE080" w:rsidR="000B2803" w:rsidRPr="00EC3A8E" w:rsidRDefault="000B2803" w:rsidP="000B2803">
      <w:pPr>
        <w:ind w:left="851"/>
        <w:rPr>
          <w:rFonts w:eastAsia="SimSun"/>
          <w:sz w:val="24"/>
          <w:szCs w:val="24"/>
          <w:lang w:val="en-US" w:eastAsia="es-ES"/>
        </w:rPr>
      </w:pPr>
      <w:bookmarkStart w:id="2" w:name="_Hlk150851793"/>
      <w:bookmarkStart w:id="3" w:name="_Hlk149132465"/>
      <w:r w:rsidRPr="000B2803">
        <w:rPr>
          <w:lang w:val="en-US"/>
        </w:rPr>
        <w:t>Pharmacotherapeutic group:</w:t>
      </w:r>
      <w:bookmarkEnd w:id="2"/>
      <w:r w:rsidRPr="000B2803">
        <w:rPr>
          <w:lang w:val="en-US"/>
        </w:rPr>
        <w:t xml:space="preserve"> </w:t>
      </w:r>
      <w:r w:rsidRPr="00EC3A8E">
        <w:rPr>
          <w:rFonts w:eastAsia="SimSun"/>
          <w:sz w:val="24"/>
          <w:szCs w:val="24"/>
          <w:lang w:val="en-US" w:eastAsia="es-ES"/>
        </w:rPr>
        <w:t>Hormonal contraceptives for systemic use, Progestogens and estrogens, fixed combinations</w:t>
      </w:r>
      <w:r>
        <w:rPr>
          <w:rFonts w:eastAsia="SimSun"/>
          <w:sz w:val="24"/>
          <w:szCs w:val="24"/>
          <w:lang w:val="en-US" w:eastAsia="es-ES"/>
        </w:rPr>
        <w:t xml:space="preserve">, </w:t>
      </w:r>
      <w:r w:rsidRPr="00EC3A8E">
        <w:rPr>
          <w:rFonts w:eastAsia="SimSun"/>
          <w:sz w:val="24"/>
          <w:szCs w:val="24"/>
          <w:lang w:val="en-US" w:eastAsia="es-ES"/>
        </w:rPr>
        <w:t xml:space="preserve">ATC code: G03AA10. </w:t>
      </w:r>
    </w:p>
    <w:bookmarkEnd w:id="3"/>
    <w:p w14:paraId="22BA7942" w14:textId="77777777" w:rsidR="000B2803" w:rsidRDefault="000B2803" w:rsidP="00F626BA">
      <w:pPr>
        <w:ind w:left="851"/>
        <w:rPr>
          <w:sz w:val="24"/>
          <w:szCs w:val="24"/>
          <w:lang w:val="en-US"/>
        </w:rPr>
      </w:pPr>
    </w:p>
    <w:p w14:paraId="41593D01" w14:textId="16930F31" w:rsidR="00EC30E2" w:rsidRPr="00EC3A8E" w:rsidRDefault="00EC30E2" w:rsidP="00F626BA">
      <w:pPr>
        <w:ind w:left="851"/>
        <w:rPr>
          <w:sz w:val="24"/>
          <w:szCs w:val="24"/>
          <w:lang w:val="en-US"/>
        </w:rPr>
      </w:pPr>
      <w:r w:rsidRPr="00EC3A8E">
        <w:rPr>
          <w:sz w:val="24"/>
          <w:szCs w:val="24"/>
          <w:lang w:val="en-US"/>
        </w:rPr>
        <w:t>The overall Pearl index (pregnancies due to method failure + pregnancies due to patient failure) for</w:t>
      </w:r>
      <w:r w:rsidR="00F626BA" w:rsidRPr="00EC3A8E">
        <w:rPr>
          <w:sz w:val="24"/>
          <w:szCs w:val="24"/>
          <w:lang w:val="en-US"/>
        </w:rPr>
        <w:t xml:space="preserve"> </w:t>
      </w:r>
      <w:proofErr w:type="spellStart"/>
      <w:r w:rsidRPr="00EC3A8E">
        <w:rPr>
          <w:sz w:val="24"/>
          <w:szCs w:val="24"/>
          <w:lang w:val="en-US"/>
        </w:rPr>
        <w:t>Ethinylestradiol</w:t>
      </w:r>
      <w:proofErr w:type="spellEnd"/>
      <w:r w:rsidRPr="00EC3A8E">
        <w:rPr>
          <w:sz w:val="24"/>
          <w:szCs w:val="24"/>
          <w:lang w:val="en-US"/>
        </w:rPr>
        <w:t>/</w:t>
      </w:r>
      <w:proofErr w:type="spellStart"/>
      <w:r w:rsidRPr="00EC3A8E">
        <w:rPr>
          <w:sz w:val="24"/>
          <w:szCs w:val="24"/>
          <w:lang w:val="en-US"/>
        </w:rPr>
        <w:t>Gestodene</w:t>
      </w:r>
      <w:proofErr w:type="spellEnd"/>
      <w:r w:rsidRPr="00EC3A8E">
        <w:rPr>
          <w:sz w:val="24"/>
          <w:szCs w:val="24"/>
          <w:lang w:val="en-US"/>
        </w:rPr>
        <w:t xml:space="preserve"> 20/75 </w:t>
      </w:r>
      <w:proofErr w:type="spellStart"/>
      <w:r w:rsidRPr="00EC3A8E">
        <w:rPr>
          <w:sz w:val="24"/>
          <w:szCs w:val="24"/>
          <w:lang w:val="en-US"/>
        </w:rPr>
        <w:t>μg</w:t>
      </w:r>
      <w:proofErr w:type="spellEnd"/>
      <w:r w:rsidRPr="00EC3A8E">
        <w:rPr>
          <w:sz w:val="24"/>
          <w:szCs w:val="24"/>
          <w:lang w:val="en-US"/>
        </w:rPr>
        <w:t xml:space="preserve"> is 0.31 (upper limit 95% confidence interval: 0.59). Pearl index for method failure is 0.16 (upper limit 95% confidence interval: 0.36).</w:t>
      </w:r>
    </w:p>
    <w:p w14:paraId="131DC817" w14:textId="0A619DE5" w:rsidR="00EC30E2" w:rsidRPr="00EC3A8E" w:rsidRDefault="00EC30E2" w:rsidP="00F626BA">
      <w:pPr>
        <w:ind w:left="851"/>
        <w:rPr>
          <w:sz w:val="24"/>
          <w:szCs w:val="24"/>
          <w:lang w:val="en-US"/>
        </w:rPr>
      </w:pPr>
      <w:r w:rsidRPr="00EC3A8E">
        <w:rPr>
          <w:sz w:val="24"/>
          <w:szCs w:val="24"/>
          <w:lang w:val="en-US"/>
        </w:rPr>
        <w:t>The contraceptive effect of COCs is based on the interaction of various factors. The most important</w:t>
      </w:r>
      <w:r w:rsidR="00F626BA" w:rsidRPr="00EC3A8E">
        <w:rPr>
          <w:sz w:val="24"/>
          <w:szCs w:val="24"/>
          <w:lang w:val="en-US"/>
        </w:rPr>
        <w:t xml:space="preserve"> </w:t>
      </w:r>
      <w:r w:rsidRPr="00EC3A8E">
        <w:rPr>
          <w:sz w:val="24"/>
          <w:szCs w:val="24"/>
          <w:lang w:val="en-US"/>
        </w:rPr>
        <w:t>of these factors are the inhibition of ovulation and changes in the endometrium.</w:t>
      </w:r>
    </w:p>
    <w:p w14:paraId="3F6389D9" w14:textId="77777777" w:rsidR="007C5D2A" w:rsidRPr="00EC3A8E" w:rsidRDefault="007C5D2A" w:rsidP="003E0341">
      <w:pPr>
        <w:tabs>
          <w:tab w:val="left" w:pos="851"/>
        </w:tabs>
        <w:ind w:left="851"/>
        <w:rPr>
          <w:sz w:val="24"/>
          <w:szCs w:val="24"/>
          <w:lang w:val="en-GB"/>
        </w:rPr>
      </w:pPr>
    </w:p>
    <w:p w14:paraId="68AC29F6" w14:textId="108CECBC" w:rsidR="007C5D2A" w:rsidRPr="00EC3A8E" w:rsidRDefault="007C5D2A" w:rsidP="007C5D2A">
      <w:pPr>
        <w:tabs>
          <w:tab w:val="left" w:pos="851"/>
        </w:tabs>
        <w:ind w:left="851" w:hanging="851"/>
        <w:rPr>
          <w:b/>
          <w:sz w:val="24"/>
          <w:szCs w:val="24"/>
          <w:lang w:val="en-GB"/>
        </w:rPr>
      </w:pPr>
      <w:r w:rsidRPr="00EC3A8E">
        <w:rPr>
          <w:b/>
          <w:sz w:val="24"/>
          <w:szCs w:val="24"/>
          <w:lang w:val="en-GB"/>
        </w:rPr>
        <w:t>5.2</w:t>
      </w:r>
      <w:r w:rsidRPr="00EC3A8E">
        <w:rPr>
          <w:b/>
          <w:sz w:val="24"/>
          <w:szCs w:val="24"/>
          <w:lang w:val="en-GB"/>
        </w:rPr>
        <w:tab/>
        <w:t>Pharmacokinetic properties</w:t>
      </w:r>
    </w:p>
    <w:p w14:paraId="673ACA32" w14:textId="77777777" w:rsidR="00F626BA" w:rsidRPr="00EC3A8E" w:rsidRDefault="00F626BA" w:rsidP="00F626BA">
      <w:pPr>
        <w:ind w:left="851"/>
        <w:rPr>
          <w:rFonts w:eastAsia="SimSun"/>
          <w:sz w:val="24"/>
          <w:szCs w:val="24"/>
          <w:lang w:val="en-US" w:eastAsia="es-ES"/>
        </w:rPr>
      </w:pPr>
    </w:p>
    <w:p w14:paraId="7CB823F1" w14:textId="26C4CEB5" w:rsidR="00EC30E2" w:rsidRPr="00EC3A8E" w:rsidRDefault="00EC30E2" w:rsidP="00F626BA">
      <w:pPr>
        <w:ind w:left="851"/>
        <w:rPr>
          <w:rFonts w:eastAsia="SimSun"/>
          <w:b/>
          <w:sz w:val="24"/>
          <w:szCs w:val="24"/>
          <w:lang w:val="en-US" w:eastAsia="es-ES"/>
        </w:rPr>
      </w:pPr>
      <w:proofErr w:type="spellStart"/>
      <w:r w:rsidRPr="00EC3A8E">
        <w:rPr>
          <w:rFonts w:eastAsia="SimSun"/>
          <w:b/>
          <w:sz w:val="24"/>
          <w:szCs w:val="24"/>
          <w:lang w:val="en-US" w:eastAsia="es-ES"/>
        </w:rPr>
        <w:t>Gestodene</w:t>
      </w:r>
      <w:proofErr w:type="spellEnd"/>
    </w:p>
    <w:p w14:paraId="24DEFB18" w14:textId="77777777" w:rsidR="00F626BA" w:rsidRPr="00EC3A8E" w:rsidRDefault="00F626BA" w:rsidP="00F626BA">
      <w:pPr>
        <w:ind w:left="851"/>
        <w:rPr>
          <w:rFonts w:eastAsia="SimSun"/>
          <w:sz w:val="24"/>
          <w:szCs w:val="24"/>
          <w:u w:val="single"/>
          <w:lang w:val="en-US" w:eastAsia="es-ES"/>
        </w:rPr>
      </w:pPr>
    </w:p>
    <w:p w14:paraId="3F47C385" w14:textId="556BD533" w:rsidR="00EC30E2" w:rsidRPr="00EC3A8E" w:rsidRDefault="00EC30E2" w:rsidP="00F626BA">
      <w:pPr>
        <w:ind w:left="851"/>
        <w:rPr>
          <w:rFonts w:eastAsia="SimSun"/>
          <w:sz w:val="24"/>
          <w:szCs w:val="24"/>
          <w:u w:val="single"/>
          <w:lang w:val="en-US" w:eastAsia="es-ES"/>
        </w:rPr>
      </w:pPr>
      <w:r w:rsidRPr="00EC3A8E">
        <w:rPr>
          <w:rFonts w:eastAsia="SimSun"/>
          <w:sz w:val="24"/>
          <w:szCs w:val="24"/>
          <w:u w:val="single"/>
          <w:lang w:val="en-US" w:eastAsia="es-ES"/>
        </w:rPr>
        <w:t>Absorption</w:t>
      </w:r>
    </w:p>
    <w:p w14:paraId="3F249F9B" w14:textId="77777777" w:rsidR="00EC30E2" w:rsidRPr="00EC3A8E" w:rsidRDefault="00EC30E2" w:rsidP="00F626BA">
      <w:pPr>
        <w:ind w:left="851"/>
        <w:rPr>
          <w:rFonts w:eastAsia="SimSun"/>
          <w:color w:val="000000"/>
          <w:sz w:val="24"/>
          <w:szCs w:val="24"/>
          <w:lang w:val="en-US" w:eastAsia="es-ES"/>
        </w:rPr>
      </w:pPr>
      <w:proofErr w:type="spellStart"/>
      <w:r w:rsidRPr="00EC3A8E">
        <w:rPr>
          <w:rFonts w:eastAsia="SimSun"/>
          <w:color w:val="000000"/>
          <w:sz w:val="24"/>
          <w:szCs w:val="24"/>
          <w:lang w:val="en-US" w:eastAsia="es-ES"/>
        </w:rPr>
        <w:t>Gestodene</w:t>
      </w:r>
      <w:proofErr w:type="spellEnd"/>
      <w:r w:rsidRPr="00EC3A8E">
        <w:rPr>
          <w:rFonts w:eastAsia="SimSun"/>
          <w:color w:val="000000"/>
          <w:sz w:val="24"/>
          <w:szCs w:val="24"/>
          <w:lang w:val="en-US" w:eastAsia="es-ES"/>
        </w:rPr>
        <w:t xml:space="preserve">, when taken orally, is absorbed quickly and completely. Following a single </w:t>
      </w:r>
      <w:proofErr w:type="gramStart"/>
      <w:r w:rsidRPr="00EC3A8E">
        <w:rPr>
          <w:rFonts w:eastAsia="SimSun"/>
          <w:color w:val="000000"/>
          <w:sz w:val="24"/>
          <w:szCs w:val="24"/>
          <w:lang w:val="en-US" w:eastAsia="es-ES"/>
        </w:rPr>
        <w:t>dose</w:t>
      </w:r>
      <w:proofErr w:type="gramEnd"/>
      <w:r w:rsidRPr="00EC3A8E">
        <w:rPr>
          <w:rFonts w:eastAsia="SimSun"/>
          <w:color w:val="000000"/>
          <w:sz w:val="24"/>
          <w:szCs w:val="24"/>
          <w:lang w:val="en-US" w:eastAsia="es-ES"/>
        </w:rPr>
        <w:t xml:space="preserve"> the maximum serum concentration of 4 ng/ml is reached in approximately one hour. Bioavailability is approximately 99%. </w:t>
      </w:r>
    </w:p>
    <w:p w14:paraId="0B898F0C" w14:textId="1D8D1770" w:rsidR="00D74090" w:rsidRDefault="00D74090">
      <w:pPr>
        <w:rPr>
          <w:rFonts w:eastAsia="SimSun"/>
          <w:color w:val="000000"/>
          <w:sz w:val="24"/>
          <w:szCs w:val="24"/>
          <w:u w:val="single"/>
          <w:lang w:val="en-US" w:eastAsia="es-ES"/>
        </w:rPr>
      </w:pPr>
      <w:r>
        <w:rPr>
          <w:rFonts w:eastAsia="SimSun"/>
          <w:color w:val="000000"/>
          <w:sz w:val="24"/>
          <w:szCs w:val="24"/>
          <w:u w:val="single"/>
          <w:lang w:val="en-US" w:eastAsia="es-ES"/>
        </w:rPr>
        <w:br w:type="page"/>
      </w:r>
    </w:p>
    <w:p w14:paraId="48C8F390" w14:textId="77777777" w:rsidR="008F0731" w:rsidRPr="00EC3A8E" w:rsidRDefault="008F0731" w:rsidP="00F626BA">
      <w:pPr>
        <w:ind w:left="851"/>
        <w:rPr>
          <w:rFonts w:eastAsia="SimSun"/>
          <w:color w:val="000000"/>
          <w:sz w:val="24"/>
          <w:szCs w:val="24"/>
          <w:u w:val="single"/>
          <w:lang w:val="en-US" w:eastAsia="es-ES"/>
        </w:rPr>
      </w:pPr>
    </w:p>
    <w:p w14:paraId="7B0BD26D" w14:textId="19C73D5B" w:rsidR="00EC30E2" w:rsidRPr="00EC3A8E" w:rsidRDefault="00EC30E2" w:rsidP="00F626BA">
      <w:pPr>
        <w:ind w:left="851"/>
        <w:rPr>
          <w:rFonts w:eastAsia="SimSun"/>
          <w:color w:val="000000"/>
          <w:sz w:val="24"/>
          <w:szCs w:val="24"/>
          <w:u w:val="single"/>
          <w:lang w:val="en-US" w:eastAsia="es-ES"/>
        </w:rPr>
      </w:pPr>
      <w:r w:rsidRPr="00EC3A8E">
        <w:rPr>
          <w:rFonts w:eastAsia="SimSun"/>
          <w:color w:val="000000"/>
          <w:sz w:val="24"/>
          <w:szCs w:val="24"/>
          <w:u w:val="single"/>
          <w:lang w:val="en-US" w:eastAsia="es-ES"/>
        </w:rPr>
        <w:t xml:space="preserve">Distribution </w:t>
      </w:r>
    </w:p>
    <w:p w14:paraId="0F9486A1" w14:textId="77777777" w:rsidR="00EC30E2" w:rsidRPr="00EC3A8E" w:rsidRDefault="00EC30E2" w:rsidP="00F626BA">
      <w:pPr>
        <w:ind w:left="851"/>
        <w:rPr>
          <w:rFonts w:eastAsia="SimSun"/>
          <w:color w:val="000000"/>
          <w:sz w:val="24"/>
          <w:szCs w:val="24"/>
          <w:lang w:val="en-US" w:eastAsia="es-ES"/>
        </w:rPr>
      </w:pPr>
      <w:proofErr w:type="spellStart"/>
      <w:r w:rsidRPr="00EC3A8E">
        <w:rPr>
          <w:rFonts w:eastAsia="SimSun"/>
          <w:color w:val="000000"/>
          <w:sz w:val="24"/>
          <w:szCs w:val="24"/>
          <w:lang w:val="en-US" w:eastAsia="es-ES"/>
        </w:rPr>
        <w:t>Gestodene</w:t>
      </w:r>
      <w:proofErr w:type="spellEnd"/>
      <w:r w:rsidRPr="00EC3A8E">
        <w:rPr>
          <w:rFonts w:eastAsia="SimSun"/>
          <w:color w:val="000000"/>
          <w:sz w:val="24"/>
          <w:szCs w:val="24"/>
          <w:lang w:val="en-US" w:eastAsia="es-ES"/>
        </w:rPr>
        <w:t xml:space="preserve"> is bound to serum albumin and to sex hormone binding globulin (SHBG). Only 1-2% of the total amount of </w:t>
      </w:r>
      <w:proofErr w:type="spellStart"/>
      <w:r w:rsidRPr="00EC3A8E">
        <w:rPr>
          <w:rFonts w:eastAsia="SimSun"/>
          <w:color w:val="000000"/>
          <w:sz w:val="24"/>
          <w:szCs w:val="24"/>
          <w:lang w:val="en-US" w:eastAsia="es-ES"/>
        </w:rPr>
        <w:t>gestodene</w:t>
      </w:r>
      <w:proofErr w:type="spellEnd"/>
      <w:r w:rsidRPr="00EC3A8E">
        <w:rPr>
          <w:rFonts w:eastAsia="SimSun"/>
          <w:color w:val="000000"/>
          <w:sz w:val="24"/>
          <w:szCs w:val="24"/>
          <w:lang w:val="en-US" w:eastAsia="es-ES"/>
        </w:rPr>
        <w:t xml:space="preserve"> in serum is found as free steroid, while 50-70% is specifically bound to SHBG. The </w:t>
      </w:r>
      <w:proofErr w:type="spellStart"/>
      <w:r w:rsidRPr="00EC3A8E">
        <w:rPr>
          <w:rFonts w:eastAsia="SimSun"/>
          <w:color w:val="000000"/>
          <w:sz w:val="24"/>
          <w:szCs w:val="24"/>
          <w:lang w:val="en-US" w:eastAsia="es-ES"/>
        </w:rPr>
        <w:t>ethinylestradiol</w:t>
      </w:r>
      <w:proofErr w:type="spellEnd"/>
      <w:r w:rsidRPr="00EC3A8E">
        <w:rPr>
          <w:rFonts w:eastAsia="SimSun"/>
          <w:color w:val="000000"/>
          <w:sz w:val="24"/>
          <w:szCs w:val="24"/>
          <w:lang w:val="en-US" w:eastAsia="es-ES"/>
        </w:rPr>
        <w:t xml:space="preserve">-induced increase in SHBG influences the distribution of serum proteins, which causes an increase of the SHBG-bound fraction, and a decrease of the albumin-bound fraction. The apparent distribution volume of </w:t>
      </w:r>
      <w:proofErr w:type="spellStart"/>
      <w:r w:rsidRPr="00EC3A8E">
        <w:rPr>
          <w:rFonts w:eastAsia="SimSun"/>
          <w:color w:val="000000"/>
          <w:sz w:val="24"/>
          <w:szCs w:val="24"/>
          <w:lang w:val="en-US" w:eastAsia="es-ES"/>
        </w:rPr>
        <w:t>gestodene</w:t>
      </w:r>
      <w:proofErr w:type="spellEnd"/>
      <w:r w:rsidRPr="00EC3A8E">
        <w:rPr>
          <w:rFonts w:eastAsia="SimSun"/>
          <w:color w:val="000000"/>
          <w:sz w:val="24"/>
          <w:szCs w:val="24"/>
          <w:lang w:val="en-US" w:eastAsia="es-ES"/>
        </w:rPr>
        <w:t xml:space="preserve"> is 0.7 l/kg. </w:t>
      </w:r>
    </w:p>
    <w:p w14:paraId="671873CE" w14:textId="77777777" w:rsidR="008F0731" w:rsidRPr="00EC3A8E" w:rsidRDefault="008F0731" w:rsidP="00F626BA">
      <w:pPr>
        <w:ind w:left="851"/>
        <w:rPr>
          <w:rFonts w:eastAsia="SimSun"/>
          <w:color w:val="000000"/>
          <w:sz w:val="24"/>
          <w:szCs w:val="24"/>
          <w:u w:val="single"/>
          <w:lang w:val="en-US" w:eastAsia="es-ES"/>
        </w:rPr>
      </w:pPr>
    </w:p>
    <w:p w14:paraId="4FFD78AC" w14:textId="374181AC" w:rsidR="00EC30E2" w:rsidRPr="00EC3A8E" w:rsidRDefault="00EC30E2" w:rsidP="00F626BA">
      <w:pPr>
        <w:ind w:left="851"/>
        <w:rPr>
          <w:rFonts w:eastAsia="SimSun"/>
          <w:color w:val="000000"/>
          <w:sz w:val="24"/>
          <w:szCs w:val="24"/>
          <w:u w:val="single"/>
          <w:lang w:val="en-US" w:eastAsia="es-ES"/>
        </w:rPr>
      </w:pPr>
      <w:r w:rsidRPr="00EC3A8E">
        <w:rPr>
          <w:rFonts w:eastAsia="SimSun"/>
          <w:color w:val="000000"/>
          <w:sz w:val="24"/>
          <w:szCs w:val="24"/>
          <w:u w:val="single"/>
          <w:lang w:val="en-US" w:eastAsia="es-ES"/>
        </w:rPr>
        <w:t xml:space="preserve">Biotransformation </w:t>
      </w:r>
    </w:p>
    <w:p w14:paraId="4A0B4270" w14:textId="77777777" w:rsidR="00EC30E2" w:rsidRPr="00EC3A8E" w:rsidRDefault="00EC30E2" w:rsidP="00F626BA">
      <w:pPr>
        <w:ind w:left="851"/>
        <w:rPr>
          <w:rFonts w:eastAsia="SimSun"/>
          <w:color w:val="000000"/>
          <w:sz w:val="24"/>
          <w:szCs w:val="24"/>
          <w:lang w:val="en-US" w:eastAsia="es-ES"/>
        </w:rPr>
      </w:pPr>
      <w:proofErr w:type="spellStart"/>
      <w:r w:rsidRPr="00EC3A8E">
        <w:rPr>
          <w:rFonts w:eastAsia="SimSun"/>
          <w:color w:val="000000"/>
          <w:sz w:val="24"/>
          <w:szCs w:val="24"/>
          <w:lang w:val="en-US" w:eastAsia="es-ES"/>
        </w:rPr>
        <w:t>Gestodene</w:t>
      </w:r>
      <w:proofErr w:type="spellEnd"/>
      <w:r w:rsidRPr="00EC3A8E">
        <w:rPr>
          <w:rFonts w:eastAsia="SimSun"/>
          <w:color w:val="000000"/>
          <w:sz w:val="24"/>
          <w:szCs w:val="24"/>
          <w:lang w:val="en-US" w:eastAsia="es-ES"/>
        </w:rPr>
        <w:t xml:space="preserve"> is </w:t>
      </w:r>
      <w:proofErr w:type="spellStart"/>
      <w:r w:rsidRPr="00EC3A8E">
        <w:rPr>
          <w:rFonts w:eastAsia="SimSun"/>
          <w:color w:val="000000"/>
          <w:sz w:val="24"/>
          <w:szCs w:val="24"/>
          <w:lang w:val="en-US" w:eastAsia="es-ES"/>
        </w:rPr>
        <w:t>metabolised</w:t>
      </w:r>
      <w:proofErr w:type="spellEnd"/>
      <w:r w:rsidRPr="00EC3A8E">
        <w:rPr>
          <w:rFonts w:eastAsia="SimSun"/>
          <w:color w:val="000000"/>
          <w:sz w:val="24"/>
          <w:szCs w:val="24"/>
          <w:lang w:val="en-US" w:eastAsia="es-ES"/>
        </w:rPr>
        <w:t xml:space="preserve"> completely via the known pathways of steroid metabolism. The metabolic clearance rate from serum is 0.8 ml/min/kg. No interaction occurs when </w:t>
      </w:r>
      <w:proofErr w:type="spellStart"/>
      <w:r w:rsidRPr="00EC3A8E">
        <w:rPr>
          <w:rFonts w:eastAsia="SimSun"/>
          <w:color w:val="000000"/>
          <w:sz w:val="24"/>
          <w:szCs w:val="24"/>
          <w:lang w:val="en-US" w:eastAsia="es-ES"/>
        </w:rPr>
        <w:t>gestodene</w:t>
      </w:r>
      <w:proofErr w:type="spellEnd"/>
      <w:r w:rsidRPr="00EC3A8E">
        <w:rPr>
          <w:rFonts w:eastAsia="SimSun"/>
          <w:color w:val="000000"/>
          <w:sz w:val="24"/>
          <w:szCs w:val="24"/>
          <w:lang w:val="en-US" w:eastAsia="es-ES"/>
        </w:rPr>
        <w:t xml:space="preserve"> is taken together with </w:t>
      </w:r>
      <w:proofErr w:type="spellStart"/>
      <w:r w:rsidRPr="00EC3A8E">
        <w:rPr>
          <w:rFonts w:eastAsia="SimSun"/>
          <w:color w:val="000000"/>
          <w:sz w:val="24"/>
          <w:szCs w:val="24"/>
          <w:lang w:val="en-US" w:eastAsia="es-ES"/>
        </w:rPr>
        <w:t>ethinylestradiol</w:t>
      </w:r>
      <w:proofErr w:type="spellEnd"/>
      <w:r w:rsidRPr="00EC3A8E">
        <w:rPr>
          <w:rFonts w:eastAsia="SimSun"/>
          <w:color w:val="000000"/>
          <w:sz w:val="24"/>
          <w:szCs w:val="24"/>
          <w:lang w:val="en-US" w:eastAsia="es-ES"/>
        </w:rPr>
        <w:t xml:space="preserve">. </w:t>
      </w:r>
    </w:p>
    <w:p w14:paraId="4793B1ED" w14:textId="77777777" w:rsidR="008F0731" w:rsidRPr="00EC3A8E" w:rsidRDefault="008F0731" w:rsidP="00F626BA">
      <w:pPr>
        <w:ind w:left="851"/>
        <w:rPr>
          <w:rFonts w:eastAsia="SimSun"/>
          <w:color w:val="000000"/>
          <w:sz w:val="24"/>
          <w:szCs w:val="24"/>
          <w:u w:val="single"/>
          <w:lang w:val="en-US" w:eastAsia="es-ES"/>
        </w:rPr>
      </w:pPr>
    </w:p>
    <w:p w14:paraId="2D00A85E" w14:textId="301F9B40" w:rsidR="00EC30E2" w:rsidRPr="00EC3A8E" w:rsidRDefault="00EC30E2" w:rsidP="00F626BA">
      <w:pPr>
        <w:ind w:left="851"/>
        <w:rPr>
          <w:rFonts w:eastAsia="SimSun"/>
          <w:color w:val="000000"/>
          <w:sz w:val="24"/>
          <w:szCs w:val="24"/>
          <w:u w:val="single"/>
          <w:lang w:val="en-US" w:eastAsia="es-ES"/>
        </w:rPr>
      </w:pPr>
      <w:r w:rsidRPr="00EC3A8E">
        <w:rPr>
          <w:rFonts w:eastAsia="SimSun"/>
          <w:color w:val="000000"/>
          <w:sz w:val="24"/>
          <w:szCs w:val="24"/>
          <w:u w:val="single"/>
          <w:lang w:val="en-US" w:eastAsia="es-ES"/>
        </w:rPr>
        <w:t xml:space="preserve">Elimination </w:t>
      </w:r>
    </w:p>
    <w:p w14:paraId="0D47E449" w14:textId="77777777" w:rsidR="00EC30E2" w:rsidRPr="00EC3A8E" w:rsidRDefault="00EC30E2" w:rsidP="00F626BA">
      <w:pPr>
        <w:ind w:left="851"/>
        <w:rPr>
          <w:rFonts w:eastAsia="SimSun"/>
          <w:color w:val="000000"/>
          <w:sz w:val="24"/>
          <w:szCs w:val="24"/>
          <w:lang w:val="en-US" w:eastAsia="es-ES"/>
        </w:rPr>
      </w:pPr>
      <w:r w:rsidRPr="00EC3A8E">
        <w:rPr>
          <w:rFonts w:eastAsia="SimSun"/>
          <w:color w:val="000000"/>
          <w:sz w:val="24"/>
          <w:szCs w:val="24"/>
          <w:lang w:val="en-US" w:eastAsia="es-ES"/>
        </w:rPr>
        <w:t xml:space="preserve">Serum level of </w:t>
      </w:r>
      <w:proofErr w:type="spellStart"/>
      <w:r w:rsidRPr="00EC3A8E">
        <w:rPr>
          <w:rFonts w:eastAsia="SimSun"/>
          <w:color w:val="000000"/>
          <w:sz w:val="24"/>
          <w:szCs w:val="24"/>
          <w:lang w:val="en-US" w:eastAsia="es-ES"/>
        </w:rPr>
        <w:t>gestodene</w:t>
      </w:r>
      <w:proofErr w:type="spellEnd"/>
      <w:r w:rsidRPr="00EC3A8E">
        <w:rPr>
          <w:rFonts w:eastAsia="SimSun"/>
          <w:color w:val="000000"/>
          <w:sz w:val="24"/>
          <w:szCs w:val="24"/>
          <w:lang w:val="en-US" w:eastAsia="es-ES"/>
        </w:rPr>
        <w:t xml:space="preserve"> is reduced at 2 rates. The last rate is </w:t>
      </w:r>
      <w:proofErr w:type="spellStart"/>
      <w:r w:rsidRPr="00EC3A8E">
        <w:rPr>
          <w:rFonts w:eastAsia="SimSun"/>
          <w:color w:val="000000"/>
          <w:sz w:val="24"/>
          <w:szCs w:val="24"/>
          <w:lang w:val="en-US" w:eastAsia="es-ES"/>
        </w:rPr>
        <w:t>characterised</w:t>
      </w:r>
      <w:proofErr w:type="spellEnd"/>
      <w:r w:rsidRPr="00EC3A8E">
        <w:rPr>
          <w:rFonts w:eastAsia="SimSun"/>
          <w:color w:val="000000"/>
          <w:sz w:val="24"/>
          <w:szCs w:val="24"/>
          <w:lang w:val="en-US" w:eastAsia="es-ES"/>
        </w:rPr>
        <w:t xml:space="preserve"> by a half-life of 12 – 15 hours. </w:t>
      </w:r>
    </w:p>
    <w:p w14:paraId="77D42C98" w14:textId="77777777" w:rsidR="008F0731" w:rsidRPr="00EC3A8E" w:rsidRDefault="008F0731" w:rsidP="00F626BA">
      <w:pPr>
        <w:ind w:left="851"/>
        <w:rPr>
          <w:rFonts w:eastAsia="SimSun"/>
          <w:color w:val="000000"/>
          <w:sz w:val="24"/>
          <w:szCs w:val="24"/>
          <w:lang w:val="en-US" w:eastAsia="es-ES"/>
        </w:rPr>
      </w:pPr>
    </w:p>
    <w:p w14:paraId="1A0D7899" w14:textId="081DBC79" w:rsidR="00EC30E2" w:rsidRPr="00EC3A8E" w:rsidRDefault="00EC30E2" w:rsidP="00F626BA">
      <w:pPr>
        <w:ind w:left="851"/>
        <w:rPr>
          <w:rFonts w:eastAsia="SimSun"/>
          <w:color w:val="000000"/>
          <w:sz w:val="24"/>
          <w:szCs w:val="24"/>
          <w:lang w:val="en-US" w:eastAsia="es-ES"/>
        </w:rPr>
      </w:pPr>
      <w:proofErr w:type="spellStart"/>
      <w:r w:rsidRPr="00EC3A8E">
        <w:rPr>
          <w:rFonts w:eastAsia="SimSun"/>
          <w:color w:val="000000"/>
          <w:sz w:val="24"/>
          <w:szCs w:val="24"/>
          <w:lang w:val="en-US" w:eastAsia="es-ES"/>
        </w:rPr>
        <w:t>Gestodene</w:t>
      </w:r>
      <w:proofErr w:type="spellEnd"/>
      <w:r w:rsidRPr="00EC3A8E">
        <w:rPr>
          <w:rFonts w:eastAsia="SimSun"/>
          <w:color w:val="000000"/>
          <w:sz w:val="24"/>
          <w:szCs w:val="24"/>
          <w:lang w:val="en-US" w:eastAsia="es-ES"/>
        </w:rPr>
        <w:t xml:space="preserve"> is not excreted unchanged. Its metabolites are excreted in urine and in bile at a ratio of 6:4. </w:t>
      </w:r>
    </w:p>
    <w:p w14:paraId="53DE61CF" w14:textId="77777777" w:rsidR="008F0731" w:rsidRPr="00EC3A8E" w:rsidRDefault="008F0731" w:rsidP="00F626BA">
      <w:pPr>
        <w:ind w:left="851"/>
        <w:rPr>
          <w:rFonts w:eastAsia="SimSun"/>
          <w:color w:val="000000"/>
          <w:sz w:val="24"/>
          <w:szCs w:val="24"/>
          <w:lang w:val="en-US" w:eastAsia="es-ES"/>
        </w:rPr>
      </w:pPr>
    </w:p>
    <w:p w14:paraId="11D84247" w14:textId="21BFBDBB" w:rsidR="00EC30E2" w:rsidRPr="00EC3A8E" w:rsidRDefault="00EC30E2" w:rsidP="00F626BA">
      <w:pPr>
        <w:ind w:left="851"/>
        <w:rPr>
          <w:rFonts w:eastAsia="SimSun"/>
          <w:color w:val="000000"/>
          <w:sz w:val="24"/>
          <w:szCs w:val="24"/>
          <w:lang w:val="en-US" w:eastAsia="es-ES"/>
        </w:rPr>
      </w:pPr>
      <w:r w:rsidRPr="00EC3A8E">
        <w:rPr>
          <w:rFonts w:eastAsia="SimSun"/>
          <w:color w:val="000000"/>
          <w:sz w:val="24"/>
          <w:szCs w:val="24"/>
          <w:lang w:val="en-US" w:eastAsia="es-ES"/>
        </w:rPr>
        <w:t xml:space="preserve">The half-life of metabolite excretion is approximately 1 day. </w:t>
      </w:r>
    </w:p>
    <w:p w14:paraId="653B0730" w14:textId="77777777" w:rsidR="008F0731" w:rsidRPr="00EC3A8E" w:rsidRDefault="008F0731" w:rsidP="00F626BA">
      <w:pPr>
        <w:ind w:left="851"/>
        <w:rPr>
          <w:rFonts w:eastAsia="SimSun"/>
          <w:color w:val="000000"/>
          <w:sz w:val="24"/>
          <w:szCs w:val="24"/>
          <w:lang w:val="en-US" w:eastAsia="es-ES"/>
        </w:rPr>
      </w:pPr>
    </w:p>
    <w:p w14:paraId="30735637" w14:textId="155B28DB" w:rsidR="00EC30E2" w:rsidRPr="005D22B2" w:rsidRDefault="00EC30E2" w:rsidP="00F626BA">
      <w:pPr>
        <w:ind w:left="851"/>
        <w:rPr>
          <w:rFonts w:eastAsia="SimSun"/>
          <w:color w:val="000000"/>
          <w:sz w:val="24"/>
          <w:szCs w:val="24"/>
          <w:u w:val="single"/>
          <w:lang w:val="en-US" w:eastAsia="es-ES"/>
        </w:rPr>
      </w:pPr>
      <w:r w:rsidRPr="005D22B2">
        <w:rPr>
          <w:rFonts w:eastAsia="SimSun"/>
          <w:color w:val="000000"/>
          <w:sz w:val="24"/>
          <w:szCs w:val="24"/>
          <w:u w:val="single"/>
          <w:lang w:val="en-US" w:eastAsia="es-ES"/>
        </w:rPr>
        <w:t xml:space="preserve">Pharmacokinetic/pharmacodynamics relationship </w:t>
      </w:r>
    </w:p>
    <w:p w14:paraId="53BF4D34" w14:textId="77777777" w:rsidR="00EC30E2" w:rsidRPr="00EC3A8E" w:rsidRDefault="00EC30E2" w:rsidP="00F626BA">
      <w:pPr>
        <w:ind w:left="851"/>
        <w:rPr>
          <w:rFonts w:eastAsia="SimSun"/>
          <w:color w:val="000000"/>
          <w:sz w:val="24"/>
          <w:szCs w:val="24"/>
          <w:lang w:val="en-US" w:eastAsia="es-ES"/>
        </w:rPr>
      </w:pPr>
      <w:r w:rsidRPr="00EC3A8E">
        <w:rPr>
          <w:rFonts w:eastAsia="SimSun"/>
          <w:color w:val="000000"/>
          <w:sz w:val="24"/>
          <w:szCs w:val="24"/>
          <w:lang w:val="en-US" w:eastAsia="es-ES"/>
        </w:rPr>
        <w:t xml:space="preserve">Pharmacokinetics of </w:t>
      </w:r>
      <w:proofErr w:type="spellStart"/>
      <w:r w:rsidRPr="00EC3A8E">
        <w:rPr>
          <w:rFonts w:eastAsia="SimSun"/>
          <w:color w:val="000000"/>
          <w:sz w:val="24"/>
          <w:szCs w:val="24"/>
          <w:lang w:val="en-US" w:eastAsia="es-ES"/>
        </w:rPr>
        <w:t>gestodene</w:t>
      </w:r>
      <w:proofErr w:type="spellEnd"/>
      <w:r w:rsidRPr="00EC3A8E">
        <w:rPr>
          <w:rFonts w:eastAsia="SimSun"/>
          <w:color w:val="000000"/>
          <w:sz w:val="24"/>
          <w:szCs w:val="24"/>
          <w:lang w:val="en-US" w:eastAsia="es-ES"/>
        </w:rPr>
        <w:t xml:space="preserve"> is influenced by the levels of SHBG in serum, which increase to triple values with </w:t>
      </w:r>
      <w:proofErr w:type="spellStart"/>
      <w:r w:rsidRPr="00EC3A8E">
        <w:rPr>
          <w:rFonts w:eastAsia="SimSun"/>
          <w:color w:val="000000"/>
          <w:sz w:val="24"/>
          <w:szCs w:val="24"/>
          <w:lang w:val="en-US" w:eastAsia="es-ES"/>
        </w:rPr>
        <w:t>ethinylestradiol</w:t>
      </w:r>
      <w:proofErr w:type="spellEnd"/>
      <w:r w:rsidRPr="00EC3A8E">
        <w:rPr>
          <w:rFonts w:eastAsia="SimSun"/>
          <w:color w:val="000000"/>
          <w:sz w:val="24"/>
          <w:szCs w:val="24"/>
          <w:lang w:val="en-US" w:eastAsia="es-ES"/>
        </w:rPr>
        <w:t xml:space="preserve">. Upon daily intake, the level of </w:t>
      </w:r>
      <w:proofErr w:type="spellStart"/>
      <w:r w:rsidRPr="00EC3A8E">
        <w:rPr>
          <w:rFonts w:eastAsia="SimSun"/>
          <w:color w:val="000000"/>
          <w:sz w:val="24"/>
          <w:szCs w:val="24"/>
          <w:lang w:val="en-US" w:eastAsia="es-ES"/>
        </w:rPr>
        <w:t>gestodene</w:t>
      </w:r>
      <w:proofErr w:type="spellEnd"/>
      <w:r w:rsidRPr="00EC3A8E">
        <w:rPr>
          <w:rFonts w:eastAsia="SimSun"/>
          <w:color w:val="000000"/>
          <w:sz w:val="24"/>
          <w:szCs w:val="24"/>
          <w:lang w:val="en-US" w:eastAsia="es-ES"/>
        </w:rPr>
        <w:t xml:space="preserve"> in serum increases till approximately four times the single dose value, and reaches steady-state within the second half of the treatment cycle.</w:t>
      </w:r>
    </w:p>
    <w:p w14:paraId="6D0199D5" w14:textId="77777777" w:rsidR="00EC30E2" w:rsidRPr="00EC3A8E" w:rsidRDefault="00EC30E2" w:rsidP="00F626BA">
      <w:pPr>
        <w:ind w:left="851"/>
        <w:rPr>
          <w:rFonts w:eastAsia="SimSun"/>
          <w:color w:val="000000"/>
          <w:sz w:val="24"/>
          <w:szCs w:val="24"/>
          <w:lang w:val="en-US" w:eastAsia="es-ES"/>
        </w:rPr>
      </w:pPr>
    </w:p>
    <w:p w14:paraId="71776754" w14:textId="77777777" w:rsidR="00EC30E2" w:rsidRPr="00EC3A8E" w:rsidRDefault="00EC30E2" w:rsidP="00F626BA">
      <w:pPr>
        <w:ind w:left="851"/>
        <w:rPr>
          <w:rFonts w:eastAsia="SimSun"/>
          <w:b/>
          <w:iCs/>
          <w:color w:val="000000"/>
          <w:sz w:val="24"/>
          <w:szCs w:val="24"/>
          <w:lang w:val="en-US" w:eastAsia="es-ES"/>
        </w:rPr>
      </w:pPr>
      <w:proofErr w:type="spellStart"/>
      <w:r w:rsidRPr="00EC3A8E">
        <w:rPr>
          <w:rFonts w:eastAsia="SimSun"/>
          <w:b/>
          <w:iCs/>
          <w:color w:val="000000"/>
          <w:sz w:val="24"/>
          <w:szCs w:val="24"/>
          <w:lang w:val="en-US" w:eastAsia="es-ES"/>
        </w:rPr>
        <w:t>Ethinylestradiol</w:t>
      </w:r>
      <w:proofErr w:type="spellEnd"/>
      <w:r w:rsidRPr="00EC3A8E">
        <w:rPr>
          <w:rFonts w:eastAsia="SimSun"/>
          <w:b/>
          <w:iCs/>
          <w:color w:val="000000"/>
          <w:sz w:val="24"/>
          <w:szCs w:val="24"/>
          <w:lang w:val="en-US" w:eastAsia="es-ES"/>
        </w:rPr>
        <w:t xml:space="preserve"> </w:t>
      </w:r>
    </w:p>
    <w:p w14:paraId="37142A78" w14:textId="77777777" w:rsidR="008F0731" w:rsidRPr="00EC3A8E" w:rsidRDefault="008F0731" w:rsidP="00F626BA">
      <w:pPr>
        <w:ind w:left="851"/>
        <w:rPr>
          <w:rFonts w:eastAsia="SimSun"/>
          <w:color w:val="000000"/>
          <w:sz w:val="24"/>
          <w:szCs w:val="24"/>
          <w:u w:val="single"/>
          <w:lang w:val="en-US" w:eastAsia="es-ES"/>
        </w:rPr>
      </w:pPr>
    </w:p>
    <w:p w14:paraId="0CC3F189" w14:textId="248FAE08" w:rsidR="00EC30E2" w:rsidRPr="00EC3A8E" w:rsidRDefault="00EC30E2" w:rsidP="00F626BA">
      <w:pPr>
        <w:ind w:left="851"/>
        <w:rPr>
          <w:rFonts w:eastAsia="SimSun"/>
          <w:color w:val="000000"/>
          <w:sz w:val="24"/>
          <w:szCs w:val="24"/>
          <w:u w:val="single"/>
          <w:lang w:val="en-US" w:eastAsia="es-ES"/>
        </w:rPr>
      </w:pPr>
      <w:r w:rsidRPr="00EC3A8E">
        <w:rPr>
          <w:rFonts w:eastAsia="SimSun"/>
          <w:color w:val="000000"/>
          <w:sz w:val="24"/>
          <w:szCs w:val="24"/>
          <w:u w:val="single"/>
          <w:lang w:val="en-US" w:eastAsia="es-ES"/>
        </w:rPr>
        <w:t xml:space="preserve">Absorption </w:t>
      </w:r>
    </w:p>
    <w:p w14:paraId="5415DD86" w14:textId="77777777" w:rsidR="00EC30E2" w:rsidRPr="00EC3A8E" w:rsidRDefault="00EC30E2" w:rsidP="00F626BA">
      <w:pPr>
        <w:ind w:left="851"/>
        <w:rPr>
          <w:rFonts w:eastAsia="SimSun"/>
          <w:color w:val="000000"/>
          <w:sz w:val="24"/>
          <w:szCs w:val="24"/>
          <w:lang w:val="en-US" w:eastAsia="es-ES"/>
        </w:rPr>
      </w:pPr>
      <w:proofErr w:type="spellStart"/>
      <w:r w:rsidRPr="00EC3A8E">
        <w:rPr>
          <w:rFonts w:eastAsia="SimSun"/>
          <w:color w:val="000000"/>
          <w:sz w:val="24"/>
          <w:szCs w:val="24"/>
          <w:lang w:val="en-US" w:eastAsia="es-ES"/>
        </w:rPr>
        <w:t>Ethinylestradiol</w:t>
      </w:r>
      <w:proofErr w:type="spellEnd"/>
      <w:r w:rsidRPr="00EC3A8E">
        <w:rPr>
          <w:rFonts w:eastAsia="SimSun"/>
          <w:color w:val="000000"/>
          <w:sz w:val="24"/>
          <w:szCs w:val="24"/>
          <w:lang w:val="en-US" w:eastAsia="es-ES"/>
        </w:rPr>
        <w:t xml:space="preserve">, taken orally, is absorbed quickly and completely. Maximal serum concentration of about 80 </w:t>
      </w:r>
      <w:proofErr w:type="spellStart"/>
      <w:r w:rsidRPr="00EC3A8E">
        <w:rPr>
          <w:rFonts w:eastAsia="SimSun"/>
          <w:color w:val="000000"/>
          <w:sz w:val="24"/>
          <w:szCs w:val="24"/>
          <w:lang w:val="en-US" w:eastAsia="es-ES"/>
        </w:rPr>
        <w:t>pg</w:t>
      </w:r>
      <w:proofErr w:type="spellEnd"/>
      <w:r w:rsidRPr="00EC3A8E">
        <w:rPr>
          <w:rFonts w:eastAsia="SimSun"/>
          <w:color w:val="000000"/>
          <w:sz w:val="24"/>
          <w:szCs w:val="24"/>
          <w:lang w:val="en-US" w:eastAsia="es-ES"/>
        </w:rPr>
        <w:t xml:space="preserve">/ml is reached within 1-2 hours. Complete bioavailability, resulting from pre-systemic conjugation and first-pass metabolism, is approximately 60%. </w:t>
      </w:r>
    </w:p>
    <w:p w14:paraId="0066F345" w14:textId="77777777" w:rsidR="008F0731" w:rsidRPr="00EC3A8E" w:rsidRDefault="008F0731" w:rsidP="00F626BA">
      <w:pPr>
        <w:ind w:left="851"/>
        <w:rPr>
          <w:rFonts w:eastAsia="SimSun"/>
          <w:color w:val="000000"/>
          <w:sz w:val="24"/>
          <w:szCs w:val="24"/>
          <w:u w:val="single"/>
          <w:lang w:val="en-US" w:eastAsia="es-ES"/>
        </w:rPr>
      </w:pPr>
    </w:p>
    <w:p w14:paraId="65E045D4" w14:textId="1BAE14F6" w:rsidR="00EC30E2" w:rsidRPr="00EC3A8E" w:rsidRDefault="00EC30E2" w:rsidP="00F626BA">
      <w:pPr>
        <w:ind w:left="851"/>
        <w:rPr>
          <w:rFonts w:eastAsia="SimSun"/>
          <w:color w:val="000000"/>
          <w:sz w:val="24"/>
          <w:szCs w:val="24"/>
          <w:u w:val="single"/>
          <w:lang w:val="en-US" w:eastAsia="es-ES"/>
        </w:rPr>
      </w:pPr>
      <w:r w:rsidRPr="00EC3A8E">
        <w:rPr>
          <w:rFonts w:eastAsia="SimSun"/>
          <w:color w:val="000000"/>
          <w:sz w:val="24"/>
          <w:szCs w:val="24"/>
          <w:u w:val="single"/>
          <w:lang w:val="en-US" w:eastAsia="es-ES"/>
        </w:rPr>
        <w:t xml:space="preserve">Distribution </w:t>
      </w:r>
    </w:p>
    <w:p w14:paraId="67E3C249" w14:textId="77777777" w:rsidR="00EC30E2" w:rsidRPr="00EC3A8E" w:rsidRDefault="00EC30E2" w:rsidP="00F626BA">
      <w:pPr>
        <w:ind w:left="851"/>
        <w:rPr>
          <w:rFonts w:eastAsia="SimSun"/>
          <w:color w:val="000000"/>
          <w:sz w:val="24"/>
          <w:szCs w:val="24"/>
          <w:lang w:val="en-US" w:eastAsia="es-ES"/>
        </w:rPr>
      </w:pPr>
      <w:r w:rsidRPr="00EC3A8E">
        <w:rPr>
          <w:rFonts w:eastAsia="SimSun"/>
          <w:color w:val="000000"/>
          <w:sz w:val="24"/>
          <w:szCs w:val="24"/>
          <w:lang w:val="en-US" w:eastAsia="es-ES"/>
        </w:rPr>
        <w:t xml:space="preserve">During lactation, 0.02% of the daily maternal dose passes into breast milk. </w:t>
      </w:r>
    </w:p>
    <w:p w14:paraId="27A1566B" w14:textId="77777777" w:rsidR="00EC30E2" w:rsidRPr="00EC3A8E" w:rsidRDefault="00EC30E2" w:rsidP="00F626BA">
      <w:pPr>
        <w:ind w:left="851"/>
        <w:rPr>
          <w:rFonts w:eastAsia="SimSun"/>
          <w:color w:val="000000"/>
          <w:sz w:val="24"/>
          <w:szCs w:val="24"/>
          <w:lang w:val="en-US" w:eastAsia="es-ES"/>
        </w:rPr>
      </w:pPr>
      <w:proofErr w:type="spellStart"/>
      <w:r w:rsidRPr="00EC3A8E">
        <w:rPr>
          <w:rFonts w:eastAsia="SimSun"/>
          <w:color w:val="000000"/>
          <w:sz w:val="24"/>
          <w:szCs w:val="24"/>
          <w:lang w:val="en-US" w:eastAsia="es-ES"/>
        </w:rPr>
        <w:t>Ethinylestradiol</w:t>
      </w:r>
      <w:proofErr w:type="spellEnd"/>
      <w:r w:rsidRPr="00EC3A8E">
        <w:rPr>
          <w:rFonts w:eastAsia="SimSun"/>
          <w:color w:val="000000"/>
          <w:sz w:val="24"/>
          <w:szCs w:val="24"/>
          <w:lang w:val="en-US" w:eastAsia="es-ES"/>
        </w:rPr>
        <w:t xml:space="preserve"> is predominantly bound non-specifically to albumin (approx. 98.5), and causes increase in serum concentration of SHBG. The apparent distribution volume is found to be approximately 5 l/kg. </w:t>
      </w:r>
    </w:p>
    <w:p w14:paraId="7A891213" w14:textId="77777777" w:rsidR="008F0731" w:rsidRPr="00EC3A8E" w:rsidRDefault="008F0731" w:rsidP="00F626BA">
      <w:pPr>
        <w:ind w:left="851"/>
        <w:rPr>
          <w:rFonts w:eastAsia="SimSun"/>
          <w:color w:val="000000"/>
          <w:sz w:val="24"/>
          <w:szCs w:val="24"/>
          <w:u w:val="single"/>
          <w:lang w:val="en-US" w:eastAsia="es-ES"/>
        </w:rPr>
      </w:pPr>
    </w:p>
    <w:p w14:paraId="737D0FEC" w14:textId="088F3FA3" w:rsidR="00EC30E2" w:rsidRPr="00EC3A8E" w:rsidRDefault="00EC30E2" w:rsidP="00F626BA">
      <w:pPr>
        <w:ind w:left="851"/>
        <w:rPr>
          <w:rFonts w:eastAsia="SimSun"/>
          <w:color w:val="000000"/>
          <w:sz w:val="24"/>
          <w:szCs w:val="24"/>
          <w:u w:val="single"/>
          <w:lang w:val="en-US" w:eastAsia="es-ES"/>
        </w:rPr>
      </w:pPr>
      <w:r w:rsidRPr="00EC3A8E">
        <w:rPr>
          <w:rFonts w:eastAsia="SimSun"/>
          <w:color w:val="000000"/>
          <w:sz w:val="24"/>
          <w:szCs w:val="24"/>
          <w:u w:val="single"/>
          <w:lang w:val="en-US" w:eastAsia="es-ES"/>
        </w:rPr>
        <w:t xml:space="preserve">Biotransformation </w:t>
      </w:r>
    </w:p>
    <w:p w14:paraId="1FD8D4C3" w14:textId="77777777" w:rsidR="00EC30E2" w:rsidRPr="00EC3A8E" w:rsidRDefault="00EC30E2" w:rsidP="00F626BA">
      <w:pPr>
        <w:ind w:left="851"/>
        <w:rPr>
          <w:rFonts w:eastAsia="SimSun"/>
          <w:color w:val="000000"/>
          <w:sz w:val="24"/>
          <w:szCs w:val="24"/>
          <w:lang w:val="en-US" w:eastAsia="es-ES"/>
        </w:rPr>
      </w:pPr>
      <w:proofErr w:type="spellStart"/>
      <w:r w:rsidRPr="00EC3A8E">
        <w:rPr>
          <w:rFonts w:eastAsia="SimSun"/>
          <w:color w:val="000000"/>
          <w:sz w:val="24"/>
          <w:szCs w:val="24"/>
          <w:lang w:val="en-US" w:eastAsia="es-ES"/>
        </w:rPr>
        <w:t>Ethinylestradiol</w:t>
      </w:r>
      <w:proofErr w:type="spellEnd"/>
      <w:r w:rsidRPr="00EC3A8E">
        <w:rPr>
          <w:rFonts w:eastAsia="SimSun"/>
          <w:color w:val="000000"/>
          <w:sz w:val="24"/>
          <w:szCs w:val="24"/>
          <w:lang w:val="en-US" w:eastAsia="es-ES"/>
        </w:rPr>
        <w:t xml:space="preserve"> undergoes pre-systemic conjugation both in the mucosa of the small intestine, and in the liver. </w:t>
      </w:r>
      <w:proofErr w:type="spellStart"/>
      <w:r w:rsidRPr="00EC3A8E">
        <w:rPr>
          <w:rFonts w:eastAsia="SimSun"/>
          <w:color w:val="000000"/>
          <w:sz w:val="24"/>
          <w:szCs w:val="24"/>
          <w:lang w:val="en-US" w:eastAsia="es-ES"/>
        </w:rPr>
        <w:t>Ethinylestradiol</w:t>
      </w:r>
      <w:proofErr w:type="spellEnd"/>
      <w:r w:rsidRPr="00EC3A8E">
        <w:rPr>
          <w:rFonts w:eastAsia="SimSun"/>
          <w:color w:val="000000"/>
          <w:sz w:val="24"/>
          <w:szCs w:val="24"/>
          <w:lang w:val="en-US" w:eastAsia="es-ES"/>
        </w:rPr>
        <w:t xml:space="preserve"> is primarily </w:t>
      </w:r>
      <w:proofErr w:type="spellStart"/>
      <w:r w:rsidRPr="00EC3A8E">
        <w:rPr>
          <w:rFonts w:eastAsia="SimSun"/>
          <w:color w:val="000000"/>
          <w:sz w:val="24"/>
          <w:szCs w:val="24"/>
          <w:lang w:val="en-US" w:eastAsia="es-ES"/>
        </w:rPr>
        <w:t>metabolised</w:t>
      </w:r>
      <w:proofErr w:type="spellEnd"/>
      <w:r w:rsidRPr="00EC3A8E">
        <w:rPr>
          <w:rFonts w:eastAsia="SimSun"/>
          <w:color w:val="000000"/>
          <w:sz w:val="24"/>
          <w:szCs w:val="24"/>
          <w:lang w:val="en-US" w:eastAsia="es-ES"/>
        </w:rPr>
        <w:t xml:space="preserve"> by aromatic hydroxylation, but many different hydroxylated and methylated metabolites are formed, and found as free metabolites and as glucuronide and sulphate conjugates. The metabolic clearance rate is approximately 5 ml/min/kg.</w:t>
      </w:r>
    </w:p>
    <w:p w14:paraId="2028162A" w14:textId="2FA64439" w:rsidR="00BC778D" w:rsidRDefault="00BC778D">
      <w:pPr>
        <w:rPr>
          <w:rFonts w:eastAsia="SimSun"/>
          <w:color w:val="000000"/>
          <w:sz w:val="24"/>
          <w:szCs w:val="24"/>
          <w:u w:val="single"/>
          <w:lang w:val="en-US" w:eastAsia="es-ES"/>
        </w:rPr>
      </w:pPr>
      <w:r>
        <w:rPr>
          <w:rFonts w:eastAsia="SimSun"/>
          <w:color w:val="000000"/>
          <w:sz w:val="24"/>
          <w:szCs w:val="24"/>
          <w:u w:val="single"/>
          <w:lang w:val="en-US" w:eastAsia="es-ES"/>
        </w:rPr>
        <w:br w:type="page"/>
      </w:r>
    </w:p>
    <w:p w14:paraId="189416C0" w14:textId="77777777" w:rsidR="008F0731" w:rsidRPr="00EC3A8E" w:rsidRDefault="008F0731" w:rsidP="00F626BA">
      <w:pPr>
        <w:ind w:left="851"/>
        <w:rPr>
          <w:rFonts w:eastAsia="SimSun"/>
          <w:color w:val="000000"/>
          <w:sz w:val="24"/>
          <w:szCs w:val="24"/>
          <w:u w:val="single"/>
          <w:lang w:val="en-US" w:eastAsia="es-ES"/>
        </w:rPr>
      </w:pPr>
    </w:p>
    <w:p w14:paraId="5C66F26A" w14:textId="77876484" w:rsidR="00EC30E2" w:rsidRPr="00EC3A8E" w:rsidRDefault="00EC30E2" w:rsidP="00F626BA">
      <w:pPr>
        <w:ind w:left="851"/>
        <w:rPr>
          <w:rFonts w:eastAsia="SimSun"/>
          <w:color w:val="000000"/>
          <w:sz w:val="24"/>
          <w:szCs w:val="24"/>
          <w:u w:val="single"/>
          <w:lang w:val="en-US" w:eastAsia="es-ES"/>
        </w:rPr>
      </w:pPr>
      <w:r w:rsidRPr="00EC3A8E">
        <w:rPr>
          <w:rFonts w:eastAsia="SimSun"/>
          <w:color w:val="000000"/>
          <w:sz w:val="24"/>
          <w:szCs w:val="24"/>
          <w:u w:val="single"/>
          <w:lang w:val="en-US" w:eastAsia="es-ES"/>
        </w:rPr>
        <w:t xml:space="preserve">Elimination </w:t>
      </w:r>
    </w:p>
    <w:p w14:paraId="746EA179" w14:textId="77777777" w:rsidR="00EC30E2" w:rsidRPr="00EC3A8E" w:rsidRDefault="00EC30E2" w:rsidP="00F626BA">
      <w:pPr>
        <w:ind w:left="851"/>
        <w:rPr>
          <w:rFonts w:eastAsia="SimSun"/>
          <w:color w:val="000000"/>
          <w:sz w:val="24"/>
          <w:szCs w:val="24"/>
          <w:lang w:val="en-US" w:eastAsia="es-ES"/>
        </w:rPr>
      </w:pPr>
      <w:r w:rsidRPr="00EC3A8E">
        <w:rPr>
          <w:rFonts w:eastAsia="SimSun"/>
          <w:color w:val="000000"/>
          <w:sz w:val="24"/>
          <w:szCs w:val="24"/>
          <w:lang w:val="en-US" w:eastAsia="es-ES"/>
        </w:rPr>
        <w:t xml:space="preserve">Serum level of </w:t>
      </w:r>
      <w:proofErr w:type="spellStart"/>
      <w:r w:rsidRPr="00EC3A8E">
        <w:rPr>
          <w:rFonts w:eastAsia="SimSun"/>
          <w:color w:val="000000"/>
          <w:sz w:val="24"/>
          <w:szCs w:val="24"/>
          <w:lang w:val="en-US" w:eastAsia="es-ES"/>
        </w:rPr>
        <w:t>ethinylestradiol</w:t>
      </w:r>
      <w:proofErr w:type="spellEnd"/>
      <w:r w:rsidRPr="00EC3A8E">
        <w:rPr>
          <w:rFonts w:eastAsia="SimSun"/>
          <w:color w:val="000000"/>
          <w:sz w:val="24"/>
          <w:szCs w:val="24"/>
          <w:lang w:val="en-US" w:eastAsia="es-ES"/>
        </w:rPr>
        <w:t xml:space="preserve"> is reduced at 2 rates, the last one with a half-life of 24 hours. Unchanged </w:t>
      </w:r>
      <w:proofErr w:type="spellStart"/>
      <w:r w:rsidRPr="00EC3A8E">
        <w:rPr>
          <w:rFonts w:eastAsia="SimSun"/>
          <w:color w:val="000000"/>
          <w:sz w:val="24"/>
          <w:szCs w:val="24"/>
          <w:lang w:val="en-US" w:eastAsia="es-ES"/>
        </w:rPr>
        <w:t>Ethinylestradiol</w:t>
      </w:r>
      <w:proofErr w:type="spellEnd"/>
      <w:r w:rsidRPr="00EC3A8E">
        <w:rPr>
          <w:rFonts w:eastAsia="SimSun"/>
          <w:color w:val="000000"/>
          <w:sz w:val="24"/>
          <w:szCs w:val="24"/>
          <w:lang w:val="en-US" w:eastAsia="es-ES"/>
        </w:rPr>
        <w:t xml:space="preserve"> is not excreted, but its metabolites are excreted in urine and in bile at a ratio of 4:6. The half-life of metabolite excretion is approximately 1 day. </w:t>
      </w:r>
    </w:p>
    <w:p w14:paraId="05F5F8E7" w14:textId="77777777" w:rsidR="008F0731" w:rsidRPr="00EC3A8E" w:rsidRDefault="008F0731" w:rsidP="00F626BA">
      <w:pPr>
        <w:ind w:left="851"/>
        <w:rPr>
          <w:rFonts w:eastAsia="SimSun"/>
          <w:color w:val="000000"/>
          <w:sz w:val="24"/>
          <w:szCs w:val="24"/>
          <w:lang w:val="en-US" w:eastAsia="es-ES"/>
        </w:rPr>
      </w:pPr>
    </w:p>
    <w:p w14:paraId="53359E69" w14:textId="3CE706A0" w:rsidR="00EC30E2" w:rsidRPr="005D22B2" w:rsidRDefault="00EC30E2" w:rsidP="00F626BA">
      <w:pPr>
        <w:ind w:left="851"/>
        <w:rPr>
          <w:rFonts w:eastAsia="SimSun"/>
          <w:color w:val="000000"/>
          <w:sz w:val="24"/>
          <w:szCs w:val="24"/>
          <w:u w:val="single"/>
          <w:lang w:val="en-US" w:eastAsia="es-ES"/>
        </w:rPr>
      </w:pPr>
      <w:r w:rsidRPr="005D22B2">
        <w:rPr>
          <w:rFonts w:eastAsia="SimSun"/>
          <w:color w:val="000000"/>
          <w:sz w:val="24"/>
          <w:szCs w:val="24"/>
          <w:u w:val="single"/>
          <w:lang w:val="en-US" w:eastAsia="es-ES"/>
        </w:rPr>
        <w:t xml:space="preserve">Pharmacokinetic/pharmacodynamics relationship </w:t>
      </w:r>
    </w:p>
    <w:p w14:paraId="4B0AFAEF" w14:textId="77777777" w:rsidR="00EC30E2" w:rsidRPr="00EC3A8E" w:rsidRDefault="00EC30E2" w:rsidP="00F626BA">
      <w:pPr>
        <w:ind w:left="851"/>
        <w:rPr>
          <w:rFonts w:eastAsia="SimSun"/>
          <w:color w:val="000000"/>
          <w:sz w:val="24"/>
          <w:szCs w:val="24"/>
          <w:lang w:val="en-US" w:eastAsia="es-ES"/>
        </w:rPr>
      </w:pPr>
      <w:r w:rsidRPr="00EC3A8E">
        <w:rPr>
          <w:rFonts w:eastAsia="SimSun"/>
          <w:color w:val="000000"/>
          <w:sz w:val="24"/>
          <w:szCs w:val="24"/>
          <w:lang w:val="en-US" w:eastAsia="es-ES"/>
        </w:rPr>
        <w:t xml:space="preserve">Steady-state occurs after 3-4 days, and the serum levels of </w:t>
      </w:r>
      <w:proofErr w:type="spellStart"/>
      <w:r w:rsidRPr="00EC3A8E">
        <w:rPr>
          <w:rFonts w:eastAsia="SimSun"/>
          <w:color w:val="000000"/>
          <w:sz w:val="24"/>
          <w:szCs w:val="24"/>
          <w:lang w:val="en-US" w:eastAsia="es-ES"/>
        </w:rPr>
        <w:t>ethinylestradiol</w:t>
      </w:r>
      <w:proofErr w:type="spellEnd"/>
      <w:r w:rsidRPr="00EC3A8E">
        <w:rPr>
          <w:rFonts w:eastAsia="SimSun"/>
          <w:color w:val="000000"/>
          <w:sz w:val="24"/>
          <w:szCs w:val="24"/>
          <w:lang w:val="en-US" w:eastAsia="es-ES"/>
        </w:rPr>
        <w:t xml:space="preserve"> are 30-40% higher than at single dose.</w:t>
      </w:r>
    </w:p>
    <w:p w14:paraId="43C149BD" w14:textId="77777777" w:rsidR="007C5D2A" w:rsidRPr="00EC3A8E" w:rsidRDefault="007C5D2A" w:rsidP="00C72C33">
      <w:pPr>
        <w:rPr>
          <w:sz w:val="24"/>
          <w:szCs w:val="24"/>
          <w:lang w:val="en-GB"/>
        </w:rPr>
      </w:pPr>
    </w:p>
    <w:p w14:paraId="69369EFD" w14:textId="77777777" w:rsidR="007C5D2A" w:rsidRPr="00EC3A8E" w:rsidRDefault="00180A12" w:rsidP="007C5D2A">
      <w:pPr>
        <w:tabs>
          <w:tab w:val="left" w:pos="851"/>
        </w:tabs>
        <w:ind w:left="851" w:hanging="851"/>
        <w:rPr>
          <w:b/>
          <w:sz w:val="24"/>
          <w:szCs w:val="24"/>
          <w:lang w:val="en-GB"/>
        </w:rPr>
      </w:pPr>
      <w:r w:rsidRPr="00EC3A8E">
        <w:rPr>
          <w:b/>
          <w:sz w:val="24"/>
          <w:szCs w:val="24"/>
          <w:lang w:val="en-GB"/>
        </w:rPr>
        <w:t>5.3</w:t>
      </w:r>
      <w:r w:rsidRPr="00EC3A8E">
        <w:rPr>
          <w:b/>
          <w:sz w:val="24"/>
          <w:szCs w:val="24"/>
          <w:lang w:val="en-GB"/>
        </w:rPr>
        <w:tab/>
        <w:t>Preclinical safety data</w:t>
      </w:r>
    </w:p>
    <w:p w14:paraId="677C1212" w14:textId="0962A285" w:rsidR="00EC30E2" w:rsidRPr="00EC3A8E" w:rsidRDefault="00EC30E2" w:rsidP="008F0731">
      <w:pPr>
        <w:ind w:left="851"/>
        <w:rPr>
          <w:rFonts w:eastAsia="SimSun"/>
          <w:sz w:val="24"/>
          <w:szCs w:val="24"/>
          <w:lang w:val="en-US" w:eastAsia="es-ES"/>
        </w:rPr>
      </w:pPr>
      <w:proofErr w:type="spellStart"/>
      <w:r w:rsidRPr="00EC3A8E">
        <w:rPr>
          <w:rFonts w:eastAsia="SimSun"/>
          <w:sz w:val="24"/>
          <w:szCs w:val="24"/>
          <w:lang w:val="en-US" w:eastAsia="es-ES"/>
        </w:rPr>
        <w:t>Ethinylestradiol</w:t>
      </w:r>
      <w:proofErr w:type="spellEnd"/>
      <w:r w:rsidRPr="00EC3A8E">
        <w:rPr>
          <w:rFonts w:eastAsia="SimSun"/>
          <w:sz w:val="24"/>
          <w:szCs w:val="24"/>
          <w:lang w:val="en-US" w:eastAsia="es-ES"/>
        </w:rPr>
        <w:t xml:space="preserve"> and </w:t>
      </w:r>
      <w:proofErr w:type="spellStart"/>
      <w:r w:rsidRPr="00EC3A8E">
        <w:rPr>
          <w:rFonts w:eastAsia="SimSun"/>
          <w:sz w:val="24"/>
          <w:szCs w:val="24"/>
          <w:lang w:val="en-US" w:eastAsia="es-ES"/>
        </w:rPr>
        <w:t>gestodene</w:t>
      </w:r>
      <w:proofErr w:type="spellEnd"/>
      <w:r w:rsidRPr="00EC3A8E">
        <w:rPr>
          <w:rFonts w:eastAsia="SimSun"/>
          <w:sz w:val="24"/>
          <w:szCs w:val="24"/>
          <w:lang w:val="en-US" w:eastAsia="es-ES"/>
        </w:rPr>
        <w:t xml:space="preserve"> are not genotoxic. Carcinogenicity studies with </w:t>
      </w:r>
      <w:proofErr w:type="spellStart"/>
      <w:r w:rsidRPr="00EC3A8E">
        <w:rPr>
          <w:rFonts w:eastAsia="SimSun"/>
          <w:sz w:val="24"/>
          <w:szCs w:val="24"/>
          <w:lang w:val="en-US" w:eastAsia="es-ES"/>
        </w:rPr>
        <w:t>ethinylestradiol</w:t>
      </w:r>
      <w:proofErr w:type="spellEnd"/>
      <w:r w:rsidRPr="00EC3A8E">
        <w:rPr>
          <w:rFonts w:eastAsia="SimSun"/>
          <w:sz w:val="24"/>
          <w:szCs w:val="24"/>
          <w:lang w:val="en-US" w:eastAsia="es-ES"/>
        </w:rPr>
        <w:t xml:space="preserve"> alone or in combination with various progestogens do not indicate any particular carcinogenic hazard to women when used as indicated for contraception. However</w:t>
      </w:r>
      <w:r w:rsidR="00A20B96">
        <w:rPr>
          <w:rFonts w:eastAsia="SimSun"/>
          <w:sz w:val="24"/>
          <w:szCs w:val="24"/>
          <w:lang w:val="en-US" w:eastAsia="es-ES"/>
        </w:rPr>
        <w:t>,</w:t>
      </w:r>
      <w:r w:rsidRPr="00EC3A8E">
        <w:rPr>
          <w:rFonts w:eastAsia="SimSun"/>
          <w:sz w:val="24"/>
          <w:szCs w:val="24"/>
          <w:lang w:val="en-US" w:eastAsia="es-ES"/>
        </w:rPr>
        <w:t xml:space="preserve"> it should be noted that sex hormones can advance the growth of certain hormone-dependent tissues and tumours. </w:t>
      </w:r>
    </w:p>
    <w:p w14:paraId="5E656F1B" w14:textId="77777777" w:rsidR="008F0731" w:rsidRPr="00EC3A8E" w:rsidRDefault="008F0731" w:rsidP="008F0731">
      <w:pPr>
        <w:ind w:left="851"/>
        <w:rPr>
          <w:rFonts w:eastAsia="SimSun"/>
          <w:sz w:val="24"/>
          <w:szCs w:val="24"/>
          <w:lang w:val="en-US" w:eastAsia="es-ES"/>
        </w:rPr>
      </w:pPr>
    </w:p>
    <w:p w14:paraId="1DCE3613" w14:textId="64103F9E" w:rsidR="00EC30E2" w:rsidRPr="00EC3A8E" w:rsidRDefault="00EC30E2" w:rsidP="008F0731">
      <w:pPr>
        <w:ind w:left="851"/>
        <w:rPr>
          <w:rFonts w:eastAsia="SimSun"/>
          <w:sz w:val="24"/>
          <w:szCs w:val="24"/>
          <w:lang w:val="en-US" w:eastAsia="es-ES"/>
        </w:rPr>
      </w:pPr>
      <w:r w:rsidRPr="00EC3A8E">
        <w:rPr>
          <w:rFonts w:eastAsia="SimSun"/>
          <w:sz w:val="24"/>
          <w:szCs w:val="24"/>
          <w:lang w:val="en-US" w:eastAsia="es-ES"/>
        </w:rPr>
        <w:t xml:space="preserve">Reproductive toxicity studies on fertility, development of the fetus or reproductive ability with </w:t>
      </w:r>
      <w:proofErr w:type="spellStart"/>
      <w:r w:rsidRPr="00EC3A8E">
        <w:rPr>
          <w:rFonts w:eastAsia="SimSun"/>
          <w:sz w:val="24"/>
          <w:szCs w:val="24"/>
          <w:lang w:val="en-US" w:eastAsia="es-ES"/>
        </w:rPr>
        <w:t>ethinylestradiol</w:t>
      </w:r>
      <w:proofErr w:type="spellEnd"/>
      <w:r w:rsidRPr="00EC3A8E">
        <w:rPr>
          <w:rFonts w:eastAsia="SimSun"/>
          <w:sz w:val="24"/>
          <w:szCs w:val="24"/>
          <w:lang w:val="en-US" w:eastAsia="es-ES"/>
        </w:rPr>
        <w:t xml:space="preserve"> alone or in combination with progestogens revealed no undesirable effects for humans when used as recommended. </w:t>
      </w:r>
    </w:p>
    <w:p w14:paraId="3CC9512B" w14:textId="280180F7" w:rsidR="007C5D2A" w:rsidRDefault="007C5D2A" w:rsidP="003E0341">
      <w:pPr>
        <w:tabs>
          <w:tab w:val="left" w:pos="851"/>
        </w:tabs>
        <w:ind w:left="851"/>
        <w:rPr>
          <w:sz w:val="24"/>
          <w:szCs w:val="24"/>
          <w:lang w:val="en-GB"/>
        </w:rPr>
      </w:pPr>
    </w:p>
    <w:p w14:paraId="5CBD437E" w14:textId="77777777" w:rsidR="00A20B96" w:rsidRPr="00EC3A8E" w:rsidRDefault="00A20B96" w:rsidP="003E0341">
      <w:pPr>
        <w:tabs>
          <w:tab w:val="left" w:pos="851"/>
        </w:tabs>
        <w:ind w:left="851"/>
        <w:rPr>
          <w:sz w:val="24"/>
          <w:szCs w:val="24"/>
          <w:lang w:val="en-GB"/>
        </w:rPr>
      </w:pPr>
    </w:p>
    <w:p w14:paraId="123BABCD" w14:textId="77777777" w:rsidR="007C5D2A" w:rsidRPr="00EC3A8E" w:rsidRDefault="009925C9" w:rsidP="007C5D2A">
      <w:pPr>
        <w:ind w:left="851" w:hanging="851"/>
        <w:rPr>
          <w:b/>
          <w:sz w:val="24"/>
          <w:szCs w:val="24"/>
          <w:lang w:val="en-GB"/>
        </w:rPr>
      </w:pPr>
      <w:r w:rsidRPr="00EC3A8E">
        <w:rPr>
          <w:b/>
          <w:sz w:val="24"/>
          <w:szCs w:val="24"/>
          <w:lang w:val="en-GB"/>
        </w:rPr>
        <w:t>6.</w:t>
      </w:r>
      <w:r w:rsidR="007C5D2A" w:rsidRPr="00EC3A8E">
        <w:rPr>
          <w:b/>
          <w:sz w:val="24"/>
          <w:szCs w:val="24"/>
          <w:lang w:val="en-GB"/>
        </w:rPr>
        <w:tab/>
        <w:t>PHARMACEUTICAL PARTICULARS</w:t>
      </w:r>
    </w:p>
    <w:p w14:paraId="163A8E66" w14:textId="77777777" w:rsidR="007C5D2A" w:rsidRPr="00EC3A8E" w:rsidRDefault="007C5D2A" w:rsidP="003E0341">
      <w:pPr>
        <w:tabs>
          <w:tab w:val="left" w:pos="851"/>
        </w:tabs>
        <w:ind w:left="851"/>
        <w:rPr>
          <w:sz w:val="24"/>
          <w:szCs w:val="24"/>
          <w:lang w:val="en-GB"/>
        </w:rPr>
      </w:pPr>
    </w:p>
    <w:p w14:paraId="5F759800" w14:textId="77777777" w:rsidR="007C5D2A" w:rsidRPr="00EC3A8E" w:rsidRDefault="007C5D2A" w:rsidP="007C5D2A">
      <w:pPr>
        <w:ind w:left="851" w:hanging="851"/>
        <w:rPr>
          <w:b/>
          <w:sz w:val="24"/>
          <w:szCs w:val="24"/>
          <w:lang w:val="en-GB"/>
        </w:rPr>
      </w:pPr>
      <w:r w:rsidRPr="00EC3A8E">
        <w:rPr>
          <w:b/>
          <w:sz w:val="24"/>
          <w:szCs w:val="24"/>
          <w:lang w:val="en-GB"/>
        </w:rPr>
        <w:t>6.1</w:t>
      </w:r>
      <w:r w:rsidRPr="00EC3A8E">
        <w:rPr>
          <w:b/>
          <w:sz w:val="24"/>
          <w:szCs w:val="24"/>
          <w:lang w:val="en-GB"/>
        </w:rPr>
        <w:tab/>
        <w:t>List of excipients</w:t>
      </w:r>
    </w:p>
    <w:p w14:paraId="063D9944" w14:textId="77777777" w:rsidR="00EC30E2" w:rsidRPr="00EC3A8E" w:rsidRDefault="00EC30E2" w:rsidP="008F0731">
      <w:pPr>
        <w:ind w:left="851"/>
        <w:rPr>
          <w:sz w:val="24"/>
          <w:szCs w:val="24"/>
          <w:lang w:val="en-US"/>
        </w:rPr>
      </w:pPr>
      <w:r w:rsidRPr="00EC3A8E">
        <w:rPr>
          <w:sz w:val="24"/>
          <w:szCs w:val="24"/>
          <w:lang w:val="en-US"/>
        </w:rPr>
        <w:t>Lactose monohydrate</w:t>
      </w:r>
    </w:p>
    <w:p w14:paraId="042D7789" w14:textId="77777777" w:rsidR="00EC30E2" w:rsidRPr="00EC3A8E" w:rsidRDefault="00EC30E2" w:rsidP="008F0731">
      <w:pPr>
        <w:ind w:left="851"/>
        <w:rPr>
          <w:sz w:val="24"/>
          <w:szCs w:val="24"/>
          <w:lang w:val="en-US"/>
        </w:rPr>
      </w:pPr>
      <w:r w:rsidRPr="00EC3A8E">
        <w:rPr>
          <w:sz w:val="24"/>
          <w:szCs w:val="24"/>
          <w:lang w:val="en-US"/>
        </w:rPr>
        <w:t>Microcrystalline cellulose</w:t>
      </w:r>
    </w:p>
    <w:p w14:paraId="5F4F6E3A" w14:textId="77777777" w:rsidR="00EC30E2" w:rsidRPr="00EC3A8E" w:rsidRDefault="00EC30E2" w:rsidP="008F0731">
      <w:pPr>
        <w:ind w:left="851"/>
        <w:rPr>
          <w:sz w:val="24"/>
          <w:szCs w:val="24"/>
          <w:lang w:val="en-US"/>
        </w:rPr>
      </w:pPr>
      <w:r w:rsidRPr="00EC3A8E">
        <w:rPr>
          <w:sz w:val="24"/>
          <w:szCs w:val="24"/>
          <w:lang w:val="en-US"/>
        </w:rPr>
        <w:t>Povidone K-30</w:t>
      </w:r>
    </w:p>
    <w:p w14:paraId="05448E66" w14:textId="77777777" w:rsidR="00EC30E2" w:rsidRPr="00EC3A8E" w:rsidRDefault="00EC30E2" w:rsidP="008F0731">
      <w:pPr>
        <w:ind w:left="851"/>
        <w:rPr>
          <w:sz w:val="24"/>
          <w:szCs w:val="24"/>
          <w:lang w:val="en-US"/>
        </w:rPr>
      </w:pPr>
      <w:r w:rsidRPr="00EC3A8E">
        <w:rPr>
          <w:sz w:val="24"/>
          <w:szCs w:val="24"/>
          <w:lang w:val="en-US"/>
        </w:rPr>
        <w:t>Magnesium stearate</w:t>
      </w:r>
    </w:p>
    <w:p w14:paraId="3217A50A" w14:textId="77777777" w:rsidR="00EC30E2" w:rsidRPr="00EC3A8E" w:rsidRDefault="00EC30E2" w:rsidP="008F0731">
      <w:pPr>
        <w:ind w:left="851"/>
        <w:rPr>
          <w:sz w:val="24"/>
          <w:szCs w:val="24"/>
          <w:lang w:val="en-US"/>
        </w:rPr>
      </w:pPr>
      <w:proofErr w:type="spellStart"/>
      <w:r w:rsidRPr="00EC3A8E">
        <w:rPr>
          <w:sz w:val="24"/>
          <w:szCs w:val="24"/>
          <w:lang w:val="en-US"/>
        </w:rPr>
        <w:t>Polacrilin</w:t>
      </w:r>
      <w:proofErr w:type="spellEnd"/>
      <w:r w:rsidRPr="00EC3A8E">
        <w:rPr>
          <w:sz w:val="24"/>
          <w:szCs w:val="24"/>
          <w:lang w:val="en-US"/>
        </w:rPr>
        <w:t xml:space="preserve"> potassium.</w:t>
      </w:r>
    </w:p>
    <w:p w14:paraId="03DF33AD" w14:textId="77777777" w:rsidR="007C5D2A" w:rsidRPr="00EC3A8E" w:rsidRDefault="007C5D2A" w:rsidP="00C72C33">
      <w:pPr>
        <w:rPr>
          <w:sz w:val="24"/>
          <w:szCs w:val="24"/>
          <w:lang w:val="en-GB"/>
        </w:rPr>
      </w:pPr>
    </w:p>
    <w:p w14:paraId="24CE370F" w14:textId="77777777" w:rsidR="007C5D2A" w:rsidRPr="00EC3A8E" w:rsidRDefault="007C5D2A" w:rsidP="007C5D2A">
      <w:pPr>
        <w:ind w:left="851" w:hanging="851"/>
        <w:rPr>
          <w:b/>
          <w:sz w:val="24"/>
          <w:szCs w:val="24"/>
          <w:lang w:val="en-GB"/>
        </w:rPr>
      </w:pPr>
      <w:r w:rsidRPr="00EC3A8E">
        <w:rPr>
          <w:b/>
          <w:sz w:val="24"/>
          <w:szCs w:val="24"/>
          <w:lang w:val="en-GB"/>
        </w:rPr>
        <w:t>6.2</w:t>
      </w:r>
      <w:r w:rsidRPr="00EC3A8E">
        <w:rPr>
          <w:b/>
          <w:sz w:val="24"/>
          <w:szCs w:val="24"/>
          <w:lang w:val="en-GB"/>
        </w:rPr>
        <w:tab/>
        <w:t>Incompatibilities</w:t>
      </w:r>
    </w:p>
    <w:p w14:paraId="378352C6" w14:textId="77777777" w:rsidR="00EC30E2" w:rsidRPr="00EC3A8E" w:rsidRDefault="00EC30E2" w:rsidP="008F0731">
      <w:pPr>
        <w:ind w:left="851"/>
        <w:rPr>
          <w:noProof/>
          <w:sz w:val="24"/>
          <w:szCs w:val="24"/>
          <w:lang w:val="en-US"/>
        </w:rPr>
      </w:pPr>
      <w:r w:rsidRPr="00EC3A8E">
        <w:rPr>
          <w:noProof/>
          <w:sz w:val="24"/>
          <w:szCs w:val="24"/>
          <w:lang w:val="en-US"/>
        </w:rPr>
        <w:t xml:space="preserve">None known. </w:t>
      </w:r>
    </w:p>
    <w:p w14:paraId="5A699114" w14:textId="77777777" w:rsidR="007C5D2A" w:rsidRPr="00EC3A8E" w:rsidRDefault="007C5D2A" w:rsidP="003E0341">
      <w:pPr>
        <w:tabs>
          <w:tab w:val="left" w:pos="851"/>
        </w:tabs>
        <w:ind w:left="851"/>
        <w:rPr>
          <w:sz w:val="24"/>
          <w:szCs w:val="24"/>
          <w:lang w:val="en-GB"/>
        </w:rPr>
      </w:pPr>
    </w:p>
    <w:p w14:paraId="1EEFA2CE" w14:textId="5D829F53" w:rsidR="007C5D2A" w:rsidRPr="00EC3A8E" w:rsidRDefault="007C5D2A" w:rsidP="007C5D2A">
      <w:pPr>
        <w:ind w:left="851" w:hanging="851"/>
        <w:rPr>
          <w:b/>
          <w:sz w:val="24"/>
          <w:szCs w:val="24"/>
          <w:lang w:val="en-GB"/>
        </w:rPr>
      </w:pPr>
      <w:r w:rsidRPr="00EC3A8E">
        <w:rPr>
          <w:b/>
          <w:sz w:val="24"/>
          <w:szCs w:val="24"/>
          <w:lang w:val="en-GB"/>
        </w:rPr>
        <w:t>6.3</w:t>
      </w:r>
      <w:r w:rsidRPr="00EC3A8E">
        <w:rPr>
          <w:b/>
          <w:sz w:val="24"/>
          <w:szCs w:val="24"/>
          <w:lang w:val="en-GB"/>
        </w:rPr>
        <w:tab/>
        <w:t>Shelf</w:t>
      </w:r>
      <w:r w:rsidR="00C52DE0">
        <w:rPr>
          <w:b/>
          <w:sz w:val="24"/>
          <w:szCs w:val="24"/>
          <w:lang w:val="en-GB"/>
        </w:rPr>
        <w:t xml:space="preserve"> </w:t>
      </w:r>
      <w:r w:rsidRPr="00EC3A8E">
        <w:rPr>
          <w:b/>
          <w:sz w:val="24"/>
          <w:szCs w:val="24"/>
          <w:lang w:val="en-GB"/>
        </w:rPr>
        <w:t>life</w:t>
      </w:r>
    </w:p>
    <w:p w14:paraId="2C5708AE" w14:textId="77777777" w:rsidR="00EC30E2" w:rsidRPr="00EC3A8E" w:rsidRDefault="00EC30E2" w:rsidP="008F0731">
      <w:pPr>
        <w:ind w:left="851"/>
        <w:rPr>
          <w:noProof/>
          <w:sz w:val="24"/>
          <w:szCs w:val="24"/>
          <w:lang w:val="en-US"/>
        </w:rPr>
      </w:pPr>
      <w:r w:rsidRPr="00EC3A8E">
        <w:rPr>
          <w:noProof/>
          <w:sz w:val="24"/>
          <w:szCs w:val="24"/>
          <w:lang w:val="en-US"/>
        </w:rPr>
        <w:t>24 months</w:t>
      </w:r>
    </w:p>
    <w:p w14:paraId="06643333" w14:textId="77777777" w:rsidR="007C5D2A" w:rsidRPr="00EC3A8E" w:rsidRDefault="007C5D2A" w:rsidP="003E0341">
      <w:pPr>
        <w:tabs>
          <w:tab w:val="left" w:pos="851"/>
        </w:tabs>
        <w:ind w:left="851"/>
        <w:rPr>
          <w:sz w:val="24"/>
          <w:szCs w:val="24"/>
          <w:lang w:val="en-GB"/>
        </w:rPr>
      </w:pPr>
    </w:p>
    <w:p w14:paraId="4D0CEFC9" w14:textId="77777777" w:rsidR="007C5D2A" w:rsidRPr="00EC3A8E" w:rsidRDefault="007C5D2A" w:rsidP="007C5D2A">
      <w:pPr>
        <w:ind w:left="851" w:hanging="851"/>
        <w:rPr>
          <w:b/>
          <w:sz w:val="24"/>
          <w:szCs w:val="24"/>
          <w:lang w:val="en-GB"/>
        </w:rPr>
      </w:pPr>
      <w:r w:rsidRPr="00EC3A8E">
        <w:rPr>
          <w:b/>
          <w:sz w:val="24"/>
          <w:szCs w:val="24"/>
          <w:lang w:val="en-GB"/>
        </w:rPr>
        <w:t>6.4</w:t>
      </w:r>
      <w:r w:rsidRPr="00EC3A8E">
        <w:rPr>
          <w:b/>
          <w:sz w:val="24"/>
          <w:szCs w:val="24"/>
          <w:lang w:val="en-GB"/>
        </w:rPr>
        <w:tab/>
        <w:t>Special precautions for storage</w:t>
      </w:r>
    </w:p>
    <w:p w14:paraId="33ECE845" w14:textId="74F8CC2C" w:rsidR="00EC30E2" w:rsidRPr="00EC3A8E" w:rsidRDefault="00EC30E2" w:rsidP="008F0731">
      <w:pPr>
        <w:ind w:left="851"/>
        <w:rPr>
          <w:sz w:val="24"/>
          <w:szCs w:val="24"/>
          <w:lang w:val="en-US" w:eastAsia="sv-SE"/>
        </w:rPr>
      </w:pPr>
      <w:r w:rsidRPr="00EC3A8E">
        <w:rPr>
          <w:sz w:val="24"/>
          <w:szCs w:val="24"/>
          <w:lang w:val="en-US" w:eastAsia="sv-SE"/>
        </w:rPr>
        <w:t>Do not store above 30</w:t>
      </w:r>
      <w:r w:rsidR="003B0CB2">
        <w:rPr>
          <w:sz w:val="24"/>
          <w:szCs w:val="24"/>
          <w:lang w:val="en-US" w:eastAsia="sv-SE"/>
        </w:rPr>
        <w:t xml:space="preserve"> </w:t>
      </w:r>
      <w:r w:rsidRPr="00EC3A8E">
        <w:rPr>
          <w:sz w:val="24"/>
          <w:szCs w:val="24"/>
          <w:lang w:val="en-US" w:eastAsia="sv-SE"/>
        </w:rPr>
        <w:t>ºC. Keep the blister in the outer carton, in order to protect from light.</w:t>
      </w:r>
    </w:p>
    <w:p w14:paraId="39EF092B" w14:textId="77777777" w:rsidR="007C5D2A" w:rsidRPr="00EC3A8E" w:rsidRDefault="007C5D2A" w:rsidP="003E0341">
      <w:pPr>
        <w:tabs>
          <w:tab w:val="left" w:pos="851"/>
        </w:tabs>
        <w:ind w:left="851"/>
        <w:rPr>
          <w:sz w:val="24"/>
          <w:szCs w:val="24"/>
          <w:lang w:val="en-GB"/>
        </w:rPr>
      </w:pPr>
    </w:p>
    <w:p w14:paraId="223F8C0B" w14:textId="77777777" w:rsidR="007C5D2A" w:rsidRPr="00EC3A8E" w:rsidRDefault="007C5D2A" w:rsidP="007C5D2A">
      <w:pPr>
        <w:ind w:left="851" w:hanging="851"/>
        <w:rPr>
          <w:b/>
          <w:sz w:val="24"/>
          <w:szCs w:val="24"/>
          <w:lang w:val="en-GB"/>
        </w:rPr>
      </w:pPr>
      <w:r w:rsidRPr="00EC3A8E">
        <w:rPr>
          <w:b/>
          <w:sz w:val="24"/>
          <w:szCs w:val="24"/>
          <w:lang w:val="en-GB"/>
        </w:rPr>
        <w:t>6.5</w:t>
      </w:r>
      <w:r w:rsidRPr="00EC3A8E">
        <w:rPr>
          <w:b/>
          <w:sz w:val="24"/>
          <w:szCs w:val="24"/>
          <w:lang w:val="en-GB"/>
        </w:rPr>
        <w:tab/>
        <w:t>Nature and contents of container</w:t>
      </w:r>
    </w:p>
    <w:p w14:paraId="03F9296A" w14:textId="77777777" w:rsidR="007A30F0" w:rsidRPr="00EC3A8E" w:rsidRDefault="007A30F0" w:rsidP="008F0731">
      <w:pPr>
        <w:ind w:left="851"/>
        <w:rPr>
          <w:sz w:val="24"/>
          <w:szCs w:val="24"/>
          <w:lang w:val="en-US"/>
        </w:rPr>
      </w:pPr>
      <w:r w:rsidRPr="00EC3A8E">
        <w:rPr>
          <w:sz w:val="24"/>
          <w:szCs w:val="24"/>
          <w:lang w:val="en-US"/>
        </w:rPr>
        <w:t>Clear to slightly opaque transparent - PVC/</w:t>
      </w:r>
      <w:proofErr w:type="spellStart"/>
      <w:r w:rsidRPr="00EC3A8E">
        <w:rPr>
          <w:sz w:val="24"/>
          <w:szCs w:val="24"/>
          <w:lang w:val="en-US"/>
        </w:rPr>
        <w:t>PVdC</w:t>
      </w:r>
      <w:proofErr w:type="spellEnd"/>
      <w:r w:rsidRPr="00EC3A8E">
        <w:rPr>
          <w:sz w:val="24"/>
          <w:szCs w:val="24"/>
          <w:lang w:val="en-US"/>
        </w:rPr>
        <w:t>-Al blister.</w:t>
      </w:r>
    </w:p>
    <w:p w14:paraId="08B68328" w14:textId="77777777" w:rsidR="007A30F0" w:rsidRPr="00EC3A8E" w:rsidRDefault="007A30F0" w:rsidP="008F0731">
      <w:pPr>
        <w:ind w:left="851"/>
        <w:rPr>
          <w:sz w:val="24"/>
          <w:szCs w:val="24"/>
          <w:lang w:val="en-US"/>
        </w:rPr>
      </w:pPr>
      <w:r w:rsidRPr="00EC3A8E">
        <w:rPr>
          <w:sz w:val="24"/>
          <w:szCs w:val="24"/>
          <w:lang w:val="en-US"/>
        </w:rPr>
        <w:t>Pack sizes:</w:t>
      </w:r>
    </w:p>
    <w:p w14:paraId="5CD2391F" w14:textId="36CDDC8F" w:rsidR="007A30F0" w:rsidRPr="00EC3A8E" w:rsidRDefault="007A30F0" w:rsidP="008F0731">
      <w:pPr>
        <w:ind w:left="851"/>
        <w:rPr>
          <w:sz w:val="24"/>
          <w:szCs w:val="24"/>
          <w:lang w:val="en-US"/>
        </w:rPr>
      </w:pPr>
      <w:r w:rsidRPr="00EC3A8E">
        <w:rPr>
          <w:sz w:val="24"/>
          <w:szCs w:val="24"/>
          <w:lang w:val="en-US"/>
        </w:rPr>
        <w:t xml:space="preserve">1 </w:t>
      </w:r>
      <w:r w:rsidR="00A20B96">
        <w:rPr>
          <w:sz w:val="24"/>
          <w:szCs w:val="24"/>
          <w:lang w:val="en-US"/>
        </w:rPr>
        <w:t>×</w:t>
      </w:r>
      <w:r w:rsidRPr="00EC3A8E">
        <w:rPr>
          <w:sz w:val="24"/>
          <w:szCs w:val="24"/>
          <w:lang w:val="en-US"/>
        </w:rPr>
        <w:t>21 tablets</w:t>
      </w:r>
    </w:p>
    <w:p w14:paraId="07E63ED2" w14:textId="302EAC7C" w:rsidR="007A30F0" w:rsidRPr="00EC3A8E" w:rsidRDefault="007A30F0" w:rsidP="008F0731">
      <w:pPr>
        <w:ind w:left="851"/>
        <w:rPr>
          <w:sz w:val="24"/>
          <w:szCs w:val="24"/>
          <w:lang w:val="en-US"/>
        </w:rPr>
      </w:pPr>
      <w:r w:rsidRPr="00EC3A8E">
        <w:rPr>
          <w:sz w:val="24"/>
          <w:szCs w:val="24"/>
          <w:lang w:val="en-US"/>
        </w:rPr>
        <w:t xml:space="preserve">3 </w:t>
      </w:r>
      <w:r w:rsidR="00A20B96">
        <w:rPr>
          <w:sz w:val="24"/>
          <w:szCs w:val="24"/>
          <w:lang w:val="en-US"/>
        </w:rPr>
        <w:t>×</w:t>
      </w:r>
      <w:r w:rsidRPr="00EC3A8E">
        <w:rPr>
          <w:sz w:val="24"/>
          <w:szCs w:val="24"/>
          <w:lang w:val="en-US"/>
        </w:rPr>
        <w:t xml:space="preserve"> 21 tablets </w:t>
      </w:r>
    </w:p>
    <w:p w14:paraId="2704A8A0" w14:textId="3AFC95C1" w:rsidR="007A30F0" w:rsidRPr="00EC3A8E" w:rsidRDefault="007A30F0" w:rsidP="008F0731">
      <w:pPr>
        <w:ind w:left="851"/>
        <w:rPr>
          <w:sz w:val="24"/>
          <w:szCs w:val="24"/>
          <w:lang w:val="en-US"/>
        </w:rPr>
      </w:pPr>
      <w:r w:rsidRPr="00EC3A8E">
        <w:rPr>
          <w:sz w:val="24"/>
          <w:szCs w:val="24"/>
          <w:lang w:val="en-US"/>
        </w:rPr>
        <w:t xml:space="preserve">6 </w:t>
      </w:r>
      <w:r w:rsidR="00A20B96">
        <w:rPr>
          <w:sz w:val="24"/>
          <w:szCs w:val="24"/>
          <w:lang w:val="en-US"/>
        </w:rPr>
        <w:t>×</w:t>
      </w:r>
      <w:r w:rsidRPr="00EC3A8E">
        <w:rPr>
          <w:sz w:val="24"/>
          <w:szCs w:val="24"/>
          <w:lang w:val="en-US"/>
        </w:rPr>
        <w:t xml:space="preserve"> 21 tablets </w:t>
      </w:r>
    </w:p>
    <w:p w14:paraId="78C5CDA6" w14:textId="77777777" w:rsidR="007A30F0" w:rsidRPr="00EC3A8E" w:rsidRDefault="007A30F0" w:rsidP="008F0731">
      <w:pPr>
        <w:ind w:left="851"/>
        <w:rPr>
          <w:sz w:val="24"/>
          <w:szCs w:val="24"/>
          <w:lang w:val="en-US"/>
        </w:rPr>
      </w:pPr>
      <w:r w:rsidRPr="00EC3A8E">
        <w:rPr>
          <w:sz w:val="24"/>
          <w:szCs w:val="24"/>
          <w:lang w:val="en-US"/>
        </w:rPr>
        <w:t>Not all pack sizes may be marketed.</w:t>
      </w:r>
    </w:p>
    <w:p w14:paraId="5333AFF9" w14:textId="77777777" w:rsidR="007C5D2A" w:rsidRPr="00EC3A8E" w:rsidRDefault="007C5D2A" w:rsidP="003E0341">
      <w:pPr>
        <w:tabs>
          <w:tab w:val="left" w:pos="851"/>
        </w:tabs>
        <w:ind w:left="851"/>
        <w:rPr>
          <w:sz w:val="24"/>
          <w:szCs w:val="24"/>
          <w:lang w:val="en-GB"/>
        </w:rPr>
      </w:pPr>
    </w:p>
    <w:p w14:paraId="00F2C218" w14:textId="77777777" w:rsidR="007C5D2A" w:rsidRPr="00EC3A8E" w:rsidRDefault="007C5D2A" w:rsidP="007C5D2A">
      <w:pPr>
        <w:ind w:left="851" w:hanging="851"/>
        <w:rPr>
          <w:b/>
          <w:sz w:val="24"/>
          <w:szCs w:val="24"/>
          <w:lang w:val="en-GB"/>
        </w:rPr>
      </w:pPr>
      <w:r w:rsidRPr="00EC3A8E">
        <w:rPr>
          <w:b/>
          <w:sz w:val="24"/>
          <w:szCs w:val="24"/>
          <w:lang w:val="en-GB"/>
        </w:rPr>
        <w:t>6.6</w:t>
      </w:r>
      <w:r w:rsidRPr="00EC3A8E">
        <w:rPr>
          <w:b/>
          <w:sz w:val="24"/>
          <w:szCs w:val="24"/>
          <w:lang w:val="en-GB"/>
        </w:rPr>
        <w:tab/>
        <w:t>Special precautions for disposal and other handling</w:t>
      </w:r>
    </w:p>
    <w:p w14:paraId="5772C86F" w14:textId="77777777" w:rsidR="00D6623D" w:rsidRPr="00EC3A8E" w:rsidRDefault="00D6623D" w:rsidP="008F0731">
      <w:pPr>
        <w:ind w:left="851"/>
        <w:rPr>
          <w:noProof/>
          <w:sz w:val="24"/>
          <w:szCs w:val="24"/>
          <w:lang w:val="en-US"/>
        </w:rPr>
      </w:pPr>
      <w:r w:rsidRPr="00EC3A8E">
        <w:rPr>
          <w:noProof/>
          <w:sz w:val="24"/>
          <w:szCs w:val="24"/>
          <w:lang w:val="en-US"/>
        </w:rPr>
        <w:t>No special requirements.</w:t>
      </w:r>
    </w:p>
    <w:p w14:paraId="137AC28D" w14:textId="77777777" w:rsidR="007C5D2A" w:rsidRPr="00EC3A8E" w:rsidRDefault="007C5D2A" w:rsidP="00AB4376">
      <w:pPr>
        <w:tabs>
          <w:tab w:val="left" w:pos="851"/>
        </w:tabs>
        <w:ind w:left="851"/>
        <w:rPr>
          <w:sz w:val="24"/>
          <w:szCs w:val="24"/>
          <w:lang w:val="en-GB"/>
        </w:rPr>
      </w:pPr>
    </w:p>
    <w:p w14:paraId="678666AC" w14:textId="77777777" w:rsidR="007C5D2A" w:rsidRPr="00EC3A8E" w:rsidRDefault="007C5D2A" w:rsidP="007C5D2A">
      <w:pPr>
        <w:tabs>
          <w:tab w:val="left" w:pos="851"/>
        </w:tabs>
        <w:ind w:left="851" w:hanging="851"/>
        <w:jc w:val="both"/>
        <w:rPr>
          <w:b/>
          <w:sz w:val="24"/>
          <w:szCs w:val="24"/>
          <w:lang w:val="en-GB"/>
        </w:rPr>
      </w:pPr>
      <w:r w:rsidRPr="00EC3A8E">
        <w:rPr>
          <w:b/>
          <w:sz w:val="24"/>
          <w:szCs w:val="24"/>
          <w:lang w:val="en-GB"/>
        </w:rPr>
        <w:t>7.</w:t>
      </w:r>
      <w:r w:rsidRPr="00EC3A8E">
        <w:rPr>
          <w:b/>
          <w:sz w:val="24"/>
          <w:szCs w:val="24"/>
          <w:lang w:val="en-GB"/>
        </w:rPr>
        <w:tab/>
        <w:t>MARKETING AUTHORISATION HOLDER</w:t>
      </w:r>
    </w:p>
    <w:p w14:paraId="0958ACD7" w14:textId="77777777" w:rsidR="00956893" w:rsidRPr="00956893" w:rsidRDefault="00956893" w:rsidP="00956893">
      <w:pPr>
        <w:tabs>
          <w:tab w:val="left" w:pos="851"/>
        </w:tabs>
        <w:ind w:left="851"/>
        <w:jc w:val="both"/>
        <w:rPr>
          <w:sz w:val="24"/>
          <w:szCs w:val="24"/>
        </w:rPr>
      </w:pPr>
      <w:r w:rsidRPr="00956893">
        <w:rPr>
          <w:sz w:val="24"/>
          <w:szCs w:val="24"/>
        </w:rPr>
        <w:t>Medical Valley Invest AB</w:t>
      </w:r>
    </w:p>
    <w:p w14:paraId="29EB77FC" w14:textId="77777777" w:rsidR="00956893" w:rsidRPr="00956893" w:rsidRDefault="00956893" w:rsidP="00956893">
      <w:pPr>
        <w:tabs>
          <w:tab w:val="left" w:pos="851"/>
        </w:tabs>
        <w:ind w:left="851"/>
        <w:jc w:val="both"/>
        <w:rPr>
          <w:sz w:val="24"/>
          <w:szCs w:val="24"/>
        </w:rPr>
      </w:pPr>
      <w:proofErr w:type="spellStart"/>
      <w:r w:rsidRPr="00956893">
        <w:rPr>
          <w:sz w:val="24"/>
          <w:szCs w:val="24"/>
        </w:rPr>
        <w:t>Brädgårdsvägen</w:t>
      </w:r>
      <w:proofErr w:type="spellEnd"/>
      <w:r w:rsidRPr="00956893">
        <w:rPr>
          <w:sz w:val="24"/>
          <w:szCs w:val="24"/>
        </w:rPr>
        <w:t xml:space="preserve"> 28, </w:t>
      </w:r>
    </w:p>
    <w:p w14:paraId="4966B87F" w14:textId="77777777" w:rsidR="00956893" w:rsidRPr="00956893" w:rsidRDefault="00956893" w:rsidP="00956893">
      <w:pPr>
        <w:tabs>
          <w:tab w:val="left" w:pos="851"/>
        </w:tabs>
        <w:ind w:left="851"/>
        <w:jc w:val="both"/>
        <w:rPr>
          <w:sz w:val="24"/>
          <w:szCs w:val="24"/>
        </w:rPr>
      </w:pPr>
      <w:r w:rsidRPr="00956893">
        <w:rPr>
          <w:sz w:val="24"/>
          <w:szCs w:val="24"/>
        </w:rPr>
        <w:t xml:space="preserve">236 32 </w:t>
      </w:r>
      <w:proofErr w:type="spellStart"/>
      <w:r w:rsidRPr="00956893">
        <w:rPr>
          <w:sz w:val="24"/>
          <w:szCs w:val="24"/>
        </w:rPr>
        <w:t>Höllviken</w:t>
      </w:r>
      <w:proofErr w:type="spellEnd"/>
      <w:r w:rsidRPr="00956893">
        <w:rPr>
          <w:sz w:val="24"/>
          <w:szCs w:val="24"/>
        </w:rPr>
        <w:t>,</w:t>
      </w:r>
    </w:p>
    <w:p w14:paraId="5E7B19B9" w14:textId="1BBE7094" w:rsidR="00A603EB" w:rsidRPr="00956893" w:rsidRDefault="00956893" w:rsidP="00956893">
      <w:pPr>
        <w:tabs>
          <w:tab w:val="left" w:pos="851"/>
        </w:tabs>
        <w:ind w:left="851"/>
        <w:jc w:val="both"/>
        <w:rPr>
          <w:sz w:val="24"/>
          <w:szCs w:val="24"/>
          <w:lang w:val="en-US"/>
        </w:rPr>
      </w:pPr>
      <w:r w:rsidRPr="00956893">
        <w:rPr>
          <w:sz w:val="24"/>
          <w:szCs w:val="24"/>
          <w:lang w:val="en-US"/>
        </w:rPr>
        <w:t>S</w:t>
      </w:r>
      <w:r w:rsidRPr="00956893">
        <w:rPr>
          <w:sz w:val="24"/>
          <w:szCs w:val="24"/>
          <w:lang w:val="en-US"/>
        </w:rPr>
        <w:t>we</w:t>
      </w:r>
      <w:r>
        <w:rPr>
          <w:sz w:val="24"/>
          <w:szCs w:val="24"/>
          <w:lang w:val="en-US"/>
        </w:rPr>
        <w:t>den</w:t>
      </w:r>
    </w:p>
    <w:p w14:paraId="1DDDC278" w14:textId="77777777" w:rsidR="00956893" w:rsidRPr="00956893" w:rsidRDefault="00956893" w:rsidP="00956893">
      <w:pPr>
        <w:tabs>
          <w:tab w:val="left" w:pos="851"/>
        </w:tabs>
        <w:ind w:left="851"/>
        <w:jc w:val="both"/>
        <w:rPr>
          <w:sz w:val="24"/>
          <w:szCs w:val="24"/>
          <w:lang w:val="en-US"/>
        </w:rPr>
      </w:pPr>
    </w:p>
    <w:p w14:paraId="2A35DDFC" w14:textId="77777777" w:rsidR="007C5D2A" w:rsidRPr="00EC3A8E" w:rsidRDefault="007C5D2A" w:rsidP="007C5D2A">
      <w:pPr>
        <w:ind w:left="851" w:hanging="851"/>
        <w:jc w:val="both"/>
        <w:rPr>
          <w:b/>
          <w:sz w:val="24"/>
          <w:szCs w:val="24"/>
          <w:lang w:val="en-GB"/>
        </w:rPr>
      </w:pPr>
      <w:r w:rsidRPr="00EC3A8E">
        <w:rPr>
          <w:b/>
          <w:sz w:val="24"/>
          <w:szCs w:val="24"/>
          <w:lang w:val="en-GB"/>
        </w:rPr>
        <w:t>8.</w:t>
      </w:r>
      <w:r w:rsidRPr="00EC3A8E">
        <w:rPr>
          <w:b/>
          <w:sz w:val="24"/>
          <w:szCs w:val="24"/>
          <w:lang w:val="en-GB"/>
        </w:rPr>
        <w:tab/>
        <w:t>MARKETING AUTHORISATION NUMBER(S)</w:t>
      </w:r>
    </w:p>
    <w:p w14:paraId="6F91C9E9" w14:textId="562F48F2" w:rsidR="007C5D2A" w:rsidRPr="00EC3A8E" w:rsidRDefault="0072060F" w:rsidP="00A85D26">
      <w:pPr>
        <w:tabs>
          <w:tab w:val="left" w:pos="851"/>
        </w:tabs>
        <w:ind w:left="851"/>
        <w:jc w:val="both"/>
        <w:rPr>
          <w:sz w:val="24"/>
          <w:szCs w:val="24"/>
          <w:lang w:val="en-GB"/>
        </w:rPr>
      </w:pPr>
      <w:r w:rsidRPr="00EC3A8E">
        <w:rPr>
          <w:sz w:val="24"/>
          <w:szCs w:val="24"/>
          <w:lang w:val="en-GB"/>
        </w:rPr>
        <w:t>63877</w:t>
      </w:r>
    </w:p>
    <w:p w14:paraId="46FBE6C8" w14:textId="77777777" w:rsidR="007C5D2A" w:rsidRPr="00EC3A8E" w:rsidRDefault="007C5D2A" w:rsidP="00180A12">
      <w:pPr>
        <w:tabs>
          <w:tab w:val="left" w:pos="851"/>
        </w:tabs>
        <w:ind w:left="851"/>
        <w:jc w:val="both"/>
        <w:rPr>
          <w:sz w:val="24"/>
          <w:szCs w:val="24"/>
          <w:lang w:val="en-GB"/>
        </w:rPr>
      </w:pPr>
    </w:p>
    <w:p w14:paraId="48D1594D" w14:textId="77777777" w:rsidR="007C5D2A" w:rsidRPr="00EC3A8E" w:rsidRDefault="007C5D2A" w:rsidP="007C5D2A">
      <w:pPr>
        <w:tabs>
          <w:tab w:val="left" w:pos="851"/>
        </w:tabs>
        <w:jc w:val="both"/>
        <w:rPr>
          <w:sz w:val="24"/>
          <w:szCs w:val="24"/>
          <w:lang w:val="en-GB"/>
        </w:rPr>
      </w:pPr>
      <w:r w:rsidRPr="00EC3A8E">
        <w:rPr>
          <w:b/>
          <w:sz w:val="24"/>
          <w:szCs w:val="24"/>
          <w:lang w:val="en-GB"/>
        </w:rPr>
        <w:t>9.</w:t>
      </w:r>
      <w:r w:rsidRPr="00EC3A8E">
        <w:rPr>
          <w:b/>
          <w:sz w:val="24"/>
          <w:szCs w:val="24"/>
          <w:lang w:val="en-GB"/>
        </w:rPr>
        <w:tab/>
        <w:t>DATE OF FIRST AUTHORISATION</w:t>
      </w:r>
    </w:p>
    <w:p w14:paraId="225BC63A" w14:textId="596C958A" w:rsidR="007C5D2A" w:rsidRPr="00EC3A8E" w:rsidRDefault="005D22B2" w:rsidP="00A85D26">
      <w:pPr>
        <w:ind w:left="851"/>
        <w:jc w:val="both"/>
        <w:rPr>
          <w:sz w:val="24"/>
          <w:szCs w:val="24"/>
          <w:lang w:val="en-GB"/>
        </w:rPr>
      </w:pPr>
      <w:r>
        <w:rPr>
          <w:sz w:val="24"/>
          <w:szCs w:val="24"/>
          <w:lang w:val="en-GB"/>
        </w:rPr>
        <w:t>23 May 2022</w:t>
      </w:r>
    </w:p>
    <w:p w14:paraId="35D05E16" w14:textId="77777777" w:rsidR="007C5D2A" w:rsidRPr="00EC3A8E" w:rsidRDefault="007C5D2A" w:rsidP="003E0341">
      <w:pPr>
        <w:tabs>
          <w:tab w:val="left" w:pos="851"/>
        </w:tabs>
        <w:ind w:left="851"/>
        <w:jc w:val="both"/>
        <w:rPr>
          <w:sz w:val="24"/>
          <w:szCs w:val="24"/>
          <w:lang w:val="en-GB"/>
        </w:rPr>
      </w:pPr>
    </w:p>
    <w:p w14:paraId="15B6429E" w14:textId="77777777" w:rsidR="007C5D2A" w:rsidRPr="00EC3A8E" w:rsidRDefault="007C5D2A" w:rsidP="007C5D2A">
      <w:pPr>
        <w:tabs>
          <w:tab w:val="left" w:pos="851"/>
        </w:tabs>
        <w:jc w:val="both"/>
        <w:rPr>
          <w:sz w:val="24"/>
          <w:szCs w:val="24"/>
          <w:lang w:val="en-GB"/>
        </w:rPr>
      </w:pPr>
      <w:r w:rsidRPr="00EC3A8E">
        <w:rPr>
          <w:b/>
          <w:sz w:val="24"/>
          <w:szCs w:val="24"/>
          <w:lang w:val="en-GB"/>
        </w:rPr>
        <w:t>10.</w:t>
      </w:r>
      <w:r w:rsidRPr="00EC3A8E">
        <w:rPr>
          <w:b/>
          <w:sz w:val="24"/>
          <w:szCs w:val="24"/>
          <w:lang w:val="en-GB"/>
        </w:rPr>
        <w:tab/>
        <w:t>DATE OF REVISION OF THE TEXT</w:t>
      </w:r>
    </w:p>
    <w:p w14:paraId="0C266BF6" w14:textId="6C6EF659" w:rsidR="007C5D2A" w:rsidRPr="00EC3A8E" w:rsidRDefault="00956893" w:rsidP="003E0341">
      <w:pPr>
        <w:tabs>
          <w:tab w:val="left" w:pos="851"/>
        </w:tabs>
        <w:ind w:left="851"/>
        <w:jc w:val="both"/>
        <w:rPr>
          <w:sz w:val="24"/>
          <w:szCs w:val="24"/>
          <w:lang w:val="en-GB"/>
        </w:rPr>
      </w:pPr>
      <w:r>
        <w:rPr>
          <w:sz w:val="24"/>
          <w:szCs w:val="24"/>
          <w:lang w:val="en-GB"/>
        </w:rPr>
        <w:t>17 March 2025</w:t>
      </w:r>
    </w:p>
    <w:sectPr w:rsidR="007C5D2A" w:rsidRPr="00EC3A8E"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C0210" w14:textId="77777777" w:rsidR="00F17159" w:rsidRDefault="00F17159">
      <w:r>
        <w:separator/>
      </w:r>
    </w:p>
  </w:endnote>
  <w:endnote w:type="continuationSeparator" w:id="0">
    <w:p w14:paraId="329B4722" w14:textId="77777777" w:rsidR="00F17159" w:rsidRDefault="00F1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9074E" w14:textId="77777777" w:rsidR="00F17159" w:rsidRDefault="00F1715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29168" w14:textId="77777777" w:rsidR="00F17159" w:rsidRDefault="00F17159">
    <w:pPr>
      <w:pStyle w:val="Sidefod"/>
      <w:pBdr>
        <w:bottom w:val="single" w:sz="6" w:space="1" w:color="auto"/>
      </w:pBdr>
    </w:pPr>
  </w:p>
  <w:p w14:paraId="08E1288A" w14:textId="77777777" w:rsidR="00F17159" w:rsidRDefault="00F17159">
    <w:pPr>
      <w:pStyle w:val="Sidefod"/>
      <w:tabs>
        <w:tab w:val="clear" w:pos="4819"/>
        <w:tab w:val="left" w:pos="8647"/>
      </w:tabs>
      <w:rPr>
        <w:i/>
        <w:snapToGrid w:val="0"/>
        <w:sz w:val="18"/>
      </w:rPr>
    </w:pPr>
  </w:p>
  <w:p w14:paraId="40DCE856" w14:textId="0F46BE9D" w:rsidR="00F17159" w:rsidRDefault="00F17159"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5D22B2">
      <w:rPr>
        <w:i/>
        <w:noProof/>
        <w:snapToGrid w:val="0"/>
        <w:sz w:val="18"/>
      </w:rPr>
      <w:t>Ciclomex, filmovertrukne tabletter 75 mikrogram+20 mikrogram.docx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E7DC9" w14:textId="77777777" w:rsidR="00F17159" w:rsidRDefault="00F17159">
    <w:pPr>
      <w:pStyle w:val="Sidefod"/>
      <w:pBdr>
        <w:bottom w:val="single" w:sz="6" w:space="1" w:color="auto"/>
      </w:pBdr>
      <w:tabs>
        <w:tab w:val="clear" w:pos="4819"/>
        <w:tab w:val="left" w:pos="8789"/>
      </w:tabs>
      <w:rPr>
        <w:i/>
        <w:snapToGrid w:val="0"/>
        <w:sz w:val="18"/>
      </w:rPr>
    </w:pPr>
  </w:p>
  <w:p w14:paraId="3AAC5905" w14:textId="77777777" w:rsidR="00F17159" w:rsidRDefault="00F17159">
    <w:pPr>
      <w:pStyle w:val="Sidefod"/>
      <w:tabs>
        <w:tab w:val="clear" w:pos="4819"/>
        <w:tab w:val="left" w:pos="8789"/>
      </w:tabs>
      <w:rPr>
        <w:i/>
        <w:snapToGrid w:val="0"/>
        <w:sz w:val="18"/>
      </w:rPr>
    </w:pPr>
  </w:p>
  <w:p w14:paraId="00DFD5DC" w14:textId="50D988BB" w:rsidR="00F17159" w:rsidRDefault="00F17159">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5D22B2">
      <w:rPr>
        <w:i/>
        <w:noProof/>
        <w:snapToGrid w:val="0"/>
        <w:sz w:val="18"/>
      </w:rPr>
      <w:t>Ciclomex, filmovertrukne tabletter 75 mikrogram+20 mikrogram.docx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6C43F" w14:textId="77777777" w:rsidR="00F17159" w:rsidRDefault="00F17159">
      <w:r>
        <w:separator/>
      </w:r>
    </w:p>
  </w:footnote>
  <w:footnote w:type="continuationSeparator" w:id="0">
    <w:p w14:paraId="422FD072" w14:textId="77777777" w:rsidR="00F17159" w:rsidRDefault="00F17159">
      <w:r>
        <w:continuationSeparator/>
      </w:r>
    </w:p>
  </w:footnote>
  <w:footnote w:id="1">
    <w:p w14:paraId="31EDEC0B" w14:textId="77777777" w:rsidR="00F17159" w:rsidRDefault="00F17159" w:rsidP="001278EF">
      <w:pPr>
        <w:pStyle w:val="Fodnotetekst"/>
      </w:pPr>
      <w:r>
        <w:rPr>
          <w:rStyle w:val="Fodnotehenvisning"/>
        </w:rPr>
        <w:footnoteRef/>
      </w:r>
      <w:r>
        <w:t xml:space="preserve"> These incidences were estimated from the totality of the epidemiological study data, using relative risks for the different products compared with levonorgestrel-containing CHCs. </w:t>
      </w:r>
    </w:p>
  </w:footnote>
  <w:footnote w:id="2">
    <w:p w14:paraId="0F853385" w14:textId="77777777" w:rsidR="00F17159" w:rsidRDefault="00F17159" w:rsidP="001278EF">
      <w:pPr>
        <w:pStyle w:val="Fodnotetekst"/>
      </w:pPr>
      <w:r>
        <w:rPr>
          <w:rStyle w:val="Fodnotehenvisning"/>
        </w:rPr>
        <w:footnoteRef/>
      </w:r>
      <w:r>
        <w:t xml:space="preserve"> Mid-point of range of 5-7 per 10,000 WY, based on a relative risk for CHCs containing levonorgestrel versus non-use of approximately 2.3 to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39D98" w14:textId="77777777" w:rsidR="00F17159" w:rsidRDefault="00F1715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34431" w14:textId="77777777" w:rsidR="00F17159" w:rsidRDefault="00F17159">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71C37" w14:textId="77777777" w:rsidR="00F17159" w:rsidRDefault="00F1715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8CF1AB1"/>
    <w:multiLevelType w:val="hybridMultilevel"/>
    <w:tmpl w:val="55A4EE6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3" w15:restartNumberingAfterBreak="0">
    <w:nsid w:val="0A0D4E7D"/>
    <w:multiLevelType w:val="hybridMultilevel"/>
    <w:tmpl w:val="B7969F8C"/>
    <w:lvl w:ilvl="0" w:tplc="73340428">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4" w15:restartNumberingAfterBreak="0">
    <w:nsid w:val="109677BA"/>
    <w:multiLevelType w:val="hybridMultilevel"/>
    <w:tmpl w:val="BBC4D454"/>
    <w:lvl w:ilvl="0" w:tplc="4D6482D4">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7F081E"/>
    <w:multiLevelType w:val="hybridMultilevel"/>
    <w:tmpl w:val="55EEE708"/>
    <w:lvl w:ilvl="0" w:tplc="73340428">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6"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946480"/>
    <w:multiLevelType w:val="hybridMultilevel"/>
    <w:tmpl w:val="7C30C4E0"/>
    <w:lvl w:ilvl="0" w:tplc="04060003">
      <w:start w:val="1"/>
      <w:numFmt w:val="bullet"/>
      <w:lvlText w:val="o"/>
      <w:lvlJc w:val="left"/>
      <w:pPr>
        <w:tabs>
          <w:tab w:val="num" w:pos="360"/>
        </w:tabs>
        <w:ind w:left="360" w:hanging="360"/>
      </w:pPr>
      <w:rPr>
        <w:rFonts w:ascii="Courier New" w:hAnsi="Courier New" w:cs="Courier New"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075320"/>
    <w:multiLevelType w:val="hybridMultilevel"/>
    <w:tmpl w:val="76F40FB4"/>
    <w:lvl w:ilvl="0" w:tplc="367EEA48">
      <w:numFmt w:val="bullet"/>
      <w:lvlText w:val="⁃"/>
      <w:lvlJc w:val="left"/>
      <w:pPr>
        <w:ind w:left="1571" w:hanging="360"/>
      </w:pPr>
      <w:rPr>
        <w:rFonts w:ascii="Times New Roman" w:eastAsia="Calibri"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303C1DF7"/>
    <w:multiLevelType w:val="hybridMultilevel"/>
    <w:tmpl w:val="E10299D6"/>
    <w:lvl w:ilvl="0" w:tplc="04060001">
      <w:start w:val="1"/>
      <w:numFmt w:val="bullet"/>
      <w:lvlText w:val=""/>
      <w:lvlJc w:val="left"/>
      <w:pPr>
        <w:ind w:left="1571" w:hanging="360"/>
      </w:pPr>
      <w:rPr>
        <w:rFonts w:ascii="Symbol" w:hAnsi="Symbol" w:hint="default"/>
      </w:rPr>
    </w:lvl>
    <w:lvl w:ilvl="1" w:tplc="4D6482D4">
      <w:start w:val="2"/>
      <w:numFmt w:val="bullet"/>
      <w:lvlText w:val="-"/>
      <w:lvlJc w:val="left"/>
      <w:pPr>
        <w:ind w:left="2291" w:hanging="360"/>
      </w:pPr>
      <w:rPr>
        <w:rFonts w:ascii="Times New Roman" w:eastAsia="Times New Roman" w:hAnsi="Times New Roman"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3F427ACD"/>
    <w:multiLevelType w:val="hybridMultilevel"/>
    <w:tmpl w:val="DEA644F8"/>
    <w:lvl w:ilvl="0" w:tplc="0809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3F766291"/>
    <w:multiLevelType w:val="hybridMultilevel"/>
    <w:tmpl w:val="1DF0CA6C"/>
    <w:lvl w:ilvl="0" w:tplc="0809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40DA275B"/>
    <w:multiLevelType w:val="hybridMultilevel"/>
    <w:tmpl w:val="255A59FC"/>
    <w:lvl w:ilvl="0" w:tplc="4D6482D4">
      <w:start w:val="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556F5D95"/>
    <w:multiLevelType w:val="hybridMultilevel"/>
    <w:tmpl w:val="C1AEA5DA"/>
    <w:lvl w:ilvl="0" w:tplc="0809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67270313"/>
    <w:multiLevelType w:val="hybridMultilevel"/>
    <w:tmpl w:val="90C2EDA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80F6444"/>
    <w:multiLevelType w:val="hybridMultilevel"/>
    <w:tmpl w:val="832A8A2E"/>
    <w:lvl w:ilvl="0" w:tplc="73340428">
      <w:start w:val="1"/>
      <w:numFmt w:val="decimal"/>
      <w:lvlText w:val="%1."/>
      <w:lvlJc w:val="left"/>
      <w:pPr>
        <w:ind w:left="2062" w:hanging="360"/>
      </w:pPr>
      <w:rPr>
        <w:rFonts w:hint="default"/>
      </w:r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7" w15:restartNumberingAfterBreak="0">
    <w:nsid w:val="6DB46F69"/>
    <w:multiLevelType w:val="hybridMultilevel"/>
    <w:tmpl w:val="C220FB24"/>
    <w:lvl w:ilvl="0" w:tplc="4D6482D4">
      <w:start w:val="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F8504C0"/>
    <w:multiLevelType w:val="hybridMultilevel"/>
    <w:tmpl w:val="DF72D98A"/>
    <w:lvl w:ilvl="0" w:tplc="4D6482D4">
      <w:start w:val="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9" w15:restartNumberingAfterBreak="0">
    <w:nsid w:val="7FDF5280"/>
    <w:multiLevelType w:val="hybridMultilevel"/>
    <w:tmpl w:val="650E5EFE"/>
    <w:lvl w:ilvl="0" w:tplc="4D6482D4">
      <w:start w:val="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0" w15:restartNumberingAfterBreak="0">
    <w:nsid w:val="7FF41001"/>
    <w:multiLevelType w:val="hybridMultilevel"/>
    <w:tmpl w:val="6568A138"/>
    <w:lvl w:ilvl="0" w:tplc="0809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num>
  <w:num w:numId="2">
    <w:abstractNumId w:val="0"/>
  </w:num>
  <w:num w:numId="3">
    <w:abstractNumId w:val="16"/>
  </w:num>
  <w:num w:numId="4">
    <w:abstractNumId w:val="1"/>
  </w:num>
  <w:num w:numId="5">
    <w:abstractNumId w:val="14"/>
  </w:num>
  <w:num w:numId="6">
    <w:abstractNumId w:val="7"/>
  </w:num>
  <w:num w:numId="7">
    <w:abstractNumId w:val="7"/>
  </w:num>
  <w:num w:numId="8">
    <w:abstractNumId w:val="2"/>
  </w:num>
  <w:num w:numId="9">
    <w:abstractNumId w:val="3"/>
  </w:num>
  <w:num w:numId="10">
    <w:abstractNumId w:val="15"/>
  </w:num>
  <w:num w:numId="11">
    <w:abstractNumId w:val="5"/>
  </w:num>
  <w:num w:numId="12">
    <w:abstractNumId w:val="9"/>
  </w:num>
  <w:num w:numId="13">
    <w:abstractNumId w:val="10"/>
  </w:num>
  <w:num w:numId="14">
    <w:abstractNumId w:val="11"/>
  </w:num>
  <w:num w:numId="15">
    <w:abstractNumId w:val="13"/>
  </w:num>
  <w:num w:numId="16">
    <w:abstractNumId w:val="8"/>
  </w:num>
  <w:num w:numId="17">
    <w:abstractNumId w:val="17"/>
  </w:num>
  <w:num w:numId="18">
    <w:abstractNumId w:val="4"/>
  </w:num>
  <w:num w:numId="19">
    <w:abstractNumId w:val="19"/>
  </w:num>
  <w:num w:numId="20">
    <w:abstractNumId w:val="18"/>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714"/>
    <w:rsid w:val="00021998"/>
    <w:rsid w:val="00056601"/>
    <w:rsid w:val="000871A3"/>
    <w:rsid w:val="000B2803"/>
    <w:rsid w:val="000C2020"/>
    <w:rsid w:val="000C3846"/>
    <w:rsid w:val="000C6218"/>
    <w:rsid w:val="000D3C9D"/>
    <w:rsid w:val="000F0D47"/>
    <w:rsid w:val="001242DE"/>
    <w:rsid w:val="001278EF"/>
    <w:rsid w:val="00132A95"/>
    <w:rsid w:val="00180A12"/>
    <w:rsid w:val="001F1741"/>
    <w:rsid w:val="00214331"/>
    <w:rsid w:val="00214CF4"/>
    <w:rsid w:val="00281F03"/>
    <w:rsid w:val="0029458A"/>
    <w:rsid w:val="002A1587"/>
    <w:rsid w:val="002B27C5"/>
    <w:rsid w:val="00303008"/>
    <w:rsid w:val="00373B55"/>
    <w:rsid w:val="00383282"/>
    <w:rsid w:val="003B0CB2"/>
    <w:rsid w:val="003D727E"/>
    <w:rsid w:val="003E0341"/>
    <w:rsid w:val="003E3402"/>
    <w:rsid w:val="003E7796"/>
    <w:rsid w:val="003F4736"/>
    <w:rsid w:val="00401B49"/>
    <w:rsid w:val="00407412"/>
    <w:rsid w:val="0042292D"/>
    <w:rsid w:val="00436184"/>
    <w:rsid w:val="00440254"/>
    <w:rsid w:val="00450449"/>
    <w:rsid w:val="004860D3"/>
    <w:rsid w:val="004A3BF4"/>
    <w:rsid w:val="004A5DB3"/>
    <w:rsid w:val="005152D9"/>
    <w:rsid w:val="00523FD8"/>
    <w:rsid w:val="00533AD4"/>
    <w:rsid w:val="00534849"/>
    <w:rsid w:val="00541A4C"/>
    <w:rsid w:val="00542656"/>
    <w:rsid w:val="00560102"/>
    <w:rsid w:val="00562EA1"/>
    <w:rsid w:val="0057489D"/>
    <w:rsid w:val="005B0EAD"/>
    <w:rsid w:val="005D22B2"/>
    <w:rsid w:val="00617BB8"/>
    <w:rsid w:val="00680052"/>
    <w:rsid w:val="00683267"/>
    <w:rsid w:val="006844E9"/>
    <w:rsid w:val="006B3847"/>
    <w:rsid w:val="0070232A"/>
    <w:rsid w:val="0072060F"/>
    <w:rsid w:val="0075453D"/>
    <w:rsid w:val="007A30F0"/>
    <w:rsid w:val="007A4CC6"/>
    <w:rsid w:val="007C3623"/>
    <w:rsid w:val="007C5D2A"/>
    <w:rsid w:val="007E0045"/>
    <w:rsid w:val="007F1E00"/>
    <w:rsid w:val="008400E3"/>
    <w:rsid w:val="00864538"/>
    <w:rsid w:val="0086505D"/>
    <w:rsid w:val="00873B4F"/>
    <w:rsid w:val="00883479"/>
    <w:rsid w:val="0088520E"/>
    <w:rsid w:val="008C53F2"/>
    <w:rsid w:val="008D6EEB"/>
    <w:rsid w:val="008D7C82"/>
    <w:rsid w:val="008E51AE"/>
    <w:rsid w:val="008F0731"/>
    <w:rsid w:val="008F2F8C"/>
    <w:rsid w:val="00942773"/>
    <w:rsid w:val="00956893"/>
    <w:rsid w:val="009865B1"/>
    <w:rsid w:val="009925C9"/>
    <w:rsid w:val="009D03C4"/>
    <w:rsid w:val="00A179D0"/>
    <w:rsid w:val="00A20B96"/>
    <w:rsid w:val="00A358A3"/>
    <w:rsid w:val="00A46747"/>
    <w:rsid w:val="00A56A40"/>
    <w:rsid w:val="00A603EB"/>
    <w:rsid w:val="00A80446"/>
    <w:rsid w:val="00A85D26"/>
    <w:rsid w:val="00A9153A"/>
    <w:rsid w:val="00AB4376"/>
    <w:rsid w:val="00AC033C"/>
    <w:rsid w:val="00AC4AE0"/>
    <w:rsid w:val="00AD2E36"/>
    <w:rsid w:val="00B25EB8"/>
    <w:rsid w:val="00B85D9F"/>
    <w:rsid w:val="00B95028"/>
    <w:rsid w:val="00BC778D"/>
    <w:rsid w:val="00BD3490"/>
    <w:rsid w:val="00C26226"/>
    <w:rsid w:val="00C3571D"/>
    <w:rsid w:val="00C52DE0"/>
    <w:rsid w:val="00C54F0B"/>
    <w:rsid w:val="00C72C33"/>
    <w:rsid w:val="00C82621"/>
    <w:rsid w:val="00C924D1"/>
    <w:rsid w:val="00CA08FB"/>
    <w:rsid w:val="00CB1423"/>
    <w:rsid w:val="00CC754D"/>
    <w:rsid w:val="00CE0729"/>
    <w:rsid w:val="00CF1A52"/>
    <w:rsid w:val="00D02508"/>
    <w:rsid w:val="00D16D97"/>
    <w:rsid w:val="00D52714"/>
    <w:rsid w:val="00D6623D"/>
    <w:rsid w:val="00D74090"/>
    <w:rsid w:val="00D778CC"/>
    <w:rsid w:val="00D82FE9"/>
    <w:rsid w:val="00D90DA2"/>
    <w:rsid w:val="00D97B77"/>
    <w:rsid w:val="00DA6F88"/>
    <w:rsid w:val="00DB6A85"/>
    <w:rsid w:val="00E06B32"/>
    <w:rsid w:val="00E1290F"/>
    <w:rsid w:val="00E36A80"/>
    <w:rsid w:val="00E44450"/>
    <w:rsid w:val="00EB21D7"/>
    <w:rsid w:val="00EC30E2"/>
    <w:rsid w:val="00EC3A8E"/>
    <w:rsid w:val="00EE3EB7"/>
    <w:rsid w:val="00F17159"/>
    <w:rsid w:val="00F57E16"/>
    <w:rsid w:val="00F60336"/>
    <w:rsid w:val="00F626BA"/>
    <w:rsid w:val="00FC6B80"/>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8EE82DD"/>
  <w15:chartTrackingRefBased/>
  <w15:docId w15:val="{78BD7E07-6465-4187-82E2-05A656C2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CTD-narrative-Text">
    <w:name w:val="eCTD-narrative-Text"/>
    <w:rsid w:val="00450449"/>
    <w:pPr>
      <w:spacing w:before="120" w:after="120"/>
      <w:jc w:val="both"/>
    </w:pPr>
    <w:rPr>
      <w:sz w:val="24"/>
      <w:szCs w:val="24"/>
      <w:lang w:val="en-GB" w:eastAsia="de-DE"/>
    </w:rPr>
  </w:style>
  <w:style w:type="paragraph" w:styleId="Fodnotetekst">
    <w:name w:val="footnote text"/>
    <w:basedOn w:val="Normal"/>
    <w:link w:val="FodnotetekstTegn"/>
    <w:semiHidden/>
    <w:unhideWhenUsed/>
    <w:rsid w:val="001278EF"/>
    <w:rPr>
      <w:rFonts w:ascii="Verdana" w:eastAsia="Verdana" w:hAnsi="Verdana"/>
      <w:sz w:val="15"/>
      <w:lang w:val="x-none" w:eastAsia="x-none"/>
    </w:rPr>
  </w:style>
  <w:style w:type="character" w:customStyle="1" w:styleId="FodnotetekstTegn">
    <w:name w:val="Fodnotetekst Tegn"/>
    <w:basedOn w:val="Standardskrifttypeiafsnit"/>
    <w:link w:val="Fodnotetekst"/>
    <w:semiHidden/>
    <w:rsid w:val="001278EF"/>
    <w:rPr>
      <w:rFonts w:ascii="Verdana" w:eastAsia="Verdana" w:hAnsi="Verdana"/>
      <w:sz w:val="15"/>
      <w:lang w:val="x-none" w:eastAsia="x-none"/>
    </w:rPr>
  </w:style>
  <w:style w:type="paragraph" w:styleId="Brdtekst">
    <w:name w:val="Body Text"/>
    <w:basedOn w:val="Normal"/>
    <w:link w:val="BrdtekstTegn"/>
    <w:semiHidden/>
    <w:unhideWhenUsed/>
    <w:rsid w:val="001278EF"/>
    <w:rPr>
      <w:i/>
      <w:color w:val="008000"/>
      <w:sz w:val="22"/>
      <w:lang w:val="en-GB" w:eastAsia="en-US"/>
    </w:rPr>
  </w:style>
  <w:style w:type="character" w:customStyle="1" w:styleId="BrdtekstTegn">
    <w:name w:val="Brødtekst Tegn"/>
    <w:basedOn w:val="Standardskrifttypeiafsnit"/>
    <w:link w:val="Brdtekst"/>
    <w:semiHidden/>
    <w:rsid w:val="001278EF"/>
    <w:rPr>
      <w:i/>
      <w:color w:val="008000"/>
      <w:sz w:val="22"/>
      <w:lang w:val="en-GB" w:eastAsia="en-US"/>
    </w:rPr>
  </w:style>
  <w:style w:type="paragraph" w:styleId="Brdtekstindrykning3">
    <w:name w:val="Body Text Indent 3"/>
    <w:basedOn w:val="Normal"/>
    <w:link w:val="Brdtekstindrykning3Tegn"/>
    <w:semiHidden/>
    <w:unhideWhenUsed/>
    <w:rsid w:val="001278EF"/>
    <w:pPr>
      <w:tabs>
        <w:tab w:val="left" w:pos="567"/>
      </w:tabs>
      <w:spacing w:after="120" w:line="260" w:lineRule="exact"/>
      <w:ind w:left="283"/>
    </w:pPr>
    <w:rPr>
      <w:sz w:val="16"/>
      <w:szCs w:val="16"/>
      <w:lang w:val="en-GB" w:eastAsia="en-US"/>
    </w:rPr>
  </w:style>
  <w:style w:type="character" w:customStyle="1" w:styleId="Brdtekstindrykning3Tegn">
    <w:name w:val="Brødtekstindrykning 3 Tegn"/>
    <w:basedOn w:val="Standardskrifttypeiafsnit"/>
    <w:link w:val="Brdtekstindrykning3"/>
    <w:semiHidden/>
    <w:rsid w:val="001278EF"/>
    <w:rPr>
      <w:sz w:val="16"/>
      <w:szCs w:val="16"/>
      <w:lang w:val="en-GB" w:eastAsia="en-US"/>
    </w:rPr>
  </w:style>
  <w:style w:type="character" w:styleId="Fodnotehenvisning">
    <w:name w:val="footnote reference"/>
    <w:uiPriority w:val="99"/>
    <w:semiHidden/>
    <w:unhideWhenUsed/>
    <w:rsid w:val="001278EF"/>
    <w:rPr>
      <w:rFonts w:ascii="Verdana" w:hAnsi="Verdana" w:hint="default"/>
      <w:vertAlign w:val="superscript"/>
    </w:rPr>
  </w:style>
  <w:style w:type="paragraph" w:styleId="Brdtekstindrykning">
    <w:name w:val="Body Text Indent"/>
    <w:basedOn w:val="Normal"/>
    <w:link w:val="BrdtekstindrykningTegn"/>
    <w:semiHidden/>
    <w:unhideWhenUsed/>
    <w:rsid w:val="001278EF"/>
    <w:pPr>
      <w:tabs>
        <w:tab w:val="left" w:pos="567"/>
      </w:tabs>
      <w:spacing w:after="120" w:line="260" w:lineRule="exact"/>
      <w:ind w:left="283"/>
    </w:pPr>
    <w:rPr>
      <w:sz w:val="22"/>
      <w:lang w:val="en-GB" w:eastAsia="en-US"/>
    </w:rPr>
  </w:style>
  <w:style w:type="character" w:customStyle="1" w:styleId="BrdtekstindrykningTegn">
    <w:name w:val="Brødtekstindrykning Tegn"/>
    <w:basedOn w:val="Standardskrifttypeiafsnit"/>
    <w:link w:val="Brdtekstindrykning"/>
    <w:semiHidden/>
    <w:rsid w:val="001278EF"/>
    <w:rPr>
      <w:sz w:val="22"/>
      <w:lang w:val="en-GB" w:eastAsia="en-US"/>
    </w:rPr>
  </w:style>
  <w:style w:type="paragraph" w:styleId="Listeafsnit">
    <w:name w:val="List Paragraph"/>
    <w:basedOn w:val="Normal"/>
    <w:uiPriority w:val="34"/>
    <w:qFormat/>
    <w:rsid w:val="00407412"/>
    <w:pPr>
      <w:ind w:left="720"/>
      <w:contextualSpacing/>
    </w:pPr>
  </w:style>
  <w:style w:type="table" w:styleId="Tabel-Gitter">
    <w:name w:val="Table Grid"/>
    <w:basedOn w:val="Tabel-Normal"/>
    <w:uiPriority w:val="59"/>
    <w:rsid w:val="00541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2803"/>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8708">
      <w:bodyDiv w:val="1"/>
      <w:marLeft w:val="0"/>
      <w:marRight w:val="0"/>
      <w:marTop w:val="0"/>
      <w:marBottom w:val="0"/>
      <w:divBdr>
        <w:top w:val="none" w:sz="0" w:space="0" w:color="auto"/>
        <w:left w:val="none" w:sz="0" w:space="0" w:color="auto"/>
        <w:bottom w:val="none" w:sz="0" w:space="0" w:color="auto"/>
        <w:right w:val="none" w:sz="0" w:space="0" w:color="auto"/>
      </w:divBdr>
    </w:div>
    <w:div w:id="102924182">
      <w:bodyDiv w:val="1"/>
      <w:marLeft w:val="0"/>
      <w:marRight w:val="0"/>
      <w:marTop w:val="0"/>
      <w:marBottom w:val="0"/>
      <w:divBdr>
        <w:top w:val="none" w:sz="0" w:space="0" w:color="auto"/>
        <w:left w:val="none" w:sz="0" w:space="0" w:color="auto"/>
        <w:bottom w:val="none" w:sz="0" w:space="0" w:color="auto"/>
        <w:right w:val="none" w:sz="0" w:space="0" w:color="auto"/>
      </w:divBdr>
    </w:div>
    <w:div w:id="265698231">
      <w:bodyDiv w:val="1"/>
      <w:marLeft w:val="0"/>
      <w:marRight w:val="0"/>
      <w:marTop w:val="0"/>
      <w:marBottom w:val="0"/>
      <w:divBdr>
        <w:top w:val="none" w:sz="0" w:space="0" w:color="auto"/>
        <w:left w:val="none" w:sz="0" w:space="0" w:color="auto"/>
        <w:bottom w:val="none" w:sz="0" w:space="0" w:color="auto"/>
        <w:right w:val="none" w:sz="0" w:space="0" w:color="auto"/>
      </w:divBdr>
    </w:div>
    <w:div w:id="275063179">
      <w:bodyDiv w:val="1"/>
      <w:marLeft w:val="0"/>
      <w:marRight w:val="0"/>
      <w:marTop w:val="0"/>
      <w:marBottom w:val="0"/>
      <w:divBdr>
        <w:top w:val="none" w:sz="0" w:space="0" w:color="auto"/>
        <w:left w:val="none" w:sz="0" w:space="0" w:color="auto"/>
        <w:bottom w:val="none" w:sz="0" w:space="0" w:color="auto"/>
        <w:right w:val="none" w:sz="0" w:space="0" w:color="auto"/>
      </w:divBdr>
    </w:div>
    <w:div w:id="297807944">
      <w:bodyDiv w:val="1"/>
      <w:marLeft w:val="0"/>
      <w:marRight w:val="0"/>
      <w:marTop w:val="0"/>
      <w:marBottom w:val="0"/>
      <w:divBdr>
        <w:top w:val="none" w:sz="0" w:space="0" w:color="auto"/>
        <w:left w:val="none" w:sz="0" w:space="0" w:color="auto"/>
        <w:bottom w:val="none" w:sz="0" w:space="0" w:color="auto"/>
        <w:right w:val="none" w:sz="0" w:space="0" w:color="auto"/>
      </w:divBdr>
    </w:div>
    <w:div w:id="334963369">
      <w:bodyDiv w:val="1"/>
      <w:marLeft w:val="0"/>
      <w:marRight w:val="0"/>
      <w:marTop w:val="0"/>
      <w:marBottom w:val="0"/>
      <w:divBdr>
        <w:top w:val="none" w:sz="0" w:space="0" w:color="auto"/>
        <w:left w:val="none" w:sz="0" w:space="0" w:color="auto"/>
        <w:bottom w:val="none" w:sz="0" w:space="0" w:color="auto"/>
        <w:right w:val="none" w:sz="0" w:space="0" w:color="auto"/>
      </w:divBdr>
    </w:div>
    <w:div w:id="383678121">
      <w:bodyDiv w:val="1"/>
      <w:marLeft w:val="0"/>
      <w:marRight w:val="0"/>
      <w:marTop w:val="0"/>
      <w:marBottom w:val="0"/>
      <w:divBdr>
        <w:top w:val="none" w:sz="0" w:space="0" w:color="auto"/>
        <w:left w:val="none" w:sz="0" w:space="0" w:color="auto"/>
        <w:bottom w:val="none" w:sz="0" w:space="0" w:color="auto"/>
        <w:right w:val="none" w:sz="0" w:space="0" w:color="auto"/>
      </w:divBdr>
    </w:div>
    <w:div w:id="496649935">
      <w:bodyDiv w:val="1"/>
      <w:marLeft w:val="0"/>
      <w:marRight w:val="0"/>
      <w:marTop w:val="0"/>
      <w:marBottom w:val="0"/>
      <w:divBdr>
        <w:top w:val="none" w:sz="0" w:space="0" w:color="auto"/>
        <w:left w:val="none" w:sz="0" w:space="0" w:color="auto"/>
        <w:bottom w:val="none" w:sz="0" w:space="0" w:color="auto"/>
        <w:right w:val="none" w:sz="0" w:space="0" w:color="auto"/>
      </w:divBdr>
    </w:div>
    <w:div w:id="823475569">
      <w:bodyDiv w:val="1"/>
      <w:marLeft w:val="0"/>
      <w:marRight w:val="0"/>
      <w:marTop w:val="0"/>
      <w:marBottom w:val="0"/>
      <w:divBdr>
        <w:top w:val="none" w:sz="0" w:space="0" w:color="auto"/>
        <w:left w:val="none" w:sz="0" w:space="0" w:color="auto"/>
        <w:bottom w:val="none" w:sz="0" w:space="0" w:color="auto"/>
        <w:right w:val="none" w:sz="0" w:space="0" w:color="auto"/>
      </w:divBdr>
    </w:div>
    <w:div w:id="833759218">
      <w:bodyDiv w:val="1"/>
      <w:marLeft w:val="0"/>
      <w:marRight w:val="0"/>
      <w:marTop w:val="0"/>
      <w:marBottom w:val="0"/>
      <w:divBdr>
        <w:top w:val="none" w:sz="0" w:space="0" w:color="auto"/>
        <w:left w:val="none" w:sz="0" w:space="0" w:color="auto"/>
        <w:bottom w:val="none" w:sz="0" w:space="0" w:color="auto"/>
        <w:right w:val="none" w:sz="0" w:space="0" w:color="auto"/>
      </w:divBdr>
    </w:div>
    <w:div w:id="966667954">
      <w:bodyDiv w:val="1"/>
      <w:marLeft w:val="0"/>
      <w:marRight w:val="0"/>
      <w:marTop w:val="0"/>
      <w:marBottom w:val="0"/>
      <w:divBdr>
        <w:top w:val="none" w:sz="0" w:space="0" w:color="auto"/>
        <w:left w:val="none" w:sz="0" w:space="0" w:color="auto"/>
        <w:bottom w:val="none" w:sz="0" w:space="0" w:color="auto"/>
        <w:right w:val="none" w:sz="0" w:space="0" w:color="auto"/>
      </w:divBdr>
    </w:div>
    <w:div w:id="969628760">
      <w:bodyDiv w:val="1"/>
      <w:marLeft w:val="0"/>
      <w:marRight w:val="0"/>
      <w:marTop w:val="0"/>
      <w:marBottom w:val="0"/>
      <w:divBdr>
        <w:top w:val="none" w:sz="0" w:space="0" w:color="auto"/>
        <w:left w:val="none" w:sz="0" w:space="0" w:color="auto"/>
        <w:bottom w:val="none" w:sz="0" w:space="0" w:color="auto"/>
        <w:right w:val="none" w:sz="0" w:space="0" w:color="auto"/>
      </w:divBdr>
    </w:div>
    <w:div w:id="1091048476">
      <w:bodyDiv w:val="1"/>
      <w:marLeft w:val="0"/>
      <w:marRight w:val="0"/>
      <w:marTop w:val="0"/>
      <w:marBottom w:val="0"/>
      <w:divBdr>
        <w:top w:val="none" w:sz="0" w:space="0" w:color="auto"/>
        <w:left w:val="none" w:sz="0" w:space="0" w:color="auto"/>
        <w:bottom w:val="none" w:sz="0" w:space="0" w:color="auto"/>
        <w:right w:val="none" w:sz="0" w:space="0" w:color="auto"/>
      </w:divBdr>
    </w:div>
    <w:div w:id="1265460436">
      <w:bodyDiv w:val="1"/>
      <w:marLeft w:val="0"/>
      <w:marRight w:val="0"/>
      <w:marTop w:val="0"/>
      <w:marBottom w:val="0"/>
      <w:divBdr>
        <w:top w:val="none" w:sz="0" w:space="0" w:color="auto"/>
        <w:left w:val="none" w:sz="0" w:space="0" w:color="auto"/>
        <w:bottom w:val="none" w:sz="0" w:space="0" w:color="auto"/>
        <w:right w:val="none" w:sz="0" w:space="0" w:color="auto"/>
      </w:divBdr>
    </w:div>
    <w:div w:id="1299262225">
      <w:bodyDiv w:val="1"/>
      <w:marLeft w:val="0"/>
      <w:marRight w:val="0"/>
      <w:marTop w:val="0"/>
      <w:marBottom w:val="0"/>
      <w:divBdr>
        <w:top w:val="none" w:sz="0" w:space="0" w:color="auto"/>
        <w:left w:val="none" w:sz="0" w:space="0" w:color="auto"/>
        <w:bottom w:val="none" w:sz="0" w:space="0" w:color="auto"/>
        <w:right w:val="none" w:sz="0" w:space="0" w:color="auto"/>
      </w:divBdr>
    </w:div>
    <w:div w:id="1321499393">
      <w:bodyDiv w:val="1"/>
      <w:marLeft w:val="0"/>
      <w:marRight w:val="0"/>
      <w:marTop w:val="0"/>
      <w:marBottom w:val="0"/>
      <w:divBdr>
        <w:top w:val="none" w:sz="0" w:space="0" w:color="auto"/>
        <w:left w:val="none" w:sz="0" w:space="0" w:color="auto"/>
        <w:bottom w:val="none" w:sz="0" w:space="0" w:color="auto"/>
        <w:right w:val="none" w:sz="0" w:space="0" w:color="auto"/>
      </w:divBdr>
    </w:div>
    <w:div w:id="1362978113">
      <w:bodyDiv w:val="1"/>
      <w:marLeft w:val="0"/>
      <w:marRight w:val="0"/>
      <w:marTop w:val="0"/>
      <w:marBottom w:val="0"/>
      <w:divBdr>
        <w:top w:val="none" w:sz="0" w:space="0" w:color="auto"/>
        <w:left w:val="none" w:sz="0" w:space="0" w:color="auto"/>
        <w:bottom w:val="none" w:sz="0" w:space="0" w:color="auto"/>
        <w:right w:val="none" w:sz="0" w:space="0" w:color="auto"/>
      </w:divBdr>
    </w:div>
    <w:div w:id="1465850833">
      <w:bodyDiv w:val="1"/>
      <w:marLeft w:val="0"/>
      <w:marRight w:val="0"/>
      <w:marTop w:val="0"/>
      <w:marBottom w:val="0"/>
      <w:divBdr>
        <w:top w:val="none" w:sz="0" w:space="0" w:color="auto"/>
        <w:left w:val="none" w:sz="0" w:space="0" w:color="auto"/>
        <w:bottom w:val="none" w:sz="0" w:space="0" w:color="auto"/>
        <w:right w:val="none" w:sz="0" w:space="0" w:color="auto"/>
      </w:divBdr>
    </w:div>
    <w:div w:id="1467775651">
      <w:bodyDiv w:val="1"/>
      <w:marLeft w:val="0"/>
      <w:marRight w:val="0"/>
      <w:marTop w:val="0"/>
      <w:marBottom w:val="0"/>
      <w:divBdr>
        <w:top w:val="none" w:sz="0" w:space="0" w:color="auto"/>
        <w:left w:val="none" w:sz="0" w:space="0" w:color="auto"/>
        <w:bottom w:val="none" w:sz="0" w:space="0" w:color="auto"/>
        <w:right w:val="none" w:sz="0" w:space="0" w:color="auto"/>
      </w:divBdr>
    </w:div>
    <w:div w:id="1563708156">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 w:id="1736119731">
      <w:bodyDiv w:val="1"/>
      <w:marLeft w:val="0"/>
      <w:marRight w:val="0"/>
      <w:marTop w:val="0"/>
      <w:marBottom w:val="0"/>
      <w:divBdr>
        <w:top w:val="none" w:sz="0" w:space="0" w:color="auto"/>
        <w:left w:val="none" w:sz="0" w:space="0" w:color="auto"/>
        <w:bottom w:val="none" w:sz="0" w:space="0" w:color="auto"/>
        <w:right w:val="none" w:sz="0" w:space="0" w:color="auto"/>
      </w:divBdr>
    </w:div>
    <w:div w:id="1761101180">
      <w:bodyDiv w:val="1"/>
      <w:marLeft w:val="0"/>
      <w:marRight w:val="0"/>
      <w:marTop w:val="0"/>
      <w:marBottom w:val="0"/>
      <w:divBdr>
        <w:top w:val="none" w:sz="0" w:space="0" w:color="auto"/>
        <w:left w:val="none" w:sz="0" w:space="0" w:color="auto"/>
        <w:bottom w:val="none" w:sz="0" w:space="0" w:color="auto"/>
        <w:right w:val="none" w:sz="0" w:space="0" w:color="auto"/>
      </w:divBdr>
    </w:div>
    <w:div w:id="1811897456">
      <w:bodyDiv w:val="1"/>
      <w:marLeft w:val="0"/>
      <w:marRight w:val="0"/>
      <w:marTop w:val="0"/>
      <w:marBottom w:val="0"/>
      <w:divBdr>
        <w:top w:val="none" w:sz="0" w:space="0" w:color="auto"/>
        <w:left w:val="none" w:sz="0" w:space="0" w:color="auto"/>
        <w:bottom w:val="none" w:sz="0" w:space="0" w:color="auto"/>
        <w:right w:val="none" w:sz="0" w:space="0" w:color="auto"/>
      </w:divBdr>
    </w:div>
    <w:div w:id="1894536882">
      <w:bodyDiv w:val="1"/>
      <w:marLeft w:val="0"/>
      <w:marRight w:val="0"/>
      <w:marTop w:val="0"/>
      <w:marBottom w:val="0"/>
      <w:divBdr>
        <w:top w:val="none" w:sz="0" w:space="0" w:color="auto"/>
        <w:left w:val="none" w:sz="0" w:space="0" w:color="auto"/>
        <w:bottom w:val="none" w:sz="0" w:space="0" w:color="auto"/>
        <w:right w:val="none" w:sz="0" w:space="0" w:color="auto"/>
      </w:divBdr>
    </w:div>
    <w:div w:id="1975135939">
      <w:bodyDiv w:val="1"/>
      <w:marLeft w:val="0"/>
      <w:marRight w:val="0"/>
      <w:marTop w:val="0"/>
      <w:marBottom w:val="0"/>
      <w:divBdr>
        <w:top w:val="none" w:sz="0" w:space="0" w:color="auto"/>
        <w:left w:val="none" w:sz="0" w:space="0" w:color="auto"/>
        <w:bottom w:val="none" w:sz="0" w:space="0" w:color="auto"/>
        <w:right w:val="none" w:sz="0" w:space="0" w:color="auto"/>
      </w:divBdr>
    </w:div>
    <w:div w:id="1999921383">
      <w:bodyDiv w:val="1"/>
      <w:marLeft w:val="0"/>
      <w:marRight w:val="0"/>
      <w:marTop w:val="0"/>
      <w:marBottom w:val="0"/>
      <w:divBdr>
        <w:top w:val="none" w:sz="0" w:space="0" w:color="auto"/>
        <w:left w:val="none" w:sz="0" w:space="0" w:color="auto"/>
        <w:bottom w:val="none" w:sz="0" w:space="0" w:color="auto"/>
        <w:right w:val="none" w:sz="0" w:space="0" w:color="auto"/>
      </w:divBdr>
    </w:div>
    <w:div w:id="204841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5968</Words>
  <Characters>33593</Characters>
  <Application>Microsoft Office Word</Application>
  <DocSecurity>0</DocSecurity>
  <Lines>279</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2025022150_x000d_
Skift af MAH fra Exeltis Healthcare samt sletning af repræsentanten Exeltis Sverige AB.</dc:description>
  <cp:lastModifiedBy>Marianne Ott Jensen</cp:lastModifiedBy>
  <cp:revision>3</cp:revision>
  <cp:lastPrinted>2006-02-24T09:31:00Z</cp:lastPrinted>
  <dcterms:created xsi:type="dcterms:W3CDTF">2025-03-17T11:45:00Z</dcterms:created>
  <dcterms:modified xsi:type="dcterms:W3CDTF">2025-03-17T11:47:00Z</dcterms:modified>
</cp:coreProperties>
</file>