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BA78" w14:textId="77777777" w:rsidR="009260DE" w:rsidRPr="00F724D5" w:rsidRDefault="0021526C" w:rsidP="009260DE">
      <w:pPr>
        <w:rPr>
          <w:sz w:val="24"/>
          <w:szCs w:val="24"/>
        </w:rPr>
      </w:pPr>
      <w:r w:rsidRPr="00F724D5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955ABB8" wp14:editId="06A9707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F724D5">
        <w:rPr>
          <w:sz w:val="24"/>
          <w:szCs w:val="24"/>
        </w:rPr>
        <w:br w:type="textWrapping" w:clear="all"/>
      </w:r>
    </w:p>
    <w:p w14:paraId="19843C2C" w14:textId="22B8C901" w:rsidR="009260DE" w:rsidRPr="00F724D5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F724D5">
        <w:rPr>
          <w:b w:val="0"/>
          <w:szCs w:val="24"/>
          <w:lang w:eastAsia="en-US"/>
        </w:rPr>
        <w:tab/>
      </w:r>
      <w:r w:rsidR="00176CA6">
        <w:rPr>
          <w:szCs w:val="24"/>
        </w:rPr>
        <w:t>29. november 2023</w:t>
      </w:r>
    </w:p>
    <w:p w14:paraId="3DAC4128" w14:textId="6C51D736" w:rsidR="009260DE" w:rsidRPr="00F724D5" w:rsidRDefault="009260DE" w:rsidP="009260DE">
      <w:pPr>
        <w:pStyle w:val="Titel"/>
        <w:jc w:val="left"/>
        <w:rPr>
          <w:b w:val="0"/>
          <w:szCs w:val="24"/>
        </w:rPr>
      </w:pPr>
    </w:p>
    <w:p w14:paraId="4C44951F" w14:textId="77777777" w:rsidR="004E132B" w:rsidRDefault="004E132B" w:rsidP="009260DE">
      <w:pPr>
        <w:jc w:val="center"/>
        <w:rPr>
          <w:b/>
          <w:sz w:val="24"/>
          <w:szCs w:val="24"/>
        </w:rPr>
      </w:pPr>
    </w:p>
    <w:p w14:paraId="54ACD5BB" w14:textId="3891CBCF" w:rsidR="009260DE" w:rsidRPr="00F724D5" w:rsidRDefault="009260DE" w:rsidP="009260DE">
      <w:pPr>
        <w:jc w:val="center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PRODUKTRESUMÉ</w:t>
      </w:r>
    </w:p>
    <w:p w14:paraId="05905B87" w14:textId="77777777" w:rsidR="009260DE" w:rsidRPr="00F724D5" w:rsidRDefault="009260DE" w:rsidP="009260DE">
      <w:pPr>
        <w:jc w:val="center"/>
        <w:rPr>
          <w:b/>
          <w:sz w:val="24"/>
          <w:szCs w:val="24"/>
        </w:rPr>
      </w:pPr>
    </w:p>
    <w:p w14:paraId="0E13EF70" w14:textId="77777777" w:rsidR="009260DE" w:rsidRPr="00F724D5" w:rsidRDefault="009260DE" w:rsidP="009260DE">
      <w:pPr>
        <w:jc w:val="center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for</w:t>
      </w:r>
    </w:p>
    <w:p w14:paraId="2DD5414E" w14:textId="77777777" w:rsidR="000B058C" w:rsidRPr="00F724D5" w:rsidRDefault="000B058C" w:rsidP="009260DE">
      <w:pPr>
        <w:jc w:val="center"/>
        <w:rPr>
          <w:b/>
          <w:sz w:val="24"/>
          <w:szCs w:val="24"/>
        </w:rPr>
      </w:pPr>
    </w:p>
    <w:p w14:paraId="693707DA" w14:textId="24D9BEDE" w:rsidR="009260DE" w:rsidRPr="00F724D5" w:rsidRDefault="004E132B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Cidofovir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Macure</w:t>
      </w:r>
      <w:proofErr w:type="spellEnd"/>
      <w:r>
        <w:rPr>
          <w:b/>
          <w:sz w:val="24"/>
          <w:szCs w:val="24"/>
        </w:rPr>
        <w:t>"</w:t>
      </w:r>
      <w:r w:rsidR="00956FDB" w:rsidRPr="00F724D5">
        <w:rPr>
          <w:b/>
          <w:sz w:val="24"/>
          <w:szCs w:val="24"/>
        </w:rPr>
        <w:t>, koncentrat til infusionsvæske, opløsning</w:t>
      </w:r>
    </w:p>
    <w:p w14:paraId="7AED9F68" w14:textId="77777777" w:rsidR="00572476" w:rsidRPr="00F724D5" w:rsidRDefault="00572476" w:rsidP="009260DE">
      <w:pPr>
        <w:jc w:val="center"/>
        <w:rPr>
          <w:b/>
          <w:sz w:val="24"/>
          <w:szCs w:val="24"/>
        </w:rPr>
      </w:pPr>
    </w:p>
    <w:p w14:paraId="49C454BB" w14:textId="412D36A9" w:rsidR="006304F4" w:rsidRPr="00F724D5" w:rsidRDefault="006304F4" w:rsidP="00572476">
      <w:pPr>
        <w:autoSpaceDE w:val="0"/>
        <w:autoSpaceDN w:val="0"/>
        <w:adjustRightInd w:val="0"/>
        <w:ind w:right="390"/>
        <w:rPr>
          <w:snapToGrid w:val="0"/>
          <w:sz w:val="24"/>
          <w:szCs w:val="24"/>
        </w:rPr>
      </w:pPr>
      <w:r w:rsidRPr="00F724D5">
        <w:rPr>
          <w:noProof/>
          <w:sz w:val="24"/>
          <w:szCs w:val="24"/>
        </w:rPr>
        <w:drawing>
          <wp:inline distT="0" distB="0" distL="0" distR="0" wp14:anchorId="485A42E0" wp14:editId="168AFC6D">
            <wp:extent cx="198120" cy="170815"/>
            <wp:effectExtent l="0" t="0" r="0" b="63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4D5">
        <w:rPr>
          <w:bCs/>
          <w:snapToGrid w:val="0"/>
          <w:sz w:val="24"/>
          <w:szCs w:val="24"/>
        </w:rPr>
        <w:t>Dette lægemiddel er underlagt supplerende overvågning.</w:t>
      </w:r>
      <w:r w:rsidR="006706C6" w:rsidRPr="00F724D5">
        <w:rPr>
          <w:bCs/>
          <w:snapToGrid w:val="0"/>
          <w:sz w:val="24"/>
          <w:szCs w:val="24"/>
        </w:rPr>
        <w:t xml:space="preserve"> </w:t>
      </w:r>
      <w:r w:rsidRPr="00F724D5">
        <w:rPr>
          <w:bCs/>
          <w:snapToGrid w:val="0"/>
          <w:sz w:val="24"/>
          <w:szCs w:val="24"/>
        </w:rPr>
        <w:t>Dermed kan nye sikkerheds</w:t>
      </w:r>
      <w:r w:rsidR="00003ECF">
        <w:rPr>
          <w:bCs/>
          <w:snapToGrid w:val="0"/>
          <w:sz w:val="24"/>
          <w:szCs w:val="24"/>
        </w:rPr>
        <w:softHyphen/>
      </w:r>
      <w:r w:rsidRPr="00F724D5">
        <w:rPr>
          <w:bCs/>
          <w:snapToGrid w:val="0"/>
          <w:sz w:val="24"/>
          <w:szCs w:val="24"/>
        </w:rPr>
        <w:t>oplysninger hurtigt tilvejebringes. Sundhedspersoner anmodes om at indberette alle formodede bivirkninger. Se i pkt. 4.8, hvordan bivirkninger indberettes.</w:t>
      </w:r>
    </w:p>
    <w:p w14:paraId="7F353113" w14:textId="77777777" w:rsidR="009260DE" w:rsidRPr="00F724D5" w:rsidRDefault="009260DE" w:rsidP="009260DE">
      <w:pPr>
        <w:jc w:val="both"/>
        <w:rPr>
          <w:sz w:val="24"/>
          <w:szCs w:val="24"/>
        </w:rPr>
      </w:pPr>
    </w:p>
    <w:p w14:paraId="36A8A1E9" w14:textId="77777777" w:rsidR="009260DE" w:rsidRPr="00F724D5" w:rsidRDefault="009260DE" w:rsidP="009260DE">
      <w:pPr>
        <w:jc w:val="both"/>
        <w:rPr>
          <w:sz w:val="24"/>
          <w:szCs w:val="24"/>
        </w:rPr>
      </w:pPr>
    </w:p>
    <w:p w14:paraId="7E5832C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0.</w:t>
      </w:r>
      <w:r w:rsidRPr="00F724D5">
        <w:rPr>
          <w:b/>
          <w:sz w:val="24"/>
          <w:szCs w:val="24"/>
        </w:rPr>
        <w:tab/>
        <w:t>D.SP.NR.</w:t>
      </w:r>
    </w:p>
    <w:p w14:paraId="18A19D12" w14:textId="75D3D71D" w:rsidR="009260DE" w:rsidRPr="00F724D5" w:rsidRDefault="00956FDB" w:rsidP="009260DE">
      <w:pPr>
        <w:tabs>
          <w:tab w:val="left" w:pos="851"/>
        </w:tabs>
        <w:ind w:left="851"/>
        <w:rPr>
          <w:sz w:val="24"/>
          <w:szCs w:val="24"/>
        </w:rPr>
      </w:pPr>
      <w:r w:rsidRPr="00F724D5">
        <w:rPr>
          <w:sz w:val="24"/>
          <w:szCs w:val="24"/>
        </w:rPr>
        <w:t>31792</w:t>
      </w:r>
    </w:p>
    <w:p w14:paraId="0B1370D1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DBBB0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1.</w:t>
      </w:r>
      <w:r w:rsidRPr="00F724D5">
        <w:rPr>
          <w:b/>
          <w:sz w:val="24"/>
          <w:szCs w:val="24"/>
        </w:rPr>
        <w:tab/>
        <w:t>LÆGEMIDLETS NAVN</w:t>
      </w:r>
    </w:p>
    <w:p w14:paraId="1FA29865" w14:textId="20C0D9D1" w:rsidR="009260DE" w:rsidRPr="00F724D5" w:rsidRDefault="004E132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Cidofovir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Macure</w:t>
      </w:r>
      <w:proofErr w:type="spellEnd"/>
      <w:r>
        <w:rPr>
          <w:sz w:val="24"/>
          <w:szCs w:val="24"/>
        </w:rPr>
        <w:t>"</w:t>
      </w:r>
    </w:p>
    <w:p w14:paraId="3BBD0B8C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70BDD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2.</w:t>
      </w:r>
      <w:r w:rsidRPr="00F724D5">
        <w:rPr>
          <w:b/>
          <w:sz w:val="24"/>
          <w:szCs w:val="24"/>
        </w:rPr>
        <w:tab/>
        <w:t>KVALITATIV OG KVANTITATIV SAMMENSÆTNING</w:t>
      </w:r>
    </w:p>
    <w:p w14:paraId="695501E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Hver ml koncentrat af infusionsvæske, opløsning indeholder </w:t>
      </w:r>
      <w:proofErr w:type="spellStart"/>
      <w:r w:rsidRPr="00F724D5">
        <w:rPr>
          <w:snapToGrid w:val="0"/>
          <w:sz w:val="24"/>
          <w:szCs w:val="24"/>
        </w:rPr>
        <w:t>cidofovirdihydrat</w:t>
      </w:r>
      <w:proofErr w:type="spellEnd"/>
      <w:r w:rsidRPr="00F724D5">
        <w:rPr>
          <w:snapToGrid w:val="0"/>
          <w:sz w:val="24"/>
          <w:szCs w:val="24"/>
        </w:rPr>
        <w:t xml:space="preserve"> svarende til 75 mg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Hvert hætteglas (5 ml) indeholder </w:t>
      </w:r>
      <w:proofErr w:type="spellStart"/>
      <w:r w:rsidRPr="00F724D5">
        <w:rPr>
          <w:snapToGrid w:val="0"/>
          <w:sz w:val="24"/>
          <w:szCs w:val="24"/>
        </w:rPr>
        <w:t>cidofovirdihydrat</w:t>
      </w:r>
      <w:proofErr w:type="spellEnd"/>
      <w:r w:rsidRPr="00F724D5">
        <w:rPr>
          <w:snapToGrid w:val="0"/>
          <w:sz w:val="24"/>
          <w:szCs w:val="24"/>
        </w:rPr>
        <w:t xml:space="preserve"> svarende til 375 mg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7D3732DD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</w:p>
    <w:p w14:paraId="49A745B7" w14:textId="2815AA0A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Hjælpestoffer med kendt virkning</w:t>
      </w:r>
    </w:p>
    <w:p w14:paraId="312A5A0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Hvert hætteglas (5 ml) indeholder ca. 2,5 mmol (57 mg, dvs. 11,4 mg/ml) natrium som er en bestanddel af hjælpestofferne.</w:t>
      </w:r>
    </w:p>
    <w:p w14:paraId="40CC31C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49F8A5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Alle hjælpestoffer er anført under pkt. 6.1.</w:t>
      </w:r>
    </w:p>
    <w:p w14:paraId="71F22357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42BAE3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3.</w:t>
      </w:r>
      <w:r w:rsidRPr="00F724D5">
        <w:rPr>
          <w:b/>
          <w:sz w:val="24"/>
          <w:szCs w:val="24"/>
        </w:rPr>
        <w:tab/>
        <w:t>LÆGEMIDDELFORM</w:t>
      </w:r>
    </w:p>
    <w:p w14:paraId="59AECC11" w14:textId="2D0D7FD3" w:rsidR="00C342E3" w:rsidRDefault="006706C6" w:rsidP="00C342E3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Koncentrat til infusionsvæske, opløsning</w:t>
      </w:r>
    </w:p>
    <w:p w14:paraId="79ED98CA" w14:textId="77777777" w:rsidR="00C342E3" w:rsidRPr="00F724D5" w:rsidRDefault="00C342E3" w:rsidP="00C342E3">
      <w:pPr>
        <w:ind w:left="851"/>
        <w:rPr>
          <w:snapToGrid w:val="0"/>
          <w:sz w:val="24"/>
          <w:szCs w:val="24"/>
        </w:rPr>
      </w:pPr>
    </w:p>
    <w:p w14:paraId="2D2CB7DF" w14:textId="2B0B871A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Klar og farveløs opløsning med pH 7,2-7,6</w:t>
      </w:r>
      <w:r w:rsidR="00C342E3">
        <w:rPr>
          <w:snapToGrid w:val="0"/>
          <w:sz w:val="24"/>
          <w:szCs w:val="24"/>
        </w:rPr>
        <w:t>.</w:t>
      </w:r>
    </w:p>
    <w:p w14:paraId="2796C326" w14:textId="744AC4E3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Osmolaritet</w:t>
      </w:r>
      <w:proofErr w:type="spellEnd"/>
      <w:r w:rsidRPr="00F724D5">
        <w:rPr>
          <w:snapToGrid w:val="0"/>
          <w:sz w:val="24"/>
          <w:szCs w:val="24"/>
        </w:rPr>
        <w:t xml:space="preserve">: Mellem 550 </w:t>
      </w:r>
      <w:proofErr w:type="spellStart"/>
      <w:r w:rsidRPr="00F724D5">
        <w:rPr>
          <w:snapToGrid w:val="0"/>
          <w:sz w:val="24"/>
          <w:szCs w:val="24"/>
        </w:rPr>
        <w:t>mOsmol</w:t>
      </w:r>
      <w:proofErr w:type="spellEnd"/>
      <w:r w:rsidRPr="00F724D5">
        <w:rPr>
          <w:snapToGrid w:val="0"/>
          <w:sz w:val="24"/>
          <w:szCs w:val="24"/>
        </w:rPr>
        <w:t xml:space="preserve">/L og 650 </w:t>
      </w:r>
      <w:proofErr w:type="spellStart"/>
      <w:r w:rsidRPr="00F724D5">
        <w:rPr>
          <w:snapToGrid w:val="0"/>
          <w:sz w:val="24"/>
          <w:szCs w:val="24"/>
        </w:rPr>
        <w:t>mOsmol</w:t>
      </w:r>
      <w:proofErr w:type="spellEnd"/>
      <w:r w:rsidRPr="00F724D5">
        <w:rPr>
          <w:snapToGrid w:val="0"/>
          <w:sz w:val="24"/>
          <w:szCs w:val="24"/>
        </w:rPr>
        <w:t>/L</w:t>
      </w:r>
      <w:r w:rsidR="00C342E3">
        <w:rPr>
          <w:snapToGrid w:val="0"/>
          <w:sz w:val="24"/>
          <w:szCs w:val="24"/>
        </w:rPr>
        <w:t>.</w:t>
      </w:r>
    </w:p>
    <w:p w14:paraId="694D151D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2FD77F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6AF46F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</w:t>
      </w:r>
      <w:r w:rsidRPr="00F724D5">
        <w:rPr>
          <w:b/>
          <w:sz w:val="24"/>
          <w:szCs w:val="24"/>
        </w:rPr>
        <w:tab/>
        <w:t>KLINISKE OPLYSNINGER</w:t>
      </w:r>
    </w:p>
    <w:p w14:paraId="0530233D" w14:textId="77777777" w:rsidR="009260DE" w:rsidRPr="00F724D5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2C497A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F724D5">
        <w:rPr>
          <w:b/>
          <w:sz w:val="24"/>
          <w:szCs w:val="24"/>
        </w:rPr>
        <w:t>4.1</w:t>
      </w:r>
      <w:r w:rsidRPr="00F724D5">
        <w:rPr>
          <w:b/>
          <w:sz w:val="24"/>
          <w:szCs w:val="24"/>
        </w:rPr>
        <w:tab/>
        <w:t>Terapeutiske indikationer</w:t>
      </w:r>
    </w:p>
    <w:p w14:paraId="4E7ADBA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indiceret til behandling af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hos voksne med erhvervet immundefektsyndrom (aids) uden nyreinsufficiens. Det bør kun anvendes, når andre lægemidler findes uegnede.</w:t>
      </w:r>
    </w:p>
    <w:p w14:paraId="0B1584BD" w14:textId="73702D80" w:rsidR="00C342E3" w:rsidRDefault="00C342E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8E7D37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91F531" w14:textId="715DB6BB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4.2</w:t>
      </w:r>
      <w:r w:rsidRPr="00F724D5">
        <w:rPr>
          <w:b/>
          <w:sz w:val="24"/>
          <w:szCs w:val="24"/>
        </w:rPr>
        <w:tab/>
        <w:t xml:space="preserve">Dosering og </w:t>
      </w:r>
      <w:r w:rsidR="00176CA6">
        <w:rPr>
          <w:b/>
          <w:sz w:val="24"/>
          <w:szCs w:val="24"/>
        </w:rPr>
        <w:t>administration</w:t>
      </w:r>
    </w:p>
    <w:p w14:paraId="3402BC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Behandlingen bør ordineres af en læge med erfaring i behandling af HIV-infektion.</w:t>
      </w:r>
    </w:p>
    <w:p w14:paraId="6802453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A26E0C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Før hver administration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og proteinindhold i urinen undersøges. Det skal administreres sammen med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som beskrevet nedenfor (se pkt. 4.4 for anbefalinger og pkt. 6.6 for information om, hvordan man får fat i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0089B47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DDD1D56" w14:textId="77777777" w:rsidR="006706C6" w:rsidRPr="00492033" w:rsidRDefault="006706C6" w:rsidP="00E86FE8">
      <w:pPr>
        <w:ind w:left="851"/>
        <w:rPr>
          <w:b/>
          <w:snapToGrid w:val="0"/>
          <w:sz w:val="24"/>
          <w:szCs w:val="24"/>
        </w:rPr>
      </w:pPr>
      <w:r w:rsidRPr="00492033">
        <w:rPr>
          <w:b/>
          <w:snapToGrid w:val="0"/>
          <w:sz w:val="24"/>
          <w:szCs w:val="24"/>
        </w:rPr>
        <w:t>Dosering</w:t>
      </w:r>
    </w:p>
    <w:p w14:paraId="66BB397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799867E" w14:textId="0D00C129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Voksne</w:t>
      </w:r>
    </w:p>
    <w:p w14:paraId="021B8A4F" w14:textId="77777777" w:rsidR="00492033" w:rsidRDefault="00492033" w:rsidP="00E86FE8">
      <w:pPr>
        <w:ind w:left="851"/>
        <w:rPr>
          <w:snapToGrid w:val="0"/>
          <w:sz w:val="24"/>
          <w:szCs w:val="24"/>
        </w:rPr>
      </w:pPr>
    </w:p>
    <w:p w14:paraId="1AA16A17" w14:textId="0B98F967" w:rsidR="00492033" w:rsidRPr="00492033" w:rsidRDefault="006706C6" w:rsidP="00E86FE8">
      <w:pPr>
        <w:ind w:left="851"/>
        <w:rPr>
          <w:i/>
          <w:snapToGrid w:val="0"/>
          <w:sz w:val="24"/>
          <w:szCs w:val="24"/>
        </w:rPr>
      </w:pPr>
      <w:r w:rsidRPr="00492033">
        <w:rPr>
          <w:i/>
          <w:snapToGrid w:val="0"/>
          <w:sz w:val="24"/>
          <w:szCs w:val="24"/>
        </w:rPr>
        <w:t>Induktionsbehandling</w:t>
      </w:r>
    </w:p>
    <w:p w14:paraId="23E5A938" w14:textId="7B738AD1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anbefalede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-dosis er 5 mg/kg legemsvægt (givet som intravenøs infusion med konstant hastighed i løbet af 1 time) 1 gang ugentligt i 2 på hinanden følgende uger.</w:t>
      </w:r>
    </w:p>
    <w:p w14:paraId="3C9991E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2FFBA15" w14:textId="06A49C8B" w:rsidR="00492033" w:rsidRPr="00492033" w:rsidRDefault="006706C6" w:rsidP="00E86FE8">
      <w:pPr>
        <w:ind w:left="851"/>
        <w:rPr>
          <w:i/>
          <w:snapToGrid w:val="0"/>
          <w:sz w:val="24"/>
          <w:szCs w:val="24"/>
          <w:u w:val="single" w:color="000000"/>
        </w:rPr>
      </w:pPr>
      <w:r w:rsidRPr="00492033">
        <w:rPr>
          <w:i/>
          <w:snapToGrid w:val="0"/>
          <w:sz w:val="24"/>
          <w:szCs w:val="24"/>
        </w:rPr>
        <w:t>Vedligeholdelsesbehandling</w:t>
      </w:r>
    </w:p>
    <w:p w14:paraId="6A7E119E" w14:textId="7B673F99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anbefalede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-vedligeholdelsesdosis er 5 mg/kg legemsvægt (givet som intravenøs infusion med konstant hastighed i løbet af 1 time) 1 gang hver anden uge.</w:t>
      </w:r>
    </w:p>
    <w:p w14:paraId="0176D30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Vedligeholdelsesbehandling startes 2 uger efter afslutning af induktionsbehandlingen.</w:t>
      </w:r>
    </w:p>
    <w:p w14:paraId="468AC4A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Ophør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-vedligeholdelsesbehandling bør overvejes i overensstemmelse med lokale anbefalinger for kontrol af HIV-inficerede patienter.</w:t>
      </w:r>
    </w:p>
    <w:p w14:paraId="54A81AD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01A3798" w14:textId="70FEEFE6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Ældre</w:t>
      </w:r>
    </w:p>
    <w:p w14:paraId="18D3905F" w14:textId="77777777" w:rsidR="006706C6" w:rsidRPr="00F724D5" w:rsidRDefault="006706C6" w:rsidP="00E86FE8">
      <w:pPr>
        <w:ind w:left="851"/>
        <w:rPr>
          <w:rFonts w:eastAsiaTheme="minorHAnsi"/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Sikkerhed og virkning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ikke fastlagt til behandling af CMV-sygdom hos patienter over 60 år. Da ældre ofte har nedsat </w:t>
      </w:r>
      <w:proofErr w:type="spellStart"/>
      <w:r w:rsidRPr="00F724D5">
        <w:rPr>
          <w:snapToGrid w:val="0"/>
          <w:sz w:val="24"/>
          <w:szCs w:val="24"/>
        </w:rPr>
        <w:t>glomerulær</w:t>
      </w:r>
      <w:proofErr w:type="spellEnd"/>
      <w:r w:rsidRPr="00F724D5">
        <w:rPr>
          <w:snapToGrid w:val="0"/>
          <w:sz w:val="24"/>
          <w:szCs w:val="24"/>
        </w:rPr>
        <w:t xml:space="preserve"> funktion, skal man være særlig opmærksom på vurdering af nyrefunktionen før og under brug af lægemidlet.</w:t>
      </w:r>
    </w:p>
    <w:p w14:paraId="0756514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579A0B6" w14:textId="7F46389F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Nyreinsufficiens</w:t>
      </w:r>
    </w:p>
    <w:p w14:paraId="7617204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Nyreinsufficiens (</w:t>
      </w:r>
      <w:proofErr w:type="spellStart"/>
      <w:r w:rsidRPr="00F724D5">
        <w:rPr>
          <w:snapToGrid w:val="0"/>
          <w:sz w:val="24"/>
          <w:szCs w:val="24"/>
        </w:rPr>
        <w:t>kreatininclearance</w:t>
      </w:r>
      <w:proofErr w:type="spellEnd"/>
      <w:r w:rsidRPr="00F724D5">
        <w:rPr>
          <w:snapToGrid w:val="0"/>
          <w:sz w:val="24"/>
          <w:szCs w:val="24"/>
        </w:rPr>
        <w:t xml:space="preserve"> ≤ 55 ml/min eller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(≥ 100 mg/ml)) er kontraindikation for brug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også pkt. 4.3 og pkt. 4.4).</w:t>
      </w:r>
    </w:p>
    <w:p w14:paraId="703D826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2BFAD91" w14:textId="7595B6F6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Leverinsufficiens</w:t>
      </w:r>
    </w:p>
    <w:p w14:paraId="0E723D9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er ikke klarlagt hos patienter med leversygdom,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derfor anvendes med forsigtighed til disse patienter.</w:t>
      </w:r>
    </w:p>
    <w:p w14:paraId="4FB085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1FA5A7E" w14:textId="741635D8" w:rsidR="006706C6" w:rsidRPr="00492033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492033">
        <w:rPr>
          <w:snapToGrid w:val="0"/>
          <w:sz w:val="24"/>
          <w:szCs w:val="24"/>
          <w:u w:val="single"/>
        </w:rPr>
        <w:t>Pædiatrisk population</w:t>
      </w:r>
    </w:p>
    <w:p w14:paraId="3C6E75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hos børn under 18 år er ikke klarlagt. Der foreligger ingen data. Det bør ikke anvendes til børn under 18 år.</w:t>
      </w:r>
    </w:p>
    <w:p w14:paraId="74A663B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2E4D3256" w14:textId="77777777" w:rsidR="006706C6" w:rsidRPr="00492033" w:rsidRDefault="006706C6" w:rsidP="00E86FE8">
      <w:pPr>
        <w:ind w:left="851"/>
        <w:rPr>
          <w:b/>
          <w:snapToGrid w:val="0"/>
          <w:sz w:val="24"/>
          <w:szCs w:val="24"/>
        </w:rPr>
      </w:pPr>
      <w:r w:rsidRPr="00492033">
        <w:rPr>
          <w:b/>
          <w:snapToGrid w:val="0"/>
          <w:sz w:val="24"/>
          <w:szCs w:val="24"/>
        </w:rPr>
        <w:t>Indgivelsesmåde</w:t>
      </w:r>
    </w:p>
    <w:p w14:paraId="6290DDA3" w14:textId="0BDCFCCE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z w:val="24"/>
          <w:szCs w:val="24"/>
        </w:rPr>
        <w:t>Sikkerhedsforanstaltninger, der skal tages før håndtering og administration af lægemidlet</w:t>
      </w:r>
      <w:r w:rsidR="008814C1">
        <w:rPr>
          <w:i/>
          <w:sz w:val="24"/>
          <w:szCs w:val="24"/>
        </w:rPr>
        <w:t>:</w:t>
      </w:r>
    </w:p>
    <w:p w14:paraId="6A93B298" w14:textId="59E1CB31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træffes passende forholdsregler inklusive brug af korrekt sikkerhedsudstyr ved tilberedning, administration og bortskaffelse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Rekonstitution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infusionsvæske bør ske i en LAF- bænk (</w:t>
      </w:r>
      <w:r w:rsidRPr="00F724D5">
        <w:rPr>
          <w:i/>
          <w:snapToGrid w:val="0"/>
          <w:sz w:val="24"/>
          <w:szCs w:val="24"/>
        </w:rPr>
        <w:t xml:space="preserve">laminar air flow </w:t>
      </w:r>
      <w:proofErr w:type="spellStart"/>
      <w:r w:rsidRPr="00F724D5">
        <w:rPr>
          <w:i/>
          <w:snapToGrid w:val="0"/>
          <w:sz w:val="24"/>
          <w:szCs w:val="24"/>
        </w:rPr>
        <w:t>cabinet</w:t>
      </w:r>
      <w:proofErr w:type="spellEnd"/>
      <w:r w:rsidRPr="00F724D5">
        <w:rPr>
          <w:snapToGrid w:val="0"/>
          <w:sz w:val="24"/>
          <w:szCs w:val="24"/>
        </w:rPr>
        <w:t xml:space="preserve">). Personale, der tilbereder den </w:t>
      </w:r>
      <w:proofErr w:type="spellStart"/>
      <w:r w:rsidRPr="00F724D5">
        <w:rPr>
          <w:snapToGrid w:val="0"/>
          <w:sz w:val="24"/>
          <w:szCs w:val="24"/>
        </w:rPr>
        <w:t>rekonstituerede</w:t>
      </w:r>
      <w:proofErr w:type="spellEnd"/>
      <w:r w:rsidRPr="00F724D5">
        <w:rPr>
          <w:snapToGrid w:val="0"/>
          <w:sz w:val="24"/>
          <w:szCs w:val="24"/>
        </w:rPr>
        <w:t xml:space="preserve"> infusionsvæske, skal bære operationshandsker, sikkerhedsbriller og en lukket operationskittel med tætsluttende manchetter. Hvis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kommer i kontakt med huden, vaskes og skylles grundigt med vand (</w:t>
      </w:r>
      <w:r w:rsidR="007736A9">
        <w:rPr>
          <w:snapToGrid w:val="0"/>
          <w:sz w:val="24"/>
          <w:szCs w:val="24"/>
        </w:rPr>
        <w:t>s</w:t>
      </w:r>
      <w:r w:rsidRPr="00F724D5">
        <w:rPr>
          <w:snapToGrid w:val="0"/>
          <w:sz w:val="24"/>
          <w:szCs w:val="24"/>
        </w:rPr>
        <w:t>e pkt. 6.6)</w:t>
      </w:r>
      <w:r w:rsidR="007736A9">
        <w:rPr>
          <w:snapToGrid w:val="0"/>
          <w:sz w:val="24"/>
          <w:szCs w:val="24"/>
        </w:rPr>
        <w:t>.</w:t>
      </w:r>
    </w:p>
    <w:p w14:paraId="3F375F24" w14:textId="104E871E" w:rsidR="006706C6" w:rsidRPr="00F724D5" w:rsidRDefault="004E132B" w:rsidP="00E86FE8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"</w:t>
      </w:r>
      <w:proofErr w:type="spellStart"/>
      <w:r>
        <w:rPr>
          <w:snapToGrid w:val="0"/>
          <w:sz w:val="24"/>
          <w:szCs w:val="24"/>
        </w:rPr>
        <w:t>Macure</w:t>
      </w:r>
      <w:proofErr w:type="spellEnd"/>
      <w:r>
        <w:rPr>
          <w:snapToGrid w:val="0"/>
          <w:sz w:val="24"/>
          <w:szCs w:val="24"/>
        </w:rPr>
        <w:t>"</w:t>
      </w:r>
      <w:r w:rsidR="006706C6" w:rsidRPr="00F724D5">
        <w:rPr>
          <w:snapToGrid w:val="0"/>
          <w:sz w:val="24"/>
          <w:szCs w:val="24"/>
        </w:rPr>
        <w:t xml:space="preserve"> 75 mg/ml koncentrat til infusionsvæske, opløsning er kun til intravenøs infusion. Den anbefalede dosis, doseringshyppighed eller infusionshastighed må </w:t>
      </w:r>
      <w:r w:rsidR="006706C6" w:rsidRPr="00F724D5">
        <w:rPr>
          <w:snapToGrid w:val="0"/>
          <w:sz w:val="24"/>
          <w:szCs w:val="24"/>
        </w:rPr>
        <w:lastRenderedPageBreak/>
        <w:t xml:space="preserve">ikke overskrides. Det skal fortyndes i 100 ml 0,9 % (normal) </w:t>
      </w:r>
      <w:proofErr w:type="spellStart"/>
      <w:r w:rsidR="006706C6" w:rsidRPr="00F724D5">
        <w:rPr>
          <w:snapToGrid w:val="0"/>
          <w:sz w:val="24"/>
          <w:szCs w:val="24"/>
        </w:rPr>
        <w:t>natriumchlorid</w:t>
      </w:r>
      <w:proofErr w:type="spellEnd"/>
      <w:r w:rsidR="006706C6" w:rsidRPr="00F724D5">
        <w:rPr>
          <w:snapToGrid w:val="0"/>
          <w:sz w:val="24"/>
          <w:szCs w:val="24"/>
        </w:rPr>
        <w:t xml:space="preserve">-infusionsvæske før administration. Hele mængden skal </w:t>
      </w:r>
      <w:proofErr w:type="spellStart"/>
      <w:r w:rsidR="006706C6" w:rsidRPr="00F724D5">
        <w:rPr>
          <w:snapToGrid w:val="0"/>
          <w:sz w:val="24"/>
          <w:szCs w:val="24"/>
        </w:rPr>
        <w:t>infunderes</w:t>
      </w:r>
      <w:proofErr w:type="spellEnd"/>
      <w:r w:rsidR="006706C6" w:rsidRPr="00F724D5">
        <w:rPr>
          <w:snapToGrid w:val="0"/>
          <w:sz w:val="24"/>
          <w:szCs w:val="24"/>
        </w:rPr>
        <w:t xml:space="preserve"> intravenøst til patienten med konstant hastighed i løbet af 1 time ved hjælp af en standard-infusionspumpe. For at minimere den potentielle </w:t>
      </w:r>
      <w:proofErr w:type="spellStart"/>
      <w:r w:rsidR="006706C6" w:rsidRPr="00F724D5">
        <w:rPr>
          <w:snapToGrid w:val="0"/>
          <w:sz w:val="24"/>
          <w:szCs w:val="24"/>
        </w:rPr>
        <w:t>nefrotoksicitet</w:t>
      </w:r>
      <w:proofErr w:type="spellEnd"/>
      <w:r w:rsidR="006706C6" w:rsidRPr="00F724D5">
        <w:rPr>
          <w:snapToGrid w:val="0"/>
          <w:sz w:val="24"/>
          <w:szCs w:val="24"/>
        </w:rPr>
        <w:t xml:space="preserve"> skal der gives oral </w:t>
      </w:r>
      <w:proofErr w:type="spellStart"/>
      <w:r w:rsidR="006706C6" w:rsidRPr="00F724D5">
        <w:rPr>
          <w:snapToGrid w:val="0"/>
          <w:sz w:val="24"/>
          <w:szCs w:val="24"/>
        </w:rPr>
        <w:t>probenecid</w:t>
      </w:r>
      <w:proofErr w:type="spellEnd"/>
      <w:r w:rsidR="006706C6" w:rsidRPr="00F724D5">
        <w:rPr>
          <w:snapToGrid w:val="0"/>
          <w:sz w:val="24"/>
          <w:szCs w:val="24"/>
        </w:rPr>
        <w:t xml:space="preserve"> og præhydrering med </w:t>
      </w:r>
      <w:proofErr w:type="spellStart"/>
      <w:r w:rsidR="006706C6" w:rsidRPr="00F724D5">
        <w:rPr>
          <w:snapToGrid w:val="0"/>
          <w:sz w:val="24"/>
          <w:szCs w:val="24"/>
        </w:rPr>
        <w:t>natriumchlorid</w:t>
      </w:r>
      <w:proofErr w:type="spellEnd"/>
      <w:r w:rsidR="006706C6" w:rsidRPr="00F724D5">
        <w:rPr>
          <w:snapToGrid w:val="0"/>
          <w:sz w:val="24"/>
          <w:szCs w:val="24"/>
        </w:rPr>
        <w:t xml:space="preserve">-infusionsvæske i forbindelse med hver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"</w:t>
      </w:r>
      <w:proofErr w:type="spellStart"/>
      <w:r>
        <w:rPr>
          <w:snapToGrid w:val="0"/>
          <w:sz w:val="24"/>
          <w:szCs w:val="24"/>
        </w:rPr>
        <w:t>Macure</w:t>
      </w:r>
      <w:proofErr w:type="spellEnd"/>
      <w:r>
        <w:rPr>
          <w:snapToGrid w:val="0"/>
          <w:sz w:val="24"/>
          <w:szCs w:val="24"/>
        </w:rPr>
        <w:t>"</w:t>
      </w:r>
      <w:r w:rsidR="006706C6" w:rsidRPr="00F724D5">
        <w:rPr>
          <w:snapToGrid w:val="0"/>
          <w:sz w:val="24"/>
          <w:szCs w:val="24"/>
        </w:rPr>
        <w:t xml:space="preserve"> 75</w:t>
      </w:r>
      <w:r w:rsidR="008814C1">
        <w:rPr>
          <w:snapToGrid w:val="0"/>
          <w:sz w:val="24"/>
          <w:szCs w:val="24"/>
        </w:rPr>
        <w:t> </w:t>
      </w:r>
      <w:r w:rsidR="006706C6" w:rsidRPr="00F724D5">
        <w:rPr>
          <w:snapToGrid w:val="0"/>
          <w:sz w:val="24"/>
          <w:szCs w:val="24"/>
        </w:rPr>
        <w:t>mg/ml koncentrat til infusionsvæske, opløsning-infusion (se pkt. 4.4).</w:t>
      </w:r>
    </w:p>
    <w:p w14:paraId="1A137C93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9EC8E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4.3</w:t>
      </w:r>
      <w:r w:rsidRPr="00F724D5">
        <w:rPr>
          <w:b/>
          <w:sz w:val="24"/>
          <w:szCs w:val="24"/>
        </w:rPr>
        <w:tab/>
        <w:t>Kontraindikationer</w:t>
      </w:r>
    </w:p>
    <w:p w14:paraId="40ABCCF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Overfølsomhed over for det aktive stof eller over for et eller flere af hjælpestofferne anført i pkt. 6.1.</w:t>
      </w:r>
    </w:p>
    <w:p w14:paraId="19E3C514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20C487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Administration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patienter, der ikke kan behandles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eller andre </w:t>
      </w:r>
      <w:proofErr w:type="spellStart"/>
      <w:r w:rsidRPr="00F724D5">
        <w:rPr>
          <w:snapToGrid w:val="0"/>
          <w:sz w:val="24"/>
          <w:szCs w:val="24"/>
        </w:rPr>
        <w:t>sulfa-holdige</w:t>
      </w:r>
      <w:proofErr w:type="spellEnd"/>
      <w:r w:rsidRPr="00F724D5">
        <w:rPr>
          <w:snapToGrid w:val="0"/>
          <w:sz w:val="24"/>
          <w:szCs w:val="24"/>
        </w:rPr>
        <w:t xml:space="preserve"> lægemidler (se pkt. 4.4, Forebyggelse af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3C44B9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38F122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 med nyreinsufficiens (se pkt. 4.2).</w:t>
      </w:r>
    </w:p>
    <w:p w14:paraId="12B8BB1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3EE0F1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Samtidig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andre potentielt </w:t>
      </w:r>
      <w:proofErr w:type="spellStart"/>
      <w:r w:rsidRPr="00F724D5">
        <w:rPr>
          <w:snapToGrid w:val="0"/>
          <w:sz w:val="24"/>
          <w:szCs w:val="24"/>
        </w:rPr>
        <w:t>nefrotoksiske</w:t>
      </w:r>
      <w:proofErr w:type="spellEnd"/>
      <w:r w:rsidRPr="00F724D5">
        <w:rPr>
          <w:snapToGrid w:val="0"/>
          <w:sz w:val="24"/>
          <w:szCs w:val="24"/>
        </w:rPr>
        <w:t xml:space="preserve"> lægemidler er kontraindiceret (se pkt. 4.4).</w:t>
      </w:r>
    </w:p>
    <w:p w14:paraId="6EC4AB0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9E14F8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Direkte </w:t>
      </w:r>
      <w:proofErr w:type="spellStart"/>
      <w:r w:rsidRPr="00F724D5">
        <w:rPr>
          <w:snapToGrid w:val="0"/>
          <w:sz w:val="24"/>
          <w:szCs w:val="24"/>
        </w:rPr>
        <w:t>intraokulær</w:t>
      </w:r>
      <w:proofErr w:type="spellEnd"/>
      <w:r w:rsidRPr="00F724D5">
        <w:rPr>
          <w:snapToGrid w:val="0"/>
          <w:sz w:val="24"/>
          <w:szCs w:val="24"/>
        </w:rPr>
        <w:t xml:space="preserve"> injektion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kontraindiceret; direkte injektion kan være forbundet med væsentlige fald i det </w:t>
      </w:r>
      <w:proofErr w:type="spellStart"/>
      <w:r w:rsidRPr="00F724D5">
        <w:rPr>
          <w:snapToGrid w:val="0"/>
          <w:sz w:val="24"/>
          <w:szCs w:val="24"/>
        </w:rPr>
        <w:t>intraokulære</w:t>
      </w:r>
      <w:proofErr w:type="spellEnd"/>
      <w:r w:rsidRPr="00F724D5">
        <w:rPr>
          <w:snapToGrid w:val="0"/>
          <w:sz w:val="24"/>
          <w:szCs w:val="24"/>
        </w:rPr>
        <w:t xml:space="preserve"> tryk og synssvækkelse.</w:t>
      </w:r>
    </w:p>
    <w:p w14:paraId="2B9EFBA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293B6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4.4</w:t>
      </w:r>
      <w:r w:rsidRPr="00F724D5">
        <w:rPr>
          <w:b/>
          <w:sz w:val="24"/>
          <w:szCs w:val="24"/>
        </w:rPr>
        <w:tab/>
        <w:t>Særlige advarsler og forsigtighedsregler vedrørende brugen</w:t>
      </w:r>
    </w:p>
    <w:p w14:paraId="5BA7A9A7" w14:textId="0060E34C" w:rsidR="006706C6" w:rsidRPr="00F724D5" w:rsidRDefault="004E132B" w:rsidP="00E86FE8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"</w:t>
      </w:r>
      <w:proofErr w:type="spellStart"/>
      <w:r>
        <w:rPr>
          <w:snapToGrid w:val="0"/>
          <w:sz w:val="24"/>
          <w:szCs w:val="24"/>
        </w:rPr>
        <w:t>Macure</w:t>
      </w:r>
      <w:proofErr w:type="spellEnd"/>
      <w:r>
        <w:rPr>
          <w:snapToGrid w:val="0"/>
          <w:sz w:val="24"/>
          <w:szCs w:val="24"/>
        </w:rPr>
        <w:t>"</w:t>
      </w:r>
      <w:r w:rsidR="006706C6" w:rsidRPr="00F724D5">
        <w:rPr>
          <w:snapToGrid w:val="0"/>
          <w:sz w:val="24"/>
          <w:szCs w:val="24"/>
        </w:rPr>
        <w:t xml:space="preserve"> 75 mg/ml koncentrat til infusionsvæske, opløsning er kun formuleret til intravenøs infusion og må ikke administreres på anden måde, herunder </w:t>
      </w:r>
      <w:proofErr w:type="spellStart"/>
      <w:r w:rsidR="006706C6" w:rsidRPr="00F724D5">
        <w:rPr>
          <w:snapToGrid w:val="0"/>
          <w:sz w:val="24"/>
          <w:szCs w:val="24"/>
        </w:rPr>
        <w:t>intraokulær</w:t>
      </w:r>
      <w:proofErr w:type="spellEnd"/>
      <w:r w:rsidR="006706C6" w:rsidRPr="00F724D5">
        <w:rPr>
          <w:snapToGrid w:val="0"/>
          <w:sz w:val="24"/>
          <w:szCs w:val="24"/>
        </w:rPr>
        <w:t xml:space="preserve"> injektion eller </w:t>
      </w:r>
      <w:proofErr w:type="spellStart"/>
      <w:r w:rsidR="006706C6" w:rsidRPr="00F724D5">
        <w:rPr>
          <w:snapToGrid w:val="0"/>
          <w:sz w:val="24"/>
          <w:szCs w:val="24"/>
        </w:rPr>
        <w:t>topikalt</w:t>
      </w:r>
      <w:proofErr w:type="spellEnd"/>
      <w:r w:rsidR="006706C6" w:rsidRPr="00F724D5">
        <w:rPr>
          <w:snapToGrid w:val="0"/>
          <w:sz w:val="24"/>
          <w:szCs w:val="24"/>
        </w:rPr>
        <w:t xml:space="preserve">. Det bør kun </w:t>
      </w:r>
      <w:proofErr w:type="spellStart"/>
      <w:r w:rsidR="006706C6" w:rsidRPr="00F724D5">
        <w:rPr>
          <w:snapToGrid w:val="0"/>
          <w:sz w:val="24"/>
          <w:szCs w:val="24"/>
        </w:rPr>
        <w:t>infunderes</w:t>
      </w:r>
      <w:proofErr w:type="spellEnd"/>
      <w:r w:rsidR="006706C6" w:rsidRPr="00F724D5">
        <w:rPr>
          <w:snapToGrid w:val="0"/>
          <w:sz w:val="24"/>
          <w:szCs w:val="24"/>
        </w:rPr>
        <w:t xml:space="preserve"> i vener med tilstrækkelig blodgennem</w:t>
      </w:r>
      <w:r w:rsidR="008F297D">
        <w:rPr>
          <w:snapToGrid w:val="0"/>
          <w:sz w:val="24"/>
          <w:szCs w:val="24"/>
        </w:rPr>
        <w:softHyphen/>
      </w:r>
      <w:r w:rsidR="006706C6" w:rsidRPr="00F724D5">
        <w:rPr>
          <w:snapToGrid w:val="0"/>
          <w:sz w:val="24"/>
          <w:szCs w:val="24"/>
        </w:rPr>
        <w:t>strømning til at sikre hurtig fortynding og fordeling.</w:t>
      </w:r>
    </w:p>
    <w:p w14:paraId="4A24611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0AD2E4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og virkning er ikke blevet påvist ved andre sygdomme end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hos voksne med aids.</w:t>
      </w:r>
    </w:p>
    <w:p w14:paraId="3ED651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F0971D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Nyreinsufficiens/hæmodialyse</w:t>
      </w:r>
    </w:p>
    <w:p w14:paraId="6860D37D" w14:textId="1B0FDDCE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må ikke initieres hos patienter med </w:t>
      </w:r>
      <w:proofErr w:type="spellStart"/>
      <w:r w:rsidRPr="00F724D5">
        <w:rPr>
          <w:snapToGrid w:val="0"/>
          <w:sz w:val="24"/>
          <w:szCs w:val="24"/>
        </w:rPr>
        <w:t>kreatininclearance</w:t>
      </w:r>
      <w:proofErr w:type="spellEnd"/>
      <w:r w:rsidRPr="00F724D5">
        <w:rPr>
          <w:snapToGrid w:val="0"/>
          <w:sz w:val="24"/>
          <w:szCs w:val="24"/>
        </w:rPr>
        <w:t xml:space="preserve"> ≤</w:t>
      </w:r>
      <w:r w:rsidR="008814C1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>55</w:t>
      </w:r>
      <w:r w:rsidR="008814C1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 xml:space="preserve">ml/min eller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(≥ 100 mg/dl), da den optimale induktions- og vedligeholdelsesdosis hos patienter med moderat til svær nyreinsufficiens ikke kendes. Virkning og sikkerhed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under disse omstændigheder er ikke fastlagt.</w:t>
      </w:r>
    </w:p>
    <w:p w14:paraId="659E5DD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781FAF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Det er vist, at high-flux-hæmodialyse reducerer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serumniveau med ca. 75 %. Ved hæmodialyse udskilles 51,9 ± 11,0 % af dosis.</w:t>
      </w:r>
    </w:p>
    <w:p w14:paraId="20866A2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FA2C3B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Nefrotoksicitet</w:t>
      </w:r>
      <w:proofErr w:type="spellEnd"/>
    </w:p>
    <w:p w14:paraId="023A244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Dosisafhængig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er den væsentligste dosisbegrænsende toksicitet forbundet med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pkt. 4.8).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sikkerhed er ikke undersøgt hos patienter, der behandles med andre lægemidler med kendt potentiel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(f.eks. </w:t>
      </w:r>
      <w:proofErr w:type="spellStart"/>
      <w:r w:rsidRPr="00F724D5">
        <w:rPr>
          <w:snapToGrid w:val="0"/>
          <w:sz w:val="24"/>
          <w:szCs w:val="24"/>
        </w:rPr>
        <w:t>tenofovir</w:t>
      </w:r>
      <w:proofErr w:type="spellEnd"/>
      <w:r w:rsidRPr="00F724D5">
        <w:rPr>
          <w:snapToGrid w:val="0"/>
          <w:sz w:val="24"/>
          <w:szCs w:val="24"/>
        </w:rPr>
        <w:t xml:space="preserve">, aminoglykosider, </w:t>
      </w:r>
      <w:proofErr w:type="spellStart"/>
      <w:r w:rsidRPr="00F724D5">
        <w:rPr>
          <w:snapToGrid w:val="0"/>
          <w:sz w:val="24"/>
          <w:szCs w:val="24"/>
        </w:rPr>
        <w:t>amphotericin</w:t>
      </w:r>
      <w:proofErr w:type="spellEnd"/>
      <w:r w:rsidRPr="00F724D5">
        <w:rPr>
          <w:snapToGrid w:val="0"/>
          <w:sz w:val="24"/>
          <w:szCs w:val="24"/>
        </w:rPr>
        <w:t xml:space="preserve"> B,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pentamidin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., </w:t>
      </w:r>
      <w:proofErr w:type="spellStart"/>
      <w:r w:rsidRPr="00F724D5">
        <w:rPr>
          <w:snapToGrid w:val="0"/>
          <w:sz w:val="24"/>
          <w:szCs w:val="24"/>
        </w:rPr>
        <w:t>adefovir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vancomycin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0B8DD25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ACB2FB2" w14:textId="4ABCF324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ikke administreres sammen med lægemidler, som indeholder </w:t>
      </w:r>
      <w:proofErr w:type="spellStart"/>
      <w:r w:rsidRPr="00F724D5">
        <w:rPr>
          <w:snapToGrid w:val="0"/>
          <w:sz w:val="24"/>
          <w:szCs w:val="24"/>
        </w:rPr>
        <w:t>tenofovir</w:t>
      </w:r>
      <w:r w:rsidR="008814C1">
        <w:rPr>
          <w:snapToGrid w:val="0"/>
          <w:sz w:val="24"/>
          <w:szCs w:val="24"/>
        </w:rPr>
        <w:softHyphen/>
      </w:r>
      <w:r w:rsidRPr="00F724D5">
        <w:rPr>
          <w:snapToGrid w:val="0"/>
          <w:sz w:val="24"/>
          <w:szCs w:val="24"/>
        </w:rPr>
        <w:t>disoproxilfumarat</w:t>
      </w:r>
      <w:proofErr w:type="spellEnd"/>
      <w:r w:rsidRPr="00F724D5">
        <w:rPr>
          <w:snapToGrid w:val="0"/>
          <w:sz w:val="24"/>
          <w:szCs w:val="24"/>
        </w:rPr>
        <w:t xml:space="preserve"> pga. risikoen for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(se pkt. 4.5).</w:t>
      </w:r>
    </w:p>
    <w:p w14:paraId="3FF1933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1A8EA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Det anbefales, at potentielt </w:t>
      </w:r>
      <w:proofErr w:type="spellStart"/>
      <w:r w:rsidRPr="00F724D5">
        <w:rPr>
          <w:snapToGrid w:val="0"/>
          <w:sz w:val="24"/>
          <w:szCs w:val="24"/>
        </w:rPr>
        <w:t>nefrotoksiske</w:t>
      </w:r>
      <w:proofErr w:type="spellEnd"/>
      <w:r w:rsidRPr="00F724D5">
        <w:rPr>
          <w:snapToGrid w:val="0"/>
          <w:sz w:val="24"/>
          <w:szCs w:val="24"/>
        </w:rPr>
        <w:t xml:space="preserve"> lægemidler seponeres mindst 7 dage før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påbegyndes.</w:t>
      </w:r>
    </w:p>
    <w:p w14:paraId="3834B02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856C05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Patienter, der blev behandlet med 3,0 mg/kg, 5,0 mg/kg eller 10,0 mg/kg uden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udviklede tegn på proksimal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celleskade inklusive </w:t>
      </w:r>
      <w:proofErr w:type="spellStart"/>
      <w:r w:rsidRPr="00F724D5">
        <w:rPr>
          <w:snapToGrid w:val="0"/>
          <w:sz w:val="24"/>
          <w:szCs w:val="24"/>
        </w:rPr>
        <w:t>glycosuri</w:t>
      </w:r>
      <w:proofErr w:type="spellEnd"/>
      <w:r w:rsidRPr="00F724D5">
        <w:rPr>
          <w:snapToGrid w:val="0"/>
          <w:sz w:val="24"/>
          <w:szCs w:val="24"/>
        </w:rPr>
        <w:t xml:space="preserve"> og fald i serumfosfat, urinsyre og </w:t>
      </w:r>
      <w:proofErr w:type="spellStart"/>
      <w:r w:rsidRPr="00F724D5">
        <w:rPr>
          <w:snapToGrid w:val="0"/>
          <w:sz w:val="24"/>
          <w:szCs w:val="24"/>
        </w:rPr>
        <w:t>hydrogencarbonat</w:t>
      </w:r>
      <w:proofErr w:type="spellEnd"/>
      <w:r w:rsidRPr="00F724D5">
        <w:rPr>
          <w:snapToGrid w:val="0"/>
          <w:sz w:val="24"/>
          <w:szCs w:val="24"/>
        </w:rPr>
        <w:t xml:space="preserve"> samt stigninger i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. Tegnene på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var delvis reversible hos nogle patienter.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vigtig for at reducere den udtalte </w:t>
      </w:r>
      <w:proofErr w:type="spellStart"/>
      <w:r w:rsidRPr="00F724D5">
        <w:rPr>
          <w:snapToGrid w:val="0"/>
          <w:sz w:val="24"/>
          <w:szCs w:val="24"/>
        </w:rPr>
        <w:t>cidofovir-nefrotoksicit</w:t>
      </w:r>
      <w:proofErr w:type="spellEnd"/>
      <w:r w:rsidRPr="00F724D5">
        <w:rPr>
          <w:snapToGrid w:val="0"/>
          <w:sz w:val="24"/>
          <w:szCs w:val="24"/>
        </w:rPr>
        <w:t xml:space="preserve"> til et acceptabelt niveau mht. fordele og ulemper ved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131E240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658C02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 xml:space="preserve">Forebyggelse af </w:t>
      </w:r>
      <w:proofErr w:type="spellStart"/>
      <w:r w:rsidRPr="00F724D5">
        <w:rPr>
          <w:snapToGrid w:val="0"/>
          <w:sz w:val="24"/>
          <w:szCs w:val="24"/>
          <w:u w:val="single" w:color="000000"/>
        </w:rPr>
        <w:t>nefrotoksicitet</w:t>
      </w:r>
      <w:proofErr w:type="spellEnd"/>
    </w:p>
    <w:p w14:paraId="15D0D7C3" w14:textId="370DFE3A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behandlingen skal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suppleres med oral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tilstrækkelig præhydrering med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(se pkt. 6.6 vedrørende information om hvordan man får fat i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). Alle kliniske undersøgelser med betydning for vurderingen af klinisk virkning blev udført med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2 gram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skal indgives 3 timer før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1 gram indgives 2 timer og igen 8 timer efter afslutning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-infusionen på 1 time (dvs. </w:t>
      </w:r>
      <w:proofErr w:type="spellStart"/>
      <w:r w:rsidRPr="00F724D5">
        <w:rPr>
          <w:snapToGrid w:val="0"/>
          <w:sz w:val="24"/>
          <w:szCs w:val="24"/>
        </w:rPr>
        <w:t>ialt</w:t>
      </w:r>
      <w:proofErr w:type="spellEnd"/>
      <w:r w:rsidRPr="00F724D5">
        <w:rPr>
          <w:snapToGrid w:val="0"/>
          <w:sz w:val="24"/>
          <w:szCs w:val="24"/>
        </w:rPr>
        <w:t xml:space="preserve"> 4 g). For at nedsætte risikoen for kvalme og/eller opkastning forbundet med indgivelse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bør patienterne tilskyndes til at spise før hver </w:t>
      </w:r>
      <w:proofErr w:type="spellStart"/>
      <w:r w:rsidRPr="00F724D5">
        <w:rPr>
          <w:snapToGrid w:val="0"/>
          <w:sz w:val="24"/>
          <w:szCs w:val="24"/>
        </w:rPr>
        <w:t>probeneciddosis</w:t>
      </w:r>
      <w:proofErr w:type="spellEnd"/>
      <w:r w:rsidRPr="00F724D5">
        <w:rPr>
          <w:snapToGrid w:val="0"/>
          <w:sz w:val="24"/>
          <w:szCs w:val="24"/>
        </w:rPr>
        <w:t xml:space="preserve">. Anvendelse af et </w:t>
      </w:r>
      <w:proofErr w:type="spellStart"/>
      <w:r w:rsidRPr="00F724D5">
        <w:rPr>
          <w:snapToGrid w:val="0"/>
          <w:sz w:val="24"/>
          <w:szCs w:val="24"/>
        </w:rPr>
        <w:t>antiemetikum</w:t>
      </w:r>
      <w:proofErr w:type="spellEnd"/>
      <w:r w:rsidRPr="00F724D5">
        <w:rPr>
          <w:snapToGrid w:val="0"/>
          <w:sz w:val="24"/>
          <w:szCs w:val="24"/>
        </w:rPr>
        <w:t xml:space="preserve"> kan være nødvendigt.</w:t>
      </w:r>
    </w:p>
    <w:p w14:paraId="07F218C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DAD41F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Hos patienter, som udvikler allergiske eller overfølsomhedssymptomer over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(f.eks. udslæt, feber, kuldegysninger og anafylaksi), bør den profylaktiske eller terapeutiske brug af et passende antihistamin og/eller paracetamol overvejes.</w:t>
      </w:r>
    </w:p>
    <w:p w14:paraId="2AC878F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7D6A793" w14:textId="4DC8801C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kontraindiceret til patienter, der ikke kan behandles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pga. klinisk signifikant overfølsomhed over for det aktive stof eller over for andre sulfapræparater. Brug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uden samtidig indgift af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ikke undersøgt klinisk. Et </w:t>
      </w:r>
      <w:proofErr w:type="spellStart"/>
      <w:r w:rsidRPr="00F724D5">
        <w:rPr>
          <w:snapToGrid w:val="0"/>
          <w:sz w:val="24"/>
          <w:szCs w:val="24"/>
        </w:rPr>
        <w:t>probenecid-desensibiliseringsprogram</w:t>
      </w:r>
      <w:proofErr w:type="spellEnd"/>
      <w:r w:rsidRPr="00F724D5">
        <w:rPr>
          <w:snapToGrid w:val="0"/>
          <w:sz w:val="24"/>
          <w:szCs w:val="24"/>
        </w:rPr>
        <w:t xml:space="preserve"> anbefales ikke.</w:t>
      </w:r>
    </w:p>
    <w:p w14:paraId="30E7A3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179EFFA" w14:textId="2EDED86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Udover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skal patienterne indgives </w:t>
      </w:r>
      <w:proofErr w:type="spellStart"/>
      <w:r w:rsidRPr="00F724D5">
        <w:rPr>
          <w:snapToGrid w:val="0"/>
          <w:sz w:val="24"/>
          <w:szCs w:val="24"/>
        </w:rPr>
        <w:t>ialt</w:t>
      </w:r>
      <w:proofErr w:type="spellEnd"/>
      <w:r w:rsidRPr="00F724D5">
        <w:rPr>
          <w:snapToGrid w:val="0"/>
          <w:sz w:val="24"/>
          <w:szCs w:val="24"/>
        </w:rPr>
        <w:t xml:space="preserve"> 1 liter 0,9 % (normal)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intravenøst umiddelbart før hver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="00106B8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 xml:space="preserve">infusion. Patienter, som kan tolerere yderligere væskemængde, kan indgives op til i alt 2 liter 0,9 %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intravenøst med hver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-dosis. Den første liter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skal </w:t>
      </w:r>
      <w:proofErr w:type="spellStart"/>
      <w:r w:rsidRPr="00F724D5">
        <w:rPr>
          <w:snapToGrid w:val="0"/>
          <w:sz w:val="24"/>
          <w:szCs w:val="24"/>
        </w:rPr>
        <w:t>infunderes</w:t>
      </w:r>
      <w:proofErr w:type="spellEnd"/>
      <w:r w:rsidRPr="00F724D5">
        <w:rPr>
          <w:snapToGrid w:val="0"/>
          <w:sz w:val="24"/>
          <w:szCs w:val="24"/>
        </w:rPr>
        <w:t xml:space="preserve"> i løbet af 1 time umiddelbart før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-infusion. Hvis endnu 1 liter er nødvendig, skal denne </w:t>
      </w:r>
      <w:proofErr w:type="spellStart"/>
      <w:r w:rsidRPr="00F724D5">
        <w:rPr>
          <w:snapToGrid w:val="0"/>
          <w:sz w:val="24"/>
          <w:szCs w:val="24"/>
        </w:rPr>
        <w:t>infunderes</w:t>
      </w:r>
      <w:proofErr w:type="spellEnd"/>
      <w:r w:rsidRPr="00F724D5">
        <w:rPr>
          <w:snapToGrid w:val="0"/>
          <w:sz w:val="24"/>
          <w:szCs w:val="24"/>
        </w:rPr>
        <w:t xml:space="preserve"> i løbet af 1-3 timer og påbegyndes samtidig med eller umiddelbart efter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-infusionen.</w:t>
      </w:r>
    </w:p>
    <w:p w14:paraId="7DF8138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112D7D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Behandlingen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afbrydes og intravenøs hydrering tilrådes, hvis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stiger med ≥ 44 µmol/l (≥ 0,5 mg/dl) eller hvis der udvikles vedvarende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2+. Hos patienter, der har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2+, bør der foretages intravenøs hydrering og testen bør gentages. Hvis der stadig ses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efter hydrering, bør </w:t>
      </w:r>
      <w:proofErr w:type="spellStart"/>
      <w:r w:rsidRPr="00F724D5">
        <w:rPr>
          <w:snapToGrid w:val="0"/>
          <w:sz w:val="24"/>
          <w:szCs w:val="24"/>
        </w:rPr>
        <w:t>cidofovirbehandlingen</w:t>
      </w:r>
      <w:proofErr w:type="spellEnd"/>
      <w:r w:rsidRPr="00F724D5">
        <w:rPr>
          <w:snapToGrid w:val="0"/>
          <w:sz w:val="24"/>
          <w:szCs w:val="24"/>
        </w:rPr>
        <w:t xml:space="preserve"> stoppes. Fortsat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patienter med vedvarende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≥ 2+ efter intravenøs hydrering kan resultere i yderligere tegn på proksimal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beskadigelse inklusive </w:t>
      </w:r>
      <w:proofErr w:type="spellStart"/>
      <w:r w:rsidRPr="00F724D5">
        <w:rPr>
          <w:snapToGrid w:val="0"/>
          <w:sz w:val="24"/>
          <w:szCs w:val="24"/>
        </w:rPr>
        <w:t>glycosuri</w:t>
      </w:r>
      <w:proofErr w:type="spellEnd"/>
      <w:r w:rsidRPr="00F724D5">
        <w:rPr>
          <w:snapToGrid w:val="0"/>
          <w:sz w:val="24"/>
          <w:szCs w:val="24"/>
        </w:rPr>
        <w:t xml:space="preserve">, fald i serumfosfat, urinsyre og </w:t>
      </w:r>
      <w:proofErr w:type="spellStart"/>
      <w:r w:rsidRPr="00F724D5">
        <w:rPr>
          <w:snapToGrid w:val="0"/>
          <w:sz w:val="24"/>
          <w:szCs w:val="24"/>
        </w:rPr>
        <w:t>hydrogencarbonat</w:t>
      </w:r>
      <w:proofErr w:type="spellEnd"/>
      <w:r w:rsidRPr="00F724D5">
        <w:rPr>
          <w:snapToGrid w:val="0"/>
          <w:sz w:val="24"/>
          <w:szCs w:val="24"/>
        </w:rPr>
        <w:t xml:space="preserve"> og stigning i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3AF063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3187A2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ændring i nyrefunktion er det nødvendigt midlertidigt at afbryde og muligvis helt at seponere behandlingen. Fordele og ulemper ved at genoptage </w:t>
      </w:r>
      <w:proofErr w:type="spellStart"/>
      <w:r w:rsidRPr="00F724D5">
        <w:rPr>
          <w:snapToGrid w:val="0"/>
          <w:sz w:val="24"/>
          <w:szCs w:val="24"/>
        </w:rPr>
        <w:t>cidofovirbehandlingen</w:t>
      </w:r>
      <w:proofErr w:type="spellEnd"/>
      <w:r w:rsidRPr="00F724D5">
        <w:rPr>
          <w:snapToGrid w:val="0"/>
          <w:sz w:val="24"/>
          <w:szCs w:val="24"/>
        </w:rPr>
        <w:t xml:space="preserve"> af patienter, der er fuldt restituerede efter </w:t>
      </w:r>
      <w:proofErr w:type="spellStart"/>
      <w:r w:rsidRPr="00F724D5">
        <w:rPr>
          <w:snapToGrid w:val="0"/>
          <w:sz w:val="24"/>
          <w:szCs w:val="24"/>
        </w:rPr>
        <w:t>cidofovirrelateret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>, er endnu ikke blevet vurderet.</w:t>
      </w:r>
    </w:p>
    <w:p w14:paraId="4D13F43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18D33C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Patientmonitorering</w:t>
      </w:r>
    </w:p>
    <w:p w14:paraId="710849E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synes at være en tidlig og følsom indikator for </w:t>
      </w:r>
      <w:proofErr w:type="spellStart"/>
      <w:r w:rsidRPr="00F724D5">
        <w:rPr>
          <w:snapToGrid w:val="0"/>
          <w:sz w:val="24"/>
          <w:szCs w:val="24"/>
        </w:rPr>
        <w:t>cidofovirinduceret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. Patienter, der behandles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skal have målt </w:t>
      </w:r>
      <w:proofErr w:type="spellStart"/>
      <w:r w:rsidRPr="00F724D5">
        <w:rPr>
          <w:snapToGrid w:val="0"/>
          <w:sz w:val="24"/>
          <w:szCs w:val="24"/>
        </w:rPr>
        <w:t>serumkreatinin</w:t>
      </w:r>
      <w:proofErr w:type="spellEnd"/>
      <w:r w:rsidRPr="00F724D5">
        <w:rPr>
          <w:snapToGrid w:val="0"/>
          <w:sz w:val="24"/>
          <w:szCs w:val="24"/>
        </w:rPr>
        <w:t xml:space="preserve"> og protein i urinen i prøver taget 24 timer inden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Differentialtælling</w:t>
      </w:r>
      <w:proofErr w:type="spellEnd"/>
      <w:r w:rsidRPr="00F724D5">
        <w:rPr>
          <w:snapToGrid w:val="0"/>
          <w:sz w:val="24"/>
          <w:szCs w:val="24"/>
        </w:rPr>
        <w:t xml:space="preserve"> af hvide blodlegemer bør også foretages før hver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(se pkt. 4.8).</w:t>
      </w:r>
    </w:p>
    <w:p w14:paraId="660849B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7008B7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Øjenpåvirkning</w:t>
      </w:r>
    </w:p>
    <w:p w14:paraId="1AF3C8A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Patienter, der får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bør regelmæssigt få foretaget øjenundersøgelser, for at påvise evt.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okulær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hypertoni</w:t>
      </w:r>
      <w:proofErr w:type="spellEnd"/>
      <w:r w:rsidRPr="00F724D5">
        <w:rPr>
          <w:snapToGrid w:val="0"/>
          <w:sz w:val="24"/>
          <w:szCs w:val="24"/>
        </w:rPr>
        <w:t xml:space="preserve">. I tilfælde af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seponeres, hvis der ikke responderes på behandling med </w:t>
      </w:r>
      <w:proofErr w:type="spellStart"/>
      <w:r w:rsidRPr="00F724D5">
        <w:rPr>
          <w:snapToGrid w:val="0"/>
          <w:sz w:val="24"/>
          <w:szCs w:val="24"/>
        </w:rPr>
        <w:t>topikal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cortikosteroid</w:t>
      </w:r>
      <w:proofErr w:type="spellEnd"/>
      <w:r w:rsidRPr="00F724D5">
        <w:rPr>
          <w:snapToGrid w:val="0"/>
          <w:sz w:val="24"/>
          <w:szCs w:val="24"/>
        </w:rPr>
        <w:t xml:space="preserve"> eller hvis tilstanden forværres. Desuden bør </w:t>
      </w:r>
      <w:proofErr w:type="spellStart"/>
      <w:r w:rsidRPr="00F724D5">
        <w:rPr>
          <w:snapToGrid w:val="0"/>
          <w:sz w:val="24"/>
          <w:szCs w:val="24"/>
        </w:rPr>
        <w:t>cidofocir</w:t>
      </w:r>
      <w:proofErr w:type="spellEnd"/>
      <w:r w:rsidRPr="00F724D5">
        <w:rPr>
          <w:snapToGrid w:val="0"/>
          <w:sz w:val="24"/>
          <w:szCs w:val="24"/>
        </w:rPr>
        <w:t xml:space="preserve"> seponeres ved tilbagevendende </w:t>
      </w:r>
      <w:proofErr w:type="spellStart"/>
      <w:r w:rsidRPr="00F724D5">
        <w:rPr>
          <w:snapToGrid w:val="0"/>
          <w:sz w:val="24"/>
          <w:szCs w:val="24"/>
        </w:rPr>
        <w:t>uveitis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iritis</w:t>
      </w:r>
      <w:proofErr w:type="spellEnd"/>
      <w:r w:rsidRPr="00F724D5">
        <w:rPr>
          <w:snapToGrid w:val="0"/>
          <w:sz w:val="24"/>
          <w:szCs w:val="24"/>
        </w:rPr>
        <w:t xml:space="preserve"> efter succesfuld behandling.</w:t>
      </w:r>
    </w:p>
    <w:p w14:paraId="15654F6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AA4577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Andet</w:t>
      </w:r>
    </w:p>
    <w:p w14:paraId="3DBB844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skal betragtes som et potentielt </w:t>
      </w:r>
      <w:proofErr w:type="spellStart"/>
      <w:r w:rsidRPr="00F724D5">
        <w:rPr>
          <w:snapToGrid w:val="0"/>
          <w:sz w:val="24"/>
          <w:szCs w:val="24"/>
        </w:rPr>
        <w:t>carcinogen</w:t>
      </w:r>
      <w:proofErr w:type="spellEnd"/>
      <w:r w:rsidRPr="00F724D5">
        <w:rPr>
          <w:snapToGrid w:val="0"/>
          <w:sz w:val="24"/>
          <w:szCs w:val="24"/>
        </w:rPr>
        <w:t xml:space="preserve"> for mennesker (se pkt. 5.3).</w:t>
      </w:r>
    </w:p>
    <w:p w14:paraId="5DCDBBA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8A3FFA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anvendes med forsigtighed, ved behandling af patienter med diabetes mellitus, pga. den potentielt forøgede risiko for udvikling af </w:t>
      </w:r>
      <w:proofErr w:type="spellStart"/>
      <w:r w:rsidRPr="00F724D5">
        <w:rPr>
          <w:snapToGrid w:val="0"/>
          <w:sz w:val="24"/>
          <w:szCs w:val="24"/>
        </w:rPr>
        <w:t>okulær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hypotoni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0693A6A7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96D073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Selv om dette ikke er blevet iagttaget i kliniske undersøgelser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kan sådanne ændringer forekomme hos mennesket og forårsage </w:t>
      </w:r>
      <w:proofErr w:type="spellStart"/>
      <w:r w:rsidRPr="00F724D5">
        <w:rPr>
          <w:snapToGrid w:val="0"/>
          <w:sz w:val="24"/>
          <w:szCs w:val="24"/>
        </w:rPr>
        <w:t>infertilitet</w:t>
      </w:r>
      <w:proofErr w:type="spellEnd"/>
      <w:r w:rsidRPr="00F724D5">
        <w:rPr>
          <w:snapToGrid w:val="0"/>
          <w:sz w:val="24"/>
          <w:szCs w:val="24"/>
        </w:rPr>
        <w:t xml:space="preserve">. Mandlige patienter bør tilrådes at anvende barriereprævention under og i tre måneder efter behandlingen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(se pkt. 4.6 og pkt. 5.3).</w:t>
      </w:r>
    </w:p>
    <w:p w14:paraId="16BBC6A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fortsat anvendes passende prævention for at forhindre overførsel af HIV. </w:t>
      </w:r>
    </w:p>
    <w:p w14:paraId="3CC14C3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E9689E3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Hjælpestoffer</w:t>
      </w:r>
    </w:p>
    <w:p w14:paraId="5034BF7A" w14:textId="00CC8308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Dette lægemiddel indeholder 57 mg natrium pr. hætteglas (5 ml), svarende til 3</w:t>
      </w:r>
      <w:r w:rsidR="00DC229C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% af </w:t>
      </w:r>
      <w:proofErr w:type="spellStart"/>
      <w:r w:rsidRPr="00F724D5">
        <w:rPr>
          <w:snapToGrid w:val="0"/>
          <w:sz w:val="24"/>
          <w:szCs w:val="24"/>
        </w:rPr>
        <w:t>WHOs</w:t>
      </w:r>
      <w:proofErr w:type="spellEnd"/>
      <w:r w:rsidRPr="00F724D5">
        <w:rPr>
          <w:snapToGrid w:val="0"/>
          <w:sz w:val="24"/>
          <w:szCs w:val="24"/>
        </w:rPr>
        <w:t xml:space="preserve"> anbefalede maksimale daglige indtag på 2 g natrium til en voksen person.</w:t>
      </w:r>
    </w:p>
    <w:p w14:paraId="04B117E0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EDAFF7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4.5</w:t>
      </w:r>
      <w:r w:rsidRPr="00F724D5">
        <w:rPr>
          <w:b/>
          <w:sz w:val="24"/>
          <w:szCs w:val="24"/>
        </w:rPr>
        <w:tab/>
        <w:t>Interaktion med andre lægemidler og andre former for interaktion</w:t>
      </w:r>
    </w:p>
    <w:p w14:paraId="4A574C5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en risiko for, at samtidig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præparater, der indeholder </w:t>
      </w:r>
      <w:proofErr w:type="spellStart"/>
      <w:r w:rsidRPr="00F724D5">
        <w:rPr>
          <w:snapToGrid w:val="0"/>
          <w:sz w:val="24"/>
          <w:szCs w:val="24"/>
        </w:rPr>
        <w:t>tenofovirdisoproxilfumarat</w:t>
      </w:r>
      <w:proofErr w:type="spellEnd"/>
      <w:r w:rsidRPr="00F724D5">
        <w:rPr>
          <w:snapToGrid w:val="0"/>
          <w:sz w:val="24"/>
          <w:szCs w:val="24"/>
        </w:rPr>
        <w:t xml:space="preserve">, kan forårsage en </w:t>
      </w:r>
      <w:proofErr w:type="spellStart"/>
      <w:r w:rsidRPr="00F724D5">
        <w:rPr>
          <w:snapToGrid w:val="0"/>
          <w:sz w:val="24"/>
          <w:szCs w:val="24"/>
        </w:rPr>
        <w:t>farmakodynamisk</w:t>
      </w:r>
      <w:proofErr w:type="spellEnd"/>
      <w:r w:rsidRPr="00F724D5">
        <w:rPr>
          <w:snapToGrid w:val="0"/>
          <w:sz w:val="24"/>
          <w:szCs w:val="24"/>
        </w:rPr>
        <w:t xml:space="preserve"> interaktion og øge risikoen for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(se pkt. 4.4).</w:t>
      </w:r>
    </w:p>
    <w:p w14:paraId="1218459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832EDED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øger AUC for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 xml:space="preserve">. Patienter, der får begge lægemidler, bør overvåges nøje for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>-induceret hæmatologisk toksicitet.</w:t>
      </w:r>
    </w:p>
    <w:p w14:paraId="64DE73C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50CEC4B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For beskrivelse af andre </w:t>
      </w:r>
      <w:proofErr w:type="spellStart"/>
      <w:r w:rsidRPr="00F724D5">
        <w:rPr>
          <w:snapToGrid w:val="0"/>
          <w:sz w:val="24"/>
          <w:szCs w:val="24"/>
        </w:rPr>
        <w:t>nukleosidanalog</w:t>
      </w:r>
      <w:proofErr w:type="spellEnd"/>
      <w:r w:rsidRPr="00F724D5">
        <w:rPr>
          <w:snapToGrid w:val="0"/>
          <w:sz w:val="24"/>
          <w:szCs w:val="24"/>
        </w:rPr>
        <w:t>-</w:t>
      </w:r>
      <w:proofErr w:type="spellStart"/>
      <w:r w:rsidRPr="00F724D5">
        <w:rPr>
          <w:snapToGrid w:val="0"/>
          <w:sz w:val="24"/>
          <w:szCs w:val="24"/>
        </w:rPr>
        <w:t>reverstranskriptase</w:t>
      </w:r>
      <w:proofErr w:type="spellEnd"/>
      <w:r w:rsidRPr="00F724D5">
        <w:rPr>
          <w:snapToGrid w:val="0"/>
          <w:sz w:val="24"/>
          <w:szCs w:val="24"/>
        </w:rPr>
        <w:t xml:space="preserve">-inhibitorer (NRTI) anvendt sammen med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henvises til de relevante produktbeskrivelser.</w:t>
      </w:r>
    </w:p>
    <w:p w14:paraId="1BD1BFE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8BBE5C5" w14:textId="669BE4DC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Interaktioner mellem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anti</w:t>
      </w:r>
      <w:proofErr w:type="spellEnd"/>
      <w:r w:rsidRPr="00F724D5">
        <w:rPr>
          <w:snapToGrid w:val="0"/>
          <w:sz w:val="24"/>
          <w:szCs w:val="24"/>
        </w:rPr>
        <w:t>-HIV-lægemidler eller lægemidler, der anvendes til behandling af almindelige kroniske virusinfektioner i denne population, såsom HCV- og HBV-relateret hepatitis, er ikke undersøgt i kliniske forsøg.</w:t>
      </w:r>
    </w:p>
    <w:p w14:paraId="3B6AA32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501572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er kendt for at øge tilgængeligheden af mange lægemidler (f.eks. paracetamol, </w:t>
      </w:r>
      <w:proofErr w:type="spellStart"/>
      <w:r w:rsidRPr="00F724D5">
        <w:rPr>
          <w:snapToGrid w:val="0"/>
          <w:sz w:val="24"/>
          <w:szCs w:val="24"/>
        </w:rPr>
        <w:t>aciclovir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angiotensin</w:t>
      </w:r>
      <w:proofErr w:type="spellEnd"/>
      <w:r w:rsidRPr="00F724D5">
        <w:rPr>
          <w:snapToGrid w:val="0"/>
          <w:sz w:val="24"/>
          <w:szCs w:val="24"/>
        </w:rPr>
        <w:t xml:space="preserve">-converterende enzyminhibitorer, aminosalicylsyre, barbiturater, benzodiazepiner, </w:t>
      </w:r>
      <w:proofErr w:type="spellStart"/>
      <w:r w:rsidRPr="00F724D5">
        <w:rPr>
          <w:snapToGrid w:val="0"/>
          <w:sz w:val="24"/>
          <w:szCs w:val="24"/>
        </w:rPr>
        <w:t>bumetanid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clofibrat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methotrexat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famotidin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furosemid</w:t>
      </w:r>
      <w:proofErr w:type="spellEnd"/>
      <w:r w:rsidRPr="00F724D5">
        <w:rPr>
          <w:snapToGrid w:val="0"/>
          <w:sz w:val="24"/>
          <w:szCs w:val="24"/>
        </w:rPr>
        <w:t xml:space="preserve">, NSAID, </w:t>
      </w:r>
      <w:proofErr w:type="spellStart"/>
      <w:r w:rsidRPr="00F724D5">
        <w:rPr>
          <w:snapToGrid w:val="0"/>
          <w:sz w:val="24"/>
          <w:szCs w:val="24"/>
        </w:rPr>
        <w:t>teofyllin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zidovudin</w:t>
      </w:r>
      <w:proofErr w:type="spellEnd"/>
      <w:r w:rsidRPr="00F724D5">
        <w:rPr>
          <w:snapToGrid w:val="0"/>
          <w:sz w:val="24"/>
          <w:szCs w:val="24"/>
        </w:rPr>
        <w:t>).</w:t>
      </w:r>
    </w:p>
    <w:p w14:paraId="1F781F3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5E51A05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Når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udskrives sammen med anden medicin, er det vigtigt, at lægen rådfører sig med det gældende produktresumé (eller anden passende reference)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, og tilsvarende produktinformation for det andet produkt for komplet information om interaktioner og andre vigtige forhold for det enkelte produkt.</w:t>
      </w:r>
    </w:p>
    <w:p w14:paraId="7DA60BD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2191AB" w14:textId="181F603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4.6</w:t>
      </w:r>
      <w:r w:rsidRPr="00F724D5">
        <w:rPr>
          <w:b/>
          <w:sz w:val="24"/>
          <w:szCs w:val="24"/>
        </w:rPr>
        <w:tab/>
      </w:r>
      <w:r w:rsidR="00176CA6">
        <w:rPr>
          <w:b/>
          <w:sz w:val="24"/>
          <w:szCs w:val="24"/>
        </w:rPr>
        <w:t>Fertilitet, g</w:t>
      </w:r>
      <w:r w:rsidRPr="00F724D5">
        <w:rPr>
          <w:b/>
          <w:sz w:val="24"/>
          <w:szCs w:val="24"/>
        </w:rPr>
        <w:t>raviditet og amning</w:t>
      </w:r>
    </w:p>
    <w:p w14:paraId="6AE8A998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</w:p>
    <w:p w14:paraId="7ABF2C45" w14:textId="77777777" w:rsidR="00176CA6" w:rsidRDefault="00176CA6" w:rsidP="00176CA6">
      <w:pPr>
        <w:ind w:left="851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Kvinder i den fertile alder/</w:t>
      </w:r>
      <w:proofErr w:type="spellStart"/>
      <w:r>
        <w:rPr>
          <w:snapToGrid w:val="0"/>
          <w:sz w:val="24"/>
          <w:szCs w:val="24"/>
          <w:u w:val="single"/>
        </w:rPr>
        <w:t>Kontraception</w:t>
      </w:r>
      <w:proofErr w:type="spellEnd"/>
      <w:r>
        <w:rPr>
          <w:snapToGrid w:val="0"/>
          <w:sz w:val="24"/>
          <w:szCs w:val="24"/>
          <w:u w:val="single"/>
        </w:rPr>
        <w:t xml:space="preserve"> til mænd og kvinder:</w:t>
      </w:r>
    </w:p>
    <w:p w14:paraId="13123D3E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På grund af det genotoksiske potentiale for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(se pkt. 5.3) bør kvinder i den fertile alder anvende effektive præventionsmidler, mens de behandles med </w:t>
      </w:r>
    </w:p>
    <w:p w14:paraId="3DC435D6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samt i seks måneder efter behandlingen er afsluttet. </w:t>
      </w:r>
    </w:p>
    <w:p w14:paraId="2B522311" w14:textId="77777777" w:rsidR="00176CA6" w:rsidRDefault="00176CA6" w:rsidP="00176CA6">
      <w:pPr>
        <w:ind w:left="851"/>
        <w:rPr>
          <w:snapToGrid w:val="0"/>
          <w:sz w:val="24"/>
          <w:szCs w:val="24"/>
        </w:rPr>
      </w:pPr>
    </w:p>
    <w:p w14:paraId="4354E6EC" w14:textId="0918123B" w:rsidR="006706C6" w:rsidRPr="00F724D5" w:rsidRDefault="00176CA6" w:rsidP="00176CA6">
      <w:pPr>
        <w:ind w:left="851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Mænd anbefales at anvende effektive præventionsmidler og ikke gøre en kvinde gravid, mens de får </w:t>
      </w:r>
      <w:proofErr w:type="spellStart"/>
      <w:r>
        <w:rPr>
          <w:snapToGrid w:val="0"/>
          <w:sz w:val="24"/>
          <w:szCs w:val="24"/>
        </w:rPr>
        <w:t>cidofovir</w:t>
      </w:r>
      <w:proofErr w:type="spellEnd"/>
      <w:r>
        <w:rPr>
          <w:snapToGrid w:val="0"/>
          <w:sz w:val="24"/>
          <w:szCs w:val="24"/>
        </w:rPr>
        <w:t xml:space="preserve"> samt i tre måneder efter behandlingen er afsluttet.</w:t>
      </w:r>
    </w:p>
    <w:p w14:paraId="2B2BC89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9BA64E7" w14:textId="4CA13704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Graviditet</w:t>
      </w:r>
    </w:p>
    <w:p w14:paraId="0EBDBFE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ingen data fra anvendelse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gravide kvinder. Dyreforsøg har påvist reproduktionstoksicitet (se pkt. 5.3).</w:t>
      </w:r>
    </w:p>
    <w:p w14:paraId="2078779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8906778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bør ikke anvendes under graviditeten eller til kvinder i den fertile alder, som ikke anvender sikker </w:t>
      </w:r>
      <w:proofErr w:type="spellStart"/>
      <w:r w:rsidRPr="00F724D5">
        <w:rPr>
          <w:snapToGrid w:val="0"/>
          <w:sz w:val="24"/>
          <w:szCs w:val="24"/>
        </w:rPr>
        <w:t>kontraception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66DE465A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83DC9C7" w14:textId="4AAC62C0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Amnin</w:t>
      </w:r>
      <w:r w:rsidR="006C600E">
        <w:rPr>
          <w:snapToGrid w:val="0"/>
          <w:sz w:val="24"/>
          <w:szCs w:val="24"/>
          <w:u w:val="single"/>
        </w:rPr>
        <w:t>g</w:t>
      </w:r>
      <w:bookmarkStart w:id="0" w:name="_GoBack"/>
      <w:bookmarkEnd w:id="0"/>
    </w:p>
    <w:p w14:paraId="7572C4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Det er ukendt, om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/metabolitter udskilles i human mælk. En risiko for nyfødte/spædbørn kan ikke udelukkes. Amning skal ophøre under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4EE4F5C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0B6088B" w14:textId="4FDFC009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Fertilitet</w:t>
      </w:r>
    </w:p>
    <w:p w14:paraId="2272A53F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findes ingen undersøgelser af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indflydelse på fertiliteten hos mænd og kvinder. 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Selv om dette ikke er blevet iagttaget i kliniske undersøgelser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, kan sådanne ændringer forekomme hos mennesket og forårsage </w:t>
      </w:r>
      <w:proofErr w:type="spellStart"/>
      <w:r w:rsidRPr="00F724D5">
        <w:rPr>
          <w:snapToGrid w:val="0"/>
          <w:sz w:val="24"/>
          <w:szCs w:val="24"/>
        </w:rPr>
        <w:t>infertilitet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5A6904E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EE4693" w14:textId="00FAAD75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4.7</w:t>
      </w:r>
      <w:r w:rsidRPr="00F724D5">
        <w:rPr>
          <w:b/>
          <w:sz w:val="24"/>
          <w:szCs w:val="24"/>
        </w:rPr>
        <w:tab/>
        <w:t xml:space="preserve">Virkning på evnen til at føre motorkøretøj </w:t>
      </w:r>
      <w:r w:rsidR="00176CA6">
        <w:rPr>
          <w:b/>
          <w:sz w:val="24"/>
          <w:szCs w:val="24"/>
        </w:rPr>
        <w:t xml:space="preserve">og </w:t>
      </w:r>
      <w:r w:rsidRPr="00F724D5">
        <w:rPr>
          <w:b/>
          <w:sz w:val="24"/>
          <w:szCs w:val="24"/>
        </w:rPr>
        <w:t>betjene maskiner</w:t>
      </w:r>
    </w:p>
    <w:p w14:paraId="6510825A" w14:textId="7B8006BF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bookmarkStart w:id="1" w:name="_Hlk61618979"/>
      <w:r w:rsidRPr="00F724D5">
        <w:rPr>
          <w:snapToGrid w:val="0"/>
          <w:sz w:val="24"/>
          <w:szCs w:val="24"/>
        </w:rPr>
        <w:t>Mærkning</w:t>
      </w:r>
      <w:r w:rsidR="008920CA">
        <w:rPr>
          <w:snapToGrid w:val="0"/>
          <w:sz w:val="24"/>
          <w:szCs w:val="24"/>
        </w:rPr>
        <w:t>.</w:t>
      </w:r>
    </w:p>
    <w:p w14:paraId="45659F2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påvirker i ubetydelig grad evnen til at føre motorkøretøj eller betjene maskiner. Bivirkninger såsom asteni kan forekomme under behandling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 Lægen rådes til at diskutere dette med patienten og at give sin anbefaling i hvert enkelt tilfælde på grundlag af sygdomstilstand og tolerance over for lægemidlet.</w:t>
      </w:r>
      <w:bookmarkEnd w:id="1"/>
    </w:p>
    <w:p w14:paraId="0DCC35AE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341C24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4.8</w:t>
      </w:r>
      <w:r w:rsidRPr="00F724D5">
        <w:rPr>
          <w:b/>
          <w:sz w:val="24"/>
          <w:szCs w:val="24"/>
        </w:rPr>
        <w:tab/>
        <w:t>Bivirkninger</w:t>
      </w:r>
    </w:p>
    <w:p w14:paraId="6ADC5826" w14:textId="310D1780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Tabellen nedenfor viser en oversigt over bivirkninger set i kliniske forsøg eller efter markedsføring opstillet efter systemorganklasser (SOC) og frekvens. Inden for hver frekvensgruppe er de alvorligste bivirkninger anført først. Frekvenser defineres som: meget almindelig (≥ 1/10), almindelig (≥ 1/100 til &lt;1/10), ikke almindelig (≥ 1/1.000 til &lt;1/100), </w:t>
      </w:r>
      <w:r w:rsidRPr="00F724D5">
        <w:rPr>
          <w:i/>
          <w:iCs/>
          <w:snapToGrid w:val="0"/>
          <w:sz w:val="24"/>
          <w:szCs w:val="24"/>
        </w:rPr>
        <w:t>Sjælden (≥ 1/10.000 til &lt;1/1.000), Meget sjælden (&lt;1 / 10.000)</w:t>
      </w:r>
      <w:r w:rsidRPr="00F724D5">
        <w:rPr>
          <w:snapToGrid w:val="0"/>
          <w:sz w:val="24"/>
          <w:szCs w:val="24"/>
        </w:rPr>
        <w:t xml:space="preserve"> eller ikke kendt (</w:t>
      </w:r>
      <w:r w:rsidRPr="00F724D5">
        <w:rPr>
          <w:sz w:val="24"/>
          <w:szCs w:val="24"/>
        </w:rPr>
        <w:t>kan ikke estimeres ud fra forhåndenværende data</w:t>
      </w:r>
      <w:r w:rsidRPr="00F724D5">
        <w:rPr>
          <w:snapToGrid w:val="0"/>
          <w:sz w:val="24"/>
          <w:szCs w:val="24"/>
        </w:rPr>
        <w:t>). Bivirkninger identificeret fra erfaring efter markedsføring er inkluderet i kursiv.</w:t>
      </w:r>
    </w:p>
    <w:p w14:paraId="222EA79D" w14:textId="34C2ED9E" w:rsidR="008920CA" w:rsidRDefault="008920CA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</w:p>
    <w:p w14:paraId="352295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72E0E49C" w14:textId="77777777" w:rsidR="006706C6" w:rsidRPr="00F724D5" w:rsidRDefault="006706C6" w:rsidP="00E86FE8">
      <w:pPr>
        <w:ind w:left="851"/>
        <w:rPr>
          <w:b/>
          <w:snapToGrid w:val="0"/>
          <w:sz w:val="24"/>
          <w:szCs w:val="24"/>
        </w:rPr>
      </w:pPr>
      <w:r w:rsidRPr="00F724D5">
        <w:rPr>
          <w:b/>
          <w:snapToGrid w:val="0"/>
          <w:sz w:val="24"/>
          <w:szCs w:val="24"/>
        </w:rPr>
        <w:t xml:space="preserve">Bivirkninger, der formodentlig eller sandsynligvis er forbundet med </w:t>
      </w:r>
      <w:proofErr w:type="spellStart"/>
      <w:r w:rsidRPr="00F724D5">
        <w:rPr>
          <w:b/>
          <w:snapToGrid w:val="0"/>
          <w:sz w:val="24"/>
          <w:szCs w:val="24"/>
        </w:rPr>
        <w:t>cidofovir</w:t>
      </w:r>
      <w:proofErr w:type="spellEnd"/>
      <w:r w:rsidRPr="00F724D5">
        <w:rPr>
          <w:b/>
          <w:snapToGrid w:val="0"/>
          <w:sz w:val="24"/>
          <w:szCs w:val="24"/>
        </w:rPr>
        <w:t>, baseret på kliniske forsøg og set efter markedsføring.</w:t>
      </w:r>
    </w:p>
    <w:p w14:paraId="38AF25D0" w14:textId="77777777" w:rsidR="006706C6" w:rsidRPr="00F724D5" w:rsidRDefault="006706C6" w:rsidP="00E86FE8">
      <w:pPr>
        <w:ind w:left="851"/>
        <w:rPr>
          <w:b/>
          <w:bCs/>
          <w:snapToGrid w:val="0"/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287"/>
      </w:tblGrid>
      <w:tr w:rsidR="006706C6" w:rsidRPr="00F724D5" w14:paraId="2D2A1F00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A8131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Systemorganklasser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0C77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Bivirkninger</w:t>
            </w:r>
          </w:p>
        </w:tc>
      </w:tr>
      <w:tr w:rsidR="006706C6" w:rsidRPr="00F724D5" w14:paraId="079E6ECC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20E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Blod og lymfesystem</w:t>
            </w:r>
          </w:p>
        </w:tc>
      </w:tr>
      <w:tr w:rsidR="006706C6" w:rsidRPr="00F724D5" w14:paraId="6687C926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42C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7AEBF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Neutropeni</w:t>
            </w:r>
            <w:proofErr w:type="spellEnd"/>
          </w:p>
        </w:tc>
      </w:tr>
      <w:tr w:rsidR="006706C6" w:rsidRPr="00F724D5" w14:paraId="6C2EF173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A91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Nervesystemet</w:t>
            </w:r>
          </w:p>
        </w:tc>
      </w:tr>
      <w:tr w:rsidR="006706C6" w:rsidRPr="00F724D5" w14:paraId="255D82F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C7C8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A2FE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Hovedpine</w:t>
            </w:r>
          </w:p>
        </w:tc>
      </w:tr>
      <w:tr w:rsidR="006706C6" w:rsidRPr="00F724D5" w14:paraId="6BED18F5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739B2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Øjne</w:t>
            </w:r>
          </w:p>
        </w:tc>
      </w:tr>
      <w:tr w:rsidR="006706C6" w:rsidRPr="00F724D5" w14:paraId="6F359F84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37129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D2A4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Iritis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uveitis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, nedsat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intraokulært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tryk (se pkt. 4.4)</w:t>
            </w:r>
          </w:p>
        </w:tc>
      </w:tr>
      <w:tr w:rsidR="006706C6" w:rsidRPr="00F724D5" w14:paraId="58F51436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75C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Øre og labyrint</w:t>
            </w:r>
          </w:p>
        </w:tc>
      </w:tr>
      <w:tr w:rsidR="006706C6" w:rsidRPr="00F724D5" w14:paraId="4AD7487C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53442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29D3F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Nedsat hørelse</w:t>
            </w:r>
          </w:p>
        </w:tc>
      </w:tr>
      <w:tr w:rsidR="006706C6" w:rsidRPr="00F724D5" w14:paraId="0E399051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4ABA4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 xml:space="preserve">Luftveje, thorax og </w:t>
            </w:r>
            <w:proofErr w:type="spellStart"/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mediastinum</w:t>
            </w:r>
            <w:proofErr w:type="spellEnd"/>
          </w:p>
        </w:tc>
      </w:tr>
      <w:tr w:rsidR="006706C6" w:rsidRPr="00F724D5" w14:paraId="7EB1DC3B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2FD1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4E3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Dyspnø</w:t>
            </w:r>
          </w:p>
        </w:tc>
      </w:tr>
      <w:tr w:rsidR="006706C6" w:rsidRPr="00F724D5" w14:paraId="1C411F47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ABE3F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Mave-tarm-kanalen</w:t>
            </w:r>
          </w:p>
        </w:tc>
      </w:tr>
      <w:tr w:rsidR="006706C6" w:rsidRPr="00F724D5" w14:paraId="75CB617D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59969A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  <w:p w14:paraId="4CF34113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Almindelig </w:t>
            </w:r>
          </w:p>
          <w:p w14:paraId="2B145969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B6CD0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Kvalme, opkastning</w:t>
            </w:r>
          </w:p>
          <w:p w14:paraId="6DE3CAF2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Diarré</w:t>
            </w:r>
          </w:p>
          <w:p w14:paraId="56EDA478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Pancreatitis</w:t>
            </w:r>
            <w:proofErr w:type="spellEnd"/>
          </w:p>
        </w:tc>
      </w:tr>
      <w:tr w:rsidR="006706C6" w:rsidRPr="00F724D5" w14:paraId="2B0A6F9E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E6B5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Hud og subkutane væv</w:t>
            </w:r>
          </w:p>
        </w:tc>
      </w:tr>
      <w:tr w:rsidR="006706C6" w:rsidRPr="00F724D5" w14:paraId="2A3460A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8CD46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7DE35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Alopeci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, udslæt</w:t>
            </w:r>
          </w:p>
        </w:tc>
      </w:tr>
      <w:tr w:rsidR="006706C6" w:rsidRPr="00F724D5" w14:paraId="332B7AAA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F3B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Nyrer og urinveje</w:t>
            </w:r>
          </w:p>
        </w:tc>
      </w:tr>
      <w:tr w:rsidR="006706C6" w:rsidRPr="00F724D5" w14:paraId="37757B3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94AA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  <w:p w14:paraId="720D0D7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Almindelig </w:t>
            </w:r>
          </w:p>
          <w:p w14:paraId="79CB0BB6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D31D6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Proteinuri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; forhøjet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kreatinin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(se pkt. 4.4).</w:t>
            </w:r>
          </w:p>
          <w:p w14:paraId="2CBDCE29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 xml:space="preserve">Nyresvigt </w:t>
            </w:r>
          </w:p>
          <w:p w14:paraId="089AD8A2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>Fanconis</w:t>
            </w:r>
            <w:proofErr w:type="spellEnd"/>
            <w:r w:rsidRPr="00F724D5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  <w:lang w:val="da-DK"/>
              </w:rPr>
              <w:t xml:space="preserve"> syndrom</w:t>
            </w:r>
          </w:p>
        </w:tc>
      </w:tr>
      <w:tr w:rsidR="006706C6" w:rsidRPr="00F724D5" w14:paraId="49DA8DD1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E2CD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6706C6" w:rsidRPr="00F724D5" w14:paraId="0F78C4D5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F5F5E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Meget almindelig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8E31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Asteni, feber </w:t>
            </w:r>
          </w:p>
          <w:p w14:paraId="25AD96A3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Kulderystelser</w:t>
            </w:r>
          </w:p>
        </w:tc>
      </w:tr>
    </w:tbl>
    <w:p w14:paraId="2723DC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25C15D32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modtaget rapporter om nyresvigt (samt hændelser, der muligvis er forårsaget af nyresvigt, f.eks. forhøjet </w:t>
      </w:r>
      <w:proofErr w:type="spellStart"/>
      <w:r w:rsidRPr="00F724D5">
        <w:rPr>
          <w:snapToGrid w:val="0"/>
          <w:sz w:val="24"/>
          <w:szCs w:val="24"/>
        </w:rPr>
        <w:t>kreatinin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glykosuri</w:t>
      </w:r>
      <w:proofErr w:type="spellEnd"/>
      <w:r w:rsidRPr="00F724D5">
        <w:rPr>
          <w:snapToGrid w:val="0"/>
          <w:sz w:val="24"/>
          <w:szCs w:val="24"/>
        </w:rPr>
        <w:t xml:space="preserve">). Nogle af dem var fatale. Der er rapporteret tilfælde af akut nyresvigt efter kun én eller to doser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0621144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3E134B0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tilfælde af </w:t>
      </w:r>
      <w:proofErr w:type="spellStart"/>
      <w:r w:rsidRPr="00F724D5">
        <w:rPr>
          <w:snapToGrid w:val="0"/>
          <w:sz w:val="24"/>
          <w:szCs w:val="24"/>
        </w:rPr>
        <w:t>glykosuri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proteinuri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aminosyreuri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hypourikæmi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hypofosfatæmi</w:t>
      </w:r>
      <w:proofErr w:type="spellEnd"/>
      <w:r w:rsidRPr="00F724D5">
        <w:rPr>
          <w:snapToGrid w:val="0"/>
          <w:sz w:val="24"/>
          <w:szCs w:val="24"/>
        </w:rPr>
        <w:t xml:space="preserve"> og/eller </w:t>
      </w:r>
      <w:proofErr w:type="spellStart"/>
      <w:r w:rsidRPr="00F724D5">
        <w:rPr>
          <w:snapToGrid w:val="0"/>
          <w:sz w:val="24"/>
          <w:szCs w:val="24"/>
        </w:rPr>
        <w:t>hypokaliæmi</w:t>
      </w:r>
      <w:proofErr w:type="spellEnd"/>
      <w:r w:rsidRPr="00F724D5">
        <w:rPr>
          <w:snapToGrid w:val="0"/>
          <w:sz w:val="24"/>
          <w:szCs w:val="24"/>
        </w:rPr>
        <w:t xml:space="preserve"> bør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-relateret </w:t>
      </w:r>
      <w:proofErr w:type="spellStart"/>
      <w:r w:rsidRPr="00F724D5">
        <w:rPr>
          <w:snapToGrid w:val="0"/>
          <w:sz w:val="24"/>
          <w:szCs w:val="24"/>
        </w:rPr>
        <w:t>Fanconis</w:t>
      </w:r>
      <w:proofErr w:type="spellEnd"/>
      <w:r w:rsidRPr="00F724D5">
        <w:rPr>
          <w:snapToGrid w:val="0"/>
          <w:sz w:val="24"/>
          <w:szCs w:val="24"/>
        </w:rPr>
        <w:t xml:space="preserve"> syndrom overvejes.</w:t>
      </w:r>
    </w:p>
    <w:p w14:paraId="0531E240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5C1662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nedenstående tabel er bivirkninger, der sandsynligvis eller muligvis kan relateres til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, baseret på kliniske forsøg:</w:t>
      </w:r>
    </w:p>
    <w:p w14:paraId="4778A2C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287"/>
      </w:tblGrid>
      <w:tr w:rsidR="006706C6" w:rsidRPr="00F724D5" w14:paraId="64EE5CA2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9D0D5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Systemorganklasser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D7715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Bivirkninger</w:t>
            </w:r>
          </w:p>
        </w:tc>
      </w:tr>
      <w:tr w:rsidR="006706C6" w:rsidRPr="00F724D5" w14:paraId="5AFFAB3C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A44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Nervesystemet</w:t>
            </w:r>
          </w:p>
        </w:tc>
      </w:tr>
      <w:tr w:rsidR="006706C6" w:rsidRPr="00F724D5" w14:paraId="6C8F636F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FC68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F2E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Hovedpine</w:t>
            </w:r>
          </w:p>
        </w:tc>
      </w:tr>
      <w:tr w:rsidR="006706C6" w:rsidRPr="00F724D5" w14:paraId="4D77C600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848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Mave-tarm-kanalen</w:t>
            </w:r>
          </w:p>
        </w:tc>
      </w:tr>
      <w:tr w:rsidR="006706C6" w:rsidRPr="00F724D5" w14:paraId="471DB7CC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D15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645A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Kvalme, opkastning</w:t>
            </w:r>
          </w:p>
        </w:tc>
      </w:tr>
      <w:tr w:rsidR="006706C6" w:rsidRPr="00F724D5" w14:paraId="3AECCE17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E48D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Hud og subkutane væv</w:t>
            </w:r>
          </w:p>
        </w:tc>
      </w:tr>
      <w:tr w:rsidR="006706C6" w:rsidRPr="00F724D5" w14:paraId="3DE1B447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B0C2B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E8FDC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Udslæt</w:t>
            </w:r>
          </w:p>
        </w:tc>
      </w:tr>
      <w:tr w:rsidR="006706C6" w:rsidRPr="00F724D5" w14:paraId="72560108" w14:textId="77777777" w:rsidTr="00DF632E">
        <w:trPr>
          <w:trHeight w:val="20"/>
        </w:trPr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DAF7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6706C6" w:rsidRPr="00F724D5" w14:paraId="7E378D4E" w14:textId="77777777" w:rsidTr="00DF632E">
        <w:trPr>
          <w:trHeight w:val="20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27ECC" w14:textId="77777777" w:rsidR="006706C6" w:rsidRPr="00F724D5" w:rsidRDefault="006706C6" w:rsidP="00DF632E">
            <w:pPr>
              <w:pStyle w:val="TableParagraph"/>
              <w:ind w:right="10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Meget almindelig 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Almindelig</w:t>
            </w:r>
            <w:proofErr w:type="spellEnd"/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751B9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Feber</w:t>
            </w:r>
          </w:p>
          <w:p w14:paraId="7B86D21D" w14:textId="77777777" w:rsidR="006706C6" w:rsidRPr="00F724D5" w:rsidRDefault="006706C6" w:rsidP="00DC229C">
            <w:pPr>
              <w:pStyle w:val="TableParagraph"/>
              <w:ind w:right="39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Asteni, kulderystelser</w:t>
            </w:r>
          </w:p>
        </w:tc>
      </w:tr>
    </w:tbl>
    <w:p w14:paraId="3434E365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6C046F7B" w14:textId="1C1F2DF4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lastRenderedPageBreak/>
        <w:t xml:space="preserve">Ud over de her anførte bivirkninger kan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også give andre bivirkninger herunder anoreksi, tandkødssmerter, rødmen, </w:t>
      </w:r>
      <w:proofErr w:type="spellStart"/>
      <w:r w:rsidRPr="00F724D5">
        <w:rPr>
          <w:snapToGrid w:val="0"/>
          <w:sz w:val="24"/>
          <w:szCs w:val="24"/>
        </w:rPr>
        <w:t>alopeci</w:t>
      </w:r>
      <w:proofErr w:type="spellEnd"/>
      <w:r w:rsidRPr="00F724D5">
        <w:rPr>
          <w:snapToGrid w:val="0"/>
          <w:sz w:val="24"/>
          <w:szCs w:val="24"/>
        </w:rPr>
        <w:t xml:space="preserve">, svimmelhed, anæmi og </w:t>
      </w:r>
      <w:proofErr w:type="spellStart"/>
      <w:r w:rsidRPr="00F724D5">
        <w:rPr>
          <w:snapToGrid w:val="0"/>
          <w:sz w:val="24"/>
          <w:szCs w:val="24"/>
        </w:rPr>
        <w:t>pollakiuri</w:t>
      </w:r>
      <w:proofErr w:type="spellEnd"/>
      <w:r w:rsidRPr="00F724D5">
        <w:rPr>
          <w:snapToGrid w:val="0"/>
          <w:sz w:val="24"/>
          <w:szCs w:val="24"/>
        </w:rPr>
        <w:t xml:space="preserve">. Der er forekommet overfølsomhedsreaktioner såsom </w:t>
      </w:r>
      <w:proofErr w:type="spellStart"/>
      <w:r w:rsidRPr="00F724D5">
        <w:rPr>
          <w:snapToGrid w:val="0"/>
          <w:sz w:val="24"/>
          <w:szCs w:val="24"/>
        </w:rPr>
        <w:t>dermatitis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pruritus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urticaria</w:t>
      </w:r>
      <w:proofErr w:type="spellEnd"/>
      <w:r w:rsidRPr="00F724D5">
        <w:rPr>
          <w:snapToGrid w:val="0"/>
          <w:sz w:val="24"/>
          <w:szCs w:val="24"/>
        </w:rPr>
        <w:t>, og sjældent anafylaksi og Stevens-Johnsons</w:t>
      </w:r>
      <w:r w:rsidR="008920CA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syndrom. Der er blevet rapporteret om </w:t>
      </w:r>
      <w:proofErr w:type="spellStart"/>
      <w:r w:rsidRPr="00F724D5">
        <w:rPr>
          <w:snapToGrid w:val="0"/>
          <w:sz w:val="24"/>
          <w:szCs w:val="24"/>
        </w:rPr>
        <w:t>leukopeni</w:t>
      </w:r>
      <w:proofErr w:type="spellEnd"/>
      <w:r w:rsidRPr="00F724D5">
        <w:rPr>
          <w:snapToGrid w:val="0"/>
          <w:sz w:val="24"/>
          <w:szCs w:val="24"/>
        </w:rPr>
        <w:t xml:space="preserve">, </w:t>
      </w:r>
      <w:proofErr w:type="spellStart"/>
      <w:r w:rsidRPr="00F724D5">
        <w:rPr>
          <w:snapToGrid w:val="0"/>
          <w:sz w:val="24"/>
          <w:szCs w:val="24"/>
        </w:rPr>
        <w:t>hepatisk</w:t>
      </w:r>
      <w:proofErr w:type="spellEnd"/>
      <w:r w:rsidRPr="00F724D5">
        <w:rPr>
          <w:snapToGrid w:val="0"/>
          <w:sz w:val="24"/>
          <w:szCs w:val="24"/>
        </w:rPr>
        <w:t xml:space="preserve"> nekrose, </w:t>
      </w:r>
      <w:proofErr w:type="spellStart"/>
      <w:r w:rsidRPr="00F724D5">
        <w:rPr>
          <w:snapToGrid w:val="0"/>
          <w:sz w:val="24"/>
          <w:szCs w:val="24"/>
        </w:rPr>
        <w:t>nefrotisk</w:t>
      </w:r>
      <w:proofErr w:type="spellEnd"/>
      <w:r w:rsidRPr="00F724D5">
        <w:rPr>
          <w:snapToGrid w:val="0"/>
          <w:sz w:val="24"/>
          <w:szCs w:val="24"/>
        </w:rPr>
        <w:t xml:space="preserve"> syndrom og </w:t>
      </w:r>
      <w:proofErr w:type="spellStart"/>
      <w:r w:rsidRPr="00F724D5">
        <w:rPr>
          <w:snapToGrid w:val="0"/>
          <w:sz w:val="24"/>
          <w:szCs w:val="24"/>
        </w:rPr>
        <w:t>aplastisk</w:t>
      </w:r>
      <w:proofErr w:type="spellEnd"/>
      <w:r w:rsidRPr="00F724D5">
        <w:rPr>
          <w:snapToGrid w:val="0"/>
          <w:sz w:val="24"/>
          <w:szCs w:val="24"/>
        </w:rPr>
        <w:t xml:space="preserve"> anæmi. </w:t>
      </w:r>
      <w:proofErr w:type="spellStart"/>
      <w:r w:rsidRPr="00F724D5">
        <w:rPr>
          <w:snapToGrid w:val="0"/>
          <w:sz w:val="24"/>
          <w:szCs w:val="24"/>
        </w:rPr>
        <w:t>Hæmolytisk</w:t>
      </w:r>
      <w:proofErr w:type="spellEnd"/>
      <w:r w:rsidRPr="00F724D5">
        <w:rPr>
          <w:snapToGrid w:val="0"/>
          <w:sz w:val="24"/>
          <w:szCs w:val="24"/>
        </w:rPr>
        <w:t xml:space="preserve"> anæmi er også set og kan være forbundet med G6DP-mangel. Når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udskrives samtidig, er det derfor vigtigt, at lægen rådfører sig med det gældende produktresumé (eller anden passende reference)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for komplet information om sikkerhedsprofil og andre vigtige forhold for produktet.</w:t>
      </w:r>
    </w:p>
    <w:p w14:paraId="0135C111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063C5490" w14:textId="77777777" w:rsidR="006706C6" w:rsidRPr="00F724D5" w:rsidRDefault="006706C6" w:rsidP="00E86FE8">
      <w:pPr>
        <w:ind w:left="851"/>
        <w:rPr>
          <w:sz w:val="24"/>
          <w:szCs w:val="24"/>
          <w:u w:val="single"/>
        </w:rPr>
      </w:pPr>
      <w:r w:rsidRPr="00F724D5">
        <w:rPr>
          <w:noProof/>
          <w:sz w:val="24"/>
          <w:szCs w:val="24"/>
          <w:u w:val="single"/>
        </w:rPr>
        <w:t>Indberetning af formodede bivirkninger</w:t>
      </w:r>
    </w:p>
    <w:p w14:paraId="5384D24F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Når lægemidlet er godkendt, er indberetning af formodede bivirkninger vigtig.</w:t>
      </w:r>
      <w:r w:rsidRPr="00F724D5">
        <w:rPr>
          <w:sz w:val="24"/>
          <w:szCs w:val="24"/>
        </w:rPr>
        <w:t xml:space="preserve"> </w:t>
      </w:r>
      <w:r w:rsidRPr="00F724D5">
        <w:rPr>
          <w:noProof/>
          <w:sz w:val="24"/>
          <w:szCs w:val="24"/>
        </w:rPr>
        <w:t>Det muliggør løbende overvågning af benefit/risk-forholdet for lægemidlet.</w:t>
      </w:r>
      <w:r w:rsidRPr="00F724D5">
        <w:rPr>
          <w:sz w:val="24"/>
          <w:szCs w:val="24"/>
        </w:rPr>
        <w:t xml:space="preserve"> </w:t>
      </w:r>
      <w:r w:rsidRPr="00F724D5">
        <w:rPr>
          <w:noProof/>
          <w:sz w:val="24"/>
          <w:szCs w:val="24"/>
        </w:rPr>
        <w:t xml:space="preserve">Sundhedspersoner anmodes om at indberette alle formodede bivirkninger via </w:t>
      </w:r>
    </w:p>
    <w:p w14:paraId="2AFC82F3" w14:textId="77777777" w:rsidR="000E0ECB" w:rsidRPr="00F724D5" w:rsidRDefault="000E0ECB" w:rsidP="00E86FE8">
      <w:pPr>
        <w:ind w:left="851"/>
        <w:rPr>
          <w:noProof/>
          <w:sz w:val="24"/>
          <w:szCs w:val="24"/>
        </w:rPr>
      </w:pPr>
    </w:p>
    <w:p w14:paraId="2984F64D" w14:textId="69563357" w:rsidR="006706C6" w:rsidRPr="00F724D5" w:rsidRDefault="000E0ECB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L</w:t>
      </w:r>
      <w:r w:rsidR="006706C6" w:rsidRPr="00F724D5">
        <w:rPr>
          <w:noProof/>
          <w:sz w:val="24"/>
          <w:szCs w:val="24"/>
        </w:rPr>
        <w:t>ægemiddelstyrelsen</w:t>
      </w:r>
    </w:p>
    <w:p w14:paraId="6CE9BB24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Axel Heides Gade 1</w:t>
      </w:r>
    </w:p>
    <w:p w14:paraId="5DBD45BE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DK-2300 København S</w:t>
      </w:r>
    </w:p>
    <w:p w14:paraId="412978FE" w14:textId="77777777" w:rsidR="006706C6" w:rsidRPr="00F724D5" w:rsidRDefault="006706C6" w:rsidP="00E86FE8">
      <w:pPr>
        <w:ind w:left="851"/>
        <w:rPr>
          <w:noProof/>
          <w:sz w:val="24"/>
          <w:szCs w:val="24"/>
        </w:rPr>
      </w:pPr>
      <w:r w:rsidRPr="00F724D5">
        <w:rPr>
          <w:noProof/>
          <w:sz w:val="24"/>
          <w:szCs w:val="24"/>
        </w:rPr>
        <w:t>Websted: www.meldenbivirkning.dk</w:t>
      </w:r>
    </w:p>
    <w:p w14:paraId="6F13827C" w14:textId="77777777" w:rsidR="006706C6" w:rsidRPr="00F724D5" w:rsidRDefault="006706C6" w:rsidP="00E86FE8">
      <w:pPr>
        <w:ind w:left="851"/>
        <w:rPr>
          <w:snapToGrid w:val="0"/>
          <w:sz w:val="24"/>
          <w:szCs w:val="24"/>
          <w:shd w:val="clear" w:color="auto" w:fill="C0C0C0"/>
        </w:rPr>
      </w:pPr>
    </w:p>
    <w:p w14:paraId="3DA74944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4.9</w:t>
      </w:r>
      <w:r w:rsidRPr="00F724D5">
        <w:rPr>
          <w:b/>
          <w:sz w:val="24"/>
          <w:szCs w:val="24"/>
        </w:rPr>
        <w:tab/>
        <w:t>Overdosering</w:t>
      </w:r>
    </w:p>
    <w:p w14:paraId="55E46AC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er rapporteret to tilfælde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-overdosering. I begge tilfælde forekom overdoseringen under den første induktionsdosis, og der blev ikke indgivet yderligere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En patient fik en enkelt dosis på 16,4 mg/kg, og den anden patient fik en enkelt dosis på 17,3 mg/kg. </w:t>
      </w:r>
    </w:p>
    <w:p w14:paraId="36E1F4FE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158088CC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/>
        </w:rPr>
        <w:t>Symptomer</w:t>
      </w:r>
      <w:r w:rsidRPr="00F724D5">
        <w:rPr>
          <w:snapToGrid w:val="0"/>
          <w:sz w:val="24"/>
          <w:szCs w:val="24"/>
        </w:rPr>
        <w:t xml:space="preserve"> </w:t>
      </w:r>
    </w:p>
    <w:p w14:paraId="7F0CA963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Den ene patient fik en mindre, forbigående ændring af nyrefunktionen, mens den anden ikke havde ændringer af nyrefunktionen (se pkt. 4.4).</w:t>
      </w:r>
    </w:p>
    <w:p w14:paraId="23CB2C69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</w:p>
    <w:p w14:paraId="44736BEC" w14:textId="77777777" w:rsidR="006706C6" w:rsidRPr="00F724D5" w:rsidRDefault="006706C6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 xml:space="preserve">Behandling </w:t>
      </w:r>
    </w:p>
    <w:p w14:paraId="6AA31746" w14:textId="77777777" w:rsidR="006706C6" w:rsidRPr="00F724D5" w:rsidRDefault="006706C6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Begge patienter blev indlagt og blev behandlet med profylaktisk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 og kraftig hydrering i 3 til 7 dage.</w:t>
      </w:r>
    </w:p>
    <w:p w14:paraId="3B25FC9B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5889F8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4.10</w:t>
      </w:r>
      <w:r w:rsidRPr="00F724D5">
        <w:rPr>
          <w:b/>
          <w:sz w:val="24"/>
          <w:szCs w:val="24"/>
        </w:rPr>
        <w:tab/>
        <w:t>Udlevering</w:t>
      </w:r>
    </w:p>
    <w:p w14:paraId="4EB1C9C2" w14:textId="321B074A" w:rsidR="009260DE" w:rsidRPr="00F724D5" w:rsidRDefault="006706C6" w:rsidP="009260DE">
      <w:pPr>
        <w:tabs>
          <w:tab w:val="left" w:pos="851"/>
        </w:tabs>
        <w:ind w:left="851"/>
        <w:rPr>
          <w:sz w:val="24"/>
          <w:szCs w:val="24"/>
        </w:rPr>
      </w:pPr>
      <w:r w:rsidRPr="00F724D5">
        <w:rPr>
          <w:sz w:val="24"/>
          <w:szCs w:val="24"/>
        </w:rPr>
        <w:t xml:space="preserve">BEGR </w:t>
      </w:r>
      <w:r w:rsidR="008920CA">
        <w:rPr>
          <w:sz w:val="24"/>
          <w:szCs w:val="24"/>
        </w:rPr>
        <w:t>(</w:t>
      </w:r>
      <w:r w:rsidRPr="00F724D5">
        <w:rPr>
          <w:sz w:val="24"/>
          <w:szCs w:val="24"/>
        </w:rPr>
        <w:t>kun til sygehuse</w:t>
      </w:r>
      <w:r w:rsidR="008920CA">
        <w:rPr>
          <w:sz w:val="24"/>
          <w:szCs w:val="24"/>
        </w:rPr>
        <w:t>)</w:t>
      </w:r>
    </w:p>
    <w:p w14:paraId="1595E914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1B5053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C024B1" w14:textId="0314F5CE" w:rsidR="00DB3E5B" w:rsidRPr="00176CA6" w:rsidRDefault="009260DE" w:rsidP="00176C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</w:t>
      </w:r>
      <w:r w:rsidRPr="00F724D5">
        <w:rPr>
          <w:b/>
          <w:sz w:val="24"/>
          <w:szCs w:val="24"/>
        </w:rPr>
        <w:tab/>
        <w:t>FARMAKOLOGISKE EGENSKABER</w:t>
      </w:r>
    </w:p>
    <w:p w14:paraId="23B3D82B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78AA95" w14:textId="77777777" w:rsidR="009260DE" w:rsidRPr="00F724D5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5.1</w:t>
      </w:r>
      <w:r w:rsidRPr="00F724D5">
        <w:rPr>
          <w:b/>
          <w:sz w:val="24"/>
          <w:szCs w:val="24"/>
        </w:rPr>
        <w:tab/>
      </w:r>
      <w:proofErr w:type="spellStart"/>
      <w:r w:rsidRPr="00F724D5">
        <w:rPr>
          <w:b/>
          <w:sz w:val="24"/>
          <w:szCs w:val="24"/>
        </w:rPr>
        <w:t>Farmakodynamiske</w:t>
      </w:r>
      <w:proofErr w:type="spellEnd"/>
      <w:r w:rsidRPr="00F724D5">
        <w:rPr>
          <w:b/>
          <w:sz w:val="24"/>
          <w:szCs w:val="24"/>
        </w:rPr>
        <w:t xml:space="preserve"> egenskaber</w:t>
      </w:r>
    </w:p>
    <w:p w14:paraId="1E55C104" w14:textId="0C74040C" w:rsidR="00176CA6" w:rsidRPr="00F724D5" w:rsidRDefault="00176CA6" w:rsidP="00176CA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Farmakot</w:t>
      </w:r>
      <w:r w:rsidRPr="00176CA6">
        <w:rPr>
          <w:sz w:val="24"/>
          <w:szCs w:val="24"/>
        </w:rPr>
        <w:t>erapeutisk</w:t>
      </w:r>
      <w:proofErr w:type="spellEnd"/>
      <w:r w:rsidRPr="00176CA6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F724D5">
        <w:rPr>
          <w:sz w:val="24"/>
          <w:szCs w:val="24"/>
        </w:rPr>
        <w:t xml:space="preserve">Antiviralt middel til systemisk brug, </w:t>
      </w:r>
      <w:proofErr w:type="spellStart"/>
      <w:r w:rsidRPr="00F724D5">
        <w:rPr>
          <w:sz w:val="24"/>
          <w:szCs w:val="24"/>
        </w:rPr>
        <w:t>nukleosider</w:t>
      </w:r>
      <w:proofErr w:type="spellEnd"/>
      <w:r w:rsidRPr="00F724D5">
        <w:rPr>
          <w:sz w:val="24"/>
          <w:szCs w:val="24"/>
        </w:rPr>
        <w:t xml:space="preserve"> og nukleotider ekskl. revers </w:t>
      </w:r>
      <w:proofErr w:type="spellStart"/>
      <w:r w:rsidRPr="00F724D5">
        <w:rPr>
          <w:sz w:val="24"/>
          <w:szCs w:val="24"/>
        </w:rPr>
        <w:t>transkriptase-hæmmere</w:t>
      </w:r>
      <w:proofErr w:type="spellEnd"/>
      <w:r>
        <w:rPr>
          <w:sz w:val="24"/>
          <w:szCs w:val="24"/>
        </w:rPr>
        <w:t xml:space="preserve">. </w:t>
      </w:r>
      <w:r w:rsidRPr="00F724D5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AB</w:t>
      </w:r>
      <w:r>
        <w:rPr>
          <w:sz w:val="24"/>
          <w:szCs w:val="24"/>
        </w:rPr>
        <w:t xml:space="preserve"> </w:t>
      </w:r>
      <w:r w:rsidRPr="00F724D5">
        <w:rPr>
          <w:sz w:val="24"/>
          <w:szCs w:val="24"/>
        </w:rPr>
        <w:t>12.</w:t>
      </w:r>
    </w:p>
    <w:p w14:paraId="20BD57F0" w14:textId="77777777" w:rsidR="00176CA6" w:rsidRPr="00F724D5" w:rsidRDefault="00176CA6" w:rsidP="00E86FE8">
      <w:pPr>
        <w:ind w:left="851"/>
        <w:rPr>
          <w:snapToGrid w:val="0"/>
          <w:sz w:val="24"/>
          <w:szCs w:val="24"/>
          <w:u w:color="000000"/>
        </w:rPr>
      </w:pPr>
    </w:p>
    <w:p w14:paraId="464C6EB8" w14:textId="34385ECC" w:rsidR="00DB3E5B" w:rsidRPr="00F724D5" w:rsidRDefault="00DB3E5B" w:rsidP="00E86FE8">
      <w:pPr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t>Generelt</w:t>
      </w:r>
    </w:p>
    <w:p w14:paraId="7D405DC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en </w:t>
      </w:r>
      <w:proofErr w:type="spellStart"/>
      <w:r w:rsidRPr="00F724D5">
        <w:rPr>
          <w:snapToGrid w:val="0"/>
          <w:sz w:val="24"/>
          <w:szCs w:val="24"/>
        </w:rPr>
        <w:t>cytidinanalog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og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snapToGrid w:val="0"/>
          <w:sz w:val="24"/>
          <w:szCs w:val="24"/>
        </w:rPr>
        <w:t xml:space="preserve">-aktivitet over for human </w:t>
      </w:r>
      <w:proofErr w:type="spellStart"/>
      <w:r w:rsidRPr="00F724D5">
        <w:rPr>
          <w:snapToGrid w:val="0"/>
          <w:sz w:val="24"/>
          <w:szCs w:val="24"/>
        </w:rPr>
        <w:t>cytomegalovirus</w:t>
      </w:r>
      <w:proofErr w:type="spellEnd"/>
      <w:r w:rsidRPr="00F724D5">
        <w:rPr>
          <w:snapToGrid w:val="0"/>
          <w:sz w:val="24"/>
          <w:szCs w:val="24"/>
        </w:rPr>
        <w:t xml:space="preserve"> (HCMV). HCMV stammer, der er resistente overfor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, kan stadig være følsomme overfor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95BCDA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1ED5875" w14:textId="77777777" w:rsidR="00DB3E5B" w:rsidRPr="00F724D5" w:rsidRDefault="00DB3E5B" w:rsidP="00176CA6">
      <w:pPr>
        <w:keepNext/>
        <w:ind w:left="851"/>
        <w:rPr>
          <w:snapToGrid w:val="0"/>
          <w:sz w:val="24"/>
          <w:szCs w:val="24"/>
          <w:u w:val="single"/>
        </w:rPr>
      </w:pPr>
      <w:r w:rsidRPr="00F724D5">
        <w:rPr>
          <w:snapToGrid w:val="0"/>
          <w:sz w:val="24"/>
          <w:szCs w:val="24"/>
          <w:u w:val="single"/>
        </w:rPr>
        <w:lastRenderedPageBreak/>
        <w:t>Virkningsmekanisme</w:t>
      </w:r>
    </w:p>
    <w:p w14:paraId="496763B5" w14:textId="24DC9336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undertrykker HCMV-replikation ved selektiv hæmning af virus DNA-syntese. Biokemiske data understøtter selektiv hæmning af HSV-1, HSV-2 og HCMV DNA-</w:t>
      </w:r>
      <w:proofErr w:type="spellStart"/>
      <w:r w:rsidRPr="00F724D5">
        <w:rPr>
          <w:snapToGrid w:val="0"/>
          <w:sz w:val="24"/>
          <w:szCs w:val="24"/>
        </w:rPr>
        <w:t>polymeraser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cidofovirdi-phosphat</w:t>
      </w:r>
      <w:proofErr w:type="spellEnd"/>
      <w:r w:rsidRPr="00F724D5">
        <w:rPr>
          <w:snapToGrid w:val="0"/>
          <w:sz w:val="24"/>
          <w:szCs w:val="24"/>
        </w:rPr>
        <w:t xml:space="preserve">, der er </w:t>
      </w:r>
      <w:proofErr w:type="spellStart"/>
      <w:r w:rsidRPr="00F724D5">
        <w:rPr>
          <w:snapToGrid w:val="0"/>
          <w:sz w:val="24"/>
          <w:szCs w:val="24"/>
        </w:rPr>
        <w:t>cidoforvirs</w:t>
      </w:r>
      <w:proofErr w:type="spellEnd"/>
      <w:r w:rsidRPr="00F724D5">
        <w:rPr>
          <w:snapToGrid w:val="0"/>
          <w:sz w:val="24"/>
          <w:szCs w:val="24"/>
        </w:rPr>
        <w:t xml:space="preserve"> aktive intracellulære metabolit.</w:t>
      </w:r>
    </w:p>
    <w:p w14:paraId="1E69037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DB7284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 hæmmer disse viruspolymeraser ved koncentrationer, som er 1/8 til 1/600 af dem, der er nødvendige for at hæmme humane cellers DNA-</w:t>
      </w:r>
      <w:proofErr w:type="spellStart"/>
      <w:r w:rsidRPr="00F724D5">
        <w:rPr>
          <w:snapToGrid w:val="0"/>
          <w:sz w:val="24"/>
          <w:szCs w:val="24"/>
        </w:rPr>
        <w:t>polymeraser</w:t>
      </w:r>
      <w:proofErr w:type="spellEnd"/>
      <w:r w:rsidRPr="00F724D5">
        <w:rPr>
          <w:snapToGrid w:val="0"/>
          <w:sz w:val="24"/>
          <w:szCs w:val="24"/>
        </w:rPr>
        <w:t xml:space="preserve"> alfa, beta og gamma.</w:t>
      </w:r>
    </w:p>
    <w:p w14:paraId="3691E8A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Optagelse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 virus-DNA medfører fald i virus-DNA-syntesens hastighed.</w:t>
      </w:r>
    </w:p>
    <w:p w14:paraId="1697A1AB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221E3C7" w14:textId="5AF74A61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trænger ind i celler ved hjælp af væskefase-</w:t>
      </w:r>
      <w:proofErr w:type="spellStart"/>
      <w:r w:rsidRPr="00F724D5">
        <w:rPr>
          <w:snapToGrid w:val="0"/>
          <w:sz w:val="24"/>
          <w:szCs w:val="24"/>
        </w:rPr>
        <w:t>endocytose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fosforyleres</w:t>
      </w:r>
      <w:proofErr w:type="spellEnd"/>
      <w:r w:rsidRPr="00F724D5">
        <w:rPr>
          <w:snapToGrid w:val="0"/>
          <w:sz w:val="24"/>
          <w:szCs w:val="24"/>
        </w:rPr>
        <w:t xml:space="preserve"> til </w:t>
      </w:r>
      <w:proofErr w:type="spellStart"/>
      <w:r w:rsidRPr="00F724D5">
        <w:rPr>
          <w:snapToGrid w:val="0"/>
          <w:sz w:val="24"/>
          <w:szCs w:val="24"/>
        </w:rPr>
        <w:t>cidofovirmonophosphat</w:t>
      </w:r>
      <w:proofErr w:type="spellEnd"/>
      <w:r w:rsidRPr="00F724D5">
        <w:rPr>
          <w:snapToGrid w:val="0"/>
          <w:sz w:val="24"/>
          <w:szCs w:val="24"/>
        </w:rPr>
        <w:t xml:space="preserve"> og derefter til </w:t>
      </w: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forlængede antivirale effekt er relateret til metabolitternes halveringstid; </w:t>
      </w:r>
      <w:proofErr w:type="spellStart"/>
      <w:r w:rsidRPr="00F724D5">
        <w:rPr>
          <w:snapToGrid w:val="0"/>
          <w:sz w:val="24"/>
          <w:szCs w:val="24"/>
        </w:rPr>
        <w:t>cidofovirdiphosphat</w:t>
      </w:r>
      <w:proofErr w:type="spellEnd"/>
      <w:r w:rsidRPr="00F724D5">
        <w:rPr>
          <w:snapToGrid w:val="0"/>
          <w:sz w:val="24"/>
          <w:szCs w:val="24"/>
        </w:rPr>
        <w:t xml:space="preserve"> bliver i cellerne med en halveringstid på 17-65 timer. Ydermere har </w:t>
      </w:r>
      <w:proofErr w:type="spellStart"/>
      <w:r w:rsidRPr="00F724D5">
        <w:rPr>
          <w:snapToGrid w:val="0"/>
          <w:sz w:val="24"/>
          <w:szCs w:val="24"/>
        </w:rPr>
        <w:t>cidofovirphosphatcholinerne</w:t>
      </w:r>
      <w:proofErr w:type="spellEnd"/>
      <w:r w:rsidRPr="00F724D5">
        <w:rPr>
          <w:snapToGrid w:val="0"/>
          <w:sz w:val="24"/>
          <w:szCs w:val="24"/>
        </w:rPr>
        <w:t xml:space="preserve"> en halveringstid på 87 timer.</w:t>
      </w:r>
    </w:p>
    <w:p w14:paraId="792C2E25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2EF32E04" w14:textId="77777777" w:rsidR="00DB3E5B" w:rsidRPr="00F724D5" w:rsidRDefault="00DB3E5B" w:rsidP="00E86FE8">
      <w:pPr>
        <w:ind w:left="851"/>
        <w:rPr>
          <w:snapToGrid w:val="0"/>
          <w:sz w:val="24"/>
          <w:szCs w:val="24"/>
          <w:u w:val="single"/>
        </w:rPr>
      </w:pPr>
      <w:proofErr w:type="spellStart"/>
      <w:r w:rsidRPr="00F724D5">
        <w:rPr>
          <w:snapToGrid w:val="0"/>
          <w:sz w:val="24"/>
          <w:szCs w:val="24"/>
          <w:u w:val="single"/>
        </w:rPr>
        <w:t>Antivirusaktivitet</w:t>
      </w:r>
      <w:proofErr w:type="spellEnd"/>
    </w:p>
    <w:p w14:paraId="42390A92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er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aktiv over for HCMV, som er et medlem af </w:t>
      </w:r>
      <w:proofErr w:type="spellStart"/>
      <w:r w:rsidRPr="00F724D5">
        <w:rPr>
          <w:snapToGrid w:val="0"/>
          <w:sz w:val="24"/>
          <w:szCs w:val="24"/>
        </w:rPr>
        <w:t>herpesviridae</w:t>
      </w:r>
      <w:proofErr w:type="spellEnd"/>
      <w:r w:rsidRPr="00F724D5">
        <w:rPr>
          <w:snapToGrid w:val="0"/>
          <w:sz w:val="24"/>
          <w:szCs w:val="24"/>
        </w:rPr>
        <w:t xml:space="preserve">-familien. Antivirus-aktivitet er blevet iagttaget i koncentrationer, som er signifikant mindre end dem, der medfører </w:t>
      </w:r>
      <w:proofErr w:type="spellStart"/>
      <w:r w:rsidRPr="00F724D5">
        <w:rPr>
          <w:snapToGrid w:val="0"/>
          <w:sz w:val="24"/>
          <w:szCs w:val="24"/>
        </w:rPr>
        <w:t>celledød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15768F2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161C09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-følsomheden over for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vist i følgende tabel.</w:t>
      </w:r>
    </w:p>
    <w:p w14:paraId="0E262EE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tbl>
      <w:tblPr>
        <w:tblStyle w:val="Tabel-Gitter"/>
        <w:tblW w:w="8647" w:type="dxa"/>
        <w:tblInd w:w="851" w:type="dxa"/>
        <w:tblLook w:val="04A0" w:firstRow="1" w:lastRow="0" w:firstColumn="1" w:lastColumn="0" w:noHBand="0" w:noVBand="1"/>
      </w:tblPr>
      <w:tblGrid>
        <w:gridCol w:w="4623"/>
        <w:gridCol w:w="4024"/>
      </w:tblGrid>
      <w:tr w:rsidR="00DB3E5B" w:rsidRPr="00F724D5" w14:paraId="2DB0413E" w14:textId="77777777" w:rsidTr="00E86FE8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E344A3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Cidofovirhæmning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af virus-multiplikation i celle kultur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D1BCC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</w:p>
        </w:tc>
      </w:tr>
      <w:tr w:rsidR="00DB3E5B" w:rsidRPr="00F724D5" w14:paraId="77FF8B60" w14:textId="77777777" w:rsidTr="00E86FE8"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C3C316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Virus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FFB7C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IC</w:t>
            </w: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bscript"/>
                <w:lang w:val="da-DK"/>
              </w:rPr>
              <w:t>50</w:t>
            </w: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 xml:space="preserve"> (µM)</w:t>
            </w:r>
          </w:p>
        </w:tc>
      </w:tr>
      <w:tr w:rsidR="00DB3E5B" w:rsidRPr="00F724D5" w14:paraId="2AB0E2B1" w14:textId="77777777" w:rsidTr="00E86FE8">
        <w:trPr>
          <w:trHeight w:val="785"/>
        </w:trPr>
        <w:tc>
          <w:tcPr>
            <w:tcW w:w="4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92DF15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Vildtype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</w:p>
          <w:p w14:paraId="1A84F030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Ganciclovirresistente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br w:type="column"/>
            </w:r>
          </w:p>
          <w:p w14:paraId="78FF26D1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Foscarnetresistente</w:t>
            </w:r>
            <w:proofErr w:type="spellEnd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CMV-</w:t>
            </w:r>
            <w:proofErr w:type="spellStart"/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isolater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127C5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0,7 (± 0,6)</w:t>
            </w:r>
          </w:p>
          <w:p w14:paraId="48DF968B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7,5 (± 4,3)</w:t>
            </w:r>
          </w:p>
          <w:p w14:paraId="449F3494" w14:textId="77777777" w:rsidR="00DB3E5B" w:rsidRPr="00F724D5" w:rsidRDefault="00DB3E5B" w:rsidP="00E86FE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</w:pPr>
            <w:r w:rsidRPr="00F724D5">
              <w:rPr>
                <w:rFonts w:ascii="Times New Roman" w:hAnsi="Times New Roman" w:cs="Times New Roman"/>
                <w:snapToGrid w:val="0"/>
                <w:sz w:val="24"/>
                <w:szCs w:val="24"/>
                <w:lang w:val="da-DK"/>
              </w:rPr>
              <w:t>0,59 (± 0,07)</w:t>
            </w:r>
          </w:p>
        </w:tc>
      </w:tr>
    </w:tbl>
    <w:p w14:paraId="5EF55A5E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0598BF97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snapToGrid w:val="0"/>
          <w:sz w:val="24"/>
          <w:szCs w:val="24"/>
        </w:rPr>
        <w:t xml:space="preserve">-aktivitet over for HCMV blev bekræftet i kontrollerede kliniske undersøgelser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, hvor aids-patienter med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blev behandlet. Disse undersøgelser viste statistisk signifikant forlængelse af tid til CMV-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-progression hos patienter,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 sammenligning med kontrolpatienter. Mediantiden for progressionen af 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 xml:space="preserve"> i de 2 studier (GS-93-106 og GS-93-105) var for behandlingsgruppen 120 dage hhv. ikke opnået, hvorimod mediantiden var 22 hhv. 21 dage for den ubehandlede gruppe (udsat behandling).</w:t>
      </w:r>
    </w:p>
    <w:p w14:paraId="4FFAA57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DABE854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studie GS-93-107 udført med patienter, som havde fået tilbagefald efter behandling med andre midler, var mediantiden for </w:t>
      </w:r>
      <w:proofErr w:type="spellStart"/>
      <w:r w:rsidRPr="00F724D5">
        <w:rPr>
          <w:snapToGrid w:val="0"/>
          <w:sz w:val="24"/>
          <w:szCs w:val="24"/>
        </w:rPr>
        <w:t>retinitis</w:t>
      </w:r>
      <w:proofErr w:type="spellEnd"/>
      <w:r w:rsidRPr="00F724D5">
        <w:rPr>
          <w:snapToGrid w:val="0"/>
          <w:sz w:val="24"/>
          <w:szCs w:val="24"/>
        </w:rPr>
        <w:t>-progression 115 dage.</w:t>
      </w:r>
    </w:p>
    <w:p w14:paraId="26FCCDA3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B69A80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  <w:u w:val="single" w:color="000000"/>
        </w:rPr>
        <w:t>Virus resistens</w:t>
      </w:r>
    </w:p>
    <w:p w14:paraId="2F5EF446" w14:textId="22812395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Efter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-selektion af </w:t>
      </w:r>
      <w:proofErr w:type="spellStart"/>
      <w:r w:rsidRPr="00F724D5">
        <w:rPr>
          <w:snapToGrid w:val="0"/>
          <w:sz w:val="24"/>
          <w:szCs w:val="24"/>
        </w:rPr>
        <w:t>ganciclovirresistente</w:t>
      </w:r>
      <w:proofErr w:type="spellEnd"/>
      <w:r w:rsidRPr="00F724D5">
        <w:rPr>
          <w:snapToGrid w:val="0"/>
          <w:sz w:val="24"/>
          <w:szCs w:val="24"/>
        </w:rPr>
        <w:t xml:space="preserve"> HCMV-</w:t>
      </w:r>
      <w:proofErr w:type="spellStart"/>
      <w:r w:rsidRPr="00F724D5">
        <w:rPr>
          <w:snapToGrid w:val="0"/>
          <w:sz w:val="24"/>
          <w:szCs w:val="24"/>
        </w:rPr>
        <w:t>isolater</w:t>
      </w:r>
      <w:proofErr w:type="spellEnd"/>
      <w:r w:rsidRPr="00F724D5">
        <w:rPr>
          <w:snapToGrid w:val="0"/>
          <w:sz w:val="24"/>
          <w:szCs w:val="24"/>
        </w:rPr>
        <w:t xml:space="preserve">, blev der iagttaget krydsresistens mellem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proofErr w:type="spellStart"/>
      <w:r w:rsidRPr="00F724D5">
        <w:rPr>
          <w:snapToGrid w:val="0"/>
          <w:sz w:val="24"/>
          <w:szCs w:val="24"/>
        </w:rPr>
        <w:t>ganciclovirselekterede</w:t>
      </w:r>
      <w:proofErr w:type="spellEnd"/>
      <w:r w:rsidRPr="00F724D5">
        <w:rPr>
          <w:snapToGrid w:val="0"/>
          <w:sz w:val="24"/>
          <w:szCs w:val="24"/>
        </w:rPr>
        <w:t xml:space="preserve"> mutationer i HCMV DNA-polymerase-genet, men ikke med mutationer i UL97-genet. Der blev ikke iagttaget krydsresistens mellem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 og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med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 xml:space="preserve">-selekterede mutanter.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-selekterede mutanter fik en mutation i DNA-polymerase-genet og var krydsresistente over for </w:t>
      </w:r>
      <w:proofErr w:type="spellStart"/>
      <w:r w:rsidRPr="00F724D5">
        <w:rPr>
          <w:snapToGrid w:val="0"/>
          <w:sz w:val="24"/>
          <w:szCs w:val="24"/>
        </w:rPr>
        <w:t>ganciclovir</w:t>
      </w:r>
      <w:proofErr w:type="spellEnd"/>
      <w:r w:rsidRPr="00F724D5">
        <w:rPr>
          <w:snapToGrid w:val="0"/>
          <w:sz w:val="24"/>
          <w:szCs w:val="24"/>
        </w:rPr>
        <w:t xml:space="preserve">, men var modtagelige over for </w:t>
      </w:r>
      <w:proofErr w:type="spellStart"/>
      <w:r w:rsidRPr="00F724D5">
        <w:rPr>
          <w:snapToGrid w:val="0"/>
          <w:sz w:val="24"/>
          <w:szCs w:val="24"/>
        </w:rPr>
        <w:t>foscarnet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29ACCED3" w14:textId="51F3768D" w:rsidR="008920CA" w:rsidRDefault="008920C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17E2CE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873996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5.2</w:t>
      </w:r>
      <w:r w:rsidRPr="00F724D5">
        <w:rPr>
          <w:b/>
          <w:sz w:val="24"/>
          <w:szCs w:val="24"/>
        </w:rPr>
        <w:tab/>
      </w:r>
      <w:proofErr w:type="spellStart"/>
      <w:r w:rsidRPr="00F724D5">
        <w:rPr>
          <w:b/>
          <w:sz w:val="24"/>
          <w:szCs w:val="24"/>
        </w:rPr>
        <w:t>Farmakokinetiske</w:t>
      </w:r>
      <w:proofErr w:type="spellEnd"/>
      <w:r w:rsidRPr="00F724D5">
        <w:rPr>
          <w:b/>
          <w:sz w:val="24"/>
          <w:szCs w:val="24"/>
        </w:rPr>
        <w:t xml:space="preserve"> egenskaber</w:t>
      </w:r>
    </w:p>
    <w:p w14:paraId="1DFCC5C1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vigtigste udskillelsesvej er </w:t>
      </w:r>
      <w:proofErr w:type="spellStart"/>
      <w:r w:rsidRPr="00F724D5">
        <w:rPr>
          <w:snapToGrid w:val="0"/>
          <w:sz w:val="24"/>
          <w:szCs w:val="24"/>
        </w:rPr>
        <w:t>nyreekskretion</w:t>
      </w:r>
      <w:proofErr w:type="spellEnd"/>
      <w:r w:rsidRPr="00F724D5">
        <w:rPr>
          <w:snapToGrid w:val="0"/>
          <w:sz w:val="24"/>
          <w:szCs w:val="24"/>
        </w:rPr>
        <w:t xml:space="preserve"> af det </w:t>
      </w:r>
      <w:proofErr w:type="spellStart"/>
      <w:r w:rsidRPr="00F724D5">
        <w:rPr>
          <w:snapToGrid w:val="0"/>
          <w:sz w:val="24"/>
          <w:szCs w:val="24"/>
        </w:rPr>
        <w:t>uomdannede</w:t>
      </w:r>
      <w:proofErr w:type="spellEnd"/>
      <w:r w:rsidRPr="00F724D5">
        <w:rPr>
          <w:snapToGrid w:val="0"/>
          <w:sz w:val="24"/>
          <w:szCs w:val="24"/>
        </w:rPr>
        <w:t xml:space="preserve"> lægemiddelstof ved en kombination af </w:t>
      </w:r>
      <w:proofErr w:type="spellStart"/>
      <w:r w:rsidRPr="00F724D5">
        <w:rPr>
          <w:snapToGrid w:val="0"/>
          <w:sz w:val="24"/>
          <w:szCs w:val="24"/>
        </w:rPr>
        <w:t>glomerulær</w:t>
      </w:r>
      <w:proofErr w:type="spellEnd"/>
      <w:r w:rsidRPr="00F724D5">
        <w:rPr>
          <w:snapToGrid w:val="0"/>
          <w:sz w:val="24"/>
          <w:szCs w:val="24"/>
        </w:rPr>
        <w:t xml:space="preserve"> filtration og </w:t>
      </w:r>
      <w:proofErr w:type="spellStart"/>
      <w:r w:rsidRPr="00F724D5">
        <w:rPr>
          <w:snapToGrid w:val="0"/>
          <w:sz w:val="24"/>
          <w:szCs w:val="24"/>
        </w:rPr>
        <w:t>tubulær</w:t>
      </w:r>
      <w:proofErr w:type="spellEnd"/>
      <w:r w:rsidRPr="00F724D5">
        <w:rPr>
          <w:snapToGrid w:val="0"/>
          <w:sz w:val="24"/>
          <w:szCs w:val="24"/>
        </w:rPr>
        <w:t xml:space="preserve"> sekretion. Hos patienter med normal nyrefunktion blev 80 til 100 % af den intravenøse dosis genfundet i urinen som </w:t>
      </w:r>
      <w:proofErr w:type="spellStart"/>
      <w:r w:rsidRPr="00F724D5">
        <w:rPr>
          <w:snapToGrid w:val="0"/>
          <w:sz w:val="24"/>
          <w:szCs w:val="24"/>
        </w:rPr>
        <w:t>uomdannet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inden for 24 timer. Der er ikke påvist </w:t>
      </w:r>
      <w:proofErr w:type="spellStart"/>
      <w:r w:rsidRPr="00F724D5">
        <w:rPr>
          <w:snapToGrid w:val="0"/>
          <w:sz w:val="24"/>
          <w:szCs w:val="24"/>
        </w:rPr>
        <w:t>cidofovirmetabolitter</w:t>
      </w:r>
      <w:proofErr w:type="spellEnd"/>
      <w:r w:rsidRPr="00F724D5">
        <w:rPr>
          <w:snapToGrid w:val="0"/>
          <w:sz w:val="24"/>
          <w:szCs w:val="24"/>
        </w:rPr>
        <w:t xml:space="preserve"> i patienternes serum eller urin.</w:t>
      </w:r>
    </w:p>
    <w:p w14:paraId="053B4F5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4F5E6D81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Ved afslutningen af en infusion over 1 time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5 mg/kg, indgivet samtidig med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var den gennemsnitlige (± SD)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-serumkoncentration 19,6 (± 7,18) µg/ml. Den gennemsnitlige totale </w:t>
      </w:r>
      <w:proofErr w:type="spellStart"/>
      <w:r w:rsidRPr="00F724D5">
        <w:rPr>
          <w:snapToGrid w:val="0"/>
          <w:sz w:val="24"/>
          <w:szCs w:val="24"/>
        </w:rPr>
        <w:t>serumclearance</w:t>
      </w:r>
      <w:proofErr w:type="spellEnd"/>
      <w:r w:rsidRPr="00F724D5">
        <w:rPr>
          <w:snapToGrid w:val="0"/>
          <w:sz w:val="24"/>
          <w:szCs w:val="24"/>
        </w:rPr>
        <w:t xml:space="preserve">, fordelingsvolumen ved </w:t>
      </w:r>
      <w:proofErr w:type="spellStart"/>
      <w:r w:rsidRPr="00F724D5">
        <w:rPr>
          <w:snapToGrid w:val="0"/>
          <w:sz w:val="24"/>
          <w:szCs w:val="24"/>
        </w:rPr>
        <w:t>steady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state</w:t>
      </w:r>
      <w:proofErr w:type="spellEnd"/>
      <w:r w:rsidRPr="00F724D5">
        <w:rPr>
          <w:snapToGrid w:val="0"/>
          <w:sz w:val="24"/>
          <w:szCs w:val="24"/>
        </w:rPr>
        <w:t xml:space="preserve"> og afsluttende eliminations halveringstid var hhv. 138 (± 36) ml/time/kg, 388 (± 125) ml/kg og 2,2 (± 0,5) time. Der blev vist dosisuafhængig kinetik med enkeltdoser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>, der blev givet i dosisområdet 3 til 7,5 mg/kg.</w:t>
      </w:r>
    </w:p>
    <w:p w14:paraId="749BC59A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16F899B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  <w:u w:val="single" w:color="000000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  <w:u w:val="single" w:color="000000"/>
        </w:rPr>
        <w:t>vitro</w:t>
      </w:r>
      <w:proofErr w:type="spellEnd"/>
      <w:r w:rsidRPr="00F724D5">
        <w:rPr>
          <w:snapToGrid w:val="0"/>
          <w:sz w:val="24"/>
          <w:szCs w:val="24"/>
          <w:u w:val="single" w:color="000000"/>
        </w:rPr>
        <w:t>-proteinbinding</w:t>
      </w:r>
    </w:p>
    <w:p w14:paraId="5A2CA86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snapToGrid w:val="0"/>
          <w:sz w:val="24"/>
          <w:szCs w:val="24"/>
        </w:rPr>
        <w:t xml:space="preserve">-proteinbinding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plasma eller serumprotein var 10 % eller mindre i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koncentrationsområde fra 0,25 til 25 µg/ml.</w:t>
      </w:r>
    </w:p>
    <w:p w14:paraId="4948CC4F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D2CB7E" w14:textId="45C9B84E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5.3</w:t>
      </w:r>
      <w:r w:rsidRPr="00F724D5">
        <w:rPr>
          <w:b/>
          <w:sz w:val="24"/>
          <w:szCs w:val="24"/>
        </w:rPr>
        <w:tab/>
      </w:r>
      <w:r w:rsidR="00176CA6">
        <w:rPr>
          <w:b/>
          <w:sz w:val="24"/>
          <w:szCs w:val="24"/>
        </w:rPr>
        <w:t>Non-</w:t>
      </w:r>
      <w:r w:rsidRPr="00F724D5">
        <w:rPr>
          <w:b/>
          <w:sz w:val="24"/>
          <w:szCs w:val="24"/>
        </w:rPr>
        <w:t>kliniske sikkerhedsdata</w:t>
      </w:r>
    </w:p>
    <w:p w14:paraId="5732DDD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Prækliniske dyrestudier viste, at </w:t>
      </w:r>
      <w:proofErr w:type="spellStart"/>
      <w:r w:rsidRPr="00F724D5">
        <w:rPr>
          <w:snapToGrid w:val="0"/>
          <w:sz w:val="24"/>
          <w:szCs w:val="24"/>
        </w:rPr>
        <w:t>nefrotoksicitet</w:t>
      </w:r>
      <w:proofErr w:type="spellEnd"/>
      <w:r w:rsidRPr="00F724D5">
        <w:rPr>
          <w:snapToGrid w:val="0"/>
          <w:sz w:val="24"/>
          <w:szCs w:val="24"/>
        </w:rPr>
        <w:t xml:space="preserve"> var </w:t>
      </w:r>
      <w:proofErr w:type="spellStart"/>
      <w:r w:rsidRPr="00F724D5">
        <w:rPr>
          <w:snapToGrid w:val="0"/>
          <w:sz w:val="24"/>
          <w:szCs w:val="24"/>
        </w:rPr>
        <w:t>cidofovirs</w:t>
      </w:r>
      <w:proofErr w:type="spellEnd"/>
      <w:r w:rsidRPr="00F724D5">
        <w:rPr>
          <w:snapToGrid w:val="0"/>
          <w:sz w:val="24"/>
          <w:szCs w:val="24"/>
        </w:rPr>
        <w:t xml:space="preserve"> vigtigste dosisbegrænsende toksicitet. Bevis på </w:t>
      </w:r>
      <w:proofErr w:type="spellStart"/>
      <w:r w:rsidRPr="00F724D5">
        <w:rPr>
          <w:snapToGrid w:val="0"/>
          <w:sz w:val="24"/>
          <w:szCs w:val="24"/>
        </w:rPr>
        <w:t>probenecids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nefrobeskyttende</w:t>
      </w:r>
      <w:proofErr w:type="spellEnd"/>
      <w:r w:rsidRPr="00F724D5">
        <w:rPr>
          <w:snapToGrid w:val="0"/>
          <w:sz w:val="24"/>
          <w:szCs w:val="24"/>
        </w:rPr>
        <w:t xml:space="preserve"> virkning blev vist i et 52 ugers studie på </w:t>
      </w:r>
      <w:proofErr w:type="spellStart"/>
      <w:r w:rsidRPr="00F724D5">
        <w:rPr>
          <w:snapToGrid w:val="0"/>
          <w:sz w:val="24"/>
          <w:szCs w:val="24"/>
        </w:rPr>
        <w:t>cynomolgus</w:t>
      </w:r>
      <w:proofErr w:type="spellEnd"/>
      <w:r w:rsidRPr="00F724D5">
        <w:rPr>
          <w:snapToGrid w:val="0"/>
          <w:sz w:val="24"/>
          <w:szCs w:val="24"/>
        </w:rPr>
        <w:t xml:space="preserve"> aber,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2,5 mg/kg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 1 gang ugentligt med 1 g oral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>.</w:t>
      </w:r>
    </w:p>
    <w:p w14:paraId="5575C245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21AAB53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Carcinogenese</w:t>
      </w:r>
      <w:proofErr w:type="spellEnd"/>
    </w:p>
    <w:p w14:paraId="420F19F1" w14:textId="3961AC99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I en 26 ugers intravenøs toksicitetsundersøgelse blev der iagttaget en signifikant stigning i forekomsten af </w:t>
      </w:r>
      <w:proofErr w:type="spellStart"/>
      <w:r w:rsidRPr="00F724D5">
        <w:rPr>
          <w:snapToGrid w:val="0"/>
          <w:sz w:val="24"/>
          <w:szCs w:val="24"/>
        </w:rPr>
        <w:t>mammaadenocarcinomer</w:t>
      </w:r>
      <w:proofErr w:type="spellEnd"/>
      <w:r w:rsidRPr="00F724D5">
        <w:rPr>
          <w:snapToGrid w:val="0"/>
          <w:sz w:val="24"/>
          <w:szCs w:val="24"/>
        </w:rPr>
        <w:t xml:space="preserve"> hos hunrotter og af </w:t>
      </w:r>
      <w:proofErr w:type="spellStart"/>
      <w:r w:rsidRPr="00F724D5">
        <w:rPr>
          <w:snapToGrid w:val="0"/>
          <w:sz w:val="24"/>
          <w:szCs w:val="24"/>
        </w:rPr>
        <w:t>Zymbals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kirtelcarcinomer</w:t>
      </w:r>
      <w:proofErr w:type="spellEnd"/>
      <w:r w:rsidRPr="00F724D5">
        <w:rPr>
          <w:snapToGrid w:val="0"/>
          <w:sz w:val="24"/>
          <w:szCs w:val="24"/>
        </w:rPr>
        <w:t xml:space="preserve"> hos han- og hunrotter ved subterapeutiske plasmaniveauer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I en særskilt undersøgelse medførte subkutane injektioner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1 gang om ugen i 19 på hinanden følgende uger, </w:t>
      </w:r>
      <w:proofErr w:type="spellStart"/>
      <w:r w:rsidRPr="00F724D5">
        <w:rPr>
          <w:snapToGrid w:val="0"/>
          <w:sz w:val="24"/>
          <w:szCs w:val="24"/>
        </w:rPr>
        <w:t>mammaadenocarcinomer</w:t>
      </w:r>
      <w:proofErr w:type="spellEnd"/>
      <w:r w:rsidRPr="00F724D5">
        <w:rPr>
          <w:snapToGrid w:val="0"/>
          <w:sz w:val="24"/>
          <w:szCs w:val="24"/>
        </w:rPr>
        <w:t xml:space="preserve"> hos hunrotter ved doser på ned til 0,6 mg/kg/uge. I begge undersøgelser blev der iagttaget tumorer i løbet af 3 måneder efter dosering. Der blev ikke iagttaget tumorer i </w:t>
      </w:r>
      <w:proofErr w:type="spellStart"/>
      <w:r w:rsidRPr="00F724D5">
        <w:rPr>
          <w:snapToGrid w:val="0"/>
          <w:sz w:val="24"/>
          <w:szCs w:val="24"/>
        </w:rPr>
        <w:t>cynomolgus</w:t>
      </w:r>
      <w:proofErr w:type="spellEnd"/>
      <w:r w:rsidRPr="00F724D5">
        <w:rPr>
          <w:snapToGrid w:val="0"/>
          <w:sz w:val="24"/>
          <w:szCs w:val="24"/>
        </w:rPr>
        <w:t xml:space="preserve">-aber, der fik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intravenøst 1 gang ugentlig i 52 uger ved doser op til</w:t>
      </w:r>
      <w:r w:rsidR="000D00D9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2,5 mg/kg/uge.</w:t>
      </w:r>
    </w:p>
    <w:p w14:paraId="58630E1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6B214706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  <w:u w:val="single" w:color="000000"/>
        </w:rPr>
        <w:t>Mutagenicitet</w:t>
      </w:r>
      <w:proofErr w:type="spellEnd"/>
      <w:r w:rsidRPr="00F724D5">
        <w:rPr>
          <w:snapToGrid w:val="0"/>
          <w:sz w:val="24"/>
          <w:szCs w:val="24"/>
          <w:u w:val="single" w:color="000000"/>
        </w:rPr>
        <w:t xml:space="preserve"> og reproduktionstoksikologi</w:t>
      </w:r>
    </w:p>
    <w:p w14:paraId="76AE9ED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Undersøgelser har vist,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er </w:t>
      </w:r>
      <w:proofErr w:type="spellStart"/>
      <w:r w:rsidRPr="00F724D5">
        <w:rPr>
          <w:snapToGrid w:val="0"/>
          <w:sz w:val="24"/>
          <w:szCs w:val="24"/>
        </w:rPr>
        <w:t>klastogenetisk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ved 100 µg/ml og embryotoksisk hos rotter og kaniner.</w:t>
      </w:r>
    </w:p>
    <w:p w14:paraId="2411CE38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5A2101E6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fremkaldte ingen mutagen reaktion ved dosisniveauer på op til 5 mg/plade ved tilstedeværelsen af og uden metabolisk aktivering med rottelever-S-9 fraktion i mikrobiologiske </w:t>
      </w:r>
      <w:proofErr w:type="spellStart"/>
      <w:r w:rsidRPr="00F724D5">
        <w:rPr>
          <w:snapToGrid w:val="0"/>
          <w:sz w:val="24"/>
          <w:szCs w:val="24"/>
        </w:rPr>
        <w:t>assays</w:t>
      </w:r>
      <w:proofErr w:type="spellEnd"/>
      <w:r w:rsidRPr="00F724D5">
        <w:rPr>
          <w:snapToGrid w:val="0"/>
          <w:sz w:val="24"/>
          <w:szCs w:val="24"/>
        </w:rPr>
        <w:t xml:space="preserve">, der omfatter </w:t>
      </w:r>
      <w:proofErr w:type="spellStart"/>
      <w:r w:rsidRPr="00F724D5">
        <w:rPr>
          <w:i/>
          <w:snapToGrid w:val="0"/>
          <w:sz w:val="24"/>
          <w:szCs w:val="24"/>
        </w:rPr>
        <w:t>Salmonellea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proofErr w:type="spellStart"/>
      <w:r w:rsidRPr="00F724D5">
        <w:rPr>
          <w:i/>
          <w:snapToGrid w:val="0"/>
          <w:sz w:val="24"/>
          <w:szCs w:val="24"/>
        </w:rPr>
        <w:t>typhimurium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til basepar-substitutioner eller frameshift-mutationer (</w:t>
      </w:r>
      <w:proofErr w:type="spellStart"/>
      <w:r w:rsidRPr="00F724D5">
        <w:rPr>
          <w:snapToGrid w:val="0"/>
          <w:sz w:val="24"/>
          <w:szCs w:val="24"/>
        </w:rPr>
        <w:t>Ames</w:t>
      </w:r>
      <w:proofErr w:type="spellEnd"/>
      <w:r w:rsidRPr="00F724D5">
        <w:rPr>
          <w:snapToGrid w:val="0"/>
          <w:sz w:val="24"/>
          <w:szCs w:val="24"/>
        </w:rPr>
        <w:t xml:space="preserve">) og </w:t>
      </w:r>
      <w:r w:rsidRPr="00F724D5">
        <w:rPr>
          <w:i/>
          <w:snapToGrid w:val="0"/>
          <w:sz w:val="24"/>
          <w:szCs w:val="24"/>
        </w:rPr>
        <w:t xml:space="preserve">Escherichia coli </w:t>
      </w:r>
      <w:r w:rsidRPr="00F724D5">
        <w:rPr>
          <w:snapToGrid w:val="0"/>
          <w:sz w:val="24"/>
          <w:szCs w:val="24"/>
        </w:rPr>
        <w:t>til omvendte mutationer.</w:t>
      </w:r>
    </w:p>
    <w:p w14:paraId="3F52C04D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64A82B74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blev iagttaget en forøgelse i dannelsen af </w:t>
      </w:r>
      <w:proofErr w:type="spellStart"/>
      <w:r w:rsidRPr="00F724D5">
        <w:rPr>
          <w:snapToGrid w:val="0"/>
          <w:sz w:val="24"/>
          <w:szCs w:val="24"/>
        </w:rPr>
        <w:t>mikronucleerede</w:t>
      </w:r>
      <w:proofErr w:type="spellEnd"/>
      <w:r w:rsidRPr="00F724D5">
        <w:rPr>
          <w:snapToGrid w:val="0"/>
          <w:sz w:val="24"/>
          <w:szCs w:val="24"/>
        </w:rPr>
        <w:t xml:space="preserve">, polykromatiske erytrocytter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vivo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hos mus, der fik en høj toksisk </w:t>
      </w:r>
      <w:proofErr w:type="spellStart"/>
      <w:r w:rsidRPr="00F724D5">
        <w:rPr>
          <w:snapToGrid w:val="0"/>
          <w:sz w:val="24"/>
          <w:szCs w:val="24"/>
        </w:rPr>
        <w:t>cidofovirdosis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intraperitonealt</w:t>
      </w:r>
      <w:proofErr w:type="spellEnd"/>
      <w:r w:rsidRPr="00F724D5">
        <w:rPr>
          <w:snapToGrid w:val="0"/>
          <w:sz w:val="24"/>
          <w:szCs w:val="24"/>
        </w:rPr>
        <w:t xml:space="preserve"> (≥ 2.000 mg/kg).</w:t>
      </w:r>
    </w:p>
    <w:p w14:paraId="2297E70C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38876C09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inducerede kromosomafvigelser i humane, perifere blodlymfocytter </w:t>
      </w:r>
      <w:r w:rsidRPr="00F724D5">
        <w:rPr>
          <w:i/>
          <w:snapToGrid w:val="0"/>
          <w:sz w:val="24"/>
          <w:szCs w:val="24"/>
        </w:rPr>
        <w:t xml:space="preserve">in </w:t>
      </w:r>
      <w:proofErr w:type="spellStart"/>
      <w:r w:rsidRPr="00F724D5">
        <w:rPr>
          <w:i/>
          <w:snapToGrid w:val="0"/>
          <w:sz w:val="24"/>
          <w:szCs w:val="24"/>
        </w:rPr>
        <w:t>vitro</w:t>
      </w:r>
      <w:proofErr w:type="spellEnd"/>
      <w:r w:rsidRPr="00F724D5">
        <w:rPr>
          <w:i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uden metabolisk aktivering (S-9 fraktion). På de 4 </w:t>
      </w:r>
      <w:proofErr w:type="spellStart"/>
      <w:r w:rsidRPr="00F724D5">
        <w:rPr>
          <w:snapToGrid w:val="0"/>
          <w:sz w:val="24"/>
          <w:szCs w:val="24"/>
        </w:rPr>
        <w:t>cidofovirniveauer</w:t>
      </w:r>
      <w:proofErr w:type="spellEnd"/>
      <w:r w:rsidRPr="00F724D5">
        <w:rPr>
          <w:snapToGrid w:val="0"/>
          <w:sz w:val="24"/>
          <w:szCs w:val="24"/>
        </w:rPr>
        <w:t xml:space="preserve"> (12,5 til 100 µg/ml), der </w:t>
      </w:r>
      <w:r w:rsidRPr="00F724D5">
        <w:rPr>
          <w:snapToGrid w:val="0"/>
          <w:sz w:val="24"/>
          <w:szCs w:val="24"/>
        </w:rPr>
        <w:lastRenderedPageBreak/>
        <w:t>blev undersøgt, forøgedes procentdelen af beskadigede metafaser og antallet af afvigelser pr. celle på en koncentrationsafhængig måde.</w:t>
      </w:r>
    </w:p>
    <w:p w14:paraId="3E486358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</w:p>
    <w:p w14:paraId="7A180B25" w14:textId="10436554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Mandlige patienter bør informeres om, at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har medført reduceret testikelvægt og </w:t>
      </w:r>
      <w:proofErr w:type="spellStart"/>
      <w:r w:rsidRPr="00F724D5">
        <w:rPr>
          <w:snapToGrid w:val="0"/>
          <w:sz w:val="24"/>
          <w:szCs w:val="24"/>
        </w:rPr>
        <w:t>hypospermi</w:t>
      </w:r>
      <w:proofErr w:type="spellEnd"/>
      <w:r w:rsidRPr="00F724D5">
        <w:rPr>
          <w:snapToGrid w:val="0"/>
          <w:sz w:val="24"/>
          <w:szCs w:val="24"/>
        </w:rPr>
        <w:t xml:space="preserve"> hos dyr. Der blev ikke iagttaget bivirkninger mht. fertilitet eller generel reproduktion efter 1 ugentlig intravenøs injektion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til hanrotter i 13 uger med doser på op til 15 mg/kg/uge. Hunrotter, der blev doseret intravenøst 1 gang om ugen med 1,2 mg/kg/uge eller mere i op til 6 uger forud for parring og i 2 uger efter parring, havde reducerede kuldstørrelser, færre levendefødte pr. kuld og forøget tidlig resorption pr. kuld. Peri- og </w:t>
      </w:r>
      <w:proofErr w:type="spellStart"/>
      <w:r w:rsidRPr="00F724D5">
        <w:rPr>
          <w:snapToGrid w:val="0"/>
          <w:sz w:val="24"/>
          <w:szCs w:val="24"/>
        </w:rPr>
        <w:t>postnatale</w:t>
      </w:r>
      <w:proofErr w:type="spellEnd"/>
      <w:r w:rsidRPr="00F724D5">
        <w:rPr>
          <w:snapToGrid w:val="0"/>
          <w:sz w:val="24"/>
          <w:szCs w:val="24"/>
        </w:rPr>
        <w:t xml:space="preserve"> udviklingsundersøgelser, hvor hunrotter fik subkutane injektioner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1 gang om dagen med doser på op til 1,0 mg/kg/dag fra drægtighedsperiodens 7. dag til den 21. dag efter fødslen (ca. 5 uger), medførte ikke bivirkninger vedrørende levedygtighed, vækst, adfærd, seksuel modning eller forplantningskapacitet hos afkommet. Daglig intravenøs indgift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ved </w:t>
      </w:r>
      <w:proofErr w:type="spellStart"/>
      <w:r w:rsidRPr="00F724D5">
        <w:rPr>
          <w:snapToGrid w:val="0"/>
          <w:sz w:val="24"/>
          <w:szCs w:val="24"/>
        </w:rPr>
        <w:t>organogenesen</w:t>
      </w:r>
      <w:proofErr w:type="spellEnd"/>
      <w:r w:rsidRPr="00F724D5">
        <w:rPr>
          <w:snapToGrid w:val="0"/>
          <w:sz w:val="24"/>
          <w:szCs w:val="24"/>
        </w:rPr>
        <w:t xml:space="preserve"> førte til nedsat fostervægt ved dosering til drægtige rotter på 1,5 mg/kg/dag og til drægtige kaniner på 1,0 mg/kg/dag. En signifikant forøget </w:t>
      </w:r>
      <w:proofErr w:type="spellStart"/>
      <w:r w:rsidRPr="00F724D5">
        <w:rPr>
          <w:snapToGrid w:val="0"/>
          <w:sz w:val="24"/>
          <w:szCs w:val="24"/>
        </w:rPr>
        <w:t>føtal</w:t>
      </w:r>
      <w:proofErr w:type="spellEnd"/>
      <w:r w:rsidRPr="00F724D5">
        <w:rPr>
          <w:snapToGrid w:val="0"/>
          <w:sz w:val="24"/>
          <w:szCs w:val="24"/>
        </w:rPr>
        <w:t xml:space="preserve"> </w:t>
      </w:r>
      <w:proofErr w:type="spellStart"/>
      <w:r w:rsidRPr="00F724D5">
        <w:rPr>
          <w:snapToGrid w:val="0"/>
          <w:sz w:val="24"/>
          <w:szCs w:val="24"/>
        </w:rPr>
        <w:t>incidens</w:t>
      </w:r>
      <w:proofErr w:type="spellEnd"/>
      <w:r w:rsidRPr="00F724D5">
        <w:rPr>
          <w:snapToGrid w:val="0"/>
          <w:sz w:val="24"/>
          <w:szCs w:val="24"/>
        </w:rPr>
        <w:t xml:space="preserve"> af eksterne anomalier samt </w:t>
      </w:r>
      <w:proofErr w:type="spellStart"/>
      <w:r w:rsidRPr="00F724D5">
        <w:rPr>
          <w:snapToGrid w:val="0"/>
          <w:sz w:val="24"/>
          <w:szCs w:val="24"/>
        </w:rPr>
        <w:t>bløddels-</w:t>
      </w:r>
      <w:proofErr w:type="spellEnd"/>
      <w:r w:rsidRPr="00F724D5">
        <w:rPr>
          <w:snapToGrid w:val="0"/>
          <w:sz w:val="24"/>
          <w:szCs w:val="24"/>
        </w:rPr>
        <w:t xml:space="preserve"> og skeletanomalier forekom hos kaniner ved 1,0 mg/kg/dag, hvilket også var toksisk for moderdyret. Dosis for ingen observerbar effekt på embryotoksicitet var 0,5 mg/kg/dag for rotter og 0,25</w:t>
      </w:r>
      <w:r w:rsidR="00953623">
        <w:rPr>
          <w:snapToGrid w:val="0"/>
          <w:sz w:val="24"/>
          <w:szCs w:val="24"/>
        </w:rPr>
        <w:t> </w:t>
      </w:r>
      <w:r w:rsidRPr="00F724D5">
        <w:rPr>
          <w:snapToGrid w:val="0"/>
          <w:sz w:val="24"/>
          <w:szCs w:val="24"/>
        </w:rPr>
        <w:t>mg/kg/dag for kaniner.</w:t>
      </w:r>
    </w:p>
    <w:p w14:paraId="29753CC2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A8A776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2D0A33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</w:t>
      </w:r>
      <w:r w:rsidRPr="00F724D5">
        <w:rPr>
          <w:b/>
          <w:sz w:val="24"/>
          <w:szCs w:val="24"/>
        </w:rPr>
        <w:tab/>
        <w:t>FARMACEUTISKE OPLYSNINGER</w:t>
      </w:r>
    </w:p>
    <w:p w14:paraId="70ED0012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289F8F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6.1</w:t>
      </w:r>
      <w:r w:rsidRPr="00F724D5">
        <w:rPr>
          <w:b/>
          <w:sz w:val="24"/>
          <w:szCs w:val="24"/>
        </w:rPr>
        <w:tab/>
        <w:t>Hjælpestoffer</w:t>
      </w:r>
    </w:p>
    <w:p w14:paraId="28192B3C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Natriumhydroxid (til pH-justering)</w:t>
      </w:r>
    </w:p>
    <w:p w14:paraId="689C6660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Saltsyre (til pH-justering)</w:t>
      </w:r>
    </w:p>
    <w:p w14:paraId="531058F3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Vand til injektionsvæsker</w:t>
      </w:r>
    </w:p>
    <w:p w14:paraId="541A25EA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2D5F4C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6.2</w:t>
      </w:r>
      <w:r w:rsidRPr="00F724D5">
        <w:rPr>
          <w:b/>
          <w:sz w:val="24"/>
          <w:szCs w:val="24"/>
        </w:rPr>
        <w:tab/>
        <w:t>Uforligeligheder</w:t>
      </w:r>
    </w:p>
    <w:p w14:paraId="11771ECF" w14:textId="77777777" w:rsidR="00DB3E5B" w:rsidRPr="00F724D5" w:rsidRDefault="00DB3E5B" w:rsidP="00E86FE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Dette lægemiddel må ikke blandes med andre lægemidler end dem, der er anført under pkt. 6.6.</w:t>
      </w:r>
    </w:p>
    <w:p w14:paraId="64CEE639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2F82A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6.3</w:t>
      </w:r>
      <w:r w:rsidRPr="00F724D5">
        <w:rPr>
          <w:b/>
          <w:sz w:val="24"/>
          <w:szCs w:val="24"/>
        </w:rPr>
        <w:tab/>
        <w:t>Opbevaringstid</w:t>
      </w:r>
    </w:p>
    <w:p w14:paraId="160C96F1" w14:textId="2364BBAD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2 år</w:t>
      </w:r>
      <w:r w:rsidR="008920CA">
        <w:rPr>
          <w:snapToGrid w:val="0"/>
          <w:sz w:val="24"/>
          <w:szCs w:val="24"/>
        </w:rPr>
        <w:t>.</w:t>
      </w:r>
    </w:p>
    <w:p w14:paraId="7C075923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0F39FC2" w14:textId="77777777" w:rsidR="00DB3E5B" w:rsidRPr="00F724D5" w:rsidRDefault="00DB3E5B" w:rsidP="00F150A8">
      <w:pPr>
        <w:ind w:left="851"/>
        <w:rPr>
          <w:rFonts w:eastAsiaTheme="minorHAnsi"/>
          <w:b/>
          <w:snapToGrid w:val="0"/>
          <w:sz w:val="24"/>
          <w:szCs w:val="24"/>
        </w:rPr>
      </w:pPr>
      <w:r w:rsidRPr="00F724D5">
        <w:rPr>
          <w:b/>
          <w:bCs/>
          <w:snapToGrid w:val="0"/>
          <w:sz w:val="24"/>
          <w:szCs w:val="24"/>
        </w:rPr>
        <w:t>Opløsning efter fortynding</w:t>
      </w:r>
    </w:p>
    <w:p w14:paraId="5D449BAF" w14:textId="4EB2DBAB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Kemisk og fysisk stabilitet under brug er blevet demonstreret i 36 timer ved 2</w:t>
      </w:r>
      <w:r w:rsidR="005D359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>8</w:t>
      </w:r>
      <w:r w:rsidR="000D00D9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°C.</w:t>
      </w:r>
    </w:p>
    <w:p w14:paraId="2C1569FC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C8FA11E" w14:textId="227F865F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Fra et mikrobiologisk synspunkt skal produktet anvendes med det samme. Hvis det ikke anvendes med det samme, er opbevaringstider og -betingelser under brug brugerens ansvar og vil normalt ikke være længere end 24 timer ved 2</w:t>
      </w:r>
      <w:r w:rsidR="005D3596">
        <w:rPr>
          <w:snapToGrid w:val="0"/>
          <w:sz w:val="24"/>
          <w:szCs w:val="24"/>
        </w:rPr>
        <w:t>-</w:t>
      </w:r>
      <w:r w:rsidRPr="00F724D5">
        <w:rPr>
          <w:snapToGrid w:val="0"/>
          <w:sz w:val="24"/>
          <w:szCs w:val="24"/>
        </w:rPr>
        <w:t>8</w:t>
      </w:r>
      <w:r w:rsidR="002044B1">
        <w:rPr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°C, medmindre fortynding har fundet sted under kontrollerede og validerede aseptiske forhold. Frysning anbefales ikke. Køleopløsninger skal have lov til at varme op til stuetemperatur inden brug.</w:t>
      </w:r>
    </w:p>
    <w:p w14:paraId="21AB5EAC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5BB76A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6.4</w:t>
      </w:r>
      <w:r w:rsidRPr="00F724D5">
        <w:rPr>
          <w:b/>
          <w:sz w:val="24"/>
          <w:szCs w:val="24"/>
        </w:rPr>
        <w:tab/>
        <w:t>Særlige opbevaringsforhold</w:t>
      </w:r>
    </w:p>
    <w:p w14:paraId="2E326EA8" w14:textId="77777777" w:rsidR="005D3596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Må ikke opbevares ved temperaturer over 25 °C.</w:t>
      </w:r>
    </w:p>
    <w:p w14:paraId="4476E61F" w14:textId="77777777" w:rsidR="005D3596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Må ikke opbevares i køleskab eller nedfryses.</w:t>
      </w:r>
    </w:p>
    <w:p w14:paraId="2A80065D" w14:textId="77777777" w:rsidR="005D3596" w:rsidRDefault="005D3596" w:rsidP="00F150A8">
      <w:pPr>
        <w:ind w:left="851"/>
        <w:rPr>
          <w:snapToGrid w:val="0"/>
          <w:sz w:val="24"/>
          <w:szCs w:val="24"/>
        </w:rPr>
      </w:pPr>
    </w:p>
    <w:p w14:paraId="5C07C2AC" w14:textId="0C80E319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>Opbevaringsforhold efter fortynding af lægemidlet, se pkt. 6.3.</w:t>
      </w:r>
    </w:p>
    <w:p w14:paraId="337F3ACD" w14:textId="4794EA3B" w:rsidR="005D3596" w:rsidRDefault="005D35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EAC375" w14:textId="77777777" w:rsidR="009260DE" w:rsidRPr="00F724D5" w:rsidRDefault="009260DE" w:rsidP="00F150A8">
      <w:pPr>
        <w:ind w:left="851"/>
        <w:rPr>
          <w:sz w:val="24"/>
          <w:szCs w:val="24"/>
        </w:rPr>
      </w:pPr>
    </w:p>
    <w:p w14:paraId="32FF9ADF" w14:textId="66B05882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6.5</w:t>
      </w:r>
      <w:r w:rsidRPr="00F724D5">
        <w:rPr>
          <w:b/>
          <w:sz w:val="24"/>
          <w:szCs w:val="24"/>
        </w:rPr>
        <w:tab/>
        <w:t>Emballagetype og pakningsstørrelser</w:t>
      </w:r>
    </w:p>
    <w:p w14:paraId="2D828C4E" w14:textId="2711DCE7" w:rsidR="00DB3E5B" w:rsidRPr="002044B1" w:rsidRDefault="00DB3E5B" w:rsidP="00F150A8">
      <w:pPr>
        <w:ind w:left="851"/>
        <w:rPr>
          <w:sz w:val="24"/>
          <w:szCs w:val="24"/>
        </w:rPr>
      </w:pPr>
      <w:r w:rsidRPr="002044B1">
        <w:rPr>
          <w:sz w:val="24"/>
          <w:szCs w:val="24"/>
        </w:rPr>
        <w:t xml:space="preserve">5 ml hætteglas med klart glas. Beholderen/lukningskomponenterne inkluderer: </w:t>
      </w:r>
      <w:r w:rsidR="002044B1">
        <w:rPr>
          <w:sz w:val="24"/>
          <w:szCs w:val="24"/>
        </w:rPr>
        <w:t>K</w:t>
      </w:r>
      <w:r w:rsidRPr="002044B1">
        <w:rPr>
          <w:sz w:val="24"/>
          <w:szCs w:val="24"/>
        </w:rPr>
        <w:t xml:space="preserve">lare hætteglas med </w:t>
      </w:r>
      <w:proofErr w:type="spellStart"/>
      <w:r w:rsidRPr="002044B1">
        <w:rPr>
          <w:sz w:val="24"/>
          <w:szCs w:val="24"/>
        </w:rPr>
        <w:t>borosilikatglas</w:t>
      </w:r>
      <w:proofErr w:type="spellEnd"/>
      <w:r w:rsidRPr="002044B1">
        <w:rPr>
          <w:sz w:val="24"/>
          <w:szCs w:val="24"/>
        </w:rPr>
        <w:t xml:space="preserve">, mørkegrå </w:t>
      </w:r>
      <w:proofErr w:type="spellStart"/>
      <w:r w:rsidRPr="002044B1">
        <w:rPr>
          <w:sz w:val="24"/>
          <w:szCs w:val="24"/>
        </w:rPr>
        <w:t>brombutylgummipropper</w:t>
      </w:r>
      <w:proofErr w:type="spellEnd"/>
      <w:r w:rsidRPr="002044B1">
        <w:rPr>
          <w:sz w:val="24"/>
          <w:szCs w:val="24"/>
        </w:rPr>
        <w:t xml:space="preserve"> og aluminiums</w:t>
      </w:r>
      <w:r w:rsidR="004C5D2F">
        <w:rPr>
          <w:sz w:val="24"/>
          <w:szCs w:val="24"/>
        </w:rPr>
        <w:softHyphen/>
      </w:r>
      <w:r w:rsidRPr="002044B1">
        <w:rPr>
          <w:sz w:val="24"/>
          <w:szCs w:val="24"/>
        </w:rPr>
        <w:t>forseglinger med en aftagelig plasttap. Hver pakke indeholder et 5 ml hætteglas.</w:t>
      </w:r>
    </w:p>
    <w:p w14:paraId="044D467C" w14:textId="77777777" w:rsidR="00DB3E5B" w:rsidRPr="00F724D5" w:rsidRDefault="00DB3E5B" w:rsidP="00F150A8">
      <w:pPr>
        <w:ind w:left="851"/>
        <w:rPr>
          <w:snapToGrid w:val="0"/>
          <w:sz w:val="24"/>
          <w:szCs w:val="24"/>
          <w:highlight w:val="yellow"/>
        </w:rPr>
      </w:pPr>
    </w:p>
    <w:p w14:paraId="2395B4BA" w14:textId="4627C89A" w:rsidR="00DB3E5B" w:rsidRPr="00F724D5" w:rsidRDefault="004E132B" w:rsidP="00F150A8">
      <w:pPr>
        <w:ind w:left="851"/>
        <w:rPr>
          <w:rFonts w:eastAsiaTheme="minorHAnsi"/>
          <w:sz w:val="24"/>
          <w:szCs w:val="24"/>
        </w:rPr>
      </w:pPr>
      <w:r>
        <w:rPr>
          <w:noProof/>
          <w:sz w:val="24"/>
          <w:szCs w:val="24"/>
        </w:rPr>
        <w:t>Cidofovir "Macure"</w:t>
      </w:r>
      <w:r w:rsidR="00DB3E5B" w:rsidRPr="00F724D5">
        <w:rPr>
          <w:noProof/>
          <w:sz w:val="24"/>
          <w:szCs w:val="24"/>
        </w:rPr>
        <w:t xml:space="preserve"> </w:t>
      </w:r>
      <w:r w:rsidR="00DB3E5B" w:rsidRPr="00F724D5">
        <w:rPr>
          <w:sz w:val="24"/>
          <w:szCs w:val="24"/>
        </w:rPr>
        <w:t>75 mg/ml koncentrat til infusionsvæske, opløsning leveres i hætteglas til engangsbrug. Delvis</w:t>
      </w:r>
      <w:r w:rsidR="005D3596">
        <w:rPr>
          <w:sz w:val="24"/>
          <w:szCs w:val="24"/>
        </w:rPr>
        <w:t>t</w:t>
      </w:r>
      <w:r w:rsidR="00DB3E5B" w:rsidRPr="00F724D5">
        <w:rPr>
          <w:sz w:val="24"/>
          <w:szCs w:val="24"/>
        </w:rPr>
        <w:t xml:space="preserve"> anvendte hætteglas skal kasseres</w:t>
      </w:r>
      <w:r w:rsidR="005D3596">
        <w:rPr>
          <w:sz w:val="24"/>
          <w:szCs w:val="24"/>
        </w:rPr>
        <w:t>.</w:t>
      </w:r>
    </w:p>
    <w:p w14:paraId="7DE38176" w14:textId="77777777" w:rsidR="009260DE" w:rsidRPr="00F724D5" w:rsidRDefault="009260DE" w:rsidP="00F150A8">
      <w:pPr>
        <w:ind w:left="851"/>
        <w:rPr>
          <w:sz w:val="24"/>
          <w:szCs w:val="24"/>
        </w:rPr>
      </w:pPr>
    </w:p>
    <w:p w14:paraId="1BEA779E" w14:textId="3192BF4C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6.6</w:t>
      </w:r>
      <w:r w:rsidRPr="00F724D5">
        <w:rPr>
          <w:b/>
          <w:sz w:val="24"/>
          <w:szCs w:val="24"/>
        </w:rPr>
        <w:tab/>
        <w:t xml:space="preserve">Regler for </w:t>
      </w:r>
      <w:r w:rsidR="00176CA6">
        <w:rPr>
          <w:b/>
          <w:sz w:val="24"/>
          <w:szCs w:val="24"/>
        </w:rPr>
        <w:t>bortskaffelse</w:t>
      </w:r>
      <w:r w:rsidRPr="00F724D5">
        <w:rPr>
          <w:b/>
          <w:sz w:val="24"/>
          <w:szCs w:val="24"/>
        </w:rPr>
        <w:t xml:space="preserve"> og anden håndtering</w:t>
      </w:r>
    </w:p>
    <w:p w14:paraId="23A55EFB" w14:textId="77777777" w:rsidR="002044B1" w:rsidRDefault="002044B1" w:rsidP="00F150A8">
      <w:pPr>
        <w:ind w:left="851"/>
        <w:rPr>
          <w:snapToGrid w:val="0"/>
          <w:sz w:val="24"/>
          <w:szCs w:val="24"/>
        </w:rPr>
      </w:pPr>
    </w:p>
    <w:p w14:paraId="0B3404CB" w14:textId="3FAB2489" w:rsidR="00DB3E5B" w:rsidRPr="002044B1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2044B1">
        <w:rPr>
          <w:snapToGrid w:val="0"/>
          <w:sz w:val="24"/>
          <w:szCs w:val="24"/>
          <w:u w:val="single"/>
        </w:rPr>
        <w:t>Metode til forberedelse og administration</w:t>
      </w:r>
    </w:p>
    <w:p w14:paraId="65A88FA0" w14:textId="1E203C0F" w:rsidR="00DB3E5B" w:rsidRPr="00F724D5" w:rsidRDefault="004E132B" w:rsidP="00F150A8">
      <w:pPr>
        <w:ind w:left="851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Cidofovir "Macure"</w:t>
      </w:r>
      <w:r w:rsidR="00DB3E5B" w:rsidRPr="00F724D5">
        <w:rPr>
          <w:noProof/>
          <w:snapToGrid w:val="0"/>
          <w:sz w:val="24"/>
          <w:szCs w:val="24"/>
        </w:rPr>
        <w:t xml:space="preserve"> </w:t>
      </w:r>
      <w:r w:rsidR="00DB3E5B" w:rsidRPr="00F724D5">
        <w:rPr>
          <w:snapToGrid w:val="0"/>
          <w:sz w:val="24"/>
          <w:szCs w:val="24"/>
        </w:rPr>
        <w:t xml:space="preserve">75 mg/ml koncentrat til infusionsvæske, opløsning hætteglas skal inspiceres visuelt for partikler og misfarvning inden brug. </w:t>
      </w:r>
    </w:p>
    <w:p w14:paraId="0E9AC997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63345EE0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Træk den korrekte mængde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op af hætteglasset med en sprøjte og overfør den under aseptiske forhold til en infusionspose indeholdende 100 ml 0,9 % (normal) </w:t>
      </w:r>
      <w:proofErr w:type="spellStart"/>
      <w:r w:rsidRPr="00F724D5">
        <w:rPr>
          <w:snapToGrid w:val="0"/>
          <w:sz w:val="24"/>
          <w:szCs w:val="24"/>
        </w:rPr>
        <w:t>natriumchlorid</w:t>
      </w:r>
      <w:proofErr w:type="spellEnd"/>
      <w:r w:rsidRPr="00F724D5">
        <w:rPr>
          <w:snapToGrid w:val="0"/>
          <w:sz w:val="24"/>
          <w:szCs w:val="24"/>
        </w:rPr>
        <w:t xml:space="preserve">-infusionsvæske og bland grundigt. </w:t>
      </w:r>
      <w:proofErr w:type="spellStart"/>
      <w:r w:rsidRPr="00F724D5">
        <w:rPr>
          <w:snapToGrid w:val="0"/>
          <w:sz w:val="24"/>
          <w:szCs w:val="24"/>
        </w:rPr>
        <w:t>Infunder</w:t>
      </w:r>
      <w:proofErr w:type="spellEnd"/>
      <w:r w:rsidRPr="00F724D5">
        <w:rPr>
          <w:snapToGrid w:val="0"/>
          <w:sz w:val="24"/>
          <w:szCs w:val="24"/>
        </w:rPr>
        <w:t xml:space="preserve"> hele mængden intravenøst i patienten med konstant hastighed i løbet af 1 time ved hjælp af en standard-infusionspumpe. Det bør administreres af sundhedspersonale med tilstrækkelig erfaring i behandling af aids-patienter.</w:t>
      </w:r>
    </w:p>
    <w:p w14:paraId="6B2899FA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0FA80D86" w14:textId="61DA1C9A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Den kemiske og fysiske stabilitet af </w:t>
      </w:r>
      <w:r w:rsidR="004E132B">
        <w:rPr>
          <w:noProof/>
          <w:snapToGrid w:val="0"/>
          <w:sz w:val="24"/>
          <w:szCs w:val="24"/>
        </w:rPr>
        <w:t>Cidofovir "Macure"</w:t>
      </w:r>
      <w:r w:rsidRPr="00F724D5">
        <w:rPr>
          <w:noProof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 xml:space="preserve">75 mg/ml koncentrat til infusionsvæske, opløsning iblandet saltvand er blevet påvist i glasflasker, infusionsposer af </w:t>
      </w:r>
      <w:proofErr w:type="spellStart"/>
      <w:r w:rsidRPr="00F724D5">
        <w:rPr>
          <w:snapToGrid w:val="0"/>
          <w:sz w:val="24"/>
          <w:szCs w:val="24"/>
        </w:rPr>
        <w:t>polyvinylchlorid</w:t>
      </w:r>
      <w:proofErr w:type="spellEnd"/>
      <w:r w:rsidRPr="00F724D5">
        <w:rPr>
          <w:snapToGrid w:val="0"/>
          <w:sz w:val="24"/>
          <w:szCs w:val="24"/>
        </w:rPr>
        <w:t xml:space="preserve"> (PVC) eller </w:t>
      </w:r>
      <w:proofErr w:type="spellStart"/>
      <w:r w:rsidRPr="00F724D5">
        <w:rPr>
          <w:snapToGrid w:val="0"/>
          <w:sz w:val="24"/>
          <w:szCs w:val="24"/>
        </w:rPr>
        <w:t>ethylen</w:t>
      </w:r>
      <w:proofErr w:type="spellEnd"/>
      <w:r w:rsidRPr="00F724D5">
        <w:rPr>
          <w:snapToGrid w:val="0"/>
          <w:sz w:val="24"/>
          <w:szCs w:val="24"/>
        </w:rPr>
        <w:t>/</w:t>
      </w:r>
      <w:proofErr w:type="spellStart"/>
      <w:r w:rsidRPr="00F724D5">
        <w:rPr>
          <w:snapToGrid w:val="0"/>
          <w:sz w:val="24"/>
          <w:szCs w:val="24"/>
        </w:rPr>
        <w:t>propylencopolymer</w:t>
      </w:r>
      <w:proofErr w:type="spellEnd"/>
      <w:r w:rsidRPr="00F724D5">
        <w:rPr>
          <w:snapToGrid w:val="0"/>
          <w:sz w:val="24"/>
          <w:szCs w:val="24"/>
        </w:rPr>
        <w:t xml:space="preserve"> samt i PVC-baserede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 xml:space="preserve">.-administrationssæt. Andre typer af </w:t>
      </w:r>
      <w:proofErr w:type="spellStart"/>
      <w:r w:rsidRPr="00F724D5">
        <w:rPr>
          <w:snapToGrid w:val="0"/>
          <w:sz w:val="24"/>
          <w:szCs w:val="24"/>
        </w:rPr>
        <w:t>i.v</w:t>
      </w:r>
      <w:proofErr w:type="spellEnd"/>
      <w:r w:rsidRPr="00F724D5">
        <w:rPr>
          <w:snapToGrid w:val="0"/>
          <w:sz w:val="24"/>
          <w:szCs w:val="24"/>
        </w:rPr>
        <w:t>.-infusionssæt og infusionsposer er ikke undersøgt.</w:t>
      </w:r>
    </w:p>
    <w:p w14:paraId="3D1B9157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65A39144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Kompatibilitet med Ringer-opløsning, Ringer-laktat eller </w:t>
      </w:r>
      <w:proofErr w:type="spellStart"/>
      <w:r w:rsidRPr="00F724D5">
        <w:rPr>
          <w:snapToGrid w:val="0"/>
          <w:sz w:val="24"/>
          <w:szCs w:val="24"/>
        </w:rPr>
        <w:t>bakteriostatiske</w:t>
      </w:r>
      <w:proofErr w:type="spellEnd"/>
      <w:r w:rsidRPr="00F724D5">
        <w:rPr>
          <w:snapToGrid w:val="0"/>
          <w:sz w:val="24"/>
          <w:szCs w:val="24"/>
        </w:rPr>
        <w:t xml:space="preserve"> infusionsvæsker er ikke undersøgt.</w:t>
      </w:r>
    </w:p>
    <w:p w14:paraId="4F08D5AA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20F9AD2E" w14:textId="77777777" w:rsidR="00DB3E5B" w:rsidRPr="00A66133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A66133">
        <w:rPr>
          <w:snapToGrid w:val="0"/>
          <w:sz w:val="24"/>
          <w:szCs w:val="24"/>
          <w:u w:val="single"/>
        </w:rPr>
        <w:t>Håndtering og bortskaffelse</w:t>
      </w:r>
    </w:p>
    <w:p w14:paraId="2575900F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r w:rsidRPr="00F724D5">
        <w:rPr>
          <w:snapToGrid w:val="0"/>
          <w:sz w:val="24"/>
          <w:szCs w:val="24"/>
        </w:rPr>
        <w:t xml:space="preserve">Der bør træffes passende forholdsregler inklusive brug af korrekt sikkerhedsudstyr ved tilberedning, administration og bortskaffelse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. </w:t>
      </w:r>
      <w:proofErr w:type="spellStart"/>
      <w:r w:rsidRPr="00F724D5">
        <w:rPr>
          <w:snapToGrid w:val="0"/>
          <w:sz w:val="24"/>
          <w:szCs w:val="24"/>
        </w:rPr>
        <w:t>Rekonstitution</w:t>
      </w:r>
      <w:proofErr w:type="spellEnd"/>
      <w:r w:rsidRPr="00F724D5">
        <w:rPr>
          <w:snapToGrid w:val="0"/>
          <w:sz w:val="24"/>
          <w:szCs w:val="24"/>
        </w:rPr>
        <w:t xml:space="preserve"> af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infusionsvæske bør ske i en LAF- bænk (</w:t>
      </w:r>
      <w:r w:rsidRPr="00F724D5">
        <w:rPr>
          <w:i/>
          <w:snapToGrid w:val="0"/>
          <w:sz w:val="24"/>
          <w:szCs w:val="24"/>
        </w:rPr>
        <w:t xml:space="preserve">laminar air flow </w:t>
      </w:r>
      <w:proofErr w:type="spellStart"/>
      <w:r w:rsidRPr="00F724D5">
        <w:rPr>
          <w:i/>
          <w:snapToGrid w:val="0"/>
          <w:sz w:val="24"/>
          <w:szCs w:val="24"/>
        </w:rPr>
        <w:t>cabinet</w:t>
      </w:r>
      <w:proofErr w:type="spellEnd"/>
      <w:r w:rsidRPr="00F724D5">
        <w:rPr>
          <w:snapToGrid w:val="0"/>
          <w:sz w:val="24"/>
          <w:szCs w:val="24"/>
        </w:rPr>
        <w:t xml:space="preserve">). Personale, der tilbereder den </w:t>
      </w:r>
      <w:proofErr w:type="spellStart"/>
      <w:r w:rsidRPr="00F724D5">
        <w:rPr>
          <w:snapToGrid w:val="0"/>
          <w:sz w:val="24"/>
          <w:szCs w:val="24"/>
        </w:rPr>
        <w:t>rekonstituerede</w:t>
      </w:r>
      <w:proofErr w:type="spellEnd"/>
      <w:r w:rsidRPr="00F724D5">
        <w:rPr>
          <w:snapToGrid w:val="0"/>
          <w:sz w:val="24"/>
          <w:szCs w:val="24"/>
        </w:rPr>
        <w:t xml:space="preserve"> infusionsvæske, skal bære operationshandsker, sikkerhedsbriller og en lukket operationskittel med tætsluttende manchetter. Hvis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kommer i kontakt med huden, vaskes og skylles grundigt med vand. Overskydende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alle andre materialer, der bruges til tilberedning og administration af opløsningen, skal anbringes i en tæt, punkteringsfri beholder og destrueres. Ikke anvendte lægemidler samt affald heraf bør destrueres i henhold til lokale retningslinjer.</w:t>
      </w:r>
    </w:p>
    <w:p w14:paraId="2A245AD4" w14:textId="77777777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</w:p>
    <w:p w14:paraId="4FBD4684" w14:textId="77777777" w:rsidR="00DB3E5B" w:rsidRPr="00A66133" w:rsidRDefault="00DB3E5B" w:rsidP="00F150A8">
      <w:pPr>
        <w:ind w:left="851"/>
        <w:rPr>
          <w:snapToGrid w:val="0"/>
          <w:sz w:val="24"/>
          <w:szCs w:val="24"/>
          <w:u w:val="single"/>
        </w:rPr>
      </w:pPr>
      <w:r w:rsidRPr="00A66133">
        <w:rPr>
          <w:snapToGrid w:val="0"/>
          <w:sz w:val="24"/>
          <w:szCs w:val="24"/>
          <w:u w:val="single"/>
        </w:rPr>
        <w:t xml:space="preserve">Levering af </w:t>
      </w:r>
      <w:proofErr w:type="spellStart"/>
      <w:r w:rsidRPr="00A66133">
        <w:rPr>
          <w:snapToGrid w:val="0"/>
          <w:sz w:val="24"/>
          <w:szCs w:val="24"/>
          <w:u w:val="single"/>
        </w:rPr>
        <w:t>probenecid</w:t>
      </w:r>
      <w:proofErr w:type="spellEnd"/>
    </w:p>
    <w:p w14:paraId="2B470514" w14:textId="0BE49F19" w:rsidR="00DB3E5B" w:rsidRPr="00F724D5" w:rsidRDefault="00DB3E5B" w:rsidP="00F150A8">
      <w:pPr>
        <w:ind w:left="851"/>
        <w:rPr>
          <w:snapToGrid w:val="0"/>
          <w:sz w:val="24"/>
          <w:szCs w:val="24"/>
        </w:rPr>
      </w:pPr>
      <w:proofErr w:type="spellStart"/>
      <w:r w:rsidRPr="00F724D5">
        <w:rPr>
          <w:snapToGrid w:val="0"/>
          <w:sz w:val="24"/>
          <w:szCs w:val="24"/>
        </w:rPr>
        <w:t>Probenicid</w:t>
      </w:r>
      <w:proofErr w:type="spellEnd"/>
      <w:r w:rsidRPr="00F724D5">
        <w:rPr>
          <w:snapToGrid w:val="0"/>
          <w:sz w:val="24"/>
          <w:szCs w:val="24"/>
        </w:rPr>
        <w:t xml:space="preserve"> leveres ikke sammen med </w:t>
      </w:r>
      <w:proofErr w:type="spellStart"/>
      <w:r w:rsidRPr="00F724D5">
        <w:rPr>
          <w:snapToGrid w:val="0"/>
          <w:sz w:val="24"/>
          <w:szCs w:val="24"/>
        </w:rPr>
        <w:t>cidofovir</w:t>
      </w:r>
      <w:proofErr w:type="spellEnd"/>
      <w:r w:rsidRPr="00F724D5">
        <w:rPr>
          <w:snapToGrid w:val="0"/>
          <w:sz w:val="24"/>
          <w:szCs w:val="24"/>
        </w:rPr>
        <w:t xml:space="preserve"> og bør leveres via indehaveren af markedsførings- tilladelsen for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. Hvis det er vanskeligt at få leveret </w:t>
      </w:r>
      <w:proofErr w:type="spellStart"/>
      <w:r w:rsidRPr="00F724D5">
        <w:rPr>
          <w:snapToGrid w:val="0"/>
          <w:sz w:val="24"/>
          <w:szCs w:val="24"/>
        </w:rPr>
        <w:t>probenecid</w:t>
      </w:r>
      <w:proofErr w:type="spellEnd"/>
      <w:r w:rsidRPr="00F724D5">
        <w:rPr>
          <w:snapToGrid w:val="0"/>
          <w:sz w:val="24"/>
          <w:szCs w:val="24"/>
        </w:rPr>
        <w:t xml:space="preserve">, kan den lokale repræsentant for indehaveren af markedsføringstilladelsen for </w:t>
      </w:r>
      <w:r w:rsidR="004E132B">
        <w:rPr>
          <w:noProof/>
          <w:snapToGrid w:val="0"/>
          <w:sz w:val="24"/>
          <w:szCs w:val="24"/>
        </w:rPr>
        <w:t>Cidofovir "Macure"</w:t>
      </w:r>
      <w:r w:rsidRPr="00F724D5">
        <w:rPr>
          <w:noProof/>
          <w:snapToGrid w:val="0"/>
          <w:sz w:val="24"/>
          <w:szCs w:val="24"/>
        </w:rPr>
        <w:t xml:space="preserve"> </w:t>
      </w:r>
      <w:r w:rsidRPr="00F724D5">
        <w:rPr>
          <w:snapToGrid w:val="0"/>
          <w:sz w:val="24"/>
          <w:szCs w:val="24"/>
        </w:rPr>
        <w:t>75 mg/ml koncentrat til infusionsvæske, opløsning kontaktes vedrørende information (se også pkt. 4.2 og 4.4).</w:t>
      </w:r>
    </w:p>
    <w:p w14:paraId="2CC2A499" w14:textId="116C6085" w:rsidR="00DA1502" w:rsidRDefault="00DA15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BF95A7" w14:textId="77777777" w:rsidR="009260DE" w:rsidRPr="00F724D5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2315461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7.</w:t>
      </w:r>
      <w:r w:rsidRPr="00F724D5">
        <w:rPr>
          <w:b/>
          <w:sz w:val="24"/>
          <w:szCs w:val="24"/>
        </w:rPr>
        <w:tab/>
        <w:t>INDEHAVER AF MARKEDSFØRINGSTILLADELSEN</w:t>
      </w:r>
    </w:p>
    <w:p w14:paraId="344C612B" w14:textId="77777777" w:rsidR="000F4B4F" w:rsidRDefault="000F4B4F" w:rsidP="009260DE">
      <w:pPr>
        <w:tabs>
          <w:tab w:val="left" w:pos="851"/>
        </w:tabs>
        <w:ind w:left="851"/>
        <w:rPr>
          <w:snapToGrid w:val="0"/>
          <w:sz w:val="24"/>
          <w:szCs w:val="24"/>
          <w:lang w:eastAsia="en-GB"/>
        </w:rPr>
      </w:pPr>
      <w:proofErr w:type="spellStart"/>
      <w:r w:rsidRPr="000F4B4F">
        <w:rPr>
          <w:snapToGrid w:val="0"/>
          <w:sz w:val="24"/>
          <w:szCs w:val="24"/>
          <w:lang w:eastAsia="en-GB"/>
        </w:rPr>
        <w:t>Macure</w:t>
      </w:r>
      <w:proofErr w:type="spellEnd"/>
      <w:r w:rsidRPr="000F4B4F">
        <w:rPr>
          <w:snapToGrid w:val="0"/>
          <w:sz w:val="24"/>
          <w:szCs w:val="24"/>
          <w:lang w:eastAsia="en-GB"/>
        </w:rPr>
        <w:t xml:space="preserve"> Pharma ApS</w:t>
      </w:r>
    </w:p>
    <w:p w14:paraId="289F2E21" w14:textId="77777777" w:rsidR="000F4B4F" w:rsidRDefault="000F4B4F" w:rsidP="009260DE">
      <w:pPr>
        <w:tabs>
          <w:tab w:val="left" w:pos="851"/>
        </w:tabs>
        <w:ind w:left="851"/>
        <w:rPr>
          <w:snapToGrid w:val="0"/>
          <w:sz w:val="24"/>
          <w:szCs w:val="24"/>
          <w:lang w:eastAsia="en-GB"/>
        </w:rPr>
      </w:pPr>
      <w:r w:rsidRPr="000F4B4F">
        <w:rPr>
          <w:snapToGrid w:val="0"/>
          <w:sz w:val="24"/>
          <w:szCs w:val="24"/>
          <w:lang w:eastAsia="en-GB"/>
        </w:rPr>
        <w:t>Hejrevej 39</w:t>
      </w:r>
    </w:p>
    <w:p w14:paraId="12CD2EF4" w14:textId="7DB96068" w:rsidR="009260DE" w:rsidRDefault="000F4B4F" w:rsidP="009260DE">
      <w:pPr>
        <w:tabs>
          <w:tab w:val="left" w:pos="851"/>
        </w:tabs>
        <w:ind w:left="851"/>
        <w:rPr>
          <w:snapToGrid w:val="0"/>
          <w:sz w:val="24"/>
          <w:szCs w:val="24"/>
          <w:lang w:eastAsia="en-GB"/>
        </w:rPr>
      </w:pPr>
      <w:r w:rsidRPr="000F4B4F">
        <w:rPr>
          <w:snapToGrid w:val="0"/>
          <w:sz w:val="24"/>
          <w:szCs w:val="24"/>
          <w:lang w:eastAsia="en-GB"/>
        </w:rPr>
        <w:t>2400 København NV</w:t>
      </w:r>
    </w:p>
    <w:p w14:paraId="4BB46D5E" w14:textId="77777777" w:rsidR="000F4B4F" w:rsidRPr="00F724D5" w:rsidRDefault="000F4B4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8EF1B9" w14:textId="65C1A6AA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8.</w:t>
      </w:r>
      <w:r w:rsidRPr="00F724D5">
        <w:rPr>
          <w:b/>
          <w:sz w:val="24"/>
          <w:szCs w:val="24"/>
        </w:rPr>
        <w:tab/>
        <w:t>MARKEDSFØRINGSTILLADELSESNUMMER (</w:t>
      </w:r>
      <w:r w:rsidR="00176CA6">
        <w:rPr>
          <w:b/>
          <w:sz w:val="24"/>
          <w:szCs w:val="24"/>
        </w:rPr>
        <w:t>-</w:t>
      </w:r>
      <w:r w:rsidRPr="00F724D5">
        <w:rPr>
          <w:b/>
          <w:sz w:val="24"/>
          <w:szCs w:val="24"/>
        </w:rPr>
        <w:t>NUMRE)</w:t>
      </w:r>
    </w:p>
    <w:p w14:paraId="5ADC310E" w14:textId="6E0D4F24" w:rsidR="009260DE" w:rsidRPr="00F724D5" w:rsidRDefault="00B82500" w:rsidP="009260DE">
      <w:pPr>
        <w:tabs>
          <w:tab w:val="left" w:pos="851"/>
        </w:tabs>
        <w:ind w:left="851"/>
        <w:rPr>
          <w:sz w:val="24"/>
          <w:szCs w:val="24"/>
        </w:rPr>
      </w:pPr>
      <w:r w:rsidRPr="00F724D5">
        <w:rPr>
          <w:sz w:val="24"/>
          <w:szCs w:val="24"/>
        </w:rPr>
        <w:t>63385</w:t>
      </w:r>
    </w:p>
    <w:p w14:paraId="4C52C0AC" w14:textId="77777777" w:rsidR="009260DE" w:rsidRPr="00F724D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DB6777B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9.</w:t>
      </w:r>
      <w:r w:rsidRPr="00F724D5">
        <w:rPr>
          <w:b/>
          <w:sz w:val="24"/>
          <w:szCs w:val="24"/>
        </w:rPr>
        <w:tab/>
        <w:t>DATO FOR FØRSTE MARKEDSFØRINGSTILLADELSE</w:t>
      </w:r>
    </w:p>
    <w:p w14:paraId="7C1259DC" w14:textId="0E9E72EE" w:rsidR="009260DE" w:rsidRPr="00F724D5" w:rsidRDefault="002773B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oktober 2021</w:t>
      </w:r>
    </w:p>
    <w:p w14:paraId="670E4541" w14:textId="77777777" w:rsidR="009260DE" w:rsidRPr="00F724D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83C407" w14:textId="77777777" w:rsidR="009260DE" w:rsidRPr="00F724D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F724D5">
        <w:rPr>
          <w:b/>
          <w:sz w:val="24"/>
          <w:szCs w:val="24"/>
        </w:rPr>
        <w:t>10.</w:t>
      </w:r>
      <w:r w:rsidRPr="00F724D5">
        <w:rPr>
          <w:b/>
          <w:sz w:val="24"/>
          <w:szCs w:val="24"/>
        </w:rPr>
        <w:tab/>
        <w:t>DATO FOR ÆNDRING AF TEKSTEN</w:t>
      </w:r>
    </w:p>
    <w:p w14:paraId="3F040C39" w14:textId="135EF118" w:rsidR="009260DE" w:rsidRPr="00F724D5" w:rsidRDefault="00176CA6" w:rsidP="009260DE">
      <w:pPr>
        <w:tabs>
          <w:tab w:val="left" w:pos="851"/>
        </w:tabs>
        <w:ind w:left="851"/>
        <w:rPr>
          <w:sz w:val="24"/>
          <w:szCs w:val="24"/>
        </w:rPr>
      </w:pPr>
      <w:r w:rsidRPr="00176CA6">
        <w:rPr>
          <w:sz w:val="24"/>
          <w:szCs w:val="24"/>
        </w:rPr>
        <w:t>29. november 2023</w:t>
      </w:r>
    </w:p>
    <w:sectPr w:rsidR="009260DE" w:rsidRPr="00F724D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B9A9" w14:textId="77777777" w:rsidR="00E019FC" w:rsidRDefault="00E019FC">
      <w:r>
        <w:separator/>
      </w:r>
    </w:p>
  </w:endnote>
  <w:endnote w:type="continuationSeparator" w:id="0">
    <w:p w14:paraId="50DB0E4F" w14:textId="77777777" w:rsidR="00E019FC" w:rsidRDefault="00E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D15A" w14:textId="77777777" w:rsidR="000259B9" w:rsidRDefault="000259B9">
    <w:pPr>
      <w:pStyle w:val="Sidefod"/>
      <w:pBdr>
        <w:bottom w:val="single" w:sz="6" w:space="1" w:color="auto"/>
      </w:pBdr>
    </w:pPr>
  </w:p>
  <w:p w14:paraId="453D5152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C6598A5" w14:textId="5009EFE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B2429">
      <w:rPr>
        <w:i/>
        <w:noProof/>
        <w:sz w:val="18"/>
        <w:szCs w:val="18"/>
      </w:rPr>
      <w:t>Cidofovir Macure, koncentrat til infusionsvæske, opløsning 75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0DC91" w14:textId="77777777" w:rsidR="00E019FC" w:rsidRDefault="00E019FC">
      <w:r>
        <w:separator/>
      </w:r>
    </w:p>
  </w:footnote>
  <w:footnote w:type="continuationSeparator" w:id="0">
    <w:p w14:paraId="56289B1F" w14:textId="77777777" w:rsidR="00E019FC" w:rsidRDefault="00E01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FC"/>
    <w:rsid w:val="00003ECF"/>
    <w:rsid w:val="000259B9"/>
    <w:rsid w:val="00041491"/>
    <w:rsid w:val="00050D16"/>
    <w:rsid w:val="000730CA"/>
    <w:rsid w:val="00074F2A"/>
    <w:rsid w:val="000A1CA8"/>
    <w:rsid w:val="000A466B"/>
    <w:rsid w:val="000B058C"/>
    <w:rsid w:val="000D00D9"/>
    <w:rsid w:val="000E0ECB"/>
    <w:rsid w:val="000E4EE6"/>
    <w:rsid w:val="000F4B4F"/>
    <w:rsid w:val="00106B86"/>
    <w:rsid w:val="001454E2"/>
    <w:rsid w:val="00176CA6"/>
    <w:rsid w:val="002044B1"/>
    <w:rsid w:val="00206CE8"/>
    <w:rsid w:val="0021526C"/>
    <w:rsid w:val="002773B9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60047"/>
    <w:rsid w:val="0049104B"/>
    <w:rsid w:val="00492033"/>
    <w:rsid w:val="004C5D2F"/>
    <w:rsid w:val="004E132B"/>
    <w:rsid w:val="004E3B12"/>
    <w:rsid w:val="005067D9"/>
    <w:rsid w:val="00526B6A"/>
    <w:rsid w:val="00532310"/>
    <w:rsid w:val="00565F0F"/>
    <w:rsid w:val="00572476"/>
    <w:rsid w:val="00594A86"/>
    <w:rsid w:val="00596D86"/>
    <w:rsid w:val="005D3596"/>
    <w:rsid w:val="006304F4"/>
    <w:rsid w:val="00635B1B"/>
    <w:rsid w:val="00637F5A"/>
    <w:rsid w:val="006560B1"/>
    <w:rsid w:val="006706C6"/>
    <w:rsid w:val="006756DD"/>
    <w:rsid w:val="006C600E"/>
    <w:rsid w:val="00737275"/>
    <w:rsid w:val="00740EEC"/>
    <w:rsid w:val="007736A9"/>
    <w:rsid w:val="0078011A"/>
    <w:rsid w:val="00782AF4"/>
    <w:rsid w:val="00784084"/>
    <w:rsid w:val="00790EE7"/>
    <w:rsid w:val="007B6649"/>
    <w:rsid w:val="0082576E"/>
    <w:rsid w:val="008814C1"/>
    <w:rsid w:val="008920CA"/>
    <w:rsid w:val="008F297D"/>
    <w:rsid w:val="00907F75"/>
    <w:rsid w:val="009260DE"/>
    <w:rsid w:val="0093258A"/>
    <w:rsid w:val="00953623"/>
    <w:rsid w:val="00956FDB"/>
    <w:rsid w:val="0096594C"/>
    <w:rsid w:val="009C6A82"/>
    <w:rsid w:val="009C7BA3"/>
    <w:rsid w:val="009D1F5A"/>
    <w:rsid w:val="00A10294"/>
    <w:rsid w:val="00A66133"/>
    <w:rsid w:val="00B003BF"/>
    <w:rsid w:val="00B373D7"/>
    <w:rsid w:val="00B72FED"/>
    <w:rsid w:val="00B82500"/>
    <w:rsid w:val="00C342E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1502"/>
    <w:rsid w:val="00DB3E5B"/>
    <w:rsid w:val="00DC229C"/>
    <w:rsid w:val="00DF632E"/>
    <w:rsid w:val="00E00221"/>
    <w:rsid w:val="00E019FC"/>
    <w:rsid w:val="00E108AA"/>
    <w:rsid w:val="00E3749A"/>
    <w:rsid w:val="00E7437F"/>
    <w:rsid w:val="00E865B8"/>
    <w:rsid w:val="00E86FE8"/>
    <w:rsid w:val="00EC0B9B"/>
    <w:rsid w:val="00ED5E9F"/>
    <w:rsid w:val="00F150A8"/>
    <w:rsid w:val="00F66D4F"/>
    <w:rsid w:val="00F724D5"/>
    <w:rsid w:val="00FB2429"/>
    <w:rsid w:val="00FB65FA"/>
    <w:rsid w:val="00FB6D01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A2DA0"/>
  <w15:chartTrackingRefBased/>
  <w15:docId w15:val="{0FD7D905-EBC3-4E90-95E7-0C07DDD4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6706C6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6706C6"/>
    <w:rPr>
      <w:rFonts w:cstheme="minorBidi"/>
      <w:sz w:val="22"/>
      <w:szCs w:val="22"/>
      <w:lang w:val="en-US" w:eastAsia="en-US"/>
    </w:rPr>
  </w:style>
  <w:style w:type="paragraph" w:styleId="Listeafsnit">
    <w:name w:val="List Paragraph"/>
    <w:basedOn w:val="Normal"/>
    <w:uiPriority w:val="99"/>
    <w:qFormat/>
    <w:rsid w:val="006706C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06C6"/>
    <w:rPr>
      <w:rFonts w:ascii="Arial" w:hAnsi="Arial"/>
      <w:b/>
      <w:kern w:val="28"/>
      <w:sz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706C6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DB3E5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3975</Words>
  <Characters>26302</Characters>
  <Application>Microsoft Office Word</Application>
  <DocSecurity>0</DocSecurity>
  <Lines>219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2022012484_x000d_
SPC pkt. 4.6 samt overskrifter iht. QRD9</dc:description>
  <cp:lastModifiedBy>Marianne Ott Jensen</cp:lastModifiedBy>
  <cp:revision>4</cp:revision>
  <cp:lastPrinted>2012-08-22T08:53:00Z</cp:lastPrinted>
  <dcterms:created xsi:type="dcterms:W3CDTF">2023-11-27T11:38:00Z</dcterms:created>
  <dcterms:modified xsi:type="dcterms:W3CDTF">2023-11-29T11:57:00Z</dcterms:modified>
</cp:coreProperties>
</file>