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661D74" w:rsidRDefault="0021526C" w:rsidP="009260DE">
      <w:pPr>
        <w:rPr>
          <w:sz w:val="24"/>
          <w:szCs w:val="24"/>
        </w:rPr>
      </w:pPr>
      <w:r w:rsidRPr="00661D74">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61D74">
        <w:rPr>
          <w:sz w:val="24"/>
          <w:szCs w:val="24"/>
        </w:rPr>
        <w:br w:type="textWrapping" w:clear="all"/>
      </w:r>
    </w:p>
    <w:p w:rsidR="009260DE" w:rsidRPr="00661D74" w:rsidRDefault="009260DE" w:rsidP="009260DE">
      <w:pPr>
        <w:pStyle w:val="Titel"/>
        <w:tabs>
          <w:tab w:val="right" w:pos="9356"/>
        </w:tabs>
        <w:jc w:val="left"/>
        <w:rPr>
          <w:b w:val="0"/>
          <w:szCs w:val="24"/>
          <w:lang w:eastAsia="en-US"/>
        </w:rPr>
      </w:pPr>
      <w:r w:rsidRPr="00661D74">
        <w:rPr>
          <w:b w:val="0"/>
          <w:szCs w:val="24"/>
          <w:lang w:eastAsia="en-US"/>
        </w:rPr>
        <w:tab/>
      </w:r>
      <w:r w:rsidR="008E4BE5">
        <w:rPr>
          <w:szCs w:val="24"/>
        </w:rPr>
        <w:t>13</w:t>
      </w:r>
      <w:r w:rsidR="009421F2">
        <w:rPr>
          <w:szCs w:val="24"/>
        </w:rPr>
        <w:t>.</w:t>
      </w:r>
      <w:r w:rsidR="007F4B17">
        <w:rPr>
          <w:szCs w:val="24"/>
        </w:rPr>
        <w:t xml:space="preserve"> </w:t>
      </w:r>
      <w:r w:rsidR="009421F2">
        <w:rPr>
          <w:szCs w:val="24"/>
        </w:rPr>
        <w:t>februar 2024</w:t>
      </w:r>
    </w:p>
    <w:p w:rsidR="009260DE" w:rsidRPr="00661D74" w:rsidRDefault="009260DE" w:rsidP="009260DE">
      <w:pPr>
        <w:pStyle w:val="Titel"/>
        <w:tabs>
          <w:tab w:val="left" w:pos="8222"/>
        </w:tabs>
        <w:jc w:val="left"/>
        <w:rPr>
          <w:b w:val="0"/>
          <w:szCs w:val="24"/>
        </w:rPr>
      </w:pPr>
    </w:p>
    <w:p w:rsidR="009260DE" w:rsidRPr="00661D74" w:rsidRDefault="009260DE" w:rsidP="009260DE">
      <w:pPr>
        <w:pStyle w:val="Titel"/>
        <w:jc w:val="left"/>
        <w:rPr>
          <w:b w:val="0"/>
          <w:szCs w:val="24"/>
        </w:rPr>
      </w:pPr>
    </w:p>
    <w:p w:rsidR="009260DE" w:rsidRPr="00661D74" w:rsidRDefault="009260DE" w:rsidP="009260DE">
      <w:pPr>
        <w:pStyle w:val="Titel"/>
        <w:jc w:val="left"/>
        <w:rPr>
          <w:b w:val="0"/>
          <w:szCs w:val="24"/>
        </w:rPr>
      </w:pPr>
    </w:p>
    <w:p w:rsidR="009260DE" w:rsidRPr="00661D74" w:rsidRDefault="009260DE" w:rsidP="009260DE">
      <w:pPr>
        <w:jc w:val="center"/>
        <w:rPr>
          <w:b/>
          <w:sz w:val="24"/>
          <w:szCs w:val="24"/>
        </w:rPr>
      </w:pPr>
      <w:r w:rsidRPr="00661D74">
        <w:rPr>
          <w:b/>
          <w:sz w:val="24"/>
          <w:szCs w:val="24"/>
        </w:rPr>
        <w:t>PRODUKTRESUMÉ</w:t>
      </w:r>
    </w:p>
    <w:p w:rsidR="009260DE" w:rsidRPr="00661D74" w:rsidRDefault="009260DE" w:rsidP="009260DE">
      <w:pPr>
        <w:jc w:val="center"/>
        <w:rPr>
          <w:b/>
          <w:sz w:val="24"/>
          <w:szCs w:val="24"/>
        </w:rPr>
      </w:pPr>
    </w:p>
    <w:p w:rsidR="009260DE" w:rsidRPr="00661D74" w:rsidRDefault="009260DE" w:rsidP="009260DE">
      <w:pPr>
        <w:jc w:val="center"/>
        <w:rPr>
          <w:b/>
          <w:sz w:val="24"/>
          <w:szCs w:val="24"/>
        </w:rPr>
      </w:pPr>
      <w:r w:rsidRPr="00661D74">
        <w:rPr>
          <w:b/>
          <w:sz w:val="24"/>
          <w:szCs w:val="24"/>
        </w:rPr>
        <w:t>for</w:t>
      </w:r>
    </w:p>
    <w:p w:rsidR="000B058C" w:rsidRPr="00661D74" w:rsidRDefault="000B058C" w:rsidP="009260DE">
      <w:pPr>
        <w:jc w:val="center"/>
        <w:rPr>
          <w:b/>
          <w:sz w:val="24"/>
          <w:szCs w:val="24"/>
        </w:rPr>
      </w:pPr>
    </w:p>
    <w:p w:rsidR="009260DE" w:rsidRPr="00661D74" w:rsidRDefault="00430D5A" w:rsidP="009260DE">
      <w:pPr>
        <w:jc w:val="center"/>
        <w:rPr>
          <w:b/>
          <w:sz w:val="24"/>
          <w:szCs w:val="24"/>
        </w:rPr>
      </w:pPr>
      <w:proofErr w:type="spellStart"/>
      <w:r w:rsidRPr="00661D74">
        <w:rPr>
          <w:b/>
          <w:sz w:val="24"/>
          <w:szCs w:val="24"/>
        </w:rPr>
        <w:t>Cifoban</w:t>
      </w:r>
      <w:proofErr w:type="spellEnd"/>
      <w:r w:rsidRPr="00661D74">
        <w:rPr>
          <w:b/>
          <w:sz w:val="24"/>
          <w:szCs w:val="24"/>
        </w:rPr>
        <w:t>, infusionsvæske, opløsning</w:t>
      </w:r>
    </w:p>
    <w:p w:rsidR="009260DE" w:rsidRPr="00661D74" w:rsidRDefault="009260DE" w:rsidP="009260DE">
      <w:pPr>
        <w:jc w:val="both"/>
        <w:rPr>
          <w:sz w:val="24"/>
          <w:szCs w:val="24"/>
        </w:rPr>
      </w:pPr>
    </w:p>
    <w:p w:rsidR="009260DE" w:rsidRPr="00661D74" w:rsidRDefault="009260DE" w:rsidP="00661D74">
      <w:pPr>
        <w:jc w:val="both"/>
        <w:rPr>
          <w:sz w:val="24"/>
          <w:szCs w:val="24"/>
        </w:rPr>
      </w:pPr>
    </w:p>
    <w:p w:rsidR="009260DE" w:rsidRPr="00661D74" w:rsidRDefault="009260DE" w:rsidP="00661D74">
      <w:pPr>
        <w:ind w:left="851" w:hanging="851"/>
        <w:rPr>
          <w:b/>
          <w:sz w:val="24"/>
          <w:szCs w:val="24"/>
        </w:rPr>
      </w:pPr>
      <w:r w:rsidRPr="00661D74">
        <w:rPr>
          <w:b/>
          <w:sz w:val="24"/>
          <w:szCs w:val="24"/>
        </w:rPr>
        <w:t>0.</w:t>
      </w:r>
      <w:r w:rsidRPr="00661D74">
        <w:rPr>
          <w:b/>
          <w:sz w:val="24"/>
          <w:szCs w:val="24"/>
        </w:rPr>
        <w:tab/>
        <w:t>D.SP.NR.</w:t>
      </w:r>
    </w:p>
    <w:p w:rsidR="009260DE" w:rsidRPr="00661D74" w:rsidRDefault="005F261C" w:rsidP="00661D74">
      <w:pPr>
        <w:ind w:left="851"/>
        <w:rPr>
          <w:sz w:val="24"/>
          <w:szCs w:val="24"/>
        </w:rPr>
      </w:pPr>
      <w:r w:rsidRPr="00661D74">
        <w:rPr>
          <w:sz w:val="24"/>
          <w:szCs w:val="24"/>
        </w:rPr>
        <w:t>32025</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1.</w:t>
      </w:r>
      <w:r w:rsidRPr="00661D74">
        <w:rPr>
          <w:b/>
          <w:sz w:val="24"/>
          <w:szCs w:val="24"/>
        </w:rPr>
        <w:tab/>
        <w:t>LÆGEMIDLETS NAVN</w:t>
      </w:r>
    </w:p>
    <w:p w:rsidR="009260DE" w:rsidRPr="00661D74" w:rsidRDefault="005F261C" w:rsidP="00661D74">
      <w:pPr>
        <w:ind w:left="851"/>
        <w:rPr>
          <w:sz w:val="24"/>
          <w:szCs w:val="24"/>
        </w:rPr>
      </w:pPr>
      <w:proofErr w:type="spellStart"/>
      <w:r w:rsidRPr="00661D74">
        <w:rPr>
          <w:sz w:val="24"/>
          <w:szCs w:val="24"/>
        </w:rPr>
        <w:t>Cifoban</w:t>
      </w:r>
      <w:proofErr w:type="spellEnd"/>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2.</w:t>
      </w:r>
      <w:r w:rsidRPr="00661D74">
        <w:rPr>
          <w:b/>
          <w:sz w:val="24"/>
          <w:szCs w:val="24"/>
        </w:rPr>
        <w:tab/>
        <w:t>KVALITATIV OG KVANTITATIV SAMMENSÆTNING</w:t>
      </w:r>
    </w:p>
    <w:p w:rsidR="00E2680B" w:rsidRPr="00661D74" w:rsidRDefault="00E2680B" w:rsidP="00E2680B">
      <w:pPr>
        <w:ind w:left="851"/>
        <w:rPr>
          <w:sz w:val="24"/>
          <w:szCs w:val="24"/>
        </w:rPr>
      </w:pPr>
      <w:proofErr w:type="spellStart"/>
      <w:r w:rsidRPr="00661D74">
        <w:rPr>
          <w:sz w:val="24"/>
          <w:szCs w:val="24"/>
        </w:rPr>
        <w:t>Cifoban</w:t>
      </w:r>
      <w:proofErr w:type="spellEnd"/>
      <w:r w:rsidRPr="00661D74">
        <w:rPr>
          <w:sz w:val="24"/>
          <w:szCs w:val="24"/>
        </w:rPr>
        <w:t xml:space="preserve"> fås i en pose med 1.500 ml brugsklar opløsning.</w:t>
      </w:r>
    </w:p>
    <w:p w:rsidR="00E2680B" w:rsidRPr="00661D74" w:rsidRDefault="00E2680B" w:rsidP="00E2680B">
      <w:pPr>
        <w:ind w:left="851"/>
        <w:rPr>
          <w:sz w:val="24"/>
          <w:szCs w:val="24"/>
        </w:rPr>
      </w:pPr>
    </w:p>
    <w:p w:rsidR="00E2680B" w:rsidRPr="00661D74" w:rsidRDefault="00E2680B" w:rsidP="00E2680B">
      <w:pPr>
        <w:ind w:left="851"/>
        <w:rPr>
          <w:sz w:val="24"/>
          <w:szCs w:val="24"/>
        </w:rPr>
      </w:pPr>
      <w:r w:rsidRPr="00661D74">
        <w:rPr>
          <w:sz w:val="24"/>
          <w:szCs w:val="24"/>
        </w:rPr>
        <w:t>1.000 ml opløsning indeholder:</w:t>
      </w:r>
      <w:r w:rsidRPr="00661D74">
        <w:rPr>
          <w:sz w:val="24"/>
          <w:szCs w:val="24"/>
        </w:rPr>
        <w:br/>
      </w:r>
    </w:p>
    <w:p w:rsidR="00E2680B" w:rsidRPr="00661D74" w:rsidRDefault="00E2680B" w:rsidP="00E2680B">
      <w:pPr>
        <w:ind w:left="851"/>
        <w:rPr>
          <w:sz w:val="24"/>
          <w:szCs w:val="24"/>
        </w:rPr>
      </w:pPr>
      <w:r w:rsidRPr="00661D74">
        <w:rPr>
          <w:sz w:val="24"/>
          <w:szCs w:val="24"/>
        </w:rPr>
        <w:t>Natriumcitrat</w:t>
      </w:r>
      <w:r w:rsidRPr="00661D74">
        <w:rPr>
          <w:sz w:val="24"/>
          <w:szCs w:val="24"/>
        </w:rPr>
        <w:tab/>
        <w:t>40,0 g</w:t>
      </w:r>
    </w:p>
    <w:p w:rsidR="00E2680B" w:rsidRPr="00661D74" w:rsidRDefault="00E2680B" w:rsidP="00E2680B">
      <w:pPr>
        <w:ind w:left="851"/>
        <w:rPr>
          <w:sz w:val="24"/>
          <w:szCs w:val="24"/>
        </w:rPr>
      </w:pPr>
    </w:p>
    <w:p w:rsidR="00E2680B" w:rsidRPr="00661D74" w:rsidRDefault="00E2680B" w:rsidP="00E2680B">
      <w:pPr>
        <w:ind w:left="851"/>
        <w:rPr>
          <w:sz w:val="24"/>
          <w:szCs w:val="24"/>
        </w:rPr>
      </w:pPr>
      <w:r w:rsidRPr="00661D74">
        <w:rPr>
          <w:sz w:val="24"/>
          <w:szCs w:val="24"/>
        </w:rPr>
        <w:t>Na</w:t>
      </w:r>
      <w:r w:rsidRPr="00661D74">
        <w:rPr>
          <w:sz w:val="24"/>
          <w:szCs w:val="24"/>
          <w:vertAlign w:val="superscript"/>
        </w:rPr>
        <w:t>+</w:t>
      </w:r>
      <w:r w:rsidRPr="00661D74">
        <w:rPr>
          <w:sz w:val="24"/>
          <w:szCs w:val="24"/>
        </w:rPr>
        <w:tab/>
      </w:r>
      <w:r>
        <w:rPr>
          <w:sz w:val="24"/>
          <w:szCs w:val="24"/>
        </w:rPr>
        <w:tab/>
      </w:r>
      <w:r w:rsidRPr="00661D74">
        <w:rPr>
          <w:sz w:val="24"/>
          <w:szCs w:val="24"/>
        </w:rPr>
        <w:t xml:space="preserve">408 mmol </w:t>
      </w:r>
      <w:r w:rsidRPr="00661D74">
        <w:rPr>
          <w:sz w:val="24"/>
          <w:szCs w:val="24"/>
        </w:rPr>
        <w:br/>
      </w:r>
      <w:r w:rsidRPr="00661D74">
        <w:rPr>
          <w:bCs/>
          <w:sz w:val="24"/>
          <w:szCs w:val="24"/>
        </w:rPr>
        <w:t>Citrat</w:t>
      </w:r>
      <w:r w:rsidRPr="00661D74">
        <w:rPr>
          <w:bCs/>
          <w:sz w:val="24"/>
          <w:szCs w:val="24"/>
          <w:vertAlign w:val="superscript"/>
        </w:rPr>
        <w:t>3-</w:t>
      </w:r>
      <w:r w:rsidRPr="00661D74">
        <w:rPr>
          <w:sz w:val="24"/>
          <w:szCs w:val="24"/>
        </w:rPr>
        <w:tab/>
        <w:t xml:space="preserve">136 mmol </w:t>
      </w:r>
    </w:p>
    <w:p w:rsidR="00E2680B" w:rsidRPr="00661D74" w:rsidRDefault="00E2680B" w:rsidP="00E2680B">
      <w:pPr>
        <w:ind w:left="851"/>
        <w:rPr>
          <w:sz w:val="24"/>
          <w:szCs w:val="24"/>
        </w:rPr>
      </w:pPr>
    </w:p>
    <w:p w:rsidR="00E2680B" w:rsidRPr="00661D74" w:rsidRDefault="00E2680B" w:rsidP="00E2680B">
      <w:pPr>
        <w:ind w:left="851"/>
        <w:rPr>
          <w:sz w:val="24"/>
          <w:szCs w:val="24"/>
        </w:rPr>
      </w:pPr>
      <w:r w:rsidRPr="00661D74">
        <w:rPr>
          <w:sz w:val="24"/>
          <w:szCs w:val="24"/>
        </w:rPr>
        <w:t>Alle hjælpestoffer er anført under pkt. 6.1.</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3.</w:t>
      </w:r>
      <w:r w:rsidRPr="00661D74">
        <w:rPr>
          <w:b/>
          <w:sz w:val="24"/>
          <w:szCs w:val="24"/>
        </w:rPr>
        <w:tab/>
        <w:t>LÆGEMIDDELFORM</w:t>
      </w:r>
    </w:p>
    <w:p w:rsidR="00515278" w:rsidRPr="00661D74" w:rsidRDefault="00515278" w:rsidP="00661D74">
      <w:pPr>
        <w:ind w:left="851"/>
        <w:rPr>
          <w:sz w:val="24"/>
          <w:szCs w:val="24"/>
        </w:rPr>
      </w:pPr>
      <w:r w:rsidRPr="00661D74">
        <w:rPr>
          <w:sz w:val="24"/>
          <w:szCs w:val="24"/>
        </w:rPr>
        <w:t>Infusionsvæske, opløsning</w:t>
      </w:r>
    </w:p>
    <w:p w:rsidR="00515278" w:rsidRPr="00661D74" w:rsidRDefault="00515278" w:rsidP="00661D74">
      <w:pPr>
        <w:ind w:left="851"/>
        <w:rPr>
          <w:sz w:val="24"/>
          <w:szCs w:val="24"/>
        </w:rPr>
      </w:pPr>
    </w:p>
    <w:p w:rsidR="00515278" w:rsidRPr="00661D74" w:rsidRDefault="00515278" w:rsidP="00661D74">
      <w:pPr>
        <w:ind w:left="851"/>
        <w:rPr>
          <w:sz w:val="24"/>
          <w:szCs w:val="24"/>
        </w:rPr>
      </w:pPr>
      <w:r w:rsidRPr="00661D74">
        <w:rPr>
          <w:sz w:val="24"/>
          <w:szCs w:val="24"/>
        </w:rPr>
        <w:t xml:space="preserve">Ekstrakorporal anvendelse. Må kun indgives som infusion i det </w:t>
      </w:r>
      <w:proofErr w:type="spellStart"/>
      <w:r w:rsidRPr="00661D74">
        <w:rPr>
          <w:sz w:val="24"/>
          <w:szCs w:val="24"/>
        </w:rPr>
        <w:t>ekstrakorporale</w:t>
      </w:r>
      <w:proofErr w:type="spellEnd"/>
      <w:r w:rsidRPr="00661D74">
        <w:rPr>
          <w:sz w:val="24"/>
          <w:szCs w:val="24"/>
        </w:rPr>
        <w:t xml:space="preserve"> blodkredsløb.</w:t>
      </w:r>
    </w:p>
    <w:p w:rsidR="00515278" w:rsidRPr="00661D74" w:rsidRDefault="00515278" w:rsidP="00661D74">
      <w:pPr>
        <w:ind w:left="851"/>
        <w:rPr>
          <w:sz w:val="24"/>
          <w:szCs w:val="24"/>
        </w:rPr>
      </w:pPr>
    </w:p>
    <w:p w:rsidR="00515278" w:rsidRPr="00661D74" w:rsidRDefault="00515278" w:rsidP="00661D74">
      <w:pPr>
        <w:ind w:left="851"/>
        <w:rPr>
          <w:sz w:val="24"/>
          <w:szCs w:val="24"/>
        </w:rPr>
      </w:pPr>
      <w:r w:rsidRPr="00661D74">
        <w:rPr>
          <w:sz w:val="24"/>
          <w:szCs w:val="24"/>
        </w:rPr>
        <w:t>Opløsningen er klar og farveløs og uden partikler.</w:t>
      </w:r>
    </w:p>
    <w:p w:rsidR="00515278" w:rsidRPr="00661D74" w:rsidRDefault="00515278" w:rsidP="00661D74">
      <w:pPr>
        <w:ind w:left="851"/>
        <w:rPr>
          <w:sz w:val="24"/>
          <w:szCs w:val="24"/>
        </w:rPr>
      </w:pPr>
    </w:p>
    <w:p w:rsidR="00515278" w:rsidRPr="00661D74" w:rsidRDefault="00515278" w:rsidP="00661D74">
      <w:pPr>
        <w:ind w:left="851"/>
        <w:rPr>
          <w:sz w:val="24"/>
          <w:szCs w:val="24"/>
        </w:rPr>
      </w:pPr>
      <w:r w:rsidRPr="00661D74">
        <w:rPr>
          <w:sz w:val="24"/>
          <w:szCs w:val="24"/>
        </w:rPr>
        <w:t xml:space="preserve">Teoretisk </w:t>
      </w:r>
      <w:proofErr w:type="spellStart"/>
      <w:r w:rsidRPr="00661D74">
        <w:rPr>
          <w:sz w:val="24"/>
          <w:szCs w:val="24"/>
        </w:rPr>
        <w:t>osmolaritet</w:t>
      </w:r>
      <w:proofErr w:type="spellEnd"/>
      <w:r w:rsidRPr="00661D74">
        <w:rPr>
          <w:sz w:val="24"/>
          <w:szCs w:val="24"/>
        </w:rPr>
        <w:t xml:space="preserve">: </w:t>
      </w:r>
      <w:r w:rsidRPr="00661D74">
        <w:rPr>
          <w:sz w:val="24"/>
          <w:szCs w:val="24"/>
        </w:rPr>
        <w:tab/>
        <w:t xml:space="preserve">544 </w:t>
      </w:r>
      <w:proofErr w:type="spellStart"/>
      <w:r w:rsidRPr="00661D74">
        <w:rPr>
          <w:sz w:val="24"/>
          <w:szCs w:val="24"/>
        </w:rPr>
        <w:t>mOsm</w:t>
      </w:r>
      <w:proofErr w:type="spellEnd"/>
      <w:r w:rsidRPr="00661D74">
        <w:rPr>
          <w:sz w:val="24"/>
          <w:szCs w:val="24"/>
        </w:rPr>
        <w:t>/l</w:t>
      </w:r>
    </w:p>
    <w:p w:rsidR="00515278" w:rsidRPr="00661D74" w:rsidRDefault="00515278" w:rsidP="00661D74">
      <w:pPr>
        <w:ind w:left="851"/>
        <w:rPr>
          <w:sz w:val="24"/>
          <w:szCs w:val="24"/>
        </w:rPr>
      </w:pPr>
      <w:r w:rsidRPr="00661D74">
        <w:rPr>
          <w:sz w:val="24"/>
          <w:szCs w:val="24"/>
        </w:rPr>
        <w:t>pH: 7,1 – 7,5</w:t>
      </w:r>
    </w:p>
    <w:p w:rsidR="009260DE" w:rsidRPr="00661D74" w:rsidRDefault="009260DE" w:rsidP="00661D74">
      <w:pPr>
        <w:ind w:left="851"/>
        <w:rPr>
          <w:sz w:val="24"/>
          <w:szCs w:val="24"/>
        </w:rPr>
      </w:pP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w:t>
      </w:r>
      <w:r w:rsidRPr="00661D74">
        <w:rPr>
          <w:b/>
          <w:sz w:val="24"/>
          <w:szCs w:val="24"/>
        </w:rPr>
        <w:tab/>
        <w:t>KLINISKE OPLYSNINGER</w:t>
      </w:r>
    </w:p>
    <w:p w:rsidR="009260DE" w:rsidRPr="00661D74" w:rsidRDefault="009260DE" w:rsidP="00661D74">
      <w:pPr>
        <w:ind w:left="851"/>
        <w:rPr>
          <w:b/>
          <w:sz w:val="24"/>
          <w:szCs w:val="24"/>
        </w:rPr>
      </w:pPr>
    </w:p>
    <w:p w:rsidR="009260DE" w:rsidRPr="00661D74" w:rsidRDefault="009260DE" w:rsidP="00661D74">
      <w:pPr>
        <w:ind w:left="851" w:hanging="851"/>
        <w:rPr>
          <w:b/>
          <w:sz w:val="24"/>
          <w:szCs w:val="24"/>
          <w:u w:val="single"/>
        </w:rPr>
      </w:pPr>
      <w:r w:rsidRPr="00661D74">
        <w:rPr>
          <w:b/>
          <w:sz w:val="24"/>
          <w:szCs w:val="24"/>
        </w:rPr>
        <w:t>4.1</w:t>
      </w:r>
      <w:r w:rsidRPr="00661D74">
        <w:rPr>
          <w:b/>
          <w:sz w:val="24"/>
          <w:szCs w:val="24"/>
        </w:rPr>
        <w:tab/>
        <w:t>Terapeutiske indikationer</w:t>
      </w:r>
    </w:p>
    <w:p w:rsidR="00515278" w:rsidRPr="00661D74" w:rsidRDefault="00515278" w:rsidP="00661D74">
      <w:pPr>
        <w:ind w:left="851"/>
        <w:rPr>
          <w:sz w:val="24"/>
          <w:szCs w:val="24"/>
        </w:rPr>
      </w:pPr>
      <w:proofErr w:type="spellStart"/>
      <w:r w:rsidRPr="00661D74">
        <w:rPr>
          <w:sz w:val="24"/>
          <w:szCs w:val="24"/>
        </w:rPr>
        <w:t>Cibofan</w:t>
      </w:r>
      <w:proofErr w:type="spellEnd"/>
      <w:r w:rsidRPr="00661D74">
        <w:rPr>
          <w:sz w:val="24"/>
          <w:szCs w:val="24"/>
        </w:rPr>
        <w:t xml:space="preserve"> anvendes til regional citratantikoagulation (RCA) ved kontinuerlig </w:t>
      </w:r>
      <w:proofErr w:type="spellStart"/>
      <w:r w:rsidRPr="00661D74">
        <w:rPr>
          <w:sz w:val="24"/>
          <w:szCs w:val="24"/>
        </w:rPr>
        <w:t>venovenøs</w:t>
      </w:r>
      <w:proofErr w:type="spellEnd"/>
      <w:r w:rsidRPr="00661D74">
        <w:rPr>
          <w:sz w:val="24"/>
          <w:szCs w:val="24"/>
        </w:rPr>
        <w:t xml:space="preserve"> hæmodialyse (CVVHD), </w:t>
      </w:r>
      <w:r w:rsidRPr="00661D74">
        <w:rPr>
          <w:rStyle w:val="Fremhv"/>
          <w:i w:val="0"/>
          <w:iCs w:val="0"/>
          <w:sz w:val="24"/>
          <w:szCs w:val="24"/>
        </w:rPr>
        <w:t xml:space="preserve">kontinuerlig </w:t>
      </w:r>
      <w:proofErr w:type="spellStart"/>
      <w:r w:rsidRPr="00661D74">
        <w:rPr>
          <w:rStyle w:val="Fremhv"/>
          <w:i w:val="0"/>
          <w:iCs w:val="0"/>
          <w:sz w:val="24"/>
          <w:szCs w:val="24"/>
        </w:rPr>
        <w:t>venovenøs</w:t>
      </w:r>
      <w:proofErr w:type="spellEnd"/>
      <w:r w:rsidRPr="00661D74">
        <w:rPr>
          <w:rStyle w:val="Fremhv"/>
          <w:i w:val="0"/>
          <w:iCs w:val="0"/>
          <w:sz w:val="24"/>
          <w:szCs w:val="24"/>
        </w:rPr>
        <w:t xml:space="preserve"> </w:t>
      </w:r>
      <w:proofErr w:type="spellStart"/>
      <w:r w:rsidRPr="00661D74">
        <w:rPr>
          <w:rStyle w:val="Fremhv"/>
          <w:i w:val="0"/>
          <w:iCs w:val="0"/>
          <w:sz w:val="24"/>
          <w:szCs w:val="24"/>
        </w:rPr>
        <w:t>hæmodiafiltrering</w:t>
      </w:r>
      <w:proofErr w:type="spellEnd"/>
      <w:r w:rsidRPr="00661D74">
        <w:rPr>
          <w:rStyle w:val="Fremhv"/>
          <w:i w:val="0"/>
          <w:iCs w:val="0"/>
          <w:sz w:val="24"/>
          <w:szCs w:val="24"/>
        </w:rPr>
        <w:t xml:space="preserve"> </w:t>
      </w:r>
      <w:r w:rsidRPr="00661D74">
        <w:rPr>
          <w:sz w:val="24"/>
          <w:szCs w:val="24"/>
        </w:rPr>
        <w:t xml:space="preserve">(CVVHDF), </w:t>
      </w:r>
      <w:r w:rsidRPr="00661D74">
        <w:rPr>
          <w:sz w:val="24"/>
          <w:szCs w:val="24"/>
        </w:rPr>
        <w:lastRenderedPageBreak/>
        <w:t>vedvarende laveffektiv (daglig) dialyse (SLEDD) og terapeutisk plasmaudskiftning (TPE) via plasmaseparation ved membranfiltrering.</w:t>
      </w:r>
    </w:p>
    <w:p w:rsidR="00515278" w:rsidRPr="00661D74" w:rsidRDefault="00515278" w:rsidP="00661D74">
      <w:pPr>
        <w:ind w:left="851"/>
        <w:rPr>
          <w:sz w:val="24"/>
          <w:szCs w:val="24"/>
        </w:rPr>
      </w:pPr>
    </w:p>
    <w:p w:rsidR="00515278" w:rsidRPr="00661D74" w:rsidRDefault="00515278" w:rsidP="00661D74">
      <w:pPr>
        <w:ind w:left="851"/>
        <w:rPr>
          <w:sz w:val="24"/>
          <w:szCs w:val="24"/>
        </w:rPr>
      </w:pPr>
      <w:proofErr w:type="spellStart"/>
      <w:r w:rsidRPr="00661D74">
        <w:rPr>
          <w:sz w:val="24"/>
          <w:szCs w:val="24"/>
        </w:rPr>
        <w:t>Cifoban</w:t>
      </w:r>
      <w:proofErr w:type="spellEnd"/>
      <w:r w:rsidRPr="00661D74">
        <w:rPr>
          <w:sz w:val="24"/>
          <w:szCs w:val="24"/>
        </w:rPr>
        <w:t xml:space="preserve"> er indiceret til voksne og børn i alle aldersgrupper (med undtagelse af præmature spædbørn).</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4.2</w:t>
      </w:r>
      <w:r w:rsidRPr="00661D74">
        <w:rPr>
          <w:b/>
          <w:sz w:val="24"/>
          <w:szCs w:val="24"/>
        </w:rPr>
        <w:tab/>
        <w:t>Dosering og</w:t>
      </w:r>
      <w:r w:rsidR="009421F2">
        <w:rPr>
          <w:b/>
          <w:sz w:val="24"/>
          <w:szCs w:val="24"/>
        </w:rPr>
        <w:t xml:space="preserve"> administration</w:t>
      </w:r>
    </w:p>
    <w:p w:rsidR="009421F2" w:rsidRPr="00661D74" w:rsidRDefault="009421F2" w:rsidP="009421F2">
      <w:pPr>
        <w:ind w:left="851"/>
        <w:rPr>
          <w:iCs/>
          <w:sz w:val="24"/>
          <w:szCs w:val="24"/>
        </w:rPr>
      </w:pPr>
      <w:proofErr w:type="spellStart"/>
      <w:r w:rsidRPr="00661D74">
        <w:rPr>
          <w:rStyle w:val="Fremhv"/>
          <w:i w:val="0"/>
          <w:iCs w:val="0"/>
          <w:sz w:val="24"/>
          <w:szCs w:val="24"/>
        </w:rPr>
        <w:t>Cifoban</w:t>
      </w:r>
      <w:proofErr w:type="spellEnd"/>
      <w:r w:rsidRPr="00661D74">
        <w:rPr>
          <w:rStyle w:val="Fremhv"/>
          <w:i w:val="0"/>
          <w:iCs w:val="0"/>
          <w:sz w:val="24"/>
          <w:szCs w:val="24"/>
        </w:rPr>
        <w:t xml:space="preserve"> må kun ordineres af en læge med erfaring i anvendelsen af</w:t>
      </w:r>
      <w:r w:rsidRPr="00661D74">
        <w:rPr>
          <w:sz w:val="24"/>
          <w:szCs w:val="24"/>
        </w:rPr>
        <w:t xml:space="preserve"> </w:t>
      </w:r>
      <w:r w:rsidRPr="00661D74">
        <w:rPr>
          <w:rStyle w:val="Fremhv"/>
          <w:i w:val="0"/>
          <w:iCs w:val="0"/>
          <w:sz w:val="24"/>
          <w:szCs w:val="24"/>
        </w:rPr>
        <w:t xml:space="preserve">citratantikoagulation i forbindelse med de specifikke behandlingstyper </w:t>
      </w:r>
      <w:r w:rsidRPr="00661D74">
        <w:rPr>
          <w:iCs/>
          <w:sz w:val="24"/>
          <w:szCs w:val="24"/>
        </w:rPr>
        <w:t xml:space="preserve">CVVHD, CVVHDF, SLEDD og/eller TPE. I den pædiatriske population </w:t>
      </w:r>
      <w:r>
        <w:rPr>
          <w:iCs/>
          <w:sz w:val="24"/>
          <w:szCs w:val="24"/>
        </w:rPr>
        <w:t>må</w:t>
      </w:r>
      <w:r w:rsidRPr="00661D74">
        <w:rPr>
          <w:iCs/>
          <w:sz w:val="24"/>
          <w:szCs w:val="24"/>
        </w:rPr>
        <w:t xml:space="preserve"> </w:t>
      </w:r>
      <w:proofErr w:type="spellStart"/>
      <w:r w:rsidRPr="00661D74">
        <w:rPr>
          <w:iCs/>
          <w:sz w:val="24"/>
          <w:szCs w:val="24"/>
        </w:rPr>
        <w:t>Cifoban</w:t>
      </w:r>
      <w:proofErr w:type="spellEnd"/>
      <w:r w:rsidRPr="00661D74">
        <w:rPr>
          <w:iCs/>
          <w:sz w:val="24"/>
          <w:szCs w:val="24"/>
        </w:rPr>
        <w:t xml:space="preserve"> </w:t>
      </w:r>
      <w:r>
        <w:rPr>
          <w:iCs/>
          <w:sz w:val="24"/>
          <w:szCs w:val="24"/>
        </w:rPr>
        <w:t xml:space="preserve">kun </w:t>
      </w:r>
      <w:r w:rsidRPr="00661D74">
        <w:rPr>
          <w:iCs/>
          <w:sz w:val="24"/>
          <w:szCs w:val="24"/>
        </w:rPr>
        <w:t xml:space="preserve">ordineres og monitoreres af en læge med </w:t>
      </w:r>
      <w:r w:rsidRPr="00661D74">
        <w:rPr>
          <w:rStyle w:val="Fremhv"/>
          <w:i w:val="0"/>
          <w:iCs w:val="0"/>
          <w:sz w:val="24"/>
          <w:szCs w:val="24"/>
        </w:rPr>
        <w:t>erfaring i anvendelsen af førnævnte behandlingstyper hos børn.</w:t>
      </w:r>
    </w:p>
    <w:p w:rsidR="009421F2" w:rsidRPr="00661D74" w:rsidRDefault="009421F2" w:rsidP="009421F2">
      <w:pPr>
        <w:ind w:left="851"/>
        <w:rPr>
          <w:iCs/>
          <w:sz w:val="24"/>
          <w:szCs w:val="24"/>
        </w:rPr>
      </w:pPr>
    </w:p>
    <w:p w:rsidR="009421F2" w:rsidRPr="00661D74" w:rsidRDefault="009421F2" w:rsidP="009421F2">
      <w:pPr>
        <w:ind w:left="851"/>
        <w:rPr>
          <w:sz w:val="24"/>
          <w:szCs w:val="24"/>
          <w:u w:val="single"/>
        </w:rPr>
      </w:pPr>
      <w:r w:rsidRPr="00661D74">
        <w:rPr>
          <w:sz w:val="24"/>
          <w:szCs w:val="24"/>
          <w:u w:val="single"/>
        </w:rPr>
        <w:t>Dosering</w:t>
      </w:r>
    </w:p>
    <w:p w:rsidR="009421F2" w:rsidRPr="00661D74" w:rsidRDefault="009421F2" w:rsidP="009421F2">
      <w:pPr>
        <w:ind w:left="851"/>
        <w:rPr>
          <w:bCs/>
          <w:iCs/>
          <w:sz w:val="24"/>
          <w:szCs w:val="24"/>
        </w:rPr>
      </w:pPr>
    </w:p>
    <w:p w:rsidR="009421F2" w:rsidRPr="00661D74" w:rsidRDefault="009421F2" w:rsidP="009421F2">
      <w:pPr>
        <w:ind w:left="851"/>
        <w:rPr>
          <w:b/>
          <w:bCs/>
          <w:i/>
          <w:iCs/>
          <w:sz w:val="24"/>
          <w:szCs w:val="24"/>
        </w:rPr>
      </w:pPr>
      <w:r w:rsidRPr="00661D74">
        <w:rPr>
          <w:b/>
          <w:bCs/>
          <w:i/>
          <w:iCs/>
          <w:sz w:val="24"/>
          <w:szCs w:val="24"/>
        </w:rPr>
        <w:t>Voksne</w:t>
      </w:r>
    </w:p>
    <w:p w:rsidR="009421F2" w:rsidRPr="00661D74" w:rsidRDefault="009421F2" w:rsidP="009421F2">
      <w:pPr>
        <w:ind w:left="851"/>
        <w:rPr>
          <w:sz w:val="24"/>
          <w:szCs w:val="24"/>
        </w:rPr>
      </w:pPr>
      <w:r w:rsidRPr="00661D74">
        <w:rPr>
          <w:sz w:val="24"/>
          <w:szCs w:val="24"/>
        </w:rPr>
        <w:t xml:space="preserve">Infusionshastighed for </w:t>
      </w:r>
      <w:proofErr w:type="spellStart"/>
      <w:r w:rsidRPr="00661D74">
        <w:rPr>
          <w:sz w:val="24"/>
          <w:szCs w:val="24"/>
        </w:rPr>
        <w:t>Cifoban</w:t>
      </w:r>
      <w:proofErr w:type="spellEnd"/>
      <w:r w:rsidRPr="00661D74">
        <w:rPr>
          <w:sz w:val="24"/>
          <w:szCs w:val="24"/>
        </w:rPr>
        <w:t xml:space="preserve"> før filteret </w:t>
      </w:r>
      <w:r>
        <w:rPr>
          <w:sz w:val="24"/>
          <w:szCs w:val="24"/>
        </w:rPr>
        <w:t>skal</w:t>
      </w:r>
      <w:r w:rsidRPr="00661D74">
        <w:rPr>
          <w:sz w:val="24"/>
          <w:szCs w:val="24"/>
        </w:rPr>
        <w:t xml:space="preserve"> titreres proportionalt med blodgennem</w:t>
      </w:r>
      <w:r>
        <w:rPr>
          <w:sz w:val="24"/>
          <w:szCs w:val="24"/>
        </w:rPr>
        <w:softHyphen/>
      </w:r>
      <w:r w:rsidRPr="00661D74">
        <w:rPr>
          <w:sz w:val="24"/>
          <w:szCs w:val="24"/>
        </w:rPr>
        <w:t xml:space="preserve">strømningshastigheden i det </w:t>
      </w:r>
      <w:proofErr w:type="spellStart"/>
      <w:r w:rsidRPr="00661D74">
        <w:rPr>
          <w:sz w:val="24"/>
          <w:szCs w:val="24"/>
        </w:rPr>
        <w:t>ekstrakorporale</w:t>
      </w:r>
      <w:proofErr w:type="spellEnd"/>
      <w:r w:rsidRPr="00661D74">
        <w:rPr>
          <w:sz w:val="24"/>
          <w:szCs w:val="24"/>
        </w:rPr>
        <w:t xml:space="preserve"> kredsløb med henblik på at holde mængden af ioniseret calcium tilstrækkeligt nede i blodet i filteret i henhold til RCA-protokol. Der </w:t>
      </w:r>
      <w:r>
        <w:rPr>
          <w:sz w:val="24"/>
          <w:szCs w:val="24"/>
        </w:rPr>
        <w:t>skal</w:t>
      </w:r>
      <w:r w:rsidRPr="00661D74">
        <w:rPr>
          <w:sz w:val="24"/>
          <w:szCs w:val="24"/>
        </w:rPr>
        <w:t xml:space="preserve"> generelt tilstræbes en </w:t>
      </w:r>
      <w:proofErr w:type="gramStart"/>
      <w:r w:rsidRPr="00661D74">
        <w:rPr>
          <w:sz w:val="24"/>
          <w:szCs w:val="24"/>
        </w:rPr>
        <w:t>post-filter målkoncentration</w:t>
      </w:r>
      <w:proofErr w:type="gramEnd"/>
      <w:r w:rsidRPr="00661D74">
        <w:rPr>
          <w:sz w:val="24"/>
          <w:szCs w:val="24"/>
        </w:rPr>
        <w:t xml:space="preserve"> af ioniseret calcium på under 0,3-0,35 mmol/l. Dette opnås sædvanligvis med en dosis på 4-5 mmol citrat pr. liter behandlet blod. Den nødvendige gennemstrømningshastighed for </w:t>
      </w:r>
      <w:proofErr w:type="spellStart"/>
      <w:r w:rsidRPr="00661D74">
        <w:rPr>
          <w:sz w:val="24"/>
          <w:szCs w:val="24"/>
        </w:rPr>
        <w:t>Cifoban</w:t>
      </w:r>
      <w:proofErr w:type="spellEnd"/>
      <w:r w:rsidRPr="00661D74">
        <w:rPr>
          <w:sz w:val="24"/>
          <w:szCs w:val="24"/>
        </w:rPr>
        <w:t xml:space="preserve"> (i ml/min) beregnes ved at multiplicere den påtænkte citrat-dosis med blodgennemstrømningshastigheden (i ml/min) og herefter dividere med 136 mmol/l (dvs. koncentrationen af citrat i </w:t>
      </w:r>
      <w:proofErr w:type="spellStart"/>
      <w:r w:rsidRPr="00661D74">
        <w:rPr>
          <w:sz w:val="24"/>
          <w:szCs w:val="24"/>
        </w:rPr>
        <w:t>Cifoban</w:t>
      </w:r>
      <w:proofErr w:type="spellEnd"/>
      <w:r w:rsidRPr="00661D74">
        <w:rPr>
          <w:sz w:val="24"/>
          <w:szCs w:val="24"/>
        </w:rPr>
        <w:t>). Patientens systemiske koncentration af ioniseret calcium skal holdes inden for det normale fysiologiske område, hvilket almindeligvis kræver calciumtilskud.</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Det anvendte </w:t>
      </w:r>
      <w:proofErr w:type="spellStart"/>
      <w:r w:rsidRPr="00661D74">
        <w:rPr>
          <w:sz w:val="24"/>
          <w:szCs w:val="24"/>
        </w:rPr>
        <w:t>Cifoban</w:t>
      </w:r>
      <w:proofErr w:type="spellEnd"/>
      <w:r w:rsidRPr="00661D74">
        <w:rPr>
          <w:sz w:val="24"/>
          <w:szCs w:val="24"/>
        </w:rPr>
        <w:t xml:space="preserve">-volumen til voksne patienter </w:t>
      </w:r>
      <w:r>
        <w:rPr>
          <w:sz w:val="24"/>
          <w:szCs w:val="24"/>
        </w:rPr>
        <w:t>må</w:t>
      </w:r>
      <w:r w:rsidRPr="00661D74">
        <w:rPr>
          <w:sz w:val="24"/>
          <w:szCs w:val="24"/>
        </w:rPr>
        <w:t xml:space="preserve"> ikke overstige 10,4 liter/dag. Den </w:t>
      </w:r>
      <w:proofErr w:type="spellStart"/>
      <w:r w:rsidRPr="00661D74">
        <w:rPr>
          <w:sz w:val="24"/>
          <w:szCs w:val="24"/>
        </w:rPr>
        <w:t>ekstrakorporale</w:t>
      </w:r>
      <w:proofErr w:type="spellEnd"/>
      <w:r w:rsidRPr="00661D74">
        <w:rPr>
          <w:sz w:val="24"/>
          <w:szCs w:val="24"/>
        </w:rPr>
        <w:t xml:space="preserve"> blodgennemstrømningshastighed </w:t>
      </w:r>
      <w:r>
        <w:rPr>
          <w:sz w:val="24"/>
          <w:szCs w:val="24"/>
        </w:rPr>
        <w:t>skal</w:t>
      </w:r>
      <w:r w:rsidRPr="00661D74">
        <w:rPr>
          <w:sz w:val="24"/>
          <w:szCs w:val="24"/>
        </w:rPr>
        <w:t xml:space="preserve"> være tilstrækkelig høj til at nå behandlingsmålet, men </w:t>
      </w:r>
      <w:r>
        <w:rPr>
          <w:sz w:val="24"/>
          <w:szCs w:val="24"/>
        </w:rPr>
        <w:t>skal</w:t>
      </w:r>
      <w:r w:rsidRPr="00661D74">
        <w:rPr>
          <w:sz w:val="24"/>
          <w:szCs w:val="24"/>
        </w:rPr>
        <w:t xml:space="preserve"> holdes tilstrækkelig lav til at undgå unødvendig citratinfusion og fremme </w:t>
      </w:r>
      <w:proofErr w:type="spellStart"/>
      <w:r w:rsidRPr="00661D74">
        <w:rPr>
          <w:i/>
          <w:iCs/>
          <w:sz w:val="24"/>
          <w:szCs w:val="24"/>
        </w:rPr>
        <w:t>clearance</w:t>
      </w:r>
      <w:proofErr w:type="spellEnd"/>
      <w:r w:rsidRPr="00661D74">
        <w:rPr>
          <w:sz w:val="24"/>
          <w:szCs w:val="24"/>
        </w:rPr>
        <w:t xml:space="preserve"> af citrat i filteret. Dette mindsker risikoen for at få en for stor mængde citrat og for citrat-akkumulering (se pkt. 4.4). Højere blodgennemstrømnings</w:t>
      </w:r>
      <w:r>
        <w:rPr>
          <w:sz w:val="24"/>
          <w:szCs w:val="24"/>
        </w:rPr>
        <w:softHyphen/>
      </w:r>
      <w:r w:rsidRPr="00661D74">
        <w:rPr>
          <w:sz w:val="24"/>
          <w:szCs w:val="24"/>
        </w:rPr>
        <w:t xml:space="preserve">hastighed kombineret med en lavere dosis </w:t>
      </w:r>
      <w:proofErr w:type="spellStart"/>
      <w:r w:rsidRPr="00661D74">
        <w:rPr>
          <w:sz w:val="24"/>
          <w:szCs w:val="24"/>
        </w:rPr>
        <w:t>Cifoban</w:t>
      </w:r>
      <w:proofErr w:type="spellEnd"/>
      <w:r w:rsidRPr="00661D74">
        <w:rPr>
          <w:sz w:val="24"/>
          <w:szCs w:val="24"/>
        </w:rPr>
        <w:t xml:space="preserve"> kan mindske filterets permeabilitet unødvendigt. Med hensyn til sammensætningen af dialysevæsker og substitutionsvæsker bør det overvejes at anvende calciumfrie væsker og væsker med lavt natriumindhold og lavt </w:t>
      </w:r>
      <w:proofErr w:type="spellStart"/>
      <w:r w:rsidRPr="00661D74">
        <w:rPr>
          <w:sz w:val="24"/>
          <w:szCs w:val="24"/>
        </w:rPr>
        <w:t>bicarbonatindhold</w:t>
      </w:r>
      <w:proofErr w:type="spellEnd"/>
      <w:r w:rsidRPr="00661D74">
        <w:rPr>
          <w:sz w:val="24"/>
          <w:szCs w:val="24"/>
        </w:rPr>
        <w:t xml:space="preserve"> inden for den indicerede behandlingsprotokol. D</w:t>
      </w:r>
      <w:r>
        <w:rPr>
          <w:sz w:val="24"/>
          <w:szCs w:val="24"/>
        </w:rPr>
        <w:t>et anbefales, at d</w:t>
      </w:r>
      <w:r w:rsidRPr="00661D74">
        <w:rPr>
          <w:sz w:val="24"/>
          <w:szCs w:val="24"/>
        </w:rPr>
        <w:t xml:space="preserve">isse vælges med tanke på </w:t>
      </w:r>
      <w:proofErr w:type="spellStart"/>
      <w:r w:rsidRPr="00661D74">
        <w:rPr>
          <w:sz w:val="24"/>
          <w:szCs w:val="24"/>
        </w:rPr>
        <w:t>Cifobans</w:t>
      </w:r>
      <w:proofErr w:type="spellEnd"/>
      <w:r w:rsidRPr="00661D74">
        <w:rPr>
          <w:sz w:val="24"/>
          <w:szCs w:val="24"/>
        </w:rPr>
        <w:t xml:space="preserve"> bidrag af natrium og buffer og i henhold til behandlingsprotokollen. </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En calciumfri dialysevæske </w:t>
      </w:r>
      <w:r>
        <w:rPr>
          <w:sz w:val="24"/>
          <w:szCs w:val="24"/>
        </w:rPr>
        <w:t>skal</w:t>
      </w:r>
      <w:r w:rsidRPr="00661D74">
        <w:rPr>
          <w:sz w:val="24"/>
          <w:szCs w:val="24"/>
        </w:rPr>
        <w:t xml:space="preserve"> især overvejes ved kontinuerlig behandling. En calciumholdig dialysevæske kan overvejes i forbindelse med SLEDD i tilfælde, hvor en passende calciumfri dialysevæske ikke er tilgængelig. I dette tilfælde kan en højere post-filterkoncentration af ioniseret calciumkoncentration være acceptabel set i lyset af den forholdsvise korte behandlingsperiode. Alternativt kan </w:t>
      </w:r>
      <w:proofErr w:type="spellStart"/>
      <w:r w:rsidRPr="00661D74">
        <w:rPr>
          <w:sz w:val="24"/>
          <w:szCs w:val="24"/>
        </w:rPr>
        <w:t>Cifoban</w:t>
      </w:r>
      <w:proofErr w:type="spellEnd"/>
      <w:r w:rsidRPr="00661D74">
        <w:rPr>
          <w:sz w:val="24"/>
          <w:szCs w:val="24"/>
        </w:rPr>
        <w:t xml:space="preserve"> doseres til en højere koncentration pr. liter behandlet blod. En højere post-filterkoncentration af ioniseret calcium kan ligeledes være hensigtsmæssig i forbindelse med TPE, især hvis substitutionsvæsken indeholder citrat (se pkt. 4.4). </w:t>
      </w:r>
      <w:proofErr w:type="spellStart"/>
      <w:r w:rsidRPr="00661D74">
        <w:rPr>
          <w:sz w:val="24"/>
          <w:szCs w:val="24"/>
        </w:rPr>
        <w:t>Cifoban</w:t>
      </w:r>
      <w:proofErr w:type="spellEnd"/>
      <w:r w:rsidRPr="00661D74">
        <w:rPr>
          <w:sz w:val="24"/>
          <w:szCs w:val="24"/>
        </w:rPr>
        <w:t xml:space="preserve"> </w:t>
      </w:r>
      <w:r>
        <w:rPr>
          <w:sz w:val="24"/>
          <w:szCs w:val="24"/>
        </w:rPr>
        <w:t>skal</w:t>
      </w:r>
      <w:r w:rsidRPr="00661D74">
        <w:rPr>
          <w:sz w:val="24"/>
          <w:szCs w:val="24"/>
        </w:rPr>
        <w:t xml:space="preserve"> i så fald doseres til en lavere koncentration pr. liter behandlet blod.</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Ved anvendelse i kombination med calciumfri dialysevæske under CVVHD eller CVVHDF med et natriumindhold på 133 mmol/l og et </w:t>
      </w:r>
      <w:proofErr w:type="spellStart"/>
      <w:r w:rsidRPr="00661D74">
        <w:rPr>
          <w:sz w:val="24"/>
          <w:szCs w:val="24"/>
        </w:rPr>
        <w:t>bicarbonatindhold</w:t>
      </w:r>
      <w:proofErr w:type="spellEnd"/>
      <w:r w:rsidRPr="00661D74">
        <w:rPr>
          <w:sz w:val="24"/>
          <w:szCs w:val="24"/>
        </w:rPr>
        <w:t xml:space="preserve"> på 20 mmol/l </w:t>
      </w:r>
      <w:r>
        <w:rPr>
          <w:sz w:val="24"/>
          <w:szCs w:val="24"/>
        </w:rPr>
        <w:t>skal</w:t>
      </w:r>
      <w:r w:rsidRPr="00661D74">
        <w:rPr>
          <w:sz w:val="24"/>
          <w:szCs w:val="24"/>
        </w:rPr>
        <w:t xml:space="preserve"> mængden af citrat, der tilsættes blodet inden dialysefilteret, have en målkoncentration </w:t>
      </w:r>
      <w:r w:rsidRPr="00661D74">
        <w:rPr>
          <w:sz w:val="24"/>
          <w:szCs w:val="24"/>
        </w:rPr>
        <w:lastRenderedPageBreak/>
        <w:t>på henholdsvis 3-5 mmol/l blod under CVVHD og 3-5,5 mmol/l blod under CVVHDF. Lignende retningslinjer for dosering kan være gældende for andre behandlingsprotokoller.</w:t>
      </w:r>
    </w:p>
    <w:p w:rsidR="009421F2" w:rsidRPr="00661D74" w:rsidRDefault="009421F2" w:rsidP="009421F2">
      <w:pPr>
        <w:ind w:left="851"/>
        <w:rPr>
          <w:sz w:val="24"/>
          <w:szCs w:val="24"/>
        </w:rPr>
      </w:pPr>
    </w:p>
    <w:p w:rsidR="009421F2" w:rsidRPr="00661D74" w:rsidRDefault="009421F2" w:rsidP="009421F2">
      <w:pPr>
        <w:ind w:left="851"/>
        <w:rPr>
          <w:b/>
          <w:bCs/>
          <w:i/>
          <w:iCs/>
          <w:sz w:val="24"/>
          <w:szCs w:val="24"/>
        </w:rPr>
      </w:pPr>
      <w:r w:rsidRPr="00661D74">
        <w:rPr>
          <w:b/>
          <w:bCs/>
          <w:i/>
          <w:iCs/>
          <w:sz w:val="24"/>
          <w:szCs w:val="24"/>
        </w:rPr>
        <w:t>Særlige populationer</w:t>
      </w:r>
    </w:p>
    <w:p w:rsidR="009421F2" w:rsidRPr="00661D74" w:rsidRDefault="009421F2" w:rsidP="009421F2">
      <w:pPr>
        <w:ind w:left="851"/>
        <w:rPr>
          <w:sz w:val="24"/>
          <w:szCs w:val="24"/>
        </w:rPr>
      </w:pPr>
    </w:p>
    <w:p w:rsidR="009421F2" w:rsidRPr="00661D74" w:rsidRDefault="009421F2" w:rsidP="009421F2">
      <w:pPr>
        <w:ind w:left="851"/>
        <w:rPr>
          <w:i/>
          <w:iCs/>
          <w:sz w:val="24"/>
          <w:szCs w:val="24"/>
        </w:rPr>
      </w:pPr>
      <w:r w:rsidRPr="00661D74">
        <w:rPr>
          <w:i/>
          <w:iCs/>
          <w:sz w:val="24"/>
          <w:szCs w:val="24"/>
        </w:rPr>
        <w:t xml:space="preserve">Patienter med nedsat </w:t>
      </w:r>
      <w:proofErr w:type="spellStart"/>
      <w:r w:rsidRPr="00661D74">
        <w:rPr>
          <w:i/>
          <w:iCs/>
          <w:sz w:val="24"/>
          <w:szCs w:val="24"/>
        </w:rPr>
        <w:t>metabolisering</w:t>
      </w:r>
      <w:proofErr w:type="spellEnd"/>
      <w:r w:rsidRPr="00661D74">
        <w:rPr>
          <w:i/>
          <w:iCs/>
          <w:sz w:val="24"/>
          <w:szCs w:val="24"/>
        </w:rPr>
        <w:t xml:space="preserve"> af citrat</w:t>
      </w:r>
    </w:p>
    <w:p w:rsidR="009421F2" w:rsidRPr="00661D74" w:rsidRDefault="009421F2" w:rsidP="009421F2">
      <w:pPr>
        <w:ind w:left="851"/>
        <w:rPr>
          <w:rStyle w:val="trns-org-res"/>
          <w:sz w:val="24"/>
          <w:szCs w:val="24"/>
        </w:rPr>
      </w:pPr>
      <w:proofErr w:type="spellStart"/>
      <w:r w:rsidRPr="00661D74">
        <w:rPr>
          <w:sz w:val="24"/>
          <w:szCs w:val="24"/>
        </w:rPr>
        <w:t>Cifoban</w:t>
      </w:r>
      <w:proofErr w:type="spellEnd"/>
      <w:r w:rsidRPr="00661D74">
        <w:rPr>
          <w:sz w:val="24"/>
          <w:szCs w:val="24"/>
        </w:rPr>
        <w:t xml:space="preserve"> kan anvendes til patienter med risiko for nedsat citrat-</w:t>
      </w:r>
      <w:proofErr w:type="spellStart"/>
      <w:r w:rsidRPr="00661D74">
        <w:rPr>
          <w:sz w:val="24"/>
          <w:szCs w:val="24"/>
        </w:rPr>
        <w:t>metabolisering</w:t>
      </w:r>
      <w:proofErr w:type="spellEnd"/>
      <w:r w:rsidRPr="00661D74">
        <w:rPr>
          <w:sz w:val="24"/>
          <w:szCs w:val="24"/>
        </w:rPr>
        <w:t xml:space="preserve"> (f.eks. </w:t>
      </w:r>
      <w:proofErr w:type="spellStart"/>
      <w:r w:rsidRPr="00661D74">
        <w:rPr>
          <w:sz w:val="24"/>
          <w:szCs w:val="24"/>
        </w:rPr>
        <w:t>shock</w:t>
      </w:r>
      <w:proofErr w:type="spellEnd"/>
      <w:r w:rsidRPr="00661D74">
        <w:rPr>
          <w:sz w:val="24"/>
          <w:szCs w:val="24"/>
        </w:rPr>
        <w:t xml:space="preserve"> med alvorlig </w:t>
      </w:r>
      <w:proofErr w:type="spellStart"/>
      <w:r w:rsidRPr="00661D74">
        <w:rPr>
          <w:rStyle w:val="trns-org-res"/>
          <w:sz w:val="24"/>
          <w:szCs w:val="24"/>
        </w:rPr>
        <w:t>laktatacidose</w:t>
      </w:r>
      <w:proofErr w:type="spellEnd"/>
      <w:r w:rsidRPr="00661D74">
        <w:rPr>
          <w:rStyle w:val="trns-org-res"/>
          <w:sz w:val="24"/>
          <w:szCs w:val="24"/>
        </w:rPr>
        <w:t xml:space="preserve"> eller alvorligt leversvigt).</w:t>
      </w:r>
    </w:p>
    <w:p w:rsidR="009421F2" w:rsidRPr="00661D74" w:rsidRDefault="009421F2" w:rsidP="009421F2">
      <w:pPr>
        <w:ind w:left="851"/>
        <w:rPr>
          <w:rStyle w:val="trns-org-res"/>
          <w:sz w:val="24"/>
          <w:szCs w:val="24"/>
        </w:rPr>
      </w:pPr>
    </w:p>
    <w:p w:rsidR="009421F2" w:rsidRPr="00661D74" w:rsidRDefault="009421F2" w:rsidP="009421F2">
      <w:pPr>
        <w:ind w:left="851"/>
        <w:rPr>
          <w:rStyle w:val="trns-org-res"/>
          <w:sz w:val="24"/>
          <w:szCs w:val="24"/>
        </w:rPr>
      </w:pPr>
      <w:r w:rsidRPr="00661D74">
        <w:rPr>
          <w:rStyle w:val="trns-org-res"/>
          <w:sz w:val="24"/>
          <w:szCs w:val="24"/>
        </w:rPr>
        <w:t xml:space="preserve">Behandlingen </w:t>
      </w:r>
      <w:r>
        <w:rPr>
          <w:rStyle w:val="trns-org-res"/>
          <w:sz w:val="24"/>
          <w:szCs w:val="24"/>
        </w:rPr>
        <w:t>skal</w:t>
      </w:r>
      <w:r w:rsidRPr="00661D74">
        <w:rPr>
          <w:rStyle w:val="trns-org-res"/>
          <w:sz w:val="24"/>
          <w:szCs w:val="24"/>
        </w:rPr>
        <w:t xml:space="preserve"> indledes med en tilstrækkelig lav citrat-dosis.</w:t>
      </w:r>
    </w:p>
    <w:p w:rsidR="009421F2" w:rsidRPr="00661D74" w:rsidRDefault="009421F2" w:rsidP="009421F2">
      <w:pPr>
        <w:ind w:left="851"/>
        <w:rPr>
          <w:rStyle w:val="trns-org-res"/>
          <w:sz w:val="24"/>
          <w:szCs w:val="24"/>
        </w:rPr>
      </w:pPr>
    </w:p>
    <w:p w:rsidR="009421F2" w:rsidRPr="00661D74" w:rsidRDefault="009421F2" w:rsidP="009421F2">
      <w:pPr>
        <w:ind w:left="851"/>
        <w:rPr>
          <w:sz w:val="24"/>
          <w:szCs w:val="24"/>
        </w:rPr>
      </w:pPr>
      <w:r w:rsidRPr="00661D74">
        <w:rPr>
          <w:sz w:val="24"/>
          <w:szCs w:val="24"/>
        </w:rPr>
        <w:t>Ved CVVHD- eller CVVHDF-behandling med en blodgennemstrømningshastighed under 100-120 ml/min holdes citrat-belastningen generelt tilstrækkeligt nede. Dosering af citrat kan indledes med 4-5 mmol/l blod i henhold til behandlingsprotokollen og skal kun reduceres i tilfælde af eventuelle tydelige symptomer på citrat-akkumulering (se pkt. 4.4).</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Ved SLEDD-behandling med en blodgennemstrømningshastighed under ca. 150-200 ml/min, og en </w:t>
      </w:r>
      <w:proofErr w:type="spellStart"/>
      <w:r w:rsidRPr="00661D74">
        <w:rPr>
          <w:sz w:val="24"/>
          <w:szCs w:val="24"/>
        </w:rPr>
        <w:t>dialysat</w:t>
      </w:r>
      <w:proofErr w:type="spellEnd"/>
      <w:r w:rsidRPr="00661D74">
        <w:rPr>
          <w:sz w:val="24"/>
          <w:szCs w:val="24"/>
        </w:rPr>
        <w:t xml:space="preserve">-gennemstrømningshastighed på mindst det samme, samt en behandlingsvarighed på under 12 timer holdes patientens citrat-belastning generelt tilstrækkeligt nede. Hvis der anvendes et calciumholdigt </w:t>
      </w:r>
      <w:proofErr w:type="spellStart"/>
      <w:r w:rsidRPr="00661D74">
        <w:rPr>
          <w:sz w:val="24"/>
          <w:szCs w:val="24"/>
        </w:rPr>
        <w:t>dialysat</w:t>
      </w:r>
      <w:proofErr w:type="spellEnd"/>
      <w:r w:rsidRPr="00661D74">
        <w:rPr>
          <w:sz w:val="24"/>
          <w:szCs w:val="24"/>
        </w:rPr>
        <w:t xml:space="preserve"> kan doseringen med citrat indledes med op til 6-7 mmol/l blod i henhold til behandlingsprotokollen og skal kun reduceres i tilfælde af tydelige symptomer på citrat-akkumulering (se pkt. 4.4).</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Ved TPE-behandling er </w:t>
      </w:r>
      <w:proofErr w:type="spellStart"/>
      <w:r w:rsidRPr="00661D74">
        <w:rPr>
          <w:i/>
          <w:iCs/>
          <w:sz w:val="24"/>
          <w:szCs w:val="24"/>
        </w:rPr>
        <w:t>clearance</w:t>
      </w:r>
      <w:proofErr w:type="spellEnd"/>
      <w:r w:rsidRPr="00661D74">
        <w:rPr>
          <w:sz w:val="24"/>
          <w:szCs w:val="24"/>
        </w:rPr>
        <w:t xml:space="preserve"> i filteret generelt begrænset og forholdsvist lavere på grund af maksimalt acceptable filtreringsfraktioner. Citrat-eksponeringen kan øges yderligere ved anvendelse af frisk, frosset plasma (FFP) til plasmaudskiftningen. Blodgennemstrømningshastigheden bør ikke overstige 100-120 ml/min i forbindelse med plasmaudskiftning med FFP. Dosering af citrat kan indledes med 3-4 mmol/l blod i henhold til behandlingsprotokollen og skal kun reduceres i tilfælde af tydelige symptomer på citrat-akkumulering (se pkt. 4.4).</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I forbindelse med alle disse behandlinger anbefales skærpet monitorering for at forhindre, at der sker citrat-akkumulering (se pkt. 4.4).</w:t>
      </w:r>
    </w:p>
    <w:p w:rsidR="009421F2" w:rsidRPr="00661D74" w:rsidRDefault="009421F2" w:rsidP="009421F2">
      <w:pPr>
        <w:ind w:left="851"/>
        <w:rPr>
          <w:sz w:val="24"/>
          <w:szCs w:val="24"/>
        </w:rPr>
      </w:pPr>
    </w:p>
    <w:p w:rsidR="009421F2" w:rsidRPr="00661D74" w:rsidRDefault="009421F2" w:rsidP="009421F2">
      <w:pPr>
        <w:ind w:left="851"/>
        <w:rPr>
          <w:i/>
          <w:iCs/>
          <w:sz w:val="24"/>
          <w:szCs w:val="24"/>
        </w:rPr>
      </w:pPr>
      <w:r w:rsidRPr="00661D74">
        <w:rPr>
          <w:i/>
          <w:iCs/>
          <w:sz w:val="24"/>
          <w:szCs w:val="24"/>
        </w:rPr>
        <w:t>Ældre</w:t>
      </w:r>
    </w:p>
    <w:p w:rsidR="009421F2" w:rsidRPr="00661D74" w:rsidRDefault="009421F2" w:rsidP="009421F2">
      <w:pPr>
        <w:ind w:left="851"/>
        <w:rPr>
          <w:sz w:val="24"/>
          <w:szCs w:val="24"/>
        </w:rPr>
      </w:pPr>
      <w:r w:rsidRPr="00661D74">
        <w:rPr>
          <w:sz w:val="24"/>
          <w:szCs w:val="24"/>
        </w:rPr>
        <w:t xml:space="preserve">Hos ældre patienter er der risiko for nedsat </w:t>
      </w:r>
      <w:proofErr w:type="spellStart"/>
      <w:r w:rsidRPr="00661D74">
        <w:rPr>
          <w:sz w:val="24"/>
          <w:szCs w:val="24"/>
        </w:rPr>
        <w:t>metabolisering</w:t>
      </w:r>
      <w:proofErr w:type="spellEnd"/>
      <w:r w:rsidRPr="00661D74">
        <w:rPr>
          <w:sz w:val="24"/>
          <w:szCs w:val="24"/>
        </w:rPr>
        <w:t xml:space="preserve"> af citrat. Dosisreduktion er ikke nødvendig. Hyppig monitorering anbefales for at opdage citrat-akkumulering (se pkt. 4.4).</w:t>
      </w:r>
    </w:p>
    <w:p w:rsidR="009421F2" w:rsidRPr="00661D74" w:rsidRDefault="009421F2" w:rsidP="009421F2">
      <w:pPr>
        <w:ind w:left="851"/>
        <w:rPr>
          <w:sz w:val="24"/>
          <w:szCs w:val="24"/>
        </w:rPr>
      </w:pPr>
    </w:p>
    <w:p w:rsidR="009421F2" w:rsidRPr="00661D74" w:rsidRDefault="009421F2" w:rsidP="009421F2">
      <w:pPr>
        <w:ind w:left="851"/>
        <w:rPr>
          <w:b/>
          <w:bCs/>
          <w:i/>
          <w:sz w:val="24"/>
          <w:szCs w:val="24"/>
        </w:rPr>
      </w:pPr>
      <w:r w:rsidRPr="00661D74">
        <w:rPr>
          <w:b/>
          <w:bCs/>
          <w:i/>
          <w:sz w:val="24"/>
          <w:szCs w:val="24"/>
        </w:rPr>
        <w:t>Pædiatrisk population</w:t>
      </w:r>
    </w:p>
    <w:p w:rsidR="009421F2" w:rsidRPr="00661D74" w:rsidRDefault="009421F2" w:rsidP="009421F2">
      <w:pPr>
        <w:ind w:left="851"/>
        <w:rPr>
          <w:iCs/>
          <w:sz w:val="24"/>
          <w:szCs w:val="24"/>
        </w:rPr>
      </w:pPr>
    </w:p>
    <w:p w:rsidR="009421F2" w:rsidRPr="00661D74" w:rsidRDefault="009421F2" w:rsidP="009421F2">
      <w:pPr>
        <w:ind w:left="851"/>
        <w:rPr>
          <w:sz w:val="24"/>
          <w:szCs w:val="24"/>
        </w:rPr>
      </w:pPr>
      <w:proofErr w:type="spellStart"/>
      <w:r w:rsidRPr="00661D74">
        <w:rPr>
          <w:iCs/>
          <w:sz w:val="24"/>
          <w:szCs w:val="24"/>
        </w:rPr>
        <w:t>Cifobans</w:t>
      </w:r>
      <w:proofErr w:type="spellEnd"/>
      <w:r w:rsidRPr="00661D74">
        <w:rPr>
          <w:iCs/>
          <w:sz w:val="24"/>
          <w:szCs w:val="24"/>
        </w:rPr>
        <w:t xml:space="preserve"> sikkerhed og virkning hos præmature spædbørn er endnu ikke klarlagt. </w:t>
      </w:r>
      <w:r w:rsidRPr="00661D74">
        <w:rPr>
          <w:sz w:val="24"/>
          <w:szCs w:val="24"/>
        </w:rPr>
        <w:t>Der foreligger ingen data (se pkt. 4.4).</w:t>
      </w:r>
    </w:p>
    <w:p w:rsidR="009421F2" w:rsidRPr="00661D74" w:rsidRDefault="009421F2" w:rsidP="009421F2">
      <w:pPr>
        <w:ind w:left="851"/>
        <w:rPr>
          <w:sz w:val="24"/>
          <w:szCs w:val="24"/>
        </w:rPr>
      </w:pPr>
    </w:p>
    <w:p w:rsidR="009421F2" w:rsidRPr="00661D74" w:rsidRDefault="009421F2" w:rsidP="009421F2">
      <w:pPr>
        <w:ind w:left="851"/>
        <w:rPr>
          <w:sz w:val="24"/>
          <w:szCs w:val="24"/>
        </w:rPr>
      </w:pPr>
      <w:proofErr w:type="spellStart"/>
      <w:r w:rsidRPr="00661D74">
        <w:rPr>
          <w:sz w:val="24"/>
          <w:szCs w:val="24"/>
        </w:rPr>
        <w:t>Cifoban</w:t>
      </w:r>
      <w:proofErr w:type="spellEnd"/>
      <w:r w:rsidRPr="00661D74">
        <w:rPr>
          <w:sz w:val="24"/>
          <w:szCs w:val="24"/>
        </w:rPr>
        <w:t xml:space="preserve"> kan anvendes til børn i alle aldersgrupper (nyfødte op til unge) så længe patientens citrat-belastning holdes tilstrækkeligt lavt. Det skal bemærkes at der for de yngste patienter kun foreligger begrænsede data. Det anvendte udstyr skal understøtte anvendelse i den pædiatriske population ved den givne vægtgruppe samt den påkrævede langsomme blodgennemstrømningshastighed.</w:t>
      </w:r>
    </w:p>
    <w:p w:rsidR="009421F2" w:rsidRDefault="009421F2" w:rsidP="009421F2">
      <w:pPr>
        <w:rPr>
          <w:iCs/>
          <w:sz w:val="24"/>
          <w:szCs w:val="24"/>
        </w:rPr>
      </w:pPr>
      <w:r>
        <w:rPr>
          <w:iCs/>
          <w:sz w:val="24"/>
          <w:szCs w:val="24"/>
        </w:rPr>
        <w:br w:type="page"/>
      </w:r>
    </w:p>
    <w:p w:rsidR="009421F2" w:rsidRPr="00661D74" w:rsidRDefault="009421F2" w:rsidP="009421F2">
      <w:pPr>
        <w:ind w:left="851"/>
        <w:rPr>
          <w:iCs/>
          <w:sz w:val="24"/>
          <w:szCs w:val="24"/>
        </w:rPr>
      </w:pPr>
    </w:p>
    <w:p w:rsidR="009421F2" w:rsidRDefault="009421F2" w:rsidP="009421F2">
      <w:pPr>
        <w:ind w:left="851"/>
        <w:rPr>
          <w:i/>
          <w:iCs/>
          <w:sz w:val="24"/>
          <w:szCs w:val="24"/>
        </w:rPr>
      </w:pPr>
      <w:r w:rsidRPr="00661D74">
        <w:rPr>
          <w:i/>
          <w:iCs/>
          <w:sz w:val="24"/>
          <w:szCs w:val="24"/>
        </w:rPr>
        <w:t>Blodgennemstrømningshastighed og doseringsvejledning for citrat efter aldersklasse</w:t>
      </w:r>
    </w:p>
    <w:p w:rsidR="009421F2" w:rsidRPr="00661D74" w:rsidRDefault="009421F2" w:rsidP="009421F2">
      <w:pPr>
        <w:numPr>
          <w:ilvl w:val="0"/>
          <w:numId w:val="6"/>
        </w:numPr>
        <w:ind w:left="1276" w:hanging="425"/>
        <w:rPr>
          <w:sz w:val="24"/>
          <w:szCs w:val="24"/>
        </w:rPr>
      </w:pPr>
      <w:r w:rsidRPr="00661D74">
        <w:rPr>
          <w:sz w:val="24"/>
          <w:szCs w:val="24"/>
        </w:rPr>
        <w:t xml:space="preserve">Spædbørn og småbørn (0-23 måneder): hvis det anvendte udstyr kræver en blodgennemstrømningshastighed på 7-8 ml/kg/min (eller højere), </w:t>
      </w:r>
      <w:r>
        <w:rPr>
          <w:sz w:val="24"/>
          <w:szCs w:val="24"/>
        </w:rPr>
        <w:t>skal</w:t>
      </w:r>
      <w:r w:rsidRPr="00661D74">
        <w:rPr>
          <w:sz w:val="24"/>
          <w:szCs w:val="24"/>
        </w:rPr>
        <w:t xml:space="preserve"> dosering af citrat indledes med ca. 3 mmol/l blod. </w:t>
      </w:r>
    </w:p>
    <w:p w:rsidR="009421F2" w:rsidRPr="00661D74" w:rsidRDefault="009421F2" w:rsidP="009421F2">
      <w:pPr>
        <w:numPr>
          <w:ilvl w:val="0"/>
          <w:numId w:val="6"/>
        </w:numPr>
        <w:ind w:left="1276" w:hanging="425"/>
        <w:rPr>
          <w:sz w:val="24"/>
          <w:szCs w:val="24"/>
        </w:rPr>
      </w:pPr>
      <w:r w:rsidRPr="00661D74">
        <w:rPr>
          <w:sz w:val="24"/>
          <w:szCs w:val="24"/>
        </w:rPr>
        <w:t xml:space="preserve">Børn (2-11 år): blodgennemstrømningshastigheden </w:t>
      </w:r>
      <w:r>
        <w:rPr>
          <w:sz w:val="24"/>
          <w:szCs w:val="24"/>
        </w:rPr>
        <w:t>må</w:t>
      </w:r>
      <w:r w:rsidRPr="00661D74">
        <w:rPr>
          <w:sz w:val="24"/>
          <w:szCs w:val="24"/>
        </w:rPr>
        <w:t xml:space="preserve"> ikke overstige 5-6 ml/kg/min; dosering af citrat kan indledes med ca. 4 mmol/l blod i henhold til behandlingsprotokollen.</w:t>
      </w:r>
    </w:p>
    <w:p w:rsidR="009421F2" w:rsidRPr="00661D74" w:rsidRDefault="009421F2" w:rsidP="009421F2">
      <w:pPr>
        <w:numPr>
          <w:ilvl w:val="0"/>
          <w:numId w:val="6"/>
        </w:numPr>
        <w:ind w:left="1276" w:hanging="425"/>
        <w:rPr>
          <w:sz w:val="24"/>
          <w:szCs w:val="24"/>
        </w:rPr>
      </w:pPr>
      <w:r w:rsidRPr="00661D74">
        <w:rPr>
          <w:sz w:val="24"/>
          <w:szCs w:val="24"/>
        </w:rPr>
        <w:t xml:space="preserve">Unge (12-17 år): blodgennemstrømningshastigheden </w:t>
      </w:r>
      <w:r>
        <w:rPr>
          <w:sz w:val="24"/>
          <w:szCs w:val="24"/>
        </w:rPr>
        <w:t>skal</w:t>
      </w:r>
      <w:r w:rsidRPr="00661D74">
        <w:rPr>
          <w:sz w:val="24"/>
          <w:szCs w:val="24"/>
        </w:rPr>
        <w:t xml:space="preserve"> være tilstrækkelig til nå </w:t>
      </w:r>
      <w:proofErr w:type="spellStart"/>
      <w:r w:rsidRPr="00661D74">
        <w:rPr>
          <w:sz w:val="24"/>
          <w:szCs w:val="24"/>
        </w:rPr>
        <w:t>målområdet</w:t>
      </w:r>
      <w:proofErr w:type="spellEnd"/>
      <w:r w:rsidRPr="00661D74">
        <w:rPr>
          <w:sz w:val="24"/>
          <w:szCs w:val="24"/>
        </w:rPr>
        <w:t xml:space="preserve"> og </w:t>
      </w:r>
      <w:r>
        <w:rPr>
          <w:sz w:val="24"/>
          <w:szCs w:val="24"/>
        </w:rPr>
        <w:t>må</w:t>
      </w:r>
      <w:r w:rsidRPr="00661D74">
        <w:rPr>
          <w:sz w:val="24"/>
          <w:szCs w:val="24"/>
        </w:rPr>
        <w:t xml:space="preserve"> generelt ikke overstige blodgennemstrømningshastigheden hos voksne med tilsvarende legemsvægt. Dosering af citrat kan indledes med ca. 4 mmol/l blod i henhold til behandlingsprotokollen.</w:t>
      </w:r>
    </w:p>
    <w:p w:rsidR="009421F2" w:rsidRPr="00661D74" w:rsidRDefault="009421F2" w:rsidP="009421F2">
      <w:pPr>
        <w:ind w:left="851"/>
        <w:rPr>
          <w:iCs/>
          <w:sz w:val="24"/>
          <w:szCs w:val="24"/>
        </w:rPr>
      </w:pPr>
    </w:p>
    <w:p w:rsidR="009421F2" w:rsidRPr="00661D74" w:rsidRDefault="009421F2" w:rsidP="009421F2">
      <w:pPr>
        <w:ind w:left="851"/>
        <w:rPr>
          <w:iCs/>
          <w:sz w:val="24"/>
          <w:szCs w:val="24"/>
        </w:rPr>
      </w:pPr>
      <w:r w:rsidRPr="00661D74">
        <w:rPr>
          <w:iCs/>
          <w:sz w:val="24"/>
          <w:szCs w:val="24"/>
        </w:rPr>
        <w:t xml:space="preserve">Dosis af citrat skal reduceres i tilfælde af tydelige tegn på citrat-akkumulering (se pkt. 4.4). Ved </w:t>
      </w:r>
      <w:r w:rsidRPr="00661D74">
        <w:rPr>
          <w:sz w:val="24"/>
          <w:szCs w:val="24"/>
        </w:rPr>
        <w:t>CVVHD eller CVVHDF bør der generelt tilstræbes en post-</w:t>
      </w:r>
      <w:proofErr w:type="spellStart"/>
      <w:r w:rsidRPr="00661D74">
        <w:rPr>
          <w:sz w:val="24"/>
          <w:szCs w:val="24"/>
        </w:rPr>
        <w:t>filtermålkoncentration</w:t>
      </w:r>
      <w:proofErr w:type="spellEnd"/>
      <w:r w:rsidRPr="00661D74">
        <w:rPr>
          <w:sz w:val="24"/>
          <w:szCs w:val="24"/>
        </w:rPr>
        <w:t xml:space="preserve"> af ioniseret calcium på under 0,3-0,35 mmol/l, alt afhængig af den tiltænkte citrat-dosis.</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Skærpet monitering til forebyggelse af for stor mængde citrat og citrat-akkumulering (se pkt. 4.4) er nødvendig hos nyfødte og småbørn og anbefales hos børn og unge. Derudover henvises til ovenstående dosisanbefalinger hos patienter med nedsat </w:t>
      </w:r>
      <w:proofErr w:type="spellStart"/>
      <w:r w:rsidRPr="00661D74">
        <w:rPr>
          <w:sz w:val="24"/>
          <w:szCs w:val="24"/>
        </w:rPr>
        <w:t>metabolisering</w:t>
      </w:r>
      <w:proofErr w:type="spellEnd"/>
      <w:r w:rsidRPr="00661D74">
        <w:rPr>
          <w:sz w:val="24"/>
          <w:szCs w:val="24"/>
        </w:rPr>
        <w:t xml:space="preserve"> af citrat. For at begrænse patientens citrat-belastning er det nødvendigt med en moderat udskiftningshastighed, når udskiftning med frisk, frosset plasma er indiceret. Samtidig anbefales sideløbende calciumsubstitution for at holde koncentrationen af systemisk ioniseret calcium inden for normalområdet.</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Eksempler på maksimalt infusionsvolumen for nyfødte og unge på baggrund af legemsvægt er vist i nedenstående tabel. Det skal bemærkes, at det anvendte daglige volumen tydeligvis holder sig under de viste grænseværdier på grund af den ovenfornævnte moderate gennemstrømningshastighed. </w:t>
      </w:r>
    </w:p>
    <w:p w:rsidR="009421F2" w:rsidRPr="00661D74" w:rsidRDefault="009421F2" w:rsidP="009421F2">
      <w:pPr>
        <w:ind w:left="851"/>
        <w:rPr>
          <w:sz w:val="24"/>
          <w:szCs w:val="24"/>
        </w:rPr>
      </w:pPr>
    </w:p>
    <w:tbl>
      <w:tblPr>
        <w:tblW w:w="87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605"/>
      </w:tblGrid>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Legemsvægt (kg)</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Maksimal volumen (liter/dag)</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2,5</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1,6</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3</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1,9</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5</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2,2</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10</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3,2</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20</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4,9</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30</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6,4</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40</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8,5</w:t>
            </w:r>
          </w:p>
        </w:tc>
      </w:tr>
      <w:tr w:rsidR="009421F2" w:rsidRPr="00661D74" w:rsidTr="00F704D5">
        <w:tc>
          <w:tcPr>
            <w:tcW w:w="4111"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50 og derover</w:t>
            </w:r>
          </w:p>
        </w:tc>
        <w:tc>
          <w:tcPr>
            <w:tcW w:w="4605" w:type="dxa"/>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spacing w:line="260" w:lineRule="exact"/>
              <w:jc w:val="both"/>
              <w:rPr>
                <w:sz w:val="24"/>
                <w:szCs w:val="24"/>
              </w:rPr>
            </w:pPr>
            <w:r w:rsidRPr="00661D74">
              <w:rPr>
                <w:sz w:val="24"/>
                <w:szCs w:val="24"/>
              </w:rPr>
              <w:t>10,4</w:t>
            </w:r>
          </w:p>
        </w:tc>
      </w:tr>
    </w:tbl>
    <w:p w:rsidR="009421F2" w:rsidRPr="00661D74" w:rsidRDefault="009421F2" w:rsidP="009421F2">
      <w:pPr>
        <w:rPr>
          <w:iCs/>
          <w:sz w:val="24"/>
          <w:szCs w:val="24"/>
        </w:rPr>
      </w:pPr>
    </w:p>
    <w:p w:rsidR="009421F2" w:rsidRPr="00661D74" w:rsidRDefault="009421F2" w:rsidP="009421F2">
      <w:pPr>
        <w:ind w:left="851"/>
        <w:rPr>
          <w:sz w:val="24"/>
          <w:szCs w:val="24"/>
          <w:u w:val="single"/>
        </w:rPr>
      </w:pPr>
      <w:r w:rsidRPr="00661D74">
        <w:rPr>
          <w:sz w:val="24"/>
          <w:szCs w:val="24"/>
          <w:u w:val="single"/>
        </w:rPr>
        <w:t>Administration</w:t>
      </w:r>
    </w:p>
    <w:p w:rsidR="009421F2" w:rsidRPr="00661D74" w:rsidRDefault="009421F2" w:rsidP="009421F2">
      <w:pPr>
        <w:ind w:left="851"/>
        <w:rPr>
          <w:sz w:val="24"/>
          <w:szCs w:val="24"/>
          <w:u w:val="single"/>
        </w:rPr>
      </w:pPr>
    </w:p>
    <w:p w:rsidR="009421F2" w:rsidRPr="00661D74" w:rsidRDefault="009421F2" w:rsidP="009421F2">
      <w:pPr>
        <w:ind w:left="851"/>
        <w:rPr>
          <w:sz w:val="24"/>
          <w:szCs w:val="24"/>
        </w:rPr>
      </w:pPr>
      <w:r w:rsidRPr="00661D74">
        <w:rPr>
          <w:sz w:val="24"/>
          <w:szCs w:val="24"/>
        </w:rPr>
        <w:t xml:space="preserve">Ekstrakorporal anvendelse. Må kun indgives som infusion i det </w:t>
      </w:r>
      <w:proofErr w:type="spellStart"/>
      <w:r w:rsidRPr="00661D74">
        <w:rPr>
          <w:sz w:val="24"/>
          <w:szCs w:val="24"/>
        </w:rPr>
        <w:t>ekstrakorporale</w:t>
      </w:r>
      <w:proofErr w:type="spellEnd"/>
      <w:r w:rsidRPr="00661D74">
        <w:rPr>
          <w:sz w:val="24"/>
          <w:szCs w:val="24"/>
        </w:rPr>
        <w:t xml:space="preserve"> blodkredsløb.</w:t>
      </w:r>
    </w:p>
    <w:p w:rsidR="009421F2" w:rsidRPr="00661D74" w:rsidRDefault="009421F2" w:rsidP="009421F2">
      <w:pPr>
        <w:ind w:left="851"/>
        <w:rPr>
          <w:sz w:val="24"/>
          <w:szCs w:val="24"/>
        </w:rPr>
      </w:pPr>
    </w:p>
    <w:p w:rsidR="009421F2" w:rsidRPr="00661D74" w:rsidRDefault="009421F2" w:rsidP="009421F2">
      <w:pPr>
        <w:autoSpaceDE w:val="0"/>
        <w:autoSpaceDN w:val="0"/>
        <w:adjustRightInd w:val="0"/>
        <w:ind w:left="851"/>
        <w:rPr>
          <w:sz w:val="24"/>
          <w:szCs w:val="24"/>
        </w:rPr>
      </w:pPr>
      <w:r w:rsidRPr="00661D74">
        <w:rPr>
          <w:sz w:val="24"/>
          <w:szCs w:val="24"/>
        </w:rPr>
        <w:t xml:space="preserve">Infusion må kun ske med en integreret pumpe i det </w:t>
      </w:r>
      <w:proofErr w:type="spellStart"/>
      <w:r w:rsidRPr="00661D74">
        <w:rPr>
          <w:sz w:val="24"/>
          <w:szCs w:val="24"/>
        </w:rPr>
        <w:t>ekstrakorporale</w:t>
      </w:r>
      <w:proofErr w:type="spellEnd"/>
      <w:r w:rsidRPr="00661D74">
        <w:rPr>
          <w:sz w:val="24"/>
          <w:szCs w:val="24"/>
        </w:rPr>
        <w:t xml:space="preserve"> blodrensningsapparat, som af fremstilleren er tiltænkt infusion af en koncentreret citratopløsning i præ-pumpedelen af slangesystemet (blodbane-adgangen). Dette skal mindste risikoen for eventuel utilsigtet overdosering (se pkt. 4.9). Blodrensningsapparatet skal ligeledes fjerne </w:t>
      </w:r>
      <w:proofErr w:type="spellStart"/>
      <w:r w:rsidRPr="00661D74">
        <w:rPr>
          <w:sz w:val="24"/>
          <w:szCs w:val="24"/>
        </w:rPr>
        <w:t>Cifobans</w:t>
      </w:r>
      <w:proofErr w:type="spellEnd"/>
      <w:r w:rsidRPr="00661D74">
        <w:rPr>
          <w:sz w:val="24"/>
          <w:szCs w:val="24"/>
        </w:rPr>
        <w:t xml:space="preserve"> volumenbidrag med udløbsvæsken for derved at forhindre væskeophobning (se pkt. 4.8).</w:t>
      </w:r>
    </w:p>
    <w:p w:rsidR="009421F2" w:rsidRPr="00661D74" w:rsidRDefault="009421F2" w:rsidP="009421F2">
      <w:pPr>
        <w:autoSpaceDE w:val="0"/>
        <w:autoSpaceDN w:val="0"/>
        <w:adjustRightInd w:val="0"/>
        <w:ind w:left="851"/>
        <w:jc w:val="both"/>
        <w:rPr>
          <w:sz w:val="24"/>
          <w:szCs w:val="24"/>
        </w:rPr>
      </w:pPr>
    </w:p>
    <w:p w:rsidR="009421F2" w:rsidRPr="00661D74" w:rsidRDefault="009421F2" w:rsidP="009421F2">
      <w:pPr>
        <w:autoSpaceDE w:val="0"/>
        <w:autoSpaceDN w:val="0"/>
        <w:adjustRightInd w:val="0"/>
        <w:ind w:left="851"/>
        <w:rPr>
          <w:sz w:val="24"/>
          <w:szCs w:val="24"/>
        </w:rPr>
      </w:pPr>
      <w:r w:rsidRPr="00661D74">
        <w:rPr>
          <w:sz w:val="24"/>
          <w:szCs w:val="24"/>
        </w:rPr>
        <w:t>De særlige advarsler og forsigtighedsregler vedrørende brugen i pkt. 4.4 skal tages i betragtning, især med hensyn til monitorering og behov for yderligere substitutionsvæsker.</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Yderligere information:</w:t>
      </w:r>
    </w:p>
    <w:p w:rsidR="009421F2" w:rsidRPr="00661D74" w:rsidRDefault="009421F2" w:rsidP="009421F2">
      <w:pPr>
        <w:numPr>
          <w:ilvl w:val="0"/>
          <w:numId w:val="7"/>
        </w:numPr>
        <w:tabs>
          <w:tab w:val="clear" w:pos="720"/>
        </w:tabs>
        <w:ind w:left="1276" w:hanging="425"/>
        <w:rPr>
          <w:sz w:val="24"/>
          <w:szCs w:val="24"/>
        </w:rPr>
      </w:pPr>
      <w:proofErr w:type="spellStart"/>
      <w:r w:rsidRPr="00661D74">
        <w:rPr>
          <w:rStyle w:val="Fremhv"/>
          <w:i w:val="0"/>
          <w:iCs w:val="0"/>
          <w:sz w:val="24"/>
          <w:szCs w:val="24"/>
        </w:rPr>
        <w:t>Cifoban</w:t>
      </w:r>
      <w:proofErr w:type="spellEnd"/>
      <w:r w:rsidRPr="00661D74">
        <w:rPr>
          <w:rStyle w:val="Fremhv"/>
          <w:i w:val="0"/>
          <w:iCs w:val="0"/>
          <w:sz w:val="24"/>
          <w:szCs w:val="24"/>
        </w:rPr>
        <w:t xml:space="preserve"> skal anvendes i henhold til behandlingsprotokollen for citratantikoagulation. Det må kun anvendes af eller under vejledning af en læge med erfaring i anvendelsen af citratantikoagulation og af sundhedspersonale, som er </w:t>
      </w:r>
      <w:r w:rsidRPr="00661D74">
        <w:rPr>
          <w:sz w:val="24"/>
          <w:szCs w:val="24"/>
        </w:rPr>
        <w:t>tilstrækkeligt uddannet inden for de indicerede behandlingsområder og i anvendelse af de pågældende lægemidler.</w:t>
      </w:r>
    </w:p>
    <w:p w:rsidR="009421F2" w:rsidRPr="00661D74" w:rsidRDefault="009421F2" w:rsidP="009421F2">
      <w:pPr>
        <w:numPr>
          <w:ilvl w:val="0"/>
          <w:numId w:val="7"/>
        </w:numPr>
        <w:tabs>
          <w:tab w:val="clear" w:pos="720"/>
        </w:tabs>
        <w:ind w:left="1276" w:hanging="425"/>
        <w:rPr>
          <w:sz w:val="24"/>
          <w:szCs w:val="24"/>
        </w:rPr>
      </w:pPr>
      <w:r w:rsidRPr="00661D74">
        <w:rPr>
          <w:sz w:val="24"/>
          <w:szCs w:val="24"/>
        </w:rPr>
        <w:t xml:space="preserve">Producentens brugervejledning for det anvendte </w:t>
      </w:r>
      <w:proofErr w:type="spellStart"/>
      <w:r w:rsidRPr="00661D74">
        <w:rPr>
          <w:sz w:val="24"/>
          <w:szCs w:val="24"/>
        </w:rPr>
        <w:t>ekstrakorporale</w:t>
      </w:r>
      <w:proofErr w:type="spellEnd"/>
      <w:r w:rsidRPr="00661D74">
        <w:rPr>
          <w:sz w:val="24"/>
          <w:szCs w:val="24"/>
        </w:rPr>
        <w:t xml:space="preserve"> blodrensningsapparat og slangesystemet skal følges nøje. </w:t>
      </w:r>
    </w:p>
    <w:p w:rsidR="009421F2" w:rsidRPr="00661D74" w:rsidRDefault="009421F2" w:rsidP="009421F2">
      <w:pPr>
        <w:numPr>
          <w:ilvl w:val="0"/>
          <w:numId w:val="7"/>
        </w:numPr>
        <w:tabs>
          <w:tab w:val="clear" w:pos="720"/>
        </w:tabs>
        <w:ind w:left="1276" w:hanging="425"/>
        <w:rPr>
          <w:sz w:val="24"/>
          <w:szCs w:val="24"/>
        </w:rPr>
      </w:pPr>
      <w:proofErr w:type="spellStart"/>
      <w:r w:rsidRPr="00661D74">
        <w:rPr>
          <w:sz w:val="24"/>
          <w:szCs w:val="24"/>
        </w:rPr>
        <w:t>Cifoban</w:t>
      </w:r>
      <w:proofErr w:type="spellEnd"/>
      <w:r w:rsidRPr="00661D74">
        <w:rPr>
          <w:sz w:val="24"/>
          <w:szCs w:val="24"/>
        </w:rPr>
        <w:t xml:space="preserve"> kan anvendes til citratantikoagulation på en intensivafdeling eller lignende, hvor det skal anvendes under tæt lægelig overvågning og løbende monitorering.</w:t>
      </w:r>
    </w:p>
    <w:p w:rsidR="009421F2" w:rsidRPr="00661D74" w:rsidRDefault="009421F2" w:rsidP="009421F2">
      <w:pPr>
        <w:rPr>
          <w:i/>
          <w:sz w:val="24"/>
          <w:szCs w:val="24"/>
        </w:rPr>
      </w:pPr>
    </w:p>
    <w:p w:rsidR="009421F2" w:rsidRPr="00661D74" w:rsidRDefault="009421F2" w:rsidP="009421F2">
      <w:pPr>
        <w:ind w:left="851"/>
        <w:rPr>
          <w:sz w:val="24"/>
          <w:szCs w:val="24"/>
        </w:rPr>
      </w:pPr>
      <w:r w:rsidRPr="00661D74">
        <w:rPr>
          <w:sz w:val="24"/>
          <w:szCs w:val="24"/>
        </w:rPr>
        <w:t>For instruktioner om håndtering af lægemidlet før administration, se pkt. 6.6.</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4.3</w:t>
      </w:r>
      <w:r w:rsidRPr="00661D74">
        <w:rPr>
          <w:b/>
          <w:sz w:val="24"/>
          <w:szCs w:val="24"/>
        </w:rPr>
        <w:tab/>
        <w:t>Kontraindikationer</w:t>
      </w:r>
    </w:p>
    <w:p w:rsidR="00515278" w:rsidRPr="00661D74" w:rsidRDefault="00515278" w:rsidP="00661D74">
      <w:pPr>
        <w:numPr>
          <w:ilvl w:val="0"/>
          <w:numId w:val="8"/>
        </w:numPr>
        <w:tabs>
          <w:tab w:val="clear" w:pos="720"/>
        </w:tabs>
        <w:autoSpaceDE w:val="0"/>
        <w:autoSpaceDN w:val="0"/>
        <w:adjustRightInd w:val="0"/>
        <w:ind w:left="1276" w:hanging="425"/>
        <w:rPr>
          <w:sz w:val="24"/>
          <w:szCs w:val="24"/>
        </w:rPr>
      </w:pPr>
      <w:r w:rsidRPr="00661D74">
        <w:rPr>
          <w:sz w:val="24"/>
          <w:szCs w:val="24"/>
        </w:rPr>
        <w:t>Overfølsomhed over for det aktive stof</w:t>
      </w:r>
    </w:p>
    <w:p w:rsidR="00515278" w:rsidRPr="00661D74" w:rsidRDefault="00515278" w:rsidP="00661D74">
      <w:pPr>
        <w:numPr>
          <w:ilvl w:val="0"/>
          <w:numId w:val="8"/>
        </w:numPr>
        <w:tabs>
          <w:tab w:val="clear" w:pos="720"/>
        </w:tabs>
        <w:autoSpaceDE w:val="0"/>
        <w:autoSpaceDN w:val="0"/>
        <w:adjustRightInd w:val="0"/>
        <w:ind w:left="1276" w:hanging="425"/>
        <w:rPr>
          <w:sz w:val="24"/>
          <w:szCs w:val="24"/>
        </w:rPr>
      </w:pPr>
      <w:r w:rsidRPr="00661D74">
        <w:rPr>
          <w:sz w:val="24"/>
          <w:szCs w:val="24"/>
        </w:rPr>
        <w:t>Kendt alvorligt nedsat citrat-</w:t>
      </w:r>
      <w:proofErr w:type="spellStart"/>
      <w:r w:rsidRPr="00661D74">
        <w:rPr>
          <w:sz w:val="24"/>
          <w:szCs w:val="24"/>
        </w:rPr>
        <w:t>metabolisering</w:t>
      </w:r>
      <w:proofErr w:type="spellEnd"/>
      <w:r w:rsidRPr="00661D74">
        <w:rPr>
          <w:sz w:val="24"/>
          <w:szCs w:val="24"/>
        </w:rPr>
        <w:t xml:space="preserve"> (se pkt. 4.4 Akkumulering af citrat som følge af nedsat </w:t>
      </w:r>
      <w:proofErr w:type="spellStart"/>
      <w:r w:rsidRPr="00661D74">
        <w:rPr>
          <w:sz w:val="24"/>
          <w:szCs w:val="24"/>
        </w:rPr>
        <w:t>metabolisering</w:t>
      </w:r>
      <w:proofErr w:type="spellEnd"/>
      <w:r w:rsidRPr="00661D74">
        <w:rPr>
          <w:sz w:val="24"/>
          <w:szCs w:val="24"/>
        </w:rPr>
        <w:t>)</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4.4</w:t>
      </w:r>
      <w:r w:rsidRPr="00661D74">
        <w:rPr>
          <w:b/>
          <w:sz w:val="24"/>
          <w:szCs w:val="24"/>
        </w:rPr>
        <w:tab/>
        <w:t>Særlige advarsler og forsigtighedsregler vedrørende brugen</w:t>
      </w:r>
    </w:p>
    <w:p w:rsidR="002869D3" w:rsidRDefault="002869D3" w:rsidP="00661D74">
      <w:pPr>
        <w:ind w:left="851"/>
        <w:rPr>
          <w:sz w:val="24"/>
          <w:szCs w:val="24"/>
        </w:rPr>
      </w:pPr>
    </w:p>
    <w:p w:rsidR="009421F2" w:rsidRPr="002869D3" w:rsidRDefault="009421F2" w:rsidP="009421F2">
      <w:pPr>
        <w:ind w:left="851"/>
        <w:rPr>
          <w:sz w:val="24"/>
          <w:szCs w:val="24"/>
          <w:u w:val="single"/>
        </w:rPr>
      </w:pPr>
      <w:r w:rsidRPr="002869D3">
        <w:rPr>
          <w:sz w:val="24"/>
          <w:szCs w:val="24"/>
          <w:u w:val="single"/>
        </w:rPr>
        <w:t>Advarsler</w:t>
      </w:r>
    </w:p>
    <w:p w:rsidR="009421F2" w:rsidRPr="00661D74" w:rsidRDefault="009421F2" w:rsidP="009421F2">
      <w:pPr>
        <w:ind w:left="851"/>
        <w:rPr>
          <w:sz w:val="24"/>
          <w:szCs w:val="24"/>
        </w:rPr>
      </w:pPr>
    </w:p>
    <w:p w:rsidR="009421F2" w:rsidRPr="00661D74" w:rsidRDefault="009421F2" w:rsidP="009421F2">
      <w:pPr>
        <w:ind w:left="851"/>
        <w:rPr>
          <w:b/>
          <w:bCs/>
          <w:i/>
          <w:iCs/>
          <w:sz w:val="24"/>
          <w:szCs w:val="24"/>
        </w:rPr>
      </w:pPr>
      <w:r w:rsidRPr="00661D74">
        <w:rPr>
          <w:b/>
          <w:bCs/>
          <w:i/>
          <w:iCs/>
          <w:sz w:val="24"/>
          <w:szCs w:val="24"/>
        </w:rPr>
        <w:t xml:space="preserve">Hyppighed for monitorering af patientens serumværdier </w:t>
      </w:r>
    </w:p>
    <w:p w:rsidR="009421F2" w:rsidRPr="00661D74" w:rsidRDefault="009421F2" w:rsidP="009421F2">
      <w:pPr>
        <w:ind w:left="851"/>
        <w:rPr>
          <w:sz w:val="24"/>
          <w:szCs w:val="24"/>
        </w:rPr>
      </w:pPr>
      <w:r w:rsidRPr="00661D74">
        <w:rPr>
          <w:sz w:val="24"/>
          <w:szCs w:val="24"/>
        </w:rPr>
        <w:t xml:space="preserve">De indicerede behandlinger kræver tæt monitorering af patientens </w:t>
      </w:r>
      <w:proofErr w:type="spellStart"/>
      <w:r w:rsidRPr="00661D74">
        <w:rPr>
          <w:sz w:val="24"/>
          <w:szCs w:val="24"/>
        </w:rPr>
        <w:t>hæmodynamiske</w:t>
      </w:r>
      <w:proofErr w:type="spellEnd"/>
      <w:r w:rsidRPr="00661D74">
        <w:rPr>
          <w:sz w:val="24"/>
          <w:szCs w:val="24"/>
        </w:rPr>
        <w:t xml:space="preserve"> status, væskebalance, </w:t>
      </w:r>
      <w:proofErr w:type="spellStart"/>
      <w:r w:rsidRPr="00661D74">
        <w:rPr>
          <w:sz w:val="24"/>
          <w:szCs w:val="24"/>
        </w:rPr>
        <w:t>glucoseniveau</w:t>
      </w:r>
      <w:proofErr w:type="spellEnd"/>
      <w:r w:rsidRPr="00661D74">
        <w:rPr>
          <w:sz w:val="24"/>
          <w:szCs w:val="24"/>
        </w:rPr>
        <w:t xml:space="preserve">, elektrolyt- og syre-base-balance før og under behandling. Den præcise monitoreringshyppighed afhænger af patientens status og af hvor hurtigt behandlingen kan ændre patientens blodvolumen og -sammensætning. F.eks. TPE kan ændre disse hurtigere end CVVHD. Dette skal afspejles i behandlings- og RCA-protokollen. </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Ved anvendelse af </w:t>
      </w:r>
      <w:proofErr w:type="spellStart"/>
      <w:r w:rsidRPr="00661D74">
        <w:rPr>
          <w:sz w:val="24"/>
          <w:szCs w:val="24"/>
        </w:rPr>
        <w:t>Cifoban</w:t>
      </w:r>
      <w:proofErr w:type="spellEnd"/>
      <w:r w:rsidRPr="00661D74">
        <w:rPr>
          <w:sz w:val="24"/>
          <w:szCs w:val="24"/>
        </w:rPr>
        <w:t xml:space="preserve"> kan behandlings- og RCA-protokollen omfatte følgende hyppigheder og nærmere detaljer:</w:t>
      </w:r>
    </w:p>
    <w:p w:rsidR="009421F2" w:rsidRPr="00661D74" w:rsidRDefault="009421F2" w:rsidP="009421F2">
      <w:pPr>
        <w:pStyle w:val="Listeafsnit"/>
        <w:numPr>
          <w:ilvl w:val="0"/>
          <w:numId w:val="15"/>
        </w:numPr>
        <w:ind w:left="1276" w:hanging="425"/>
        <w:rPr>
          <w:sz w:val="24"/>
          <w:szCs w:val="24"/>
        </w:rPr>
      </w:pPr>
      <w:r w:rsidRPr="00661D74">
        <w:rPr>
          <w:sz w:val="24"/>
          <w:szCs w:val="24"/>
        </w:rPr>
        <w:t xml:space="preserve">Patientens niveau af ioniseret calcium, pH og </w:t>
      </w:r>
      <w:proofErr w:type="spellStart"/>
      <w:r w:rsidRPr="00661D74">
        <w:rPr>
          <w:sz w:val="24"/>
          <w:szCs w:val="24"/>
        </w:rPr>
        <w:t>bicarbonat</w:t>
      </w:r>
      <w:proofErr w:type="spellEnd"/>
      <w:r w:rsidRPr="00661D74">
        <w:rPr>
          <w:sz w:val="24"/>
          <w:szCs w:val="24"/>
        </w:rPr>
        <w:t xml:space="preserve">, natrium og </w:t>
      </w:r>
      <w:proofErr w:type="spellStart"/>
      <w:r w:rsidRPr="00661D74">
        <w:rPr>
          <w:sz w:val="24"/>
          <w:szCs w:val="24"/>
        </w:rPr>
        <w:t>lactat</w:t>
      </w:r>
      <w:proofErr w:type="spellEnd"/>
      <w:r w:rsidRPr="00661D74">
        <w:rPr>
          <w:sz w:val="24"/>
          <w:szCs w:val="24"/>
        </w:rPr>
        <w:t xml:space="preserve">, afhængigt af klinisk behov, skal kontrolleres ved </w:t>
      </w:r>
      <w:r w:rsidRPr="00661D74">
        <w:rPr>
          <w:i/>
          <w:iCs/>
          <w:sz w:val="24"/>
          <w:szCs w:val="24"/>
        </w:rPr>
        <w:t>baseline</w:t>
      </w:r>
      <w:r w:rsidRPr="00661D74">
        <w:rPr>
          <w:sz w:val="24"/>
          <w:szCs w:val="24"/>
        </w:rPr>
        <w:t xml:space="preserve"> eller højst inden for 1 time efter behandlingsstart. Øvrige hyppigheder for kontrol er 1 gang i timen for TPE, 3-4 gange i timen for SLEDD, op til 6-8 gange i timen for CVVHD og CVVHDF. </w:t>
      </w:r>
    </w:p>
    <w:p w:rsidR="009421F2" w:rsidRPr="00661D74" w:rsidRDefault="009421F2" w:rsidP="009421F2">
      <w:pPr>
        <w:pStyle w:val="Listeafsnit"/>
        <w:numPr>
          <w:ilvl w:val="0"/>
          <w:numId w:val="15"/>
        </w:numPr>
        <w:ind w:left="1276" w:hanging="425"/>
        <w:rPr>
          <w:sz w:val="24"/>
          <w:szCs w:val="24"/>
        </w:rPr>
      </w:pPr>
      <w:r w:rsidRPr="00661D74">
        <w:rPr>
          <w:sz w:val="24"/>
          <w:szCs w:val="24"/>
        </w:rPr>
        <w:t>Hvis der anvendes en afbalanceret mængde væske, kan kontrol før og efter behandling (TPE, SLEDD) eller daglig kontrol (CVVHD, CVVHDF) af magnesium og total-calcium være tilstrækkelig.</w:t>
      </w:r>
    </w:p>
    <w:p w:rsidR="009421F2" w:rsidRPr="00661D74" w:rsidRDefault="009421F2" w:rsidP="009421F2">
      <w:pPr>
        <w:pStyle w:val="Listeafsnit"/>
        <w:numPr>
          <w:ilvl w:val="0"/>
          <w:numId w:val="15"/>
        </w:numPr>
        <w:ind w:left="1276" w:hanging="425"/>
        <w:rPr>
          <w:sz w:val="24"/>
          <w:szCs w:val="24"/>
        </w:rPr>
      </w:pPr>
      <w:r w:rsidRPr="00661D74">
        <w:rPr>
          <w:sz w:val="24"/>
          <w:szCs w:val="24"/>
        </w:rPr>
        <w:t>Mere intensiveret monitorering kræver generelt en kontrolhyppighed, der er 2-4 gange højere.</w:t>
      </w:r>
    </w:p>
    <w:p w:rsidR="009421F2" w:rsidRPr="00661D74" w:rsidRDefault="009421F2" w:rsidP="009421F2">
      <w:pPr>
        <w:pStyle w:val="Listeafsnit"/>
        <w:numPr>
          <w:ilvl w:val="0"/>
          <w:numId w:val="15"/>
        </w:numPr>
        <w:ind w:left="1276" w:hanging="425"/>
        <w:rPr>
          <w:rStyle w:val="Fremhv"/>
          <w:i w:val="0"/>
          <w:iCs w:val="0"/>
          <w:sz w:val="24"/>
          <w:szCs w:val="24"/>
        </w:rPr>
      </w:pPr>
      <w:r w:rsidRPr="00661D74">
        <w:rPr>
          <w:sz w:val="24"/>
          <w:szCs w:val="24"/>
        </w:rPr>
        <w:t xml:space="preserve">Der skal være direkte adgang til et </w:t>
      </w:r>
      <w:r w:rsidRPr="00661D74">
        <w:rPr>
          <w:rStyle w:val="Fremhv"/>
          <w:i w:val="0"/>
          <w:iCs w:val="0"/>
          <w:sz w:val="24"/>
          <w:szCs w:val="24"/>
        </w:rPr>
        <w:t>blodgas</w:t>
      </w:r>
      <w:r w:rsidRPr="00661D74">
        <w:rPr>
          <w:i/>
          <w:sz w:val="24"/>
          <w:szCs w:val="24"/>
        </w:rPr>
        <w:t>-</w:t>
      </w:r>
      <w:r w:rsidRPr="00661D74">
        <w:rPr>
          <w:rStyle w:val="Fremhv"/>
          <w:i w:val="0"/>
          <w:iCs w:val="0"/>
          <w:sz w:val="24"/>
          <w:szCs w:val="24"/>
        </w:rPr>
        <w:t>analyseapparat.</w:t>
      </w:r>
    </w:p>
    <w:p w:rsidR="009421F2" w:rsidRPr="00661D74" w:rsidRDefault="009421F2" w:rsidP="009421F2">
      <w:pPr>
        <w:pStyle w:val="Listeafsnit"/>
        <w:numPr>
          <w:ilvl w:val="0"/>
          <w:numId w:val="15"/>
        </w:numPr>
        <w:ind w:left="1276" w:hanging="425"/>
        <w:rPr>
          <w:sz w:val="24"/>
          <w:szCs w:val="24"/>
        </w:rPr>
      </w:pPr>
      <w:r w:rsidRPr="00661D74">
        <w:rPr>
          <w:sz w:val="24"/>
          <w:szCs w:val="24"/>
        </w:rPr>
        <w:t xml:space="preserve">Det anbefales at vælge en separat arterieadgang til prøvetagning. Der findes ofte en prøvetagningsport i indgangsslangen, men det kan medføre falske målingsresultater at bruge denne i tilfælde af recirkulering ved </w:t>
      </w:r>
      <w:r w:rsidRPr="00661D74">
        <w:rPr>
          <w:rStyle w:val="trns-org-res"/>
          <w:sz w:val="24"/>
          <w:szCs w:val="24"/>
        </w:rPr>
        <w:t>kateterspidsen</w:t>
      </w:r>
      <w:r w:rsidRPr="00661D74">
        <w:rPr>
          <w:sz w:val="24"/>
          <w:szCs w:val="24"/>
        </w:rPr>
        <w:t xml:space="preserve">. </w:t>
      </w:r>
    </w:p>
    <w:p w:rsidR="009421F2" w:rsidRPr="00661D74" w:rsidRDefault="009421F2" w:rsidP="009421F2">
      <w:pPr>
        <w:rPr>
          <w:sz w:val="24"/>
          <w:szCs w:val="24"/>
        </w:rPr>
      </w:pPr>
    </w:p>
    <w:p w:rsidR="009421F2" w:rsidRPr="00661D74" w:rsidRDefault="009421F2" w:rsidP="009421F2">
      <w:pPr>
        <w:autoSpaceDE w:val="0"/>
        <w:autoSpaceDN w:val="0"/>
        <w:adjustRightInd w:val="0"/>
        <w:ind w:left="851"/>
        <w:rPr>
          <w:sz w:val="24"/>
          <w:szCs w:val="24"/>
        </w:rPr>
      </w:pPr>
      <w:r w:rsidRPr="00661D74">
        <w:rPr>
          <w:sz w:val="24"/>
          <w:szCs w:val="24"/>
        </w:rPr>
        <w:t xml:space="preserve">Hvis monitorering af ioniseret calcium i kredsløbet er en del af RCA-protokollen, er en særskilt prøvetagningsport nødvendig. RCA-protokollen kan kræve, at den første måling </w:t>
      </w:r>
      <w:r w:rsidRPr="00661D74">
        <w:rPr>
          <w:sz w:val="24"/>
          <w:szCs w:val="24"/>
        </w:rPr>
        <w:lastRenderedPageBreak/>
        <w:t xml:space="preserve">foretages 20-30 minutter efter behandlingsstart for at sikre korrekt opstilling af kredsløbet og efterfølgende målinger efter hver justering af </w:t>
      </w:r>
      <w:proofErr w:type="spellStart"/>
      <w:r w:rsidRPr="00661D74">
        <w:rPr>
          <w:sz w:val="24"/>
          <w:szCs w:val="24"/>
        </w:rPr>
        <w:t>Cifoban</w:t>
      </w:r>
      <w:proofErr w:type="spellEnd"/>
      <w:r w:rsidRPr="00661D74">
        <w:rPr>
          <w:sz w:val="24"/>
          <w:szCs w:val="24"/>
        </w:rPr>
        <w:t>-dosis (vent mere e</w:t>
      </w:r>
      <w:r>
        <w:rPr>
          <w:sz w:val="24"/>
          <w:szCs w:val="24"/>
        </w:rPr>
        <w:t>n</w:t>
      </w:r>
      <w:r w:rsidRPr="00661D74">
        <w:rPr>
          <w:sz w:val="24"/>
          <w:szCs w:val="24"/>
        </w:rPr>
        <w:t xml:space="preserve">d 5 minutter, før prøven tages efter dosisjustering, så den nye koncentration af ioniseret calcium er nået). </w:t>
      </w:r>
    </w:p>
    <w:p w:rsidR="009421F2" w:rsidRPr="00661D74" w:rsidRDefault="009421F2" w:rsidP="009421F2">
      <w:pPr>
        <w:ind w:left="851"/>
        <w:rPr>
          <w:sz w:val="24"/>
          <w:szCs w:val="24"/>
        </w:rPr>
      </w:pPr>
    </w:p>
    <w:p w:rsidR="009421F2" w:rsidRPr="00661D74" w:rsidRDefault="009421F2" w:rsidP="009421F2">
      <w:pPr>
        <w:autoSpaceDE w:val="0"/>
        <w:autoSpaceDN w:val="0"/>
        <w:adjustRightInd w:val="0"/>
        <w:ind w:left="851"/>
        <w:rPr>
          <w:b/>
          <w:bCs/>
          <w:i/>
          <w:iCs/>
          <w:sz w:val="24"/>
          <w:szCs w:val="24"/>
        </w:rPr>
      </w:pPr>
      <w:r w:rsidRPr="00661D74">
        <w:rPr>
          <w:b/>
          <w:bCs/>
          <w:i/>
          <w:iCs/>
          <w:sz w:val="24"/>
          <w:szCs w:val="24"/>
        </w:rPr>
        <w:t xml:space="preserve">Akkumulering af citrat som følge af nedsat </w:t>
      </w:r>
      <w:proofErr w:type="spellStart"/>
      <w:r w:rsidRPr="00661D74">
        <w:rPr>
          <w:b/>
          <w:bCs/>
          <w:i/>
          <w:iCs/>
          <w:sz w:val="24"/>
          <w:szCs w:val="24"/>
        </w:rPr>
        <w:t>metabolisering</w:t>
      </w:r>
      <w:proofErr w:type="spellEnd"/>
    </w:p>
    <w:p w:rsidR="009421F2" w:rsidRPr="00661D74" w:rsidRDefault="009421F2" w:rsidP="009421F2">
      <w:pPr>
        <w:ind w:left="851"/>
        <w:rPr>
          <w:sz w:val="24"/>
          <w:szCs w:val="24"/>
        </w:rPr>
      </w:pPr>
      <w:proofErr w:type="spellStart"/>
      <w:r w:rsidRPr="00661D74">
        <w:rPr>
          <w:sz w:val="24"/>
          <w:szCs w:val="24"/>
        </w:rPr>
        <w:t>Cifoban</w:t>
      </w:r>
      <w:proofErr w:type="spellEnd"/>
      <w:r w:rsidRPr="00661D74">
        <w:rPr>
          <w:sz w:val="24"/>
          <w:szCs w:val="24"/>
        </w:rPr>
        <w:t xml:space="preserve"> er kontraindiceret til børn og voksne med nedsat </w:t>
      </w:r>
      <w:proofErr w:type="spellStart"/>
      <w:r w:rsidRPr="00661D74">
        <w:rPr>
          <w:sz w:val="24"/>
          <w:szCs w:val="24"/>
        </w:rPr>
        <w:t>citratmetabolisering</w:t>
      </w:r>
      <w:proofErr w:type="spellEnd"/>
      <w:r w:rsidRPr="00661D74">
        <w:rPr>
          <w:sz w:val="24"/>
          <w:szCs w:val="24"/>
        </w:rPr>
        <w:t xml:space="preserve">, f.eks. patienter med nedsat leverfunktion, </w:t>
      </w:r>
      <w:proofErr w:type="spellStart"/>
      <w:r w:rsidRPr="00661D74">
        <w:rPr>
          <w:sz w:val="24"/>
          <w:szCs w:val="24"/>
        </w:rPr>
        <w:t>hypoxæmi</w:t>
      </w:r>
      <w:proofErr w:type="spellEnd"/>
      <w:r w:rsidRPr="00661D74">
        <w:rPr>
          <w:sz w:val="24"/>
          <w:szCs w:val="24"/>
        </w:rPr>
        <w:t xml:space="preserve"> eller forstyrrelser i iltmetabolismen, og citratantikoagulation kan hos disse patienter medføre citrat-akkumulering. Symptomerne er ioniseret </w:t>
      </w:r>
      <w:proofErr w:type="spellStart"/>
      <w:r w:rsidRPr="00661D74">
        <w:rPr>
          <w:rStyle w:val="trns-org-res"/>
          <w:sz w:val="24"/>
          <w:szCs w:val="24"/>
        </w:rPr>
        <w:t>hypokalcæmi</w:t>
      </w:r>
      <w:proofErr w:type="spellEnd"/>
      <w:r w:rsidRPr="00661D74">
        <w:rPr>
          <w:rStyle w:val="trns-org-res"/>
          <w:sz w:val="24"/>
          <w:szCs w:val="24"/>
        </w:rPr>
        <w:t xml:space="preserve">, et øget behov for calciumsubstitution, </w:t>
      </w:r>
      <w:r w:rsidRPr="00661D74">
        <w:rPr>
          <w:sz w:val="24"/>
          <w:szCs w:val="24"/>
        </w:rPr>
        <w:t xml:space="preserve">forholdet mellem total-calcium og ioniseret calcium er over 2,25 og/eller metabolisk </w:t>
      </w:r>
      <w:proofErr w:type="spellStart"/>
      <w:r w:rsidRPr="00661D74">
        <w:rPr>
          <w:sz w:val="24"/>
          <w:szCs w:val="24"/>
        </w:rPr>
        <w:t>acidose</w:t>
      </w:r>
      <w:proofErr w:type="spellEnd"/>
      <w:r w:rsidRPr="00661D74">
        <w:rPr>
          <w:sz w:val="24"/>
          <w:szCs w:val="24"/>
        </w:rPr>
        <w:t xml:space="preserve">. Tidlige symptomer kan omfatte nedsat </w:t>
      </w:r>
      <w:proofErr w:type="spellStart"/>
      <w:r w:rsidRPr="00661D74">
        <w:rPr>
          <w:i/>
          <w:iCs/>
          <w:sz w:val="24"/>
          <w:szCs w:val="24"/>
        </w:rPr>
        <w:t>clearance</w:t>
      </w:r>
      <w:proofErr w:type="spellEnd"/>
      <w:r w:rsidRPr="00661D74">
        <w:rPr>
          <w:sz w:val="24"/>
          <w:szCs w:val="24"/>
        </w:rPr>
        <w:t xml:space="preserve"> af </w:t>
      </w:r>
      <w:proofErr w:type="spellStart"/>
      <w:r w:rsidRPr="00661D74">
        <w:rPr>
          <w:sz w:val="24"/>
          <w:szCs w:val="24"/>
        </w:rPr>
        <w:t>lactat</w:t>
      </w:r>
      <w:proofErr w:type="spellEnd"/>
      <w:r w:rsidRPr="00661D74">
        <w:rPr>
          <w:sz w:val="24"/>
          <w:szCs w:val="24"/>
        </w:rPr>
        <w:t xml:space="preserve"> under behandlingen. Det kan af den årsag blive nødvendigt at øge </w:t>
      </w:r>
      <w:proofErr w:type="spellStart"/>
      <w:r w:rsidRPr="00661D74">
        <w:rPr>
          <w:sz w:val="24"/>
          <w:szCs w:val="24"/>
        </w:rPr>
        <w:t>dialysat</w:t>
      </w:r>
      <w:proofErr w:type="spellEnd"/>
      <w:r w:rsidRPr="00661D74">
        <w:rPr>
          <w:sz w:val="24"/>
          <w:szCs w:val="24"/>
        </w:rPr>
        <w:t>-</w:t>
      </w:r>
      <w:r w:rsidRPr="00661D74">
        <w:rPr>
          <w:rStyle w:val="trns-org-res"/>
          <w:sz w:val="24"/>
          <w:szCs w:val="24"/>
        </w:rPr>
        <w:t>gennemstrømningshastigheden, reducere blodgennem</w:t>
      </w:r>
      <w:r>
        <w:rPr>
          <w:rStyle w:val="trns-org-res"/>
          <w:sz w:val="24"/>
          <w:szCs w:val="24"/>
        </w:rPr>
        <w:softHyphen/>
      </w:r>
      <w:r w:rsidRPr="00661D74">
        <w:rPr>
          <w:rStyle w:val="trns-org-res"/>
          <w:sz w:val="24"/>
          <w:szCs w:val="24"/>
        </w:rPr>
        <w:t>strømnings</w:t>
      </w:r>
      <w:r>
        <w:rPr>
          <w:rStyle w:val="trns-org-res"/>
          <w:sz w:val="24"/>
          <w:szCs w:val="24"/>
        </w:rPr>
        <w:softHyphen/>
      </w:r>
      <w:r w:rsidRPr="00661D74">
        <w:rPr>
          <w:rStyle w:val="trns-org-res"/>
          <w:sz w:val="24"/>
          <w:szCs w:val="24"/>
        </w:rPr>
        <w:t xml:space="preserve">hastigheden, reducere dosis af citrat eller seponere antikoagulation med </w:t>
      </w:r>
      <w:proofErr w:type="spellStart"/>
      <w:r w:rsidRPr="00661D74">
        <w:rPr>
          <w:rStyle w:val="trns-org-res"/>
          <w:sz w:val="24"/>
          <w:szCs w:val="24"/>
        </w:rPr>
        <w:t>Cifoban</w:t>
      </w:r>
      <w:proofErr w:type="spellEnd"/>
      <w:r w:rsidRPr="00661D74">
        <w:rPr>
          <w:rStyle w:val="trns-org-res"/>
          <w:sz w:val="24"/>
          <w:szCs w:val="24"/>
        </w:rPr>
        <w:t>.</w:t>
      </w:r>
      <w:r w:rsidRPr="00661D74">
        <w:rPr>
          <w:sz w:val="24"/>
          <w:szCs w:val="24"/>
        </w:rPr>
        <w:t xml:space="preserve"> Skærpet monitorering anbefales.</w:t>
      </w:r>
    </w:p>
    <w:p w:rsidR="009421F2" w:rsidRPr="00661D74" w:rsidRDefault="009421F2" w:rsidP="009421F2">
      <w:pPr>
        <w:ind w:left="851"/>
        <w:rPr>
          <w:sz w:val="24"/>
          <w:szCs w:val="24"/>
        </w:rPr>
      </w:pPr>
    </w:p>
    <w:p w:rsidR="009421F2" w:rsidRPr="00661D74" w:rsidRDefault="009421F2" w:rsidP="009421F2">
      <w:pPr>
        <w:ind w:left="851"/>
        <w:rPr>
          <w:b/>
          <w:bCs/>
          <w:i/>
          <w:iCs/>
          <w:sz w:val="24"/>
          <w:szCs w:val="24"/>
        </w:rPr>
      </w:pPr>
      <w:r w:rsidRPr="00661D74">
        <w:rPr>
          <w:b/>
          <w:bCs/>
          <w:i/>
          <w:iCs/>
          <w:sz w:val="24"/>
          <w:szCs w:val="24"/>
        </w:rPr>
        <w:t xml:space="preserve">For stor mængde citrat </w:t>
      </w:r>
    </w:p>
    <w:p w:rsidR="009421F2" w:rsidRPr="00661D74" w:rsidRDefault="009421F2" w:rsidP="009421F2">
      <w:pPr>
        <w:ind w:left="851"/>
        <w:rPr>
          <w:sz w:val="24"/>
          <w:szCs w:val="24"/>
        </w:rPr>
      </w:pPr>
      <w:proofErr w:type="spellStart"/>
      <w:r w:rsidRPr="00661D74">
        <w:rPr>
          <w:sz w:val="24"/>
          <w:szCs w:val="24"/>
        </w:rPr>
        <w:t>Cifoban</w:t>
      </w:r>
      <w:proofErr w:type="spellEnd"/>
      <w:r w:rsidRPr="00661D74">
        <w:rPr>
          <w:sz w:val="24"/>
          <w:szCs w:val="24"/>
        </w:rPr>
        <w:t xml:space="preserve"> har et højt indhold af natrium og er en kilde til </w:t>
      </w:r>
      <w:proofErr w:type="spellStart"/>
      <w:r w:rsidRPr="00661D74">
        <w:rPr>
          <w:sz w:val="24"/>
          <w:szCs w:val="24"/>
        </w:rPr>
        <w:t>bicarbonat</w:t>
      </w:r>
      <w:proofErr w:type="spellEnd"/>
      <w:r w:rsidRPr="00661D74">
        <w:rPr>
          <w:sz w:val="24"/>
          <w:szCs w:val="24"/>
        </w:rPr>
        <w:t xml:space="preserve">, når det er </w:t>
      </w:r>
      <w:proofErr w:type="spellStart"/>
      <w:r w:rsidRPr="00661D74">
        <w:rPr>
          <w:sz w:val="24"/>
          <w:szCs w:val="24"/>
        </w:rPr>
        <w:t>metaboliseret</w:t>
      </w:r>
      <w:proofErr w:type="spellEnd"/>
      <w:r w:rsidRPr="00661D74">
        <w:rPr>
          <w:sz w:val="24"/>
          <w:szCs w:val="24"/>
        </w:rPr>
        <w:t xml:space="preserve">. Når der træffes afgørelse om sammensætningen af andre dialysevæsker i RCA-protokollen, bør der vælges </w:t>
      </w:r>
      <w:proofErr w:type="spellStart"/>
      <w:r w:rsidRPr="00661D74">
        <w:rPr>
          <w:sz w:val="24"/>
          <w:szCs w:val="24"/>
        </w:rPr>
        <w:t>dialysat</w:t>
      </w:r>
      <w:proofErr w:type="spellEnd"/>
      <w:r w:rsidRPr="00661D74">
        <w:rPr>
          <w:sz w:val="24"/>
          <w:szCs w:val="24"/>
        </w:rPr>
        <w:t xml:space="preserve"> med lavt indhold af natrium og </w:t>
      </w:r>
      <w:proofErr w:type="spellStart"/>
      <w:r w:rsidRPr="00661D74">
        <w:rPr>
          <w:sz w:val="24"/>
          <w:szCs w:val="24"/>
        </w:rPr>
        <w:t>bicarbonat</w:t>
      </w:r>
      <w:proofErr w:type="spellEnd"/>
      <w:r w:rsidRPr="00661D74">
        <w:rPr>
          <w:sz w:val="24"/>
          <w:szCs w:val="24"/>
        </w:rPr>
        <w:t xml:space="preserve"> (se pkt. 4.2).  Der kan ikke desto mindre opstå </w:t>
      </w:r>
      <w:proofErr w:type="spellStart"/>
      <w:r w:rsidRPr="00661D74">
        <w:rPr>
          <w:sz w:val="24"/>
          <w:szCs w:val="24"/>
        </w:rPr>
        <w:t>iatrogen</w:t>
      </w:r>
      <w:proofErr w:type="spellEnd"/>
      <w:r w:rsidRPr="00661D74">
        <w:rPr>
          <w:sz w:val="24"/>
          <w:szCs w:val="24"/>
        </w:rPr>
        <w:t xml:space="preserve"> metabolisk </w:t>
      </w:r>
      <w:proofErr w:type="spellStart"/>
      <w:r w:rsidRPr="00661D74">
        <w:rPr>
          <w:sz w:val="24"/>
          <w:szCs w:val="24"/>
        </w:rPr>
        <w:t>alkalose</w:t>
      </w:r>
      <w:proofErr w:type="spellEnd"/>
      <w:r w:rsidRPr="00661D74">
        <w:rPr>
          <w:sz w:val="24"/>
          <w:szCs w:val="24"/>
        </w:rPr>
        <w:t xml:space="preserve"> og </w:t>
      </w:r>
      <w:proofErr w:type="spellStart"/>
      <w:r w:rsidRPr="00661D74">
        <w:rPr>
          <w:rStyle w:val="trns-org-res"/>
          <w:sz w:val="24"/>
          <w:szCs w:val="24"/>
        </w:rPr>
        <w:t>hypernatriæmi</w:t>
      </w:r>
      <w:proofErr w:type="spellEnd"/>
      <w:r w:rsidRPr="00661D74">
        <w:rPr>
          <w:rStyle w:val="trns-org-res"/>
          <w:sz w:val="24"/>
          <w:szCs w:val="24"/>
        </w:rPr>
        <w:t xml:space="preserve">, som kan behandles ved at reducere blodgennemstrømningshastigheden eller, hvis det er omfattet af RCA-protokollen, ved at </w:t>
      </w:r>
      <w:r w:rsidRPr="00661D74">
        <w:rPr>
          <w:sz w:val="24"/>
          <w:szCs w:val="24"/>
        </w:rPr>
        <w:t xml:space="preserve">øge </w:t>
      </w:r>
      <w:proofErr w:type="spellStart"/>
      <w:r w:rsidRPr="00661D74">
        <w:rPr>
          <w:sz w:val="24"/>
          <w:szCs w:val="24"/>
        </w:rPr>
        <w:t>dialysat</w:t>
      </w:r>
      <w:proofErr w:type="spellEnd"/>
      <w:r w:rsidRPr="00661D74">
        <w:rPr>
          <w:sz w:val="24"/>
          <w:szCs w:val="24"/>
        </w:rPr>
        <w:t>-</w:t>
      </w:r>
      <w:r w:rsidRPr="00661D74">
        <w:rPr>
          <w:rStyle w:val="trns-org-res"/>
          <w:sz w:val="24"/>
          <w:szCs w:val="24"/>
        </w:rPr>
        <w:t xml:space="preserve">gennemstrømningshastigheden. </w:t>
      </w:r>
      <w:r w:rsidRPr="00661D74">
        <w:rPr>
          <w:sz w:val="24"/>
          <w:szCs w:val="24"/>
        </w:rPr>
        <w:t xml:space="preserve">Disse interventioner reducerer den mængde natriumcitrat, som patienten får tilført. Derudover kan der ved metabolisk </w:t>
      </w:r>
      <w:proofErr w:type="spellStart"/>
      <w:r w:rsidRPr="00661D74">
        <w:rPr>
          <w:sz w:val="24"/>
          <w:szCs w:val="24"/>
        </w:rPr>
        <w:t>alkalose</w:t>
      </w:r>
      <w:proofErr w:type="spellEnd"/>
      <w:r w:rsidRPr="00661D74">
        <w:rPr>
          <w:sz w:val="24"/>
          <w:szCs w:val="24"/>
        </w:rPr>
        <w:t xml:space="preserve"> overvejes en kontrolleret infusion af f.eks. 0,9 % </w:t>
      </w:r>
      <w:proofErr w:type="spellStart"/>
      <w:r w:rsidRPr="00661D74">
        <w:rPr>
          <w:sz w:val="24"/>
          <w:szCs w:val="24"/>
        </w:rPr>
        <w:t>natriumchlorid</w:t>
      </w:r>
      <w:proofErr w:type="spellEnd"/>
      <w:r w:rsidRPr="00661D74">
        <w:rPr>
          <w:sz w:val="24"/>
          <w:szCs w:val="24"/>
        </w:rPr>
        <w:t xml:space="preserve">. Tilsvarende kan der ved </w:t>
      </w:r>
      <w:proofErr w:type="spellStart"/>
      <w:r w:rsidRPr="00661D74">
        <w:rPr>
          <w:sz w:val="24"/>
          <w:szCs w:val="24"/>
        </w:rPr>
        <w:t>h</w:t>
      </w:r>
      <w:r w:rsidRPr="00661D74">
        <w:rPr>
          <w:rStyle w:val="trns-org-res"/>
          <w:sz w:val="24"/>
          <w:szCs w:val="24"/>
        </w:rPr>
        <w:t>ypernatriæmi</w:t>
      </w:r>
      <w:proofErr w:type="spellEnd"/>
      <w:r w:rsidRPr="00661D74">
        <w:rPr>
          <w:rStyle w:val="trns-org-res"/>
          <w:sz w:val="24"/>
          <w:szCs w:val="24"/>
        </w:rPr>
        <w:t xml:space="preserve"> </w:t>
      </w:r>
      <w:r w:rsidRPr="00661D74">
        <w:rPr>
          <w:sz w:val="24"/>
          <w:szCs w:val="24"/>
        </w:rPr>
        <w:t xml:space="preserve">overvejes en </w:t>
      </w:r>
      <w:r w:rsidRPr="00661D74">
        <w:rPr>
          <w:rStyle w:val="trns-org-res"/>
          <w:sz w:val="24"/>
          <w:szCs w:val="24"/>
        </w:rPr>
        <w:t xml:space="preserve">kontrolleret infusion af f.eks. 5 % </w:t>
      </w:r>
      <w:proofErr w:type="spellStart"/>
      <w:r w:rsidRPr="00661D74">
        <w:rPr>
          <w:rStyle w:val="trns-org-res"/>
          <w:sz w:val="24"/>
          <w:szCs w:val="24"/>
        </w:rPr>
        <w:t>gluceose</w:t>
      </w:r>
      <w:proofErr w:type="spellEnd"/>
      <w:r w:rsidRPr="00661D74">
        <w:rPr>
          <w:rStyle w:val="trns-org-res"/>
          <w:sz w:val="24"/>
          <w:szCs w:val="24"/>
        </w:rPr>
        <w:t xml:space="preserve">. I begge tilfælde er det den behandlende læge, der </w:t>
      </w:r>
      <w:r>
        <w:rPr>
          <w:rStyle w:val="trns-org-res"/>
          <w:sz w:val="24"/>
          <w:szCs w:val="24"/>
        </w:rPr>
        <w:t>skal</w:t>
      </w:r>
      <w:r w:rsidRPr="00661D74">
        <w:rPr>
          <w:rStyle w:val="trns-org-res"/>
          <w:sz w:val="24"/>
          <w:szCs w:val="24"/>
        </w:rPr>
        <w:t xml:space="preserve"> tage stilling til den ekstra volumenmængde. </w:t>
      </w:r>
    </w:p>
    <w:p w:rsidR="009421F2" w:rsidRPr="00661D74" w:rsidRDefault="009421F2" w:rsidP="009421F2">
      <w:pPr>
        <w:ind w:left="851"/>
        <w:rPr>
          <w:sz w:val="24"/>
          <w:szCs w:val="24"/>
        </w:rPr>
      </w:pPr>
    </w:p>
    <w:p w:rsidR="009421F2" w:rsidRPr="00661D74" w:rsidRDefault="009421F2" w:rsidP="009421F2">
      <w:pPr>
        <w:ind w:left="851"/>
        <w:rPr>
          <w:rStyle w:val="trns-org-res"/>
          <w:sz w:val="24"/>
          <w:szCs w:val="24"/>
        </w:rPr>
      </w:pPr>
      <w:r w:rsidRPr="00661D74">
        <w:rPr>
          <w:sz w:val="24"/>
          <w:szCs w:val="24"/>
        </w:rPr>
        <w:t xml:space="preserve">Hvis filteret er tilstoppet (reduceret </w:t>
      </w:r>
      <w:r w:rsidRPr="00661D74">
        <w:rPr>
          <w:rStyle w:val="trns-org-res"/>
          <w:sz w:val="24"/>
          <w:szCs w:val="24"/>
        </w:rPr>
        <w:t xml:space="preserve">permeabilitet i filteret) kan det resultere i, at patienten får en for stor mængde citrat. Tilstopning af filteret kan reducere fjernelsen af calcium, citrat, natrium og andre stoffer og kan medføre </w:t>
      </w:r>
      <w:proofErr w:type="spellStart"/>
      <w:r w:rsidRPr="00661D74">
        <w:rPr>
          <w:sz w:val="24"/>
          <w:szCs w:val="24"/>
        </w:rPr>
        <w:t>hypercalciæmi</w:t>
      </w:r>
      <w:proofErr w:type="spellEnd"/>
      <w:r w:rsidRPr="00661D74">
        <w:rPr>
          <w:sz w:val="24"/>
          <w:szCs w:val="24"/>
        </w:rPr>
        <w:t xml:space="preserve">, metabolisk </w:t>
      </w:r>
      <w:proofErr w:type="spellStart"/>
      <w:r w:rsidRPr="00661D74">
        <w:rPr>
          <w:sz w:val="24"/>
          <w:szCs w:val="24"/>
        </w:rPr>
        <w:t>alkalose</w:t>
      </w:r>
      <w:proofErr w:type="spellEnd"/>
      <w:r w:rsidRPr="00661D74">
        <w:rPr>
          <w:sz w:val="24"/>
          <w:szCs w:val="24"/>
        </w:rPr>
        <w:t xml:space="preserve">, </w:t>
      </w:r>
      <w:proofErr w:type="spellStart"/>
      <w:r w:rsidRPr="00661D74">
        <w:rPr>
          <w:sz w:val="24"/>
          <w:szCs w:val="24"/>
        </w:rPr>
        <w:t>h</w:t>
      </w:r>
      <w:r w:rsidRPr="00661D74">
        <w:rPr>
          <w:rStyle w:val="trns-org-res"/>
          <w:sz w:val="24"/>
          <w:szCs w:val="24"/>
        </w:rPr>
        <w:t>ypernatriæmi</w:t>
      </w:r>
      <w:proofErr w:type="spellEnd"/>
      <w:r w:rsidRPr="00661D74">
        <w:rPr>
          <w:rStyle w:val="trns-org-res"/>
          <w:sz w:val="24"/>
          <w:szCs w:val="24"/>
        </w:rPr>
        <w:t xml:space="preserve"> og andre afvigelser fra den forventede behandlingseffekt. I dette tilfælde er det ikke muligt at korrigere uregelmæssighederne ved hjælp af førnævnte interventioner. Filteret skal i dette tilfælde skiftes.</w:t>
      </w:r>
    </w:p>
    <w:p w:rsidR="009421F2" w:rsidRPr="00661D74" w:rsidRDefault="009421F2" w:rsidP="009421F2">
      <w:pPr>
        <w:ind w:left="851"/>
        <w:rPr>
          <w:rStyle w:val="trns-org-res"/>
          <w:sz w:val="24"/>
          <w:szCs w:val="24"/>
        </w:rPr>
      </w:pPr>
    </w:p>
    <w:p w:rsidR="009421F2" w:rsidRPr="00661D74" w:rsidRDefault="009421F2" w:rsidP="009421F2">
      <w:pPr>
        <w:ind w:left="851"/>
        <w:rPr>
          <w:rStyle w:val="trns-org-res"/>
          <w:sz w:val="24"/>
          <w:szCs w:val="24"/>
        </w:rPr>
      </w:pPr>
      <w:r w:rsidRPr="00661D74">
        <w:rPr>
          <w:rStyle w:val="trns-org-res"/>
          <w:sz w:val="24"/>
          <w:szCs w:val="24"/>
        </w:rPr>
        <w:t>For oplysninger om utilsigtet overdosering, se pkt. 4.9.</w:t>
      </w:r>
    </w:p>
    <w:p w:rsidR="009421F2" w:rsidRPr="00661D74" w:rsidRDefault="009421F2" w:rsidP="009421F2">
      <w:pPr>
        <w:ind w:left="851"/>
        <w:rPr>
          <w:rStyle w:val="trns-org-res"/>
          <w:sz w:val="24"/>
          <w:szCs w:val="24"/>
        </w:rPr>
      </w:pPr>
    </w:p>
    <w:p w:rsidR="009421F2" w:rsidRPr="00661D74" w:rsidRDefault="009421F2" w:rsidP="009421F2">
      <w:pPr>
        <w:ind w:left="851"/>
        <w:rPr>
          <w:b/>
          <w:bCs/>
          <w:i/>
          <w:iCs/>
          <w:sz w:val="24"/>
          <w:szCs w:val="24"/>
        </w:rPr>
      </w:pPr>
      <w:r w:rsidRPr="00661D74">
        <w:rPr>
          <w:b/>
          <w:bCs/>
          <w:i/>
          <w:iCs/>
          <w:sz w:val="24"/>
          <w:szCs w:val="24"/>
        </w:rPr>
        <w:t>For lille mængde citrat</w:t>
      </w:r>
    </w:p>
    <w:p w:rsidR="009421F2" w:rsidRPr="00661D74" w:rsidRDefault="009421F2" w:rsidP="009421F2">
      <w:pPr>
        <w:ind w:left="851"/>
        <w:rPr>
          <w:sz w:val="24"/>
          <w:szCs w:val="24"/>
        </w:rPr>
      </w:pPr>
      <w:r w:rsidRPr="00661D74">
        <w:rPr>
          <w:sz w:val="24"/>
          <w:szCs w:val="24"/>
        </w:rPr>
        <w:t xml:space="preserve">Hvis de andre dialysevæsker, der anvendes i RCA-protokollen overkompenserer for </w:t>
      </w:r>
      <w:proofErr w:type="spellStart"/>
      <w:r w:rsidRPr="00661D74">
        <w:rPr>
          <w:sz w:val="24"/>
          <w:szCs w:val="24"/>
        </w:rPr>
        <w:t>Cifobans</w:t>
      </w:r>
      <w:proofErr w:type="spellEnd"/>
      <w:r w:rsidRPr="00661D74">
        <w:rPr>
          <w:sz w:val="24"/>
          <w:szCs w:val="24"/>
        </w:rPr>
        <w:t xml:space="preserve"> tilførsel af natrium og </w:t>
      </w:r>
      <w:proofErr w:type="spellStart"/>
      <w:r w:rsidRPr="00661D74">
        <w:rPr>
          <w:sz w:val="24"/>
          <w:szCs w:val="24"/>
        </w:rPr>
        <w:t>bicarbonat</w:t>
      </w:r>
      <w:proofErr w:type="spellEnd"/>
      <w:r w:rsidRPr="00661D74">
        <w:rPr>
          <w:sz w:val="24"/>
          <w:szCs w:val="24"/>
        </w:rPr>
        <w:t xml:space="preserve">, kan der opstå </w:t>
      </w:r>
      <w:proofErr w:type="spellStart"/>
      <w:r w:rsidRPr="00661D74">
        <w:rPr>
          <w:sz w:val="24"/>
          <w:szCs w:val="24"/>
        </w:rPr>
        <w:t>iatrogen</w:t>
      </w:r>
      <w:proofErr w:type="spellEnd"/>
      <w:r w:rsidRPr="00661D74">
        <w:rPr>
          <w:sz w:val="24"/>
          <w:szCs w:val="24"/>
        </w:rPr>
        <w:t xml:space="preserve"> metabolisk </w:t>
      </w:r>
      <w:proofErr w:type="spellStart"/>
      <w:r w:rsidRPr="00661D74">
        <w:rPr>
          <w:sz w:val="24"/>
          <w:szCs w:val="24"/>
        </w:rPr>
        <w:t>acidose</w:t>
      </w:r>
      <w:proofErr w:type="spellEnd"/>
      <w:r w:rsidRPr="00661D74">
        <w:rPr>
          <w:sz w:val="24"/>
          <w:szCs w:val="24"/>
        </w:rPr>
        <w:t xml:space="preserve"> og </w:t>
      </w:r>
      <w:proofErr w:type="spellStart"/>
      <w:r w:rsidRPr="00661D74">
        <w:rPr>
          <w:sz w:val="24"/>
          <w:szCs w:val="24"/>
        </w:rPr>
        <w:t>h</w:t>
      </w:r>
      <w:r w:rsidRPr="00661D74">
        <w:rPr>
          <w:rStyle w:val="trns-org-res"/>
          <w:sz w:val="24"/>
          <w:szCs w:val="24"/>
        </w:rPr>
        <w:t>yponatriæmi</w:t>
      </w:r>
      <w:proofErr w:type="spellEnd"/>
      <w:r w:rsidRPr="00661D74">
        <w:rPr>
          <w:rStyle w:val="trns-org-res"/>
          <w:sz w:val="24"/>
          <w:szCs w:val="24"/>
        </w:rPr>
        <w:t>. Disse forstyrrelser i serumbalancen kan behandles ved øge blodgennem</w:t>
      </w:r>
      <w:r>
        <w:rPr>
          <w:rStyle w:val="trns-org-res"/>
          <w:sz w:val="24"/>
          <w:szCs w:val="24"/>
        </w:rPr>
        <w:softHyphen/>
      </w:r>
      <w:r w:rsidRPr="00661D74">
        <w:rPr>
          <w:rStyle w:val="trns-org-res"/>
          <w:sz w:val="24"/>
          <w:szCs w:val="24"/>
        </w:rPr>
        <w:t>strømningshastigheden eller, hvis det er omfattet af RCA-protokollen, ved at reducere</w:t>
      </w:r>
      <w:r w:rsidRPr="00661D74">
        <w:rPr>
          <w:sz w:val="24"/>
          <w:szCs w:val="24"/>
        </w:rPr>
        <w:t xml:space="preserve"> </w:t>
      </w:r>
      <w:proofErr w:type="spellStart"/>
      <w:r w:rsidRPr="00661D74">
        <w:rPr>
          <w:sz w:val="24"/>
          <w:szCs w:val="24"/>
        </w:rPr>
        <w:t>dialysat</w:t>
      </w:r>
      <w:proofErr w:type="spellEnd"/>
      <w:r w:rsidRPr="00661D74">
        <w:rPr>
          <w:sz w:val="24"/>
          <w:szCs w:val="24"/>
        </w:rPr>
        <w:t>-</w:t>
      </w:r>
      <w:r w:rsidRPr="00661D74">
        <w:rPr>
          <w:rStyle w:val="trns-org-res"/>
          <w:sz w:val="24"/>
          <w:szCs w:val="24"/>
        </w:rPr>
        <w:t xml:space="preserve">gennemstrømningshastigheden. Disse interventioner øger den mængde natriumcitrat, som patienten får tilført. Vedvarende metabolisk </w:t>
      </w:r>
      <w:proofErr w:type="spellStart"/>
      <w:r w:rsidRPr="00661D74">
        <w:rPr>
          <w:rStyle w:val="trns-org-res"/>
          <w:sz w:val="24"/>
          <w:szCs w:val="24"/>
        </w:rPr>
        <w:t>acidose</w:t>
      </w:r>
      <w:proofErr w:type="spellEnd"/>
      <w:r w:rsidRPr="00661D74">
        <w:rPr>
          <w:rStyle w:val="trns-org-res"/>
          <w:sz w:val="24"/>
          <w:szCs w:val="24"/>
        </w:rPr>
        <w:t xml:space="preserve"> og </w:t>
      </w:r>
      <w:proofErr w:type="spellStart"/>
      <w:r w:rsidRPr="00661D74">
        <w:rPr>
          <w:sz w:val="24"/>
          <w:szCs w:val="24"/>
        </w:rPr>
        <w:t>h</w:t>
      </w:r>
      <w:r w:rsidRPr="00661D74">
        <w:rPr>
          <w:rStyle w:val="trns-org-res"/>
          <w:sz w:val="24"/>
          <w:szCs w:val="24"/>
        </w:rPr>
        <w:t>yponatriæmi</w:t>
      </w:r>
      <w:proofErr w:type="spellEnd"/>
      <w:r w:rsidRPr="00661D74">
        <w:rPr>
          <w:rStyle w:val="trns-org-res"/>
          <w:sz w:val="24"/>
          <w:szCs w:val="24"/>
        </w:rPr>
        <w:t xml:space="preserve"> kan ydermere behandles med kontrolleret infusion af en </w:t>
      </w:r>
      <w:proofErr w:type="spellStart"/>
      <w:r w:rsidRPr="00661D74">
        <w:rPr>
          <w:rStyle w:val="trns-org-res"/>
          <w:sz w:val="24"/>
          <w:szCs w:val="24"/>
        </w:rPr>
        <w:t>natriumhydrogencarbonat</w:t>
      </w:r>
      <w:proofErr w:type="spellEnd"/>
      <w:r w:rsidRPr="00661D74">
        <w:rPr>
          <w:rStyle w:val="trns-org-res"/>
          <w:sz w:val="24"/>
          <w:szCs w:val="24"/>
        </w:rPr>
        <w:t>-opløsning.</w:t>
      </w:r>
    </w:p>
    <w:p w:rsidR="009421F2" w:rsidRPr="00661D74" w:rsidRDefault="009421F2" w:rsidP="009421F2">
      <w:pPr>
        <w:ind w:left="851"/>
        <w:rPr>
          <w:sz w:val="24"/>
          <w:szCs w:val="24"/>
        </w:rPr>
      </w:pPr>
    </w:p>
    <w:p w:rsidR="009421F2" w:rsidRPr="00661D74" w:rsidRDefault="009421F2" w:rsidP="009421F2">
      <w:pPr>
        <w:ind w:left="851"/>
        <w:rPr>
          <w:rStyle w:val="trns-org-res"/>
          <w:b/>
          <w:bCs/>
          <w:i/>
          <w:iCs/>
          <w:sz w:val="24"/>
          <w:szCs w:val="24"/>
        </w:rPr>
      </w:pPr>
      <w:bookmarkStart w:id="0" w:name="_Hlk86762446"/>
      <w:r w:rsidRPr="00661D74">
        <w:rPr>
          <w:rStyle w:val="trns-org-res"/>
          <w:b/>
          <w:bCs/>
          <w:i/>
          <w:iCs/>
          <w:sz w:val="24"/>
          <w:szCs w:val="24"/>
        </w:rPr>
        <w:t>Patienter med langvarig immobilisering</w:t>
      </w:r>
      <w:bookmarkEnd w:id="0"/>
      <w:r w:rsidRPr="00661D74">
        <w:rPr>
          <w:rStyle w:val="trns-org-res"/>
          <w:b/>
          <w:bCs/>
          <w:i/>
          <w:iCs/>
          <w:sz w:val="24"/>
          <w:szCs w:val="24"/>
        </w:rPr>
        <w:t xml:space="preserve"> </w:t>
      </w:r>
    </w:p>
    <w:p w:rsidR="009421F2" w:rsidRPr="00661D74" w:rsidRDefault="009421F2" w:rsidP="009421F2">
      <w:pPr>
        <w:ind w:left="851"/>
        <w:rPr>
          <w:rStyle w:val="trns-org-res"/>
          <w:sz w:val="24"/>
          <w:szCs w:val="24"/>
        </w:rPr>
      </w:pPr>
      <w:r w:rsidRPr="00661D74">
        <w:rPr>
          <w:rStyle w:val="trns-org-res"/>
          <w:sz w:val="24"/>
          <w:szCs w:val="24"/>
        </w:rPr>
        <w:t>Under</w:t>
      </w:r>
      <w:r w:rsidRPr="00661D74">
        <w:rPr>
          <w:sz w:val="24"/>
          <w:szCs w:val="24"/>
        </w:rPr>
        <w:t xml:space="preserve"> </w:t>
      </w:r>
      <w:r w:rsidRPr="00661D74">
        <w:rPr>
          <w:rStyle w:val="trns-org-res"/>
          <w:sz w:val="24"/>
          <w:szCs w:val="24"/>
        </w:rPr>
        <w:t xml:space="preserve">citratantikoagulation kan de tidlige tegn på ioniseret </w:t>
      </w:r>
      <w:proofErr w:type="spellStart"/>
      <w:r w:rsidRPr="00661D74">
        <w:rPr>
          <w:sz w:val="24"/>
          <w:szCs w:val="24"/>
        </w:rPr>
        <w:t>hypercalciæmi</w:t>
      </w:r>
      <w:proofErr w:type="spellEnd"/>
      <w:r w:rsidRPr="00661D74">
        <w:rPr>
          <w:sz w:val="24"/>
          <w:szCs w:val="24"/>
        </w:rPr>
        <w:t xml:space="preserve"> maskeres af en reduceret infusionshastighed af calcium. Især patienter, der befinder sig i en situation med langvarig immobilisering, kan opleve </w:t>
      </w:r>
      <w:proofErr w:type="spellStart"/>
      <w:r w:rsidRPr="00661D74">
        <w:rPr>
          <w:sz w:val="24"/>
          <w:szCs w:val="24"/>
        </w:rPr>
        <w:t>remodellering</w:t>
      </w:r>
      <w:proofErr w:type="spellEnd"/>
      <w:r w:rsidRPr="00661D74">
        <w:rPr>
          <w:sz w:val="24"/>
          <w:szCs w:val="24"/>
        </w:rPr>
        <w:t xml:space="preserve">/demineralisering af knoglevæv, </w:t>
      </w:r>
      <w:r w:rsidRPr="00661D74">
        <w:rPr>
          <w:sz w:val="24"/>
          <w:szCs w:val="24"/>
        </w:rPr>
        <w:lastRenderedPageBreak/>
        <w:t xml:space="preserve">hvilket resulterer i calciumtab i knoglevævet. Dette kan i sidste ende føre til knoglefrakturer. Hos patienter, der får RCA-behandling i længere end 2 uger, eller patienter hvor calcium-infusionshastigheden er gradvist faldende, </w:t>
      </w:r>
      <w:r>
        <w:rPr>
          <w:sz w:val="24"/>
          <w:szCs w:val="24"/>
        </w:rPr>
        <w:t>skal</w:t>
      </w:r>
      <w:r w:rsidRPr="00661D74">
        <w:rPr>
          <w:sz w:val="24"/>
          <w:szCs w:val="24"/>
        </w:rPr>
        <w:t xml:space="preserve"> </w:t>
      </w:r>
      <w:r w:rsidRPr="00661D74">
        <w:rPr>
          <w:rStyle w:val="trns-org-res"/>
          <w:sz w:val="24"/>
          <w:szCs w:val="24"/>
        </w:rPr>
        <w:t>markørerne for knogleomsætning monitoreres tæt.</w:t>
      </w:r>
    </w:p>
    <w:p w:rsidR="009421F2" w:rsidRPr="00661D74" w:rsidRDefault="009421F2" w:rsidP="009421F2">
      <w:pPr>
        <w:ind w:left="851"/>
        <w:rPr>
          <w:rStyle w:val="trns-org-res"/>
          <w:sz w:val="24"/>
          <w:szCs w:val="24"/>
        </w:rPr>
      </w:pPr>
    </w:p>
    <w:p w:rsidR="009421F2" w:rsidRPr="00661D74" w:rsidRDefault="009421F2" w:rsidP="009421F2">
      <w:pPr>
        <w:ind w:left="851"/>
        <w:rPr>
          <w:b/>
          <w:bCs/>
          <w:i/>
          <w:iCs/>
          <w:sz w:val="24"/>
          <w:szCs w:val="24"/>
        </w:rPr>
      </w:pPr>
      <w:r w:rsidRPr="00661D74">
        <w:rPr>
          <w:b/>
          <w:bCs/>
          <w:i/>
          <w:iCs/>
          <w:sz w:val="24"/>
          <w:szCs w:val="24"/>
        </w:rPr>
        <w:t>Tidlig koagulation på trods af citratantikoagulation</w:t>
      </w:r>
    </w:p>
    <w:p w:rsidR="009421F2" w:rsidRPr="00661D74" w:rsidRDefault="009421F2" w:rsidP="009421F2">
      <w:pPr>
        <w:ind w:left="851"/>
        <w:rPr>
          <w:sz w:val="24"/>
          <w:szCs w:val="24"/>
        </w:rPr>
      </w:pPr>
      <w:r w:rsidRPr="00661D74">
        <w:rPr>
          <w:sz w:val="24"/>
          <w:szCs w:val="24"/>
        </w:rPr>
        <w:t xml:space="preserve">Der kan opstå tidlig koagulation på trods af tilstrækkelig citratantikoagulation hos patienter, der befinder sig i en (mistænkt) </w:t>
      </w:r>
      <w:proofErr w:type="spellStart"/>
      <w:r w:rsidRPr="00661D74">
        <w:rPr>
          <w:sz w:val="24"/>
          <w:szCs w:val="24"/>
        </w:rPr>
        <w:t>hyperkoagulant</w:t>
      </w:r>
      <w:proofErr w:type="spellEnd"/>
      <w:r w:rsidRPr="00661D74">
        <w:rPr>
          <w:sz w:val="24"/>
          <w:szCs w:val="24"/>
        </w:rPr>
        <w:t xml:space="preserve"> tilstand (f.eks. </w:t>
      </w:r>
      <w:proofErr w:type="spellStart"/>
      <w:r w:rsidRPr="00661D74">
        <w:rPr>
          <w:sz w:val="24"/>
          <w:szCs w:val="24"/>
        </w:rPr>
        <w:t>heparin</w:t>
      </w:r>
      <w:proofErr w:type="spellEnd"/>
      <w:r w:rsidRPr="00661D74">
        <w:rPr>
          <w:sz w:val="24"/>
          <w:szCs w:val="24"/>
        </w:rPr>
        <w:t xml:space="preserve">-induceret </w:t>
      </w:r>
      <w:proofErr w:type="spellStart"/>
      <w:r w:rsidRPr="00661D74">
        <w:rPr>
          <w:rStyle w:val="trns-org-res"/>
          <w:sz w:val="24"/>
          <w:szCs w:val="24"/>
        </w:rPr>
        <w:t>trombocytopeni</w:t>
      </w:r>
      <w:proofErr w:type="spellEnd"/>
      <w:r w:rsidRPr="00661D74">
        <w:rPr>
          <w:sz w:val="24"/>
          <w:szCs w:val="24"/>
        </w:rPr>
        <w:t xml:space="preserve"> type II). Det kan være nødvendigt med passende systemisk </w:t>
      </w:r>
      <w:proofErr w:type="spellStart"/>
      <w:r w:rsidRPr="00661D74">
        <w:rPr>
          <w:sz w:val="24"/>
          <w:szCs w:val="24"/>
        </w:rPr>
        <w:t>antikoagulant</w:t>
      </w:r>
      <w:proofErr w:type="spellEnd"/>
      <w:r w:rsidRPr="00661D74">
        <w:rPr>
          <w:sz w:val="24"/>
          <w:szCs w:val="24"/>
        </w:rPr>
        <w:t xml:space="preserve"> behandling. Der kan anvendes citratantikoagulation for yderligere at forbedre filterets </w:t>
      </w:r>
      <w:r w:rsidRPr="00661D74">
        <w:rPr>
          <w:rStyle w:val="trns-org-res"/>
          <w:sz w:val="24"/>
          <w:szCs w:val="24"/>
        </w:rPr>
        <w:t>permeabilitet</w:t>
      </w:r>
      <w:r w:rsidRPr="00661D74">
        <w:rPr>
          <w:sz w:val="24"/>
          <w:szCs w:val="24"/>
        </w:rPr>
        <w:t>.</w:t>
      </w:r>
    </w:p>
    <w:p w:rsidR="009421F2" w:rsidRPr="00661D74" w:rsidRDefault="009421F2" w:rsidP="009421F2">
      <w:pPr>
        <w:ind w:left="851"/>
        <w:rPr>
          <w:sz w:val="24"/>
          <w:szCs w:val="24"/>
        </w:rPr>
      </w:pPr>
    </w:p>
    <w:p w:rsidR="009421F2" w:rsidRPr="00661D74" w:rsidRDefault="009421F2" w:rsidP="009421F2">
      <w:pPr>
        <w:ind w:left="851"/>
        <w:rPr>
          <w:sz w:val="24"/>
          <w:szCs w:val="24"/>
          <w:u w:val="single"/>
        </w:rPr>
      </w:pPr>
      <w:r w:rsidRPr="00661D74">
        <w:rPr>
          <w:sz w:val="24"/>
          <w:szCs w:val="24"/>
          <w:u w:val="single"/>
        </w:rPr>
        <w:t>Forsigtighedsregler</w:t>
      </w:r>
    </w:p>
    <w:p w:rsidR="009421F2" w:rsidRPr="00661D74" w:rsidRDefault="009421F2" w:rsidP="009421F2">
      <w:pPr>
        <w:rPr>
          <w:sz w:val="24"/>
          <w:szCs w:val="24"/>
        </w:rPr>
      </w:pPr>
    </w:p>
    <w:p w:rsidR="009421F2" w:rsidRPr="00661D74" w:rsidRDefault="009421F2" w:rsidP="009421F2">
      <w:pPr>
        <w:ind w:left="851"/>
        <w:rPr>
          <w:b/>
          <w:bCs/>
          <w:i/>
          <w:iCs/>
          <w:sz w:val="24"/>
          <w:szCs w:val="24"/>
        </w:rPr>
      </w:pPr>
      <w:r w:rsidRPr="00661D74">
        <w:rPr>
          <w:b/>
          <w:bCs/>
          <w:i/>
          <w:iCs/>
          <w:sz w:val="24"/>
          <w:szCs w:val="24"/>
        </w:rPr>
        <w:t xml:space="preserve">Forgiftning der forårsager </w:t>
      </w:r>
      <w:proofErr w:type="spellStart"/>
      <w:r w:rsidRPr="00661D74">
        <w:rPr>
          <w:b/>
          <w:bCs/>
          <w:i/>
          <w:iCs/>
          <w:sz w:val="24"/>
          <w:szCs w:val="24"/>
        </w:rPr>
        <w:t>mitokondriel</w:t>
      </w:r>
      <w:proofErr w:type="spellEnd"/>
      <w:r w:rsidRPr="00661D74">
        <w:rPr>
          <w:b/>
          <w:bCs/>
          <w:i/>
          <w:iCs/>
          <w:sz w:val="24"/>
          <w:szCs w:val="24"/>
        </w:rPr>
        <w:t xml:space="preserve"> dysfunktion </w:t>
      </w:r>
    </w:p>
    <w:p w:rsidR="009421F2" w:rsidRPr="00661D74" w:rsidRDefault="009421F2" w:rsidP="009421F2">
      <w:pPr>
        <w:ind w:left="851"/>
        <w:rPr>
          <w:bCs/>
          <w:iCs/>
          <w:sz w:val="24"/>
          <w:szCs w:val="24"/>
        </w:rPr>
      </w:pPr>
      <w:r w:rsidRPr="00661D74">
        <w:rPr>
          <w:bCs/>
          <w:iCs/>
          <w:sz w:val="24"/>
          <w:szCs w:val="24"/>
        </w:rPr>
        <w:t xml:space="preserve">Patienter med kendt svær </w:t>
      </w:r>
      <w:proofErr w:type="spellStart"/>
      <w:r w:rsidRPr="00D426CB">
        <w:rPr>
          <w:bCs/>
          <w:iCs/>
          <w:sz w:val="24"/>
          <w:szCs w:val="24"/>
        </w:rPr>
        <w:t>mitokondriel</w:t>
      </w:r>
      <w:proofErr w:type="spellEnd"/>
      <w:r w:rsidRPr="00D426CB">
        <w:rPr>
          <w:bCs/>
          <w:iCs/>
          <w:sz w:val="24"/>
          <w:szCs w:val="24"/>
        </w:rPr>
        <w:t xml:space="preserve"> dysfunktion</w:t>
      </w:r>
      <w:r w:rsidRPr="00661D74">
        <w:rPr>
          <w:bCs/>
          <w:iCs/>
          <w:sz w:val="24"/>
          <w:szCs w:val="24"/>
        </w:rPr>
        <w:t xml:space="preserve"> (f.eks. paracetamol- og </w:t>
      </w:r>
      <w:proofErr w:type="spellStart"/>
      <w:r w:rsidRPr="00661D74">
        <w:rPr>
          <w:bCs/>
          <w:iCs/>
          <w:sz w:val="24"/>
          <w:szCs w:val="24"/>
        </w:rPr>
        <w:t>metformin</w:t>
      </w:r>
      <w:proofErr w:type="spellEnd"/>
      <w:r w:rsidRPr="00661D74">
        <w:rPr>
          <w:bCs/>
          <w:iCs/>
          <w:sz w:val="24"/>
          <w:szCs w:val="24"/>
        </w:rPr>
        <w:t xml:space="preserve">-forgiftning) bør behandles med en anden </w:t>
      </w:r>
      <w:proofErr w:type="spellStart"/>
      <w:r w:rsidRPr="00661D74">
        <w:rPr>
          <w:bCs/>
          <w:iCs/>
          <w:sz w:val="24"/>
          <w:szCs w:val="24"/>
        </w:rPr>
        <w:t>antikoagulationsprotokol</w:t>
      </w:r>
      <w:proofErr w:type="spellEnd"/>
      <w:r w:rsidRPr="00661D74">
        <w:rPr>
          <w:bCs/>
          <w:iCs/>
          <w:sz w:val="24"/>
          <w:szCs w:val="24"/>
        </w:rPr>
        <w:t xml:space="preserve"> for at mindske risikoen or citrat-akkumulering (se ovenfor i dette pkt. 4.4). Hvis behandling med </w:t>
      </w:r>
      <w:proofErr w:type="spellStart"/>
      <w:r w:rsidRPr="00661D74">
        <w:rPr>
          <w:bCs/>
          <w:iCs/>
          <w:sz w:val="24"/>
          <w:szCs w:val="24"/>
        </w:rPr>
        <w:t>Cifoban</w:t>
      </w:r>
      <w:proofErr w:type="spellEnd"/>
      <w:r w:rsidRPr="00661D74">
        <w:rPr>
          <w:bCs/>
          <w:iCs/>
          <w:sz w:val="24"/>
          <w:szCs w:val="24"/>
        </w:rPr>
        <w:t xml:space="preserve"> indledes, skal doseringen for særlige populationer i pkt. 4.2 følges.</w:t>
      </w:r>
    </w:p>
    <w:p w:rsidR="009421F2" w:rsidRPr="00661D74" w:rsidRDefault="009421F2" w:rsidP="009421F2">
      <w:pPr>
        <w:rPr>
          <w:sz w:val="24"/>
          <w:szCs w:val="24"/>
        </w:rPr>
      </w:pPr>
    </w:p>
    <w:p w:rsidR="009421F2" w:rsidRPr="00661D74" w:rsidRDefault="009421F2" w:rsidP="009421F2">
      <w:pPr>
        <w:ind w:left="851"/>
        <w:rPr>
          <w:b/>
          <w:i/>
          <w:sz w:val="24"/>
          <w:szCs w:val="24"/>
        </w:rPr>
      </w:pPr>
      <w:r w:rsidRPr="00661D74">
        <w:rPr>
          <w:b/>
          <w:i/>
          <w:sz w:val="24"/>
          <w:szCs w:val="24"/>
        </w:rPr>
        <w:t xml:space="preserve">Eksisterende </w:t>
      </w:r>
      <w:proofErr w:type="spellStart"/>
      <w:r w:rsidRPr="00661D74">
        <w:rPr>
          <w:b/>
          <w:i/>
          <w:sz w:val="24"/>
          <w:szCs w:val="24"/>
        </w:rPr>
        <w:t>hypokalcæmi</w:t>
      </w:r>
      <w:proofErr w:type="spellEnd"/>
    </w:p>
    <w:p w:rsidR="009421F2" w:rsidRPr="00661D74" w:rsidRDefault="009421F2" w:rsidP="009421F2">
      <w:pPr>
        <w:ind w:left="851"/>
        <w:rPr>
          <w:bCs/>
          <w:iCs/>
          <w:sz w:val="24"/>
          <w:szCs w:val="24"/>
        </w:rPr>
      </w:pPr>
      <w:r w:rsidRPr="00661D74">
        <w:rPr>
          <w:bCs/>
          <w:iCs/>
          <w:sz w:val="24"/>
          <w:szCs w:val="24"/>
        </w:rPr>
        <w:t xml:space="preserve">Kritisk syge patienter kan have </w:t>
      </w:r>
      <w:proofErr w:type="spellStart"/>
      <w:r w:rsidRPr="00661D74">
        <w:rPr>
          <w:bCs/>
          <w:iCs/>
          <w:sz w:val="24"/>
          <w:szCs w:val="24"/>
        </w:rPr>
        <w:t>hypokalcæmi</w:t>
      </w:r>
      <w:proofErr w:type="spellEnd"/>
      <w:r w:rsidRPr="00661D74">
        <w:rPr>
          <w:bCs/>
          <w:iCs/>
          <w:sz w:val="24"/>
          <w:szCs w:val="24"/>
        </w:rPr>
        <w:t xml:space="preserve">. Under behandling med citratantikoagulation kan der ske et fald i koncentrationen af systemisk ioniseret calcium i de første timer af behandlingen, hvilket efterfølgende normaliseres. Derfor bør eksisterende </w:t>
      </w:r>
      <w:proofErr w:type="spellStart"/>
      <w:r w:rsidRPr="00661D74">
        <w:rPr>
          <w:bCs/>
          <w:iCs/>
          <w:sz w:val="24"/>
          <w:szCs w:val="24"/>
        </w:rPr>
        <w:t>hypokalcæmi</w:t>
      </w:r>
      <w:proofErr w:type="spellEnd"/>
      <w:r w:rsidRPr="00661D74">
        <w:rPr>
          <w:bCs/>
          <w:iCs/>
          <w:sz w:val="24"/>
          <w:szCs w:val="24"/>
        </w:rPr>
        <w:t xml:space="preserve"> så vidt muligt behandles, før behandlingen med </w:t>
      </w:r>
      <w:proofErr w:type="spellStart"/>
      <w:r w:rsidRPr="00661D74">
        <w:rPr>
          <w:bCs/>
          <w:iCs/>
          <w:sz w:val="24"/>
          <w:szCs w:val="24"/>
        </w:rPr>
        <w:t>Cifoban</w:t>
      </w:r>
      <w:proofErr w:type="spellEnd"/>
      <w:r w:rsidRPr="00661D74">
        <w:rPr>
          <w:bCs/>
          <w:iCs/>
          <w:sz w:val="24"/>
          <w:szCs w:val="24"/>
        </w:rPr>
        <w:t xml:space="preserve"> indledes for at mindske risikoen for, at patienten får klinisk signifikant </w:t>
      </w:r>
      <w:proofErr w:type="spellStart"/>
      <w:r w:rsidRPr="00661D74">
        <w:rPr>
          <w:bCs/>
          <w:iCs/>
          <w:sz w:val="24"/>
          <w:szCs w:val="24"/>
        </w:rPr>
        <w:t>hypokalcæmi</w:t>
      </w:r>
      <w:proofErr w:type="spellEnd"/>
      <w:r w:rsidRPr="00661D74">
        <w:rPr>
          <w:bCs/>
          <w:iCs/>
          <w:sz w:val="24"/>
          <w:szCs w:val="24"/>
        </w:rPr>
        <w:t xml:space="preserve"> efter initiering af behandlingen.</w:t>
      </w:r>
    </w:p>
    <w:p w:rsidR="009421F2" w:rsidRPr="00661D74" w:rsidRDefault="009421F2" w:rsidP="009421F2">
      <w:pPr>
        <w:ind w:left="851"/>
        <w:rPr>
          <w:bCs/>
          <w:iCs/>
          <w:sz w:val="24"/>
          <w:szCs w:val="24"/>
        </w:rPr>
      </w:pPr>
    </w:p>
    <w:p w:rsidR="009421F2" w:rsidRPr="00661D74" w:rsidRDefault="009421F2" w:rsidP="009421F2">
      <w:pPr>
        <w:autoSpaceDE w:val="0"/>
        <w:autoSpaceDN w:val="0"/>
        <w:adjustRightInd w:val="0"/>
        <w:ind w:left="851"/>
        <w:rPr>
          <w:b/>
          <w:bCs/>
          <w:i/>
          <w:iCs/>
          <w:sz w:val="24"/>
          <w:szCs w:val="24"/>
        </w:rPr>
      </w:pPr>
      <w:r w:rsidRPr="00661D74">
        <w:rPr>
          <w:b/>
          <w:bCs/>
          <w:i/>
          <w:iCs/>
          <w:sz w:val="24"/>
          <w:szCs w:val="24"/>
        </w:rPr>
        <w:t xml:space="preserve">Kompleksdannelse og </w:t>
      </w:r>
      <w:proofErr w:type="spellStart"/>
      <w:r w:rsidRPr="00661D74">
        <w:rPr>
          <w:b/>
          <w:bCs/>
          <w:i/>
          <w:iCs/>
          <w:sz w:val="24"/>
          <w:szCs w:val="24"/>
        </w:rPr>
        <w:t>clearance</w:t>
      </w:r>
      <w:proofErr w:type="spellEnd"/>
      <w:r w:rsidRPr="00661D74">
        <w:rPr>
          <w:b/>
          <w:bCs/>
          <w:i/>
          <w:iCs/>
          <w:sz w:val="24"/>
          <w:szCs w:val="24"/>
        </w:rPr>
        <w:t xml:space="preserve"> af calcium og magnesium</w:t>
      </w:r>
    </w:p>
    <w:p w:rsidR="009421F2" w:rsidRPr="00661D74" w:rsidRDefault="009421F2" w:rsidP="009421F2">
      <w:pPr>
        <w:autoSpaceDE w:val="0"/>
        <w:autoSpaceDN w:val="0"/>
        <w:adjustRightInd w:val="0"/>
        <w:ind w:left="851"/>
        <w:rPr>
          <w:sz w:val="24"/>
          <w:szCs w:val="24"/>
        </w:rPr>
      </w:pPr>
      <w:r w:rsidRPr="00661D74">
        <w:rPr>
          <w:sz w:val="24"/>
          <w:szCs w:val="24"/>
        </w:rPr>
        <w:t xml:space="preserve">Citrat kan danne </w:t>
      </w:r>
      <w:proofErr w:type="spellStart"/>
      <w:r w:rsidRPr="00661D74">
        <w:rPr>
          <w:sz w:val="24"/>
          <w:szCs w:val="24"/>
        </w:rPr>
        <w:t>chelater</w:t>
      </w:r>
      <w:proofErr w:type="spellEnd"/>
      <w:r w:rsidRPr="00661D74">
        <w:rPr>
          <w:sz w:val="24"/>
          <w:szCs w:val="24"/>
        </w:rPr>
        <w:t xml:space="preserve"> med calcium- og </w:t>
      </w:r>
      <w:proofErr w:type="spellStart"/>
      <w:r w:rsidRPr="00661D74">
        <w:rPr>
          <w:sz w:val="24"/>
          <w:szCs w:val="24"/>
        </w:rPr>
        <w:t>magnesiumioner</w:t>
      </w:r>
      <w:proofErr w:type="spellEnd"/>
      <w:r w:rsidRPr="00661D74">
        <w:rPr>
          <w:sz w:val="24"/>
          <w:szCs w:val="24"/>
        </w:rPr>
        <w:t xml:space="preserve">, som efterfølgende elimineres via filteret, hvilket kan forårsage </w:t>
      </w:r>
      <w:proofErr w:type="spellStart"/>
      <w:r w:rsidRPr="00661D74">
        <w:rPr>
          <w:sz w:val="24"/>
          <w:szCs w:val="24"/>
        </w:rPr>
        <w:t>hypokalcæmi</w:t>
      </w:r>
      <w:proofErr w:type="spellEnd"/>
      <w:r w:rsidRPr="00661D74">
        <w:rPr>
          <w:sz w:val="24"/>
          <w:szCs w:val="24"/>
        </w:rPr>
        <w:t xml:space="preserve"> (se pkt. 4.8 og 4.9) og/eller </w:t>
      </w:r>
      <w:proofErr w:type="spellStart"/>
      <w:r w:rsidRPr="00661D74">
        <w:rPr>
          <w:sz w:val="24"/>
          <w:szCs w:val="24"/>
        </w:rPr>
        <w:t>hypomagnesiæmi</w:t>
      </w:r>
      <w:proofErr w:type="spellEnd"/>
      <w:r w:rsidRPr="00661D74">
        <w:rPr>
          <w:sz w:val="24"/>
          <w:szCs w:val="24"/>
        </w:rPr>
        <w:t xml:space="preserve"> (se pkt. 4.8). Infusion af calcium for at kompensere for calciumtabet er standardpraksis, lige som det kan være nødvendigt med magnesiumtilskud. Behovet for kompensation skal være en del af RCA-protokollen.</w:t>
      </w:r>
    </w:p>
    <w:p w:rsidR="009421F2" w:rsidRPr="00661D74" w:rsidRDefault="009421F2" w:rsidP="009421F2">
      <w:pPr>
        <w:ind w:left="851"/>
        <w:rPr>
          <w:bCs/>
          <w:iCs/>
          <w:sz w:val="24"/>
          <w:szCs w:val="24"/>
        </w:rPr>
      </w:pPr>
    </w:p>
    <w:p w:rsidR="009421F2" w:rsidRPr="00661D74" w:rsidRDefault="009421F2" w:rsidP="009421F2">
      <w:pPr>
        <w:ind w:left="851"/>
        <w:rPr>
          <w:b/>
          <w:i/>
          <w:sz w:val="24"/>
          <w:szCs w:val="24"/>
        </w:rPr>
      </w:pPr>
      <w:r w:rsidRPr="00661D74">
        <w:rPr>
          <w:b/>
          <w:i/>
          <w:sz w:val="24"/>
          <w:szCs w:val="24"/>
        </w:rPr>
        <w:t>Terapeutisk plasmaudskiftning (TPE)</w:t>
      </w:r>
    </w:p>
    <w:p w:rsidR="009421F2" w:rsidRPr="00661D74" w:rsidRDefault="009421F2" w:rsidP="009421F2">
      <w:pPr>
        <w:ind w:left="851"/>
        <w:rPr>
          <w:bCs/>
          <w:iCs/>
          <w:sz w:val="24"/>
          <w:szCs w:val="24"/>
        </w:rPr>
      </w:pPr>
      <w:r w:rsidRPr="00661D74">
        <w:rPr>
          <w:bCs/>
          <w:iCs/>
          <w:sz w:val="24"/>
          <w:szCs w:val="24"/>
        </w:rPr>
        <w:t>Plasmaprodukter, der indeholder citrat, f.eks. frisk, frosset plasma, er ofte en del af udskiftningsprotokollen for TPE hos kritisk syge patienter. Ud over at tilføre patienten store mængder citrat, kan plasmaprodukter ligeledes indeholde store mængder natrium. Risikoen for både citrat-akkumulering og tilførsel af for store mængder citrat er således forøget (se ovenstående). Behandlingen skal være en del af RCA-protokollen.</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4.5</w:t>
      </w:r>
      <w:r w:rsidRPr="00661D74">
        <w:rPr>
          <w:b/>
          <w:sz w:val="24"/>
          <w:szCs w:val="24"/>
        </w:rPr>
        <w:tab/>
        <w:t>Interaktion med andre lægemidler og andre former for interaktion</w:t>
      </w:r>
    </w:p>
    <w:p w:rsidR="00A21F0B" w:rsidRDefault="00A21F0B" w:rsidP="00661D74">
      <w:pPr>
        <w:spacing w:line="260" w:lineRule="exact"/>
        <w:ind w:left="851"/>
        <w:rPr>
          <w:sz w:val="24"/>
          <w:szCs w:val="24"/>
          <w:u w:val="single"/>
        </w:rPr>
      </w:pPr>
    </w:p>
    <w:p w:rsidR="007C4075" w:rsidRPr="00661D74" w:rsidRDefault="007C4075" w:rsidP="00A21F0B">
      <w:pPr>
        <w:ind w:left="851"/>
        <w:rPr>
          <w:sz w:val="24"/>
          <w:szCs w:val="24"/>
          <w:u w:val="single"/>
        </w:rPr>
      </w:pPr>
      <w:r w:rsidRPr="00661D74">
        <w:rPr>
          <w:sz w:val="24"/>
          <w:szCs w:val="24"/>
          <w:u w:val="single"/>
        </w:rPr>
        <w:t>Lægemiddelinteraktioner</w:t>
      </w:r>
    </w:p>
    <w:p w:rsidR="007C4075" w:rsidRPr="00661D74" w:rsidRDefault="007C4075" w:rsidP="00A21F0B">
      <w:pPr>
        <w:ind w:left="851"/>
        <w:rPr>
          <w:sz w:val="24"/>
          <w:szCs w:val="24"/>
        </w:rPr>
      </w:pPr>
      <w:r w:rsidRPr="00661D74">
        <w:rPr>
          <w:sz w:val="24"/>
          <w:szCs w:val="24"/>
        </w:rPr>
        <w:t xml:space="preserve">Der forventes ikke nogen </w:t>
      </w:r>
      <w:proofErr w:type="spellStart"/>
      <w:r w:rsidRPr="00661D74">
        <w:rPr>
          <w:sz w:val="24"/>
          <w:szCs w:val="24"/>
        </w:rPr>
        <w:t>farmakodynamisk</w:t>
      </w:r>
      <w:proofErr w:type="spellEnd"/>
      <w:r w:rsidRPr="00661D74">
        <w:rPr>
          <w:sz w:val="24"/>
          <w:szCs w:val="24"/>
        </w:rPr>
        <w:t xml:space="preserve"> lægemiddelinteraktion mellem indholdsstofferne i </w:t>
      </w:r>
      <w:proofErr w:type="spellStart"/>
      <w:r w:rsidRPr="00661D74">
        <w:rPr>
          <w:sz w:val="24"/>
          <w:szCs w:val="24"/>
        </w:rPr>
        <w:t>Cifoban</w:t>
      </w:r>
      <w:proofErr w:type="spellEnd"/>
      <w:r w:rsidRPr="00661D74">
        <w:rPr>
          <w:sz w:val="24"/>
          <w:szCs w:val="24"/>
        </w:rPr>
        <w:t>. Interaktioner kan kun forventes ved utilstrækkelig eller ukorrekt terapeutisk anvendelse af opløsningen (se pkt. 4.4 og 4.9).</w:t>
      </w:r>
    </w:p>
    <w:p w:rsidR="007C4075" w:rsidRPr="00661D74" w:rsidRDefault="007C4075" w:rsidP="00A21F0B">
      <w:pPr>
        <w:ind w:left="851"/>
        <w:rPr>
          <w:sz w:val="24"/>
          <w:szCs w:val="24"/>
        </w:rPr>
      </w:pPr>
    </w:p>
    <w:p w:rsidR="007C4075" w:rsidRPr="00661D74" w:rsidRDefault="007C4075" w:rsidP="00A21F0B">
      <w:pPr>
        <w:ind w:left="851"/>
        <w:rPr>
          <w:sz w:val="24"/>
          <w:szCs w:val="24"/>
        </w:rPr>
      </w:pPr>
      <w:r w:rsidRPr="00661D74">
        <w:rPr>
          <w:sz w:val="24"/>
          <w:szCs w:val="24"/>
        </w:rPr>
        <w:t xml:space="preserve">Der er ikke udført interaktions- eller forligelighedsstudier med andre lægemidler. Derfor må </w:t>
      </w:r>
      <w:proofErr w:type="spellStart"/>
      <w:r w:rsidRPr="00661D74">
        <w:rPr>
          <w:sz w:val="24"/>
          <w:szCs w:val="24"/>
        </w:rPr>
        <w:t>Cifoban</w:t>
      </w:r>
      <w:proofErr w:type="spellEnd"/>
      <w:r w:rsidRPr="00661D74">
        <w:rPr>
          <w:sz w:val="24"/>
          <w:szCs w:val="24"/>
        </w:rPr>
        <w:t xml:space="preserve"> ikke blandes med andre stoffer eller opløsninger (se også pkt. 6.2).</w:t>
      </w:r>
    </w:p>
    <w:p w:rsidR="007C4075" w:rsidRPr="00661D74" w:rsidRDefault="007C4075" w:rsidP="00A21F0B">
      <w:pPr>
        <w:ind w:left="851"/>
        <w:rPr>
          <w:sz w:val="24"/>
          <w:szCs w:val="24"/>
        </w:rPr>
      </w:pPr>
    </w:p>
    <w:p w:rsidR="007C4075" w:rsidRPr="00661D74" w:rsidRDefault="007C4075" w:rsidP="00A21F0B">
      <w:pPr>
        <w:ind w:left="851"/>
        <w:rPr>
          <w:sz w:val="24"/>
          <w:szCs w:val="24"/>
        </w:rPr>
      </w:pPr>
      <w:r w:rsidRPr="00661D74">
        <w:rPr>
          <w:sz w:val="24"/>
          <w:szCs w:val="24"/>
        </w:rPr>
        <w:lastRenderedPageBreak/>
        <w:t xml:space="preserve">Calciumholdige opløsninger, der tilføres ved filteret (dvs. dialysevæske) eller før filteret, kan reducere </w:t>
      </w:r>
      <w:proofErr w:type="spellStart"/>
      <w:r w:rsidRPr="00661D74">
        <w:rPr>
          <w:sz w:val="24"/>
          <w:szCs w:val="24"/>
        </w:rPr>
        <w:t>Cifobans</w:t>
      </w:r>
      <w:proofErr w:type="spellEnd"/>
      <w:r w:rsidRPr="00661D74">
        <w:rPr>
          <w:sz w:val="24"/>
          <w:szCs w:val="24"/>
        </w:rPr>
        <w:t xml:space="preserve"> virkning. </w:t>
      </w:r>
    </w:p>
    <w:p w:rsidR="007C4075" w:rsidRPr="00661D74" w:rsidRDefault="007C4075" w:rsidP="00A21F0B">
      <w:pPr>
        <w:ind w:left="851"/>
        <w:rPr>
          <w:sz w:val="24"/>
          <w:szCs w:val="24"/>
        </w:rPr>
      </w:pPr>
    </w:p>
    <w:p w:rsidR="007C4075" w:rsidRPr="00661D74" w:rsidRDefault="007C4075" w:rsidP="00A21F0B">
      <w:pPr>
        <w:ind w:left="851"/>
        <w:rPr>
          <w:bCs/>
          <w:iCs/>
          <w:sz w:val="24"/>
          <w:szCs w:val="24"/>
        </w:rPr>
      </w:pPr>
      <w:r w:rsidRPr="00661D74">
        <w:rPr>
          <w:sz w:val="24"/>
          <w:szCs w:val="24"/>
        </w:rPr>
        <w:t xml:space="preserve">Interaktion med natriumholdige lægemidler er mulig, hvilket kan øge risikoen for </w:t>
      </w:r>
      <w:bookmarkStart w:id="1" w:name="_Hlk30505453"/>
      <w:proofErr w:type="spellStart"/>
      <w:r w:rsidRPr="00661D74">
        <w:rPr>
          <w:sz w:val="24"/>
          <w:szCs w:val="24"/>
        </w:rPr>
        <w:t>hypernatriæmi</w:t>
      </w:r>
      <w:proofErr w:type="spellEnd"/>
      <w:r w:rsidRPr="00661D74">
        <w:rPr>
          <w:sz w:val="24"/>
          <w:szCs w:val="24"/>
        </w:rPr>
        <w:t xml:space="preserve"> </w:t>
      </w:r>
      <w:bookmarkEnd w:id="1"/>
      <w:r w:rsidRPr="00661D74">
        <w:rPr>
          <w:sz w:val="24"/>
          <w:szCs w:val="24"/>
        </w:rPr>
        <w:t xml:space="preserve">(se pkt. 4.8). På tilsvarende vis kan lægemidler, der indeholder </w:t>
      </w:r>
      <w:bookmarkStart w:id="2" w:name="_Hlk30505474"/>
      <w:proofErr w:type="spellStart"/>
      <w:r w:rsidRPr="00661D74">
        <w:rPr>
          <w:sz w:val="24"/>
          <w:szCs w:val="24"/>
        </w:rPr>
        <w:t>hydrogencarbonat</w:t>
      </w:r>
      <w:proofErr w:type="spellEnd"/>
      <w:r w:rsidRPr="00661D74">
        <w:rPr>
          <w:sz w:val="24"/>
          <w:szCs w:val="24"/>
        </w:rPr>
        <w:t xml:space="preserve"> (eller dets forstadier, der </w:t>
      </w:r>
      <w:proofErr w:type="spellStart"/>
      <w:r w:rsidRPr="00661D74">
        <w:rPr>
          <w:sz w:val="24"/>
          <w:szCs w:val="24"/>
        </w:rPr>
        <w:t>metaboliseres</w:t>
      </w:r>
      <w:proofErr w:type="spellEnd"/>
      <w:r w:rsidRPr="00661D74">
        <w:rPr>
          <w:sz w:val="24"/>
          <w:szCs w:val="24"/>
        </w:rPr>
        <w:t xml:space="preserve"> til </w:t>
      </w:r>
      <w:proofErr w:type="spellStart"/>
      <w:r w:rsidRPr="00661D74">
        <w:rPr>
          <w:sz w:val="24"/>
          <w:szCs w:val="24"/>
        </w:rPr>
        <w:t>hydrogencarbonat</w:t>
      </w:r>
      <w:proofErr w:type="spellEnd"/>
      <w:r w:rsidRPr="00661D74">
        <w:rPr>
          <w:sz w:val="24"/>
          <w:szCs w:val="24"/>
        </w:rPr>
        <w:t xml:space="preserve">, f.eks. acetat) øge risikoen for en høj koncentration af </w:t>
      </w:r>
      <w:proofErr w:type="spellStart"/>
      <w:r w:rsidRPr="00661D74">
        <w:rPr>
          <w:sz w:val="24"/>
          <w:szCs w:val="24"/>
        </w:rPr>
        <w:t>hydrogencarbonat</w:t>
      </w:r>
      <w:proofErr w:type="spellEnd"/>
      <w:r w:rsidRPr="00661D74">
        <w:rPr>
          <w:sz w:val="24"/>
          <w:szCs w:val="24"/>
        </w:rPr>
        <w:t xml:space="preserve"> i blodet (metabolisk </w:t>
      </w:r>
      <w:proofErr w:type="spellStart"/>
      <w:r w:rsidRPr="00661D74">
        <w:rPr>
          <w:sz w:val="24"/>
          <w:szCs w:val="24"/>
        </w:rPr>
        <w:t>alkalose</w:t>
      </w:r>
      <w:bookmarkEnd w:id="2"/>
      <w:proofErr w:type="spellEnd"/>
      <w:r w:rsidRPr="00661D74">
        <w:rPr>
          <w:sz w:val="24"/>
          <w:szCs w:val="24"/>
        </w:rPr>
        <w:t>, se pkt. 4.8).</w:t>
      </w:r>
      <w:r w:rsidRPr="00661D74">
        <w:rPr>
          <w:bCs/>
          <w:iCs/>
          <w:sz w:val="24"/>
          <w:szCs w:val="24"/>
        </w:rPr>
        <w:t xml:space="preserve"> Plasmaprodukter, der indeholder citrat, kan således også øge risikoen for en højere koncentration af citrat i blodet (</w:t>
      </w:r>
      <w:proofErr w:type="spellStart"/>
      <w:r w:rsidRPr="00661D74">
        <w:rPr>
          <w:bCs/>
          <w:iCs/>
          <w:sz w:val="24"/>
          <w:szCs w:val="24"/>
        </w:rPr>
        <w:t>hypokalcæmi</w:t>
      </w:r>
      <w:proofErr w:type="spellEnd"/>
      <w:r w:rsidRPr="00661D74">
        <w:rPr>
          <w:bCs/>
          <w:iCs/>
          <w:sz w:val="24"/>
          <w:szCs w:val="24"/>
        </w:rPr>
        <w:t xml:space="preserve">, metabolisk </w:t>
      </w:r>
      <w:proofErr w:type="spellStart"/>
      <w:r w:rsidRPr="00661D74">
        <w:rPr>
          <w:bCs/>
          <w:iCs/>
          <w:sz w:val="24"/>
          <w:szCs w:val="24"/>
        </w:rPr>
        <w:t>acidose</w:t>
      </w:r>
      <w:proofErr w:type="spellEnd"/>
      <w:r w:rsidRPr="00661D74">
        <w:rPr>
          <w:bCs/>
          <w:iCs/>
          <w:sz w:val="24"/>
          <w:szCs w:val="24"/>
        </w:rPr>
        <w:t xml:space="preserve">, se pkt. 4.8) og øge risikoen for en høj koncentration af </w:t>
      </w:r>
      <w:proofErr w:type="spellStart"/>
      <w:r w:rsidRPr="00661D74">
        <w:rPr>
          <w:sz w:val="24"/>
          <w:szCs w:val="24"/>
        </w:rPr>
        <w:t>hydrogencarbonat</w:t>
      </w:r>
      <w:proofErr w:type="spellEnd"/>
      <w:r w:rsidRPr="00661D74">
        <w:rPr>
          <w:sz w:val="24"/>
          <w:szCs w:val="24"/>
        </w:rPr>
        <w:t xml:space="preserve"> i blodet (</w:t>
      </w:r>
      <w:r w:rsidRPr="00661D74">
        <w:rPr>
          <w:bCs/>
          <w:iCs/>
          <w:sz w:val="24"/>
          <w:szCs w:val="24"/>
        </w:rPr>
        <w:t xml:space="preserve">metabolisk </w:t>
      </w:r>
      <w:proofErr w:type="spellStart"/>
      <w:r w:rsidRPr="00661D74">
        <w:rPr>
          <w:bCs/>
          <w:iCs/>
          <w:sz w:val="24"/>
          <w:szCs w:val="24"/>
        </w:rPr>
        <w:t>alkalose</w:t>
      </w:r>
      <w:proofErr w:type="spellEnd"/>
      <w:r w:rsidRPr="00661D74">
        <w:rPr>
          <w:bCs/>
          <w:iCs/>
          <w:sz w:val="24"/>
          <w:szCs w:val="24"/>
        </w:rPr>
        <w:t>, se pkt. 4.8).</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4.6</w:t>
      </w:r>
      <w:r w:rsidRPr="00661D74">
        <w:rPr>
          <w:b/>
          <w:sz w:val="24"/>
          <w:szCs w:val="24"/>
        </w:rPr>
        <w:tab/>
      </w:r>
      <w:r w:rsidR="009421F2">
        <w:rPr>
          <w:b/>
          <w:sz w:val="24"/>
          <w:szCs w:val="24"/>
        </w:rPr>
        <w:t>Fertilitet, g</w:t>
      </w:r>
      <w:r w:rsidRPr="00661D74">
        <w:rPr>
          <w:b/>
          <w:sz w:val="24"/>
          <w:szCs w:val="24"/>
        </w:rPr>
        <w:t>raviditet og amning</w:t>
      </w:r>
    </w:p>
    <w:p w:rsidR="00A21F0B" w:rsidRDefault="00A21F0B" w:rsidP="00A21F0B">
      <w:pPr>
        <w:ind w:left="851"/>
        <w:rPr>
          <w:sz w:val="24"/>
          <w:szCs w:val="24"/>
          <w:u w:val="single"/>
        </w:rPr>
      </w:pPr>
    </w:p>
    <w:p w:rsidR="009421F2" w:rsidRPr="00661D74" w:rsidRDefault="009421F2" w:rsidP="009421F2">
      <w:pPr>
        <w:ind w:left="851"/>
        <w:rPr>
          <w:sz w:val="24"/>
          <w:szCs w:val="24"/>
          <w:u w:val="single"/>
        </w:rPr>
      </w:pPr>
      <w:r w:rsidRPr="00661D74">
        <w:rPr>
          <w:sz w:val="24"/>
          <w:szCs w:val="24"/>
          <w:u w:val="single"/>
        </w:rPr>
        <w:t>Graviditet og amning</w:t>
      </w:r>
    </w:p>
    <w:p w:rsidR="009421F2" w:rsidRPr="00661D74" w:rsidRDefault="009421F2" w:rsidP="009421F2">
      <w:pPr>
        <w:ind w:left="851"/>
        <w:rPr>
          <w:sz w:val="24"/>
          <w:szCs w:val="24"/>
        </w:rPr>
      </w:pPr>
      <w:r w:rsidRPr="00661D74">
        <w:rPr>
          <w:sz w:val="24"/>
          <w:szCs w:val="24"/>
        </w:rPr>
        <w:t xml:space="preserve">Der foreligger ingen data vedrørende brugen af </w:t>
      </w:r>
      <w:proofErr w:type="spellStart"/>
      <w:r w:rsidRPr="00661D74">
        <w:rPr>
          <w:sz w:val="24"/>
          <w:szCs w:val="24"/>
        </w:rPr>
        <w:t>Cifoban</w:t>
      </w:r>
      <w:proofErr w:type="spellEnd"/>
      <w:r w:rsidRPr="00661D74">
        <w:rPr>
          <w:sz w:val="24"/>
          <w:szCs w:val="24"/>
        </w:rPr>
        <w:t xml:space="preserve"> til gravide eller ammende kvinder. </w:t>
      </w:r>
    </w:p>
    <w:p w:rsidR="009421F2" w:rsidRPr="00661D74" w:rsidRDefault="009421F2" w:rsidP="009421F2">
      <w:pPr>
        <w:ind w:left="851"/>
        <w:rPr>
          <w:sz w:val="24"/>
          <w:szCs w:val="24"/>
        </w:rPr>
      </w:pPr>
      <w:r w:rsidRPr="00661D74">
        <w:rPr>
          <w:rStyle w:val="trns-org-res"/>
          <w:sz w:val="24"/>
          <w:szCs w:val="24"/>
        </w:rPr>
        <w:t xml:space="preserve">Data fra dyrestudier er utilstrækkelige, hvad angår reproduktionstoksicitet. </w:t>
      </w:r>
      <w:proofErr w:type="spellStart"/>
      <w:r w:rsidRPr="00661D74">
        <w:rPr>
          <w:sz w:val="24"/>
          <w:szCs w:val="24"/>
        </w:rPr>
        <w:t>Cifoban</w:t>
      </w:r>
      <w:proofErr w:type="spellEnd"/>
      <w:r w:rsidRPr="00661D74">
        <w:rPr>
          <w:sz w:val="24"/>
          <w:szCs w:val="24"/>
        </w:rPr>
        <w:t xml:space="preserve"> </w:t>
      </w:r>
      <w:r>
        <w:rPr>
          <w:sz w:val="24"/>
          <w:szCs w:val="24"/>
        </w:rPr>
        <w:t>må</w:t>
      </w:r>
      <w:r w:rsidRPr="00661D74">
        <w:rPr>
          <w:sz w:val="24"/>
          <w:szCs w:val="24"/>
        </w:rPr>
        <w:t xml:space="preserve"> ikke anvendes til gravide og ammende kvinder, medmindre kvindens kliniske tilstand nødvendiggør behandling med regional citratantikoagulation.</w:t>
      </w:r>
    </w:p>
    <w:p w:rsidR="009421F2" w:rsidRPr="00661D74" w:rsidRDefault="009421F2" w:rsidP="009421F2">
      <w:pPr>
        <w:ind w:left="851"/>
        <w:rPr>
          <w:sz w:val="24"/>
          <w:szCs w:val="24"/>
        </w:rPr>
      </w:pPr>
    </w:p>
    <w:p w:rsidR="009421F2" w:rsidRPr="00661D74" w:rsidRDefault="009421F2" w:rsidP="009421F2">
      <w:pPr>
        <w:ind w:left="851"/>
        <w:rPr>
          <w:sz w:val="24"/>
          <w:szCs w:val="24"/>
          <w:u w:val="single"/>
        </w:rPr>
      </w:pPr>
      <w:r w:rsidRPr="00661D74">
        <w:rPr>
          <w:sz w:val="24"/>
          <w:szCs w:val="24"/>
          <w:u w:val="single"/>
        </w:rPr>
        <w:t>Fertilitet</w:t>
      </w:r>
    </w:p>
    <w:p w:rsidR="009421F2" w:rsidRPr="00661D74" w:rsidRDefault="009421F2" w:rsidP="009421F2">
      <w:pPr>
        <w:ind w:left="851"/>
        <w:rPr>
          <w:sz w:val="24"/>
          <w:szCs w:val="24"/>
        </w:rPr>
      </w:pPr>
      <w:r w:rsidRPr="00661D74">
        <w:rPr>
          <w:sz w:val="24"/>
          <w:szCs w:val="24"/>
        </w:rPr>
        <w:t xml:space="preserve">Der foreligger ingen data om virkningen af natrium og citrat på fertiliteten hos mennesker. </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4.7</w:t>
      </w:r>
      <w:r w:rsidRPr="00661D74">
        <w:rPr>
          <w:b/>
          <w:sz w:val="24"/>
          <w:szCs w:val="24"/>
        </w:rPr>
        <w:tab/>
        <w:t xml:space="preserve">Virkning på evnen til at føre motorkøretøj </w:t>
      </w:r>
      <w:r w:rsidR="009421F2">
        <w:rPr>
          <w:b/>
          <w:sz w:val="24"/>
          <w:szCs w:val="24"/>
        </w:rPr>
        <w:t>og</w:t>
      </w:r>
      <w:r w:rsidRPr="00661D74">
        <w:rPr>
          <w:b/>
          <w:sz w:val="24"/>
          <w:szCs w:val="24"/>
        </w:rPr>
        <w:t xml:space="preserve"> betjene maskiner</w:t>
      </w:r>
    </w:p>
    <w:p w:rsidR="007823E6" w:rsidRPr="00661D74" w:rsidRDefault="007823E6" w:rsidP="007823E6">
      <w:pPr>
        <w:ind w:left="851"/>
        <w:rPr>
          <w:sz w:val="24"/>
          <w:szCs w:val="24"/>
        </w:rPr>
      </w:pPr>
      <w:r w:rsidRPr="00661D74">
        <w:rPr>
          <w:sz w:val="24"/>
          <w:szCs w:val="24"/>
        </w:rPr>
        <w:t xml:space="preserve">Ikke </w:t>
      </w:r>
      <w:r>
        <w:rPr>
          <w:sz w:val="24"/>
          <w:szCs w:val="24"/>
        </w:rPr>
        <w:t>mærkning</w:t>
      </w:r>
      <w:r w:rsidRPr="00661D74">
        <w:rPr>
          <w:sz w:val="24"/>
          <w:szCs w:val="24"/>
        </w:rPr>
        <w:t>.</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4.8</w:t>
      </w:r>
      <w:r w:rsidRPr="00661D74">
        <w:rPr>
          <w:b/>
          <w:sz w:val="24"/>
          <w:szCs w:val="24"/>
        </w:rPr>
        <w:tab/>
        <w:t>Bivirkninger</w:t>
      </w:r>
    </w:p>
    <w:p w:rsidR="009421F2" w:rsidRPr="00661D74" w:rsidRDefault="009421F2" w:rsidP="009421F2">
      <w:pPr>
        <w:autoSpaceDE w:val="0"/>
        <w:autoSpaceDN w:val="0"/>
        <w:adjustRightInd w:val="0"/>
        <w:ind w:left="851"/>
        <w:rPr>
          <w:sz w:val="24"/>
          <w:szCs w:val="24"/>
        </w:rPr>
      </w:pPr>
      <w:r w:rsidRPr="00661D74">
        <w:rPr>
          <w:sz w:val="24"/>
          <w:szCs w:val="24"/>
        </w:rPr>
        <w:t xml:space="preserve">Der kan opstå bivirkninger som følge af behandlingen med </w:t>
      </w:r>
      <w:proofErr w:type="spellStart"/>
      <w:r w:rsidRPr="00661D74">
        <w:rPr>
          <w:sz w:val="24"/>
          <w:szCs w:val="24"/>
        </w:rPr>
        <w:t>Cifoban</w:t>
      </w:r>
      <w:proofErr w:type="spellEnd"/>
      <w:r w:rsidRPr="00661D74">
        <w:rPr>
          <w:sz w:val="24"/>
          <w:szCs w:val="24"/>
        </w:rPr>
        <w:t xml:space="preserve"> væske eller dialysebehandlingen.</w:t>
      </w:r>
    </w:p>
    <w:p w:rsidR="009421F2" w:rsidRDefault="009421F2" w:rsidP="009421F2">
      <w:pPr>
        <w:autoSpaceDE w:val="0"/>
        <w:autoSpaceDN w:val="0"/>
        <w:adjustRightInd w:val="0"/>
        <w:rPr>
          <w:sz w:val="24"/>
          <w:szCs w:val="24"/>
        </w:rPr>
      </w:pPr>
    </w:p>
    <w:p w:rsidR="009421F2" w:rsidRPr="00F704D5" w:rsidRDefault="009421F2" w:rsidP="009421F2">
      <w:pPr>
        <w:widowControl w:val="0"/>
        <w:numPr>
          <w:ilvl w:val="12"/>
          <w:numId w:val="0"/>
        </w:numPr>
        <w:ind w:left="851"/>
        <w:jc w:val="both"/>
        <w:rPr>
          <w:sz w:val="24"/>
          <w:szCs w:val="24"/>
          <w:highlight w:val="yellow"/>
          <w:lang w:eastAsia="de-DE"/>
        </w:rPr>
      </w:pPr>
      <w:r w:rsidRPr="00F704D5">
        <w:rPr>
          <w:rStyle w:val="trns-org-res"/>
          <w:sz w:val="24"/>
          <w:szCs w:val="24"/>
        </w:rPr>
        <w:t>Bivirkninger er opstillet efter hyppighed i henhold til følgende konvention</w:t>
      </w:r>
      <w:r w:rsidRPr="00F704D5">
        <w:rPr>
          <w:sz w:val="24"/>
          <w:szCs w:val="24"/>
          <w:lang w:eastAsia="de-DE"/>
        </w:rPr>
        <w:t>:</w:t>
      </w:r>
    </w:p>
    <w:p w:rsidR="009421F2" w:rsidRPr="00F704D5" w:rsidRDefault="009421F2" w:rsidP="009421F2">
      <w:pPr>
        <w:widowControl w:val="0"/>
        <w:numPr>
          <w:ilvl w:val="12"/>
          <w:numId w:val="0"/>
        </w:numPr>
        <w:tabs>
          <w:tab w:val="left" w:pos="426"/>
        </w:tabs>
        <w:ind w:left="426"/>
        <w:jc w:val="both"/>
        <w:rPr>
          <w:sz w:val="24"/>
          <w:szCs w:val="24"/>
          <w:highlight w:val="yellow"/>
          <w:lang w:eastAsia="de-DE"/>
        </w:rPr>
      </w:pP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4423"/>
      </w:tblGrid>
      <w:tr w:rsidR="009421F2" w:rsidRPr="001C2A1B" w:rsidTr="00F704D5">
        <w:trPr>
          <w:trHeight w:val="284"/>
        </w:trPr>
        <w:tc>
          <w:tcPr>
            <w:tcW w:w="1530"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 xml:space="preserve">Meget almindelig </w:t>
            </w:r>
          </w:p>
        </w:tc>
        <w:tc>
          <w:tcPr>
            <w:tcW w:w="4423"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sym w:font="Symbol" w:char="F0B3"/>
            </w:r>
            <w:r w:rsidRPr="00F704D5">
              <w:rPr>
                <w:noProof/>
                <w:sz w:val="24"/>
                <w:szCs w:val="24"/>
                <w:lang w:eastAsia="de-DE"/>
              </w:rPr>
              <w:t>1/10</w:t>
            </w:r>
          </w:p>
        </w:tc>
      </w:tr>
      <w:tr w:rsidR="009421F2" w:rsidRPr="001C2A1B" w:rsidTr="00F704D5">
        <w:trPr>
          <w:trHeight w:val="284"/>
        </w:trPr>
        <w:tc>
          <w:tcPr>
            <w:tcW w:w="1530"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Almindelig</w:t>
            </w:r>
          </w:p>
        </w:tc>
        <w:tc>
          <w:tcPr>
            <w:tcW w:w="4423"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sym w:font="Symbol" w:char="F0B3"/>
            </w:r>
            <w:r w:rsidRPr="00F704D5">
              <w:rPr>
                <w:noProof/>
                <w:sz w:val="24"/>
                <w:szCs w:val="24"/>
                <w:lang w:eastAsia="de-DE"/>
              </w:rPr>
              <w:t>1/100 til &lt;1/10</w:t>
            </w:r>
          </w:p>
        </w:tc>
      </w:tr>
      <w:tr w:rsidR="009421F2" w:rsidRPr="001C2A1B" w:rsidTr="00F704D5">
        <w:trPr>
          <w:trHeight w:val="284"/>
        </w:trPr>
        <w:tc>
          <w:tcPr>
            <w:tcW w:w="1530"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Ikke almindelig</w:t>
            </w:r>
          </w:p>
        </w:tc>
        <w:tc>
          <w:tcPr>
            <w:tcW w:w="4423"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sym w:font="Symbol" w:char="F0B3"/>
            </w:r>
            <w:r w:rsidRPr="00F704D5">
              <w:rPr>
                <w:noProof/>
                <w:sz w:val="24"/>
                <w:szCs w:val="24"/>
                <w:lang w:eastAsia="de-DE"/>
              </w:rPr>
              <w:t>1/1.000 til &lt;1/100</w:t>
            </w:r>
          </w:p>
        </w:tc>
      </w:tr>
      <w:tr w:rsidR="009421F2" w:rsidRPr="001C2A1B" w:rsidTr="00F704D5">
        <w:trPr>
          <w:trHeight w:val="284"/>
        </w:trPr>
        <w:tc>
          <w:tcPr>
            <w:tcW w:w="1530"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Sjælden</w:t>
            </w:r>
          </w:p>
        </w:tc>
        <w:tc>
          <w:tcPr>
            <w:tcW w:w="4423"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sym w:font="Symbol" w:char="F0B3"/>
            </w:r>
            <w:r w:rsidRPr="00F704D5">
              <w:rPr>
                <w:noProof/>
                <w:sz w:val="24"/>
                <w:szCs w:val="24"/>
                <w:lang w:eastAsia="de-DE"/>
              </w:rPr>
              <w:t>1/10.000 til &lt;1/1.000</w:t>
            </w:r>
          </w:p>
        </w:tc>
      </w:tr>
      <w:tr w:rsidR="009421F2" w:rsidRPr="001C2A1B" w:rsidTr="00F704D5">
        <w:trPr>
          <w:trHeight w:val="284"/>
        </w:trPr>
        <w:tc>
          <w:tcPr>
            <w:tcW w:w="1530"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Meget sjælden</w:t>
            </w:r>
          </w:p>
        </w:tc>
        <w:tc>
          <w:tcPr>
            <w:tcW w:w="4423"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&lt;1/10.000</w:t>
            </w:r>
          </w:p>
        </w:tc>
      </w:tr>
      <w:tr w:rsidR="009421F2" w:rsidRPr="001C2A1B" w:rsidTr="00F704D5">
        <w:trPr>
          <w:trHeight w:val="284"/>
        </w:trPr>
        <w:tc>
          <w:tcPr>
            <w:tcW w:w="1530"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noProof/>
                <w:sz w:val="24"/>
                <w:szCs w:val="24"/>
                <w:lang w:eastAsia="de-DE"/>
              </w:rPr>
              <w:t>Ikke kendt</w:t>
            </w:r>
          </w:p>
        </w:tc>
        <w:tc>
          <w:tcPr>
            <w:tcW w:w="4423" w:type="dxa"/>
            <w:shd w:val="clear" w:color="auto" w:fill="auto"/>
            <w:vAlign w:val="center"/>
          </w:tcPr>
          <w:p w:rsidR="009421F2" w:rsidRPr="00F704D5" w:rsidRDefault="009421F2" w:rsidP="00F704D5">
            <w:pPr>
              <w:numPr>
                <w:ilvl w:val="12"/>
                <w:numId w:val="0"/>
              </w:numPr>
              <w:tabs>
                <w:tab w:val="left" w:pos="426"/>
              </w:tabs>
              <w:jc w:val="both"/>
              <w:rPr>
                <w:sz w:val="24"/>
                <w:szCs w:val="24"/>
                <w:lang w:eastAsia="de-DE"/>
              </w:rPr>
            </w:pPr>
            <w:r w:rsidRPr="00F704D5">
              <w:rPr>
                <w:rStyle w:val="trns-org-res"/>
                <w:sz w:val="24"/>
                <w:szCs w:val="24"/>
              </w:rPr>
              <w:t>kan ikke estimeres ud fra forhåndenværende data</w:t>
            </w:r>
          </w:p>
        </w:tc>
      </w:tr>
    </w:tbl>
    <w:p w:rsidR="009421F2" w:rsidRPr="00F704D5" w:rsidRDefault="009421F2" w:rsidP="009421F2">
      <w:pPr>
        <w:jc w:val="both"/>
        <w:rPr>
          <w:i/>
          <w:color w:val="000000"/>
        </w:rPr>
      </w:pPr>
    </w:p>
    <w:p w:rsidR="009421F2" w:rsidRPr="00F704D5" w:rsidRDefault="009421F2" w:rsidP="009421F2">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3"/>
        <w:gridCol w:w="2338"/>
        <w:gridCol w:w="4687"/>
      </w:tblGrid>
      <w:tr w:rsidR="009421F2" w:rsidRPr="00661D74" w:rsidTr="00F704D5">
        <w:tc>
          <w:tcPr>
            <w:tcW w:w="1352"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jc w:val="both"/>
              <w:rPr>
                <w:color w:val="000000"/>
                <w:sz w:val="24"/>
                <w:szCs w:val="24"/>
              </w:rPr>
            </w:pPr>
            <w:r w:rsidRPr="00661D74">
              <w:rPr>
                <w:color w:val="000000"/>
                <w:sz w:val="24"/>
                <w:szCs w:val="24"/>
              </w:rPr>
              <w:t>Systemorganklasse (SOC)</w:t>
            </w:r>
          </w:p>
        </w:tc>
        <w:tc>
          <w:tcPr>
            <w:tcW w:w="121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jc w:val="both"/>
              <w:rPr>
                <w:color w:val="000000"/>
                <w:sz w:val="24"/>
                <w:szCs w:val="24"/>
              </w:rPr>
            </w:pPr>
            <w:r w:rsidRPr="00661D74">
              <w:rPr>
                <w:color w:val="000000"/>
                <w:sz w:val="24"/>
                <w:szCs w:val="24"/>
              </w:rPr>
              <w:t>Hyppighed</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jc w:val="both"/>
              <w:rPr>
                <w:color w:val="000000"/>
                <w:sz w:val="24"/>
                <w:szCs w:val="24"/>
              </w:rPr>
            </w:pPr>
            <w:r w:rsidRPr="00661D74">
              <w:rPr>
                <w:color w:val="000000"/>
                <w:sz w:val="24"/>
                <w:szCs w:val="24"/>
              </w:rPr>
              <w:t>Bivirkning (foretrukken term)</w:t>
            </w:r>
          </w:p>
        </w:tc>
      </w:tr>
      <w:tr w:rsidR="009421F2" w:rsidRPr="00661D74" w:rsidTr="00F704D5">
        <w:tc>
          <w:tcPr>
            <w:tcW w:w="1352" w:type="pct"/>
            <w:tcBorders>
              <w:top w:val="single" w:sz="4" w:space="0" w:color="auto"/>
              <w:left w:val="single" w:sz="4" w:space="0" w:color="auto"/>
              <w:bottom w:val="single" w:sz="4" w:space="0" w:color="auto"/>
              <w:right w:val="single" w:sz="4" w:space="0" w:color="auto"/>
            </w:tcBorders>
          </w:tcPr>
          <w:p w:rsidR="009421F2" w:rsidRPr="00661D74" w:rsidRDefault="009421F2" w:rsidP="00F704D5">
            <w:pPr>
              <w:rPr>
                <w:i/>
                <w:sz w:val="24"/>
                <w:szCs w:val="24"/>
              </w:rPr>
            </w:pPr>
            <w:r w:rsidRPr="00661D74">
              <w:rPr>
                <w:i/>
                <w:sz w:val="24"/>
                <w:szCs w:val="24"/>
              </w:rPr>
              <w:t>Immunsystemet</w:t>
            </w:r>
          </w:p>
          <w:p w:rsidR="009421F2" w:rsidRPr="00661D74" w:rsidRDefault="009421F2" w:rsidP="00F704D5">
            <w:pPr>
              <w:jc w:val="both"/>
              <w:rPr>
                <w:color w:val="000000"/>
                <w:sz w:val="24"/>
                <w:szCs w:val="24"/>
              </w:rPr>
            </w:pPr>
          </w:p>
        </w:tc>
        <w:tc>
          <w:tcPr>
            <w:tcW w:w="121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Ikke kendt</w:t>
            </w:r>
            <w:r>
              <w:rPr>
                <w:i/>
                <w:sz w:val="24"/>
                <w:szCs w:val="24"/>
              </w:rPr>
              <w:t xml:space="preserve"> </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jc w:val="both"/>
              <w:rPr>
                <w:iCs/>
                <w:color w:val="000000"/>
                <w:sz w:val="24"/>
                <w:szCs w:val="24"/>
              </w:rPr>
            </w:pPr>
            <w:r w:rsidRPr="00661D74">
              <w:rPr>
                <w:iCs/>
                <w:sz w:val="24"/>
                <w:szCs w:val="24"/>
              </w:rPr>
              <w:t xml:space="preserve">Overfølsomhed </w:t>
            </w:r>
          </w:p>
        </w:tc>
      </w:tr>
      <w:tr w:rsidR="009421F2" w:rsidRPr="00661D74" w:rsidTr="00F704D5">
        <w:tc>
          <w:tcPr>
            <w:tcW w:w="1352"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color w:val="000000"/>
                <w:sz w:val="24"/>
                <w:szCs w:val="24"/>
              </w:rPr>
            </w:pPr>
            <w:r w:rsidRPr="00661D74">
              <w:rPr>
                <w:i/>
                <w:color w:val="000000"/>
                <w:sz w:val="24"/>
                <w:szCs w:val="24"/>
              </w:rPr>
              <w:t>Metabolisme og ernæring</w:t>
            </w:r>
          </w:p>
        </w:tc>
        <w:tc>
          <w:tcPr>
            <w:tcW w:w="1214"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Meget almindelig</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proofErr w:type="spellStart"/>
            <w:r w:rsidRPr="00661D74">
              <w:rPr>
                <w:iCs/>
                <w:sz w:val="24"/>
                <w:szCs w:val="24"/>
              </w:rPr>
              <w:t>Hypokalcæmi</w:t>
            </w:r>
            <w:proofErr w:type="spellEnd"/>
            <w:r w:rsidRPr="00661D74">
              <w:rPr>
                <w:iCs/>
                <w:sz w:val="24"/>
                <w:szCs w:val="24"/>
              </w:rPr>
              <w:t xml:space="preserve"> (&lt;1,1 mmol/l)</w:t>
            </w:r>
          </w:p>
          <w:p w:rsidR="009421F2" w:rsidRPr="00661D74" w:rsidRDefault="009421F2" w:rsidP="00F704D5">
            <w:pPr>
              <w:rPr>
                <w:iCs/>
                <w:sz w:val="24"/>
                <w:szCs w:val="24"/>
              </w:rPr>
            </w:pPr>
            <w:r w:rsidRPr="00661D74">
              <w:rPr>
                <w:iCs/>
                <w:sz w:val="24"/>
                <w:szCs w:val="24"/>
              </w:rPr>
              <w:t>(se pkt. 4.4)</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proofErr w:type="spellStart"/>
            <w:r w:rsidRPr="00661D74">
              <w:rPr>
                <w:iCs/>
                <w:sz w:val="24"/>
                <w:szCs w:val="24"/>
              </w:rPr>
              <w:t>Hypernatriæmi</w:t>
            </w:r>
            <w:proofErr w:type="spellEnd"/>
            <w:r w:rsidRPr="00661D74">
              <w:rPr>
                <w:iCs/>
                <w:sz w:val="24"/>
                <w:szCs w:val="24"/>
              </w:rPr>
              <w:t xml:space="preserve"> (&gt;145 mmol/l)</w:t>
            </w:r>
          </w:p>
          <w:p w:rsidR="009421F2" w:rsidRPr="00661D74" w:rsidRDefault="009421F2" w:rsidP="00F704D5">
            <w:pPr>
              <w:rPr>
                <w:iCs/>
                <w:sz w:val="24"/>
                <w:szCs w:val="24"/>
              </w:rPr>
            </w:pPr>
            <w:r w:rsidRPr="00661D74">
              <w:rPr>
                <w:iCs/>
                <w:sz w:val="24"/>
                <w:szCs w:val="24"/>
              </w:rPr>
              <w:lastRenderedPageBreak/>
              <w:t>(se pkt. 4.4)</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 xml:space="preserve">Metabolisk </w:t>
            </w:r>
            <w:proofErr w:type="spellStart"/>
            <w:r w:rsidRPr="00661D74">
              <w:rPr>
                <w:iCs/>
                <w:sz w:val="24"/>
                <w:szCs w:val="24"/>
              </w:rPr>
              <w:t>alkalose</w:t>
            </w:r>
            <w:proofErr w:type="spellEnd"/>
            <w:r w:rsidRPr="00661D74">
              <w:rPr>
                <w:iCs/>
                <w:sz w:val="24"/>
                <w:szCs w:val="24"/>
              </w:rPr>
              <w:t xml:space="preserve"> (pH &gt;7,45)</w:t>
            </w:r>
          </w:p>
          <w:p w:rsidR="009421F2" w:rsidRPr="00661D74" w:rsidRDefault="009421F2" w:rsidP="00F704D5">
            <w:pPr>
              <w:rPr>
                <w:iCs/>
                <w:sz w:val="24"/>
                <w:szCs w:val="24"/>
              </w:rPr>
            </w:pPr>
            <w:r w:rsidRPr="00661D74">
              <w:rPr>
                <w:iCs/>
                <w:sz w:val="24"/>
                <w:szCs w:val="24"/>
              </w:rPr>
              <w:t>(se f</w:t>
            </w:r>
            <w:r w:rsidRPr="00661D74">
              <w:rPr>
                <w:sz w:val="24"/>
                <w:szCs w:val="24"/>
              </w:rPr>
              <w:t>or stor mængde citrat</w:t>
            </w:r>
            <w:r w:rsidRPr="00661D74">
              <w:rPr>
                <w:b/>
                <w:bCs/>
                <w:i/>
                <w:iCs/>
                <w:sz w:val="24"/>
                <w:szCs w:val="24"/>
              </w:rPr>
              <w:t xml:space="preserve"> </w:t>
            </w:r>
            <w:r w:rsidRPr="00661D74">
              <w:rPr>
                <w:iCs/>
                <w:sz w:val="24"/>
                <w:szCs w:val="24"/>
              </w:rPr>
              <w:t>i pkt. 4.4)</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Almindelig</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 xml:space="preserve">Svær </w:t>
            </w:r>
            <w:proofErr w:type="spellStart"/>
            <w:r w:rsidRPr="00661D74">
              <w:rPr>
                <w:iCs/>
                <w:sz w:val="24"/>
                <w:szCs w:val="24"/>
              </w:rPr>
              <w:t>hypokalcæmi</w:t>
            </w:r>
            <w:proofErr w:type="spellEnd"/>
            <w:r w:rsidRPr="00661D74">
              <w:rPr>
                <w:iCs/>
                <w:sz w:val="24"/>
                <w:szCs w:val="24"/>
              </w:rPr>
              <w:t xml:space="preserve"> (&lt;0,9 mmol/l)</w:t>
            </w:r>
          </w:p>
          <w:p w:rsidR="009421F2" w:rsidRPr="00661D74" w:rsidRDefault="009421F2" w:rsidP="00F704D5">
            <w:pPr>
              <w:rPr>
                <w:iCs/>
                <w:sz w:val="24"/>
                <w:szCs w:val="24"/>
              </w:rPr>
            </w:pPr>
            <w:r w:rsidRPr="00661D74">
              <w:rPr>
                <w:iCs/>
                <w:sz w:val="24"/>
                <w:szCs w:val="24"/>
              </w:rPr>
              <w:t>(se pkt. 4.4 og 4.9)</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proofErr w:type="spellStart"/>
            <w:r w:rsidRPr="00661D74">
              <w:rPr>
                <w:sz w:val="24"/>
                <w:szCs w:val="24"/>
              </w:rPr>
              <w:t>Hypomagnesiæmi</w:t>
            </w:r>
            <w:proofErr w:type="spellEnd"/>
            <w:r w:rsidRPr="00661D74">
              <w:rPr>
                <w:iCs/>
                <w:sz w:val="24"/>
                <w:szCs w:val="24"/>
              </w:rPr>
              <w:t xml:space="preserve"> (&lt;0,7 mmol/l)</w:t>
            </w:r>
          </w:p>
          <w:p w:rsidR="009421F2" w:rsidRPr="00661D74" w:rsidRDefault="009421F2" w:rsidP="00F704D5">
            <w:pPr>
              <w:rPr>
                <w:iCs/>
                <w:sz w:val="24"/>
                <w:szCs w:val="24"/>
              </w:rPr>
            </w:pPr>
            <w:r w:rsidRPr="00661D74">
              <w:rPr>
                <w:iCs/>
                <w:sz w:val="24"/>
                <w:szCs w:val="24"/>
              </w:rPr>
              <w:t xml:space="preserve">(se </w:t>
            </w:r>
            <w:proofErr w:type="spellStart"/>
            <w:r w:rsidRPr="00661D74">
              <w:rPr>
                <w:iCs/>
                <w:sz w:val="24"/>
                <w:szCs w:val="24"/>
              </w:rPr>
              <w:t>citratchelater</w:t>
            </w:r>
            <w:proofErr w:type="spellEnd"/>
            <w:r w:rsidRPr="00661D74">
              <w:rPr>
                <w:iCs/>
                <w:sz w:val="24"/>
                <w:szCs w:val="24"/>
              </w:rPr>
              <w:t xml:space="preserve"> i pkt. 4.4)</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 xml:space="preserve">Svær </w:t>
            </w:r>
            <w:proofErr w:type="spellStart"/>
            <w:r w:rsidRPr="00661D74">
              <w:rPr>
                <w:iCs/>
                <w:sz w:val="24"/>
                <w:szCs w:val="24"/>
              </w:rPr>
              <w:t>hypernatriæmi</w:t>
            </w:r>
            <w:proofErr w:type="spellEnd"/>
            <w:r w:rsidRPr="00661D74">
              <w:rPr>
                <w:iCs/>
                <w:sz w:val="24"/>
                <w:szCs w:val="24"/>
              </w:rPr>
              <w:t xml:space="preserve"> (&gt;155 mmol/l)</w:t>
            </w:r>
          </w:p>
          <w:p w:rsidR="009421F2" w:rsidRPr="00661D74" w:rsidRDefault="009421F2" w:rsidP="00F704D5">
            <w:pPr>
              <w:rPr>
                <w:iCs/>
                <w:sz w:val="24"/>
                <w:szCs w:val="24"/>
              </w:rPr>
            </w:pPr>
            <w:r w:rsidRPr="00661D74">
              <w:rPr>
                <w:iCs/>
                <w:sz w:val="24"/>
                <w:szCs w:val="24"/>
              </w:rPr>
              <w:t>(se pkt. 4.4 og 4.9)</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 xml:space="preserve">Svær metabolisk </w:t>
            </w:r>
            <w:proofErr w:type="spellStart"/>
            <w:r w:rsidRPr="00661D74">
              <w:rPr>
                <w:iCs/>
                <w:sz w:val="24"/>
                <w:szCs w:val="24"/>
              </w:rPr>
              <w:t>alkalose</w:t>
            </w:r>
            <w:proofErr w:type="spellEnd"/>
            <w:r w:rsidRPr="00661D74">
              <w:rPr>
                <w:iCs/>
                <w:sz w:val="24"/>
                <w:szCs w:val="24"/>
              </w:rPr>
              <w:t xml:space="preserve"> (pH &gt;7,55)</w:t>
            </w:r>
          </w:p>
          <w:p w:rsidR="009421F2" w:rsidRPr="00661D74" w:rsidRDefault="009421F2" w:rsidP="00F704D5">
            <w:pPr>
              <w:rPr>
                <w:iCs/>
                <w:sz w:val="24"/>
                <w:szCs w:val="24"/>
              </w:rPr>
            </w:pPr>
            <w:r w:rsidRPr="00661D74">
              <w:rPr>
                <w:iCs/>
                <w:sz w:val="24"/>
                <w:szCs w:val="24"/>
              </w:rPr>
              <w:t>(se f</w:t>
            </w:r>
            <w:r w:rsidRPr="00661D74">
              <w:rPr>
                <w:sz w:val="24"/>
                <w:szCs w:val="24"/>
              </w:rPr>
              <w:t>or stor mængde citrat</w:t>
            </w:r>
            <w:r w:rsidRPr="00661D74">
              <w:rPr>
                <w:b/>
                <w:bCs/>
                <w:i/>
                <w:iCs/>
                <w:sz w:val="24"/>
                <w:szCs w:val="24"/>
              </w:rPr>
              <w:t xml:space="preserve"> </w:t>
            </w:r>
            <w:r w:rsidRPr="00661D74">
              <w:rPr>
                <w:iCs/>
                <w:sz w:val="24"/>
                <w:szCs w:val="24"/>
              </w:rPr>
              <w:t>i pkt. 4.4)</w:t>
            </w:r>
          </w:p>
        </w:tc>
      </w:tr>
      <w:tr w:rsidR="009421F2" w:rsidRPr="00661D74" w:rsidTr="00F704D5">
        <w:trPr>
          <w:trHeight w:val="602"/>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 xml:space="preserve">Svær metabolisk </w:t>
            </w:r>
            <w:proofErr w:type="spellStart"/>
            <w:r w:rsidRPr="00661D74">
              <w:rPr>
                <w:iCs/>
                <w:sz w:val="24"/>
                <w:szCs w:val="24"/>
              </w:rPr>
              <w:t>acidose</w:t>
            </w:r>
            <w:proofErr w:type="spellEnd"/>
            <w:r w:rsidRPr="00661D74">
              <w:rPr>
                <w:iCs/>
                <w:sz w:val="24"/>
                <w:szCs w:val="24"/>
              </w:rPr>
              <w:t xml:space="preserve"> (pH &lt;7,2)</w:t>
            </w:r>
          </w:p>
          <w:p w:rsidR="009421F2" w:rsidRPr="00661D74" w:rsidRDefault="009421F2" w:rsidP="00F704D5">
            <w:pPr>
              <w:rPr>
                <w:iCs/>
                <w:sz w:val="24"/>
                <w:szCs w:val="24"/>
              </w:rPr>
            </w:pPr>
            <w:r w:rsidRPr="00661D74">
              <w:rPr>
                <w:iCs/>
                <w:sz w:val="24"/>
                <w:szCs w:val="24"/>
              </w:rPr>
              <w:t>(se citrat-akkumulering i pkt. 4.4)</w:t>
            </w:r>
          </w:p>
        </w:tc>
      </w:tr>
      <w:tr w:rsidR="009421F2" w:rsidRPr="00661D74" w:rsidTr="00F704D5">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Væskeophobning (se administration i pkt. 4.2)</w:t>
            </w:r>
          </w:p>
        </w:tc>
      </w:tr>
      <w:tr w:rsidR="009421F2" w:rsidRPr="00661D74" w:rsidTr="00F704D5">
        <w:trPr>
          <w:trHeight w:val="353"/>
        </w:trPr>
        <w:tc>
          <w:tcPr>
            <w:tcW w:w="1352"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color w:val="000000"/>
                <w:sz w:val="24"/>
                <w:szCs w:val="24"/>
              </w:rPr>
            </w:pPr>
            <w:r w:rsidRPr="00661D74">
              <w:rPr>
                <w:i/>
                <w:color w:val="000000"/>
                <w:sz w:val="24"/>
                <w:szCs w:val="24"/>
              </w:rPr>
              <w:t>Nervesystemet</w:t>
            </w:r>
          </w:p>
        </w:tc>
        <w:tc>
          <w:tcPr>
            <w:tcW w:w="1214" w:type="pct"/>
            <w:vMerge w:val="restart"/>
            <w:tcBorders>
              <w:top w:val="single" w:sz="4" w:space="0" w:color="auto"/>
              <w:left w:val="single" w:sz="4" w:space="0" w:color="auto"/>
              <w:bottom w:val="single" w:sz="4" w:space="0" w:color="auto"/>
              <w:right w:val="single" w:sz="4" w:space="0" w:color="auto"/>
            </w:tcBorders>
          </w:tcPr>
          <w:p w:rsidR="009421F2" w:rsidRPr="00661D74" w:rsidRDefault="009421F2" w:rsidP="00F704D5">
            <w:pPr>
              <w:rPr>
                <w:i/>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Hovedpine *</w:t>
            </w:r>
          </w:p>
        </w:tc>
      </w:tr>
      <w:tr w:rsidR="009421F2" w:rsidRPr="00661D74" w:rsidTr="00F704D5">
        <w:trPr>
          <w:trHeight w:val="351"/>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Krampeanfald *</w:t>
            </w:r>
          </w:p>
        </w:tc>
      </w:tr>
      <w:tr w:rsidR="009421F2" w:rsidRPr="00661D74" w:rsidTr="00F704D5">
        <w:trPr>
          <w:trHeight w:val="351"/>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Koma *</w:t>
            </w:r>
            <w:r w:rsidRPr="00661D74">
              <w:rPr>
                <w:iCs/>
                <w:sz w:val="24"/>
                <w:szCs w:val="24"/>
                <w:vertAlign w:val="superscript"/>
              </w:rPr>
              <w:t>#</w:t>
            </w:r>
          </w:p>
        </w:tc>
      </w:tr>
      <w:tr w:rsidR="009421F2" w:rsidRPr="00661D74" w:rsidTr="00F704D5">
        <w:trPr>
          <w:trHeight w:val="469"/>
        </w:trPr>
        <w:tc>
          <w:tcPr>
            <w:tcW w:w="1352"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color w:val="000000"/>
                <w:sz w:val="24"/>
                <w:szCs w:val="24"/>
              </w:rPr>
            </w:pPr>
            <w:r w:rsidRPr="00661D74">
              <w:rPr>
                <w:i/>
                <w:color w:val="000000"/>
                <w:sz w:val="24"/>
                <w:szCs w:val="24"/>
              </w:rPr>
              <w:t>Hjerte</w:t>
            </w:r>
          </w:p>
        </w:tc>
        <w:tc>
          <w:tcPr>
            <w:tcW w:w="1214"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proofErr w:type="spellStart"/>
            <w:r w:rsidRPr="00661D74">
              <w:rPr>
                <w:iCs/>
                <w:sz w:val="24"/>
                <w:szCs w:val="24"/>
              </w:rPr>
              <w:t>Arytmi</w:t>
            </w:r>
            <w:proofErr w:type="spellEnd"/>
            <w:r w:rsidRPr="00661D74">
              <w:rPr>
                <w:iCs/>
                <w:sz w:val="24"/>
                <w:szCs w:val="24"/>
              </w:rPr>
              <w:t xml:space="preserve"> *</w:t>
            </w:r>
          </w:p>
        </w:tc>
      </w:tr>
      <w:tr w:rsidR="009421F2" w:rsidRPr="00661D74" w:rsidTr="00F704D5">
        <w:trPr>
          <w:trHeight w:val="468"/>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Hjertestop *</w:t>
            </w:r>
            <w:r w:rsidRPr="00661D74">
              <w:rPr>
                <w:iCs/>
                <w:sz w:val="24"/>
                <w:szCs w:val="24"/>
                <w:vertAlign w:val="superscript"/>
              </w:rPr>
              <w:t>#</w:t>
            </w:r>
          </w:p>
        </w:tc>
      </w:tr>
      <w:tr w:rsidR="009421F2" w:rsidRPr="00661D74" w:rsidTr="00F704D5">
        <w:trPr>
          <w:trHeight w:val="468"/>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 xml:space="preserve">Lungeødem (pga. svær metabolisk </w:t>
            </w:r>
            <w:proofErr w:type="spellStart"/>
            <w:r w:rsidRPr="00661D74">
              <w:rPr>
                <w:iCs/>
                <w:sz w:val="24"/>
                <w:szCs w:val="24"/>
              </w:rPr>
              <w:t>acidose</w:t>
            </w:r>
            <w:proofErr w:type="spellEnd"/>
            <w:r w:rsidRPr="00661D74">
              <w:rPr>
                <w:iCs/>
                <w:sz w:val="24"/>
                <w:szCs w:val="24"/>
              </w:rPr>
              <w:t>)</w:t>
            </w:r>
          </w:p>
        </w:tc>
      </w:tr>
      <w:tr w:rsidR="009421F2" w:rsidRPr="00661D74" w:rsidTr="00F704D5">
        <w:tc>
          <w:tcPr>
            <w:tcW w:w="1352" w:type="pct"/>
            <w:tcBorders>
              <w:top w:val="single" w:sz="4" w:space="0" w:color="auto"/>
              <w:left w:val="single" w:sz="4" w:space="0" w:color="auto"/>
              <w:bottom w:val="single" w:sz="4" w:space="0" w:color="auto"/>
              <w:right w:val="single" w:sz="4" w:space="0" w:color="auto"/>
            </w:tcBorders>
          </w:tcPr>
          <w:p w:rsidR="009421F2" w:rsidRPr="00661D74" w:rsidRDefault="009421F2" w:rsidP="00F704D5">
            <w:pPr>
              <w:jc w:val="both"/>
              <w:rPr>
                <w:i/>
                <w:color w:val="000000"/>
                <w:sz w:val="24"/>
                <w:szCs w:val="24"/>
              </w:rPr>
            </w:pPr>
            <w:proofErr w:type="spellStart"/>
            <w:r w:rsidRPr="00661D74">
              <w:rPr>
                <w:i/>
                <w:color w:val="000000"/>
                <w:sz w:val="24"/>
                <w:szCs w:val="24"/>
              </w:rPr>
              <w:t>Vaskulære</w:t>
            </w:r>
            <w:proofErr w:type="spellEnd"/>
            <w:r w:rsidRPr="00661D74">
              <w:rPr>
                <w:i/>
                <w:color w:val="000000"/>
                <w:sz w:val="24"/>
                <w:szCs w:val="24"/>
              </w:rPr>
              <w:t xml:space="preserve"> sygdomme</w:t>
            </w:r>
          </w:p>
          <w:p w:rsidR="009421F2" w:rsidRPr="00661D74" w:rsidRDefault="009421F2" w:rsidP="00F704D5">
            <w:pPr>
              <w:jc w:val="both"/>
              <w:rPr>
                <w:color w:val="000000"/>
                <w:sz w:val="24"/>
                <w:szCs w:val="24"/>
              </w:rPr>
            </w:pPr>
          </w:p>
        </w:tc>
        <w:tc>
          <w:tcPr>
            <w:tcW w:w="121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Hypotension *</w:t>
            </w:r>
          </w:p>
        </w:tc>
      </w:tr>
      <w:tr w:rsidR="009421F2" w:rsidRPr="00661D74" w:rsidTr="00F704D5">
        <w:trPr>
          <w:trHeight w:val="436"/>
        </w:trPr>
        <w:tc>
          <w:tcPr>
            <w:tcW w:w="1352"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iCs/>
                <w:color w:val="000000"/>
                <w:sz w:val="24"/>
                <w:szCs w:val="24"/>
              </w:rPr>
            </w:pPr>
            <w:r w:rsidRPr="00661D74">
              <w:rPr>
                <w:rStyle w:val="trns-org-res"/>
                <w:i/>
                <w:iCs/>
                <w:sz w:val="24"/>
                <w:szCs w:val="24"/>
              </w:rPr>
              <w:t xml:space="preserve">Luftveje, thorax og </w:t>
            </w:r>
            <w:proofErr w:type="spellStart"/>
            <w:r w:rsidRPr="00661D74">
              <w:rPr>
                <w:rStyle w:val="trns-org-res"/>
                <w:i/>
                <w:iCs/>
                <w:sz w:val="24"/>
                <w:szCs w:val="24"/>
              </w:rPr>
              <w:t>mediastinum</w:t>
            </w:r>
            <w:proofErr w:type="spellEnd"/>
          </w:p>
        </w:tc>
        <w:tc>
          <w:tcPr>
            <w:tcW w:w="1214" w:type="pct"/>
            <w:vMerge w:val="restar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proofErr w:type="spellStart"/>
            <w:r w:rsidRPr="00661D74">
              <w:rPr>
                <w:iCs/>
                <w:sz w:val="24"/>
                <w:szCs w:val="24"/>
              </w:rPr>
              <w:t>Bronkospasme</w:t>
            </w:r>
            <w:proofErr w:type="spellEnd"/>
            <w:r w:rsidRPr="00661D74">
              <w:rPr>
                <w:iCs/>
                <w:sz w:val="24"/>
                <w:szCs w:val="24"/>
              </w:rPr>
              <w:t xml:space="preserve"> *</w:t>
            </w:r>
          </w:p>
        </w:tc>
      </w:tr>
      <w:tr w:rsidR="009421F2" w:rsidRPr="00661D74" w:rsidTr="00F704D5">
        <w:trPr>
          <w:trHeight w:val="435"/>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iCs/>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Vejrtrækningsstop *</w:t>
            </w:r>
            <w:r w:rsidRPr="00661D74">
              <w:rPr>
                <w:iCs/>
                <w:sz w:val="24"/>
                <w:szCs w:val="24"/>
                <w:vertAlign w:val="superscript"/>
              </w:rPr>
              <w:t>#</w:t>
            </w:r>
          </w:p>
        </w:tc>
      </w:tr>
      <w:tr w:rsidR="009421F2" w:rsidRPr="00661D74" w:rsidTr="00F704D5">
        <w:trPr>
          <w:trHeight w:val="435"/>
        </w:trPr>
        <w:tc>
          <w:tcPr>
            <w:tcW w:w="1352"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iCs/>
                <w:color w:val="000000"/>
                <w:sz w:val="24"/>
                <w:szCs w:val="24"/>
              </w:rPr>
            </w:pPr>
          </w:p>
        </w:tc>
        <w:tc>
          <w:tcPr>
            <w:tcW w:w="1214" w:type="pct"/>
            <w:vMerge/>
            <w:tcBorders>
              <w:top w:val="single" w:sz="4" w:space="0" w:color="auto"/>
              <w:left w:val="single" w:sz="4" w:space="0" w:color="auto"/>
              <w:bottom w:val="single" w:sz="4" w:space="0" w:color="auto"/>
              <w:right w:val="single" w:sz="4" w:space="0" w:color="auto"/>
            </w:tcBorders>
            <w:vAlign w:val="center"/>
            <w:hideMark/>
          </w:tcPr>
          <w:p w:rsidR="009421F2" w:rsidRPr="00661D74" w:rsidRDefault="009421F2" w:rsidP="00F704D5">
            <w:pPr>
              <w:rPr>
                <w:i/>
                <w:sz w:val="24"/>
                <w:szCs w:val="24"/>
              </w:rPr>
            </w:pP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proofErr w:type="spellStart"/>
            <w:r w:rsidRPr="00661D74">
              <w:rPr>
                <w:iCs/>
                <w:sz w:val="24"/>
                <w:szCs w:val="24"/>
              </w:rPr>
              <w:t>Takypnø</w:t>
            </w:r>
            <w:proofErr w:type="spellEnd"/>
            <w:r w:rsidRPr="00661D74">
              <w:rPr>
                <w:iCs/>
                <w:sz w:val="24"/>
                <w:szCs w:val="24"/>
              </w:rPr>
              <w:t xml:space="preserve"> (</w:t>
            </w:r>
            <w:proofErr w:type="spellStart"/>
            <w:r w:rsidRPr="00661D74">
              <w:rPr>
                <w:rStyle w:val="Fremhv"/>
                <w:i w:val="0"/>
                <w:iCs w:val="0"/>
                <w:sz w:val="24"/>
                <w:szCs w:val="24"/>
              </w:rPr>
              <w:t>Kussmauls</w:t>
            </w:r>
            <w:proofErr w:type="spellEnd"/>
            <w:r w:rsidRPr="00661D74">
              <w:rPr>
                <w:sz w:val="24"/>
                <w:szCs w:val="24"/>
              </w:rPr>
              <w:t xml:space="preserve"> respiration på grund af svær metabolisk </w:t>
            </w:r>
            <w:proofErr w:type="spellStart"/>
            <w:r w:rsidRPr="00661D74">
              <w:rPr>
                <w:iCs/>
                <w:sz w:val="24"/>
                <w:szCs w:val="24"/>
              </w:rPr>
              <w:t>acidose</w:t>
            </w:r>
            <w:proofErr w:type="spellEnd"/>
            <w:r w:rsidRPr="00661D74">
              <w:rPr>
                <w:iCs/>
                <w:sz w:val="24"/>
                <w:szCs w:val="24"/>
              </w:rPr>
              <w:t>)</w:t>
            </w:r>
          </w:p>
        </w:tc>
      </w:tr>
      <w:tr w:rsidR="009421F2" w:rsidRPr="00661D74" w:rsidTr="00F704D5">
        <w:trPr>
          <w:trHeight w:val="377"/>
        </w:trPr>
        <w:tc>
          <w:tcPr>
            <w:tcW w:w="1352"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color w:val="000000"/>
                <w:sz w:val="24"/>
                <w:szCs w:val="24"/>
              </w:rPr>
            </w:pPr>
            <w:r w:rsidRPr="00661D74">
              <w:rPr>
                <w:i/>
                <w:color w:val="000000"/>
                <w:sz w:val="24"/>
                <w:szCs w:val="24"/>
              </w:rPr>
              <w:t>Mave-tarm-kanalen</w:t>
            </w:r>
          </w:p>
        </w:tc>
        <w:tc>
          <w:tcPr>
            <w:tcW w:w="121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Cs/>
                <w:sz w:val="24"/>
                <w:szCs w:val="24"/>
              </w:rPr>
            </w:pPr>
            <w:r w:rsidRPr="00661D74">
              <w:rPr>
                <w:iCs/>
                <w:sz w:val="24"/>
                <w:szCs w:val="24"/>
              </w:rPr>
              <w:t>Opkastning *</w:t>
            </w:r>
          </w:p>
        </w:tc>
      </w:tr>
      <w:tr w:rsidR="009421F2" w:rsidRPr="00661D74" w:rsidTr="00F704D5">
        <w:trPr>
          <w:trHeight w:val="763"/>
        </w:trPr>
        <w:tc>
          <w:tcPr>
            <w:tcW w:w="1352"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iCs/>
                <w:color w:val="000000"/>
                <w:sz w:val="24"/>
                <w:szCs w:val="24"/>
              </w:rPr>
            </w:pPr>
            <w:r w:rsidRPr="00661D74">
              <w:rPr>
                <w:rStyle w:val="trns-org-res"/>
                <w:i/>
                <w:iCs/>
                <w:sz w:val="24"/>
                <w:szCs w:val="24"/>
              </w:rPr>
              <w:t>Knogler, led, muskler og bindevæv</w:t>
            </w:r>
          </w:p>
        </w:tc>
        <w:tc>
          <w:tcPr>
            <w:tcW w:w="1214" w:type="pct"/>
            <w:tcBorders>
              <w:top w:val="single" w:sz="4" w:space="0" w:color="auto"/>
              <w:left w:val="single" w:sz="4" w:space="0" w:color="auto"/>
              <w:bottom w:val="single" w:sz="4" w:space="0" w:color="auto"/>
              <w:right w:val="single" w:sz="4" w:space="0" w:color="auto"/>
            </w:tcBorders>
            <w:hideMark/>
          </w:tcPr>
          <w:p w:rsidR="009421F2" w:rsidRPr="00661D74" w:rsidRDefault="009421F2" w:rsidP="00F704D5">
            <w:pPr>
              <w:rPr>
                <w:i/>
                <w:sz w:val="24"/>
                <w:szCs w:val="24"/>
              </w:rPr>
            </w:pPr>
            <w:r w:rsidRPr="00661D74">
              <w:rPr>
                <w:i/>
                <w:sz w:val="24"/>
                <w:szCs w:val="24"/>
              </w:rPr>
              <w:t>Ikke kendt</w:t>
            </w:r>
          </w:p>
        </w:tc>
        <w:tc>
          <w:tcPr>
            <w:tcW w:w="2434" w:type="pct"/>
            <w:tcBorders>
              <w:top w:val="single" w:sz="4" w:space="0" w:color="auto"/>
              <w:left w:val="single" w:sz="4" w:space="0" w:color="auto"/>
              <w:bottom w:val="single" w:sz="4" w:space="0" w:color="auto"/>
              <w:right w:val="single" w:sz="4" w:space="0" w:color="auto"/>
            </w:tcBorders>
          </w:tcPr>
          <w:p w:rsidR="009421F2" w:rsidRPr="00661D74" w:rsidRDefault="009421F2" w:rsidP="00F704D5">
            <w:pPr>
              <w:rPr>
                <w:iCs/>
                <w:sz w:val="24"/>
                <w:szCs w:val="24"/>
              </w:rPr>
            </w:pPr>
            <w:r w:rsidRPr="00661D74">
              <w:rPr>
                <w:iCs/>
                <w:sz w:val="24"/>
                <w:szCs w:val="24"/>
              </w:rPr>
              <w:t>Muskel</w:t>
            </w:r>
            <w:r>
              <w:rPr>
                <w:iCs/>
                <w:sz w:val="24"/>
                <w:szCs w:val="24"/>
              </w:rPr>
              <w:t>trækninger</w:t>
            </w:r>
            <w:r w:rsidRPr="00661D74">
              <w:rPr>
                <w:iCs/>
                <w:sz w:val="24"/>
                <w:szCs w:val="24"/>
              </w:rPr>
              <w:t xml:space="preserve"> *</w:t>
            </w:r>
          </w:p>
          <w:p w:rsidR="009421F2" w:rsidRPr="00661D74" w:rsidRDefault="009421F2" w:rsidP="00F704D5">
            <w:pPr>
              <w:rPr>
                <w:iCs/>
                <w:sz w:val="24"/>
                <w:szCs w:val="24"/>
              </w:rPr>
            </w:pPr>
          </w:p>
        </w:tc>
      </w:tr>
    </w:tbl>
    <w:p w:rsidR="009421F2" w:rsidRPr="00661D74" w:rsidRDefault="009421F2" w:rsidP="009421F2">
      <w:pPr>
        <w:ind w:left="284" w:hanging="284"/>
        <w:rPr>
          <w:sz w:val="24"/>
          <w:szCs w:val="24"/>
        </w:rPr>
      </w:pPr>
      <w:r w:rsidRPr="00661D74">
        <w:rPr>
          <w:sz w:val="24"/>
          <w:szCs w:val="24"/>
        </w:rPr>
        <w:t xml:space="preserve">* </w:t>
      </w:r>
      <w:r>
        <w:rPr>
          <w:sz w:val="24"/>
          <w:szCs w:val="24"/>
        </w:rPr>
        <w:tab/>
      </w:r>
      <w:r w:rsidRPr="00661D74">
        <w:rPr>
          <w:sz w:val="24"/>
          <w:szCs w:val="24"/>
        </w:rPr>
        <w:t xml:space="preserve">På grund af (svære) elektrolytforstyrrelser (f.eks. </w:t>
      </w:r>
      <w:proofErr w:type="spellStart"/>
      <w:r w:rsidRPr="00661D74">
        <w:rPr>
          <w:sz w:val="24"/>
          <w:szCs w:val="24"/>
        </w:rPr>
        <w:t>hypokalcæmi</w:t>
      </w:r>
      <w:proofErr w:type="spellEnd"/>
      <w:r w:rsidRPr="00661D74">
        <w:rPr>
          <w:sz w:val="24"/>
          <w:szCs w:val="24"/>
        </w:rPr>
        <w:t xml:space="preserve">, </w:t>
      </w:r>
      <w:proofErr w:type="spellStart"/>
      <w:r w:rsidRPr="00661D74">
        <w:rPr>
          <w:sz w:val="24"/>
          <w:szCs w:val="24"/>
        </w:rPr>
        <w:t>hypernatriæmi</w:t>
      </w:r>
      <w:proofErr w:type="spellEnd"/>
      <w:r w:rsidRPr="00661D74">
        <w:rPr>
          <w:sz w:val="24"/>
          <w:szCs w:val="24"/>
        </w:rPr>
        <w:t xml:space="preserve">, </w:t>
      </w:r>
      <w:proofErr w:type="spellStart"/>
      <w:r w:rsidRPr="00661D74">
        <w:rPr>
          <w:sz w:val="24"/>
          <w:szCs w:val="24"/>
        </w:rPr>
        <w:t>hypomagnesiæmi</w:t>
      </w:r>
      <w:proofErr w:type="spellEnd"/>
      <w:r w:rsidRPr="00661D74">
        <w:rPr>
          <w:sz w:val="24"/>
          <w:szCs w:val="24"/>
        </w:rPr>
        <w:t xml:space="preserve">) eller metabolisk </w:t>
      </w:r>
      <w:proofErr w:type="spellStart"/>
      <w:r w:rsidRPr="00661D74">
        <w:rPr>
          <w:sz w:val="24"/>
          <w:szCs w:val="24"/>
        </w:rPr>
        <w:t>alkalose</w:t>
      </w:r>
      <w:proofErr w:type="spellEnd"/>
      <w:r w:rsidRPr="00661D74">
        <w:rPr>
          <w:sz w:val="24"/>
          <w:szCs w:val="24"/>
        </w:rPr>
        <w:t xml:space="preserve"> </w:t>
      </w:r>
    </w:p>
    <w:p w:rsidR="009421F2" w:rsidRPr="00661D74" w:rsidRDefault="009421F2" w:rsidP="009421F2">
      <w:pPr>
        <w:ind w:left="284" w:hanging="284"/>
        <w:rPr>
          <w:sz w:val="24"/>
          <w:szCs w:val="24"/>
        </w:rPr>
      </w:pPr>
      <w:r w:rsidRPr="00661D74">
        <w:rPr>
          <w:sz w:val="24"/>
          <w:szCs w:val="24"/>
        </w:rPr>
        <w:t xml:space="preserve"># </w:t>
      </w:r>
      <w:r>
        <w:rPr>
          <w:sz w:val="24"/>
          <w:szCs w:val="24"/>
        </w:rPr>
        <w:tab/>
        <w:t>P</w:t>
      </w:r>
      <w:r w:rsidRPr="00661D74">
        <w:rPr>
          <w:sz w:val="24"/>
          <w:szCs w:val="24"/>
        </w:rPr>
        <w:t>otentielt livstruende</w:t>
      </w:r>
    </w:p>
    <w:p w:rsidR="009421F2" w:rsidRPr="00661D74" w:rsidRDefault="009421F2" w:rsidP="009421F2">
      <w:pPr>
        <w:autoSpaceDE w:val="0"/>
        <w:autoSpaceDN w:val="0"/>
        <w:adjustRightInd w:val="0"/>
        <w:rPr>
          <w:sz w:val="24"/>
          <w:szCs w:val="24"/>
        </w:rPr>
      </w:pPr>
    </w:p>
    <w:p w:rsidR="009421F2" w:rsidRPr="00661D74" w:rsidRDefault="009421F2" w:rsidP="009421F2">
      <w:pPr>
        <w:autoSpaceDE w:val="0"/>
        <w:autoSpaceDN w:val="0"/>
        <w:adjustRightInd w:val="0"/>
        <w:ind w:left="851"/>
        <w:rPr>
          <w:sz w:val="24"/>
          <w:szCs w:val="24"/>
        </w:rPr>
      </w:pPr>
      <w:r w:rsidRPr="00661D74">
        <w:rPr>
          <w:sz w:val="24"/>
          <w:szCs w:val="24"/>
        </w:rPr>
        <w:t>Bivirkninger kan også skyldes udstyret eller andre opløsninger, der anvendes som en del af behandlingen. Se venligst den pågældende indlægsseddel / brugsanvisning.</w:t>
      </w:r>
    </w:p>
    <w:p w:rsidR="009421F2" w:rsidRPr="00661D74" w:rsidRDefault="009421F2" w:rsidP="009421F2">
      <w:pPr>
        <w:autoSpaceDE w:val="0"/>
        <w:autoSpaceDN w:val="0"/>
        <w:adjustRightInd w:val="0"/>
        <w:ind w:left="851"/>
        <w:rPr>
          <w:sz w:val="24"/>
          <w:szCs w:val="24"/>
        </w:rPr>
      </w:pPr>
    </w:p>
    <w:p w:rsidR="009421F2" w:rsidRPr="00661D74" w:rsidRDefault="009421F2" w:rsidP="009421F2">
      <w:pPr>
        <w:autoSpaceDE w:val="0"/>
        <w:autoSpaceDN w:val="0"/>
        <w:adjustRightInd w:val="0"/>
        <w:ind w:left="851"/>
        <w:rPr>
          <w:sz w:val="24"/>
          <w:szCs w:val="24"/>
          <w:u w:val="single"/>
        </w:rPr>
      </w:pPr>
      <w:r w:rsidRPr="00661D74">
        <w:rPr>
          <w:sz w:val="24"/>
          <w:szCs w:val="24"/>
          <w:u w:val="single"/>
        </w:rPr>
        <w:t>Indberetning af formodede bivirkninger</w:t>
      </w:r>
    </w:p>
    <w:p w:rsidR="009421F2" w:rsidRPr="00661D74" w:rsidRDefault="009421F2" w:rsidP="009421F2">
      <w:pPr>
        <w:ind w:left="851"/>
        <w:rPr>
          <w:sz w:val="24"/>
          <w:szCs w:val="24"/>
        </w:rPr>
      </w:pPr>
      <w:r w:rsidRPr="00661D74">
        <w:rPr>
          <w:sz w:val="24"/>
          <w:szCs w:val="24"/>
        </w:rPr>
        <w:t>Når lægemidlet er godkendt, er indberetning af formodede bivirkninger vigtig. Det muliggør løbende overvågning af benefit/</w:t>
      </w:r>
      <w:proofErr w:type="spellStart"/>
      <w:r w:rsidRPr="00661D74">
        <w:rPr>
          <w:sz w:val="24"/>
          <w:szCs w:val="24"/>
        </w:rPr>
        <w:t>risk</w:t>
      </w:r>
      <w:proofErr w:type="spellEnd"/>
      <w:r w:rsidRPr="00661D74">
        <w:rPr>
          <w:sz w:val="24"/>
          <w:szCs w:val="24"/>
        </w:rPr>
        <w:t>-forholdet for lægemidlet.</w:t>
      </w:r>
      <w:r>
        <w:rPr>
          <w:sz w:val="24"/>
          <w:szCs w:val="24"/>
        </w:rPr>
        <w:t xml:space="preserve"> Sundhedspersoner</w:t>
      </w:r>
      <w:r w:rsidRPr="00661D74">
        <w:rPr>
          <w:sz w:val="24"/>
          <w:szCs w:val="24"/>
        </w:rPr>
        <w:t xml:space="preserve"> anmodes om at indberette alle formodede bivirkninger via </w:t>
      </w:r>
    </w:p>
    <w:p w:rsidR="009421F2" w:rsidRPr="00661D74" w:rsidRDefault="009421F2" w:rsidP="009421F2">
      <w:pPr>
        <w:ind w:left="851"/>
        <w:rPr>
          <w:sz w:val="24"/>
          <w:szCs w:val="24"/>
        </w:rPr>
      </w:pPr>
    </w:p>
    <w:p w:rsidR="009421F2" w:rsidRPr="00661D74" w:rsidRDefault="009421F2" w:rsidP="009421F2">
      <w:pPr>
        <w:ind w:left="851"/>
        <w:rPr>
          <w:rFonts w:eastAsia="Calibri"/>
          <w:color w:val="000000"/>
          <w:sz w:val="24"/>
          <w:szCs w:val="24"/>
          <w:lang w:eastAsia="zh-CN"/>
        </w:rPr>
      </w:pPr>
      <w:r w:rsidRPr="00661D74">
        <w:rPr>
          <w:sz w:val="24"/>
          <w:szCs w:val="24"/>
        </w:rPr>
        <w:t>Lægemiddelstyrelsen</w:t>
      </w:r>
    </w:p>
    <w:p w:rsidR="009421F2" w:rsidRPr="00661D74" w:rsidRDefault="009421F2" w:rsidP="009421F2">
      <w:pPr>
        <w:ind w:left="851"/>
        <w:rPr>
          <w:rFonts w:eastAsia="Calibri"/>
          <w:sz w:val="24"/>
          <w:szCs w:val="24"/>
          <w:lang w:eastAsia="zh-CN"/>
        </w:rPr>
      </w:pPr>
      <w:r w:rsidRPr="00661D74">
        <w:rPr>
          <w:rFonts w:eastAsia="Calibri"/>
          <w:sz w:val="24"/>
          <w:szCs w:val="24"/>
          <w:lang w:eastAsia="zh-CN"/>
        </w:rPr>
        <w:t>Axel Heides Gade 1</w:t>
      </w:r>
    </w:p>
    <w:p w:rsidR="009421F2" w:rsidRPr="00661D74" w:rsidRDefault="009421F2" w:rsidP="009421F2">
      <w:pPr>
        <w:ind w:left="851"/>
        <w:rPr>
          <w:rFonts w:eastAsia="Calibri"/>
          <w:sz w:val="24"/>
          <w:szCs w:val="24"/>
          <w:lang w:eastAsia="zh-CN"/>
        </w:rPr>
      </w:pPr>
      <w:r w:rsidRPr="00661D74">
        <w:rPr>
          <w:rFonts w:eastAsia="Calibri"/>
          <w:sz w:val="24"/>
          <w:szCs w:val="24"/>
          <w:lang w:eastAsia="zh-CN"/>
        </w:rPr>
        <w:t>DK-2300 København S</w:t>
      </w:r>
    </w:p>
    <w:p w:rsidR="009260DE" w:rsidRPr="00661D74" w:rsidRDefault="009421F2" w:rsidP="009421F2">
      <w:pPr>
        <w:autoSpaceDE w:val="0"/>
        <w:autoSpaceDN w:val="0"/>
        <w:adjustRightInd w:val="0"/>
        <w:ind w:left="851"/>
        <w:rPr>
          <w:sz w:val="24"/>
          <w:szCs w:val="24"/>
        </w:rPr>
      </w:pPr>
      <w:r w:rsidRPr="00661D74">
        <w:rPr>
          <w:rFonts w:eastAsia="Calibri"/>
          <w:sz w:val="24"/>
          <w:szCs w:val="24"/>
          <w:lang w:eastAsia="zh-CN"/>
        </w:rPr>
        <w:t xml:space="preserve">Websted: </w:t>
      </w:r>
      <w:hyperlink r:id="rId8" w:history="1">
        <w:r w:rsidRPr="00661D74">
          <w:rPr>
            <w:rStyle w:val="Hyperlink"/>
            <w:rFonts w:eastAsia="Calibri"/>
            <w:sz w:val="24"/>
            <w:szCs w:val="24"/>
            <w:lang w:eastAsia="zh-CN"/>
          </w:rPr>
          <w:t>www.meldenbivirkning.dk</w:t>
        </w:r>
      </w:hyperlink>
    </w:p>
    <w:p w:rsidR="009260DE" w:rsidRPr="00661D74" w:rsidRDefault="009260DE" w:rsidP="00661D74">
      <w:pPr>
        <w:ind w:left="851" w:hanging="851"/>
        <w:rPr>
          <w:b/>
          <w:sz w:val="24"/>
          <w:szCs w:val="24"/>
        </w:rPr>
      </w:pPr>
      <w:r w:rsidRPr="00661D74">
        <w:rPr>
          <w:b/>
          <w:sz w:val="24"/>
          <w:szCs w:val="24"/>
        </w:rPr>
        <w:lastRenderedPageBreak/>
        <w:t>4.9</w:t>
      </w:r>
      <w:r w:rsidRPr="00661D74">
        <w:rPr>
          <w:b/>
          <w:sz w:val="24"/>
          <w:szCs w:val="24"/>
        </w:rPr>
        <w:tab/>
        <w:t>Overdosering</w:t>
      </w:r>
    </w:p>
    <w:p w:rsidR="007C4075" w:rsidRPr="00661D74" w:rsidRDefault="007C4075" w:rsidP="00C82ECC">
      <w:pPr>
        <w:ind w:left="851"/>
        <w:rPr>
          <w:sz w:val="24"/>
          <w:szCs w:val="24"/>
        </w:rPr>
      </w:pPr>
      <w:r w:rsidRPr="00661D74">
        <w:rPr>
          <w:sz w:val="24"/>
          <w:szCs w:val="24"/>
        </w:rPr>
        <w:t xml:space="preserve">Uønsket administration af for store mængder </w:t>
      </w:r>
      <w:proofErr w:type="spellStart"/>
      <w:r w:rsidRPr="00661D74">
        <w:rPr>
          <w:sz w:val="24"/>
          <w:szCs w:val="24"/>
        </w:rPr>
        <w:t>Cifoban</w:t>
      </w:r>
      <w:proofErr w:type="spellEnd"/>
      <w:r w:rsidRPr="00661D74">
        <w:rPr>
          <w:sz w:val="24"/>
          <w:szCs w:val="24"/>
        </w:rPr>
        <w:t xml:space="preserve"> kan medføre overdosis, hvilket kan forårsage en livstruende situation for patienten. </w:t>
      </w:r>
    </w:p>
    <w:p w:rsidR="007C4075" w:rsidRPr="00661D74" w:rsidRDefault="007C4075" w:rsidP="00C82ECC">
      <w:pPr>
        <w:ind w:left="851"/>
        <w:rPr>
          <w:sz w:val="24"/>
          <w:szCs w:val="24"/>
        </w:rPr>
      </w:pPr>
    </w:p>
    <w:p w:rsidR="007C4075" w:rsidRPr="00661D74" w:rsidRDefault="007C4075" w:rsidP="00C82ECC">
      <w:pPr>
        <w:ind w:left="851"/>
        <w:rPr>
          <w:sz w:val="24"/>
          <w:szCs w:val="24"/>
        </w:rPr>
      </w:pPr>
      <w:r w:rsidRPr="00661D74">
        <w:rPr>
          <w:sz w:val="24"/>
          <w:szCs w:val="24"/>
        </w:rPr>
        <w:t xml:space="preserve">Ukorrekt infusion af for store mængder citrat kan resultere i akut </w:t>
      </w:r>
      <w:proofErr w:type="spellStart"/>
      <w:r w:rsidRPr="00661D74">
        <w:rPr>
          <w:sz w:val="24"/>
          <w:szCs w:val="24"/>
        </w:rPr>
        <w:t>hypocalciæmi</w:t>
      </w:r>
      <w:proofErr w:type="spellEnd"/>
      <w:r w:rsidRPr="00661D74">
        <w:rPr>
          <w:sz w:val="24"/>
          <w:szCs w:val="24"/>
        </w:rPr>
        <w:t xml:space="preserve"> (og metabolisk </w:t>
      </w:r>
      <w:proofErr w:type="spellStart"/>
      <w:r w:rsidRPr="00661D74">
        <w:rPr>
          <w:sz w:val="24"/>
          <w:szCs w:val="24"/>
        </w:rPr>
        <w:t>alkalose</w:t>
      </w:r>
      <w:proofErr w:type="spellEnd"/>
      <w:r w:rsidRPr="00661D74">
        <w:rPr>
          <w:sz w:val="24"/>
          <w:szCs w:val="24"/>
        </w:rPr>
        <w:t xml:space="preserve">, </w:t>
      </w:r>
      <w:proofErr w:type="spellStart"/>
      <w:r w:rsidRPr="00661D74">
        <w:rPr>
          <w:sz w:val="24"/>
          <w:szCs w:val="24"/>
        </w:rPr>
        <w:t>hypernatriæmi</w:t>
      </w:r>
      <w:proofErr w:type="spellEnd"/>
      <w:r w:rsidRPr="00661D74">
        <w:rPr>
          <w:sz w:val="24"/>
          <w:szCs w:val="24"/>
        </w:rPr>
        <w:t xml:space="preserve">) og kan udsætte patienten for neurologiske og </w:t>
      </w:r>
      <w:proofErr w:type="spellStart"/>
      <w:r w:rsidRPr="00661D74">
        <w:rPr>
          <w:sz w:val="24"/>
          <w:szCs w:val="24"/>
        </w:rPr>
        <w:t>kardielle</w:t>
      </w:r>
      <w:proofErr w:type="spellEnd"/>
      <w:r w:rsidRPr="00661D74">
        <w:rPr>
          <w:sz w:val="24"/>
          <w:szCs w:val="24"/>
        </w:rPr>
        <w:t xml:space="preserve"> komplikationer. Denne forstyrrelse skal med det samme korrigeres ved </w:t>
      </w:r>
      <w:proofErr w:type="spellStart"/>
      <w:r w:rsidRPr="00661D74">
        <w:rPr>
          <w:sz w:val="24"/>
          <w:szCs w:val="24"/>
        </w:rPr>
        <w:t>seponering</w:t>
      </w:r>
      <w:proofErr w:type="spellEnd"/>
      <w:r w:rsidRPr="00661D74">
        <w:rPr>
          <w:sz w:val="24"/>
          <w:szCs w:val="24"/>
        </w:rPr>
        <w:t xml:space="preserve">/reduktion af </w:t>
      </w:r>
      <w:proofErr w:type="spellStart"/>
      <w:r w:rsidRPr="00661D74">
        <w:rPr>
          <w:sz w:val="24"/>
          <w:szCs w:val="24"/>
        </w:rPr>
        <w:t>Cifoban</w:t>
      </w:r>
      <w:proofErr w:type="spellEnd"/>
      <w:r w:rsidRPr="00661D74">
        <w:rPr>
          <w:sz w:val="24"/>
          <w:szCs w:val="24"/>
        </w:rPr>
        <w:t xml:space="preserve"> væske og ved intravenøs administration af calcium. </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4.10</w:t>
      </w:r>
      <w:r w:rsidRPr="00661D74">
        <w:rPr>
          <w:b/>
          <w:sz w:val="24"/>
          <w:szCs w:val="24"/>
        </w:rPr>
        <w:tab/>
        <w:t>Udlevering</w:t>
      </w:r>
    </w:p>
    <w:p w:rsidR="00CA060F" w:rsidRDefault="00A7466F" w:rsidP="009421F2">
      <w:pPr>
        <w:ind w:left="851"/>
        <w:rPr>
          <w:sz w:val="24"/>
          <w:szCs w:val="24"/>
        </w:rPr>
      </w:pPr>
      <w:r>
        <w:rPr>
          <w:sz w:val="24"/>
          <w:szCs w:val="24"/>
        </w:rPr>
        <w:t>B</w:t>
      </w:r>
    </w:p>
    <w:p w:rsidR="009421F2" w:rsidRDefault="009421F2" w:rsidP="009421F2">
      <w:pPr>
        <w:ind w:left="851"/>
        <w:rPr>
          <w:sz w:val="24"/>
          <w:szCs w:val="24"/>
        </w:rPr>
      </w:pPr>
    </w:p>
    <w:p w:rsidR="009260DE" w:rsidRPr="00661D74" w:rsidRDefault="009260DE" w:rsidP="00661D74">
      <w:pPr>
        <w:ind w:left="851"/>
        <w:rPr>
          <w:sz w:val="24"/>
          <w:szCs w:val="24"/>
        </w:rPr>
      </w:pPr>
    </w:p>
    <w:p w:rsidR="007C4075" w:rsidRPr="009421F2" w:rsidRDefault="009260DE" w:rsidP="009421F2">
      <w:pPr>
        <w:ind w:left="851" w:hanging="851"/>
        <w:rPr>
          <w:b/>
          <w:sz w:val="24"/>
          <w:szCs w:val="24"/>
        </w:rPr>
      </w:pPr>
      <w:r w:rsidRPr="00661D74">
        <w:rPr>
          <w:b/>
          <w:sz w:val="24"/>
          <w:szCs w:val="24"/>
        </w:rPr>
        <w:t>5.</w:t>
      </w:r>
      <w:r w:rsidRPr="00661D74">
        <w:rPr>
          <w:b/>
          <w:sz w:val="24"/>
          <w:szCs w:val="24"/>
        </w:rPr>
        <w:tab/>
        <w:t>FARMAKOLOGISKE EGENSKABER</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5.1</w:t>
      </w:r>
      <w:r w:rsidRPr="00661D74">
        <w:rPr>
          <w:b/>
          <w:sz w:val="24"/>
          <w:szCs w:val="24"/>
        </w:rPr>
        <w:tab/>
      </w:r>
      <w:proofErr w:type="spellStart"/>
      <w:r w:rsidRPr="00661D74">
        <w:rPr>
          <w:b/>
          <w:sz w:val="24"/>
          <w:szCs w:val="24"/>
        </w:rPr>
        <w:t>Farmakodynamiske</w:t>
      </w:r>
      <w:proofErr w:type="spellEnd"/>
      <w:r w:rsidRPr="00661D74">
        <w:rPr>
          <w:b/>
          <w:sz w:val="24"/>
          <w:szCs w:val="24"/>
        </w:rPr>
        <w:t xml:space="preserve"> egenskaber</w:t>
      </w:r>
    </w:p>
    <w:p w:rsidR="009421F2" w:rsidRDefault="009421F2" w:rsidP="00661D74">
      <w:pPr>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r w:rsidRPr="00661D74">
        <w:rPr>
          <w:sz w:val="24"/>
          <w:szCs w:val="24"/>
        </w:rPr>
        <w:t xml:space="preserve">Hæmodialysevæsker og </w:t>
      </w:r>
      <w:proofErr w:type="spellStart"/>
      <w:r w:rsidRPr="00661D74">
        <w:rPr>
          <w:sz w:val="24"/>
          <w:szCs w:val="24"/>
        </w:rPr>
        <w:t>hæmofiltrater</w:t>
      </w:r>
      <w:proofErr w:type="spellEnd"/>
      <w:r w:rsidRPr="00661D74">
        <w:rPr>
          <w:sz w:val="24"/>
          <w:szCs w:val="24"/>
        </w:rPr>
        <w:t xml:space="preserve">, </w:t>
      </w:r>
      <w:proofErr w:type="spellStart"/>
      <w:r w:rsidRPr="00661D74">
        <w:rPr>
          <w:sz w:val="24"/>
          <w:szCs w:val="24"/>
        </w:rPr>
        <w:t>hæmofiltrater</w:t>
      </w:r>
      <w:proofErr w:type="spellEnd"/>
      <w:r>
        <w:rPr>
          <w:sz w:val="24"/>
          <w:szCs w:val="24"/>
        </w:rPr>
        <w:t xml:space="preserve">. </w:t>
      </w:r>
      <w:r w:rsidRPr="00661D74">
        <w:rPr>
          <w:sz w:val="24"/>
          <w:szCs w:val="24"/>
        </w:rPr>
        <w:t>ATC-kode: B 05 ZB.</w:t>
      </w:r>
    </w:p>
    <w:p w:rsidR="009421F2" w:rsidRDefault="009421F2" w:rsidP="00661D74">
      <w:pPr>
        <w:ind w:left="851"/>
        <w:rPr>
          <w:sz w:val="24"/>
          <w:szCs w:val="24"/>
        </w:rPr>
      </w:pPr>
    </w:p>
    <w:p w:rsidR="007C4075" w:rsidRPr="00661D74" w:rsidRDefault="007C4075" w:rsidP="00661D74">
      <w:pPr>
        <w:ind w:left="851"/>
        <w:rPr>
          <w:sz w:val="24"/>
          <w:szCs w:val="24"/>
        </w:rPr>
      </w:pPr>
      <w:r w:rsidRPr="00661D74">
        <w:rPr>
          <w:sz w:val="24"/>
          <w:szCs w:val="24"/>
        </w:rPr>
        <w:t>Infusionsvæske til regional citratantikoagulation ved CVVHD, CVVHDF, SLEDD og TPE.</w:t>
      </w:r>
    </w:p>
    <w:p w:rsidR="007C4075" w:rsidRPr="00661D74" w:rsidRDefault="007C4075" w:rsidP="00661D74">
      <w:pPr>
        <w:suppressAutoHyphens/>
        <w:ind w:left="851"/>
        <w:rPr>
          <w:sz w:val="24"/>
          <w:szCs w:val="24"/>
        </w:rPr>
      </w:pPr>
    </w:p>
    <w:p w:rsidR="007C4075" w:rsidRPr="00661D74" w:rsidRDefault="007C4075" w:rsidP="00661D74">
      <w:pPr>
        <w:ind w:left="851"/>
        <w:rPr>
          <w:sz w:val="24"/>
          <w:szCs w:val="24"/>
        </w:rPr>
      </w:pPr>
      <w:r w:rsidRPr="00661D74">
        <w:rPr>
          <w:sz w:val="24"/>
          <w:szCs w:val="24"/>
        </w:rPr>
        <w:t xml:space="preserve">Regional citratantikoagulation er en metode til regional antikoagulation i et ekstrakorporal kredsløb beregnet til blodrensning uden brug af systemisk </w:t>
      </w:r>
      <w:proofErr w:type="spellStart"/>
      <w:r w:rsidRPr="00661D74">
        <w:rPr>
          <w:sz w:val="24"/>
          <w:szCs w:val="24"/>
        </w:rPr>
        <w:t>antikoagulationsbehandling</w:t>
      </w:r>
      <w:proofErr w:type="spellEnd"/>
      <w:r w:rsidRPr="00661D74">
        <w:rPr>
          <w:sz w:val="24"/>
          <w:szCs w:val="24"/>
        </w:rPr>
        <w:t xml:space="preserve">. Regional citratantikoagulation kan anvendes i </w:t>
      </w:r>
      <w:proofErr w:type="spellStart"/>
      <w:r w:rsidRPr="00661D74">
        <w:rPr>
          <w:sz w:val="24"/>
          <w:szCs w:val="24"/>
        </w:rPr>
        <w:t>ekstrakorporale</w:t>
      </w:r>
      <w:proofErr w:type="spellEnd"/>
      <w:r w:rsidRPr="00661D74">
        <w:rPr>
          <w:sz w:val="24"/>
          <w:szCs w:val="24"/>
        </w:rPr>
        <w:t xml:space="preserve"> kredsløb med lav til moderat blodgennemstrømningshastighed og hvor fortrinsvis en vis del af citrat fjernes ved blodrensningsbehandlingen. Data fra den videnskabelige litteratur tyder på, at regional citratantikoagulation kan anvendes som førstevalg </w:t>
      </w:r>
      <w:proofErr w:type="spellStart"/>
      <w:r w:rsidRPr="00661D74">
        <w:rPr>
          <w:sz w:val="24"/>
          <w:szCs w:val="24"/>
        </w:rPr>
        <w:t>antikoagulationsbehandling</w:t>
      </w:r>
      <w:proofErr w:type="spellEnd"/>
      <w:r w:rsidRPr="00661D74">
        <w:rPr>
          <w:sz w:val="24"/>
          <w:szCs w:val="24"/>
        </w:rPr>
        <w:t xml:space="preserve"> ved de indicerede behandlinger, og at det især kan gavne patienter med aktiv blødning eller en øget risiko for blødning. Der kan sædvanligvis opnås en højere grad af antikoagulation sammenlignet med systemisk antikoagulation, hvilket er en fordel med hensyn til åbenhed i kredsløbet og behandlingseffekt. </w:t>
      </w:r>
    </w:p>
    <w:p w:rsidR="007C4075" w:rsidRPr="00661D74" w:rsidRDefault="007C4075" w:rsidP="00661D74">
      <w:pPr>
        <w:ind w:left="851"/>
        <w:rPr>
          <w:sz w:val="24"/>
          <w:szCs w:val="24"/>
          <w:u w:val="single"/>
        </w:rPr>
      </w:pPr>
    </w:p>
    <w:p w:rsidR="007C4075" w:rsidRPr="00661D74" w:rsidRDefault="007C4075" w:rsidP="00661D74">
      <w:pPr>
        <w:ind w:left="851"/>
        <w:rPr>
          <w:sz w:val="24"/>
          <w:szCs w:val="24"/>
        </w:rPr>
      </w:pPr>
      <w:r w:rsidRPr="00661D74">
        <w:rPr>
          <w:sz w:val="24"/>
          <w:szCs w:val="24"/>
        </w:rPr>
        <w:t xml:space="preserve">Afhængig af den enkelte </w:t>
      </w:r>
      <w:proofErr w:type="spellStart"/>
      <w:r w:rsidRPr="00661D74">
        <w:rPr>
          <w:sz w:val="24"/>
          <w:szCs w:val="24"/>
        </w:rPr>
        <w:t>ekstrakorporale</w:t>
      </w:r>
      <w:proofErr w:type="spellEnd"/>
      <w:r w:rsidRPr="00661D74">
        <w:rPr>
          <w:sz w:val="24"/>
          <w:szCs w:val="24"/>
        </w:rPr>
        <w:t xml:space="preserve"> blodrensningsbehandling med citratanti</w:t>
      </w:r>
      <w:r w:rsidR="009738E9">
        <w:rPr>
          <w:sz w:val="24"/>
          <w:szCs w:val="24"/>
        </w:rPr>
        <w:softHyphen/>
      </w:r>
      <w:r w:rsidRPr="00661D74">
        <w:rPr>
          <w:sz w:val="24"/>
          <w:szCs w:val="24"/>
        </w:rPr>
        <w:t xml:space="preserve">koagulation ekstraheres calcium i varierende mængde fra patientens blod, hvilket nødvendiggør calciumsubstitution. En del af det citrat, der </w:t>
      </w:r>
      <w:proofErr w:type="spellStart"/>
      <w:r w:rsidRPr="00661D74">
        <w:rPr>
          <w:sz w:val="24"/>
          <w:szCs w:val="24"/>
        </w:rPr>
        <w:t>infunderes</w:t>
      </w:r>
      <w:proofErr w:type="spellEnd"/>
      <w:r w:rsidRPr="00661D74">
        <w:rPr>
          <w:sz w:val="24"/>
          <w:szCs w:val="24"/>
        </w:rPr>
        <w:t xml:space="preserve"> ved regional citrat-antikoagulation, vil uvægerligt gå over i patientens systemiske kredsløb sammen med det blod, der føres tilbage i patienten. Dette medfører en stigning i den systemiske citratkoncentration, som sædvanligvis vil stabiliseres på et andet niveau afhængig af den faktiske infusionshastighed og </w:t>
      </w:r>
      <w:proofErr w:type="spellStart"/>
      <w:r w:rsidRPr="00661D74">
        <w:rPr>
          <w:sz w:val="24"/>
          <w:szCs w:val="24"/>
        </w:rPr>
        <w:t>metabolisering</w:t>
      </w:r>
      <w:proofErr w:type="spellEnd"/>
      <w:r w:rsidRPr="00661D74">
        <w:rPr>
          <w:sz w:val="24"/>
          <w:szCs w:val="24"/>
        </w:rPr>
        <w:t xml:space="preserve"> af citrat i lever og andet væv. </w:t>
      </w:r>
    </w:p>
    <w:p w:rsidR="007C4075" w:rsidRPr="00661D74" w:rsidRDefault="007C4075" w:rsidP="00661D74">
      <w:pPr>
        <w:ind w:left="851"/>
        <w:rPr>
          <w:sz w:val="24"/>
          <w:szCs w:val="24"/>
        </w:rPr>
      </w:pPr>
    </w:p>
    <w:p w:rsidR="007C4075" w:rsidRPr="00661D74" w:rsidRDefault="007C4075" w:rsidP="00661D74">
      <w:pPr>
        <w:ind w:left="851"/>
        <w:rPr>
          <w:sz w:val="24"/>
          <w:szCs w:val="24"/>
        </w:rPr>
      </w:pPr>
      <w:proofErr w:type="spellStart"/>
      <w:r w:rsidRPr="00661D74">
        <w:rPr>
          <w:sz w:val="24"/>
          <w:szCs w:val="24"/>
        </w:rPr>
        <w:t>Calciumcitratchelat</w:t>
      </w:r>
      <w:proofErr w:type="spellEnd"/>
      <w:r w:rsidRPr="00661D74">
        <w:rPr>
          <w:sz w:val="24"/>
          <w:szCs w:val="24"/>
        </w:rPr>
        <w:t xml:space="preserve">-forbindelser i patientens blod </w:t>
      </w:r>
      <w:r w:rsidRPr="00661D74">
        <w:rPr>
          <w:rStyle w:val="trns-org-res"/>
          <w:sz w:val="24"/>
          <w:szCs w:val="24"/>
        </w:rPr>
        <w:t xml:space="preserve">dissocierer, når der </w:t>
      </w:r>
      <w:proofErr w:type="spellStart"/>
      <w:r w:rsidRPr="00661D74">
        <w:rPr>
          <w:rStyle w:val="trns-org-res"/>
          <w:sz w:val="24"/>
          <w:szCs w:val="24"/>
        </w:rPr>
        <w:t>metaboliseres</w:t>
      </w:r>
      <w:proofErr w:type="spellEnd"/>
      <w:r w:rsidRPr="00661D74">
        <w:rPr>
          <w:rStyle w:val="trns-org-res"/>
          <w:sz w:val="24"/>
          <w:szCs w:val="24"/>
        </w:rPr>
        <w:t xml:space="preserve"> mere citrat end der </w:t>
      </w:r>
      <w:proofErr w:type="spellStart"/>
      <w:r w:rsidRPr="00661D74">
        <w:rPr>
          <w:rStyle w:val="trns-org-res"/>
          <w:sz w:val="24"/>
          <w:szCs w:val="24"/>
        </w:rPr>
        <w:t>infunderes</w:t>
      </w:r>
      <w:proofErr w:type="spellEnd"/>
      <w:r w:rsidRPr="00661D74">
        <w:rPr>
          <w:rStyle w:val="trns-org-res"/>
          <w:sz w:val="24"/>
          <w:szCs w:val="24"/>
        </w:rPr>
        <w:t xml:space="preserve"> systemisk</w:t>
      </w:r>
      <w:r w:rsidRPr="00661D74">
        <w:rPr>
          <w:sz w:val="24"/>
          <w:szCs w:val="24"/>
        </w:rPr>
        <w:t xml:space="preserve">. Nettoeffekten er, at frit ioniseret calcium forbliver i patientens blod og derefter redistribueres i patientens krop, hvor det spiller en væsentlig rolle i både </w:t>
      </w:r>
      <w:proofErr w:type="spellStart"/>
      <w:r w:rsidRPr="00661D74">
        <w:rPr>
          <w:sz w:val="24"/>
          <w:szCs w:val="24"/>
        </w:rPr>
        <w:t>remodellering</w:t>
      </w:r>
      <w:proofErr w:type="spellEnd"/>
      <w:r w:rsidRPr="00661D74">
        <w:rPr>
          <w:sz w:val="24"/>
          <w:szCs w:val="24"/>
        </w:rPr>
        <w:t xml:space="preserve"> af knoglevæv og som en elektrolyt med vitale cellefunktioner i kroppen (f.eks. i muskelceller og neuroner). </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5.2</w:t>
      </w:r>
      <w:r w:rsidRPr="00661D74">
        <w:rPr>
          <w:b/>
          <w:sz w:val="24"/>
          <w:szCs w:val="24"/>
        </w:rPr>
        <w:tab/>
      </w:r>
      <w:proofErr w:type="spellStart"/>
      <w:r w:rsidRPr="00661D74">
        <w:rPr>
          <w:b/>
          <w:sz w:val="24"/>
          <w:szCs w:val="24"/>
        </w:rPr>
        <w:t>Farmakokinetiske</w:t>
      </w:r>
      <w:proofErr w:type="spellEnd"/>
      <w:r w:rsidRPr="00661D74">
        <w:rPr>
          <w:b/>
          <w:sz w:val="24"/>
          <w:szCs w:val="24"/>
        </w:rPr>
        <w:t xml:space="preserve"> egenskaber</w:t>
      </w:r>
    </w:p>
    <w:p w:rsidR="009421F2" w:rsidRPr="00661D74" w:rsidRDefault="009421F2" w:rsidP="009421F2">
      <w:pPr>
        <w:ind w:left="851"/>
        <w:rPr>
          <w:sz w:val="24"/>
          <w:szCs w:val="24"/>
        </w:rPr>
      </w:pPr>
      <w:r w:rsidRPr="00661D74">
        <w:rPr>
          <w:sz w:val="24"/>
          <w:szCs w:val="24"/>
        </w:rPr>
        <w:t xml:space="preserve">Citrat er en normal metabolit i kroppen og et </w:t>
      </w:r>
      <w:proofErr w:type="spellStart"/>
      <w:r w:rsidRPr="00661D74">
        <w:rPr>
          <w:sz w:val="24"/>
          <w:szCs w:val="24"/>
        </w:rPr>
        <w:t>intermediært</w:t>
      </w:r>
      <w:proofErr w:type="spellEnd"/>
      <w:r>
        <w:rPr>
          <w:sz w:val="24"/>
          <w:szCs w:val="24"/>
        </w:rPr>
        <w:t xml:space="preserve"> substrat</w:t>
      </w:r>
      <w:r w:rsidRPr="00661D74">
        <w:rPr>
          <w:sz w:val="24"/>
          <w:szCs w:val="24"/>
        </w:rPr>
        <w:t xml:space="preserve"> i Krebs’ cyklus. Denne fysiologiske </w:t>
      </w:r>
      <w:proofErr w:type="spellStart"/>
      <w:r w:rsidRPr="00661D74">
        <w:rPr>
          <w:sz w:val="24"/>
          <w:szCs w:val="24"/>
        </w:rPr>
        <w:t>metaboliseringsvej</w:t>
      </w:r>
      <w:proofErr w:type="spellEnd"/>
      <w:r w:rsidRPr="00661D74">
        <w:rPr>
          <w:sz w:val="24"/>
          <w:szCs w:val="24"/>
        </w:rPr>
        <w:t xml:space="preserve"> er sammen med respirationskæden i stand til at behandle store mængder citrat hos størstedelen af patienterne. Krebs’ cyklus finder sted i </w:t>
      </w:r>
      <w:r w:rsidRPr="00661D74">
        <w:rPr>
          <w:sz w:val="24"/>
          <w:szCs w:val="24"/>
        </w:rPr>
        <w:lastRenderedPageBreak/>
        <w:t xml:space="preserve">mitokondrierne, og alle celler, der indeholder disse cellulære organeller, kan </w:t>
      </w:r>
      <w:proofErr w:type="spellStart"/>
      <w:r w:rsidRPr="00661D74">
        <w:rPr>
          <w:sz w:val="24"/>
          <w:szCs w:val="24"/>
        </w:rPr>
        <w:t>metabolisere</w:t>
      </w:r>
      <w:proofErr w:type="spellEnd"/>
      <w:r w:rsidRPr="00661D74">
        <w:rPr>
          <w:sz w:val="24"/>
          <w:szCs w:val="24"/>
        </w:rPr>
        <w:t xml:space="preserve"> citrat. Væv, der er rigt på mitokondrier, såsom lever, skeletmuskulatur og nyrer, har derfor en større kapacitet til at generere og eliminere citrat. </w:t>
      </w:r>
    </w:p>
    <w:p w:rsidR="009421F2" w:rsidRPr="00661D74" w:rsidRDefault="009421F2" w:rsidP="009421F2">
      <w:pPr>
        <w:ind w:left="851"/>
        <w:rPr>
          <w:sz w:val="24"/>
          <w:szCs w:val="24"/>
          <w:u w:val="single"/>
        </w:rPr>
      </w:pPr>
    </w:p>
    <w:p w:rsidR="009421F2" w:rsidRPr="00661D74" w:rsidRDefault="009421F2" w:rsidP="009421F2">
      <w:pPr>
        <w:ind w:left="851"/>
        <w:rPr>
          <w:sz w:val="24"/>
          <w:szCs w:val="24"/>
          <w:u w:val="single"/>
        </w:rPr>
      </w:pPr>
      <w:r w:rsidRPr="00661D74">
        <w:rPr>
          <w:sz w:val="24"/>
          <w:szCs w:val="24"/>
          <w:u w:val="single"/>
        </w:rPr>
        <w:t>Absorption og fordeling</w:t>
      </w:r>
    </w:p>
    <w:p w:rsidR="009421F2" w:rsidRPr="00661D74" w:rsidRDefault="009421F2" w:rsidP="009421F2">
      <w:pPr>
        <w:ind w:left="851"/>
        <w:rPr>
          <w:sz w:val="24"/>
          <w:szCs w:val="24"/>
        </w:rPr>
      </w:pPr>
      <w:r w:rsidRPr="00661D74">
        <w:rPr>
          <w:sz w:val="24"/>
          <w:szCs w:val="24"/>
        </w:rPr>
        <w:t xml:space="preserve">Absorption og fordeling af natrium og citrat bestemmes af patientens kliniske tilstand, metaboliske status og restnyrefunktion. </w:t>
      </w:r>
    </w:p>
    <w:p w:rsidR="009421F2" w:rsidRPr="00661D74" w:rsidRDefault="009421F2" w:rsidP="009421F2">
      <w:pPr>
        <w:ind w:left="851"/>
        <w:rPr>
          <w:sz w:val="24"/>
          <w:szCs w:val="24"/>
        </w:rPr>
      </w:pPr>
    </w:p>
    <w:p w:rsidR="009421F2" w:rsidRPr="00661D74" w:rsidRDefault="009421F2" w:rsidP="009421F2">
      <w:pPr>
        <w:ind w:left="851"/>
        <w:rPr>
          <w:sz w:val="24"/>
          <w:szCs w:val="24"/>
          <w:u w:val="single"/>
        </w:rPr>
      </w:pPr>
      <w:r w:rsidRPr="00661D74">
        <w:rPr>
          <w:sz w:val="24"/>
          <w:szCs w:val="24"/>
          <w:u w:val="single"/>
        </w:rPr>
        <w:t>Biotransformation</w:t>
      </w:r>
    </w:p>
    <w:p w:rsidR="009421F2" w:rsidRPr="00661D74" w:rsidRDefault="009421F2" w:rsidP="009421F2">
      <w:pPr>
        <w:ind w:left="851"/>
        <w:rPr>
          <w:sz w:val="24"/>
          <w:szCs w:val="24"/>
        </w:rPr>
      </w:pPr>
      <w:r w:rsidRPr="00661D74">
        <w:rPr>
          <w:sz w:val="24"/>
          <w:szCs w:val="24"/>
        </w:rPr>
        <w:t xml:space="preserve">Hos mennesker er citrat et </w:t>
      </w:r>
      <w:proofErr w:type="spellStart"/>
      <w:r w:rsidRPr="00661D74">
        <w:rPr>
          <w:sz w:val="24"/>
          <w:szCs w:val="24"/>
        </w:rPr>
        <w:t>intermediært</w:t>
      </w:r>
      <w:proofErr w:type="spellEnd"/>
      <w:r w:rsidRPr="00661D74">
        <w:rPr>
          <w:sz w:val="24"/>
          <w:szCs w:val="24"/>
        </w:rPr>
        <w:t xml:space="preserve"> </w:t>
      </w:r>
      <w:r>
        <w:rPr>
          <w:sz w:val="24"/>
          <w:szCs w:val="24"/>
        </w:rPr>
        <w:t xml:space="preserve">substrat </w:t>
      </w:r>
      <w:r w:rsidRPr="00661D74">
        <w:rPr>
          <w:sz w:val="24"/>
          <w:szCs w:val="24"/>
        </w:rPr>
        <w:t xml:space="preserve">i den centrale </w:t>
      </w:r>
      <w:proofErr w:type="spellStart"/>
      <w:r w:rsidRPr="00661D74">
        <w:rPr>
          <w:sz w:val="24"/>
          <w:szCs w:val="24"/>
        </w:rPr>
        <w:t>metaboliseringsvej</w:t>
      </w:r>
      <w:proofErr w:type="spellEnd"/>
      <w:r w:rsidRPr="00661D74">
        <w:rPr>
          <w:sz w:val="24"/>
          <w:szCs w:val="24"/>
        </w:rPr>
        <w:t xml:space="preserve">, der kaldes Krebs’ cyklus, som nævnt ovenfor. Citrat </w:t>
      </w:r>
      <w:proofErr w:type="spellStart"/>
      <w:r w:rsidRPr="00661D74">
        <w:rPr>
          <w:sz w:val="24"/>
          <w:szCs w:val="24"/>
        </w:rPr>
        <w:t>metaboliseres</w:t>
      </w:r>
      <w:proofErr w:type="spellEnd"/>
      <w:r w:rsidRPr="00661D74">
        <w:rPr>
          <w:sz w:val="24"/>
          <w:szCs w:val="24"/>
        </w:rPr>
        <w:t xml:space="preserve"> hurtigt i flere organer/væv. </w:t>
      </w:r>
    </w:p>
    <w:p w:rsidR="009421F2" w:rsidRPr="00661D74" w:rsidRDefault="009421F2" w:rsidP="009421F2">
      <w:pPr>
        <w:ind w:left="851"/>
        <w:rPr>
          <w:sz w:val="24"/>
          <w:szCs w:val="24"/>
        </w:rPr>
      </w:pPr>
    </w:p>
    <w:p w:rsidR="009421F2" w:rsidRPr="00661D74" w:rsidRDefault="009421F2" w:rsidP="009421F2">
      <w:pPr>
        <w:ind w:left="851"/>
        <w:rPr>
          <w:sz w:val="24"/>
          <w:szCs w:val="24"/>
          <w:u w:val="single"/>
        </w:rPr>
      </w:pPr>
      <w:r w:rsidRPr="00661D74">
        <w:rPr>
          <w:sz w:val="24"/>
          <w:szCs w:val="24"/>
          <w:u w:val="single"/>
        </w:rPr>
        <w:t>Elimination</w:t>
      </w:r>
    </w:p>
    <w:p w:rsidR="009421F2" w:rsidRPr="00661D74" w:rsidRDefault="009421F2" w:rsidP="009421F2">
      <w:pPr>
        <w:ind w:left="851"/>
        <w:rPr>
          <w:sz w:val="24"/>
          <w:szCs w:val="24"/>
        </w:rPr>
      </w:pPr>
      <w:r w:rsidRPr="00661D74">
        <w:rPr>
          <w:sz w:val="24"/>
          <w:szCs w:val="24"/>
        </w:rPr>
        <w:t>En væsentlig del af citrat fjernes sammen med udløbsvæsken.</w:t>
      </w:r>
    </w:p>
    <w:p w:rsidR="009421F2" w:rsidRPr="00661D74" w:rsidRDefault="009421F2" w:rsidP="009421F2">
      <w:pPr>
        <w:ind w:left="851"/>
        <w:rPr>
          <w:sz w:val="24"/>
          <w:szCs w:val="24"/>
        </w:rPr>
      </w:pPr>
      <w:r w:rsidRPr="00661D74">
        <w:rPr>
          <w:sz w:val="24"/>
          <w:szCs w:val="24"/>
        </w:rPr>
        <w:t xml:space="preserve">Mængden af citrat, der </w:t>
      </w:r>
      <w:proofErr w:type="spellStart"/>
      <w:r w:rsidRPr="00661D74">
        <w:rPr>
          <w:sz w:val="24"/>
          <w:szCs w:val="24"/>
        </w:rPr>
        <w:t>infunderes</w:t>
      </w:r>
      <w:proofErr w:type="spellEnd"/>
      <w:r w:rsidRPr="00661D74">
        <w:rPr>
          <w:sz w:val="24"/>
          <w:szCs w:val="24"/>
        </w:rPr>
        <w:t xml:space="preserve"> systemisk, </w:t>
      </w:r>
      <w:proofErr w:type="spellStart"/>
      <w:r w:rsidRPr="00661D74">
        <w:rPr>
          <w:sz w:val="24"/>
          <w:szCs w:val="24"/>
        </w:rPr>
        <w:t>metaboliseres</w:t>
      </w:r>
      <w:proofErr w:type="spellEnd"/>
      <w:r w:rsidRPr="00661D74">
        <w:rPr>
          <w:sz w:val="24"/>
          <w:szCs w:val="24"/>
        </w:rPr>
        <w:t xml:space="preserve"> i de fleste somatiske celler.</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5.3</w:t>
      </w:r>
      <w:r w:rsidRPr="00661D74">
        <w:rPr>
          <w:b/>
          <w:sz w:val="24"/>
          <w:szCs w:val="24"/>
        </w:rPr>
        <w:tab/>
      </w:r>
      <w:r w:rsidR="009421F2">
        <w:rPr>
          <w:b/>
          <w:sz w:val="24"/>
          <w:szCs w:val="24"/>
        </w:rPr>
        <w:t>Non-</w:t>
      </w:r>
      <w:r w:rsidRPr="00661D74">
        <w:rPr>
          <w:b/>
          <w:sz w:val="24"/>
          <w:szCs w:val="24"/>
        </w:rPr>
        <w:t>kliniske sikkerhedsdata</w:t>
      </w:r>
    </w:p>
    <w:p w:rsidR="007C4075" w:rsidRPr="00661D74" w:rsidRDefault="007C4075" w:rsidP="00661D74">
      <w:pPr>
        <w:ind w:left="851"/>
        <w:rPr>
          <w:sz w:val="24"/>
          <w:szCs w:val="24"/>
        </w:rPr>
      </w:pPr>
      <w:r w:rsidRPr="00661D74">
        <w:rPr>
          <w:sz w:val="24"/>
          <w:szCs w:val="24"/>
        </w:rPr>
        <w:t>Der foreligger ingen prækliniske data af relevans for den ordinerende læge.</w:t>
      </w:r>
    </w:p>
    <w:p w:rsidR="009260DE" w:rsidRPr="00661D74" w:rsidRDefault="009260DE" w:rsidP="00661D74">
      <w:pPr>
        <w:ind w:left="851"/>
        <w:rPr>
          <w:sz w:val="24"/>
          <w:szCs w:val="24"/>
        </w:rPr>
      </w:pP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w:t>
      </w:r>
      <w:r w:rsidRPr="00661D74">
        <w:rPr>
          <w:b/>
          <w:sz w:val="24"/>
          <w:szCs w:val="24"/>
        </w:rPr>
        <w:tab/>
        <w:t>FARMACEUTISKE OPLYSNINGER</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6.1</w:t>
      </w:r>
      <w:r w:rsidRPr="00661D74">
        <w:rPr>
          <w:b/>
          <w:sz w:val="24"/>
          <w:szCs w:val="24"/>
        </w:rPr>
        <w:tab/>
        <w:t>Hjælpestoffer</w:t>
      </w:r>
    </w:p>
    <w:p w:rsidR="007C4075" w:rsidRPr="00661D74" w:rsidRDefault="007C4075" w:rsidP="00661D74">
      <w:pPr>
        <w:ind w:left="851"/>
        <w:rPr>
          <w:sz w:val="24"/>
          <w:szCs w:val="24"/>
        </w:rPr>
      </w:pPr>
      <w:r w:rsidRPr="00661D74">
        <w:rPr>
          <w:sz w:val="24"/>
          <w:szCs w:val="24"/>
        </w:rPr>
        <w:t>Vand til injektionsvæsker</w:t>
      </w:r>
    </w:p>
    <w:p w:rsidR="007C4075" w:rsidRPr="00661D74" w:rsidRDefault="007C4075" w:rsidP="00661D74">
      <w:pPr>
        <w:ind w:left="851"/>
        <w:rPr>
          <w:sz w:val="24"/>
          <w:szCs w:val="24"/>
        </w:rPr>
      </w:pPr>
      <w:r w:rsidRPr="00661D74">
        <w:rPr>
          <w:sz w:val="24"/>
          <w:szCs w:val="24"/>
        </w:rPr>
        <w:t>Saltsyre (til pH-justering)</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6.2</w:t>
      </w:r>
      <w:r w:rsidRPr="00661D74">
        <w:rPr>
          <w:b/>
          <w:sz w:val="24"/>
          <w:szCs w:val="24"/>
        </w:rPr>
        <w:tab/>
        <w:t>Uforligeligheder</w:t>
      </w:r>
    </w:p>
    <w:p w:rsidR="007C4075" w:rsidRPr="00661D74" w:rsidRDefault="007C4075" w:rsidP="00661D74">
      <w:pPr>
        <w:ind w:left="851"/>
        <w:rPr>
          <w:sz w:val="24"/>
          <w:szCs w:val="24"/>
        </w:rPr>
      </w:pPr>
      <w:r w:rsidRPr="00661D74">
        <w:rPr>
          <w:sz w:val="24"/>
          <w:szCs w:val="24"/>
        </w:rPr>
        <w:t>Da der ikke foreligger studier af eventuelle uforligeligheder, må dette lægemiddel ikke blandes med andre lægemidler.</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6.3</w:t>
      </w:r>
      <w:r w:rsidRPr="00661D74">
        <w:rPr>
          <w:b/>
          <w:sz w:val="24"/>
          <w:szCs w:val="24"/>
        </w:rPr>
        <w:tab/>
        <w:t>Opbevaringstid</w:t>
      </w:r>
    </w:p>
    <w:p w:rsidR="009421F2" w:rsidRPr="00661D74" w:rsidRDefault="009421F2" w:rsidP="009421F2">
      <w:pPr>
        <w:ind w:left="851"/>
        <w:rPr>
          <w:sz w:val="24"/>
          <w:szCs w:val="24"/>
        </w:rPr>
      </w:pPr>
      <w:r w:rsidRPr="00661D74">
        <w:rPr>
          <w:sz w:val="24"/>
          <w:szCs w:val="24"/>
        </w:rPr>
        <w:t>2 år.</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Holdbarhed efter åbning: </w:t>
      </w:r>
      <w:r w:rsidRPr="00661D74">
        <w:rPr>
          <w:rStyle w:val="trns-org-res"/>
          <w:sz w:val="24"/>
          <w:szCs w:val="24"/>
        </w:rPr>
        <w:t xml:space="preserve">Fra et mikrobiologisk synspunkt </w:t>
      </w:r>
      <w:r>
        <w:rPr>
          <w:rStyle w:val="trns-org-res"/>
          <w:sz w:val="24"/>
          <w:szCs w:val="24"/>
        </w:rPr>
        <w:t>skal</w:t>
      </w:r>
      <w:r w:rsidRPr="00661D74">
        <w:rPr>
          <w:rStyle w:val="trns-org-res"/>
          <w:sz w:val="24"/>
          <w:szCs w:val="24"/>
        </w:rPr>
        <w:t xml:space="preserve"> lægemidlet anvendes straks. Såfremt lægemidlet ikke anvendes straks, er opbevaringstid og -forhold efter anbrud brugerens eget ansvar.</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6.4</w:t>
      </w:r>
      <w:r w:rsidRPr="00661D74">
        <w:rPr>
          <w:b/>
          <w:sz w:val="24"/>
          <w:szCs w:val="24"/>
        </w:rPr>
        <w:tab/>
        <w:t>Særlige opbevaringsforhold</w:t>
      </w:r>
    </w:p>
    <w:p w:rsidR="007C4075" w:rsidRPr="00661D74" w:rsidRDefault="007C4075" w:rsidP="00661D74">
      <w:pPr>
        <w:ind w:left="851"/>
        <w:rPr>
          <w:sz w:val="24"/>
          <w:szCs w:val="24"/>
        </w:rPr>
      </w:pPr>
      <w:r w:rsidRPr="00661D74">
        <w:rPr>
          <w:sz w:val="24"/>
          <w:szCs w:val="24"/>
        </w:rPr>
        <w:t>Må ikke opbevares i køleskab eller nedfryses.</w:t>
      </w:r>
    </w:p>
    <w:p w:rsidR="007C4075" w:rsidRPr="00661D74" w:rsidRDefault="007C4075" w:rsidP="00661D74">
      <w:pPr>
        <w:ind w:left="851"/>
        <w:rPr>
          <w:sz w:val="24"/>
          <w:szCs w:val="24"/>
        </w:rPr>
      </w:pPr>
    </w:p>
    <w:p w:rsidR="007C4075" w:rsidRPr="00661D74" w:rsidRDefault="007C4075" w:rsidP="00661D74">
      <w:pPr>
        <w:ind w:left="851"/>
        <w:rPr>
          <w:sz w:val="24"/>
          <w:szCs w:val="24"/>
        </w:rPr>
      </w:pPr>
      <w:r w:rsidRPr="00661D74">
        <w:rPr>
          <w:sz w:val="24"/>
          <w:szCs w:val="24"/>
        </w:rPr>
        <w:t>Poserne skal opbevares i yderemballagen for at beskytte mod lys.</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6.5</w:t>
      </w:r>
      <w:r w:rsidRPr="00661D74">
        <w:rPr>
          <w:b/>
          <w:sz w:val="24"/>
          <w:szCs w:val="24"/>
        </w:rPr>
        <w:tab/>
        <w:t>Emballagetype og pakningsstørrelser</w:t>
      </w:r>
    </w:p>
    <w:p w:rsidR="007C4075" w:rsidRPr="00661D74" w:rsidRDefault="007C4075" w:rsidP="00661D74">
      <w:pPr>
        <w:suppressAutoHyphens/>
        <w:ind w:left="851"/>
        <w:rPr>
          <w:sz w:val="24"/>
          <w:szCs w:val="24"/>
        </w:rPr>
      </w:pPr>
      <w:r w:rsidRPr="00661D74">
        <w:rPr>
          <w:sz w:val="24"/>
          <w:szCs w:val="24"/>
        </w:rPr>
        <w:t>Dette lægemiddel leveres parvis i to identiske væskeposer, der kan adskilles ved en posesøm i den beskyttende pose.</w:t>
      </w:r>
    </w:p>
    <w:p w:rsidR="007C4075" w:rsidRPr="00661D74" w:rsidRDefault="007C4075" w:rsidP="00661D74">
      <w:pPr>
        <w:suppressAutoHyphens/>
        <w:ind w:left="851"/>
        <w:rPr>
          <w:sz w:val="24"/>
          <w:szCs w:val="24"/>
        </w:rPr>
      </w:pPr>
    </w:p>
    <w:p w:rsidR="007C4075" w:rsidRPr="00661D74" w:rsidRDefault="007C4075" w:rsidP="00661D74">
      <w:pPr>
        <w:suppressAutoHyphens/>
        <w:ind w:left="851"/>
        <w:rPr>
          <w:sz w:val="24"/>
          <w:szCs w:val="24"/>
        </w:rPr>
      </w:pPr>
      <w:r w:rsidRPr="00661D74">
        <w:rPr>
          <w:sz w:val="24"/>
          <w:szCs w:val="24"/>
        </w:rPr>
        <w:t xml:space="preserve">Væskeposen er fremstillet af en polypropylen-elastomer blanding. Hver pose er udstyret med et slangesystem fremstillet af en polypropylen-elastomer blanding og en </w:t>
      </w:r>
      <w:proofErr w:type="spellStart"/>
      <w:r w:rsidRPr="00661D74">
        <w:rPr>
          <w:sz w:val="24"/>
          <w:szCs w:val="24"/>
        </w:rPr>
        <w:t>adaptor</w:t>
      </w:r>
      <w:proofErr w:type="spellEnd"/>
      <w:r w:rsidRPr="00661D74">
        <w:rPr>
          <w:sz w:val="24"/>
          <w:szCs w:val="24"/>
        </w:rPr>
        <w:t xml:space="preserve"> fremstillet af </w:t>
      </w:r>
      <w:proofErr w:type="spellStart"/>
      <w:r w:rsidRPr="00661D74">
        <w:rPr>
          <w:sz w:val="24"/>
          <w:szCs w:val="24"/>
        </w:rPr>
        <w:t>polycarbonat</w:t>
      </w:r>
      <w:proofErr w:type="spellEnd"/>
      <w:r w:rsidRPr="00661D74">
        <w:rPr>
          <w:sz w:val="24"/>
          <w:szCs w:val="24"/>
        </w:rPr>
        <w:t xml:space="preserve">. Posen er pakket i en pose af </w:t>
      </w:r>
      <w:proofErr w:type="spellStart"/>
      <w:r w:rsidRPr="00661D74">
        <w:rPr>
          <w:sz w:val="24"/>
          <w:szCs w:val="24"/>
        </w:rPr>
        <w:t>polyolefin</w:t>
      </w:r>
      <w:proofErr w:type="spellEnd"/>
      <w:r w:rsidRPr="00661D74">
        <w:rPr>
          <w:sz w:val="24"/>
          <w:szCs w:val="24"/>
        </w:rPr>
        <w:t>-baseret beskyttende flerlags folie.</w:t>
      </w:r>
    </w:p>
    <w:p w:rsidR="007C4075" w:rsidRPr="00661D74" w:rsidRDefault="007C4075" w:rsidP="00661D74">
      <w:pPr>
        <w:ind w:left="851"/>
        <w:rPr>
          <w:sz w:val="24"/>
          <w:szCs w:val="24"/>
        </w:rPr>
      </w:pPr>
    </w:p>
    <w:p w:rsidR="007C4075" w:rsidRPr="00661D74" w:rsidRDefault="007C4075" w:rsidP="00661D74">
      <w:pPr>
        <w:ind w:left="851"/>
        <w:rPr>
          <w:sz w:val="24"/>
          <w:szCs w:val="24"/>
          <w:u w:val="single"/>
        </w:rPr>
      </w:pPr>
      <w:r w:rsidRPr="00661D74">
        <w:rPr>
          <w:sz w:val="24"/>
          <w:szCs w:val="24"/>
          <w:u w:val="single"/>
        </w:rPr>
        <w:lastRenderedPageBreak/>
        <w:t>Pakningsstørrelser</w:t>
      </w:r>
    </w:p>
    <w:p w:rsidR="007C4075" w:rsidRPr="00661D74" w:rsidRDefault="007C4075" w:rsidP="00661D74">
      <w:pPr>
        <w:ind w:left="851"/>
        <w:rPr>
          <w:sz w:val="24"/>
          <w:szCs w:val="24"/>
        </w:rPr>
      </w:pPr>
    </w:p>
    <w:p w:rsidR="007C4075" w:rsidRPr="00661D74" w:rsidRDefault="007C4075" w:rsidP="00661D74">
      <w:pPr>
        <w:ind w:left="851"/>
        <w:rPr>
          <w:sz w:val="24"/>
          <w:szCs w:val="24"/>
        </w:rPr>
      </w:pPr>
      <w:proofErr w:type="spellStart"/>
      <w:r w:rsidRPr="00661D74">
        <w:rPr>
          <w:sz w:val="24"/>
          <w:szCs w:val="24"/>
        </w:rPr>
        <w:t>SecuNect</w:t>
      </w:r>
      <w:proofErr w:type="spellEnd"/>
      <w:r w:rsidRPr="00661D74">
        <w:rPr>
          <w:sz w:val="24"/>
          <w:szCs w:val="24"/>
        </w:rPr>
        <w:t xml:space="preserve"> </w:t>
      </w:r>
      <w:proofErr w:type="spellStart"/>
      <w:r w:rsidRPr="00661D74">
        <w:rPr>
          <w:sz w:val="24"/>
          <w:szCs w:val="24"/>
        </w:rPr>
        <w:t>adaptorsystem</w:t>
      </w:r>
      <w:proofErr w:type="spellEnd"/>
      <w:r w:rsidRPr="00661D74">
        <w:rPr>
          <w:sz w:val="24"/>
          <w:szCs w:val="24"/>
        </w:rPr>
        <w:t>:</w:t>
      </w:r>
    </w:p>
    <w:p w:rsidR="007C4075" w:rsidRPr="00661D74" w:rsidRDefault="007C4075" w:rsidP="00661D74">
      <w:pPr>
        <w:ind w:left="851"/>
        <w:rPr>
          <w:sz w:val="24"/>
          <w:szCs w:val="24"/>
        </w:rPr>
      </w:pPr>
      <w:r w:rsidRPr="00661D74">
        <w:rPr>
          <w:sz w:val="24"/>
          <w:szCs w:val="24"/>
        </w:rPr>
        <w:t>8 poser med hver 1.500 ml</w:t>
      </w:r>
    </w:p>
    <w:p w:rsidR="007C4075" w:rsidRPr="00661D74" w:rsidRDefault="007C4075" w:rsidP="00661D74">
      <w:pPr>
        <w:ind w:left="851"/>
        <w:rPr>
          <w:sz w:val="24"/>
          <w:szCs w:val="24"/>
        </w:rPr>
      </w:pPr>
    </w:p>
    <w:p w:rsidR="007C4075" w:rsidRPr="00661D74" w:rsidRDefault="007C4075" w:rsidP="00661D74">
      <w:pPr>
        <w:ind w:left="851"/>
        <w:rPr>
          <w:sz w:val="24"/>
          <w:szCs w:val="24"/>
        </w:rPr>
      </w:pPr>
      <w:bookmarkStart w:id="3" w:name="_Hlk57879418"/>
      <w:proofErr w:type="spellStart"/>
      <w:r w:rsidRPr="00661D74">
        <w:rPr>
          <w:sz w:val="24"/>
          <w:szCs w:val="24"/>
        </w:rPr>
        <w:t>Safe●Lock</w:t>
      </w:r>
      <w:proofErr w:type="spellEnd"/>
      <w:r w:rsidRPr="00661D74">
        <w:rPr>
          <w:sz w:val="24"/>
          <w:szCs w:val="24"/>
        </w:rPr>
        <w:t xml:space="preserve"> </w:t>
      </w:r>
      <w:bookmarkEnd w:id="3"/>
      <w:proofErr w:type="spellStart"/>
      <w:r w:rsidRPr="00661D74">
        <w:rPr>
          <w:sz w:val="24"/>
          <w:szCs w:val="24"/>
        </w:rPr>
        <w:t>adaptorsystem</w:t>
      </w:r>
      <w:proofErr w:type="spellEnd"/>
      <w:r w:rsidRPr="00661D74">
        <w:rPr>
          <w:sz w:val="24"/>
          <w:szCs w:val="24"/>
        </w:rPr>
        <w:t xml:space="preserve">:    </w:t>
      </w:r>
    </w:p>
    <w:p w:rsidR="007C4075" w:rsidRPr="00661D74" w:rsidRDefault="007C4075" w:rsidP="00661D74">
      <w:pPr>
        <w:ind w:left="851"/>
        <w:rPr>
          <w:sz w:val="24"/>
          <w:szCs w:val="24"/>
        </w:rPr>
      </w:pPr>
      <w:r w:rsidRPr="00661D74">
        <w:rPr>
          <w:sz w:val="24"/>
          <w:szCs w:val="24"/>
        </w:rPr>
        <w:t>8 poser med hver 1.500 ml</w:t>
      </w:r>
    </w:p>
    <w:p w:rsidR="007C4075" w:rsidRPr="00661D74" w:rsidRDefault="007C4075" w:rsidP="00661D74">
      <w:pPr>
        <w:ind w:left="851"/>
        <w:rPr>
          <w:sz w:val="24"/>
          <w:szCs w:val="24"/>
        </w:rPr>
      </w:pPr>
    </w:p>
    <w:p w:rsidR="00CA060F" w:rsidRDefault="007C4075" w:rsidP="009421F2">
      <w:pPr>
        <w:ind w:left="851"/>
        <w:rPr>
          <w:sz w:val="24"/>
          <w:szCs w:val="24"/>
        </w:rPr>
      </w:pPr>
      <w:r w:rsidRPr="00661D74">
        <w:rPr>
          <w:rStyle w:val="trns-org-res"/>
          <w:sz w:val="24"/>
          <w:szCs w:val="24"/>
        </w:rPr>
        <w:t>Ikke alle pakningsstørrelser er nødvendigvis markedsført.</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6.6</w:t>
      </w:r>
      <w:r w:rsidRPr="00661D74">
        <w:rPr>
          <w:b/>
          <w:sz w:val="24"/>
          <w:szCs w:val="24"/>
        </w:rPr>
        <w:tab/>
      </w:r>
      <w:r w:rsidR="009421F2" w:rsidRPr="00661D74">
        <w:rPr>
          <w:b/>
          <w:sz w:val="24"/>
          <w:szCs w:val="24"/>
        </w:rPr>
        <w:t xml:space="preserve">Regler for </w:t>
      </w:r>
      <w:r w:rsidR="009421F2">
        <w:rPr>
          <w:b/>
          <w:sz w:val="24"/>
          <w:szCs w:val="24"/>
        </w:rPr>
        <w:t>bortskaffelse</w:t>
      </w:r>
      <w:r w:rsidR="009421F2" w:rsidRPr="00661D74">
        <w:rPr>
          <w:b/>
          <w:sz w:val="24"/>
          <w:szCs w:val="24"/>
        </w:rPr>
        <w:t xml:space="preserve"> og anden håndtering</w:t>
      </w:r>
    </w:p>
    <w:p w:rsidR="00BF7BE4" w:rsidRDefault="00BF7BE4" w:rsidP="00661D74">
      <w:pPr>
        <w:ind w:left="851"/>
        <w:rPr>
          <w:sz w:val="24"/>
          <w:szCs w:val="24"/>
        </w:rPr>
      </w:pPr>
    </w:p>
    <w:p w:rsidR="009421F2" w:rsidRPr="00BF7BE4" w:rsidRDefault="009421F2" w:rsidP="009421F2">
      <w:pPr>
        <w:ind w:left="851"/>
        <w:rPr>
          <w:sz w:val="24"/>
          <w:szCs w:val="24"/>
          <w:u w:val="single"/>
        </w:rPr>
      </w:pPr>
      <w:r w:rsidRPr="00BF7BE4">
        <w:rPr>
          <w:sz w:val="24"/>
          <w:szCs w:val="24"/>
          <w:u w:val="single"/>
        </w:rPr>
        <w:t>Bortskaffelse</w:t>
      </w:r>
    </w:p>
    <w:p w:rsidR="009421F2" w:rsidRPr="00661D74" w:rsidRDefault="009421F2" w:rsidP="009421F2">
      <w:pPr>
        <w:ind w:left="851"/>
        <w:rPr>
          <w:b/>
          <w:sz w:val="24"/>
          <w:szCs w:val="24"/>
        </w:rPr>
      </w:pPr>
      <w:r w:rsidRPr="00661D74">
        <w:rPr>
          <w:sz w:val="24"/>
          <w:szCs w:val="24"/>
        </w:rPr>
        <w:t xml:space="preserve">Opløsningen er kun til engangsbrug. Ikke anvendt lægemiddel og beskadiget emballage skal </w:t>
      </w:r>
      <w:r>
        <w:rPr>
          <w:sz w:val="24"/>
          <w:szCs w:val="24"/>
        </w:rPr>
        <w:t>bortskaffes i henhold til lokale retningslinjer</w:t>
      </w:r>
      <w:r w:rsidRPr="00661D74">
        <w:rPr>
          <w:sz w:val="24"/>
          <w:szCs w:val="24"/>
        </w:rPr>
        <w:t>.</w:t>
      </w:r>
    </w:p>
    <w:p w:rsidR="009421F2" w:rsidRPr="00661D74" w:rsidRDefault="009421F2" w:rsidP="009421F2">
      <w:pPr>
        <w:ind w:left="851"/>
        <w:rPr>
          <w:sz w:val="24"/>
          <w:szCs w:val="24"/>
        </w:rPr>
      </w:pPr>
    </w:p>
    <w:p w:rsidR="009421F2" w:rsidRPr="00BF7BE4" w:rsidRDefault="009421F2" w:rsidP="009421F2">
      <w:pPr>
        <w:ind w:left="851"/>
        <w:rPr>
          <w:sz w:val="24"/>
          <w:szCs w:val="24"/>
          <w:u w:val="single"/>
        </w:rPr>
      </w:pPr>
      <w:r w:rsidRPr="00BF7BE4">
        <w:rPr>
          <w:sz w:val="24"/>
          <w:szCs w:val="24"/>
          <w:u w:val="single"/>
        </w:rPr>
        <w:t>Håndtering</w:t>
      </w:r>
    </w:p>
    <w:p w:rsidR="009421F2" w:rsidRPr="00661D74" w:rsidRDefault="009421F2" w:rsidP="009421F2">
      <w:pPr>
        <w:ind w:left="851"/>
        <w:rPr>
          <w:sz w:val="24"/>
          <w:szCs w:val="24"/>
        </w:rPr>
      </w:pPr>
      <w:r w:rsidRPr="00661D74">
        <w:rPr>
          <w:sz w:val="24"/>
          <w:szCs w:val="24"/>
        </w:rPr>
        <w:t xml:space="preserve">Væskeposerne er udstyret med enten en </w:t>
      </w:r>
      <w:proofErr w:type="spellStart"/>
      <w:r w:rsidRPr="00661D74">
        <w:rPr>
          <w:b/>
          <w:sz w:val="24"/>
          <w:szCs w:val="24"/>
        </w:rPr>
        <w:t>SecuNect</w:t>
      </w:r>
      <w:proofErr w:type="spellEnd"/>
      <w:r w:rsidRPr="00661D74">
        <w:rPr>
          <w:b/>
          <w:sz w:val="24"/>
          <w:szCs w:val="24"/>
        </w:rPr>
        <w:t xml:space="preserve"> </w:t>
      </w:r>
      <w:proofErr w:type="spellStart"/>
      <w:r w:rsidRPr="00661D74">
        <w:rPr>
          <w:bCs/>
          <w:sz w:val="24"/>
          <w:szCs w:val="24"/>
        </w:rPr>
        <w:t>adaptor</w:t>
      </w:r>
      <w:proofErr w:type="spellEnd"/>
      <w:r w:rsidRPr="00661D74">
        <w:rPr>
          <w:sz w:val="24"/>
          <w:szCs w:val="24"/>
        </w:rPr>
        <w:t xml:space="preserve"> eller med en </w:t>
      </w:r>
      <w:proofErr w:type="spellStart"/>
      <w:r w:rsidRPr="00661D74">
        <w:rPr>
          <w:b/>
          <w:sz w:val="24"/>
          <w:szCs w:val="24"/>
        </w:rPr>
        <w:t>Safe●Lock</w:t>
      </w:r>
      <w:proofErr w:type="spellEnd"/>
      <w:r w:rsidRPr="00661D74">
        <w:rPr>
          <w:sz w:val="24"/>
          <w:szCs w:val="24"/>
        </w:rPr>
        <w:t xml:space="preserve"> </w:t>
      </w:r>
      <w:proofErr w:type="spellStart"/>
      <w:r w:rsidRPr="00661D74">
        <w:rPr>
          <w:sz w:val="24"/>
          <w:szCs w:val="24"/>
        </w:rPr>
        <w:t>adaptor</w:t>
      </w:r>
      <w:proofErr w:type="spellEnd"/>
      <w:r w:rsidRPr="00661D74">
        <w:rPr>
          <w:sz w:val="24"/>
          <w:szCs w:val="24"/>
        </w:rPr>
        <w:t>.</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Der skal tages hensyn til følgende punkter før anvendelse af væskeposen:</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sz w:val="24"/>
          <w:szCs w:val="24"/>
        </w:rPr>
        <w:t xml:space="preserve">Der </w:t>
      </w:r>
      <w:r>
        <w:rPr>
          <w:sz w:val="24"/>
          <w:szCs w:val="24"/>
        </w:rPr>
        <w:t>skal</w:t>
      </w:r>
      <w:r w:rsidRPr="00661D74">
        <w:rPr>
          <w:sz w:val="24"/>
          <w:szCs w:val="24"/>
        </w:rPr>
        <w:t xml:space="preserve"> anvendes aseptisk teknik under administrationen til patienten. Væsken skal bruges straks efter åbning for at undgå mikrobiologisk kontaminering.</w:t>
      </w:r>
    </w:p>
    <w:p w:rsidR="009421F2" w:rsidRPr="00661D74" w:rsidRDefault="009421F2" w:rsidP="009421F2">
      <w:pPr>
        <w:ind w:left="851"/>
        <w:rPr>
          <w:sz w:val="24"/>
          <w:szCs w:val="24"/>
        </w:rPr>
      </w:pPr>
    </w:p>
    <w:p w:rsidR="009421F2" w:rsidRDefault="009421F2" w:rsidP="009421F2">
      <w:pPr>
        <w:ind w:left="851"/>
        <w:rPr>
          <w:sz w:val="24"/>
          <w:szCs w:val="24"/>
        </w:rPr>
      </w:pPr>
      <w:r w:rsidRPr="00661D74">
        <w:rPr>
          <w:sz w:val="24"/>
          <w:szCs w:val="24"/>
        </w:rPr>
        <w:t xml:space="preserve">Ekstrakorporal anvendelse. Må kun indgives som infusion i det </w:t>
      </w:r>
      <w:proofErr w:type="spellStart"/>
      <w:r w:rsidRPr="00661D74">
        <w:rPr>
          <w:sz w:val="24"/>
          <w:szCs w:val="24"/>
        </w:rPr>
        <w:t>ekstrakorporale</w:t>
      </w:r>
      <w:proofErr w:type="spellEnd"/>
      <w:r w:rsidRPr="00661D74">
        <w:rPr>
          <w:sz w:val="24"/>
          <w:szCs w:val="24"/>
        </w:rPr>
        <w:t xml:space="preserve"> blodkredsløb.</w:t>
      </w:r>
    </w:p>
    <w:p w:rsidR="009421F2" w:rsidRDefault="009421F2" w:rsidP="009421F2">
      <w:pPr>
        <w:ind w:left="851"/>
        <w:rPr>
          <w:sz w:val="24"/>
          <w:szCs w:val="24"/>
        </w:rPr>
      </w:pPr>
    </w:p>
    <w:p w:rsidR="009421F2" w:rsidRPr="00661D74" w:rsidRDefault="009421F2" w:rsidP="009421F2">
      <w:pPr>
        <w:pStyle w:val="Default"/>
        <w:ind w:left="851"/>
      </w:pPr>
      <w:r w:rsidRPr="00661D74">
        <w:t xml:space="preserve">Opløsningen må ikke tilsættes andre lægemidler. </w:t>
      </w:r>
    </w:p>
    <w:p w:rsidR="009421F2" w:rsidRPr="00661D74" w:rsidRDefault="009421F2" w:rsidP="009421F2">
      <w:pPr>
        <w:ind w:left="851"/>
        <w:rPr>
          <w:sz w:val="24"/>
          <w:szCs w:val="24"/>
        </w:rPr>
      </w:pPr>
    </w:p>
    <w:p w:rsidR="009421F2" w:rsidRPr="00BF7BE4" w:rsidRDefault="009421F2" w:rsidP="009421F2">
      <w:pPr>
        <w:ind w:left="851"/>
        <w:rPr>
          <w:b/>
          <w:bCs/>
          <w:sz w:val="24"/>
          <w:szCs w:val="24"/>
          <w:u w:val="single"/>
        </w:rPr>
      </w:pPr>
      <w:r w:rsidRPr="00BF7BE4">
        <w:rPr>
          <w:sz w:val="24"/>
          <w:szCs w:val="24"/>
          <w:u w:val="single"/>
        </w:rPr>
        <w:t>Væskeposer med en</w:t>
      </w:r>
      <w:r w:rsidRPr="00BF7BE4">
        <w:rPr>
          <w:b/>
          <w:bCs/>
          <w:sz w:val="24"/>
          <w:szCs w:val="24"/>
          <w:u w:val="single"/>
        </w:rPr>
        <w:t xml:space="preserve"> </w:t>
      </w:r>
      <w:proofErr w:type="spellStart"/>
      <w:r w:rsidRPr="00BF7BE4">
        <w:rPr>
          <w:b/>
          <w:bCs/>
          <w:sz w:val="24"/>
          <w:szCs w:val="24"/>
          <w:u w:val="single"/>
        </w:rPr>
        <w:t>SecuNect</w:t>
      </w:r>
      <w:proofErr w:type="spellEnd"/>
      <w:r w:rsidRPr="00BF7BE4">
        <w:rPr>
          <w:b/>
          <w:bCs/>
          <w:sz w:val="24"/>
          <w:szCs w:val="24"/>
          <w:u w:val="single"/>
        </w:rPr>
        <w:t xml:space="preserve"> </w:t>
      </w:r>
      <w:proofErr w:type="spellStart"/>
      <w:r w:rsidRPr="00BF7BE4">
        <w:rPr>
          <w:b/>
          <w:bCs/>
          <w:sz w:val="24"/>
          <w:szCs w:val="24"/>
          <w:u w:val="single"/>
        </w:rPr>
        <w:t>adaptor</w:t>
      </w:r>
      <w:proofErr w:type="spellEnd"/>
      <w:r w:rsidRPr="00BF7BE4">
        <w:rPr>
          <w:b/>
          <w:bCs/>
          <w:sz w:val="24"/>
          <w:szCs w:val="24"/>
          <w:u w:val="single"/>
        </w:rPr>
        <w:t xml:space="preserve"> (gennemsigtig med en grøn ring):</w:t>
      </w:r>
    </w:p>
    <w:p w:rsidR="009421F2" w:rsidRPr="00661D74" w:rsidRDefault="009421F2" w:rsidP="009421F2">
      <w:pPr>
        <w:ind w:left="851"/>
        <w:rPr>
          <w:b/>
          <w:bCs/>
          <w:sz w:val="24"/>
          <w:szCs w:val="24"/>
        </w:rPr>
      </w:pPr>
    </w:p>
    <w:p w:rsidR="009421F2" w:rsidRPr="00BF7BE4" w:rsidRDefault="009421F2" w:rsidP="009421F2">
      <w:pPr>
        <w:ind w:left="851"/>
        <w:rPr>
          <w:bCs/>
          <w:sz w:val="24"/>
          <w:szCs w:val="24"/>
        </w:rPr>
      </w:pPr>
      <w:r w:rsidRPr="00661D74">
        <w:rPr>
          <w:noProof/>
          <w:sz w:val="24"/>
          <w:szCs w:val="24"/>
        </w:rPr>
        <w:drawing>
          <wp:inline distT="0" distB="0" distL="0" distR="0" wp14:anchorId="383DF7AA" wp14:editId="3C530C93">
            <wp:extent cx="1367790" cy="373380"/>
            <wp:effectExtent l="0" t="0" r="3810" b="762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67790" cy="373380"/>
                    </a:xfrm>
                    <a:prstGeom prst="rect">
                      <a:avLst/>
                    </a:prstGeom>
                    <a:noFill/>
                    <a:ln>
                      <a:noFill/>
                    </a:ln>
                  </pic:spPr>
                </pic:pic>
              </a:graphicData>
            </a:graphic>
          </wp:inline>
        </w:drawing>
      </w:r>
    </w:p>
    <w:p w:rsidR="009421F2" w:rsidRPr="00BF7BE4" w:rsidRDefault="009421F2" w:rsidP="009421F2">
      <w:pPr>
        <w:ind w:left="851"/>
        <w:rPr>
          <w:bCs/>
          <w:sz w:val="24"/>
          <w:szCs w:val="24"/>
        </w:rPr>
      </w:pPr>
    </w:p>
    <w:p w:rsidR="009421F2" w:rsidRPr="00661D74" w:rsidRDefault="009421F2" w:rsidP="009421F2">
      <w:pPr>
        <w:pStyle w:val="Default"/>
        <w:numPr>
          <w:ilvl w:val="0"/>
          <w:numId w:val="17"/>
        </w:numPr>
        <w:ind w:left="1276" w:hanging="425"/>
      </w:pPr>
      <w:r w:rsidRPr="00661D74">
        <w:t xml:space="preserve">Adskil de to poser ved den stiplede posesøm uden at beskadige beskyttelsesfolien. </w:t>
      </w:r>
    </w:p>
    <w:p w:rsidR="009421F2" w:rsidRPr="00661D74" w:rsidRDefault="009421F2" w:rsidP="009421F2">
      <w:pPr>
        <w:pStyle w:val="Default"/>
        <w:numPr>
          <w:ilvl w:val="0"/>
          <w:numId w:val="17"/>
        </w:numPr>
        <w:ind w:left="1276" w:hanging="425"/>
      </w:pPr>
      <w:r w:rsidRPr="00661D74">
        <w:t xml:space="preserve">Fjern først beskyttelsesfolien umiddelbart før anvendelse. Kontrollér væskeposen (etiket, udløbsdato, at væsken er klar, og at posen og beskyttelsesfolien ikke er beskadiget). Plastikbeholdere kan i nogle tilfælde blive beskadiget under transporten fra fremstilleren til dialyseklinikken eller hospitalet eller på selve klinikken/hospitalet. Dette kan resultere i kontaminering og bakterie- eller svampevækst i dialysevæsken. Derfor er det yderst vigtigt, at posen og væsken nøje undersøges, før de anvendes. Man </w:t>
      </w:r>
      <w:r>
        <w:t>skal</w:t>
      </w:r>
      <w:r w:rsidRPr="00661D74">
        <w:t xml:space="preserve"> især være opmærksom på selv den mindste skade på poselukningen, posesømmene og hjørnerne på posen. Væsken må kun anvendes, hvis den er farveløs og klar, og hvis posen og </w:t>
      </w:r>
      <w:proofErr w:type="spellStart"/>
      <w:r w:rsidRPr="00661D74">
        <w:t>adaptoren</w:t>
      </w:r>
      <w:proofErr w:type="spellEnd"/>
      <w:r w:rsidRPr="00661D74">
        <w:t xml:space="preserve"> er ubeskadiget og intakt. </w:t>
      </w:r>
    </w:p>
    <w:p w:rsidR="009421F2" w:rsidRPr="00661D74" w:rsidRDefault="009421F2" w:rsidP="009421F2">
      <w:pPr>
        <w:pStyle w:val="Default"/>
        <w:numPr>
          <w:ilvl w:val="0"/>
          <w:numId w:val="17"/>
        </w:numPr>
        <w:ind w:left="1276" w:hanging="425"/>
      </w:pPr>
      <w:r w:rsidRPr="00661D74">
        <w:t xml:space="preserve">Hæng posen på holderen ved hjælp af posens ophængningshul. </w:t>
      </w:r>
    </w:p>
    <w:p w:rsidR="009421F2" w:rsidRDefault="009421F2" w:rsidP="009421F2">
      <w:pPr>
        <w:pStyle w:val="Default"/>
        <w:numPr>
          <w:ilvl w:val="0"/>
          <w:numId w:val="17"/>
        </w:numPr>
        <w:ind w:left="1276" w:hanging="425"/>
      </w:pPr>
      <w:r w:rsidRPr="00661D74">
        <w:t xml:space="preserve">Tag beskyttelseshætten af </w:t>
      </w:r>
      <w:proofErr w:type="spellStart"/>
      <w:r w:rsidRPr="00661D74">
        <w:rPr>
          <w:b/>
          <w:u w:val="single"/>
        </w:rPr>
        <w:t>SecuNect</w:t>
      </w:r>
      <w:proofErr w:type="spellEnd"/>
      <w:r w:rsidRPr="00661D74">
        <w:rPr>
          <w:b/>
          <w:u w:val="single"/>
        </w:rPr>
        <w:t xml:space="preserve"> </w:t>
      </w:r>
      <w:proofErr w:type="spellStart"/>
      <w:r w:rsidRPr="00661D74">
        <w:rPr>
          <w:b/>
        </w:rPr>
        <w:t>adaptoren</w:t>
      </w:r>
      <w:proofErr w:type="spellEnd"/>
      <w:r w:rsidRPr="00661D74">
        <w:rPr>
          <w:b/>
        </w:rPr>
        <w:t xml:space="preserve"> med den grønne ring</w:t>
      </w:r>
      <w:r w:rsidRPr="00661D74">
        <w:t xml:space="preserve"> og forbind </w:t>
      </w:r>
      <w:proofErr w:type="spellStart"/>
      <w:r w:rsidRPr="00661D74">
        <w:t>adaptoren</w:t>
      </w:r>
      <w:proofErr w:type="spellEnd"/>
      <w:r w:rsidRPr="00661D74">
        <w:t xml:space="preserve"> med dens modstykke med samme farve, så man undgår forkert sammenkobling. Indersiden må ikke berøres, især ikke toppen af </w:t>
      </w:r>
      <w:proofErr w:type="spellStart"/>
      <w:r w:rsidRPr="00661D74">
        <w:t>adaptoren</w:t>
      </w:r>
      <w:proofErr w:type="spellEnd"/>
      <w:r w:rsidRPr="00661D74">
        <w:t xml:space="preserve">. Indersiden af </w:t>
      </w:r>
      <w:proofErr w:type="spellStart"/>
      <w:r w:rsidRPr="00661D74">
        <w:t>adaptoren</w:t>
      </w:r>
      <w:proofErr w:type="spellEnd"/>
      <w:r w:rsidRPr="00661D74">
        <w:t xml:space="preserve"> er steril og skal ikke rengøres yderligere med kemiske desinfektionsmidler. </w:t>
      </w:r>
    </w:p>
    <w:p w:rsidR="009421F2" w:rsidRPr="00661D74" w:rsidRDefault="009421F2" w:rsidP="009421F2">
      <w:pPr>
        <w:pStyle w:val="Default"/>
        <w:numPr>
          <w:ilvl w:val="0"/>
          <w:numId w:val="17"/>
        </w:numPr>
        <w:ind w:left="1276" w:hanging="425"/>
      </w:pPr>
      <w:r w:rsidRPr="00661D74">
        <w:lastRenderedPageBreak/>
        <w:t xml:space="preserve">Drej </w:t>
      </w:r>
      <w:proofErr w:type="spellStart"/>
      <w:r w:rsidRPr="00661D74">
        <w:t>adaptoren</w:t>
      </w:r>
      <w:proofErr w:type="spellEnd"/>
      <w:r w:rsidRPr="00661D74">
        <w:t xml:space="preserve"> på posen sammen med </w:t>
      </w:r>
      <w:proofErr w:type="spellStart"/>
      <w:r w:rsidRPr="00661D74">
        <w:t>adaptoren</w:t>
      </w:r>
      <w:proofErr w:type="spellEnd"/>
      <w:r w:rsidRPr="00661D74">
        <w:t xml:space="preserve"> på slangesystemet med en fast drejebevægelse med hænderne. Der lyder et “klik”, når de er forbundet.</w:t>
      </w:r>
    </w:p>
    <w:p w:rsidR="009421F2" w:rsidRPr="00661D74" w:rsidRDefault="009421F2" w:rsidP="009421F2">
      <w:pPr>
        <w:pStyle w:val="Default"/>
        <w:numPr>
          <w:ilvl w:val="0"/>
          <w:numId w:val="17"/>
        </w:numPr>
        <w:ind w:left="1276" w:hanging="425"/>
      </w:pPr>
      <w:r w:rsidRPr="00661D74">
        <w:t xml:space="preserve">Før behandlingen påbegyndes og ved hver ny pose, knækkes den lille pind på </w:t>
      </w:r>
      <w:proofErr w:type="spellStart"/>
      <w:r w:rsidRPr="00661D74">
        <w:t>poseadaptoren</w:t>
      </w:r>
      <w:proofErr w:type="spellEnd"/>
      <w:r w:rsidRPr="00661D74">
        <w:t>. Sørg for, at pinden er knækket helt.</w:t>
      </w:r>
    </w:p>
    <w:p w:rsidR="009421F2" w:rsidRPr="009421F2" w:rsidRDefault="009421F2" w:rsidP="009421F2">
      <w:pPr>
        <w:pStyle w:val="Default"/>
        <w:numPr>
          <w:ilvl w:val="0"/>
          <w:numId w:val="17"/>
        </w:numPr>
        <w:ind w:left="1276" w:hanging="425"/>
      </w:pPr>
      <w:r w:rsidRPr="00661D74">
        <w:t>Fortsæt med de resterende trin som beskrevet i RCA-protokollen.</w:t>
      </w:r>
    </w:p>
    <w:p w:rsidR="009421F2" w:rsidRDefault="009421F2" w:rsidP="009421F2">
      <w:pPr>
        <w:pStyle w:val="Default"/>
        <w:ind w:left="851"/>
      </w:pPr>
    </w:p>
    <w:p w:rsidR="009421F2" w:rsidRPr="00661D74" w:rsidRDefault="009421F2" w:rsidP="009421F2">
      <w:pPr>
        <w:pStyle w:val="Default"/>
        <w:ind w:left="851"/>
      </w:pPr>
    </w:p>
    <w:p w:rsidR="009421F2" w:rsidRPr="00BF7BE4" w:rsidRDefault="009421F2" w:rsidP="009421F2">
      <w:pPr>
        <w:ind w:left="851"/>
        <w:rPr>
          <w:sz w:val="24"/>
          <w:szCs w:val="24"/>
          <w:u w:val="single"/>
        </w:rPr>
      </w:pPr>
      <w:r w:rsidRPr="00BF7BE4">
        <w:rPr>
          <w:sz w:val="24"/>
          <w:szCs w:val="24"/>
          <w:u w:val="single"/>
        </w:rPr>
        <w:t xml:space="preserve">Væskeposer med en </w:t>
      </w:r>
      <w:proofErr w:type="spellStart"/>
      <w:r w:rsidRPr="00BF7BE4">
        <w:rPr>
          <w:sz w:val="24"/>
          <w:szCs w:val="24"/>
          <w:u w:val="single"/>
        </w:rPr>
        <w:t>Safe●Lock</w:t>
      </w:r>
      <w:proofErr w:type="spellEnd"/>
      <w:r w:rsidRPr="00BF7BE4">
        <w:rPr>
          <w:sz w:val="24"/>
          <w:szCs w:val="24"/>
          <w:u w:val="single"/>
        </w:rPr>
        <w:t xml:space="preserve"> </w:t>
      </w:r>
      <w:proofErr w:type="spellStart"/>
      <w:r w:rsidRPr="00BF7BE4">
        <w:rPr>
          <w:bCs/>
          <w:sz w:val="24"/>
          <w:szCs w:val="24"/>
          <w:u w:val="single"/>
        </w:rPr>
        <w:t>adaptor</w:t>
      </w:r>
      <w:proofErr w:type="spellEnd"/>
      <w:r w:rsidRPr="00BF7BE4">
        <w:rPr>
          <w:sz w:val="24"/>
          <w:szCs w:val="24"/>
          <w:u w:val="single"/>
        </w:rPr>
        <w:t xml:space="preserve"> (gennemsigtig):</w:t>
      </w:r>
    </w:p>
    <w:p w:rsidR="009421F2" w:rsidRPr="00661D74" w:rsidRDefault="009421F2" w:rsidP="009421F2">
      <w:pPr>
        <w:ind w:left="851"/>
        <w:rPr>
          <w:sz w:val="24"/>
          <w:szCs w:val="24"/>
        </w:rPr>
      </w:pPr>
    </w:p>
    <w:p w:rsidR="009421F2" w:rsidRPr="00661D74" w:rsidRDefault="009421F2" w:rsidP="009421F2">
      <w:pPr>
        <w:ind w:left="851"/>
        <w:rPr>
          <w:sz w:val="24"/>
          <w:szCs w:val="24"/>
        </w:rPr>
      </w:pPr>
      <w:r w:rsidRPr="00661D74">
        <w:rPr>
          <w:noProof/>
          <w:sz w:val="24"/>
          <w:szCs w:val="24"/>
        </w:rPr>
        <w:drawing>
          <wp:inline distT="0" distB="0" distL="0" distR="0" wp14:anchorId="591638BF" wp14:editId="448BCCF4">
            <wp:extent cx="1404620" cy="380365"/>
            <wp:effectExtent l="0" t="0" r="5080" b="635"/>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04620" cy="380365"/>
                    </a:xfrm>
                    <a:prstGeom prst="rect">
                      <a:avLst/>
                    </a:prstGeom>
                    <a:noFill/>
                    <a:ln>
                      <a:noFill/>
                    </a:ln>
                  </pic:spPr>
                </pic:pic>
              </a:graphicData>
            </a:graphic>
          </wp:inline>
        </w:drawing>
      </w:r>
    </w:p>
    <w:p w:rsidR="009421F2" w:rsidRPr="00661D74" w:rsidRDefault="009421F2" w:rsidP="009421F2">
      <w:pPr>
        <w:ind w:left="851"/>
        <w:rPr>
          <w:sz w:val="24"/>
          <w:szCs w:val="24"/>
        </w:rPr>
      </w:pPr>
    </w:p>
    <w:p w:rsidR="009421F2" w:rsidRPr="00661D74" w:rsidRDefault="009421F2" w:rsidP="009421F2">
      <w:pPr>
        <w:pStyle w:val="Default"/>
        <w:numPr>
          <w:ilvl w:val="0"/>
          <w:numId w:val="18"/>
        </w:numPr>
        <w:ind w:left="1276" w:hanging="425"/>
      </w:pPr>
      <w:r w:rsidRPr="00661D74">
        <w:t xml:space="preserve">Adskil de to poser ved den stiplede posesøm uden at beskadige beskyttelsesfolien. </w:t>
      </w:r>
    </w:p>
    <w:p w:rsidR="009421F2" w:rsidRPr="00661D74" w:rsidRDefault="009421F2" w:rsidP="009421F2">
      <w:pPr>
        <w:pStyle w:val="Default"/>
        <w:numPr>
          <w:ilvl w:val="0"/>
          <w:numId w:val="18"/>
        </w:numPr>
        <w:ind w:left="1276" w:hanging="425"/>
      </w:pPr>
      <w:r w:rsidRPr="00661D74">
        <w:t xml:space="preserve">Fjern først beskyttelsesfolien umiddelbart før anvendelse. Kontrollér væskeposen (etiket, udløbsdato, at væsken er klar, og at posen og beskyttelsesfolien ikke er beskadiget). Plastikbeholdere kan i nogle tilfælde blive beskadiget under transporten fra fremstilleren til dialyseklinikken eller hospitalet eller på selve klinikken/hospitalet. Dette kan resultere i kontaminering og bakterie- eller svampevækst i dialysevæsken. Derfor er det yderst vigtigt, at posen og væsken nøje undersøges, før de anvendes. Man </w:t>
      </w:r>
      <w:r>
        <w:t>skal</w:t>
      </w:r>
      <w:r w:rsidRPr="00661D74">
        <w:t xml:space="preserve"> især være opmærksom på selv den mindste skade på poselukningen, posesømmene og hjørnerne på posen. Væsken må kun anvendes, hvis den er farveløs og klar, og hvis posen og </w:t>
      </w:r>
      <w:proofErr w:type="spellStart"/>
      <w:r w:rsidRPr="00661D74">
        <w:t>adaptoren</w:t>
      </w:r>
      <w:proofErr w:type="spellEnd"/>
      <w:r w:rsidRPr="00661D74">
        <w:t xml:space="preserve"> er ubeskadiget og intakt. </w:t>
      </w:r>
    </w:p>
    <w:p w:rsidR="009421F2" w:rsidRPr="00661D74" w:rsidRDefault="009421F2" w:rsidP="009421F2">
      <w:pPr>
        <w:pStyle w:val="Default"/>
        <w:numPr>
          <w:ilvl w:val="0"/>
          <w:numId w:val="18"/>
        </w:numPr>
        <w:ind w:left="1276" w:hanging="425"/>
      </w:pPr>
      <w:r w:rsidRPr="00661D74">
        <w:t xml:space="preserve">Hæng posen på holderen ved hjælp af posens ophængningshul. </w:t>
      </w:r>
    </w:p>
    <w:p w:rsidR="009421F2" w:rsidRPr="00661D74" w:rsidRDefault="009421F2" w:rsidP="009421F2">
      <w:pPr>
        <w:pStyle w:val="Default"/>
        <w:numPr>
          <w:ilvl w:val="0"/>
          <w:numId w:val="18"/>
        </w:numPr>
        <w:ind w:left="1276" w:hanging="425"/>
      </w:pPr>
      <w:r w:rsidRPr="00661D74">
        <w:t>Tag beskyttelseshætten af</w:t>
      </w:r>
      <w:r w:rsidRPr="00661D74">
        <w:rPr>
          <w:b/>
        </w:rPr>
        <w:t xml:space="preserve"> transparent </w:t>
      </w:r>
      <w:proofErr w:type="spellStart"/>
      <w:r w:rsidRPr="00661D74">
        <w:rPr>
          <w:b/>
          <w:u w:val="single"/>
        </w:rPr>
        <w:t>Safe●Lock</w:t>
      </w:r>
      <w:proofErr w:type="spellEnd"/>
      <w:r w:rsidRPr="00661D74">
        <w:rPr>
          <w:b/>
          <w:u w:val="single"/>
        </w:rPr>
        <w:t xml:space="preserve"> </w:t>
      </w:r>
      <w:proofErr w:type="spellStart"/>
      <w:r w:rsidRPr="00661D74">
        <w:rPr>
          <w:b/>
        </w:rPr>
        <w:t>adaptor</w:t>
      </w:r>
      <w:proofErr w:type="spellEnd"/>
      <w:r w:rsidRPr="00661D74">
        <w:t xml:space="preserve"> og sæt </w:t>
      </w:r>
      <w:proofErr w:type="spellStart"/>
      <w:r w:rsidRPr="00661D74">
        <w:t>adaptoren</w:t>
      </w:r>
      <w:proofErr w:type="spellEnd"/>
      <w:r w:rsidRPr="00661D74">
        <w:t xml:space="preserve"> sammen med dens rette modstykke, så man undgår forkert sammenkobling. Indersiden må ikke berøres, især ikke toppen af </w:t>
      </w:r>
      <w:proofErr w:type="spellStart"/>
      <w:r w:rsidRPr="00661D74">
        <w:t>adaptoren</w:t>
      </w:r>
      <w:proofErr w:type="spellEnd"/>
      <w:r w:rsidRPr="00661D74">
        <w:t xml:space="preserve">. Indersiden af </w:t>
      </w:r>
      <w:proofErr w:type="spellStart"/>
      <w:r w:rsidRPr="00661D74">
        <w:t>adaptoren</w:t>
      </w:r>
      <w:proofErr w:type="spellEnd"/>
      <w:r w:rsidRPr="00661D74">
        <w:t xml:space="preserve"> er steril og skal ikke rengøres yderligere med kemiske desinfektionsmidler. Forbind </w:t>
      </w:r>
      <w:proofErr w:type="spellStart"/>
      <w:r w:rsidRPr="00661D74">
        <w:t>poseadaptoren</w:t>
      </w:r>
      <w:proofErr w:type="spellEnd"/>
      <w:r w:rsidRPr="00661D74">
        <w:t xml:space="preserve"> med dens rette modstykke og drej dem sammen. </w:t>
      </w:r>
    </w:p>
    <w:p w:rsidR="009421F2" w:rsidRPr="00661D74" w:rsidRDefault="009421F2" w:rsidP="009421F2">
      <w:pPr>
        <w:pStyle w:val="Default"/>
        <w:numPr>
          <w:ilvl w:val="0"/>
          <w:numId w:val="18"/>
        </w:numPr>
        <w:ind w:left="1276" w:hanging="425"/>
      </w:pPr>
      <w:r w:rsidRPr="00661D74">
        <w:t xml:space="preserve">Før behandlingen påbegyndes og ved hver ny pose, knækkes den lille pind på </w:t>
      </w:r>
      <w:proofErr w:type="spellStart"/>
      <w:r w:rsidRPr="00661D74">
        <w:t>poseadaptoren</w:t>
      </w:r>
      <w:proofErr w:type="spellEnd"/>
      <w:r w:rsidRPr="00661D74">
        <w:t>. Sørg for, at pinden er knækket helt.</w:t>
      </w:r>
    </w:p>
    <w:p w:rsidR="009421F2" w:rsidRPr="00661D74" w:rsidRDefault="009421F2" w:rsidP="009421F2">
      <w:pPr>
        <w:pStyle w:val="Default"/>
        <w:numPr>
          <w:ilvl w:val="0"/>
          <w:numId w:val="18"/>
        </w:numPr>
        <w:ind w:left="1276" w:hanging="425"/>
      </w:pPr>
      <w:r w:rsidRPr="00661D74">
        <w:t>Fortsæt med de resterende trin som beskrevet i RCA-protokollen.</w:t>
      </w:r>
    </w:p>
    <w:p w:rsidR="009421F2" w:rsidRPr="00661D74" w:rsidRDefault="009421F2" w:rsidP="009421F2">
      <w:pPr>
        <w:pStyle w:val="Default"/>
      </w:pPr>
    </w:p>
    <w:p w:rsidR="009421F2" w:rsidRPr="00661D74" w:rsidRDefault="009421F2" w:rsidP="009421F2">
      <w:pPr>
        <w:ind w:left="851"/>
        <w:rPr>
          <w:sz w:val="24"/>
          <w:szCs w:val="24"/>
        </w:rPr>
      </w:pPr>
    </w:p>
    <w:p w:rsidR="009421F2" w:rsidRPr="00661D74" w:rsidRDefault="009421F2" w:rsidP="009421F2">
      <w:pPr>
        <w:ind w:left="851" w:hanging="851"/>
        <w:rPr>
          <w:b/>
          <w:sz w:val="24"/>
          <w:szCs w:val="24"/>
        </w:rPr>
      </w:pPr>
      <w:r w:rsidRPr="00661D74">
        <w:rPr>
          <w:b/>
          <w:sz w:val="24"/>
          <w:szCs w:val="24"/>
        </w:rPr>
        <w:t>7.</w:t>
      </w:r>
      <w:r w:rsidRPr="00661D74">
        <w:rPr>
          <w:b/>
          <w:sz w:val="24"/>
          <w:szCs w:val="24"/>
        </w:rPr>
        <w:tab/>
        <w:t>INDEHAVER AF MARKEDSFØRINGSTILLADELSEN</w:t>
      </w:r>
    </w:p>
    <w:p w:rsidR="009421F2" w:rsidRPr="00033AD8" w:rsidRDefault="009421F2" w:rsidP="009421F2">
      <w:pPr>
        <w:ind w:left="851"/>
        <w:rPr>
          <w:sz w:val="24"/>
          <w:szCs w:val="24"/>
          <w:lang w:val="de-DE"/>
        </w:rPr>
      </w:pPr>
      <w:r w:rsidRPr="00033AD8">
        <w:rPr>
          <w:sz w:val="24"/>
          <w:szCs w:val="24"/>
          <w:lang w:val="de-DE"/>
        </w:rPr>
        <w:t>Fresenius Medical Care Deutschland GmbH</w:t>
      </w:r>
      <w:r w:rsidRPr="00033AD8">
        <w:rPr>
          <w:sz w:val="24"/>
          <w:szCs w:val="24"/>
          <w:lang w:val="de-DE"/>
        </w:rPr>
        <w:br/>
        <w:t>Else-Kröner-Straße 1</w:t>
      </w:r>
    </w:p>
    <w:p w:rsidR="009421F2" w:rsidRPr="00661D74" w:rsidRDefault="009421F2" w:rsidP="009421F2">
      <w:pPr>
        <w:ind w:left="851"/>
        <w:rPr>
          <w:sz w:val="24"/>
          <w:szCs w:val="24"/>
        </w:rPr>
      </w:pPr>
      <w:r w:rsidRPr="00661D74">
        <w:rPr>
          <w:sz w:val="24"/>
          <w:szCs w:val="24"/>
        </w:rPr>
        <w:t xml:space="preserve">61352 Bad </w:t>
      </w:r>
      <w:proofErr w:type="spellStart"/>
      <w:r w:rsidRPr="00661D74">
        <w:rPr>
          <w:sz w:val="24"/>
          <w:szCs w:val="24"/>
        </w:rPr>
        <w:t>Homburg</w:t>
      </w:r>
      <w:proofErr w:type="spellEnd"/>
      <w:r w:rsidRPr="00661D74">
        <w:rPr>
          <w:sz w:val="24"/>
          <w:szCs w:val="24"/>
        </w:rPr>
        <w:t xml:space="preserve"> </w:t>
      </w:r>
      <w:proofErr w:type="spellStart"/>
      <w:r w:rsidRPr="00661D74">
        <w:rPr>
          <w:sz w:val="24"/>
          <w:szCs w:val="24"/>
        </w:rPr>
        <w:t>v.d.H</w:t>
      </w:r>
      <w:proofErr w:type="spellEnd"/>
      <w:r w:rsidRPr="00661D74">
        <w:rPr>
          <w:sz w:val="24"/>
          <w:szCs w:val="24"/>
        </w:rPr>
        <w:t>.</w:t>
      </w:r>
      <w:r w:rsidRPr="00661D74">
        <w:rPr>
          <w:sz w:val="24"/>
          <w:szCs w:val="24"/>
        </w:rPr>
        <w:br/>
        <w:t>Tyskland</w:t>
      </w:r>
    </w:p>
    <w:p w:rsidR="009421F2" w:rsidRPr="00661D74" w:rsidRDefault="009421F2" w:rsidP="009421F2">
      <w:pPr>
        <w:ind w:left="851"/>
        <w:rPr>
          <w:sz w:val="24"/>
          <w:szCs w:val="24"/>
        </w:rPr>
      </w:pPr>
    </w:p>
    <w:p w:rsidR="009421F2" w:rsidRPr="00661D74" w:rsidRDefault="009421F2" w:rsidP="009421F2">
      <w:pPr>
        <w:ind w:left="851"/>
        <w:rPr>
          <w:b/>
          <w:sz w:val="24"/>
          <w:szCs w:val="24"/>
          <w:lang w:val="en-US"/>
        </w:rPr>
      </w:pPr>
      <w:proofErr w:type="spellStart"/>
      <w:r w:rsidRPr="00661D74">
        <w:rPr>
          <w:b/>
          <w:sz w:val="24"/>
          <w:szCs w:val="24"/>
          <w:lang w:val="en-US"/>
        </w:rPr>
        <w:t>Repræsentant</w:t>
      </w:r>
      <w:proofErr w:type="spellEnd"/>
    </w:p>
    <w:p w:rsidR="009421F2" w:rsidRPr="00661D74" w:rsidRDefault="009421F2" w:rsidP="009421F2">
      <w:pPr>
        <w:ind w:left="851"/>
        <w:rPr>
          <w:sz w:val="24"/>
          <w:szCs w:val="24"/>
          <w:lang w:val="en-US"/>
        </w:rPr>
      </w:pPr>
      <w:r w:rsidRPr="00661D74">
        <w:rPr>
          <w:sz w:val="24"/>
          <w:szCs w:val="24"/>
          <w:lang w:val="en-US"/>
        </w:rPr>
        <w:t xml:space="preserve">Fresenius Medical Care </w:t>
      </w:r>
      <w:proofErr w:type="spellStart"/>
      <w:r w:rsidRPr="00661D74">
        <w:rPr>
          <w:sz w:val="24"/>
          <w:szCs w:val="24"/>
          <w:lang w:val="en-US"/>
        </w:rPr>
        <w:t>Danmark</w:t>
      </w:r>
      <w:proofErr w:type="spellEnd"/>
      <w:r w:rsidRPr="00661D74">
        <w:rPr>
          <w:sz w:val="24"/>
          <w:szCs w:val="24"/>
          <w:lang w:val="en-US"/>
        </w:rPr>
        <w:t xml:space="preserve"> A/S</w:t>
      </w:r>
    </w:p>
    <w:p w:rsidR="009421F2" w:rsidRPr="00661D74" w:rsidRDefault="009421F2" w:rsidP="009421F2">
      <w:pPr>
        <w:ind w:left="851"/>
        <w:rPr>
          <w:sz w:val="24"/>
          <w:szCs w:val="24"/>
        </w:rPr>
      </w:pPr>
      <w:r w:rsidRPr="00661D74">
        <w:rPr>
          <w:sz w:val="24"/>
          <w:szCs w:val="24"/>
        </w:rPr>
        <w:t>Oldenburg Allé 1</w:t>
      </w:r>
    </w:p>
    <w:p w:rsidR="009421F2" w:rsidRPr="00661D74" w:rsidRDefault="009421F2" w:rsidP="009421F2">
      <w:pPr>
        <w:ind w:left="851"/>
        <w:rPr>
          <w:sz w:val="24"/>
          <w:szCs w:val="24"/>
        </w:rPr>
      </w:pPr>
      <w:r w:rsidRPr="00661D74">
        <w:rPr>
          <w:sz w:val="24"/>
          <w:szCs w:val="24"/>
        </w:rPr>
        <w:t>2630 Taastrup</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t>8.</w:t>
      </w:r>
      <w:r w:rsidRPr="00661D74">
        <w:rPr>
          <w:b/>
          <w:sz w:val="24"/>
          <w:szCs w:val="24"/>
        </w:rPr>
        <w:tab/>
        <w:t>MARKEDSFØRINGSTILLADELSESNUMMER (</w:t>
      </w:r>
      <w:r w:rsidR="00B4786D">
        <w:rPr>
          <w:b/>
          <w:sz w:val="24"/>
          <w:szCs w:val="24"/>
        </w:rPr>
        <w:t>-</w:t>
      </w:r>
      <w:r w:rsidRPr="00661D74">
        <w:rPr>
          <w:b/>
          <w:sz w:val="24"/>
          <w:szCs w:val="24"/>
        </w:rPr>
        <w:t>NUMRE)</w:t>
      </w:r>
    </w:p>
    <w:p w:rsidR="009260DE" w:rsidRPr="00661D74" w:rsidRDefault="00DF05B1" w:rsidP="00661D74">
      <w:pPr>
        <w:ind w:left="851"/>
        <w:rPr>
          <w:sz w:val="24"/>
          <w:szCs w:val="24"/>
        </w:rPr>
      </w:pPr>
      <w:r w:rsidRPr="00661D74">
        <w:rPr>
          <w:sz w:val="24"/>
          <w:szCs w:val="24"/>
        </w:rPr>
        <w:t>64276</w:t>
      </w:r>
    </w:p>
    <w:p w:rsidR="009260DE" w:rsidRPr="00661D74" w:rsidRDefault="009260DE" w:rsidP="00661D74">
      <w:pPr>
        <w:ind w:left="851"/>
        <w:jc w:val="both"/>
        <w:rPr>
          <w:sz w:val="24"/>
          <w:szCs w:val="24"/>
        </w:rPr>
      </w:pPr>
    </w:p>
    <w:p w:rsidR="009260DE" w:rsidRPr="00661D74" w:rsidRDefault="009260DE" w:rsidP="00661D74">
      <w:pPr>
        <w:ind w:left="851" w:hanging="851"/>
        <w:rPr>
          <w:b/>
          <w:sz w:val="24"/>
          <w:szCs w:val="24"/>
        </w:rPr>
      </w:pPr>
      <w:r w:rsidRPr="00661D74">
        <w:rPr>
          <w:b/>
          <w:sz w:val="24"/>
          <w:szCs w:val="24"/>
        </w:rPr>
        <w:t>9.</w:t>
      </w:r>
      <w:r w:rsidRPr="00661D74">
        <w:rPr>
          <w:b/>
          <w:sz w:val="24"/>
          <w:szCs w:val="24"/>
        </w:rPr>
        <w:tab/>
        <w:t>DATO FOR FØRSTE MARKEDSFØRINGSTILLADELSE</w:t>
      </w:r>
    </w:p>
    <w:p w:rsidR="009421F2" w:rsidRPr="00661D74" w:rsidRDefault="009421F2" w:rsidP="009421F2">
      <w:pPr>
        <w:ind w:left="851"/>
        <w:rPr>
          <w:b/>
          <w:sz w:val="24"/>
          <w:szCs w:val="24"/>
        </w:rPr>
      </w:pPr>
      <w:r w:rsidRPr="00F500CF">
        <w:rPr>
          <w:b/>
        </w:rPr>
        <w:t>TILLADELSEN</w:t>
      </w:r>
    </w:p>
    <w:p w:rsidR="009421F2" w:rsidRPr="00661D74" w:rsidRDefault="009421F2" w:rsidP="009421F2">
      <w:pPr>
        <w:ind w:left="851"/>
        <w:rPr>
          <w:sz w:val="24"/>
          <w:szCs w:val="24"/>
        </w:rPr>
      </w:pPr>
      <w:r w:rsidRPr="00F704D5">
        <w:rPr>
          <w:sz w:val="24"/>
          <w:szCs w:val="24"/>
        </w:rPr>
        <w:t xml:space="preserve">Dato for første markedsføringstilladelse: </w:t>
      </w:r>
      <w:r>
        <w:rPr>
          <w:sz w:val="24"/>
          <w:szCs w:val="24"/>
        </w:rPr>
        <w:t>8. juli 2022.</w:t>
      </w:r>
    </w:p>
    <w:p w:rsidR="009260DE" w:rsidRPr="00661D74" w:rsidRDefault="009260DE" w:rsidP="00661D74">
      <w:pPr>
        <w:ind w:left="851"/>
        <w:rPr>
          <w:sz w:val="24"/>
          <w:szCs w:val="24"/>
        </w:rPr>
      </w:pPr>
    </w:p>
    <w:p w:rsidR="009260DE" w:rsidRPr="00661D74" w:rsidRDefault="009260DE" w:rsidP="00661D74">
      <w:pPr>
        <w:ind w:left="851" w:hanging="851"/>
        <w:rPr>
          <w:b/>
          <w:sz w:val="24"/>
          <w:szCs w:val="24"/>
        </w:rPr>
      </w:pPr>
      <w:r w:rsidRPr="00661D74">
        <w:rPr>
          <w:b/>
          <w:sz w:val="24"/>
          <w:szCs w:val="24"/>
        </w:rPr>
        <w:lastRenderedPageBreak/>
        <w:t>10.</w:t>
      </w:r>
      <w:r w:rsidRPr="00661D74">
        <w:rPr>
          <w:b/>
          <w:sz w:val="24"/>
          <w:szCs w:val="24"/>
        </w:rPr>
        <w:tab/>
        <w:t>DATO FOR ÆNDRING AF TEKSTEN</w:t>
      </w:r>
    </w:p>
    <w:p w:rsidR="009260DE" w:rsidRPr="00661D74" w:rsidRDefault="008E4BE5" w:rsidP="00661D74">
      <w:pPr>
        <w:ind w:left="851"/>
        <w:rPr>
          <w:sz w:val="24"/>
          <w:szCs w:val="24"/>
        </w:rPr>
      </w:pPr>
      <w:r>
        <w:rPr>
          <w:sz w:val="24"/>
          <w:szCs w:val="24"/>
        </w:rPr>
        <w:t>13</w:t>
      </w:r>
      <w:bookmarkStart w:id="4" w:name="_GoBack"/>
      <w:bookmarkEnd w:id="4"/>
      <w:r w:rsidR="009421F2">
        <w:rPr>
          <w:sz w:val="24"/>
          <w:szCs w:val="24"/>
        </w:rPr>
        <w:t>. februar 2024</w:t>
      </w:r>
    </w:p>
    <w:sectPr w:rsidR="009260DE" w:rsidRPr="00661D74"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373C" w:rsidRDefault="005B373C">
      <w:r>
        <w:separator/>
      </w:r>
    </w:p>
  </w:endnote>
  <w:endnote w:type="continuationSeparator" w:id="0">
    <w:p w:rsidR="005B373C" w:rsidRDefault="005B3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E7E9E">
      <w:rPr>
        <w:i/>
        <w:noProof/>
        <w:sz w:val="18"/>
        <w:szCs w:val="18"/>
      </w:rPr>
      <w:t>Cifoban, infusionsvæske, opløsning 136 mmol-l.docx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373C" w:rsidRDefault="005B373C">
      <w:r>
        <w:separator/>
      </w:r>
    </w:p>
  </w:footnote>
  <w:footnote w:type="continuationSeparator" w:id="0">
    <w:p w:rsidR="005B373C" w:rsidRDefault="005B37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1507C"/>
    <w:multiLevelType w:val="hybridMultilevel"/>
    <w:tmpl w:val="3EB626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98D64F7"/>
    <w:multiLevelType w:val="hybridMultilevel"/>
    <w:tmpl w:val="29D09B9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DC547C3"/>
    <w:multiLevelType w:val="hybridMultilevel"/>
    <w:tmpl w:val="AB9023E6"/>
    <w:lvl w:ilvl="0" w:tplc="0407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F53670B"/>
    <w:multiLevelType w:val="hybridMultilevel"/>
    <w:tmpl w:val="1D12A900"/>
    <w:lvl w:ilvl="0" w:tplc="09321E5A">
      <w:start w:val="1"/>
      <w:numFmt w:val="decimal"/>
      <w:lvlText w:val="%1."/>
      <w:lvlJc w:val="left"/>
      <w:pPr>
        <w:ind w:left="720" w:hanging="360"/>
      </w:pPr>
      <w:rPr>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21A53F9"/>
    <w:multiLevelType w:val="hybridMultilevel"/>
    <w:tmpl w:val="7B00312A"/>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702A3F"/>
    <w:multiLevelType w:val="hybridMultilevel"/>
    <w:tmpl w:val="B9CC7372"/>
    <w:lvl w:ilvl="0" w:tplc="FFFFFFFF">
      <w:start w:val="1"/>
      <w:numFmt w:val="bullet"/>
      <w:lvlText w:val="-"/>
      <w:lvlJc w:val="left"/>
      <w:pPr>
        <w:ind w:left="720" w:hanging="360"/>
      </w:pPr>
      <w:rPr>
        <w:rFonts w:hint="default"/>
        <w:sz w:val="22"/>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B0E5626"/>
    <w:multiLevelType w:val="hybridMultilevel"/>
    <w:tmpl w:val="6024D0A0"/>
    <w:lvl w:ilvl="0" w:tplc="FFFFFFFF">
      <w:start w:val="1"/>
      <w:numFmt w:val="bullet"/>
      <w:lvlText w:val="-"/>
      <w:lvlJc w:val="left"/>
      <w:pPr>
        <w:tabs>
          <w:tab w:val="num" w:pos="720"/>
        </w:tabs>
        <w:ind w:left="720" w:hanging="360"/>
      </w:pPr>
      <w:rPr>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B82E0F"/>
    <w:multiLevelType w:val="hybridMultilevel"/>
    <w:tmpl w:val="50089D36"/>
    <w:lvl w:ilvl="0" w:tplc="367EEA48">
      <w:numFmt w:val="bullet"/>
      <w:lvlText w:val="⁃"/>
      <w:lvlJc w:val="left"/>
      <w:pPr>
        <w:ind w:left="720" w:hanging="360"/>
      </w:pPr>
      <w:rPr>
        <w:rFonts w:ascii="Times New Roman" w:eastAsia="Calibri"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2EA3ADD"/>
    <w:multiLevelType w:val="hybridMultilevel"/>
    <w:tmpl w:val="CB54E99E"/>
    <w:lvl w:ilvl="0" w:tplc="FFFFFFFF">
      <w:start w:val="1"/>
      <w:numFmt w:val="bullet"/>
      <w:lvlText w:val="-"/>
      <w:lvlJc w:val="left"/>
      <w:pPr>
        <w:tabs>
          <w:tab w:val="num" w:pos="720"/>
        </w:tabs>
        <w:ind w:left="720" w:hanging="360"/>
      </w:pPr>
      <w:rPr>
        <w:sz w:val="22"/>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90C2197"/>
    <w:multiLevelType w:val="hybridMultilevel"/>
    <w:tmpl w:val="A5BCB882"/>
    <w:lvl w:ilvl="0" w:tplc="0407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A222E31"/>
    <w:multiLevelType w:val="hybridMultilevel"/>
    <w:tmpl w:val="D82CC170"/>
    <w:lvl w:ilvl="0" w:tplc="8B7A529E">
      <w:start w:val="1"/>
      <w:numFmt w:val="decimal"/>
      <w:lvlText w:val="%1."/>
      <w:lvlJc w:val="left"/>
      <w:pPr>
        <w:ind w:left="720" w:hanging="360"/>
      </w:pPr>
      <w:rPr>
        <w:sz w:val="22"/>
        <w:szCs w:val="22"/>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3"/>
  </w:num>
  <w:num w:numId="8">
    <w:abstractNumId w:val="11"/>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5"/>
  </w:num>
  <w:num w:numId="14">
    <w:abstractNumId w:val="11"/>
  </w:num>
  <w:num w:numId="15">
    <w:abstractNumId w:val="9"/>
  </w:num>
  <w:num w:numId="16">
    <w:abstractNumId w:val="4"/>
  </w:num>
  <w:num w:numId="17">
    <w:abstractNumId w:val="1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73C"/>
    <w:rsid w:val="000259B9"/>
    <w:rsid w:val="00041491"/>
    <w:rsid w:val="00050D16"/>
    <w:rsid w:val="000730CA"/>
    <w:rsid w:val="00074F2A"/>
    <w:rsid w:val="000A1CA8"/>
    <w:rsid w:val="000A466B"/>
    <w:rsid w:val="000B058C"/>
    <w:rsid w:val="000E4EE6"/>
    <w:rsid w:val="001454E2"/>
    <w:rsid w:val="001C0541"/>
    <w:rsid w:val="001F0EC4"/>
    <w:rsid w:val="00206CE8"/>
    <w:rsid w:val="0021526C"/>
    <w:rsid w:val="00242AFC"/>
    <w:rsid w:val="00265665"/>
    <w:rsid w:val="00283A2B"/>
    <w:rsid w:val="00283EB8"/>
    <w:rsid w:val="002869D3"/>
    <w:rsid w:val="002A66B2"/>
    <w:rsid w:val="002B30AD"/>
    <w:rsid w:val="002C2C01"/>
    <w:rsid w:val="003A29AE"/>
    <w:rsid w:val="003A32D7"/>
    <w:rsid w:val="003B4074"/>
    <w:rsid w:val="003C769A"/>
    <w:rsid w:val="003F1838"/>
    <w:rsid w:val="00430D5A"/>
    <w:rsid w:val="0045746C"/>
    <w:rsid w:val="0049104B"/>
    <w:rsid w:val="004E3B12"/>
    <w:rsid w:val="00515278"/>
    <w:rsid w:val="00532310"/>
    <w:rsid w:val="00565F0F"/>
    <w:rsid w:val="00594A86"/>
    <w:rsid w:val="00596D86"/>
    <w:rsid w:val="005B373C"/>
    <w:rsid w:val="005F261C"/>
    <w:rsid w:val="00637F5A"/>
    <w:rsid w:val="006560B1"/>
    <w:rsid w:val="00661D74"/>
    <w:rsid w:val="006666CE"/>
    <w:rsid w:val="006756DD"/>
    <w:rsid w:val="0068098A"/>
    <w:rsid w:val="00737275"/>
    <w:rsid w:val="00740EEC"/>
    <w:rsid w:val="0078011A"/>
    <w:rsid w:val="007823E6"/>
    <w:rsid w:val="00782AF4"/>
    <w:rsid w:val="00790EE7"/>
    <w:rsid w:val="007B2B16"/>
    <w:rsid w:val="007B6649"/>
    <w:rsid w:val="007C4075"/>
    <w:rsid w:val="007F4B17"/>
    <w:rsid w:val="0082576E"/>
    <w:rsid w:val="0085626F"/>
    <w:rsid w:val="008E4BE5"/>
    <w:rsid w:val="00907F75"/>
    <w:rsid w:val="009260DE"/>
    <w:rsid w:val="0093258A"/>
    <w:rsid w:val="009421F2"/>
    <w:rsid w:val="009738E9"/>
    <w:rsid w:val="009C7BA3"/>
    <w:rsid w:val="009D1F5A"/>
    <w:rsid w:val="00A10294"/>
    <w:rsid w:val="00A21F0B"/>
    <w:rsid w:val="00A7466F"/>
    <w:rsid w:val="00B003BF"/>
    <w:rsid w:val="00B373D7"/>
    <w:rsid w:val="00B37BA0"/>
    <w:rsid w:val="00B4786D"/>
    <w:rsid w:val="00BF7BE4"/>
    <w:rsid w:val="00C068CF"/>
    <w:rsid w:val="00C36276"/>
    <w:rsid w:val="00C42586"/>
    <w:rsid w:val="00C60CCD"/>
    <w:rsid w:val="00C82ECC"/>
    <w:rsid w:val="00C84483"/>
    <w:rsid w:val="00C95551"/>
    <w:rsid w:val="00CA060F"/>
    <w:rsid w:val="00CB20D7"/>
    <w:rsid w:val="00CE7E9E"/>
    <w:rsid w:val="00D020B0"/>
    <w:rsid w:val="00D11748"/>
    <w:rsid w:val="00D366CF"/>
    <w:rsid w:val="00D528DB"/>
    <w:rsid w:val="00D66B74"/>
    <w:rsid w:val="00DF05B1"/>
    <w:rsid w:val="00E108AA"/>
    <w:rsid w:val="00E2680B"/>
    <w:rsid w:val="00E3749A"/>
    <w:rsid w:val="00E7437F"/>
    <w:rsid w:val="00E865B8"/>
    <w:rsid w:val="00EC0B9B"/>
    <w:rsid w:val="00EC72B7"/>
    <w:rsid w:val="00ED5E9F"/>
    <w:rsid w:val="00F11D5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7ACE7"/>
  <w15:chartTrackingRefBased/>
  <w15:docId w15:val="{8A368853-77F3-473C-8C7D-D51EC6A21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515278"/>
    <w:pPr>
      <w:spacing w:before="120" w:after="120"/>
      <w:jc w:val="both"/>
    </w:pPr>
    <w:rPr>
      <w:sz w:val="22"/>
      <w:lang w:val="en-US"/>
    </w:rPr>
  </w:style>
  <w:style w:type="character" w:styleId="Fremhv">
    <w:name w:val="Emphasis"/>
    <w:basedOn w:val="Standardskrifttypeiafsnit"/>
    <w:uiPriority w:val="20"/>
    <w:qFormat/>
    <w:rsid w:val="00515278"/>
    <w:rPr>
      <w:i/>
      <w:iCs/>
    </w:rPr>
  </w:style>
  <w:style w:type="character" w:customStyle="1" w:styleId="trns-org-res">
    <w:name w:val="trns-org-res"/>
    <w:rsid w:val="00515278"/>
  </w:style>
  <w:style w:type="character" w:styleId="Hyperlink">
    <w:name w:val="Hyperlink"/>
    <w:basedOn w:val="Standardskrifttypeiafsnit"/>
    <w:uiPriority w:val="99"/>
    <w:semiHidden/>
    <w:unhideWhenUsed/>
    <w:rsid w:val="007C4075"/>
    <w:rPr>
      <w:color w:val="0000FF"/>
      <w:u w:val="single"/>
    </w:rPr>
  </w:style>
  <w:style w:type="paragraph" w:customStyle="1" w:styleId="Default">
    <w:name w:val="Default"/>
    <w:rsid w:val="007C4075"/>
    <w:pPr>
      <w:autoSpaceDE w:val="0"/>
      <w:autoSpaceDN w:val="0"/>
      <w:adjustRightInd w:val="0"/>
    </w:pPr>
    <w:rPr>
      <w:color w:val="000000"/>
      <w:sz w:val="24"/>
      <w:szCs w:val="24"/>
      <w:lang w:eastAsia="de-DE"/>
    </w:rPr>
  </w:style>
  <w:style w:type="paragraph" w:styleId="Listeafsnit">
    <w:name w:val="List Paragraph"/>
    <w:basedOn w:val="Normal"/>
    <w:uiPriority w:val="34"/>
    <w:qFormat/>
    <w:rsid w:val="006809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76375">
      <w:bodyDiv w:val="1"/>
      <w:marLeft w:val="0"/>
      <w:marRight w:val="0"/>
      <w:marTop w:val="0"/>
      <w:marBottom w:val="0"/>
      <w:divBdr>
        <w:top w:val="none" w:sz="0" w:space="0" w:color="auto"/>
        <w:left w:val="none" w:sz="0" w:space="0" w:color="auto"/>
        <w:bottom w:val="none" w:sz="0" w:space="0" w:color="auto"/>
        <w:right w:val="none" w:sz="0" w:space="0" w:color="auto"/>
      </w:divBdr>
    </w:div>
    <w:div w:id="982555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7425858">
      <w:bodyDiv w:val="1"/>
      <w:marLeft w:val="0"/>
      <w:marRight w:val="0"/>
      <w:marTop w:val="0"/>
      <w:marBottom w:val="0"/>
      <w:divBdr>
        <w:top w:val="none" w:sz="0" w:space="0" w:color="auto"/>
        <w:left w:val="none" w:sz="0" w:space="0" w:color="auto"/>
        <w:bottom w:val="none" w:sz="0" w:space="0" w:color="auto"/>
        <w:right w:val="none" w:sz="0" w:space="0" w:color="auto"/>
      </w:divBdr>
    </w:div>
    <w:div w:id="282618691">
      <w:bodyDiv w:val="1"/>
      <w:marLeft w:val="0"/>
      <w:marRight w:val="0"/>
      <w:marTop w:val="0"/>
      <w:marBottom w:val="0"/>
      <w:divBdr>
        <w:top w:val="none" w:sz="0" w:space="0" w:color="auto"/>
        <w:left w:val="none" w:sz="0" w:space="0" w:color="auto"/>
        <w:bottom w:val="none" w:sz="0" w:space="0" w:color="auto"/>
        <w:right w:val="none" w:sz="0" w:space="0" w:color="auto"/>
      </w:divBdr>
    </w:div>
    <w:div w:id="294944652">
      <w:bodyDiv w:val="1"/>
      <w:marLeft w:val="0"/>
      <w:marRight w:val="0"/>
      <w:marTop w:val="0"/>
      <w:marBottom w:val="0"/>
      <w:divBdr>
        <w:top w:val="none" w:sz="0" w:space="0" w:color="auto"/>
        <w:left w:val="none" w:sz="0" w:space="0" w:color="auto"/>
        <w:bottom w:val="none" w:sz="0" w:space="0" w:color="auto"/>
        <w:right w:val="none" w:sz="0" w:space="0" w:color="auto"/>
      </w:divBdr>
    </w:div>
    <w:div w:id="389503731">
      <w:bodyDiv w:val="1"/>
      <w:marLeft w:val="0"/>
      <w:marRight w:val="0"/>
      <w:marTop w:val="0"/>
      <w:marBottom w:val="0"/>
      <w:divBdr>
        <w:top w:val="none" w:sz="0" w:space="0" w:color="auto"/>
        <w:left w:val="none" w:sz="0" w:space="0" w:color="auto"/>
        <w:bottom w:val="none" w:sz="0" w:space="0" w:color="auto"/>
        <w:right w:val="none" w:sz="0" w:space="0" w:color="auto"/>
      </w:divBdr>
    </w:div>
    <w:div w:id="416638827">
      <w:bodyDiv w:val="1"/>
      <w:marLeft w:val="0"/>
      <w:marRight w:val="0"/>
      <w:marTop w:val="0"/>
      <w:marBottom w:val="0"/>
      <w:divBdr>
        <w:top w:val="none" w:sz="0" w:space="0" w:color="auto"/>
        <w:left w:val="none" w:sz="0" w:space="0" w:color="auto"/>
        <w:bottom w:val="none" w:sz="0" w:space="0" w:color="auto"/>
        <w:right w:val="none" w:sz="0" w:space="0" w:color="auto"/>
      </w:divBdr>
    </w:div>
    <w:div w:id="455680099">
      <w:bodyDiv w:val="1"/>
      <w:marLeft w:val="0"/>
      <w:marRight w:val="0"/>
      <w:marTop w:val="0"/>
      <w:marBottom w:val="0"/>
      <w:divBdr>
        <w:top w:val="none" w:sz="0" w:space="0" w:color="auto"/>
        <w:left w:val="none" w:sz="0" w:space="0" w:color="auto"/>
        <w:bottom w:val="none" w:sz="0" w:space="0" w:color="auto"/>
        <w:right w:val="none" w:sz="0" w:space="0" w:color="auto"/>
      </w:divBdr>
    </w:div>
    <w:div w:id="519658630">
      <w:bodyDiv w:val="1"/>
      <w:marLeft w:val="0"/>
      <w:marRight w:val="0"/>
      <w:marTop w:val="0"/>
      <w:marBottom w:val="0"/>
      <w:divBdr>
        <w:top w:val="none" w:sz="0" w:space="0" w:color="auto"/>
        <w:left w:val="none" w:sz="0" w:space="0" w:color="auto"/>
        <w:bottom w:val="none" w:sz="0" w:space="0" w:color="auto"/>
        <w:right w:val="none" w:sz="0" w:space="0" w:color="auto"/>
      </w:divBdr>
    </w:div>
    <w:div w:id="718093102">
      <w:bodyDiv w:val="1"/>
      <w:marLeft w:val="0"/>
      <w:marRight w:val="0"/>
      <w:marTop w:val="0"/>
      <w:marBottom w:val="0"/>
      <w:divBdr>
        <w:top w:val="none" w:sz="0" w:space="0" w:color="auto"/>
        <w:left w:val="none" w:sz="0" w:space="0" w:color="auto"/>
        <w:bottom w:val="none" w:sz="0" w:space="0" w:color="auto"/>
        <w:right w:val="none" w:sz="0" w:space="0" w:color="auto"/>
      </w:divBdr>
    </w:div>
    <w:div w:id="799499179">
      <w:bodyDiv w:val="1"/>
      <w:marLeft w:val="0"/>
      <w:marRight w:val="0"/>
      <w:marTop w:val="0"/>
      <w:marBottom w:val="0"/>
      <w:divBdr>
        <w:top w:val="none" w:sz="0" w:space="0" w:color="auto"/>
        <w:left w:val="none" w:sz="0" w:space="0" w:color="auto"/>
        <w:bottom w:val="none" w:sz="0" w:space="0" w:color="auto"/>
        <w:right w:val="none" w:sz="0" w:space="0" w:color="auto"/>
      </w:divBdr>
    </w:div>
    <w:div w:id="848787731">
      <w:bodyDiv w:val="1"/>
      <w:marLeft w:val="0"/>
      <w:marRight w:val="0"/>
      <w:marTop w:val="0"/>
      <w:marBottom w:val="0"/>
      <w:divBdr>
        <w:top w:val="none" w:sz="0" w:space="0" w:color="auto"/>
        <w:left w:val="none" w:sz="0" w:space="0" w:color="auto"/>
        <w:bottom w:val="none" w:sz="0" w:space="0" w:color="auto"/>
        <w:right w:val="none" w:sz="0" w:space="0" w:color="auto"/>
      </w:divBdr>
    </w:div>
    <w:div w:id="858004486">
      <w:bodyDiv w:val="1"/>
      <w:marLeft w:val="0"/>
      <w:marRight w:val="0"/>
      <w:marTop w:val="0"/>
      <w:marBottom w:val="0"/>
      <w:divBdr>
        <w:top w:val="none" w:sz="0" w:space="0" w:color="auto"/>
        <w:left w:val="none" w:sz="0" w:space="0" w:color="auto"/>
        <w:bottom w:val="none" w:sz="0" w:space="0" w:color="auto"/>
        <w:right w:val="none" w:sz="0" w:space="0" w:color="auto"/>
      </w:divBdr>
    </w:div>
    <w:div w:id="1008025795">
      <w:bodyDiv w:val="1"/>
      <w:marLeft w:val="0"/>
      <w:marRight w:val="0"/>
      <w:marTop w:val="0"/>
      <w:marBottom w:val="0"/>
      <w:divBdr>
        <w:top w:val="none" w:sz="0" w:space="0" w:color="auto"/>
        <w:left w:val="none" w:sz="0" w:space="0" w:color="auto"/>
        <w:bottom w:val="none" w:sz="0" w:space="0" w:color="auto"/>
        <w:right w:val="none" w:sz="0" w:space="0" w:color="auto"/>
      </w:divBdr>
    </w:div>
    <w:div w:id="1011184478">
      <w:bodyDiv w:val="1"/>
      <w:marLeft w:val="0"/>
      <w:marRight w:val="0"/>
      <w:marTop w:val="0"/>
      <w:marBottom w:val="0"/>
      <w:divBdr>
        <w:top w:val="none" w:sz="0" w:space="0" w:color="auto"/>
        <w:left w:val="none" w:sz="0" w:space="0" w:color="auto"/>
        <w:bottom w:val="none" w:sz="0" w:space="0" w:color="auto"/>
        <w:right w:val="none" w:sz="0" w:space="0" w:color="auto"/>
      </w:divBdr>
    </w:div>
    <w:div w:id="1472479064">
      <w:bodyDiv w:val="1"/>
      <w:marLeft w:val="0"/>
      <w:marRight w:val="0"/>
      <w:marTop w:val="0"/>
      <w:marBottom w:val="0"/>
      <w:divBdr>
        <w:top w:val="none" w:sz="0" w:space="0" w:color="auto"/>
        <w:left w:val="none" w:sz="0" w:space="0" w:color="auto"/>
        <w:bottom w:val="none" w:sz="0" w:space="0" w:color="auto"/>
        <w:right w:val="none" w:sz="0" w:space="0" w:color="auto"/>
      </w:divBdr>
    </w:div>
    <w:div w:id="1825781571">
      <w:bodyDiv w:val="1"/>
      <w:marLeft w:val="0"/>
      <w:marRight w:val="0"/>
      <w:marTop w:val="0"/>
      <w:marBottom w:val="0"/>
      <w:divBdr>
        <w:top w:val="none" w:sz="0" w:space="0" w:color="auto"/>
        <w:left w:val="none" w:sz="0" w:space="0" w:color="auto"/>
        <w:bottom w:val="none" w:sz="0" w:space="0" w:color="auto"/>
        <w:right w:val="none" w:sz="0" w:space="0" w:color="auto"/>
      </w:divBdr>
    </w:div>
    <w:div w:id="1925870576">
      <w:bodyDiv w:val="1"/>
      <w:marLeft w:val="0"/>
      <w:marRight w:val="0"/>
      <w:marTop w:val="0"/>
      <w:marBottom w:val="0"/>
      <w:divBdr>
        <w:top w:val="none" w:sz="0" w:space="0" w:color="auto"/>
        <w:left w:val="none" w:sz="0" w:space="0" w:color="auto"/>
        <w:bottom w:val="none" w:sz="0" w:space="0" w:color="auto"/>
        <w:right w:val="none" w:sz="0" w:space="0" w:color="auto"/>
      </w:divBdr>
    </w:div>
    <w:div w:id="1991471496">
      <w:bodyDiv w:val="1"/>
      <w:marLeft w:val="0"/>
      <w:marRight w:val="0"/>
      <w:marTop w:val="0"/>
      <w:marBottom w:val="0"/>
      <w:divBdr>
        <w:top w:val="none" w:sz="0" w:space="0" w:color="auto"/>
        <w:left w:val="none" w:sz="0" w:space="0" w:color="auto"/>
        <w:bottom w:val="none" w:sz="0" w:space="0" w:color="auto"/>
        <w:right w:val="none" w:sz="0" w:space="0" w:color="auto"/>
      </w:divBdr>
    </w:div>
    <w:div w:id="2069643555">
      <w:bodyDiv w:val="1"/>
      <w:marLeft w:val="0"/>
      <w:marRight w:val="0"/>
      <w:marTop w:val="0"/>
      <w:marBottom w:val="0"/>
      <w:divBdr>
        <w:top w:val="none" w:sz="0" w:space="0" w:color="auto"/>
        <w:left w:val="none" w:sz="0" w:space="0" w:color="auto"/>
        <w:bottom w:val="none" w:sz="0" w:space="0" w:color="auto"/>
        <w:right w:val="none" w:sz="0" w:space="0" w:color="auto"/>
      </w:divBdr>
    </w:div>
    <w:div w:id="2131392811">
      <w:bodyDiv w:val="1"/>
      <w:marLeft w:val="0"/>
      <w:marRight w:val="0"/>
      <w:marTop w:val="0"/>
      <w:marBottom w:val="0"/>
      <w:divBdr>
        <w:top w:val="none" w:sz="0" w:space="0" w:color="auto"/>
        <w:left w:val="none" w:sz="0" w:space="0" w:color="auto"/>
        <w:bottom w:val="none" w:sz="0" w:space="0" w:color="auto"/>
        <w:right w:val="none" w:sz="0" w:space="0" w:color="auto"/>
      </w:divBdr>
    </w:div>
    <w:div w:id="214198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4123</Words>
  <Characters>27283</Characters>
  <Application>Microsoft Office Word</Application>
  <DocSecurity>0</DocSecurity>
  <Lines>227</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2023072591_x000d_
SPC pkt. 4.2, 4.4, 4.6, 4.8, 5.2, 6.3, 6.6, 9</dc:description>
  <cp:lastModifiedBy>Iman El Kadiri</cp:lastModifiedBy>
  <cp:revision>5</cp:revision>
  <cp:lastPrinted>2012-08-22T08:53:00Z</cp:lastPrinted>
  <dcterms:created xsi:type="dcterms:W3CDTF">2024-02-07T12:39:00Z</dcterms:created>
  <dcterms:modified xsi:type="dcterms:W3CDTF">2024-02-13T19:09:00Z</dcterms:modified>
</cp:coreProperties>
</file>