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0ED3" w:rsidRDefault="001E0ED3" w:rsidP="001E0ED3">
      <w:pPr>
        <w:rPr>
          <w:sz w:val="24"/>
          <w:szCs w:val="24"/>
        </w:rPr>
      </w:pPr>
      <w:bookmarkStart w:id="0" w:name="_GoBack"/>
      <w:bookmarkEnd w:id="0"/>
      <w:r>
        <w:rPr>
          <w:b/>
          <w:noProof/>
          <w:lang w:eastAsia="da-DK"/>
        </w:rPr>
        <w:drawing>
          <wp:inline distT="0" distB="0" distL="0" distR="0" wp14:anchorId="0D4A22A1" wp14:editId="701F45A4">
            <wp:extent cx="2466975" cy="685800"/>
            <wp:effectExtent l="0" t="0" r="9525" b="0"/>
            <wp:docPr id="2" name="Billede 2" descr="C:\Users\AMMO\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MMO\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7B2405" w:rsidRPr="00C84483" w:rsidRDefault="007B2405" w:rsidP="001E0ED3">
      <w:pPr>
        <w:rPr>
          <w:sz w:val="24"/>
          <w:szCs w:val="24"/>
        </w:rPr>
      </w:pPr>
    </w:p>
    <w:p w:rsidR="001E0ED3" w:rsidRPr="00C84483" w:rsidRDefault="001E0ED3" w:rsidP="001E0ED3">
      <w:pPr>
        <w:pStyle w:val="Titel"/>
        <w:tabs>
          <w:tab w:val="right" w:pos="9356"/>
        </w:tabs>
        <w:jc w:val="left"/>
        <w:rPr>
          <w:b w:val="0"/>
          <w:szCs w:val="24"/>
          <w:lang w:eastAsia="en-US"/>
        </w:rPr>
      </w:pPr>
      <w:r w:rsidRPr="00C84483">
        <w:rPr>
          <w:b w:val="0"/>
          <w:szCs w:val="24"/>
          <w:lang w:eastAsia="en-US"/>
        </w:rPr>
        <w:tab/>
      </w:r>
      <w:r w:rsidR="00595D7E">
        <w:rPr>
          <w:szCs w:val="24"/>
        </w:rPr>
        <w:t>5</w:t>
      </w:r>
      <w:r w:rsidR="00DA26E3">
        <w:rPr>
          <w:szCs w:val="24"/>
        </w:rPr>
        <w:t xml:space="preserve">. </w:t>
      </w:r>
      <w:r w:rsidR="00595D7E">
        <w:rPr>
          <w:szCs w:val="24"/>
        </w:rPr>
        <w:t>august</w:t>
      </w:r>
      <w:r w:rsidR="00DA26E3">
        <w:rPr>
          <w:szCs w:val="24"/>
        </w:rPr>
        <w:t xml:space="preserve"> 202</w:t>
      </w:r>
      <w:r w:rsidR="007B2405">
        <w:rPr>
          <w:szCs w:val="24"/>
        </w:rPr>
        <w:t>4</w:t>
      </w:r>
    </w:p>
    <w:p w:rsidR="001E0ED3" w:rsidRPr="00C84483" w:rsidRDefault="001E0ED3" w:rsidP="001E0ED3">
      <w:pPr>
        <w:pStyle w:val="Titel"/>
        <w:jc w:val="left"/>
        <w:rPr>
          <w:b w:val="0"/>
          <w:szCs w:val="24"/>
        </w:rPr>
      </w:pPr>
    </w:p>
    <w:p w:rsidR="001E0ED3" w:rsidRPr="00C84483" w:rsidRDefault="001E0ED3" w:rsidP="001E0ED3">
      <w:pPr>
        <w:pStyle w:val="Titel"/>
        <w:jc w:val="left"/>
        <w:rPr>
          <w:b w:val="0"/>
          <w:szCs w:val="24"/>
        </w:rPr>
      </w:pPr>
    </w:p>
    <w:p w:rsidR="001E0ED3" w:rsidRPr="00C84483" w:rsidRDefault="001E0ED3" w:rsidP="001E0ED3">
      <w:pPr>
        <w:jc w:val="center"/>
        <w:rPr>
          <w:b/>
          <w:sz w:val="24"/>
          <w:szCs w:val="24"/>
        </w:rPr>
      </w:pPr>
      <w:r w:rsidRPr="00C84483">
        <w:rPr>
          <w:b/>
          <w:sz w:val="24"/>
          <w:szCs w:val="24"/>
        </w:rPr>
        <w:t>PRODUKTRESUMÉ</w:t>
      </w:r>
    </w:p>
    <w:p w:rsidR="001E0ED3" w:rsidRDefault="001E0ED3" w:rsidP="001E0ED3">
      <w:pPr>
        <w:jc w:val="center"/>
        <w:rPr>
          <w:b/>
          <w:sz w:val="24"/>
          <w:szCs w:val="24"/>
        </w:rPr>
      </w:pPr>
    </w:p>
    <w:p w:rsidR="001E0ED3" w:rsidRPr="00C84483" w:rsidRDefault="001E0ED3" w:rsidP="001E0ED3">
      <w:pPr>
        <w:tabs>
          <w:tab w:val="center" w:pos="4819"/>
        </w:tabs>
        <w:rPr>
          <w:b/>
          <w:sz w:val="24"/>
          <w:szCs w:val="24"/>
        </w:rPr>
      </w:pPr>
      <w:r>
        <w:rPr>
          <w:b/>
          <w:sz w:val="24"/>
          <w:szCs w:val="24"/>
        </w:rPr>
        <w:tab/>
      </w:r>
      <w:r w:rsidRPr="00C84483">
        <w:rPr>
          <w:b/>
          <w:sz w:val="24"/>
          <w:szCs w:val="24"/>
        </w:rPr>
        <w:t>for</w:t>
      </w:r>
    </w:p>
    <w:p w:rsidR="001E0ED3" w:rsidRPr="00C84483" w:rsidRDefault="001E0ED3" w:rsidP="001E0ED3">
      <w:pPr>
        <w:jc w:val="center"/>
        <w:rPr>
          <w:b/>
          <w:sz w:val="24"/>
          <w:szCs w:val="24"/>
        </w:rPr>
      </w:pPr>
    </w:p>
    <w:p w:rsidR="001E0ED3" w:rsidRPr="00C84483" w:rsidRDefault="001E0ED3" w:rsidP="001E0ED3">
      <w:pPr>
        <w:jc w:val="center"/>
        <w:rPr>
          <w:b/>
          <w:sz w:val="24"/>
          <w:szCs w:val="24"/>
        </w:rPr>
      </w:pPr>
      <w:r>
        <w:rPr>
          <w:b/>
          <w:sz w:val="24"/>
          <w:szCs w:val="24"/>
        </w:rPr>
        <w:t>Clarithromycin ”Alternova”, pulver til infusionsvæske, opløsning</w:t>
      </w:r>
    </w:p>
    <w:p w:rsidR="001E0ED3" w:rsidRPr="00C84483" w:rsidRDefault="001E0ED3" w:rsidP="001E0ED3">
      <w:pPr>
        <w:jc w:val="both"/>
        <w:rPr>
          <w:sz w:val="24"/>
          <w:szCs w:val="24"/>
        </w:rPr>
      </w:pPr>
    </w:p>
    <w:p w:rsidR="001E0ED3" w:rsidRPr="00A6772A" w:rsidRDefault="001E0ED3" w:rsidP="001E0ED3">
      <w:pPr>
        <w:ind w:left="851" w:hanging="851"/>
        <w:jc w:val="both"/>
        <w:rPr>
          <w:sz w:val="24"/>
          <w:szCs w:val="24"/>
        </w:rPr>
      </w:pPr>
    </w:p>
    <w:p w:rsidR="001E0ED3" w:rsidRPr="00A6772A" w:rsidRDefault="001E0ED3" w:rsidP="001E0ED3">
      <w:pPr>
        <w:tabs>
          <w:tab w:val="left" w:pos="1304"/>
          <w:tab w:val="left" w:pos="3780"/>
        </w:tabs>
        <w:ind w:left="851" w:hanging="851"/>
        <w:rPr>
          <w:b/>
          <w:sz w:val="24"/>
          <w:szCs w:val="24"/>
        </w:rPr>
      </w:pPr>
      <w:r w:rsidRPr="00A6772A">
        <w:rPr>
          <w:b/>
          <w:sz w:val="24"/>
          <w:szCs w:val="24"/>
        </w:rPr>
        <w:t>0.</w:t>
      </w:r>
      <w:r w:rsidRPr="00A6772A">
        <w:rPr>
          <w:b/>
          <w:sz w:val="24"/>
          <w:szCs w:val="24"/>
        </w:rPr>
        <w:tab/>
        <w:t>D.SP.NR.</w:t>
      </w:r>
      <w:r>
        <w:rPr>
          <w:b/>
          <w:sz w:val="24"/>
          <w:szCs w:val="24"/>
        </w:rPr>
        <w:tab/>
      </w:r>
    </w:p>
    <w:p w:rsidR="001E0ED3" w:rsidRPr="00A6772A" w:rsidRDefault="001E0ED3" w:rsidP="001E0ED3">
      <w:pPr>
        <w:ind w:left="851" w:hanging="851"/>
        <w:rPr>
          <w:sz w:val="24"/>
          <w:szCs w:val="24"/>
        </w:rPr>
      </w:pPr>
      <w:r w:rsidRPr="00A6772A">
        <w:rPr>
          <w:sz w:val="24"/>
          <w:szCs w:val="24"/>
        </w:rPr>
        <w:tab/>
        <w:t>29040</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1.</w:t>
      </w:r>
      <w:r w:rsidRPr="00A6772A">
        <w:rPr>
          <w:b/>
          <w:sz w:val="24"/>
          <w:szCs w:val="24"/>
        </w:rPr>
        <w:tab/>
        <w:t>LÆGEMIDLETS NAVN</w:t>
      </w:r>
    </w:p>
    <w:p w:rsidR="001E0ED3" w:rsidRPr="00A6772A" w:rsidRDefault="001E0ED3" w:rsidP="001E0ED3">
      <w:pPr>
        <w:ind w:left="851" w:hanging="851"/>
        <w:rPr>
          <w:sz w:val="24"/>
          <w:szCs w:val="24"/>
        </w:rPr>
      </w:pPr>
      <w:r w:rsidRPr="00A6772A">
        <w:rPr>
          <w:sz w:val="24"/>
          <w:szCs w:val="24"/>
        </w:rPr>
        <w:tab/>
        <w:t>Clarithromycin ”Alternova”</w:t>
      </w:r>
    </w:p>
    <w:p w:rsidR="001E0ED3" w:rsidRPr="00A6772A" w:rsidRDefault="001E0ED3" w:rsidP="001E0ED3">
      <w:pPr>
        <w:ind w:left="851" w:hanging="851"/>
        <w:rPr>
          <w:sz w:val="24"/>
          <w:szCs w:val="24"/>
        </w:rPr>
      </w:pPr>
      <w:r w:rsidRPr="00A6772A">
        <w:rPr>
          <w:sz w:val="24"/>
          <w:szCs w:val="24"/>
        </w:rPr>
        <w:tab/>
      </w:r>
    </w:p>
    <w:p w:rsidR="001E0ED3" w:rsidRPr="00A6772A" w:rsidRDefault="001E0ED3" w:rsidP="001E0ED3">
      <w:pPr>
        <w:ind w:left="851" w:hanging="851"/>
        <w:rPr>
          <w:b/>
          <w:sz w:val="24"/>
          <w:szCs w:val="24"/>
        </w:rPr>
      </w:pPr>
      <w:r w:rsidRPr="00A6772A">
        <w:rPr>
          <w:b/>
          <w:sz w:val="24"/>
          <w:szCs w:val="24"/>
        </w:rPr>
        <w:t>2.</w:t>
      </w:r>
      <w:r w:rsidRPr="00A6772A">
        <w:rPr>
          <w:b/>
          <w:sz w:val="24"/>
          <w:szCs w:val="24"/>
        </w:rPr>
        <w:tab/>
        <w:t>KVALITATIV OG KVANTITATIV SAMMENSÆTNING</w:t>
      </w:r>
    </w:p>
    <w:p w:rsidR="001E0ED3" w:rsidRPr="00A6772A" w:rsidRDefault="001E0ED3" w:rsidP="001E0ED3">
      <w:pPr>
        <w:ind w:left="851" w:hanging="851"/>
        <w:rPr>
          <w:sz w:val="24"/>
          <w:szCs w:val="24"/>
          <w:lang w:eastAsia="da-DK"/>
        </w:rPr>
      </w:pPr>
      <w:r w:rsidRPr="00A6772A">
        <w:rPr>
          <w:sz w:val="24"/>
          <w:szCs w:val="24"/>
        </w:rPr>
        <w:tab/>
        <w:t>Clarithromycin 500 mg.</w:t>
      </w:r>
    </w:p>
    <w:p w:rsidR="001E0ED3" w:rsidRPr="00A6772A" w:rsidRDefault="001E0ED3" w:rsidP="001E0ED3">
      <w:pPr>
        <w:ind w:left="851" w:hanging="851"/>
        <w:rPr>
          <w:sz w:val="24"/>
          <w:szCs w:val="24"/>
        </w:rPr>
      </w:pPr>
    </w:p>
    <w:p w:rsidR="001E0ED3" w:rsidRPr="00A6772A" w:rsidRDefault="001E0ED3" w:rsidP="001E0ED3">
      <w:pPr>
        <w:ind w:left="851" w:hanging="851"/>
        <w:rPr>
          <w:sz w:val="24"/>
          <w:szCs w:val="24"/>
        </w:rPr>
      </w:pPr>
      <w:r w:rsidRPr="00A6772A">
        <w:rPr>
          <w:sz w:val="24"/>
          <w:szCs w:val="24"/>
        </w:rPr>
        <w:tab/>
        <w:t>Alle hjælpestoffer er anført under pkt. 6.1.</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3.</w:t>
      </w:r>
      <w:r w:rsidRPr="00A6772A">
        <w:rPr>
          <w:b/>
          <w:sz w:val="24"/>
          <w:szCs w:val="24"/>
        </w:rPr>
        <w:tab/>
        <w:t>LÆGEMIDDELFORM</w:t>
      </w:r>
    </w:p>
    <w:p w:rsidR="001E0ED3" w:rsidRPr="00A6772A" w:rsidRDefault="001E0ED3" w:rsidP="001E0ED3">
      <w:pPr>
        <w:ind w:left="851" w:hanging="851"/>
        <w:rPr>
          <w:sz w:val="24"/>
          <w:szCs w:val="24"/>
          <w:lang w:eastAsia="da-DK"/>
        </w:rPr>
      </w:pPr>
      <w:r w:rsidRPr="00A6772A">
        <w:rPr>
          <w:sz w:val="24"/>
          <w:szCs w:val="24"/>
        </w:rPr>
        <w:tab/>
        <w:t>Pulver til infusionsvæske, opløsning.</w:t>
      </w:r>
    </w:p>
    <w:p w:rsidR="001E0ED3" w:rsidRPr="00A6772A" w:rsidRDefault="001E0ED3" w:rsidP="001E0ED3">
      <w:pPr>
        <w:ind w:left="851" w:hanging="851"/>
        <w:rPr>
          <w:sz w:val="24"/>
          <w:szCs w:val="24"/>
        </w:rPr>
      </w:pPr>
    </w:p>
    <w:p w:rsidR="001E0ED3" w:rsidRPr="00A6772A" w:rsidRDefault="001E0ED3" w:rsidP="001E0ED3">
      <w:pPr>
        <w:ind w:left="851"/>
        <w:rPr>
          <w:sz w:val="24"/>
          <w:szCs w:val="24"/>
        </w:rPr>
      </w:pPr>
      <w:r w:rsidRPr="00A6772A">
        <w:rPr>
          <w:sz w:val="24"/>
          <w:szCs w:val="24"/>
        </w:rPr>
        <w:t>Hvidt krystallisk pulver.</w:t>
      </w:r>
    </w:p>
    <w:p w:rsidR="001E0ED3" w:rsidRPr="00A6772A" w:rsidRDefault="001E0ED3" w:rsidP="001E0ED3">
      <w:pPr>
        <w:ind w:left="851" w:hanging="851"/>
        <w:rPr>
          <w:sz w:val="24"/>
          <w:szCs w:val="24"/>
        </w:rPr>
      </w:pP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w:t>
      </w:r>
      <w:r w:rsidRPr="00A6772A">
        <w:rPr>
          <w:b/>
          <w:sz w:val="24"/>
          <w:szCs w:val="24"/>
        </w:rPr>
        <w:tab/>
        <w:t>KLINISKE OPLYSNINGER</w:t>
      </w:r>
    </w:p>
    <w:p w:rsidR="001E0ED3" w:rsidRPr="00A6772A" w:rsidRDefault="001E0ED3" w:rsidP="001E0ED3">
      <w:pPr>
        <w:ind w:left="851" w:hanging="851"/>
        <w:rPr>
          <w:b/>
          <w:sz w:val="24"/>
          <w:szCs w:val="24"/>
        </w:rPr>
      </w:pPr>
    </w:p>
    <w:p w:rsidR="001E0ED3" w:rsidRPr="00A6772A" w:rsidRDefault="001E0ED3" w:rsidP="001E0ED3">
      <w:pPr>
        <w:ind w:left="851" w:hanging="851"/>
        <w:rPr>
          <w:b/>
          <w:sz w:val="24"/>
          <w:szCs w:val="24"/>
          <w:u w:val="single"/>
        </w:rPr>
      </w:pPr>
      <w:r w:rsidRPr="00A6772A">
        <w:rPr>
          <w:b/>
          <w:sz w:val="24"/>
          <w:szCs w:val="24"/>
        </w:rPr>
        <w:t>4.1</w:t>
      </w:r>
      <w:r w:rsidRPr="00A6772A">
        <w:rPr>
          <w:b/>
          <w:sz w:val="24"/>
          <w:szCs w:val="24"/>
        </w:rPr>
        <w:tab/>
        <w:t>Terapeutiske indikationer</w:t>
      </w:r>
    </w:p>
    <w:p w:rsidR="00DA26E3" w:rsidRDefault="001E0ED3" w:rsidP="00DA26E3">
      <w:pPr>
        <w:tabs>
          <w:tab w:val="left" w:pos="851"/>
        </w:tabs>
        <w:ind w:left="851" w:hanging="851"/>
        <w:rPr>
          <w:sz w:val="24"/>
          <w:szCs w:val="24"/>
        </w:rPr>
      </w:pPr>
      <w:r w:rsidRPr="00A6772A">
        <w:rPr>
          <w:sz w:val="24"/>
          <w:szCs w:val="24"/>
        </w:rPr>
        <w:tab/>
      </w:r>
      <w:r>
        <w:rPr>
          <w:sz w:val="24"/>
          <w:szCs w:val="24"/>
        </w:rPr>
        <w:t>Clarithromycin intravenøst er indiceret ved behandling af alvorlige ikke-hospitalserhvervede pneumonier forårsaget af clarithromycinfølsomme bakterier</w:t>
      </w:r>
      <w:r w:rsidR="00DA26E3">
        <w:rPr>
          <w:sz w:val="24"/>
          <w:szCs w:val="24"/>
        </w:rPr>
        <w:t xml:space="preserve"> hos voksne og børn fra 12 år (se pkt. 5.1).</w:t>
      </w:r>
    </w:p>
    <w:p w:rsidR="00DA26E3" w:rsidRDefault="00DA26E3" w:rsidP="00DA26E3">
      <w:pPr>
        <w:tabs>
          <w:tab w:val="left" w:pos="851"/>
        </w:tabs>
        <w:ind w:left="851" w:hanging="851"/>
        <w:rPr>
          <w:sz w:val="24"/>
          <w:szCs w:val="24"/>
        </w:rPr>
      </w:pPr>
    </w:p>
    <w:p w:rsidR="00DA26E3" w:rsidRDefault="00DA26E3" w:rsidP="00DA26E3">
      <w:pPr>
        <w:tabs>
          <w:tab w:val="left" w:pos="851"/>
        </w:tabs>
        <w:ind w:left="851"/>
        <w:rPr>
          <w:sz w:val="24"/>
          <w:szCs w:val="24"/>
          <w:lang w:eastAsia="da-DK"/>
        </w:rPr>
      </w:pPr>
      <w:r>
        <w:rPr>
          <w:sz w:val="24"/>
          <w:szCs w:val="24"/>
          <w:lang w:eastAsia="da-DK"/>
        </w:rPr>
        <w:t>Der skal tages hensyn til officielle retningslinjer for korrekt brug af antibakterielle midler.</w:t>
      </w:r>
    </w:p>
    <w:p w:rsidR="001E0ED3" w:rsidRPr="00A6772A" w:rsidRDefault="001E0ED3" w:rsidP="001E0ED3">
      <w:pPr>
        <w:tabs>
          <w:tab w:val="left" w:pos="851"/>
        </w:tabs>
        <w:ind w:left="851" w:hanging="851"/>
        <w:rPr>
          <w:sz w:val="24"/>
          <w:szCs w:val="24"/>
        </w:rPr>
      </w:pPr>
    </w:p>
    <w:p w:rsidR="001E0ED3" w:rsidRPr="00A6772A" w:rsidRDefault="001E0ED3" w:rsidP="001E0ED3">
      <w:pPr>
        <w:ind w:left="851" w:hanging="851"/>
        <w:rPr>
          <w:b/>
          <w:sz w:val="24"/>
          <w:szCs w:val="24"/>
        </w:rPr>
      </w:pPr>
      <w:r w:rsidRPr="00A6772A">
        <w:rPr>
          <w:b/>
          <w:sz w:val="24"/>
          <w:szCs w:val="24"/>
        </w:rPr>
        <w:t>4.2</w:t>
      </w:r>
      <w:r w:rsidRPr="00A6772A">
        <w:rPr>
          <w:b/>
          <w:sz w:val="24"/>
          <w:szCs w:val="24"/>
        </w:rPr>
        <w:tab/>
        <w:t xml:space="preserve">Dosering og </w:t>
      </w:r>
      <w:r w:rsidR="00DA26E3">
        <w:rPr>
          <w:b/>
          <w:sz w:val="24"/>
          <w:szCs w:val="24"/>
        </w:rPr>
        <w:t>administration</w:t>
      </w:r>
    </w:p>
    <w:p w:rsidR="001E0ED3" w:rsidRPr="004A12A9" w:rsidRDefault="001E0ED3" w:rsidP="001E0ED3">
      <w:pPr>
        <w:tabs>
          <w:tab w:val="left" w:pos="851"/>
        </w:tabs>
        <w:ind w:left="284"/>
        <w:rPr>
          <w:noProof/>
          <w:sz w:val="24"/>
          <w:szCs w:val="24"/>
          <w:u w:val="single"/>
        </w:rPr>
      </w:pPr>
      <w:r w:rsidRPr="00A6772A">
        <w:rPr>
          <w:sz w:val="24"/>
          <w:szCs w:val="24"/>
        </w:rPr>
        <w:tab/>
      </w:r>
      <w:r w:rsidRPr="004A12A9">
        <w:rPr>
          <w:noProof/>
          <w:sz w:val="24"/>
          <w:szCs w:val="24"/>
          <w:u w:val="single"/>
        </w:rPr>
        <w:t>Dosering</w:t>
      </w:r>
    </w:p>
    <w:p w:rsidR="001E0ED3" w:rsidRDefault="001E0ED3" w:rsidP="001E0ED3">
      <w:pPr>
        <w:ind w:left="851" w:hanging="851"/>
        <w:rPr>
          <w:sz w:val="24"/>
          <w:szCs w:val="24"/>
        </w:rPr>
      </w:pPr>
    </w:p>
    <w:p w:rsidR="001E0ED3" w:rsidRDefault="001E0ED3" w:rsidP="001E0ED3">
      <w:pPr>
        <w:ind w:left="851"/>
        <w:rPr>
          <w:i/>
          <w:sz w:val="24"/>
          <w:szCs w:val="24"/>
          <w:lang w:eastAsia="da-DK"/>
        </w:rPr>
      </w:pPr>
      <w:r>
        <w:rPr>
          <w:i/>
          <w:sz w:val="24"/>
          <w:szCs w:val="24"/>
        </w:rPr>
        <w:t>Voksne:</w:t>
      </w:r>
    </w:p>
    <w:p w:rsidR="001E0ED3" w:rsidRDefault="001E0ED3" w:rsidP="001E0ED3">
      <w:pPr>
        <w:ind w:left="851"/>
        <w:rPr>
          <w:strike/>
          <w:sz w:val="24"/>
          <w:szCs w:val="24"/>
        </w:rPr>
      </w:pPr>
      <w:r>
        <w:rPr>
          <w:sz w:val="24"/>
          <w:szCs w:val="24"/>
        </w:rPr>
        <w:t>Den anbefalede dosis er 500 mg 2 gange dagligt. Den intravenøse behandling må højst pågå i 5 døgn, hvorefter man eventuelt kan overgå til peroral behandling. Den samlede behandlingstid bør ikke udstrækkes til mere end 14 dage (se pkt. 4.4).</w:t>
      </w:r>
    </w:p>
    <w:p w:rsidR="001E0ED3" w:rsidRDefault="001E0ED3" w:rsidP="001E0ED3">
      <w:pPr>
        <w:tabs>
          <w:tab w:val="left" w:pos="0"/>
          <w:tab w:val="left" w:pos="851"/>
        </w:tabs>
        <w:rPr>
          <w:spacing w:val="-3"/>
          <w:sz w:val="24"/>
          <w:szCs w:val="24"/>
          <w:u w:val="single"/>
        </w:rPr>
      </w:pPr>
    </w:p>
    <w:p w:rsidR="001E0ED3" w:rsidRDefault="001E0ED3" w:rsidP="00DA26E3">
      <w:pPr>
        <w:keepNext/>
        <w:ind w:left="851"/>
        <w:rPr>
          <w:i/>
          <w:sz w:val="24"/>
          <w:szCs w:val="24"/>
        </w:rPr>
      </w:pPr>
      <w:r>
        <w:rPr>
          <w:i/>
          <w:sz w:val="24"/>
          <w:szCs w:val="24"/>
        </w:rPr>
        <w:lastRenderedPageBreak/>
        <w:t xml:space="preserve">Pædiatrisk population: </w:t>
      </w:r>
    </w:p>
    <w:p w:rsidR="001E0ED3" w:rsidRPr="009376AB" w:rsidRDefault="001E0ED3" w:rsidP="001E0ED3">
      <w:pPr>
        <w:ind w:left="851"/>
        <w:rPr>
          <w:noProof/>
          <w:sz w:val="24"/>
          <w:szCs w:val="24"/>
        </w:rPr>
      </w:pPr>
      <w:r w:rsidRPr="004A12A9">
        <w:rPr>
          <w:noProof/>
          <w:sz w:val="24"/>
          <w:szCs w:val="24"/>
        </w:rPr>
        <w:t>Til børn under 12 år kan brug af voksenformulering (tabletter og intravenøs administration) ikke anbefales.</w:t>
      </w:r>
      <w:r w:rsidRPr="009376AB">
        <w:rPr>
          <w:noProof/>
          <w:sz w:val="24"/>
          <w:szCs w:val="24"/>
        </w:rPr>
        <w:t xml:space="preserve"> </w:t>
      </w:r>
      <w:r w:rsidRPr="004A12A9">
        <w:rPr>
          <w:noProof/>
          <w:sz w:val="24"/>
          <w:szCs w:val="24"/>
        </w:rPr>
        <w:t>Til brug hos børn under 12 år anbefales clarithromycin, granulat til oral suspension.</w:t>
      </w:r>
    </w:p>
    <w:p w:rsidR="001E0ED3" w:rsidRDefault="001E0ED3" w:rsidP="001E0ED3">
      <w:pPr>
        <w:ind w:left="851"/>
        <w:rPr>
          <w:noProof/>
          <w:sz w:val="24"/>
          <w:szCs w:val="24"/>
        </w:rPr>
      </w:pPr>
      <w:r w:rsidRPr="004A12A9">
        <w:rPr>
          <w:noProof/>
          <w:sz w:val="24"/>
          <w:szCs w:val="24"/>
        </w:rPr>
        <w:t>Til unge (12-18 år) er doseringen den samme som for voksne.</w:t>
      </w:r>
    </w:p>
    <w:p w:rsidR="00DA26E3" w:rsidRPr="004A12A9" w:rsidRDefault="00DA26E3" w:rsidP="001E0ED3">
      <w:pPr>
        <w:ind w:left="851"/>
        <w:rPr>
          <w:noProof/>
          <w:sz w:val="24"/>
          <w:szCs w:val="24"/>
        </w:rPr>
      </w:pPr>
    </w:p>
    <w:p w:rsidR="001E0ED3" w:rsidRDefault="001E0ED3" w:rsidP="001E0ED3">
      <w:pPr>
        <w:ind w:left="851"/>
        <w:rPr>
          <w:i/>
          <w:sz w:val="24"/>
          <w:szCs w:val="24"/>
        </w:rPr>
      </w:pPr>
      <w:r>
        <w:rPr>
          <w:i/>
          <w:sz w:val="24"/>
          <w:szCs w:val="24"/>
        </w:rPr>
        <w:t>Nedsat nyrefunktion:</w:t>
      </w:r>
    </w:p>
    <w:p w:rsidR="001E0ED3" w:rsidRDefault="001E0ED3" w:rsidP="001E0ED3">
      <w:pPr>
        <w:ind w:left="851"/>
        <w:rPr>
          <w:spacing w:val="-3"/>
          <w:sz w:val="24"/>
          <w:szCs w:val="24"/>
        </w:rPr>
      </w:pPr>
      <w:r>
        <w:rPr>
          <w:sz w:val="24"/>
          <w:szCs w:val="24"/>
        </w:rPr>
        <w:t xml:space="preserve">Hos patienter med nyreinsufficiens med kreatininclearence mindre end 30 ml/min, bør clarithromycin dosis reduceres til det halve, </w:t>
      </w:r>
      <w:r>
        <w:rPr>
          <w:i/>
          <w:sz w:val="24"/>
          <w:szCs w:val="24"/>
        </w:rPr>
        <w:t>f.eks.</w:t>
      </w:r>
      <w:r>
        <w:rPr>
          <w:sz w:val="24"/>
          <w:szCs w:val="24"/>
        </w:rPr>
        <w:t xml:space="preserve"> 250 mg én gang daglig, eller 250 mg to gange daglig ved mere alvorlige infektioner. </w:t>
      </w:r>
    </w:p>
    <w:p w:rsidR="001E0ED3" w:rsidRDefault="001E0ED3" w:rsidP="001E0ED3">
      <w:pPr>
        <w:ind w:left="851"/>
        <w:rPr>
          <w:i/>
          <w:sz w:val="24"/>
          <w:szCs w:val="24"/>
        </w:rPr>
      </w:pPr>
    </w:p>
    <w:p w:rsidR="001E0ED3" w:rsidRDefault="001E0ED3" w:rsidP="001E0ED3">
      <w:pPr>
        <w:ind w:left="851"/>
        <w:rPr>
          <w:i/>
          <w:sz w:val="24"/>
          <w:szCs w:val="24"/>
        </w:rPr>
      </w:pPr>
      <w:r>
        <w:rPr>
          <w:i/>
          <w:sz w:val="24"/>
          <w:szCs w:val="24"/>
        </w:rPr>
        <w:t xml:space="preserve">Nedsat leverfunktion: </w:t>
      </w:r>
    </w:p>
    <w:p w:rsidR="001E0ED3" w:rsidRDefault="001E0ED3" w:rsidP="001E0ED3">
      <w:pPr>
        <w:ind w:left="851"/>
        <w:rPr>
          <w:sz w:val="24"/>
          <w:szCs w:val="24"/>
        </w:rPr>
      </w:pPr>
      <w:r>
        <w:rPr>
          <w:sz w:val="24"/>
          <w:szCs w:val="24"/>
        </w:rPr>
        <w:t>Dosisjustering er ikke nødvendig ved nedsat leverfunktion, hvis nyrefunktionen er normal (se pkt. 4.4).</w:t>
      </w:r>
    </w:p>
    <w:p w:rsidR="001E0ED3" w:rsidRDefault="001E0ED3" w:rsidP="001E0ED3">
      <w:pPr>
        <w:ind w:left="851"/>
        <w:rPr>
          <w:sz w:val="24"/>
          <w:szCs w:val="24"/>
        </w:rPr>
      </w:pPr>
    </w:p>
    <w:p w:rsidR="001E0ED3" w:rsidRPr="004A12A9" w:rsidRDefault="001E0ED3" w:rsidP="001E0ED3">
      <w:pPr>
        <w:ind w:left="851"/>
        <w:rPr>
          <w:sz w:val="24"/>
          <w:szCs w:val="24"/>
          <w:u w:val="single"/>
        </w:rPr>
      </w:pPr>
      <w:r w:rsidRPr="004A12A9">
        <w:rPr>
          <w:sz w:val="24"/>
          <w:szCs w:val="24"/>
          <w:u w:val="single"/>
        </w:rPr>
        <w:t>Administration</w:t>
      </w:r>
    </w:p>
    <w:p w:rsidR="001E0ED3" w:rsidRPr="004A12A9" w:rsidRDefault="001E0ED3" w:rsidP="001E0ED3">
      <w:pPr>
        <w:ind w:left="851"/>
        <w:rPr>
          <w:sz w:val="24"/>
          <w:szCs w:val="24"/>
        </w:rPr>
      </w:pPr>
      <w:r w:rsidRPr="004A12A9">
        <w:rPr>
          <w:spacing w:val="-3"/>
          <w:sz w:val="24"/>
          <w:szCs w:val="24"/>
        </w:rPr>
        <w:t>Fremstilling af brugsfærdigt præparat: se pkt. 6.6.</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4.3</w:t>
      </w:r>
      <w:r w:rsidRPr="00A6772A">
        <w:rPr>
          <w:b/>
          <w:sz w:val="24"/>
          <w:szCs w:val="24"/>
        </w:rPr>
        <w:tab/>
        <w:t>Kontraindikationer</w:t>
      </w:r>
    </w:p>
    <w:p w:rsidR="001E0ED3" w:rsidRPr="009376AB" w:rsidRDefault="001E0ED3" w:rsidP="001E0ED3">
      <w:pPr>
        <w:ind w:left="851"/>
        <w:rPr>
          <w:sz w:val="24"/>
          <w:szCs w:val="24"/>
          <w:lang w:eastAsia="da-DK"/>
        </w:rPr>
      </w:pPr>
      <w:r w:rsidRPr="009376AB">
        <w:rPr>
          <w:sz w:val="24"/>
          <w:szCs w:val="24"/>
        </w:rPr>
        <w:t>Overfølsomhe</w:t>
      </w:r>
      <w:r w:rsidRPr="009376AB">
        <w:rPr>
          <w:spacing w:val="-3"/>
          <w:sz w:val="24"/>
          <w:szCs w:val="24"/>
        </w:rPr>
        <w:t>d over for det aktive stof</w:t>
      </w:r>
      <w:r w:rsidR="00DA26E3">
        <w:rPr>
          <w:spacing w:val="-3"/>
          <w:sz w:val="24"/>
          <w:szCs w:val="24"/>
        </w:rPr>
        <w:t xml:space="preserve">, </w:t>
      </w:r>
      <w:r w:rsidRPr="009376AB">
        <w:rPr>
          <w:spacing w:val="-3"/>
          <w:sz w:val="24"/>
          <w:szCs w:val="24"/>
        </w:rPr>
        <w:t>andre makrolid antibiotika eller over for et eller flere af hjælpestofferne anført i pkt. 6.1.</w:t>
      </w:r>
    </w:p>
    <w:p w:rsidR="001E0ED3" w:rsidRPr="009376AB" w:rsidRDefault="001E0ED3" w:rsidP="001E0ED3">
      <w:pPr>
        <w:rPr>
          <w:sz w:val="24"/>
          <w:szCs w:val="24"/>
        </w:rPr>
      </w:pPr>
    </w:p>
    <w:p w:rsidR="001E0ED3" w:rsidRPr="009376AB" w:rsidRDefault="001E0ED3" w:rsidP="001E0ED3">
      <w:pPr>
        <w:ind w:left="851"/>
        <w:rPr>
          <w:sz w:val="24"/>
          <w:szCs w:val="24"/>
        </w:rPr>
      </w:pPr>
      <w:r w:rsidRPr="009376AB">
        <w:rPr>
          <w:sz w:val="24"/>
          <w:szCs w:val="24"/>
        </w:rPr>
        <w:t xml:space="preserve">Samtidig </w:t>
      </w:r>
      <w:r w:rsidRPr="009376AB">
        <w:rPr>
          <w:spacing w:val="-3"/>
          <w:sz w:val="24"/>
          <w:szCs w:val="24"/>
        </w:rPr>
        <w:t>administration</w:t>
      </w:r>
      <w:r w:rsidRPr="009376AB">
        <w:rPr>
          <w:sz w:val="24"/>
          <w:szCs w:val="24"/>
        </w:rPr>
        <w:t xml:space="preserve"> af clarithromycin og et af følgende lægemidler er kontraindiceret: astemizol, cisaprid, domperidon, pimozid, terfenadin, da det kan resultere i forlænget QT-interval og kardielle arytmier, inklusive ventrikulær takykardi, ventrikelflimmer og torsades de pointe</w:t>
      </w:r>
      <w:r w:rsidR="00131FCE">
        <w:rPr>
          <w:sz w:val="24"/>
          <w:szCs w:val="24"/>
        </w:rPr>
        <w:t>s</w:t>
      </w:r>
      <w:r w:rsidRPr="009376AB">
        <w:rPr>
          <w:sz w:val="24"/>
          <w:szCs w:val="24"/>
        </w:rPr>
        <w:t xml:space="preserve"> (se pkt. 4.4. og 4.5). </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 xml:space="preserve">Samtidig </w:t>
      </w:r>
      <w:r w:rsidRPr="009376AB">
        <w:rPr>
          <w:spacing w:val="-3"/>
          <w:sz w:val="24"/>
          <w:szCs w:val="24"/>
        </w:rPr>
        <w:t>administration</w:t>
      </w:r>
      <w:r w:rsidRPr="009376AB">
        <w:rPr>
          <w:sz w:val="24"/>
          <w:szCs w:val="24"/>
        </w:rPr>
        <w:t xml:space="preserve"> af clarithromycin og ergot-alkaloider (f.eks. ergotamin eller dihydroergotamin) er kontraindiceret, da det kan resultere i ergotamintoksicitet (se pkt. 4.5).</w:t>
      </w:r>
    </w:p>
    <w:p w:rsidR="001E0ED3" w:rsidRPr="009376AB" w:rsidRDefault="001E0ED3" w:rsidP="001E0ED3">
      <w:pPr>
        <w:ind w:left="851"/>
        <w:rPr>
          <w:sz w:val="24"/>
          <w:szCs w:val="24"/>
        </w:rPr>
      </w:pPr>
    </w:p>
    <w:p w:rsidR="007B2405" w:rsidRPr="004A12A9" w:rsidRDefault="007B2405" w:rsidP="007B2405">
      <w:pPr>
        <w:ind w:left="851"/>
        <w:rPr>
          <w:sz w:val="24"/>
          <w:szCs w:val="24"/>
        </w:rPr>
      </w:pPr>
      <w:r w:rsidRPr="004A12A9">
        <w:rPr>
          <w:sz w:val="24"/>
          <w:szCs w:val="24"/>
        </w:rPr>
        <w:t>Samtidig behandling med ticagrelor</w:t>
      </w:r>
      <w:r>
        <w:rPr>
          <w:sz w:val="24"/>
          <w:szCs w:val="24"/>
        </w:rPr>
        <w:t>,</w:t>
      </w:r>
      <w:r w:rsidRPr="00383BB9">
        <w:t xml:space="preserve"> </w:t>
      </w:r>
      <w:r w:rsidRPr="00383BB9">
        <w:rPr>
          <w:sz w:val="24"/>
          <w:szCs w:val="24"/>
        </w:rPr>
        <w:t>ivabradin</w:t>
      </w:r>
      <w:r w:rsidRPr="004A12A9">
        <w:rPr>
          <w:sz w:val="24"/>
          <w:szCs w:val="24"/>
        </w:rPr>
        <w:t xml:space="preserve"> eller ranolazin er kontraindiceret.</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Samtidig behandling med clarithromycin og oral midazolam er kontraindiceret. (Se pkt. 4.5).</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Clarithromycin må ikke anvendes til patienter med kendt QT-forlængelse (medfødt eller dokumenteret erhvervet QT-forlængelse) eller ventrikulær hjertearytmi, inklusive torsades de pointes (se pkt. 4.4 og 4.5).</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Clarithromycin må ikke anvendes samtidig med HMG-CoA reduktasehæmmere (statiner)</w:t>
      </w:r>
      <w:r w:rsidRPr="009376AB">
        <w:rPr>
          <w:spacing w:val="-3"/>
          <w:sz w:val="24"/>
          <w:szCs w:val="24"/>
        </w:rPr>
        <w:t>, s</w:t>
      </w:r>
      <w:r w:rsidRPr="009376AB">
        <w:rPr>
          <w:iCs/>
          <w:color w:val="000000"/>
          <w:sz w:val="24"/>
          <w:szCs w:val="24"/>
        </w:rPr>
        <w:t>om metaboliseres i udstrakt grad af CYP3A4</w:t>
      </w:r>
      <w:r w:rsidRPr="009376AB">
        <w:rPr>
          <w:sz w:val="24"/>
          <w:szCs w:val="24"/>
        </w:rPr>
        <w:t xml:space="preserve"> (f.eks. lovastatin eller simvastatin) på grund af øget risiko for </w:t>
      </w:r>
      <w:r w:rsidRPr="009376AB">
        <w:rPr>
          <w:spacing w:val="-3"/>
          <w:sz w:val="24"/>
          <w:szCs w:val="24"/>
        </w:rPr>
        <w:t>myopati inklusive</w:t>
      </w:r>
      <w:r w:rsidRPr="009376AB">
        <w:rPr>
          <w:sz w:val="24"/>
          <w:szCs w:val="24"/>
        </w:rPr>
        <w:t xml:space="preserve"> rhabdomyolyse (se pkt. 4.5). </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Clarithromycin (og andre stærke CYP3A4-hæmmere) bør ikke anvendes samtidig med colchicin (se punkt 4.4 og 4.5).</w:t>
      </w:r>
    </w:p>
    <w:p w:rsidR="001E0ED3" w:rsidRPr="009376AB" w:rsidRDefault="001E0ED3" w:rsidP="001E0ED3">
      <w:pPr>
        <w:ind w:left="851"/>
        <w:rPr>
          <w:sz w:val="24"/>
          <w:szCs w:val="24"/>
        </w:rPr>
      </w:pPr>
    </w:p>
    <w:p w:rsidR="004B58A7" w:rsidRDefault="004B58A7" w:rsidP="004B58A7">
      <w:pPr>
        <w:pStyle w:val="Default"/>
        <w:ind w:left="851"/>
        <w:rPr>
          <w:rFonts w:ascii="Times New Roman" w:hAnsi="Times New Roman" w:cs="Times New Roman"/>
          <w:iCs/>
          <w:lang w:val="da-DK" w:eastAsia="en-GB"/>
        </w:rPr>
      </w:pPr>
      <w:r>
        <w:rPr>
          <w:rFonts w:ascii="Times New Roman" w:hAnsi="Times New Roman" w:cs="Times New Roman"/>
          <w:iCs/>
          <w:lang w:val="da-DK" w:eastAsia="en-GB"/>
        </w:rPr>
        <w:t>Clarithromycin bør ikke anvendes til patienter med elektrolytforstyrrelser (hypokaliæmi eller hypomagnesiæmi på grund af risiko for forlængelse af QT-intervallet).</w:t>
      </w:r>
    </w:p>
    <w:p w:rsidR="004B58A7" w:rsidRDefault="004B58A7" w:rsidP="004B58A7">
      <w:pPr>
        <w:ind w:left="851"/>
        <w:rPr>
          <w:sz w:val="24"/>
          <w:szCs w:val="24"/>
          <w:lang w:eastAsia="en-GB"/>
        </w:rPr>
      </w:pPr>
    </w:p>
    <w:p w:rsidR="004B58A7" w:rsidRDefault="004B58A7" w:rsidP="004B58A7">
      <w:pPr>
        <w:ind w:left="851"/>
        <w:rPr>
          <w:sz w:val="24"/>
          <w:szCs w:val="24"/>
          <w:lang w:eastAsia="en-GB"/>
        </w:rPr>
      </w:pPr>
      <w:r>
        <w:rPr>
          <w:sz w:val="24"/>
          <w:szCs w:val="24"/>
          <w:lang w:eastAsia="en-GB"/>
        </w:rPr>
        <w:lastRenderedPageBreak/>
        <w:t xml:space="preserve">Clarithromycin må ikke anvendes til patienter, som lider af </w:t>
      </w:r>
      <w:proofErr w:type="gramStart"/>
      <w:r>
        <w:rPr>
          <w:sz w:val="24"/>
          <w:szCs w:val="24"/>
          <w:lang w:eastAsia="en-GB"/>
        </w:rPr>
        <w:t>alvorlig leversvigt</w:t>
      </w:r>
      <w:proofErr w:type="gramEnd"/>
      <w:r>
        <w:rPr>
          <w:sz w:val="24"/>
          <w:szCs w:val="24"/>
          <w:lang w:eastAsia="en-GB"/>
        </w:rPr>
        <w:t xml:space="preserve"> samtidig med nedsat nyrefunktion (se pkt. 4.4).</w:t>
      </w:r>
    </w:p>
    <w:p w:rsidR="004B58A7" w:rsidRDefault="004B58A7" w:rsidP="004B58A7">
      <w:pPr>
        <w:ind w:left="851"/>
        <w:rPr>
          <w:sz w:val="24"/>
          <w:szCs w:val="24"/>
          <w:lang w:eastAsia="en-GB"/>
        </w:rPr>
      </w:pPr>
    </w:p>
    <w:p w:rsidR="004B58A7" w:rsidRDefault="004B58A7" w:rsidP="004B58A7">
      <w:pPr>
        <w:ind w:left="851"/>
        <w:rPr>
          <w:sz w:val="24"/>
          <w:szCs w:val="24"/>
          <w:lang w:eastAsia="da-DK"/>
        </w:rPr>
      </w:pPr>
      <w:r>
        <w:rPr>
          <w:sz w:val="24"/>
          <w:szCs w:val="24"/>
          <w:lang w:eastAsia="da-DK"/>
        </w:rPr>
        <w:t>Samtidig administration af clarithromycin og lomitapid er kontraindiceret (se pkt. 4.5).</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4.4</w:t>
      </w:r>
      <w:r w:rsidRPr="00A6772A">
        <w:rPr>
          <w:b/>
          <w:sz w:val="24"/>
          <w:szCs w:val="24"/>
        </w:rPr>
        <w:tab/>
        <w:t>Særlige advarsler og forsigtighedsregler vedrørende brugen</w:t>
      </w:r>
    </w:p>
    <w:p w:rsidR="001E0ED3" w:rsidRDefault="001E0ED3" w:rsidP="001E0ED3">
      <w:pPr>
        <w:ind w:left="851"/>
        <w:rPr>
          <w:sz w:val="24"/>
          <w:szCs w:val="24"/>
          <w:lang w:eastAsia="da-DK"/>
        </w:rPr>
      </w:pPr>
      <w:r>
        <w:rPr>
          <w:sz w:val="24"/>
          <w:szCs w:val="24"/>
        </w:rPr>
        <w:t>Lokale retningslinjer vedrørende korrekt brug af antibiotika bør følges (se pkt. 5.1).</w:t>
      </w:r>
    </w:p>
    <w:p w:rsidR="001E0ED3" w:rsidRDefault="001E0ED3" w:rsidP="001E0ED3">
      <w:pPr>
        <w:ind w:left="851"/>
        <w:rPr>
          <w:sz w:val="24"/>
          <w:szCs w:val="24"/>
        </w:rPr>
      </w:pPr>
    </w:p>
    <w:p w:rsidR="001E0ED3" w:rsidRDefault="001E0ED3" w:rsidP="001E0ED3">
      <w:pPr>
        <w:pStyle w:val="DefaultText"/>
        <w:ind w:left="851"/>
        <w:rPr>
          <w:szCs w:val="24"/>
          <w:lang w:val="da-DK"/>
        </w:rPr>
      </w:pPr>
      <w:r>
        <w:rPr>
          <w:szCs w:val="24"/>
          <w:lang w:val="da-DK"/>
        </w:rPr>
        <w:t>Lægen bør ikke udskrive clarithromycin til gravide kvinder uden nøje afvejning af fordelene overfor risici, særligt i de første tre måneder af graviditeten (se pkt. 4.6).</w:t>
      </w:r>
    </w:p>
    <w:p w:rsidR="00DA26E3" w:rsidRDefault="00DA26E3" w:rsidP="00DA26E3">
      <w:pPr>
        <w:ind w:left="851"/>
        <w:rPr>
          <w:sz w:val="24"/>
          <w:szCs w:val="24"/>
        </w:rPr>
      </w:pPr>
    </w:p>
    <w:p w:rsidR="00DA26E3" w:rsidRDefault="00DA26E3" w:rsidP="00DA26E3">
      <w:pPr>
        <w:ind w:left="851"/>
        <w:rPr>
          <w:sz w:val="24"/>
          <w:szCs w:val="24"/>
        </w:rPr>
      </w:pPr>
      <w:r>
        <w:rPr>
          <w:sz w:val="24"/>
          <w:szCs w:val="24"/>
        </w:rPr>
        <w:t xml:space="preserve">Clarithromycin udskilles hovedsageligt gennem leveren. Derfor bør der udvises forsigtighed ved anvendelse af dette antibiotikum til patienter med nedsat leverfunktion. Der bør også udvises forsigtighed, når clarithromycin bruges til patienter med moderat til svært nedsat nyrefunktion (se pkt. 4.2). Kliniske forsøg med patienter med nedsat leverfunktion har vist, at der ved patienter med moderat til svært nedsat leverfunktion og normal nyrefunktion ikke er brug for justering af dosis. </w:t>
      </w:r>
    </w:p>
    <w:p w:rsidR="00DA26E3" w:rsidRDefault="00DA26E3" w:rsidP="00DA26E3">
      <w:pPr>
        <w:ind w:left="851"/>
        <w:rPr>
          <w:sz w:val="24"/>
          <w:szCs w:val="24"/>
        </w:rPr>
      </w:pPr>
    </w:p>
    <w:p w:rsidR="00DA26E3" w:rsidRDefault="00DA26E3" w:rsidP="00DA26E3">
      <w:pPr>
        <w:autoSpaceDE w:val="0"/>
        <w:autoSpaceDN w:val="0"/>
        <w:adjustRightInd w:val="0"/>
        <w:ind w:left="851"/>
        <w:rPr>
          <w:sz w:val="24"/>
          <w:szCs w:val="24"/>
        </w:rPr>
      </w:pPr>
      <w:r>
        <w:rPr>
          <w:iCs/>
          <w:color w:val="000000"/>
          <w:sz w:val="24"/>
          <w:szCs w:val="24"/>
        </w:rPr>
        <w:t xml:space="preserve">Nedsat leverfunktion, inklusive forhøjede leverenzymer og hepatocellulær og/eller kolestatisk hepatitis, med eller uden gulsot er rapporteret med clarithromycin. Den nedsatte leverfunktion kan være alvorlig og er sædvanligvis reversibel. </w:t>
      </w:r>
      <w:r>
        <w:rPr>
          <w:color w:val="000000"/>
          <w:sz w:val="24"/>
          <w:szCs w:val="24"/>
        </w:rPr>
        <w:t>Der er rapporteret om tilfælde af leversvigt med dødelig udgang (se pkt. 4.8). Nogle af patienterne kan have haft en allerede eksisterende leversygdom, eller de kan have taget andre hepatotoksiske lægemidler. Patienterne bør rådes til at stoppe behandlingen og kontakte deres læge, hvis der udvikles tegn og symptomer på leversygdom, såsom anoreksi, gulsot, mørk urin, pruritus eller ømt abdomen.</w:t>
      </w:r>
    </w:p>
    <w:p w:rsidR="00DA26E3" w:rsidRDefault="00DA26E3" w:rsidP="00DA26E3">
      <w:pPr>
        <w:ind w:left="851"/>
        <w:rPr>
          <w:sz w:val="24"/>
          <w:szCs w:val="24"/>
        </w:rPr>
      </w:pPr>
    </w:p>
    <w:p w:rsidR="00DA26E3" w:rsidRDefault="00DA26E3" w:rsidP="00DA26E3">
      <w:pPr>
        <w:pStyle w:val="DefaultText"/>
        <w:ind w:left="851"/>
        <w:rPr>
          <w:color w:val="000000"/>
          <w:szCs w:val="24"/>
          <w:lang w:val="da-DK"/>
        </w:rPr>
      </w:pPr>
      <w:r>
        <w:rPr>
          <w:szCs w:val="24"/>
          <w:lang w:val="da-DK"/>
        </w:rPr>
        <w:t>Pseudomembranøs colitis er rapporteret ved næsten alle antibiotika, inklusive makrolider og kan variere i sværhedsgrad fra milde til livstruende tilfælde. Der er rapporteret om</w:t>
      </w:r>
      <w:r>
        <w:rPr>
          <w:i/>
          <w:iCs/>
          <w:szCs w:val="24"/>
          <w:lang w:val="da-DK"/>
        </w:rPr>
        <w:t xml:space="preserve"> Clostridioides difficile</w:t>
      </w:r>
      <w:r>
        <w:rPr>
          <w:szCs w:val="24"/>
          <w:lang w:val="da-DK"/>
        </w:rPr>
        <w:t xml:space="preserve"> associeret diarré (CDAD) ved anvendelse af næsten alle antibakterielle midler inklusive clarithromycin, varierende i sværhedsgrad fra mild diarré til </w:t>
      </w:r>
      <w:proofErr w:type="gramStart"/>
      <w:r>
        <w:rPr>
          <w:szCs w:val="24"/>
          <w:lang w:val="da-DK"/>
        </w:rPr>
        <w:t>dødelig colitis</w:t>
      </w:r>
      <w:proofErr w:type="gramEnd"/>
      <w:r>
        <w:rPr>
          <w:szCs w:val="24"/>
          <w:lang w:val="da-DK"/>
        </w:rPr>
        <w:t>.</w:t>
      </w:r>
      <w:r>
        <w:rPr>
          <w:color w:val="000000"/>
          <w:szCs w:val="24"/>
          <w:lang w:val="da-DK"/>
        </w:rPr>
        <w:t xml:space="preserve"> Behandling med antibakterielle midler kan ændre den normale tarmflora, og dette kan føre til øget vækst af </w:t>
      </w:r>
      <w:r>
        <w:rPr>
          <w:i/>
          <w:iCs/>
          <w:color w:val="000000"/>
          <w:szCs w:val="24"/>
          <w:lang w:val="da-DK"/>
        </w:rPr>
        <w:t>C. difficile.</w:t>
      </w:r>
      <w:r>
        <w:rPr>
          <w:color w:val="000000"/>
          <w:szCs w:val="24"/>
          <w:lang w:val="da-DK"/>
        </w:rPr>
        <w:t xml:space="preserve"> </w:t>
      </w:r>
      <w:r>
        <w:rPr>
          <w:szCs w:val="24"/>
          <w:lang w:val="da-DK"/>
        </w:rPr>
        <w:t>CDAD</w:t>
      </w:r>
      <w:r>
        <w:rPr>
          <w:i/>
          <w:iCs/>
          <w:color w:val="000000"/>
          <w:szCs w:val="24"/>
          <w:lang w:val="da-DK"/>
        </w:rPr>
        <w:t xml:space="preserve"> </w:t>
      </w:r>
      <w:r>
        <w:rPr>
          <w:color w:val="000000"/>
          <w:szCs w:val="24"/>
          <w:lang w:val="da-DK"/>
        </w:rPr>
        <w:t xml:space="preserve">associeret diarré skal overvejes hos alle patienter, som får diarré efter anvendelse af antibiotika. Omhyggelig gennemgang af patientens anamnese er nødvendig, da </w:t>
      </w:r>
      <w:r>
        <w:rPr>
          <w:szCs w:val="24"/>
          <w:lang w:val="da-DK"/>
        </w:rPr>
        <w:t>CDAD</w:t>
      </w:r>
      <w:r>
        <w:rPr>
          <w:color w:val="000000"/>
          <w:szCs w:val="24"/>
          <w:lang w:val="da-DK"/>
        </w:rPr>
        <w:t xml:space="preserve"> associeret diarré er blevet rapporteret mere end to måneder efter administration af antibakterielle midler.</w:t>
      </w:r>
      <w:r>
        <w:rPr>
          <w:szCs w:val="24"/>
          <w:lang w:val="da-DK"/>
        </w:rPr>
        <w:t xml:space="preserve"> D</w:t>
      </w:r>
      <w:r>
        <w:rPr>
          <w:rFonts w:eastAsia="MS Mincho"/>
          <w:szCs w:val="24"/>
          <w:lang w:val="da-DK" w:eastAsia="ja-JP"/>
        </w:rPr>
        <w:t>erfor bør seponering af behandlingen overvejes uanset indikationen. Mikrobielle tests skal udføres og passende behandling iværksættes. Lægemidler, som hæmmer peristaltikken, bør undgås.</w:t>
      </w:r>
    </w:p>
    <w:p w:rsidR="00DA26E3" w:rsidRDefault="00DA26E3" w:rsidP="00DA26E3">
      <w:pPr>
        <w:ind w:left="851"/>
        <w:rPr>
          <w:sz w:val="24"/>
          <w:szCs w:val="24"/>
        </w:rPr>
      </w:pPr>
    </w:p>
    <w:p w:rsidR="00DA26E3" w:rsidRDefault="00DA26E3" w:rsidP="00DA26E3">
      <w:pPr>
        <w:ind w:left="851"/>
        <w:rPr>
          <w:sz w:val="24"/>
          <w:szCs w:val="24"/>
        </w:rPr>
      </w:pPr>
      <w:r>
        <w:rPr>
          <w:spacing w:val="-3"/>
          <w:sz w:val="24"/>
          <w:szCs w:val="24"/>
        </w:rPr>
        <w:t xml:space="preserve">Der har efter markedsføring været rapporteret om colchicin-forgiftning ved samtidig anvendelse af clarithromycin og colchicin, specielt hos ældre patienter, hvoraf nogle havde nedsat nyrefunktion. Der er rapporteret om dødsfald hos nogle af disse patienter (se pkt. 4.5). </w:t>
      </w:r>
    </w:p>
    <w:p w:rsidR="00DA26E3" w:rsidRDefault="00DA26E3" w:rsidP="00DA26E3">
      <w:pPr>
        <w:ind w:left="851"/>
        <w:rPr>
          <w:sz w:val="24"/>
          <w:szCs w:val="24"/>
        </w:rPr>
      </w:pPr>
      <w:r>
        <w:rPr>
          <w:sz w:val="24"/>
          <w:szCs w:val="24"/>
        </w:rPr>
        <w:t>Samtidig administration af clarithromycin og colchicin er kontraindiceret (se punkt 4.3).</w:t>
      </w:r>
    </w:p>
    <w:p w:rsidR="00DA26E3" w:rsidRDefault="00DA26E3" w:rsidP="00DA26E3">
      <w:pPr>
        <w:ind w:left="851"/>
        <w:rPr>
          <w:sz w:val="24"/>
          <w:szCs w:val="24"/>
        </w:rPr>
      </w:pPr>
    </w:p>
    <w:p w:rsidR="00DA26E3" w:rsidRDefault="00DA26E3" w:rsidP="00DA26E3">
      <w:pPr>
        <w:pStyle w:val="DefaultText"/>
        <w:ind w:left="851"/>
        <w:rPr>
          <w:szCs w:val="24"/>
          <w:lang w:val="da-DK"/>
        </w:rPr>
      </w:pPr>
      <w:r>
        <w:rPr>
          <w:szCs w:val="24"/>
          <w:lang w:val="da-DK"/>
        </w:rPr>
        <w:t>Forsigtighed tilrådes ved samtidig administration af clarithromycin og triazolobenzodiazepiner, så som triazolam og midazolam administreret intravenøst eller appliceret i mundhulen (se pkt. 4.5).</w:t>
      </w:r>
    </w:p>
    <w:p w:rsidR="00DA26E3" w:rsidRDefault="00DA26E3" w:rsidP="00DA26E3">
      <w:pPr>
        <w:autoSpaceDE w:val="0"/>
        <w:autoSpaceDN w:val="0"/>
        <w:adjustRightInd w:val="0"/>
        <w:ind w:left="851"/>
        <w:rPr>
          <w:sz w:val="24"/>
          <w:szCs w:val="24"/>
          <w:lang w:eastAsia="sv-SE"/>
        </w:rPr>
      </w:pPr>
    </w:p>
    <w:p w:rsidR="00DA26E3" w:rsidRDefault="00DA26E3" w:rsidP="00DA26E3">
      <w:pPr>
        <w:pStyle w:val="DefaultText"/>
        <w:ind w:left="851"/>
        <w:rPr>
          <w:spacing w:val="-3"/>
          <w:szCs w:val="24"/>
          <w:lang w:val="da-DK"/>
        </w:rPr>
      </w:pPr>
      <w:r>
        <w:rPr>
          <w:spacing w:val="-3"/>
          <w:szCs w:val="24"/>
          <w:u w:val="single"/>
          <w:lang w:val="da-DK"/>
        </w:rPr>
        <w:t>Kardiovaskulære hændelser</w:t>
      </w:r>
    </w:p>
    <w:p w:rsidR="00DA26E3" w:rsidRDefault="00DA26E3" w:rsidP="00DA26E3">
      <w:pPr>
        <w:pStyle w:val="DefaultText"/>
        <w:ind w:left="851"/>
        <w:rPr>
          <w:spacing w:val="-3"/>
          <w:szCs w:val="24"/>
          <w:lang w:val="da-DK"/>
        </w:rPr>
      </w:pPr>
      <w:r>
        <w:rPr>
          <w:spacing w:val="-3"/>
          <w:szCs w:val="24"/>
          <w:lang w:val="da-DK"/>
        </w:rPr>
        <w:t xml:space="preserve">Forlænget QT-interval som afspejler effekter på kardiel repolarisering, indebærende en risiko for at udvikle kardiel arytmi og torsades de pointes, er set hos patienter, som blev behandlet </w:t>
      </w:r>
      <w:r>
        <w:rPr>
          <w:spacing w:val="-3"/>
          <w:szCs w:val="24"/>
          <w:lang w:val="da-DK"/>
        </w:rPr>
        <w:lastRenderedPageBreak/>
        <w:t xml:space="preserve">med makrolider, herunder clarithromycin (se pkt. 4.8). På grund af forøget risiko for QT-forlængelse og ventrikulære arytmier (herunder torsades de pointes), er brugen af clarithromycin kontraindiceret hos patienter, som tager </w:t>
      </w:r>
      <w:r>
        <w:rPr>
          <w:szCs w:val="24"/>
          <w:lang w:val="da-DK"/>
        </w:rPr>
        <w:t>astemizol, cisaprid, domperidon, pimozid og terfenadin, hos patienter med elektrolytforstyrrelser såsom hypokaliæmi eller hypomagnesiæmi samt hos patienter med QT-forlængelse i anamnesen eller ventrikulær kardiel arytmi (se pkt. 4.3).</w:t>
      </w:r>
      <w:r>
        <w:rPr>
          <w:spacing w:val="-3"/>
          <w:szCs w:val="24"/>
          <w:lang w:val="da-DK"/>
        </w:rPr>
        <w:t xml:space="preserve"> </w:t>
      </w:r>
    </w:p>
    <w:p w:rsidR="001E0ED3" w:rsidRDefault="001E0ED3" w:rsidP="001E0ED3">
      <w:pPr>
        <w:rPr>
          <w:spacing w:val="-3"/>
          <w:sz w:val="24"/>
          <w:szCs w:val="24"/>
          <w:lang w:eastAsia="sv-SE"/>
        </w:rPr>
      </w:pPr>
    </w:p>
    <w:p w:rsidR="001E0ED3" w:rsidRPr="009376AB" w:rsidRDefault="001E0ED3" w:rsidP="001E0ED3">
      <w:pPr>
        <w:pStyle w:val="DefaultText"/>
        <w:ind w:left="851"/>
        <w:rPr>
          <w:spacing w:val="-3"/>
          <w:szCs w:val="24"/>
          <w:lang w:val="da-DK"/>
        </w:rPr>
      </w:pPr>
      <w:r w:rsidRPr="009376AB">
        <w:rPr>
          <w:spacing w:val="-3"/>
          <w:szCs w:val="24"/>
          <w:lang w:val="da-DK"/>
        </w:rPr>
        <w:t>Clarithromycin skal desuden anvendes med forsigtighed til følgende:</w:t>
      </w:r>
    </w:p>
    <w:p w:rsidR="001E0ED3" w:rsidRPr="004A12A9" w:rsidRDefault="001E0ED3" w:rsidP="001E0ED3">
      <w:pPr>
        <w:pStyle w:val="DefaultText"/>
        <w:numPr>
          <w:ilvl w:val="0"/>
          <w:numId w:val="11"/>
        </w:numPr>
        <w:ind w:left="1211"/>
        <w:rPr>
          <w:szCs w:val="24"/>
          <w:lang w:val="da-DK"/>
        </w:rPr>
      </w:pPr>
      <w:r w:rsidRPr="009376AB">
        <w:rPr>
          <w:szCs w:val="24"/>
          <w:lang w:val="da-DK"/>
        </w:rPr>
        <w:t xml:space="preserve">Patienter med </w:t>
      </w:r>
      <w:r w:rsidRPr="009376AB">
        <w:rPr>
          <w:spacing w:val="-3"/>
          <w:szCs w:val="24"/>
          <w:lang w:val="da-DK"/>
        </w:rPr>
        <w:t>koronararteriesygdom,</w:t>
      </w:r>
      <w:r w:rsidRPr="009376AB">
        <w:rPr>
          <w:szCs w:val="24"/>
          <w:lang w:val="da-DK"/>
        </w:rPr>
        <w:t xml:space="preserve"> alvorlig</w:t>
      </w:r>
      <w:r w:rsidRPr="009376AB">
        <w:rPr>
          <w:spacing w:val="-3"/>
          <w:szCs w:val="24"/>
          <w:lang w:val="da-DK"/>
        </w:rPr>
        <w:t xml:space="preserve"> kardiel insufficiens</w:t>
      </w:r>
      <w:r w:rsidRPr="009376AB">
        <w:rPr>
          <w:szCs w:val="24"/>
          <w:lang w:val="da-DK"/>
        </w:rPr>
        <w:t xml:space="preserve">, </w:t>
      </w:r>
      <w:r w:rsidRPr="009376AB">
        <w:rPr>
          <w:spacing w:val="-3"/>
          <w:szCs w:val="24"/>
          <w:lang w:val="da-DK"/>
        </w:rPr>
        <w:t>ledningsforstyrrelser eller klinisk relevant bradykardi</w:t>
      </w:r>
      <w:r w:rsidRPr="009376AB">
        <w:rPr>
          <w:szCs w:val="24"/>
          <w:lang w:val="da-DK"/>
        </w:rPr>
        <w:t>.</w:t>
      </w:r>
    </w:p>
    <w:p w:rsidR="001E0ED3" w:rsidRPr="009376AB" w:rsidRDefault="001E0ED3" w:rsidP="001E0ED3">
      <w:pPr>
        <w:pStyle w:val="DefaultText"/>
        <w:numPr>
          <w:ilvl w:val="0"/>
          <w:numId w:val="11"/>
        </w:numPr>
        <w:ind w:left="1211"/>
        <w:rPr>
          <w:szCs w:val="24"/>
          <w:lang w:val="da-DK"/>
        </w:rPr>
      </w:pPr>
      <w:r w:rsidRPr="009376AB">
        <w:rPr>
          <w:szCs w:val="24"/>
          <w:lang w:val="da-DK"/>
        </w:rPr>
        <w:t>Patienter, der</w:t>
      </w:r>
      <w:r w:rsidRPr="009376AB">
        <w:rPr>
          <w:spacing w:val="-3"/>
          <w:szCs w:val="24"/>
          <w:lang w:val="da-DK"/>
        </w:rPr>
        <w:t xml:space="preserve"> samtidigt tager andre lægemidler i forbindelse med QT-forlængelse, andre end dem, der er kontraindiceret.</w:t>
      </w:r>
      <w:r w:rsidRPr="009376AB">
        <w:rPr>
          <w:szCs w:val="24"/>
          <w:lang w:val="da-DK"/>
        </w:rPr>
        <w:t xml:space="preserve"> </w:t>
      </w:r>
    </w:p>
    <w:p w:rsidR="001E0ED3" w:rsidRDefault="001E0ED3" w:rsidP="001E0ED3">
      <w:pPr>
        <w:pStyle w:val="DefaultText"/>
        <w:ind w:firstLine="851"/>
        <w:rPr>
          <w:iCs/>
          <w:color w:val="000000"/>
          <w:szCs w:val="24"/>
          <w:u w:val="single"/>
          <w:lang w:val="da-DK"/>
        </w:rPr>
      </w:pPr>
    </w:p>
    <w:p w:rsidR="001E0ED3" w:rsidRDefault="001E0ED3" w:rsidP="001E0ED3">
      <w:pPr>
        <w:pStyle w:val="DefaultText"/>
        <w:ind w:left="851"/>
        <w:rPr>
          <w:iCs/>
          <w:color w:val="000000"/>
          <w:szCs w:val="24"/>
          <w:lang w:val="da-DK"/>
        </w:rPr>
      </w:pPr>
      <w:r>
        <w:rPr>
          <w:bCs/>
          <w:szCs w:val="24"/>
          <w:lang w:val="da-DK"/>
        </w:rPr>
        <w:t>Epidemiologiske studier, der undersøger risikoen for uønskede kardiovaskulære resultater med makrolider, har vist varierende resultater. Nogle observationsstudier har identificeret en sjælden korttidsrisiko for arytmi, myokardieinfarkt og kardiovaskulær mortalitet ledsaget af makrolider, herunder clarithromycin. Hensyntagen til disse fund skal afvejes imod behandlingsfordele ved ordinering af clarithromycin.</w:t>
      </w:r>
    </w:p>
    <w:p w:rsidR="001E0ED3" w:rsidRDefault="001E0ED3" w:rsidP="001E0ED3">
      <w:pPr>
        <w:pStyle w:val="DefaultText"/>
        <w:ind w:firstLine="851"/>
        <w:rPr>
          <w:iCs/>
          <w:color w:val="000000"/>
          <w:szCs w:val="24"/>
          <w:u w:val="single"/>
          <w:lang w:val="da-DK"/>
        </w:rPr>
      </w:pPr>
    </w:p>
    <w:p w:rsidR="001E0ED3" w:rsidRPr="009376AB" w:rsidRDefault="001E0ED3" w:rsidP="001E0ED3">
      <w:pPr>
        <w:ind w:left="851"/>
        <w:rPr>
          <w:iCs/>
          <w:color w:val="000000"/>
          <w:sz w:val="24"/>
          <w:szCs w:val="24"/>
        </w:rPr>
      </w:pPr>
      <w:r w:rsidRPr="009376AB">
        <w:rPr>
          <w:iCs/>
          <w:color w:val="000000"/>
          <w:sz w:val="24"/>
          <w:szCs w:val="24"/>
          <w:u w:val="single"/>
        </w:rPr>
        <w:t>Pneumoni</w:t>
      </w:r>
      <w:r w:rsidRPr="009376AB">
        <w:rPr>
          <w:iCs/>
          <w:color w:val="000000"/>
          <w:sz w:val="24"/>
          <w:szCs w:val="24"/>
        </w:rPr>
        <w:t xml:space="preserve">: </w:t>
      </w:r>
    </w:p>
    <w:p w:rsidR="001E0ED3" w:rsidRPr="009376AB" w:rsidRDefault="001E0ED3" w:rsidP="001E0ED3">
      <w:pPr>
        <w:ind w:left="851"/>
        <w:rPr>
          <w:iCs/>
          <w:color w:val="000000"/>
          <w:sz w:val="24"/>
          <w:szCs w:val="24"/>
        </w:rPr>
      </w:pPr>
      <w:r w:rsidRPr="009376AB">
        <w:rPr>
          <w:iCs/>
          <w:color w:val="000000"/>
          <w:sz w:val="24"/>
          <w:szCs w:val="24"/>
        </w:rPr>
        <w:t xml:space="preserve">Set i lyset af stigende resistens af </w:t>
      </w:r>
      <w:r w:rsidRPr="009376AB">
        <w:rPr>
          <w:i/>
          <w:iCs/>
          <w:color w:val="000000"/>
          <w:sz w:val="24"/>
          <w:szCs w:val="24"/>
        </w:rPr>
        <w:t>Streptococcus pneumoniaes</w:t>
      </w:r>
      <w:r w:rsidRPr="009376AB">
        <w:rPr>
          <w:iCs/>
          <w:color w:val="000000"/>
          <w:sz w:val="24"/>
          <w:szCs w:val="24"/>
        </w:rPr>
        <w:t xml:space="preserve"> over for makrolider, er det vigtigt at udføre følsomhedstest, når clarithromycin ordineres til pneumoni, som er erhvervet uden for hospital. Ved hospitals-erhvervet pneumoni skal clarithromycin bruges i kombination med øvrige passende antibiotika. </w:t>
      </w:r>
    </w:p>
    <w:p w:rsidR="001E0ED3" w:rsidRPr="009376AB" w:rsidRDefault="001E0ED3" w:rsidP="001E0ED3">
      <w:pPr>
        <w:pStyle w:val="DefaultText"/>
        <w:ind w:left="851"/>
        <w:rPr>
          <w:szCs w:val="24"/>
          <w:lang w:val="da-DK"/>
        </w:rPr>
      </w:pPr>
    </w:p>
    <w:p w:rsidR="001E0ED3" w:rsidRPr="009376AB" w:rsidRDefault="001E0ED3" w:rsidP="001E0ED3">
      <w:pPr>
        <w:autoSpaceDE w:val="0"/>
        <w:autoSpaceDN w:val="0"/>
        <w:adjustRightInd w:val="0"/>
        <w:ind w:left="851"/>
        <w:rPr>
          <w:rFonts w:eastAsia="MS Mincho"/>
          <w:color w:val="000000"/>
          <w:sz w:val="24"/>
          <w:szCs w:val="24"/>
          <w:lang w:eastAsia="ja-JP"/>
        </w:rPr>
      </w:pPr>
      <w:r w:rsidRPr="009376AB">
        <w:rPr>
          <w:sz w:val="24"/>
          <w:szCs w:val="24"/>
          <w:lang w:eastAsia="en-GB"/>
        </w:rPr>
        <w:t>Der tilrådes forsigtighed ved samtidig administration af clarithromycin med andre ototoksiske lægemidler, især med aminoglycosider.</w:t>
      </w:r>
      <w:r w:rsidRPr="009376AB">
        <w:rPr>
          <w:color w:val="000000"/>
          <w:sz w:val="24"/>
          <w:szCs w:val="24"/>
          <w:lang w:eastAsia="en-GB"/>
        </w:rPr>
        <w:t xml:space="preserve"> </w:t>
      </w:r>
      <w:r w:rsidRPr="009376AB">
        <w:rPr>
          <w:rFonts w:eastAsia="MS Mincho"/>
          <w:color w:val="000000"/>
          <w:sz w:val="24"/>
          <w:szCs w:val="24"/>
          <w:lang w:eastAsia="ja-JP"/>
        </w:rPr>
        <w:t>Overvågning af vestibulær og auditiv funktion bør udføres under og efter behandlingen.</w:t>
      </w:r>
    </w:p>
    <w:p w:rsidR="001E0ED3" w:rsidRDefault="001E0ED3" w:rsidP="001E0ED3">
      <w:pPr>
        <w:pStyle w:val="DefaultText"/>
        <w:ind w:firstLine="851"/>
        <w:rPr>
          <w:iCs/>
          <w:color w:val="000000"/>
          <w:szCs w:val="24"/>
          <w:u w:val="single"/>
          <w:lang w:val="da-DK"/>
        </w:rPr>
      </w:pPr>
    </w:p>
    <w:p w:rsidR="001E0ED3" w:rsidRPr="00F316B1" w:rsidRDefault="001E0ED3" w:rsidP="001E0ED3">
      <w:pPr>
        <w:pStyle w:val="DefaultText"/>
        <w:ind w:firstLine="851"/>
        <w:rPr>
          <w:iCs/>
          <w:color w:val="000000"/>
          <w:szCs w:val="24"/>
          <w:lang w:val="da-DK"/>
        </w:rPr>
      </w:pPr>
      <w:r>
        <w:rPr>
          <w:iCs/>
          <w:color w:val="000000"/>
          <w:szCs w:val="24"/>
          <w:u w:val="single"/>
          <w:lang w:val="da-DK"/>
        </w:rPr>
        <w:t>Hud og bløddelsinfektioner af mild til moderat sværhedsgrad</w:t>
      </w:r>
      <w:r>
        <w:rPr>
          <w:iCs/>
          <w:color w:val="000000"/>
          <w:szCs w:val="24"/>
          <w:lang w:val="da-DK"/>
        </w:rPr>
        <w:t xml:space="preserve">: </w:t>
      </w:r>
    </w:p>
    <w:p w:rsidR="001E0ED3" w:rsidRDefault="001E0ED3" w:rsidP="001E0ED3">
      <w:pPr>
        <w:ind w:left="851"/>
        <w:rPr>
          <w:iCs/>
          <w:color w:val="000000"/>
          <w:sz w:val="24"/>
          <w:szCs w:val="24"/>
        </w:rPr>
      </w:pPr>
      <w:r>
        <w:rPr>
          <w:iCs/>
          <w:color w:val="000000"/>
          <w:sz w:val="24"/>
          <w:szCs w:val="24"/>
        </w:rPr>
        <w:t xml:space="preserve">Disse infektioner er ofte forårsaget af </w:t>
      </w:r>
      <w:r>
        <w:rPr>
          <w:i/>
          <w:iCs/>
          <w:color w:val="000000"/>
          <w:sz w:val="24"/>
          <w:szCs w:val="24"/>
        </w:rPr>
        <w:t>Staphylococcus aureus</w:t>
      </w:r>
      <w:r>
        <w:rPr>
          <w:iCs/>
          <w:color w:val="000000"/>
          <w:sz w:val="24"/>
          <w:szCs w:val="24"/>
        </w:rPr>
        <w:t xml:space="preserve"> og </w:t>
      </w:r>
      <w:r>
        <w:rPr>
          <w:i/>
          <w:iCs/>
          <w:color w:val="000000"/>
          <w:sz w:val="24"/>
          <w:szCs w:val="24"/>
        </w:rPr>
        <w:t>Streptococcus pyogenes</w:t>
      </w:r>
      <w:r>
        <w:rPr>
          <w:iCs/>
          <w:color w:val="000000"/>
          <w:sz w:val="24"/>
          <w:szCs w:val="24"/>
        </w:rPr>
        <w:t xml:space="preserve">, som begge kan være resistente over for makrolider. Derfor er det vigtigt at udføre følsomhedstest. I de tilfælde, hvor der ikke kan anvendes </w:t>
      </w:r>
      <w:r>
        <w:rPr>
          <w:i/>
          <w:color w:val="000000"/>
          <w:sz w:val="24"/>
          <w:szCs w:val="24"/>
        </w:rPr>
        <w:t>beta</w:t>
      </w:r>
      <w:r>
        <w:rPr>
          <w:iCs/>
          <w:color w:val="000000"/>
          <w:sz w:val="24"/>
          <w:szCs w:val="24"/>
        </w:rPr>
        <w:t xml:space="preserve">–lactam antibiotika (f.eks. ved allergi), kan andre antibiotika, såsom clindamycin, være førstevalgspræparat. I øjeblikket anses makrolider kun for at spille en rolle ved behandling af nogle hud- og bløddelsinfektioner, såsom dem, der forårsages af </w:t>
      </w:r>
      <w:r>
        <w:rPr>
          <w:i/>
          <w:iCs/>
          <w:color w:val="000000"/>
          <w:sz w:val="24"/>
          <w:szCs w:val="24"/>
        </w:rPr>
        <w:t>Corynebacterium minutissimum</w:t>
      </w:r>
      <w:r>
        <w:rPr>
          <w:iCs/>
          <w:color w:val="000000"/>
          <w:sz w:val="24"/>
          <w:szCs w:val="24"/>
        </w:rPr>
        <w:t>, acne vulgaris og rosen, og i situationer, hvor penicillinbehandling ikke kan anvendes.</w:t>
      </w:r>
    </w:p>
    <w:p w:rsidR="001E0ED3" w:rsidRDefault="001E0ED3" w:rsidP="001E0ED3">
      <w:pPr>
        <w:ind w:left="851"/>
        <w:rPr>
          <w:iCs/>
          <w:color w:val="000000"/>
          <w:sz w:val="24"/>
          <w:szCs w:val="24"/>
        </w:rPr>
      </w:pPr>
    </w:p>
    <w:p w:rsidR="001E0ED3" w:rsidRPr="000C708A" w:rsidRDefault="001E0ED3" w:rsidP="001E0ED3">
      <w:pPr>
        <w:pStyle w:val="DefaultText"/>
        <w:ind w:left="851"/>
        <w:rPr>
          <w:rStyle w:val="longtext1"/>
          <w:sz w:val="24"/>
          <w:szCs w:val="24"/>
          <w:shd w:val="clear" w:color="auto" w:fill="FFFFFF"/>
          <w:lang w:val="da-DK"/>
        </w:rPr>
      </w:pPr>
      <w:r w:rsidRPr="000C708A">
        <w:rPr>
          <w:rStyle w:val="longtext1"/>
          <w:sz w:val="24"/>
          <w:szCs w:val="24"/>
          <w:shd w:val="clear" w:color="auto" w:fill="FFFFFF"/>
          <w:lang w:val="da-DK"/>
        </w:rPr>
        <w:t xml:space="preserve">I tilfælde af alvorlige akutte overfølsomhedsreaktioner, såsom anafylakse, svære kutane bivirkninger (SCAR) (f.eks. akut generaliseret eksantematøs pustulose (AGEP), Stevens-Johnson Syndrom, toksisk epidermal nekrolyse og medikamentelt </w:t>
      </w:r>
      <w:r w:rsidRPr="000C708A">
        <w:rPr>
          <w:color w:val="000000"/>
          <w:szCs w:val="24"/>
          <w:lang w:val="da-DK"/>
        </w:rPr>
        <w:t>udslæt med eosinofili og systemiske symptomer</w:t>
      </w:r>
      <w:r w:rsidRPr="000C708A">
        <w:rPr>
          <w:szCs w:val="24"/>
          <w:lang w:val="da-DK"/>
        </w:rPr>
        <w:t xml:space="preserve"> (DRESS)) </w:t>
      </w:r>
      <w:r w:rsidRPr="000C708A">
        <w:rPr>
          <w:rStyle w:val="longtext1"/>
          <w:sz w:val="24"/>
          <w:szCs w:val="24"/>
          <w:shd w:val="clear" w:color="auto" w:fill="FFFFFF"/>
          <w:lang w:val="da-DK"/>
        </w:rPr>
        <w:t>bør clarithromycin-behandling seponeres øjeblikkeligt og passende behandling påbegyndes med det samme.</w:t>
      </w:r>
    </w:p>
    <w:p w:rsidR="001E0ED3" w:rsidRPr="009376AB" w:rsidRDefault="001E0ED3" w:rsidP="001E0ED3">
      <w:pPr>
        <w:pStyle w:val="DefaultText"/>
        <w:ind w:left="851"/>
        <w:rPr>
          <w:rStyle w:val="longtext1"/>
          <w:szCs w:val="24"/>
          <w:shd w:val="clear" w:color="auto" w:fill="FFFFFF"/>
          <w:lang w:val="da-DK"/>
        </w:rPr>
      </w:pPr>
    </w:p>
    <w:p w:rsidR="001E0ED3" w:rsidRPr="009376AB" w:rsidRDefault="001E0ED3" w:rsidP="001E0ED3">
      <w:pPr>
        <w:autoSpaceDE w:val="0"/>
        <w:autoSpaceDN w:val="0"/>
        <w:adjustRightInd w:val="0"/>
        <w:ind w:left="851"/>
        <w:rPr>
          <w:spacing w:val="-3"/>
          <w:sz w:val="24"/>
          <w:szCs w:val="24"/>
        </w:rPr>
      </w:pPr>
      <w:r w:rsidRPr="009376AB">
        <w:rPr>
          <w:iCs/>
          <w:sz w:val="24"/>
          <w:szCs w:val="24"/>
        </w:rPr>
        <w:t>Clarithromycin bør anvendes med forsigtighed ved samtidig administration af lægemidler, som inducerer CYP3A</w:t>
      </w:r>
      <w:r w:rsidRPr="009376AB">
        <w:rPr>
          <w:iCs/>
          <w:strike/>
          <w:sz w:val="24"/>
          <w:szCs w:val="24"/>
        </w:rPr>
        <w:t>4-</w:t>
      </w:r>
      <w:r w:rsidRPr="009376AB">
        <w:rPr>
          <w:iCs/>
          <w:sz w:val="24"/>
          <w:szCs w:val="24"/>
        </w:rPr>
        <w:t xml:space="preserve">enzymet (se pkt. 4.5). </w:t>
      </w:r>
      <w:r w:rsidRPr="009376AB">
        <w:rPr>
          <w:spacing w:val="-3"/>
          <w:sz w:val="24"/>
          <w:szCs w:val="24"/>
        </w:rPr>
        <w:t xml:space="preserve">Clarithromycin er en CYP3A4-hæmmer, og samtidig brug med andre lægemidler, som i vid udstrækning metaboliseres af dette enzym, bør begrænses til situationer, hvor det er klart indiceret (se pkt. 4.5). </w:t>
      </w:r>
    </w:p>
    <w:p w:rsidR="001E0ED3" w:rsidRDefault="001E0ED3" w:rsidP="001E0ED3">
      <w:pPr>
        <w:autoSpaceDE w:val="0"/>
        <w:autoSpaceDN w:val="0"/>
        <w:adjustRightInd w:val="0"/>
        <w:ind w:left="851"/>
        <w:rPr>
          <w:spacing w:val="-3"/>
          <w:sz w:val="24"/>
          <w:szCs w:val="24"/>
        </w:rPr>
      </w:pPr>
    </w:p>
    <w:p w:rsidR="004050D2" w:rsidRDefault="004050D2" w:rsidP="001E0ED3">
      <w:pPr>
        <w:autoSpaceDE w:val="0"/>
        <w:autoSpaceDN w:val="0"/>
        <w:adjustRightInd w:val="0"/>
        <w:ind w:left="851"/>
        <w:rPr>
          <w:spacing w:val="-3"/>
          <w:sz w:val="24"/>
          <w:szCs w:val="24"/>
        </w:rPr>
      </w:pPr>
    </w:p>
    <w:p w:rsidR="004050D2" w:rsidRPr="009376AB" w:rsidRDefault="004050D2" w:rsidP="001E0ED3">
      <w:pPr>
        <w:autoSpaceDE w:val="0"/>
        <w:autoSpaceDN w:val="0"/>
        <w:adjustRightInd w:val="0"/>
        <w:ind w:left="851"/>
        <w:rPr>
          <w:spacing w:val="-3"/>
          <w:sz w:val="24"/>
          <w:szCs w:val="24"/>
        </w:rPr>
      </w:pPr>
    </w:p>
    <w:p w:rsidR="001E0ED3" w:rsidRPr="009376AB" w:rsidRDefault="001E0ED3" w:rsidP="001E0ED3">
      <w:pPr>
        <w:autoSpaceDE w:val="0"/>
        <w:autoSpaceDN w:val="0"/>
        <w:adjustRightInd w:val="0"/>
        <w:ind w:left="851"/>
        <w:rPr>
          <w:sz w:val="24"/>
          <w:szCs w:val="24"/>
        </w:rPr>
      </w:pPr>
      <w:r w:rsidRPr="009376AB">
        <w:rPr>
          <w:sz w:val="24"/>
          <w:szCs w:val="24"/>
          <w:u w:val="single"/>
        </w:rPr>
        <w:lastRenderedPageBreak/>
        <w:t>HMG-CoA reduktasehæmmere (statiner):</w:t>
      </w:r>
      <w:r w:rsidRPr="009376AB">
        <w:rPr>
          <w:sz w:val="24"/>
          <w:szCs w:val="24"/>
        </w:rPr>
        <w:t xml:space="preserve"> </w:t>
      </w:r>
    </w:p>
    <w:p w:rsidR="001E0ED3" w:rsidRPr="009376AB" w:rsidRDefault="001E0ED3" w:rsidP="001E0ED3">
      <w:pPr>
        <w:autoSpaceDE w:val="0"/>
        <w:autoSpaceDN w:val="0"/>
        <w:adjustRightInd w:val="0"/>
        <w:ind w:left="851"/>
        <w:rPr>
          <w:sz w:val="24"/>
          <w:szCs w:val="24"/>
        </w:rPr>
      </w:pPr>
      <w:r w:rsidRPr="009376AB">
        <w:rPr>
          <w:sz w:val="24"/>
          <w:szCs w:val="24"/>
        </w:rPr>
        <w:t xml:space="preserve">Samtidig brug af </w:t>
      </w:r>
      <w:r w:rsidRPr="009376AB">
        <w:rPr>
          <w:rFonts w:eastAsia="MS Mincho"/>
          <w:sz w:val="24"/>
          <w:szCs w:val="24"/>
          <w:lang w:eastAsia="ja-JP"/>
        </w:rPr>
        <w:t>clarithromycin og lovastatin eller simvastatin er kontraindiceret (se pkt. 4.3).</w:t>
      </w:r>
      <w:r w:rsidRPr="009376AB">
        <w:rPr>
          <w:iCs/>
          <w:color w:val="000000"/>
          <w:sz w:val="24"/>
          <w:szCs w:val="24"/>
        </w:rPr>
        <w:t xml:space="preserve"> Der er modtaget rapporter om</w:t>
      </w:r>
      <w:r w:rsidRPr="009376AB">
        <w:rPr>
          <w:sz w:val="24"/>
          <w:szCs w:val="24"/>
        </w:rPr>
        <w:t xml:space="preserve"> rhabdomyolyse hos patienter, der tager </w:t>
      </w:r>
      <w:r w:rsidRPr="009376AB">
        <w:rPr>
          <w:iCs/>
          <w:color w:val="000000"/>
          <w:sz w:val="24"/>
          <w:szCs w:val="24"/>
        </w:rPr>
        <w:t>clarithromycin</w:t>
      </w:r>
      <w:r w:rsidRPr="009376AB">
        <w:rPr>
          <w:spacing w:val="-3"/>
          <w:sz w:val="24"/>
          <w:szCs w:val="24"/>
        </w:rPr>
        <w:t xml:space="preserve"> </w:t>
      </w:r>
      <w:r w:rsidRPr="009376AB">
        <w:rPr>
          <w:sz w:val="24"/>
          <w:szCs w:val="24"/>
        </w:rPr>
        <w:t xml:space="preserve">samtidig </w:t>
      </w:r>
      <w:r w:rsidRPr="009376AB">
        <w:rPr>
          <w:iCs/>
          <w:color w:val="000000"/>
          <w:sz w:val="24"/>
          <w:szCs w:val="24"/>
        </w:rPr>
        <w:t>med statiner</w:t>
      </w:r>
      <w:r w:rsidRPr="009376AB">
        <w:rPr>
          <w:sz w:val="24"/>
          <w:szCs w:val="24"/>
        </w:rPr>
        <w:t xml:space="preserve">. </w:t>
      </w:r>
      <w:r w:rsidRPr="004A12A9">
        <w:rPr>
          <w:sz w:val="24"/>
          <w:szCs w:val="24"/>
        </w:rPr>
        <w:t>Patienter bør monitoreres for tegn og symptomer på myopati</w:t>
      </w:r>
      <w:r w:rsidRPr="009376AB">
        <w:rPr>
          <w:sz w:val="24"/>
          <w:szCs w:val="24"/>
        </w:rPr>
        <w:t>.</w:t>
      </w:r>
      <w:r w:rsidRPr="00FE0041">
        <w:rPr>
          <w:iCs/>
          <w:color w:val="000000"/>
          <w:sz w:val="24"/>
          <w:szCs w:val="24"/>
        </w:rPr>
        <w:t xml:space="preserve"> I situationer, hvor samtidig brug af clarithromycin med statiner ikke kan undgås, anbefales det at ordinere den lavest mulige dosis af statin. </w:t>
      </w:r>
      <w:r w:rsidRPr="00FE0041">
        <w:rPr>
          <w:sz w:val="24"/>
          <w:szCs w:val="24"/>
        </w:rPr>
        <w:t>Brug af et statin, som ikke metaboliseres af CYP3A (f.eks. fluvastatin) kan overvejes</w:t>
      </w:r>
      <w:r w:rsidRPr="009376AB">
        <w:rPr>
          <w:sz w:val="24"/>
          <w:szCs w:val="24"/>
        </w:rPr>
        <w:t xml:space="preserve"> (se pkt. 4.5).  </w:t>
      </w:r>
    </w:p>
    <w:p w:rsidR="001E0ED3" w:rsidRPr="009376AB" w:rsidRDefault="001E0ED3" w:rsidP="001E0ED3">
      <w:pPr>
        <w:autoSpaceDE w:val="0"/>
        <w:autoSpaceDN w:val="0"/>
        <w:adjustRightInd w:val="0"/>
        <w:ind w:left="851"/>
        <w:rPr>
          <w:sz w:val="24"/>
          <w:szCs w:val="24"/>
        </w:rPr>
      </w:pPr>
    </w:p>
    <w:p w:rsidR="001E0ED3" w:rsidRPr="009376AB" w:rsidRDefault="001E0ED3" w:rsidP="001E0ED3">
      <w:pPr>
        <w:pStyle w:val="TableText"/>
        <w:ind w:left="851"/>
        <w:rPr>
          <w:rFonts w:ascii="Times New Roman" w:hAnsi="Times New Roman"/>
          <w:sz w:val="24"/>
          <w:szCs w:val="24"/>
          <w:lang w:val="da-DK"/>
        </w:rPr>
      </w:pPr>
      <w:r w:rsidRPr="009376AB">
        <w:rPr>
          <w:rFonts w:ascii="Times New Roman" w:hAnsi="Times New Roman"/>
          <w:sz w:val="24"/>
          <w:szCs w:val="24"/>
          <w:u w:val="single"/>
          <w:lang w:val="da-DK"/>
        </w:rPr>
        <w:t>Orale hypoglykæmiske lægemidler og/eller insulin:</w:t>
      </w:r>
      <w:r w:rsidRPr="009376AB">
        <w:rPr>
          <w:rFonts w:ascii="Times New Roman" w:hAnsi="Times New Roman"/>
          <w:sz w:val="24"/>
          <w:szCs w:val="24"/>
          <w:lang w:val="da-DK"/>
        </w:rPr>
        <w:t xml:space="preserve"> </w:t>
      </w:r>
    </w:p>
    <w:p w:rsidR="001E0ED3" w:rsidRPr="009376AB" w:rsidRDefault="001E0ED3" w:rsidP="001E0ED3">
      <w:pPr>
        <w:pStyle w:val="TableText"/>
        <w:ind w:left="851"/>
        <w:rPr>
          <w:rFonts w:ascii="Times New Roman" w:hAnsi="Times New Roman"/>
          <w:sz w:val="24"/>
          <w:szCs w:val="24"/>
          <w:lang w:val="da-DK"/>
        </w:rPr>
      </w:pPr>
      <w:r w:rsidRPr="009376AB">
        <w:rPr>
          <w:rFonts w:ascii="Times New Roman" w:hAnsi="Times New Roman"/>
          <w:sz w:val="24"/>
          <w:szCs w:val="24"/>
          <w:lang w:val="da-DK"/>
        </w:rPr>
        <w:t xml:space="preserve">Samtidig brug af clarithromycin og orale hypoglykæmiske lægemidler </w:t>
      </w:r>
      <w:r w:rsidRPr="004A12A9">
        <w:rPr>
          <w:rFonts w:ascii="Times New Roman" w:hAnsi="Times New Roman"/>
          <w:sz w:val="24"/>
          <w:szCs w:val="24"/>
          <w:lang w:val="da-DK"/>
        </w:rPr>
        <w:t>(så som sulfonylurinstoffer)</w:t>
      </w:r>
      <w:r w:rsidRPr="009376AB">
        <w:rPr>
          <w:rFonts w:ascii="Times New Roman" w:hAnsi="Times New Roman"/>
          <w:sz w:val="24"/>
          <w:szCs w:val="24"/>
          <w:lang w:val="da-DK"/>
        </w:rPr>
        <w:t xml:space="preserve"> og/eller </w:t>
      </w:r>
      <w:r w:rsidRPr="00FE0041">
        <w:rPr>
          <w:rFonts w:ascii="Times New Roman" w:hAnsi="Times New Roman"/>
          <w:sz w:val="24"/>
          <w:szCs w:val="24"/>
          <w:lang w:val="da-DK"/>
        </w:rPr>
        <w:t xml:space="preserve">insulin kan resultere i signifikant hypoglykæmi. </w:t>
      </w:r>
      <w:r w:rsidRPr="009376AB">
        <w:rPr>
          <w:rFonts w:ascii="Times New Roman" w:hAnsi="Times New Roman"/>
          <w:sz w:val="24"/>
          <w:szCs w:val="24"/>
          <w:lang w:val="da-DK"/>
        </w:rPr>
        <w:t>Omhyggelig kontrol af glukose anbefales (se pkt. 4.5).</w:t>
      </w:r>
    </w:p>
    <w:p w:rsidR="001E0ED3" w:rsidRPr="009376AB" w:rsidRDefault="001E0ED3" w:rsidP="001E0ED3">
      <w:pPr>
        <w:ind w:left="851"/>
        <w:rPr>
          <w:sz w:val="24"/>
          <w:szCs w:val="24"/>
          <w:u w:val="single"/>
        </w:rPr>
      </w:pPr>
    </w:p>
    <w:p w:rsidR="00DA26E3" w:rsidRDefault="00DA26E3" w:rsidP="00DA26E3">
      <w:pPr>
        <w:keepNext/>
        <w:ind w:left="851"/>
        <w:rPr>
          <w:sz w:val="24"/>
          <w:szCs w:val="24"/>
        </w:rPr>
      </w:pPr>
      <w:r>
        <w:rPr>
          <w:sz w:val="24"/>
          <w:szCs w:val="24"/>
          <w:u w:val="single"/>
        </w:rPr>
        <w:t>Orale antikoagulantia</w:t>
      </w:r>
      <w:r>
        <w:rPr>
          <w:sz w:val="24"/>
          <w:szCs w:val="24"/>
        </w:rPr>
        <w:t xml:space="preserve">: </w:t>
      </w:r>
    </w:p>
    <w:p w:rsidR="001E0ED3" w:rsidRPr="009376AB" w:rsidRDefault="00DA26E3" w:rsidP="00DA26E3">
      <w:pPr>
        <w:ind w:left="851"/>
        <w:rPr>
          <w:sz w:val="24"/>
          <w:szCs w:val="24"/>
        </w:rPr>
      </w:pPr>
      <w:r>
        <w:rPr>
          <w:sz w:val="24"/>
          <w:szCs w:val="24"/>
        </w:rPr>
        <w:t>Der er en risiko for alvorlig blødning og signifikante stigninger i International Normalized Ratio (INR) og protrombintid, når clarithromycin administreres sammen med warfarin (se pkt. 4.5). INR og prothrombintider bør kontrolleres regelmæssigt, mens patienterne får clarithromycin og orale antikoagulantia samtidig.</w:t>
      </w:r>
    </w:p>
    <w:p w:rsidR="004B58A7" w:rsidRDefault="004B58A7" w:rsidP="004B58A7">
      <w:pPr>
        <w:pStyle w:val="Default"/>
        <w:ind w:left="851"/>
        <w:rPr>
          <w:rFonts w:ascii="Times New Roman" w:hAnsi="Times New Roman" w:cs="Times New Roman"/>
          <w:lang w:val="da-DK"/>
        </w:rPr>
      </w:pPr>
    </w:p>
    <w:p w:rsidR="007B2405" w:rsidRDefault="007B2405" w:rsidP="007B2405">
      <w:pPr>
        <w:pStyle w:val="Default"/>
        <w:ind w:left="851"/>
        <w:rPr>
          <w:rFonts w:ascii="Times New Roman" w:hAnsi="Times New Roman" w:cs="Times New Roman"/>
          <w:lang w:val="da-DK"/>
        </w:rPr>
      </w:pPr>
      <w:r>
        <w:rPr>
          <w:rFonts w:ascii="Times New Roman" w:hAnsi="Times New Roman" w:cs="Times New Roman"/>
          <w:lang w:val="da-DK"/>
        </w:rPr>
        <w:t xml:space="preserve">Der skal udvises særlig forsigtighed, når clarithromycin administreres sammen med direkte orale antikoagulantia såsom dabigatran, rivaroxaban, apixaban </w:t>
      </w:r>
      <w:r w:rsidRPr="005A6C1F">
        <w:rPr>
          <w:rFonts w:ascii="Times New Roman" w:hAnsi="Times New Roman" w:cs="Times New Roman"/>
          <w:lang w:val="da-DK"/>
        </w:rPr>
        <w:t>og edoxaban</w:t>
      </w:r>
      <w:r>
        <w:rPr>
          <w:rFonts w:ascii="Times New Roman" w:hAnsi="Times New Roman" w:cs="Times New Roman"/>
          <w:lang w:val="da-DK"/>
        </w:rPr>
        <w:t>, specielt hos patienter med høj blødningsrisiko (se pkt. 4.5).</w:t>
      </w:r>
    </w:p>
    <w:p w:rsidR="004B58A7" w:rsidRPr="009376AB" w:rsidRDefault="004B58A7" w:rsidP="001E0ED3">
      <w:pPr>
        <w:pStyle w:val="Default"/>
        <w:ind w:left="851"/>
        <w:rPr>
          <w:rFonts w:ascii="Times New Roman" w:hAnsi="Times New Roman" w:cs="Times New Roman"/>
          <w:lang w:val="da-DK"/>
        </w:rPr>
      </w:pPr>
    </w:p>
    <w:p w:rsidR="001E0ED3" w:rsidRPr="009376AB" w:rsidRDefault="001E0ED3" w:rsidP="001E0ED3">
      <w:pPr>
        <w:pStyle w:val="DefaultText"/>
        <w:ind w:left="851"/>
        <w:rPr>
          <w:szCs w:val="24"/>
          <w:lang w:val="da-DK"/>
        </w:rPr>
      </w:pPr>
      <w:r w:rsidRPr="009376AB">
        <w:rPr>
          <w:szCs w:val="24"/>
          <w:lang w:val="da-DK"/>
        </w:rPr>
        <w:t xml:space="preserve">Brug af antimikrobiel behandling af enhver slags, såsom clarithromycin, til behandling af </w:t>
      </w:r>
      <w:r w:rsidRPr="009376AB">
        <w:rPr>
          <w:i/>
          <w:szCs w:val="24"/>
          <w:lang w:val="da-DK"/>
        </w:rPr>
        <w:t xml:space="preserve">H. pylori </w:t>
      </w:r>
      <w:r w:rsidRPr="0036761D">
        <w:rPr>
          <w:szCs w:val="24"/>
          <w:lang w:val="da-DK"/>
        </w:rPr>
        <w:t>infektion</w:t>
      </w:r>
      <w:r w:rsidRPr="009376AB">
        <w:rPr>
          <w:i/>
          <w:szCs w:val="24"/>
          <w:lang w:val="da-DK"/>
        </w:rPr>
        <w:t xml:space="preserve"> </w:t>
      </w:r>
      <w:r w:rsidRPr="009376AB">
        <w:rPr>
          <w:szCs w:val="24"/>
          <w:lang w:val="da-DK"/>
        </w:rPr>
        <w:t xml:space="preserve">kan føre til lægemiddel-resistente organismer. </w:t>
      </w:r>
    </w:p>
    <w:p w:rsidR="001E0ED3" w:rsidRPr="009376AB" w:rsidRDefault="001E0ED3" w:rsidP="001E0ED3">
      <w:pPr>
        <w:pStyle w:val="DefaultText"/>
        <w:ind w:left="851"/>
        <w:rPr>
          <w:szCs w:val="24"/>
          <w:lang w:val="da-DK"/>
        </w:rPr>
      </w:pPr>
    </w:p>
    <w:p w:rsidR="001E0ED3" w:rsidRPr="009376AB" w:rsidRDefault="001E0ED3" w:rsidP="001E0ED3">
      <w:pPr>
        <w:pStyle w:val="DefaultText"/>
        <w:ind w:left="851"/>
        <w:rPr>
          <w:szCs w:val="24"/>
          <w:lang w:val="da-DK"/>
        </w:rPr>
      </w:pPr>
      <w:r w:rsidRPr="009376AB">
        <w:rPr>
          <w:szCs w:val="24"/>
          <w:lang w:val="da-DK"/>
        </w:rPr>
        <w:t>Langtidsbrug kan, som for andre antibiotika, resultere i kolonisering af et øget antal ikke-følsomme bakterier og svampe. Ved forekomst af superinfektioner skal der iværksættes passende behandling.</w:t>
      </w:r>
    </w:p>
    <w:p w:rsidR="001E0ED3" w:rsidRPr="009376AB" w:rsidRDefault="001E0ED3" w:rsidP="001E0ED3">
      <w:pPr>
        <w:pStyle w:val="DefaultText"/>
        <w:ind w:left="851"/>
        <w:rPr>
          <w:szCs w:val="24"/>
          <w:lang w:val="da-DK"/>
        </w:rPr>
      </w:pPr>
    </w:p>
    <w:p w:rsidR="001E0ED3" w:rsidRPr="009376AB" w:rsidRDefault="001E0ED3" w:rsidP="001E0ED3">
      <w:pPr>
        <w:ind w:left="851"/>
        <w:rPr>
          <w:sz w:val="24"/>
          <w:szCs w:val="24"/>
        </w:rPr>
      </w:pPr>
      <w:r w:rsidRPr="009376AB">
        <w:rPr>
          <w:spacing w:val="-3"/>
          <w:sz w:val="24"/>
          <w:szCs w:val="24"/>
        </w:rPr>
        <w:t xml:space="preserve">Der er mulighed for udvikling af krydsresistens mellem clarithromycin og andre makrolider såvel som med </w:t>
      </w:r>
      <w:r w:rsidRPr="009376AB">
        <w:rPr>
          <w:sz w:val="24"/>
          <w:szCs w:val="24"/>
        </w:rPr>
        <w:t>lincomycin og</w:t>
      </w:r>
      <w:r w:rsidRPr="009376AB">
        <w:rPr>
          <w:spacing w:val="-3"/>
          <w:sz w:val="24"/>
          <w:szCs w:val="24"/>
        </w:rPr>
        <w:t xml:space="preserve"> clindamycin.  </w:t>
      </w:r>
    </w:p>
    <w:p w:rsidR="001E0ED3" w:rsidRPr="009376AB" w:rsidRDefault="001E0ED3" w:rsidP="001E0ED3">
      <w:pPr>
        <w:rPr>
          <w:sz w:val="24"/>
          <w:szCs w:val="24"/>
        </w:rPr>
      </w:pPr>
    </w:p>
    <w:p w:rsidR="001E0ED3" w:rsidRPr="009376AB" w:rsidRDefault="001E0ED3" w:rsidP="001E0ED3">
      <w:pPr>
        <w:ind w:left="851"/>
        <w:rPr>
          <w:sz w:val="24"/>
          <w:szCs w:val="24"/>
        </w:rPr>
      </w:pPr>
      <w:r w:rsidRPr="009376AB">
        <w:rPr>
          <w:sz w:val="24"/>
          <w:szCs w:val="24"/>
        </w:rPr>
        <w:t>Clarithromycin må kun infunderes i en velfungerende intravenøs adgang i en ekstremitetsvene, da det er stærkt venotoksisk ved indgift i små vener.</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4.5</w:t>
      </w:r>
      <w:r w:rsidRPr="00A6772A">
        <w:rPr>
          <w:b/>
          <w:sz w:val="24"/>
          <w:szCs w:val="24"/>
        </w:rPr>
        <w:tab/>
        <w:t>Interaktion med andre lægemidler og andre former for interaktion</w:t>
      </w:r>
    </w:p>
    <w:p w:rsidR="001E0ED3" w:rsidRDefault="001E0ED3" w:rsidP="001E0ED3">
      <w:pPr>
        <w:ind w:left="851"/>
        <w:rPr>
          <w:sz w:val="24"/>
          <w:szCs w:val="24"/>
        </w:rPr>
      </w:pPr>
      <w:r>
        <w:rPr>
          <w:sz w:val="24"/>
          <w:szCs w:val="24"/>
        </w:rPr>
        <w:t>Anvendelse af følgende lægemidler er strengt kontraindiceret på grund af potentiel risiko for alvorlige lægemiddelinteraktioner (se pkt. 4.3):</w:t>
      </w:r>
    </w:p>
    <w:p w:rsidR="001E0ED3" w:rsidRDefault="001E0ED3" w:rsidP="001E0ED3">
      <w:pPr>
        <w:ind w:left="851"/>
        <w:rPr>
          <w:sz w:val="24"/>
          <w:szCs w:val="24"/>
          <w:u w:val="single"/>
        </w:rPr>
      </w:pPr>
    </w:p>
    <w:p w:rsidR="001E0ED3" w:rsidRDefault="001E0ED3" w:rsidP="001E0ED3">
      <w:pPr>
        <w:pStyle w:val="DefaultText"/>
        <w:tabs>
          <w:tab w:val="left" w:pos="851"/>
        </w:tabs>
        <w:ind w:left="851"/>
        <w:rPr>
          <w:szCs w:val="24"/>
          <w:u w:val="single"/>
          <w:lang w:val="da-DK"/>
        </w:rPr>
      </w:pPr>
      <w:r w:rsidRPr="009376AB">
        <w:rPr>
          <w:szCs w:val="24"/>
          <w:u w:val="single"/>
          <w:lang w:val="da-DK"/>
        </w:rPr>
        <w:t>Cisaprid, pimozid, domperidon, astemizol og terfenadin</w:t>
      </w:r>
      <w:r>
        <w:rPr>
          <w:szCs w:val="24"/>
          <w:u w:val="single"/>
          <w:lang w:val="da-DK"/>
        </w:rPr>
        <w:t xml:space="preserve">: </w:t>
      </w:r>
    </w:p>
    <w:p w:rsidR="001E0ED3" w:rsidRDefault="001E0ED3" w:rsidP="001E0ED3">
      <w:pPr>
        <w:ind w:left="851"/>
        <w:rPr>
          <w:sz w:val="24"/>
          <w:szCs w:val="24"/>
        </w:rPr>
      </w:pPr>
      <w:r>
        <w:rPr>
          <w:spacing w:val="-3"/>
          <w:sz w:val="24"/>
          <w:szCs w:val="24"/>
        </w:rPr>
        <w:t xml:space="preserve">Der er rapporteret om forhøjede cisaprid-plasmakoncentrationer hos patienter ved samtidig administration af clarithromycin og cisaprid. Dette kan resultere i forlænget QT-interval og kardielle arytmier inklusive ventrikulær takykardi, ventrikelflimren og Torsade de Pointes. Lignende effekt er set efter administration af clarithromycin og pimozid (se pkt. 4.3). </w:t>
      </w:r>
      <w:r>
        <w:rPr>
          <w:sz w:val="24"/>
          <w:szCs w:val="24"/>
        </w:rPr>
        <w:t>Samtidig brug af clarithromycin og cisaprid eller pimozid er kontraindiceret (se pkt. 4.3).</w:t>
      </w:r>
    </w:p>
    <w:p w:rsidR="001E0ED3" w:rsidRDefault="001E0ED3" w:rsidP="001E0ED3">
      <w:pPr>
        <w:ind w:left="851"/>
        <w:rPr>
          <w:sz w:val="24"/>
          <w:szCs w:val="24"/>
        </w:rPr>
      </w:pPr>
    </w:p>
    <w:p w:rsidR="001E0ED3" w:rsidRDefault="001E0ED3" w:rsidP="001E0ED3">
      <w:pPr>
        <w:tabs>
          <w:tab w:val="left" w:pos="851"/>
        </w:tabs>
        <w:ind w:left="851"/>
        <w:rPr>
          <w:sz w:val="24"/>
          <w:szCs w:val="24"/>
        </w:rPr>
      </w:pPr>
      <w:r>
        <w:rPr>
          <w:sz w:val="24"/>
          <w:szCs w:val="24"/>
        </w:rPr>
        <w:t xml:space="preserve">Clarithromycin og andre makrolider kan ændre metaboliseringen af terfenadin resulterende i stigning i plasmakoncentrationen af terfenadin. Dette er lejlighedsvist blevet sat i forbindelse med kardielle arytmier som forlænget QT-interval, ventrikulær takykardi, </w:t>
      </w:r>
      <w:r>
        <w:rPr>
          <w:spacing w:val="-3"/>
          <w:sz w:val="24"/>
          <w:szCs w:val="24"/>
        </w:rPr>
        <w:t>ventrikelflimren</w:t>
      </w:r>
      <w:r>
        <w:rPr>
          <w:sz w:val="24"/>
          <w:szCs w:val="24"/>
        </w:rPr>
        <w:t xml:space="preserve"> og Torsade de Pointes (se pkt. 4.3). Samtidig brug er kontraindiceret (se </w:t>
      </w:r>
      <w:r>
        <w:rPr>
          <w:sz w:val="24"/>
          <w:szCs w:val="24"/>
        </w:rPr>
        <w:lastRenderedPageBreak/>
        <w:t xml:space="preserve">pkt. 4.3). I et forsøg med 14 raske frivillige, resulterede samtidig administration af clarithromycin og terfenadin i en stigning på 2-3 gange i serumniveauet af terfenadins sure metabolit og i </w:t>
      </w:r>
      <w:r>
        <w:rPr>
          <w:spacing w:val="-3"/>
          <w:sz w:val="24"/>
          <w:szCs w:val="24"/>
        </w:rPr>
        <w:t xml:space="preserve">forlænget QT-interval </w:t>
      </w:r>
      <w:r>
        <w:rPr>
          <w:sz w:val="24"/>
          <w:szCs w:val="24"/>
        </w:rPr>
        <w:t xml:space="preserve">uden </w:t>
      </w:r>
      <w:r>
        <w:rPr>
          <w:spacing w:val="-3"/>
          <w:sz w:val="24"/>
          <w:szCs w:val="24"/>
        </w:rPr>
        <w:t>nogen påviselig klinisk effekt. Der er set lignende effekt ved samtidig administration af a</w:t>
      </w:r>
      <w:r>
        <w:rPr>
          <w:sz w:val="24"/>
          <w:szCs w:val="24"/>
        </w:rPr>
        <w:t>stemizol og andre makrolider.</w:t>
      </w:r>
    </w:p>
    <w:p w:rsidR="001E0ED3" w:rsidRDefault="001E0ED3" w:rsidP="001E0ED3">
      <w:pPr>
        <w:pStyle w:val="DefaultText"/>
        <w:tabs>
          <w:tab w:val="left" w:pos="851"/>
        </w:tabs>
        <w:ind w:left="851"/>
        <w:rPr>
          <w:szCs w:val="24"/>
          <w:lang w:val="da-DK"/>
        </w:rPr>
      </w:pPr>
    </w:p>
    <w:p w:rsidR="001E0ED3" w:rsidRDefault="001E0ED3" w:rsidP="001E0ED3">
      <w:pPr>
        <w:tabs>
          <w:tab w:val="left" w:pos="851"/>
        </w:tabs>
        <w:ind w:left="851"/>
        <w:rPr>
          <w:spacing w:val="-3"/>
          <w:sz w:val="24"/>
          <w:szCs w:val="24"/>
        </w:rPr>
      </w:pPr>
      <w:r w:rsidRPr="009376AB">
        <w:rPr>
          <w:szCs w:val="24"/>
          <w:u w:val="single"/>
        </w:rPr>
        <w:t>Ergotalkaloider:</w:t>
      </w:r>
      <w:r>
        <w:rPr>
          <w:szCs w:val="24"/>
          <w:u w:val="single"/>
        </w:rPr>
        <w:br/>
      </w:r>
      <w:r>
        <w:rPr>
          <w:spacing w:val="-3"/>
          <w:sz w:val="24"/>
          <w:szCs w:val="24"/>
        </w:rPr>
        <w:t>Rapporter efter markedsføring tyder på, at samtidig administration af clarithromycin og ergotamin eller dihydroergotamin, kan føre til akut ergotamin-forgiftning med symptomer såsom vasospasmer og iskæmi af ekstremiteterne og andre væv inklusive centralnervesystemet. Samtidig brug af c</w:t>
      </w:r>
      <w:r>
        <w:rPr>
          <w:bCs/>
          <w:sz w:val="24"/>
          <w:szCs w:val="24"/>
        </w:rPr>
        <w:t xml:space="preserve">larithromycin og disse </w:t>
      </w:r>
      <w:r w:rsidRPr="009376AB">
        <w:rPr>
          <w:bCs/>
          <w:sz w:val="24"/>
          <w:szCs w:val="24"/>
        </w:rPr>
        <w:t>ergotalkaloider</w:t>
      </w:r>
      <w:r>
        <w:rPr>
          <w:bCs/>
          <w:sz w:val="24"/>
          <w:szCs w:val="24"/>
        </w:rPr>
        <w:t xml:space="preserve"> </w:t>
      </w:r>
      <w:r>
        <w:rPr>
          <w:spacing w:val="-3"/>
          <w:sz w:val="24"/>
          <w:szCs w:val="24"/>
        </w:rPr>
        <w:t>er kontraindiceret (se pkt. 4.3).</w:t>
      </w:r>
    </w:p>
    <w:p w:rsidR="001E0ED3" w:rsidRDefault="001E0ED3" w:rsidP="001E0ED3">
      <w:pPr>
        <w:rPr>
          <w:sz w:val="24"/>
          <w:szCs w:val="24"/>
          <w:lang w:eastAsia="sv-SE"/>
        </w:rPr>
      </w:pPr>
    </w:p>
    <w:p w:rsidR="001E0ED3" w:rsidRPr="004A12A9" w:rsidRDefault="001E0ED3" w:rsidP="001E0ED3">
      <w:pPr>
        <w:keepNext/>
        <w:ind w:left="851"/>
        <w:rPr>
          <w:sz w:val="24"/>
          <w:szCs w:val="24"/>
          <w:u w:val="single"/>
        </w:rPr>
      </w:pPr>
      <w:r w:rsidRPr="004A12A9">
        <w:rPr>
          <w:sz w:val="24"/>
          <w:szCs w:val="24"/>
          <w:u w:val="single"/>
        </w:rPr>
        <w:t>Oral midazolam:</w:t>
      </w:r>
    </w:p>
    <w:p w:rsidR="001E0ED3" w:rsidRPr="004A12A9" w:rsidRDefault="001E0ED3" w:rsidP="001E0ED3">
      <w:pPr>
        <w:ind w:left="851"/>
        <w:rPr>
          <w:sz w:val="24"/>
          <w:szCs w:val="24"/>
        </w:rPr>
      </w:pPr>
      <w:r w:rsidRPr="004A12A9">
        <w:rPr>
          <w:sz w:val="24"/>
          <w:szCs w:val="24"/>
        </w:rPr>
        <w:t xml:space="preserve">Ved samtidig indtagelse af midazolam og clarithromycin tabletter (500 mg 2 gange dagligt), øgedes midazolam AUC 7 gange efter oral administration. Samtidig indtagelse af oral midazolam og clarithromycin er derfor kontraindiceret (se pkt. 4.3).  </w:t>
      </w:r>
    </w:p>
    <w:p w:rsidR="001E0ED3" w:rsidRPr="004A12A9" w:rsidRDefault="001E0ED3" w:rsidP="001E0ED3">
      <w:pPr>
        <w:ind w:left="851"/>
        <w:rPr>
          <w:sz w:val="24"/>
          <w:szCs w:val="24"/>
        </w:rPr>
      </w:pPr>
    </w:p>
    <w:p w:rsidR="001E0ED3" w:rsidRPr="004A12A9" w:rsidRDefault="001E0ED3" w:rsidP="001E0ED3">
      <w:pPr>
        <w:ind w:left="851"/>
        <w:rPr>
          <w:sz w:val="24"/>
          <w:szCs w:val="24"/>
        </w:rPr>
      </w:pPr>
      <w:r w:rsidRPr="004A12A9">
        <w:rPr>
          <w:sz w:val="24"/>
          <w:szCs w:val="24"/>
          <w:u w:val="single"/>
        </w:rPr>
        <w:t>HMG-CoA reduktasehæmmere (statiner):</w:t>
      </w:r>
      <w:r w:rsidRPr="004A12A9">
        <w:rPr>
          <w:sz w:val="24"/>
          <w:szCs w:val="24"/>
        </w:rPr>
        <w:t xml:space="preserve"> </w:t>
      </w:r>
    </w:p>
    <w:p w:rsidR="001E0ED3" w:rsidRPr="004A12A9" w:rsidRDefault="001E0ED3" w:rsidP="001E0ED3">
      <w:pPr>
        <w:ind w:left="851"/>
        <w:rPr>
          <w:iCs/>
          <w:sz w:val="24"/>
          <w:szCs w:val="24"/>
        </w:rPr>
      </w:pPr>
      <w:r w:rsidRPr="004A12A9">
        <w:rPr>
          <w:sz w:val="24"/>
          <w:szCs w:val="24"/>
        </w:rPr>
        <w:t xml:space="preserve">Samtidig brug af clarithromycin og </w:t>
      </w:r>
      <w:r w:rsidRPr="004A12A9">
        <w:rPr>
          <w:iCs/>
          <w:sz w:val="24"/>
          <w:szCs w:val="24"/>
        </w:rPr>
        <w:t xml:space="preserve">lovastatin eller simvastatin er kontraindiceret </w:t>
      </w:r>
      <w:r w:rsidRPr="004A12A9">
        <w:rPr>
          <w:sz w:val="24"/>
          <w:szCs w:val="24"/>
        </w:rPr>
        <w:t>(se pkt. 4.3), da disse statiner i udstrakt grad metaboliseres af CYP3A4. Samtidig behandling med clarithromycin øger deres plasmakoncentration, hvilket øger risikoen for myopati, inklusiv rhabdomyolyse. Der er rapporter om rhabdomyolyse hos patienter, der tager clarithromycin samtidig med sådanne statiner. Hvis behandling med</w:t>
      </w:r>
      <w:r w:rsidRPr="004A12A9">
        <w:rPr>
          <w:iCs/>
          <w:sz w:val="24"/>
          <w:szCs w:val="24"/>
        </w:rPr>
        <w:t xml:space="preserve"> clarithromycin ikke kan undgås, skal behandling med sådanne statiner seponeres under behandlingsforløbet. </w:t>
      </w:r>
    </w:p>
    <w:p w:rsidR="001E0ED3" w:rsidRPr="004A12A9" w:rsidRDefault="001E0ED3" w:rsidP="001E0ED3">
      <w:pPr>
        <w:ind w:left="851"/>
        <w:rPr>
          <w:iCs/>
          <w:sz w:val="24"/>
          <w:szCs w:val="24"/>
        </w:rPr>
      </w:pPr>
    </w:p>
    <w:p w:rsidR="001E0ED3" w:rsidRDefault="001E0ED3" w:rsidP="001E0ED3">
      <w:pPr>
        <w:ind w:left="851"/>
        <w:rPr>
          <w:sz w:val="24"/>
          <w:szCs w:val="24"/>
        </w:rPr>
      </w:pPr>
      <w:r w:rsidRPr="004A12A9">
        <w:rPr>
          <w:iCs/>
          <w:sz w:val="24"/>
          <w:szCs w:val="24"/>
        </w:rPr>
        <w:t xml:space="preserve">Der bør udvises forsigtighed, når clarithromycin ordineres sammen med statiner. I situationer, hvor samtidig brug af clarithromycin med statiner ikke kan undgås, anbefales det at ordinere den lavest mulige dosis af statin. </w:t>
      </w:r>
      <w:r w:rsidRPr="004A12A9">
        <w:rPr>
          <w:sz w:val="24"/>
          <w:szCs w:val="24"/>
        </w:rPr>
        <w:t>Brug af et statin, som ikke metaboliseres af CYP3A (fx fluvastatin) kan overvejes. Patienter bør monitoreres for tegn og symptomer på myopati.</w:t>
      </w:r>
    </w:p>
    <w:p w:rsidR="004B58A7" w:rsidRDefault="004B58A7" w:rsidP="004B58A7">
      <w:pPr>
        <w:ind w:left="851"/>
        <w:rPr>
          <w:sz w:val="24"/>
          <w:szCs w:val="24"/>
        </w:rPr>
      </w:pPr>
    </w:p>
    <w:p w:rsidR="004B58A7" w:rsidRDefault="004B58A7" w:rsidP="004B58A7">
      <w:pPr>
        <w:ind w:left="851"/>
        <w:rPr>
          <w:sz w:val="24"/>
          <w:szCs w:val="24"/>
        </w:rPr>
      </w:pPr>
      <w:r>
        <w:rPr>
          <w:sz w:val="24"/>
          <w:szCs w:val="24"/>
        </w:rPr>
        <w:t>Samtidig administration af clarithromycin med lomitapid er kontraindiceret på grund af de potentielle risici for markant forhøjede transaminaser (se pkt. 4.3).</w:t>
      </w:r>
    </w:p>
    <w:p w:rsidR="004B58A7" w:rsidRDefault="004B58A7" w:rsidP="004B58A7">
      <w:pPr>
        <w:tabs>
          <w:tab w:val="left" w:pos="0"/>
          <w:tab w:val="left" w:pos="851"/>
        </w:tabs>
        <w:rPr>
          <w:b/>
          <w:spacing w:val="-3"/>
          <w:sz w:val="24"/>
          <w:szCs w:val="24"/>
        </w:rPr>
      </w:pPr>
    </w:p>
    <w:p w:rsidR="001E0ED3" w:rsidRDefault="001E0ED3" w:rsidP="001E0ED3">
      <w:pPr>
        <w:tabs>
          <w:tab w:val="left" w:pos="0"/>
          <w:tab w:val="left" w:pos="851"/>
        </w:tabs>
        <w:rPr>
          <w:b/>
          <w:spacing w:val="-3"/>
          <w:sz w:val="24"/>
          <w:szCs w:val="24"/>
        </w:rPr>
      </w:pPr>
      <w:r>
        <w:rPr>
          <w:b/>
          <w:spacing w:val="-3"/>
          <w:sz w:val="24"/>
          <w:szCs w:val="24"/>
        </w:rPr>
        <w:tab/>
        <w:t>Samtidig anvendelse af følgende andre præparater kan ikke anbefales.</w:t>
      </w:r>
    </w:p>
    <w:p w:rsidR="001E0ED3" w:rsidRDefault="001E0ED3" w:rsidP="001E0ED3">
      <w:pPr>
        <w:ind w:left="851"/>
        <w:rPr>
          <w:sz w:val="24"/>
          <w:szCs w:val="24"/>
        </w:rPr>
      </w:pPr>
      <w:r>
        <w:rPr>
          <w:sz w:val="24"/>
          <w:szCs w:val="24"/>
        </w:rPr>
        <w:t>Følgende lægemidler er kendt eller mistænkt for at ændre clarithromycins plasma-koncentration. Dosisjustering af clarithromycin eller overvejelse af alternative behandlinger kan være påkrævet.</w:t>
      </w:r>
    </w:p>
    <w:p w:rsidR="001E0ED3" w:rsidRDefault="001E0ED3" w:rsidP="001E0ED3">
      <w:pPr>
        <w:ind w:left="851"/>
        <w:rPr>
          <w:sz w:val="24"/>
          <w:szCs w:val="24"/>
        </w:rPr>
      </w:pPr>
    </w:p>
    <w:p w:rsidR="001E0ED3" w:rsidRDefault="001E0ED3" w:rsidP="001E0ED3">
      <w:pPr>
        <w:ind w:left="851"/>
        <w:rPr>
          <w:sz w:val="24"/>
          <w:szCs w:val="24"/>
        </w:rPr>
      </w:pPr>
      <w:r>
        <w:rPr>
          <w:sz w:val="24"/>
          <w:szCs w:val="24"/>
        </w:rPr>
        <w:t xml:space="preserve">Samtidig brug af clarithromycin og antimykotika, azoler (ketoconazol) øger risikoen for hjertetoksicitet (forlænget QT-interval, Torsades de Pointes, hjertestop), hvorfor kombinationsbehandling frarådes. </w:t>
      </w:r>
    </w:p>
    <w:p w:rsidR="001E0ED3" w:rsidRDefault="001E0ED3" w:rsidP="001E0ED3">
      <w:pPr>
        <w:ind w:left="851"/>
        <w:rPr>
          <w:sz w:val="24"/>
          <w:szCs w:val="24"/>
        </w:rPr>
      </w:pPr>
    </w:p>
    <w:p w:rsidR="001E0ED3" w:rsidRDefault="001E0ED3" w:rsidP="001E0ED3">
      <w:pPr>
        <w:ind w:left="851"/>
        <w:rPr>
          <w:sz w:val="24"/>
          <w:szCs w:val="24"/>
        </w:rPr>
      </w:pPr>
      <w:r>
        <w:rPr>
          <w:sz w:val="24"/>
          <w:szCs w:val="24"/>
        </w:rPr>
        <w:t xml:space="preserve">Samtidig brug af clarithromycin og nifedipin øger risikoen hjertetoksicitet (forlænget </w:t>
      </w:r>
      <w:proofErr w:type="gramStart"/>
      <w:r>
        <w:rPr>
          <w:sz w:val="24"/>
          <w:szCs w:val="24"/>
        </w:rPr>
        <w:t>QT interval</w:t>
      </w:r>
      <w:proofErr w:type="gramEnd"/>
      <w:r>
        <w:rPr>
          <w:sz w:val="24"/>
          <w:szCs w:val="24"/>
        </w:rPr>
        <w:t xml:space="preserve">, Torsades de Pointes, hjertestop), hvorfor kombinationsbehandling frarådes. </w:t>
      </w:r>
      <w:r>
        <w:rPr>
          <w:spacing w:val="-3"/>
          <w:sz w:val="24"/>
          <w:szCs w:val="24"/>
        </w:rPr>
        <w:t xml:space="preserve">Der er observeret </w:t>
      </w:r>
      <w:r>
        <w:rPr>
          <w:sz w:val="24"/>
          <w:szCs w:val="24"/>
        </w:rPr>
        <w:t>hypotension og bradykardi hos en patient, som blev behandlet med clarithromycin og verapamil samtidig.</w:t>
      </w:r>
    </w:p>
    <w:p w:rsidR="001E0ED3" w:rsidRDefault="001E0ED3" w:rsidP="001E0ED3">
      <w:pPr>
        <w:ind w:left="851"/>
        <w:rPr>
          <w:rStyle w:val="longtext1"/>
          <w:sz w:val="24"/>
          <w:szCs w:val="24"/>
          <w:shd w:val="clear" w:color="auto" w:fill="FFFFFF"/>
        </w:rPr>
      </w:pPr>
    </w:p>
    <w:p w:rsidR="001E0ED3" w:rsidRPr="00616257" w:rsidRDefault="001E0ED3" w:rsidP="001E0ED3">
      <w:pPr>
        <w:ind w:left="851"/>
        <w:rPr>
          <w:sz w:val="24"/>
          <w:szCs w:val="24"/>
        </w:rPr>
      </w:pPr>
      <w:r w:rsidRPr="00616257">
        <w:rPr>
          <w:sz w:val="24"/>
          <w:szCs w:val="24"/>
        </w:rPr>
        <w:t xml:space="preserve">Der er rapporteret om mælkesyreacidose ved samtidig brug af verapamil og et ketolid-antibiotika, telithromycin (1 tilfælde), på grund af mulighed for hæmning af CYP3A. Da </w:t>
      </w:r>
      <w:r w:rsidRPr="00616257">
        <w:rPr>
          <w:sz w:val="24"/>
          <w:szCs w:val="24"/>
        </w:rPr>
        <w:lastRenderedPageBreak/>
        <w:t xml:space="preserve">clarithromycin også er </w:t>
      </w:r>
      <w:proofErr w:type="gramStart"/>
      <w:r w:rsidRPr="00616257">
        <w:rPr>
          <w:sz w:val="24"/>
          <w:szCs w:val="24"/>
        </w:rPr>
        <w:t>et makrolid</w:t>
      </w:r>
      <w:proofErr w:type="gramEnd"/>
      <w:r w:rsidRPr="00616257">
        <w:rPr>
          <w:sz w:val="24"/>
          <w:szCs w:val="24"/>
        </w:rPr>
        <w:t xml:space="preserve"> og en CYP3A-hæmmer, kan en lignende interaktion med verapamil muligvis forekomme</w:t>
      </w:r>
      <w:r w:rsidRPr="00616257">
        <w:rPr>
          <w:bCs/>
          <w:sz w:val="24"/>
          <w:szCs w:val="24"/>
        </w:rPr>
        <w:t>.</w:t>
      </w:r>
    </w:p>
    <w:p w:rsidR="001E0ED3" w:rsidRDefault="001E0ED3" w:rsidP="001E0ED3">
      <w:pPr>
        <w:ind w:left="851"/>
        <w:rPr>
          <w:sz w:val="24"/>
          <w:szCs w:val="24"/>
        </w:rPr>
      </w:pPr>
    </w:p>
    <w:p w:rsidR="001E0ED3" w:rsidRPr="00616257" w:rsidRDefault="001E0ED3" w:rsidP="0026790C">
      <w:pPr>
        <w:pStyle w:val="DefaultText"/>
        <w:keepNext/>
        <w:tabs>
          <w:tab w:val="left" w:pos="851"/>
        </w:tabs>
        <w:ind w:left="851"/>
        <w:rPr>
          <w:b/>
          <w:szCs w:val="24"/>
          <w:lang w:val="da-DK"/>
        </w:rPr>
      </w:pPr>
      <w:r w:rsidRPr="00616257">
        <w:rPr>
          <w:b/>
          <w:szCs w:val="24"/>
          <w:lang w:val="da-DK"/>
        </w:rPr>
        <w:t>Andre lægemidlers virkning på clarithromycin</w:t>
      </w:r>
    </w:p>
    <w:p w:rsidR="001E0ED3" w:rsidRPr="003E10D3" w:rsidRDefault="001E0ED3" w:rsidP="001E0ED3">
      <w:pPr>
        <w:tabs>
          <w:tab w:val="left" w:pos="851"/>
        </w:tabs>
        <w:ind w:left="851"/>
        <w:rPr>
          <w:iCs/>
          <w:color w:val="000000"/>
          <w:sz w:val="24"/>
          <w:szCs w:val="24"/>
        </w:rPr>
      </w:pPr>
      <w:r w:rsidRPr="009376AB">
        <w:rPr>
          <w:iCs/>
          <w:color w:val="000000"/>
          <w:sz w:val="24"/>
          <w:szCs w:val="24"/>
        </w:rPr>
        <w:t>Lægemidler, som inducerer CYP3A (f.eks. rifampicin, phenytoin, carbamazepin, fenobarbital, perikon), kan inducere clarithromycins metabolisering. Dette kan resultere i sub-terapeutiske niveauer af clarithromycin, hvilket kan føre til en reduceret effekt. Desuden kan det være nødvendigt at overvåge plasmaniveauerne af CYP3A-indu</w:t>
      </w:r>
      <w:r w:rsidRPr="00FE0041">
        <w:rPr>
          <w:iCs/>
          <w:color w:val="000000"/>
          <w:sz w:val="24"/>
          <w:szCs w:val="24"/>
        </w:rPr>
        <w:t>ceren, som vil kunne øges på grund af clarithromycins hæmning af CYP3A (se også relevant produktinformation for den administrerede CYP3A4-inducer</w:t>
      </w:r>
      <w:r w:rsidRPr="003E10D3">
        <w:rPr>
          <w:iCs/>
          <w:color w:val="000000"/>
          <w:sz w:val="24"/>
          <w:szCs w:val="24"/>
        </w:rPr>
        <w:t>). Samtidig administration af rifabutin og clarithromycin resulterede i en stigning i rifabutins og et fald i clarithromycins serumniveau samtidig med en øget risiko for uveitis.</w:t>
      </w:r>
    </w:p>
    <w:p w:rsidR="001E0ED3" w:rsidRDefault="001E0ED3" w:rsidP="001E0ED3">
      <w:pPr>
        <w:rPr>
          <w:sz w:val="24"/>
          <w:szCs w:val="24"/>
        </w:rPr>
      </w:pPr>
    </w:p>
    <w:p w:rsidR="001E0ED3" w:rsidRDefault="001E0ED3" w:rsidP="001E0ED3">
      <w:pPr>
        <w:ind w:left="851"/>
        <w:rPr>
          <w:b/>
          <w:sz w:val="24"/>
          <w:szCs w:val="24"/>
        </w:rPr>
      </w:pPr>
      <w:r>
        <w:rPr>
          <w:b/>
          <w:sz w:val="24"/>
          <w:szCs w:val="24"/>
        </w:rPr>
        <w:t>Samtidig anvendelse af følgende andre præparater medfører forholdsregler og dosisjustering.</w:t>
      </w:r>
    </w:p>
    <w:p w:rsidR="001E0ED3" w:rsidRDefault="001E0ED3" w:rsidP="001E0ED3">
      <w:pPr>
        <w:tabs>
          <w:tab w:val="left" w:pos="851"/>
        </w:tabs>
        <w:ind w:left="851"/>
        <w:rPr>
          <w:sz w:val="24"/>
          <w:szCs w:val="24"/>
        </w:rPr>
      </w:pPr>
      <w:r>
        <w:rPr>
          <w:sz w:val="24"/>
          <w:szCs w:val="24"/>
        </w:rPr>
        <w:t>Følgende lægemidler er kendt eller mistænkt for at påvirke den cirkulerende koncentration af clarithromycin; dosisjustering af clarithromycin eller overvejelse af alternative behandlinger kan være påkrævet.</w:t>
      </w:r>
    </w:p>
    <w:p w:rsidR="001E0ED3" w:rsidRDefault="001E0ED3" w:rsidP="001E0ED3">
      <w:pPr>
        <w:tabs>
          <w:tab w:val="left" w:pos="851"/>
        </w:tabs>
        <w:ind w:left="851"/>
        <w:rPr>
          <w:color w:val="000000"/>
          <w:sz w:val="24"/>
          <w:szCs w:val="24"/>
          <w:u w:val="single"/>
        </w:rPr>
      </w:pPr>
    </w:p>
    <w:p w:rsidR="001E0ED3" w:rsidRDefault="001E0ED3" w:rsidP="001E0ED3">
      <w:pPr>
        <w:tabs>
          <w:tab w:val="left" w:pos="851"/>
        </w:tabs>
        <w:autoSpaceDE w:val="0"/>
        <w:autoSpaceDN w:val="0"/>
        <w:adjustRightInd w:val="0"/>
        <w:ind w:left="851"/>
        <w:rPr>
          <w:color w:val="000000"/>
          <w:sz w:val="24"/>
          <w:szCs w:val="24"/>
          <w:u w:val="single"/>
        </w:rPr>
      </w:pPr>
      <w:r>
        <w:rPr>
          <w:color w:val="000000"/>
          <w:sz w:val="24"/>
          <w:szCs w:val="24"/>
          <w:u w:val="single"/>
        </w:rPr>
        <w:t xml:space="preserve">Efavirenz, nevirapin, rifampicin, rifabutin og rifapentin: </w:t>
      </w:r>
    </w:p>
    <w:p w:rsidR="001E0ED3" w:rsidRDefault="001E0ED3" w:rsidP="001E0ED3">
      <w:pPr>
        <w:tabs>
          <w:tab w:val="left" w:pos="851"/>
        </w:tabs>
        <w:autoSpaceDE w:val="0"/>
        <w:autoSpaceDN w:val="0"/>
        <w:adjustRightInd w:val="0"/>
        <w:ind w:left="851"/>
        <w:rPr>
          <w:sz w:val="24"/>
          <w:szCs w:val="24"/>
        </w:rPr>
      </w:pPr>
      <w:r>
        <w:rPr>
          <w:sz w:val="24"/>
          <w:szCs w:val="24"/>
        </w:rPr>
        <w:t xml:space="preserve">Stærke </w:t>
      </w:r>
      <w:proofErr w:type="gramStart"/>
      <w:r>
        <w:rPr>
          <w:sz w:val="24"/>
          <w:szCs w:val="24"/>
        </w:rPr>
        <w:t>inducere</w:t>
      </w:r>
      <w:proofErr w:type="gramEnd"/>
      <w:r>
        <w:rPr>
          <w:sz w:val="24"/>
          <w:szCs w:val="24"/>
        </w:rPr>
        <w:t xml:space="preserve"> af cytochrom P-450 metabolisme-systemet såsom efavirenz,</w:t>
      </w:r>
    </w:p>
    <w:p w:rsidR="001E0ED3" w:rsidRDefault="001E0ED3" w:rsidP="001E0ED3">
      <w:pPr>
        <w:tabs>
          <w:tab w:val="left" w:pos="851"/>
        </w:tabs>
        <w:autoSpaceDE w:val="0"/>
        <w:autoSpaceDN w:val="0"/>
        <w:adjustRightInd w:val="0"/>
        <w:ind w:left="851"/>
        <w:rPr>
          <w:color w:val="000000"/>
          <w:sz w:val="24"/>
          <w:szCs w:val="24"/>
          <w:u w:val="single"/>
        </w:rPr>
      </w:pPr>
      <w:r>
        <w:rPr>
          <w:sz w:val="24"/>
          <w:szCs w:val="24"/>
        </w:rPr>
        <w:t xml:space="preserve">nevirapin, rifampicin, rifabutin og rifapentin kan øge metabolisering af clarithromycin, og de kan dermed nedsætte clarithromycins plasma-niveau, mens plasma-niveauet for 14-OH-clarithromycin, en mikrobiologisk aktiv metabolit, stiger. Den tilsigtede terapeutiske virkning kan forringes ved samtidig administration af clarithromycin og enzym-inducere, da clarithromycin og 14-OH-clarithromycins mikrobiologiske aktivitet er forskellig overfor forskellige bakterier. </w:t>
      </w:r>
    </w:p>
    <w:p w:rsidR="001E0ED3" w:rsidRDefault="001E0ED3" w:rsidP="001E0ED3">
      <w:pPr>
        <w:autoSpaceDE w:val="0"/>
        <w:autoSpaceDN w:val="0"/>
        <w:adjustRightInd w:val="0"/>
        <w:ind w:firstLine="851"/>
        <w:rPr>
          <w:iCs/>
          <w:color w:val="000000"/>
          <w:sz w:val="24"/>
          <w:szCs w:val="24"/>
          <w:u w:val="single"/>
        </w:rPr>
      </w:pPr>
    </w:p>
    <w:p w:rsidR="001E0ED3" w:rsidRDefault="001E0ED3" w:rsidP="001E0ED3">
      <w:pPr>
        <w:autoSpaceDE w:val="0"/>
        <w:autoSpaceDN w:val="0"/>
        <w:adjustRightInd w:val="0"/>
        <w:ind w:firstLine="851"/>
        <w:rPr>
          <w:iCs/>
          <w:color w:val="000000"/>
          <w:sz w:val="24"/>
          <w:szCs w:val="24"/>
          <w:u w:val="single"/>
        </w:rPr>
      </w:pPr>
      <w:r>
        <w:rPr>
          <w:iCs/>
          <w:color w:val="000000"/>
          <w:sz w:val="24"/>
          <w:szCs w:val="24"/>
          <w:u w:val="single"/>
        </w:rPr>
        <w:t>Etravirin:</w:t>
      </w:r>
    </w:p>
    <w:p w:rsidR="001E0ED3" w:rsidRDefault="001E0ED3" w:rsidP="001E0ED3">
      <w:pPr>
        <w:autoSpaceDE w:val="0"/>
        <w:autoSpaceDN w:val="0"/>
        <w:adjustRightInd w:val="0"/>
        <w:ind w:left="851"/>
        <w:rPr>
          <w:iCs/>
          <w:color w:val="000000"/>
          <w:sz w:val="24"/>
          <w:szCs w:val="24"/>
        </w:rPr>
      </w:pPr>
      <w:r>
        <w:rPr>
          <w:iCs/>
          <w:color w:val="000000"/>
          <w:sz w:val="24"/>
          <w:szCs w:val="24"/>
        </w:rPr>
        <w:t>Clarithromycin eksponering blev nedsat af etravirin; hvorimod koncentrationen af den aktive metabolit, 14-OH-clarithromycin steg. Da 14-OH-clarithromycin havde reduceret effekt overfor Mycobacterium avium kompleks (MAC), kan den samlede effekt over for dette patogen blive nedsat. Alternativer til clarithromycin bør derfor overvejes til behandling af MAC.</w:t>
      </w:r>
    </w:p>
    <w:p w:rsidR="001E0ED3" w:rsidRPr="00477EB2" w:rsidRDefault="001E0ED3" w:rsidP="001E0ED3">
      <w:pPr>
        <w:ind w:left="851"/>
        <w:rPr>
          <w:sz w:val="24"/>
          <w:szCs w:val="24"/>
        </w:rPr>
      </w:pPr>
    </w:p>
    <w:p w:rsidR="001E0ED3" w:rsidRDefault="001E0ED3" w:rsidP="001E0ED3">
      <w:pPr>
        <w:tabs>
          <w:tab w:val="left" w:pos="851"/>
        </w:tabs>
        <w:ind w:left="851"/>
        <w:rPr>
          <w:sz w:val="24"/>
          <w:szCs w:val="24"/>
          <w:u w:val="single"/>
        </w:rPr>
      </w:pPr>
      <w:r>
        <w:rPr>
          <w:sz w:val="24"/>
          <w:szCs w:val="24"/>
          <w:u w:val="single"/>
        </w:rPr>
        <w:t>Fluconazol:</w:t>
      </w:r>
    </w:p>
    <w:p w:rsidR="001E0ED3" w:rsidRDefault="001E0ED3" w:rsidP="001E0ED3">
      <w:pPr>
        <w:tabs>
          <w:tab w:val="left" w:pos="851"/>
        </w:tabs>
        <w:ind w:left="851"/>
        <w:rPr>
          <w:sz w:val="24"/>
          <w:szCs w:val="24"/>
          <w:u w:val="single"/>
        </w:rPr>
      </w:pPr>
      <w:r>
        <w:rPr>
          <w:color w:val="000000"/>
          <w:sz w:val="24"/>
          <w:szCs w:val="24"/>
        </w:rPr>
        <w:t>Samtidig administration af 200 mg fluconazol daglig og 500 mg clarithromycin to gange daglig til 21 raske frivillige, førte til stigninger i den gennemsnitlige steady-state minimumskoncentration af clarithromycin (C-min) og arealet under kurven (AUC) på henholdsvis 33 % og 18 %. Steady state koncentrationerne af den aktive metabolit 14-OH clarithromycin b</w:t>
      </w:r>
      <w:r>
        <w:rPr>
          <w:sz w:val="24"/>
          <w:szCs w:val="24"/>
        </w:rPr>
        <w:t>lev ikke signifikant påvirket ved samtidig administration af fluconazol. Det er ikke nødvendigt med justering af clarithromycin-dosis.</w:t>
      </w:r>
    </w:p>
    <w:p w:rsidR="001E0ED3" w:rsidRDefault="001E0ED3" w:rsidP="001E0ED3">
      <w:pPr>
        <w:rPr>
          <w:sz w:val="24"/>
          <w:szCs w:val="24"/>
          <w:u w:val="single"/>
        </w:rPr>
      </w:pPr>
    </w:p>
    <w:p w:rsidR="001E0ED3" w:rsidRDefault="001E0ED3" w:rsidP="001E0ED3">
      <w:pPr>
        <w:ind w:firstLine="851"/>
        <w:rPr>
          <w:b/>
          <w:bCs/>
          <w:i/>
          <w:sz w:val="24"/>
          <w:szCs w:val="24"/>
          <w:u w:val="single"/>
        </w:rPr>
      </w:pPr>
      <w:r>
        <w:rPr>
          <w:sz w:val="24"/>
          <w:szCs w:val="24"/>
          <w:u w:val="single"/>
        </w:rPr>
        <w:t>Ritonavir:</w:t>
      </w:r>
    </w:p>
    <w:p w:rsidR="001E0ED3" w:rsidRDefault="001E0ED3" w:rsidP="001E0ED3">
      <w:pPr>
        <w:tabs>
          <w:tab w:val="left" w:pos="851"/>
        </w:tabs>
        <w:ind w:left="851"/>
        <w:rPr>
          <w:sz w:val="24"/>
          <w:szCs w:val="24"/>
        </w:rPr>
      </w:pPr>
      <w:r>
        <w:rPr>
          <w:sz w:val="24"/>
          <w:szCs w:val="24"/>
        </w:rPr>
        <w:t>Et farmakokinetisk forsøg har vist, at samtidig administration af ritonavir 200 mg hver 8. time og clarithromycin 500 mg hver 12. time resulterede i en markant hæmning af metabolisering af clarithromycin. Ved samtidig administration af ritonavir steg clarithromycins C</w:t>
      </w:r>
      <w:r>
        <w:rPr>
          <w:sz w:val="24"/>
          <w:szCs w:val="24"/>
          <w:vertAlign w:val="subscript"/>
        </w:rPr>
        <w:t>max</w:t>
      </w:r>
      <w:r>
        <w:rPr>
          <w:sz w:val="24"/>
          <w:szCs w:val="24"/>
        </w:rPr>
        <w:t xml:space="preserve"> med 31 %, C</w:t>
      </w:r>
      <w:r>
        <w:rPr>
          <w:sz w:val="24"/>
          <w:szCs w:val="24"/>
          <w:vertAlign w:val="subscript"/>
        </w:rPr>
        <w:t>min</w:t>
      </w:r>
      <w:r>
        <w:rPr>
          <w:sz w:val="24"/>
          <w:szCs w:val="24"/>
        </w:rPr>
        <w:t xml:space="preserve"> steg med 182 % og AUC steg med 77 %. Der blev set en næsten fuldstændig hæmning af dannelsen af 14-OH-clarithromycin. På grund af clarithromycins store terapeutiske vindue burde det ikke være nødvendigt med nedsættelse af dosis til patienter med normal nyrefunktion. Til patienter med nedsat nyrefunktion bør </w:t>
      </w:r>
      <w:r>
        <w:rPr>
          <w:sz w:val="24"/>
          <w:szCs w:val="24"/>
        </w:rPr>
        <w:lastRenderedPageBreak/>
        <w:t>følgende dosisjustering dog overvejes: Til patienter med CL</w:t>
      </w:r>
      <w:r>
        <w:rPr>
          <w:sz w:val="24"/>
          <w:szCs w:val="24"/>
          <w:vertAlign w:val="subscript"/>
        </w:rPr>
        <w:t>CR</w:t>
      </w:r>
      <w:r>
        <w:rPr>
          <w:sz w:val="24"/>
          <w:szCs w:val="24"/>
        </w:rPr>
        <w:t xml:space="preserve"> 30 til 60 ml/min, skal clarithromycin-dosis nedsættes med 50 %. Til patienter med CL</w:t>
      </w:r>
      <w:r>
        <w:rPr>
          <w:sz w:val="24"/>
          <w:szCs w:val="24"/>
          <w:vertAlign w:val="subscript"/>
        </w:rPr>
        <w:t>CR</w:t>
      </w:r>
      <w:r>
        <w:rPr>
          <w:sz w:val="24"/>
          <w:szCs w:val="24"/>
        </w:rPr>
        <w:t xml:space="preserve"> &lt;30 ml/min skal clarithromycin-dosis nedsættes med 75 %. Clarithromycin-doser, som er større end 1 gram/dag, bør ikke administreres sammen med ritonavir. </w:t>
      </w:r>
      <w:r>
        <w:rPr>
          <w:iCs/>
          <w:color w:val="000000"/>
          <w:sz w:val="24"/>
          <w:szCs w:val="24"/>
        </w:rPr>
        <w:t xml:space="preserve">Lignende dosisjusteringer bør overvejes til patienter med nedsat nyrefunktion, når ritonavir anvendes som farmakokinetisk forstærker med andre HIV protease-hæmmere inklusive atazanavir og saquinavir (se afsnittet nedenfor, </w:t>
      </w:r>
      <w:r>
        <w:rPr>
          <w:bCs/>
          <w:iCs/>
          <w:color w:val="000000"/>
          <w:sz w:val="24"/>
          <w:szCs w:val="24"/>
        </w:rPr>
        <w:t>Bi-direktionelle lægemiddelinteraktioner</w:t>
      </w:r>
      <w:r>
        <w:rPr>
          <w:iCs/>
          <w:color w:val="000000"/>
          <w:sz w:val="24"/>
          <w:szCs w:val="24"/>
        </w:rPr>
        <w:t>)</w:t>
      </w:r>
      <w:r>
        <w:rPr>
          <w:color w:val="000000"/>
          <w:sz w:val="24"/>
          <w:szCs w:val="24"/>
        </w:rPr>
        <w:t>.</w:t>
      </w:r>
    </w:p>
    <w:p w:rsidR="001E0ED3" w:rsidRDefault="001E0ED3" w:rsidP="001E0ED3">
      <w:pPr>
        <w:tabs>
          <w:tab w:val="left" w:pos="851"/>
        </w:tabs>
        <w:ind w:left="851"/>
        <w:rPr>
          <w:sz w:val="24"/>
          <w:szCs w:val="24"/>
        </w:rPr>
      </w:pPr>
    </w:p>
    <w:p w:rsidR="001E0ED3" w:rsidRDefault="001E0ED3" w:rsidP="001E0ED3">
      <w:pPr>
        <w:ind w:left="851"/>
        <w:rPr>
          <w:sz w:val="24"/>
          <w:szCs w:val="24"/>
        </w:rPr>
      </w:pPr>
      <w:r>
        <w:rPr>
          <w:sz w:val="24"/>
          <w:szCs w:val="24"/>
        </w:rPr>
        <w:t>Proteasehæmmere (ritonavir, nelfinavir) øger biotilgængeligheden af clarithromycin, hvorfor kombinationsbehandling kan kræve dosisjustering. Tilsvarende dosisjusteringer bør overvejes til patienter med nedsat nyrefunktion, når ritonavir bruges som farmakokinetisk forstærker sammen med andre HIV protease-hæmmere inklusive atazanavir og saquinavir (se sektionen nedenunder, bi-direktionelle lægemiddelinteraktioner).</w:t>
      </w:r>
    </w:p>
    <w:p w:rsidR="001E0ED3" w:rsidRDefault="001E0ED3" w:rsidP="001E0ED3">
      <w:pPr>
        <w:ind w:left="851"/>
        <w:rPr>
          <w:sz w:val="24"/>
          <w:szCs w:val="24"/>
          <w:u w:val="single"/>
        </w:rPr>
      </w:pPr>
    </w:p>
    <w:p w:rsidR="001E0ED3" w:rsidRDefault="001E0ED3" w:rsidP="001E0ED3">
      <w:pPr>
        <w:ind w:left="851"/>
        <w:rPr>
          <w:sz w:val="24"/>
          <w:szCs w:val="24"/>
          <w:u w:val="single"/>
        </w:rPr>
      </w:pPr>
      <w:r>
        <w:rPr>
          <w:sz w:val="24"/>
          <w:szCs w:val="24"/>
          <w:u w:val="single"/>
        </w:rPr>
        <w:t>Clarithromycins effekt på andre lægemidler:</w:t>
      </w:r>
    </w:p>
    <w:p w:rsidR="001E0ED3" w:rsidRDefault="001E0ED3" w:rsidP="001E0ED3">
      <w:pPr>
        <w:pStyle w:val="DefaultText"/>
        <w:tabs>
          <w:tab w:val="left" w:pos="851"/>
        </w:tabs>
        <w:ind w:left="851"/>
        <w:rPr>
          <w:i/>
          <w:szCs w:val="24"/>
          <w:lang w:val="da-DK"/>
        </w:rPr>
      </w:pPr>
      <w:r>
        <w:rPr>
          <w:i/>
          <w:szCs w:val="24"/>
          <w:lang w:val="da-DK"/>
        </w:rPr>
        <w:t>CYP3A-baserede interaktioner</w:t>
      </w:r>
    </w:p>
    <w:p w:rsidR="001E0ED3" w:rsidRDefault="001E0ED3" w:rsidP="001E0ED3">
      <w:pPr>
        <w:ind w:left="851"/>
        <w:rPr>
          <w:sz w:val="24"/>
          <w:szCs w:val="24"/>
        </w:rPr>
      </w:pPr>
      <w:r>
        <w:rPr>
          <w:sz w:val="24"/>
          <w:szCs w:val="24"/>
        </w:rPr>
        <w:t xml:space="preserve">Samtidig administration af clarithromycin, som er kendt for at hæmme CYP3A, og et lægemiddel, som primært metaboliseres af CYP3A, kan være forbundet med stigninger i lægemiddelkoncentrationerne, hvilket kan øge eller forlænge både den terapeutiske effekt og bivirkninger for det lægemiddel, som administreres samtidig. </w:t>
      </w:r>
    </w:p>
    <w:p w:rsidR="001E0ED3" w:rsidRDefault="001E0ED3" w:rsidP="001E0ED3">
      <w:pPr>
        <w:ind w:left="851"/>
        <w:rPr>
          <w:sz w:val="24"/>
          <w:szCs w:val="24"/>
        </w:rPr>
      </w:pPr>
    </w:p>
    <w:p w:rsidR="001E0ED3" w:rsidRPr="004A12A9" w:rsidRDefault="001E0ED3" w:rsidP="001E0ED3">
      <w:pPr>
        <w:tabs>
          <w:tab w:val="left" w:pos="993"/>
        </w:tabs>
        <w:ind w:left="851"/>
        <w:rPr>
          <w:sz w:val="24"/>
          <w:szCs w:val="24"/>
        </w:rPr>
      </w:pPr>
      <w:r w:rsidRPr="004A12A9">
        <w:rPr>
          <w:sz w:val="24"/>
          <w:szCs w:val="24"/>
        </w:rPr>
        <w:t xml:space="preserve">Brug af clarithromycin er kontraindiceret hos patienter i behandling med CYP3A-substrater, så som astemizol, cisaprid, domperidon, pimozid og terfenadin på grund af risikoen for QT-forlængelse og </w:t>
      </w:r>
      <w:r w:rsidRPr="004A12A9">
        <w:rPr>
          <w:spacing w:val="-3"/>
          <w:sz w:val="24"/>
          <w:szCs w:val="24"/>
        </w:rPr>
        <w:t>kardielle arytmier</w:t>
      </w:r>
      <w:r w:rsidRPr="004A12A9">
        <w:rPr>
          <w:sz w:val="24"/>
          <w:szCs w:val="24"/>
        </w:rPr>
        <w:t>, herunder ventrikulær takykardi, ventrikelflimren og torsade de pointes (se pkt. 4.3 og 4.4).</w:t>
      </w:r>
    </w:p>
    <w:p w:rsidR="001E0ED3" w:rsidRPr="009376AB" w:rsidRDefault="001E0ED3" w:rsidP="001E0ED3">
      <w:pPr>
        <w:ind w:left="851"/>
        <w:rPr>
          <w:sz w:val="24"/>
          <w:szCs w:val="24"/>
        </w:rPr>
      </w:pPr>
    </w:p>
    <w:p w:rsidR="007B2405" w:rsidRPr="004A12A9" w:rsidRDefault="007B2405" w:rsidP="007B2405">
      <w:pPr>
        <w:tabs>
          <w:tab w:val="left" w:pos="993"/>
        </w:tabs>
        <w:ind w:left="851"/>
        <w:rPr>
          <w:sz w:val="24"/>
          <w:szCs w:val="24"/>
        </w:rPr>
      </w:pPr>
      <w:r w:rsidRPr="004A12A9">
        <w:rPr>
          <w:sz w:val="24"/>
          <w:szCs w:val="24"/>
        </w:rPr>
        <w:t>Brugen af clarithromycin er også kontraindiceret med sekalealkaloider, oral midazolam, HMG CoA-reduktase</w:t>
      </w:r>
      <w:r w:rsidRPr="004A12A9">
        <w:rPr>
          <w:sz w:val="24"/>
          <w:szCs w:val="24"/>
        </w:rPr>
        <w:softHyphen/>
        <w:t>hæmmere, som hovedsageligt metaboliseres af CYP3A4 (f.eks. lovastatin og simvastatin), colchicin, ticagrelor</w:t>
      </w:r>
      <w:r>
        <w:rPr>
          <w:sz w:val="24"/>
          <w:szCs w:val="24"/>
        </w:rPr>
        <w:t xml:space="preserve">, </w:t>
      </w:r>
      <w:r w:rsidRPr="0082192B">
        <w:rPr>
          <w:sz w:val="24"/>
          <w:szCs w:val="24"/>
        </w:rPr>
        <w:t>ivabradin</w:t>
      </w:r>
      <w:r w:rsidRPr="004A12A9">
        <w:rPr>
          <w:sz w:val="24"/>
          <w:szCs w:val="24"/>
        </w:rPr>
        <w:t xml:space="preserve"> og ranolazin er også kontraindiceret (se pkt. 4.3).</w:t>
      </w:r>
    </w:p>
    <w:p w:rsidR="001E0ED3" w:rsidRDefault="001E0ED3" w:rsidP="001E0ED3">
      <w:pPr>
        <w:ind w:left="851"/>
        <w:rPr>
          <w:sz w:val="24"/>
          <w:szCs w:val="24"/>
        </w:rPr>
      </w:pPr>
    </w:p>
    <w:p w:rsidR="001E0ED3" w:rsidRPr="00FE0041" w:rsidRDefault="001E0ED3" w:rsidP="001E0ED3">
      <w:pPr>
        <w:ind w:left="851"/>
        <w:rPr>
          <w:sz w:val="24"/>
          <w:szCs w:val="24"/>
        </w:rPr>
      </w:pPr>
      <w:r w:rsidRPr="009376AB">
        <w:rPr>
          <w:sz w:val="24"/>
          <w:szCs w:val="24"/>
        </w:rPr>
        <w:t>Der skal udvises forsigtighed</w:t>
      </w:r>
      <w:r w:rsidRPr="00FE0041">
        <w:rPr>
          <w:sz w:val="24"/>
          <w:szCs w:val="24"/>
        </w:rPr>
        <w:t xml:space="preserve"> hvis clarithromycin administreres samtidig med andre lægemidler, der er kendt for at være CYP3A-enzym</w:t>
      </w:r>
      <w:r w:rsidRPr="009376AB">
        <w:rPr>
          <w:sz w:val="24"/>
          <w:szCs w:val="24"/>
        </w:rPr>
        <w:t xml:space="preserve">substrater, særligt hvis CYP3A-substratet har en snæver sikkerhedsmargin (f.eks. carbamazepin) og/eller hvis substratet metaboliseres </w:t>
      </w:r>
      <w:r w:rsidRPr="004A12A9">
        <w:rPr>
          <w:sz w:val="24"/>
          <w:szCs w:val="24"/>
        </w:rPr>
        <w:t>ekstensivt</w:t>
      </w:r>
      <w:r w:rsidRPr="009376AB" w:rsidDel="002B0763">
        <w:rPr>
          <w:sz w:val="24"/>
          <w:szCs w:val="24"/>
        </w:rPr>
        <w:t xml:space="preserve"> </w:t>
      </w:r>
      <w:r w:rsidRPr="00FE0041">
        <w:rPr>
          <w:sz w:val="24"/>
          <w:szCs w:val="24"/>
        </w:rPr>
        <w:t xml:space="preserve">af dette enzym. </w:t>
      </w:r>
    </w:p>
    <w:p w:rsidR="001E0ED3" w:rsidRDefault="001E0ED3" w:rsidP="001E0ED3">
      <w:pPr>
        <w:pStyle w:val="DefaultText"/>
        <w:tabs>
          <w:tab w:val="left" w:pos="851"/>
        </w:tabs>
        <w:ind w:left="851"/>
        <w:rPr>
          <w:szCs w:val="24"/>
          <w:lang w:val="da-DK"/>
        </w:rPr>
      </w:pPr>
    </w:p>
    <w:p w:rsidR="007B2405" w:rsidRDefault="007B2405" w:rsidP="007B2405">
      <w:pPr>
        <w:pStyle w:val="DefaultText"/>
        <w:tabs>
          <w:tab w:val="left" w:pos="851"/>
        </w:tabs>
        <w:ind w:left="851"/>
        <w:rPr>
          <w:szCs w:val="24"/>
          <w:lang w:val="da-DK"/>
        </w:rPr>
      </w:pPr>
      <w:r>
        <w:rPr>
          <w:szCs w:val="24"/>
          <w:lang w:val="da-DK"/>
        </w:rPr>
        <w:t>Dosisjustering bør overvejes, og når det er muligt, bør serumkoncentrationerne af lægemidler, som primært metaboliseres af CYP3A, overvåges tæt hos patienter, der samtidig også får clarithromycin.</w:t>
      </w:r>
    </w:p>
    <w:p w:rsidR="007B2405" w:rsidRDefault="007B2405" w:rsidP="007B2405">
      <w:pPr>
        <w:pStyle w:val="DefaultText"/>
        <w:tabs>
          <w:tab w:val="left" w:pos="851"/>
        </w:tabs>
        <w:ind w:left="851"/>
        <w:rPr>
          <w:szCs w:val="24"/>
          <w:lang w:val="da-DK"/>
        </w:rPr>
      </w:pPr>
    </w:p>
    <w:p w:rsidR="007B2405" w:rsidRDefault="007B2405" w:rsidP="007B2405">
      <w:pPr>
        <w:pStyle w:val="DefaultText"/>
        <w:tabs>
          <w:tab w:val="left" w:pos="851"/>
        </w:tabs>
        <w:ind w:left="851"/>
        <w:rPr>
          <w:i/>
          <w:iCs/>
          <w:szCs w:val="24"/>
          <w:lang w:val="da-DK"/>
        </w:rPr>
      </w:pPr>
      <w:r>
        <w:rPr>
          <w:i/>
          <w:iCs/>
          <w:szCs w:val="24"/>
          <w:lang w:val="da-DK"/>
        </w:rPr>
        <w:t>Kortikos</w:t>
      </w:r>
      <w:r w:rsidRPr="006C06C5">
        <w:rPr>
          <w:i/>
          <w:iCs/>
          <w:szCs w:val="24"/>
          <w:lang w:val="da-DK"/>
        </w:rPr>
        <w:t>teroider</w:t>
      </w:r>
    </w:p>
    <w:p w:rsidR="007B2405" w:rsidRPr="001E0922" w:rsidRDefault="007B2405" w:rsidP="007B2405">
      <w:pPr>
        <w:pStyle w:val="DefaultText"/>
        <w:tabs>
          <w:tab w:val="left" w:pos="851"/>
        </w:tabs>
        <w:ind w:left="851"/>
        <w:rPr>
          <w:szCs w:val="24"/>
          <w:lang w:val="da-DK"/>
        </w:rPr>
      </w:pPr>
      <w:r w:rsidRPr="00791105">
        <w:rPr>
          <w:rFonts w:ascii="TimesNewRoman,Bold" w:hAnsi="TimesNewRoman,Bold" w:cs="TimesNewRoman,Bold"/>
          <w:szCs w:val="24"/>
          <w:lang w:val="da-DK" w:eastAsia="da-DK"/>
        </w:rPr>
        <w:t>Der bør udvises forsigtighed ved samtidig brug af clarithromycin med systemiske og</w:t>
      </w:r>
      <w:r w:rsidRPr="00D91668">
        <w:rPr>
          <w:rFonts w:ascii="TimesNewRoman,Bold" w:hAnsi="TimesNewRoman,Bold" w:cs="TimesNewRoman,Bold"/>
          <w:szCs w:val="24"/>
          <w:lang w:val="da-DK" w:eastAsia="da-DK"/>
        </w:rPr>
        <w:t xml:space="preserve"> inhalerede kortikosteroider, der primært metaboliseres af CYP3A på grund af risikoen for øget systemisk eksponering for kortikosteroider. Hvis samtidig brug forekommer, skal patienterne overvåges nøje for systemiske kortikosteroidbivirkninger.</w:t>
      </w:r>
    </w:p>
    <w:p w:rsidR="001E0ED3" w:rsidRDefault="001E0ED3" w:rsidP="001E0ED3">
      <w:pPr>
        <w:pStyle w:val="DefaultText"/>
        <w:tabs>
          <w:tab w:val="left" w:pos="851"/>
        </w:tabs>
        <w:ind w:left="851"/>
        <w:rPr>
          <w:szCs w:val="24"/>
          <w:lang w:val="da-DK"/>
        </w:rPr>
      </w:pPr>
    </w:p>
    <w:p w:rsidR="001E0ED3" w:rsidRPr="004B58A7" w:rsidRDefault="004B58A7" w:rsidP="001E0ED3">
      <w:pPr>
        <w:pStyle w:val="DefaultText"/>
        <w:tabs>
          <w:tab w:val="left" w:pos="851"/>
        </w:tabs>
        <w:ind w:left="851"/>
        <w:rPr>
          <w:szCs w:val="24"/>
          <w:lang w:val="da-DK"/>
        </w:rPr>
      </w:pPr>
      <w:r w:rsidRPr="004B58A7">
        <w:rPr>
          <w:szCs w:val="24"/>
          <w:lang w:val="da-DK"/>
        </w:rPr>
        <w:t>Følgende lægemidler eller lægemiddelklasser er kendt eller mistænkt for at blive metaboliseret af det samme CYP3A-isozym: alprazolam, carbamazepin, cilostazol, ciclosporin, disopyramid, ibrutinib, methylprednisolon, midazolam (i.v.), omeprazol, orale antikoagulantia (f.eks. warfarin,</w:t>
      </w:r>
      <w:r w:rsidRPr="004B58A7">
        <w:rPr>
          <w:lang w:val="da-DK"/>
        </w:rPr>
        <w:t xml:space="preserve"> </w:t>
      </w:r>
      <w:r w:rsidRPr="004B58A7">
        <w:rPr>
          <w:szCs w:val="24"/>
          <w:lang w:val="da-DK"/>
        </w:rPr>
        <w:t xml:space="preserve">rivaroxaban, apixaban), atypiske antipsykotika (f.eks. </w:t>
      </w:r>
      <w:r w:rsidRPr="004B58A7">
        <w:rPr>
          <w:szCs w:val="24"/>
          <w:lang w:val="da-DK"/>
        </w:rPr>
        <w:lastRenderedPageBreak/>
        <w:t>quetiapin), quinidin, rifabutin, sildenafil, sirolimus, tacrolimus, triazolam og vinblastin, men denne liste er ikke udtømmende.</w:t>
      </w:r>
    </w:p>
    <w:p w:rsidR="001E0ED3" w:rsidRDefault="001E0ED3" w:rsidP="001E0ED3">
      <w:pPr>
        <w:pStyle w:val="DefaultText"/>
        <w:tabs>
          <w:tab w:val="left" w:pos="851"/>
        </w:tabs>
        <w:ind w:left="851"/>
        <w:rPr>
          <w:szCs w:val="24"/>
          <w:lang w:val="da-DK"/>
        </w:rPr>
      </w:pPr>
      <w:r>
        <w:rPr>
          <w:szCs w:val="24"/>
          <w:lang w:val="da-DK"/>
        </w:rPr>
        <w:br/>
        <w:t xml:space="preserve">Lægemidler, som interagerer med lignende mekanismer gennem andre isozymer i cytochrom P450-systemet, omfatter phenytoin, theofyllin og valproat. </w:t>
      </w:r>
    </w:p>
    <w:p w:rsidR="001E0ED3" w:rsidRDefault="001E0ED3" w:rsidP="001E0ED3">
      <w:pPr>
        <w:pStyle w:val="DefaultText"/>
        <w:tabs>
          <w:tab w:val="left" w:pos="851"/>
        </w:tabs>
        <w:ind w:left="851"/>
        <w:rPr>
          <w:szCs w:val="24"/>
          <w:u w:val="single"/>
          <w:lang w:val="da-DK"/>
        </w:rPr>
      </w:pPr>
    </w:p>
    <w:p w:rsidR="001E0ED3" w:rsidRDefault="00DA26E3" w:rsidP="001E0ED3">
      <w:pPr>
        <w:autoSpaceDE w:val="0"/>
        <w:autoSpaceDN w:val="0"/>
        <w:adjustRightInd w:val="0"/>
        <w:ind w:left="851"/>
        <w:rPr>
          <w:color w:val="000000"/>
          <w:sz w:val="24"/>
          <w:szCs w:val="24"/>
        </w:rPr>
      </w:pPr>
      <w:r>
        <w:rPr>
          <w:sz w:val="24"/>
          <w:szCs w:val="24"/>
        </w:rPr>
        <w:t xml:space="preserve">Clarithromycin nedsætter clearance af warfarin, hvorfor monitorering og dosisjustering af warfarin kan være nødvendig. </w:t>
      </w:r>
      <w:r>
        <w:rPr>
          <w:color w:val="000000"/>
          <w:sz w:val="24"/>
          <w:szCs w:val="24"/>
        </w:rPr>
        <w:t xml:space="preserve">Spontane post-marketing rapporter tyder på, at samtidig administration af clarithromycin og orale </w:t>
      </w:r>
      <w:r>
        <w:rPr>
          <w:bCs/>
          <w:color w:val="000000"/>
          <w:sz w:val="24"/>
          <w:szCs w:val="24"/>
        </w:rPr>
        <w:t>antikoagulantia</w:t>
      </w:r>
      <w:r>
        <w:rPr>
          <w:color w:val="000000"/>
          <w:sz w:val="24"/>
          <w:szCs w:val="24"/>
        </w:rPr>
        <w:t xml:space="preserve"> kan forøge effekten af de </w:t>
      </w:r>
      <w:r>
        <w:rPr>
          <w:bCs/>
          <w:color w:val="000000"/>
          <w:sz w:val="24"/>
          <w:szCs w:val="24"/>
        </w:rPr>
        <w:t>koagulationshæmmende midler</w:t>
      </w:r>
      <w:r>
        <w:rPr>
          <w:bCs/>
          <w:sz w:val="24"/>
          <w:szCs w:val="24"/>
        </w:rPr>
        <w:t>.</w:t>
      </w:r>
      <w:r>
        <w:rPr>
          <w:color w:val="000000"/>
          <w:sz w:val="24"/>
          <w:szCs w:val="24"/>
        </w:rPr>
        <w:t xml:space="preserve"> Protrombintider bør monitoreres tæt, mens patienterne får clarithromycin og orale </w:t>
      </w:r>
      <w:r>
        <w:rPr>
          <w:bCs/>
          <w:color w:val="000000"/>
          <w:sz w:val="24"/>
          <w:szCs w:val="24"/>
        </w:rPr>
        <w:t>antikoagulantia</w:t>
      </w:r>
      <w:r>
        <w:rPr>
          <w:color w:val="000000"/>
          <w:sz w:val="24"/>
          <w:szCs w:val="24"/>
        </w:rPr>
        <w:t xml:space="preserve"> samtidig.</w:t>
      </w:r>
    </w:p>
    <w:p w:rsidR="001E0ED3" w:rsidRDefault="001E0ED3" w:rsidP="001E0ED3">
      <w:pPr>
        <w:ind w:left="851"/>
        <w:rPr>
          <w:sz w:val="24"/>
          <w:szCs w:val="24"/>
        </w:rPr>
      </w:pPr>
    </w:p>
    <w:p w:rsidR="001E0ED3" w:rsidRDefault="001E0ED3" w:rsidP="001E0ED3">
      <w:pPr>
        <w:ind w:left="851"/>
        <w:rPr>
          <w:sz w:val="24"/>
          <w:szCs w:val="24"/>
        </w:rPr>
      </w:pPr>
      <w:r>
        <w:rPr>
          <w:sz w:val="24"/>
          <w:szCs w:val="24"/>
        </w:rPr>
        <w:t xml:space="preserve">Samtidig administration af clarithromycin og fluoxetin øger risikoen for psykiske bivirkninger. </w:t>
      </w:r>
    </w:p>
    <w:p w:rsidR="001E0ED3" w:rsidRDefault="001E0ED3" w:rsidP="001E0ED3">
      <w:pPr>
        <w:ind w:left="851"/>
        <w:rPr>
          <w:sz w:val="24"/>
          <w:szCs w:val="24"/>
        </w:rPr>
      </w:pPr>
    </w:p>
    <w:p w:rsidR="001E0ED3" w:rsidRDefault="001E0ED3" w:rsidP="001E0ED3">
      <w:pPr>
        <w:ind w:left="851"/>
        <w:rPr>
          <w:sz w:val="24"/>
          <w:szCs w:val="24"/>
        </w:rPr>
      </w:pPr>
      <w:r>
        <w:rPr>
          <w:sz w:val="24"/>
          <w:szCs w:val="24"/>
        </w:rPr>
        <w:t xml:space="preserve">Clarithromycin øger plasmakoncentrationen af ciclosporin og tacrolimus, hvorfor monitorering og dosisjustering kan være nødvendig. </w:t>
      </w:r>
    </w:p>
    <w:p w:rsidR="001E0ED3" w:rsidRDefault="001E0ED3" w:rsidP="001E0ED3">
      <w:pPr>
        <w:pStyle w:val="DefaultText"/>
        <w:tabs>
          <w:tab w:val="left" w:pos="851"/>
        </w:tabs>
        <w:ind w:left="851"/>
        <w:rPr>
          <w:i/>
          <w:szCs w:val="24"/>
          <w:lang w:val="da-DK"/>
        </w:rPr>
      </w:pPr>
    </w:p>
    <w:p w:rsidR="001E0ED3" w:rsidRDefault="001E0ED3" w:rsidP="001E0ED3">
      <w:pPr>
        <w:pStyle w:val="DefaultText"/>
        <w:tabs>
          <w:tab w:val="left" w:pos="851"/>
        </w:tabs>
        <w:ind w:left="851"/>
        <w:rPr>
          <w:i/>
          <w:szCs w:val="24"/>
          <w:lang w:val="da-DK"/>
        </w:rPr>
      </w:pPr>
      <w:r>
        <w:rPr>
          <w:i/>
          <w:szCs w:val="24"/>
          <w:lang w:val="da-DK"/>
        </w:rPr>
        <w:t>Antiarytmika</w:t>
      </w:r>
    </w:p>
    <w:p w:rsidR="001E0ED3" w:rsidRPr="009376AB" w:rsidRDefault="001E0ED3" w:rsidP="001E0ED3">
      <w:pPr>
        <w:pStyle w:val="DefaultText"/>
        <w:tabs>
          <w:tab w:val="left" w:pos="851"/>
        </w:tabs>
        <w:ind w:left="851"/>
        <w:rPr>
          <w:szCs w:val="24"/>
          <w:lang w:val="da-DK"/>
        </w:rPr>
      </w:pPr>
      <w:r w:rsidRPr="009376AB">
        <w:rPr>
          <w:szCs w:val="24"/>
          <w:lang w:val="da-DK"/>
        </w:rPr>
        <w:t>Efter markedsføring er der modtaget rapporter om Torsades de Pointes, som forekom ved samtidig brug af clarithromycin og quinidin eller disopyramid. Plasmakoncentrationen af disse stoffer bør kontrolleres ved behandling med clarithromycin. Ved samtidig administration af clarithromycin og disse lægemidler bør elektrokardiogrammer overvåges for QT-forlængelse. Quinidin og disopyramids serumniveauer bør overvåges ved samtidig behandling med clarithromycin.</w:t>
      </w:r>
    </w:p>
    <w:p w:rsidR="001E0ED3" w:rsidRPr="009376AB" w:rsidRDefault="001E0ED3" w:rsidP="001E0ED3">
      <w:pPr>
        <w:pStyle w:val="DefaultText"/>
        <w:tabs>
          <w:tab w:val="left" w:pos="851"/>
        </w:tabs>
        <w:ind w:left="851"/>
        <w:rPr>
          <w:szCs w:val="24"/>
          <w:lang w:val="da-DK"/>
        </w:rPr>
      </w:pPr>
    </w:p>
    <w:p w:rsidR="001E0ED3" w:rsidRPr="004A12A9" w:rsidRDefault="001E0ED3" w:rsidP="001E0ED3">
      <w:pPr>
        <w:ind w:left="851"/>
        <w:rPr>
          <w:sz w:val="24"/>
          <w:szCs w:val="24"/>
        </w:rPr>
      </w:pPr>
      <w:r w:rsidRPr="004A12A9">
        <w:rPr>
          <w:sz w:val="24"/>
          <w:szCs w:val="24"/>
        </w:rPr>
        <w:t>Der er modtaget post-marketing rapporter om hypoglykæmi hos patienter, der tager clarithromycin samtidig med dis</w:t>
      </w:r>
      <w:r>
        <w:rPr>
          <w:sz w:val="24"/>
          <w:szCs w:val="24"/>
        </w:rPr>
        <w:t>o</w:t>
      </w:r>
      <w:r w:rsidRPr="004A12A9">
        <w:rPr>
          <w:sz w:val="24"/>
          <w:szCs w:val="24"/>
        </w:rPr>
        <w:t>pyramid. Blodglukose skal derfor monitoreres ved samtidig behandling med clarithromycin og dis</w:t>
      </w:r>
      <w:r>
        <w:rPr>
          <w:sz w:val="24"/>
          <w:szCs w:val="24"/>
        </w:rPr>
        <w:t>o</w:t>
      </w:r>
      <w:r w:rsidRPr="004A12A9">
        <w:rPr>
          <w:sz w:val="24"/>
          <w:szCs w:val="24"/>
        </w:rPr>
        <w:t>pyramid.</w:t>
      </w:r>
    </w:p>
    <w:p w:rsidR="001E0ED3" w:rsidRPr="009376AB" w:rsidRDefault="001E0ED3" w:rsidP="001E0ED3">
      <w:pPr>
        <w:pStyle w:val="DefaultText"/>
        <w:tabs>
          <w:tab w:val="left" w:pos="851"/>
        </w:tabs>
        <w:ind w:left="851"/>
        <w:rPr>
          <w:szCs w:val="24"/>
          <w:lang w:val="da-DK"/>
        </w:rPr>
      </w:pPr>
    </w:p>
    <w:p w:rsidR="001E0ED3" w:rsidRPr="004A12A9" w:rsidRDefault="001E0ED3" w:rsidP="001E0ED3">
      <w:pPr>
        <w:keepNext/>
        <w:ind w:left="851"/>
        <w:rPr>
          <w:sz w:val="24"/>
          <w:szCs w:val="24"/>
        </w:rPr>
      </w:pPr>
      <w:r w:rsidRPr="004A12A9">
        <w:rPr>
          <w:i/>
          <w:sz w:val="24"/>
          <w:szCs w:val="24"/>
        </w:rPr>
        <w:t>Orale hypoglykæmiske lægemidler / Insulin</w:t>
      </w:r>
    </w:p>
    <w:p w:rsidR="001E0ED3" w:rsidRPr="004A12A9" w:rsidRDefault="001E0ED3" w:rsidP="001E0ED3">
      <w:pPr>
        <w:ind w:left="851"/>
        <w:rPr>
          <w:sz w:val="24"/>
          <w:szCs w:val="24"/>
        </w:rPr>
      </w:pPr>
      <w:r w:rsidRPr="004A12A9">
        <w:rPr>
          <w:sz w:val="24"/>
          <w:szCs w:val="24"/>
        </w:rPr>
        <w:t>Ved samtidig brug med visse hypoglykæmiske lægemidler såsom nateglutenid og repaglinid kan clarithromycins hæmning af CYP3A enzymer have betydning og det kan forårsage hypoglykæmi. Omhyggelig monitorering af glukose anbefales.</w:t>
      </w:r>
    </w:p>
    <w:p w:rsidR="001E0ED3" w:rsidRDefault="001E0ED3" w:rsidP="001E0ED3">
      <w:pPr>
        <w:pStyle w:val="DefaultText"/>
        <w:tabs>
          <w:tab w:val="left" w:pos="851"/>
        </w:tabs>
        <w:ind w:left="851"/>
        <w:rPr>
          <w:szCs w:val="24"/>
          <w:u w:val="single"/>
          <w:lang w:val="da-DK"/>
        </w:rPr>
      </w:pPr>
    </w:p>
    <w:p w:rsidR="001E0ED3" w:rsidRDefault="001E0ED3" w:rsidP="001E0ED3">
      <w:pPr>
        <w:pStyle w:val="DefaultText"/>
        <w:tabs>
          <w:tab w:val="left" w:pos="851"/>
        </w:tabs>
        <w:ind w:left="851"/>
        <w:rPr>
          <w:i/>
          <w:szCs w:val="24"/>
          <w:lang w:val="da-DK"/>
        </w:rPr>
      </w:pPr>
      <w:r>
        <w:rPr>
          <w:i/>
          <w:szCs w:val="24"/>
          <w:lang w:val="da-DK"/>
        </w:rPr>
        <w:t>Omeprazol</w:t>
      </w:r>
    </w:p>
    <w:p w:rsidR="001E0ED3" w:rsidRDefault="001E0ED3" w:rsidP="001E0ED3">
      <w:pPr>
        <w:ind w:left="851"/>
        <w:rPr>
          <w:sz w:val="24"/>
          <w:szCs w:val="24"/>
        </w:rPr>
      </w:pPr>
      <w:r>
        <w:rPr>
          <w:sz w:val="24"/>
          <w:szCs w:val="24"/>
        </w:rPr>
        <w:t>Clarithromycin (500 mg hver 8. time) blev givet i kombination med omeprazol (40 mg daglig) til raske voksne individer. Omeprazols steady-state plasmakoncentration blev forøget (C</w:t>
      </w:r>
      <w:r w:rsidRPr="00175566">
        <w:rPr>
          <w:sz w:val="24"/>
          <w:szCs w:val="24"/>
        </w:rPr>
        <w:t>-</w:t>
      </w:r>
      <w:r w:rsidRPr="00175566">
        <w:rPr>
          <w:sz w:val="24"/>
          <w:szCs w:val="24"/>
          <w:vertAlign w:val="subscript"/>
        </w:rPr>
        <w:t>max</w:t>
      </w:r>
      <w:r>
        <w:rPr>
          <w:sz w:val="24"/>
          <w:szCs w:val="24"/>
        </w:rPr>
        <w:t xml:space="preserve">, AUC </w:t>
      </w:r>
      <w:r>
        <w:rPr>
          <w:sz w:val="24"/>
          <w:szCs w:val="24"/>
          <w:vertAlign w:val="subscript"/>
        </w:rPr>
        <w:t>0-24</w:t>
      </w:r>
      <w:r>
        <w:rPr>
          <w:sz w:val="24"/>
          <w:szCs w:val="24"/>
        </w:rPr>
        <w:t>, og t</w:t>
      </w:r>
      <w:r>
        <w:rPr>
          <w:sz w:val="24"/>
          <w:szCs w:val="24"/>
          <w:vertAlign w:val="subscript"/>
        </w:rPr>
        <w:t xml:space="preserve">1/2 </w:t>
      </w:r>
      <w:r>
        <w:rPr>
          <w:sz w:val="24"/>
          <w:szCs w:val="24"/>
        </w:rPr>
        <w:t>forøget med henholdsvis 30 %, 89 % og 34 %), ved samtidig administration af clarithromycin. Den gennemsnitlige gastriske døgn-pH-værdi var 5,2, når omeprazol blev administreret alene og 5,7, når omeprazol blev administreret sammen med clarithromycin.</w:t>
      </w:r>
    </w:p>
    <w:p w:rsidR="001E0ED3" w:rsidRDefault="001E0ED3" w:rsidP="001E0ED3">
      <w:pPr>
        <w:rPr>
          <w:spacing w:val="-3"/>
          <w:sz w:val="24"/>
          <w:szCs w:val="24"/>
        </w:rPr>
      </w:pPr>
    </w:p>
    <w:p w:rsidR="001E0ED3" w:rsidRDefault="001E0ED3" w:rsidP="001E0ED3">
      <w:pPr>
        <w:tabs>
          <w:tab w:val="left" w:pos="851"/>
        </w:tabs>
        <w:ind w:left="851"/>
        <w:rPr>
          <w:i/>
          <w:sz w:val="24"/>
          <w:szCs w:val="24"/>
        </w:rPr>
      </w:pPr>
      <w:r>
        <w:rPr>
          <w:i/>
          <w:sz w:val="24"/>
          <w:szCs w:val="24"/>
        </w:rPr>
        <w:t>Sildenafil, tadalafil og vardenafil</w:t>
      </w:r>
    </w:p>
    <w:p w:rsidR="001E0ED3" w:rsidRDefault="001E0ED3" w:rsidP="001E0ED3">
      <w:pPr>
        <w:tabs>
          <w:tab w:val="left" w:pos="851"/>
        </w:tabs>
        <w:ind w:left="851"/>
        <w:rPr>
          <w:sz w:val="24"/>
          <w:szCs w:val="24"/>
        </w:rPr>
      </w:pPr>
      <w:r>
        <w:rPr>
          <w:sz w:val="24"/>
          <w:szCs w:val="24"/>
        </w:rPr>
        <w:t>Alle disse fosfodiesterasehæmmere metaboliseres, i hvert fald delvist, af CYP3A, og CYP3A kan hæmmes ved samtidig administration af clarithromycin. Samtidig administration af clarithromycin og sildenafil, tadalafil eller vardenafil vil sandsynligvis resultere i øget eksponering for phosphodiesterasehæmmer. Det bør overvejes at nedsætte dosis af sildenafil, tadalafil og vardenafil, når det administreres sammen med clarithromycin.</w:t>
      </w:r>
    </w:p>
    <w:p w:rsidR="001E0ED3" w:rsidRDefault="001E0ED3" w:rsidP="001E0ED3">
      <w:pPr>
        <w:pStyle w:val="DefaultText"/>
        <w:tabs>
          <w:tab w:val="left" w:pos="851"/>
        </w:tabs>
        <w:ind w:left="851"/>
        <w:rPr>
          <w:szCs w:val="24"/>
          <w:lang w:val="da-DK"/>
        </w:rPr>
      </w:pPr>
    </w:p>
    <w:p w:rsidR="007B2405" w:rsidRDefault="007B2405" w:rsidP="001E0ED3">
      <w:pPr>
        <w:pStyle w:val="DefaultText"/>
        <w:tabs>
          <w:tab w:val="left" w:pos="851"/>
        </w:tabs>
        <w:ind w:left="851"/>
        <w:rPr>
          <w:szCs w:val="24"/>
          <w:lang w:val="da-DK"/>
        </w:rPr>
      </w:pPr>
    </w:p>
    <w:p w:rsidR="007B2405" w:rsidRDefault="007B2405" w:rsidP="001E0ED3">
      <w:pPr>
        <w:pStyle w:val="DefaultText"/>
        <w:tabs>
          <w:tab w:val="left" w:pos="851"/>
        </w:tabs>
        <w:ind w:left="851"/>
        <w:rPr>
          <w:szCs w:val="24"/>
          <w:lang w:val="da-DK"/>
        </w:rPr>
      </w:pPr>
    </w:p>
    <w:p w:rsidR="001E0ED3" w:rsidRDefault="001E0ED3" w:rsidP="001E0ED3">
      <w:pPr>
        <w:pStyle w:val="DefaultText"/>
        <w:tabs>
          <w:tab w:val="left" w:pos="851"/>
        </w:tabs>
        <w:ind w:left="851"/>
        <w:rPr>
          <w:szCs w:val="24"/>
          <w:lang w:val="da-DK"/>
        </w:rPr>
      </w:pPr>
      <w:r>
        <w:rPr>
          <w:szCs w:val="24"/>
          <w:u w:val="single"/>
          <w:lang w:val="da-DK"/>
        </w:rPr>
        <w:t>CYP3A interaktioner:</w:t>
      </w:r>
    </w:p>
    <w:p w:rsidR="001E0ED3" w:rsidRDefault="001E0ED3" w:rsidP="001E0ED3">
      <w:pPr>
        <w:pStyle w:val="DefaultText"/>
        <w:tabs>
          <w:tab w:val="left" w:pos="851"/>
        </w:tabs>
        <w:ind w:left="851"/>
        <w:rPr>
          <w:i/>
          <w:szCs w:val="24"/>
          <w:lang w:val="da-DK"/>
        </w:rPr>
      </w:pPr>
      <w:r>
        <w:rPr>
          <w:i/>
          <w:szCs w:val="24"/>
          <w:lang w:val="da-DK"/>
        </w:rPr>
        <w:t>Theophyllin, carbamazepin</w:t>
      </w:r>
    </w:p>
    <w:p w:rsidR="001E0ED3" w:rsidRDefault="001E0ED3" w:rsidP="001E0ED3">
      <w:pPr>
        <w:ind w:left="851"/>
        <w:rPr>
          <w:sz w:val="24"/>
          <w:szCs w:val="24"/>
        </w:rPr>
      </w:pPr>
      <w:r>
        <w:rPr>
          <w:sz w:val="24"/>
          <w:szCs w:val="24"/>
        </w:rPr>
        <w:t>Clarithromycin kan øge plasmakoncentrationen af theophyllin og dermed er der risiko for theophyllinforgiftning. Clarithromycin øger plasmakoncentrationen af carbamazepin.</w:t>
      </w:r>
    </w:p>
    <w:p w:rsidR="001E0ED3" w:rsidRDefault="001E0ED3" w:rsidP="001E0ED3">
      <w:pPr>
        <w:ind w:left="851"/>
        <w:rPr>
          <w:sz w:val="24"/>
          <w:szCs w:val="24"/>
        </w:rPr>
      </w:pPr>
    </w:p>
    <w:p w:rsidR="001E0ED3" w:rsidRDefault="001E0ED3" w:rsidP="001E0ED3">
      <w:pPr>
        <w:ind w:left="851"/>
        <w:rPr>
          <w:sz w:val="24"/>
          <w:szCs w:val="24"/>
        </w:rPr>
      </w:pPr>
      <w:r>
        <w:rPr>
          <w:sz w:val="24"/>
          <w:szCs w:val="24"/>
        </w:rPr>
        <w:t>Resultater fra kliniske forsøg tyder på, at der var en beskeden men statistisk signifikant (p ≤0.05) stigning i cirkulerende theophyllin- eller carbamazepin-niveauer, når et af disse lægemidler blev givet sammen med clarithromycin. Det kan være nødvendigt at overveje reduktion af dosis ved kombinationsbehandling med theophyllin og carbamazepin.</w:t>
      </w:r>
    </w:p>
    <w:p w:rsidR="001E0ED3" w:rsidRDefault="001E0ED3" w:rsidP="001E0ED3">
      <w:pPr>
        <w:pStyle w:val="DefaultText"/>
        <w:tabs>
          <w:tab w:val="left" w:pos="851"/>
        </w:tabs>
        <w:ind w:left="851"/>
        <w:rPr>
          <w:szCs w:val="24"/>
          <w:lang w:val="da-DK"/>
        </w:rPr>
      </w:pPr>
    </w:p>
    <w:p w:rsidR="001E0ED3" w:rsidRDefault="001E0ED3" w:rsidP="001E0ED3">
      <w:pPr>
        <w:pStyle w:val="DefaultText"/>
        <w:tabs>
          <w:tab w:val="left" w:pos="851"/>
        </w:tabs>
        <w:ind w:left="851"/>
        <w:rPr>
          <w:i/>
          <w:szCs w:val="24"/>
          <w:lang w:val="da-DK"/>
        </w:rPr>
      </w:pPr>
      <w:r>
        <w:rPr>
          <w:i/>
          <w:szCs w:val="24"/>
          <w:lang w:val="da-DK"/>
        </w:rPr>
        <w:t>Tolterodin</w:t>
      </w:r>
    </w:p>
    <w:p w:rsidR="001E0ED3" w:rsidRDefault="001E0ED3" w:rsidP="001E0ED3">
      <w:pPr>
        <w:tabs>
          <w:tab w:val="left" w:pos="851"/>
        </w:tabs>
        <w:ind w:left="851"/>
        <w:rPr>
          <w:sz w:val="24"/>
          <w:szCs w:val="24"/>
        </w:rPr>
      </w:pPr>
      <w:r>
        <w:rPr>
          <w:sz w:val="24"/>
          <w:szCs w:val="24"/>
        </w:rPr>
        <w:t>Tolterodin metaboliseres fortrinsvis via 2D6 iso-formen af cytochrom P-450 (CYP2D6). Hos en undergruppe i befolkningen, som mangler CYP2D6, er den identificerede metaboliseringsvej imidlertid via CYP3A. I denne undergruppe i populationen resulterer hæmning af CYP3A i signifikant højere serumkoncentrationer af tolterodin. Det kan være nødvendigt med en reduktion i tolterodin-dosis, når der også anvendes CYP3A-hæmmere, såsom clarithromycin, hos den del af befolkningen, som metaboliserer CYP2D6 i ringe grad.</w:t>
      </w:r>
    </w:p>
    <w:p w:rsidR="001E0ED3" w:rsidRDefault="001E0ED3" w:rsidP="001E0ED3">
      <w:pPr>
        <w:pStyle w:val="DefaultText"/>
        <w:tabs>
          <w:tab w:val="left" w:pos="851"/>
        </w:tabs>
        <w:ind w:left="851"/>
        <w:rPr>
          <w:szCs w:val="24"/>
          <w:lang w:val="da-DK"/>
        </w:rPr>
      </w:pPr>
    </w:p>
    <w:p w:rsidR="001E0ED3" w:rsidRPr="009376AB" w:rsidRDefault="001E0ED3" w:rsidP="001E0ED3">
      <w:pPr>
        <w:pStyle w:val="DefaultText"/>
        <w:keepNext/>
        <w:tabs>
          <w:tab w:val="left" w:pos="851"/>
        </w:tabs>
        <w:ind w:left="851"/>
        <w:rPr>
          <w:szCs w:val="24"/>
          <w:u w:val="single"/>
          <w:lang w:val="da-DK"/>
        </w:rPr>
      </w:pPr>
      <w:r w:rsidRPr="009376AB">
        <w:rPr>
          <w:i/>
          <w:szCs w:val="24"/>
          <w:lang w:val="da-DK"/>
        </w:rPr>
        <w:t>Triazolobenzodiazepiner (f.eks. alprazolam, midazolam, triazolam</w:t>
      </w:r>
      <w:r w:rsidRPr="009376AB">
        <w:rPr>
          <w:szCs w:val="24"/>
          <w:u w:val="single"/>
          <w:lang w:val="da-DK"/>
        </w:rPr>
        <w:t>)</w:t>
      </w:r>
    </w:p>
    <w:p w:rsidR="001E0ED3" w:rsidRPr="00FE0041" w:rsidRDefault="001E0ED3" w:rsidP="001E0ED3">
      <w:pPr>
        <w:tabs>
          <w:tab w:val="left" w:pos="851"/>
        </w:tabs>
        <w:ind w:left="851"/>
        <w:rPr>
          <w:sz w:val="24"/>
          <w:szCs w:val="24"/>
        </w:rPr>
      </w:pPr>
      <w:r w:rsidRPr="009376AB">
        <w:rPr>
          <w:sz w:val="24"/>
          <w:szCs w:val="24"/>
        </w:rPr>
        <w:t xml:space="preserve">Ved samtidig administration af midazolam og clarithromycin-tabletter (500 mg 2 gange dagligt) blev AUC for midazolam øget 2,7 gange efter intravenøs administration af midazolam. Hvis intravenøs midazolam administreres sammen med clarithromycin, skal patienten overvåges nøje med henblik på dosisjustering. </w:t>
      </w:r>
      <w:r w:rsidRPr="004A12A9">
        <w:rPr>
          <w:sz w:val="24"/>
          <w:szCs w:val="24"/>
        </w:rPr>
        <w:t xml:space="preserve">Ved administration af midazolam i mundhulen, hvor stoffet undgår firstpass eliminationen og går direkte i det systemiske kredsløb, vil </w:t>
      </w:r>
      <w:r>
        <w:rPr>
          <w:sz w:val="24"/>
          <w:szCs w:val="24"/>
        </w:rPr>
        <w:t>der ses en</w:t>
      </w:r>
      <w:r w:rsidRPr="004A12A9">
        <w:rPr>
          <w:sz w:val="24"/>
          <w:szCs w:val="24"/>
        </w:rPr>
        <w:t xml:space="preserve"> interaktion svarende til den der ses for intravenøs administration</w:t>
      </w:r>
      <w:r>
        <w:rPr>
          <w:sz w:val="24"/>
          <w:szCs w:val="24"/>
        </w:rPr>
        <w:t xml:space="preserve">. </w:t>
      </w:r>
      <w:r w:rsidRPr="009376AB">
        <w:rPr>
          <w:sz w:val="24"/>
          <w:szCs w:val="24"/>
        </w:rPr>
        <w:t>De samme forholdsregler gælder også for andre benzodiazepiner, som metaboliseres af CYP3A, inklusive triazolam og alprazolam. Det er usandsynligt, at der findes en klinisk vigtig interaktion mellem clarithromycin og de benzodiazepiner, hvis elimination ikke er afhængig af CYP3A (temazepam, nitrazepam, lorazepam</w:t>
      </w:r>
      <w:r w:rsidRPr="00FE0041">
        <w:rPr>
          <w:sz w:val="24"/>
          <w:szCs w:val="24"/>
        </w:rPr>
        <w:t xml:space="preserve">).  </w:t>
      </w:r>
    </w:p>
    <w:p w:rsidR="001E0ED3" w:rsidRDefault="001E0ED3" w:rsidP="001E0ED3">
      <w:pPr>
        <w:tabs>
          <w:tab w:val="left" w:pos="851"/>
        </w:tabs>
        <w:ind w:left="851"/>
        <w:rPr>
          <w:sz w:val="24"/>
          <w:szCs w:val="24"/>
        </w:rPr>
      </w:pPr>
    </w:p>
    <w:p w:rsidR="001E0ED3" w:rsidRPr="0036761D" w:rsidRDefault="001E0ED3" w:rsidP="001E0ED3">
      <w:pPr>
        <w:ind w:left="851"/>
        <w:rPr>
          <w:sz w:val="24"/>
          <w:szCs w:val="24"/>
        </w:rPr>
      </w:pPr>
      <w:r w:rsidRPr="0036761D">
        <w:rPr>
          <w:sz w:val="24"/>
          <w:szCs w:val="24"/>
        </w:rPr>
        <w:t xml:space="preserve">Clarithromycin øger således biotilgængeligheden af benzodiazepiner og benzodiazepinderivater (midazolam, alprazolam, diazepam, triazolam). Kombinationsbehandling kan kræve dosisjustering. </w:t>
      </w:r>
    </w:p>
    <w:p w:rsidR="001E0ED3" w:rsidRDefault="001E0ED3" w:rsidP="001E0ED3">
      <w:pPr>
        <w:tabs>
          <w:tab w:val="left" w:pos="851"/>
        </w:tabs>
        <w:ind w:left="851"/>
        <w:rPr>
          <w:sz w:val="24"/>
          <w:szCs w:val="24"/>
        </w:rPr>
      </w:pPr>
    </w:p>
    <w:p w:rsidR="001E0ED3" w:rsidRDefault="001E0ED3" w:rsidP="001E0ED3">
      <w:pPr>
        <w:tabs>
          <w:tab w:val="left" w:pos="851"/>
        </w:tabs>
        <w:ind w:left="851"/>
        <w:rPr>
          <w:color w:val="000000"/>
          <w:sz w:val="24"/>
          <w:szCs w:val="24"/>
        </w:rPr>
      </w:pPr>
      <w:r>
        <w:rPr>
          <w:sz w:val="24"/>
          <w:szCs w:val="24"/>
        </w:rPr>
        <w:t>Der er efter markedsføring indberettet lægemiddelinteraktioner og virkninger på centralnervesystemet (f.eks. somnolens og forvirring) ved samtidig anvendelse af clarithromycin og triazolam. Det anbefales, at patienten overvåges for øget farmakologisk effekt på centralnervesystemet</w:t>
      </w:r>
      <w:r>
        <w:rPr>
          <w:color w:val="000000"/>
          <w:sz w:val="24"/>
          <w:szCs w:val="24"/>
        </w:rPr>
        <w:t>.</w:t>
      </w:r>
    </w:p>
    <w:p w:rsidR="004B58A7" w:rsidRDefault="004B58A7" w:rsidP="004B58A7">
      <w:pPr>
        <w:tabs>
          <w:tab w:val="left" w:pos="851"/>
        </w:tabs>
        <w:ind w:left="851"/>
        <w:rPr>
          <w:color w:val="000000"/>
          <w:sz w:val="24"/>
          <w:szCs w:val="24"/>
        </w:rPr>
      </w:pPr>
    </w:p>
    <w:p w:rsidR="007B2405" w:rsidRDefault="007B2405" w:rsidP="007B2405">
      <w:pPr>
        <w:tabs>
          <w:tab w:val="left" w:pos="851"/>
        </w:tabs>
        <w:ind w:left="851"/>
        <w:rPr>
          <w:i/>
          <w:iCs/>
          <w:color w:val="000000"/>
          <w:sz w:val="24"/>
          <w:szCs w:val="24"/>
        </w:rPr>
      </w:pPr>
      <w:r>
        <w:rPr>
          <w:i/>
          <w:iCs/>
          <w:color w:val="000000"/>
          <w:sz w:val="24"/>
          <w:szCs w:val="24"/>
        </w:rPr>
        <w:t>Direkte orale antikoagulantia (DOAK)</w:t>
      </w:r>
    </w:p>
    <w:p w:rsidR="007B2405" w:rsidRDefault="007B2405" w:rsidP="007B2405">
      <w:pPr>
        <w:tabs>
          <w:tab w:val="left" w:pos="851"/>
        </w:tabs>
        <w:ind w:left="851"/>
        <w:rPr>
          <w:color w:val="000000"/>
          <w:sz w:val="24"/>
          <w:szCs w:val="24"/>
        </w:rPr>
      </w:pPr>
      <w:r>
        <w:rPr>
          <w:color w:val="000000"/>
          <w:sz w:val="24"/>
          <w:szCs w:val="24"/>
        </w:rPr>
        <w:t xml:space="preserve">DOAK’erne dabigatran </w:t>
      </w:r>
      <w:r w:rsidRPr="0035403C">
        <w:rPr>
          <w:color w:val="000000"/>
          <w:sz w:val="24"/>
          <w:szCs w:val="24"/>
        </w:rPr>
        <w:t>og edoxaban</w:t>
      </w:r>
      <w:r>
        <w:rPr>
          <w:color w:val="000000"/>
          <w:sz w:val="24"/>
          <w:szCs w:val="24"/>
        </w:rPr>
        <w:t xml:space="preserve"> er substrater for efflux-transportøren P-gp. Rivaroxaban og apixaban metaboliseres via CYP3A4 og er også substrater for P-gp. Der skal udvises særlig forsigtighed, når clarithromycin administreres sammen med disse midler, specielt hos patienter med høj blødningsrisiko (se pkt. 4.4).</w:t>
      </w:r>
    </w:p>
    <w:p w:rsidR="001E0ED3" w:rsidRDefault="001E0ED3" w:rsidP="001E0ED3">
      <w:pPr>
        <w:ind w:left="851"/>
        <w:rPr>
          <w:sz w:val="24"/>
          <w:szCs w:val="24"/>
        </w:rPr>
      </w:pPr>
    </w:p>
    <w:p w:rsidR="001E0ED3" w:rsidRDefault="001E0ED3" w:rsidP="001E0ED3">
      <w:pPr>
        <w:ind w:left="851"/>
        <w:rPr>
          <w:sz w:val="24"/>
          <w:szCs w:val="24"/>
        </w:rPr>
      </w:pPr>
      <w:r w:rsidRPr="00024364">
        <w:rPr>
          <w:sz w:val="24"/>
          <w:szCs w:val="24"/>
          <w:u w:val="single"/>
        </w:rPr>
        <w:t>Andre lægemiddelinteraktioner</w:t>
      </w:r>
      <w:r>
        <w:rPr>
          <w:i/>
          <w:sz w:val="24"/>
          <w:szCs w:val="24"/>
        </w:rPr>
        <w:t>:</w:t>
      </w:r>
    </w:p>
    <w:p w:rsidR="001E0ED3" w:rsidRDefault="001E0ED3" w:rsidP="001E0ED3">
      <w:pPr>
        <w:ind w:left="851"/>
        <w:rPr>
          <w:i/>
          <w:sz w:val="24"/>
          <w:szCs w:val="24"/>
        </w:rPr>
      </w:pPr>
      <w:r>
        <w:rPr>
          <w:i/>
          <w:sz w:val="24"/>
          <w:szCs w:val="24"/>
        </w:rPr>
        <w:t>Colchicin</w:t>
      </w:r>
    </w:p>
    <w:p w:rsidR="001E0ED3" w:rsidRDefault="001E0ED3" w:rsidP="001E0ED3">
      <w:pPr>
        <w:pStyle w:val="DefaultText"/>
        <w:tabs>
          <w:tab w:val="left" w:pos="851"/>
        </w:tabs>
        <w:ind w:left="851"/>
        <w:rPr>
          <w:szCs w:val="24"/>
          <w:lang w:val="da-DK"/>
        </w:rPr>
      </w:pPr>
      <w:r>
        <w:rPr>
          <w:szCs w:val="24"/>
          <w:lang w:val="da-DK"/>
        </w:rPr>
        <w:lastRenderedPageBreak/>
        <w:t>Colchicin er substrat for både CYP3A og efflukstransportøren, P-glycoprotein (Pgp). Clarithromycin og andre makrolider er kendt for at hæmme CYP3A og Pgp. Når clarithromycin og colchicin gives sammen, kan clarithromycins hæmning af Pgp og/eller CYP3A føre til øget eksponering af colchicin. Samtidig brug af clarithromycin og colchicin er kontraindiceret (se pkt. 4.3 og 4.4).</w:t>
      </w:r>
    </w:p>
    <w:p w:rsidR="001E0ED3" w:rsidRDefault="001E0ED3" w:rsidP="001E0ED3">
      <w:pPr>
        <w:pStyle w:val="DefaultText"/>
        <w:tabs>
          <w:tab w:val="left" w:pos="851"/>
        </w:tabs>
        <w:ind w:left="851"/>
        <w:rPr>
          <w:szCs w:val="24"/>
          <w:lang w:val="da-DK"/>
        </w:rPr>
      </w:pPr>
    </w:p>
    <w:p w:rsidR="001E0ED3" w:rsidRDefault="001E0ED3" w:rsidP="001E0ED3">
      <w:pPr>
        <w:pStyle w:val="TableText"/>
        <w:tabs>
          <w:tab w:val="left" w:pos="851"/>
        </w:tabs>
        <w:ind w:left="851"/>
        <w:rPr>
          <w:rFonts w:ascii="Times New Roman" w:hAnsi="Times New Roman"/>
          <w:i/>
          <w:sz w:val="24"/>
          <w:szCs w:val="24"/>
          <w:lang w:val="da-DK"/>
        </w:rPr>
      </w:pPr>
      <w:r>
        <w:rPr>
          <w:rFonts w:ascii="Times New Roman" w:hAnsi="Times New Roman"/>
          <w:i/>
          <w:sz w:val="24"/>
          <w:szCs w:val="24"/>
          <w:lang w:val="da-DK"/>
        </w:rPr>
        <w:t xml:space="preserve">Digoxin </w:t>
      </w:r>
    </w:p>
    <w:p w:rsidR="001E0ED3" w:rsidRDefault="001E0ED3" w:rsidP="001E0ED3">
      <w:pPr>
        <w:tabs>
          <w:tab w:val="left" w:pos="851"/>
        </w:tabs>
        <w:ind w:left="851"/>
        <w:rPr>
          <w:sz w:val="24"/>
          <w:szCs w:val="24"/>
        </w:rPr>
      </w:pPr>
      <w:r>
        <w:rPr>
          <w:sz w:val="24"/>
          <w:szCs w:val="24"/>
        </w:rPr>
        <w:t>Digoxin menes at være substrat for efflukstransportøren P-glycoprotein (Pgp). Clarithromycin er kendt for at hæmme Pgp. Når clarithromycin og digoxin administreres sammen, kan clarithromycins hæmning af Pgp medføre stigning i serumkoncentrationen af digoxin. Forhøjede digoxin-plasmakoncentrationer hos patienter, der får clarithromycin og digoxin samtidigt, er rapporteret ved overvågning efter markedsføringen. Nogle patienter har haft kliniske tegn, der stemmer overens med digoxinforgiftning, herunder potentielt dødelige arytmier. Serumkoncentrationen af digoxin bør overvåges nøje, mens patienten får digoxin og clarithromycin samtidig.</w:t>
      </w:r>
    </w:p>
    <w:p w:rsidR="001E0ED3" w:rsidRDefault="001E0ED3" w:rsidP="001E0ED3">
      <w:pPr>
        <w:pStyle w:val="DefaultText"/>
        <w:tabs>
          <w:tab w:val="left" w:pos="851"/>
        </w:tabs>
        <w:ind w:left="851"/>
        <w:rPr>
          <w:szCs w:val="24"/>
          <w:u w:val="single"/>
          <w:lang w:val="da-DK"/>
        </w:rPr>
      </w:pPr>
    </w:p>
    <w:p w:rsidR="001E0ED3" w:rsidRPr="006B3610" w:rsidRDefault="001E0ED3" w:rsidP="001E0ED3">
      <w:pPr>
        <w:pStyle w:val="DefaultText"/>
        <w:tabs>
          <w:tab w:val="left" w:pos="851"/>
        </w:tabs>
        <w:ind w:left="851"/>
        <w:rPr>
          <w:szCs w:val="24"/>
          <w:lang w:val="da-DK"/>
        </w:rPr>
      </w:pPr>
      <w:r>
        <w:rPr>
          <w:i/>
          <w:szCs w:val="24"/>
          <w:lang w:val="da-DK"/>
        </w:rPr>
        <w:t>Zidovudin</w:t>
      </w:r>
      <w:r>
        <w:rPr>
          <w:i/>
          <w:szCs w:val="24"/>
          <w:lang w:val="da-DK"/>
        </w:rPr>
        <w:br/>
      </w:r>
      <w:r w:rsidRPr="005F00DC">
        <w:rPr>
          <w:szCs w:val="24"/>
          <w:lang w:val="da-DK"/>
        </w:rPr>
        <w:t xml:space="preserve">Samtidig oral administration af clarithromycin-tabletter og zidovudin til HIV-inficerede voksne patienter, kan resultere i lavere steady-state koncentrationer af zidovudin. </w:t>
      </w:r>
      <w:r w:rsidRPr="006B3610">
        <w:rPr>
          <w:szCs w:val="24"/>
          <w:lang w:val="da-DK"/>
        </w:rPr>
        <w:t>Da clarithromycin synes at påvirke absorptionen af samtidig indgivet oralt zidovudin, kan denne interaktion i vid udstrækning forhindres ved at forskyde dosering af clarithromycin og zidovudin med et interval på 4 timer mellem hver medicinering. Denne interaktion forekommer antageligt ikke hos pædiatriske HIV-inficerede patienter, som tager clarithromycin suspension med zidovudin eller dideoxyinosin. Denne interaktion vil sandsynligvis ikke forekomme, når clarithromycin gives som intravenøs infusion.</w:t>
      </w:r>
    </w:p>
    <w:p w:rsidR="001E0ED3" w:rsidRDefault="001E0ED3" w:rsidP="001E0ED3">
      <w:pPr>
        <w:pStyle w:val="DefaultText"/>
        <w:tabs>
          <w:tab w:val="left" w:pos="851"/>
        </w:tabs>
        <w:ind w:left="851"/>
        <w:rPr>
          <w:szCs w:val="24"/>
          <w:lang w:val="da-DK"/>
        </w:rPr>
      </w:pPr>
    </w:p>
    <w:p w:rsidR="007B2405" w:rsidRDefault="007B2405" w:rsidP="007B2405">
      <w:pPr>
        <w:pStyle w:val="DefaultText"/>
        <w:keepNext/>
        <w:tabs>
          <w:tab w:val="left" w:pos="851"/>
          <w:tab w:val="left" w:pos="6828"/>
          <w:tab w:val="left" w:pos="9576"/>
        </w:tabs>
        <w:ind w:left="851"/>
        <w:rPr>
          <w:i/>
          <w:szCs w:val="24"/>
          <w:lang w:val="da-DK"/>
        </w:rPr>
      </w:pPr>
      <w:r>
        <w:rPr>
          <w:i/>
          <w:szCs w:val="24"/>
          <w:lang w:val="da-DK"/>
        </w:rPr>
        <w:t xml:space="preserve">Fenytoin og valproat </w:t>
      </w:r>
    </w:p>
    <w:p w:rsidR="007B2405" w:rsidRDefault="007B2405" w:rsidP="007B2405">
      <w:pPr>
        <w:pStyle w:val="DefaultText"/>
        <w:tabs>
          <w:tab w:val="left" w:pos="851"/>
          <w:tab w:val="left" w:pos="6828"/>
          <w:tab w:val="left" w:pos="9576"/>
        </w:tabs>
        <w:ind w:left="851"/>
        <w:rPr>
          <w:szCs w:val="24"/>
          <w:lang w:val="da-DK"/>
        </w:rPr>
      </w:pPr>
      <w:r>
        <w:rPr>
          <w:szCs w:val="24"/>
          <w:lang w:val="da-DK"/>
        </w:rPr>
        <w:t>Der har været spontane og offentliggjorte rapporter om interaktioner mellem CYP3A-hæmmere, inklusive clarithromycin, med lægemidler, som ikke menes at blive metaboliseret af CYP3A (f.eks. fenytoin og valproat). Bestemmelse af serumniveauer anbefales ved samtidig indgift med clarithromycin. Der er rapporteret om øgede serumniveauer.</w:t>
      </w:r>
    </w:p>
    <w:p w:rsidR="007B2405" w:rsidRDefault="007B2405" w:rsidP="007B2405">
      <w:pPr>
        <w:pStyle w:val="DefaultText"/>
        <w:tabs>
          <w:tab w:val="left" w:pos="851"/>
          <w:tab w:val="left" w:pos="6828"/>
          <w:tab w:val="left" w:pos="9576"/>
        </w:tabs>
        <w:ind w:left="851"/>
        <w:rPr>
          <w:szCs w:val="24"/>
          <w:lang w:val="da-DK"/>
        </w:rPr>
      </w:pPr>
    </w:p>
    <w:p w:rsidR="007B2405" w:rsidRPr="00D91668" w:rsidRDefault="007B2405" w:rsidP="007B2405">
      <w:pPr>
        <w:pStyle w:val="DefaultText"/>
        <w:tabs>
          <w:tab w:val="left" w:pos="851"/>
          <w:tab w:val="left" w:pos="6828"/>
          <w:tab w:val="left" w:pos="9576"/>
        </w:tabs>
        <w:ind w:left="851"/>
        <w:rPr>
          <w:i/>
          <w:iCs/>
          <w:szCs w:val="24"/>
          <w:lang w:val="da-DK"/>
        </w:rPr>
      </w:pPr>
      <w:r w:rsidRPr="00D91668">
        <w:rPr>
          <w:i/>
          <w:iCs/>
          <w:szCs w:val="24"/>
          <w:lang w:val="da-DK"/>
        </w:rPr>
        <w:t>Hydroxychloroquin og chloroquin</w:t>
      </w:r>
    </w:p>
    <w:p w:rsidR="007B2405" w:rsidRDefault="007B2405" w:rsidP="007B2405">
      <w:pPr>
        <w:pStyle w:val="DefaultText"/>
        <w:tabs>
          <w:tab w:val="left" w:pos="851"/>
          <w:tab w:val="left" w:pos="6828"/>
          <w:tab w:val="left" w:pos="9576"/>
        </w:tabs>
        <w:ind w:left="851"/>
        <w:rPr>
          <w:szCs w:val="24"/>
          <w:lang w:val="da-DK"/>
        </w:rPr>
      </w:pPr>
      <w:r w:rsidRPr="004B33DD">
        <w:rPr>
          <w:szCs w:val="24"/>
          <w:lang w:val="da-DK"/>
        </w:rPr>
        <w:t>Clarithromycin bør anvendes med forsigtighed hos</w:t>
      </w:r>
      <w:r>
        <w:rPr>
          <w:szCs w:val="24"/>
          <w:lang w:val="da-DK"/>
        </w:rPr>
        <w:t xml:space="preserve"> </w:t>
      </w:r>
      <w:r w:rsidRPr="004B33DD">
        <w:rPr>
          <w:szCs w:val="24"/>
          <w:lang w:val="da-DK"/>
        </w:rPr>
        <w:t>patienter, som får disse lægemidler, der vides at forlænge QT-intervallet på grund af</w:t>
      </w:r>
      <w:r>
        <w:rPr>
          <w:szCs w:val="24"/>
          <w:lang w:val="da-DK"/>
        </w:rPr>
        <w:t xml:space="preserve"> </w:t>
      </w:r>
      <w:r w:rsidRPr="004B33DD">
        <w:rPr>
          <w:szCs w:val="24"/>
          <w:lang w:val="da-DK"/>
        </w:rPr>
        <w:t>risikoen for at fremkalde hjertearytmi og alvorlige kardiovaskulære bivirkninger.</w:t>
      </w:r>
    </w:p>
    <w:p w:rsidR="001E0ED3" w:rsidRDefault="001E0ED3" w:rsidP="001E0ED3">
      <w:pPr>
        <w:tabs>
          <w:tab w:val="left" w:pos="851"/>
        </w:tabs>
        <w:ind w:left="851"/>
        <w:rPr>
          <w:iCs/>
          <w:sz w:val="24"/>
          <w:szCs w:val="24"/>
          <w:u w:val="single"/>
        </w:rPr>
      </w:pPr>
    </w:p>
    <w:p w:rsidR="001E0ED3" w:rsidRDefault="001E0ED3" w:rsidP="001E0ED3">
      <w:pPr>
        <w:tabs>
          <w:tab w:val="left" w:pos="851"/>
        </w:tabs>
        <w:ind w:left="851"/>
        <w:rPr>
          <w:iCs/>
          <w:sz w:val="24"/>
          <w:szCs w:val="24"/>
          <w:u w:val="single"/>
        </w:rPr>
      </w:pPr>
      <w:r>
        <w:rPr>
          <w:iCs/>
          <w:sz w:val="24"/>
          <w:szCs w:val="24"/>
          <w:u w:val="single"/>
        </w:rPr>
        <w:t>Bi-direktionelle lægemiddelinteraktioner:</w:t>
      </w:r>
    </w:p>
    <w:p w:rsidR="001E0ED3" w:rsidRDefault="001E0ED3" w:rsidP="001E0ED3">
      <w:pPr>
        <w:pStyle w:val="DefaultText"/>
        <w:tabs>
          <w:tab w:val="left" w:pos="851"/>
        </w:tabs>
        <w:ind w:left="851"/>
        <w:rPr>
          <w:i/>
          <w:szCs w:val="24"/>
          <w:lang w:val="da-DK"/>
        </w:rPr>
      </w:pPr>
      <w:r>
        <w:rPr>
          <w:i/>
          <w:szCs w:val="24"/>
          <w:lang w:val="da-DK"/>
        </w:rPr>
        <w:t>Atazanavir</w:t>
      </w:r>
    </w:p>
    <w:p w:rsidR="001E0ED3" w:rsidRDefault="001E0ED3" w:rsidP="001E0ED3">
      <w:pPr>
        <w:tabs>
          <w:tab w:val="left" w:pos="851"/>
        </w:tabs>
        <w:ind w:left="851"/>
        <w:rPr>
          <w:sz w:val="24"/>
          <w:szCs w:val="24"/>
        </w:rPr>
      </w:pPr>
      <w:r>
        <w:rPr>
          <w:sz w:val="24"/>
          <w:szCs w:val="24"/>
        </w:rPr>
        <w:t xml:space="preserve">Både clarithromycin og atazanavir er CYP3A-substrater og hæmmere, og der er tegn på en bi-direktionel lægemiddelinteraktion. Samtidig administration af clarithromycin (500 mg to gange daglig) med atazanavir (400 mg én gang daglig) resulterede i en fordobling af eksponeringen af clarithromycin og et fald på 70 % i eksponeringen af 14-OH-clarithromycin, med en stigning AUC på 28 % for atazanavir. På grund af clarithromycins store terapeutisk vindue, bør det ikke være nødvendigt at nedsætte dosis hos patienter med normal nyrefunktion. </w:t>
      </w:r>
    </w:p>
    <w:p w:rsidR="001E0ED3" w:rsidRDefault="001E0ED3" w:rsidP="001E0ED3">
      <w:pPr>
        <w:tabs>
          <w:tab w:val="left" w:pos="851"/>
        </w:tabs>
        <w:ind w:left="851"/>
        <w:rPr>
          <w:sz w:val="24"/>
          <w:szCs w:val="24"/>
        </w:rPr>
      </w:pPr>
    </w:p>
    <w:p w:rsidR="001E0ED3" w:rsidRPr="00FE0041" w:rsidRDefault="001E0ED3" w:rsidP="001E0ED3">
      <w:pPr>
        <w:tabs>
          <w:tab w:val="left" w:pos="851"/>
        </w:tabs>
        <w:ind w:left="851"/>
        <w:rPr>
          <w:sz w:val="24"/>
          <w:szCs w:val="24"/>
        </w:rPr>
      </w:pPr>
      <w:r w:rsidRPr="009376AB">
        <w:rPr>
          <w:sz w:val="24"/>
          <w:szCs w:val="24"/>
        </w:rPr>
        <w:t xml:space="preserve">Patienter med moderat nedsat nyrefunktion (kreatininclearance på 30 til 60 ml/min) skal have clarithromycin-dosis nedsat med 50 %. Patienter med en kreatininclearance på &lt;30 ml/min skal have clarithromycin-dosis nedsat med 75 %, og der skal anvendes en </w:t>
      </w:r>
      <w:r w:rsidRPr="009376AB">
        <w:rPr>
          <w:sz w:val="24"/>
          <w:szCs w:val="24"/>
        </w:rPr>
        <w:lastRenderedPageBreak/>
        <w:t xml:space="preserve">passende clarithromycin-formulering, såsom tabletter med omgående frigivelse, pulver til </w:t>
      </w:r>
      <w:r>
        <w:rPr>
          <w:sz w:val="24"/>
          <w:szCs w:val="24"/>
        </w:rPr>
        <w:t>infusionsvæske</w:t>
      </w:r>
      <w:r w:rsidRPr="00FE0041">
        <w:rPr>
          <w:sz w:val="24"/>
          <w:szCs w:val="24"/>
        </w:rPr>
        <w:t xml:space="preserve"> eller granulat til oral suspension. Clarithromycin-doser, der er større end 1.000 mg pr. dag bør ikke administreres sammen med protease-hæmmere.</w:t>
      </w:r>
    </w:p>
    <w:p w:rsidR="001E0ED3" w:rsidRDefault="001E0ED3" w:rsidP="001E0ED3">
      <w:pPr>
        <w:ind w:left="851"/>
        <w:rPr>
          <w:i/>
          <w:sz w:val="24"/>
          <w:szCs w:val="24"/>
        </w:rPr>
      </w:pPr>
    </w:p>
    <w:p w:rsidR="001E0ED3" w:rsidRDefault="001E0ED3" w:rsidP="001E0ED3">
      <w:pPr>
        <w:ind w:left="851"/>
        <w:rPr>
          <w:i/>
          <w:sz w:val="24"/>
          <w:szCs w:val="24"/>
        </w:rPr>
      </w:pPr>
      <w:r>
        <w:rPr>
          <w:i/>
          <w:sz w:val="24"/>
          <w:szCs w:val="24"/>
        </w:rPr>
        <w:t>Itraconazol</w:t>
      </w:r>
    </w:p>
    <w:p w:rsidR="001E0ED3" w:rsidRDefault="001E0ED3" w:rsidP="001E0ED3">
      <w:pPr>
        <w:tabs>
          <w:tab w:val="left" w:pos="851"/>
        </w:tabs>
        <w:ind w:left="851"/>
        <w:rPr>
          <w:color w:val="000000"/>
          <w:sz w:val="24"/>
          <w:szCs w:val="24"/>
        </w:rPr>
      </w:pPr>
      <w:r>
        <w:rPr>
          <w:color w:val="000000"/>
          <w:sz w:val="24"/>
          <w:szCs w:val="24"/>
        </w:rPr>
        <w:t xml:space="preserve">Både clarithromycin og itraconazol er CYP3A-substrater og -hæmmere, hvilket medfører en bi-direktionel lægemiddelinteraktion. </w:t>
      </w:r>
      <w:r>
        <w:rPr>
          <w:sz w:val="24"/>
          <w:szCs w:val="24"/>
        </w:rPr>
        <w:t>Clarithromycin kan forhøje plasmaniveauet af itraconazol, og itraconazol kan forhøje plasmaniveauet af clarithromycin. Patienter, der tager itraconazol og clarithromycin samtidig, bør overvåges nøje for tegn og symptomer på øgede eller forlængede farmakologiske virkninger</w:t>
      </w:r>
      <w:r>
        <w:rPr>
          <w:color w:val="000000"/>
          <w:sz w:val="24"/>
          <w:szCs w:val="24"/>
        </w:rPr>
        <w:t>.</w:t>
      </w:r>
    </w:p>
    <w:p w:rsidR="001E0ED3" w:rsidRDefault="001E0ED3" w:rsidP="001E0ED3">
      <w:pPr>
        <w:rPr>
          <w:i/>
          <w:sz w:val="24"/>
          <w:szCs w:val="24"/>
        </w:rPr>
      </w:pPr>
    </w:p>
    <w:p w:rsidR="001E0ED3" w:rsidRDefault="001E0ED3" w:rsidP="001E0ED3">
      <w:pPr>
        <w:ind w:firstLine="851"/>
        <w:rPr>
          <w:i/>
          <w:sz w:val="24"/>
          <w:szCs w:val="24"/>
        </w:rPr>
      </w:pPr>
      <w:r>
        <w:rPr>
          <w:i/>
          <w:sz w:val="24"/>
          <w:szCs w:val="24"/>
        </w:rPr>
        <w:t>Saquinavir</w:t>
      </w:r>
    </w:p>
    <w:p w:rsidR="001E0ED3" w:rsidRDefault="001E0ED3" w:rsidP="001E0ED3">
      <w:pPr>
        <w:tabs>
          <w:tab w:val="left" w:pos="851"/>
          <w:tab w:val="left" w:pos="1418"/>
        </w:tabs>
        <w:ind w:left="851"/>
        <w:rPr>
          <w:color w:val="000000"/>
          <w:sz w:val="24"/>
          <w:szCs w:val="24"/>
        </w:rPr>
      </w:pPr>
      <w:r>
        <w:rPr>
          <w:sz w:val="24"/>
          <w:szCs w:val="24"/>
        </w:rPr>
        <w:t xml:space="preserve">Både clarithromycin og saquinavir er CYP3A-substrater og -hæmmere, og der er tegn på en bi-direktionel lægemiddelinteraktion. Samtidig administration af clarithromycin (500 mg to gange daglig) og saquinavir (bløde gelatinekapsler, 1.200 mg tre gange daglig) til 12 raske frivillige forsøgspersoner resulterede i </w:t>
      </w:r>
      <w:r>
        <w:rPr>
          <w:iCs/>
          <w:sz w:val="24"/>
          <w:szCs w:val="24"/>
        </w:rPr>
        <w:t>steady state</w:t>
      </w:r>
      <w:r>
        <w:rPr>
          <w:i/>
          <w:iCs/>
          <w:sz w:val="24"/>
          <w:szCs w:val="24"/>
        </w:rPr>
        <w:t xml:space="preserve"> </w:t>
      </w:r>
      <w:r>
        <w:rPr>
          <w:sz w:val="24"/>
          <w:szCs w:val="24"/>
        </w:rPr>
        <w:t>AUC- og C</w:t>
      </w:r>
      <w:r>
        <w:rPr>
          <w:sz w:val="24"/>
          <w:szCs w:val="24"/>
          <w:vertAlign w:val="subscript"/>
        </w:rPr>
        <w:t>max</w:t>
      </w:r>
      <w:r>
        <w:rPr>
          <w:sz w:val="24"/>
          <w:szCs w:val="24"/>
        </w:rPr>
        <w:t>-værdier for saquinavir, som var 177 % og 187 % højere end de værdier, som blev set for saquinavir indgivet alene. AUC- og C</w:t>
      </w:r>
      <w:r>
        <w:rPr>
          <w:sz w:val="24"/>
          <w:szCs w:val="24"/>
          <w:vertAlign w:val="subscript"/>
        </w:rPr>
        <w:t>max</w:t>
      </w:r>
      <w:r>
        <w:rPr>
          <w:sz w:val="24"/>
          <w:szCs w:val="24"/>
        </w:rPr>
        <w:t>-værdierne for clarithromycin var cirka 40 % højere end dem, som blev set for clarithromycin alene. Dosisjustering er ikke nødvendig i de undersøgte doser/formuleringer, når de to lægemidler administreres sammen i en begrænset periode. Observationer fra lægemiddelinteraktionsstudier, hvor der er anvendt bløde gelatinekapsler, er muligvis ikke repræsentative for de virkninger, der ses ved anvendelse af saquinavir hårde gelatinekapsler. Observationer fra lægemiddelinteraktionsstudier med saquinavir alene er muligvis ikke repræsentative for den effekt, der ses ved saquinavir/ritonavirbehandling. Når saquinavir administreres sammen med ritonavir, bør der tages hensyn til ritonavirs potentielle virkninger på clarithromycin</w:t>
      </w:r>
      <w:r>
        <w:rPr>
          <w:color w:val="000000"/>
          <w:sz w:val="24"/>
          <w:szCs w:val="24"/>
        </w:rPr>
        <w:t xml:space="preserve"> </w:t>
      </w:r>
      <w:r w:rsidRPr="009376AB">
        <w:rPr>
          <w:sz w:val="24"/>
          <w:szCs w:val="24"/>
        </w:rPr>
        <w:t>(se pkt. 4.5)</w:t>
      </w:r>
      <w:r w:rsidRPr="009376AB">
        <w:rPr>
          <w:color w:val="000000"/>
          <w:sz w:val="24"/>
          <w:szCs w:val="24"/>
        </w:rPr>
        <w:t>.</w:t>
      </w:r>
    </w:p>
    <w:p w:rsidR="001E0ED3" w:rsidRDefault="001E0ED3" w:rsidP="001E0ED3">
      <w:pPr>
        <w:rPr>
          <w:i/>
          <w:sz w:val="24"/>
          <w:szCs w:val="24"/>
        </w:rPr>
      </w:pPr>
    </w:p>
    <w:p w:rsidR="001E0ED3" w:rsidRDefault="001E0ED3" w:rsidP="001E0ED3">
      <w:pPr>
        <w:pStyle w:val="Overskrift8"/>
        <w:tabs>
          <w:tab w:val="left" w:pos="851"/>
        </w:tabs>
        <w:spacing w:before="0" w:after="0"/>
        <w:ind w:left="851"/>
        <w:rPr>
          <w:bCs/>
          <w:iCs w:val="0"/>
        </w:rPr>
      </w:pPr>
      <w:r>
        <w:rPr>
          <w:bCs/>
          <w:iCs w:val="0"/>
        </w:rPr>
        <w:t>Calciumkanalblokkere</w:t>
      </w:r>
    </w:p>
    <w:p w:rsidR="001E0ED3" w:rsidRDefault="001E0ED3" w:rsidP="001E0ED3">
      <w:pPr>
        <w:tabs>
          <w:tab w:val="left" w:pos="851"/>
        </w:tabs>
        <w:ind w:left="851"/>
        <w:rPr>
          <w:sz w:val="24"/>
          <w:szCs w:val="24"/>
        </w:rPr>
      </w:pPr>
      <w:r w:rsidRPr="009376AB">
        <w:rPr>
          <w:sz w:val="24"/>
          <w:szCs w:val="24"/>
        </w:rPr>
        <w:t>Pga. risikoen for hypotension bør der udvises forsigtighed ved samtidig brug af clarithromycin og calciumkanalblokkere der metaboliseres af CYP3A4 (f.eks. verapamil, amlodipin, diltiazem). Plasmakoncentrationen af clarithromycin såvel som calciumkanalblokkeren kan øges pga. interaktion.</w:t>
      </w:r>
      <w:r w:rsidRPr="004A12A9">
        <w:rPr>
          <w:sz w:val="24"/>
          <w:szCs w:val="24"/>
        </w:rPr>
        <w:t xml:space="preserve"> </w:t>
      </w:r>
      <w:r w:rsidRPr="009376AB">
        <w:rPr>
          <w:sz w:val="24"/>
          <w:szCs w:val="24"/>
        </w:rPr>
        <w:t xml:space="preserve">Der er set hypotension, bradyarytmi og mælkesyreacidose hos patienter, som tog clarithromycin og verapamil samtidig. Samtidig brug af clarithromycin og verapamil øger risikoen for hjertetoksicitet (forlænget </w:t>
      </w:r>
      <w:proofErr w:type="gramStart"/>
      <w:r w:rsidRPr="009376AB">
        <w:rPr>
          <w:sz w:val="24"/>
          <w:szCs w:val="24"/>
        </w:rPr>
        <w:t>QT interval</w:t>
      </w:r>
      <w:proofErr w:type="gramEnd"/>
      <w:r w:rsidRPr="009376AB">
        <w:rPr>
          <w:sz w:val="24"/>
          <w:szCs w:val="24"/>
        </w:rPr>
        <w:t>, Torsades de Pointes, hjertestop)</w:t>
      </w:r>
      <w:r w:rsidRPr="00FE0041">
        <w:rPr>
          <w:sz w:val="24"/>
          <w:szCs w:val="24"/>
        </w:rPr>
        <w:t xml:space="preserve">. </w:t>
      </w:r>
    </w:p>
    <w:p w:rsidR="0036761D" w:rsidRDefault="0036761D" w:rsidP="001E0ED3">
      <w:pPr>
        <w:tabs>
          <w:tab w:val="left" w:pos="851"/>
        </w:tabs>
        <w:ind w:left="851"/>
        <w:rPr>
          <w:sz w:val="24"/>
          <w:szCs w:val="24"/>
        </w:rPr>
      </w:pPr>
    </w:p>
    <w:p w:rsidR="001E0ED3" w:rsidRDefault="001E0ED3" w:rsidP="001E0ED3">
      <w:pPr>
        <w:tabs>
          <w:tab w:val="left" w:pos="851"/>
        </w:tabs>
        <w:ind w:left="851" w:hanging="851"/>
        <w:rPr>
          <w:sz w:val="24"/>
          <w:szCs w:val="24"/>
        </w:rPr>
      </w:pPr>
      <w:r>
        <w:rPr>
          <w:sz w:val="24"/>
          <w:szCs w:val="24"/>
        </w:rPr>
        <w:tab/>
        <w:t>Clarithromycin virker antagonistisk på β-laktam antibiotikas antibakterielle virkning.</w:t>
      </w:r>
    </w:p>
    <w:p w:rsidR="001E0ED3" w:rsidRPr="00A6772A" w:rsidRDefault="001E0ED3" w:rsidP="001E0ED3">
      <w:pPr>
        <w:pStyle w:val="Brdtekstindrykning"/>
        <w:spacing w:after="0"/>
        <w:ind w:left="851" w:hanging="851"/>
        <w:rPr>
          <w:szCs w:val="24"/>
        </w:rPr>
      </w:pPr>
    </w:p>
    <w:p w:rsidR="001E0ED3" w:rsidRPr="00A6772A" w:rsidRDefault="001E0ED3" w:rsidP="001E0ED3">
      <w:pPr>
        <w:keepNext/>
        <w:ind w:left="851" w:hanging="851"/>
        <w:rPr>
          <w:b/>
          <w:sz w:val="24"/>
          <w:szCs w:val="24"/>
        </w:rPr>
      </w:pPr>
      <w:r w:rsidRPr="00A6772A">
        <w:rPr>
          <w:b/>
          <w:sz w:val="24"/>
          <w:szCs w:val="24"/>
        </w:rPr>
        <w:t>4.6</w:t>
      </w:r>
      <w:r w:rsidRPr="00A6772A">
        <w:rPr>
          <w:b/>
          <w:sz w:val="24"/>
          <w:szCs w:val="24"/>
        </w:rPr>
        <w:tab/>
      </w:r>
      <w:r w:rsidR="00DA26E3">
        <w:rPr>
          <w:b/>
          <w:sz w:val="24"/>
          <w:szCs w:val="24"/>
        </w:rPr>
        <w:t>Fertilitet, g</w:t>
      </w:r>
      <w:r w:rsidRPr="00A6772A">
        <w:rPr>
          <w:b/>
          <w:sz w:val="24"/>
          <w:szCs w:val="24"/>
        </w:rPr>
        <w:t>raviditet og amning</w:t>
      </w:r>
    </w:p>
    <w:p w:rsidR="00DA26E3" w:rsidRDefault="00DA26E3" w:rsidP="00DA26E3">
      <w:pPr>
        <w:keepNext/>
        <w:rPr>
          <w:i/>
          <w:sz w:val="24"/>
          <w:szCs w:val="24"/>
          <w:u w:val="single"/>
          <w:lang w:eastAsia="da-DK"/>
        </w:rPr>
      </w:pPr>
      <w:r>
        <w:rPr>
          <w:i/>
          <w:sz w:val="24"/>
          <w:szCs w:val="24"/>
        </w:rPr>
        <w:t xml:space="preserve">              </w:t>
      </w:r>
      <w:r>
        <w:rPr>
          <w:i/>
          <w:sz w:val="24"/>
          <w:szCs w:val="24"/>
          <w:u w:val="single"/>
        </w:rPr>
        <w:t>Graviditet</w:t>
      </w:r>
    </w:p>
    <w:p w:rsidR="00DA26E3" w:rsidRDefault="00DA26E3" w:rsidP="00DA26E3">
      <w:pPr>
        <w:ind w:left="851"/>
        <w:rPr>
          <w:sz w:val="24"/>
          <w:szCs w:val="24"/>
        </w:rPr>
      </w:pPr>
      <w:r>
        <w:rPr>
          <w:sz w:val="24"/>
          <w:szCs w:val="24"/>
        </w:rPr>
        <w:t>Clarithromycin bør kun anvendes på tvingende indikation under graviditet.</w:t>
      </w:r>
    </w:p>
    <w:p w:rsidR="00DA26E3" w:rsidRDefault="00DA26E3" w:rsidP="00DA26E3">
      <w:pPr>
        <w:ind w:left="851"/>
        <w:rPr>
          <w:sz w:val="24"/>
          <w:szCs w:val="24"/>
        </w:rPr>
      </w:pPr>
      <w:r>
        <w:rPr>
          <w:sz w:val="24"/>
          <w:szCs w:val="24"/>
        </w:rPr>
        <w:t xml:space="preserve">Data fra et begrænset antal graviditeter viser en øget risiko for abort ved eksponering i første trimester. </w:t>
      </w:r>
    </w:p>
    <w:p w:rsidR="00DA26E3" w:rsidRDefault="00DA26E3" w:rsidP="00DA26E3">
      <w:pPr>
        <w:ind w:left="851"/>
        <w:rPr>
          <w:sz w:val="24"/>
          <w:szCs w:val="24"/>
        </w:rPr>
      </w:pPr>
      <w:r>
        <w:rPr>
          <w:sz w:val="24"/>
          <w:szCs w:val="24"/>
        </w:rPr>
        <w:t xml:space="preserve">Sikkerheden for anvendelse af clarithromycin under graviditet er ikke fastlagt. På baggrund af varierende resultater fra dyreforsøg og erfaringer hos mennesker, kan muligheden for skadelige virkninger på </w:t>
      </w:r>
      <w:r>
        <w:t>fosterudviklingen</w:t>
      </w:r>
      <w:r>
        <w:rPr>
          <w:sz w:val="24"/>
          <w:szCs w:val="24"/>
        </w:rPr>
        <w:t xml:space="preserve"> ikke udelukkes</w:t>
      </w:r>
      <w:r>
        <w:t>, herunder abort (se pkt. 5.3)</w:t>
      </w:r>
      <w:r>
        <w:rPr>
          <w:sz w:val="24"/>
          <w:szCs w:val="24"/>
        </w:rPr>
        <w:t xml:space="preserve">. Nogle observationsstudier, der vurderer eksponering for clarithromycin i første og andet trimester, har rapporteret en øget risiko for spontan abort sammenlignet med ingen brug af antibiotika eller anden anvendelse af antibiotika i samme periode. De tilgængelige epidemiologiske undersøgelser af risikoen for større medfødte malformationer ved anvendelse af makrolider indeholdende clarithromycin under graviditet giver modstridende </w:t>
      </w:r>
      <w:r>
        <w:rPr>
          <w:sz w:val="24"/>
          <w:szCs w:val="24"/>
        </w:rPr>
        <w:lastRenderedPageBreak/>
        <w:t>resultater. Derfor anbefales brugen af clarithromycin under graviditet ikke uden omhyggelig afvejning af fordelene mod risikoen.</w:t>
      </w:r>
    </w:p>
    <w:p w:rsidR="00DA26E3" w:rsidRDefault="00DA26E3" w:rsidP="00DA26E3">
      <w:pPr>
        <w:ind w:left="851"/>
        <w:rPr>
          <w:sz w:val="24"/>
          <w:szCs w:val="24"/>
        </w:rPr>
      </w:pPr>
    </w:p>
    <w:p w:rsidR="00DA26E3" w:rsidRDefault="00DA26E3" w:rsidP="00DA26E3">
      <w:pPr>
        <w:ind w:left="851"/>
        <w:rPr>
          <w:sz w:val="24"/>
          <w:szCs w:val="24"/>
        </w:rPr>
      </w:pPr>
      <w:r>
        <w:rPr>
          <w:i/>
          <w:sz w:val="24"/>
          <w:szCs w:val="24"/>
          <w:u w:val="single"/>
        </w:rPr>
        <w:t>Amning</w:t>
      </w:r>
      <w:r>
        <w:rPr>
          <w:sz w:val="24"/>
          <w:szCs w:val="24"/>
        </w:rPr>
        <w:t xml:space="preserve"> </w:t>
      </w:r>
    </w:p>
    <w:p w:rsidR="00DA26E3" w:rsidRDefault="00DA26E3" w:rsidP="00DA26E3">
      <w:pPr>
        <w:ind w:left="851"/>
        <w:rPr>
          <w:sz w:val="24"/>
          <w:szCs w:val="24"/>
        </w:rPr>
      </w:pPr>
      <w:r>
        <w:rPr>
          <w:sz w:val="24"/>
          <w:szCs w:val="24"/>
        </w:rPr>
        <w:t>Sikkerheden for anvendelse af clarithromycin under amning af spædbørn er ikke fastlagt.</w:t>
      </w:r>
    </w:p>
    <w:p w:rsidR="00DA26E3" w:rsidRDefault="00DA26E3" w:rsidP="00DA26E3">
      <w:pPr>
        <w:ind w:left="851"/>
        <w:rPr>
          <w:sz w:val="24"/>
          <w:szCs w:val="24"/>
        </w:rPr>
      </w:pPr>
      <w:r>
        <w:rPr>
          <w:sz w:val="24"/>
          <w:szCs w:val="24"/>
        </w:rPr>
        <w:t>Clarithromycin bør ikke anvendes i ammeperioden.</w:t>
      </w:r>
    </w:p>
    <w:p w:rsidR="00DA26E3" w:rsidRDefault="00DA26E3" w:rsidP="00DA26E3">
      <w:pPr>
        <w:ind w:left="851"/>
        <w:rPr>
          <w:i/>
          <w:spacing w:val="-3"/>
          <w:u w:val="single"/>
        </w:rPr>
      </w:pPr>
      <w:r>
        <w:rPr>
          <w:sz w:val="24"/>
          <w:szCs w:val="24"/>
        </w:rPr>
        <w:t>Clarithromycin</w:t>
      </w:r>
      <w:r>
        <w:t xml:space="preserve"> </w:t>
      </w:r>
      <w:r>
        <w:rPr>
          <w:sz w:val="24"/>
          <w:szCs w:val="24"/>
        </w:rPr>
        <w:t>og dets aktive metabolit udskilles i human modermælk i små mængder. Det estimeres, at et barn, der fuldammes, indtager omkring 1,7 % af morens vægtjusterede dosis af clarithromycin.</w:t>
      </w:r>
      <w:r>
        <w:rPr>
          <w:sz w:val="24"/>
          <w:szCs w:val="24"/>
        </w:rPr>
        <w:br/>
      </w:r>
      <w:r>
        <w:rPr>
          <w:sz w:val="24"/>
          <w:szCs w:val="24"/>
        </w:rPr>
        <w:br/>
      </w:r>
      <w:r>
        <w:rPr>
          <w:i/>
          <w:spacing w:val="-3"/>
          <w:u w:val="single"/>
        </w:rPr>
        <w:t>Fertilitet</w:t>
      </w:r>
    </w:p>
    <w:p w:rsidR="00DA26E3" w:rsidRDefault="00DA26E3" w:rsidP="00DA26E3">
      <w:pPr>
        <w:keepNext/>
        <w:ind w:left="851"/>
        <w:rPr>
          <w:spacing w:val="-3"/>
        </w:rPr>
      </w:pPr>
      <w:r>
        <w:rPr>
          <w:spacing w:val="-3"/>
        </w:rPr>
        <w:t>Fertilitetsstudier i mus og rotter har ikke vist nogen direkte skadelig effekt på fertilitet (se pkt. 5.3).</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4.7</w:t>
      </w:r>
      <w:r w:rsidRPr="00A6772A">
        <w:rPr>
          <w:b/>
          <w:sz w:val="24"/>
          <w:szCs w:val="24"/>
        </w:rPr>
        <w:tab/>
        <w:t xml:space="preserve">Virkning på evnen til at føre motorkøretøj </w:t>
      </w:r>
      <w:r w:rsidR="00DA26E3">
        <w:rPr>
          <w:b/>
          <w:sz w:val="24"/>
          <w:szCs w:val="24"/>
        </w:rPr>
        <w:t>og</w:t>
      </w:r>
      <w:r w:rsidRPr="00A6772A">
        <w:rPr>
          <w:b/>
          <w:sz w:val="24"/>
          <w:szCs w:val="24"/>
        </w:rPr>
        <w:t xml:space="preserve"> betjene maskiner</w:t>
      </w:r>
    </w:p>
    <w:p w:rsidR="001E0ED3" w:rsidRPr="00A6772A" w:rsidRDefault="001E0ED3" w:rsidP="001E0ED3">
      <w:pPr>
        <w:ind w:left="851"/>
        <w:rPr>
          <w:sz w:val="24"/>
          <w:szCs w:val="24"/>
          <w:lang w:eastAsia="da-DK"/>
        </w:rPr>
      </w:pPr>
      <w:r w:rsidRPr="00A6772A">
        <w:rPr>
          <w:sz w:val="24"/>
          <w:szCs w:val="24"/>
        </w:rPr>
        <w:t>Ikke mærkning.</w:t>
      </w:r>
    </w:p>
    <w:p w:rsidR="001E0ED3" w:rsidRPr="00A6772A" w:rsidRDefault="001E0ED3" w:rsidP="001E0ED3">
      <w:pPr>
        <w:ind w:left="851"/>
        <w:rPr>
          <w:sz w:val="24"/>
          <w:szCs w:val="24"/>
        </w:rPr>
      </w:pPr>
      <w:r w:rsidRPr="00A6772A">
        <w:rPr>
          <w:spacing w:val="-3"/>
          <w:sz w:val="24"/>
          <w:szCs w:val="24"/>
        </w:rPr>
        <w:t>Der er ikke foretaget undersøgelser af c</w:t>
      </w:r>
      <w:r w:rsidRPr="00A6772A">
        <w:rPr>
          <w:sz w:val="24"/>
          <w:szCs w:val="24"/>
        </w:rPr>
        <w:t>larithromycins</w:t>
      </w:r>
      <w:r w:rsidRPr="00A6772A">
        <w:rPr>
          <w:spacing w:val="-3"/>
          <w:sz w:val="24"/>
          <w:szCs w:val="24"/>
        </w:rPr>
        <w:t xml:space="preserve"> virkning på evnen til at føre motorkøretøj eller betjene maskiner. </w:t>
      </w:r>
      <w:r w:rsidRPr="00A6772A">
        <w:rPr>
          <w:sz w:val="24"/>
          <w:szCs w:val="24"/>
          <w:lang w:eastAsia="de-DE"/>
        </w:rPr>
        <w:t>Den potenti</w:t>
      </w:r>
      <w:r>
        <w:rPr>
          <w:sz w:val="24"/>
          <w:szCs w:val="24"/>
          <w:lang w:eastAsia="de-DE"/>
        </w:rPr>
        <w:t>e</w:t>
      </w:r>
      <w:r w:rsidRPr="00A6772A">
        <w:rPr>
          <w:sz w:val="24"/>
          <w:szCs w:val="24"/>
          <w:lang w:eastAsia="de-DE"/>
        </w:rPr>
        <w:t>lle risiko for svimmelhed, vertigo, forvirring og desorientering, som kan forekomme med dette lægemiddel, bør tages i betragtning, før patienterne kører bil eller betjener maskiner</w:t>
      </w:r>
      <w:r w:rsidRPr="00A6772A">
        <w:rPr>
          <w:sz w:val="24"/>
          <w:szCs w:val="24"/>
        </w:rPr>
        <w:t>.</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4.8</w:t>
      </w:r>
      <w:r w:rsidRPr="00A6772A">
        <w:rPr>
          <w:b/>
          <w:sz w:val="24"/>
          <w:szCs w:val="24"/>
        </w:rPr>
        <w:tab/>
        <w:t>Bivirkninger</w:t>
      </w:r>
    </w:p>
    <w:p w:rsidR="001E0ED3" w:rsidRPr="00A6772A" w:rsidRDefault="001E0ED3" w:rsidP="001E0ED3">
      <w:pPr>
        <w:autoSpaceDE w:val="0"/>
        <w:autoSpaceDN w:val="0"/>
        <w:adjustRightInd w:val="0"/>
        <w:ind w:left="851"/>
        <w:rPr>
          <w:b/>
          <w:bCs/>
          <w:i/>
          <w:iCs/>
          <w:sz w:val="24"/>
          <w:szCs w:val="24"/>
          <w:lang w:eastAsia="en-GB"/>
        </w:rPr>
      </w:pPr>
      <w:r w:rsidRPr="00A6772A">
        <w:rPr>
          <w:b/>
          <w:bCs/>
          <w:i/>
          <w:iCs/>
          <w:sz w:val="24"/>
          <w:szCs w:val="24"/>
          <w:lang w:eastAsia="en-GB"/>
        </w:rPr>
        <w:t>a. Sammendrag af sikkerhedsprofilen</w:t>
      </w:r>
    </w:p>
    <w:p w:rsidR="001E0ED3" w:rsidRPr="00A6772A" w:rsidRDefault="001E0ED3" w:rsidP="001E0ED3">
      <w:pPr>
        <w:ind w:left="851"/>
        <w:rPr>
          <w:iCs/>
          <w:color w:val="000000"/>
          <w:sz w:val="24"/>
          <w:szCs w:val="24"/>
          <w:lang w:eastAsia="da-DK"/>
        </w:rPr>
      </w:pPr>
      <w:r w:rsidRPr="00A6772A">
        <w:rPr>
          <w:iCs/>
          <w:color w:val="000000"/>
          <w:sz w:val="24"/>
          <w:szCs w:val="24"/>
        </w:rPr>
        <w:t xml:space="preserve">De hyppigste og mest almindelige bivirkninger relateret til behandling med clarithromycin for både voksne og pædiatriske populationer er abdominalsmerter, diarré, kvalme, opkastning og ændret smagsoplevelse. Disse bivirkninger er normalt milde og de stemmer overens med den sikkerhedsprofil, som er kendt for makrolid antibiotika (se afsnit b i </w:t>
      </w:r>
      <w:r>
        <w:rPr>
          <w:iCs/>
          <w:color w:val="000000"/>
          <w:sz w:val="24"/>
          <w:szCs w:val="24"/>
        </w:rPr>
        <w:t>pkt.</w:t>
      </w:r>
      <w:r w:rsidRPr="00A6772A">
        <w:rPr>
          <w:iCs/>
          <w:color w:val="000000"/>
          <w:sz w:val="24"/>
          <w:szCs w:val="24"/>
        </w:rPr>
        <w:t xml:space="preserve"> 4.8)</w:t>
      </w:r>
      <w:r>
        <w:rPr>
          <w:iCs/>
          <w:color w:val="000000"/>
          <w:sz w:val="24"/>
          <w:szCs w:val="24"/>
        </w:rPr>
        <w:t>.</w:t>
      </w:r>
    </w:p>
    <w:p w:rsidR="001E0ED3" w:rsidRPr="00A6772A" w:rsidRDefault="001E0ED3" w:rsidP="001E0ED3">
      <w:pPr>
        <w:ind w:left="851"/>
        <w:rPr>
          <w:iCs/>
          <w:color w:val="000000"/>
          <w:sz w:val="24"/>
          <w:szCs w:val="24"/>
        </w:rPr>
      </w:pPr>
    </w:p>
    <w:p w:rsidR="001E0ED3" w:rsidRPr="00A6772A" w:rsidRDefault="001E0ED3" w:rsidP="001E0ED3">
      <w:pPr>
        <w:ind w:left="851"/>
        <w:rPr>
          <w:iCs/>
          <w:color w:val="000000"/>
          <w:sz w:val="24"/>
          <w:szCs w:val="24"/>
          <w:lang w:eastAsia="en-GB"/>
        </w:rPr>
      </w:pPr>
      <w:r w:rsidRPr="00A6772A">
        <w:rPr>
          <w:iCs/>
          <w:color w:val="000000"/>
          <w:sz w:val="24"/>
          <w:szCs w:val="24"/>
          <w:lang w:eastAsia="en-GB"/>
        </w:rPr>
        <w:t>I de kliniske forsøg var der ingen signifikant klinisk forskel i de kliniske forsøg mellem forekomsten af gastrointestinale bivirkninger hos patientpopulationer med eller uden allerede for</w:t>
      </w:r>
      <w:r>
        <w:rPr>
          <w:iCs/>
          <w:color w:val="000000"/>
          <w:sz w:val="24"/>
          <w:szCs w:val="24"/>
          <w:lang w:eastAsia="en-GB"/>
        </w:rPr>
        <w:t>e</w:t>
      </w:r>
      <w:r w:rsidRPr="00A6772A">
        <w:rPr>
          <w:iCs/>
          <w:color w:val="000000"/>
          <w:sz w:val="24"/>
          <w:szCs w:val="24"/>
          <w:lang w:eastAsia="en-GB"/>
        </w:rPr>
        <w:t>kommende mykobakterielle infektioner.</w:t>
      </w:r>
    </w:p>
    <w:p w:rsidR="001E0ED3" w:rsidRPr="00A6772A" w:rsidRDefault="001E0ED3" w:rsidP="001E0ED3">
      <w:pPr>
        <w:ind w:left="851"/>
        <w:rPr>
          <w:iCs/>
          <w:color w:val="000000"/>
          <w:sz w:val="24"/>
          <w:szCs w:val="24"/>
          <w:lang w:eastAsia="en-GB"/>
        </w:rPr>
      </w:pPr>
    </w:p>
    <w:p w:rsidR="001E0ED3" w:rsidRPr="00A6772A" w:rsidRDefault="001E0ED3" w:rsidP="001E0ED3">
      <w:pPr>
        <w:pStyle w:val="TableText"/>
        <w:spacing w:before="120" w:line="300" w:lineRule="exact"/>
        <w:ind w:left="851"/>
        <w:rPr>
          <w:rFonts w:ascii="Times New Roman" w:hAnsi="Times New Roman"/>
          <w:b/>
          <w:bCs/>
          <w:sz w:val="24"/>
          <w:szCs w:val="24"/>
          <w:u w:val="single"/>
          <w:lang w:val="da-DK"/>
        </w:rPr>
      </w:pPr>
      <w:r w:rsidRPr="00A6772A">
        <w:rPr>
          <w:rFonts w:ascii="Times New Roman" w:hAnsi="Times New Roman"/>
          <w:b/>
          <w:bCs/>
          <w:i/>
          <w:iCs/>
          <w:sz w:val="24"/>
          <w:szCs w:val="24"/>
          <w:lang w:val="da-DK" w:eastAsia="en-GB"/>
        </w:rPr>
        <w:t>b. Tabuleret sammendrag af bivirkninger</w:t>
      </w:r>
    </w:p>
    <w:p w:rsidR="001E0ED3" w:rsidRPr="00A6772A" w:rsidRDefault="001E0ED3" w:rsidP="001E0ED3">
      <w:pPr>
        <w:ind w:left="851"/>
        <w:rPr>
          <w:bCs/>
          <w:sz w:val="24"/>
          <w:szCs w:val="24"/>
        </w:rPr>
      </w:pPr>
      <w:r w:rsidRPr="00A6772A">
        <w:rPr>
          <w:sz w:val="24"/>
          <w:szCs w:val="24"/>
        </w:rPr>
        <w:t xml:space="preserve">Følgende tabel viser bivirkninger, som er indberettet i kliniske forsøg og efter markedsføring for clarithromycin-tabletter med umiddelbar frigivelse, </w:t>
      </w:r>
      <w:r w:rsidRPr="00A6772A">
        <w:rPr>
          <w:bCs/>
          <w:sz w:val="24"/>
          <w:szCs w:val="24"/>
        </w:rPr>
        <w:t>granulat til oral suspension, pulver til opløsning til injektionsvæske, depottabletter og tabletter med modificeret udløsning.</w:t>
      </w:r>
    </w:p>
    <w:p w:rsidR="001E0ED3" w:rsidRPr="00A6772A" w:rsidRDefault="001E0ED3" w:rsidP="001E0ED3">
      <w:pPr>
        <w:ind w:left="851"/>
        <w:rPr>
          <w:bCs/>
          <w:sz w:val="24"/>
          <w:szCs w:val="24"/>
        </w:rPr>
      </w:pPr>
    </w:p>
    <w:p w:rsidR="001E0ED3" w:rsidRDefault="001E0ED3" w:rsidP="001E0ED3">
      <w:pPr>
        <w:ind w:left="851"/>
        <w:rPr>
          <w:color w:val="000000"/>
          <w:sz w:val="24"/>
          <w:szCs w:val="24"/>
        </w:rPr>
      </w:pPr>
      <w:r w:rsidRPr="00A6772A">
        <w:rPr>
          <w:sz w:val="24"/>
          <w:szCs w:val="24"/>
        </w:rPr>
        <w:t>De bivirkninger, der som minimum anses for muligvis at være relateret til clarithromycin vises efter organsystemklasse og hyppighed ved brug af følgende konvention: meget almindelig (≥1/</w:t>
      </w:r>
      <w:r w:rsidRPr="00A6772A">
        <w:rPr>
          <w:color w:val="000000"/>
          <w:sz w:val="24"/>
          <w:szCs w:val="24"/>
        </w:rPr>
        <w:t>10),</w:t>
      </w:r>
      <w:r w:rsidRPr="00A6772A">
        <w:rPr>
          <w:sz w:val="24"/>
          <w:szCs w:val="24"/>
        </w:rPr>
        <w:t xml:space="preserve"> almindelig (≥ 1/100 til &lt; 1/10), ikke almindelig (≥</w:t>
      </w:r>
      <w:r w:rsidRPr="00A6772A">
        <w:rPr>
          <w:color w:val="000000"/>
          <w:sz w:val="24"/>
          <w:szCs w:val="24"/>
        </w:rPr>
        <w:t xml:space="preserve">1/1.000 til &lt; 1/100), Sjælden </w:t>
      </w:r>
      <w:r w:rsidRPr="00A6772A">
        <w:rPr>
          <w:sz w:val="24"/>
          <w:szCs w:val="24"/>
        </w:rPr>
        <w:t>(≥ 1/10.000 til &lt; 1/1.000), meget s</w:t>
      </w:r>
      <w:r w:rsidRPr="00A6772A">
        <w:rPr>
          <w:color w:val="000000"/>
          <w:sz w:val="24"/>
          <w:szCs w:val="24"/>
        </w:rPr>
        <w:t xml:space="preserve">jælden </w:t>
      </w:r>
      <w:r w:rsidRPr="00A6772A">
        <w:rPr>
          <w:sz w:val="24"/>
          <w:szCs w:val="24"/>
        </w:rPr>
        <w:t xml:space="preserve">(&lt;1/10.000 </w:t>
      </w:r>
      <w:r w:rsidRPr="00A6772A">
        <w:rPr>
          <w:color w:val="000000"/>
          <w:sz w:val="24"/>
          <w:szCs w:val="24"/>
        </w:rPr>
        <w:t>og ikke kendt (bivirkninger fra erfaring efter markedsføring; kan ikke estimeres ud</w:t>
      </w:r>
      <w:r>
        <w:rPr>
          <w:color w:val="000000"/>
          <w:sz w:val="24"/>
          <w:szCs w:val="24"/>
        </w:rPr>
        <w:t xml:space="preserve"> </w:t>
      </w:r>
      <w:r w:rsidRPr="00A6772A">
        <w:rPr>
          <w:color w:val="000000"/>
          <w:sz w:val="24"/>
          <w:szCs w:val="24"/>
        </w:rPr>
        <w:t xml:space="preserve">fra de forhåndenværende data). </w:t>
      </w:r>
    </w:p>
    <w:p w:rsidR="001E0ED3" w:rsidRDefault="001E0ED3" w:rsidP="001E0ED3">
      <w:pPr>
        <w:ind w:left="851"/>
        <w:rPr>
          <w:bCs/>
          <w:sz w:val="24"/>
          <w:szCs w:val="24"/>
        </w:rPr>
      </w:pPr>
      <w:r w:rsidRPr="00A6772A">
        <w:rPr>
          <w:color w:val="000000"/>
          <w:sz w:val="24"/>
          <w:szCs w:val="24"/>
        </w:rPr>
        <w:t>Inden</w:t>
      </w:r>
      <w:r>
        <w:rPr>
          <w:color w:val="000000"/>
          <w:sz w:val="24"/>
          <w:szCs w:val="24"/>
        </w:rPr>
        <w:t xml:space="preserve"> </w:t>
      </w:r>
      <w:r w:rsidRPr="00A6772A">
        <w:rPr>
          <w:color w:val="000000"/>
          <w:sz w:val="24"/>
          <w:szCs w:val="24"/>
        </w:rPr>
        <w:t>for hver frekvensgruppe er bivirkningerne opstillet efter faldende alvorlighed, når det var muligt at evalurere alvorligheden.</w:t>
      </w:r>
      <w:r w:rsidRPr="00A6772A">
        <w:rPr>
          <w:bCs/>
          <w:sz w:val="24"/>
          <w:szCs w:val="24"/>
        </w:rPr>
        <w:t xml:space="preserve"> </w:t>
      </w:r>
    </w:p>
    <w:p w:rsidR="001E0ED3" w:rsidRDefault="001E0ED3" w:rsidP="001E0ED3">
      <w:pPr>
        <w:rPr>
          <w:sz w:val="24"/>
          <w:szCs w:val="24"/>
        </w:rPr>
      </w:pPr>
    </w:p>
    <w:tbl>
      <w:tblPr>
        <w:tblStyle w:val="Tabel-Gitter"/>
        <w:tblW w:w="5000" w:type="pct"/>
        <w:tblLook w:val="04A0" w:firstRow="1" w:lastRow="0" w:firstColumn="1" w:lastColumn="0" w:noHBand="0" w:noVBand="1"/>
      </w:tblPr>
      <w:tblGrid>
        <w:gridCol w:w="3247"/>
        <w:gridCol w:w="3025"/>
        <w:gridCol w:w="3356"/>
      </w:tblGrid>
      <w:tr w:rsidR="001E0ED3" w:rsidRPr="00FE0041" w:rsidTr="00131FCE">
        <w:trPr>
          <w:tblHeader/>
        </w:trPr>
        <w:tc>
          <w:tcPr>
            <w:tcW w:w="1686" w:type="pct"/>
            <w:tcBorders>
              <w:top w:val="single" w:sz="4" w:space="0" w:color="auto"/>
              <w:left w:val="single" w:sz="4" w:space="0" w:color="auto"/>
              <w:bottom w:val="single" w:sz="4" w:space="0" w:color="auto"/>
              <w:right w:val="single" w:sz="4" w:space="0" w:color="auto"/>
            </w:tcBorders>
            <w:hideMark/>
          </w:tcPr>
          <w:p w:rsidR="001E0ED3" w:rsidRPr="00FE0041" w:rsidRDefault="001E0ED3" w:rsidP="00131FCE">
            <w:pPr>
              <w:rPr>
                <w:b/>
                <w:bCs/>
                <w:sz w:val="22"/>
                <w:szCs w:val="22"/>
              </w:rPr>
            </w:pPr>
            <w:r w:rsidRPr="004A12A9">
              <w:rPr>
                <w:b/>
                <w:bCs/>
                <w:sz w:val="22"/>
                <w:szCs w:val="22"/>
              </w:rPr>
              <w:t>Systemorganklasser</w:t>
            </w:r>
          </w:p>
          <w:p w:rsidR="001E0ED3" w:rsidRPr="004A12A9" w:rsidRDefault="001E0ED3" w:rsidP="00131FCE">
            <w:pPr>
              <w:rPr>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b/>
                <w:bCs/>
                <w:sz w:val="22"/>
                <w:szCs w:val="22"/>
              </w:rPr>
              <w:t>Hyppighed</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b/>
                <w:bCs/>
                <w:sz w:val="22"/>
                <w:szCs w:val="22"/>
              </w:rPr>
              <w:t>Bivirkning</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noProof/>
                <w:sz w:val="22"/>
                <w:szCs w:val="22"/>
              </w:rPr>
              <w:t>Infektioner og parasitære sygdomme</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Oral candidiasis</w:t>
            </w:r>
          </w:p>
        </w:tc>
      </w:tr>
      <w:tr w:rsidR="001E0ED3" w:rsidRPr="00A70088"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lang w:val="sv-SE"/>
              </w:rPr>
            </w:pPr>
            <w:r w:rsidRPr="004A12A9">
              <w:rPr>
                <w:color w:val="000000"/>
                <w:sz w:val="22"/>
                <w:szCs w:val="22"/>
                <w:lang w:val="sv-SE"/>
              </w:rPr>
              <w:t>Cellulitis</w:t>
            </w:r>
            <w:r w:rsidRPr="004A12A9">
              <w:rPr>
                <w:bCs/>
                <w:color w:val="000000"/>
                <w:sz w:val="22"/>
                <w:szCs w:val="22"/>
                <w:vertAlign w:val="superscript"/>
                <w:lang w:val="sv-SE"/>
              </w:rPr>
              <w:t>1</w:t>
            </w:r>
            <w:r w:rsidRPr="004A12A9">
              <w:rPr>
                <w:color w:val="000000"/>
                <w:sz w:val="22"/>
                <w:szCs w:val="22"/>
                <w:lang w:val="sv-SE"/>
              </w:rPr>
              <w:t>, candidiasis, gastroenteritis</w:t>
            </w:r>
            <w:r w:rsidRPr="004A12A9">
              <w:rPr>
                <w:color w:val="000000"/>
                <w:sz w:val="22"/>
                <w:szCs w:val="22"/>
                <w:vertAlign w:val="superscript"/>
                <w:lang w:val="sv-SE"/>
              </w:rPr>
              <w:t>2</w:t>
            </w:r>
            <w:r w:rsidRPr="004A12A9">
              <w:rPr>
                <w:color w:val="000000"/>
                <w:sz w:val="22"/>
                <w:szCs w:val="22"/>
                <w:lang w:val="sv-SE"/>
              </w:rPr>
              <w:t>,</w:t>
            </w:r>
            <w:r w:rsidR="0036761D">
              <w:rPr>
                <w:color w:val="000000"/>
                <w:sz w:val="22"/>
                <w:szCs w:val="22"/>
                <w:lang w:val="sv-SE"/>
              </w:rPr>
              <w:t xml:space="preserve"> </w:t>
            </w:r>
            <w:r w:rsidRPr="004A12A9">
              <w:rPr>
                <w:color w:val="000000"/>
                <w:sz w:val="22"/>
                <w:szCs w:val="22"/>
                <w:lang w:val="sv-SE"/>
              </w:rPr>
              <w:t>infektion</w:t>
            </w:r>
            <w:r w:rsidRPr="004A12A9">
              <w:rPr>
                <w:color w:val="000000"/>
                <w:sz w:val="22"/>
                <w:szCs w:val="22"/>
                <w:vertAlign w:val="superscript"/>
                <w:lang w:val="sv-SE"/>
              </w:rPr>
              <w:t>3</w:t>
            </w:r>
            <w:r w:rsidRPr="004A12A9">
              <w:rPr>
                <w:color w:val="000000"/>
                <w:sz w:val="22"/>
                <w:szCs w:val="22"/>
                <w:lang w:val="sv-SE"/>
              </w:rPr>
              <w:t>, vaginal infektion</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sz w:val="22"/>
                <w:szCs w:val="22"/>
                <w:lang w:val="sv-SE"/>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Pseudomembranøs colitis,</w:t>
            </w:r>
            <w:r w:rsidRPr="004A12A9">
              <w:rPr>
                <w:iCs/>
                <w:color w:val="000000"/>
                <w:sz w:val="22"/>
                <w:szCs w:val="22"/>
              </w:rPr>
              <w:t xml:space="preserve"> erysipelas</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bCs/>
                <w:noProof/>
                <w:sz w:val="22"/>
                <w:szCs w:val="22"/>
              </w:rPr>
              <w:t>Blod og lymfesystem</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Leukopeni, neutropeni</w:t>
            </w:r>
            <w:r w:rsidRPr="004A12A9">
              <w:rPr>
                <w:color w:val="000000"/>
                <w:sz w:val="22"/>
                <w:szCs w:val="22"/>
                <w:vertAlign w:val="superscript"/>
              </w:rPr>
              <w:t>4</w:t>
            </w:r>
            <w:r w:rsidRPr="004A12A9">
              <w:rPr>
                <w:color w:val="000000"/>
                <w:sz w:val="22"/>
                <w:szCs w:val="22"/>
              </w:rPr>
              <w:t>, trombocytemi</w:t>
            </w:r>
            <w:r w:rsidRPr="004A12A9">
              <w:rPr>
                <w:bCs/>
                <w:color w:val="000000"/>
                <w:sz w:val="22"/>
                <w:szCs w:val="22"/>
                <w:vertAlign w:val="superscript"/>
              </w:rPr>
              <w:t>3</w:t>
            </w:r>
            <w:r w:rsidRPr="004A12A9">
              <w:rPr>
                <w:color w:val="000000"/>
                <w:sz w:val="22"/>
                <w:szCs w:val="22"/>
              </w:rPr>
              <w:t>, eosinophili</w:t>
            </w:r>
            <w:r w:rsidRPr="004A12A9">
              <w:rPr>
                <w:color w:val="000000"/>
                <w:sz w:val="22"/>
                <w:szCs w:val="22"/>
                <w:vertAlign w:val="superscript"/>
              </w:rPr>
              <w:t>4</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Agranulocytose, trombocytopeni</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noProof/>
                <w:sz w:val="22"/>
                <w:szCs w:val="22"/>
              </w:rPr>
              <w:t>Immunsystemet</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Anafylaktoid reaktion</w:t>
            </w:r>
            <w:r w:rsidRPr="004A12A9">
              <w:rPr>
                <w:bCs/>
                <w:color w:val="000000"/>
                <w:sz w:val="22"/>
                <w:szCs w:val="22"/>
                <w:vertAlign w:val="superscript"/>
              </w:rPr>
              <w:t>1</w:t>
            </w:r>
            <w:r w:rsidRPr="004A12A9">
              <w:rPr>
                <w:color w:val="000000"/>
                <w:sz w:val="22"/>
                <w:szCs w:val="22"/>
              </w:rPr>
              <w:t>, overfølsomhed</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Anafylaktisk reaktion</w:t>
            </w:r>
            <w:r w:rsidRPr="00FE0041">
              <w:rPr>
                <w:color w:val="000000"/>
                <w:sz w:val="22"/>
                <w:szCs w:val="22"/>
              </w:rPr>
              <w:t xml:space="preserve">, </w:t>
            </w:r>
            <w:r w:rsidRPr="004A12A9">
              <w:rPr>
                <w:noProof/>
                <w:sz w:val="22"/>
                <w:szCs w:val="22"/>
              </w:rPr>
              <w:t>angioødem</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noProof/>
                <w:sz w:val="22"/>
                <w:szCs w:val="22"/>
              </w:rPr>
              <w:t>Metabolisme og ernæring</w:t>
            </w:r>
          </w:p>
        </w:tc>
        <w:tc>
          <w:tcPr>
            <w:tcW w:w="1571" w:type="pct"/>
            <w:tcBorders>
              <w:top w:val="single" w:sz="4" w:space="0" w:color="auto"/>
              <w:left w:val="single" w:sz="4" w:space="0" w:color="auto"/>
              <w:bottom w:val="nil"/>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nil"/>
              <w:right w:val="single" w:sz="4" w:space="0" w:color="auto"/>
            </w:tcBorders>
            <w:hideMark/>
          </w:tcPr>
          <w:p w:rsidR="001E0ED3" w:rsidRPr="004A12A9" w:rsidRDefault="001E0ED3" w:rsidP="00131FCE">
            <w:pPr>
              <w:rPr>
                <w:color w:val="000000"/>
                <w:sz w:val="22"/>
                <w:szCs w:val="22"/>
              </w:rPr>
            </w:pPr>
            <w:r w:rsidRPr="004A12A9">
              <w:rPr>
                <w:color w:val="000000"/>
                <w:sz w:val="22"/>
                <w:szCs w:val="22"/>
              </w:rPr>
              <w:t>Anoreksi, nedsat appetit</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sz w:val="22"/>
                <w:szCs w:val="22"/>
              </w:rPr>
            </w:pPr>
          </w:p>
        </w:tc>
        <w:tc>
          <w:tcPr>
            <w:tcW w:w="1571" w:type="pct"/>
            <w:tcBorders>
              <w:top w:val="nil"/>
              <w:left w:val="single" w:sz="4" w:space="0" w:color="auto"/>
              <w:bottom w:val="single" w:sz="4" w:space="0" w:color="auto"/>
              <w:right w:val="single" w:sz="4" w:space="0" w:color="auto"/>
            </w:tcBorders>
          </w:tcPr>
          <w:p w:rsidR="001E0ED3" w:rsidRPr="004A12A9" w:rsidRDefault="001E0ED3" w:rsidP="00131FCE">
            <w:pPr>
              <w:rPr>
                <w:sz w:val="22"/>
                <w:szCs w:val="22"/>
              </w:rPr>
            </w:pPr>
          </w:p>
        </w:tc>
        <w:tc>
          <w:tcPr>
            <w:tcW w:w="1743" w:type="pct"/>
            <w:tcBorders>
              <w:top w:val="nil"/>
              <w:left w:val="single" w:sz="4" w:space="0" w:color="auto"/>
              <w:bottom w:val="single" w:sz="4" w:space="0" w:color="auto"/>
              <w:right w:val="single" w:sz="4" w:space="0" w:color="auto"/>
            </w:tcBorders>
          </w:tcPr>
          <w:p w:rsidR="001E0ED3" w:rsidRPr="004A12A9" w:rsidRDefault="001E0ED3" w:rsidP="00131FCE">
            <w:pPr>
              <w:rPr>
                <w:color w:val="000000"/>
                <w:sz w:val="22"/>
                <w:szCs w:val="22"/>
              </w:rPr>
            </w:pP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Psykiske forstyrrelser</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Insomnia</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Angst, nervøsitet</w:t>
            </w:r>
            <w:r w:rsidRPr="004A12A9">
              <w:rPr>
                <w:color w:val="000000"/>
                <w:sz w:val="22"/>
                <w:szCs w:val="22"/>
                <w:vertAlign w:val="superscript"/>
              </w:rPr>
              <w:t>3</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Psykoser, konfusion, depersonalisering, depression, desorientering, hallucinationer, abnorme drømme, mani</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bCs/>
                <w:noProof/>
                <w:sz w:val="22"/>
                <w:szCs w:val="22"/>
              </w:rPr>
              <w:t>Nervesystemet</w:t>
            </w:r>
            <w:r w:rsidRPr="004A12A9">
              <w:rPr>
                <w:sz w:val="22"/>
                <w:szCs w:val="22"/>
              </w:rPr>
              <w:t xml:space="preserve"> </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Dysgeusi, hovedpine, forandret lugtesans</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Tab af bevidsthed</w:t>
            </w:r>
            <w:r w:rsidRPr="004A12A9">
              <w:rPr>
                <w:color w:val="000000"/>
                <w:sz w:val="22"/>
                <w:szCs w:val="22"/>
                <w:vertAlign w:val="superscript"/>
              </w:rPr>
              <w:t>1</w:t>
            </w:r>
            <w:r w:rsidRPr="004A12A9">
              <w:rPr>
                <w:color w:val="000000"/>
                <w:sz w:val="22"/>
                <w:szCs w:val="22"/>
              </w:rPr>
              <w:t>, dyskinesia</w:t>
            </w:r>
            <w:r w:rsidRPr="004A12A9">
              <w:rPr>
                <w:color w:val="000000"/>
                <w:sz w:val="22"/>
                <w:szCs w:val="22"/>
                <w:vertAlign w:val="superscript"/>
              </w:rPr>
              <w:t>1</w:t>
            </w:r>
            <w:r w:rsidRPr="004A12A9">
              <w:rPr>
                <w:color w:val="000000"/>
                <w:sz w:val="22"/>
                <w:szCs w:val="22"/>
              </w:rPr>
              <w:t>, svimmelhed, somnolens</w:t>
            </w:r>
            <w:r w:rsidRPr="004A12A9">
              <w:rPr>
                <w:color w:val="000000"/>
                <w:sz w:val="22"/>
                <w:szCs w:val="22"/>
                <w:vertAlign w:val="superscript"/>
              </w:rPr>
              <w:t>5</w:t>
            </w:r>
            <w:r w:rsidRPr="004A12A9">
              <w:rPr>
                <w:color w:val="000000"/>
                <w:sz w:val="22"/>
                <w:szCs w:val="22"/>
              </w:rPr>
              <w:t>, tremor</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Meget sjælden</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sz w:val="22"/>
                <w:szCs w:val="22"/>
              </w:rPr>
              <w:t>Omtågethed</w:t>
            </w:r>
          </w:p>
        </w:tc>
      </w:tr>
      <w:tr w:rsidR="001E0ED3" w:rsidRPr="00A70088"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lang w:val="it-IT"/>
              </w:rPr>
            </w:pPr>
            <w:r w:rsidRPr="004A12A9">
              <w:rPr>
                <w:color w:val="000000"/>
                <w:sz w:val="22"/>
                <w:szCs w:val="22"/>
                <w:lang w:val="it-IT"/>
              </w:rPr>
              <w:t xml:space="preserve">Krampe, ageusi, parosmi, anosmi, </w:t>
            </w:r>
            <w:r w:rsidRPr="004A12A9">
              <w:rPr>
                <w:sz w:val="22"/>
                <w:szCs w:val="22"/>
                <w:lang w:val="it-IT"/>
              </w:rPr>
              <w:t>paræstesier</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bCs/>
                <w:noProof/>
                <w:sz w:val="22"/>
                <w:szCs w:val="22"/>
              </w:rPr>
            </w:pPr>
            <w:r w:rsidRPr="004A12A9">
              <w:rPr>
                <w:noProof/>
                <w:sz w:val="22"/>
                <w:szCs w:val="22"/>
              </w:rPr>
              <w:t>Øre og labyrint</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Vertigo, nedsat hørelse, tinnitus</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bCs/>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Sjælden</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sz w:val="22"/>
                <w:szCs w:val="22"/>
              </w:rPr>
              <w:t>Reversibelt høretab</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bCs/>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Døvhed</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bCs/>
                <w:noProof/>
                <w:sz w:val="22"/>
                <w:szCs w:val="22"/>
              </w:rPr>
              <w:t>Hjerte</w:t>
            </w:r>
            <w:r w:rsidRPr="004A12A9">
              <w:rPr>
                <w:sz w:val="22"/>
                <w:szCs w:val="22"/>
              </w:rPr>
              <w:t xml:space="preserve"> </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Hjertestop</w:t>
            </w:r>
            <w:r w:rsidRPr="004A12A9">
              <w:rPr>
                <w:color w:val="000000"/>
                <w:sz w:val="22"/>
                <w:szCs w:val="22"/>
                <w:vertAlign w:val="superscript"/>
              </w:rPr>
              <w:t>1</w:t>
            </w:r>
            <w:r w:rsidRPr="004A12A9">
              <w:rPr>
                <w:color w:val="000000"/>
                <w:sz w:val="22"/>
                <w:szCs w:val="22"/>
              </w:rPr>
              <w:t>, atrieflimmer</w:t>
            </w:r>
            <w:r w:rsidRPr="004A12A9">
              <w:rPr>
                <w:color w:val="000000"/>
                <w:sz w:val="22"/>
                <w:szCs w:val="22"/>
                <w:vertAlign w:val="superscript"/>
              </w:rPr>
              <w:t>1</w:t>
            </w:r>
            <w:r w:rsidRPr="004A12A9">
              <w:rPr>
                <w:color w:val="000000"/>
                <w:sz w:val="22"/>
                <w:szCs w:val="22"/>
              </w:rPr>
              <w:t>, QT-forlængelse på elektrokardiogram, ekstra systoler</w:t>
            </w:r>
            <w:r w:rsidRPr="004A12A9">
              <w:rPr>
                <w:color w:val="000000"/>
                <w:sz w:val="22"/>
                <w:szCs w:val="22"/>
                <w:vertAlign w:val="superscript"/>
              </w:rPr>
              <w:t>1</w:t>
            </w:r>
            <w:r w:rsidRPr="004A12A9">
              <w:rPr>
                <w:color w:val="000000"/>
                <w:sz w:val="22"/>
                <w:szCs w:val="22"/>
              </w:rPr>
              <w:t>, palpitationer</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Torsade de Pointes, ventrikel takykardi, ventrikelflimren</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Vaskulære sygdomme</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Vasodilation</w:t>
            </w:r>
            <w:r w:rsidRPr="004A12A9">
              <w:rPr>
                <w:color w:val="000000"/>
                <w:sz w:val="22"/>
                <w:szCs w:val="22"/>
                <w:vertAlign w:val="superscript"/>
              </w:rPr>
              <w:t>1</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Blødning</w:t>
            </w:r>
          </w:p>
        </w:tc>
      </w:tr>
      <w:tr w:rsidR="001E0ED3" w:rsidRPr="00FE0041" w:rsidTr="00131FCE">
        <w:tc>
          <w:tcPr>
            <w:tcW w:w="1686"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 xml:space="preserve">Luftveje, thorax og mediastinum </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Astma</w:t>
            </w:r>
            <w:r w:rsidRPr="004A12A9">
              <w:rPr>
                <w:color w:val="000000"/>
                <w:sz w:val="22"/>
                <w:szCs w:val="22"/>
                <w:vertAlign w:val="superscript"/>
              </w:rPr>
              <w:t>1</w:t>
            </w:r>
            <w:r w:rsidRPr="004A12A9">
              <w:rPr>
                <w:color w:val="000000"/>
                <w:sz w:val="22"/>
                <w:szCs w:val="22"/>
              </w:rPr>
              <w:t>, næseblødning</w:t>
            </w:r>
            <w:r w:rsidRPr="004A12A9">
              <w:rPr>
                <w:color w:val="000000"/>
                <w:sz w:val="22"/>
                <w:szCs w:val="22"/>
                <w:vertAlign w:val="superscript"/>
              </w:rPr>
              <w:t>2</w:t>
            </w:r>
            <w:r w:rsidRPr="004A12A9">
              <w:rPr>
                <w:color w:val="000000"/>
                <w:sz w:val="22"/>
                <w:szCs w:val="22"/>
              </w:rPr>
              <w:t>, pulmonal emboli</w:t>
            </w:r>
            <w:r w:rsidRPr="004A12A9">
              <w:rPr>
                <w:color w:val="000000"/>
                <w:sz w:val="22"/>
                <w:szCs w:val="22"/>
                <w:vertAlign w:val="superscript"/>
              </w:rPr>
              <w:t>1</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Mave-tarm-kanalen</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Diarré, opkastning, dyspepsi, kvalme, abdominal smerter</w:t>
            </w:r>
            <w:r w:rsidRPr="004A12A9">
              <w:rPr>
                <w:sz w:val="22"/>
                <w:szCs w:val="22"/>
              </w:rPr>
              <w:t xml:space="preserve"> glossit, stomatit</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Esofagit</w:t>
            </w:r>
            <w:r w:rsidRPr="004A12A9">
              <w:rPr>
                <w:color w:val="000000"/>
                <w:sz w:val="22"/>
                <w:szCs w:val="22"/>
                <w:vertAlign w:val="superscript"/>
              </w:rPr>
              <w:t>1</w:t>
            </w:r>
            <w:r w:rsidRPr="004A12A9">
              <w:rPr>
                <w:color w:val="000000"/>
                <w:sz w:val="22"/>
                <w:szCs w:val="22"/>
              </w:rPr>
              <w:t>, gastroøsofageal refluks sygdom</w:t>
            </w:r>
            <w:r w:rsidRPr="004A12A9">
              <w:rPr>
                <w:color w:val="000000"/>
                <w:sz w:val="22"/>
                <w:szCs w:val="22"/>
                <w:vertAlign w:val="superscript"/>
              </w:rPr>
              <w:t>2</w:t>
            </w:r>
            <w:r w:rsidRPr="004A12A9">
              <w:rPr>
                <w:color w:val="000000"/>
                <w:sz w:val="22"/>
                <w:szCs w:val="22"/>
              </w:rPr>
              <w:t>, gastrit, proktalgi</w:t>
            </w:r>
            <w:r w:rsidRPr="004A12A9">
              <w:rPr>
                <w:color w:val="000000"/>
                <w:sz w:val="22"/>
                <w:szCs w:val="22"/>
                <w:vertAlign w:val="superscript"/>
              </w:rPr>
              <w:t>2</w:t>
            </w:r>
            <w:r w:rsidRPr="004A12A9">
              <w:rPr>
                <w:color w:val="000000"/>
                <w:sz w:val="22"/>
                <w:szCs w:val="22"/>
              </w:rPr>
              <w:t>, stomatit, glossit, forstørret abdomen</w:t>
            </w:r>
            <w:r w:rsidRPr="004A12A9">
              <w:rPr>
                <w:color w:val="000000"/>
                <w:sz w:val="22"/>
                <w:szCs w:val="22"/>
                <w:vertAlign w:val="superscript"/>
              </w:rPr>
              <w:t>4</w:t>
            </w:r>
            <w:r w:rsidRPr="004A12A9">
              <w:rPr>
                <w:color w:val="000000"/>
                <w:sz w:val="22"/>
                <w:szCs w:val="22"/>
              </w:rPr>
              <w:t>, forstoppelse, mundtørhed, opstød, flatulens</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Meget sjælden</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sz w:val="22"/>
                <w:szCs w:val="22"/>
              </w:rPr>
              <w:t>Pankreatit</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Akut pankreatit, misfarvning af tungen, misfarvning af tænder</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Lever og galdeveje</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Abnorm leverfunktionstest</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tabs>
                <w:tab w:val="left" w:pos="567"/>
                <w:tab w:val="left" w:pos="851"/>
                <w:tab w:val="num" w:pos="1134"/>
                <w:tab w:val="left" w:pos="1418"/>
                <w:tab w:val="left" w:pos="5000"/>
                <w:tab w:val="left" w:pos="6680"/>
              </w:tabs>
              <w:rPr>
                <w:color w:val="000000"/>
                <w:sz w:val="22"/>
                <w:szCs w:val="22"/>
              </w:rPr>
            </w:pPr>
            <w:r w:rsidRPr="004A12A9">
              <w:rPr>
                <w:sz w:val="22"/>
                <w:szCs w:val="22"/>
              </w:rPr>
              <w:t xml:space="preserve">Hepatisk dysfunktion (almindeligvis forbigående og reversibel), ikterus, </w:t>
            </w:r>
            <w:r w:rsidRPr="004A12A9">
              <w:rPr>
                <w:color w:val="000000"/>
                <w:sz w:val="22"/>
                <w:szCs w:val="22"/>
              </w:rPr>
              <w:t>kolestase</w:t>
            </w:r>
            <w:r w:rsidRPr="004A12A9">
              <w:rPr>
                <w:color w:val="000000"/>
                <w:sz w:val="22"/>
                <w:szCs w:val="22"/>
                <w:vertAlign w:val="superscript"/>
              </w:rPr>
              <w:t>4</w:t>
            </w:r>
            <w:r w:rsidRPr="004A12A9">
              <w:rPr>
                <w:color w:val="000000"/>
                <w:sz w:val="22"/>
                <w:szCs w:val="22"/>
              </w:rPr>
              <w:t xml:space="preserve">, </w:t>
            </w:r>
            <w:r w:rsidRPr="004A12A9">
              <w:rPr>
                <w:color w:val="000000"/>
                <w:sz w:val="22"/>
                <w:szCs w:val="22"/>
              </w:rPr>
              <w:lastRenderedPageBreak/>
              <w:t>hepatit</w:t>
            </w:r>
            <w:r w:rsidRPr="004A12A9">
              <w:rPr>
                <w:color w:val="000000"/>
                <w:sz w:val="22"/>
                <w:szCs w:val="22"/>
                <w:vertAlign w:val="superscript"/>
              </w:rPr>
              <w:t>4</w:t>
            </w:r>
            <w:r w:rsidRPr="004A12A9">
              <w:rPr>
                <w:color w:val="000000"/>
                <w:sz w:val="22"/>
                <w:szCs w:val="22"/>
              </w:rPr>
              <w:t>, forhøjet alaninaminotransferase, forhøjet aspartataminotransferase, forhøjet gamma-glutamyltransferase</w:t>
            </w:r>
            <w:r w:rsidRPr="004A12A9">
              <w:rPr>
                <w:color w:val="000000"/>
                <w:sz w:val="22"/>
                <w:szCs w:val="22"/>
                <w:vertAlign w:val="superscript"/>
              </w:rPr>
              <w:t>4</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tabs>
                <w:tab w:val="left" w:pos="567"/>
                <w:tab w:val="left" w:pos="851"/>
                <w:tab w:val="num" w:pos="1134"/>
                <w:tab w:val="left" w:pos="1418"/>
                <w:tab w:val="left" w:pos="5000"/>
                <w:tab w:val="left" w:pos="6680"/>
              </w:tabs>
              <w:rPr>
                <w:sz w:val="22"/>
                <w:szCs w:val="22"/>
              </w:rPr>
            </w:pPr>
            <w:r w:rsidRPr="004A12A9">
              <w:rPr>
                <w:color w:val="000000"/>
                <w:sz w:val="22"/>
                <w:szCs w:val="22"/>
              </w:rPr>
              <w:t>Leversvigt, hepatocellulær gulsot</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tcPr>
          <w:p w:rsidR="001E0ED3" w:rsidRPr="004A12A9" w:rsidRDefault="001E0ED3" w:rsidP="00131FCE">
            <w:pPr>
              <w:pStyle w:val="EMEANormal"/>
              <w:rPr>
                <w:noProof/>
                <w:szCs w:val="22"/>
                <w:lang w:val="da-DK"/>
              </w:rPr>
            </w:pPr>
            <w:r w:rsidRPr="004A12A9">
              <w:rPr>
                <w:noProof/>
                <w:szCs w:val="22"/>
                <w:lang w:val="da-DK"/>
              </w:rPr>
              <w:t>Hud og subkutane væv</w:t>
            </w:r>
          </w:p>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tabs>
                <w:tab w:val="left" w:pos="567"/>
                <w:tab w:val="left" w:pos="851"/>
                <w:tab w:val="num" w:pos="1134"/>
                <w:tab w:val="left" w:pos="1418"/>
                <w:tab w:val="left" w:pos="5000"/>
                <w:tab w:val="left" w:pos="6680"/>
              </w:tabs>
              <w:rPr>
                <w:sz w:val="22"/>
                <w:szCs w:val="22"/>
              </w:rPr>
            </w:pPr>
            <w:r w:rsidRPr="004A12A9">
              <w:rPr>
                <w:color w:val="000000"/>
                <w:sz w:val="22"/>
                <w:szCs w:val="22"/>
              </w:rPr>
              <w:t>Udslæt, hyperhidrose</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i/>
                <w:sz w:val="22"/>
                <w:szCs w:val="22"/>
              </w:rPr>
            </w:pPr>
            <w:r w:rsidRPr="004A12A9">
              <w:rPr>
                <w:sz w:val="22"/>
                <w:szCs w:val="22"/>
              </w:rPr>
              <w:t>Eksantem. Urticaria.</w:t>
            </w:r>
          </w:p>
          <w:p w:rsidR="001E0ED3" w:rsidRPr="004A12A9" w:rsidRDefault="001E0ED3" w:rsidP="00131FCE">
            <w:pPr>
              <w:tabs>
                <w:tab w:val="left" w:pos="567"/>
                <w:tab w:val="left" w:pos="851"/>
                <w:tab w:val="num" w:pos="1134"/>
                <w:tab w:val="left" w:pos="1418"/>
                <w:tab w:val="left" w:pos="5000"/>
                <w:tab w:val="left" w:pos="6680"/>
              </w:tabs>
              <w:rPr>
                <w:sz w:val="22"/>
                <w:szCs w:val="22"/>
              </w:rPr>
            </w:pPr>
            <w:r w:rsidRPr="004A12A9">
              <w:rPr>
                <w:color w:val="000000"/>
                <w:sz w:val="22"/>
                <w:szCs w:val="22"/>
              </w:rPr>
              <w:t>Bulløs dermatit</w:t>
            </w:r>
            <w:r w:rsidRPr="004A12A9">
              <w:rPr>
                <w:color w:val="000000"/>
                <w:sz w:val="22"/>
                <w:szCs w:val="22"/>
                <w:vertAlign w:val="superscript"/>
              </w:rPr>
              <w:t>1</w:t>
            </w:r>
            <w:r w:rsidRPr="004A12A9">
              <w:rPr>
                <w:color w:val="000000"/>
                <w:sz w:val="22"/>
                <w:szCs w:val="22"/>
              </w:rPr>
              <w:t>, pruritus, makulopapuløst udslæt</w:t>
            </w:r>
            <w:r w:rsidRPr="004A12A9">
              <w:rPr>
                <w:color w:val="000000"/>
                <w:sz w:val="22"/>
                <w:szCs w:val="22"/>
                <w:vertAlign w:val="superscript"/>
              </w:rPr>
              <w:t>3</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sz w:val="22"/>
                <w:szCs w:val="22"/>
              </w:rPr>
            </w:pPr>
            <w:r w:rsidRPr="004A12A9">
              <w:rPr>
                <w:color w:val="000000"/>
                <w:sz w:val="22"/>
                <w:szCs w:val="22"/>
              </w:rPr>
              <w:t>Svære kutane bivirkninger (SCAR) (f.eks</w:t>
            </w:r>
            <w:r w:rsidRPr="00FE0041">
              <w:rPr>
                <w:color w:val="000000"/>
                <w:sz w:val="22"/>
                <w:szCs w:val="22"/>
              </w:rPr>
              <w:t xml:space="preserve"> akut generaliseret eksantematøs pustulose (AGEP) </w:t>
            </w:r>
            <w:r w:rsidRPr="004A12A9">
              <w:rPr>
                <w:color w:val="000000"/>
                <w:sz w:val="22"/>
                <w:szCs w:val="22"/>
              </w:rPr>
              <w:t>Stevens-Johnson syndrom, toksisk epidermal nekrolyse, medikamentelt</w:t>
            </w:r>
            <w:r w:rsidRPr="00FE0041">
              <w:rPr>
                <w:color w:val="000000"/>
                <w:sz w:val="22"/>
                <w:szCs w:val="22"/>
              </w:rPr>
              <w:t xml:space="preserve"> udslæt</w:t>
            </w:r>
            <w:r w:rsidRPr="004A12A9">
              <w:rPr>
                <w:color w:val="000000"/>
                <w:sz w:val="22"/>
                <w:szCs w:val="22"/>
              </w:rPr>
              <w:t xml:space="preserve"> med eosinofili og systemiske symptomer (DRESS), akne </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Knogler, led, muskler og bindevæv</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color w:val="000000"/>
                <w:sz w:val="22"/>
                <w:szCs w:val="22"/>
              </w:rPr>
            </w:pPr>
            <w:r w:rsidRPr="004A12A9">
              <w:rPr>
                <w:color w:val="000000"/>
                <w:sz w:val="22"/>
                <w:szCs w:val="22"/>
              </w:rPr>
              <w:t>Muskelspasmer</w:t>
            </w:r>
            <w:r w:rsidRPr="004A12A9">
              <w:rPr>
                <w:color w:val="000000"/>
                <w:sz w:val="22"/>
                <w:szCs w:val="22"/>
                <w:vertAlign w:val="superscript"/>
              </w:rPr>
              <w:t>3</w:t>
            </w:r>
            <w:r w:rsidRPr="004A12A9">
              <w:rPr>
                <w:color w:val="000000"/>
                <w:sz w:val="22"/>
                <w:szCs w:val="22"/>
              </w:rPr>
              <w:t>, muskuloskeletal stivhed</w:t>
            </w:r>
            <w:r w:rsidRPr="004A12A9">
              <w:rPr>
                <w:color w:val="000000"/>
                <w:sz w:val="22"/>
                <w:szCs w:val="22"/>
                <w:vertAlign w:val="superscript"/>
              </w:rPr>
              <w:t>1</w:t>
            </w:r>
            <w:r w:rsidRPr="004A12A9">
              <w:rPr>
                <w:color w:val="000000"/>
                <w:sz w:val="22"/>
                <w:szCs w:val="22"/>
              </w:rPr>
              <w:t>, myalgia</w:t>
            </w:r>
            <w:r w:rsidRPr="004A12A9">
              <w:rPr>
                <w:color w:val="000000"/>
                <w:sz w:val="22"/>
                <w:szCs w:val="22"/>
                <w:vertAlign w:val="superscript"/>
              </w:rPr>
              <w:t>2</w:t>
            </w:r>
            <w:r w:rsidRPr="004A12A9">
              <w:rPr>
                <w:color w:val="000000"/>
                <w:sz w:val="22"/>
                <w:szCs w:val="22"/>
              </w:rPr>
              <w:t>, artralgi</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color w:val="000000"/>
                <w:sz w:val="22"/>
                <w:szCs w:val="22"/>
              </w:rPr>
            </w:pPr>
            <w:r w:rsidRPr="004A12A9">
              <w:rPr>
                <w:color w:val="000000"/>
                <w:sz w:val="22"/>
                <w:szCs w:val="22"/>
              </w:rPr>
              <w:t>Rhabdomyolyse</w:t>
            </w:r>
            <w:r w:rsidRPr="004A12A9">
              <w:rPr>
                <w:color w:val="000000"/>
                <w:sz w:val="22"/>
                <w:szCs w:val="22"/>
                <w:vertAlign w:val="superscript"/>
              </w:rPr>
              <w:t>2,5</w:t>
            </w:r>
            <w:r w:rsidRPr="004A12A9">
              <w:rPr>
                <w:color w:val="000000"/>
                <w:sz w:val="22"/>
                <w:szCs w:val="22"/>
              </w:rPr>
              <w:t>, myopati</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Nyrer og urinveje</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color w:val="000000"/>
                <w:sz w:val="22"/>
                <w:szCs w:val="22"/>
              </w:rPr>
            </w:pPr>
            <w:r w:rsidRPr="004A12A9">
              <w:rPr>
                <w:color w:val="000000"/>
                <w:sz w:val="22"/>
                <w:szCs w:val="22"/>
              </w:rPr>
              <w:t>Forhøjet kreatinin i blodet</w:t>
            </w:r>
            <w:r w:rsidRPr="004A12A9">
              <w:rPr>
                <w:color w:val="000000"/>
                <w:sz w:val="22"/>
                <w:szCs w:val="22"/>
                <w:vertAlign w:val="superscript"/>
              </w:rPr>
              <w:t>1</w:t>
            </w:r>
            <w:r w:rsidRPr="004A12A9">
              <w:rPr>
                <w:color w:val="000000"/>
                <w:sz w:val="22"/>
                <w:szCs w:val="22"/>
              </w:rPr>
              <w:t>, forhøjet karbamid i blodet</w:t>
            </w:r>
            <w:r w:rsidRPr="004A12A9">
              <w:rPr>
                <w:color w:val="000000"/>
                <w:sz w:val="22"/>
                <w:szCs w:val="22"/>
                <w:vertAlign w:val="superscript"/>
              </w:rPr>
              <w:t>1</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Meget sjælden</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color w:val="000000"/>
                <w:sz w:val="22"/>
                <w:szCs w:val="22"/>
              </w:rPr>
            </w:pPr>
            <w:r w:rsidRPr="004A12A9">
              <w:rPr>
                <w:sz w:val="22"/>
                <w:szCs w:val="22"/>
              </w:rPr>
              <w:t>Nyreinsufficiens</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Sidehoved"/>
              <w:tabs>
                <w:tab w:val="clear" w:pos="4819"/>
                <w:tab w:val="left" w:pos="5000"/>
                <w:tab w:val="left" w:pos="6680"/>
                <w:tab w:val="left" w:pos="8180"/>
              </w:tabs>
              <w:rPr>
                <w:sz w:val="22"/>
                <w:szCs w:val="22"/>
              </w:rPr>
            </w:pPr>
            <w:r w:rsidRPr="004A12A9">
              <w:rPr>
                <w:color w:val="000000"/>
                <w:sz w:val="22"/>
                <w:szCs w:val="22"/>
              </w:rPr>
              <w:t>Nyresvigt, interstitiel nefrit</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noProof/>
                <w:sz w:val="22"/>
                <w:szCs w:val="22"/>
              </w:rPr>
            </w:pPr>
            <w:r w:rsidRPr="004A12A9">
              <w:rPr>
                <w:noProof/>
                <w:sz w:val="22"/>
                <w:szCs w:val="22"/>
              </w:rPr>
              <w:t>Almene symptomer og reaktioner på administrationsstedet</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Meget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jc w:val="both"/>
              <w:rPr>
                <w:sz w:val="22"/>
                <w:szCs w:val="22"/>
              </w:rPr>
            </w:pPr>
            <w:r w:rsidRPr="004A12A9">
              <w:rPr>
                <w:color w:val="000000"/>
                <w:sz w:val="22"/>
                <w:szCs w:val="22"/>
              </w:rPr>
              <w:t>Flebitis på injektionsstedet</w:t>
            </w:r>
            <w:r w:rsidRPr="004A12A9">
              <w:rPr>
                <w:color w:val="000000"/>
                <w:sz w:val="22"/>
                <w:szCs w:val="22"/>
                <w:vertAlign w:val="superscript"/>
              </w:rPr>
              <w:t>1</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Smerter på injektionstedet</w:t>
            </w:r>
            <w:r w:rsidRPr="004A12A9">
              <w:rPr>
                <w:color w:val="000000"/>
                <w:sz w:val="22"/>
                <w:szCs w:val="22"/>
                <w:vertAlign w:val="superscript"/>
              </w:rPr>
              <w:t>1</w:t>
            </w:r>
            <w:r w:rsidRPr="004A12A9">
              <w:rPr>
                <w:color w:val="000000"/>
                <w:sz w:val="22"/>
                <w:szCs w:val="22"/>
              </w:rPr>
              <w:t>, inflammation på injektionsstedet</w:t>
            </w:r>
            <w:r w:rsidRPr="004A12A9">
              <w:rPr>
                <w:color w:val="000000"/>
                <w:sz w:val="22"/>
                <w:szCs w:val="22"/>
                <w:vertAlign w:val="superscript"/>
              </w:rPr>
              <w:t>1</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color w:val="000000"/>
                <w:sz w:val="22"/>
                <w:szCs w:val="22"/>
              </w:rPr>
              <w:t>Utilpashed</w:t>
            </w:r>
            <w:r w:rsidRPr="004A12A9">
              <w:rPr>
                <w:color w:val="000000"/>
                <w:sz w:val="22"/>
                <w:szCs w:val="22"/>
                <w:vertAlign w:val="superscript"/>
              </w:rPr>
              <w:t>4</w:t>
            </w:r>
            <w:r w:rsidRPr="004A12A9">
              <w:rPr>
                <w:color w:val="000000"/>
                <w:sz w:val="22"/>
                <w:szCs w:val="22"/>
              </w:rPr>
              <w:t>, pyreksi</w:t>
            </w:r>
            <w:r w:rsidRPr="004A12A9">
              <w:rPr>
                <w:color w:val="000000"/>
                <w:sz w:val="22"/>
                <w:szCs w:val="22"/>
                <w:vertAlign w:val="superscript"/>
              </w:rPr>
              <w:t>3</w:t>
            </w:r>
            <w:r w:rsidRPr="004A12A9">
              <w:rPr>
                <w:color w:val="000000"/>
                <w:sz w:val="22"/>
                <w:szCs w:val="22"/>
              </w:rPr>
              <w:t>, asteni, brystsmerter</w:t>
            </w:r>
            <w:r w:rsidRPr="004A12A9">
              <w:rPr>
                <w:color w:val="000000"/>
                <w:sz w:val="22"/>
                <w:szCs w:val="22"/>
                <w:vertAlign w:val="superscript"/>
              </w:rPr>
              <w:t>4</w:t>
            </w:r>
            <w:r w:rsidRPr="004A12A9">
              <w:rPr>
                <w:color w:val="000000"/>
                <w:sz w:val="22"/>
                <w:szCs w:val="22"/>
              </w:rPr>
              <w:t>, kulderystelser</w:t>
            </w:r>
            <w:r w:rsidRPr="004A12A9">
              <w:rPr>
                <w:color w:val="000000"/>
                <w:sz w:val="22"/>
                <w:szCs w:val="22"/>
                <w:vertAlign w:val="superscript"/>
              </w:rPr>
              <w:t>4</w:t>
            </w:r>
            <w:r w:rsidRPr="004A12A9">
              <w:rPr>
                <w:color w:val="000000"/>
                <w:sz w:val="22"/>
                <w:szCs w:val="22"/>
              </w:rPr>
              <w:t>, træthed</w:t>
            </w:r>
            <w:r w:rsidRPr="004A12A9">
              <w:rPr>
                <w:color w:val="000000"/>
                <w:sz w:val="22"/>
                <w:szCs w:val="22"/>
                <w:vertAlign w:val="superscript"/>
              </w:rPr>
              <w:t>4</w:t>
            </w:r>
          </w:p>
        </w:tc>
      </w:tr>
      <w:tr w:rsidR="001E0ED3" w:rsidRPr="00FE0041" w:rsidTr="00131FCE">
        <w:tc>
          <w:tcPr>
            <w:tcW w:w="1686" w:type="pct"/>
            <w:vMerge w:val="restar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keepNext/>
              <w:rPr>
                <w:noProof/>
                <w:sz w:val="22"/>
                <w:szCs w:val="22"/>
              </w:rPr>
            </w:pPr>
            <w:r w:rsidRPr="004A12A9">
              <w:rPr>
                <w:sz w:val="22"/>
                <w:szCs w:val="22"/>
              </w:rPr>
              <w:t>Undersøgelser</w:t>
            </w: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color w:val="000000"/>
                <w:sz w:val="22"/>
                <w:szCs w:val="22"/>
              </w:rPr>
            </w:pPr>
            <w:r w:rsidRPr="004A12A9">
              <w:rPr>
                <w:sz w:val="22"/>
                <w:szCs w:val="22"/>
              </w:rPr>
              <w:t>Forhøjet plasma-carbamid</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almindelig</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sz w:val="22"/>
                <w:szCs w:val="22"/>
              </w:rPr>
              <w:t>Forhøjet plasma kreatinin. Forhøjede levertransaminaser.</w:t>
            </w:r>
          </w:p>
          <w:p w:rsidR="001E0ED3" w:rsidRPr="004A12A9" w:rsidRDefault="001E0ED3" w:rsidP="00131FCE">
            <w:pPr>
              <w:rPr>
                <w:color w:val="000000"/>
                <w:sz w:val="22"/>
                <w:szCs w:val="22"/>
              </w:rPr>
            </w:pPr>
            <w:r w:rsidRPr="004A12A9">
              <w:rPr>
                <w:color w:val="000000"/>
                <w:sz w:val="22"/>
                <w:szCs w:val="22"/>
              </w:rPr>
              <w:t>Abnormt albumin globulin forhold</w:t>
            </w:r>
            <w:r w:rsidRPr="004A12A9">
              <w:rPr>
                <w:bCs/>
                <w:color w:val="000000"/>
                <w:sz w:val="22"/>
                <w:szCs w:val="22"/>
                <w:vertAlign w:val="superscript"/>
              </w:rPr>
              <w:t>1</w:t>
            </w:r>
            <w:r w:rsidRPr="004A12A9">
              <w:rPr>
                <w:color w:val="000000"/>
                <w:sz w:val="22"/>
                <w:szCs w:val="22"/>
              </w:rPr>
              <w:t>, forhøjet alkalisk phosphatase i blodet</w:t>
            </w:r>
            <w:r w:rsidRPr="004A12A9">
              <w:rPr>
                <w:color w:val="000000"/>
                <w:sz w:val="22"/>
                <w:szCs w:val="22"/>
                <w:vertAlign w:val="superscript"/>
              </w:rPr>
              <w:t>4</w:t>
            </w:r>
            <w:r w:rsidRPr="004A12A9">
              <w:rPr>
                <w:color w:val="000000"/>
                <w:sz w:val="22"/>
                <w:szCs w:val="22"/>
              </w:rPr>
              <w:t>,</w:t>
            </w:r>
          </w:p>
          <w:p w:rsidR="001E0ED3" w:rsidRPr="004A12A9" w:rsidRDefault="001E0ED3" w:rsidP="00131FCE">
            <w:pPr>
              <w:rPr>
                <w:sz w:val="22"/>
                <w:szCs w:val="22"/>
              </w:rPr>
            </w:pPr>
            <w:r w:rsidRPr="004A12A9">
              <w:rPr>
                <w:color w:val="000000"/>
                <w:sz w:val="22"/>
                <w:szCs w:val="22"/>
              </w:rPr>
              <w:t>Forhøjet lactatdehydrogenase i blodet</w:t>
            </w:r>
            <w:r w:rsidRPr="004A12A9">
              <w:rPr>
                <w:color w:val="000000"/>
                <w:sz w:val="22"/>
                <w:szCs w:val="22"/>
                <w:vertAlign w:val="superscript"/>
              </w:rPr>
              <w:t>4</w:t>
            </w:r>
          </w:p>
        </w:tc>
      </w:tr>
      <w:tr w:rsidR="001E0ED3" w:rsidRPr="00FE0041" w:rsidTr="00131FCE">
        <w:tc>
          <w:tcPr>
            <w:tcW w:w="0" w:type="auto"/>
            <w:vMerge/>
            <w:tcBorders>
              <w:top w:val="single" w:sz="4" w:space="0" w:color="auto"/>
              <w:left w:val="single" w:sz="4" w:space="0" w:color="auto"/>
              <w:bottom w:val="single" w:sz="4" w:space="0" w:color="auto"/>
              <w:right w:val="single" w:sz="4" w:space="0" w:color="auto"/>
            </w:tcBorders>
            <w:vAlign w:val="center"/>
            <w:hideMark/>
          </w:tcPr>
          <w:p w:rsidR="001E0ED3" w:rsidRPr="004A12A9" w:rsidRDefault="001E0ED3" w:rsidP="00131FCE">
            <w:pPr>
              <w:rPr>
                <w:noProof/>
                <w:sz w:val="22"/>
                <w:szCs w:val="22"/>
              </w:rPr>
            </w:pPr>
          </w:p>
        </w:tc>
        <w:tc>
          <w:tcPr>
            <w:tcW w:w="1571"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pStyle w:val="EMEANormal"/>
              <w:rPr>
                <w:szCs w:val="22"/>
                <w:lang w:val="da-DK"/>
              </w:rPr>
            </w:pPr>
            <w:r w:rsidRPr="004A12A9">
              <w:rPr>
                <w:szCs w:val="22"/>
                <w:lang w:val="da-DK"/>
              </w:rPr>
              <w:t>Ikke kendt</w:t>
            </w:r>
          </w:p>
        </w:tc>
        <w:tc>
          <w:tcPr>
            <w:tcW w:w="1743" w:type="pct"/>
            <w:tcBorders>
              <w:top w:val="single" w:sz="4" w:space="0" w:color="auto"/>
              <w:left w:val="single" w:sz="4" w:space="0" w:color="auto"/>
              <w:bottom w:val="single" w:sz="4" w:space="0" w:color="auto"/>
              <w:right w:val="single" w:sz="4" w:space="0" w:color="auto"/>
            </w:tcBorders>
            <w:hideMark/>
          </w:tcPr>
          <w:p w:rsidR="001E0ED3" w:rsidRPr="004A12A9" w:rsidRDefault="001E0ED3" w:rsidP="00131FCE">
            <w:pPr>
              <w:rPr>
                <w:sz w:val="22"/>
                <w:szCs w:val="22"/>
              </w:rPr>
            </w:pPr>
            <w:r w:rsidRPr="004A12A9">
              <w:rPr>
                <w:color w:val="000000"/>
                <w:sz w:val="22"/>
                <w:szCs w:val="22"/>
              </w:rPr>
              <w:t xml:space="preserve">Forhøjet </w:t>
            </w:r>
            <w:proofErr w:type="gramStart"/>
            <w:r w:rsidRPr="004A12A9">
              <w:rPr>
                <w:color w:val="000000"/>
                <w:sz w:val="22"/>
                <w:szCs w:val="22"/>
              </w:rPr>
              <w:t>international</w:t>
            </w:r>
            <w:proofErr w:type="gramEnd"/>
            <w:r w:rsidRPr="004A12A9">
              <w:rPr>
                <w:color w:val="000000"/>
                <w:sz w:val="22"/>
                <w:szCs w:val="22"/>
              </w:rPr>
              <w:t xml:space="preserve"> normaliseringsforhold (INR), forlænget protrombintid, unormal urinfarve</w:t>
            </w:r>
          </w:p>
        </w:tc>
      </w:tr>
    </w:tbl>
    <w:p w:rsidR="001E0ED3" w:rsidRPr="009376AB" w:rsidRDefault="001E0ED3" w:rsidP="001E0ED3">
      <w:pPr>
        <w:pStyle w:val="Sidefod"/>
        <w:rPr>
          <w:bCs/>
          <w:color w:val="000000"/>
          <w:szCs w:val="24"/>
          <w:vertAlign w:val="superscript"/>
        </w:rPr>
      </w:pPr>
      <w:r w:rsidRPr="009376AB">
        <w:rPr>
          <w:bCs/>
          <w:color w:val="000000"/>
          <w:szCs w:val="24"/>
          <w:vertAlign w:val="superscript"/>
        </w:rPr>
        <w:t xml:space="preserve">1 </w:t>
      </w:r>
      <w:r w:rsidRPr="009376AB">
        <w:rPr>
          <w:rStyle w:val="Sidetal"/>
          <w:color w:val="000000"/>
        </w:rPr>
        <w:t>Bivirkningerne er kun rapporteret for pulver til opløsning til injektion</w:t>
      </w:r>
    </w:p>
    <w:p w:rsidR="001E0ED3" w:rsidRPr="00FE0041" w:rsidRDefault="001E0ED3" w:rsidP="001E0ED3">
      <w:pPr>
        <w:pStyle w:val="Sidefod"/>
        <w:rPr>
          <w:bCs/>
          <w:color w:val="000000"/>
          <w:szCs w:val="24"/>
          <w:vertAlign w:val="superscript"/>
        </w:rPr>
      </w:pPr>
      <w:r w:rsidRPr="00FE0041">
        <w:rPr>
          <w:bCs/>
          <w:color w:val="000000"/>
          <w:szCs w:val="24"/>
          <w:vertAlign w:val="superscript"/>
        </w:rPr>
        <w:t>2</w:t>
      </w:r>
      <w:r w:rsidRPr="00FE0041">
        <w:rPr>
          <w:rStyle w:val="Sidetal"/>
          <w:color w:val="000000"/>
        </w:rPr>
        <w:t xml:space="preserve"> Bivirkningerne er kun rapporteret for depottabletter</w:t>
      </w:r>
    </w:p>
    <w:p w:rsidR="001E0ED3" w:rsidRPr="009376AB" w:rsidRDefault="001E0ED3" w:rsidP="001E0ED3">
      <w:pPr>
        <w:pStyle w:val="Sidefod"/>
        <w:rPr>
          <w:bCs/>
          <w:color w:val="000000"/>
          <w:szCs w:val="24"/>
          <w:vertAlign w:val="superscript"/>
        </w:rPr>
      </w:pPr>
      <w:r w:rsidRPr="003E10D3">
        <w:rPr>
          <w:rStyle w:val="Sidetal"/>
          <w:color w:val="000000"/>
          <w:vertAlign w:val="superscript"/>
        </w:rPr>
        <w:t xml:space="preserve">3 </w:t>
      </w:r>
      <w:r w:rsidRPr="003E10D3">
        <w:rPr>
          <w:rStyle w:val="Sidetal"/>
          <w:color w:val="000000"/>
        </w:rPr>
        <w:t>Bivirkningerne er kun rapporteret fo</w:t>
      </w:r>
      <w:r w:rsidRPr="00527296">
        <w:rPr>
          <w:rStyle w:val="Sidetal"/>
          <w:color w:val="000000"/>
        </w:rPr>
        <w:t>r g</w:t>
      </w:r>
      <w:r w:rsidRPr="009376AB">
        <w:rPr>
          <w:bCs/>
          <w:color w:val="000000"/>
          <w:szCs w:val="24"/>
        </w:rPr>
        <w:t>ranulat til oral suspension</w:t>
      </w:r>
    </w:p>
    <w:p w:rsidR="001E0ED3" w:rsidRPr="004A12A9" w:rsidRDefault="001E0ED3" w:rsidP="001E0ED3">
      <w:pPr>
        <w:pStyle w:val="Sidefod"/>
        <w:rPr>
          <w:rStyle w:val="Sidetal"/>
        </w:rPr>
      </w:pPr>
      <w:r w:rsidRPr="009376AB">
        <w:rPr>
          <w:bCs/>
          <w:color w:val="000000"/>
          <w:szCs w:val="24"/>
          <w:vertAlign w:val="superscript"/>
        </w:rPr>
        <w:t xml:space="preserve">4 </w:t>
      </w:r>
      <w:r w:rsidRPr="009376AB">
        <w:rPr>
          <w:rStyle w:val="Sidetal"/>
          <w:color w:val="000000"/>
        </w:rPr>
        <w:t>Bivirkningerne er kun rapporteret for tabletter</w:t>
      </w:r>
    </w:p>
    <w:p w:rsidR="001E0ED3" w:rsidRPr="00FE0041" w:rsidRDefault="001E0ED3" w:rsidP="001E0ED3">
      <w:pPr>
        <w:pStyle w:val="Sidefod"/>
        <w:rPr>
          <w:szCs w:val="24"/>
        </w:rPr>
      </w:pPr>
      <w:r w:rsidRPr="009376AB">
        <w:rPr>
          <w:szCs w:val="24"/>
          <w:vertAlign w:val="superscript"/>
        </w:rPr>
        <w:t>5</w:t>
      </w:r>
      <w:r w:rsidRPr="009376AB">
        <w:rPr>
          <w:szCs w:val="24"/>
        </w:rPr>
        <w:t>Se pkt. c)</w:t>
      </w:r>
    </w:p>
    <w:p w:rsidR="001E0ED3" w:rsidRDefault="001E0ED3" w:rsidP="001E0ED3">
      <w:pPr>
        <w:rPr>
          <w:sz w:val="24"/>
          <w:szCs w:val="24"/>
        </w:rPr>
      </w:pPr>
    </w:p>
    <w:p w:rsidR="001E0ED3" w:rsidRDefault="001E0ED3" w:rsidP="001E0ED3">
      <w:pPr>
        <w:ind w:left="851"/>
        <w:rPr>
          <w:b/>
          <w:bCs/>
          <w:i/>
          <w:iCs/>
          <w:sz w:val="24"/>
          <w:szCs w:val="24"/>
          <w:lang w:eastAsia="en-GB"/>
        </w:rPr>
      </w:pPr>
      <w:r>
        <w:rPr>
          <w:b/>
          <w:bCs/>
          <w:i/>
          <w:iCs/>
          <w:sz w:val="24"/>
          <w:szCs w:val="24"/>
          <w:lang w:eastAsia="en-GB"/>
        </w:rPr>
        <w:t>c. Beskrivelse af udvalgte bivirkninger</w:t>
      </w:r>
    </w:p>
    <w:p w:rsidR="001E0ED3" w:rsidRPr="00527296" w:rsidRDefault="001E0ED3" w:rsidP="001E0ED3">
      <w:pPr>
        <w:ind w:left="851"/>
        <w:rPr>
          <w:iCs/>
          <w:color w:val="000000"/>
          <w:sz w:val="24"/>
          <w:szCs w:val="24"/>
          <w:lang w:eastAsia="da-DK"/>
        </w:rPr>
      </w:pPr>
      <w:r w:rsidRPr="003E10D3">
        <w:rPr>
          <w:iCs/>
          <w:color w:val="000000"/>
          <w:sz w:val="24"/>
          <w:szCs w:val="24"/>
        </w:rPr>
        <w:t>Flebitis på injektionsstedet, smerter på injektionsstedet, smerter ved stedet for karpunktur og inflammation på injektionsstedet er bivirkninger, som udelukkende er set for den intravenøse formulering af clarithromycin.</w:t>
      </w:r>
    </w:p>
    <w:p w:rsidR="001E0ED3" w:rsidRPr="009376AB" w:rsidRDefault="001E0ED3" w:rsidP="001E0ED3">
      <w:pPr>
        <w:ind w:left="851"/>
        <w:rPr>
          <w:iCs/>
          <w:color w:val="000000"/>
          <w:sz w:val="24"/>
          <w:szCs w:val="24"/>
        </w:rPr>
      </w:pPr>
    </w:p>
    <w:p w:rsidR="001E0ED3" w:rsidRPr="009376AB" w:rsidRDefault="001E0ED3" w:rsidP="001E0ED3">
      <w:pPr>
        <w:ind w:left="851"/>
        <w:rPr>
          <w:sz w:val="24"/>
          <w:szCs w:val="24"/>
        </w:rPr>
      </w:pPr>
      <w:r w:rsidRPr="009376AB">
        <w:rPr>
          <w:sz w:val="24"/>
          <w:szCs w:val="24"/>
        </w:rPr>
        <w:t>I nogle af de tilfælde, der er rapporteret vedrørende rhabdomyolyse, blev clarithromycin administreret sammen med andre lægemidler som er kendt for at være associeret med rhabdomyolyse såsom statiner, fibrater, colchicin eller allopurinol (se pkt. 4.3 og 4.4).</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Der har været rapporter efter markedsføring om lægemiddelinteraktioner og påvirkning af centralnervesystemet (CNS) (f.eks. somnolens og forvirring) ved samtidig brug af clarithromycin og triazolam. Det foreslås, at patienterne overvåges for øget farmakologisk påvirkning af CNS (se pkt. 4.5).</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Særlige populationer: Bivirkninger set hos immunkompromitterede patienter (se pkt. e)</w:t>
      </w:r>
    </w:p>
    <w:p w:rsidR="001E0ED3" w:rsidRPr="009376AB" w:rsidRDefault="001E0ED3" w:rsidP="001E0ED3">
      <w:pPr>
        <w:ind w:firstLine="851"/>
        <w:rPr>
          <w:b/>
          <w:i/>
          <w:iCs/>
          <w:sz w:val="24"/>
          <w:szCs w:val="24"/>
        </w:rPr>
      </w:pPr>
    </w:p>
    <w:p w:rsidR="001E0ED3" w:rsidRPr="009376AB" w:rsidRDefault="001E0ED3" w:rsidP="001E0ED3">
      <w:pPr>
        <w:ind w:firstLine="851"/>
        <w:rPr>
          <w:b/>
          <w:i/>
          <w:iCs/>
          <w:sz w:val="24"/>
          <w:szCs w:val="24"/>
        </w:rPr>
      </w:pPr>
      <w:r w:rsidRPr="009376AB">
        <w:rPr>
          <w:b/>
          <w:i/>
          <w:iCs/>
          <w:sz w:val="24"/>
          <w:szCs w:val="24"/>
        </w:rPr>
        <w:t>d. Pædiatrisk population</w:t>
      </w:r>
    </w:p>
    <w:p w:rsidR="001E0ED3" w:rsidRPr="009376AB" w:rsidRDefault="001E0ED3" w:rsidP="001E0ED3">
      <w:pPr>
        <w:autoSpaceDE w:val="0"/>
        <w:autoSpaceDN w:val="0"/>
        <w:adjustRightInd w:val="0"/>
        <w:ind w:left="851"/>
        <w:rPr>
          <w:sz w:val="24"/>
          <w:szCs w:val="24"/>
        </w:rPr>
      </w:pPr>
      <w:r w:rsidRPr="009376AB">
        <w:rPr>
          <w:sz w:val="24"/>
          <w:szCs w:val="24"/>
        </w:rPr>
        <w:t xml:space="preserve">Der er udført kliniske forsøg med clarithromycin pædiatrisk suspension hos børn i alderen fra 6 måneder til 12 år. Derfor bør børn under 12 år bruge clarithromycin pædiatrisk </w:t>
      </w:r>
    </w:p>
    <w:p w:rsidR="001E0ED3" w:rsidRPr="009376AB" w:rsidRDefault="001E0ED3" w:rsidP="001E0ED3">
      <w:pPr>
        <w:autoSpaceDE w:val="0"/>
        <w:autoSpaceDN w:val="0"/>
        <w:adjustRightInd w:val="0"/>
        <w:ind w:left="851"/>
        <w:rPr>
          <w:sz w:val="24"/>
          <w:szCs w:val="24"/>
        </w:rPr>
      </w:pPr>
      <w:r w:rsidRPr="009376AB">
        <w:rPr>
          <w:sz w:val="24"/>
          <w:szCs w:val="24"/>
        </w:rPr>
        <w:t>suspension. Der er ikke tilstrækkelig dokumentation til at anbefale en dosering for brug af c</w:t>
      </w:r>
      <w:r w:rsidRPr="009376AB">
        <w:rPr>
          <w:color w:val="000000"/>
          <w:sz w:val="24"/>
          <w:szCs w:val="24"/>
        </w:rPr>
        <w:t xml:space="preserve">larithromycin IV formuleringen til patienter under </w:t>
      </w:r>
      <w:r w:rsidRPr="009376AB">
        <w:rPr>
          <w:sz w:val="24"/>
          <w:szCs w:val="24"/>
        </w:rPr>
        <w:t>18 år.</w:t>
      </w:r>
    </w:p>
    <w:p w:rsidR="001E0ED3" w:rsidRPr="009376AB" w:rsidRDefault="001E0ED3" w:rsidP="001E0ED3">
      <w:pPr>
        <w:ind w:left="851"/>
        <w:rPr>
          <w:sz w:val="24"/>
          <w:szCs w:val="24"/>
        </w:rPr>
      </w:pPr>
    </w:p>
    <w:p w:rsidR="001E0ED3" w:rsidRPr="009376AB" w:rsidRDefault="001E0ED3" w:rsidP="001E0ED3">
      <w:pPr>
        <w:ind w:left="851"/>
        <w:rPr>
          <w:sz w:val="24"/>
          <w:szCs w:val="24"/>
        </w:rPr>
      </w:pPr>
      <w:r w:rsidRPr="009376AB">
        <w:rPr>
          <w:sz w:val="24"/>
          <w:szCs w:val="24"/>
        </w:rPr>
        <w:t xml:space="preserve">Hyppighed, type og alvorlighed af bivirkninger hos børn forventes at være den samme som hos voksne. </w:t>
      </w:r>
    </w:p>
    <w:p w:rsidR="001E0ED3" w:rsidRPr="009376AB" w:rsidRDefault="001E0ED3" w:rsidP="001E0ED3">
      <w:pPr>
        <w:ind w:left="851"/>
        <w:rPr>
          <w:sz w:val="24"/>
          <w:szCs w:val="24"/>
        </w:rPr>
      </w:pPr>
    </w:p>
    <w:p w:rsidR="001E0ED3" w:rsidRPr="009376AB" w:rsidRDefault="001E0ED3" w:rsidP="001E0ED3">
      <w:pPr>
        <w:ind w:left="851"/>
        <w:rPr>
          <w:b/>
          <w:bCs/>
          <w:i/>
          <w:iCs/>
          <w:sz w:val="24"/>
          <w:szCs w:val="24"/>
        </w:rPr>
      </w:pPr>
      <w:r w:rsidRPr="009376AB">
        <w:rPr>
          <w:b/>
          <w:bCs/>
          <w:sz w:val="24"/>
          <w:szCs w:val="24"/>
        </w:rPr>
        <w:t xml:space="preserve">e. </w:t>
      </w:r>
      <w:r w:rsidRPr="009376AB">
        <w:rPr>
          <w:b/>
          <w:bCs/>
          <w:i/>
          <w:iCs/>
          <w:sz w:val="24"/>
          <w:szCs w:val="24"/>
        </w:rPr>
        <w:t>Andre særlige populationer</w:t>
      </w:r>
    </w:p>
    <w:p w:rsidR="001E0ED3" w:rsidRPr="009376AB" w:rsidRDefault="001E0ED3" w:rsidP="001E0ED3">
      <w:pPr>
        <w:ind w:left="851"/>
        <w:rPr>
          <w:i/>
          <w:iCs/>
          <w:sz w:val="24"/>
          <w:szCs w:val="24"/>
        </w:rPr>
      </w:pPr>
      <w:r w:rsidRPr="009376AB">
        <w:rPr>
          <w:i/>
          <w:iCs/>
          <w:sz w:val="24"/>
          <w:szCs w:val="24"/>
        </w:rPr>
        <w:t>Immunkompromitterede patienter</w:t>
      </w:r>
    </w:p>
    <w:p w:rsidR="001E0ED3" w:rsidRPr="009376AB" w:rsidRDefault="001E0ED3" w:rsidP="001E0ED3">
      <w:pPr>
        <w:ind w:left="851"/>
        <w:rPr>
          <w:b/>
          <w:bCs/>
          <w:sz w:val="24"/>
          <w:szCs w:val="24"/>
        </w:rPr>
      </w:pPr>
      <w:r w:rsidRPr="009376AB">
        <w:rPr>
          <w:sz w:val="24"/>
          <w:szCs w:val="24"/>
        </w:rPr>
        <w:t xml:space="preserve">Hos AIDS- og andre immunkompromitterede patienter, som blev behandlet med høje doser af clarithromycin igennem lang tid for mykobakterielle infektioner, var det ofte svært at skelne bivirkninger forbundet med administration af clarithromycin administration, fra underliggende tegn på human immundefekt-virus </w:t>
      </w:r>
      <w:r w:rsidRPr="009376AB">
        <w:rPr>
          <w:sz w:val="24"/>
          <w:szCs w:val="24"/>
          <w:lang w:eastAsia="en-GB"/>
        </w:rPr>
        <w:t>(</w:t>
      </w:r>
      <w:r w:rsidRPr="009376AB">
        <w:rPr>
          <w:sz w:val="24"/>
          <w:szCs w:val="24"/>
        </w:rPr>
        <w:t>HIV) sygdom eller anden samtidig sygdom.</w:t>
      </w:r>
    </w:p>
    <w:p w:rsidR="001E0ED3" w:rsidRPr="009376AB" w:rsidRDefault="001E0ED3" w:rsidP="001E0ED3">
      <w:pPr>
        <w:ind w:left="851"/>
        <w:rPr>
          <w:sz w:val="24"/>
          <w:szCs w:val="24"/>
        </w:rPr>
      </w:pPr>
    </w:p>
    <w:p w:rsidR="00DA26E3" w:rsidRDefault="00DA26E3" w:rsidP="00DA26E3">
      <w:pPr>
        <w:pStyle w:val="Brdtekst"/>
        <w:spacing w:after="0"/>
        <w:ind w:left="851"/>
        <w:rPr>
          <w:szCs w:val="24"/>
        </w:rPr>
      </w:pPr>
      <w:r>
        <w:rPr>
          <w:szCs w:val="24"/>
        </w:rPr>
        <w:t xml:space="preserve">Hos voksne patienter, var de hyppigst rapporterede bivirkninger for patienter behandlet med totale daglige doser på 1.000 mg clarithromycin: kvalme, opkastning, smagsforstyrrelser, abdominal smerte, diarré, udslæt, flatulens, hovedpine, forstoppelse, høreforstyrrelser, stigninger i </w:t>
      </w:r>
      <w:hyperlink r:id="rId8" w:history="1">
        <w:r>
          <w:rPr>
            <w:rStyle w:val="Hyperlink"/>
            <w:color w:val="000000"/>
            <w:szCs w:val="24"/>
          </w:rPr>
          <w:t>serum glutaminoxaloacetisk transaminase</w:t>
        </w:r>
      </w:hyperlink>
      <w:r>
        <w:rPr>
          <w:color w:val="000000"/>
          <w:szCs w:val="24"/>
        </w:rPr>
        <w:t xml:space="preserve"> (SGOT) og </w:t>
      </w:r>
      <w:hyperlink r:id="rId9" w:history="1">
        <w:r>
          <w:rPr>
            <w:rStyle w:val="Hyperlink"/>
            <w:color w:val="000000"/>
            <w:szCs w:val="24"/>
          </w:rPr>
          <w:t>serum glutaminpyruvat transaminase</w:t>
        </w:r>
      </w:hyperlink>
      <w:r>
        <w:rPr>
          <w:szCs w:val="24"/>
        </w:rPr>
        <w:t xml:space="preserve"> (SGPT). Yderligere bivirkninger med lav hyppighed inkluderede dyspnø, insomni og mundtørhed.</w:t>
      </w:r>
    </w:p>
    <w:p w:rsidR="00DA26E3" w:rsidRDefault="00DA26E3" w:rsidP="00DA26E3">
      <w:pPr>
        <w:ind w:left="851"/>
        <w:rPr>
          <w:sz w:val="24"/>
          <w:szCs w:val="24"/>
        </w:rPr>
      </w:pPr>
    </w:p>
    <w:p w:rsidR="00DA26E3" w:rsidRDefault="00DA26E3" w:rsidP="00DA26E3">
      <w:pPr>
        <w:ind w:left="851"/>
        <w:rPr>
          <w:sz w:val="24"/>
          <w:szCs w:val="24"/>
        </w:rPr>
      </w:pPr>
      <w:r>
        <w:rPr>
          <w:sz w:val="24"/>
          <w:szCs w:val="24"/>
        </w:rPr>
        <w:t>Hos disse patienter med nedsat immunforsvar blev evalueringer af laboratorieværdier foretaget ved analyse af værdier uden for det alvorligt unormale niveau (dvs. den ekstreme høje eller lave grænse) for den angivne test. På grundlag af disse kriterier havde omkring 2 til 3 % af de patienter, som fik 1.000 mg clarithromycin daglig, alvorligt unormalt forhøjede niveauer af SGOT og SGPT, og abnormt lavt antal hvide blodlegemer og blodpladetællinger. En lavere procentdel af patienterne i de to doseringsgrupper havde også forhøjede niveauer af urinkvælstof i blodet.</w:t>
      </w:r>
    </w:p>
    <w:p w:rsidR="001E0ED3" w:rsidRDefault="001E0ED3" w:rsidP="001E0ED3">
      <w:pPr>
        <w:ind w:left="851"/>
        <w:rPr>
          <w:sz w:val="24"/>
          <w:szCs w:val="24"/>
        </w:rPr>
      </w:pPr>
    </w:p>
    <w:p w:rsidR="001E0ED3" w:rsidRDefault="001E0ED3" w:rsidP="001E0ED3">
      <w:pPr>
        <w:autoSpaceDE w:val="0"/>
        <w:autoSpaceDN w:val="0"/>
        <w:ind w:left="851"/>
        <w:rPr>
          <w:sz w:val="24"/>
          <w:szCs w:val="24"/>
          <w:u w:val="single"/>
        </w:rPr>
      </w:pPr>
      <w:r>
        <w:rPr>
          <w:sz w:val="24"/>
          <w:szCs w:val="24"/>
          <w:u w:val="single"/>
        </w:rPr>
        <w:t>Indberetning af formodede bivirkninger</w:t>
      </w:r>
    </w:p>
    <w:p w:rsidR="001E0ED3" w:rsidRDefault="001E0ED3" w:rsidP="007B2405">
      <w:pPr>
        <w:ind w:left="851"/>
        <w:rPr>
          <w:sz w:val="24"/>
          <w:szCs w:val="24"/>
        </w:rPr>
      </w:pPr>
      <w:r>
        <w:rPr>
          <w:sz w:val="24"/>
          <w:szCs w:val="24"/>
        </w:rPr>
        <w:t xml:space="preserve">Når lægemidlet er godkendt, er indberetning af formodede bivirkninger vigtig. Det muliggør løbende overvågning af benefit/risk-forholdet for lægemidlet. </w:t>
      </w:r>
      <w:r w:rsidR="004B58A7">
        <w:rPr>
          <w:sz w:val="24"/>
          <w:szCs w:val="24"/>
        </w:rPr>
        <w:t>S</w:t>
      </w:r>
      <w:r>
        <w:rPr>
          <w:sz w:val="24"/>
          <w:szCs w:val="24"/>
        </w:rPr>
        <w:t>undhedsperson</w:t>
      </w:r>
      <w:r w:rsidR="004B58A7">
        <w:rPr>
          <w:sz w:val="24"/>
          <w:szCs w:val="24"/>
        </w:rPr>
        <w:t>er</w:t>
      </w:r>
      <w:r>
        <w:rPr>
          <w:sz w:val="24"/>
          <w:szCs w:val="24"/>
        </w:rPr>
        <w:t xml:space="preserve"> anmodes om at indberette alle </w:t>
      </w:r>
      <w:r>
        <w:rPr>
          <w:noProof/>
          <w:szCs w:val="22"/>
        </w:rPr>
        <w:t xml:space="preserve">formodede </w:t>
      </w:r>
      <w:r>
        <w:rPr>
          <w:sz w:val="24"/>
          <w:szCs w:val="24"/>
        </w:rPr>
        <w:t>bivirkninger via:</w:t>
      </w:r>
    </w:p>
    <w:p w:rsidR="007B2405" w:rsidRDefault="007B2405" w:rsidP="001E0ED3">
      <w:pPr>
        <w:keepNext/>
        <w:ind w:left="851"/>
        <w:rPr>
          <w:sz w:val="24"/>
          <w:szCs w:val="24"/>
        </w:rPr>
      </w:pPr>
    </w:p>
    <w:p w:rsidR="001E0ED3" w:rsidRDefault="001E0ED3" w:rsidP="001E0ED3">
      <w:pPr>
        <w:keepNext/>
        <w:ind w:left="851"/>
        <w:rPr>
          <w:sz w:val="24"/>
          <w:szCs w:val="24"/>
        </w:rPr>
      </w:pPr>
      <w:r>
        <w:rPr>
          <w:sz w:val="24"/>
          <w:szCs w:val="24"/>
        </w:rPr>
        <w:t>Lægemiddelstyrelsen</w:t>
      </w:r>
    </w:p>
    <w:p w:rsidR="001E0ED3" w:rsidRDefault="001E0ED3" w:rsidP="001E0ED3">
      <w:pPr>
        <w:ind w:left="851"/>
        <w:rPr>
          <w:sz w:val="24"/>
          <w:szCs w:val="24"/>
        </w:rPr>
      </w:pPr>
      <w:r>
        <w:rPr>
          <w:sz w:val="24"/>
          <w:szCs w:val="24"/>
        </w:rPr>
        <w:t>Axel Heides Gade 1</w:t>
      </w:r>
    </w:p>
    <w:p w:rsidR="001E0ED3" w:rsidRDefault="001E0ED3" w:rsidP="001E0ED3">
      <w:pPr>
        <w:ind w:left="851"/>
        <w:rPr>
          <w:sz w:val="24"/>
          <w:szCs w:val="24"/>
        </w:rPr>
      </w:pPr>
      <w:r>
        <w:rPr>
          <w:sz w:val="24"/>
          <w:szCs w:val="24"/>
        </w:rPr>
        <w:lastRenderedPageBreak/>
        <w:t>DK-2300 København S</w:t>
      </w:r>
    </w:p>
    <w:p w:rsidR="001E0ED3" w:rsidRPr="00AC4B5D" w:rsidRDefault="001E0ED3" w:rsidP="001E0ED3">
      <w:pPr>
        <w:ind w:left="851"/>
        <w:rPr>
          <w:sz w:val="24"/>
          <w:szCs w:val="24"/>
        </w:rPr>
      </w:pPr>
      <w:r w:rsidRPr="00AC4B5D">
        <w:rPr>
          <w:sz w:val="24"/>
          <w:szCs w:val="24"/>
        </w:rPr>
        <w:t xml:space="preserve">Websted: </w:t>
      </w:r>
      <w:hyperlink r:id="rId10" w:history="1">
        <w:r w:rsidRPr="00AC4B5D">
          <w:rPr>
            <w:rStyle w:val="Hyperlink"/>
          </w:rPr>
          <w:t>www.meldenbivirkning.dk</w:t>
        </w:r>
      </w:hyperlink>
    </w:p>
    <w:p w:rsidR="001E0ED3" w:rsidRDefault="001E0ED3" w:rsidP="001E0ED3">
      <w:pPr>
        <w:ind w:left="851" w:hanging="851"/>
        <w:rPr>
          <w:b/>
          <w:sz w:val="24"/>
          <w:szCs w:val="24"/>
        </w:rPr>
      </w:pPr>
    </w:p>
    <w:p w:rsidR="001E0ED3" w:rsidRPr="00A6772A" w:rsidRDefault="001E0ED3" w:rsidP="001E0ED3">
      <w:pPr>
        <w:ind w:left="851" w:hanging="851"/>
        <w:rPr>
          <w:b/>
          <w:sz w:val="24"/>
          <w:szCs w:val="24"/>
        </w:rPr>
      </w:pPr>
      <w:r w:rsidRPr="00A6772A">
        <w:rPr>
          <w:b/>
          <w:sz w:val="24"/>
          <w:szCs w:val="24"/>
        </w:rPr>
        <w:t>4.9</w:t>
      </w:r>
      <w:r w:rsidRPr="00A6772A">
        <w:rPr>
          <w:b/>
          <w:sz w:val="24"/>
          <w:szCs w:val="24"/>
        </w:rPr>
        <w:tab/>
        <w:t>Overdosering</w:t>
      </w:r>
    </w:p>
    <w:p w:rsidR="001E0ED3" w:rsidRPr="00A6772A" w:rsidRDefault="001E0ED3" w:rsidP="001E0ED3">
      <w:pPr>
        <w:ind w:left="851"/>
        <w:rPr>
          <w:sz w:val="24"/>
          <w:szCs w:val="24"/>
          <w:lang w:eastAsia="da-DK"/>
        </w:rPr>
      </w:pPr>
      <w:r w:rsidRPr="00A6772A">
        <w:rPr>
          <w:sz w:val="24"/>
          <w:szCs w:val="24"/>
        </w:rPr>
        <w:t>Symptomer på forgiftning:</w:t>
      </w:r>
    </w:p>
    <w:p w:rsidR="001E0ED3" w:rsidRPr="00A6772A" w:rsidRDefault="001E0ED3" w:rsidP="001E0ED3">
      <w:pPr>
        <w:ind w:left="851"/>
        <w:rPr>
          <w:sz w:val="24"/>
          <w:szCs w:val="24"/>
        </w:rPr>
      </w:pPr>
      <w:r w:rsidRPr="00A6772A">
        <w:rPr>
          <w:sz w:val="24"/>
          <w:szCs w:val="24"/>
        </w:rPr>
        <w:t>Rapporter viser, at indtagelse af store mængder clarithromycin kan forventes at give gastrointestinale symptomer. Symptomer på overdosis svarer for størstedelen til bivirkningsprofilen. En patient med bipolær sygdom i anamnesen indtog 8 g clarithromycin og viste forandret mental status, paranoid opførsel, hypokaliæmi og hypoksæmi.</w:t>
      </w:r>
    </w:p>
    <w:p w:rsidR="001E0ED3" w:rsidRPr="00A6772A" w:rsidRDefault="001E0ED3" w:rsidP="001E0ED3">
      <w:pPr>
        <w:ind w:left="851"/>
        <w:rPr>
          <w:sz w:val="24"/>
          <w:szCs w:val="24"/>
        </w:rPr>
      </w:pPr>
    </w:p>
    <w:p w:rsidR="001E0ED3" w:rsidRPr="00A6772A" w:rsidRDefault="001E0ED3" w:rsidP="001E0ED3">
      <w:pPr>
        <w:ind w:left="851"/>
        <w:rPr>
          <w:sz w:val="24"/>
          <w:szCs w:val="24"/>
        </w:rPr>
      </w:pPr>
      <w:r w:rsidRPr="00A6772A">
        <w:rPr>
          <w:sz w:val="24"/>
          <w:szCs w:val="24"/>
        </w:rPr>
        <w:t>I tilfælde af overdosering, skal clarithromycin IV (pulver til opløsning til infektion) seponeres, og alle andre passende understøttende foranstaltninger bør iværksættes.</w:t>
      </w:r>
    </w:p>
    <w:p w:rsidR="001E0ED3" w:rsidRPr="00A6772A" w:rsidRDefault="001E0ED3" w:rsidP="001E0ED3">
      <w:pPr>
        <w:ind w:left="851"/>
        <w:rPr>
          <w:sz w:val="24"/>
          <w:szCs w:val="24"/>
        </w:rPr>
      </w:pPr>
    </w:p>
    <w:p w:rsidR="001E0ED3" w:rsidRPr="00A6772A" w:rsidRDefault="001E0ED3" w:rsidP="0026790C">
      <w:pPr>
        <w:keepNext/>
        <w:ind w:left="851"/>
        <w:rPr>
          <w:sz w:val="24"/>
          <w:szCs w:val="24"/>
        </w:rPr>
      </w:pPr>
      <w:r w:rsidRPr="00A6772A">
        <w:rPr>
          <w:sz w:val="24"/>
          <w:szCs w:val="24"/>
        </w:rPr>
        <w:t>Behandling af forgiftning:</w:t>
      </w:r>
    </w:p>
    <w:p w:rsidR="001E0ED3" w:rsidRPr="00A6772A" w:rsidRDefault="001E0ED3" w:rsidP="001E0ED3">
      <w:pPr>
        <w:ind w:left="851"/>
        <w:rPr>
          <w:sz w:val="24"/>
          <w:szCs w:val="24"/>
        </w:rPr>
      </w:pPr>
      <w:r w:rsidRPr="00A6772A">
        <w:rPr>
          <w:sz w:val="24"/>
          <w:szCs w:val="24"/>
        </w:rPr>
        <w:t xml:space="preserve">Der er ingen specifik antidot mod overdosis af clarithromycin. </w:t>
      </w:r>
    </w:p>
    <w:p w:rsidR="001E0ED3" w:rsidRPr="00A6772A" w:rsidRDefault="001E0ED3" w:rsidP="001E0ED3">
      <w:pPr>
        <w:ind w:left="851"/>
        <w:rPr>
          <w:spacing w:val="-3"/>
          <w:sz w:val="24"/>
          <w:szCs w:val="24"/>
        </w:rPr>
      </w:pPr>
      <w:r w:rsidRPr="00A6772A">
        <w:rPr>
          <w:spacing w:val="-3"/>
          <w:sz w:val="24"/>
          <w:szCs w:val="24"/>
        </w:rPr>
        <w:t>Bivirkninger som følge af overdosering bør behandles med prompte eliminering af ikke absorberet substans og understøttende behandling</w:t>
      </w:r>
      <w:r w:rsidRPr="00A6772A">
        <w:rPr>
          <w:sz w:val="24"/>
          <w:szCs w:val="24"/>
        </w:rPr>
        <w:t>. Som fo</w:t>
      </w:r>
      <w:r>
        <w:rPr>
          <w:sz w:val="24"/>
          <w:szCs w:val="24"/>
        </w:rPr>
        <w:t>r andre makrolider, forventes se</w:t>
      </w:r>
      <w:r w:rsidRPr="00A6772A">
        <w:rPr>
          <w:sz w:val="24"/>
          <w:szCs w:val="24"/>
        </w:rPr>
        <w:t>rum</w:t>
      </w:r>
      <w:r>
        <w:rPr>
          <w:sz w:val="24"/>
          <w:szCs w:val="24"/>
        </w:rPr>
        <w:t>k</w:t>
      </w:r>
      <w:r w:rsidRPr="00A6772A">
        <w:rPr>
          <w:sz w:val="24"/>
          <w:szCs w:val="24"/>
        </w:rPr>
        <w:t xml:space="preserve">oncentrationen af </w:t>
      </w:r>
      <w:r w:rsidRPr="00A6772A">
        <w:rPr>
          <w:spacing w:val="-3"/>
          <w:sz w:val="24"/>
          <w:szCs w:val="24"/>
        </w:rPr>
        <w:t>clarithromycin ikke at kunne nedsættes med hæmodialyse eller peritoneal dialyse.</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4.10</w:t>
      </w:r>
      <w:r w:rsidRPr="00A6772A">
        <w:rPr>
          <w:b/>
          <w:sz w:val="24"/>
          <w:szCs w:val="24"/>
        </w:rPr>
        <w:tab/>
        <w:t>Udlevering</w:t>
      </w:r>
    </w:p>
    <w:p w:rsidR="001E0ED3" w:rsidRPr="00A6772A" w:rsidRDefault="001E0ED3" w:rsidP="001E0ED3">
      <w:pPr>
        <w:ind w:left="851" w:hanging="851"/>
        <w:rPr>
          <w:sz w:val="24"/>
          <w:szCs w:val="24"/>
        </w:rPr>
      </w:pPr>
      <w:r w:rsidRPr="00A6772A">
        <w:rPr>
          <w:sz w:val="24"/>
          <w:szCs w:val="24"/>
        </w:rPr>
        <w:tab/>
        <w:t>B</w:t>
      </w:r>
    </w:p>
    <w:p w:rsidR="001E0ED3" w:rsidRPr="00A6772A" w:rsidRDefault="001E0ED3" w:rsidP="001E0ED3">
      <w:pPr>
        <w:ind w:left="851" w:hanging="851"/>
        <w:rPr>
          <w:sz w:val="24"/>
          <w:szCs w:val="24"/>
        </w:rPr>
      </w:pP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5.</w:t>
      </w:r>
      <w:r w:rsidRPr="00A6772A">
        <w:rPr>
          <w:b/>
          <w:sz w:val="24"/>
          <w:szCs w:val="24"/>
        </w:rPr>
        <w:tab/>
        <w:t>FARMAKOLOGISKE EGENSKABER</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5.1</w:t>
      </w:r>
      <w:r w:rsidRPr="00A6772A">
        <w:rPr>
          <w:b/>
          <w:sz w:val="24"/>
          <w:szCs w:val="24"/>
        </w:rPr>
        <w:tab/>
        <w:t>Farmakodynamiske egenskaber</w:t>
      </w:r>
    </w:p>
    <w:p w:rsidR="00DA26E3" w:rsidRDefault="00DA26E3" w:rsidP="001E0ED3">
      <w:pPr>
        <w:ind w:left="851"/>
        <w:rPr>
          <w:sz w:val="24"/>
          <w:szCs w:val="24"/>
        </w:rPr>
      </w:pPr>
      <w:r>
        <w:rPr>
          <w:sz w:val="24"/>
          <w:szCs w:val="24"/>
        </w:rPr>
        <w:t>Farmakoterapeutisk klassifikation: Antibakterielle midler til systemisk brug, makrolider, ATC-kode: J01FA09.</w:t>
      </w:r>
    </w:p>
    <w:p w:rsidR="00DA26E3" w:rsidRDefault="00DA26E3" w:rsidP="001E0ED3">
      <w:pPr>
        <w:ind w:left="851"/>
        <w:rPr>
          <w:sz w:val="24"/>
          <w:szCs w:val="24"/>
        </w:rPr>
      </w:pPr>
    </w:p>
    <w:p w:rsidR="001E0ED3" w:rsidRDefault="001E0ED3" w:rsidP="001E0ED3">
      <w:pPr>
        <w:ind w:left="851"/>
        <w:rPr>
          <w:sz w:val="24"/>
          <w:szCs w:val="24"/>
          <w:lang w:eastAsia="da-DK"/>
        </w:rPr>
      </w:pPr>
      <w:r>
        <w:rPr>
          <w:sz w:val="24"/>
          <w:szCs w:val="24"/>
        </w:rPr>
        <w:t>Clarithromycin, et semisyntetisk makrolid og et derivat af erytromycin A. Den antibakterielle virkning, som er bakteriostatisk, udøves ved en binding til bakteriernes ribosomer, hvilket undertrykker proteinsyntesen. Den aktive metabolit 14-OH-clarithromycin udøver</w:t>
      </w:r>
      <w:r>
        <w:rPr>
          <w:i/>
          <w:sz w:val="24"/>
          <w:szCs w:val="24"/>
        </w:rPr>
        <w:t xml:space="preserve"> in vitro</w:t>
      </w:r>
      <w:r>
        <w:rPr>
          <w:sz w:val="24"/>
          <w:szCs w:val="24"/>
        </w:rPr>
        <w:t xml:space="preserve">, sammen med modersubstansen en </w:t>
      </w:r>
      <w:proofErr w:type="gramStart"/>
      <w:r>
        <w:rPr>
          <w:sz w:val="24"/>
          <w:szCs w:val="24"/>
        </w:rPr>
        <w:t>additiv effekt</w:t>
      </w:r>
      <w:proofErr w:type="gramEnd"/>
      <w:r>
        <w:rPr>
          <w:sz w:val="24"/>
          <w:szCs w:val="24"/>
        </w:rPr>
        <w:t xml:space="preserve">. </w:t>
      </w:r>
    </w:p>
    <w:p w:rsidR="001E0ED3" w:rsidRDefault="001E0ED3" w:rsidP="001E0ED3">
      <w:pPr>
        <w:ind w:left="851"/>
        <w:rPr>
          <w:sz w:val="24"/>
          <w:szCs w:val="24"/>
        </w:rPr>
      </w:pPr>
    </w:p>
    <w:p w:rsidR="001E0ED3" w:rsidRDefault="001E0ED3" w:rsidP="001E0ED3">
      <w:pPr>
        <w:ind w:left="851"/>
        <w:rPr>
          <w:sz w:val="24"/>
          <w:szCs w:val="24"/>
        </w:rPr>
      </w:pPr>
      <w:r>
        <w:rPr>
          <w:i/>
          <w:sz w:val="24"/>
          <w:szCs w:val="24"/>
        </w:rPr>
        <w:t xml:space="preserve">Mikrobiologi: </w:t>
      </w:r>
      <w:r>
        <w:rPr>
          <w:sz w:val="24"/>
          <w:szCs w:val="24"/>
        </w:rPr>
        <w:t xml:space="preserve">Følgende mikroorganismer har vist at være følsomme over for clarithromycin både </w:t>
      </w:r>
      <w:r>
        <w:rPr>
          <w:i/>
          <w:sz w:val="24"/>
          <w:szCs w:val="24"/>
        </w:rPr>
        <w:t>in vitro</w:t>
      </w:r>
      <w:r>
        <w:rPr>
          <w:sz w:val="24"/>
          <w:szCs w:val="24"/>
        </w:rPr>
        <w:t xml:space="preserve"> og ved infektioner som beskrevet i afsnittet om </w:t>
      </w:r>
      <w:r>
        <w:rPr>
          <w:i/>
          <w:sz w:val="24"/>
          <w:szCs w:val="24"/>
        </w:rPr>
        <w:t>in vivo</w:t>
      </w:r>
      <w:r>
        <w:rPr>
          <w:sz w:val="24"/>
          <w:szCs w:val="24"/>
        </w:rPr>
        <w:t>:</w:t>
      </w:r>
    </w:p>
    <w:p w:rsidR="001E0ED3" w:rsidRDefault="001E0ED3" w:rsidP="001E0ED3">
      <w:pPr>
        <w:ind w:left="851"/>
        <w:rPr>
          <w:sz w:val="24"/>
          <w:szCs w:val="24"/>
        </w:rPr>
      </w:pPr>
    </w:p>
    <w:p w:rsidR="001E0ED3" w:rsidRDefault="001E0ED3" w:rsidP="0003714A">
      <w:pPr>
        <w:keepNext/>
        <w:ind w:left="851"/>
        <w:rPr>
          <w:b/>
          <w:sz w:val="24"/>
          <w:szCs w:val="24"/>
          <w:lang w:val="fr-FR"/>
        </w:rPr>
      </w:pPr>
      <w:r>
        <w:rPr>
          <w:b/>
          <w:sz w:val="24"/>
          <w:szCs w:val="24"/>
          <w:lang w:val="fr-FR"/>
        </w:rPr>
        <w:t>Aerobe gram-positive mikroorganismer</w:t>
      </w:r>
    </w:p>
    <w:p w:rsidR="001E0ED3" w:rsidRDefault="001E0ED3" w:rsidP="001E0ED3">
      <w:pPr>
        <w:ind w:left="851"/>
        <w:rPr>
          <w:i/>
          <w:sz w:val="24"/>
          <w:szCs w:val="24"/>
          <w:lang w:val="fr-FR"/>
        </w:rPr>
      </w:pPr>
      <w:r>
        <w:rPr>
          <w:i/>
          <w:sz w:val="24"/>
          <w:szCs w:val="24"/>
          <w:lang w:val="fr-FR"/>
        </w:rPr>
        <w:t>Staphylococcus aureus</w:t>
      </w:r>
    </w:p>
    <w:p w:rsidR="001E0ED3" w:rsidRDefault="001E0ED3" w:rsidP="001E0ED3">
      <w:pPr>
        <w:ind w:left="851"/>
        <w:rPr>
          <w:i/>
          <w:sz w:val="24"/>
          <w:szCs w:val="24"/>
          <w:lang w:val="fr-FR"/>
        </w:rPr>
      </w:pPr>
      <w:r>
        <w:rPr>
          <w:i/>
          <w:sz w:val="24"/>
          <w:szCs w:val="24"/>
          <w:lang w:val="fr-FR"/>
        </w:rPr>
        <w:t>Streptococcus pneumoniae</w:t>
      </w:r>
    </w:p>
    <w:p w:rsidR="001E0ED3" w:rsidRDefault="001E0ED3" w:rsidP="001E0ED3">
      <w:pPr>
        <w:ind w:left="851"/>
        <w:rPr>
          <w:i/>
          <w:sz w:val="24"/>
          <w:szCs w:val="24"/>
          <w:lang w:val="fr-FR"/>
        </w:rPr>
      </w:pPr>
      <w:r>
        <w:rPr>
          <w:i/>
          <w:sz w:val="24"/>
          <w:szCs w:val="24"/>
          <w:lang w:val="fr-FR"/>
        </w:rPr>
        <w:t>Streptococcus pyogenes</w:t>
      </w:r>
    </w:p>
    <w:p w:rsidR="001E0ED3" w:rsidRDefault="001E0ED3" w:rsidP="001E0ED3">
      <w:pPr>
        <w:ind w:left="851"/>
        <w:rPr>
          <w:i/>
          <w:sz w:val="24"/>
          <w:szCs w:val="24"/>
          <w:lang w:val="fr-FR"/>
        </w:rPr>
      </w:pPr>
      <w:r>
        <w:rPr>
          <w:i/>
          <w:sz w:val="24"/>
          <w:szCs w:val="24"/>
          <w:lang w:val="fr-FR"/>
        </w:rPr>
        <w:t>Listeria monocytogenes</w:t>
      </w:r>
    </w:p>
    <w:p w:rsidR="001E0ED3" w:rsidRDefault="001E0ED3" w:rsidP="001E0ED3">
      <w:pPr>
        <w:ind w:left="851"/>
        <w:rPr>
          <w:i/>
          <w:sz w:val="24"/>
          <w:szCs w:val="24"/>
          <w:lang w:val="fr-FR"/>
        </w:rPr>
      </w:pPr>
    </w:p>
    <w:p w:rsidR="001E0ED3" w:rsidRDefault="001E0ED3" w:rsidP="001E0ED3">
      <w:pPr>
        <w:ind w:left="851"/>
        <w:rPr>
          <w:b/>
          <w:sz w:val="24"/>
          <w:szCs w:val="24"/>
          <w:lang w:val="fr-FR"/>
        </w:rPr>
      </w:pPr>
      <w:r>
        <w:rPr>
          <w:b/>
          <w:sz w:val="24"/>
          <w:szCs w:val="24"/>
          <w:lang w:val="fr-FR"/>
        </w:rPr>
        <w:t>Aerobe gram-negative mikroorganismer</w:t>
      </w:r>
    </w:p>
    <w:p w:rsidR="001E0ED3" w:rsidRDefault="001E0ED3" w:rsidP="001E0ED3">
      <w:pPr>
        <w:ind w:left="851"/>
        <w:rPr>
          <w:i/>
          <w:sz w:val="24"/>
          <w:szCs w:val="24"/>
          <w:lang w:val="fr-FR"/>
        </w:rPr>
      </w:pPr>
      <w:r>
        <w:rPr>
          <w:i/>
          <w:sz w:val="24"/>
          <w:szCs w:val="24"/>
          <w:lang w:val="fr-FR"/>
        </w:rPr>
        <w:t>Haemophilus influenzae</w:t>
      </w:r>
    </w:p>
    <w:p w:rsidR="001E0ED3" w:rsidRDefault="001E0ED3" w:rsidP="001E0ED3">
      <w:pPr>
        <w:ind w:left="851"/>
        <w:rPr>
          <w:i/>
          <w:sz w:val="24"/>
          <w:szCs w:val="24"/>
          <w:lang w:val="fr-FR"/>
        </w:rPr>
      </w:pPr>
      <w:r>
        <w:rPr>
          <w:i/>
          <w:sz w:val="24"/>
          <w:szCs w:val="24"/>
          <w:lang w:val="fr-FR"/>
        </w:rPr>
        <w:t>Haemophilus parainfluenzae</w:t>
      </w:r>
    </w:p>
    <w:p w:rsidR="001E0ED3" w:rsidRDefault="001E0ED3" w:rsidP="001E0ED3">
      <w:pPr>
        <w:ind w:left="851"/>
        <w:rPr>
          <w:i/>
          <w:sz w:val="24"/>
          <w:szCs w:val="24"/>
          <w:lang w:val="fr-FR"/>
        </w:rPr>
      </w:pPr>
      <w:r>
        <w:rPr>
          <w:i/>
          <w:sz w:val="24"/>
          <w:szCs w:val="24"/>
          <w:lang w:val="fr-FR"/>
        </w:rPr>
        <w:t>Moraxella catarrhalis</w:t>
      </w:r>
    </w:p>
    <w:p w:rsidR="001E0ED3" w:rsidRDefault="001E0ED3" w:rsidP="001E0ED3">
      <w:pPr>
        <w:ind w:left="851"/>
        <w:rPr>
          <w:i/>
          <w:sz w:val="24"/>
          <w:szCs w:val="24"/>
          <w:lang w:val="fr-FR"/>
        </w:rPr>
      </w:pPr>
      <w:r>
        <w:rPr>
          <w:i/>
          <w:sz w:val="24"/>
          <w:szCs w:val="24"/>
          <w:lang w:val="fr-FR"/>
        </w:rPr>
        <w:t>Neisseria gonorrheae</w:t>
      </w:r>
    </w:p>
    <w:p w:rsidR="001E0ED3" w:rsidRDefault="001E0ED3" w:rsidP="001E0ED3">
      <w:pPr>
        <w:ind w:left="851"/>
        <w:rPr>
          <w:i/>
          <w:sz w:val="24"/>
          <w:szCs w:val="24"/>
          <w:lang w:val="fr-FR"/>
        </w:rPr>
      </w:pPr>
      <w:r>
        <w:rPr>
          <w:i/>
          <w:sz w:val="24"/>
          <w:szCs w:val="24"/>
          <w:lang w:val="fr-FR"/>
        </w:rPr>
        <w:t>Legionella pneumophilia</w:t>
      </w:r>
    </w:p>
    <w:p w:rsidR="001E0ED3" w:rsidRDefault="001E0ED3" w:rsidP="001E0ED3">
      <w:pPr>
        <w:ind w:left="851"/>
        <w:rPr>
          <w:sz w:val="24"/>
          <w:szCs w:val="24"/>
          <w:lang w:val="fr-FR"/>
        </w:rPr>
      </w:pPr>
    </w:p>
    <w:p w:rsidR="001E0ED3" w:rsidRDefault="001E0ED3" w:rsidP="001E0ED3">
      <w:pPr>
        <w:ind w:left="851"/>
        <w:rPr>
          <w:sz w:val="24"/>
          <w:szCs w:val="24"/>
          <w:lang w:val="fr-FR"/>
        </w:rPr>
      </w:pPr>
      <w:r>
        <w:rPr>
          <w:b/>
          <w:sz w:val="24"/>
          <w:szCs w:val="24"/>
          <w:lang w:val="fr-FR"/>
        </w:rPr>
        <w:t>Andre mikroorganismer:</w:t>
      </w:r>
    </w:p>
    <w:p w:rsidR="001E0ED3" w:rsidRDefault="001E0ED3" w:rsidP="001E0ED3">
      <w:pPr>
        <w:ind w:left="851"/>
        <w:rPr>
          <w:i/>
          <w:sz w:val="24"/>
          <w:szCs w:val="24"/>
          <w:lang w:val="fr-FR"/>
        </w:rPr>
      </w:pPr>
      <w:r>
        <w:rPr>
          <w:i/>
          <w:sz w:val="24"/>
          <w:szCs w:val="24"/>
          <w:lang w:val="fr-FR"/>
        </w:rPr>
        <w:t>Mycoplasma pneumoniae</w:t>
      </w:r>
    </w:p>
    <w:p w:rsidR="001E0ED3" w:rsidRDefault="001E0ED3" w:rsidP="001E0ED3">
      <w:pPr>
        <w:ind w:left="851"/>
        <w:rPr>
          <w:i/>
          <w:sz w:val="24"/>
          <w:szCs w:val="24"/>
          <w:lang w:val="fr-FR"/>
        </w:rPr>
      </w:pPr>
      <w:r>
        <w:rPr>
          <w:i/>
          <w:sz w:val="24"/>
          <w:szCs w:val="24"/>
          <w:lang w:val="fr-FR"/>
        </w:rPr>
        <w:t xml:space="preserve">Chlamydia pneumoniae </w:t>
      </w:r>
      <w:r>
        <w:rPr>
          <w:sz w:val="24"/>
          <w:szCs w:val="24"/>
          <w:lang w:val="fr-FR"/>
        </w:rPr>
        <w:t>(TWAR</w:t>
      </w:r>
      <w:r>
        <w:rPr>
          <w:i/>
          <w:sz w:val="24"/>
          <w:szCs w:val="24"/>
          <w:lang w:val="fr-FR"/>
        </w:rPr>
        <w:t>)</w:t>
      </w:r>
    </w:p>
    <w:p w:rsidR="001E0ED3" w:rsidRDefault="001E0ED3" w:rsidP="001E0ED3">
      <w:pPr>
        <w:ind w:left="851"/>
        <w:rPr>
          <w:sz w:val="24"/>
          <w:szCs w:val="24"/>
          <w:lang w:val="fr-FR"/>
        </w:rPr>
      </w:pPr>
    </w:p>
    <w:p w:rsidR="001E0ED3" w:rsidRDefault="001E0ED3" w:rsidP="001E0ED3">
      <w:pPr>
        <w:ind w:left="851"/>
        <w:rPr>
          <w:sz w:val="24"/>
          <w:szCs w:val="24"/>
        </w:rPr>
      </w:pPr>
      <w:r>
        <w:rPr>
          <w:sz w:val="24"/>
          <w:szCs w:val="24"/>
          <w:lang w:val="sv-SE"/>
        </w:rPr>
        <w:t xml:space="preserve">Clarithromycin har en baktericid effekt på </w:t>
      </w:r>
      <w:r w:rsidRPr="00901572">
        <w:rPr>
          <w:i/>
          <w:sz w:val="24"/>
          <w:szCs w:val="24"/>
          <w:lang w:val="sv-SE"/>
        </w:rPr>
        <w:t>Helicobacter pylori</w:t>
      </w:r>
      <w:r>
        <w:rPr>
          <w:sz w:val="24"/>
          <w:szCs w:val="24"/>
          <w:lang w:val="sv-SE"/>
        </w:rPr>
        <w:t xml:space="preserve">. </w:t>
      </w:r>
      <w:r>
        <w:rPr>
          <w:sz w:val="24"/>
          <w:szCs w:val="24"/>
        </w:rPr>
        <w:t>Effekten øger med stigende pH.</w:t>
      </w:r>
    </w:p>
    <w:p w:rsidR="001E0ED3" w:rsidRDefault="001E0ED3" w:rsidP="001E0ED3">
      <w:pPr>
        <w:ind w:left="851"/>
        <w:rPr>
          <w:sz w:val="24"/>
          <w:szCs w:val="24"/>
        </w:rPr>
      </w:pPr>
    </w:p>
    <w:p w:rsidR="001E0ED3" w:rsidRDefault="001E0ED3" w:rsidP="001E0ED3">
      <w:pPr>
        <w:ind w:left="851"/>
        <w:rPr>
          <w:sz w:val="24"/>
          <w:szCs w:val="24"/>
        </w:rPr>
      </w:pPr>
      <w:r>
        <w:rPr>
          <w:sz w:val="24"/>
          <w:szCs w:val="24"/>
        </w:rPr>
        <w:t>Beta-lactamase produktion har ingen effekt på clarithromycinaktiviteten.</w:t>
      </w:r>
    </w:p>
    <w:p w:rsidR="001E0ED3" w:rsidRDefault="001E0ED3" w:rsidP="001E0ED3">
      <w:pPr>
        <w:ind w:left="851"/>
        <w:rPr>
          <w:sz w:val="24"/>
          <w:szCs w:val="24"/>
        </w:rPr>
      </w:pPr>
      <w:r>
        <w:rPr>
          <w:sz w:val="24"/>
          <w:szCs w:val="24"/>
        </w:rPr>
        <w:t>De fleste methicillin-resistente og oxacillin-resistente staphylococstammer er resistente over for clarithromycin.</w:t>
      </w:r>
    </w:p>
    <w:p w:rsidR="001E0ED3" w:rsidRDefault="001E0ED3" w:rsidP="001E0ED3">
      <w:pPr>
        <w:ind w:left="851"/>
        <w:rPr>
          <w:sz w:val="24"/>
          <w:szCs w:val="24"/>
        </w:rPr>
      </w:pPr>
    </w:p>
    <w:p w:rsidR="001E0ED3" w:rsidRDefault="001E0ED3" w:rsidP="0026790C">
      <w:pPr>
        <w:keepNext/>
        <w:ind w:left="851"/>
        <w:rPr>
          <w:b/>
          <w:bCs/>
          <w:i/>
          <w:iCs/>
          <w:sz w:val="24"/>
          <w:szCs w:val="24"/>
        </w:rPr>
      </w:pPr>
      <w:r>
        <w:rPr>
          <w:b/>
          <w:bCs/>
          <w:i/>
          <w:iCs/>
          <w:sz w:val="24"/>
          <w:szCs w:val="24"/>
        </w:rPr>
        <w:t>Break-points</w:t>
      </w:r>
    </w:p>
    <w:p w:rsidR="001E0ED3" w:rsidRDefault="001E0ED3" w:rsidP="001E0ED3">
      <w:pPr>
        <w:ind w:left="851"/>
        <w:rPr>
          <w:sz w:val="24"/>
          <w:szCs w:val="24"/>
        </w:rPr>
      </w:pPr>
      <w:r>
        <w:rPr>
          <w:sz w:val="24"/>
          <w:szCs w:val="24"/>
        </w:rPr>
        <w:t>Følgende break-points for clarithromycin, som adskiller følsomme organismer fra resistente organismer, er fastlagt af European Committee for Antimicrobial Susceptibility Testing (EUCAST).</w:t>
      </w:r>
    </w:p>
    <w:p w:rsidR="00DA26E3" w:rsidRDefault="00DA26E3" w:rsidP="00DA26E3">
      <w:pPr>
        <w:ind w:left="851"/>
        <w:rPr>
          <w:sz w:val="24"/>
          <w:szCs w:val="24"/>
          <w:lang w:val="sv-SE"/>
        </w:rPr>
      </w:pPr>
    </w:p>
    <w:tbl>
      <w:tblPr>
        <w:tblW w:w="4564"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2"/>
        <w:gridCol w:w="3141"/>
        <w:gridCol w:w="3125"/>
      </w:tblGrid>
      <w:tr w:rsidR="00DA26E3" w:rsidTr="00172B74">
        <w:trPr>
          <w:trHeight w:val="288"/>
        </w:trPr>
        <w:tc>
          <w:tcPr>
            <w:tcW w:w="5000" w:type="pct"/>
            <w:gridSpan w:val="3"/>
            <w:tcBorders>
              <w:top w:val="single" w:sz="4" w:space="0" w:color="auto"/>
              <w:left w:val="single" w:sz="4" w:space="0" w:color="auto"/>
              <w:bottom w:val="single" w:sz="4" w:space="0" w:color="auto"/>
              <w:right w:val="single" w:sz="4" w:space="0" w:color="auto"/>
            </w:tcBorders>
            <w:shd w:val="clear" w:color="auto" w:fill="E6E6E6"/>
            <w:vAlign w:val="center"/>
            <w:hideMark/>
          </w:tcPr>
          <w:p w:rsidR="00DA26E3" w:rsidRDefault="00DA26E3">
            <w:pPr>
              <w:spacing w:line="240" w:lineRule="atLeast"/>
              <w:jc w:val="center"/>
              <w:rPr>
                <w:bCs/>
                <w:sz w:val="24"/>
                <w:szCs w:val="24"/>
              </w:rPr>
            </w:pPr>
            <w:r>
              <w:rPr>
                <w:bCs/>
                <w:sz w:val="24"/>
                <w:szCs w:val="24"/>
              </w:rPr>
              <w:t>Breakpoints (MIC, μg/ml)</w:t>
            </w:r>
          </w:p>
        </w:tc>
      </w:tr>
      <w:tr w:rsidR="00DA26E3" w:rsidTr="00172B74">
        <w:trPr>
          <w:trHeight w:val="288"/>
        </w:trPr>
        <w:tc>
          <w:tcPr>
            <w:tcW w:w="1435" w:type="pct"/>
            <w:tcBorders>
              <w:top w:val="single" w:sz="4" w:space="0" w:color="auto"/>
              <w:left w:val="single" w:sz="4" w:space="0" w:color="auto"/>
              <w:bottom w:val="single" w:sz="4" w:space="0" w:color="auto"/>
              <w:right w:val="single" w:sz="4" w:space="0" w:color="auto"/>
            </w:tcBorders>
            <w:shd w:val="clear" w:color="auto" w:fill="E6E6E6"/>
            <w:vAlign w:val="center"/>
            <w:hideMark/>
          </w:tcPr>
          <w:p w:rsidR="00DA26E3" w:rsidRDefault="00DA26E3">
            <w:pPr>
              <w:pStyle w:val="Brdtekst2"/>
              <w:tabs>
                <w:tab w:val="left" w:pos="567"/>
              </w:tabs>
              <w:spacing w:before="60" w:line="240" w:lineRule="atLeast"/>
              <w:rPr>
                <w:bCs/>
                <w:szCs w:val="24"/>
              </w:rPr>
            </w:pPr>
            <w:r>
              <w:rPr>
                <w:bCs/>
                <w:szCs w:val="24"/>
              </w:rPr>
              <w:t>Mikroorganismer</w:t>
            </w:r>
          </w:p>
        </w:tc>
        <w:tc>
          <w:tcPr>
            <w:tcW w:w="1787" w:type="pct"/>
            <w:tcBorders>
              <w:top w:val="single" w:sz="4" w:space="0" w:color="auto"/>
              <w:left w:val="single" w:sz="4" w:space="0" w:color="auto"/>
              <w:bottom w:val="single" w:sz="4" w:space="0" w:color="auto"/>
              <w:right w:val="single" w:sz="4" w:space="0" w:color="auto"/>
            </w:tcBorders>
            <w:shd w:val="clear" w:color="auto" w:fill="E6E6E6"/>
            <w:vAlign w:val="center"/>
          </w:tcPr>
          <w:p w:rsidR="00DA26E3" w:rsidRDefault="00DA26E3">
            <w:pPr>
              <w:spacing w:line="240" w:lineRule="atLeast"/>
              <w:jc w:val="center"/>
              <w:rPr>
                <w:bCs/>
                <w:sz w:val="24"/>
                <w:szCs w:val="24"/>
              </w:rPr>
            </w:pPr>
          </w:p>
          <w:p w:rsidR="00DA26E3" w:rsidRDefault="00DA26E3">
            <w:pPr>
              <w:spacing w:line="240" w:lineRule="atLeast"/>
              <w:jc w:val="center"/>
              <w:rPr>
                <w:bCs/>
                <w:sz w:val="24"/>
                <w:szCs w:val="24"/>
              </w:rPr>
            </w:pPr>
            <w:r>
              <w:rPr>
                <w:bCs/>
                <w:sz w:val="24"/>
                <w:szCs w:val="24"/>
              </w:rPr>
              <w:t>Følsomme (</w:t>
            </w:r>
            <w:r>
              <w:rPr>
                <w:bCs/>
                <w:sz w:val="24"/>
                <w:szCs w:val="24"/>
              </w:rPr>
              <w:sym w:font="Symbol" w:char="F0A3"/>
            </w:r>
            <w:r>
              <w:rPr>
                <w:bCs/>
                <w:sz w:val="24"/>
                <w:szCs w:val="24"/>
              </w:rPr>
              <w:t>)</w:t>
            </w:r>
          </w:p>
          <w:p w:rsidR="00DA26E3" w:rsidRDefault="00DA26E3">
            <w:pPr>
              <w:spacing w:before="60" w:after="120" w:line="240" w:lineRule="atLeast"/>
              <w:jc w:val="center"/>
              <w:rPr>
                <w:bCs/>
                <w:sz w:val="24"/>
                <w:szCs w:val="24"/>
              </w:rPr>
            </w:pPr>
          </w:p>
        </w:tc>
        <w:tc>
          <w:tcPr>
            <w:tcW w:w="1778" w:type="pct"/>
            <w:tcBorders>
              <w:top w:val="single" w:sz="4" w:space="0" w:color="auto"/>
              <w:left w:val="single" w:sz="4" w:space="0" w:color="auto"/>
              <w:bottom w:val="single" w:sz="4" w:space="0" w:color="auto"/>
              <w:right w:val="single" w:sz="4" w:space="0" w:color="auto"/>
            </w:tcBorders>
            <w:shd w:val="clear" w:color="auto" w:fill="E6E6E6"/>
            <w:vAlign w:val="center"/>
            <w:hideMark/>
          </w:tcPr>
          <w:p w:rsidR="00DA26E3" w:rsidRDefault="00DA26E3">
            <w:pPr>
              <w:spacing w:before="60" w:after="120" w:line="240" w:lineRule="atLeast"/>
              <w:jc w:val="center"/>
              <w:rPr>
                <w:bCs/>
                <w:sz w:val="24"/>
                <w:szCs w:val="24"/>
              </w:rPr>
            </w:pPr>
            <w:r>
              <w:rPr>
                <w:bCs/>
                <w:sz w:val="24"/>
                <w:szCs w:val="24"/>
              </w:rPr>
              <w:t>Resistente (&gt;)</w:t>
            </w:r>
          </w:p>
        </w:tc>
      </w:tr>
      <w:tr w:rsidR="00DA26E3" w:rsidTr="00172B74">
        <w:trPr>
          <w:cantSplit/>
          <w:trHeight w:val="288"/>
        </w:trPr>
        <w:tc>
          <w:tcPr>
            <w:tcW w:w="1435"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rPr>
                <w:i/>
                <w:iCs/>
                <w:sz w:val="24"/>
                <w:szCs w:val="24"/>
              </w:rPr>
            </w:pPr>
            <w:r>
              <w:rPr>
                <w:i/>
                <w:iCs/>
                <w:sz w:val="24"/>
                <w:szCs w:val="24"/>
              </w:rPr>
              <w:t>Streptococcus</w:t>
            </w:r>
            <w:r>
              <w:t xml:space="preserve"> </w:t>
            </w:r>
            <w:r w:rsidRPr="00172B74">
              <w:rPr>
                <w:iCs/>
                <w:sz w:val="24"/>
                <w:szCs w:val="24"/>
              </w:rPr>
              <w:t>spp</w:t>
            </w:r>
            <w:r>
              <w:rPr>
                <w:i/>
                <w:iCs/>
                <w:sz w:val="24"/>
                <w:szCs w:val="24"/>
              </w:rPr>
              <w:t>. (grupper A, B, C og G)</w:t>
            </w:r>
            <w:r>
              <w:rPr>
                <w:i/>
                <w:iCs/>
                <w:sz w:val="24"/>
                <w:szCs w:val="24"/>
                <w:vertAlign w:val="superscript"/>
              </w:rPr>
              <w:t>1</w:t>
            </w:r>
          </w:p>
        </w:tc>
        <w:tc>
          <w:tcPr>
            <w:tcW w:w="1787"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0,25 </w:t>
            </w:r>
            <w:r>
              <w:rPr>
                <w:sz w:val="24"/>
                <w:szCs w:val="24"/>
              </w:rPr>
              <w:sym w:font="Symbol" w:char="F06D"/>
            </w:r>
            <w:r>
              <w:rPr>
                <w:sz w:val="24"/>
                <w:szCs w:val="24"/>
              </w:rPr>
              <w:t>g/ml</w:t>
            </w:r>
          </w:p>
        </w:tc>
        <w:tc>
          <w:tcPr>
            <w:tcW w:w="1778"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0,5 </w:t>
            </w:r>
            <w:r>
              <w:rPr>
                <w:sz w:val="24"/>
                <w:szCs w:val="24"/>
              </w:rPr>
              <w:sym w:font="Symbol" w:char="F06D"/>
            </w:r>
            <w:r>
              <w:rPr>
                <w:sz w:val="24"/>
                <w:szCs w:val="24"/>
              </w:rPr>
              <w:t>g/ml</w:t>
            </w:r>
          </w:p>
        </w:tc>
      </w:tr>
      <w:tr w:rsidR="00DA26E3" w:rsidTr="00172B74">
        <w:trPr>
          <w:cantSplit/>
          <w:trHeight w:val="288"/>
        </w:trPr>
        <w:tc>
          <w:tcPr>
            <w:tcW w:w="1435" w:type="pct"/>
            <w:tcBorders>
              <w:top w:val="single" w:sz="4" w:space="0" w:color="auto"/>
              <w:left w:val="single" w:sz="4" w:space="0" w:color="auto"/>
              <w:bottom w:val="single" w:sz="4" w:space="0" w:color="auto"/>
              <w:right w:val="single" w:sz="4" w:space="0" w:color="auto"/>
            </w:tcBorders>
            <w:vAlign w:val="center"/>
            <w:hideMark/>
          </w:tcPr>
          <w:p w:rsidR="00DA26E3" w:rsidRDefault="00DA26E3">
            <w:pPr>
              <w:rPr>
                <w:i/>
                <w:sz w:val="24"/>
                <w:szCs w:val="24"/>
                <w:vertAlign w:val="superscript"/>
              </w:rPr>
            </w:pPr>
            <w:r>
              <w:rPr>
                <w:i/>
                <w:sz w:val="24"/>
                <w:szCs w:val="24"/>
              </w:rPr>
              <w:t>Streptococcus pneumoniae</w:t>
            </w:r>
            <w:r>
              <w:rPr>
                <w:i/>
                <w:sz w:val="24"/>
                <w:szCs w:val="24"/>
                <w:vertAlign w:val="superscript"/>
              </w:rPr>
              <w:t>1</w:t>
            </w:r>
          </w:p>
        </w:tc>
        <w:tc>
          <w:tcPr>
            <w:tcW w:w="1787" w:type="pct"/>
            <w:tcBorders>
              <w:top w:val="single" w:sz="4" w:space="0" w:color="auto"/>
              <w:left w:val="single" w:sz="4" w:space="0" w:color="auto"/>
              <w:bottom w:val="single" w:sz="4" w:space="0" w:color="auto"/>
              <w:right w:val="single" w:sz="4" w:space="0" w:color="auto"/>
            </w:tcBorders>
            <w:vAlign w:val="center"/>
            <w:hideMark/>
          </w:tcPr>
          <w:p w:rsidR="00DA26E3" w:rsidRDefault="00DA26E3">
            <w:pPr>
              <w:jc w:val="center"/>
              <w:rPr>
                <w:sz w:val="24"/>
                <w:szCs w:val="24"/>
              </w:rPr>
            </w:pPr>
            <w:r>
              <w:rPr>
                <w:sz w:val="24"/>
                <w:szCs w:val="24"/>
              </w:rPr>
              <w:t xml:space="preserve">0,25 </w:t>
            </w:r>
            <w:r>
              <w:rPr>
                <w:sz w:val="24"/>
                <w:szCs w:val="24"/>
              </w:rPr>
              <w:sym w:font="Symbol" w:char="F06D"/>
            </w:r>
            <w:r>
              <w:rPr>
                <w:sz w:val="24"/>
                <w:szCs w:val="24"/>
              </w:rPr>
              <w:t>g/ml</w:t>
            </w:r>
          </w:p>
        </w:tc>
        <w:tc>
          <w:tcPr>
            <w:tcW w:w="1778" w:type="pct"/>
            <w:tcBorders>
              <w:top w:val="single" w:sz="4" w:space="0" w:color="auto"/>
              <w:left w:val="single" w:sz="4" w:space="0" w:color="auto"/>
              <w:bottom w:val="single" w:sz="4" w:space="0" w:color="auto"/>
              <w:right w:val="single" w:sz="4" w:space="0" w:color="auto"/>
            </w:tcBorders>
            <w:vAlign w:val="center"/>
            <w:hideMark/>
          </w:tcPr>
          <w:p w:rsidR="00DA26E3" w:rsidRDefault="00DA26E3">
            <w:pPr>
              <w:jc w:val="center"/>
              <w:rPr>
                <w:sz w:val="24"/>
                <w:szCs w:val="24"/>
              </w:rPr>
            </w:pPr>
            <w:r>
              <w:rPr>
                <w:sz w:val="24"/>
                <w:szCs w:val="24"/>
              </w:rPr>
              <w:t xml:space="preserve">0,5 </w:t>
            </w:r>
            <w:r>
              <w:rPr>
                <w:sz w:val="24"/>
                <w:szCs w:val="24"/>
              </w:rPr>
              <w:sym w:font="Symbol" w:char="F06D"/>
            </w:r>
            <w:r>
              <w:rPr>
                <w:sz w:val="24"/>
                <w:szCs w:val="24"/>
              </w:rPr>
              <w:t>g/ml</w:t>
            </w:r>
          </w:p>
        </w:tc>
      </w:tr>
      <w:tr w:rsidR="00DA26E3" w:rsidTr="00172B74">
        <w:trPr>
          <w:cantSplit/>
          <w:trHeight w:val="288"/>
        </w:trPr>
        <w:tc>
          <w:tcPr>
            <w:tcW w:w="1435"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rPr>
                <w:i/>
                <w:iCs/>
                <w:sz w:val="24"/>
                <w:szCs w:val="24"/>
                <w:vertAlign w:val="superscript"/>
              </w:rPr>
            </w:pPr>
            <w:r>
              <w:rPr>
                <w:i/>
                <w:iCs/>
                <w:sz w:val="24"/>
                <w:szCs w:val="24"/>
              </w:rPr>
              <w:t xml:space="preserve">Staphylococcus </w:t>
            </w:r>
            <w:r w:rsidRPr="00172B74">
              <w:rPr>
                <w:iCs/>
                <w:sz w:val="24"/>
                <w:szCs w:val="24"/>
              </w:rPr>
              <w:t>spp</w:t>
            </w:r>
            <w:r w:rsidRPr="00172B74">
              <w:rPr>
                <w:iCs/>
                <w:sz w:val="24"/>
                <w:szCs w:val="24"/>
                <w:vertAlign w:val="superscript"/>
              </w:rPr>
              <w:t>1</w:t>
            </w:r>
          </w:p>
        </w:tc>
        <w:tc>
          <w:tcPr>
            <w:tcW w:w="1787"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1 </w:t>
            </w:r>
            <w:r>
              <w:rPr>
                <w:sz w:val="24"/>
                <w:szCs w:val="24"/>
              </w:rPr>
              <w:sym w:font="Symbol" w:char="F06D"/>
            </w:r>
            <w:r>
              <w:rPr>
                <w:sz w:val="24"/>
                <w:szCs w:val="24"/>
              </w:rPr>
              <w:t>g/ml</w:t>
            </w:r>
          </w:p>
        </w:tc>
        <w:tc>
          <w:tcPr>
            <w:tcW w:w="1778"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2 </w:t>
            </w:r>
            <w:r>
              <w:rPr>
                <w:sz w:val="24"/>
                <w:szCs w:val="24"/>
              </w:rPr>
              <w:sym w:font="Symbol" w:char="F06D"/>
            </w:r>
            <w:r>
              <w:rPr>
                <w:sz w:val="24"/>
                <w:szCs w:val="24"/>
              </w:rPr>
              <w:t>g/ml</w:t>
            </w:r>
          </w:p>
        </w:tc>
      </w:tr>
      <w:tr w:rsidR="00DA26E3" w:rsidTr="00172B74">
        <w:trPr>
          <w:cantSplit/>
          <w:trHeight w:val="288"/>
        </w:trPr>
        <w:tc>
          <w:tcPr>
            <w:tcW w:w="1435"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rPr>
                <w:i/>
                <w:iCs/>
                <w:sz w:val="24"/>
                <w:szCs w:val="24"/>
              </w:rPr>
            </w:pPr>
            <w:r>
              <w:rPr>
                <w:i/>
                <w:iCs/>
                <w:sz w:val="24"/>
                <w:szCs w:val="24"/>
              </w:rPr>
              <w:t>Moraxella catarrhalis</w:t>
            </w:r>
            <w:r>
              <w:rPr>
                <w:i/>
                <w:iCs/>
                <w:sz w:val="24"/>
                <w:szCs w:val="24"/>
                <w:vertAlign w:val="superscript"/>
              </w:rPr>
              <w:t>1</w:t>
            </w:r>
          </w:p>
        </w:tc>
        <w:tc>
          <w:tcPr>
            <w:tcW w:w="1787"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0,25 </w:t>
            </w:r>
            <w:r>
              <w:rPr>
                <w:sz w:val="24"/>
                <w:szCs w:val="24"/>
              </w:rPr>
              <w:sym w:font="Symbol" w:char="F06D"/>
            </w:r>
            <w:r>
              <w:rPr>
                <w:sz w:val="24"/>
                <w:szCs w:val="24"/>
              </w:rPr>
              <w:t>g/ml</w:t>
            </w:r>
          </w:p>
        </w:tc>
        <w:tc>
          <w:tcPr>
            <w:tcW w:w="1778"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0,5 </w:t>
            </w:r>
            <w:r>
              <w:rPr>
                <w:sz w:val="24"/>
                <w:szCs w:val="24"/>
              </w:rPr>
              <w:sym w:font="Symbol" w:char="F06D"/>
            </w:r>
            <w:r>
              <w:rPr>
                <w:sz w:val="24"/>
                <w:szCs w:val="24"/>
              </w:rPr>
              <w:t>g/ml</w:t>
            </w:r>
          </w:p>
        </w:tc>
      </w:tr>
      <w:tr w:rsidR="00DA26E3" w:rsidTr="00172B74">
        <w:trPr>
          <w:cantSplit/>
          <w:trHeight w:val="288"/>
        </w:trPr>
        <w:tc>
          <w:tcPr>
            <w:tcW w:w="1435"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rPr>
                <w:i/>
                <w:iCs/>
                <w:sz w:val="24"/>
                <w:szCs w:val="24"/>
              </w:rPr>
            </w:pPr>
            <w:r>
              <w:rPr>
                <w:i/>
                <w:iCs/>
                <w:sz w:val="24"/>
                <w:szCs w:val="24"/>
              </w:rPr>
              <w:t>Helicobactor pylori</w:t>
            </w:r>
          </w:p>
        </w:tc>
        <w:tc>
          <w:tcPr>
            <w:tcW w:w="1787"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0,25 </w:t>
            </w:r>
            <w:r>
              <w:rPr>
                <w:sz w:val="24"/>
                <w:szCs w:val="24"/>
              </w:rPr>
              <w:sym w:font="Symbol" w:char="F06D"/>
            </w:r>
            <w:r>
              <w:rPr>
                <w:sz w:val="24"/>
                <w:szCs w:val="24"/>
              </w:rPr>
              <w:t>g/ml</w:t>
            </w:r>
          </w:p>
        </w:tc>
        <w:tc>
          <w:tcPr>
            <w:tcW w:w="1778" w:type="pct"/>
            <w:tcBorders>
              <w:top w:val="single" w:sz="4" w:space="0" w:color="auto"/>
              <w:left w:val="single" w:sz="4" w:space="0" w:color="auto"/>
              <w:bottom w:val="single" w:sz="4" w:space="0" w:color="auto"/>
              <w:right w:val="single" w:sz="4" w:space="0" w:color="auto"/>
            </w:tcBorders>
            <w:vAlign w:val="center"/>
            <w:hideMark/>
          </w:tcPr>
          <w:p w:rsidR="00DA26E3" w:rsidRDefault="00DA26E3">
            <w:pPr>
              <w:spacing w:line="240" w:lineRule="atLeast"/>
              <w:jc w:val="center"/>
              <w:rPr>
                <w:sz w:val="24"/>
                <w:szCs w:val="24"/>
              </w:rPr>
            </w:pPr>
            <w:r>
              <w:rPr>
                <w:sz w:val="24"/>
                <w:szCs w:val="24"/>
              </w:rPr>
              <w:t xml:space="preserve">0,5 </w:t>
            </w:r>
            <w:r>
              <w:rPr>
                <w:sz w:val="24"/>
                <w:szCs w:val="24"/>
              </w:rPr>
              <w:sym w:font="Symbol" w:char="F06D"/>
            </w:r>
            <w:r>
              <w:rPr>
                <w:sz w:val="24"/>
                <w:szCs w:val="24"/>
              </w:rPr>
              <w:t>g/ml</w:t>
            </w:r>
          </w:p>
        </w:tc>
      </w:tr>
    </w:tbl>
    <w:p w:rsidR="001E0ED3" w:rsidRDefault="00DA26E3" w:rsidP="00172B74">
      <w:pPr>
        <w:ind w:left="851"/>
        <w:rPr>
          <w:sz w:val="24"/>
          <w:szCs w:val="24"/>
        </w:rPr>
      </w:pPr>
      <w:r>
        <w:rPr>
          <w:sz w:val="24"/>
          <w:szCs w:val="24"/>
          <w:vertAlign w:val="superscript"/>
        </w:rPr>
        <w:t>1</w:t>
      </w:r>
      <w:r>
        <w:rPr>
          <w:sz w:val="24"/>
          <w:szCs w:val="24"/>
        </w:rPr>
        <w:t>Erythromycin kan anvendes for at bestemme følsomhed overfor clarithromycin.</w:t>
      </w:r>
    </w:p>
    <w:p w:rsidR="00172B74" w:rsidRDefault="00172B74" w:rsidP="001E0ED3">
      <w:pPr>
        <w:ind w:left="851"/>
        <w:rPr>
          <w:sz w:val="24"/>
          <w:szCs w:val="24"/>
        </w:rPr>
      </w:pPr>
    </w:p>
    <w:p w:rsidR="001E0ED3" w:rsidRDefault="001E0ED3" w:rsidP="001E0ED3">
      <w:pPr>
        <w:ind w:left="851"/>
        <w:rPr>
          <w:sz w:val="24"/>
          <w:szCs w:val="24"/>
        </w:rPr>
      </w:pPr>
      <w:r>
        <w:rPr>
          <w:sz w:val="24"/>
          <w:szCs w:val="24"/>
        </w:rPr>
        <w:t>Forekomsten af erhvervet resistens kan variere geografisk og over tid for udvalgte arter, og lokale oplysninger om resistens er ønskelig, især ved behandling af alvorlige infektioner. Der bør søges eksperthjælp efter behov, når den lokale resistensprævalens er sådan, at nytten af et stof, i det mindste ved nogle typer infektioner, er tvivlsom. Clarithromycin har en udtalt effekt på en lang række aerobe, anaerobe, grampositive, gramnegative og syreresistente bakterier.</w:t>
      </w:r>
    </w:p>
    <w:p w:rsidR="001E0ED3" w:rsidRDefault="001E0ED3" w:rsidP="001E0ED3">
      <w:pPr>
        <w:ind w:left="851"/>
        <w:rPr>
          <w:sz w:val="24"/>
          <w:szCs w:val="24"/>
        </w:rPr>
      </w:pPr>
    </w:p>
    <w:p w:rsidR="001E0ED3" w:rsidRDefault="001E0ED3" w:rsidP="001E0ED3">
      <w:pPr>
        <w:ind w:left="851"/>
        <w:rPr>
          <w:sz w:val="24"/>
          <w:szCs w:val="24"/>
        </w:rPr>
      </w:pPr>
      <w:r>
        <w:rPr>
          <w:sz w:val="24"/>
          <w:szCs w:val="24"/>
        </w:rPr>
        <w:t xml:space="preserve">Aktiviteten af 14(R)-hydroxy-clarithromycin er større end clarithromycins mod </w:t>
      </w:r>
      <w:r>
        <w:rPr>
          <w:i/>
          <w:iCs/>
          <w:sz w:val="24"/>
          <w:szCs w:val="24"/>
        </w:rPr>
        <w:t>Haemophilus influenzae</w:t>
      </w:r>
      <w:r>
        <w:rPr>
          <w:sz w:val="24"/>
          <w:szCs w:val="24"/>
        </w:rPr>
        <w:t xml:space="preserve">. </w:t>
      </w:r>
      <w:r>
        <w:rPr>
          <w:i/>
          <w:iCs/>
          <w:sz w:val="24"/>
          <w:szCs w:val="24"/>
        </w:rPr>
        <w:t>In vitro</w:t>
      </w:r>
      <w:r>
        <w:rPr>
          <w:sz w:val="24"/>
          <w:szCs w:val="24"/>
        </w:rPr>
        <w:t>-studier tyder på, at 14(R)</w:t>
      </w:r>
      <w:r>
        <w:rPr>
          <w:sz w:val="24"/>
          <w:szCs w:val="24"/>
        </w:rPr>
        <w:noBreakHyphen/>
        <w:t>hydroxy</w:t>
      </w:r>
      <w:r>
        <w:rPr>
          <w:sz w:val="24"/>
          <w:szCs w:val="24"/>
        </w:rPr>
        <w:noBreakHyphen/>
        <w:t xml:space="preserve">clarithromycin og dets modermolekyle har additiv aktivitet over for </w:t>
      </w:r>
      <w:r>
        <w:rPr>
          <w:i/>
          <w:iCs/>
          <w:sz w:val="24"/>
          <w:szCs w:val="24"/>
        </w:rPr>
        <w:t>H. influenzae</w:t>
      </w:r>
      <w:r>
        <w:rPr>
          <w:sz w:val="24"/>
          <w:szCs w:val="24"/>
        </w:rPr>
        <w:t>.</w:t>
      </w:r>
    </w:p>
    <w:p w:rsidR="001E0ED3" w:rsidRPr="00A6772A" w:rsidRDefault="001E0ED3" w:rsidP="001E0ED3">
      <w:pPr>
        <w:tabs>
          <w:tab w:val="left" w:pos="851"/>
        </w:tabs>
        <w:ind w:left="851" w:hanging="851"/>
        <w:rPr>
          <w:sz w:val="24"/>
          <w:szCs w:val="24"/>
        </w:rPr>
      </w:pPr>
    </w:p>
    <w:p w:rsidR="001E0ED3" w:rsidRPr="00A6772A" w:rsidRDefault="001E0ED3" w:rsidP="001E0ED3">
      <w:pPr>
        <w:suppressAutoHyphens/>
        <w:ind w:left="851" w:hanging="851"/>
        <w:rPr>
          <w:b/>
          <w:sz w:val="24"/>
          <w:szCs w:val="24"/>
        </w:rPr>
      </w:pPr>
      <w:r w:rsidRPr="00A6772A">
        <w:rPr>
          <w:b/>
          <w:sz w:val="24"/>
          <w:szCs w:val="24"/>
        </w:rPr>
        <w:t>5.2</w:t>
      </w:r>
      <w:r w:rsidRPr="00A6772A">
        <w:rPr>
          <w:b/>
          <w:sz w:val="24"/>
          <w:szCs w:val="24"/>
        </w:rPr>
        <w:tab/>
        <w:t>Farmakokinetiske egenskaber</w:t>
      </w:r>
    </w:p>
    <w:p w:rsidR="001E0ED3" w:rsidRDefault="001E0ED3" w:rsidP="001E0ED3">
      <w:pPr>
        <w:pStyle w:val="DefaultText"/>
        <w:ind w:left="851" w:hanging="851"/>
        <w:rPr>
          <w:szCs w:val="24"/>
          <w:lang w:val="da-DK"/>
        </w:rPr>
      </w:pPr>
      <w:r w:rsidRPr="00A6772A">
        <w:rPr>
          <w:szCs w:val="24"/>
          <w:lang w:val="da-DK"/>
        </w:rPr>
        <w:tab/>
      </w:r>
      <w:r>
        <w:rPr>
          <w:szCs w:val="24"/>
          <w:lang w:val="da-DK"/>
        </w:rPr>
        <w:t xml:space="preserve">Efter intravenøs infusion af 500 mg clarithromycin 2 gange dagligt opnås en gennemsnitlig maksimal plasmakoncentration på 2,7 µg /ml. Den absolutte biologiske tilgængelighed er ca. 55 %. Kinetikken er ikke-lineær og varierer således med den givne dosering. Halveringstiden for clarithromycin ved doseringen 500 mg er 4,5 til 4,8 timer. Proteinbindingsgraden er 70 %. Clarithromycin er meget lipofilt og distributionsvolumen er 200-400 liter. Clarithromycin og dets 14-OH-metabolit fordeler sig derfor hurtigt til væv og kropsvæsker. Koncentrationerne i væv er sædvanligvis flere gange højere end </w:t>
      </w:r>
      <w:r>
        <w:rPr>
          <w:szCs w:val="24"/>
          <w:lang w:val="da-DK"/>
        </w:rPr>
        <w:lastRenderedPageBreak/>
        <w:t>serumkoncentrationerne. De højeste koncentrationer er fundet i lever- og lungevæv hvor væv/plasma forholdet var 10 til 20.</w:t>
      </w:r>
    </w:p>
    <w:p w:rsidR="001E0ED3" w:rsidRDefault="001E0ED3" w:rsidP="001E0ED3">
      <w:pPr>
        <w:pStyle w:val="DefaultText"/>
        <w:ind w:left="851" w:hanging="851"/>
        <w:rPr>
          <w:szCs w:val="24"/>
          <w:lang w:val="da-DK"/>
        </w:rPr>
      </w:pPr>
    </w:p>
    <w:p w:rsidR="001E0ED3" w:rsidRDefault="001E0ED3" w:rsidP="001E0ED3">
      <w:pPr>
        <w:pStyle w:val="DefaultText"/>
        <w:ind w:left="851"/>
        <w:rPr>
          <w:szCs w:val="24"/>
          <w:lang w:val="da-DK"/>
        </w:rPr>
      </w:pPr>
      <w:r>
        <w:rPr>
          <w:szCs w:val="24"/>
          <w:lang w:val="da-DK"/>
        </w:rPr>
        <w:t>Clarithromycin metaboliseres i leveren ved hydroxylering og demetylering. 14-hydroxy- clarithromycin er aktiv (ca. 75 % af clarithromycins aktivitet). Ca. 20 % af en dosis udskilles som clarithromycin. Hydroxymetabolitten gennemgår yderligere metabolisme og udskilles via fæces.</w:t>
      </w:r>
    </w:p>
    <w:p w:rsidR="001E0ED3" w:rsidRDefault="001E0ED3" w:rsidP="001E0ED3">
      <w:pPr>
        <w:pStyle w:val="DefaultText"/>
        <w:ind w:left="851" w:hanging="851"/>
        <w:rPr>
          <w:szCs w:val="24"/>
          <w:lang w:val="da-DK"/>
        </w:rPr>
      </w:pPr>
    </w:p>
    <w:p w:rsidR="001E0ED3" w:rsidRDefault="001E0ED3" w:rsidP="001E0ED3">
      <w:pPr>
        <w:pStyle w:val="DefaultText"/>
        <w:ind w:left="851"/>
        <w:rPr>
          <w:szCs w:val="24"/>
          <w:lang w:val="da-DK"/>
        </w:rPr>
      </w:pPr>
      <w:r>
        <w:rPr>
          <w:szCs w:val="24"/>
          <w:lang w:val="da-DK"/>
        </w:rPr>
        <w:t>Plasmaclearance er beregnet til ca. 700 ml/min og nyreclearance til ca. 170 ml/min.</w:t>
      </w:r>
    </w:p>
    <w:p w:rsidR="001E0ED3" w:rsidRDefault="001E0ED3" w:rsidP="001E0ED3">
      <w:pPr>
        <w:pStyle w:val="DefaultText"/>
        <w:ind w:left="851" w:hanging="851"/>
        <w:rPr>
          <w:szCs w:val="24"/>
          <w:lang w:val="da-DK"/>
        </w:rPr>
      </w:pPr>
    </w:p>
    <w:p w:rsidR="001E0ED3" w:rsidRDefault="001E0ED3" w:rsidP="001E0ED3">
      <w:pPr>
        <w:tabs>
          <w:tab w:val="left" w:pos="851"/>
        </w:tabs>
        <w:ind w:left="851" w:hanging="851"/>
        <w:rPr>
          <w:sz w:val="24"/>
          <w:szCs w:val="24"/>
        </w:rPr>
      </w:pPr>
      <w:r>
        <w:rPr>
          <w:sz w:val="24"/>
          <w:szCs w:val="24"/>
        </w:rPr>
        <w:tab/>
        <w:t>Nedsat leverfunktion vil lede til forhøjede niveauer af clarithromycin.</w:t>
      </w:r>
    </w:p>
    <w:p w:rsidR="001E0ED3" w:rsidRPr="00BB78B3" w:rsidRDefault="001E0ED3" w:rsidP="001E0ED3">
      <w:pPr>
        <w:pStyle w:val="DefaultText"/>
        <w:ind w:left="851" w:hanging="851"/>
        <w:rPr>
          <w:szCs w:val="24"/>
          <w:lang w:val="da-DK"/>
        </w:rPr>
      </w:pPr>
    </w:p>
    <w:p w:rsidR="001E0ED3" w:rsidRPr="00A6772A" w:rsidRDefault="001E0ED3" w:rsidP="0026790C">
      <w:pPr>
        <w:pStyle w:val="DefaultText"/>
        <w:keepNext/>
        <w:ind w:left="851" w:hanging="851"/>
        <w:rPr>
          <w:b/>
          <w:szCs w:val="24"/>
          <w:lang w:val="da-DK"/>
        </w:rPr>
      </w:pPr>
      <w:r w:rsidRPr="00A6772A">
        <w:rPr>
          <w:b/>
          <w:szCs w:val="24"/>
          <w:lang w:val="da-DK"/>
        </w:rPr>
        <w:t>5.3</w:t>
      </w:r>
      <w:r w:rsidRPr="00A6772A">
        <w:rPr>
          <w:b/>
          <w:szCs w:val="24"/>
          <w:lang w:val="da-DK"/>
        </w:rPr>
        <w:tab/>
      </w:r>
      <w:r w:rsidR="00172B74">
        <w:rPr>
          <w:b/>
          <w:szCs w:val="24"/>
          <w:lang w:val="da-DK"/>
        </w:rPr>
        <w:t>Non-</w:t>
      </w:r>
      <w:r w:rsidRPr="00A6772A">
        <w:rPr>
          <w:b/>
          <w:szCs w:val="24"/>
          <w:lang w:val="da-DK"/>
        </w:rPr>
        <w:t>kliniske sikkerhedsdata</w:t>
      </w:r>
    </w:p>
    <w:p w:rsidR="001E0ED3" w:rsidRDefault="001E0ED3" w:rsidP="001E0ED3">
      <w:pPr>
        <w:ind w:left="851" w:hanging="851"/>
        <w:rPr>
          <w:i/>
          <w:sz w:val="24"/>
          <w:szCs w:val="24"/>
          <w:lang w:eastAsia="da-DK"/>
        </w:rPr>
      </w:pPr>
      <w:r>
        <w:rPr>
          <w:sz w:val="24"/>
          <w:szCs w:val="24"/>
        </w:rPr>
        <w:tab/>
      </w:r>
      <w:r>
        <w:rPr>
          <w:i/>
          <w:sz w:val="24"/>
          <w:szCs w:val="24"/>
        </w:rPr>
        <w:t>Akut toksicitet:</w:t>
      </w:r>
    </w:p>
    <w:p w:rsidR="001E0ED3" w:rsidRDefault="001E0ED3" w:rsidP="001E0ED3">
      <w:pPr>
        <w:ind w:left="851"/>
        <w:rPr>
          <w:sz w:val="24"/>
          <w:szCs w:val="24"/>
        </w:rPr>
      </w:pPr>
      <w:r>
        <w:rPr>
          <w:sz w:val="24"/>
          <w:szCs w:val="24"/>
        </w:rPr>
        <w:t>LD</w:t>
      </w:r>
      <w:r w:rsidRPr="0072276B">
        <w:rPr>
          <w:sz w:val="24"/>
          <w:szCs w:val="24"/>
          <w:vertAlign w:val="subscript"/>
        </w:rPr>
        <w:t>50</w:t>
      </w:r>
      <w:r>
        <w:rPr>
          <w:sz w:val="24"/>
          <w:szCs w:val="24"/>
        </w:rPr>
        <w:t xml:space="preserve"> for clarithromycin hos mus er 184 mg/kg og 277 mg/kg. Den var flere gange højere end LD</w:t>
      </w:r>
      <w:r w:rsidRPr="0072276B">
        <w:rPr>
          <w:sz w:val="24"/>
          <w:szCs w:val="24"/>
          <w:vertAlign w:val="subscript"/>
        </w:rPr>
        <w:t>50</w:t>
      </w:r>
      <w:r>
        <w:rPr>
          <w:sz w:val="24"/>
          <w:szCs w:val="24"/>
        </w:rPr>
        <w:t xml:space="preserve"> hos rotter (på grundlag af 64 mg/kg). Hos mus var disse værdier lavere end det man opnåede med efterfølgende indgift på andre måder. Af tegn på toksicitet hos begge stammer sås en stigning i aktivitet, ataksi, reflekser, dyspnø og kramper.</w:t>
      </w:r>
    </w:p>
    <w:p w:rsidR="001E0ED3" w:rsidRDefault="001E0ED3" w:rsidP="001E0ED3">
      <w:pPr>
        <w:ind w:left="851" w:hanging="851"/>
        <w:rPr>
          <w:sz w:val="24"/>
          <w:szCs w:val="24"/>
          <w:u w:val="single"/>
        </w:rPr>
      </w:pPr>
    </w:p>
    <w:p w:rsidR="001E0ED3" w:rsidRDefault="001E0ED3" w:rsidP="001E0ED3">
      <w:pPr>
        <w:ind w:left="851"/>
        <w:rPr>
          <w:sz w:val="24"/>
          <w:szCs w:val="24"/>
        </w:rPr>
      </w:pPr>
      <w:r>
        <w:rPr>
          <w:sz w:val="24"/>
          <w:szCs w:val="24"/>
        </w:rPr>
        <w:t>Autopsi og histopatologiske undersøgelser af overlevende mus som havde fået LD</w:t>
      </w:r>
      <w:r>
        <w:rPr>
          <w:sz w:val="24"/>
          <w:szCs w:val="24"/>
          <w:vertAlign w:val="subscript"/>
        </w:rPr>
        <w:t>50</w:t>
      </w:r>
      <w:r>
        <w:rPr>
          <w:sz w:val="24"/>
          <w:szCs w:val="24"/>
        </w:rPr>
        <w:t xml:space="preserve"> på 184 mg/kg viste ikke nog</w:t>
      </w:r>
      <w:r w:rsidR="0003714A">
        <w:rPr>
          <w:sz w:val="24"/>
          <w:szCs w:val="24"/>
        </w:rPr>
        <w:t>en</w:t>
      </w:r>
      <w:r>
        <w:rPr>
          <w:sz w:val="24"/>
          <w:szCs w:val="24"/>
        </w:rPr>
        <w:t xml:space="preserve"> ændringer som var relateret til intravenøs indgift af clarithromycin. Dog, er der i andre muse/rotte forsøg makroskopiske fund, som tyder på lungeødem sammen med misfarvning af lungelobuli hos nogle dyr, som døde akut. Selvom indgiften af stoffet fremkalder den samme effekt hos både rotter og mus, var det meget mere toksisk hos rotter end mus. Årsagen til toksiciteten kendes ikke.</w:t>
      </w:r>
    </w:p>
    <w:p w:rsidR="001E0ED3" w:rsidRDefault="001E0ED3" w:rsidP="001E0ED3">
      <w:pPr>
        <w:ind w:left="851" w:hanging="851"/>
        <w:rPr>
          <w:sz w:val="24"/>
          <w:szCs w:val="24"/>
        </w:rPr>
      </w:pPr>
    </w:p>
    <w:p w:rsidR="001E0ED3" w:rsidRDefault="001E0ED3" w:rsidP="001E0ED3">
      <w:pPr>
        <w:ind w:left="851"/>
        <w:rPr>
          <w:sz w:val="24"/>
          <w:szCs w:val="24"/>
        </w:rPr>
      </w:pPr>
      <w:r>
        <w:rPr>
          <w:i/>
          <w:sz w:val="24"/>
          <w:szCs w:val="24"/>
        </w:rPr>
        <w:t>Akut vene irritation:</w:t>
      </w:r>
      <w:r>
        <w:rPr>
          <w:sz w:val="24"/>
          <w:szCs w:val="24"/>
        </w:rPr>
        <w:t xml:space="preserve"> </w:t>
      </w:r>
    </w:p>
    <w:p w:rsidR="001E0ED3" w:rsidRDefault="001E0ED3" w:rsidP="001E0ED3">
      <w:pPr>
        <w:ind w:left="851"/>
        <w:rPr>
          <w:sz w:val="24"/>
          <w:szCs w:val="24"/>
        </w:rPr>
      </w:pPr>
      <w:r>
        <w:rPr>
          <w:sz w:val="24"/>
          <w:szCs w:val="24"/>
        </w:rPr>
        <w:t>Opløsninger af clarithromycin i en meget høj koncentration (7,5 til 30 mg/base/ml) var let irriterende.</w:t>
      </w:r>
    </w:p>
    <w:p w:rsidR="001E0ED3" w:rsidRDefault="001E0ED3" w:rsidP="001E0ED3">
      <w:pPr>
        <w:ind w:left="851" w:hanging="851"/>
        <w:rPr>
          <w:sz w:val="24"/>
          <w:szCs w:val="24"/>
          <w:u w:val="single"/>
        </w:rPr>
      </w:pPr>
    </w:p>
    <w:p w:rsidR="001E0ED3" w:rsidRDefault="001E0ED3" w:rsidP="001E0ED3">
      <w:pPr>
        <w:ind w:left="851"/>
        <w:rPr>
          <w:sz w:val="24"/>
          <w:szCs w:val="24"/>
        </w:rPr>
      </w:pPr>
      <w:r>
        <w:rPr>
          <w:i/>
          <w:sz w:val="24"/>
          <w:szCs w:val="24"/>
        </w:rPr>
        <w:t>Subakut toksicitet:</w:t>
      </w:r>
      <w:r>
        <w:rPr>
          <w:sz w:val="24"/>
          <w:szCs w:val="24"/>
        </w:rPr>
        <w:t xml:space="preserve"> </w:t>
      </w:r>
    </w:p>
    <w:p w:rsidR="001E0ED3" w:rsidRDefault="001E0ED3" w:rsidP="001E0ED3">
      <w:pPr>
        <w:ind w:left="851"/>
        <w:rPr>
          <w:sz w:val="24"/>
          <w:szCs w:val="24"/>
        </w:rPr>
      </w:pPr>
      <w:r>
        <w:rPr>
          <w:sz w:val="24"/>
          <w:szCs w:val="24"/>
        </w:rPr>
        <w:t>Toksicitetsundersøgelser en måned ved doseringsniveau på 15, 50 og 160 mg/dag i rotter og 5, 15 og 40 mg base/kg/dag i aber viste i rotter (fra 20 til 640 mg/kg/dag) og aber (fra 5 til 80 mg/kg/dag) at clarithromycin var toksisk for lever, galdeveje og nyrer.</w:t>
      </w:r>
    </w:p>
    <w:p w:rsidR="001E0ED3" w:rsidRDefault="001E0ED3" w:rsidP="001E0ED3">
      <w:pPr>
        <w:ind w:left="851" w:hanging="851"/>
        <w:rPr>
          <w:sz w:val="24"/>
          <w:szCs w:val="24"/>
          <w:u w:val="single"/>
        </w:rPr>
      </w:pPr>
    </w:p>
    <w:p w:rsidR="001E0ED3" w:rsidRDefault="001E0ED3" w:rsidP="001E0ED3">
      <w:pPr>
        <w:ind w:left="851"/>
        <w:rPr>
          <w:sz w:val="24"/>
          <w:szCs w:val="24"/>
        </w:rPr>
      </w:pPr>
      <w:r>
        <w:rPr>
          <w:sz w:val="24"/>
          <w:szCs w:val="24"/>
        </w:rPr>
        <w:t>Fremkomst af svær veneirritation i en-måneds undersøgelse i rotter og aber ved henholdsvis 160 mg/kg og 40 mg/kg er set.</w:t>
      </w:r>
    </w:p>
    <w:p w:rsidR="001E0ED3" w:rsidRDefault="001E0ED3" w:rsidP="001E0ED3">
      <w:pPr>
        <w:ind w:left="851" w:hanging="851"/>
        <w:rPr>
          <w:sz w:val="24"/>
          <w:szCs w:val="24"/>
        </w:rPr>
      </w:pPr>
    </w:p>
    <w:p w:rsidR="001E0ED3" w:rsidRDefault="001E0ED3" w:rsidP="001E0ED3">
      <w:pPr>
        <w:ind w:left="851"/>
        <w:rPr>
          <w:sz w:val="24"/>
          <w:szCs w:val="24"/>
        </w:rPr>
      </w:pPr>
      <w:r>
        <w:rPr>
          <w:sz w:val="24"/>
          <w:szCs w:val="24"/>
        </w:rPr>
        <w:t>Dosering uden effekt i rotter og aber fastlagt i en-måneds subakutte undersøgelser var henholdsvis 50 og 15 mg/kg/dag, og dette skyldtes veneirritation ved højere doser.</w:t>
      </w:r>
    </w:p>
    <w:p w:rsidR="001E0ED3" w:rsidRDefault="001E0ED3" w:rsidP="001E0ED3">
      <w:pPr>
        <w:ind w:left="851" w:hanging="851"/>
        <w:rPr>
          <w:sz w:val="24"/>
          <w:szCs w:val="24"/>
        </w:rPr>
      </w:pPr>
    </w:p>
    <w:p w:rsidR="00172B74" w:rsidRDefault="00172B74" w:rsidP="00172B74">
      <w:pPr>
        <w:ind w:left="851"/>
        <w:rPr>
          <w:i/>
          <w:iCs/>
          <w:sz w:val="24"/>
          <w:szCs w:val="24"/>
        </w:rPr>
      </w:pPr>
      <w:r>
        <w:rPr>
          <w:i/>
          <w:iCs/>
          <w:sz w:val="24"/>
          <w:szCs w:val="24"/>
        </w:rPr>
        <w:t xml:space="preserve">Fertilitet og embryotoksicitet: </w:t>
      </w:r>
    </w:p>
    <w:p w:rsidR="00172B74" w:rsidRDefault="00172B74" w:rsidP="00172B74">
      <w:pPr>
        <w:ind w:left="851"/>
        <w:rPr>
          <w:sz w:val="24"/>
          <w:szCs w:val="24"/>
        </w:rPr>
      </w:pPr>
    </w:p>
    <w:p w:rsidR="00172B74" w:rsidRDefault="00172B74" w:rsidP="00172B74">
      <w:pPr>
        <w:ind w:left="851"/>
        <w:rPr>
          <w:i/>
          <w:iCs/>
          <w:sz w:val="24"/>
          <w:szCs w:val="24"/>
        </w:rPr>
      </w:pPr>
      <w:r>
        <w:rPr>
          <w:i/>
          <w:iCs/>
          <w:sz w:val="24"/>
          <w:szCs w:val="24"/>
        </w:rPr>
        <w:t>Mus</w:t>
      </w:r>
    </w:p>
    <w:p w:rsidR="00172B74" w:rsidRDefault="00172B74" w:rsidP="00172B74">
      <w:pPr>
        <w:ind w:left="851"/>
        <w:rPr>
          <w:sz w:val="24"/>
          <w:szCs w:val="24"/>
        </w:rPr>
      </w:pPr>
      <w:r>
        <w:rPr>
          <w:sz w:val="24"/>
          <w:szCs w:val="24"/>
        </w:rPr>
        <w:t>Oral dosering med clarithromycin (9-13 dage før parring til fødsel) ved en maternel toksisk dosis på 1000 mg/kg/dag i hunmus (~4,9 gange den maksimale anbefalede perorale dosis i mennesker på 1000 mg/dag baseret på legemsoverfladeareal for en 60 kg mand) nedsatte graviditeten, antal kuld samt kuldstørrelsen og udløste en svag stigning i antallet af dødfødte unger. Sådanne påvirkninger blev ikke observeret ved en oral dosis på ~2,4 gange den maksimale anbefalede dosis i mennesker.</w:t>
      </w:r>
    </w:p>
    <w:p w:rsidR="00172B74" w:rsidRDefault="00172B74" w:rsidP="00172B74">
      <w:pPr>
        <w:ind w:left="851"/>
        <w:rPr>
          <w:sz w:val="24"/>
          <w:szCs w:val="24"/>
        </w:rPr>
      </w:pPr>
    </w:p>
    <w:p w:rsidR="00172B74" w:rsidRDefault="00172B74" w:rsidP="00172B74">
      <w:pPr>
        <w:ind w:left="851"/>
        <w:rPr>
          <w:sz w:val="24"/>
          <w:szCs w:val="24"/>
        </w:rPr>
      </w:pPr>
      <w:r>
        <w:rPr>
          <w:sz w:val="24"/>
          <w:szCs w:val="24"/>
        </w:rPr>
        <w:lastRenderedPageBreak/>
        <w:t>Oral dosering med clarithromycin, hos drægtige mus administreret under organogenese, ved ~4,9 gange den maksimale anbefalede dosis i mennesker, øgede foster postimplatationstab, nedsatte føtal vægt og øgede forekomsten af ganespalte (3-30%) uden signifikant maternel toksicitet. Ingen behandlingsrelateret embryotoksicitet sås ved en oral dosis på ~1,2 gange den maksimale anbefalede dosis i mennesker.</w:t>
      </w:r>
    </w:p>
    <w:p w:rsidR="00172B74" w:rsidRDefault="00172B74" w:rsidP="00172B74">
      <w:pPr>
        <w:ind w:left="851" w:hanging="851"/>
        <w:rPr>
          <w:sz w:val="24"/>
          <w:szCs w:val="24"/>
        </w:rPr>
      </w:pPr>
    </w:p>
    <w:p w:rsidR="00172B74" w:rsidRDefault="00172B74" w:rsidP="00172B74">
      <w:pPr>
        <w:ind w:left="851"/>
        <w:rPr>
          <w:sz w:val="24"/>
          <w:szCs w:val="24"/>
        </w:rPr>
      </w:pPr>
      <w:r>
        <w:rPr>
          <w:i/>
          <w:sz w:val="24"/>
          <w:szCs w:val="24"/>
        </w:rPr>
        <w:t>Rotter:</w:t>
      </w:r>
      <w:r>
        <w:rPr>
          <w:sz w:val="24"/>
          <w:szCs w:val="24"/>
        </w:rPr>
        <w:t xml:space="preserve"> </w:t>
      </w:r>
    </w:p>
    <w:p w:rsidR="00172B74" w:rsidRDefault="00172B74" w:rsidP="00172B74">
      <w:pPr>
        <w:ind w:left="851"/>
        <w:rPr>
          <w:sz w:val="24"/>
          <w:szCs w:val="24"/>
        </w:rPr>
      </w:pPr>
      <w:r>
        <w:rPr>
          <w:sz w:val="24"/>
          <w:szCs w:val="24"/>
        </w:rPr>
        <w:t>Fertilitetsstudier i rotter viste, at daglige orale doser op til 1,4- og 2,4-fold højere end den maksimale anbefalede orale dosis i mennesker i henholdsvis hun- og hanrotter ikke gav nogen generel toksicitet eller havde nogen toksiske virkninger på fertiliteten og den generelle reproduktionsevne herunder brunstperiode, fertilitet, fødsel eller antal unger og deres levedygtighed.</w:t>
      </w:r>
    </w:p>
    <w:p w:rsidR="00172B74" w:rsidRDefault="00172B74" w:rsidP="00172B74">
      <w:pPr>
        <w:ind w:left="851"/>
        <w:rPr>
          <w:sz w:val="24"/>
          <w:szCs w:val="24"/>
        </w:rPr>
      </w:pPr>
    </w:p>
    <w:p w:rsidR="00172B74" w:rsidRDefault="00172B74" w:rsidP="00172B74">
      <w:pPr>
        <w:ind w:left="851"/>
        <w:rPr>
          <w:sz w:val="24"/>
          <w:szCs w:val="24"/>
        </w:rPr>
      </w:pPr>
      <w:r>
        <w:rPr>
          <w:sz w:val="24"/>
          <w:szCs w:val="24"/>
        </w:rPr>
        <w:t>Rotter fik 15, 50 og 160 mg/kg/dag clarithromycin intravenøst via halevenen. Der sås signifikante tegn på maternel toksicitet ved 160 mg/kg/dag (nedsat vægtstigning og nedsat fødeindtagelse) og 50 mg/kg/dag (nedsat fødeindtagelse). Lokale virkninger af testsubstansen inkluderede hævelse, kvæstelse, nekrose og til sidst tab af en del af halen blandt dyrene i højdosisgruppen. Der blev ikke fundet nogen effekt på middelværdier for implantation eller resorption. Der blev ikke fundet nogen viscerale eller skeletanomalier på grund af medicinindgift undtagen for den dosisrelaterede tilbøjelighed til retineret testis hos hanner. Der er ikke, på trods af signifikant maternel toksicitet i form af veneirritation og nedsat fødeindtag og nedsat vægtøgning, tegn på embryotoksicitet, embryoletalitet eller teratogenicitet ved nogen dosis (op til ~1,5 gange den maksimale anbefalede dosis i mennesker på 1000 mg/dag IV).</w:t>
      </w:r>
    </w:p>
    <w:p w:rsidR="00172B74" w:rsidRDefault="00172B74" w:rsidP="00172B74">
      <w:pPr>
        <w:ind w:left="851" w:hanging="851"/>
        <w:rPr>
          <w:sz w:val="24"/>
          <w:szCs w:val="24"/>
          <w:u w:val="single"/>
        </w:rPr>
      </w:pPr>
    </w:p>
    <w:p w:rsidR="00172B74" w:rsidRDefault="00172B74" w:rsidP="00172B74">
      <w:pPr>
        <w:ind w:left="851"/>
        <w:rPr>
          <w:sz w:val="24"/>
          <w:szCs w:val="24"/>
        </w:rPr>
      </w:pPr>
      <w:r>
        <w:rPr>
          <w:i/>
          <w:sz w:val="24"/>
          <w:szCs w:val="24"/>
        </w:rPr>
        <w:t>Kaniner:</w:t>
      </w:r>
      <w:r>
        <w:rPr>
          <w:sz w:val="24"/>
          <w:szCs w:val="24"/>
        </w:rPr>
        <w:t xml:space="preserve"> </w:t>
      </w:r>
    </w:p>
    <w:p w:rsidR="00172B74" w:rsidRDefault="00172B74" w:rsidP="00172B74">
      <w:pPr>
        <w:ind w:left="851"/>
        <w:rPr>
          <w:sz w:val="24"/>
          <w:szCs w:val="24"/>
        </w:rPr>
      </w:pPr>
      <w:r>
        <w:rPr>
          <w:sz w:val="24"/>
          <w:szCs w:val="24"/>
        </w:rPr>
        <w:t xml:space="preserve">Grupper af parrede kaniner fik clarithromycin IV i doser på 3, 10 og 30 mg base/kg/dag. Et moderdyr behandlet med 3 mg/kg/dag døde på gestationsdag 29. Der sås veneirritation i kontrolgruppen og i alle behandlingsgrupper. Hyppigheden og sværhedsgraden af irritation var direkte korreleret til koncentrationen af lægemidlet i formuleringen. Der var maternel toksicitet ved 30 mg/kg/dag (nedsat vægtøgning og nedsat fødeindtagelse). Hyppigheden af abort i 30 mg/kg/dag behandlingsgruppen var signifikant højere end i kontrolgruppen, men alle aborterede fostre fandtes makroskopisk normale. Niveauet for ingen effekt for maternel og føtal toksicitet var henholdsvis 10 og 30 mg/kg/dag </w:t>
      </w:r>
      <w:r>
        <w:t>(henholdsvis ~0,2 og 0,6 gange den maksimale anbefalede dosis i mennesker på 1000 mg/dag IV. I et andet studie forekom in utero føtaltab ved en intravenøs dosis, der var 17 gange lavere end den maksimale anbefalede dosis i mennesker</w:t>
      </w:r>
      <w:r>
        <w:rPr>
          <w:sz w:val="24"/>
          <w:szCs w:val="24"/>
        </w:rPr>
        <w:t>.</w:t>
      </w:r>
    </w:p>
    <w:p w:rsidR="00172B74" w:rsidRDefault="00172B74" w:rsidP="00172B74">
      <w:pPr>
        <w:ind w:left="851" w:hanging="851"/>
        <w:rPr>
          <w:sz w:val="24"/>
          <w:szCs w:val="24"/>
          <w:u w:val="single"/>
        </w:rPr>
      </w:pPr>
    </w:p>
    <w:p w:rsidR="00172B74" w:rsidRDefault="00172B74" w:rsidP="00172B74">
      <w:pPr>
        <w:ind w:left="851"/>
        <w:rPr>
          <w:sz w:val="24"/>
          <w:szCs w:val="24"/>
        </w:rPr>
      </w:pPr>
      <w:r>
        <w:rPr>
          <w:i/>
          <w:sz w:val="24"/>
          <w:szCs w:val="24"/>
        </w:rPr>
        <w:t>Aber:</w:t>
      </w:r>
      <w:r>
        <w:rPr>
          <w:sz w:val="24"/>
          <w:szCs w:val="24"/>
        </w:rPr>
        <w:t xml:space="preserve"> </w:t>
      </w:r>
    </w:p>
    <w:p w:rsidR="00172B74" w:rsidRDefault="00172B74" w:rsidP="00172B74">
      <w:pPr>
        <w:ind w:left="851"/>
        <w:rPr>
          <w:sz w:val="24"/>
          <w:szCs w:val="24"/>
        </w:rPr>
      </w:pPr>
      <w:r>
        <w:rPr>
          <w:sz w:val="24"/>
          <w:szCs w:val="24"/>
        </w:rPr>
        <w:t>Clarithromycin er vist at fremkalde tab af embryo hos aber når det indgives i en dosis på ~3 gange den maksimale anbefalede dosis i mennesker på 1000 mg/dag IV startende på gestationsdag 20. Denne effekt menes at skyldes maternel toksicitet af lægemidlet ved høje doser. En yderligere undersøgelse i gravide aber med doseringer på ~0,7 til 1,4 gang den maksimale anbefalede dosis i mennesker udløste ikke nogen særlig fare for fostret.</w:t>
      </w:r>
    </w:p>
    <w:p w:rsidR="00172B74" w:rsidRDefault="00172B74" w:rsidP="00172B74">
      <w:pPr>
        <w:ind w:left="851" w:hanging="851"/>
        <w:rPr>
          <w:sz w:val="24"/>
          <w:szCs w:val="24"/>
          <w:u w:val="single"/>
        </w:rPr>
      </w:pPr>
    </w:p>
    <w:p w:rsidR="00172B74" w:rsidRDefault="00172B74" w:rsidP="00172B74">
      <w:pPr>
        <w:tabs>
          <w:tab w:val="left" w:pos="851"/>
        </w:tabs>
        <w:ind w:left="851" w:hanging="851"/>
        <w:rPr>
          <w:sz w:val="24"/>
          <w:szCs w:val="24"/>
        </w:rPr>
      </w:pPr>
      <w:r>
        <w:rPr>
          <w:i/>
          <w:sz w:val="24"/>
          <w:szCs w:val="24"/>
        </w:rPr>
        <w:tab/>
        <w:t>Mutagenicitet:</w:t>
      </w:r>
      <w:r>
        <w:rPr>
          <w:sz w:val="24"/>
          <w:szCs w:val="24"/>
        </w:rPr>
        <w:t xml:space="preserve"> </w:t>
      </w:r>
    </w:p>
    <w:p w:rsidR="00172B74" w:rsidRDefault="00172B74" w:rsidP="00172B74">
      <w:pPr>
        <w:tabs>
          <w:tab w:val="left" w:pos="851"/>
        </w:tabs>
        <w:ind w:left="851" w:hanging="851"/>
        <w:rPr>
          <w:sz w:val="24"/>
          <w:szCs w:val="24"/>
        </w:rPr>
      </w:pPr>
      <w:r>
        <w:rPr>
          <w:sz w:val="24"/>
          <w:szCs w:val="24"/>
        </w:rPr>
        <w:tab/>
        <w:t>Undersøgelser for at vurdere det mutagene potentiale af clarithromycin blev udført med anvendelse af både ikke-aktiverede og rotteleveraktiverede testsystemer (Ames test). Resultaterne af disse undersøgelser gav ikke holdepunkter for mutagent potentiale ved lægemiddelkoncentrationer på 25 µg/petriskål eller mindre. Ved en koncentration på 50 µg var lægemidlet toksisk for alle undersøgte stammer, som blev testet.</w:t>
      </w:r>
    </w:p>
    <w:p w:rsidR="001E0ED3" w:rsidRPr="00A6772A" w:rsidRDefault="001E0ED3" w:rsidP="001E0ED3">
      <w:pPr>
        <w:ind w:left="851" w:hanging="851"/>
        <w:rPr>
          <w:sz w:val="24"/>
          <w:szCs w:val="24"/>
        </w:rPr>
      </w:pP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6.</w:t>
      </w:r>
      <w:r w:rsidRPr="00A6772A">
        <w:rPr>
          <w:b/>
          <w:sz w:val="24"/>
          <w:szCs w:val="24"/>
        </w:rPr>
        <w:tab/>
        <w:t>FARMACEUTISKE OPLYSNINGER</w:t>
      </w:r>
    </w:p>
    <w:p w:rsidR="001E0ED3" w:rsidRPr="00A6772A" w:rsidRDefault="001E0ED3" w:rsidP="001E0ED3">
      <w:pPr>
        <w:ind w:left="851" w:hanging="851"/>
        <w:rPr>
          <w:b/>
          <w:sz w:val="24"/>
          <w:szCs w:val="24"/>
        </w:rPr>
      </w:pPr>
    </w:p>
    <w:p w:rsidR="001E0ED3" w:rsidRPr="00A6772A" w:rsidRDefault="001E0ED3" w:rsidP="001E0ED3">
      <w:pPr>
        <w:ind w:left="851" w:hanging="851"/>
        <w:rPr>
          <w:b/>
          <w:sz w:val="24"/>
          <w:szCs w:val="24"/>
        </w:rPr>
      </w:pPr>
      <w:r w:rsidRPr="00A6772A">
        <w:rPr>
          <w:b/>
          <w:sz w:val="24"/>
          <w:szCs w:val="24"/>
        </w:rPr>
        <w:t>6.1</w:t>
      </w:r>
      <w:r w:rsidRPr="00A6772A">
        <w:rPr>
          <w:b/>
          <w:sz w:val="24"/>
          <w:szCs w:val="24"/>
        </w:rPr>
        <w:tab/>
        <w:t>Hjælpestoffer</w:t>
      </w:r>
    </w:p>
    <w:p w:rsidR="001E0ED3" w:rsidRPr="00A6772A" w:rsidRDefault="001E0ED3" w:rsidP="001E0ED3">
      <w:pPr>
        <w:ind w:left="851" w:hanging="851"/>
        <w:rPr>
          <w:sz w:val="24"/>
          <w:szCs w:val="24"/>
          <w:lang w:eastAsia="da-DK"/>
        </w:rPr>
      </w:pPr>
      <w:r w:rsidRPr="00A6772A">
        <w:rPr>
          <w:sz w:val="24"/>
          <w:szCs w:val="24"/>
        </w:rPr>
        <w:tab/>
        <w:t>Lactobionsyre; nitrogen.</w:t>
      </w:r>
    </w:p>
    <w:p w:rsidR="001E0ED3" w:rsidRPr="00A6772A" w:rsidRDefault="001E0ED3" w:rsidP="001E0ED3">
      <w:pPr>
        <w:ind w:left="851" w:hanging="851"/>
        <w:rPr>
          <w:sz w:val="24"/>
          <w:szCs w:val="24"/>
        </w:rPr>
      </w:pPr>
    </w:p>
    <w:p w:rsidR="001E0ED3" w:rsidRPr="00A6772A" w:rsidRDefault="001E0ED3" w:rsidP="001E0ED3">
      <w:pPr>
        <w:keepNext/>
        <w:ind w:left="851" w:hanging="851"/>
        <w:rPr>
          <w:b/>
          <w:sz w:val="24"/>
          <w:szCs w:val="24"/>
        </w:rPr>
      </w:pPr>
      <w:r w:rsidRPr="00A6772A">
        <w:rPr>
          <w:b/>
          <w:sz w:val="24"/>
          <w:szCs w:val="24"/>
        </w:rPr>
        <w:t>6.2</w:t>
      </w:r>
      <w:r w:rsidRPr="00A6772A">
        <w:rPr>
          <w:b/>
          <w:sz w:val="24"/>
          <w:szCs w:val="24"/>
        </w:rPr>
        <w:tab/>
        <w:t>Uforligeligheder</w:t>
      </w:r>
    </w:p>
    <w:p w:rsidR="001E0ED3" w:rsidRPr="00A6772A" w:rsidRDefault="001E0ED3" w:rsidP="001E0ED3">
      <w:pPr>
        <w:ind w:left="851" w:hanging="851"/>
        <w:rPr>
          <w:sz w:val="24"/>
          <w:szCs w:val="24"/>
          <w:lang w:eastAsia="da-DK"/>
        </w:rPr>
      </w:pPr>
      <w:r w:rsidRPr="00A6772A">
        <w:rPr>
          <w:sz w:val="24"/>
          <w:szCs w:val="24"/>
        </w:rPr>
        <w:tab/>
        <w:t>Dette lægemiddel må ikke blandes med andre lægemidler end dem, der er anført under pkt. 6.6.</w:t>
      </w:r>
    </w:p>
    <w:p w:rsidR="001E0ED3" w:rsidRPr="00A6772A" w:rsidRDefault="001E0ED3" w:rsidP="001E0ED3">
      <w:pPr>
        <w:ind w:left="851" w:hanging="851"/>
        <w:rPr>
          <w:sz w:val="24"/>
          <w:szCs w:val="24"/>
        </w:rPr>
      </w:pPr>
    </w:p>
    <w:p w:rsidR="001E0ED3" w:rsidRPr="00A6772A" w:rsidRDefault="001E0ED3" w:rsidP="0026790C">
      <w:pPr>
        <w:keepNext/>
        <w:ind w:left="851" w:hanging="851"/>
        <w:rPr>
          <w:b/>
          <w:sz w:val="24"/>
          <w:szCs w:val="24"/>
        </w:rPr>
      </w:pPr>
      <w:r w:rsidRPr="00A6772A">
        <w:rPr>
          <w:b/>
          <w:sz w:val="24"/>
          <w:szCs w:val="24"/>
        </w:rPr>
        <w:t>6.3</w:t>
      </w:r>
      <w:r w:rsidRPr="00A6772A">
        <w:rPr>
          <w:b/>
          <w:sz w:val="24"/>
          <w:szCs w:val="24"/>
        </w:rPr>
        <w:tab/>
        <w:t>Opbevaringstid</w:t>
      </w:r>
    </w:p>
    <w:p w:rsidR="001E0ED3" w:rsidRPr="00A6772A" w:rsidRDefault="001E0ED3" w:rsidP="001E0ED3">
      <w:pPr>
        <w:ind w:left="851" w:hanging="851"/>
        <w:rPr>
          <w:sz w:val="24"/>
          <w:szCs w:val="24"/>
          <w:lang w:eastAsia="da-DK"/>
        </w:rPr>
      </w:pPr>
      <w:r w:rsidRPr="00A6772A">
        <w:rPr>
          <w:sz w:val="24"/>
          <w:szCs w:val="24"/>
        </w:rPr>
        <w:tab/>
        <w:t>4 år</w:t>
      </w:r>
    </w:p>
    <w:p w:rsidR="001E0ED3" w:rsidRPr="00A6772A" w:rsidRDefault="001E0ED3" w:rsidP="001E0ED3">
      <w:pPr>
        <w:ind w:left="851" w:hanging="851"/>
        <w:rPr>
          <w:i/>
          <w:sz w:val="24"/>
          <w:szCs w:val="24"/>
        </w:rPr>
      </w:pPr>
    </w:p>
    <w:p w:rsidR="001E0ED3" w:rsidRPr="00A6772A" w:rsidRDefault="001E0ED3" w:rsidP="001E0ED3">
      <w:pPr>
        <w:ind w:left="851"/>
        <w:rPr>
          <w:sz w:val="24"/>
          <w:szCs w:val="24"/>
          <w:highlight w:val="yellow"/>
        </w:rPr>
      </w:pPr>
      <w:r w:rsidRPr="00A6772A">
        <w:rPr>
          <w:i/>
          <w:sz w:val="24"/>
          <w:szCs w:val="24"/>
        </w:rPr>
        <w:t>Den brugsfærdige infusionsvæske</w:t>
      </w:r>
      <w:r w:rsidRPr="00A6772A">
        <w:rPr>
          <w:sz w:val="24"/>
          <w:szCs w:val="24"/>
        </w:rPr>
        <w:t xml:space="preserve"> (rekonstitueret opløsning fortyndet med 250 ml egnet fortyndingsvæske til ca. 2 mg/ml) er vist kemisk og fysisk stabil i 48 timer ved 5º C og 6 timer ved 25</w:t>
      </w:r>
      <w:r w:rsidR="00CA5336">
        <w:rPr>
          <w:sz w:val="24"/>
          <w:szCs w:val="24"/>
        </w:rPr>
        <w:t xml:space="preserve"> </w:t>
      </w:r>
      <w:r w:rsidRPr="00A6772A">
        <w:rPr>
          <w:sz w:val="24"/>
          <w:szCs w:val="24"/>
        </w:rPr>
        <w:t>º</w:t>
      </w:r>
      <w:r w:rsidR="00CA5336">
        <w:rPr>
          <w:sz w:val="24"/>
          <w:szCs w:val="24"/>
        </w:rPr>
        <w:t xml:space="preserve"> </w:t>
      </w:r>
      <w:r w:rsidRPr="00A6772A">
        <w:rPr>
          <w:sz w:val="24"/>
          <w:szCs w:val="24"/>
        </w:rPr>
        <w:t xml:space="preserve">C. Se også </w:t>
      </w:r>
      <w:r>
        <w:rPr>
          <w:sz w:val="24"/>
          <w:szCs w:val="24"/>
        </w:rPr>
        <w:t>pkt.</w:t>
      </w:r>
      <w:r w:rsidRPr="00A6772A">
        <w:rPr>
          <w:sz w:val="24"/>
          <w:szCs w:val="24"/>
        </w:rPr>
        <w:t xml:space="preserve"> 6.6.</w:t>
      </w:r>
    </w:p>
    <w:p w:rsidR="001E0ED3" w:rsidRPr="00A6772A" w:rsidRDefault="001E0ED3" w:rsidP="001E0ED3">
      <w:pPr>
        <w:ind w:left="851" w:hanging="851"/>
        <w:rPr>
          <w:sz w:val="24"/>
          <w:szCs w:val="24"/>
          <w:highlight w:val="yellow"/>
        </w:rPr>
      </w:pPr>
    </w:p>
    <w:p w:rsidR="001E0ED3" w:rsidRPr="00A6772A" w:rsidRDefault="001E0ED3" w:rsidP="001E0ED3">
      <w:pPr>
        <w:ind w:left="851" w:hanging="851"/>
        <w:rPr>
          <w:sz w:val="24"/>
          <w:szCs w:val="24"/>
        </w:rPr>
      </w:pPr>
      <w:r w:rsidRPr="00A6772A">
        <w:rPr>
          <w:sz w:val="24"/>
          <w:szCs w:val="24"/>
        </w:rPr>
        <w:tab/>
        <w:t xml:space="preserve">Ud fra et mikrobiologisk synspunkt bør det rekonstituerede produkt bruges omgående. Hvis det ikke bruges med det samme, vil ansvaret for opbevaringstider og opbevarings-betingelser ligge hos brugeren og vil normalt ikke være mere end 24 timer ved </w:t>
      </w:r>
      <w:r w:rsidR="00A14441">
        <w:rPr>
          <w:sz w:val="24"/>
          <w:szCs w:val="24"/>
        </w:rPr>
        <w:t>2º- 8º C</w:t>
      </w:r>
      <w:r w:rsidRPr="00A6772A">
        <w:rPr>
          <w:sz w:val="24"/>
          <w:szCs w:val="24"/>
        </w:rPr>
        <w:t>, medmindre rekonstituering/opløsning er sket under kontrollerede og validerede aseptiske betingelser.</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6.4</w:t>
      </w:r>
      <w:r w:rsidRPr="00A6772A">
        <w:rPr>
          <w:b/>
          <w:sz w:val="24"/>
          <w:szCs w:val="24"/>
        </w:rPr>
        <w:tab/>
        <w:t>Særlige opbevaringsforhold</w:t>
      </w:r>
    </w:p>
    <w:p w:rsidR="001E0ED3" w:rsidRPr="00A6772A" w:rsidRDefault="001E0ED3" w:rsidP="001E0ED3">
      <w:pPr>
        <w:ind w:left="851" w:hanging="851"/>
        <w:rPr>
          <w:sz w:val="24"/>
          <w:szCs w:val="24"/>
          <w:lang w:eastAsia="da-DK"/>
        </w:rPr>
      </w:pPr>
      <w:r w:rsidRPr="00A6772A">
        <w:rPr>
          <w:sz w:val="24"/>
          <w:szCs w:val="24"/>
        </w:rPr>
        <w:tab/>
      </w:r>
      <w:r w:rsidRPr="00A6772A">
        <w:rPr>
          <w:i/>
          <w:sz w:val="24"/>
          <w:szCs w:val="24"/>
        </w:rPr>
        <w:t>Hætteglas:</w:t>
      </w:r>
      <w:r w:rsidRPr="00A6772A">
        <w:rPr>
          <w:sz w:val="24"/>
          <w:szCs w:val="24"/>
        </w:rPr>
        <w:t xml:space="preserve"> Ingen.</w:t>
      </w:r>
    </w:p>
    <w:p w:rsidR="001E0ED3" w:rsidRPr="00A6772A" w:rsidRDefault="001E0ED3" w:rsidP="001E0ED3">
      <w:pPr>
        <w:ind w:left="851" w:hanging="851"/>
        <w:rPr>
          <w:noProof/>
          <w:sz w:val="24"/>
          <w:szCs w:val="24"/>
        </w:rPr>
      </w:pPr>
      <w:r w:rsidRPr="00A6772A">
        <w:rPr>
          <w:noProof/>
          <w:sz w:val="24"/>
          <w:szCs w:val="24"/>
        </w:rPr>
        <w:tab/>
        <w:t>Opbevaringsforhold efter rekonstitution af lægemidlet, se pkt. 6.3.</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6.5</w:t>
      </w:r>
      <w:r w:rsidRPr="00A6772A">
        <w:rPr>
          <w:b/>
          <w:sz w:val="24"/>
          <w:szCs w:val="24"/>
        </w:rPr>
        <w:tab/>
        <w:t>Emballagetype og pakningsstørrelser</w:t>
      </w:r>
    </w:p>
    <w:p w:rsidR="001E0ED3" w:rsidRPr="00A6772A" w:rsidRDefault="001E0ED3" w:rsidP="001E0ED3">
      <w:pPr>
        <w:ind w:left="851" w:hanging="851"/>
        <w:rPr>
          <w:sz w:val="24"/>
          <w:szCs w:val="24"/>
          <w:lang w:eastAsia="da-DK"/>
        </w:rPr>
      </w:pPr>
      <w:r w:rsidRPr="00A6772A">
        <w:rPr>
          <w:sz w:val="24"/>
          <w:szCs w:val="24"/>
        </w:rPr>
        <w:tab/>
        <w:t>Hætteglas (type I glas) med gummiprop (bromobutyl) og forseglet hætte af aluminium.</w:t>
      </w:r>
    </w:p>
    <w:p w:rsidR="001E0ED3" w:rsidRPr="00A6772A" w:rsidRDefault="001E0ED3" w:rsidP="001E0ED3">
      <w:pPr>
        <w:ind w:left="851" w:hanging="851"/>
        <w:rPr>
          <w:sz w:val="24"/>
          <w:szCs w:val="24"/>
        </w:rPr>
      </w:pPr>
      <w:r w:rsidRPr="00A6772A">
        <w:rPr>
          <w:sz w:val="24"/>
          <w:szCs w:val="24"/>
        </w:rPr>
        <w:tab/>
      </w:r>
    </w:p>
    <w:p w:rsidR="001E0ED3" w:rsidRDefault="001E0ED3" w:rsidP="001E0ED3">
      <w:pPr>
        <w:ind w:left="851"/>
        <w:rPr>
          <w:sz w:val="24"/>
          <w:szCs w:val="24"/>
        </w:rPr>
      </w:pPr>
      <w:r w:rsidRPr="00A6772A">
        <w:rPr>
          <w:sz w:val="24"/>
          <w:szCs w:val="24"/>
        </w:rPr>
        <w:t>Hætteglas pakket i æsker indeholdende 1 hætteglas.</w:t>
      </w:r>
    </w:p>
    <w:p w:rsidR="001E0ED3" w:rsidRPr="00A6772A" w:rsidRDefault="001E0ED3" w:rsidP="001E0ED3">
      <w:pPr>
        <w:ind w:left="851"/>
        <w:rPr>
          <w:sz w:val="24"/>
          <w:szCs w:val="24"/>
        </w:rPr>
      </w:pPr>
      <w:r>
        <w:rPr>
          <w:sz w:val="24"/>
          <w:szCs w:val="24"/>
        </w:rPr>
        <w:t xml:space="preserve"> </w:t>
      </w:r>
    </w:p>
    <w:p w:rsidR="001E0ED3" w:rsidRPr="00A6772A" w:rsidRDefault="001E0ED3" w:rsidP="001E0ED3">
      <w:pPr>
        <w:ind w:left="851" w:hanging="851"/>
        <w:rPr>
          <w:b/>
          <w:sz w:val="24"/>
          <w:szCs w:val="24"/>
        </w:rPr>
      </w:pPr>
      <w:r w:rsidRPr="00A6772A">
        <w:rPr>
          <w:b/>
          <w:sz w:val="24"/>
          <w:szCs w:val="24"/>
        </w:rPr>
        <w:t>6.6</w:t>
      </w:r>
      <w:r w:rsidRPr="00A6772A">
        <w:rPr>
          <w:b/>
          <w:sz w:val="24"/>
          <w:szCs w:val="24"/>
        </w:rPr>
        <w:tab/>
        <w:t xml:space="preserve">Regler for </w:t>
      </w:r>
      <w:r w:rsidR="00172B74">
        <w:rPr>
          <w:b/>
          <w:sz w:val="24"/>
          <w:szCs w:val="24"/>
        </w:rPr>
        <w:t>bortskaffelse</w:t>
      </w:r>
      <w:r w:rsidRPr="00A6772A">
        <w:rPr>
          <w:b/>
          <w:sz w:val="24"/>
          <w:szCs w:val="24"/>
        </w:rPr>
        <w:t xml:space="preserve"> og anden håndtering</w:t>
      </w:r>
    </w:p>
    <w:p w:rsidR="001E0ED3" w:rsidRPr="00A6772A" w:rsidRDefault="001E0ED3" w:rsidP="001E0ED3">
      <w:pPr>
        <w:ind w:left="851" w:hanging="851"/>
        <w:rPr>
          <w:sz w:val="24"/>
          <w:szCs w:val="24"/>
          <w:lang w:eastAsia="da-DK"/>
        </w:rPr>
      </w:pPr>
      <w:r w:rsidRPr="00A6772A">
        <w:rPr>
          <w:sz w:val="24"/>
          <w:szCs w:val="24"/>
        </w:rPr>
        <w:tab/>
        <w:t>Den færdige opløsning til infusion fremstilles som følger:</w:t>
      </w:r>
    </w:p>
    <w:p w:rsidR="001E0ED3" w:rsidRDefault="001E0ED3" w:rsidP="001E0ED3">
      <w:pPr>
        <w:ind w:left="851"/>
        <w:rPr>
          <w:b/>
          <w:sz w:val="24"/>
          <w:szCs w:val="24"/>
        </w:rPr>
      </w:pPr>
    </w:p>
    <w:p w:rsidR="001E0ED3" w:rsidRPr="00A6772A" w:rsidRDefault="001E0ED3" w:rsidP="001E0ED3">
      <w:pPr>
        <w:ind w:left="851"/>
        <w:rPr>
          <w:sz w:val="24"/>
          <w:szCs w:val="24"/>
        </w:rPr>
      </w:pPr>
      <w:r w:rsidRPr="00A6772A">
        <w:rPr>
          <w:b/>
          <w:sz w:val="24"/>
          <w:szCs w:val="24"/>
        </w:rPr>
        <w:t>1.</w:t>
      </w:r>
      <w:r w:rsidRPr="00A6772A">
        <w:rPr>
          <w:sz w:val="24"/>
          <w:szCs w:val="24"/>
        </w:rPr>
        <w:t xml:space="preserve"> Forbered den initiale opløsning af clarithromycin ved at tilføre 10 ml sterilt vand til injektion pr. 500 mg hætteglas. Brug kun sterilt vand til injektion, da andre opløsningsvæsker kan forårsage bundfældning af opløsningen. Brug ikke opløsningsvæsker som indeholder konserveringsmidler eller uorganiske salte. </w:t>
      </w:r>
    </w:p>
    <w:p w:rsidR="001E0ED3" w:rsidRPr="00A6772A" w:rsidRDefault="001E0ED3" w:rsidP="001E0ED3">
      <w:pPr>
        <w:ind w:left="851"/>
        <w:rPr>
          <w:sz w:val="24"/>
          <w:szCs w:val="24"/>
        </w:rPr>
      </w:pPr>
    </w:p>
    <w:p w:rsidR="001E0ED3" w:rsidRPr="00A6772A" w:rsidRDefault="001E0ED3" w:rsidP="001E0ED3">
      <w:pPr>
        <w:ind w:left="851"/>
        <w:rPr>
          <w:sz w:val="24"/>
          <w:szCs w:val="24"/>
        </w:rPr>
      </w:pPr>
      <w:r w:rsidRPr="00A6772A">
        <w:rPr>
          <w:sz w:val="24"/>
          <w:szCs w:val="24"/>
        </w:rPr>
        <w:t>Hver ml indeholder 50 mg clarithromycin.</w:t>
      </w:r>
    </w:p>
    <w:p w:rsidR="001E0ED3" w:rsidRPr="00A6772A" w:rsidRDefault="001E0ED3" w:rsidP="001E0ED3">
      <w:pPr>
        <w:ind w:left="851"/>
        <w:rPr>
          <w:sz w:val="24"/>
          <w:szCs w:val="24"/>
        </w:rPr>
      </w:pPr>
    </w:p>
    <w:p w:rsidR="001E0ED3" w:rsidRPr="00A6772A" w:rsidRDefault="001E0ED3" w:rsidP="001E0ED3">
      <w:pPr>
        <w:ind w:left="851"/>
        <w:rPr>
          <w:sz w:val="24"/>
          <w:szCs w:val="24"/>
        </w:rPr>
      </w:pPr>
      <w:r w:rsidRPr="00A6772A">
        <w:rPr>
          <w:b/>
          <w:sz w:val="24"/>
          <w:szCs w:val="24"/>
        </w:rPr>
        <w:t>2.</w:t>
      </w:r>
      <w:r w:rsidRPr="00A6772A">
        <w:rPr>
          <w:sz w:val="24"/>
          <w:szCs w:val="24"/>
        </w:rPr>
        <w:t xml:space="preserve"> Infusionsvæsken (rekonstitueret opløsning fortyndet med 250 ml til 2 mg/ml) tilberedes ved at fortynde opløsningen med 250 ml af en af følgende væsker:</w:t>
      </w:r>
    </w:p>
    <w:p w:rsidR="001E0ED3" w:rsidRPr="00550173" w:rsidRDefault="001E0ED3" w:rsidP="001E0ED3">
      <w:pPr>
        <w:ind w:left="851"/>
        <w:rPr>
          <w:sz w:val="24"/>
          <w:szCs w:val="24"/>
        </w:rPr>
      </w:pPr>
    </w:p>
    <w:p w:rsidR="001E0ED3" w:rsidRPr="00161D86" w:rsidRDefault="001E0ED3" w:rsidP="001E0ED3">
      <w:pPr>
        <w:ind w:left="851"/>
        <w:rPr>
          <w:sz w:val="24"/>
          <w:szCs w:val="24"/>
          <w:lang w:val="en-US"/>
        </w:rPr>
      </w:pPr>
      <w:r w:rsidRPr="00161D86">
        <w:rPr>
          <w:sz w:val="24"/>
          <w:szCs w:val="24"/>
          <w:lang w:val="en-US"/>
        </w:rPr>
        <w:t>Glu</w:t>
      </w:r>
      <w:r w:rsidR="00A14441" w:rsidRPr="00161D86">
        <w:rPr>
          <w:sz w:val="24"/>
          <w:szCs w:val="24"/>
          <w:lang w:val="en-US"/>
        </w:rPr>
        <w:t>c</w:t>
      </w:r>
      <w:r w:rsidRPr="00161D86">
        <w:rPr>
          <w:sz w:val="24"/>
          <w:szCs w:val="24"/>
          <w:lang w:val="en-US"/>
        </w:rPr>
        <w:t>ose 50 mg/ml,</w:t>
      </w:r>
    </w:p>
    <w:p w:rsidR="001E0ED3" w:rsidRPr="00161D86" w:rsidRDefault="001E0ED3" w:rsidP="001E0ED3">
      <w:pPr>
        <w:ind w:left="851"/>
        <w:rPr>
          <w:sz w:val="24"/>
          <w:szCs w:val="24"/>
          <w:lang w:val="en-US"/>
        </w:rPr>
      </w:pPr>
      <w:r w:rsidRPr="00161D86">
        <w:rPr>
          <w:sz w:val="24"/>
          <w:szCs w:val="24"/>
          <w:lang w:val="en-US"/>
        </w:rPr>
        <w:t>Natriumchlorid 9 mg/ml,</w:t>
      </w:r>
    </w:p>
    <w:p w:rsidR="001E0ED3" w:rsidRPr="00FE0041" w:rsidRDefault="001E0ED3" w:rsidP="001E0ED3">
      <w:pPr>
        <w:ind w:left="851"/>
        <w:rPr>
          <w:sz w:val="24"/>
          <w:szCs w:val="24"/>
        </w:rPr>
      </w:pPr>
      <w:r w:rsidRPr="009376AB">
        <w:rPr>
          <w:sz w:val="24"/>
          <w:szCs w:val="24"/>
        </w:rPr>
        <w:t>Ringer-laktat</w:t>
      </w:r>
      <w:r>
        <w:rPr>
          <w:sz w:val="24"/>
          <w:szCs w:val="24"/>
        </w:rPr>
        <w:t>.</w:t>
      </w:r>
    </w:p>
    <w:p w:rsidR="001E0ED3" w:rsidRPr="00A6772A" w:rsidRDefault="001E0ED3" w:rsidP="001E0ED3">
      <w:pPr>
        <w:ind w:left="851"/>
        <w:rPr>
          <w:sz w:val="24"/>
          <w:szCs w:val="24"/>
        </w:rPr>
      </w:pPr>
    </w:p>
    <w:p w:rsidR="001E0ED3" w:rsidRPr="00A6772A" w:rsidRDefault="001E0ED3" w:rsidP="001E0ED3">
      <w:pPr>
        <w:ind w:left="851"/>
        <w:rPr>
          <w:sz w:val="24"/>
          <w:szCs w:val="24"/>
        </w:rPr>
      </w:pPr>
      <w:r w:rsidRPr="00A6772A">
        <w:rPr>
          <w:sz w:val="24"/>
          <w:szCs w:val="24"/>
        </w:rPr>
        <w:lastRenderedPageBreak/>
        <w:t>Ikke anvendt lægemiddel samt affald heraf skal bortskaffes i henhold til lokale retningslinjer.</w:t>
      </w:r>
    </w:p>
    <w:p w:rsidR="001E0ED3" w:rsidRPr="00A6772A" w:rsidRDefault="001E0ED3" w:rsidP="001E0ED3">
      <w:pPr>
        <w:ind w:left="851" w:hanging="851"/>
        <w:jc w:val="both"/>
        <w:rPr>
          <w:sz w:val="24"/>
          <w:szCs w:val="24"/>
        </w:rPr>
      </w:pPr>
    </w:p>
    <w:p w:rsidR="001E0ED3" w:rsidRPr="00A6772A" w:rsidRDefault="001E0ED3" w:rsidP="001E0ED3">
      <w:pPr>
        <w:ind w:left="851" w:hanging="851"/>
        <w:rPr>
          <w:b/>
          <w:sz w:val="24"/>
          <w:szCs w:val="24"/>
        </w:rPr>
      </w:pPr>
      <w:r w:rsidRPr="00A6772A">
        <w:rPr>
          <w:b/>
          <w:sz w:val="24"/>
          <w:szCs w:val="24"/>
        </w:rPr>
        <w:t>7.</w:t>
      </w:r>
      <w:r w:rsidRPr="00A6772A">
        <w:rPr>
          <w:b/>
          <w:sz w:val="24"/>
          <w:szCs w:val="24"/>
        </w:rPr>
        <w:tab/>
        <w:t>INDEHAVER AF MARKEDSFØRINGSTILLADELSEN</w:t>
      </w:r>
    </w:p>
    <w:p w:rsidR="001E0ED3" w:rsidRPr="00A6772A" w:rsidRDefault="001E0ED3" w:rsidP="001E0ED3">
      <w:pPr>
        <w:ind w:left="851" w:hanging="851"/>
        <w:rPr>
          <w:sz w:val="24"/>
          <w:szCs w:val="24"/>
          <w:lang w:eastAsia="da-DK"/>
        </w:rPr>
      </w:pPr>
      <w:r w:rsidRPr="00A6772A">
        <w:rPr>
          <w:sz w:val="24"/>
          <w:szCs w:val="24"/>
        </w:rPr>
        <w:tab/>
        <w:t>Alternova A/S</w:t>
      </w:r>
    </w:p>
    <w:p w:rsidR="00595D7E" w:rsidRPr="0073355A" w:rsidRDefault="00595D7E" w:rsidP="00595D7E">
      <w:pPr>
        <w:ind w:left="851"/>
        <w:rPr>
          <w:spacing w:val="-3"/>
          <w:sz w:val="24"/>
          <w:szCs w:val="24"/>
        </w:rPr>
      </w:pPr>
      <w:r w:rsidRPr="0073355A">
        <w:rPr>
          <w:spacing w:val="-3"/>
          <w:sz w:val="24"/>
          <w:szCs w:val="24"/>
        </w:rPr>
        <w:t>Energivej 15</w:t>
      </w:r>
    </w:p>
    <w:p w:rsidR="00595D7E" w:rsidRDefault="00595D7E" w:rsidP="00595D7E">
      <w:pPr>
        <w:ind w:left="851"/>
        <w:rPr>
          <w:spacing w:val="-3"/>
          <w:sz w:val="24"/>
          <w:szCs w:val="24"/>
        </w:rPr>
      </w:pPr>
      <w:r w:rsidRPr="0073355A">
        <w:rPr>
          <w:spacing w:val="-3"/>
          <w:sz w:val="24"/>
          <w:szCs w:val="24"/>
        </w:rPr>
        <w:t>5260 Odense S</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8.</w:t>
      </w:r>
      <w:r w:rsidRPr="00A6772A">
        <w:rPr>
          <w:b/>
          <w:sz w:val="24"/>
          <w:szCs w:val="24"/>
        </w:rPr>
        <w:tab/>
        <w:t>MARKEDSFØRINGSTILLADELSESNUMMER (</w:t>
      </w:r>
      <w:r w:rsidR="00172B74">
        <w:rPr>
          <w:b/>
          <w:sz w:val="24"/>
          <w:szCs w:val="24"/>
        </w:rPr>
        <w:t>-</w:t>
      </w:r>
      <w:r w:rsidRPr="00A6772A">
        <w:rPr>
          <w:b/>
          <w:sz w:val="24"/>
          <w:szCs w:val="24"/>
        </w:rPr>
        <w:t>NUMRE)</w:t>
      </w:r>
    </w:p>
    <w:p w:rsidR="001E0ED3" w:rsidRPr="00A6772A" w:rsidRDefault="001E0ED3" w:rsidP="001E0ED3">
      <w:pPr>
        <w:ind w:left="851" w:hanging="851"/>
        <w:rPr>
          <w:sz w:val="24"/>
          <w:szCs w:val="24"/>
        </w:rPr>
      </w:pPr>
      <w:r w:rsidRPr="00A6772A">
        <w:rPr>
          <w:sz w:val="24"/>
          <w:szCs w:val="24"/>
        </w:rPr>
        <w:tab/>
        <w:t>53353</w:t>
      </w:r>
    </w:p>
    <w:p w:rsidR="001E0ED3" w:rsidRPr="00A6772A" w:rsidRDefault="001E0ED3" w:rsidP="001E0ED3">
      <w:pPr>
        <w:ind w:left="851" w:hanging="851"/>
        <w:jc w:val="both"/>
        <w:rPr>
          <w:sz w:val="24"/>
          <w:szCs w:val="24"/>
        </w:rPr>
      </w:pPr>
    </w:p>
    <w:p w:rsidR="001E0ED3" w:rsidRPr="00A6772A" w:rsidRDefault="001E0ED3" w:rsidP="0026790C">
      <w:pPr>
        <w:keepNext/>
        <w:ind w:left="851" w:hanging="851"/>
        <w:rPr>
          <w:b/>
          <w:sz w:val="24"/>
          <w:szCs w:val="24"/>
        </w:rPr>
      </w:pPr>
      <w:r w:rsidRPr="00A6772A">
        <w:rPr>
          <w:b/>
          <w:sz w:val="24"/>
          <w:szCs w:val="24"/>
        </w:rPr>
        <w:t>9.</w:t>
      </w:r>
      <w:r w:rsidRPr="00A6772A">
        <w:rPr>
          <w:b/>
          <w:sz w:val="24"/>
          <w:szCs w:val="24"/>
        </w:rPr>
        <w:tab/>
        <w:t>DATO FOR FØRSTE MARKEDSFØRINGSTILLADELSE</w:t>
      </w:r>
    </w:p>
    <w:p w:rsidR="001E0ED3" w:rsidRPr="00A6772A" w:rsidRDefault="001E0ED3" w:rsidP="001E0ED3">
      <w:pPr>
        <w:ind w:left="851" w:hanging="851"/>
        <w:rPr>
          <w:sz w:val="24"/>
          <w:szCs w:val="24"/>
        </w:rPr>
      </w:pPr>
      <w:r w:rsidRPr="00A6772A">
        <w:rPr>
          <w:sz w:val="24"/>
          <w:szCs w:val="24"/>
        </w:rPr>
        <w:tab/>
        <w:t>26. august 2014</w:t>
      </w:r>
    </w:p>
    <w:p w:rsidR="001E0ED3" w:rsidRPr="00A6772A" w:rsidRDefault="001E0ED3" w:rsidP="001E0ED3">
      <w:pPr>
        <w:ind w:left="851" w:hanging="851"/>
        <w:rPr>
          <w:sz w:val="24"/>
          <w:szCs w:val="24"/>
        </w:rPr>
      </w:pPr>
    </w:p>
    <w:p w:rsidR="001E0ED3" w:rsidRPr="00A6772A" w:rsidRDefault="001E0ED3" w:rsidP="001E0ED3">
      <w:pPr>
        <w:ind w:left="851" w:hanging="851"/>
        <w:rPr>
          <w:b/>
          <w:sz w:val="24"/>
          <w:szCs w:val="24"/>
        </w:rPr>
      </w:pPr>
      <w:r w:rsidRPr="00A6772A">
        <w:rPr>
          <w:b/>
          <w:sz w:val="24"/>
          <w:szCs w:val="24"/>
        </w:rPr>
        <w:t>10.</w:t>
      </w:r>
      <w:r w:rsidRPr="00A6772A">
        <w:rPr>
          <w:b/>
          <w:sz w:val="24"/>
          <w:szCs w:val="24"/>
        </w:rPr>
        <w:tab/>
        <w:t>DATO FOR ÆNDRING AF TEKSTEN</w:t>
      </w:r>
    </w:p>
    <w:p w:rsidR="001E0ED3" w:rsidRPr="000618AE" w:rsidRDefault="001E0ED3" w:rsidP="001E0ED3">
      <w:pPr>
        <w:ind w:left="851" w:hanging="851"/>
        <w:rPr>
          <w:sz w:val="24"/>
          <w:szCs w:val="24"/>
        </w:rPr>
      </w:pPr>
      <w:r w:rsidRPr="000618AE">
        <w:rPr>
          <w:sz w:val="24"/>
          <w:szCs w:val="24"/>
        </w:rPr>
        <w:tab/>
      </w:r>
      <w:r w:rsidR="00595D7E">
        <w:rPr>
          <w:sz w:val="24"/>
          <w:szCs w:val="24"/>
        </w:rPr>
        <w:t>5. august</w:t>
      </w:r>
      <w:r w:rsidR="007B2405">
        <w:rPr>
          <w:sz w:val="24"/>
          <w:szCs w:val="24"/>
        </w:rPr>
        <w:t xml:space="preserve"> 2024</w:t>
      </w:r>
    </w:p>
    <w:p w:rsidR="001E0ED3" w:rsidRPr="00DA7EB8" w:rsidRDefault="001E0ED3" w:rsidP="001E0ED3"/>
    <w:p w:rsidR="001E0ED3" w:rsidRPr="00E03218" w:rsidRDefault="001E0ED3" w:rsidP="001E0ED3"/>
    <w:p w:rsidR="009260DE" w:rsidRPr="001E0ED3" w:rsidRDefault="009260DE" w:rsidP="001E0ED3"/>
    <w:sectPr w:rsidR="009260DE" w:rsidRPr="001E0ED3" w:rsidSect="000259B9">
      <w:footerReference w:type="default" r:id="rId11"/>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26E3" w:rsidRDefault="00DA26E3">
      <w:r>
        <w:separator/>
      </w:r>
    </w:p>
  </w:endnote>
  <w:endnote w:type="continuationSeparator" w:id="0">
    <w:p w:rsidR="00DA26E3" w:rsidRDefault="00DA2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NewRoman,Bold">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26E3" w:rsidRDefault="00DA26E3">
    <w:pPr>
      <w:pStyle w:val="Sidefod"/>
      <w:pBdr>
        <w:bottom w:val="single" w:sz="6" w:space="1" w:color="auto"/>
      </w:pBdr>
    </w:pPr>
  </w:p>
  <w:p w:rsidR="00DA26E3" w:rsidRDefault="00DA26E3" w:rsidP="00C42586">
    <w:pPr>
      <w:pStyle w:val="Sidefod"/>
      <w:tabs>
        <w:tab w:val="clear" w:pos="4819"/>
        <w:tab w:val="left" w:pos="8505"/>
      </w:tabs>
      <w:rPr>
        <w:i/>
        <w:sz w:val="18"/>
        <w:szCs w:val="18"/>
      </w:rPr>
    </w:pPr>
  </w:p>
  <w:p w:rsidR="00DA26E3" w:rsidRPr="00B373D7" w:rsidRDefault="00DA26E3"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Clarithromycin Alternova, pulver til infusionsvæske, opløsning 500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26E3" w:rsidRDefault="00DA26E3">
      <w:r>
        <w:separator/>
      </w:r>
    </w:p>
  </w:footnote>
  <w:footnote w:type="continuationSeparator" w:id="0">
    <w:p w:rsidR="00DA26E3" w:rsidRDefault="00DA26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61198"/>
    <w:multiLevelType w:val="hybridMultilevel"/>
    <w:tmpl w:val="58D0A3BC"/>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179313BE"/>
    <w:multiLevelType w:val="hybridMultilevel"/>
    <w:tmpl w:val="6EAA05B8"/>
    <w:lvl w:ilvl="0" w:tplc="B8540296">
      <w:numFmt w:val="bullet"/>
      <w:lvlText w:val="-"/>
      <w:lvlJc w:val="left"/>
      <w:pPr>
        <w:tabs>
          <w:tab w:val="num" w:pos="1305"/>
        </w:tabs>
        <w:ind w:left="1305" w:hanging="450"/>
      </w:pPr>
      <w:rPr>
        <w:rFonts w:ascii="Times New Roman" w:eastAsia="Times New Roman" w:hAnsi="Times New Roman" w:cs="Times New Roman" w:hint="default"/>
      </w:rPr>
    </w:lvl>
    <w:lvl w:ilvl="1" w:tplc="04060003">
      <w:start w:val="1"/>
      <w:numFmt w:val="bullet"/>
      <w:lvlText w:val="o"/>
      <w:lvlJc w:val="left"/>
      <w:pPr>
        <w:tabs>
          <w:tab w:val="num" w:pos="1935"/>
        </w:tabs>
        <w:ind w:left="1935" w:hanging="360"/>
      </w:pPr>
      <w:rPr>
        <w:rFonts w:ascii="Courier New" w:hAnsi="Courier New" w:cs="Courier New" w:hint="default"/>
      </w:rPr>
    </w:lvl>
    <w:lvl w:ilvl="2" w:tplc="04060005">
      <w:start w:val="1"/>
      <w:numFmt w:val="bullet"/>
      <w:lvlText w:val=""/>
      <w:lvlJc w:val="left"/>
      <w:pPr>
        <w:tabs>
          <w:tab w:val="num" w:pos="2655"/>
        </w:tabs>
        <w:ind w:left="2655" w:hanging="360"/>
      </w:pPr>
      <w:rPr>
        <w:rFonts w:ascii="Wingdings" w:hAnsi="Wingdings" w:hint="default"/>
      </w:rPr>
    </w:lvl>
    <w:lvl w:ilvl="3" w:tplc="04060001">
      <w:start w:val="1"/>
      <w:numFmt w:val="bullet"/>
      <w:lvlText w:val=""/>
      <w:lvlJc w:val="left"/>
      <w:pPr>
        <w:tabs>
          <w:tab w:val="num" w:pos="3375"/>
        </w:tabs>
        <w:ind w:left="3375" w:hanging="360"/>
      </w:pPr>
      <w:rPr>
        <w:rFonts w:ascii="Symbol" w:hAnsi="Symbol" w:hint="default"/>
      </w:rPr>
    </w:lvl>
    <w:lvl w:ilvl="4" w:tplc="04060003">
      <w:start w:val="1"/>
      <w:numFmt w:val="bullet"/>
      <w:lvlText w:val="o"/>
      <w:lvlJc w:val="left"/>
      <w:pPr>
        <w:tabs>
          <w:tab w:val="num" w:pos="4095"/>
        </w:tabs>
        <w:ind w:left="4095" w:hanging="360"/>
      </w:pPr>
      <w:rPr>
        <w:rFonts w:ascii="Courier New" w:hAnsi="Courier New" w:cs="Courier New" w:hint="default"/>
      </w:rPr>
    </w:lvl>
    <w:lvl w:ilvl="5" w:tplc="04060005">
      <w:start w:val="1"/>
      <w:numFmt w:val="bullet"/>
      <w:lvlText w:val=""/>
      <w:lvlJc w:val="left"/>
      <w:pPr>
        <w:tabs>
          <w:tab w:val="num" w:pos="4815"/>
        </w:tabs>
        <w:ind w:left="4815" w:hanging="360"/>
      </w:pPr>
      <w:rPr>
        <w:rFonts w:ascii="Wingdings" w:hAnsi="Wingdings" w:hint="default"/>
      </w:rPr>
    </w:lvl>
    <w:lvl w:ilvl="6" w:tplc="04060001">
      <w:start w:val="1"/>
      <w:numFmt w:val="bullet"/>
      <w:lvlText w:val=""/>
      <w:lvlJc w:val="left"/>
      <w:pPr>
        <w:tabs>
          <w:tab w:val="num" w:pos="5535"/>
        </w:tabs>
        <w:ind w:left="5535" w:hanging="360"/>
      </w:pPr>
      <w:rPr>
        <w:rFonts w:ascii="Symbol" w:hAnsi="Symbol" w:hint="default"/>
      </w:rPr>
    </w:lvl>
    <w:lvl w:ilvl="7" w:tplc="04060003">
      <w:start w:val="1"/>
      <w:numFmt w:val="bullet"/>
      <w:lvlText w:val="o"/>
      <w:lvlJc w:val="left"/>
      <w:pPr>
        <w:tabs>
          <w:tab w:val="num" w:pos="6255"/>
        </w:tabs>
        <w:ind w:left="6255" w:hanging="360"/>
      </w:pPr>
      <w:rPr>
        <w:rFonts w:ascii="Courier New" w:hAnsi="Courier New" w:cs="Courier New" w:hint="default"/>
      </w:rPr>
    </w:lvl>
    <w:lvl w:ilvl="8" w:tplc="04060005">
      <w:start w:val="1"/>
      <w:numFmt w:val="bullet"/>
      <w:lvlText w:val=""/>
      <w:lvlJc w:val="left"/>
      <w:pPr>
        <w:tabs>
          <w:tab w:val="num" w:pos="6975"/>
        </w:tabs>
        <w:ind w:left="6975"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1162DCA"/>
    <w:multiLevelType w:val="hybridMultilevel"/>
    <w:tmpl w:val="CBB6B9F8"/>
    <w:lvl w:ilvl="0" w:tplc="A3F6BB04">
      <w:start w:val="1"/>
      <w:numFmt w:val="upperLetter"/>
      <w:lvlText w:val="%1."/>
      <w:lvlJc w:val="left"/>
      <w:pPr>
        <w:tabs>
          <w:tab w:val="num" w:pos="1211"/>
        </w:tabs>
        <w:ind w:left="1211" w:hanging="360"/>
      </w:pPr>
    </w:lvl>
    <w:lvl w:ilvl="1" w:tplc="04060019">
      <w:start w:val="1"/>
      <w:numFmt w:val="lowerLetter"/>
      <w:lvlText w:val="%2."/>
      <w:lvlJc w:val="left"/>
      <w:pPr>
        <w:tabs>
          <w:tab w:val="num" w:pos="1440"/>
        </w:tabs>
        <w:ind w:left="1440" w:hanging="360"/>
      </w:pPr>
    </w:lvl>
    <w:lvl w:ilvl="2" w:tplc="0406001B">
      <w:start w:val="1"/>
      <w:numFmt w:val="lowerRoman"/>
      <w:lvlText w:val="%3."/>
      <w:lvlJc w:val="right"/>
      <w:pPr>
        <w:tabs>
          <w:tab w:val="num" w:pos="2160"/>
        </w:tabs>
        <w:ind w:left="2160" w:hanging="180"/>
      </w:pPr>
    </w:lvl>
    <w:lvl w:ilvl="3" w:tplc="0406000F">
      <w:start w:val="1"/>
      <w:numFmt w:val="decimal"/>
      <w:lvlText w:val="%4."/>
      <w:lvlJc w:val="left"/>
      <w:pPr>
        <w:tabs>
          <w:tab w:val="num" w:pos="2880"/>
        </w:tabs>
        <w:ind w:left="2880" w:hanging="360"/>
      </w:pPr>
    </w:lvl>
    <w:lvl w:ilvl="4" w:tplc="04060019">
      <w:start w:val="1"/>
      <w:numFmt w:val="lowerLetter"/>
      <w:lvlText w:val="%5."/>
      <w:lvlJc w:val="left"/>
      <w:pPr>
        <w:tabs>
          <w:tab w:val="num" w:pos="3600"/>
        </w:tabs>
        <w:ind w:left="3600" w:hanging="360"/>
      </w:pPr>
    </w:lvl>
    <w:lvl w:ilvl="5" w:tplc="0406001B">
      <w:start w:val="1"/>
      <w:numFmt w:val="lowerRoman"/>
      <w:lvlText w:val="%6."/>
      <w:lvlJc w:val="right"/>
      <w:pPr>
        <w:tabs>
          <w:tab w:val="num" w:pos="4320"/>
        </w:tabs>
        <w:ind w:left="4320" w:hanging="180"/>
      </w:pPr>
    </w:lvl>
    <w:lvl w:ilvl="6" w:tplc="0406000F">
      <w:start w:val="1"/>
      <w:numFmt w:val="decimal"/>
      <w:lvlText w:val="%7."/>
      <w:lvlJc w:val="left"/>
      <w:pPr>
        <w:tabs>
          <w:tab w:val="num" w:pos="5040"/>
        </w:tabs>
        <w:ind w:left="5040" w:hanging="360"/>
      </w:pPr>
    </w:lvl>
    <w:lvl w:ilvl="7" w:tplc="04060019">
      <w:start w:val="1"/>
      <w:numFmt w:val="lowerLetter"/>
      <w:lvlText w:val="%8."/>
      <w:lvlJc w:val="left"/>
      <w:pPr>
        <w:tabs>
          <w:tab w:val="num" w:pos="5760"/>
        </w:tabs>
        <w:ind w:left="5760" w:hanging="360"/>
      </w:pPr>
    </w:lvl>
    <w:lvl w:ilvl="8" w:tplc="0406001B">
      <w:start w:val="1"/>
      <w:numFmt w:val="lowerRoman"/>
      <w:lvlText w:val="%9."/>
      <w:lvlJc w:val="right"/>
      <w:pPr>
        <w:tabs>
          <w:tab w:val="num" w:pos="6480"/>
        </w:tabs>
        <w:ind w:left="6480" w:hanging="180"/>
      </w:pPr>
    </w:lvl>
  </w:abstractNum>
  <w:abstractNum w:abstractNumId="7"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7"/>
  </w:num>
  <w:num w:numId="8">
    <w:abstractNumId w:val="8"/>
  </w:num>
  <w:num w:numId="9">
    <w:abstractNumId w:val="2"/>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ED3"/>
    <w:rsid w:val="000259B9"/>
    <w:rsid w:val="0003714A"/>
    <w:rsid w:val="00041491"/>
    <w:rsid w:val="00050D16"/>
    <w:rsid w:val="00074F2A"/>
    <w:rsid w:val="000A1CA8"/>
    <w:rsid w:val="000A466B"/>
    <w:rsid w:val="000B058C"/>
    <w:rsid w:val="000C708A"/>
    <w:rsid w:val="000E4EE6"/>
    <w:rsid w:val="00131FCE"/>
    <w:rsid w:val="001454E2"/>
    <w:rsid w:val="00161D86"/>
    <w:rsid w:val="00172B74"/>
    <w:rsid w:val="001E0ED3"/>
    <w:rsid w:val="00206CE8"/>
    <w:rsid w:val="0021526C"/>
    <w:rsid w:val="0026790C"/>
    <w:rsid w:val="00283A2B"/>
    <w:rsid w:val="002B30AD"/>
    <w:rsid w:val="002C2C01"/>
    <w:rsid w:val="0036761D"/>
    <w:rsid w:val="003A29AE"/>
    <w:rsid w:val="003A32D7"/>
    <w:rsid w:val="003B4074"/>
    <w:rsid w:val="003B7086"/>
    <w:rsid w:val="003C769A"/>
    <w:rsid w:val="003F1838"/>
    <w:rsid w:val="00400C7A"/>
    <w:rsid w:val="004050D2"/>
    <w:rsid w:val="0045746C"/>
    <w:rsid w:val="0049104B"/>
    <w:rsid w:val="004B58A7"/>
    <w:rsid w:val="004E3B12"/>
    <w:rsid w:val="00532310"/>
    <w:rsid w:val="00543547"/>
    <w:rsid w:val="00553B68"/>
    <w:rsid w:val="00560ECC"/>
    <w:rsid w:val="00565F0F"/>
    <w:rsid w:val="00585506"/>
    <w:rsid w:val="00594A86"/>
    <w:rsid w:val="00595D7E"/>
    <w:rsid w:val="00596D86"/>
    <w:rsid w:val="005B2B6C"/>
    <w:rsid w:val="00637F5A"/>
    <w:rsid w:val="006560B1"/>
    <w:rsid w:val="00666CC5"/>
    <w:rsid w:val="006756DD"/>
    <w:rsid w:val="006E036F"/>
    <w:rsid w:val="00737275"/>
    <w:rsid w:val="00740EEC"/>
    <w:rsid w:val="0078011A"/>
    <w:rsid w:val="00782AF4"/>
    <w:rsid w:val="00790EE7"/>
    <w:rsid w:val="007B2405"/>
    <w:rsid w:val="007B6649"/>
    <w:rsid w:val="0081546F"/>
    <w:rsid w:val="0082576E"/>
    <w:rsid w:val="00880BEA"/>
    <w:rsid w:val="00907F75"/>
    <w:rsid w:val="009260DE"/>
    <w:rsid w:val="0093258A"/>
    <w:rsid w:val="009C7BA3"/>
    <w:rsid w:val="009D1F5A"/>
    <w:rsid w:val="00A14441"/>
    <w:rsid w:val="00A70088"/>
    <w:rsid w:val="00AC4B5D"/>
    <w:rsid w:val="00B003BF"/>
    <w:rsid w:val="00B373D7"/>
    <w:rsid w:val="00B43284"/>
    <w:rsid w:val="00BF2CF3"/>
    <w:rsid w:val="00C36276"/>
    <w:rsid w:val="00C42586"/>
    <w:rsid w:val="00C60CCD"/>
    <w:rsid w:val="00C84483"/>
    <w:rsid w:val="00C95551"/>
    <w:rsid w:val="00CA5336"/>
    <w:rsid w:val="00CB20D7"/>
    <w:rsid w:val="00D020B0"/>
    <w:rsid w:val="00D11748"/>
    <w:rsid w:val="00D366CF"/>
    <w:rsid w:val="00DA26E3"/>
    <w:rsid w:val="00DE7C4C"/>
    <w:rsid w:val="00E108AA"/>
    <w:rsid w:val="00E1776F"/>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8BBDC2"/>
  <w15:chartTrackingRefBased/>
  <w15:docId w15:val="{1E0F1750-0736-49C5-B45F-A548883D7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qFormat/>
    <w:rsid w:val="00FB6D01"/>
    <w:pPr>
      <w:keepNext/>
      <w:spacing w:before="240" w:after="60"/>
      <w:outlineLvl w:val="0"/>
    </w:pPr>
    <w:rPr>
      <w:rFonts w:ascii="Arial" w:hAnsi="Arial"/>
      <w:b/>
      <w:kern w:val="28"/>
      <w:sz w:val="28"/>
    </w:rPr>
  </w:style>
  <w:style w:type="paragraph" w:styleId="Overskrift2">
    <w:name w:val="heading 2"/>
    <w:basedOn w:val="Normal"/>
    <w:next w:val="Normal"/>
    <w:link w:val="Overskrift2Tegn"/>
    <w:uiPriority w:val="9"/>
    <w:semiHidden/>
    <w:unhideWhenUsed/>
    <w:qFormat/>
    <w:rsid w:val="001E0ED3"/>
    <w:pPr>
      <w:keepNext/>
      <w:spacing w:before="240" w:after="60"/>
      <w:outlineLvl w:val="1"/>
    </w:pPr>
    <w:rPr>
      <w:rFonts w:asciiTheme="majorHAnsi" w:eastAsiaTheme="majorEastAsia" w:hAnsiTheme="majorHAnsi" w:cstheme="majorBidi"/>
      <w:b/>
      <w:bCs/>
      <w:i/>
      <w:iCs/>
      <w:sz w:val="28"/>
      <w:szCs w:val="28"/>
    </w:rPr>
  </w:style>
  <w:style w:type="paragraph" w:styleId="Overskrift3">
    <w:name w:val="heading 3"/>
    <w:basedOn w:val="Normal"/>
    <w:next w:val="Normal"/>
    <w:link w:val="Overskrift3Tegn"/>
    <w:qFormat/>
    <w:rsid w:val="00FB6D01"/>
    <w:pPr>
      <w:keepNext/>
      <w:spacing w:before="240" w:after="60"/>
      <w:outlineLvl w:val="2"/>
    </w:pPr>
    <w:rPr>
      <w:rFonts w:ascii="Arial" w:hAnsi="Arial"/>
      <w:sz w:val="24"/>
    </w:rPr>
  </w:style>
  <w:style w:type="paragraph" w:styleId="Overskrift5">
    <w:name w:val="heading 5"/>
    <w:basedOn w:val="Normal"/>
    <w:next w:val="Normal"/>
    <w:link w:val="Overskrift5Tegn"/>
    <w:semiHidden/>
    <w:unhideWhenUsed/>
    <w:qFormat/>
    <w:rsid w:val="001E0ED3"/>
    <w:pPr>
      <w:spacing w:before="240" w:after="60"/>
      <w:outlineLvl w:val="4"/>
    </w:pPr>
    <w:rPr>
      <w:b/>
      <w:bCs/>
      <w:i/>
      <w:iCs/>
      <w:sz w:val="26"/>
      <w:szCs w:val="26"/>
      <w:lang w:eastAsia="da-DK"/>
    </w:rPr>
  </w:style>
  <w:style w:type="paragraph" w:styleId="Overskrift6">
    <w:name w:val="heading 6"/>
    <w:basedOn w:val="Normal"/>
    <w:next w:val="Normal"/>
    <w:link w:val="Overskrift6Tegn"/>
    <w:semiHidden/>
    <w:unhideWhenUsed/>
    <w:qFormat/>
    <w:rsid w:val="001E0ED3"/>
    <w:pPr>
      <w:spacing w:before="240" w:after="60"/>
      <w:outlineLvl w:val="5"/>
    </w:pPr>
    <w:rPr>
      <w:b/>
      <w:bCs/>
      <w:sz w:val="22"/>
      <w:szCs w:val="22"/>
      <w:lang w:eastAsia="da-DK"/>
    </w:rPr>
  </w:style>
  <w:style w:type="paragraph" w:styleId="Overskrift8">
    <w:name w:val="heading 8"/>
    <w:basedOn w:val="Normal"/>
    <w:next w:val="Normal"/>
    <w:link w:val="Overskrift8Tegn"/>
    <w:semiHidden/>
    <w:unhideWhenUsed/>
    <w:qFormat/>
    <w:rsid w:val="001E0ED3"/>
    <w:pPr>
      <w:spacing w:before="240" w:after="60"/>
      <w:outlineLvl w:val="7"/>
    </w:pPr>
    <w:rPr>
      <w:i/>
      <w:i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link w:val="SidefodTegn"/>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Overskrift2Tegn">
    <w:name w:val="Overskrift 2 Tegn"/>
    <w:basedOn w:val="Standardskrifttypeiafsnit"/>
    <w:link w:val="Overskrift2"/>
    <w:uiPriority w:val="9"/>
    <w:semiHidden/>
    <w:rsid w:val="001E0ED3"/>
    <w:rPr>
      <w:rFonts w:asciiTheme="majorHAnsi" w:eastAsiaTheme="majorEastAsia" w:hAnsiTheme="majorHAnsi" w:cstheme="majorBidi"/>
      <w:b/>
      <w:bCs/>
      <w:i/>
      <w:iCs/>
      <w:sz w:val="28"/>
      <w:szCs w:val="28"/>
      <w:lang w:eastAsia="en-US"/>
    </w:rPr>
  </w:style>
  <w:style w:type="character" w:customStyle="1" w:styleId="Overskrift5Tegn">
    <w:name w:val="Overskrift 5 Tegn"/>
    <w:basedOn w:val="Standardskrifttypeiafsnit"/>
    <w:link w:val="Overskrift5"/>
    <w:semiHidden/>
    <w:rsid w:val="001E0ED3"/>
    <w:rPr>
      <w:b/>
      <w:bCs/>
      <w:i/>
      <w:iCs/>
      <w:sz w:val="26"/>
      <w:szCs w:val="26"/>
    </w:rPr>
  </w:style>
  <w:style w:type="character" w:customStyle="1" w:styleId="Overskrift6Tegn">
    <w:name w:val="Overskrift 6 Tegn"/>
    <w:basedOn w:val="Standardskrifttypeiafsnit"/>
    <w:link w:val="Overskrift6"/>
    <w:semiHidden/>
    <w:rsid w:val="001E0ED3"/>
    <w:rPr>
      <w:b/>
      <w:bCs/>
      <w:sz w:val="22"/>
      <w:szCs w:val="22"/>
    </w:rPr>
  </w:style>
  <w:style w:type="character" w:customStyle="1" w:styleId="Overskrift8Tegn">
    <w:name w:val="Overskrift 8 Tegn"/>
    <w:basedOn w:val="Standardskrifttypeiafsnit"/>
    <w:link w:val="Overskrift8"/>
    <w:semiHidden/>
    <w:rsid w:val="001E0ED3"/>
    <w:rPr>
      <w:i/>
      <w:iCs/>
      <w:sz w:val="24"/>
      <w:szCs w:val="24"/>
    </w:rPr>
  </w:style>
  <w:style w:type="character" w:styleId="Pladsholdertekst">
    <w:name w:val="Placeholder Text"/>
    <w:basedOn w:val="Standardskrifttypeiafsnit"/>
    <w:uiPriority w:val="99"/>
    <w:semiHidden/>
    <w:rsid w:val="001E0ED3"/>
    <w:rPr>
      <w:color w:val="808080"/>
    </w:rPr>
  </w:style>
  <w:style w:type="paragraph" w:customStyle="1" w:styleId="TableText">
    <w:name w:val="Table Text"/>
    <w:basedOn w:val="Normal"/>
    <w:rsid w:val="001E0ED3"/>
    <w:rPr>
      <w:rFonts w:ascii="CG Times (W1)" w:hAnsi="CG Times (W1)"/>
      <w:sz w:val="20"/>
      <w:lang w:val="en-GB"/>
    </w:rPr>
  </w:style>
  <w:style w:type="paragraph" w:customStyle="1" w:styleId="Default">
    <w:name w:val="Default"/>
    <w:rsid w:val="001E0ED3"/>
    <w:pPr>
      <w:autoSpaceDE w:val="0"/>
      <w:autoSpaceDN w:val="0"/>
      <w:adjustRightInd w:val="0"/>
    </w:pPr>
    <w:rPr>
      <w:rFonts w:ascii="Arial" w:hAnsi="Arial" w:cs="Arial"/>
      <w:color w:val="000000"/>
      <w:sz w:val="24"/>
      <w:szCs w:val="24"/>
      <w:lang w:val="en-US" w:eastAsia="en-US"/>
    </w:rPr>
  </w:style>
  <w:style w:type="paragraph" w:customStyle="1" w:styleId="DefaultText">
    <w:name w:val="Default Text"/>
    <w:basedOn w:val="Normal"/>
    <w:rsid w:val="001E0ED3"/>
    <w:pPr>
      <w:snapToGrid w:val="0"/>
    </w:pPr>
    <w:rPr>
      <w:sz w:val="24"/>
      <w:lang w:val="en-US" w:eastAsia="sv-SE"/>
    </w:rPr>
  </w:style>
  <w:style w:type="character" w:customStyle="1" w:styleId="longtext1">
    <w:name w:val="long_text1"/>
    <w:rsid w:val="001E0ED3"/>
    <w:rPr>
      <w:sz w:val="20"/>
      <w:szCs w:val="20"/>
    </w:rPr>
  </w:style>
  <w:style w:type="character" w:customStyle="1" w:styleId="Overskrift1Tegn">
    <w:name w:val="Overskrift 1 Tegn"/>
    <w:link w:val="Overskrift1"/>
    <w:rsid w:val="001E0ED3"/>
    <w:rPr>
      <w:rFonts w:ascii="Arial" w:hAnsi="Arial"/>
      <w:b/>
      <w:kern w:val="28"/>
      <w:sz w:val="28"/>
      <w:lang w:eastAsia="en-US"/>
    </w:rPr>
  </w:style>
  <w:style w:type="character" w:customStyle="1" w:styleId="Overskrift3Tegn">
    <w:name w:val="Overskrift 3 Tegn"/>
    <w:link w:val="Overskrift3"/>
    <w:rsid w:val="001E0ED3"/>
    <w:rPr>
      <w:rFonts w:ascii="Arial" w:hAnsi="Arial"/>
      <w:sz w:val="24"/>
      <w:lang w:eastAsia="en-US"/>
    </w:rPr>
  </w:style>
  <w:style w:type="paragraph" w:styleId="Brdtekstindrykning">
    <w:name w:val="Body Text Indent"/>
    <w:basedOn w:val="Normal"/>
    <w:link w:val="BrdtekstindrykningTegn"/>
    <w:unhideWhenUsed/>
    <w:rsid w:val="001E0ED3"/>
    <w:pPr>
      <w:spacing w:after="120"/>
      <w:ind w:left="283"/>
    </w:pPr>
    <w:rPr>
      <w:sz w:val="24"/>
      <w:lang w:eastAsia="da-DK"/>
    </w:rPr>
  </w:style>
  <w:style w:type="character" w:customStyle="1" w:styleId="BrdtekstindrykningTegn">
    <w:name w:val="Brødtekstindrykning Tegn"/>
    <w:basedOn w:val="Standardskrifttypeiafsnit"/>
    <w:link w:val="Brdtekstindrykning"/>
    <w:rsid w:val="001E0ED3"/>
    <w:rPr>
      <w:sz w:val="24"/>
    </w:rPr>
  </w:style>
  <w:style w:type="character" w:styleId="Hyperlink">
    <w:name w:val="Hyperlink"/>
    <w:semiHidden/>
    <w:unhideWhenUsed/>
    <w:rsid w:val="001E0ED3"/>
    <w:rPr>
      <w:color w:val="0000FF"/>
      <w:u w:val="single"/>
    </w:rPr>
  </w:style>
  <w:style w:type="character" w:customStyle="1" w:styleId="SidefodTegn">
    <w:name w:val="Sidefod Tegn"/>
    <w:link w:val="Sidefod"/>
    <w:rsid w:val="001E0ED3"/>
    <w:rPr>
      <w:sz w:val="23"/>
      <w:lang w:eastAsia="en-US"/>
    </w:rPr>
  </w:style>
  <w:style w:type="paragraph" w:styleId="Brdtekst">
    <w:name w:val="Body Text"/>
    <w:basedOn w:val="Normal"/>
    <w:link w:val="BrdtekstTegn"/>
    <w:semiHidden/>
    <w:unhideWhenUsed/>
    <w:rsid w:val="001E0ED3"/>
    <w:pPr>
      <w:spacing w:after="120"/>
    </w:pPr>
    <w:rPr>
      <w:sz w:val="24"/>
      <w:lang w:eastAsia="da-DK"/>
    </w:rPr>
  </w:style>
  <w:style w:type="character" w:customStyle="1" w:styleId="BrdtekstTegn">
    <w:name w:val="Brødtekst Tegn"/>
    <w:basedOn w:val="Standardskrifttypeiafsnit"/>
    <w:link w:val="Brdtekst"/>
    <w:semiHidden/>
    <w:rsid w:val="001E0ED3"/>
    <w:rPr>
      <w:sz w:val="24"/>
    </w:rPr>
  </w:style>
  <w:style w:type="character" w:customStyle="1" w:styleId="tw4winMark">
    <w:name w:val="tw4winMark"/>
    <w:rsid w:val="001E0ED3"/>
    <w:rPr>
      <w:rFonts w:ascii="Courier New" w:hAnsi="Courier New" w:cs="Courier New" w:hint="default"/>
      <w:vanish/>
      <w:webHidden w:val="0"/>
      <w:color w:val="800080"/>
      <w:sz w:val="24"/>
      <w:vertAlign w:val="subscript"/>
      <w:specVanish w:val="0"/>
    </w:rPr>
  </w:style>
  <w:style w:type="paragraph" w:styleId="NormalWeb">
    <w:name w:val="Normal (Web)"/>
    <w:basedOn w:val="Normal"/>
    <w:next w:val="Normal"/>
    <w:semiHidden/>
    <w:unhideWhenUsed/>
    <w:rsid w:val="001E0ED3"/>
    <w:pPr>
      <w:widowControl w:val="0"/>
      <w:autoSpaceDE w:val="0"/>
      <w:autoSpaceDN w:val="0"/>
      <w:adjustRightInd w:val="0"/>
      <w:spacing w:before="100" w:after="100"/>
    </w:pPr>
    <w:rPr>
      <w:sz w:val="24"/>
      <w:szCs w:val="24"/>
      <w:lang w:val="en-GB" w:eastAsia="en-GB"/>
    </w:rPr>
  </w:style>
  <w:style w:type="paragraph" w:customStyle="1" w:styleId="MGGTextLeft">
    <w:name w:val="MGG Text Left"/>
    <w:basedOn w:val="Brdtekst"/>
    <w:next w:val="Normal"/>
    <w:rsid w:val="001E0ED3"/>
    <w:pPr>
      <w:autoSpaceDN w:val="0"/>
      <w:spacing w:after="0"/>
    </w:pPr>
    <w:rPr>
      <w:sz w:val="22"/>
      <w:szCs w:val="24"/>
      <w:lang w:val="en-GB" w:eastAsia="en-US"/>
    </w:rPr>
  </w:style>
  <w:style w:type="character" w:customStyle="1" w:styleId="spelle">
    <w:name w:val="spelle"/>
    <w:rsid w:val="001E0ED3"/>
  </w:style>
  <w:style w:type="paragraph" w:customStyle="1" w:styleId="EMEANormal">
    <w:name w:val="EMEA Normal"/>
    <w:rsid w:val="001E0ED3"/>
    <w:pPr>
      <w:tabs>
        <w:tab w:val="left" w:pos="562"/>
      </w:tabs>
      <w:suppressAutoHyphens/>
    </w:pPr>
    <w:rPr>
      <w:sz w:val="22"/>
      <w:lang w:val="en-US" w:eastAsia="en-US"/>
    </w:rPr>
  </w:style>
  <w:style w:type="paragraph" w:styleId="Brdtekst2">
    <w:name w:val="Body Text 2"/>
    <w:basedOn w:val="Normal"/>
    <w:link w:val="Brdtekst2Tegn"/>
    <w:semiHidden/>
    <w:unhideWhenUsed/>
    <w:rsid w:val="001E0ED3"/>
    <w:pPr>
      <w:spacing w:after="120" w:line="480" w:lineRule="auto"/>
    </w:pPr>
    <w:rPr>
      <w:sz w:val="24"/>
      <w:lang w:eastAsia="da-DK"/>
    </w:rPr>
  </w:style>
  <w:style w:type="character" w:customStyle="1" w:styleId="Brdtekst2Tegn">
    <w:name w:val="Brødtekst 2 Tegn"/>
    <w:basedOn w:val="Standardskrifttypeiafsnit"/>
    <w:link w:val="Brdtekst2"/>
    <w:semiHidden/>
    <w:rsid w:val="001E0ED3"/>
    <w:rPr>
      <w:sz w:val="24"/>
    </w:rPr>
  </w:style>
  <w:style w:type="paragraph" w:styleId="Brdtekstindrykning2">
    <w:name w:val="Body Text Indent 2"/>
    <w:basedOn w:val="Normal"/>
    <w:link w:val="Brdtekstindrykning2Tegn"/>
    <w:semiHidden/>
    <w:unhideWhenUsed/>
    <w:rsid w:val="001E0ED3"/>
    <w:pPr>
      <w:spacing w:after="120" w:line="480" w:lineRule="auto"/>
      <w:ind w:left="283"/>
    </w:pPr>
    <w:rPr>
      <w:sz w:val="24"/>
      <w:lang w:eastAsia="da-DK"/>
    </w:rPr>
  </w:style>
  <w:style w:type="character" w:customStyle="1" w:styleId="Brdtekstindrykning2Tegn">
    <w:name w:val="Brødtekstindrykning 2 Tegn"/>
    <w:basedOn w:val="Standardskrifttypeiafsnit"/>
    <w:link w:val="Brdtekstindrykning2"/>
    <w:semiHidden/>
    <w:rsid w:val="001E0ED3"/>
    <w:rPr>
      <w:sz w:val="24"/>
    </w:rPr>
  </w:style>
  <w:style w:type="table" w:styleId="Tabel-Gitter">
    <w:name w:val="Table Grid"/>
    <w:basedOn w:val="Tabel-Normal"/>
    <w:uiPriority w:val="59"/>
    <w:rsid w:val="001E0E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713279">
      <w:bodyDiv w:val="1"/>
      <w:marLeft w:val="0"/>
      <w:marRight w:val="0"/>
      <w:marTop w:val="0"/>
      <w:marBottom w:val="0"/>
      <w:divBdr>
        <w:top w:val="none" w:sz="0" w:space="0" w:color="auto"/>
        <w:left w:val="none" w:sz="0" w:space="0" w:color="auto"/>
        <w:bottom w:val="none" w:sz="0" w:space="0" w:color="auto"/>
        <w:right w:val="none" w:sz="0" w:space="0" w:color="auto"/>
      </w:divBdr>
    </w:div>
    <w:div w:id="54475007">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95285293">
      <w:bodyDiv w:val="1"/>
      <w:marLeft w:val="0"/>
      <w:marRight w:val="0"/>
      <w:marTop w:val="0"/>
      <w:marBottom w:val="0"/>
      <w:divBdr>
        <w:top w:val="none" w:sz="0" w:space="0" w:color="auto"/>
        <w:left w:val="none" w:sz="0" w:space="0" w:color="auto"/>
        <w:bottom w:val="none" w:sz="0" w:space="0" w:color="auto"/>
        <w:right w:val="none" w:sz="0" w:space="0" w:color="auto"/>
      </w:divBdr>
    </w:div>
    <w:div w:id="689331037">
      <w:bodyDiv w:val="1"/>
      <w:marLeft w:val="0"/>
      <w:marRight w:val="0"/>
      <w:marTop w:val="0"/>
      <w:marBottom w:val="0"/>
      <w:divBdr>
        <w:top w:val="none" w:sz="0" w:space="0" w:color="auto"/>
        <w:left w:val="none" w:sz="0" w:space="0" w:color="auto"/>
        <w:bottom w:val="none" w:sz="0" w:space="0" w:color="auto"/>
        <w:right w:val="none" w:sz="0" w:space="0" w:color="auto"/>
      </w:divBdr>
    </w:div>
    <w:div w:id="1015422547">
      <w:bodyDiv w:val="1"/>
      <w:marLeft w:val="0"/>
      <w:marRight w:val="0"/>
      <w:marTop w:val="0"/>
      <w:marBottom w:val="0"/>
      <w:divBdr>
        <w:top w:val="none" w:sz="0" w:space="0" w:color="auto"/>
        <w:left w:val="none" w:sz="0" w:space="0" w:color="auto"/>
        <w:bottom w:val="none" w:sz="0" w:space="0" w:color="auto"/>
        <w:right w:val="none" w:sz="0" w:space="0" w:color="auto"/>
      </w:divBdr>
    </w:div>
    <w:div w:id="1212305681">
      <w:bodyDiv w:val="1"/>
      <w:marLeft w:val="0"/>
      <w:marRight w:val="0"/>
      <w:marTop w:val="0"/>
      <w:marBottom w:val="0"/>
      <w:divBdr>
        <w:top w:val="none" w:sz="0" w:space="0" w:color="auto"/>
        <w:left w:val="none" w:sz="0" w:space="0" w:color="auto"/>
        <w:bottom w:val="none" w:sz="0" w:space="0" w:color="auto"/>
        <w:right w:val="none" w:sz="0" w:space="0" w:color="auto"/>
      </w:divBdr>
    </w:div>
    <w:div w:id="1712656387">
      <w:bodyDiv w:val="1"/>
      <w:marLeft w:val="0"/>
      <w:marRight w:val="0"/>
      <w:marTop w:val="0"/>
      <w:marBottom w:val="0"/>
      <w:divBdr>
        <w:top w:val="none" w:sz="0" w:space="0" w:color="auto"/>
        <w:left w:val="none" w:sz="0" w:space="0" w:color="auto"/>
        <w:bottom w:val="none" w:sz="0" w:space="0" w:color="auto"/>
        <w:right w:val="none" w:sz="0" w:space="0" w:color="auto"/>
      </w:divBdr>
    </w:div>
    <w:div w:id="1845900310">
      <w:bodyDiv w:val="1"/>
      <w:marLeft w:val="0"/>
      <w:marRight w:val="0"/>
      <w:marTop w:val="0"/>
      <w:marBottom w:val="0"/>
      <w:divBdr>
        <w:top w:val="none" w:sz="0" w:space="0" w:color="auto"/>
        <w:left w:val="none" w:sz="0" w:space="0" w:color="auto"/>
        <w:bottom w:val="none" w:sz="0" w:space="0" w:color="auto"/>
        <w:right w:val="none" w:sz="0" w:space="0" w:color="auto"/>
      </w:divBdr>
    </w:div>
    <w:div w:id="2029477550">
      <w:bodyDiv w:val="1"/>
      <w:marLeft w:val="0"/>
      <w:marRight w:val="0"/>
      <w:marTop w:val="0"/>
      <w:marBottom w:val="0"/>
      <w:divBdr>
        <w:top w:val="none" w:sz="0" w:space="0" w:color="auto"/>
        <w:left w:val="none" w:sz="0" w:space="0" w:color="auto"/>
        <w:bottom w:val="none" w:sz="0" w:space="0" w:color="auto"/>
        <w:right w:val="none" w:sz="0" w:space="0" w:color="auto"/>
      </w:divBdr>
    </w:div>
    <w:div w:id="2032804118">
      <w:bodyDiv w:val="1"/>
      <w:marLeft w:val="0"/>
      <w:marRight w:val="0"/>
      <w:marTop w:val="0"/>
      <w:marBottom w:val="0"/>
      <w:divBdr>
        <w:top w:val="none" w:sz="0" w:space="0" w:color="auto"/>
        <w:left w:val="none" w:sz="0" w:space="0" w:color="auto"/>
        <w:bottom w:val="none" w:sz="0" w:space="0" w:color="auto"/>
        <w:right w:val="none" w:sz="0" w:space="0" w:color="auto"/>
      </w:divBdr>
    </w:div>
    <w:div w:id="2055502596">
      <w:bodyDiv w:val="1"/>
      <w:marLeft w:val="0"/>
      <w:marRight w:val="0"/>
      <w:marTop w:val="0"/>
      <w:marBottom w:val="0"/>
      <w:divBdr>
        <w:top w:val="none" w:sz="0" w:space="0" w:color="auto"/>
        <w:left w:val="none" w:sz="0" w:space="0" w:color="auto"/>
        <w:bottom w:val="none" w:sz="0" w:space="0" w:color="auto"/>
        <w:right w:val="none" w:sz="0" w:space="0" w:color="auto"/>
      </w:divBdr>
    </w:div>
    <w:div w:id="2064477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hebody.com/glossarysearch.php?id=768"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meldenbivirkning.dk" TargetMode="External"/><Relationship Id="rId4" Type="http://schemas.openxmlformats.org/officeDocument/2006/relationships/webSettings" Target="webSettings.xml"/><Relationship Id="rId9" Type="http://schemas.openxmlformats.org/officeDocument/2006/relationships/hyperlink" Target="http://www.thebody.com/glossarysearch.php?id=769"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Pages>
  <Words>7229</Words>
  <Characters>49456</Characters>
  <Application>Microsoft Office Word</Application>
  <DocSecurity>0</DocSecurity>
  <Lines>412</Lines>
  <Paragraphs>113</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56572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2024061128_x000d_
Ændring af MAH adressse</dc:description>
  <cp:lastModifiedBy>Marianne Ott Jensen</cp:lastModifiedBy>
  <cp:revision>3</cp:revision>
  <cp:lastPrinted>2012-08-22T08:53:00Z</cp:lastPrinted>
  <dcterms:created xsi:type="dcterms:W3CDTF">2024-08-05T11:06:00Z</dcterms:created>
  <dcterms:modified xsi:type="dcterms:W3CDTF">2024-08-05T11:07:00Z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