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858" w:rsidRDefault="00CA5858" w:rsidP="00CA5858">
      <w:r>
        <w:rPr>
          <w:noProof/>
          <w:lang w:eastAsia="da-DK"/>
        </w:rPr>
        <w:drawing>
          <wp:inline distT="0" distB="0" distL="0" distR="0" wp14:anchorId="65D88F99" wp14:editId="4009CAE8">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7B7134" w:rsidRDefault="007B7134" w:rsidP="00CA5858"/>
    <w:p w:rsidR="00CA5858" w:rsidRPr="0093258A" w:rsidRDefault="00CA5858" w:rsidP="00CA5858">
      <w:pPr>
        <w:pStyle w:val="Titel"/>
        <w:tabs>
          <w:tab w:val="right" w:pos="9356"/>
        </w:tabs>
        <w:jc w:val="left"/>
        <w:rPr>
          <w:szCs w:val="24"/>
        </w:rPr>
      </w:pPr>
      <w:r>
        <w:rPr>
          <w:b w:val="0"/>
          <w:sz w:val="23"/>
          <w:lang w:eastAsia="en-US"/>
        </w:rPr>
        <w:tab/>
      </w:r>
      <w:r w:rsidR="00B957E7">
        <w:rPr>
          <w:szCs w:val="24"/>
        </w:rPr>
        <w:t>1</w:t>
      </w:r>
      <w:r w:rsidR="00357D2B">
        <w:rPr>
          <w:szCs w:val="24"/>
        </w:rPr>
        <w:t>3</w:t>
      </w:r>
      <w:r w:rsidR="00851838">
        <w:rPr>
          <w:szCs w:val="24"/>
        </w:rPr>
        <w:t>. november 2024</w:t>
      </w:r>
    </w:p>
    <w:p w:rsidR="00CA5858" w:rsidRDefault="00CA5858" w:rsidP="00CA5858">
      <w:pPr>
        <w:pStyle w:val="Titel"/>
        <w:jc w:val="left"/>
        <w:rPr>
          <w:b w:val="0"/>
        </w:rPr>
      </w:pPr>
    </w:p>
    <w:p w:rsidR="00B957E7" w:rsidRDefault="00B957E7" w:rsidP="00CA5858">
      <w:pPr>
        <w:pStyle w:val="Titel"/>
        <w:jc w:val="left"/>
        <w:rPr>
          <w:b w:val="0"/>
        </w:rPr>
      </w:pPr>
    </w:p>
    <w:p w:rsidR="00B957E7" w:rsidRDefault="00B957E7" w:rsidP="00CA5858">
      <w:pPr>
        <w:pStyle w:val="Titel"/>
        <w:jc w:val="left"/>
        <w:rPr>
          <w:b w:val="0"/>
        </w:rPr>
      </w:pPr>
    </w:p>
    <w:p w:rsidR="00CA5858" w:rsidRPr="00EC0B9B" w:rsidRDefault="00CA5858" w:rsidP="00CA5858">
      <w:pPr>
        <w:jc w:val="center"/>
        <w:rPr>
          <w:b/>
          <w:sz w:val="24"/>
          <w:szCs w:val="24"/>
        </w:rPr>
      </w:pPr>
      <w:r w:rsidRPr="00EC0B9B">
        <w:rPr>
          <w:b/>
          <w:sz w:val="24"/>
          <w:szCs w:val="24"/>
        </w:rPr>
        <w:t>PRODUKTRESUMÉ</w:t>
      </w:r>
    </w:p>
    <w:p w:rsidR="00CA5858" w:rsidRPr="00EC0B9B" w:rsidRDefault="00CA5858" w:rsidP="00CA5858">
      <w:pPr>
        <w:jc w:val="center"/>
        <w:rPr>
          <w:b/>
          <w:sz w:val="24"/>
          <w:szCs w:val="24"/>
        </w:rPr>
      </w:pPr>
    </w:p>
    <w:p w:rsidR="00CA5858" w:rsidRPr="00EC0B9B" w:rsidRDefault="00CA5858" w:rsidP="00CA5858">
      <w:pPr>
        <w:jc w:val="center"/>
        <w:rPr>
          <w:b/>
          <w:sz w:val="24"/>
          <w:szCs w:val="24"/>
        </w:rPr>
      </w:pPr>
      <w:r w:rsidRPr="00EC0B9B">
        <w:rPr>
          <w:b/>
          <w:sz w:val="24"/>
          <w:szCs w:val="24"/>
        </w:rPr>
        <w:t>for</w:t>
      </w:r>
    </w:p>
    <w:p w:rsidR="00CA5858" w:rsidRPr="00EC0B9B" w:rsidRDefault="00CA5858" w:rsidP="00CA5858">
      <w:pPr>
        <w:jc w:val="center"/>
        <w:rPr>
          <w:b/>
          <w:sz w:val="24"/>
          <w:szCs w:val="24"/>
        </w:rPr>
      </w:pPr>
    </w:p>
    <w:p w:rsidR="00CA5858" w:rsidRPr="0049104B" w:rsidRDefault="00CA5858" w:rsidP="00CA5858">
      <w:pPr>
        <w:jc w:val="center"/>
        <w:rPr>
          <w:b/>
          <w:sz w:val="24"/>
          <w:szCs w:val="24"/>
        </w:rPr>
      </w:pPr>
      <w:r>
        <w:rPr>
          <w:b/>
          <w:sz w:val="24"/>
          <w:szCs w:val="24"/>
        </w:rPr>
        <w:t xml:space="preserve">Clarithromycin </w:t>
      </w:r>
      <w:r w:rsidR="005A561F">
        <w:rPr>
          <w:b/>
          <w:sz w:val="24"/>
          <w:szCs w:val="24"/>
        </w:rPr>
        <w:t>"</w:t>
      </w:r>
      <w:r>
        <w:rPr>
          <w:b/>
          <w:sz w:val="24"/>
          <w:szCs w:val="24"/>
        </w:rPr>
        <w:t>Teva</w:t>
      </w:r>
      <w:r w:rsidR="005A561F">
        <w:rPr>
          <w:b/>
          <w:sz w:val="24"/>
          <w:szCs w:val="24"/>
        </w:rPr>
        <w:t>"</w:t>
      </w:r>
      <w:r>
        <w:rPr>
          <w:b/>
          <w:sz w:val="24"/>
          <w:szCs w:val="24"/>
        </w:rPr>
        <w:t>, filmovertrukne tabletter</w:t>
      </w:r>
    </w:p>
    <w:p w:rsidR="00CA5858" w:rsidRPr="00EC0B9B" w:rsidRDefault="00CA5858" w:rsidP="00CA5858">
      <w:pPr>
        <w:jc w:val="both"/>
        <w:rPr>
          <w:sz w:val="24"/>
          <w:szCs w:val="24"/>
        </w:rPr>
      </w:pPr>
    </w:p>
    <w:p w:rsidR="00CA5858" w:rsidRPr="005A561F" w:rsidRDefault="00CA5858" w:rsidP="00CA5858">
      <w:pPr>
        <w:ind w:left="851" w:hanging="851"/>
        <w:jc w:val="both"/>
        <w:rPr>
          <w:sz w:val="24"/>
          <w:szCs w:val="24"/>
        </w:rPr>
      </w:pPr>
    </w:p>
    <w:p w:rsidR="00F26B82" w:rsidRPr="00C84483" w:rsidRDefault="00F26B82" w:rsidP="00F26B82">
      <w:pPr>
        <w:tabs>
          <w:tab w:val="left" w:pos="851"/>
        </w:tabs>
        <w:ind w:left="851" w:hanging="851"/>
        <w:rPr>
          <w:b/>
          <w:sz w:val="24"/>
          <w:szCs w:val="24"/>
        </w:rPr>
      </w:pPr>
      <w:r w:rsidRPr="00C84483">
        <w:rPr>
          <w:b/>
          <w:sz w:val="24"/>
          <w:szCs w:val="24"/>
        </w:rPr>
        <w:t>0.</w:t>
      </w:r>
      <w:r w:rsidRPr="00C84483">
        <w:rPr>
          <w:b/>
          <w:sz w:val="24"/>
          <w:szCs w:val="24"/>
        </w:rPr>
        <w:tab/>
        <w:t>D.SP.NR.</w:t>
      </w:r>
    </w:p>
    <w:p w:rsidR="00CA5858" w:rsidRPr="005A561F" w:rsidRDefault="00CA5858" w:rsidP="00CA5858">
      <w:pPr>
        <w:ind w:left="851" w:hanging="851"/>
        <w:rPr>
          <w:sz w:val="24"/>
          <w:szCs w:val="24"/>
        </w:rPr>
      </w:pPr>
      <w:r w:rsidRPr="005A561F">
        <w:rPr>
          <w:sz w:val="24"/>
          <w:szCs w:val="24"/>
        </w:rPr>
        <w:tab/>
        <w:t>26075</w:t>
      </w:r>
    </w:p>
    <w:p w:rsidR="00CA5858" w:rsidRPr="005A561F" w:rsidRDefault="00CA5858" w:rsidP="00CA5858">
      <w:pPr>
        <w:ind w:left="851" w:hanging="851"/>
        <w:rPr>
          <w:sz w:val="24"/>
          <w:szCs w:val="24"/>
        </w:rPr>
      </w:pPr>
    </w:p>
    <w:p w:rsidR="00F26B82" w:rsidRPr="00C84483" w:rsidRDefault="00F26B82" w:rsidP="00F26B82">
      <w:pPr>
        <w:tabs>
          <w:tab w:val="left" w:pos="851"/>
        </w:tabs>
        <w:ind w:left="851" w:hanging="851"/>
        <w:rPr>
          <w:b/>
          <w:sz w:val="24"/>
          <w:szCs w:val="24"/>
        </w:rPr>
      </w:pPr>
      <w:r w:rsidRPr="00C84483">
        <w:rPr>
          <w:b/>
          <w:sz w:val="24"/>
          <w:szCs w:val="24"/>
        </w:rPr>
        <w:t>1.</w:t>
      </w:r>
      <w:r w:rsidRPr="00C84483">
        <w:rPr>
          <w:b/>
          <w:sz w:val="24"/>
          <w:szCs w:val="24"/>
        </w:rPr>
        <w:tab/>
        <w:t>LÆGEMIDLETS NAVN</w:t>
      </w:r>
    </w:p>
    <w:p w:rsidR="00CA5858" w:rsidRPr="005A561F" w:rsidRDefault="00CA5858" w:rsidP="00CA5858">
      <w:pPr>
        <w:ind w:left="851"/>
        <w:rPr>
          <w:sz w:val="24"/>
          <w:szCs w:val="24"/>
        </w:rPr>
      </w:pPr>
      <w:r w:rsidRPr="005A561F">
        <w:rPr>
          <w:sz w:val="24"/>
          <w:szCs w:val="24"/>
        </w:rPr>
        <w:t xml:space="preserve">Clarithromycin </w:t>
      </w:r>
      <w:r w:rsidR="005A561F" w:rsidRPr="005A561F">
        <w:rPr>
          <w:sz w:val="24"/>
          <w:szCs w:val="24"/>
        </w:rPr>
        <w:t>"</w:t>
      </w:r>
      <w:r w:rsidRPr="005A561F">
        <w:rPr>
          <w:sz w:val="24"/>
          <w:szCs w:val="24"/>
        </w:rPr>
        <w:t>Teva</w:t>
      </w:r>
      <w:r w:rsidR="005A561F" w:rsidRPr="005A561F">
        <w:rPr>
          <w:sz w:val="24"/>
          <w:szCs w:val="24"/>
        </w:rPr>
        <w:t>"</w:t>
      </w:r>
    </w:p>
    <w:p w:rsidR="00CA5858" w:rsidRPr="005A561F" w:rsidRDefault="00CA5858" w:rsidP="00CA5858">
      <w:pPr>
        <w:ind w:left="851" w:hanging="851"/>
        <w:rPr>
          <w:sz w:val="24"/>
          <w:szCs w:val="24"/>
        </w:rPr>
      </w:pPr>
      <w:r w:rsidRPr="005A561F">
        <w:rPr>
          <w:sz w:val="24"/>
          <w:szCs w:val="24"/>
        </w:rPr>
        <w:tab/>
      </w:r>
    </w:p>
    <w:p w:rsidR="00F26B82" w:rsidRPr="00C84483" w:rsidRDefault="00F26B82" w:rsidP="00F26B82">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5570C" w:rsidRDefault="00C5570C" w:rsidP="00454E46">
      <w:pPr>
        <w:ind w:left="851"/>
        <w:rPr>
          <w:sz w:val="24"/>
          <w:szCs w:val="24"/>
        </w:rPr>
      </w:pPr>
    </w:p>
    <w:p w:rsidR="00C5570C" w:rsidRPr="00454E46" w:rsidRDefault="00454E46" w:rsidP="00454E46">
      <w:pPr>
        <w:ind w:left="851"/>
        <w:rPr>
          <w:sz w:val="24"/>
          <w:szCs w:val="24"/>
          <w:u w:val="single"/>
        </w:rPr>
      </w:pPr>
      <w:r w:rsidRPr="00454E46">
        <w:rPr>
          <w:sz w:val="24"/>
          <w:szCs w:val="24"/>
          <w:u w:val="single"/>
        </w:rPr>
        <w:t>250 mg</w:t>
      </w:r>
    </w:p>
    <w:p w:rsidR="00454E46" w:rsidRPr="005A561F" w:rsidRDefault="00454E46" w:rsidP="00454E46">
      <w:pPr>
        <w:ind w:left="851"/>
        <w:rPr>
          <w:sz w:val="24"/>
          <w:szCs w:val="24"/>
        </w:rPr>
      </w:pPr>
      <w:r w:rsidRPr="005A561F">
        <w:rPr>
          <w:sz w:val="24"/>
          <w:szCs w:val="24"/>
        </w:rPr>
        <w:t>Hver filmovertrukket tablet indeholder 250 mg clarithromycin.</w:t>
      </w:r>
    </w:p>
    <w:p w:rsidR="00454E46" w:rsidRDefault="00454E46" w:rsidP="00454E46">
      <w:pPr>
        <w:ind w:left="851"/>
        <w:rPr>
          <w:sz w:val="24"/>
          <w:szCs w:val="24"/>
        </w:rPr>
      </w:pPr>
    </w:p>
    <w:p w:rsidR="00454E46" w:rsidRPr="003F332C" w:rsidRDefault="00454E46" w:rsidP="00454E46">
      <w:pPr>
        <w:ind w:left="851"/>
        <w:rPr>
          <w:i/>
          <w:sz w:val="24"/>
          <w:szCs w:val="24"/>
        </w:rPr>
      </w:pPr>
      <w:r w:rsidRPr="003F332C">
        <w:rPr>
          <w:i/>
          <w:sz w:val="24"/>
          <w:szCs w:val="24"/>
        </w:rPr>
        <w:t>Hjælpestoffer, som behandleren skal være opmærksom på</w:t>
      </w:r>
    </w:p>
    <w:p w:rsidR="003F332C" w:rsidRPr="005A561F" w:rsidRDefault="003F332C" w:rsidP="003F332C">
      <w:pPr>
        <w:ind w:left="851"/>
        <w:rPr>
          <w:sz w:val="24"/>
          <w:szCs w:val="24"/>
        </w:rPr>
      </w:pPr>
      <w:r>
        <w:rPr>
          <w:sz w:val="24"/>
          <w:szCs w:val="24"/>
        </w:rPr>
        <w:t xml:space="preserve">Hver </w:t>
      </w:r>
      <w:r w:rsidRPr="005A561F">
        <w:rPr>
          <w:sz w:val="24"/>
          <w:szCs w:val="24"/>
        </w:rPr>
        <w:t xml:space="preserve">filmovertrukket </w:t>
      </w:r>
      <w:r>
        <w:rPr>
          <w:sz w:val="24"/>
          <w:szCs w:val="24"/>
        </w:rPr>
        <w:t xml:space="preserve">tablet </w:t>
      </w:r>
      <w:r w:rsidRPr="00615789">
        <w:rPr>
          <w:sz w:val="24"/>
          <w:szCs w:val="24"/>
        </w:rPr>
        <w:t xml:space="preserve">indeholder </w:t>
      </w:r>
      <w:r w:rsidRPr="005A561F">
        <w:rPr>
          <w:sz w:val="24"/>
          <w:szCs w:val="24"/>
        </w:rPr>
        <w:t>0,30 mg tartrazin aluminium lake (E102) og 0,008 mg Allura Red</w:t>
      </w:r>
      <w:r w:rsidR="00A3606A">
        <w:rPr>
          <w:sz w:val="24"/>
          <w:szCs w:val="24"/>
        </w:rPr>
        <w:t xml:space="preserve"> AC</w:t>
      </w:r>
      <w:r w:rsidRPr="005A561F">
        <w:rPr>
          <w:sz w:val="24"/>
          <w:szCs w:val="24"/>
        </w:rPr>
        <w:t xml:space="preserve"> </w:t>
      </w:r>
      <w:r w:rsidR="00A3606A">
        <w:rPr>
          <w:sz w:val="24"/>
          <w:szCs w:val="24"/>
        </w:rPr>
        <w:t>a</w:t>
      </w:r>
      <w:r w:rsidRPr="005A561F">
        <w:rPr>
          <w:sz w:val="24"/>
          <w:szCs w:val="24"/>
        </w:rPr>
        <w:t xml:space="preserve">luminium </w:t>
      </w:r>
      <w:r w:rsidR="00A3606A">
        <w:rPr>
          <w:sz w:val="24"/>
          <w:szCs w:val="24"/>
        </w:rPr>
        <w:t>l</w:t>
      </w:r>
      <w:r w:rsidRPr="005A561F">
        <w:rPr>
          <w:sz w:val="24"/>
          <w:szCs w:val="24"/>
        </w:rPr>
        <w:t>ake (E129)</w:t>
      </w:r>
      <w:r>
        <w:rPr>
          <w:sz w:val="24"/>
          <w:szCs w:val="24"/>
        </w:rPr>
        <w:t>.</w:t>
      </w:r>
    </w:p>
    <w:p w:rsidR="00C5570C" w:rsidRDefault="00C5570C" w:rsidP="00454E46">
      <w:pPr>
        <w:ind w:left="851"/>
        <w:rPr>
          <w:sz w:val="24"/>
          <w:szCs w:val="24"/>
        </w:rPr>
      </w:pPr>
    </w:p>
    <w:p w:rsidR="00454E46" w:rsidRPr="00454E46" w:rsidRDefault="00454E46" w:rsidP="00454E46">
      <w:pPr>
        <w:ind w:left="851"/>
        <w:rPr>
          <w:sz w:val="24"/>
          <w:szCs w:val="24"/>
          <w:u w:val="single"/>
        </w:rPr>
      </w:pPr>
      <w:r w:rsidRPr="00454E46">
        <w:rPr>
          <w:sz w:val="24"/>
          <w:szCs w:val="24"/>
          <w:u w:val="single"/>
        </w:rPr>
        <w:t>500 mg</w:t>
      </w:r>
    </w:p>
    <w:p w:rsidR="00CA5858" w:rsidRPr="005A561F" w:rsidRDefault="00CA5858" w:rsidP="00454E46">
      <w:pPr>
        <w:ind w:left="851"/>
        <w:rPr>
          <w:sz w:val="24"/>
          <w:szCs w:val="24"/>
        </w:rPr>
      </w:pPr>
      <w:r w:rsidRPr="005A561F">
        <w:rPr>
          <w:sz w:val="24"/>
          <w:szCs w:val="24"/>
        </w:rPr>
        <w:t>Hver filmovertrukket tablet indeholder 500 mg clarithromycin.</w:t>
      </w:r>
    </w:p>
    <w:p w:rsidR="00CA5858" w:rsidRPr="005A561F" w:rsidRDefault="00CA5858" w:rsidP="00454E46">
      <w:pPr>
        <w:ind w:left="851"/>
        <w:rPr>
          <w:sz w:val="24"/>
          <w:szCs w:val="24"/>
        </w:rPr>
      </w:pPr>
    </w:p>
    <w:p w:rsidR="00CA5858" w:rsidRPr="003F332C" w:rsidRDefault="00CA5858" w:rsidP="00454E46">
      <w:pPr>
        <w:ind w:left="851"/>
        <w:rPr>
          <w:i/>
          <w:sz w:val="24"/>
          <w:szCs w:val="24"/>
        </w:rPr>
      </w:pPr>
      <w:r w:rsidRPr="003F332C">
        <w:rPr>
          <w:i/>
          <w:sz w:val="24"/>
          <w:szCs w:val="24"/>
        </w:rPr>
        <w:t>Hjælpestoffer, som behandleren skal være opmærksom på</w:t>
      </w:r>
    </w:p>
    <w:p w:rsidR="00CA5858" w:rsidRPr="005A561F" w:rsidRDefault="003F332C" w:rsidP="00454E46">
      <w:pPr>
        <w:ind w:left="851"/>
        <w:rPr>
          <w:sz w:val="24"/>
          <w:szCs w:val="24"/>
        </w:rPr>
      </w:pPr>
      <w:r>
        <w:rPr>
          <w:sz w:val="24"/>
          <w:szCs w:val="24"/>
        </w:rPr>
        <w:t xml:space="preserve">Hver </w:t>
      </w:r>
      <w:r w:rsidRPr="005A561F">
        <w:rPr>
          <w:sz w:val="24"/>
          <w:szCs w:val="24"/>
        </w:rPr>
        <w:t xml:space="preserve">filmovertrukket </w:t>
      </w:r>
      <w:r>
        <w:rPr>
          <w:sz w:val="24"/>
          <w:szCs w:val="24"/>
        </w:rPr>
        <w:t xml:space="preserve">tablet </w:t>
      </w:r>
      <w:r w:rsidRPr="00615789">
        <w:rPr>
          <w:sz w:val="24"/>
          <w:szCs w:val="24"/>
        </w:rPr>
        <w:t xml:space="preserve">indeholder </w:t>
      </w:r>
      <w:r w:rsidR="00CA5858" w:rsidRPr="005A561F">
        <w:rPr>
          <w:sz w:val="24"/>
          <w:szCs w:val="24"/>
        </w:rPr>
        <w:t>14 mg tartrazin aluminium lake (E102) og 0,001 mg Allura Red</w:t>
      </w:r>
      <w:r w:rsidR="00A3606A">
        <w:rPr>
          <w:sz w:val="24"/>
          <w:szCs w:val="24"/>
        </w:rPr>
        <w:t xml:space="preserve"> AC</w:t>
      </w:r>
      <w:r w:rsidR="00CA5858" w:rsidRPr="005A561F">
        <w:rPr>
          <w:sz w:val="24"/>
          <w:szCs w:val="24"/>
        </w:rPr>
        <w:t xml:space="preserve"> </w:t>
      </w:r>
      <w:r w:rsidR="00A3606A">
        <w:rPr>
          <w:sz w:val="24"/>
          <w:szCs w:val="24"/>
        </w:rPr>
        <w:t>a</w:t>
      </w:r>
      <w:r w:rsidR="00CA5858" w:rsidRPr="005A561F">
        <w:rPr>
          <w:sz w:val="24"/>
          <w:szCs w:val="24"/>
        </w:rPr>
        <w:t xml:space="preserve">luminium </w:t>
      </w:r>
      <w:r w:rsidR="00A3606A">
        <w:rPr>
          <w:sz w:val="24"/>
          <w:szCs w:val="24"/>
        </w:rPr>
        <w:t>l</w:t>
      </w:r>
      <w:r w:rsidR="00CA5858" w:rsidRPr="005A561F">
        <w:rPr>
          <w:sz w:val="24"/>
          <w:szCs w:val="24"/>
        </w:rPr>
        <w:t>ake (E129)</w:t>
      </w:r>
      <w:r w:rsidR="006C2703">
        <w:rPr>
          <w:sz w:val="24"/>
          <w:szCs w:val="24"/>
        </w:rPr>
        <w:t>.</w:t>
      </w:r>
    </w:p>
    <w:p w:rsidR="00CA5858" w:rsidRPr="005A561F" w:rsidRDefault="00CA5858" w:rsidP="00454E46">
      <w:pPr>
        <w:ind w:left="851"/>
        <w:rPr>
          <w:sz w:val="24"/>
          <w:szCs w:val="24"/>
        </w:rPr>
      </w:pPr>
    </w:p>
    <w:p w:rsidR="00CA5858" w:rsidRPr="005A561F" w:rsidRDefault="00CA5858" w:rsidP="00454E46">
      <w:pPr>
        <w:ind w:left="851"/>
        <w:rPr>
          <w:sz w:val="24"/>
          <w:szCs w:val="24"/>
        </w:rPr>
      </w:pPr>
      <w:r w:rsidRPr="005A561F">
        <w:rPr>
          <w:sz w:val="24"/>
          <w:szCs w:val="24"/>
        </w:rPr>
        <w:t>Alle hjælpestoffer er anført under pkt. 6.1.</w:t>
      </w:r>
    </w:p>
    <w:p w:rsidR="00CA5858" w:rsidRPr="005A561F" w:rsidRDefault="00CA5858" w:rsidP="00454E46">
      <w:pPr>
        <w:ind w:left="851"/>
        <w:rPr>
          <w:sz w:val="24"/>
          <w:szCs w:val="24"/>
        </w:rPr>
      </w:pPr>
    </w:p>
    <w:p w:rsidR="00F26B82" w:rsidRPr="00C84483" w:rsidRDefault="00F26B82" w:rsidP="00F26B82">
      <w:pPr>
        <w:tabs>
          <w:tab w:val="left" w:pos="851"/>
        </w:tabs>
        <w:ind w:left="851" w:hanging="851"/>
        <w:rPr>
          <w:b/>
          <w:sz w:val="24"/>
          <w:szCs w:val="24"/>
        </w:rPr>
      </w:pPr>
      <w:r w:rsidRPr="00C84483">
        <w:rPr>
          <w:b/>
          <w:sz w:val="24"/>
          <w:szCs w:val="24"/>
        </w:rPr>
        <w:t>3.</w:t>
      </w:r>
      <w:r w:rsidRPr="00C84483">
        <w:rPr>
          <w:b/>
          <w:sz w:val="24"/>
          <w:szCs w:val="24"/>
        </w:rPr>
        <w:tab/>
        <w:t>LÆGEMIDDELFORM</w:t>
      </w:r>
    </w:p>
    <w:p w:rsidR="00CA5858" w:rsidRPr="005A561F" w:rsidRDefault="00CA5858" w:rsidP="00CA5858">
      <w:pPr>
        <w:ind w:left="851" w:hanging="851"/>
        <w:rPr>
          <w:sz w:val="24"/>
          <w:szCs w:val="24"/>
        </w:rPr>
      </w:pPr>
      <w:r w:rsidRPr="005A561F">
        <w:rPr>
          <w:sz w:val="24"/>
          <w:szCs w:val="24"/>
        </w:rPr>
        <w:tab/>
        <w:t>Filmovertrukne tabletter</w:t>
      </w:r>
    </w:p>
    <w:p w:rsidR="00CA5858" w:rsidRPr="005A561F" w:rsidRDefault="00CA5858" w:rsidP="00CA5858">
      <w:pPr>
        <w:ind w:left="851" w:hanging="851"/>
        <w:rPr>
          <w:sz w:val="24"/>
          <w:szCs w:val="24"/>
        </w:rPr>
      </w:pPr>
    </w:p>
    <w:p w:rsidR="00CA5858" w:rsidRPr="005A561F" w:rsidRDefault="00CA5858" w:rsidP="00CA5858">
      <w:pPr>
        <w:ind w:left="851"/>
        <w:rPr>
          <w:sz w:val="24"/>
          <w:szCs w:val="24"/>
          <w:u w:val="single"/>
        </w:rPr>
      </w:pPr>
      <w:r w:rsidRPr="005A561F">
        <w:rPr>
          <w:sz w:val="24"/>
          <w:szCs w:val="24"/>
          <w:u w:val="single"/>
        </w:rPr>
        <w:t>250 mg</w:t>
      </w:r>
    </w:p>
    <w:p w:rsidR="00CA5858" w:rsidRPr="005A561F" w:rsidRDefault="00CA5858" w:rsidP="00CA5858">
      <w:pPr>
        <w:ind w:left="851"/>
        <w:rPr>
          <w:sz w:val="24"/>
          <w:szCs w:val="24"/>
        </w:rPr>
      </w:pPr>
      <w:r w:rsidRPr="005A561F">
        <w:rPr>
          <w:sz w:val="24"/>
          <w:szCs w:val="24"/>
        </w:rPr>
        <w:t>Gul, filmovertrukket</w:t>
      </w:r>
      <w:r w:rsidR="00EE71BF">
        <w:rPr>
          <w:sz w:val="24"/>
          <w:szCs w:val="24"/>
        </w:rPr>
        <w:t>,</w:t>
      </w:r>
      <w:r w:rsidRPr="005A561F">
        <w:rPr>
          <w:sz w:val="24"/>
          <w:szCs w:val="24"/>
        </w:rPr>
        <w:t xml:space="preserve"> ovalt formet tablet, præget med </w:t>
      </w:r>
      <w:r w:rsidR="005A561F" w:rsidRPr="005A561F">
        <w:rPr>
          <w:sz w:val="24"/>
          <w:szCs w:val="24"/>
        </w:rPr>
        <w:t>"</w:t>
      </w:r>
      <w:r w:rsidRPr="005A561F">
        <w:rPr>
          <w:sz w:val="24"/>
          <w:szCs w:val="24"/>
        </w:rPr>
        <w:t>93</w:t>
      </w:r>
      <w:r w:rsidR="005A561F" w:rsidRPr="005A561F">
        <w:rPr>
          <w:sz w:val="24"/>
          <w:szCs w:val="24"/>
        </w:rPr>
        <w:t>"</w:t>
      </w:r>
      <w:r w:rsidRPr="005A561F">
        <w:rPr>
          <w:sz w:val="24"/>
          <w:szCs w:val="24"/>
        </w:rPr>
        <w:t xml:space="preserve"> på den ene side og </w:t>
      </w:r>
      <w:r w:rsidR="005A561F" w:rsidRPr="005A561F">
        <w:rPr>
          <w:sz w:val="24"/>
          <w:szCs w:val="24"/>
        </w:rPr>
        <w:t>"</w:t>
      </w:r>
      <w:r w:rsidRPr="005A561F">
        <w:rPr>
          <w:sz w:val="24"/>
          <w:szCs w:val="24"/>
        </w:rPr>
        <w:t>7157</w:t>
      </w:r>
      <w:r w:rsidR="005A561F" w:rsidRPr="005A561F">
        <w:rPr>
          <w:sz w:val="24"/>
          <w:szCs w:val="24"/>
        </w:rPr>
        <w:t>"</w:t>
      </w:r>
      <w:r w:rsidRPr="005A561F">
        <w:rPr>
          <w:sz w:val="24"/>
          <w:szCs w:val="24"/>
        </w:rPr>
        <w:t xml:space="preserve"> på den anden side.</w:t>
      </w:r>
    </w:p>
    <w:p w:rsidR="00CA5858" w:rsidRPr="005A561F" w:rsidRDefault="00CA5858" w:rsidP="00CA5858">
      <w:pPr>
        <w:ind w:left="851"/>
        <w:rPr>
          <w:sz w:val="24"/>
          <w:szCs w:val="24"/>
        </w:rPr>
      </w:pPr>
      <w:r w:rsidRPr="005A561F">
        <w:rPr>
          <w:sz w:val="24"/>
          <w:szCs w:val="24"/>
        </w:rPr>
        <w:t>Længde: 17 mm. Bredde: 8 mm.</w:t>
      </w:r>
    </w:p>
    <w:p w:rsidR="00CA5858" w:rsidRPr="005A561F" w:rsidRDefault="00CA5858" w:rsidP="00CA5858">
      <w:pPr>
        <w:ind w:left="851"/>
        <w:rPr>
          <w:sz w:val="24"/>
          <w:szCs w:val="24"/>
        </w:rPr>
      </w:pPr>
    </w:p>
    <w:p w:rsidR="00CA5858" w:rsidRPr="005A561F" w:rsidRDefault="00CA5858" w:rsidP="00CA5858">
      <w:pPr>
        <w:ind w:left="851"/>
        <w:rPr>
          <w:sz w:val="24"/>
          <w:szCs w:val="24"/>
          <w:u w:val="single"/>
        </w:rPr>
      </w:pPr>
      <w:r w:rsidRPr="005A561F">
        <w:rPr>
          <w:sz w:val="24"/>
          <w:szCs w:val="24"/>
          <w:u w:val="single"/>
        </w:rPr>
        <w:t>500 mg</w:t>
      </w:r>
    </w:p>
    <w:p w:rsidR="00CA5858" w:rsidRPr="005A561F" w:rsidRDefault="00CA5858" w:rsidP="00CA5858">
      <w:pPr>
        <w:ind w:left="851"/>
        <w:rPr>
          <w:sz w:val="24"/>
          <w:szCs w:val="24"/>
        </w:rPr>
      </w:pPr>
      <w:r w:rsidRPr="005A561F">
        <w:rPr>
          <w:sz w:val="24"/>
          <w:szCs w:val="24"/>
        </w:rPr>
        <w:t>Lysegul, filmovertrukket</w:t>
      </w:r>
      <w:r w:rsidR="00EE71BF">
        <w:rPr>
          <w:sz w:val="24"/>
          <w:szCs w:val="24"/>
        </w:rPr>
        <w:t>,</w:t>
      </w:r>
      <w:r w:rsidRPr="005A561F">
        <w:rPr>
          <w:sz w:val="24"/>
          <w:szCs w:val="24"/>
        </w:rPr>
        <w:t xml:space="preserve"> ovalt formet tablet, præget med </w:t>
      </w:r>
      <w:r w:rsidR="005A561F" w:rsidRPr="005A561F">
        <w:rPr>
          <w:sz w:val="24"/>
          <w:szCs w:val="24"/>
        </w:rPr>
        <w:t>"</w:t>
      </w:r>
      <w:r w:rsidRPr="005A561F">
        <w:rPr>
          <w:sz w:val="24"/>
          <w:szCs w:val="24"/>
        </w:rPr>
        <w:t>93</w:t>
      </w:r>
      <w:r w:rsidR="005A561F" w:rsidRPr="005A561F">
        <w:rPr>
          <w:sz w:val="24"/>
          <w:szCs w:val="24"/>
        </w:rPr>
        <w:t>"</w:t>
      </w:r>
      <w:r w:rsidRPr="005A561F">
        <w:rPr>
          <w:sz w:val="24"/>
          <w:szCs w:val="24"/>
        </w:rPr>
        <w:t xml:space="preserve"> på den ene side og </w:t>
      </w:r>
      <w:r w:rsidR="005A561F" w:rsidRPr="005A561F">
        <w:rPr>
          <w:sz w:val="24"/>
          <w:szCs w:val="24"/>
        </w:rPr>
        <w:t>"</w:t>
      </w:r>
      <w:r w:rsidRPr="005A561F">
        <w:rPr>
          <w:sz w:val="24"/>
          <w:szCs w:val="24"/>
        </w:rPr>
        <w:t>7158</w:t>
      </w:r>
      <w:r w:rsidR="005A561F" w:rsidRPr="005A561F">
        <w:rPr>
          <w:sz w:val="24"/>
          <w:szCs w:val="24"/>
        </w:rPr>
        <w:t>"</w:t>
      </w:r>
      <w:r w:rsidRPr="005A561F">
        <w:rPr>
          <w:sz w:val="24"/>
          <w:szCs w:val="24"/>
        </w:rPr>
        <w:t xml:space="preserve"> på den anden side.</w:t>
      </w:r>
    </w:p>
    <w:p w:rsidR="00CA5858" w:rsidRPr="005A561F" w:rsidRDefault="00CA5858" w:rsidP="00CA5858">
      <w:pPr>
        <w:ind w:left="851"/>
        <w:rPr>
          <w:sz w:val="24"/>
          <w:szCs w:val="24"/>
        </w:rPr>
      </w:pPr>
      <w:r w:rsidRPr="005A561F">
        <w:rPr>
          <w:sz w:val="24"/>
          <w:szCs w:val="24"/>
        </w:rPr>
        <w:lastRenderedPageBreak/>
        <w:t>Længde: 22 mm. Bredde: 11 mm.</w:t>
      </w:r>
    </w:p>
    <w:p w:rsidR="00CA5858" w:rsidRPr="005A561F" w:rsidRDefault="00CA5858" w:rsidP="00CA5858">
      <w:pPr>
        <w:ind w:left="851" w:hanging="851"/>
        <w:rPr>
          <w:sz w:val="24"/>
          <w:szCs w:val="24"/>
        </w:rPr>
      </w:pPr>
    </w:p>
    <w:p w:rsidR="00CA5858" w:rsidRPr="005A561F" w:rsidRDefault="00CA5858" w:rsidP="00CA5858">
      <w:pPr>
        <w:ind w:left="851" w:hanging="851"/>
        <w:rPr>
          <w:sz w:val="24"/>
          <w:szCs w:val="24"/>
        </w:rPr>
      </w:pPr>
    </w:p>
    <w:p w:rsidR="00F26B82" w:rsidRPr="00C84483" w:rsidRDefault="00F26B82" w:rsidP="00F26B82">
      <w:pPr>
        <w:tabs>
          <w:tab w:val="left" w:pos="851"/>
        </w:tabs>
        <w:ind w:left="851" w:hanging="851"/>
        <w:rPr>
          <w:b/>
          <w:sz w:val="24"/>
          <w:szCs w:val="24"/>
        </w:rPr>
      </w:pPr>
      <w:r w:rsidRPr="00C84483">
        <w:rPr>
          <w:b/>
          <w:sz w:val="24"/>
          <w:szCs w:val="24"/>
        </w:rPr>
        <w:t>4.</w:t>
      </w:r>
      <w:r w:rsidRPr="00C84483">
        <w:rPr>
          <w:b/>
          <w:sz w:val="24"/>
          <w:szCs w:val="24"/>
        </w:rPr>
        <w:tab/>
        <w:t>KLINISKE OPLYSNINGER</w:t>
      </w:r>
    </w:p>
    <w:p w:rsidR="00F26B82" w:rsidRPr="00C84483" w:rsidRDefault="00F26B82" w:rsidP="00F26B82">
      <w:pPr>
        <w:tabs>
          <w:tab w:val="left" w:pos="851"/>
        </w:tabs>
        <w:ind w:left="851"/>
        <w:rPr>
          <w:b/>
          <w:sz w:val="24"/>
          <w:szCs w:val="24"/>
        </w:rPr>
      </w:pPr>
    </w:p>
    <w:p w:rsidR="00F26B82" w:rsidRPr="00C84483" w:rsidRDefault="00F26B82" w:rsidP="00F26B82">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A5858" w:rsidRPr="005A561F" w:rsidRDefault="00CA5858" w:rsidP="00CA5858">
      <w:pPr>
        <w:ind w:left="851" w:hanging="851"/>
        <w:rPr>
          <w:sz w:val="24"/>
          <w:szCs w:val="24"/>
        </w:rPr>
      </w:pPr>
      <w:r w:rsidRPr="005A561F">
        <w:rPr>
          <w:sz w:val="24"/>
          <w:szCs w:val="24"/>
        </w:rPr>
        <w:tab/>
        <w:t xml:space="preserve">Clarithromycin </w:t>
      </w:r>
      <w:r w:rsidR="005A561F" w:rsidRPr="005A561F">
        <w:rPr>
          <w:sz w:val="24"/>
          <w:szCs w:val="24"/>
        </w:rPr>
        <w:t>"</w:t>
      </w:r>
      <w:r w:rsidRPr="005A561F">
        <w:rPr>
          <w:sz w:val="24"/>
          <w:szCs w:val="24"/>
        </w:rPr>
        <w:t>Teva</w:t>
      </w:r>
      <w:r w:rsidR="005A561F" w:rsidRPr="005A561F">
        <w:rPr>
          <w:sz w:val="24"/>
          <w:szCs w:val="24"/>
        </w:rPr>
        <w:t>"</w:t>
      </w:r>
      <w:r w:rsidRPr="005A561F">
        <w:rPr>
          <w:sz w:val="24"/>
          <w:szCs w:val="24"/>
        </w:rPr>
        <w:t xml:space="preserve"> er indiceret </w:t>
      </w:r>
      <w:r w:rsidR="008D25C5" w:rsidRPr="005A561F">
        <w:rPr>
          <w:sz w:val="24"/>
          <w:szCs w:val="24"/>
        </w:rPr>
        <w:t>til</w:t>
      </w:r>
      <w:r w:rsidR="008D25C5">
        <w:rPr>
          <w:sz w:val="24"/>
          <w:szCs w:val="24"/>
        </w:rPr>
        <w:t xml:space="preserve"> voksne og unge fra 12 år til</w:t>
      </w:r>
      <w:r w:rsidR="008D25C5" w:rsidRPr="005A561F">
        <w:rPr>
          <w:sz w:val="24"/>
          <w:szCs w:val="24"/>
        </w:rPr>
        <w:t xml:space="preserve"> behandling </w:t>
      </w:r>
      <w:r w:rsidRPr="005A561F">
        <w:rPr>
          <w:sz w:val="24"/>
          <w:szCs w:val="24"/>
        </w:rPr>
        <w:t>af følgende infektioner forårsaget af clarithromycinfølsomme organismer:</w:t>
      </w:r>
    </w:p>
    <w:p w:rsidR="00CA5858" w:rsidRPr="005A561F" w:rsidRDefault="00CA5858" w:rsidP="00EE71BF">
      <w:pPr>
        <w:ind w:left="1134" w:hanging="283"/>
        <w:rPr>
          <w:sz w:val="24"/>
          <w:szCs w:val="24"/>
        </w:rPr>
      </w:pPr>
      <w:r w:rsidRPr="005A561F">
        <w:rPr>
          <w:sz w:val="24"/>
          <w:szCs w:val="24"/>
        </w:rPr>
        <w:t>-</w:t>
      </w:r>
      <w:r w:rsidRPr="005A561F">
        <w:rPr>
          <w:sz w:val="24"/>
          <w:szCs w:val="24"/>
        </w:rPr>
        <w:tab/>
        <w:t xml:space="preserve">Bakteriel pharyngitis </w:t>
      </w:r>
    </w:p>
    <w:p w:rsidR="00CA5858" w:rsidRPr="005A561F" w:rsidRDefault="00CA5858" w:rsidP="00EE71BF">
      <w:pPr>
        <w:ind w:left="1134" w:hanging="283"/>
        <w:rPr>
          <w:sz w:val="24"/>
          <w:szCs w:val="24"/>
        </w:rPr>
      </w:pPr>
      <w:r w:rsidRPr="005A561F">
        <w:rPr>
          <w:sz w:val="24"/>
          <w:szCs w:val="24"/>
        </w:rPr>
        <w:t>-</w:t>
      </w:r>
      <w:r w:rsidRPr="005A561F">
        <w:rPr>
          <w:sz w:val="24"/>
          <w:szCs w:val="24"/>
        </w:rPr>
        <w:tab/>
        <w:t>Akut bakteriel sinuitis (tilstrækkeligt diagnosticeret)</w:t>
      </w:r>
    </w:p>
    <w:p w:rsidR="00CA5858" w:rsidRPr="005A561F" w:rsidRDefault="00CA5858" w:rsidP="00EE71BF">
      <w:pPr>
        <w:ind w:left="1134" w:hanging="283"/>
        <w:rPr>
          <w:sz w:val="24"/>
          <w:szCs w:val="24"/>
        </w:rPr>
      </w:pPr>
      <w:r w:rsidRPr="005A561F">
        <w:rPr>
          <w:sz w:val="24"/>
          <w:szCs w:val="24"/>
        </w:rPr>
        <w:t>-</w:t>
      </w:r>
      <w:r w:rsidRPr="005A561F">
        <w:rPr>
          <w:sz w:val="24"/>
          <w:szCs w:val="24"/>
        </w:rPr>
        <w:tab/>
        <w:t>Akut eksacerbation af kronisk bronkitis</w:t>
      </w:r>
    </w:p>
    <w:p w:rsidR="00CA5858" w:rsidRPr="005A561F" w:rsidRDefault="00CA5858" w:rsidP="00EE71BF">
      <w:pPr>
        <w:ind w:left="1134" w:hanging="283"/>
        <w:rPr>
          <w:sz w:val="24"/>
          <w:szCs w:val="24"/>
        </w:rPr>
      </w:pPr>
      <w:r w:rsidRPr="005A561F">
        <w:rPr>
          <w:sz w:val="24"/>
          <w:szCs w:val="24"/>
        </w:rPr>
        <w:t>-</w:t>
      </w:r>
      <w:r w:rsidRPr="005A561F">
        <w:rPr>
          <w:sz w:val="24"/>
          <w:szCs w:val="24"/>
        </w:rPr>
        <w:tab/>
        <w:t>Samfundserhvervet pneumoni</w:t>
      </w:r>
    </w:p>
    <w:p w:rsidR="00CA5858" w:rsidRPr="005A561F" w:rsidRDefault="00CA5858" w:rsidP="00EE71BF">
      <w:pPr>
        <w:ind w:left="1134" w:hanging="283"/>
        <w:rPr>
          <w:sz w:val="24"/>
          <w:szCs w:val="24"/>
        </w:rPr>
      </w:pPr>
      <w:r w:rsidRPr="005A561F">
        <w:rPr>
          <w:sz w:val="24"/>
          <w:szCs w:val="24"/>
        </w:rPr>
        <w:t>-</w:t>
      </w:r>
      <w:r w:rsidRPr="005A561F">
        <w:rPr>
          <w:sz w:val="24"/>
          <w:szCs w:val="24"/>
        </w:rPr>
        <w:tab/>
        <w:t>Hud- og bløddelsinfektioner (milde til moderate)</w:t>
      </w:r>
    </w:p>
    <w:p w:rsidR="00CA5858" w:rsidRPr="005A561F" w:rsidRDefault="00CA5858" w:rsidP="00CA5858">
      <w:pPr>
        <w:ind w:left="851" w:hanging="851"/>
        <w:rPr>
          <w:sz w:val="24"/>
          <w:szCs w:val="24"/>
        </w:rPr>
      </w:pPr>
    </w:p>
    <w:p w:rsidR="00CA5858" w:rsidRPr="005A561F" w:rsidRDefault="00CA5858" w:rsidP="00CA5858">
      <w:pPr>
        <w:ind w:left="851"/>
        <w:rPr>
          <w:sz w:val="24"/>
          <w:szCs w:val="24"/>
        </w:rPr>
      </w:pPr>
      <w:r w:rsidRPr="005A561F">
        <w:rPr>
          <w:sz w:val="24"/>
          <w:szCs w:val="24"/>
        </w:rPr>
        <w:t xml:space="preserve">I passende kombination med antibakterielle terapeutiske regimer og et velegnet mavesårshelende stof ved eradikationsbehandling af </w:t>
      </w:r>
      <w:r w:rsidRPr="005A561F">
        <w:rPr>
          <w:i/>
          <w:sz w:val="24"/>
          <w:szCs w:val="24"/>
        </w:rPr>
        <w:t>H. pylori</w:t>
      </w:r>
      <w:r w:rsidRPr="005A561F">
        <w:rPr>
          <w:sz w:val="24"/>
          <w:szCs w:val="24"/>
        </w:rPr>
        <w:t xml:space="preserve"> hos patienter med </w:t>
      </w:r>
      <w:r w:rsidRPr="005A561F">
        <w:rPr>
          <w:i/>
          <w:sz w:val="24"/>
          <w:szCs w:val="24"/>
        </w:rPr>
        <w:t>H. pylori</w:t>
      </w:r>
      <w:r w:rsidRPr="005A561F">
        <w:rPr>
          <w:sz w:val="24"/>
          <w:szCs w:val="24"/>
        </w:rPr>
        <w:t>-associeret ulcus. Se pkt. 4.2.</w:t>
      </w:r>
    </w:p>
    <w:p w:rsidR="00CA5858" w:rsidRPr="005A561F" w:rsidRDefault="00CA5858" w:rsidP="00CA5858">
      <w:pPr>
        <w:ind w:left="851" w:hanging="851"/>
        <w:rPr>
          <w:sz w:val="24"/>
          <w:szCs w:val="24"/>
        </w:rPr>
      </w:pPr>
    </w:p>
    <w:p w:rsidR="00CA5858" w:rsidRPr="005A561F" w:rsidRDefault="00CA5858" w:rsidP="00CA5858">
      <w:pPr>
        <w:ind w:left="851"/>
        <w:rPr>
          <w:sz w:val="24"/>
          <w:szCs w:val="24"/>
        </w:rPr>
      </w:pPr>
      <w:r w:rsidRPr="005A561F">
        <w:rPr>
          <w:sz w:val="24"/>
          <w:szCs w:val="24"/>
        </w:rPr>
        <w:t>Officielle retningslinjer vedrørende korrekt brug af antibiotika bør tages i betragtning.</w:t>
      </w:r>
    </w:p>
    <w:p w:rsidR="00CA5858" w:rsidRPr="005A561F" w:rsidRDefault="00CA5858" w:rsidP="00CA5858">
      <w:pPr>
        <w:ind w:left="851" w:hanging="851"/>
        <w:rPr>
          <w:sz w:val="24"/>
          <w:szCs w:val="24"/>
        </w:rPr>
      </w:pPr>
    </w:p>
    <w:p w:rsidR="00F26B82" w:rsidRPr="00C84483" w:rsidRDefault="00F26B82" w:rsidP="00F26B82">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E4739E">
        <w:rPr>
          <w:b/>
          <w:sz w:val="24"/>
          <w:szCs w:val="24"/>
        </w:rPr>
        <w:t>administration</w:t>
      </w:r>
    </w:p>
    <w:p w:rsidR="00CA5858" w:rsidRPr="005A561F" w:rsidRDefault="00CA5858" w:rsidP="00CA5858">
      <w:pPr>
        <w:ind w:left="851" w:hanging="851"/>
        <w:rPr>
          <w:sz w:val="24"/>
          <w:szCs w:val="24"/>
        </w:rPr>
      </w:pPr>
      <w:r w:rsidRPr="005A561F">
        <w:rPr>
          <w:sz w:val="24"/>
          <w:szCs w:val="24"/>
        </w:rPr>
        <w:tab/>
        <w:t>Doseringen af clarithromycin afhænger af patientens kliniske tilstand og skal bedømmes i hvert enkelt tilfælde af lægen.</w:t>
      </w:r>
    </w:p>
    <w:p w:rsidR="00CA5858" w:rsidRPr="005A561F" w:rsidRDefault="00CA5858" w:rsidP="00CA5858">
      <w:pPr>
        <w:ind w:left="851" w:hanging="851"/>
        <w:rPr>
          <w:sz w:val="24"/>
          <w:szCs w:val="24"/>
        </w:rPr>
      </w:pPr>
    </w:p>
    <w:p w:rsidR="00CA5858" w:rsidRPr="005A561F" w:rsidRDefault="00CA5858" w:rsidP="00CA5858">
      <w:pPr>
        <w:ind w:left="851"/>
        <w:rPr>
          <w:sz w:val="24"/>
          <w:szCs w:val="24"/>
        </w:rPr>
      </w:pPr>
      <w:r w:rsidRPr="005A561F">
        <w:rPr>
          <w:sz w:val="24"/>
          <w:szCs w:val="24"/>
        </w:rPr>
        <w:t>Tabletter på 250 og 500 mg er tilgængelige.</w:t>
      </w:r>
    </w:p>
    <w:p w:rsidR="00CA5858" w:rsidRPr="005A561F" w:rsidRDefault="00CA5858" w:rsidP="00CA5858">
      <w:pPr>
        <w:ind w:left="851" w:hanging="851"/>
        <w:rPr>
          <w:sz w:val="24"/>
          <w:szCs w:val="24"/>
        </w:rPr>
      </w:pPr>
    </w:p>
    <w:p w:rsidR="00CA5858" w:rsidRPr="00EE71BF" w:rsidRDefault="00CA5858" w:rsidP="00CA5858">
      <w:pPr>
        <w:ind w:left="851" w:hanging="851"/>
        <w:rPr>
          <w:b/>
          <w:sz w:val="24"/>
          <w:szCs w:val="24"/>
        </w:rPr>
      </w:pPr>
      <w:r w:rsidRPr="00EE71BF">
        <w:rPr>
          <w:b/>
          <w:sz w:val="24"/>
          <w:szCs w:val="24"/>
        </w:rPr>
        <w:tab/>
        <w:t>Dosering</w:t>
      </w:r>
    </w:p>
    <w:p w:rsidR="00CA5858" w:rsidRPr="005A561F" w:rsidRDefault="00CA5858" w:rsidP="00CA5858">
      <w:pPr>
        <w:ind w:left="851" w:hanging="851"/>
        <w:rPr>
          <w:sz w:val="24"/>
          <w:szCs w:val="24"/>
        </w:rPr>
      </w:pPr>
    </w:p>
    <w:p w:rsidR="00CA5858" w:rsidRPr="005A561F" w:rsidRDefault="00CA5858" w:rsidP="00CA5858">
      <w:pPr>
        <w:ind w:left="851"/>
        <w:rPr>
          <w:sz w:val="24"/>
          <w:szCs w:val="24"/>
          <w:u w:val="single"/>
        </w:rPr>
      </w:pPr>
      <w:r w:rsidRPr="005A561F">
        <w:rPr>
          <w:sz w:val="24"/>
          <w:szCs w:val="24"/>
          <w:u w:val="single"/>
        </w:rPr>
        <w:t>Voksne og unge</w:t>
      </w:r>
      <w:r w:rsidR="00081CB5">
        <w:rPr>
          <w:sz w:val="24"/>
          <w:szCs w:val="24"/>
          <w:u w:val="single"/>
        </w:rPr>
        <w:t xml:space="preserve"> (fra 12 år)</w:t>
      </w:r>
    </w:p>
    <w:p w:rsidR="00CA5858" w:rsidRPr="005A561F" w:rsidRDefault="00CA5858" w:rsidP="00CA5858">
      <w:pPr>
        <w:ind w:left="851"/>
        <w:rPr>
          <w:sz w:val="24"/>
          <w:szCs w:val="24"/>
        </w:rPr>
      </w:pPr>
      <w:r w:rsidRPr="005A561F">
        <w:rPr>
          <w:sz w:val="24"/>
          <w:szCs w:val="24"/>
        </w:rPr>
        <w:t xml:space="preserve">Den anbefalede dosis er 250 mg to gange </w:t>
      </w:r>
      <w:r w:rsidR="00EE71BF">
        <w:rPr>
          <w:sz w:val="24"/>
          <w:szCs w:val="24"/>
        </w:rPr>
        <w:t>daglig</w:t>
      </w:r>
      <w:r w:rsidRPr="005A561F">
        <w:rPr>
          <w:sz w:val="24"/>
          <w:szCs w:val="24"/>
        </w:rPr>
        <w:t>.</w:t>
      </w:r>
    </w:p>
    <w:p w:rsidR="00CA5858" w:rsidRPr="005A561F" w:rsidRDefault="00CA5858" w:rsidP="00CA5858">
      <w:pPr>
        <w:ind w:left="851"/>
        <w:rPr>
          <w:sz w:val="24"/>
          <w:szCs w:val="24"/>
        </w:rPr>
      </w:pPr>
      <w:r w:rsidRPr="005A561F">
        <w:rPr>
          <w:sz w:val="24"/>
          <w:szCs w:val="24"/>
        </w:rPr>
        <w:t xml:space="preserve">Ved svære infektioner kan dosis øges til 500 mg to gange </w:t>
      </w:r>
      <w:r w:rsidR="00EE71BF">
        <w:rPr>
          <w:sz w:val="24"/>
          <w:szCs w:val="24"/>
        </w:rPr>
        <w:t>daglig</w:t>
      </w:r>
      <w:r w:rsidRPr="005A561F">
        <w:rPr>
          <w:sz w:val="24"/>
          <w:szCs w:val="24"/>
        </w:rPr>
        <w:t>.</w:t>
      </w:r>
    </w:p>
    <w:p w:rsidR="00CA5858" w:rsidRPr="005A561F" w:rsidRDefault="00CA5858" w:rsidP="00CA5858">
      <w:pPr>
        <w:ind w:left="851" w:hanging="851"/>
        <w:rPr>
          <w:sz w:val="24"/>
          <w:szCs w:val="24"/>
        </w:rPr>
      </w:pPr>
    </w:p>
    <w:p w:rsidR="00CA5858" w:rsidRPr="005A561F" w:rsidRDefault="00CA5858" w:rsidP="00CA5858">
      <w:pPr>
        <w:ind w:left="851"/>
        <w:rPr>
          <w:sz w:val="24"/>
          <w:szCs w:val="24"/>
          <w:u w:val="single"/>
        </w:rPr>
      </w:pPr>
      <w:r w:rsidRPr="005A561F">
        <w:rPr>
          <w:sz w:val="24"/>
          <w:szCs w:val="24"/>
          <w:u w:val="single"/>
        </w:rPr>
        <w:t>Pædiatrisk population</w:t>
      </w:r>
    </w:p>
    <w:p w:rsidR="00CA5858" w:rsidRPr="005A561F" w:rsidRDefault="00CA5858" w:rsidP="00CA5858">
      <w:pPr>
        <w:ind w:left="851"/>
        <w:rPr>
          <w:sz w:val="24"/>
          <w:szCs w:val="24"/>
        </w:rPr>
      </w:pPr>
      <w:r w:rsidRPr="005A561F">
        <w:rPr>
          <w:sz w:val="24"/>
          <w:szCs w:val="24"/>
        </w:rPr>
        <w:t>Clarithromycin tabletter er ikke egnede til børn under 12 år, der vejer under 30 kg. Andre farmaceutiske formuleringer egner sig bedre til disse patienter.</w:t>
      </w:r>
    </w:p>
    <w:p w:rsidR="00CA5858" w:rsidRPr="005A561F" w:rsidRDefault="00CA5858" w:rsidP="00CA5858">
      <w:pPr>
        <w:ind w:left="851" w:hanging="851"/>
        <w:rPr>
          <w:sz w:val="24"/>
          <w:szCs w:val="24"/>
        </w:rPr>
      </w:pPr>
    </w:p>
    <w:p w:rsidR="00CA5858" w:rsidRPr="005A561F" w:rsidRDefault="00CA5858" w:rsidP="00CA5858">
      <w:pPr>
        <w:ind w:left="851"/>
        <w:rPr>
          <w:sz w:val="24"/>
          <w:szCs w:val="24"/>
          <w:u w:val="single"/>
        </w:rPr>
      </w:pPr>
      <w:r w:rsidRPr="005A561F">
        <w:rPr>
          <w:sz w:val="24"/>
          <w:szCs w:val="24"/>
          <w:u w:val="single"/>
        </w:rPr>
        <w:t>Ældre</w:t>
      </w:r>
    </w:p>
    <w:p w:rsidR="00CA5858" w:rsidRPr="005A561F" w:rsidRDefault="00CA5858" w:rsidP="00CA5858">
      <w:pPr>
        <w:ind w:left="851"/>
        <w:rPr>
          <w:sz w:val="24"/>
          <w:szCs w:val="24"/>
        </w:rPr>
      </w:pPr>
      <w:r w:rsidRPr="005A561F">
        <w:rPr>
          <w:sz w:val="24"/>
          <w:szCs w:val="24"/>
        </w:rPr>
        <w:t>Som til voksne.</w:t>
      </w:r>
    </w:p>
    <w:p w:rsidR="00CA5858" w:rsidRPr="005A561F" w:rsidRDefault="00CA5858" w:rsidP="00CA5858">
      <w:pPr>
        <w:ind w:left="851" w:hanging="851"/>
        <w:rPr>
          <w:sz w:val="24"/>
          <w:szCs w:val="24"/>
        </w:rPr>
      </w:pPr>
    </w:p>
    <w:p w:rsidR="00CA5858" w:rsidRPr="00081CB5" w:rsidRDefault="00081CB5" w:rsidP="00CA5858">
      <w:pPr>
        <w:ind w:left="851"/>
        <w:rPr>
          <w:sz w:val="24"/>
          <w:szCs w:val="24"/>
          <w:u w:val="single"/>
        </w:rPr>
      </w:pPr>
      <w:r w:rsidRPr="00081CB5">
        <w:rPr>
          <w:sz w:val="24"/>
          <w:szCs w:val="24"/>
          <w:u w:val="single"/>
        </w:rPr>
        <w:t>Eradikationsbehandling</w:t>
      </w:r>
      <w:r w:rsidRPr="00081CB5" w:rsidDel="00615789">
        <w:rPr>
          <w:sz w:val="24"/>
          <w:szCs w:val="24"/>
          <w:u w:val="single"/>
        </w:rPr>
        <w:t xml:space="preserve"> </w:t>
      </w:r>
      <w:r w:rsidR="00CA5858" w:rsidRPr="00081CB5">
        <w:rPr>
          <w:sz w:val="24"/>
          <w:szCs w:val="24"/>
          <w:u w:val="single"/>
        </w:rPr>
        <w:t xml:space="preserve">af </w:t>
      </w:r>
      <w:r w:rsidR="00CA5858" w:rsidRPr="00081CB5">
        <w:rPr>
          <w:i/>
          <w:sz w:val="24"/>
          <w:szCs w:val="24"/>
          <w:u w:val="single"/>
        </w:rPr>
        <w:t>H. pylori</w:t>
      </w:r>
      <w:r w:rsidR="00CA5858" w:rsidRPr="00081CB5">
        <w:rPr>
          <w:sz w:val="24"/>
          <w:szCs w:val="24"/>
          <w:u w:val="single"/>
        </w:rPr>
        <w:t xml:space="preserve"> hos voksne</w:t>
      </w:r>
    </w:p>
    <w:p w:rsidR="00CA5858" w:rsidRPr="005A561F" w:rsidRDefault="00CA5858" w:rsidP="00CA5858">
      <w:pPr>
        <w:ind w:left="851"/>
        <w:rPr>
          <w:sz w:val="24"/>
          <w:szCs w:val="24"/>
        </w:rPr>
      </w:pPr>
      <w:r w:rsidRPr="005A561F">
        <w:rPr>
          <w:sz w:val="24"/>
          <w:szCs w:val="24"/>
        </w:rPr>
        <w:t xml:space="preserve">Til patienter med mavesår, der skyldes infektion med </w:t>
      </w:r>
      <w:r w:rsidRPr="005A561F">
        <w:rPr>
          <w:i/>
          <w:sz w:val="24"/>
          <w:szCs w:val="24"/>
        </w:rPr>
        <w:t>H. pylori</w:t>
      </w:r>
      <w:r w:rsidRPr="005A561F">
        <w:rPr>
          <w:sz w:val="24"/>
          <w:szCs w:val="24"/>
        </w:rPr>
        <w:t xml:space="preserve">, kan clarithromycin administreres i en dosis på 500 mg 2 gange </w:t>
      </w:r>
      <w:r w:rsidR="00EE71BF">
        <w:rPr>
          <w:sz w:val="24"/>
          <w:szCs w:val="24"/>
        </w:rPr>
        <w:t>daglig</w:t>
      </w:r>
      <w:r w:rsidRPr="005A561F">
        <w:rPr>
          <w:sz w:val="24"/>
          <w:szCs w:val="24"/>
        </w:rPr>
        <w:t xml:space="preserve"> i kombination med anden passende antimikrobiel behandling og protonpumpeinhibitorer i 7-14 dage.  De officielle retningslinjer skal følges.</w:t>
      </w:r>
    </w:p>
    <w:p w:rsidR="00CA5858" w:rsidRPr="005A561F" w:rsidRDefault="00CA5858" w:rsidP="00CA5858">
      <w:pPr>
        <w:ind w:left="851" w:hanging="851"/>
        <w:rPr>
          <w:sz w:val="24"/>
          <w:szCs w:val="24"/>
        </w:rPr>
      </w:pPr>
    </w:p>
    <w:p w:rsidR="00CA5858" w:rsidRPr="005A561F" w:rsidRDefault="00CA5858" w:rsidP="00CA5858">
      <w:pPr>
        <w:ind w:left="851"/>
        <w:rPr>
          <w:sz w:val="24"/>
          <w:szCs w:val="24"/>
          <w:u w:val="single"/>
        </w:rPr>
      </w:pPr>
      <w:r w:rsidRPr="005A561F">
        <w:rPr>
          <w:sz w:val="24"/>
          <w:szCs w:val="24"/>
          <w:u w:val="single"/>
        </w:rPr>
        <w:t>Nedsat nyrefunktion</w:t>
      </w:r>
    </w:p>
    <w:p w:rsidR="00CA5858" w:rsidRPr="005A561F" w:rsidRDefault="00CA5858" w:rsidP="00CA5858">
      <w:pPr>
        <w:ind w:left="851"/>
        <w:rPr>
          <w:sz w:val="24"/>
          <w:szCs w:val="24"/>
        </w:rPr>
      </w:pPr>
      <w:r w:rsidRPr="005A561F">
        <w:rPr>
          <w:sz w:val="24"/>
          <w:szCs w:val="24"/>
        </w:rPr>
        <w:t xml:space="preserve">Hos patienter med nyreinsufficiens med kreatinin-clearance mindre end 30 ml/min, bør clarithromycin dosis reduceres til det halve, dvs. 250 mg en gang </w:t>
      </w:r>
      <w:r w:rsidR="00EE71BF">
        <w:rPr>
          <w:sz w:val="24"/>
          <w:szCs w:val="24"/>
        </w:rPr>
        <w:t>daglig</w:t>
      </w:r>
      <w:r w:rsidRPr="005A561F">
        <w:rPr>
          <w:sz w:val="24"/>
          <w:szCs w:val="24"/>
        </w:rPr>
        <w:t xml:space="preserve"> eller 250 mg to gange </w:t>
      </w:r>
      <w:r w:rsidR="00EE71BF">
        <w:rPr>
          <w:sz w:val="24"/>
          <w:szCs w:val="24"/>
        </w:rPr>
        <w:t>daglig</w:t>
      </w:r>
      <w:r w:rsidRPr="005A561F">
        <w:rPr>
          <w:sz w:val="24"/>
          <w:szCs w:val="24"/>
        </w:rPr>
        <w:t xml:space="preserve"> ved svære infektioner. Behandlingen hos disse patienter bør ikke overskride 14 dage.</w:t>
      </w:r>
    </w:p>
    <w:p w:rsidR="00CA5858" w:rsidRPr="005A561F" w:rsidRDefault="00CA5858" w:rsidP="00CA5858">
      <w:pPr>
        <w:ind w:left="851" w:hanging="851"/>
        <w:rPr>
          <w:sz w:val="24"/>
          <w:szCs w:val="24"/>
        </w:rPr>
      </w:pPr>
    </w:p>
    <w:p w:rsidR="00CA5858" w:rsidRPr="005A561F" w:rsidRDefault="00CA5858" w:rsidP="00CA5858">
      <w:pPr>
        <w:keepNext/>
        <w:ind w:left="851"/>
        <w:rPr>
          <w:sz w:val="24"/>
          <w:szCs w:val="24"/>
          <w:u w:val="single"/>
        </w:rPr>
      </w:pPr>
      <w:r w:rsidRPr="005A561F">
        <w:rPr>
          <w:sz w:val="24"/>
          <w:szCs w:val="24"/>
          <w:u w:val="single"/>
        </w:rPr>
        <w:lastRenderedPageBreak/>
        <w:t>Nedsat leverfunktion</w:t>
      </w:r>
    </w:p>
    <w:p w:rsidR="00CA5858" w:rsidRPr="005A561F" w:rsidRDefault="00CA5858" w:rsidP="00CA5858">
      <w:pPr>
        <w:ind w:left="851"/>
        <w:rPr>
          <w:sz w:val="24"/>
          <w:szCs w:val="24"/>
        </w:rPr>
      </w:pPr>
      <w:r w:rsidRPr="005A561F">
        <w:rPr>
          <w:sz w:val="24"/>
          <w:szCs w:val="24"/>
        </w:rPr>
        <w:t>Der bør udvises forsigtighed ved anvendelse af clarithromycin til patienter med nedsat leverfunktion (se pkt. 4.4).</w:t>
      </w:r>
    </w:p>
    <w:p w:rsidR="00CA5858" w:rsidRPr="005A561F" w:rsidRDefault="00CA5858" w:rsidP="00CA5858">
      <w:pPr>
        <w:rPr>
          <w:sz w:val="24"/>
          <w:szCs w:val="24"/>
        </w:rPr>
      </w:pPr>
    </w:p>
    <w:p w:rsidR="00CA5858" w:rsidRPr="005A561F" w:rsidRDefault="00CA5858" w:rsidP="00CA5858">
      <w:pPr>
        <w:ind w:left="851"/>
        <w:rPr>
          <w:sz w:val="24"/>
          <w:szCs w:val="24"/>
          <w:u w:val="single"/>
        </w:rPr>
      </w:pPr>
      <w:r w:rsidRPr="005A561F">
        <w:rPr>
          <w:sz w:val="24"/>
          <w:szCs w:val="24"/>
          <w:u w:val="single"/>
        </w:rPr>
        <w:t>Behandlingsvarighed</w:t>
      </w:r>
    </w:p>
    <w:p w:rsidR="00CA5858" w:rsidRPr="005A561F" w:rsidRDefault="00CA5858" w:rsidP="00CA5858">
      <w:pPr>
        <w:ind w:left="851"/>
        <w:rPr>
          <w:sz w:val="24"/>
          <w:szCs w:val="24"/>
        </w:rPr>
      </w:pPr>
      <w:r w:rsidRPr="005A561F">
        <w:rPr>
          <w:sz w:val="24"/>
          <w:szCs w:val="24"/>
        </w:rPr>
        <w:t>Varigheden af behandling med clarithromycin afhænger af patientens kliniske tilstand og skal bedømmes i hvert enkelt tilfælde af lægen.</w:t>
      </w:r>
    </w:p>
    <w:p w:rsidR="00CA5858" w:rsidRPr="005A561F" w:rsidRDefault="00CA5858" w:rsidP="00CA5858">
      <w:pPr>
        <w:ind w:left="851"/>
        <w:rPr>
          <w:sz w:val="24"/>
          <w:szCs w:val="24"/>
        </w:rPr>
      </w:pPr>
    </w:p>
    <w:p w:rsidR="00CA5858" w:rsidRPr="005A561F" w:rsidRDefault="00CA5858" w:rsidP="00CA5858">
      <w:pPr>
        <w:ind w:left="851"/>
        <w:rPr>
          <w:sz w:val="24"/>
          <w:szCs w:val="24"/>
        </w:rPr>
      </w:pPr>
      <w:r w:rsidRPr="005A561F">
        <w:rPr>
          <w:sz w:val="24"/>
          <w:szCs w:val="24"/>
        </w:rPr>
        <w:t>Den sædvanlige behandlingsvarighed er 6 til 14 dage.</w:t>
      </w:r>
    </w:p>
    <w:p w:rsidR="00CA5858" w:rsidRPr="005A561F" w:rsidRDefault="00CA5858" w:rsidP="00CA5858">
      <w:pPr>
        <w:ind w:left="851" w:hanging="851"/>
        <w:rPr>
          <w:sz w:val="24"/>
          <w:szCs w:val="24"/>
        </w:rPr>
      </w:pPr>
    </w:p>
    <w:p w:rsidR="00CA5858" w:rsidRPr="00EE71BF" w:rsidRDefault="00CA5858" w:rsidP="00CA5858">
      <w:pPr>
        <w:ind w:left="851"/>
        <w:rPr>
          <w:b/>
          <w:sz w:val="24"/>
          <w:szCs w:val="24"/>
        </w:rPr>
      </w:pPr>
      <w:r w:rsidRPr="00EE71BF">
        <w:rPr>
          <w:b/>
          <w:sz w:val="24"/>
          <w:szCs w:val="24"/>
        </w:rPr>
        <w:t>Administrationsmåde</w:t>
      </w:r>
    </w:p>
    <w:p w:rsidR="00CA5858" w:rsidRPr="005A561F" w:rsidRDefault="00CA5858" w:rsidP="00336DCE">
      <w:pPr>
        <w:ind w:left="851"/>
        <w:rPr>
          <w:sz w:val="24"/>
          <w:szCs w:val="24"/>
        </w:rPr>
      </w:pPr>
      <w:r w:rsidRPr="005A561F">
        <w:rPr>
          <w:sz w:val="24"/>
          <w:szCs w:val="24"/>
        </w:rPr>
        <w:t>Clarithromycin kan gives uafhængigt af fødeindtagelse (se pkt. 5.2).</w:t>
      </w:r>
    </w:p>
    <w:p w:rsidR="00CA5858" w:rsidRPr="005A561F" w:rsidRDefault="00CA5858" w:rsidP="00336DCE">
      <w:pPr>
        <w:ind w:left="851" w:hanging="851"/>
        <w:rPr>
          <w:sz w:val="24"/>
          <w:szCs w:val="24"/>
        </w:rPr>
      </w:pPr>
    </w:p>
    <w:p w:rsidR="00F26B82" w:rsidRPr="00C84483" w:rsidRDefault="00F26B82" w:rsidP="00336DCE">
      <w:pPr>
        <w:tabs>
          <w:tab w:val="left" w:pos="851"/>
        </w:tabs>
        <w:ind w:left="851" w:hanging="851"/>
        <w:rPr>
          <w:b/>
          <w:sz w:val="24"/>
          <w:szCs w:val="24"/>
        </w:rPr>
      </w:pPr>
      <w:r w:rsidRPr="00C84483">
        <w:rPr>
          <w:b/>
          <w:sz w:val="24"/>
          <w:szCs w:val="24"/>
        </w:rPr>
        <w:t>4.3</w:t>
      </w:r>
      <w:r w:rsidRPr="00C84483">
        <w:rPr>
          <w:b/>
          <w:sz w:val="24"/>
          <w:szCs w:val="24"/>
        </w:rPr>
        <w:tab/>
        <w:t>Kontraindikationer</w:t>
      </w:r>
    </w:p>
    <w:p w:rsidR="00D34A70" w:rsidRPr="00B957E7" w:rsidRDefault="00D34A70" w:rsidP="00336DCE">
      <w:pPr>
        <w:ind w:left="1134" w:hanging="283"/>
        <w:rPr>
          <w:sz w:val="24"/>
          <w:szCs w:val="24"/>
        </w:rPr>
      </w:pPr>
      <w:r>
        <w:rPr>
          <w:sz w:val="24"/>
          <w:szCs w:val="24"/>
        </w:rPr>
        <w:t>-</w:t>
      </w:r>
      <w:r>
        <w:rPr>
          <w:sz w:val="24"/>
          <w:szCs w:val="24"/>
        </w:rPr>
        <w:tab/>
      </w:r>
      <w:r w:rsidRPr="00B957E7">
        <w:rPr>
          <w:sz w:val="24"/>
          <w:szCs w:val="24"/>
        </w:rPr>
        <w:t>Overfølsomhed over for det aktive stof, over for makrolidantibiotika eller over for et eller flere af hjælpestofferne anført i pkt. 6.1.</w:t>
      </w:r>
    </w:p>
    <w:p w:rsidR="00D34A70" w:rsidRPr="00B957E7" w:rsidRDefault="00D34A70" w:rsidP="00336DCE">
      <w:pPr>
        <w:ind w:left="1134" w:hanging="283"/>
        <w:rPr>
          <w:sz w:val="24"/>
          <w:szCs w:val="24"/>
        </w:rPr>
      </w:pPr>
      <w:r w:rsidRPr="00B957E7">
        <w:rPr>
          <w:sz w:val="24"/>
          <w:szCs w:val="24"/>
        </w:rPr>
        <w:t>-</w:t>
      </w:r>
      <w:r w:rsidRPr="00B957E7">
        <w:rPr>
          <w:sz w:val="24"/>
          <w:szCs w:val="24"/>
        </w:rPr>
        <w:tab/>
        <w:t xml:space="preserve">Samtidig behandling med clarithromycin og et af de følgende lægemidler er kontraindiceret: </w:t>
      </w:r>
      <w:r w:rsidR="00336DCE" w:rsidRPr="00B957E7">
        <w:rPr>
          <w:sz w:val="24"/>
          <w:szCs w:val="24"/>
        </w:rPr>
        <w:t>A</w:t>
      </w:r>
      <w:r w:rsidRPr="00B957E7">
        <w:rPr>
          <w:sz w:val="24"/>
          <w:szCs w:val="24"/>
        </w:rPr>
        <w:t xml:space="preserve">stemizol, cisaprid, domperidon, pimozid eller terfenadin, da dette kan resultere i forlænget QT-interval og hjertearytmier, herunder ventrikulær takykardi, ventrikelflimren og torsades de pointes (se pkt. 4.4 og 4.5). </w:t>
      </w:r>
    </w:p>
    <w:p w:rsidR="00D34A70" w:rsidRPr="00B957E7" w:rsidRDefault="00D34A70" w:rsidP="00336DCE">
      <w:pPr>
        <w:ind w:left="1134" w:hanging="283"/>
        <w:rPr>
          <w:sz w:val="24"/>
          <w:szCs w:val="24"/>
        </w:rPr>
      </w:pPr>
      <w:r w:rsidRPr="00B957E7">
        <w:rPr>
          <w:sz w:val="24"/>
          <w:szCs w:val="24"/>
        </w:rPr>
        <w:t>-</w:t>
      </w:r>
      <w:r w:rsidRPr="00B957E7">
        <w:rPr>
          <w:sz w:val="24"/>
          <w:szCs w:val="24"/>
        </w:rPr>
        <w:tab/>
        <w:t xml:space="preserve">Samtidig behandling med </w:t>
      </w:r>
      <w:r w:rsidR="00BE5496" w:rsidRPr="00B957E7">
        <w:rPr>
          <w:sz w:val="24"/>
          <w:szCs w:val="24"/>
        </w:rPr>
        <w:t>ticagrelor, ivabradin eller ranolazin</w:t>
      </w:r>
      <w:r w:rsidRPr="00B957E7">
        <w:rPr>
          <w:sz w:val="24"/>
          <w:szCs w:val="24"/>
        </w:rPr>
        <w:t xml:space="preserve"> er kontraindiceret.</w:t>
      </w:r>
    </w:p>
    <w:p w:rsidR="00D34A70" w:rsidRPr="00B957E7" w:rsidRDefault="00D34A70" w:rsidP="00336DCE">
      <w:pPr>
        <w:ind w:left="1134" w:hanging="283"/>
        <w:rPr>
          <w:sz w:val="24"/>
          <w:szCs w:val="24"/>
        </w:rPr>
      </w:pPr>
      <w:r w:rsidRPr="00B957E7">
        <w:rPr>
          <w:sz w:val="24"/>
          <w:szCs w:val="24"/>
        </w:rPr>
        <w:t>-</w:t>
      </w:r>
      <w:r w:rsidRPr="00B957E7">
        <w:rPr>
          <w:sz w:val="24"/>
          <w:szCs w:val="24"/>
        </w:rPr>
        <w:tab/>
        <w:t>Samtidig behandling med clarithromycin og ergot-alkaloider (f.eks. ergotamin eller dihydroergotamin) er kontraindiceret, da dette kan medføre ergottoksicitet (se pkt. 4.5).</w:t>
      </w:r>
    </w:p>
    <w:p w:rsidR="00D34A70" w:rsidRPr="00B957E7" w:rsidRDefault="00D34A70" w:rsidP="00336DCE">
      <w:pPr>
        <w:ind w:left="1134" w:hanging="283"/>
        <w:rPr>
          <w:sz w:val="24"/>
          <w:szCs w:val="24"/>
        </w:rPr>
      </w:pPr>
      <w:r w:rsidRPr="00B957E7">
        <w:rPr>
          <w:sz w:val="24"/>
          <w:szCs w:val="24"/>
        </w:rPr>
        <w:t>-</w:t>
      </w:r>
      <w:r w:rsidRPr="00B957E7">
        <w:rPr>
          <w:sz w:val="24"/>
          <w:szCs w:val="24"/>
        </w:rPr>
        <w:tab/>
        <w:t>Samtidig administration af clarithromycin og lomitapid er kontraindiceret (se pkt. 4.5).</w:t>
      </w:r>
    </w:p>
    <w:p w:rsidR="00D34A70" w:rsidRPr="00B957E7" w:rsidRDefault="00D34A70" w:rsidP="00336DCE">
      <w:pPr>
        <w:ind w:left="1134" w:hanging="283"/>
        <w:rPr>
          <w:sz w:val="24"/>
          <w:szCs w:val="24"/>
        </w:rPr>
      </w:pPr>
      <w:r w:rsidRPr="00B957E7">
        <w:rPr>
          <w:sz w:val="24"/>
          <w:szCs w:val="24"/>
        </w:rPr>
        <w:t>-</w:t>
      </w:r>
      <w:r w:rsidRPr="00B957E7">
        <w:rPr>
          <w:sz w:val="24"/>
          <w:szCs w:val="24"/>
        </w:rPr>
        <w:tab/>
        <w:t>Samtidig behandling med clarithromycin og oral midazolam er kontraindiceret (se pkt. 4.5).</w:t>
      </w:r>
    </w:p>
    <w:p w:rsidR="00D34A70" w:rsidRPr="00B957E7" w:rsidRDefault="00D34A70" w:rsidP="00336DCE">
      <w:pPr>
        <w:ind w:left="1134" w:hanging="283"/>
        <w:rPr>
          <w:sz w:val="24"/>
          <w:szCs w:val="24"/>
        </w:rPr>
      </w:pPr>
      <w:r w:rsidRPr="00B957E7">
        <w:rPr>
          <w:sz w:val="24"/>
          <w:szCs w:val="24"/>
        </w:rPr>
        <w:t>-</w:t>
      </w:r>
      <w:r w:rsidRPr="00B957E7">
        <w:rPr>
          <w:sz w:val="24"/>
          <w:szCs w:val="24"/>
        </w:rPr>
        <w:tab/>
        <w:t>Clarithromycin må ikke gives til patienter med forlænget QT-interval (medfødt eller dokumenteret, erhvervet QT-forlængelse) eller ventrikulær hjertearytmi, herunder torsades de pointe</w:t>
      </w:r>
      <w:r w:rsidR="00B957E7" w:rsidRPr="00B957E7">
        <w:rPr>
          <w:sz w:val="24"/>
          <w:szCs w:val="24"/>
        </w:rPr>
        <w:t>s</w:t>
      </w:r>
      <w:r w:rsidRPr="00B957E7">
        <w:rPr>
          <w:sz w:val="24"/>
          <w:szCs w:val="24"/>
        </w:rPr>
        <w:t>, i anamnesen (se pkt. 4.4 og 4.5).</w:t>
      </w:r>
    </w:p>
    <w:p w:rsidR="00D34A70" w:rsidRPr="00B957E7" w:rsidRDefault="00D34A70" w:rsidP="00336DCE">
      <w:pPr>
        <w:ind w:left="1134" w:hanging="283"/>
        <w:rPr>
          <w:sz w:val="24"/>
          <w:szCs w:val="24"/>
        </w:rPr>
      </w:pPr>
      <w:r w:rsidRPr="00B957E7">
        <w:rPr>
          <w:sz w:val="24"/>
          <w:szCs w:val="24"/>
        </w:rPr>
        <w:t>-</w:t>
      </w:r>
      <w:r w:rsidRPr="00B957E7">
        <w:rPr>
          <w:sz w:val="24"/>
          <w:szCs w:val="24"/>
        </w:rPr>
        <w:tab/>
        <w:t>Clarithromycin må ikke anvendes samtidigt med HMG-CoA-reduktasehæmmere (statiner), som metaboliseres i udstrakt grad af CYP3A4 (lovastatin eller simvastatin) på grund af øget risiko for myopati, herunder rhabdomyolyse (se pkt. 4.4 og 4.5).</w:t>
      </w:r>
    </w:p>
    <w:p w:rsidR="00D34A70" w:rsidRPr="00B957E7" w:rsidRDefault="00D34A70" w:rsidP="00336DCE">
      <w:pPr>
        <w:ind w:left="1134" w:hanging="283"/>
        <w:rPr>
          <w:sz w:val="24"/>
          <w:szCs w:val="24"/>
        </w:rPr>
      </w:pPr>
      <w:r w:rsidRPr="00B957E7">
        <w:rPr>
          <w:sz w:val="24"/>
          <w:szCs w:val="24"/>
        </w:rPr>
        <w:t>-</w:t>
      </w:r>
      <w:r w:rsidRPr="00B957E7">
        <w:rPr>
          <w:sz w:val="24"/>
          <w:szCs w:val="24"/>
        </w:rPr>
        <w:tab/>
        <w:t>Som med andre stærke CYP3A4-hæmmere må clarithromycin ikke anvendes til patienter, der tager colchicin (se pkt</w:t>
      </w:r>
      <w:r w:rsidR="00B957E7">
        <w:rPr>
          <w:sz w:val="24"/>
          <w:szCs w:val="24"/>
        </w:rPr>
        <w:t>.</w:t>
      </w:r>
      <w:r w:rsidRPr="00B957E7">
        <w:rPr>
          <w:sz w:val="24"/>
          <w:szCs w:val="24"/>
        </w:rPr>
        <w:t xml:space="preserve"> 4.4 og 4.5).</w:t>
      </w:r>
    </w:p>
    <w:p w:rsidR="00D34A70" w:rsidRPr="00B957E7" w:rsidRDefault="00D34A70" w:rsidP="00336DCE">
      <w:pPr>
        <w:ind w:left="1134" w:hanging="283"/>
        <w:rPr>
          <w:sz w:val="24"/>
          <w:szCs w:val="24"/>
        </w:rPr>
      </w:pPr>
      <w:r w:rsidRPr="00B957E7">
        <w:rPr>
          <w:sz w:val="24"/>
          <w:szCs w:val="24"/>
        </w:rPr>
        <w:t>-</w:t>
      </w:r>
      <w:r w:rsidRPr="00B957E7">
        <w:rPr>
          <w:sz w:val="24"/>
          <w:szCs w:val="24"/>
        </w:rPr>
        <w:tab/>
        <w:t xml:space="preserve">Clarithromycin må ikke gives til patienter med elektrolytforstyrrelser (hypokaliæmi eller hypomagnesiæmi på grund af risikoen for forlængelse af QT-intervallet). </w:t>
      </w:r>
    </w:p>
    <w:p w:rsidR="00D34A70" w:rsidRPr="00B957E7" w:rsidRDefault="00D34A70" w:rsidP="00336DCE">
      <w:pPr>
        <w:ind w:left="1134" w:hanging="283"/>
        <w:rPr>
          <w:sz w:val="24"/>
          <w:szCs w:val="24"/>
        </w:rPr>
      </w:pPr>
      <w:r w:rsidRPr="00B957E7">
        <w:rPr>
          <w:sz w:val="24"/>
          <w:szCs w:val="24"/>
        </w:rPr>
        <w:t>-</w:t>
      </w:r>
      <w:r w:rsidRPr="00B957E7">
        <w:rPr>
          <w:sz w:val="24"/>
          <w:szCs w:val="24"/>
        </w:rPr>
        <w:tab/>
        <w:t>Clarithromycin må ikke anvendes til patienter, der lider af svært leversvigt samtidigt med nedsat nyrefunktion.</w:t>
      </w:r>
    </w:p>
    <w:p w:rsidR="00CA5858" w:rsidRPr="005A561F" w:rsidRDefault="00CA5858" w:rsidP="00CA5858">
      <w:pPr>
        <w:ind w:left="851" w:hanging="851"/>
        <w:rPr>
          <w:sz w:val="24"/>
          <w:szCs w:val="24"/>
        </w:rPr>
      </w:pPr>
    </w:p>
    <w:p w:rsidR="00F26B82" w:rsidRPr="00C84483" w:rsidRDefault="00F26B82" w:rsidP="00F26B82">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54237B" w:rsidRDefault="00CA5858" w:rsidP="00CA5858">
      <w:pPr>
        <w:ind w:left="851" w:hanging="851"/>
        <w:rPr>
          <w:sz w:val="24"/>
          <w:szCs w:val="24"/>
        </w:rPr>
      </w:pPr>
      <w:r w:rsidRPr="005A561F">
        <w:rPr>
          <w:sz w:val="24"/>
          <w:szCs w:val="24"/>
        </w:rPr>
        <w:tab/>
      </w:r>
    </w:p>
    <w:p w:rsidR="0054237B" w:rsidRDefault="0054237B" w:rsidP="0054237B">
      <w:pPr>
        <w:ind w:left="851"/>
        <w:rPr>
          <w:sz w:val="24"/>
          <w:szCs w:val="24"/>
          <w:u w:val="single"/>
        </w:rPr>
      </w:pPr>
      <w:r>
        <w:rPr>
          <w:sz w:val="24"/>
          <w:szCs w:val="24"/>
          <w:u w:val="single"/>
        </w:rPr>
        <w:t>Graviditet</w:t>
      </w:r>
    </w:p>
    <w:p w:rsidR="00CA5858" w:rsidRPr="005A561F" w:rsidRDefault="00CA5858" w:rsidP="0054237B">
      <w:pPr>
        <w:ind w:left="851"/>
        <w:rPr>
          <w:sz w:val="24"/>
          <w:szCs w:val="24"/>
        </w:rPr>
      </w:pPr>
      <w:r w:rsidRPr="005A561F">
        <w:rPr>
          <w:sz w:val="24"/>
          <w:szCs w:val="24"/>
        </w:rPr>
        <w:t xml:space="preserve">Lægen bør ikke ordinere clarithromycin til gravide kvinder uden nøje at afveje fordele og risici, især </w:t>
      </w:r>
      <w:r w:rsidR="0054237B" w:rsidRPr="0054237B">
        <w:rPr>
          <w:sz w:val="24"/>
          <w:szCs w:val="24"/>
        </w:rPr>
        <w:t xml:space="preserve">i første og andet trimester af </w:t>
      </w:r>
      <w:r w:rsidRPr="005A561F">
        <w:rPr>
          <w:sz w:val="24"/>
          <w:szCs w:val="24"/>
        </w:rPr>
        <w:t>graviditeten (se pkt. 4.6).</w:t>
      </w:r>
    </w:p>
    <w:p w:rsidR="00CA5858" w:rsidRPr="005A561F" w:rsidRDefault="00CA5858" w:rsidP="00CA5858">
      <w:pPr>
        <w:ind w:left="851" w:hanging="851"/>
        <w:rPr>
          <w:sz w:val="24"/>
          <w:szCs w:val="24"/>
        </w:rPr>
      </w:pPr>
    </w:p>
    <w:p w:rsidR="00CA5858" w:rsidRPr="005A561F" w:rsidRDefault="00126FD6" w:rsidP="00126FD6">
      <w:pPr>
        <w:ind w:left="851"/>
        <w:rPr>
          <w:sz w:val="24"/>
          <w:szCs w:val="24"/>
        </w:rPr>
      </w:pPr>
      <w:r w:rsidRPr="00126FD6">
        <w:rPr>
          <w:sz w:val="24"/>
          <w:szCs w:val="24"/>
          <w:u w:val="single"/>
        </w:rPr>
        <w:t>Nedsat leverfunktion</w:t>
      </w:r>
    </w:p>
    <w:p w:rsidR="00126FD6" w:rsidRDefault="00CA5858" w:rsidP="00CA5858">
      <w:pPr>
        <w:ind w:left="851"/>
        <w:rPr>
          <w:sz w:val="24"/>
          <w:szCs w:val="24"/>
        </w:rPr>
      </w:pPr>
      <w:r w:rsidRPr="005A561F">
        <w:rPr>
          <w:sz w:val="24"/>
          <w:szCs w:val="24"/>
        </w:rPr>
        <w:t xml:space="preserve">Clarithromycin </w:t>
      </w:r>
      <w:r w:rsidR="00126FD6">
        <w:rPr>
          <w:sz w:val="24"/>
          <w:szCs w:val="24"/>
        </w:rPr>
        <w:t>metaboliseres</w:t>
      </w:r>
      <w:r w:rsidR="00126FD6" w:rsidRPr="005A561F">
        <w:rPr>
          <w:sz w:val="24"/>
          <w:szCs w:val="24"/>
        </w:rPr>
        <w:t xml:space="preserve"> </w:t>
      </w:r>
      <w:r w:rsidRPr="005A561F">
        <w:rPr>
          <w:sz w:val="24"/>
          <w:szCs w:val="24"/>
        </w:rPr>
        <w:t xml:space="preserve">hovedsageligt </w:t>
      </w:r>
      <w:r w:rsidR="00126FD6">
        <w:rPr>
          <w:sz w:val="24"/>
          <w:szCs w:val="24"/>
        </w:rPr>
        <w:t>i</w:t>
      </w:r>
      <w:r w:rsidRPr="005A561F">
        <w:rPr>
          <w:sz w:val="24"/>
          <w:szCs w:val="24"/>
        </w:rPr>
        <w:t xml:space="preserve"> leveren. Derfor bør der udvises forsigtighed, når det antibiotiske middel administreres til patienter med nedsat leverfunktion.</w:t>
      </w:r>
    </w:p>
    <w:p w:rsidR="00126FD6" w:rsidRDefault="00126FD6" w:rsidP="00CA5858">
      <w:pPr>
        <w:ind w:left="851"/>
        <w:rPr>
          <w:sz w:val="24"/>
          <w:szCs w:val="24"/>
        </w:rPr>
      </w:pPr>
    </w:p>
    <w:p w:rsidR="00126FD6" w:rsidRPr="00126FD6" w:rsidRDefault="00126FD6" w:rsidP="00126FD6">
      <w:pPr>
        <w:ind w:left="851"/>
        <w:rPr>
          <w:sz w:val="24"/>
          <w:szCs w:val="24"/>
        </w:rPr>
      </w:pPr>
      <w:r w:rsidRPr="00126FD6">
        <w:rPr>
          <w:sz w:val="24"/>
          <w:szCs w:val="24"/>
        </w:rPr>
        <w:lastRenderedPageBreak/>
        <w:t>Nedsat leverfunktion, inklusive forhøjede leverenzymer, og hepatocellulær og/eller kolestatisk hepatitis, med eller uden gulsot, er rapporteret med clarithromycin. Den nedsatte leverfunktion kan være alvorlig og er som regel reversibel.</w:t>
      </w:r>
    </w:p>
    <w:p w:rsidR="00CA5858" w:rsidRPr="005A561F" w:rsidRDefault="00CA5858" w:rsidP="00CA5858">
      <w:pPr>
        <w:ind w:left="851" w:hanging="851"/>
        <w:rPr>
          <w:sz w:val="24"/>
          <w:szCs w:val="24"/>
        </w:rPr>
      </w:pPr>
    </w:p>
    <w:p w:rsidR="00CA5858" w:rsidRDefault="00CA5858" w:rsidP="003D7C96">
      <w:pPr>
        <w:ind w:left="851"/>
        <w:rPr>
          <w:sz w:val="24"/>
          <w:szCs w:val="24"/>
        </w:rPr>
      </w:pPr>
      <w:r w:rsidRPr="005A561F">
        <w:rPr>
          <w:sz w:val="24"/>
          <w:szCs w:val="24"/>
        </w:rPr>
        <w:t>Der er rapporteret om dødeligt leversvigt (se pkt. 4.8). Nogle patienter har muligvis haft eksisterende leversygdom eller har muligvis anvendt andre hepatotoksiske lægemidler. Patienten bør rådgives om at stoppe behandlingen og kontakte lægen, hvis der opstår tegn og symptomer på hepatisk sygdom, som f.eks. anoreksi, gulsot, mørkfarvet urin, pruritus eller ømhed i abdomen.</w:t>
      </w:r>
    </w:p>
    <w:p w:rsidR="003D7C96" w:rsidRPr="005A561F" w:rsidRDefault="003D7C96" w:rsidP="003D7C96">
      <w:pPr>
        <w:ind w:left="851"/>
        <w:rPr>
          <w:sz w:val="24"/>
          <w:szCs w:val="24"/>
        </w:rPr>
      </w:pPr>
    </w:p>
    <w:p w:rsidR="003D7C96" w:rsidRPr="003D7C96" w:rsidRDefault="003D7C96" w:rsidP="003D7C96">
      <w:pPr>
        <w:ind w:left="851"/>
        <w:rPr>
          <w:sz w:val="24"/>
          <w:szCs w:val="24"/>
          <w:u w:val="single"/>
        </w:rPr>
      </w:pPr>
      <w:r w:rsidRPr="003D7C96">
        <w:rPr>
          <w:sz w:val="24"/>
          <w:szCs w:val="24"/>
          <w:u w:val="single"/>
        </w:rPr>
        <w:t>Nedsat nyrefunktion</w:t>
      </w:r>
    </w:p>
    <w:p w:rsidR="003D7C96" w:rsidRPr="003D7C96" w:rsidRDefault="003D7C96" w:rsidP="003D7C96">
      <w:pPr>
        <w:ind w:left="851"/>
        <w:rPr>
          <w:sz w:val="24"/>
          <w:szCs w:val="24"/>
        </w:rPr>
      </w:pPr>
      <w:r w:rsidRPr="003D7C96">
        <w:rPr>
          <w:sz w:val="24"/>
          <w:szCs w:val="24"/>
        </w:rPr>
        <w:t>Der bør udvises forsigtighed ved administration af clarithromycin til patienter med moderat til svært nedsat nyrefunktion (se pkt. 4.2).</w:t>
      </w:r>
    </w:p>
    <w:p w:rsidR="003D7C96" w:rsidRPr="003D7C96" w:rsidRDefault="003D7C96" w:rsidP="003D7C96">
      <w:pPr>
        <w:ind w:left="851"/>
        <w:rPr>
          <w:sz w:val="24"/>
          <w:szCs w:val="24"/>
        </w:rPr>
      </w:pPr>
    </w:p>
    <w:p w:rsidR="003D7C96" w:rsidRPr="003D7C96" w:rsidRDefault="003D7C96" w:rsidP="003D7C96">
      <w:pPr>
        <w:ind w:left="851"/>
        <w:rPr>
          <w:sz w:val="24"/>
          <w:szCs w:val="24"/>
          <w:u w:val="single"/>
        </w:rPr>
      </w:pPr>
      <w:r w:rsidRPr="003D7C96">
        <w:rPr>
          <w:sz w:val="24"/>
          <w:szCs w:val="24"/>
          <w:u w:val="single"/>
        </w:rPr>
        <w:t>Diarré og colitis</w:t>
      </w:r>
    </w:p>
    <w:p w:rsidR="00CA5858" w:rsidRPr="005A561F" w:rsidRDefault="00CA5858" w:rsidP="00AB21AE">
      <w:pPr>
        <w:ind w:left="851"/>
        <w:rPr>
          <w:sz w:val="24"/>
          <w:szCs w:val="24"/>
        </w:rPr>
      </w:pPr>
      <w:r w:rsidRPr="005A561F">
        <w:rPr>
          <w:sz w:val="24"/>
          <w:szCs w:val="24"/>
        </w:rPr>
        <w:t xml:space="preserve">Pseudomembranøs colitis er blevet rapporteret ved brug af næsten alle antibakterielle stoffer, herunder makrolider, og kan variere i sværhedsgrad fra mild til livstruende. Der er rapporteret om </w:t>
      </w:r>
      <w:r w:rsidR="00851838">
        <w:rPr>
          <w:i/>
          <w:sz w:val="24"/>
          <w:szCs w:val="24"/>
        </w:rPr>
        <w:t xml:space="preserve">Clostridioides </w:t>
      </w:r>
      <w:r w:rsidRPr="005A561F">
        <w:rPr>
          <w:i/>
          <w:sz w:val="24"/>
          <w:szCs w:val="24"/>
        </w:rPr>
        <w:t>difficile</w:t>
      </w:r>
      <w:r w:rsidRPr="005A561F">
        <w:rPr>
          <w:sz w:val="24"/>
          <w:szCs w:val="24"/>
        </w:rPr>
        <w:t xml:space="preserve">-associeret diarré (CDAD) ved anvendelse af næsten alle antibakterielle midler, herunder clarithromycin. Diarréen kan variere i sværhedsgrad fra mild diarré til fatal colitis. Behandling med antibiotika ændrer den normale flora i tyktarmen, hvilket kan føre til overvækst af </w:t>
      </w:r>
      <w:r w:rsidRPr="005A561F">
        <w:rPr>
          <w:i/>
          <w:sz w:val="24"/>
          <w:szCs w:val="24"/>
        </w:rPr>
        <w:t>C. difficile</w:t>
      </w:r>
      <w:r w:rsidRPr="005A561F">
        <w:rPr>
          <w:sz w:val="24"/>
          <w:szCs w:val="24"/>
        </w:rPr>
        <w:t>. CDAD skal overvejes hos alle patienter, som får diarré efter anvendelse af antibiotika. Omhyggelig gennemgang af patientens anamnese er nødvendig, da CDAD er blevet rapporteret mere end to måneder efter administration af antibakterielle midler. Seponering af clarithromycinbehandlingen bør derfor overvejes uanset indikationen. Der bør udføres mikrobiel test og passende behandling iværksættes. Lægemidler, der hæmmer peristaltikken, bør undgås.</w:t>
      </w:r>
    </w:p>
    <w:p w:rsidR="00CA5858" w:rsidRDefault="00CA5858" w:rsidP="00AB21AE">
      <w:pPr>
        <w:ind w:left="851"/>
        <w:rPr>
          <w:sz w:val="24"/>
          <w:szCs w:val="24"/>
        </w:rPr>
      </w:pPr>
    </w:p>
    <w:p w:rsidR="003D7C96" w:rsidRPr="003D7C96" w:rsidRDefault="003D7C96" w:rsidP="00AB21AE">
      <w:pPr>
        <w:ind w:left="851"/>
        <w:rPr>
          <w:sz w:val="24"/>
          <w:szCs w:val="24"/>
          <w:u w:val="single"/>
        </w:rPr>
      </w:pPr>
      <w:r>
        <w:rPr>
          <w:sz w:val="24"/>
          <w:szCs w:val="24"/>
          <w:u w:val="single"/>
        </w:rPr>
        <w:t>Colchicin</w:t>
      </w:r>
    </w:p>
    <w:p w:rsidR="00CA5858" w:rsidRPr="005A561F" w:rsidRDefault="00CA5858" w:rsidP="00AB21AE">
      <w:pPr>
        <w:ind w:left="851"/>
        <w:rPr>
          <w:sz w:val="24"/>
          <w:szCs w:val="24"/>
        </w:rPr>
      </w:pPr>
      <w:r w:rsidRPr="005A561F">
        <w:rPr>
          <w:sz w:val="24"/>
          <w:szCs w:val="24"/>
        </w:rPr>
        <w:t xml:space="preserve">Efter markedsføring har der været indberetninger om colchicintoksicitet ved samtidig brug af clarithromycin og colchicin, især hos ældre, hvoraf nogle tilfælde fandt sted hos patienter med nedsat nyrefunktion. Nogle af disse har haft dødelig udgang (se pkt. 4.5). Samtidig anvendelse af clarithromycin </w:t>
      </w:r>
      <w:r w:rsidR="00AB21AE">
        <w:rPr>
          <w:sz w:val="24"/>
          <w:szCs w:val="24"/>
        </w:rPr>
        <w:t xml:space="preserve">og colchicin </w:t>
      </w:r>
      <w:r w:rsidRPr="005A561F">
        <w:rPr>
          <w:sz w:val="24"/>
          <w:szCs w:val="24"/>
        </w:rPr>
        <w:t xml:space="preserve">er kontraindiceret (se pkt. 4.3). </w:t>
      </w:r>
    </w:p>
    <w:p w:rsidR="00CA5858" w:rsidRDefault="00CA5858" w:rsidP="00AB21AE">
      <w:pPr>
        <w:ind w:left="851"/>
        <w:rPr>
          <w:sz w:val="24"/>
          <w:szCs w:val="24"/>
        </w:rPr>
      </w:pPr>
    </w:p>
    <w:p w:rsidR="00AB21AE" w:rsidRPr="00AB21AE" w:rsidRDefault="00AB21AE" w:rsidP="00AB21AE">
      <w:pPr>
        <w:ind w:left="851"/>
        <w:rPr>
          <w:sz w:val="24"/>
          <w:szCs w:val="24"/>
          <w:u w:val="single"/>
        </w:rPr>
      </w:pPr>
      <w:r w:rsidRPr="00AB21AE">
        <w:rPr>
          <w:sz w:val="24"/>
          <w:szCs w:val="24"/>
          <w:u w:val="single"/>
        </w:rPr>
        <w:t>Triazolobenzodiazepiner</w:t>
      </w:r>
    </w:p>
    <w:p w:rsidR="00AB21AE" w:rsidRPr="005A561F" w:rsidRDefault="00CA5858" w:rsidP="00AB21AE">
      <w:pPr>
        <w:ind w:left="851"/>
        <w:rPr>
          <w:sz w:val="24"/>
          <w:szCs w:val="24"/>
        </w:rPr>
      </w:pPr>
      <w:r w:rsidRPr="005A561F">
        <w:rPr>
          <w:sz w:val="24"/>
          <w:szCs w:val="24"/>
        </w:rPr>
        <w:t xml:space="preserve">Der bør udvises forsigtighed ved samtidig administration af clarithromycin og triazolobenzodiazepiner, såsom </w:t>
      </w:r>
      <w:r w:rsidR="00AB21AE" w:rsidRPr="005A561F">
        <w:rPr>
          <w:sz w:val="24"/>
          <w:szCs w:val="24"/>
        </w:rPr>
        <w:t>triazolam og midazolam</w:t>
      </w:r>
      <w:r w:rsidR="00AB21AE">
        <w:rPr>
          <w:sz w:val="24"/>
          <w:szCs w:val="24"/>
        </w:rPr>
        <w:t xml:space="preserve"> administreret intravenøst eller appliceret i mundhulen</w:t>
      </w:r>
      <w:r w:rsidR="00AB21AE" w:rsidRPr="005A561F">
        <w:rPr>
          <w:sz w:val="24"/>
          <w:szCs w:val="24"/>
        </w:rPr>
        <w:t xml:space="preserve"> (se pkt. 4.5).</w:t>
      </w:r>
    </w:p>
    <w:p w:rsidR="00CA5858" w:rsidRDefault="00CA5858" w:rsidP="006D3A3F">
      <w:pPr>
        <w:ind w:left="851"/>
        <w:rPr>
          <w:sz w:val="24"/>
          <w:szCs w:val="24"/>
        </w:rPr>
      </w:pPr>
    </w:p>
    <w:p w:rsidR="006D3A3F" w:rsidRPr="00FC3E09" w:rsidRDefault="006D3A3F" w:rsidP="006D3A3F">
      <w:pPr>
        <w:ind w:left="851"/>
        <w:rPr>
          <w:sz w:val="24"/>
          <w:szCs w:val="24"/>
          <w:u w:val="single"/>
        </w:rPr>
      </w:pPr>
      <w:r w:rsidRPr="00FC3E09">
        <w:rPr>
          <w:sz w:val="24"/>
          <w:szCs w:val="24"/>
          <w:u w:val="single"/>
        </w:rPr>
        <w:t>Aminoglykosider</w:t>
      </w:r>
    </w:p>
    <w:p w:rsidR="00CA5858" w:rsidRPr="005A561F" w:rsidRDefault="00CA5858" w:rsidP="00CA5858">
      <w:pPr>
        <w:ind w:left="851"/>
        <w:rPr>
          <w:sz w:val="24"/>
          <w:szCs w:val="24"/>
        </w:rPr>
      </w:pPr>
      <w:r w:rsidRPr="005A561F">
        <w:rPr>
          <w:sz w:val="24"/>
          <w:szCs w:val="24"/>
        </w:rPr>
        <w:t>Der bør udvises forsigtighed ved samtidig administration af clarithromycin og andre ototok</w:t>
      </w:r>
      <w:r w:rsidR="00B957E7">
        <w:rPr>
          <w:sz w:val="24"/>
          <w:szCs w:val="24"/>
        </w:rPr>
        <w:softHyphen/>
      </w:r>
      <w:r w:rsidRPr="005A561F">
        <w:rPr>
          <w:sz w:val="24"/>
          <w:szCs w:val="24"/>
        </w:rPr>
        <w:t>siske lægemidler, især aminoglykosider. Den vestibulære funktion og hørelsen bør overvåges under og efter behandlingen.</w:t>
      </w:r>
    </w:p>
    <w:p w:rsidR="00CA5858" w:rsidRPr="005A561F" w:rsidRDefault="00CA5858" w:rsidP="006D3A3F">
      <w:pPr>
        <w:ind w:left="851"/>
        <w:rPr>
          <w:sz w:val="24"/>
          <w:szCs w:val="24"/>
        </w:rPr>
      </w:pPr>
    </w:p>
    <w:p w:rsidR="00CA5858" w:rsidRPr="00265DAD" w:rsidRDefault="00CA5858" w:rsidP="00CA5858">
      <w:pPr>
        <w:ind w:left="851"/>
        <w:rPr>
          <w:sz w:val="24"/>
          <w:szCs w:val="24"/>
          <w:u w:val="single"/>
        </w:rPr>
      </w:pPr>
      <w:r w:rsidRPr="00265DAD">
        <w:rPr>
          <w:sz w:val="24"/>
          <w:szCs w:val="24"/>
          <w:u w:val="single"/>
        </w:rPr>
        <w:t>Kardiovaskulære hændelser</w:t>
      </w:r>
    </w:p>
    <w:p w:rsidR="006D3A3F" w:rsidRDefault="006D3A3F" w:rsidP="006D3A3F">
      <w:pPr>
        <w:ind w:left="851"/>
        <w:rPr>
          <w:sz w:val="24"/>
          <w:szCs w:val="24"/>
        </w:rPr>
      </w:pPr>
      <w:r>
        <w:rPr>
          <w:sz w:val="24"/>
          <w:szCs w:val="24"/>
        </w:rPr>
        <w:t>Forlænget QT-interval, som afspejler effekter på kardiel</w:t>
      </w:r>
      <w:r w:rsidRPr="005A561F">
        <w:rPr>
          <w:sz w:val="24"/>
          <w:szCs w:val="24"/>
        </w:rPr>
        <w:t xml:space="preserve"> repolarisering</w:t>
      </w:r>
      <w:r>
        <w:rPr>
          <w:sz w:val="24"/>
          <w:szCs w:val="24"/>
        </w:rPr>
        <w:t>, indebærende en risiko for at udvikle hjertearytmi og torsades de pointes, er set hos patienter, som</w:t>
      </w:r>
      <w:r w:rsidRPr="005A561F">
        <w:rPr>
          <w:sz w:val="24"/>
          <w:szCs w:val="24"/>
        </w:rPr>
        <w:t xml:space="preserve"> </w:t>
      </w:r>
      <w:r>
        <w:rPr>
          <w:sz w:val="24"/>
          <w:szCs w:val="24"/>
        </w:rPr>
        <w:t>blev</w:t>
      </w:r>
      <w:r w:rsidRPr="005A561F">
        <w:rPr>
          <w:sz w:val="24"/>
          <w:szCs w:val="24"/>
        </w:rPr>
        <w:t xml:space="preserve"> behandl</w:t>
      </w:r>
      <w:r>
        <w:rPr>
          <w:sz w:val="24"/>
          <w:szCs w:val="24"/>
        </w:rPr>
        <w:t>et</w:t>
      </w:r>
      <w:r w:rsidRPr="005A561F">
        <w:rPr>
          <w:sz w:val="24"/>
          <w:szCs w:val="24"/>
        </w:rPr>
        <w:t xml:space="preserve"> med makrolider, herunder clarithromycin (se pkt. 4.8).</w:t>
      </w:r>
    </w:p>
    <w:p w:rsidR="006D3A3F" w:rsidRDefault="006D3A3F" w:rsidP="006D3A3F">
      <w:pPr>
        <w:ind w:left="851"/>
        <w:rPr>
          <w:sz w:val="24"/>
          <w:szCs w:val="24"/>
        </w:rPr>
      </w:pPr>
      <w:r>
        <w:rPr>
          <w:sz w:val="24"/>
          <w:szCs w:val="24"/>
        </w:rPr>
        <w:t>På grund af</w:t>
      </w:r>
      <w:r w:rsidRPr="005A561F">
        <w:rPr>
          <w:sz w:val="24"/>
          <w:szCs w:val="24"/>
        </w:rPr>
        <w:t xml:space="preserve"> </w:t>
      </w:r>
      <w:r>
        <w:rPr>
          <w:sz w:val="24"/>
          <w:szCs w:val="24"/>
        </w:rPr>
        <w:t>for</w:t>
      </w:r>
      <w:r w:rsidRPr="005A561F">
        <w:rPr>
          <w:sz w:val="24"/>
          <w:szCs w:val="24"/>
        </w:rPr>
        <w:t>øget risiko for</w:t>
      </w:r>
      <w:r>
        <w:rPr>
          <w:sz w:val="24"/>
          <w:szCs w:val="24"/>
        </w:rPr>
        <w:t xml:space="preserve"> QT-forlængelse og</w:t>
      </w:r>
      <w:r w:rsidRPr="005A561F">
        <w:rPr>
          <w:sz w:val="24"/>
          <w:szCs w:val="24"/>
        </w:rPr>
        <w:t xml:space="preserve"> ventrikulær</w:t>
      </w:r>
      <w:r>
        <w:rPr>
          <w:sz w:val="24"/>
          <w:szCs w:val="24"/>
        </w:rPr>
        <w:t>e</w:t>
      </w:r>
      <w:r w:rsidRPr="005A561F">
        <w:rPr>
          <w:sz w:val="24"/>
          <w:szCs w:val="24"/>
        </w:rPr>
        <w:t xml:space="preserve"> arytmi</w:t>
      </w:r>
      <w:r>
        <w:rPr>
          <w:sz w:val="24"/>
          <w:szCs w:val="24"/>
        </w:rPr>
        <w:t>er</w:t>
      </w:r>
      <w:r w:rsidRPr="005A561F">
        <w:rPr>
          <w:sz w:val="24"/>
          <w:szCs w:val="24"/>
        </w:rPr>
        <w:t xml:space="preserve"> (inklusiv</w:t>
      </w:r>
      <w:r>
        <w:rPr>
          <w:sz w:val="24"/>
          <w:szCs w:val="24"/>
        </w:rPr>
        <w:t>e</w:t>
      </w:r>
      <w:r w:rsidRPr="005A561F">
        <w:rPr>
          <w:sz w:val="24"/>
          <w:szCs w:val="24"/>
        </w:rPr>
        <w:t xml:space="preserve"> torsade</w:t>
      </w:r>
      <w:r>
        <w:rPr>
          <w:sz w:val="24"/>
          <w:szCs w:val="24"/>
        </w:rPr>
        <w:t>s</w:t>
      </w:r>
      <w:r w:rsidRPr="005A561F">
        <w:rPr>
          <w:sz w:val="24"/>
          <w:szCs w:val="24"/>
        </w:rPr>
        <w:t xml:space="preserve"> de pointes), </w:t>
      </w:r>
      <w:r>
        <w:rPr>
          <w:sz w:val="24"/>
          <w:szCs w:val="24"/>
        </w:rPr>
        <w:t>er brugen af</w:t>
      </w:r>
      <w:r w:rsidRPr="005A561F">
        <w:rPr>
          <w:sz w:val="24"/>
          <w:szCs w:val="24"/>
        </w:rPr>
        <w:t xml:space="preserve"> clarithromycin </w:t>
      </w:r>
      <w:r>
        <w:rPr>
          <w:sz w:val="24"/>
          <w:szCs w:val="24"/>
        </w:rPr>
        <w:t>kontraindiceret</w:t>
      </w:r>
    </w:p>
    <w:p w:rsidR="006D3A3F" w:rsidRDefault="006D3A3F" w:rsidP="006D3A3F">
      <w:pPr>
        <w:ind w:left="1134" w:hanging="283"/>
        <w:rPr>
          <w:sz w:val="24"/>
          <w:szCs w:val="24"/>
        </w:rPr>
      </w:pPr>
      <w:r>
        <w:rPr>
          <w:sz w:val="24"/>
          <w:szCs w:val="24"/>
        </w:rPr>
        <w:t>-</w:t>
      </w:r>
      <w:r>
        <w:rPr>
          <w:sz w:val="24"/>
          <w:szCs w:val="24"/>
        </w:rPr>
        <w:tab/>
      </w:r>
      <w:r w:rsidRPr="00FC3E09">
        <w:rPr>
          <w:sz w:val="24"/>
          <w:szCs w:val="24"/>
        </w:rPr>
        <w:t>hos patienter, som tager astemizol, cisaprid, domperidon, pimozid og terfenadin</w:t>
      </w:r>
    </w:p>
    <w:p w:rsidR="006D3A3F" w:rsidRDefault="006D3A3F" w:rsidP="006D3A3F">
      <w:pPr>
        <w:ind w:left="1134" w:hanging="283"/>
        <w:rPr>
          <w:sz w:val="24"/>
          <w:szCs w:val="24"/>
        </w:rPr>
      </w:pPr>
      <w:r>
        <w:rPr>
          <w:sz w:val="24"/>
          <w:szCs w:val="24"/>
        </w:rPr>
        <w:t>-</w:t>
      </w:r>
      <w:r>
        <w:rPr>
          <w:sz w:val="24"/>
          <w:szCs w:val="24"/>
        </w:rPr>
        <w:tab/>
        <w:t>hos patienter med elektrolytforstyrrelser, såsom hypomagnesiæmi eller hypokalæmi</w:t>
      </w:r>
    </w:p>
    <w:p w:rsidR="006D3A3F" w:rsidRDefault="006D3A3F" w:rsidP="006D3A3F">
      <w:pPr>
        <w:ind w:left="1134" w:hanging="283"/>
        <w:rPr>
          <w:sz w:val="24"/>
          <w:szCs w:val="24"/>
        </w:rPr>
      </w:pPr>
      <w:r>
        <w:rPr>
          <w:sz w:val="24"/>
          <w:szCs w:val="24"/>
        </w:rPr>
        <w:lastRenderedPageBreak/>
        <w:t>-</w:t>
      </w:r>
      <w:r>
        <w:rPr>
          <w:sz w:val="24"/>
          <w:szCs w:val="24"/>
        </w:rPr>
        <w:tab/>
        <w:t xml:space="preserve">og </w:t>
      </w:r>
      <w:r w:rsidRPr="00FC3E09">
        <w:rPr>
          <w:sz w:val="24"/>
          <w:szCs w:val="24"/>
        </w:rPr>
        <w:t xml:space="preserve">hos patienter med QT-forlængelse eller ventrikulær kardiel arytmi </w:t>
      </w:r>
      <w:r w:rsidRPr="002553ED">
        <w:rPr>
          <w:sz w:val="24"/>
          <w:szCs w:val="24"/>
        </w:rPr>
        <w:t xml:space="preserve">i anamnesen </w:t>
      </w:r>
      <w:r w:rsidRPr="00FC3E09">
        <w:rPr>
          <w:sz w:val="24"/>
          <w:szCs w:val="24"/>
        </w:rPr>
        <w:t>(se pkt. 4.3).</w:t>
      </w:r>
    </w:p>
    <w:p w:rsidR="006D3A3F" w:rsidRDefault="006D3A3F" w:rsidP="006D3A3F">
      <w:pPr>
        <w:ind w:left="851"/>
        <w:rPr>
          <w:sz w:val="24"/>
          <w:szCs w:val="24"/>
        </w:rPr>
      </w:pPr>
    </w:p>
    <w:p w:rsidR="006D3A3F" w:rsidRDefault="006D3A3F" w:rsidP="006D3A3F">
      <w:pPr>
        <w:ind w:left="851"/>
        <w:rPr>
          <w:sz w:val="24"/>
          <w:szCs w:val="24"/>
        </w:rPr>
      </w:pPr>
      <w:r>
        <w:rPr>
          <w:sz w:val="24"/>
          <w:szCs w:val="24"/>
        </w:rPr>
        <w:t xml:space="preserve">Clarithromycin bør desuden </w:t>
      </w:r>
      <w:r w:rsidRPr="005A561F">
        <w:rPr>
          <w:sz w:val="24"/>
          <w:szCs w:val="24"/>
        </w:rPr>
        <w:t>anvendes med forsigtighed til følgende</w:t>
      </w:r>
      <w:r>
        <w:rPr>
          <w:sz w:val="24"/>
          <w:szCs w:val="24"/>
        </w:rPr>
        <w:t xml:space="preserve"> patienter:</w:t>
      </w:r>
    </w:p>
    <w:p w:rsidR="006D3A3F" w:rsidRDefault="006D3A3F" w:rsidP="006D3A3F">
      <w:pPr>
        <w:ind w:left="1134" w:hanging="283"/>
        <w:rPr>
          <w:sz w:val="24"/>
          <w:szCs w:val="24"/>
        </w:rPr>
      </w:pPr>
      <w:r>
        <w:rPr>
          <w:sz w:val="24"/>
          <w:szCs w:val="24"/>
        </w:rPr>
        <w:t>-</w:t>
      </w:r>
      <w:r>
        <w:rPr>
          <w:sz w:val="24"/>
          <w:szCs w:val="24"/>
        </w:rPr>
        <w:tab/>
      </w:r>
      <w:r w:rsidRPr="005A561F">
        <w:rPr>
          <w:sz w:val="24"/>
          <w:szCs w:val="24"/>
        </w:rPr>
        <w:t>Patienter med koronararteriesygdom, svær hjerteinsufficiens, forstyrrelser i regulering af hjertet eller klinisk relevant bradykardi.</w:t>
      </w:r>
    </w:p>
    <w:p w:rsidR="006D3A3F" w:rsidRDefault="006D3A3F" w:rsidP="006D3A3F">
      <w:pPr>
        <w:ind w:left="1134" w:hanging="283"/>
        <w:rPr>
          <w:sz w:val="24"/>
          <w:szCs w:val="24"/>
        </w:rPr>
      </w:pPr>
      <w:r>
        <w:rPr>
          <w:sz w:val="24"/>
          <w:szCs w:val="24"/>
        </w:rPr>
        <w:t>-</w:t>
      </w:r>
      <w:r>
        <w:rPr>
          <w:sz w:val="24"/>
          <w:szCs w:val="24"/>
        </w:rPr>
        <w:tab/>
      </w:r>
      <w:r w:rsidRPr="005A561F">
        <w:rPr>
          <w:sz w:val="24"/>
          <w:szCs w:val="24"/>
        </w:rPr>
        <w:t>Patienter, som samtidig tager andre lægemidler, der er associeret med forlængelse af QT-intervallet</w:t>
      </w:r>
      <w:r>
        <w:rPr>
          <w:sz w:val="24"/>
          <w:szCs w:val="24"/>
        </w:rPr>
        <w:t>, end dem, der</w:t>
      </w:r>
      <w:r w:rsidRPr="005A561F">
        <w:rPr>
          <w:sz w:val="24"/>
          <w:szCs w:val="24"/>
        </w:rPr>
        <w:t xml:space="preserve"> </w:t>
      </w:r>
      <w:r>
        <w:rPr>
          <w:sz w:val="24"/>
          <w:szCs w:val="24"/>
        </w:rPr>
        <w:t>e</w:t>
      </w:r>
      <w:r w:rsidRPr="005A561F">
        <w:rPr>
          <w:sz w:val="24"/>
          <w:szCs w:val="24"/>
        </w:rPr>
        <w:t>r kontraindiceret (se pkt. 4.</w:t>
      </w:r>
      <w:r>
        <w:rPr>
          <w:sz w:val="24"/>
          <w:szCs w:val="24"/>
        </w:rPr>
        <w:t>5</w:t>
      </w:r>
      <w:r w:rsidRPr="005A561F">
        <w:rPr>
          <w:sz w:val="24"/>
          <w:szCs w:val="24"/>
        </w:rPr>
        <w:t>).</w:t>
      </w:r>
    </w:p>
    <w:p w:rsidR="00CA5858" w:rsidRPr="005A561F" w:rsidRDefault="00CA5858" w:rsidP="00CA5858">
      <w:pPr>
        <w:ind w:left="851" w:hanging="851"/>
        <w:rPr>
          <w:sz w:val="24"/>
          <w:szCs w:val="24"/>
        </w:rPr>
      </w:pPr>
    </w:p>
    <w:p w:rsidR="00CA5858" w:rsidRPr="005A561F" w:rsidRDefault="00CA5858" w:rsidP="00CA5858">
      <w:pPr>
        <w:ind w:left="851"/>
        <w:rPr>
          <w:sz w:val="24"/>
          <w:szCs w:val="24"/>
        </w:rPr>
      </w:pPr>
      <w:r w:rsidRPr="005A561F">
        <w:rPr>
          <w:sz w:val="24"/>
          <w:szCs w:val="24"/>
        </w:rPr>
        <w:t>Epidemiologiske studier, der undersøger risikoen for uønskede kardiovaskulære resultater med makrolider, har vist varierende resultater. Nogle observationsstudier har identificeret en sjælden korttidsrisiko for arytmi, myokardieinfarkt og kardiovaskulær mortalitet ledsaget af makrolider, herunder clarithromycin. Hensyntagen til disse fund skal afvejes imod behandlingsfordele ved ordinering af clarithromycin.</w:t>
      </w:r>
    </w:p>
    <w:p w:rsidR="00CA5858" w:rsidRPr="005A561F" w:rsidRDefault="00CA5858" w:rsidP="00CA5858">
      <w:pPr>
        <w:ind w:left="851" w:hanging="851"/>
        <w:rPr>
          <w:sz w:val="24"/>
          <w:szCs w:val="24"/>
        </w:rPr>
      </w:pPr>
    </w:p>
    <w:p w:rsidR="00CA5858" w:rsidRPr="005A561F" w:rsidRDefault="00CA5858" w:rsidP="00CA5858">
      <w:pPr>
        <w:ind w:left="851"/>
        <w:rPr>
          <w:sz w:val="24"/>
          <w:szCs w:val="24"/>
        </w:rPr>
      </w:pPr>
      <w:r w:rsidRPr="005A561F">
        <w:rPr>
          <w:sz w:val="24"/>
          <w:szCs w:val="24"/>
          <w:u w:val="single"/>
        </w:rPr>
        <w:t>Pneumoni</w:t>
      </w:r>
      <w:r w:rsidRPr="005A561F">
        <w:rPr>
          <w:sz w:val="24"/>
          <w:szCs w:val="24"/>
        </w:rPr>
        <w:t xml:space="preserve"> </w:t>
      </w:r>
      <w:r w:rsidRPr="005A561F">
        <w:rPr>
          <w:sz w:val="24"/>
          <w:szCs w:val="24"/>
        </w:rPr>
        <w:br/>
        <w:t xml:space="preserve">I betragtning af opstået resistens hos </w:t>
      </w:r>
      <w:r w:rsidRPr="005A561F">
        <w:rPr>
          <w:i/>
          <w:sz w:val="24"/>
          <w:szCs w:val="24"/>
        </w:rPr>
        <w:t>Streptococcus pneumoniae</w:t>
      </w:r>
      <w:r w:rsidRPr="005A561F">
        <w:rPr>
          <w:sz w:val="24"/>
          <w:szCs w:val="24"/>
        </w:rPr>
        <w:t xml:space="preserve"> over for makrolider er det vigtigt, at der udføres sensitivitetstest, hvis clarithromycin ordineres til behandling af pneumoni erhvervet uden for sygehuset. I tilfælde af pneumoni erhvervet på sygehuset bør clarithromycin anvendes sammen med yderligere passende antibiotika.</w:t>
      </w:r>
    </w:p>
    <w:p w:rsidR="00CA5858" w:rsidRPr="005A561F" w:rsidRDefault="00CA5858" w:rsidP="00CA5858">
      <w:pPr>
        <w:ind w:left="851" w:hanging="851"/>
        <w:rPr>
          <w:sz w:val="24"/>
          <w:szCs w:val="24"/>
        </w:rPr>
      </w:pPr>
    </w:p>
    <w:p w:rsidR="00CA5858" w:rsidRPr="005A561F" w:rsidRDefault="00CA5858" w:rsidP="00CA5858">
      <w:pPr>
        <w:ind w:left="851"/>
        <w:rPr>
          <w:sz w:val="24"/>
          <w:szCs w:val="24"/>
        </w:rPr>
      </w:pPr>
      <w:r w:rsidRPr="005A561F">
        <w:rPr>
          <w:sz w:val="24"/>
          <w:szCs w:val="24"/>
          <w:u w:val="single"/>
        </w:rPr>
        <w:t>Infektioner i hud og bløddele af mild til moderat sværhedsgrad</w:t>
      </w:r>
      <w:r w:rsidRPr="005A561F">
        <w:rPr>
          <w:sz w:val="24"/>
          <w:szCs w:val="24"/>
        </w:rPr>
        <w:t xml:space="preserve"> </w:t>
      </w:r>
      <w:r w:rsidRPr="005A561F">
        <w:rPr>
          <w:sz w:val="24"/>
          <w:szCs w:val="24"/>
        </w:rPr>
        <w:br/>
        <w:t xml:space="preserve">Disse infektioner er som oftest forårsaget af </w:t>
      </w:r>
      <w:r w:rsidRPr="005A561F">
        <w:rPr>
          <w:i/>
          <w:sz w:val="24"/>
          <w:szCs w:val="24"/>
        </w:rPr>
        <w:t>Staphylococcus aureus</w:t>
      </w:r>
      <w:r w:rsidRPr="005A561F">
        <w:rPr>
          <w:sz w:val="24"/>
          <w:szCs w:val="24"/>
        </w:rPr>
        <w:t xml:space="preserve"> og </w:t>
      </w:r>
      <w:r w:rsidRPr="005A561F">
        <w:rPr>
          <w:i/>
          <w:sz w:val="24"/>
          <w:szCs w:val="24"/>
        </w:rPr>
        <w:t>Streptococcus pyogenes</w:t>
      </w:r>
      <w:r w:rsidRPr="005A561F">
        <w:rPr>
          <w:sz w:val="24"/>
          <w:szCs w:val="24"/>
        </w:rPr>
        <w:t>. Begge arter er ofte resistente over for makrolider. Derfor er det vigtigt, at der udføres sensitivitetstest. I de tilfælde, hvor beta</w:t>
      </w:r>
      <w:r w:rsidR="00BD6F7C">
        <w:rPr>
          <w:sz w:val="24"/>
          <w:szCs w:val="24"/>
        </w:rPr>
        <w:t>-</w:t>
      </w:r>
      <w:r w:rsidRPr="005A561F">
        <w:rPr>
          <w:sz w:val="24"/>
          <w:szCs w:val="24"/>
        </w:rPr>
        <w:t xml:space="preserve">lactam-antibiotika ikke kan anvendes (f.eks. pga. allergi), er andre typer antibiotika, såsom clindamycin, det foretrukne lægemiddel. På nuværende tidspunkt anses makrolider for kun at spille en rolle i nogle infektioner i hud og bløddele, som eksempelvis infektioner, der skyldes </w:t>
      </w:r>
      <w:r w:rsidRPr="005A561F">
        <w:rPr>
          <w:i/>
          <w:sz w:val="24"/>
          <w:szCs w:val="24"/>
        </w:rPr>
        <w:t>Corynebacterium minutissimum</w:t>
      </w:r>
      <w:r w:rsidRPr="005A561F">
        <w:rPr>
          <w:sz w:val="24"/>
          <w:szCs w:val="24"/>
        </w:rPr>
        <w:t>, acne vulgaris og erysipelas, og i tilfælde hvor penicillinbehandling ikke er mulig.</w:t>
      </w:r>
    </w:p>
    <w:p w:rsidR="00CA5858" w:rsidRPr="005A561F" w:rsidRDefault="00CA5858" w:rsidP="00CA5858">
      <w:pPr>
        <w:ind w:left="851" w:hanging="851"/>
        <w:rPr>
          <w:sz w:val="24"/>
          <w:szCs w:val="24"/>
        </w:rPr>
      </w:pPr>
    </w:p>
    <w:p w:rsidR="00CA5858" w:rsidRPr="005A561F" w:rsidRDefault="000C38CA" w:rsidP="000C38CA">
      <w:pPr>
        <w:ind w:left="851"/>
        <w:rPr>
          <w:sz w:val="24"/>
          <w:szCs w:val="24"/>
        </w:rPr>
      </w:pPr>
      <w:r w:rsidRPr="000C38CA">
        <w:rPr>
          <w:sz w:val="24"/>
          <w:szCs w:val="24"/>
        </w:rPr>
        <w:t>I tilfælde af svære, akutte overfølsomhedsreaktioner som f.eks. anafylaksi, alvorlige kutane reaktioner (SCAR) (f.eks. Akut generaliseret eksantematøs pustulose (AGEP)), Stevens-Johnson</w:t>
      </w:r>
      <w:r>
        <w:rPr>
          <w:sz w:val="24"/>
          <w:szCs w:val="24"/>
        </w:rPr>
        <w:t>s</w:t>
      </w:r>
      <w:r w:rsidRPr="000C38CA">
        <w:rPr>
          <w:sz w:val="24"/>
          <w:szCs w:val="24"/>
        </w:rPr>
        <w:t xml:space="preserve"> syndrom, toksisk epidermal nekrolyse og medikamentelt udslæt med eosinofili og systemiske symptomer (DRESS)), bør behandling med clarithromycin straks seponeres og anden passende behandling straks indledes.</w:t>
      </w:r>
    </w:p>
    <w:p w:rsidR="00CA5858" w:rsidRPr="005A561F" w:rsidRDefault="00CA5858" w:rsidP="00CA5858">
      <w:pPr>
        <w:ind w:left="851" w:hanging="851"/>
        <w:rPr>
          <w:sz w:val="24"/>
          <w:szCs w:val="24"/>
        </w:rPr>
      </w:pPr>
    </w:p>
    <w:p w:rsidR="00CA5858" w:rsidRPr="005A561F" w:rsidRDefault="00CA5858" w:rsidP="00CA5858">
      <w:pPr>
        <w:autoSpaceDE w:val="0"/>
        <w:autoSpaceDN w:val="0"/>
        <w:adjustRightInd w:val="0"/>
        <w:ind w:left="851"/>
        <w:rPr>
          <w:sz w:val="24"/>
          <w:szCs w:val="24"/>
        </w:rPr>
      </w:pPr>
      <w:r w:rsidRPr="005A561F">
        <w:rPr>
          <w:sz w:val="24"/>
          <w:szCs w:val="24"/>
          <w:u w:val="single"/>
        </w:rPr>
        <w:t xml:space="preserve">HMG-CoA reduktasehæmmere (statiner) </w:t>
      </w:r>
      <w:r w:rsidRPr="005A561F">
        <w:rPr>
          <w:sz w:val="24"/>
          <w:szCs w:val="24"/>
        </w:rPr>
        <w:br/>
        <w:t xml:space="preserve">Samtidig brug af </w:t>
      </w:r>
      <w:r w:rsidRPr="005A561F">
        <w:rPr>
          <w:rFonts w:eastAsia="MS Mincho"/>
          <w:sz w:val="24"/>
          <w:szCs w:val="24"/>
          <w:lang w:eastAsia="ja-JP"/>
        </w:rPr>
        <w:t xml:space="preserve">clarithromycin og </w:t>
      </w:r>
      <w:r w:rsidRPr="005A561F">
        <w:rPr>
          <w:iCs/>
          <w:color w:val="000000"/>
          <w:sz w:val="24"/>
          <w:szCs w:val="24"/>
        </w:rPr>
        <w:t>lovastatin eller simvastatin er kontraindiceret (se pkt. 4.3). Der bør udvises forsigtighed, når clarithromycin ordineres sammen med andre statiner. Der er modtaget rapporter om</w:t>
      </w:r>
      <w:r w:rsidRPr="005A561F">
        <w:rPr>
          <w:sz w:val="24"/>
          <w:szCs w:val="24"/>
        </w:rPr>
        <w:t xml:space="preserve"> rhabdomyolyse hos patienter, der tager </w:t>
      </w:r>
      <w:r w:rsidRPr="005A561F">
        <w:rPr>
          <w:iCs/>
          <w:color w:val="000000"/>
          <w:sz w:val="24"/>
          <w:szCs w:val="24"/>
        </w:rPr>
        <w:t>clarithromycin</w:t>
      </w:r>
      <w:r w:rsidRPr="005A561F">
        <w:rPr>
          <w:sz w:val="24"/>
          <w:szCs w:val="24"/>
        </w:rPr>
        <w:t xml:space="preserve"> samtidig </w:t>
      </w:r>
      <w:r w:rsidRPr="005A561F">
        <w:rPr>
          <w:iCs/>
          <w:color w:val="000000"/>
          <w:sz w:val="24"/>
          <w:szCs w:val="24"/>
        </w:rPr>
        <w:t>med sådanne statiner</w:t>
      </w:r>
      <w:r w:rsidRPr="005A561F">
        <w:rPr>
          <w:sz w:val="24"/>
          <w:szCs w:val="24"/>
        </w:rPr>
        <w:t xml:space="preserve">. Patienter bør monitoreres for tegn og symptomer på myopati. </w:t>
      </w:r>
      <w:r w:rsidRPr="005A561F">
        <w:rPr>
          <w:iCs/>
          <w:color w:val="000000"/>
          <w:sz w:val="24"/>
          <w:szCs w:val="24"/>
        </w:rPr>
        <w:t xml:space="preserve">I situationer, hvor samtidig brug af clarithromycin med statiner ikke kan undgås, anbefales det at ordinere den lavest mulige dosis af statin. </w:t>
      </w:r>
      <w:r w:rsidRPr="005A561F">
        <w:rPr>
          <w:sz w:val="24"/>
          <w:szCs w:val="24"/>
        </w:rPr>
        <w:t>Brug af et statin, som ikke metaboliseres af CYP3A (</w:t>
      </w:r>
      <w:r w:rsidR="0051299C">
        <w:rPr>
          <w:sz w:val="24"/>
          <w:szCs w:val="24"/>
        </w:rPr>
        <w:t>f.eks.</w:t>
      </w:r>
      <w:r w:rsidRPr="005A561F">
        <w:rPr>
          <w:sz w:val="24"/>
          <w:szCs w:val="24"/>
        </w:rPr>
        <w:t xml:space="preserve"> fluvastatin) kan overvejes (se pkt. 4.5).  </w:t>
      </w:r>
    </w:p>
    <w:p w:rsidR="00CA5858" w:rsidRPr="005A561F" w:rsidRDefault="00CA5858" w:rsidP="00CA5858">
      <w:pPr>
        <w:ind w:left="851" w:hanging="851"/>
        <w:rPr>
          <w:sz w:val="24"/>
          <w:szCs w:val="24"/>
        </w:rPr>
      </w:pPr>
    </w:p>
    <w:p w:rsidR="00CA5858" w:rsidRPr="005A561F" w:rsidRDefault="00CA5858" w:rsidP="00CA5858">
      <w:pPr>
        <w:ind w:left="851"/>
        <w:rPr>
          <w:sz w:val="24"/>
          <w:szCs w:val="24"/>
        </w:rPr>
      </w:pPr>
      <w:r w:rsidRPr="005A561F">
        <w:rPr>
          <w:sz w:val="24"/>
          <w:szCs w:val="24"/>
          <w:u w:val="single"/>
        </w:rPr>
        <w:t>Orale hypoglykæmiske midler/insulin</w:t>
      </w:r>
      <w:r w:rsidRPr="005A561F">
        <w:rPr>
          <w:sz w:val="24"/>
          <w:szCs w:val="24"/>
        </w:rPr>
        <w:t xml:space="preserve"> </w:t>
      </w:r>
      <w:r w:rsidRPr="005A561F">
        <w:rPr>
          <w:sz w:val="24"/>
          <w:szCs w:val="24"/>
        </w:rPr>
        <w:br/>
        <w:t>Samtidig anvendelse af clarithromycin og orale hypoglykæmiske midler (såsom sulfonylurinstoffer) og/eller insulin kan medføre signifikant hypoglykæmi. Omhyggelig monitorering af glucose anbefales (se pkt. 4.5).</w:t>
      </w:r>
    </w:p>
    <w:p w:rsidR="00CA5858" w:rsidRPr="005A561F" w:rsidRDefault="00CA5858" w:rsidP="00CA5858">
      <w:pPr>
        <w:ind w:left="851" w:hanging="851"/>
        <w:rPr>
          <w:sz w:val="24"/>
          <w:szCs w:val="24"/>
        </w:rPr>
      </w:pPr>
    </w:p>
    <w:p w:rsidR="00CA5858" w:rsidRDefault="00CA5858" w:rsidP="00CA5858">
      <w:pPr>
        <w:ind w:left="851"/>
        <w:rPr>
          <w:sz w:val="24"/>
          <w:szCs w:val="24"/>
        </w:rPr>
      </w:pPr>
      <w:r w:rsidRPr="005A561F">
        <w:rPr>
          <w:sz w:val="24"/>
          <w:szCs w:val="24"/>
          <w:u w:val="single"/>
        </w:rPr>
        <w:lastRenderedPageBreak/>
        <w:t>Orale antikoagulantia</w:t>
      </w:r>
      <w:r w:rsidRPr="005A561F">
        <w:rPr>
          <w:sz w:val="24"/>
          <w:szCs w:val="24"/>
        </w:rPr>
        <w:t xml:space="preserve"> </w:t>
      </w:r>
      <w:r w:rsidRPr="005A561F">
        <w:rPr>
          <w:sz w:val="24"/>
          <w:szCs w:val="24"/>
        </w:rPr>
        <w:br/>
        <w:t>Der er risiko for alvorlig hæmoragi og signifikante forhøjelser i International Normaliseret Ratio (INR) og protrombintid, når clarithromycin administreres sammen med warfarin (se pkt. 4.5). INR og protrombintider bør monitoreres hyppigt, når patienterne anvender clarithromycin og orale antikoagulantia samtidig.</w:t>
      </w:r>
    </w:p>
    <w:p w:rsidR="00BE0E8B" w:rsidRDefault="00BE0E8B" w:rsidP="00CA5858">
      <w:pPr>
        <w:ind w:left="851"/>
        <w:rPr>
          <w:sz w:val="24"/>
          <w:szCs w:val="24"/>
        </w:rPr>
      </w:pPr>
    </w:p>
    <w:p w:rsidR="00BE5496" w:rsidRDefault="00BE5496" w:rsidP="00BE5496">
      <w:pPr>
        <w:ind w:left="851"/>
        <w:rPr>
          <w:sz w:val="24"/>
          <w:szCs w:val="24"/>
        </w:rPr>
      </w:pPr>
      <w:r>
        <w:rPr>
          <w:sz w:val="24"/>
          <w:szCs w:val="24"/>
        </w:rPr>
        <w:t>Der skal udvises særlig forsigtighed, når clarithromycin administreres sammen med direkte orale antikoagulantia såsom dabigatran, rivaroxaban, apixaban og edoxaban, specielt hos patienter med høj blødningsrisiko (se pkt. 4.5).</w:t>
      </w:r>
    </w:p>
    <w:p w:rsidR="00CA5858" w:rsidRDefault="00CA5858" w:rsidP="00BE0E8B">
      <w:pPr>
        <w:ind w:left="851"/>
        <w:rPr>
          <w:sz w:val="24"/>
          <w:szCs w:val="24"/>
        </w:rPr>
      </w:pPr>
    </w:p>
    <w:p w:rsidR="00E85DFB" w:rsidRPr="00FC3E09" w:rsidRDefault="00E85DFB" w:rsidP="00E85DFB">
      <w:pPr>
        <w:ind w:left="851"/>
        <w:rPr>
          <w:sz w:val="24"/>
          <w:szCs w:val="24"/>
          <w:u w:val="single"/>
        </w:rPr>
      </w:pPr>
      <w:r w:rsidRPr="00FC3E09">
        <w:rPr>
          <w:sz w:val="24"/>
          <w:szCs w:val="24"/>
          <w:u w:val="single"/>
        </w:rPr>
        <w:t>Helicobacter pylori</w:t>
      </w:r>
    </w:p>
    <w:p w:rsidR="00CA5858" w:rsidRPr="005A561F" w:rsidRDefault="00CA5858" w:rsidP="00CA5858">
      <w:pPr>
        <w:ind w:left="851"/>
        <w:rPr>
          <w:sz w:val="24"/>
          <w:szCs w:val="24"/>
        </w:rPr>
      </w:pPr>
      <w:r w:rsidRPr="005A561F">
        <w:rPr>
          <w:sz w:val="24"/>
          <w:szCs w:val="24"/>
        </w:rPr>
        <w:t xml:space="preserve">Anvendelse af enhver antimikrobiel behandling, såsom clarithromycin, mod </w:t>
      </w:r>
      <w:r w:rsidRPr="005A561F">
        <w:rPr>
          <w:i/>
          <w:sz w:val="24"/>
          <w:szCs w:val="24"/>
        </w:rPr>
        <w:t>H. pylori</w:t>
      </w:r>
      <w:r w:rsidRPr="005A561F">
        <w:rPr>
          <w:sz w:val="24"/>
          <w:szCs w:val="24"/>
        </w:rPr>
        <w:t>-infektion kan selektere for lægemiddelresistente organismer.</w:t>
      </w:r>
    </w:p>
    <w:p w:rsidR="00CA5858" w:rsidRPr="005A561F" w:rsidRDefault="00CA5858" w:rsidP="00CA5858">
      <w:pPr>
        <w:ind w:left="851" w:hanging="851"/>
        <w:rPr>
          <w:sz w:val="24"/>
          <w:szCs w:val="24"/>
        </w:rPr>
      </w:pPr>
    </w:p>
    <w:p w:rsidR="00E85DFB" w:rsidRDefault="00E85DFB" w:rsidP="00CA5858">
      <w:pPr>
        <w:ind w:left="851"/>
        <w:rPr>
          <w:sz w:val="24"/>
          <w:szCs w:val="24"/>
        </w:rPr>
      </w:pPr>
      <w:r w:rsidRPr="00FC3E09">
        <w:rPr>
          <w:sz w:val="24"/>
          <w:szCs w:val="24"/>
          <w:u w:val="single"/>
        </w:rPr>
        <w:t>Superinfektioner</w:t>
      </w:r>
    </w:p>
    <w:p w:rsidR="00CA5858" w:rsidRPr="005A561F" w:rsidRDefault="00CA5858" w:rsidP="00CA5858">
      <w:pPr>
        <w:ind w:left="851"/>
        <w:rPr>
          <w:sz w:val="24"/>
          <w:szCs w:val="24"/>
        </w:rPr>
      </w:pPr>
      <w:r w:rsidRPr="005A561F">
        <w:rPr>
          <w:sz w:val="24"/>
          <w:szCs w:val="24"/>
        </w:rPr>
        <w:t>Langvarig brug af clarithromycin kan, som med andre antibiotika, medføre kolonisering med en øget mængde ikke-følsomme bakterier og svampe til følge. I tilfælde af superinfektion bør passende behandling iværksættes.</w:t>
      </w:r>
    </w:p>
    <w:p w:rsidR="00CA5858" w:rsidRPr="005A561F" w:rsidRDefault="00CA5858" w:rsidP="00CA5858">
      <w:pPr>
        <w:ind w:left="851" w:hanging="851"/>
        <w:rPr>
          <w:sz w:val="24"/>
          <w:szCs w:val="24"/>
        </w:rPr>
      </w:pPr>
    </w:p>
    <w:p w:rsidR="00E85DFB" w:rsidRPr="00FC3E09" w:rsidRDefault="00E85DFB" w:rsidP="00E85DFB">
      <w:pPr>
        <w:ind w:left="851"/>
        <w:rPr>
          <w:sz w:val="24"/>
          <w:szCs w:val="24"/>
          <w:u w:val="single"/>
        </w:rPr>
      </w:pPr>
      <w:r w:rsidRPr="00FC3E09">
        <w:rPr>
          <w:sz w:val="24"/>
          <w:szCs w:val="24"/>
          <w:u w:val="single"/>
        </w:rPr>
        <w:t>Krydsresistens</w:t>
      </w:r>
    </w:p>
    <w:p w:rsidR="00CA5858" w:rsidRPr="005A561F" w:rsidRDefault="00CA5858" w:rsidP="000E6681">
      <w:pPr>
        <w:ind w:left="851"/>
        <w:rPr>
          <w:sz w:val="24"/>
          <w:szCs w:val="24"/>
        </w:rPr>
      </w:pPr>
      <w:r w:rsidRPr="005A561F">
        <w:rPr>
          <w:sz w:val="24"/>
          <w:szCs w:val="24"/>
        </w:rPr>
        <w:t xml:space="preserve">Man bør være opmærksom på mulig krydsresistens mellem clarithromycin og andre makrolider, samt lincomycin og clindamycin. </w:t>
      </w:r>
    </w:p>
    <w:p w:rsidR="00CA5858" w:rsidRDefault="00CA5858" w:rsidP="000E6681">
      <w:pPr>
        <w:ind w:left="851"/>
        <w:rPr>
          <w:sz w:val="24"/>
          <w:szCs w:val="24"/>
        </w:rPr>
      </w:pPr>
    </w:p>
    <w:p w:rsidR="000E6681" w:rsidRPr="00FC3E09" w:rsidRDefault="000E6681" w:rsidP="000E6681">
      <w:pPr>
        <w:ind w:left="851"/>
        <w:rPr>
          <w:sz w:val="24"/>
          <w:szCs w:val="24"/>
          <w:u w:val="single"/>
        </w:rPr>
      </w:pPr>
      <w:r w:rsidRPr="00FC3E09">
        <w:rPr>
          <w:sz w:val="24"/>
          <w:szCs w:val="24"/>
          <w:u w:val="single"/>
        </w:rPr>
        <w:t>CYP3A4-interaktion</w:t>
      </w:r>
    </w:p>
    <w:p w:rsidR="000E6681" w:rsidRDefault="000E6681" w:rsidP="000E6681">
      <w:pPr>
        <w:ind w:left="851"/>
        <w:rPr>
          <w:sz w:val="24"/>
          <w:szCs w:val="24"/>
        </w:rPr>
      </w:pPr>
      <w:r w:rsidRPr="005A561F">
        <w:rPr>
          <w:sz w:val="24"/>
          <w:szCs w:val="24"/>
        </w:rPr>
        <w:t>Clarithromycin bør anvendes med forsigtighed, når det administreres samtidig med lægemidler, der inducerer cytokrom CYP3A4-enzym (se pkt. 4.5).</w:t>
      </w:r>
    </w:p>
    <w:p w:rsidR="000E6681" w:rsidRDefault="000E6681" w:rsidP="000E6681">
      <w:pPr>
        <w:ind w:left="851"/>
        <w:rPr>
          <w:sz w:val="24"/>
          <w:szCs w:val="24"/>
        </w:rPr>
      </w:pPr>
    </w:p>
    <w:p w:rsidR="000E6681" w:rsidRPr="005A561F" w:rsidRDefault="000E6681" w:rsidP="000E6681">
      <w:pPr>
        <w:ind w:left="851"/>
        <w:rPr>
          <w:sz w:val="24"/>
          <w:szCs w:val="24"/>
        </w:rPr>
      </w:pPr>
      <w:r w:rsidRPr="00FC3E09">
        <w:rPr>
          <w:sz w:val="24"/>
          <w:szCs w:val="24"/>
        </w:rPr>
        <w:t>Clarithromycin er en CYP3A4-hæmmer, og samtidig brug med andre lægemidler, som i vid udstrækning metaboliseres af dette enzym, bør begrænses til situationer, hvor det er klart indiceret (se pkt. 4.5).</w:t>
      </w:r>
    </w:p>
    <w:p w:rsidR="000E6681" w:rsidRPr="005A561F" w:rsidRDefault="000E6681" w:rsidP="000E6681">
      <w:pPr>
        <w:ind w:left="851"/>
        <w:rPr>
          <w:sz w:val="24"/>
          <w:szCs w:val="24"/>
        </w:rPr>
      </w:pPr>
    </w:p>
    <w:p w:rsidR="00EE7D0C" w:rsidRPr="00BE0E8B" w:rsidRDefault="00EE7D0C" w:rsidP="000E6681">
      <w:pPr>
        <w:ind w:left="851"/>
        <w:rPr>
          <w:sz w:val="24"/>
          <w:szCs w:val="24"/>
          <w:u w:val="single"/>
        </w:rPr>
      </w:pPr>
      <w:r w:rsidRPr="00BE0E8B">
        <w:rPr>
          <w:sz w:val="24"/>
          <w:szCs w:val="24"/>
          <w:u w:val="single"/>
        </w:rPr>
        <w:t>Hjælpestoffer</w:t>
      </w:r>
    </w:p>
    <w:p w:rsidR="00EE7D0C" w:rsidRPr="005A561F" w:rsidRDefault="00EE7D0C" w:rsidP="000E6681">
      <w:pPr>
        <w:ind w:left="851"/>
        <w:rPr>
          <w:i/>
          <w:sz w:val="24"/>
          <w:szCs w:val="24"/>
          <w:u w:val="single"/>
        </w:rPr>
      </w:pPr>
    </w:p>
    <w:p w:rsidR="00847908" w:rsidRPr="004E56F4" w:rsidRDefault="00847908" w:rsidP="00847908">
      <w:pPr>
        <w:ind w:left="851"/>
        <w:rPr>
          <w:i/>
          <w:sz w:val="24"/>
          <w:szCs w:val="24"/>
        </w:rPr>
      </w:pPr>
      <w:r w:rsidRPr="004E56F4">
        <w:rPr>
          <w:i/>
          <w:sz w:val="24"/>
          <w:szCs w:val="24"/>
        </w:rPr>
        <w:t xml:space="preserve">Tartrazin aluminium lake og </w:t>
      </w:r>
      <w:r w:rsidRPr="00FC3E09">
        <w:rPr>
          <w:i/>
          <w:sz w:val="24"/>
          <w:szCs w:val="24"/>
        </w:rPr>
        <w:t>A</w:t>
      </w:r>
      <w:r w:rsidRPr="004E56F4">
        <w:rPr>
          <w:i/>
          <w:sz w:val="24"/>
          <w:szCs w:val="24"/>
        </w:rPr>
        <w:t xml:space="preserve">llura Red </w:t>
      </w:r>
      <w:r w:rsidRPr="00FC3E09">
        <w:rPr>
          <w:i/>
          <w:sz w:val="24"/>
          <w:szCs w:val="24"/>
        </w:rPr>
        <w:t>AC a</w:t>
      </w:r>
      <w:r w:rsidRPr="004E56F4">
        <w:rPr>
          <w:i/>
          <w:sz w:val="24"/>
          <w:szCs w:val="24"/>
        </w:rPr>
        <w:t xml:space="preserve">luminium </w:t>
      </w:r>
      <w:r w:rsidRPr="00FC3E09">
        <w:rPr>
          <w:i/>
          <w:sz w:val="24"/>
          <w:szCs w:val="24"/>
        </w:rPr>
        <w:t>l</w:t>
      </w:r>
      <w:r w:rsidRPr="004E56F4">
        <w:rPr>
          <w:i/>
          <w:sz w:val="24"/>
          <w:szCs w:val="24"/>
        </w:rPr>
        <w:t>ake</w:t>
      </w:r>
    </w:p>
    <w:p w:rsidR="00847908" w:rsidRPr="005A561F" w:rsidRDefault="00847908" w:rsidP="00847908">
      <w:pPr>
        <w:ind w:left="851"/>
        <w:rPr>
          <w:sz w:val="24"/>
          <w:szCs w:val="24"/>
        </w:rPr>
      </w:pPr>
      <w:r w:rsidRPr="00FC3E09">
        <w:rPr>
          <w:sz w:val="24"/>
          <w:szCs w:val="24"/>
        </w:rPr>
        <w:t>D</w:t>
      </w:r>
      <w:r>
        <w:rPr>
          <w:sz w:val="24"/>
          <w:szCs w:val="24"/>
        </w:rPr>
        <w:t>ette lægemiddel i</w:t>
      </w:r>
      <w:r w:rsidRPr="005A561F">
        <w:rPr>
          <w:sz w:val="24"/>
          <w:szCs w:val="24"/>
        </w:rPr>
        <w:t xml:space="preserve">ndeholder </w:t>
      </w:r>
      <w:r>
        <w:rPr>
          <w:sz w:val="24"/>
          <w:szCs w:val="24"/>
        </w:rPr>
        <w:t>t</w:t>
      </w:r>
      <w:r w:rsidRPr="005A561F">
        <w:rPr>
          <w:sz w:val="24"/>
          <w:szCs w:val="24"/>
        </w:rPr>
        <w:t xml:space="preserve">artrazin </w:t>
      </w:r>
      <w:r>
        <w:rPr>
          <w:sz w:val="24"/>
          <w:szCs w:val="24"/>
        </w:rPr>
        <w:t>a</w:t>
      </w:r>
      <w:r w:rsidRPr="005A561F">
        <w:rPr>
          <w:sz w:val="24"/>
          <w:szCs w:val="24"/>
        </w:rPr>
        <w:t xml:space="preserve">luminium </w:t>
      </w:r>
      <w:r>
        <w:rPr>
          <w:sz w:val="24"/>
          <w:szCs w:val="24"/>
        </w:rPr>
        <w:t>l</w:t>
      </w:r>
      <w:r w:rsidRPr="005A561F">
        <w:rPr>
          <w:sz w:val="24"/>
          <w:szCs w:val="24"/>
        </w:rPr>
        <w:t xml:space="preserve">ake (E102) og </w:t>
      </w:r>
      <w:r>
        <w:rPr>
          <w:sz w:val="24"/>
          <w:szCs w:val="24"/>
        </w:rPr>
        <w:t>A</w:t>
      </w:r>
      <w:r w:rsidRPr="005A561F">
        <w:rPr>
          <w:sz w:val="24"/>
          <w:szCs w:val="24"/>
        </w:rPr>
        <w:t xml:space="preserve">llura </w:t>
      </w:r>
      <w:r>
        <w:rPr>
          <w:sz w:val="24"/>
          <w:szCs w:val="24"/>
        </w:rPr>
        <w:t>R</w:t>
      </w:r>
      <w:r w:rsidRPr="005A561F">
        <w:rPr>
          <w:sz w:val="24"/>
          <w:szCs w:val="24"/>
        </w:rPr>
        <w:t xml:space="preserve">ed </w:t>
      </w:r>
      <w:r>
        <w:rPr>
          <w:sz w:val="24"/>
          <w:szCs w:val="24"/>
        </w:rPr>
        <w:t>AC a</w:t>
      </w:r>
      <w:r w:rsidRPr="005A561F">
        <w:rPr>
          <w:sz w:val="24"/>
          <w:szCs w:val="24"/>
        </w:rPr>
        <w:t xml:space="preserve">luminium </w:t>
      </w:r>
      <w:r>
        <w:rPr>
          <w:sz w:val="24"/>
          <w:szCs w:val="24"/>
        </w:rPr>
        <w:t>l</w:t>
      </w:r>
      <w:r w:rsidRPr="005A561F">
        <w:rPr>
          <w:sz w:val="24"/>
          <w:szCs w:val="24"/>
        </w:rPr>
        <w:t>ake (E129), der kan forårsage allergiske reaktioner.</w:t>
      </w:r>
    </w:p>
    <w:p w:rsidR="00EE7D0C" w:rsidRPr="005A561F" w:rsidRDefault="00EE7D0C" w:rsidP="00EE7D0C">
      <w:pPr>
        <w:ind w:left="851"/>
        <w:rPr>
          <w:sz w:val="24"/>
          <w:szCs w:val="24"/>
        </w:rPr>
      </w:pPr>
    </w:p>
    <w:p w:rsidR="00EE7D0C" w:rsidRPr="005A561F" w:rsidRDefault="00EE7D0C" w:rsidP="00EE7D0C">
      <w:pPr>
        <w:ind w:left="851"/>
        <w:rPr>
          <w:i/>
          <w:sz w:val="24"/>
          <w:szCs w:val="24"/>
        </w:rPr>
      </w:pPr>
      <w:r w:rsidRPr="005A561F">
        <w:rPr>
          <w:i/>
          <w:sz w:val="24"/>
          <w:szCs w:val="24"/>
        </w:rPr>
        <w:t>Natrium</w:t>
      </w:r>
    </w:p>
    <w:p w:rsidR="00EE7D0C" w:rsidRPr="005A561F" w:rsidRDefault="00EE7D0C" w:rsidP="00EE7D0C">
      <w:pPr>
        <w:ind w:left="851"/>
        <w:rPr>
          <w:sz w:val="24"/>
          <w:szCs w:val="24"/>
        </w:rPr>
      </w:pPr>
      <w:r w:rsidRPr="005A561F">
        <w:rPr>
          <w:sz w:val="24"/>
          <w:szCs w:val="24"/>
        </w:rPr>
        <w:t>Dette lægemiddel indeholder mindre end 1 mmol (23 mg) natrium pr. filmovertrukket tablet, dvs. det er i det væsentlige natriumfrit.</w:t>
      </w:r>
    </w:p>
    <w:p w:rsidR="00CA5858" w:rsidRPr="005A561F" w:rsidRDefault="00CA5858" w:rsidP="00EE7D0C">
      <w:pPr>
        <w:ind w:left="851" w:hanging="851"/>
        <w:rPr>
          <w:sz w:val="24"/>
          <w:szCs w:val="24"/>
        </w:rPr>
      </w:pPr>
    </w:p>
    <w:p w:rsidR="00F26B82" w:rsidRPr="00C84483" w:rsidRDefault="00F26B82" w:rsidP="00F26B82">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B05ECE" w:rsidRDefault="00CA5858" w:rsidP="00CA5858">
      <w:pPr>
        <w:ind w:left="851" w:hanging="851"/>
        <w:rPr>
          <w:sz w:val="24"/>
          <w:szCs w:val="24"/>
        </w:rPr>
      </w:pPr>
      <w:r w:rsidRPr="005A561F">
        <w:rPr>
          <w:sz w:val="24"/>
          <w:szCs w:val="24"/>
        </w:rPr>
        <w:tab/>
      </w:r>
    </w:p>
    <w:p w:rsidR="00CA5858" w:rsidRPr="00B05ECE" w:rsidRDefault="00CA5858" w:rsidP="00B05ECE">
      <w:pPr>
        <w:ind w:left="851"/>
        <w:rPr>
          <w:b/>
          <w:sz w:val="24"/>
          <w:szCs w:val="24"/>
        </w:rPr>
      </w:pPr>
      <w:r w:rsidRPr="00B05ECE">
        <w:rPr>
          <w:b/>
          <w:sz w:val="24"/>
          <w:szCs w:val="24"/>
        </w:rPr>
        <w:t>Anvendelse af følgende lægemidler er strengt kontraindiceret på grund af risikoen for alvorlig lægemiddelinteraktion</w:t>
      </w:r>
    </w:p>
    <w:p w:rsidR="00CA5858" w:rsidRPr="005A561F" w:rsidRDefault="00CA5858" w:rsidP="00CA5858">
      <w:pPr>
        <w:ind w:left="851"/>
        <w:rPr>
          <w:sz w:val="24"/>
          <w:szCs w:val="24"/>
          <w:u w:val="single"/>
        </w:rPr>
      </w:pPr>
    </w:p>
    <w:p w:rsidR="009045A2" w:rsidRPr="005A561F" w:rsidRDefault="009045A2" w:rsidP="009045A2">
      <w:pPr>
        <w:ind w:left="851"/>
        <w:rPr>
          <w:sz w:val="24"/>
          <w:szCs w:val="24"/>
          <w:u w:val="single"/>
        </w:rPr>
      </w:pPr>
      <w:r>
        <w:rPr>
          <w:sz w:val="24"/>
          <w:szCs w:val="24"/>
          <w:u w:val="single"/>
        </w:rPr>
        <w:t>Astemizol, c</w:t>
      </w:r>
      <w:r w:rsidRPr="005A561F">
        <w:rPr>
          <w:sz w:val="24"/>
          <w:szCs w:val="24"/>
          <w:u w:val="single"/>
        </w:rPr>
        <w:t xml:space="preserve">isaprid, </w:t>
      </w:r>
      <w:r>
        <w:rPr>
          <w:sz w:val="24"/>
          <w:szCs w:val="24"/>
          <w:u w:val="single"/>
        </w:rPr>
        <w:t xml:space="preserve">domperidon, </w:t>
      </w:r>
      <w:r w:rsidRPr="005A561F">
        <w:rPr>
          <w:sz w:val="24"/>
          <w:szCs w:val="24"/>
          <w:u w:val="single"/>
        </w:rPr>
        <w:t>pimozid og terfenadin</w:t>
      </w:r>
    </w:p>
    <w:p w:rsidR="00CA5858" w:rsidRPr="005A561F" w:rsidRDefault="00CA5858" w:rsidP="00CA5858">
      <w:pPr>
        <w:ind w:left="851"/>
        <w:rPr>
          <w:sz w:val="24"/>
          <w:szCs w:val="24"/>
        </w:rPr>
      </w:pPr>
      <w:r w:rsidRPr="005A561F">
        <w:rPr>
          <w:sz w:val="24"/>
          <w:szCs w:val="24"/>
        </w:rPr>
        <w:t>Der er indberettet forhøjet cisapridniveau hos patienter, der anvender clarithromycin og cisaprid samtidig. Dette kan føre til forlænget QT-interval og hjertearytmi, herunder ventrikulær takykardi, ventrikelflimren og torsade</w:t>
      </w:r>
      <w:r w:rsidR="009045A2">
        <w:rPr>
          <w:sz w:val="24"/>
          <w:szCs w:val="24"/>
        </w:rPr>
        <w:t>s</w:t>
      </w:r>
      <w:r w:rsidRPr="005A561F">
        <w:rPr>
          <w:sz w:val="24"/>
          <w:szCs w:val="24"/>
        </w:rPr>
        <w:t xml:space="preserve"> de pointes. Lignende effekt er observeret hos patienter, der anvender clarithromycin og pimozid samtidig (se pkt. 4.3).</w:t>
      </w:r>
    </w:p>
    <w:p w:rsidR="00CA5858" w:rsidRPr="005A561F" w:rsidRDefault="00CA5858" w:rsidP="00CA5858">
      <w:pPr>
        <w:ind w:left="851" w:hanging="851"/>
        <w:rPr>
          <w:sz w:val="24"/>
          <w:szCs w:val="24"/>
        </w:rPr>
      </w:pPr>
    </w:p>
    <w:p w:rsidR="00CA5858" w:rsidRPr="005A561F" w:rsidRDefault="00CA5858" w:rsidP="00CA5858">
      <w:pPr>
        <w:ind w:left="851"/>
        <w:rPr>
          <w:sz w:val="24"/>
          <w:szCs w:val="24"/>
        </w:rPr>
      </w:pPr>
      <w:r w:rsidRPr="005A561F">
        <w:rPr>
          <w:sz w:val="24"/>
          <w:szCs w:val="24"/>
        </w:rPr>
        <w:t>Det er rapporteret, at makrolider ændrer metabolismen af terfenadin, hvilket resulterer i forhøjede niveauer af terfenadin, der lejlighedsvis har været forbundet med hjertearytmi, såsom forlænget QT-interval, ventrikulær takykardi, ventrikelflimren og torsade</w:t>
      </w:r>
      <w:r w:rsidR="009045A2">
        <w:rPr>
          <w:sz w:val="24"/>
          <w:szCs w:val="24"/>
        </w:rPr>
        <w:t>s</w:t>
      </w:r>
      <w:r w:rsidRPr="005A561F">
        <w:rPr>
          <w:sz w:val="24"/>
          <w:szCs w:val="24"/>
        </w:rPr>
        <w:t xml:space="preserve"> de pointes (se pkt. 4.3). I et studie med 14 raske frivillige, resulterede samtidig administration af clarithromycin og terfenadin i en 2 til 3 ganges stigning i serumniveauet af syremetabolitten af terfenadin og i et forlænget QT-interval, der ikke medførte nogen klinisk, synlig effekt. Lignende virkninger er observeret ved samtidig administration af astemizol og andre makrolider.</w:t>
      </w:r>
    </w:p>
    <w:p w:rsidR="00CA5858" w:rsidRDefault="00CA5858" w:rsidP="00626A6C">
      <w:pPr>
        <w:ind w:left="851"/>
        <w:rPr>
          <w:sz w:val="24"/>
          <w:szCs w:val="24"/>
        </w:rPr>
      </w:pPr>
    </w:p>
    <w:p w:rsidR="00626A6C" w:rsidRPr="00626A6C" w:rsidRDefault="00626A6C" w:rsidP="00626A6C">
      <w:pPr>
        <w:ind w:left="851"/>
        <w:rPr>
          <w:sz w:val="24"/>
          <w:szCs w:val="24"/>
          <w:u w:val="single"/>
        </w:rPr>
      </w:pPr>
      <w:r w:rsidRPr="00626A6C">
        <w:rPr>
          <w:sz w:val="24"/>
          <w:szCs w:val="24"/>
          <w:u w:val="single"/>
        </w:rPr>
        <w:t xml:space="preserve">Colchicin </w:t>
      </w:r>
    </w:p>
    <w:p w:rsidR="00626A6C" w:rsidRPr="00626A6C" w:rsidRDefault="00626A6C" w:rsidP="00626A6C">
      <w:pPr>
        <w:ind w:left="851"/>
        <w:rPr>
          <w:sz w:val="24"/>
          <w:szCs w:val="24"/>
        </w:rPr>
      </w:pPr>
      <w:r w:rsidRPr="00626A6C">
        <w:rPr>
          <w:sz w:val="24"/>
          <w:szCs w:val="24"/>
        </w:rPr>
        <w:t>Colchicin er substrat for både CYP3A og efflukstransporteren, P-glycoprotein (Pgp). Clarithromycin og andre makrolider er kendt for at hæmme CYP3A og Pgp. Når clarithromycin og colchicin administreres sammen, kan clarithromycins hæmning af Pgp og/eller CYP3A føre til øget forekomst af colchicin. Samtidig brug af clarithromycin og colchicin er kontraindiceret (se pkt. 4.3 og 4.4).</w:t>
      </w:r>
    </w:p>
    <w:p w:rsidR="00626A6C" w:rsidRPr="005A561F" w:rsidRDefault="00626A6C" w:rsidP="00626A6C">
      <w:pPr>
        <w:ind w:left="851"/>
        <w:rPr>
          <w:sz w:val="24"/>
          <w:szCs w:val="24"/>
        </w:rPr>
      </w:pPr>
    </w:p>
    <w:p w:rsidR="00CA5858" w:rsidRPr="005A561F" w:rsidRDefault="00CA5858" w:rsidP="00626A6C">
      <w:pPr>
        <w:ind w:left="851"/>
        <w:rPr>
          <w:sz w:val="24"/>
          <w:szCs w:val="24"/>
          <w:u w:val="single"/>
        </w:rPr>
      </w:pPr>
      <w:r w:rsidRPr="005A561F">
        <w:rPr>
          <w:sz w:val="24"/>
          <w:szCs w:val="24"/>
          <w:u w:val="single"/>
        </w:rPr>
        <w:t>Ergotamin/dihydroergotamin</w:t>
      </w:r>
    </w:p>
    <w:p w:rsidR="00CA5858" w:rsidRDefault="00CA5858" w:rsidP="00CA5858">
      <w:pPr>
        <w:ind w:left="851"/>
        <w:rPr>
          <w:sz w:val="24"/>
          <w:szCs w:val="24"/>
        </w:rPr>
      </w:pPr>
      <w:r w:rsidRPr="005A561F">
        <w:rPr>
          <w:sz w:val="24"/>
          <w:szCs w:val="24"/>
        </w:rPr>
        <w:t>Indberetninger efter markedsføringen tyder på, at samtidig administration af clarithromycin og ergotamin eller dihydroergotamin har været forbundet med akut ergottoksicitet, der er karakteriseret ved vasospasmer og iskæmi i ekstremiteterne og andre væv, herunder centralnervesystemet. Samtidig behandling med clarithromycin og disse lægemidler er kontraindiceret (se pkt. 4.3).</w:t>
      </w:r>
    </w:p>
    <w:p w:rsidR="00BE0E8B" w:rsidRDefault="00BE0E8B" w:rsidP="00CA5858">
      <w:pPr>
        <w:ind w:left="851"/>
        <w:rPr>
          <w:sz w:val="24"/>
          <w:szCs w:val="24"/>
        </w:rPr>
      </w:pPr>
    </w:p>
    <w:p w:rsidR="00CA5858" w:rsidRPr="005A561F" w:rsidRDefault="00CA5858" w:rsidP="00CA5858">
      <w:pPr>
        <w:ind w:left="851"/>
        <w:rPr>
          <w:sz w:val="24"/>
          <w:szCs w:val="24"/>
          <w:u w:val="single"/>
        </w:rPr>
      </w:pPr>
      <w:r w:rsidRPr="005A561F">
        <w:rPr>
          <w:sz w:val="24"/>
          <w:szCs w:val="24"/>
          <w:u w:val="single"/>
        </w:rPr>
        <w:t>HMG-CoA-reduktasehæmmere (statiner)</w:t>
      </w:r>
    </w:p>
    <w:p w:rsidR="00CA5858" w:rsidRPr="005A561F" w:rsidRDefault="00CA5858" w:rsidP="00CA5858">
      <w:pPr>
        <w:ind w:left="851" w:hanging="851"/>
        <w:rPr>
          <w:sz w:val="24"/>
          <w:szCs w:val="24"/>
        </w:rPr>
      </w:pPr>
      <w:r w:rsidRPr="005A561F">
        <w:rPr>
          <w:sz w:val="24"/>
          <w:szCs w:val="24"/>
        </w:rPr>
        <w:tab/>
        <w:t xml:space="preserve">Samtidig brug af </w:t>
      </w:r>
      <w:r w:rsidRPr="005A561F">
        <w:rPr>
          <w:rFonts w:eastAsia="MS Mincho"/>
          <w:sz w:val="24"/>
          <w:szCs w:val="24"/>
          <w:lang w:eastAsia="ja-JP"/>
        </w:rPr>
        <w:t xml:space="preserve">clarithromycin med </w:t>
      </w:r>
      <w:r w:rsidRPr="005A561F">
        <w:rPr>
          <w:iCs/>
          <w:color w:val="000000"/>
          <w:sz w:val="24"/>
          <w:szCs w:val="24"/>
        </w:rPr>
        <w:t>lovastatin eller simvastatin er kontraindiceret (se pkt. 4.3), da disse statiner metaboliseret i udstrakt grad af CYP3A4 og samtidig behandling med clarithromycin øger deres plasmakoncentration, hvilket øger risikoen for myopati, herunder rhabdomyolyse. Der er modtaget rapporter om</w:t>
      </w:r>
      <w:r w:rsidRPr="005A561F">
        <w:rPr>
          <w:sz w:val="24"/>
          <w:szCs w:val="24"/>
        </w:rPr>
        <w:t xml:space="preserve"> rhabdomyolyse hos patienter, der tager </w:t>
      </w:r>
      <w:r w:rsidRPr="005A561F">
        <w:rPr>
          <w:iCs/>
          <w:color w:val="000000"/>
          <w:sz w:val="24"/>
          <w:szCs w:val="24"/>
        </w:rPr>
        <w:t>clarithromycin</w:t>
      </w:r>
      <w:r w:rsidRPr="005A561F">
        <w:rPr>
          <w:sz w:val="24"/>
          <w:szCs w:val="24"/>
        </w:rPr>
        <w:t xml:space="preserve"> samtidig </w:t>
      </w:r>
      <w:r w:rsidRPr="005A561F">
        <w:rPr>
          <w:iCs/>
          <w:color w:val="000000"/>
          <w:sz w:val="24"/>
          <w:szCs w:val="24"/>
        </w:rPr>
        <w:t>med sådanne statiner</w:t>
      </w:r>
      <w:r w:rsidRPr="005A561F">
        <w:rPr>
          <w:sz w:val="24"/>
          <w:szCs w:val="24"/>
        </w:rPr>
        <w:t xml:space="preserve">. Hvis behandling med clarithromycin ikke kan undgås, bør behandling med lovastatin eller simvastatin seponeres inden behandlingsstart. </w:t>
      </w:r>
    </w:p>
    <w:p w:rsidR="00CA5858" w:rsidRPr="005A561F" w:rsidRDefault="00CA5858" w:rsidP="00CA5858">
      <w:pPr>
        <w:ind w:left="851" w:hanging="851"/>
        <w:rPr>
          <w:sz w:val="24"/>
          <w:szCs w:val="24"/>
        </w:rPr>
      </w:pPr>
    </w:p>
    <w:p w:rsidR="00CA5858" w:rsidRPr="005A561F" w:rsidRDefault="00CA5858" w:rsidP="003213C0">
      <w:pPr>
        <w:ind w:left="851"/>
        <w:rPr>
          <w:sz w:val="24"/>
          <w:szCs w:val="24"/>
        </w:rPr>
      </w:pPr>
      <w:r w:rsidRPr="005A561F">
        <w:rPr>
          <w:sz w:val="24"/>
          <w:szCs w:val="24"/>
        </w:rPr>
        <w:t xml:space="preserve">Der skal udvises forsigtighed, når der udskrives clarithromycin med statiner. </w:t>
      </w:r>
      <w:r w:rsidRPr="005A561F">
        <w:rPr>
          <w:iCs/>
          <w:color w:val="000000"/>
          <w:sz w:val="24"/>
          <w:szCs w:val="24"/>
        </w:rPr>
        <w:t xml:space="preserve">I situationer, hvor samtidig brug af clarithromycin med statiner ikke kan undgås, anbefales det at ordinere den lavest mulige dosis af statin. </w:t>
      </w:r>
      <w:r w:rsidRPr="005A561F">
        <w:rPr>
          <w:sz w:val="24"/>
          <w:szCs w:val="24"/>
        </w:rPr>
        <w:t>Brug af et statin, som ikke metaboliseres af CYP3A (</w:t>
      </w:r>
      <w:r w:rsidR="0051299C">
        <w:rPr>
          <w:sz w:val="24"/>
          <w:szCs w:val="24"/>
        </w:rPr>
        <w:t>f.eks.</w:t>
      </w:r>
      <w:r w:rsidRPr="005A561F">
        <w:rPr>
          <w:sz w:val="24"/>
          <w:szCs w:val="24"/>
        </w:rPr>
        <w:t xml:space="preserve"> fluvastatin) kan overvejes (se pkt. 4.5). Patienten bør monitoreres for tegn og symptomer på myopati. </w:t>
      </w:r>
    </w:p>
    <w:p w:rsidR="00CA5858" w:rsidRDefault="003213C0" w:rsidP="003213C0">
      <w:pPr>
        <w:tabs>
          <w:tab w:val="left" w:pos="2010"/>
        </w:tabs>
        <w:ind w:left="851"/>
        <w:rPr>
          <w:sz w:val="24"/>
          <w:szCs w:val="24"/>
        </w:rPr>
      </w:pPr>
      <w:r>
        <w:rPr>
          <w:sz w:val="24"/>
          <w:szCs w:val="24"/>
        </w:rPr>
        <w:tab/>
      </w:r>
    </w:p>
    <w:p w:rsidR="003213C0" w:rsidRPr="003213C0" w:rsidRDefault="003213C0" w:rsidP="003213C0">
      <w:pPr>
        <w:tabs>
          <w:tab w:val="left" w:pos="2010"/>
        </w:tabs>
        <w:ind w:left="851"/>
        <w:rPr>
          <w:sz w:val="24"/>
          <w:szCs w:val="24"/>
          <w:u w:val="single"/>
        </w:rPr>
      </w:pPr>
      <w:r w:rsidRPr="003213C0">
        <w:rPr>
          <w:sz w:val="24"/>
          <w:szCs w:val="24"/>
          <w:u w:val="single"/>
        </w:rPr>
        <w:t>Lomitapid</w:t>
      </w:r>
    </w:p>
    <w:p w:rsidR="003213C0" w:rsidRPr="003213C0" w:rsidRDefault="003213C0" w:rsidP="003213C0">
      <w:pPr>
        <w:tabs>
          <w:tab w:val="left" w:pos="2010"/>
        </w:tabs>
        <w:ind w:left="851"/>
        <w:rPr>
          <w:sz w:val="24"/>
          <w:szCs w:val="24"/>
        </w:rPr>
      </w:pPr>
      <w:r w:rsidRPr="003213C0">
        <w:rPr>
          <w:sz w:val="24"/>
          <w:szCs w:val="24"/>
        </w:rPr>
        <w:t>Samtidig administration af clarithromycin med lomitapid er kontraindiceret på grund af de potentielle risici for markant forhøjede transaminaser (se pkt. 4.3).</w:t>
      </w:r>
    </w:p>
    <w:p w:rsidR="003213C0" w:rsidRPr="003213C0" w:rsidRDefault="003213C0" w:rsidP="003213C0">
      <w:pPr>
        <w:tabs>
          <w:tab w:val="left" w:pos="2010"/>
        </w:tabs>
        <w:ind w:left="851"/>
        <w:rPr>
          <w:sz w:val="24"/>
          <w:szCs w:val="24"/>
        </w:rPr>
      </w:pPr>
    </w:p>
    <w:p w:rsidR="003213C0" w:rsidRPr="003213C0" w:rsidRDefault="003213C0" w:rsidP="003213C0">
      <w:pPr>
        <w:tabs>
          <w:tab w:val="left" w:pos="2010"/>
        </w:tabs>
        <w:ind w:left="851"/>
        <w:rPr>
          <w:sz w:val="24"/>
          <w:szCs w:val="24"/>
          <w:u w:val="single"/>
        </w:rPr>
      </w:pPr>
      <w:r w:rsidRPr="003213C0">
        <w:rPr>
          <w:sz w:val="24"/>
          <w:szCs w:val="24"/>
          <w:u w:val="single"/>
        </w:rPr>
        <w:t>Oral midazolam</w:t>
      </w:r>
    </w:p>
    <w:p w:rsidR="003213C0" w:rsidRPr="003213C0" w:rsidRDefault="003213C0" w:rsidP="003213C0">
      <w:pPr>
        <w:tabs>
          <w:tab w:val="left" w:pos="2010"/>
        </w:tabs>
        <w:ind w:left="851"/>
        <w:rPr>
          <w:sz w:val="24"/>
          <w:szCs w:val="24"/>
        </w:rPr>
      </w:pPr>
      <w:r w:rsidRPr="003213C0">
        <w:rPr>
          <w:sz w:val="24"/>
          <w:szCs w:val="24"/>
        </w:rPr>
        <w:t>Ved samtidig indtagelse af midazolam og clarithromycin tabletter (500 mg to gange dagligt), øgedes midazolam AUC syv gange efter oral administration. Samtidig indtagelse af oral midazolam og clarithromycin er derfor kontraindiceret (se pkt. 4.3).</w:t>
      </w:r>
    </w:p>
    <w:p w:rsidR="003213C0" w:rsidRPr="003213C0" w:rsidRDefault="003213C0" w:rsidP="003213C0">
      <w:pPr>
        <w:tabs>
          <w:tab w:val="left" w:pos="2010"/>
        </w:tabs>
        <w:ind w:left="851"/>
        <w:rPr>
          <w:sz w:val="24"/>
          <w:szCs w:val="24"/>
        </w:rPr>
      </w:pPr>
    </w:p>
    <w:p w:rsidR="003213C0" w:rsidRPr="003213C0" w:rsidRDefault="003213C0" w:rsidP="003213C0">
      <w:pPr>
        <w:tabs>
          <w:tab w:val="left" w:pos="2010"/>
        </w:tabs>
        <w:ind w:left="851"/>
        <w:rPr>
          <w:sz w:val="24"/>
          <w:szCs w:val="24"/>
          <w:u w:val="single"/>
        </w:rPr>
      </w:pPr>
      <w:r w:rsidRPr="003213C0">
        <w:rPr>
          <w:sz w:val="24"/>
          <w:szCs w:val="24"/>
          <w:u w:val="single"/>
        </w:rPr>
        <w:t>Ticagrelor eller ranolazin</w:t>
      </w:r>
    </w:p>
    <w:p w:rsidR="003213C0" w:rsidRPr="003213C0" w:rsidRDefault="003213C0" w:rsidP="003213C0">
      <w:pPr>
        <w:tabs>
          <w:tab w:val="left" w:pos="2010"/>
        </w:tabs>
        <w:ind w:left="851"/>
        <w:rPr>
          <w:sz w:val="24"/>
          <w:szCs w:val="24"/>
        </w:rPr>
      </w:pPr>
      <w:r w:rsidRPr="003213C0">
        <w:rPr>
          <w:sz w:val="24"/>
          <w:szCs w:val="24"/>
        </w:rPr>
        <w:t>Se pkt. 4.3.</w:t>
      </w:r>
    </w:p>
    <w:p w:rsidR="003213C0" w:rsidRPr="005A561F" w:rsidRDefault="003213C0" w:rsidP="003213C0">
      <w:pPr>
        <w:tabs>
          <w:tab w:val="left" w:pos="2010"/>
        </w:tabs>
        <w:ind w:left="851"/>
        <w:rPr>
          <w:sz w:val="24"/>
          <w:szCs w:val="24"/>
        </w:rPr>
      </w:pPr>
    </w:p>
    <w:p w:rsidR="00CA5858" w:rsidRPr="00B05ECE" w:rsidRDefault="00CA5858" w:rsidP="003213C0">
      <w:pPr>
        <w:ind w:left="851"/>
        <w:rPr>
          <w:b/>
          <w:sz w:val="24"/>
          <w:szCs w:val="24"/>
        </w:rPr>
      </w:pPr>
      <w:r w:rsidRPr="00B05ECE">
        <w:rPr>
          <w:b/>
          <w:sz w:val="24"/>
          <w:szCs w:val="24"/>
        </w:rPr>
        <w:lastRenderedPageBreak/>
        <w:t xml:space="preserve">Andre lægemidlers virkning </w:t>
      </w:r>
      <w:r w:rsidR="00FD332A">
        <w:rPr>
          <w:b/>
          <w:sz w:val="24"/>
          <w:szCs w:val="24"/>
        </w:rPr>
        <w:t>på</w:t>
      </w:r>
      <w:r w:rsidRPr="00B05ECE">
        <w:rPr>
          <w:b/>
          <w:sz w:val="24"/>
          <w:szCs w:val="24"/>
        </w:rPr>
        <w:t xml:space="preserve"> clarithromycin</w:t>
      </w:r>
    </w:p>
    <w:p w:rsidR="00CA5858" w:rsidRPr="005A561F" w:rsidRDefault="00CA5858" w:rsidP="00CA5858">
      <w:pPr>
        <w:ind w:left="851"/>
        <w:rPr>
          <w:sz w:val="24"/>
          <w:szCs w:val="24"/>
        </w:rPr>
      </w:pPr>
      <w:r w:rsidRPr="005A561F">
        <w:rPr>
          <w:sz w:val="24"/>
          <w:szCs w:val="24"/>
        </w:rPr>
        <w:t>Lægemidler, som inducerer CYP3A (f.eks. rifampicin, phenytoin, carbamazepin, phenobarbital, prikbladet perikon) kan inducere metaboliseringen af clarithromycin. Dette kan medføre subterapeutiske niveauer af clarithromycin, hvilket medfører en nedsat virkning. Det kan yderligere være nødvendigt at overvåge plasmaniveauet af CYP3A-induceren, som kan være forøget på grund af clarithromycins hæmning af CYP3A (se også relevant produktinformation for den administrerede CYP3A4-</w:t>
      </w:r>
      <w:r w:rsidR="00FD332A">
        <w:rPr>
          <w:sz w:val="24"/>
          <w:szCs w:val="24"/>
        </w:rPr>
        <w:t>inducer</w:t>
      </w:r>
      <w:r w:rsidRPr="005A561F">
        <w:rPr>
          <w:sz w:val="24"/>
          <w:szCs w:val="24"/>
        </w:rPr>
        <w:t>). Samtidig administration af rifabutin og clarithromycin resulterede i en stigning af rifabutin og et reduceret serumniveau af clarithromycin med en forhøjet risiko for uveitis.</w:t>
      </w:r>
    </w:p>
    <w:p w:rsidR="00CA5858" w:rsidRPr="005A561F" w:rsidRDefault="00CA5858" w:rsidP="00CA5858">
      <w:pPr>
        <w:ind w:left="851" w:hanging="851"/>
        <w:rPr>
          <w:sz w:val="24"/>
          <w:szCs w:val="24"/>
        </w:rPr>
      </w:pPr>
    </w:p>
    <w:p w:rsidR="00CA5858" w:rsidRPr="005A561F" w:rsidRDefault="00CA5858" w:rsidP="00CA5858">
      <w:pPr>
        <w:ind w:left="851"/>
        <w:rPr>
          <w:sz w:val="24"/>
          <w:szCs w:val="24"/>
        </w:rPr>
      </w:pPr>
      <w:r w:rsidRPr="005A561F">
        <w:rPr>
          <w:sz w:val="24"/>
          <w:szCs w:val="24"/>
        </w:rPr>
        <w:t xml:space="preserve">Nedenstående lægemidler er kendt eller mistænkt for at påvirke koncentrationen af clarithromycin, og det kan være nødvendigt at justere doseringen af clarithromycin eller overveje en anden behandling. </w:t>
      </w:r>
    </w:p>
    <w:p w:rsidR="00CA5858" w:rsidRPr="005A561F" w:rsidRDefault="00CA5858" w:rsidP="00CA5858">
      <w:pPr>
        <w:ind w:left="851" w:hanging="851"/>
        <w:rPr>
          <w:sz w:val="24"/>
          <w:szCs w:val="24"/>
        </w:rPr>
      </w:pPr>
    </w:p>
    <w:p w:rsidR="00CA5858" w:rsidRPr="005A561F" w:rsidRDefault="00CA5858" w:rsidP="00CA5858">
      <w:pPr>
        <w:ind w:left="851"/>
        <w:rPr>
          <w:sz w:val="24"/>
          <w:szCs w:val="24"/>
          <w:u w:val="single"/>
        </w:rPr>
      </w:pPr>
      <w:r w:rsidRPr="005A561F">
        <w:rPr>
          <w:sz w:val="24"/>
          <w:szCs w:val="24"/>
          <w:u w:val="single"/>
        </w:rPr>
        <w:t>Efavirenz, nevirapin, rifampicin, rifabutin og rifapentin</w:t>
      </w:r>
    </w:p>
    <w:p w:rsidR="00CA5858" w:rsidRPr="005A561F" w:rsidRDefault="00CA5858" w:rsidP="00CA5858">
      <w:pPr>
        <w:ind w:left="851"/>
        <w:rPr>
          <w:sz w:val="24"/>
          <w:szCs w:val="24"/>
        </w:rPr>
      </w:pPr>
      <w:r w:rsidRPr="005A561F">
        <w:rPr>
          <w:sz w:val="24"/>
          <w:szCs w:val="24"/>
        </w:rPr>
        <w:t>Kraftige inducere af cytokrom P450-metabolismesystemet, såsom efavirenz, nevirapin, rifampicin, rifabutin og rifapentin, kan accelerere clarithromycinomsætningen og derved sænke plasmaniveauet af clarithromycin, mens det kan øge niveauet af 14-OH-clarithromycin, en metabolit, der også er mikrobiologisk aktiv. Eftersom clarithromycin og 14-OH-clarithromycins mikrobiologiske aktivitet varierer for forskellige bakterier, kan den planlagte terapeutiske effekt skades ved samtidig administration af clarithromycin og enzyminducere.</w:t>
      </w:r>
    </w:p>
    <w:p w:rsidR="00CA5858" w:rsidRPr="005A561F" w:rsidRDefault="00CA5858" w:rsidP="00CA5858">
      <w:pPr>
        <w:ind w:left="851"/>
        <w:rPr>
          <w:sz w:val="24"/>
          <w:szCs w:val="24"/>
        </w:rPr>
      </w:pPr>
    </w:p>
    <w:p w:rsidR="00CA5858" w:rsidRPr="005A561F" w:rsidRDefault="00CA5858" w:rsidP="00CA5858">
      <w:pPr>
        <w:autoSpaceDE w:val="0"/>
        <w:autoSpaceDN w:val="0"/>
        <w:adjustRightInd w:val="0"/>
        <w:ind w:firstLine="851"/>
        <w:rPr>
          <w:iCs/>
          <w:color w:val="000000"/>
          <w:sz w:val="24"/>
          <w:szCs w:val="24"/>
          <w:u w:val="single"/>
        </w:rPr>
      </w:pPr>
      <w:r w:rsidRPr="005A561F">
        <w:rPr>
          <w:iCs/>
          <w:color w:val="000000"/>
          <w:sz w:val="24"/>
          <w:szCs w:val="24"/>
          <w:u w:val="single"/>
        </w:rPr>
        <w:t>Etravirin</w:t>
      </w:r>
    </w:p>
    <w:p w:rsidR="00CA5858" w:rsidRPr="005A561F" w:rsidRDefault="00CA5858" w:rsidP="00CA5858">
      <w:pPr>
        <w:ind w:left="851"/>
        <w:rPr>
          <w:sz w:val="24"/>
          <w:szCs w:val="24"/>
        </w:rPr>
      </w:pPr>
      <w:r w:rsidRPr="005A561F">
        <w:rPr>
          <w:iCs/>
          <w:color w:val="000000"/>
          <w:sz w:val="24"/>
          <w:szCs w:val="24"/>
        </w:rPr>
        <w:t>Clarithromycins eksponering blev nedsat af etravirin; hvorimod koncentrationen af den aktive metabolit, 14-OH-clarithromycin steg. Da 14-OH-clarithromycin havde reduceret effekt overfor Mycobacterium avium kompleks (MAC), kan den samlede effekt overfor dette patogen blive nedsat. Alternativer til clarithromycin bør derfor overvejes til behandling af MAC.</w:t>
      </w:r>
    </w:p>
    <w:p w:rsidR="00CA5858" w:rsidRPr="005A561F" w:rsidRDefault="00CA5858" w:rsidP="00CA5858">
      <w:pPr>
        <w:ind w:left="851" w:hanging="851"/>
        <w:rPr>
          <w:sz w:val="24"/>
          <w:szCs w:val="24"/>
        </w:rPr>
      </w:pPr>
    </w:p>
    <w:p w:rsidR="00CA5858" w:rsidRPr="005A561F" w:rsidRDefault="00CA5858" w:rsidP="00CA5858">
      <w:pPr>
        <w:ind w:left="851"/>
        <w:rPr>
          <w:sz w:val="24"/>
          <w:szCs w:val="24"/>
          <w:u w:val="single"/>
        </w:rPr>
      </w:pPr>
      <w:r w:rsidRPr="005A561F">
        <w:rPr>
          <w:sz w:val="24"/>
          <w:szCs w:val="24"/>
          <w:u w:val="single"/>
        </w:rPr>
        <w:t>Fluconazol</w:t>
      </w:r>
    </w:p>
    <w:p w:rsidR="00CA5858" w:rsidRPr="005A561F" w:rsidRDefault="00CA5858" w:rsidP="00CA5858">
      <w:pPr>
        <w:ind w:left="851"/>
        <w:rPr>
          <w:sz w:val="24"/>
          <w:szCs w:val="24"/>
        </w:rPr>
      </w:pPr>
      <w:r w:rsidRPr="005A561F">
        <w:rPr>
          <w:sz w:val="24"/>
          <w:szCs w:val="24"/>
        </w:rPr>
        <w:t xml:space="preserve">Samtidig administration af fluconazol 200 mg </w:t>
      </w:r>
      <w:r w:rsidR="00EE71BF">
        <w:rPr>
          <w:sz w:val="24"/>
          <w:szCs w:val="24"/>
        </w:rPr>
        <w:t>daglig</w:t>
      </w:r>
      <w:r w:rsidRPr="005A561F">
        <w:rPr>
          <w:sz w:val="24"/>
          <w:szCs w:val="24"/>
        </w:rPr>
        <w:t xml:space="preserve"> og clarithromycin 500 mg 2 gange </w:t>
      </w:r>
      <w:r w:rsidR="00EE71BF">
        <w:rPr>
          <w:sz w:val="24"/>
          <w:szCs w:val="24"/>
        </w:rPr>
        <w:t>daglig</w:t>
      </w:r>
      <w:r w:rsidRPr="005A561F">
        <w:rPr>
          <w:sz w:val="24"/>
          <w:szCs w:val="24"/>
        </w:rPr>
        <w:t xml:space="preserve"> hos 21 raske, frivillige forsøgspersoner førte til stigninger i den gennemsnitlige </w:t>
      </w:r>
      <w:r w:rsidRPr="005A561F">
        <w:rPr>
          <w:i/>
          <w:sz w:val="24"/>
          <w:szCs w:val="24"/>
        </w:rPr>
        <w:t>steady-state</w:t>
      </w:r>
      <w:r w:rsidRPr="005A561F">
        <w:rPr>
          <w:sz w:val="24"/>
          <w:szCs w:val="24"/>
        </w:rPr>
        <w:t>-minimumskoncentration af clarithromycin (C</w:t>
      </w:r>
      <w:r w:rsidRPr="005A561F">
        <w:rPr>
          <w:sz w:val="24"/>
          <w:szCs w:val="24"/>
          <w:vertAlign w:val="subscript"/>
        </w:rPr>
        <w:t>min</w:t>
      </w:r>
      <w:r w:rsidRPr="005A561F">
        <w:rPr>
          <w:sz w:val="24"/>
          <w:szCs w:val="24"/>
        </w:rPr>
        <w:t>) og i arealet under kurven (AUC) på henholdsvis 33 % og 18 %. Steady state-koncentrationerne af den aktive metabolit 14-OH-clarithromycin var ikke påvirket i nævneværdig grad af samtidig administration af fluconazol. Justering af clarithromycindosis er ikke nødvendig.</w:t>
      </w:r>
    </w:p>
    <w:p w:rsidR="00CA5858" w:rsidRPr="005A561F" w:rsidRDefault="00CA5858" w:rsidP="00CA5858">
      <w:pPr>
        <w:ind w:left="851" w:hanging="851"/>
        <w:rPr>
          <w:sz w:val="24"/>
          <w:szCs w:val="24"/>
        </w:rPr>
      </w:pPr>
    </w:p>
    <w:p w:rsidR="00CA5858" w:rsidRPr="005A561F" w:rsidRDefault="00CA5858" w:rsidP="00CA5858">
      <w:pPr>
        <w:ind w:left="851"/>
        <w:rPr>
          <w:sz w:val="24"/>
          <w:szCs w:val="24"/>
          <w:u w:val="single"/>
        </w:rPr>
      </w:pPr>
      <w:r w:rsidRPr="005A561F">
        <w:rPr>
          <w:sz w:val="24"/>
          <w:szCs w:val="24"/>
          <w:u w:val="single"/>
        </w:rPr>
        <w:t>Ritonavir</w:t>
      </w:r>
    </w:p>
    <w:p w:rsidR="00CA5858" w:rsidRPr="005A561F" w:rsidRDefault="00CA5858" w:rsidP="00CA5858">
      <w:pPr>
        <w:ind w:left="851"/>
        <w:rPr>
          <w:sz w:val="24"/>
          <w:szCs w:val="24"/>
        </w:rPr>
      </w:pPr>
      <w:r w:rsidRPr="005A561F">
        <w:rPr>
          <w:sz w:val="24"/>
          <w:szCs w:val="24"/>
        </w:rPr>
        <w:t>Et farmakokinetisk studie viste, at samtidig administration af ritonavir 200 mg hver 8. time og clarithromycin 500 mg hver 12. time resulterede i markant hæmning af omsætningen af clarithromycin. Clarithromycins C</w:t>
      </w:r>
      <w:r w:rsidRPr="005A561F">
        <w:rPr>
          <w:sz w:val="24"/>
          <w:szCs w:val="24"/>
          <w:vertAlign w:val="subscript"/>
        </w:rPr>
        <w:t>max</w:t>
      </w:r>
      <w:r w:rsidRPr="005A561F">
        <w:rPr>
          <w:sz w:val="24"/>
          <w:szCs w:val="24"/>
        </w:rPr>
        <w:t xml:space="preserve"> øgedes med 31 %, C</w:t>
      </w:r>
      <w:r w:rsidRPr="005A561F">
        <w:rPr>
          <w:sz w:val="24"/>
          <w:szCs w:val="24"/>
          <w:vertAlign w:val="subscript"/>
        </w:rPr>
        <w:t>min</w:t>
      </w:r>
      <w:r w:rsidRPr="005A561F">
        <w:rPr>
          <w:sz w:val="24"/>
          <w:szCs w:val="24"/>
        </w:rPr>
        <w:t xml:space="preserve"> øgedes med 182 %, og AUC øgedes med 77 % ved samtidig administration af ritonavir. En nærmest fuldstændig hæmning af dannelsen af 14-OH-clarithromycin blev bemærket. Da det terapeutiske vindue for clarithromycin er stort, vil det ikke være nødvendigt med en nedsættelse af dosis hos patienter med normal nyrefunktion. Til patienter med nedsat nyrefunktion bør følgende dosisjustering dog overvejes: </w:t>
      </w:r>
      <w:r w:rsidR="003F6A86" w:rsidRPr="005A561F">
        <w:rPr>
          <w:sz w:val="24"/>
          <w:szCs w:val="24"/>
        </w:rPr>
        <w:t>Patienter med</w:t>
      </w:r>
      <w:r w:rsidR="003F6A86">
        <w:rPr>
          <w:sz w:val="24"/>
          <w:szCs w:val="24"/>
        </w:rPr>
        <w:t xml:space="preserve"> kreatininclearance</w:t>
      </w:r>
      <w:r w:rsidR="003F6A86" w:rsidRPr="005A561F">
        <w:rPr>
          <w:sz w:val="24"/>
          <w:szCs w:val="24"/>
        </w:rPr>
        <w:t xml:space="preserve"> på 30 til 60 ml/min skal have clarithromycindosis nedsat med 50 %. Hos patienter med</w:t>
      </w:r>
      <w:r w:rsidR="003F6A86">
        <w:rPr>
          <w:sz w:val="24"/>
          <w:szCs w:val="24"/>
        </w:rPr>
        <w:t xml:space="preserve"> kreatininclearance</w:t>
      </w:r>
      <w:r w:rsidR="003F6A86" w:rsidRPr="005A561F">
        <w:rPr>
          <w:sz w:val="24"/>
          <w:szCs w:val="24"/>
        </w:rPr>
        <w:t xml:space="preserve"> på &lt;30 ml/min skal clarithromycindosis nedsættes med 75 %. Clarithromycindoser på over 1</w:t>
      </w:r>
      <w:r w:rsidR="003F6A86">
        <w:rPr>
          <w:sz w:val="24"/>
          <w:szCs w:val="24"/>
        </w:rPr>
        <w:t>.000</w:t>
      </w:r>
      <w:r w:rsidR="003F6A86" w:rsidRPr="005A561F">
        <w:rPr>
          <w:sz w:val="24"/>
          <w:szCs w:val="24"/>
        </w:rPr>
        <w:t xml:space="preserve"> mg/dag bør ikke administreres samtidig med ritonavir</w:t>
      </w:r>
      <w:r w:rsidR="003F6A86">
        <w:rPr>
          <w:sz w:val="24"/>
          <w:szCs w:val="24"/>
        </w:rPr>
        <w:t>.</w:t>
      </w:r>
    </w:p>
    <w:p w:rsidR="00CA5858" w:rsidRPr="005A561F" w:rsidRDefault="00CA5858" w:rsidP="00CA5858">
      <w:pPr>
        <w:ind w:left="851" w:hanging="851"/>
        <w:rPr>
          <w:sz w:val="24"/>
          <w:szCs w:val="24"/>
        </w:rPr>
      </w:pPr>
    </w:p>
    <w:p w:rsidR="00CA5858" w:rsidRPr="005A561F" w:rsidRDefault="00CA5858" w:rsidP="00CA5858">
      <w:pPr>
        <w:ind w:left="851"/>
        <w:rPr>
          <w:sz w:val="24"/>
          <w:szCs w:val="24"/>
        </w:rPr>
      </w:pPr>
      <w:r w:rsidRPr="005A561F">
        <w:rPr>
          <w:sz w:val="24"/>
          <w:szCs w:val="24"/>
        </w:rPr>
        <w:lastRenderedPageBreak/>
        <w:t xml:space="preserve">Lignende dosisjusteringer bør overvejes hos patienter med nedsat nyrefunktion, når ritonavir anvendes som farmakokinetisk forstærker sammen med andre hiv-proteasehæmmere, herunder atazanavir og saquinavir (se afsnittet nedenfor, </w:t>
      </w:r>
      <w:r w:rsidR="005A561F" w:rsidRPr="005A561F">
        <w:rPr>
          <w:sz w:val="24"/>
          <w:szCs w:val="24"/>
        </w:rPr>
        <w:t>"</w:t>
      </w:r>
      <w:r w:rsidRPr="005A561F">
        <w:rPr>
          <w:i/>
          <w:sz w:val="24"/>
          <w:szCs w:val="24"/>
        </w:rPr>
        <w:t>Bidirektionelle lægemiddelinteraktioner</w:t>
      </w:r>
      <w:r w:rsidR="005A561F" w:rsidRPr="005A561F">
        <w:rPr>
          <w:sz w:val="24"/>
          <w:szCs w:val="24"/>
        </w:rPr>
        <w:t>"</w:t>
      </w:r>
      <w:r w:rsidRPr="005A561F">
        <w:rPr>
          <w:sz w:val="24"/>
          <w:szCs w:val="24"/>
        </w:rPr>
        <w:t xml:space="preserve">). </w:t>
      </w:r>
    </w:p>
    <w:p w:rsidR="00CA5858" w:rsidRPr="005A561F" w:rsidRDefault="00CA5858" w:rsidP="00CA5858">
      <w:pPr>
        <w:ind w:left="851" w:hanging="851"/>
        <w:rPr>
          <w:sz w:val="24"/>
          <w:szCs w:val="24"/>
        </w:rPr>
      </w:pPr>
    </w:p>
    <w:p w:rsidR="00CA5858" w:rsidRPr="00B05ECE" w:rsidRDefault="00CA5858" w:rsidP="00CA5858">
      <w:pPr>
        <w:ind w:left="851"/>
        <w:rPr>
          <w:b/>
          <w:sz w:val="24"/>
          <w:szCs w:val="24"/>
        </w:rPr>
      </w:pPr>
      <w:r w:rsidRPr="00B05ECE">
        <w:rPr>
          <w:b/>
          <w:sz w:val="24"/>
          <w:szCs w:val="24"/>
        </w:rPr>
        <w:t>Clarithromycins effekt på andre lægemidler</w:t>
      </w:r>
    </w:p>
    <w:p w:rsidR="00CA5858" w:rsidRPr="005A561F" w:rsidRDefault="00CA5858" w:rsidP="00CA5858">
      <w:pPr>
        <w:ind w:left="851" w:hanging="851"/>
        <w:rPr>
          <w:sz w:val="24"/>
          <w:szCs w:val="24"/>
        </w:rPr>
      </w:pPr>
    </w:p>
    <w:p w:rsidR="00CA5858" w:rsidRPr="005A561F" w:rsidRDefault="00CA5858" w:rsidP="00CA5858">
      <w:pPr>
        <w:ind w:left="851"/>
        <w:rPr>
          <w:sz w:val="24"/>
          <w:szCs w:val="24"/>
          <w:u w:val="single"/>
        </w:rPr>
      </w:pPr>
      <w:r w:rsidRPr="005A561F">
        <w:rPr>
          <w:sz w:val="24"/>
          <w:szCs w:val="24"/>
          <w:u w:val="single"/>
        </w:rPr>
        <w:t>CYP3A-baserede interaktioner</w:t>
      </w:r>
    </w:p>
    <w:p w:rsidR="003F6A86" w:rsidRDefault="00CA5858" w:rsidP="00CA5858">
      <w:pPr>
        <w:ind w:left="851"/>
        <w:rPr>
          <w:sz w:val="24"/>
          <w:szCs w:val="24"/>
        </w:rPr>
      </w:pPr>
      <w:r w:rsidRPr="005A561F">
        <w:rPr>
          <w:sz w:val="24"/>
          <w:szCs w:val="24"/>
        </w:rPr>
        <w:t xml:space="preserve">Samtidig administration af clarithromycin, der vides at hæmme CYP3A, og et lægemiddel, der hovedsageligt metaboliseres af CYP3A, kan være forbundet med stigning i lægemiddelkoncentrationerne, som kan øge eller forlænge både den terapeutiske effekt og bivirkningerne af det lægemiddel, der gives samtidig. </w:t>
      </w:r>
    </w:p>
    <w:p w:rsidR="00BE5496" w:rsidRDefault="00BE5496" w:rsidP="00895497">
      <w:pPr>
        <w:ind w:left="851"/>
        <w:rPr>
          <w:sz w:val="24"/>
          <w:szCs w:val="24"/>
        </w:rPr>
      </w:pPr>
    </w:p>
    <w:p w:rsidR="00895497" w:rsidRPr="00895497" w:rsidRDefault="00895497" w:rsidP="00895497">
      <w:pPr>
        <w:ind w:left="851"/>
        <w:rPr>
          <w:sz w:val="24"/>
          <w:szCs w:val="24"/>
        </w:rPr>
      </w:pPr>
      <w:r w:rsidRPr="00895497">
        <w:rPr>
          <w:sz w:val="24"/>
          <w:szCs w:val="24"/>
        </w:rPr>
        <w:t>Brugen af clarithromycin er kontraindiceret hos patienter i behandling med CYP3A-substrater, såsom astemizol, cisaprid, domperidon, pimozid og terfenadin på grund af risikoen for QT-forlængelse og kardielle arytmier, herunder ventrikulær takykardi, ventrikelflimren og torsades de pointes (se pkt. 4.3 og 4.4).</w:t>
      </w:r>
    </w:p>
    <w:p w:rsidR="00895497" w:rsidRPr="00895497" w:rsidRDefault="00895497" w:rsidP="00895497">
      <w:pPr>
        <w:ind w:left="851"/>
        <w:rPr>
          <w:sz w:val="24"/>
          <w:szCs w:val="24"/>
        </w:rPr>
      </w:pPr>
    </w:p>
    <w:p w:rsidR="00895497" w:rsidRPr="00895497" w:rsidRDefault="00895497" w:rsidP="00895497">
      <w:pPr>
        <w:ind w:left="851"/>
        <w:rPr>
          <w:sz w:val="24"/>
          <w:szCs w:val="24"/>
        </w:rPr>
      </w:pPr>
      <w:r w:rsidRPr="00895497">
        <w:rPr>
          <w:sz w:val="24"/>
          <w:szCs w:val="24"/>
        </w:rPr>
        <w:t>Brugen af clarithromycin er også kontraindiceret med ergotalkaloider, oral midazolam, HMG-CoA-reduktase</w:t>
      </w:r>
      <w:r w:rsidRPr="00895497">
        <w:rPr>
          <w:sz w:val="24"/>
          <w:szCs w:val="24"/>
        </w:rPr>
        <w:softHyphen/>
        <w:t xml:space="preserve">hæmmere, som hovedsageligt metaboliseres af CYP3A4 (f.eks. lovastatin og simvastatin), colchicin, </w:t>
      </w:r>
      <w:r w:rsidR="00BE5496">
        <w:rPr>
          <w:sz w:val="24"/>
          <w:szCs w:val="24"/>
        </w:rPr>
        <w:t>ticagrelor, ivabradin og ranolazin</w:t>
      </w:r>
      <w:r w:rsidRPr="00895497">
        <w:rPr>
          <w:sz w:val="24"/>
          <w:szCs w:val="24"/>
        </w:rPr>
        <w:t xml:space="preserve"> (se pkt. 4.3). Samtidig administration af clarithromycin med lomitapid er kontraindiceret på grund af risikoen for markant forhøjede transaminaser (se pkt. 4.3).</w:t>
      </w:r>
    </w:p>
    <w:p w:rsidR="00895497" w:rsidRPr="00895497" w:rsidRDefault="00895497" w:rsidP="00895497">
      <w:pPr>
        <w:ind w:left="851"/>
        <w:rPr>
          <w:sz w:val="24"/>
          <w:szCs w:val="24"/>
        </w:rPr>
      </w:pPr>
    </w:p>
    <w:p w:rsidR="00CA5858" w:rsidRDefault="00895497" w:rsidP="00895497">
      <w:pPr>
        <w:ind w:left="851"/>
        <w:rPr>
          <w:sz w:val="24"/>
          <w:szCs w:val="24"/>
        </w:rPr>
      </w:pPr>
      <w:r w:rsidRPr="00895497">
        <w:rPr>
          <w:sz w:val="24"/>
          <w:szCs w:val="24"/>
        </w:rPr>
        <w:t>Der skal udvises forsigtighed, hvis clarithromycin administreres samtidigt med andre lægemidler, der er kendte CYP3A-enzymsubstrater, især hvis CYP3A-substratet har en snæver sikkerhedsmargin (f.eks. carbamazepin), og/eller hvis substratet metaboliseres ekstensivt af dette enzym.</w:t>
      </w:r>
    </w:p>
    <w:p w:rsidR="00895497" w:rsidRDefault="00895497" w:rsidP="00895497">
      <w:pPr>
        <w:ind w:left="851" w:hanging="851"/>
        <w:rPr>
          <w:sz w:val="24"/>
          <w:szCs w:val="24"/>
        </w:rPr>
      </w:pPr>
    </w:p>
    <w:p w:rsidR="00CA5858" w:rsidRPr="005A561F" w:rsidRDefault="00CA5858" w:rsidP="00CA5858">
      <w:pPr>
        <w:ind w:left="851"/>
        <w:rPr>
          <w:sz w:val="24"/>
          <w:szCs w:val="24"/>
        </w:rPr>
      </w:pPr>
      <w:r w:rsidRPr="005A561F">
        <w:rPr>
          <w:sz w:val="24"/>
          <w:szCs w:val="24"/>
        </w:rPr>
        <w:t xml:space="preserve">Der bør overvejes en dosisjustering, og når det er muligt, bør serumkoncentrationen af lægemidler, der primært metaboliseres af CYP3A, overvåges tæt hos patienter, som samtidig får clarithromycin. </w:t>
      </w:r>
    </w:p>
    <w:p w:rsidR="001254E2" w:rsidRDefault="001254E2" w:rsidP="00CD7891">
      <w:pPr>
        <w:ind w:left="851"/>
        <w:rPr>
          <w:sz w:val="24"/>
          <w:szCs w:val="24"/>
        </w:rPr>
      </w:pPr>
    </w:p>
    <w:p w:rsidR="00CD7891" w:rsidRPr="00CD7891" w:rsidRDefault="00CD7891" w:rsidP="00CD7891">
      <w:pPr>
        <w:ind w:left="851"/>
        <w:rPr>
          <w:sz w:val="24"/>
          <w:szCs w:val="24"/>
        </w:rPr>
      </w:pPr>
      <w:r w:rsidRPr="00CD7891">
        <w:rPr>
          <w:sz w:val="24"/>
          <w:szCs w:val="24"/>
        </w:rPr>
        <w:t>Lægemidler eller lægemiddelklasser, der vides at være eller er mistænkt for at omsættes af det samme CYP3A-isoenzym inklusive (men denne liste er ikke udtømmende) alprazolam, carbamazepin, cilostazol, ciclosporin, disopyramid, ibrutinib, methylprednisolon, midazolam (intravenøs), omeprazol, orale antikoagulantia (f.eks. warfarin, rivaroxaban, apixaban), atypiske antipsykotika (f.eks. quetiapine), quinidin, rifabutin, sildenafil, sirolimus, tacrolimus, triazolam og vinblastin. Andre stoffer, der interagerer via lignende mekanismer gennem andre isoenzymer i cytokrom P450-systemet, omfatter fenytoin, theophyllin og valproat.</w:t>
      </w:r>
    </w:p>
    <w:p w:rsidR="00CA5858" w:rsidRPr="005A561F" w:rsidRDefault="00CA5858" w:rsidP="00CA5858">
      <w:pPr>
        <w:ind w:left="851" w:hanging="851"/>
        <w:rPr>
          <w:sz w:val="24"/>
          <w:szCs w:val="24"/>
        </w:rPr>
      </w:pPr>
    </w:p>
    <w:p w:rsidR="00CA5858" w:rsidRPr="005A561F" w:rsidRDefault="00CA5858" w:rsidP="00CA5858">
      <w:pPr>
        <w:ind w:left="851"/>
        <w:rPr>
          <w:sz w:val="24"/>
          <w:szCs w:val="24"/>
          <w:u w:val="single"/>
        </w:rPr>
      </w:pPr>
      <w:r w:rsidRPr="005A561F">
        <w:rPr>
          <w:sz w:val="24"/>
          <w:szCs w:val="24"/>
          <w:u w:val="single"/>
        </w:rPr>
        <w:t>Antiarytmika</w:t>
      </w:r>
    </w:p>
    <w:p w:rsidR="00CA5858" w:rsidRPr="005A561F" w:rsidRDefault="00CA5858" w:rsidP="00CA5858">
      <w:pPr>
        <w:ind w:left="851"/>
        <w:rPr>
          <w:sz w:val="24"/>
          <w:szCs w:val="24"/>
        </w:rPr>
      </w:pPr>
      <w:r w:rsidRPr="005A561F">
        <w:rPr>
          <w:sz w:val="24"/>
          <w:szCs w:val="24"/>
        </w:rPr>
        <w:t>Efter markedsføring har der været indberetninger om, at der er opstået torsades de pointes ved samtidig anvendelse af clarithromycin og quinidin eller disopyramid. Patienternes elektrokardiogram bør kontrolleres for QT-forlængelse ved samtidig administration af clarithromycin og disse lægemidler. Serumniveauet af quinidin og disopyramid bør også overvåges under behandling med clarithromycin.</w:t>
      </w:r>
    </w:p>
    <w:p w:rsidR="00CA5858" w:rsidRPr="005A561F" w:rsidRDefault="00CA5858" w:rsidP="00CA5858">
      <w:pPr>
        <w:ind w:left="851"/>
        <w:rPr>
          <w:sz w:val="24"/>
          <w:szCs w:val="24"/>
        </w:rPr>
      </w:pPr>
    </w:p>
    <w:p w:rsidR="00CA5858" w:rsidRPr="005A561F" w:rsidRDefault="00CA5858" w:rsidP="00CA5858">
      <w:pPr>
        <w:ind w:left="851"/>
        <w:rPr>
          <w:sz w:val="24"/>
          <w:szCs w:val="24"/>
        </w:rPr>
      </w:pPr>
      <w:r w:rsidRPr="005A561F">
        <w:rPr>
          <w:sz w:val="24"/>
          <w:szCs w:val="24"/>
        </w:rPr>
        <w:lastRenderedPageBreak/>
        <w:t>Der har efter markedsføring været rapporter om hypoglykæmi ved samtidig administration af clarithromycin og disopyramid. Derfor bør blodsukkerniveauet monitoreres ved samtidig administration af clarithromycin og disopyramid.</w:t>
      </w:r>
    </w:p>
    <w:p w:rsidR="00920DC0" w:rsidRPr="00920DC0" w:rsidRDefault="00920DC0" w:rsidP="00920DC0">
      <w:pPr>
        <w:ind w:left="851"/>
        <w:rPr>
          <w:sz w:val="24"/>
          <w:szCs w:val="24"/>
        </w:rPr>
      </w:pPr>
    </w:p>
    <w:p w:rsidR="00BE5496" w:rsidRDefault="00BE5496" w:rsidP="00BE5496">
      <w:pPr>
        <w:ind w:left="851"/>
        <w:rPr>
          <w:sz w:val="24"/>
          <w:szCs w:val="24"/>
          <w:u w:val="single"/>
        </w:rPr>
      </w:pPr>
      <w:r>
        <w:rPr>
          <w:sz w:val="24"/>
          <w:szCs w:val="24"/>
          <w:u w:val="single"/>
        </w:rPr>
        <w:t xml:space="preserve">Direkte orale antikoagulantia (DOAK’er) </w:t>
      </w:r>
    </w:p>
    <w:p w:rsidR="00BE5496" w:rsidRDefault="00BE5496" w:rsidP="00BE5496">
      <w:pPr>
        <w:ind w:left="851"/>
        <w:rPr>
          <w:sz w:val="24"/>
          <w:szCs w:val="24"/>
        </w:rPr>
      </w:pPr>
      <w:r>
        <w:rPr>
          <w:sz w:val="24"/>
          <w:szCs w:val="24"/>
        </w:rPr>
        <w:t>DOAK’erne dabigatran og edoxaban er substrater for efflux-transportøren P-gp. Rivaroxaban og apixaban metaboliseres via CYP3A4 og er også substrater for P-gp. Der skal udvises særlig forsigtighed, når clarithromycin administreres sammen med disse midler, specielt hos patienter med høj blødningsrisiko (se pkt. 4.4).</w:t>
      </w:r>
    </w:p>
    <w:p w:rsidR="00920DC0" w:rsidRPr="005A561F" w:rsidRDefault="00920DC0" w:rsidP="00920DC0">
      <w:pPr>
        <w:ind w:left="851"/>
        <w:rPr>
          <w:sz w:val="24"/>
          <w:szCs w:val="24"/>
        </w:rPr>
      </w:pPr>
    </w:p>
    <w:p w:rsidR="00CA5858" w:rsidRPr="005A561F" w:rsidRDefault="00CA5858" w:rsidP="00CA5858">
      <w:pPr>
        <w:ind w:left="851" w:hanging="851"/>
        <w:rPr>
          <w:sz w:val="24"/>
          <w:szCs w:val="24"/>
          <w:u w:val="single"/>
        </w:rPr>
      </w:pPr>
      <w:r w:rsidRPr="005A561F">
        <w:rPr>
          <w:sz w:val="24"/>
          <w:szCs w:val="24"/>
        </w:rPr>
        <w:tab/>
      </w:r>
      <w:r w:rsidRPr="005A561F">
        <w:rPr>
          <w:sz w:val="24"/>
          <w:szCs w:val="24"/>
          <w:u w:val="single"/>
        </w:rPr>
        <w:t>Orale hypoglykæmiske lægemidler/insulin</w:t>
      </w:r>
    </w:p>
    <w:p w:rsidR="00CA5858" w:rsidRPr="005A561F" w:rsidRDefault="00CA5858" w:rsidP="00CA5858">
      <w:pPr>
        <w:ind w:left="851" w:hanging="851"/>
        <w:rPr>
          <w:sz w:val="24"/>
          <w:szCs w:val="24"/>
        </w:rPr>
      </w:pPr>
      <w:r w:rsidRPr="005A561F">
        <w:rPr>
          <w:sz w:val="24"/>
          <w:szCs w:val="24"/>
        </w:rPr>
        <w:tab/>
        <w:t>Med visse hypoglykæmiske lægemidler, såsom nateglinid og repaglinid, kan clarithromycin hæmme CYP3A-enzymet og forårsage hypoglykæmi, når disse anvendes samtidig. Omhyggelig monitorering af glucose anbefales.</w:t>
      </w:r>
    </w:p>
    <w:p w:rsidR="00CA5858" w:rsidRPr="005A561F" w:rsidRDefault="00CA5858" w:rsidP="00CA5858">
      <w:pPr>
        <w:ind w:left="851" w:hanging="851"/>
        <w:rPr>
          <w:sz w:val="24"/>
          <w:szCs w:val="24"/>
        </w:rPr>
      </w:pPr>
    </w:p>
    <w:p w:rsidR="00CA5858" w:rsidRPr="005A561F" w:rsidRDefault="00CA5858" w:rsidP="00CA5858">
      <w:pPr>
        <w:ind w:left="851"/>
        <w:rPr>
          <w:sz w:val="24"/>
          <w:szCs w:val="24"/>
          <w:u w:val="single"/>
        </w:rPr>
      </w:pPr>
      <w:r w:rsidRPr="005A561F">
        <w:rPr>
          <w:sz w:val="24"/>
          <w:szCs w:val="24"/>
          <w:u w:val="single"/>
        </w:rPr>
        <w:t xml:space="preserve">Omeprazol </w:t>
      </w:r>
    </w:p>
    <w:p w:rsidR="00CA5858" w:rsidRPr="005A561F" w:rsidRDefault="00CA5858" w:rsidP="00CA5858">
      <w:pPr>
        <w:ind w:left="851"/>
        <w:rPr>
          <w:sz w:val="24"/>
          <w:szCs w:val="24"/>
        </w:rPr>
      </w:pPr>
      <w:r w:rsidRPr="005A561F">
        <w:rPr>
          <w:sz w:val="24"/>
          <w:szCs w:val="24"/>
        </w:rPr>
        <w:t xml:space="preserve">Clarithromycin (500 mg hver 8. time) blev givet i kombination med omeprazol (40 mg </w:t>
      </w:r>
      <w:r w:rsidR="00EE71BF">
        <w:rPr>
          <w:sz w:val="24"/>
          <w:szCs w:val="24"/>
        </w:rPr>
        <w:t>daglig</w:t>
      </w:r>
      <w:r w:rsidRPr="005A561F">
        <w:rPr>
          <w:sz w:val="24"/>
          <w:szCs w:val="24"/>
        </w:rPr>
        <w:t xml:space="preserve">) til raske voksne forsøgspersoner. Omeprazols </w:t>
      </w:r>
      <w:r w:rsidRPr="005A561F">
        <w:rPr>
          <w:i/>
          <w:sz w:val="24"/>
          <w:szCs w:val="24"/>
        </w:rPr>
        <w:t>steady-state</w:t>
      </w:r>
      <w:r w:rsidRPr="005A561F">
        <w:rPr>
          <w:sz w:val="24"/>
          <w:szCs w:val="24"/>
        </w:rPr>
        <w:t xml:space="preserve"> plasmakoncentrationer blev forøget (C</w:t>
      </w:r>
      <w:r w:rsidRPr="005A561F">
        <w:rPr>
          <w:sz w:val="24"/>
          <w:szCs w:val="24"/>
          <w:vertAlign w:val="subscript"/>
        </w:rPr>
        <w:t>max</w:t>
      </w:r>
      <w:r w:rsidRPr="005A561F">
        <w:rPr>
          <w:sz w:val="24"/>
          <w:szCs w:val="24"/>
        </w:rPr>
        <w:t>, AUC</w:t>
      </w:r>
      <w:r w:rsidRPr="00016E1F">
        <w:rPr>
          <w:sz w:val="24"/>
          <w:szCs w:val="24"/>
          <w:vertAlign w:val="subscript"/>
        </w:rPr>
        <w:t xml:space="preserve">0-24 </w:t>
      </w:r>
      <w:r w:rsidRPr="005A561F">
        <w:rPr>
          <w:sz w:val="24"/>
          <w:szCs w:val="24"/>
        </w:rPr>
        <w:t>og t</w:t>
      </w:r>
      <w:r w:rsidRPr="00016E1F">
        <w:rPr>
          <w:sz w:val="24"/>
          <w:szCs w:val="24"/>
          <w:vertAlign w:val="subscript"/>
        </w:rPr>
        <w:t>1/2</w:t>
      </w:r>
      <w:r w:rsidRPr="00016E1F">
        <w:rPr>
          <w:sz w:val="24"/>
          <w:szCs w:val="24"/>
        </w:rPr>
        <w:t xml:space="preserve"> </w:t>
      </w:r>
      <w:r w:rsidRPr="005A561F">
        <w:rPr>
          <w:sz w:val="24"/>
          <w:szCs w:val="24"/>
        </w:rPr>
        <w:t>blev forøget med henholdsvis 30 %, 89 % og 34 %) ved samtidig administration af clarithromycin. Middelværdien for den gastriske døgn-pH-værdi var 5,2 når omeprazol blev administreret alene og 5,7, når omeprazol blev administreret sammen med clarithromycin.</w:t>
      </w:r>
    </w:p>
    <w:p w:rsidR="00CA5858" w:rsidRPr="005A561F" w:rsidRDefault="00CA5858" w:rsidP="00CA5858">
      <w:pPr>
        <w:ind w:left="851" w:hanging="851"/>
        <w:rPr>
          <w:sz w:val="24"/>
          <w:szCs w:val="24"/>
        </w:rPr>
      </w:pPr>
    </w:p>
    <w:p w:rsidR="00CA5858" w:rsidRPr="005A561F" w:rsidRDefault="00CA5858" w:rsidP="00CA5858">
      <w:pPr>
        <w:ind w:left="851"/>
        <w:rPr>
          <w:sz w:val="24"/>
          <w:szCs w:val="24"/>
          <w:u w:val="single"/>
        </w:rPr>
      </w:pPr>
      <w:r w:rsidRPr="005A561F">
        <w:rPr>
          <w:sz w:val="24"/>
          <w:szCs w:val="24"/>
          <w:u w:val="single"/>
        </w:rPr>
        <w:t xml:space="preserve">Sildenafil, tadalafil og vardenafil </w:t>
      </w:r>
    </w:p>
    <w:p w:rsidR="00CA5858" w:rsidRPr="005A561F" w:rsidRDefault="00CA5858" w:rsidP="00CA5858">
      <w:pPr>
        <w:ind w:left="851"/>
        <w:rPr>
          <w:sz w:val="24"/>
          <w:szCs w:val="24"/>
        </w:rPr>
      </w:pPr>
      <w:r w:rsidRPr="005A561F">
        <w:rPr>
          <w:sz w:val="24"/>
          <w:szCs w:val="24"/>
        </w:rPr>
        <w:t>Alle disse fosfodiesterasehæmmere metaboliseres, i hvert fald delvist, af CYP3A, og CYP3A kan muligvis hæmmes ved samtidig administration af clarithromycin. Samtidig administration af clarithromycin og sildenafil, tadalafil eller vardenafil vil sandsynligvis resultere i øget eksponering for fosfodiesterasehæmmer. Det bør overvejes at nedsætte doseringen af sildenafil, tadalafil og vardenafil, når det administreres sammen med clarithromycin.</w:t>
      </w:r>
    </w:p>
    <w:p w:rsidR="00CA5858" w:rsidRPr="005A561F" w:rsidRDefault="00CA5858" w:rsidP="00CA5858">
      <w:pPr>
        <w:ind w:left="851" w:hanging="851"/>
        <w:rPr>
          <w:sz w:val="24"/>
          <w:szCs w:val="24"/>
        </w:rPr>
      </w:pPr>
    </w:p>
    <w:p w:rsidR="00CA5858" w:rsidRPr="005A561F" w:rsidRDefault="00CA5858" w:rsidP="00CA5858">
      <w:pPr>
        <w:ind w:left="851"/>
        <w:rPr>
          <w:sz w:val="24"/>
          <w:szCs w:val="24"/>
          <w:u w:val="single"/>
        </w:rPr>
      </w:pPr>
      <w:r w:rsidRPr="005A561F">
        <w:rPr>
          <w:sz w:val="24"/>
          <w:szCs w:val="24"/>
          <w:u w:val="single"/>
        </w:rPr>
        <w:t>Theophyllin</w:t>
      </w:r>
      <w:r w:rsidR="00D63863">
        <w:rPr>
          <w:sz w:val="24"/>
          <w:szCs w:val="24"/>
          <w:u w:val="single"/>
        </w:rPr>
        <w:t xml:space="preserve"> og</w:t>
      </w:r>
      <w:r w:rsidRPr="005A561F">
        <w:rPr>
          <w:sz w:val="24"/>
          <w:szCs w:val="24"/>
          <w:u w:val="single"/>
        </w:rPr>
        <w:t xml:space="preserve"> carbamazepin</w:t>
      </w:r>
    </w:p>
    <w:p w:rsidR="00CA5858" w:rsidRPr="005A561F" w:rsidRDefault="00CA5858" w:rsidP="00CA5858">
      <w:pPr>
        <w:ind w:left="851"/>
        <w:rPr>
          <w:sz w:val="24"/>
          <w:szCs w:val="24"/>
        </w:rPr>
      </w:pPr>
      <w:r w:rsidRPr="005A561F">
        <w:rPr>
          <w:sz w:val="24"/>
          <w:szCs w:val="24"/>
        </w:rPr>
        <w:t>Resultater fra kliniske studier tyder på, at der var en moderat men statistisk signifikant (p= 0,05) stigning i cirkulerende theophyllin- og carbamazepinniveauer, når disse stoffer blev administreret samtidig med clarithromycin. Dosisreduktion kan være nødvendig.</w:t>
      </w:r>
    </w:p>
    <w:p w:rsidR="00CA5858" w:rsidRPr="005A561F" w:rsidRDefault="00CA5858" w:rsidP="00CA5858">
      <w:pPr>
        <w:ind w:left="851" w:hanging="851"/>
        <w:rPr>
          <w:sz w:val="24"/>
          <w:szCs w:val="24"/>
        </w:rPr>
      </w:pPr>
    </w:p>
    <w:p w:rsidR="00CA5858" w:rsidRPr="005A561F" w:rsidRDefault="00CA5858" w:rsidP="00CA5858">
      <w:pPr>
        <w:ind w:left="851"/>
        <w:rPr>
          <w:sz w:val="24"/>
          <w:szCs w:val="24"/>
          <w:u w:val="single"/>
        </w:rPr>
      </w:pPr>
      <w:r w:rsidRPr="005A561F">
        <w:rPr>
          <w:sz w:val="24"/>
          <w:szCs w:val="24"/>
          <w:u w:val="single"/>
        </w:rPr>
        <w:t>Tolterodin</w:t>
      </w:r>
    </w:p>
    <w:p w:rsidR="00CA5858" w:rsidRPr="005A561F" w:rsidRDefault="00CA5858" w:rsidP="00CA5858">
      <w:pPr>
        <w:ind w:left="851"/>
        <w:rPr>
          <w:sz w:val="24"/>
          <w:szCs w:val="24"/>
        </w:rPr>
      </w:pPr>
      <w:r w:rsidRPr="005A561F">
        <w:rPr>
          <w:sz w:val="24"/>
          <w:szCs w:val="24"/>
        </w:rPr>
        <w:t xml:space="preserve">Tolterodin metaboliseres fortrinsvis via 2D6-isoformen af cytokrom P450 (CYP2D6). Imidlertid er det fundet, at metabolismen hos en populationsgruppe uden CYP2D6 sker via CYP3A. I denne populationsgruppe forårsager hæmning af CYP3A signifikant højere serumkoncentrationer af tolterodin. En reduktion af tolterodin-doseringen kan være nødvendig ved forekomst af CYP3A-hæmmere, såsom clarithromycin hos den del af befolkningen, som er dårlige omsættere af CYP2D6. </w:t>
      </w:r>
    </w:p>
    <w:p w:rsidR="00CA5858" w:rsidRPr="005A561F" w:rsidRDefault="00CA5858" w:rsidP="00CA5858">
      <w:pPr>
        <w:ind w:left="851" w:hanging="851"/>
        <w:rPr>
          <w:sz w:val="24"/>
          <w:szCs w:val="24"/>
        </w:rPr>
      </w:pPr>
    </w:p>
    <w:p w:rsidR="00CA5858" w:rsidRPr="005A561F" w:rsidRDefault="00CA5858" w:rsidP="00CA5858">
      <w:pPr>
        <w:ind w:left="851"/>
        <w:rPr>
          <w:sz w:val="24"/>
          <w:szCs w:val="24"/>
          <w:u w:val="single"/>
        </w:rPr>
      </w:pPr>
      <w:r w:rsidRPr="005A561F">
        <w:rPr>
          <w:sz w:val="24"/>
          <w:szCs w:val="24"/>
          <w:u w:val="single"/>
        </w:rPr>
        <w:t xml:space="preserve">Triazolobenzodiazepiner (f.eks. alprazolam, midazolam, triazolam) </w:t>
      </w:r>
    </w:p>
    <w:p w:rsidR="00D67CA0" w:rsidRDefault="00D67CA0" w:rsidP="00D67CA0">
      <w:pPr>
        <w:ind w:left="851"/>
        <w:rPr>
          <w:sz w:val="24"/>
          <w:szCs w:val="24"/>
        </w:rPr>
      </w:pPr>
      <w:r w:rsidRPr="005A561F">
        <w:rPr>
          <w:sz w:val="24"/>
          <w:szCs w:val="24"/>
        </w:rPr>
        <w:t xml:space="preserve">Ved samtidig administration af midazolam med clarithromycintabletter (500 mg </w:t>
      </w:r>
      <w:r>
        <w:rPr>
          <w:sz w:val="24"/>
          <w:szCs w:val="24"/>
        </w:rPr>
        <w:t>to</w:t>
      </w:r>
      <w:r w:rsidRPr="005A561F">
        <w:rPr>
          <w:sz w:val="24"/>
          <w:szCs w:val="24"/>
        </w:rPr>
        <w:t xml:space="preserve"> gange </w:t>
      </w:r>
      <w:r>
        <w:rPr>
          <w:sz w:val="24"/>
          <w:szCs w:val="24"/>
        </w:rPr>
        <w:t>daglig</w:t>
      </w:r>
      <w:r w:rsidRPr="005A561F">
        <w:rPr>
          <w:sz w:val="24"/>
          <w:szCs w:val="24"/>
        </w:rPr>
        <w:t xml:space="preserve">) blev AUC for midazolam øget 2,7 gange efter intravenøs administration af midazolam. Hvis intravenøs midazolam administreres sammen med clarithromycin, bør patienten overvåges nøje med henblik på dosisjustering. </w:t>
      </w:r>
      <w:r>
        <w:rPr>
          <w:sz w:val="24"/>
          <w:szCs w:val="24"/>
        </w:rPr>
        <w:t xml:space="preserve">Administration af midazolam i </w:t>
      </w:r>
      <w:r w:rsidRPr="00BF1B7A">
        <w:rPr>
          <w:sz w:val="24"/>
          <w:szCs w:val="24"/>
        </w:rPr>
        <w:t>mundhulen</w:t>
      </w:r>
      <w:r>
        <w:rPr>
          <w:sz w:val="24"/>
          <w:szCs w:val="24"/>
        </w:rPr>
        <w:t xml:space="preserve">, hvor lægemidlet undgår first-pass elimination og går direkte i det systemiske kredsløb, </w:t>
      </w:r>
      <w:r>
        <w:rPr>
          <w:sz w:val="24"/>
          <w:szCs w:val="24"/>
        </w:rPr>
        <w:lastRenderedPageBreak/>
        <w:t>vil sandsynligvis resultere i en lignende interaktion, som den der observeres efter intravenøs administration fremfor oral administration.</w:t>
      </w:r>
    </w:p>
    <w:p w:rsidR="00CA5858" w:rsidRPr="005A561F" w:rsidRDefault="00CA5858" w:rsidP="00CA5858">
      <w:pPr>
        <w:ind w:left="851"/>
        <w:rPr>
          <w:sz w:val="24"/>
          <w:szCs w:val="24"/>
        </w:rPr>
      </w:pPr>
      <w:r w:rsidRPr="005A561F">
        <w:rPr>
          <w:sz w:val="24"/>
          <w:szCs w:val="24"/>
        </w:rPr>
        <w:t xml:space="preserve">De samme forholdsregler bør også gælde for andre benzodiazepiner, der metaboliseres af CYP3A, herunder triazolam og alprazolam. Det er usandsynligt, at benzodiazepiner, der ikke metaboliseres af CYP3A (temazepam, nitrazepam, lorazepam), interagerer med clarithromycin. </w:t>
      </w:r>
    </w:p>
    <w:p w:rsidR="00CA5858" w:rsidRPr="005A561F" w:rsidRDefault="00CA5858" w:rsidP="00CA5858">
      <w:pPr>
        <w:ind w:left="851" w:hanging="851"/>
        <w:rPr>
          <w:sz w:val="24"/>
          <w:szCs w:val="24"/>
        </w:rPr>
      </w:pPr>
    </w:p>
    <w:p w:rsidR="00CA5858" w:rsidRDefault="00CA5858" w:rsidP="00CA5858">
      <w:pPr>
        <w:ind w:left="851"/>
        <w:rPr>
          <w:sz w:val="24"/>
          <w:szCs w:val="24"/>
        </w:rPr>
      </w:pPr>
      <w:r w:rsidRPr="005A561F">
        <w:rPr>
          <w:sz w:val="24"/>
          <w:szCs w:val="24"/>
        </w:rPr>
        <w:t xml:space="preserve">Der er efter markedsføring indberettet lægemiddelinteraktioner og virkninger på centralnervesystemet (f.eks. døsighed og forvirring) ved samtidig anvendelse af clarithromycin og triazolam. Det anbefales, at patienten overvåges for øget farmakologisk effekt på centralnervesystemet. </w:t>
      </w:r>
    </w:p>
    <w:p w:rsidR="00BE5496" w:rsidRDefault="00BE5496" w:rsidP="00CA5858">
      <w:pPr>
        <w:ind w:left="851"/>
        <w:rPr>
          <w:sz w:val="24"/>
          <w:szCs w:val="24"/>
        </w:rPr>
      </w:pPr>
    </w:p>
    <w:p w:rsidR="00BE5496" w:rsidRDefault="00BE5496" w:rsidP="00BE5496">
      <w:pPr>
        <w:ind w:left="851"/>
        <w:rPr>
          <w:u w:val="single"/>
        </w:rPr>
      </w:pPr>
      <w:r>
        <w:rPr>
          <w:u w:val="single"/>
        </w:rPr>
        <w:t xml:space="preserve">Kortikosteroider </w:t>
      </w:r>
    </w:p>
    <w:p w:rsidR="00BE5496" w:rsidRPr="005A561F" w:rsidRDefault="00BE5496" w:rsidP="00BE5496">
      <w:pPr>
        <w:ind w:left="851"/>
        <w:rPr>
          <w:sz w:val="24"/>
          <w:szCs w:val="24"/>
        </w:rPr>
      </w:pPr>
      <w:r>
        <w:t>Der bør udvises forsigtighed ved samtidig brug af clarithromycin med systemiske og inhalerede kortikosteroider, der primært metaboliseres af CYP3A på grund af risikoen for øget systemisk eksponering for kortikosteroider. Hvis samtidig brug forekommer, skal patienterne overvåges nøje for systemiske kortikosteroidbivirkninger.</w:t>
      </w:r>
    </w:p>
    <w:p w:rsidR="00CA5858" w:rsidRPr="005A561F" w:rsidRDefault="00CA5858" w:rsidP="00CA5858">
      <w:pPr>
        <w:ind w:left="851" w:hanging="851"/>
        <w:rPr>
          <w:sz w:val="24"/>
          <w:szCs w:val="24"/>
        </w:rPr>
      </w:pPr>
    </w:p>
    <w:p w:rsidR="00CA5858" w:rsidRPr="00DC1B15" w:rsidRDefault="00CA5858" w:rsidP="00CA5858">
      <w:pPr>
        <w:ind w:left="851"/>
        <w:rPr>
          <w:b/>
          <w:sz w:val="24"/>
          <w:szCs w:val="24"/>
        </w:rPr>
      </w:pPr>
      <w:r w:rsidRPr="00DC1B15">
        <w:rPr>
          <w:b/>
          <w:sz w:val="24"/>
          <w:szCs w:val="24"/>
        </w:rPr>
        <w:t>Andre lægemiddelinteraktioner</w:t>
      </w:r>
    </w:p>
    <w:p w:rsidR="00CA5858" w:rsidRPr="005A561F" w:rsidRDefault="00CA5858" w:rsidP="00CA5858">
      <w:pPr>
        <w:ind w:left="851"/>
        <w:rPr>
          <w:sz w:val="24"/>
          <w:szCs w:val="24"/>
          <w:u w:val="single"/>
        </w:rPr>
      </w:pPr>
    </w:p>
    <w:p w:rsidR="00CA5858" w:rsidRPr="005A561F" w:rsidRDefault="00CA5858" w:rsidP="00CA5858">
      <w:pPr>
        <w:ind w:left="851"/>
        <w:rPr>
          <w:sz w:val="24"/>
          <w:szCs w:val="24"/>
        </w:rPr>
      </w:pPr>
      <w:r w:rsidRPr="005A561F">
        <w:rPr>
          <w:sz w:val="24"/>
          <w:szCs w:val="24"/>
          <w:u w:val="single"/>
        </w:rPr>
        <w:t>Aminoglycosider</w:t>
      </w:r>
    </w:p>
    <w:p w:rsidR="00CA5858" w:rsidRPr="005A561F" w:rsidRDefault="00CA5858" w:rsidP="00CA5858">
      <w:pPr>
        <w:ind w:left="851" w:hanging="851"/>
        <w:rPr>
          <w:sz w:val="24"/>
          <w:szCs w:val="24"/>
        </w:rPr>
      </w:pPr>
      <w:r w:rsidRPr="005A561F">
        <w:rPr>
          <w:sz w:val="24"/>
          <w:szCs w:val="24"/>
        </w:rPr>
        <w:tab/>
        <w:t>Der skal udvises forsigtighed ved samtidig brug af clarithromycin og andre ototoksiske lægemidler, især aminoglycosider (se pkt. 4.4).</w:t>
      </w:r>
    </w:p>
    <w:p w:rsidR="00CA5858" w:rsidRPr="005A561F" w:rsidRDefault="00CA5858" w:rsidP="00A1298B">
      <w:pPr>
        <w:ind w:left="851"/>
        <w:rPr>
          <w:sz w:val="24"/>
          <w:szCs w:val="24"/>
        </w:rPr>
      </w:pPr>
    </w:p>
    <w:p w:rsidR="00CA5858" w:rsidRPr="005A561F" w:rsidRDefault="00CA5858" w:rsidP="00CA5858">
      <w:pPr>
        <w:ind w:left="851"/>
        <w:rPr>
          <w:sz w:val="24"/>
          <w:szCs w:val="24"/>
          <w:u w:val="single"/>
        </w:rPr>
      </w:pPr>
      <w:r w:rsidRPr="005A561F">
        <w:rPr>
          <w:sz w:val="24"/>
          <w:szCs w:val="24"/>
          <w:u w:val="single"/>
        </w:rPr>
        <w:t xml:space="preserve">Digoxin </w:t>
      </w:r>
    </w:p>
    <w:p w:rsidR="00CA5858" w:rsidRPr="005A561F" w:rsidRDefault="00CA5858" w:rsidP="00CA5858">
      <w:pPr>
        <w:ind w:left="851"/>
        <w:rPr>
          <w:sz w:val="24"/>
          <w:szCs w:val="24"/>
        </w:rPr>
      </w:pPr>
      <w:r w:rsidRPr="005A561F">
        <w:rPr>
          <w:sz w:val="24"/>
          <w:szCs w:val="24"/>
        </w:rPr>
        <w:t xml:space="preserve">Digoxin menes at være substrat for efflukstransporteren P-glycoprotein (Pgp). Clarithromycin er kendt for at hæmme Pgp. Når clarithromycin og digoxin administreres sammen, kan clarithromycins hæmning af Pgp føre til øget forekomst af digoxin. Forhøjede digoxinkoncentrationer i serum hos patienter, der får clarithromycin og digoxin samtidigt, er også rapporteret under bivirkningsovervågning efter markedsføringen. Nogle patienter har haft kliniske tegn, der stemmer overens med digoxintoksicitet, herunder potentielt dødelige arytmier. Serumkoncentrationen af digoxin bør overvåges nøje, mens patienten får digoxin og clarithromycin samtidig. </w:t>
      </w:r>
    </w:p>
    <w:p w:rsidR="00CA5858" w:rsidRPr="005A561F" w:rsidRDefault="00CA5858" w:rsidP="00CA5858">
      <w:pPr>
        <w:ind w:left="851" w:hanging="851"/>
        <w:rPr>
          <w:sz w:val="24"/>
          <w:szCs w:val="24"/>
        </w:rPr>
      </w:pPr>
    </w:p>
    <w:p w:rsidR="00CA5858" w:rsidRPr="005A561F" w:rsidRDefault="00CA5858" w:rsidP="00CA5858">
      <w:pPr>
        <w:ind w:left="851"/>
        <w:rPr>
          <w:sz w:val="24"/>
          <w:szCs w:val="24"/>
          <w:u w:val="single"/>
        </w:rPr>
      </w:pPr>
      <w:r w:rsidRPr="005A561F">
        <w:rPr>
          <w:sz w:val="24"/>
          <w:szCs w:val="24"/>
          <w:u w:val="single"/>
        </w:rPr>
        <w:t>Zidovudin</w:t>
      </w:r>
    </w:p>
    <w:p w:rsidR="00CA5858" w:rsidRPr="005A561F" w:rsidRDefault="00CA5858" w:rsidP="00CA5858">
      <w:pPr>
        <w:ind w:left="851"/>
        <w:rPr>
          <w:sz w:val="24"/>
          <w:szCs w:val="24"/>
        </w:rPr>
      </w:pPr>
      <w:r w:rsidRPr="005A561F">
        <w:rPr>
          <w:sz w:val="24"/>
          <w:szCs w:val="24"/>
        </w:rPr>
        <w:t xml:space="preserve">Samtidig oral administration af clarithromycin tabletter og zidovudin til hiv-smittede voksne patienter kan medføre et fald i zidovudins </w:t>
      </w:r>
      <w:r w:rsidRPr="005A561F">
        <w:rPr>
          <w:i/>
          <w:sz w:val="24"/>
          <w:szCs w:val="24"/>
        </w:rPr>
        <w:t>steady-state</w:t>
      </w:r>
      <w:r w:rsidRPr="005A561F">
        <w:rPr>
          <w:sz w:val="24"/>
          <w:szCs w:val="24"/>
        </w:rPr>
        <w:t xml:space="preserve"> niveau. Da clarithromycin synes at interferere med absorptionen af oral zidovudin, der administreres samtidigt, kan denne interaktion stort set undgås ved at lade patienten indtage disse to lægemidler med 4 timers mellemrum. Denne interaktion synes ikke at opstå hos pædiatriske hiv-smittede patienter, der tager clarithromycinsuspension sammen med zidovudin eller dideoxyinosin. Denne interaktion er usandsynlig, når clarithromycin administreres ved intravenøs infusion. </w:t>
      </w:r>
    </w:p>
    <w:p w:rsidR="00CA5858" w:rsidRPr="005A561F" w:rsidRDefault="00CA5858" w:rsidP="00CA5858">
      <w:pPr>
        <w:ind w:left="851" w:hanging="851"/>
        <w:rPr>
          <w:sz w:val="24"/>
          <w:szCs w:val="24"/>
        </w:rPr>
      </w:pPr>
    </w:p>
    <w:p w:rsidR="00CA5858" w:rsidRPr="005A561F" w:rsidRDefault="00CA5858" w:rsidP="00CA5858">
      <w:pPr>
        <w:ind w:left="851"/>
        <w:rPr>
          <w:sz w:val="24"/>
          <w:szCs w:val="24"/>
          <w:u w:val="single"/>
        </w:rPr>
      </w:pPr>
      <w:r w:rsidRPr="005A561F">
        <w:rPr>
          <w:sz w:val="24"/>
          <w:szCs w:val="24"/>
          <w:u w:val="single"/>
        </w:rPr>
        <w:t xml:space="preserve">Phenytoin og valproat </w:t>
      </w:r>
    </w:p>
    <w:p w:rsidR="00CA5858" w:rsidRPr="005A561F" w:rsidRDefault="00CA5858" w:rsidP="00CA5858">
      <w:pPr>
        <w:ind w:left="851"/>
        <w:rPr>
          <w:sz w:val="24"/>
          <w:szCs w:val="24"/>
        </w:rPr>
      </w:pPr>
      <w:r w:rsidRPr="005A561F">
        <w:rPr>
          <w:sz w:val="24"/>
          <w:szCs w:val="24"/>
        </w:rPr>
        <w:t xml:space="preserve">Der har været spontane og publicerede rapporter om interaktion med CYP3A-hæmmere, herunder clarithromycin med lægemidler, der ikke menes at blive metaboliseret af CYP3A (f.eks. phenytoin og valproat). Bestemmelse af serumniveauet anbefales for disse lægemidler, når de administreres samtidig med clarithromycin. Der har været indberetninger om forhøjet serumniveau. </w:t>
      </w:r>
    </w:p>
    <w:p w:rsidR="00CA5858" w:rsidRDefault="00CA5858" w:rsidP="00CA5858">
      <w:pPr>
        <w:ind w:left="851" w:hanging="851"/>
        <w:rPr>
          <w:sz w:val="24"/>
          <w:szCs w:val="24"/>
        </w:rPr>
      </w:pPr>
    </w:p>
    <w:p w:rsidR="00BE5496" w:rsidRPr="00B957E7" w:rsidRDefault="00BE5496" w:rsidP="00BE5496">
      <w:pPr>
        <w:ind w:left="851"/>
        <w:rPr>
          <w:sz w:val="24"/>
          <w:szCs w:val="24"/>
          <w:u w:val="single"/>
        </w:rPr>
      </w:pPr>
      <w:r w:rsidRPr="00B957E7">
        <w:rPr>
          <w:sz w:val="24"/>
          <w:szCs w:val="24"/>
          <w:u w:val="single"/>
        </w:rPr>
        <w:lastRenderedPageBreak/>
        <w:t>Hydroxychloroquin og chloroquin</w:t>
      </w:r>
    </w:p>
    <w:p w:rsidR="00BE5496" w:rsidRPr="00B957E7" w:rsidRDefault="00BE5496" w:rsidP="00B957E7">
      <w:pPr>
        <w:ind w:left="851"/>
        <w:rPr>
          <w:sz w:val="24"/>
          <w:szCs w:val="24"/>
        </w:rPr>
      </w:pPr>
      <w:r w:rsidRPr="00B957E7">
        <w:rPr>
          <w:sz w:val="24"/>
          <w:szCs w:val="24"/>
        </w:rPr>
        <w:t>Clarithromycin bør anvendes med forsigtighed hos patienter, som får disse lægemidler, der vides at forlænge QT-intervallet på grund af risikoen for at fremkalde hjertearytmi og alvorlige kardiovaskulære bivirkninger.</w:t>
      </w:r>
    </w:p>
    <w:p w:rsidR="00BE5496" w:rsidRPr="00B957E7" w:rsidRDefault="00BE5496" w:rsidP="00BE5496">
      <w:pPr>
        <w:ind w:left="851" w:hanging="851"/>
        <w:rPr>
          <w:sz w:val="24"/>
          <w:szCs w:val="24"/>
        </w:rPr>
      </w:pPr>
    </w:p>
    <w:p w:rsidR="00CA5858" w:rsidRPr="00DC1B15" w:rsidRDefault="00CA5858" w:rsidP="00CA5858">
      <w:pPr>
        <w:ind w:left="851"/>
        <w:rPr>
          <w:b/>
          <w:sz w:val="24"/>
          <w:szCs w:val="24"/>
        </w:rPr>
      </w:pPr>
      <w:r w:rsidRPr="00DC1B15">
        <w:rPr>
          <w:b/>
          <w:sz w:val="24"/>
          <w:szCs w:val="24"/>
        </w:rPr>
        <w:t>Bidirektionelle lægemiddelinteraktioner</w:t>
      </w:r>
    </w:p>
    <w:p w:rsidR="00CA5858" w:rsidRPr="005A561F" w:rsidRDefault="00CA5858" w:rsidP="00CA5858">
      <w:pPr>
        <w:ind w:left="851" w:hanging="851"/>
        <w:rPr>
          <w:sz w:val="24"/>
          <w:szCs w:val="24"/>
        </w:rPr>
      </w:pPr>
    </w:p>
    <w:p w:rsidR="00CA5858" w:rsidRPr="005A561F" w:rsidRDefault="00CA5858" w:rsidP="00CA5858">
      <w:pPr>
        <w:ind w:left="851"/>
        <w:rPr>
          <w:sz w:val="24"/>
          <w:szCs w:val="24"/>
          <w:u w:val="single"/>
        </w:rPr>
      </w:pPr>
      <w:r w:rsidRPr="005A561F">
        <w:rPr>
          <w:sz w:val="24"/>
          <w:szCs w:val="24"/>
          <w:u w:val="single"/>
        </w:rPr>
        <w:t>Atazanavir</w:t>
      </w:r>
    </w:p>
    <w:p w:rsidR="00A1298B" w:rsidRDefault="00CA5858" w:rsidP="00CA5858">
      <w:pPr>
        <w:ind w:left="851"/>
        <w:rPr>
          <w:sz w:val="24"/>
          <w:szCs w:val="24"/>
        </w:rPr>
      </w:pPr>
      <w:r w:rsidRPr="005A561F">
        <w:rPr>
          <w:sz w:val="24"/>
          <w:szCs w:val="24"/>
        </w:rPr>
        <w:t xml:space="preserve">Både clarithromycin og atazanavir er substrater og hæmmere af CYP3A, og der er tegn på en bidirektionel lægemiddelinteraktion. Samtidig administration af clarithromycin (500 mg 2 gange </w:t>
      </w:r>
      <w:r w:rsidR="00EE71BF">
        <w:rPr>
          <w:sz w:val="24"/>
          <w:szCs w:val="24"/>
        </w:rPr>
        <w:t>daglig</w:t>
      </w:r>
      <w:r w:rsidRPr="005A561F">
        <w:rPr>
          <w:sz w:val="24"/>
          <w:szCs w:val="24"/>
        </w:rPr>
        <w:t xml:space="preserve">) og atazanavir (400 mg 1 gang </w:t>
      </w:r>
      <w:r w:rsidR="00EE71BF">
        <w:rPr>
          <w:sz w:val="24"/>
          <w:szCs w:val="24"/>
        </w:rPr>
        <w:t>daglig</w:t>
      </w:r>
      <w:r w:rsidRPr="005A561F">
        <w:rPr>
          <w:sz w:val="24"/>
          <w:szCs w:val="24"/>
        </w:rPr>
        <w:t>) resulterede i en fordobling af eksponeringen for clarithromycin og et fald på 70 % i forekomsten af 14-OH-clarithromycin med en stigning på 28 % i atazanavirs AUC.</w:t>
      </w:r>
    </w:p>
    <w:p w:rsidR="00A1298B" w:rsidRDefault="00CA5858" w:rsidP="00CA5858">
      <w:pPr>
        <w:ind w:left="851"/>
        <w:rPr>
          <w:sz w:val="24"/>
          <w:szCs w:val="24"/>
        </w:rPr>
      </w:pPr>
      <w:r w:rsidRPr="005A561F">
        <w:rPr>
          <w:sz w:val="24"/>
          <w:szCs w:val="24"/>
        </w:rPr>
        <w:t>Da det terapeutiske vindue for clarithromycin er stort, vil det ikke være nødvendigt med en nedsættelse af dosis hos patienter med normal nyrefunktion. Patienter med moderat nyrefunktion (kreatininclearance på 30 til 60 ml/min) skal have clarithromycindosis nedsat med 50 %.</w:t>
      </w:r>
    </w:p>
    <w:p w:rsidR="008D07EF" w:rsidRDefault="00CA5858" w:rsidP="00CA5858">
      <w:pPr>
        <w:ind w:left="851"/>
        <w:rPr>
          <w:sz w:val="24"/>
          <w:szCs w:val="24"/>
        </w:rPr>
      </w:pPr>
      <w:r w:rsidRPr="005A561F">
        <w:rPr>
          <w:sz w:val="24"/>
          <w:szCs w:val="24"/>
        </w:rPr>
        <w:t>Patienter med en kreatininclearance på &lt;30 ml/min skal have clarithromycindosis nedsat med 75 %, og der skal anvendes en passende clarithromycinformulering.</w:t>
      </w:r>
    </w:p>
    <w:p w:rsidR="00CA5858" w:rsidRPr="005A561F" w:rsidRDefault="00CA5858" w:rsidP="00CA5858">
      <w:pPr>
        <w:ind w:left="851"/>
        <w:rPr>
          <w:sz w:val="24"/>
          <w:szCs w:val="24"/>
        </w:rPr>
      </w:pPr>
      <w:r w:rsidRPr="005A561F">
        <w:rPr>
          <w:sz w:val="24"/>
          <w:szCs w:val="24"/>
        </w:rPr>
        <w:t>Clarithromycindoser, der er større end 1.000 mg pr. dag bør ikke administreres sammen med proteasehæmmere.</w:t>
      </w:r>
    </w:p>
    <w:p w:rsidR="00CA5858" w:rsidRPr="005A561F" w:rsidRDefault="00CA5858" w:rsidP="00CA5858">
      <w:pPr>
        <w:ind w:left="851"/>
        <w:rPr>
          <w:sz w:val="24"/>
          <w:szCs w:val="24"/>
        </w:rPr>
      </w:pPr>
    </w:p>
    <w:p w:rsidR="00CA5858" w:rsidRPr="005A561F" w:rsidRDefault="00CA5858" w:rsidP="00CA5858">
      <w:pPr>
        <w:ind w:left="851"/>
        <w:rPr>
          <w:sz w:val="24"/>
          <w:szCs w:val="24"/>
          <w:u w:val="single"/>
        </w:rPr>
      </w:pPr>
      <w:r w:rsidRPr="005A561F">
        <w:rPr>
          <w:sz w:val="24"/>
          <w:szCs w:val="24"/>
          <w:u w:val="single"/>
        </w:rPr>
        <w:t>Calciumkanalblokkere</w:t>
      </w:r>
    </w:p>
    <w:p w:rsidR="00CA5858" w:rsidRPr="005A561F" w:rsidRDefault="00CA5858" w:rsidP="00CA5858">
      <w:pPr>
        <w:ind w:left="851"/>
        <w:rPr>
          <w:sz w:val="24"/>
          <w:szCs w:val="24"/>
        </w:rPr>
      </w:pPr>
      <w:r w:rsidRPr="005A561F">
        <w:rPr>
          <w:sz w:val="24"/>
          <w:szCs w:val="24"/>
        </w:rPr>
        <w:t>Der skal udvises forsigtighed ved samtidig administration af clarithromycin og calciumkanalblokkere, der metaboliseres af CYP3A4 (</w:t>
      </w:r>
      <w:r w:rsidR="0051299C">
        <w:rPr>
          <w:sz w:val="24"/>
          <w:szCs w:val="24"/>
        </w:rPr>
        <w:t>f.eks.</w:t>
      </w:r>
      <w:r w:rsidRPr="005A561F">
        <w:rPr>
          <w:sz w:val="24"/>
          <w:szCs w:val="24"/>
        </w:rPr>
        <w:t xml:space="preserve"> verapamil, amlodipin, diltiazem) på grund af risiko for hypotension. Clarithromycins og calciumkanalblokkernes plasmakoncentrationen kan blive forøget af interaktionen. Hypotension, bradyarytmier og laktacidose er observeret hos patienter, som tog clarithromycin og verapamil samtidig. </w:t>
      </w:r>
    </w:p>
    <w:p w:rsidR="00CA5858" w:rsidRPr="005A561F" w:rsidRDefault="00CA5858" w:rsidP="00CA5858">
      <w:pPr>
        <w:ind w:left="851"/>
        <w:rPr>
          <w:sz w:val="24"/>
          <w:szCs w:val="24"/>
        </w:rPr>
      </w:pPr>
    </w:p>
    <w:p w:rsidR="00CA5858" w:rsidRPr="005A561F" w:rsidRDefault="00CA5858" w:rsidP="00CA5858">
      <w:pPr>
        <w:ind w:left="851"/>
        <w:rPr>
          <w:sz w:val="24"/>
          <w:szCs w:val="24"/>
          <w:u w:val="single"/>
        </w:rPr>
      </w:pPr>
      <w:r w:rsidRPr="005A561F">
        <w:rPr>
          <w:sz w:val="24"/>
          <w:szCs w:val="24"/>
          <w:u w:val="single"/>
        </w:rPr>
        <w:t xml:space="preserve">Itraconazol </w:t>
      </w:r>
    </w:p>
    <w:p w:rsidR="00CA5858" w:rsidRPr="005A561F" w:rsidRDefault="00CA5858" w:rsidP="00CA5858">
      <w:pPr>
        <w:ind w:left="851"/>
        <w:rPr>
          <w:sz w:val="24"/>
          <w:szCs w:val="24"/>
        </w:rPr>
      </w:pPr>
      <w:r w:rsidRPr="005A561F">
        <w:rPr>
          <w:sz w:val="24"/>
          <w:szCs w:val="24"/>
        </w:rPr>
        <w:t xml:space="preserve">Både clarithromycin og itraconazol er CYP3A-substrater og -hæmmere, der fører til en bidirektionel lægemiddelinteraktion. Clarithromycin kan forhøje plasmaniveauet af itraconazol, og itraconazol kan forhøje plasmaniveauet af clarithromycin. Patienter, der tager itraconazol og clarithromycin samtidig, bør overvåges nøje for tegn og symptomer på øgede eller forlængede farmakologiske virkninger. </w:t>
      </w:r>
    </w:p>
    <w:p w:rsidR="00CA5858" w:rsidRPr="005A561F" w:rsidRDefault="00CA5858" w:rsidP="00CA5858">
      <w:pPr>
        <w:ind w:left="851" w:hanging="851"/>
        <w:rPr>
          <w:sz w:val="24"/>
          <w:szCs w:val="24"/>
        </w:rPr>
      </w:pPr>
    </w:p>
    <w:p w:rsidR="00CA5858" w:rsidRPr="005A561F" w:rsidRDefault="00CA5858" w:rsidP="00CA5858">
      <w:pPr>
        <w:ind w:left="851"/>
        <w:rPr>
          <w:sz w:val="24"/>
          <w:szCs w:val="24"/>
          <w:u w:val="single"/>
        </w:rPr>
      </w:pPr>
      <w:r w:rsidRPr="005A561F">
        <w:rPr>
          <w:sz w:val="24"/>
          <w:szCs w:val="24"/>
          <w:u w:val="single"/>
        </w:rPr>
        <w:t>Saquinavir</w:t>
      </w:r>
    </w:p>
    <w:p w:rsidR="00CA5858" w:rsidRPr="005A561F" w:rsidRDefault="00CA5858" w:rsidP="00CA5858">
      <w:pPr>
        <w:ind w:left="851"/>
        <w:rPr>
          <w:sz w:val="24"/>
          <w:szCs w:val="24"/>
        </w:rPr>
      </w:pPr>
      <w:r w:rsidRPr="005A561F">
        <w:rPr>
          <w:sz w:val="24"/>
          <w:szCs w:val="24"/>
        </w:rPr>
        <w:t xml:space="preserve">Både clarithromycin og saquinavir er CYP3A-substrater og -hæmmere, og der er tegn på en bidirektionel lægemiddelinteraktion. Samtidig administration af clarithromycin (500 mg 2 gange </w:t>
      </w:r>
      <w:r w:rsidR="00EE71BF">
        <w:rPr>
          <w:sz w:val="24"/>
          <w:szCs w:val="24"/>
        </w:rPr>
        <w:t>daglig</w:t>
      </w:r>
      <w:r w:rsidRPr="005A561F">
        <w:rPr>
          <w:sz w:val="24"/>
          <w:szCs w:val="24"/>
        </w:rPr>
        <w:t xml:space="preserve">) og saquinavir (bløde gelatinekapsler, 1.200 mg 3 gange </w:t>
      </w:r>
      <w:r w:rsidR="00EE71BF">
        <w:rPr>
          <w:sz w:val="24"/>
          <w:szCs w:val="24"/>
        </w:rPr>
        <w:t>daglig</w:t>
      </w:r>
      <w:r w:rsidRPr="005A561F">
        <w:rPr>
          <w:sz w:val="24"/>
          <w:szCs w:val="24"/>
        </w:rPr>
        <w:t xml:space="preserve">) til 12 raske frivillige forsøgspersoner resulterede i et </w:t>
      </w:r>
      <w:r w:rsidRPr="005A561F">
        <w:rPr>
          <w:i/>
          <w:sz w:val="24"/>
          <w:szCs w:val="24"/>
        </w:rPr>
        <w:t>steady-state</w:t>
      </w:r>
      <w:r w:rsidRPr="005A561F">
        <w:rPr>
          <w:sz w:val="24"/>
          <w:szCs w:val="24"/>
        </w:rPr>
        <w:t>-AUC og -C</w:t>
      </w:r>
      <w:r w:rsidRPr="005A561F">
        <w:rPr>
          <w:sz w:val="24"/>
          <w:szCs w:val="24"/>
          <w:vertAlign w:val="subscript"/>
        </w:rPr>
        <w:t>max</w:t>
      </w:r>
      <w:r w:rsidRPr="005A561F">
        <w:rPr>
          <w:sz w:val="24"/>
          <w:szCs w:val="24"/>
        </w:rPr>
        <w:t xml:space="preserve"> for saquinavir, som var 177 % og 187 % højere end de, der sås for saquinavir alene. AUC- og C</w:t>
      </w:r>
      <w:r w:rsidRPr="005A561F">
        <w:rPr>
          <w:sz w:val="24"/>
          <w:szCs w:val="24"/>
          <w:vertAlign w:val="subscript"/>
        </w:rPr>
        <w:t>max</w:t>
      </w:r>
      <w:r w:rsidRPr="005A561F">
        <w:rPr>
          <w:sz w:val="24"/>
          <w:szCs w:val="24"/>
        </w:rPr>
        <w:t xml:space="preserve">-værdierne for clarithromycin var cirka 40 % højere end dem, der sås for clarithromycin alene. Dosisjustering er ikke nødvendig, når de to lægemidler administreres samtidig i en begrænset periode ved de undersøgte doser/formuleringer. Observationer fra lægemiddelinteraktionsstudier, hvor der er anvendt bløde gelatinekapsler, er muligvis ikke repræsentative for de virkninger, der ses ved anvendelse af saquinavir, hårde gelatinekapsler. Observationer fra lægemiddelinteraktionsstudier med saquinavir alene er muligvis ikke repræsentative for den effekt, der ses ved saquinavir/ritonavirbehandling. Når saquinavir administreres sammen med ritonavir, bør der tages hensyn til ritonavirs potentielle virkninger på </w:t>
      </w:r>
      <w:r w:rsidR="008D07EF" w:rsidRPr="005A561F">
        <w:rPr>
          <w:sz w:val="24"/>
          <w:szCs w:val="24"/>
        </w:rPr>
        <w:t>clarithromycin</w:t>
      </w:r>
      <w:r w:rsidR="008D07EF">
        <w:rPr>
          <w:sz w:val="24"/>
          <w:szCs w:val="24"/>
        </w:rPr>
        <w:t xml:space="preserve"> (se pkt. 4.5)</w:t>
      </w:r>
      <w:r w:rsidRPr="005A561F">
        <w:rPr>
          <w:sz w:val="24"/>
          <w:szCs w:val="24"/>
        </w:rPr>
        <w:t xml:space="preserve">. </w:t>
      </w:r>
    </w:p>
    <w:p w:rsidR="00CA5858" w:rsidRDefault="00982F46" w:rsidP="00982F46">
      <w:pPr>
        <w:tabs>
          <w:tab w:val="left" w:pos="2360"/>
        </w:tabs>
        <w:ind w:left="851" w:hanging="851"/>
        <w:rPr>
          <w:sz w:val="24"/>
          <w:szCs w:val="24"/>
        </w:rPr>
      </w:pPr>
      <w:r>
        <w:rPr>
          <w:sz w:val="24"/>
          <w:szCs w:val="24"/>
        </w:rPr>
        <w:lastRenderedPageBreak/>
        <w:tab/>
      </w:r>
    </w:p>
    <w:p w:rsidR="00FE7AA5" w:rsidRPr="00FC3E09" w:rsidRDefault="00FE7AA5" w:rsidP="00FE7AA5">
      <w:pPr>
        <w:ind w:left="851"/>
        <w:rPr>
          <w:sz w:val="24"/>
          <w:szCs w:val="24"/>
          <w:u w:val="single"/>
        </w:rPr>
      </w:pPr>
      <w:r w:rsidRPr="00FC3E09">
        <w:rPr>
          <w:sz w:val="24"/>
          <w:szCs w:val="24"/>
          <w:u w:val="single"/>
        </w:rPr>
        <w:t>Orale antikonceptionsmidler</w:t>
      </w:r>
    </w:p>
    <w:p w:rsidR="00CA5858" w:rsidRPr="005A561F" w:rsidRDefault="00CA5858" w:rsidP="00CA5858">
      <w:pPr>
        <w:ind w:left="851"/>
        <w:rPr>
          <w:sz w:val="24"/>
          <w:szCs w:val="24"/>
        </w:rPr>
      </w:pPr>
      <w:r w:rsidRPr="005A561F">
        <w:rPr>
          <w:sz w:val="24"/>
          <w:szCs w:val="24"/>
        </w:rPr>
        <w:t>Clarithromycin har vist sig ikke at interagere med orale antikonceptionsmidler.</w:t>
      </w:r>
    </w:p>
    <w:p w:rsidR="00CA5858" w:rsidRPr="005A561F" w:rsidRDefault="00CA5858" w:rsidP="00CA5858">
      <w:pPr>
        <w:ind w:left="851" w:hanging="851"/>
        <w:rPr>
          <w:sz w:val="24"/>
          <w:szCs w:val="24"/>
        </w:rPr>
      </w:pPr>
    </w:p>
    <w:p w:rsidR="00F26B82" w:rsidRPr="00C84483" w:rsidRDefault="00F26B82" w:rsidP="00F26B82">
      <w:pPr>
        <w:tabs>
          <w:tab w:val="left" w:pos="851"/>
        </w:tabs>
        <w:ind w:left="851" w:hanging="851"/>
        <w:rPr>
          <w:b/>
          <w:sz w:val="24"/>
          <w:szCs w:val="24"/>
        </w:rPr>
      </w:pPr>
      <w:r w:rsidRPr="00C84483">
        <w:rPr>
          <w:b/>
          <w:sz w:val="24"/>
          <w:szCs w:val="24"/>
        </w:rPr>
        <w:t>4.6</w:t>
      </w:r>
      <w:r w:rsidRPr="00C84483">
        <w:rPr>
          <w:b/>
          <w:sz w:val="24"/>
          <w:szCs w:val="24"/>
        </w:rPr>
        <w:tab/>
      </w:r>
      <w:r w:rsidR="00FE7AA5">
        <w:rPr>
          <w:b/>
          <w:sz w:val="24"/>
          <w:szCs w:val="24"/>
        </w:rPr>
        <w:t>Fertilitet, g</w:t>
      </w:r>
      <w:r w:rsidRPr="00C84483">
        <w:rPr>
          <w:b/>
          <w:sz w:val="24"/>
          <w:szCs w:val="24"/>
        </w:rPr>
        <w:t>raviditet og amning</w:t>
      </w:r>
    </w:p>
    <w:p w:rsidR="00CA5858" w:rsidRPr="005A561F" w:rsidRDefault="00CA5858" w:rsidP="00CA5858">
      <w:pPr>
        <w:ind w:left="851"/>
        <w:rPr>
          <w:sz w:val="24"/>
          <w:szCs w:val="24"/>
          <w:u w:val="single"/>
        </w:rPr>
      </w:pPr>
    </w:p>
    <w:p w:rsidR="00CA5858" w:rsidRPr="005A561F" w:rsidRDefault="00CA5858" w:rsidP="00CA5858">
      <w:pPr>
        <w:ind w:left="851"/>
        <w:rPr>
          <w:sz w:val="24"/>
          <w:szCs w:val="24"/>
          <w:u w:val="single"/>
        </w:rPr>
      </w:pPr>
      <w:r w:rsidRPr="005A561F">
        <w:rPr>
          <w:sz w:val="24"/>
          <w:szCs w:val="24"/>
          <w:u w:val="single"/>
        </w:rPr>
        <w:t>Graviditet</w:t>
      </w:r>
    </w:p>
    <w:p w:rsidR="007F57B9" w:rsidRPr="007F57B9" w:rsidRDefault="007F57B9" w:rsidP="007F57B9">
      <w:pPr>
        <w:ind w:left="851"/>
        <w:rPr>
          <w:sz w:val="24"/>
          <w:szCs w:val="24"/>
        </w:rPr>
      </w:pPr>
      <w:r w:rsidRPr="007F57B9">
        <w:rPr>
          <w:sz w:val="24"/>
          <w:szCs w:val="24"/>
        </w:rPr>
        <w:t xml:space="preserve">Sikkerheden ved brug af clarithromycin under graviditet er ikke fastlagt. Baseret på forskellige resultater opnået fra dyreforsøg og erfaringer hos mennesker, kan muligheden for bivirkninger på den embryoføtale udvikling ikke udelukkes. Nogle observationsstudier, der vurderer eksponering for clarithromycin i første og andet trimester, har rapporteret en øget risiko for spontan abort sammenlignet med ingen brug af antibiotika eller anden anvendelse af antibiotika i samme periode. De tilgængelige epidemiologiske undersøgelser af risikoen for større medfødte malformationer ved anvendelse af makrolider indeholdende clarithromycin under graviditet giver modstridende resultater. </w:t>
      </w:r>
    </w:p>
    <w:p w:rsidR="007F57B9" w:rsidRPr="007F57B9" w:rsidRDefault="007F57B9" w:rsidP="007F57B9">
      <w:pPr>
        <w:ind w:left="851"/>
        <w:rPr>
          <w:sz w:val="24"/>
          <w:szCs w:val="24"/>
        </w:rPr>
      </w:pPr>
      <w:r w:rsidRPr="007F57B9">
        <w:rPr>
          <w:sz w:val="24"/>
          <w:szCs w:val="24"/>
        </w:rPr>
        <w:t>Derfor frarådes brug under graviditet uden nøje at afveje fordelene op mod risici.</w:t>
      </w:r>
    </w:p>
    <w:p w:rsidR="007F57B9" w:rsidRPr="007F57B9" w:rsidRDefault="007F57B9" w:rsidP="00771DC5">
      <w:pPr>
        <w:ind w:left="851"/>
        <w:rPr>
          <w:b/>
          <w:bCs/>
          <w:sz w:val="24"/>
          <w:szCs w:val="24"/>
        </w:rPr>
      </w:pPr>
    </w:p>
    <w:p w:rsidR="00CA5858" w:rsidRPr="005A561F" w:rsidRDefault="00CA5858" w:rsidP="00CA5858">
      <w:pPr>
        <w:ind w:left="851"/>
        <w:rPr>
          <w:sz w:val="24"/>
          <w:szCs w:val="24"/>
          <w:u w:val="single"/>
        </w:rPr>
      </w:pPr>
      <w:r w:rsidRPr="005A561F">
        <w:rPr>
          <w:sz w:val="24"/>
          <w:szCs w:val="24"/>
          <w:u w:val="single"/>
        </w:rPr>
        <w:t>Amning</w:t>
      </w:r>
    </w:p>
    <w:p w:rsidR="00771DC5" w:rsidRPr="00771DC5" w:rsidRDefault="00771DC5" w:rsidP="00771DC5">
      <w:pPr>
        <w:ind w:left="851"/>
        <w:rPr>
          <w:sz w:val="24"/>
          <w:szCs w:val="24"/>
        </w:rPr>
      </w:pPr>
      <w:r w:rsidRPr="00771DC5">
        <w:rPr>
          <w:sz w:val="24"/>
          <w:szCs w:val="24"/>
        </w:rPr>
        <w:t>Sikkerheden for anvendelse af clarithromycin under amning af spædbørn er ikke fastlagt. Clarithromycin udskilles i human modermælk i små mængder. Det estimeres, at et barn, der fuldammes, indtager omkring 1,7 % af morens vægtjusterede dosis af clarithromycin. Clarithromycin bør ikke anvendes i ammeperioden.</w:t>
      </w:r>
    </w:p>
    <w:p w:rsidR="00CA5858" w:rsidRPr="005A561F" w:rsidRDefault="00CA5858" w:rsidP="00CA5858">
      <w:pPr>
        <w:ind w:left="851" w:hanging="851"/>
        <w:rPr>
          <w:sz w:val="24"/>
          <w:szCs w:val="24"/>
        </w:rPr>
      </w:pPr>
      <w:r w:rsidRPr="005A561F">
        <w:rPr>
          <w:sz w:val="24"/>
          <w:szCs w:val="24"/>
        </w:rPr>
        <w:tab/>
      </w:r>
    </w:p>
    <w:p w:rsidR="00CA5858" w:rsidRPr="005A561F" w:rsidRDefault="00CA5858" w:rsidP="00CA5858">
      <w:pPr>
        <w:ind w:left="851"/>
        <w:rPr>
          <w:sz w:val="24"/>
          <w:szCs w:val="24"/>
          <w:u w:val="single"/>
        </w:rPr>
      </w:pPr>
      <w:r w:rsidRPr="005A561F">
        <w:rPr>
          <w:sz w:val="24"/>
          <w:szCs w:val="24"/>
          <w:u w:val="single"/>
        </w:rPr>
        <w:t>Fertilitet</w:t>
      </w:r>
    </w:p>
    <w:p w:rsidR="0042013F" w:rsidRPr="005A561F" w:rsidRDefault="0042013F" w:rsidP="0042013F">
      <w:pPr>
        <w:ind w:left="851"/>
        <w:rPr>
          <w:sz w:val="24"/>
          <w:szCs w:val="24"/>
        </w:rPr>
      </w:pPr>
      <w:r w:rsidRPr="005A561F">
        <w:rPr>
          <w:sz w:val="24"/>
          <w:szCs w:val="24"/>
        </w:rPr>
        <w:t xml:space="preserve">Der foreligger ingen fertilitetsdata fra brug af clarithromycin til mennesker. </w:t>
      </w:r>
      <w:r>
        <w:rPr>
          <w:sz w:val="24"/>
          <w:szCs w:val="24"/>
        </w:rPr>
        <w:t>Fertilitetsstudier i rotter har ikke vist nogen skadelig effekt</w:t>
      </w:r>
      <w:r w:rsidRPr="005A561F">
        <w:rPr>
          <w:sz w:val="24"/>
          <w:szCs w:val="24"/>
        </w:rPr>
        <w:t>.</w:t>
      </w:r>
    </w:p>
    <w:p w:rsidR="00CA5858" w:rsidRPr="005A561F" w:rsidRDefault="00CA5858" w:rsidP="00CA5858">
      <w:pPr>
        <w:ind w:left="851"/>
        <w:rPr>
          <w:sz w:val="24"/>
          <w:szCs w:val="24"/>
        </w:rPr>
      </w:pPr>
    </w:p>
    <w:p w:rsidR="00F26B82" w:rsidRPr="00C84483" w:rsidRDefault="00F26B82" w:rsidP="00F26B82">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42013F">
        <w:rPr>
          <w:b/>
          <w:sz w:val="24"/>
          <w:szCs w:val="24"/>
        </w:rPr>
        <w:t>og</w:t>
      </w:r>
      <w:r w:rsidRPr="00C84483">
        <w:rPr>
          <w:b/>
          <w:sz w:val="24"/>
          <w:szCs w:val="24"/>
        </w:rPr>
        <w:t xml:space="preserve"> betjene maskiner</w:t>
      </w:r>
    </w:p>
    <w:p w:rsidR="00CA5858" w:rsidRPr="005A561F" w:rsidRDefault="00CA5858" w:rsidP="00CA5858">
      <w:pPr>
        <w:ind w:left="851" w:hanging="851"/>
        <w:rPr>
          <w:sz w:val="24"/>
          <w:szCs w:val="24"/>
        </w:rPr>
      </w:pPr>
      <w:r w:rsidRPr="005A561F">
        <w:rPr>
          <w:sz w:val="24"/>
          <w:szCs w:val="24"/>
        </w:rPr>
        <w:tab/>
        <w:t>Ikke mærkning.</w:t>
      </w:r>
    </w:p>
    <w:p w:rsidR="00CA5858" w:rsidRPr="005A561F" w:rsidRDefault="00CA5858" w:rsidP="00CA5858">
      <w:pPr>
        <w:ind w:left="851"/>
        <w:rPr>
          <w:sz w:val="24"/>
          <w:szCs w:val="24"/>
        </w:rPr>
      </w:pPr>
      <w:r w:rsidRPr="005A561F">
        <w:rPr>
          <w:sz w:val="24"/>
          <w:szCs w:val="24"/>
        </w:rPr>
        <w:t>Der er ikke tilgængelige data vedrørende clarithromycins virkning på evnen til at føre motorkøretøj og betjene maskiner. Ved udøvelsen af disse aktiviteter bør der tages højde for forekomsten af bivirkninger som svimmelhed, vertigo, konfusion og manglende evne til at orientere sig.</w:t>
      </w:r>
    </w:p>
    <w:p w:rsidR="00CA5858" w:rsidRPr="005A561F" w:rsidRDefault="00CA5858" w:rsidP="00CA5858">
      <w:pPr>
        <w:ind w:left="851" w:hanging="851"/>
        <w:rPr>
          <w:sz w:val="24"/>
          <w:szCs w:val="24"/>
        </w:rPr>
      </w:pPr>
    </w:p>
    <w:p w:rsidR="00F26B82" w:rsidRPr="00C84483" w:rsidRDefault="00F26B82" w:rsidP="00F26B82">
      <w:pPr>
        <w:tabs>
          <w:tab w:val="left" w:pos="851"/>
        </w:tabs>
        <w:ind w:left="851" w:hanging="851"/>
        <w:rPr>
          <w:b/>
          <w:sz w:val="24"/>
          <w:szCs w:val="24"/>
        </w:rPr>
      </w:pPr>
      <w:r w:rsidRPr="00C84483">
        <w:rPr>
          <w:b/>
          <w:sz w:val="24"/>
          <w:szCs w:val="24"/>
        </w:rPr>
        <w:t>4.8</w:t>
      </w:r>
      <w:r w:rsidRPr="00C84483">
        <w:rPr>
          <w:b/>
          <w:sz w:val="24"/>
          <w:szCs w:val="24"/>
        </w:rPr>
        <w:tab/>
        <w:t>Bivirkninger</w:t>
      </w:r>
    </w:p>
    <w:p w:rsidR="00C85606" w:rsidRDefault="00C85606" w:rsidP="00CA5858">
      <w:pPr>
        <w:ind w:left="851"/>
        <w:rPr>
          <w:b/>
          <w:i/>
          <w:sz w:val="24"/>
          <w:szCs w:val="24"/>
        </w:rPr>
      </w:pPr>
    </w:p>
    <w:p w:rsidR="00CA5858" w:rsidRPr="005A561F" w:rsidRDefault="00CA5858" w:rsidP="00CA5858">
      <w:pPr>
        <w:ind w:left="851"/>
        <w:rPr>
          <w:b/>
          <w:i/>
          <w:sz w:val="24"/>
          <w:szCs w:val="24"/>
        </w:rPr>
      </w:pPr>
      <w:r w:rsidRPr="005A561F">
        <w:rPr>
          <w:b/>
          <w:i/>
          <w:sz w:val="24"/>
          <w:szCs w:val="24"/>
        </w:rPr>
        <w:t>a. Referat af sikkerhedsprofil</w:t>
      </w:r>
    </w:p>
    <w:p w:rsidR="00CA5858" w:rsidRPr="005A561F" w:rsidRDefault="00CA5858" w:rsidP="00CA5858">
      <w:pPr>
        <w:ind w:left="851"/>
        <w:rPr>
          <w:sz w:val="24"/>
          <w:szCs w:val="24"/>
        </w:rPr>
      </w:pPr>
      <w:r w:rsidRPr="005A561F">
        <w:rPr>
          <w:sz w:val="24"/>
          <w:szCs w:val="24"/>
        </w:rPr>
        <w:t>De mest hyppige og almindelige bivirkninger forbundet med clarithromycinbehandling hos både voksne og den pædiatriske population er mavesmerter, diarre, kvalme, opkastning og smagsforstyrrelser. Bivirkningerne er sædvanligvis milde og er i overensstemmelse med den kendte sikkerhedsprofil for makrolidantiobiotika (se pkt. b i pkt. 4.8).</w:t>
      </w:r>
    </w:p>
    <w:p w:rsidR="00CA5858" w:rsidRPr="005A561F" w:rsidRDefault="00CA5858" w:rsidP="00CA5858">
      <w:pPr>
        <w:ind w:left="851" w:hanging="851"/>
        <w:rPr>
          <w:sz w:val="24"/>
          <w:szCs w:val="24"/>
        </w:rPr>
      </w:pPr>
    </w:p>
    <w:p w:rsidR="00CA5858" w:rsidRPr="005A561F" w:rsidRDefault="00CA5858" w:rsidP="00CA5858">
      <w:pPr>
        <w:ind w:left="851"/>
        <w:rPr>
          <w:sz w:val="24"/>
          <w:szCs w:val="24"/>
        </w:rPr>
      </w:pPr>
      <w:r w:rsidRPr="005A561F">
        <w:rPr>
          <w:sz w:val="24"/>
          <w:szCs w:val="24"/>
        </w:rPr>
        <w:t xml:space="preserve">Der var ingen signifikant forskel i forekomsten af gastrointestinale bivirkninger i de kliniske forsøg hos patienter med og patienter uden eksisterende mykobakterielle infektioner. </w:t>
      </w:r>
    </w:p>
    <w:p w:rsidR="00CA5858" w:rsidRPr="005A561F" w:rsidRDefault="00CA5858" w:rsidP="00CA5858">
      <w:pPr>
        <w:ind w:left="851" w:hanging="851"/>
        <w:rPr>
          <w:b/>
          <w:bCs/>
          <w:i/>
          <w:iCs/>
          <w:sz w:val="24"/>
          <w:szCs w:val="24"/>
        </w:rPr>
      </w:pPr>
    </w:p>
    <w:p w:rsidR="00CA5858" w:rsidRPr="005A561F" w:rsidRDefault="00CA5858" w:rsidP="00CA5858">
      <w:pPr>
        <w:ind w:left="851"/>
        <w:rPr>
          <w:sz w:val="24"/>
          <w:szCs w:val="24"/>
        </w:rPr>
      </w:pPr>
      <w:r w:rsidRPr="005A561F">
        <w:rPr>
          <w:b/>
          <w:i/>
          <w:sz w:val="24"/>
          <w:szCs w:val="24"/>
        </w:rPr>
        <w:t>b. Skematisk oversigt over bivirkninger</w:t>
      </w:r>
    </w:p>
    <w:p w:rsidR="00CA5858" w:rsidRPr="005A561F" w:rsidRDefault="00CA5858" w:rsidP="00CA5858">
      <w:pPr>
        <w:ind w:left="851"/>
        <w:rPr>
          <w:sz w:val="24"/>
          <w:szCs w:val="24"/>
        </w:rPr>
      </w:pPr>
      <w:r w:rsidRPr="005A561F">
        <w:rPr>
          <w:sz w:val="24"/>
          <w:szCs w:val="24"/>
        </w:rPr>
        <w:t xml:space="preserve">Følgende tabel viser de bivirkninger, der blev rapporteret i kliniske forsøg og efter markedsføring for clarithromycintabletter med øjeblikkelig frigivelse, granulat til oral suspension, pulver til injektionsvæske, depottabletter og tabletter med modificeret udløsning. </w:t>
      </w:r>
    </w:p>
    <w:p w:rsidR="00CA5858" w:rsidRPr="005A561F" w:rsidRDefault="00CA5858" w:rsidP="00CA5858">
      <w:pPr>
        <w:ind w:left="851"/>
        <w:rPr>
          <w:sz w:val="24"/>
          <w:szCs w:val="24"/>
        </w:rPr>
      </w:pPr>
    </w:p>
    <w:p w:rsidR="00CA5858" w:rsidRPr="005A561F" w:rsidRDefault="00CA5858" w:rsidP="00CA5858">
      <w:pPr>
        <w:ind w:left="851"/>
        <w:rPr>
          <w:sz w:val="24"/>
          <w:szCs w:val="24"/>
        </w:rPr>
      </w:pPr>
      <w:r w:rsidRPr="005A561F">
        <w:rPr>
          <w:sz w:val="24"/>
          <w:szCs w:val="24"/>
        </w:rPr>
        <w:lastRenderedPageBreak/>
        <w:t xml:space="preserve">De bivirkninger der som minimum muligvis er relaterede til clarithromycin er anført i forhold til systemorganklasse og hyppighed på følgende måde: </w:t>
      </w:r>
      <w:r w:rsidR="00D724DB">
        <w:rPr>
          <w:sz w:val="24"/>
          <w:szCs w:val="24"/>
        </w:rPr>
        <w:t>M</w:t>
      </w:r>
      <w:r w:rsidRPr="005A561F">
        <w:rPr>
          <w:sz w:val="24"/>
          <w:szCs w:val="24"/>
        </w:rPr>
        <w:t xml:space="preserve">eget almindelig (≥1/10), almindelig (≥1/100 til &lt; 1/10), ikke almindelig (≥1/1.000 til &lt; 1/100), sjælden (≥1/10.000 to &lt; 1/1.000), meget sjælden (&lt; 1/10.000) og ikke kendt (bivirkninger efter markedsføring: </w:t>
      </w:r>
      <w:r w:rsidR="00C23F88">
        <w:rPr>
          <w:sz w:val="24"/>
          <w:szCs w:val="24"/>
        </w:rPr>
        <w:t xml:space="preserve">Frekvens </w:t>
      </w:r>
      <w:r w:rsidRPr="005A561F">
        <w:rPr>
          <w:sz w:val="24"/>
          <w:szCs w:val="24"/>
        </w:rPr>
        <w:t xml:space="preserve">kan ikke estimeres ud fra forhåndenværende data).  Inden for hver enkelt frekvensgruppe er bivirkningerne opstillet efter, hvor alvorlige de er. De alvorligste bivirkninger er anført først. </w:t>
      </w:r>
    </w:p>
    <w:p w:rsidR="00CA5858" w:rsidRPr="005A561F" w:rsidRDefault="00CA5858" w:rsidP="00CA5858">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1964"/>
        <w:gridCol w:w="1562"/>
        <w:gridCol w:w="1727"/>
        <w:gridCol w:w="2536"/>
        <w:gridCol w:w="1839"/>
      </w:tblGrid>
      <w:tr w:rsidR="00CA5858" w:rsidRPr="00B957E7" w:rsidTr="007B7134">
        <w:tc>
          <w:tcPr>
            <w:tcW w:w="1020" w:type="pct"/>
            <w:tcBorders>
              <w:top w:val="single" w:sz="4" w:space="0" w:color="auto"/>
              <w:left w:val="single" w:sz="4" w:space="0" w:color="auto"/>
              <w:bottom w:val="single" w:sz="6" w:space="0" w:color="auto"/>
              <w:right w:val="single" w:sz="6" w:space="0" w:color="auto"/>
            </w:tcBorders>
            <w:hideMark/>
          </w:tcPr>
          <w:p w:rsidR="00CA5858" w:rsidRPr="00B957E7" w:rsidRDefault="00CA5858" w:rsidP="00B957E7">
            <w:pPr>
              <w:ind w:left="136"/>
              <w:rPr>
                <w:b/>
                <w:sz w:val="22"/>
                <w:szCs w:val="22"/>
              </w:rPr>
            </w:pPr>
            <w:r w:rsidRPr="00B957E7">
              <w:rPr>
                <w:b/>
                <w:sz w:val="22"/>
                <w:szCs w:val="22"/>
              </w:rPr>
              <w:t xml:space="preserve">Systemorganklasse </w:t>
            </w:r>
          </w:p>
        </w:tc>
        <w:tc>
          <w:tcPr>
            <w:tcW w:w="811" w:type="pct"/>
            <w:tcBorders>
              <w:top w:val="single" w:sz="4" w:space="0" w:color="auto"/>
              <w:left w:val="single" w:sz="6" w:space="0" w:color="auto"/>
              <w:bottom w:val="single" w:sz="6" w:space="0" w:color="auto"/>
              <w:right w:val="single" w:sz="6" w:space="0" w:color="auto"/>
            </w:tcBorders>
            <w:hideMark/>
          </w:tcPr>
          <w:p w:rsidR="00CA5858" w:rsidRPr="00B957E7" w:rsidRDefault="00CA5858" w:rsidP="00B957E7">
            <w:pPr>
              <w:ind w:left="136"/>
              <w:rPr>
                <w:b/>
                <w:sz w:val="22"/>
                <w:szCs w:val="22"/>
              </w:rPr>
            </w:pPr>
            <w:r w:rsidRPr="00B957E7">
              <w:rPr>
                <w:b/>
                <w:sz w:val="22"/>
                <w:szCs w:val="22"/>
              </w:rPr>
              <w:t xml:space="preserve">Meget almindelig </w:t>
            </w:r>
          </w:p>
          <w:p w:rsidR="00CA5858" w:rsidRPr="00B957E7" w:rsidRDefault="00CA5858" w:rsidP="00B957E7">
            <w:pPr>
              <w:ind w:left="136"/>
              <w:rPr>
                <w:b/>
                <w:sz w:val="22"/>
                <w:szCs w:val="22"/>
              </w:rPr>
            </w:pPr>
            <w:r w:rsidRPr="00B957E7">
              <w:rPr>
                <w:b/>
                <w:sz w:val="22"/>
                <w:szCs w:val="22"/>
              </w:rPr>
              <w:t xml:space="preserve">≥ 1/10 </w:t>
            </w:r>
          </w:p>
        </w:tc>
        <w:tc>
          <w:tcPr>
            <w:tcW w:w="897" w:type="pct"/>
            <w:tcBorders>
              <w:top w:val="single" w:sz="4" w:space="0" w:color="auto"/>
              <w:left w:val="single" w:sz="6" w:space="0" w:color="auto"/>
              <w:bottom w:val="single" w:sz="6" w:space="0" w:color="auto"/>
              <w:right w:val="single" w:sz="6" w:space="0" w:color="auto"/>
            </w:tcBorders>
            <w:hideMark/>
          </w:tcPr>
          <w:p w:rsidR="00CA5858" w:rsidRPr="00B957E7" w:rsidRDefault="00CA5858" w:rsidP="00B957E7">
            <w:pPr>
              <w:ind w:left="136"/>
              <w:rPr>
                <w:b/>
                <w:sz w:val="22"/>
                <w:szCs w:val="22"/>
              </w:rPr>
            </w:pPr>
            <w:r w:rsidRPr="00B957E7">
              <w:rPr>
                <w:b/>
                <w:sz w:val="22"/>
                <w:szCs w:val="22"/>
              </w:rPr>
              <w:t xml:space="preserve">Almindelig </w:t>
            </w:r>
          </w:p>
          <w:p w:rsidR="00CA5858" w:rsidRPr="00B957E7" w:rsidRDefault="00CA5858" w:rsidP="00B957E7">
            <w:pPr>
              <w:ind w:left="136"/>
              <w:rPr>
                <w:b/>
                <w:sz w:val="22"/>
                <w:szCs w:val="22"/>
              </w:rPr>
            </w:pPr>
            <w:r w:rsidRPr="00B957E7">
              <w:rPr>
                <w:b/>
                <w:sz w:val="22"/>
                <w:szCs w:val="22"/>
              </w:rPr>
              <w:t xml:space="preserve">≥ 1/100 til &lt; 1/10 </w:t>
            </w:r>
          </w:p>
        </w:tc>
        <w:tc>
          <w:tcPr>
            <w:tcW w:w="1317" w:type="pct"/>
            <w:tcBorders>
              <w:top w:val="single" w:sz="4" w:space="0" w:color="auto"/>
              <w:left w:val="single" w:sz="6" w:space="0" w:color="auto"/>
              <w:bottom w:val="single" w:sz="6" w:space="0" w:color="auto"/>
              <w:right w:val="single" w:sz="6" w:space="0" w:color="auto"/>
            </w:tcBorders>
            <w:hideMark/>
          </w:tcPr>
          <w:p w:rsidR="00CA5858" w:rsidRPr="00B957E7" w:rsidRDefault="00CA5858" w:rsidP="00B957E7">
            <w:pPr>
              <w:ind w:left="136"/>
              <w:rPr>
                <w:b/>
                <w:sz w:val="22"/>
                <w:szCs w:val="22"/>
              </w:rPr>
            </w:pPr>
            <w:r w:rsidRPr="00B957E7">
              <w:rPr>
                <w:b/>
                <w:sz w:val="22"/>
                <w:szCs w:val="22"/>
              </w:rPr>
              <w:t xml:space="preserve">Ikke almindelig </w:t>
            </w:r>
          </w:p>
          <w:p w:rsidR="00CA5858" w:rsidRPr="00B957E7" w:rsidRDefault="00CA5858" w:rsidP="00B957E7">
            <w:pPr>
              <w:ind w:left="136"/>
              <w:rPr>
                <w:b/>
                <w:sz w:val="22"/>
                <w:szCs w:val="22"/>
              </w:rPr>
            </w:pPr>
            <w:r w:rsidRPr="00B957E7">
              <w:rPr>
                <w:b/>
                <w:sz w:val="22"/>
                <w:szCs w:val="22"/>
              </w:rPr>
              <w:t xml:space="preserve">≥ 1/1.000 til &lt; 1/100 </w:t>
            </w:r>
          </w:p>
        </w:tc>
        <w:tc>
          <w:tcPr>
            <w:tcW w:w="955" w:type="pct"/>
            <w:tcBorders>
              <w:top w:val="single" w:sz="4" w:space="0" w:color="auto"/>
              <w:left w:val="single" w:sz="6" w:space="0" w:color="auto"/>
              <w:bottom w:val="single" w:sz="6" w:space="0" w:color="auto"/>
              <w:right w:val="single" w:sz="4" w:space="0" w:color="auto"/>
            </w:tcBorders>
            <w:hideMark/>
          </w:tcPr>
          <w:p w:rsidR="00CA5858" w:rsidRPr="00B957E7" w:rsidRDefault="00CA5858" w:rsidP="00B957E7">
            <w:pPr>
              <w:ind w:left="136"/>
              <w:rPr>
                <w:b/>
                <w:sz w:val="22"/>
                <w:szCs w:val="22"/>
              </w:rPr>
            </w:pPr>
            <w:r w:rsidRPr="00B957E7">
              <w:rPr>
                <w:b/>
                <w:sz w:val="22"/>
                <w:szCs w:val="22"/>
              </w:rPr>
              <w:t>Ikke kendt</w:t>
            </w:r>
          </w:p>
          <w:p w:rsidR="00CA5858" w:rsidRPr="00B957E7" w:rsidRDefault="00CA5858" w:rsidP="00B957E7">
            <w:pPr>
              <w:ind w:left="136"/>
              <w:rPr>
                <w:b/>
                <w:sz w:val="22"/>
                <w:szCs w:val="22"/>
              </w:rPr>
            </w:pPr>
            <w:r w:rsidRPr="00B957E7">
              <w:rPr>
                <w:b/>
                <w:sz w:val="22"/>
                <w:szCs w:val="22"/>
              </w:rPr>
              <w:t xml:space="preserve">(kan ikke estimeres ud fra forhåndenværende data) </w:t>
            </w:r>
          </w:p>
        </w:tc>
      </w:tr>
      <w:tr w:rsidR="00CA5858" w:rsidRPr="00B957E7" w:rsidTr="007B7134">
        <w:tc>
          <w:tcPr>
            <w:tcW w:w="1020" w:type="pct"/>
            <w:tcBorders>
              <w:top w:val="single" w:sz="6" w:space="0" w:color="auto"/>
              <w:left w:val="single" w:sz="4"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 xml:space="preserve">Infektioner og parasitære sygdomme </w:t>
            </w:r>
          </w:p>
        </w:tc>
        <w:tc>
          <w:tcPr>
            <w:tcW w:w="811"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p>
        </w:tc>
        <w:tc>
          <w:tcPr>
            <w:tcW w:w="897"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p>
        </w:tc>
        <w:tc>
          <w:tcPr>
            <w:tcW w:w="1317"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Cellulitis</w:t>
            </w:r>
            <w:r w:rsidRPr="00B957E7">
              <w:rPr>
                <w:sz w:val="22"/>
                <w:szCs w:val="22"/>
                <w:vertAlign w:val="superscript"/>
              </w:rPr>
              <w:t>1</w:t>
            </w:r>
            <w:r w:rsidRPr="00B957E7">
              <w:rPr>
                <w:sz w:val="22"/>
                <w:szCs w:val="22"/>
              </w:rPr>
              <w:t>, candidiasis, gastroenteritis</w:t>
            </w:r>
            <w:r w:rsidRPr="00B957E7">
              <w:rPr>
                <w:sz w:val="22"/>
                <w:szCs w:val="22"/>
                <w:vertAlign w:val="superscript"/>
              </w:rPr>
              <w:t>2</w:t>
            </w:r>
            <w:r w:rsidRPr="00B957E7">
              <w:rPr>
                <w:sz w:val="22"/>
                <w:szCs w:val="22"/>
              </w:rPr>
              <w:t>, infektion</w:t>
            </w:r>
            <w:r w:rsidRPr="00B957E7">
              <w:rPr>
                <w:sz w:val="22"/>
                <w:szCs w:val="22"/>
                <w:vertAlign w:val="superscript"/>
              </w:rPr>
              <w:t>3</w:t>
            </w:r>
            <w:r w:rsidRPr="00B957E7">
              <w:rPr>
                <w:sz w:val="22"/>
                <w:szCs w:val="22"/>
              </w:rPr>
              <w:t xml:space="preserve">, vaginal infektion </w:t>
            </w:r>
          </w:p>
        </w:tc>
        <w:tc>
          <w:tcPr>
            <w:tcW w:w="955" w:type="pct"/>
            <w:tcBorders>
              <w:top w:val="single" w:sz="6" w:space="0" w:color="auto"/>
              <w:left w:val="single" w:sz="6" w:space="0" w:color="auto"/>
              <w:bottom w:val="single" w:sz="6" w:space="0" w:color="auto"/>
              <w:right w:val="single" w:sz="4" w:space="0" w:color="auto"/>
            </w:tcBorders>
            <w:hideMark/>
          </w:tcPr>
          <w:p w:rsidR="00CA5858" w:rsidRPr="00B957E7" w:rsidRDefault="00CA5858" w:rsidP="00B957E7">
            <w:pPr>
              <w:ind w:left="136"/>
              <w:rPr>
                <w:sz w:val="22"/>
                <w:szCs w:val="22"/>
              </w:rPr>
            </w:pPr>
            <w:r w:rsidRPr="00B957E7">
              <w:rPr>
                <w:sz w:val="22"/>
                <w:szCs w:val="22"/>
              </w:rPr>
              <w:t xml:space="preserve">Pseudomembranøs colitis, erysipelas </w:t>
            </w:r>
          </w:p>
        </w:tc>
      </w:tr>
      <w:tr w:rsidR="00CA5858" w:rsidRPr="00B957E7" w:rsidTr="007B7134">
        <w:tc>
          <w:tcPr>
            <w:tcW w:w="1020" w:type="pct"/>
            <w:tcBorders>
              <w:top w:val="single" w:sz="6" w:space="0" w:color="auto"/>
              <w:left w:val="single" w:sz="4"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 xml:space="preserve">Blod og lymfesystem </w:t>
            </w:r>
          </w:p>
        </w:tc>
        <w:tc>
          <w:tcPr>
            <w:tcW w:w="811"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p>
        </w:tc>
        <w:tc>
          <w:tcPr>
            <w:tcW w:w="897"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p>
        </w:tc>
        <w:tc>
          <w:tcPr>
            <w:tcW w:w="1317"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Leukopeni, neutropeni</w:t>
            </w:r>
            <w:r w:rsidRPr="00B957E7">
              <w:rPr>
                <w:sz w:val="22"/>
                <w:szCs w:val="22"/>
                <w:vertAlign w:val="superscript"/>
              </w:rPr>
              <w:t>4</w:t>
            </w:r>
            <w:r w:rsidRPr="00B957E7">
              <w:rPr>
                <w:sz w:val="22"/>
                <w:szCs w:val="22"/>
              </w:rPr>
              <w:t>, thrombocythæmi</w:t>
            </w:r>
            <w:r w:rsidRPr="00B957E7">
              <w:rPr>
                <w:sz w:val="22"/>
                <w:szCs w:val="22"/>
                <w:vertAlign w:val="superscript"/>
              </w:rPr>
              <w:t>3</w:t>
            </w:r>
            <w:r w:rsidRPr="00B957E7">
              <w:rPr>
                <w:sz w:val="22"/>
                <w:szCs w:val="22"/>
              </w:rPr>
              <w:t>, eosinofili</w:t>
            </w:r>
            <w:r w:rsidRPr="00B957E7">
              <w:rPr>
                <w:sz w:val="22"/>
                <w:szCs w:val="22"/>
                <w:vertAlign w:val="superscript"/>
              </w:rPr>
              <w:t>4</w:t>
            </w:r>
          </w:p>
        </w:tc>
        <w:tc>
          <w:tcPr>
            <w:tcW w:w="955" w:type="pct"/>
            <w:tcBorders>
              <w:top w:val="single" w:sz="6" w:space="0" w:color="auto"/>
              <w:left w:val="single" w:sz="6" w:space="0" w:color="auto"/>
              <w:bottom w:val="single" w:sz="6" w:space="0" w:color="auto"/>
              <w:right w:val="single" w:sz="4" w:space="0" w:color="auto"/>
            </w:tcBorders>
            <w:hideMark/>
          </w:tcPr>
          <w:p w:rsidR="00CA5858" w:rsidRPr="00B957E7" w:rsidRDefault="00CA5858" w:rsidP="00B957E7">
            <w:pPr>
              <w:ind w:left="136"/>
              <w:rPr>
                <w:sz w:val="22"/>
                <w:szCs w:val="22"/>
              </w:rPr>
            </w:pPr>
            <w:r w:rsidRPr="00B957E7">
              <w:rPr>
                <w:sz w:val="22"/>
                <w:szCs w:val="22"/>
              </w:rPr>
              <w:t xml:space="preserve">Agranulocytose, thrombocytopeni </w:t>
            </w:r>
          </w:p>
        </w:tc>
      </w:tr>
      <w:tr w:rsidR="00CA5858" w:rsidRPr="00B957E7" w:rsidTr="007B7134">
        <w:tc>
          <w:tcPr>
            <w:tcW w:w="1020" w:type="pct"/>
            <w:tcBorders>
              <w:top w:val="single" w:sz="6" w:space="0" w:color="auto"/>
              <w:left w:val="single" w:sz="4"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Immunsystemet</w:t>
            </w:r>
            <w:r w:rsidRPr="00B957E7">
              <w:rPr>
                <w:sz w:val="22"/>
                <w:szCs w:val="22"/>
                <w:vertAlign w:val="superscript"/>
              </w:rPr>
              <w:t>5</w:t>
            </w:r>
          </w:p>
        </w:tc>
        <w:tc>
          <w:tcPr>
            <w:tcW w:w="811"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p>
        </w:tc>
        <w:tc>
          <w:tcPr>
            <w:tcW w:w="897"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p>
        </w:tc>
        <w:tc>
          <w:tcPr>
            <w:tcW w:w="1317"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Anafylaktoid reaktion</w:t>
            </w:r>
            <w:r w:rsidRPr="00B957E7">
              <w:rPr>
                <w:sz w:val="22"/>
                <w:szCs w:val="22"/>
                <w:vertAlign w:val="superscript"/>
              </w:rPr>
              <w:t>1</w:t>
            </w:r>
            <w:r w:rsidRPr="00B957E7">
              <w:rPr>
                <w:sz w:val="22"/>
                <w:szCs w:val="22"/>
              </w:rPr>
              <w:t xml:space="preserve">, hypersensitivitet </w:t>
            </w:r>
          </w:p>
        </w:tc>
        <w:tc>
          <w:tcPr>
            <w:tcW w:w="955" w:type="pct"/>
            <w:tcBorders>
              <w:top w:val="single" w:sz="6" w:space="0" w:color="auto"/>
              <w:left w:val="single" w:sz="6" w:space="0" w:color="auto"/>
              <w:bottom w:val="single" w:sz="6" w:space="0" w:color="auto"/>
              <w:right w:val="single" w:sz="4" w:space="0" w:color="auto"/>
            </w:tcBorders>
            <w:hideMark/>
          </w:tcPr>
          <w:p w:rsidR="00CA5858" w:rsidRPr="00B957E7" w:rsidRDefault="00CA5858" w:rsidP="00B957E7">
            <w:pPr>
              <w:ind w:left="136"/>
              <w:rPr>
                <w:sz w:val="22"/>
                <w:szCs w:val="22"/>
              </w:rPr>
            </w:pPr>
            <w:r w:rsidRPr="00B957E7">
              <w:rPr>
                <w:sz w:val="22"/>
                <w:szCs w:val="22"/>
              </w:rPr>
              <w:t xml:space="preserve">Anafylaktisk reaktion, angioødem </w:t>
            </w:r>
          </w:p>
        </w:tc>
      </w:tr>
      <w:tr w:rsidR="00CA5858" w:rsidRPr="00B957E7" w:rsidTr="007B7134">
        <w:tc>
          <w:tcPr>
            <w:tcW w:w="1020" w:type="pct"/>
            <w:tcBorders>
              <w:top w:val="single" w:sz="6" w:space="0" w:color="auto"/>
              <w:left w:val="single" w:sz="4"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 xml:space="preserve">Metabolisme og ernæring </w:t>
            </w:r>
          </w:p>
        </w:tc>
        <w:tc>
          <w:tcPr>
            <w:tcW w:w="811"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p>
        </w:tc>
        <w:tc>
          <w:tcPr>
            <w:tcW w:w="897"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p>
        </w:tc>
        <w:tc>
          <w:tcPr>
            <w:tcW w:w="1317"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 xml:space="preserve">Anoreksi, nedsat appetit </w:t>
            </w:r>
          </w:p>
        </w:tc>
        <w:tc>
          <w:tcPr>
            <w:tcW w:w="955" w:type="pct"/>
            <w:tcBorders>
              <w:top w:val="single" w:sz="6" w:space="0" w:color="auto"/>
              <w:left w:val="single" w:sz="6" w:space="0" w:color="auto"/>
              <w:bottom w:val="single" w:sz="6" w:space="0" w:color="auto"/>
              <w:right w:val="single" w:sz="4" w:space="0" w:color="auto"/>
            </w:tcBorders>
            <w:hideMark/>
          </w:tcPr>
          <w:p w:rsidR="00CA5858" w:rsidRPr="00B957E7" w:rsidRDefault="00CA5858" w:rsidP="00B957E7">
            <w:pPr>
              <w:ind w:left="136"/>
              <w:rPr>
                <w:sz w:val="22"/>
                <w:szCs w:val="22"/>
              </w:rPr>
            </w:pPr>
          </w:p>
        </w:tc>
      </w:tr>
      <w:tr w:rsidR="00CA5858" w:rsidRPr="00B957E7" w:rsidTr="007B7134">
        <w:tc>
          <w:tcPr>
            <w:tcW w:w="1020" w:type="pct"/>
            <w:tcBorders>
              <w:top w:val="single" w:sz="6" w:space="0" w:color="auto"/>
              <w:left w:val="single" w:sz="4"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 xml:space="preserve">Psykiske forstyrrelser </w:t>
            </w:r>
          </w:p>
        </w:tc>
        <w:tc>
          <w:tcPr>
            <w:tcW w:w="811"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p>
        </w:tc>
        <w:tc>
          <w:tcPr>
            <w:tcW w:w="897"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 xml:space="preserve">Søvnløshed </w:t>
            </w:r>
          </w:p>
        </w:tc>
        <w:tc>
          <w:tcPr>
            <w:tcW w:w="1317"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Angst, nervøsitet</w:t>
            </w:r>
            <w:r w:rsidRPr="00B957E7">
              <w:rPr>
                <w:sz w:val="22"/>
                <w:szCs w:val="22"/>
                <w:vertAlign w:val="superscript"/>
              </w:rPr>
              <w:t>3</w:t>
            </w:r>
          </w:p>
        </w:tc>
        <w:tc>
          <w:tcPr>
            <w:tcW w:w="955" w:type="pct"/>
            <w:tcBorders>
              <w:top w:val="single" w:sz="6" w:space="0" w:color="auto"/>
              <w:left w:val="single" w:sz="6" w:space="0" w:color="auto"/>
              <w:bottom w:val="single" w:sz="6" w:space="0" w:color="auto"/>
              <w:right w:val="single" w:sz="4" w:space="0" w:color="auto"/>
            </w:tcBorders>
            <w:hideMark/>
          </w:tcPr>
          <w:p w:rsidR="00CA5858" w:rsidRPr="00B957E7" w:rsidRDefault="00CA5858" w:rsidP="00B957E7">
            <w:pPr>
              <w:ind w:left="136"/>
              <w:rPr>
                <w:sz w:val="22"/>
                <w:szCs w:val="22"/>
              </w:rPr>
            </w:pPr>
            <w:r w:rsidRPr="00B957E7">
              <w:rPr>
                <w:sz w:val="22"/>
                <w:szCs w:val="22"/>
              </w:rPr>
              <w:t>Psykotisk lidelse, forvirring, depersonalisering, depression, desorientering, hallucination, sære drømme, mani</w:t>
            </w:r>
          </w:p>
        </w:tc>
      </w:tr>
      <w:tr w:rsidR="00CA5858" w:rsidRPr="00B957E7" w:rsidTr="007B7134">
        <w:tc>
          <w:tcPr>
            <w:tcW w:w="1020" w:type="pct"/>
            <w:tcBorders>
              <w:top w:val="single" w:sz="6" w:space="0" w:color="auto"/>
              <w:left w:val="single" w:sz="4"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 xml:space="preserve">Nervesystemet </w:t>
            </w:r>
          </w:p>
        </w:tc>
        <w:tc>
          <w:tcPr>
            <w:tcW w:w="811"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p>
        </w:tc>
        <w:tc>
          <w:tcPr>
            <w:tcW w:w="897"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Dysgeusi, hovedpine</w:t>
            </w:r>
          </w:p>
        </w:tc>
        <w:tc>
          <w:tcPr>
            <w:tcW w:w="1317"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Bevidsthedstab</w:t>
            </w:r>
            <w:r w:rsidRPr="00B957E7">
              <w:rPr>
                <w:sz w:val="22"/>
                <w:szCs w:val="22"/>
                <w:vertAlign w:val="superscript"/>
              </w:rPr>
              <w:t>1</w:t>
            </w:r>
            <w:r w:rsidRPr="00B957E7">
              <w:rPr>
                <w:sz w:val="22"/>
                <w:szCs w:val="22"/>
              </w:rPr>
              <w:t>, dyskinesi</w:t>
            </w:r>
            <w:r w:rsidRPr="00B957E7">
              <w:rPr>
                <w:sz w:val="22"/>
                <w:szCs w:val="22"/>
                <w:vertAlign w:val="superscript"/>
              </w:rPr>
              <w:t>1</w:t>
            </w:r>
            <w:r w:rsidRPr="00B957E7">
              <w:rPr>
                <w:sz w:val="22"/>
                <w:szCs w:val="22"/>
              </w:rPr>
              <w:t>, svimmelhed, somnolens</w:t>
            </w:r>
            <w:r w:rsidRPr="00B957E7">
              <w:rPr>
                <w:sz w:val="22"/>
                <w:szCs w:val="22"/>
                <w:vertAlign w:val="superscript"/>
              </w:rPr>
              <w:t>6</w:t>
            </w:r>
            <w:r w:rsidRPr="00B957E7">
              <w:rPr>
                <w:sz w:val="22"/>
                <w:szCs w:val="22"/>
              </w:rPr>
              <w:t xml:space="preserve">, tremor </w:t>
            </w:r>
          </w:p>
        </w:tc>
        <w:tc>
          <w:tcPr>
            <w:tcW w:w="955" w:type="pct"/>
            <w:tcBorders>
              <w:top w:val="single" w:sz="6" w:space="0" w:color="auto"/>
              <w:left w:val="single" w:sz="6" w:space="0" w:color="auto"/>
              <w:bottom w:val="single" w:sz="6" w:space="0" w:color="auto"/>
              <w:right w:val="single" w:sz="4" w:space="0" w:color="auto"/>
            </w:tcBorders>
            <w:hideMark/>
          </w:tcPr>
          <w:p w:rsidR="00CA5858" w:rsidRPr="00B957E7" w:rsidRDefault="00CA5858" w:rsidP="00B957E7">
            <w:pPr>
              <w:ind w:left="136"/>
              <w:rPr>
                <w:sz w:val="22"/>
                <w:szCs w:val="22"/>
              </w:rPr>
            </w:pPr>
            <w:r w:rsidRPr="00B957E7">
              <w:rPr>
                <w:sz w:val="22"/>
                <w:szCs w:val="22"/>
              </w:rPr>
              <w:t xml:space="preserve">Kramper, ageusi, parosmi, anosmi, paræstesi </w:t>
            </w:r>
          </w:p>
        </w:tc>
      </w:tr>
      <w:tr w:rsidR="00CA5858" w:rsidRPr="00B957E7" w:rsidTr="007B7134">
        <w:tc>
          <w:tcPr>
            <w:tcW w:w="1020" w:type="pct"/>
            <w:tcBorders>
              <w:top w:val="single" w:sz="6" w:space="0" w:color="auto"/>
              <w:left w:val="single" w:sz="4"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 xml:space="preserve">Øre og labyrint </w:t>
            </w:r>
          </w:p>
        </w:tc>
        <w:tc>
          <w:tcPr>
            <w:tcW w:w="811"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p>
        </w:tc>
        <w:tc>
          <w:tcPr>
            <w:tcW w:w="897"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 </w:t>
            </w:r>
          </w:p>
        </w:tc>
        <w:tc>
          <w:tcPr>
            <w:tcW w:w="1317"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 xml:space="preserve">Vertigo, nedsat hørelse, tinnitus </w:t>
            </w:r>
          </w:p>
        </w:tc>
        <w:tc>
          <w:tcPr>
            <w:tcW w:w="955" w:type="pct"/>
            <w:tcBorders>
              <w:top w:val="single" w:sz="6" w:space="0" w:color="auto"/>
              <w:left w:val="single" w:sz="6" w:space="0" w:color="auto"/>
              <w:bottom w:val="single" w:sz="6" w:space="0" w:color="auto"/>
              <w:right w:val="single" w:sz="4" w:space="0" w:color="auto"/>
            </w:tcBorders>
            <w:hideMark/>
          </w:tcPr>
          <w:p w:rsidR="00CA5858" w:rsidRPr="00B957E7" w:rsidRDefault="00CA5858" w:rsidP="00B957E7">
            <w:pPr>
              <w:ind w:left="136"/>
              <w:rPr>
                <w:sz w:val="22"/>
                <w:szCs w:val="22"/>
              </w:rPr>
            </w:pPr>
            <w:r w:rsidRPr="00B957E7">
              <w:rPr>
                <w:sz w:val="22"/>
                <w:szCs w:val="22"/>
              </w:rPr>
              <w:t xml:space="preserve">Døvhed </w:t>
            </w:r>
          </w:p>
        </w:tc>
      </w:tr>
      <w:tr w:rsidR="00CA5858" w:rsidRPr="00B957E7" w:rsidTr="007B7134">
        <w:tc>
          <w:tcPr>
            <w:tcW w:w="1020" w:type="pct"/>
            <w:tcBorders>
              <w:top w:val="single" w:sz="6" w:space="0" w:color="auto"/>
              <w:left w:val="single" w:sz="4"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 xml:space="preserve">Hjerte </w:t>
            </w:r>
          </w:p>
        </w:tc>
        <w:tc>
          <w:tcPr>
            <w:tcW w:w="811"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p>
        </w:tc>
        <w:tc>
          <w:tcPr>
            <w:tcW w:w="897"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 </w:t>
            </w:r>
          </w:p>
        </w:tc>
        <w:tc>
          <w:tcPr>
            <w:tcW w:w="1317"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Hjertestop</w:t>
            </w:r>
            <w:r w:rsidRPr="00B957E7">
              <w:rPr>
                <w:sz w:val="22"/>
                <w:szCs w:val="22"/>
                <w:vertAlign w:val="superscript"/>
              </w:rPr>
              <w:t>1</w:t>
            </w:r>
            <w:r w:rsidRPr="00B957E7">
              <w:rPr>
                <w:sz w:val="22"/>
                <w:szCs w:val="22"/>
              </w:rPr>
              <w:t>, atrieflimren</w:t>
            </w:r>
            <w:r w:rsidRPr="00B957E7">
              <w:rPr>
                <w:sz w:val="22"/>
                <w:szCs w:val="22"/>
                <w:vertAlign w:val="superscript"/>
              </w:rPr>
              <w:t>1</w:t>
            </w:r>
            <w:r w:rsidRPr="00B957E7">
              <w:rPr>
                <w:sz w:val="22"/>
                <w:szCs w:val="22"/>
              </w:rPr>
              <w:t>, elektrokardiogram, QT-forlængelse</w:t>
            </w:r>
            <w:r w:rsidRPr="00B957E7">
              <w:rPr>
                <w:sz w:val="22"/>
                <w:szCs w:val="22"/>
                <w:vertAlign w:val="superscript"/>
              </w:rPr>
              <w:t>7</w:t>
            </w:r>
            <w:r w:rsidRPr="00B957E7">
              <w:rPr>
                <w:sz w:val="22"/>
                <w:szCs w:val="22"/>
              </w:rPr>
              <w:t>, ekstrasystoler</w:t>
            </w:r>
            <w:r w:rsidRPr="00B957E7">
              <w:rPr>
                <w:sz w:val="22"/>
                <w:szCs w:val="22"/>
                <w:vertAlign w:val="superscript"/>
              </w:rPr>
              <w:t>1</w:t>
            </w:r>
            <w:r w:rsidRPr="00B957E7">
              <w:rPr>
                <w:sz w:val="22"/>
                <w:szCs w:val="22"/>
              </w:rPr>
              <w:t xml:space="preserve">, palpitationer </w:t>
            </w:r>
          </w:p>
        </w:tc>
        <w:tc>
          <w:tcPr>
            <w:tcW w:w="955" w:type="pct"/>
            <w:tcBorders>
              <w:top w:val="single" w:sz="6" w:space="0" w:color="auto"/>
              <w:left w:val="single" w:sz="6" w:space="0" w:color="auto"/>
              <w:bottom w:val="single" w:sz="6" w:space="0" w:color="auto"/>
              <w:right w:val="single" w:sz="4" w:space="0" w:color="auto"/>
            </w:tcBorders>
            <w:hideMark/>
          </w:tcPr>
          <w:p w:rsidR="00CA5858" w:rsidRPr="00B957E7" w:rsidRDefault="00CA5858" w:rsidP="00B957E7">
            <w:pPr>
              <w:ind w:left="136"/>
              <w:rPr>
                <w:sz w:val="22"/>
                <w:szCs w:val="22"/>
              </w:rPr>
            </w:pPr>
            <w:r w:rsidRPr="00B957E7">
              <w:rPr>
                <w:sz w:val="22"/>
                <w:szCs w:val="22"/>
              </w:rPr>
              <w:t>Torsades de pointes, ventrikulær takykardi, ventrikulær flimren</w:t>
            </w:r>
          </w:p>
        </w:tc>
      </w:tr>
      <w:tr w:rsidR="00CA5858" w:rsidRPr="00B957E7" w:rsidTr="007B7134">
        <w:tc>
          <w:tcPr>
            <w:tcW w:w="1020" w:type="pct"/>
            <w:tcBorders>
              <w:top w:val="single" w:sz="6" w:space="0" w:color="auto"/>
              <w:left w:val="single" w:sz="4"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 xml:space="preserve">Vaskulære sygdomme </w:t>
            </w:r>
          </w:p>
        </w:tc>
        <w:tc>
          <w:tcPr>
            <w:tcW w:w="811"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p>
        </w:tc>
        <w:tc>
          <w:tcPr>
            <w:tcW w:w="897"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Vasodilation</w:t>
            </w:r>
            <w:r w:rsidRPr="00B957E7">
              <w:rPr>
                <w:sz w:val="22"/>
                <w:szCs w:val="22"/>
                <w:vertAlign w:val="superscript"/>
              </w:rPr>
              <w:t>1</w:t>
            </w:r>
          </w:p>
        </w:tc>
        <w:tc>
          <w:tcPr>
            <w:tcW w:w="1317"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 </w:t>
            </w:r>
          </w:p>
        </w:tc>
        <w:tc>
          <w:tcPr>
            <w:tcW w:w="955" w:type="pct"/>
            <w:tcBorders>
              <w:top w:val="single" w:sz="6" w:space="0" w:color="auto"/>
              <w:left w:val="single" w:sz="6" w:space="0" w:color="auto"/>
              <w:bottom w:val="single" w:sz="6" w:space="0" w:color="auto"/>
              <w:right w:val="single" w:sz="4" w:space="0" w:color="auto"/>
            </w:tcBorders>
            <w:hideMark/>
          </w:tcPr>
          <w:p w:rsidR="00CA5858" w:rsidRPr="00B957E7" w:rsidRDefault="00CA5858" w:rsidP="00B957E7">
            <w:pPr>
              <w:ind w:left="136"/>
              <w:rPr>
                <w:sz w:val="22"/>
                <w:szCs w:val="22"/>
              </w:rPr>
            </w:pPr>
            <w:r w:rsidRPr="00B957E7">
              <w:rPr>
                <w:sz w:val="22"/>
                <w:szCs w:val="22"/>
              </w:rPr>
              <w:t>Blødning</w:t>
            </w:r>
          </w:p>
        </w:tc>
      </w:tr>
      <w:tr w:rsidR="00CA5858" w:rsidRPr="00B957E7" w:rsidTr="007B7134">
        <w:tc>
          <w:tcPr>
            <w:tcW w:w="1020" w:type="pct"/>
            <w:tcBorders>
              <w:top w:val="single" w:sz="6" w:space="0" w:color="auto"/>
              <w:left w:val="single" w:sz="4"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 xml:space="preserve">Luftveje, thorax og mediastinum </w:t>
            </w:r>
          </w:p>
        </w:tc>
        <w:tc>
          <w:tcPr>
            <w:tcW w:w="811"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p>
        </w:tc>
        <w:tc>
          <w:tcPr>
            <w:tcW w:w="897"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 </w:t>
            </w:r>
          </w:p>
        </w:tc>
        <w:tc>
          <w:tcPr>
            <w:tcW w:w="1317"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Astma</w:t>
            </w:r>
            <w:r w:rsidRPr="00B957E7">
              <w:rPr>
                <w:sz w:val="22"/>
                <w:szCs w:val="22"/>
                <w:vertAlign w:val="superscript"/>
              </w:rPr>
              <w:t>1</w:t>
            </w:r>
            <w:r w:rsidRPr="00B957E7">
              <w:rPr>
                <w:sz w:val="22"/>
                <w:szCs w:val="22"/>
              </w:rPr>
              <w:t>, epistaksis</w:t>
            </w:r>
            <w:r w:rsidRPr="00B957E7">
              <w:rPr>
                <w:sz w:val="22"/>
                <w:szCs w:val="22"/>
                <w:vertAlign w:val="superscript"/>
              </w:rPr>
              <w:t>2</w:t>
            </w:r>
            <w:r w:rsidRPr="00B957E7">
              <w:rPr>
                <w:sz w:val="22"/>
                <w:szCs w:val="22"/>
              </w:rPr>
              <w:t>, lungeemboli</w:t>
            </w:r>
            <w:r w:rsidRPr="00B957E7">
              <w:rPr>
                <w:sz w:val="22"/>
                <w:szCs w:val="22"/>
                <w:vertAlign w:val="superscript"/>
              </w:rPr>
              <w:t>1</w:t>
            </w:r>
          </w:p>
        </w:tc>
        <w:tc>
          <w:tcPr>
            <w:tcW w:w="955" w:type="pct"/>
            <w:tcBorders>
              <w:top w:val="single" w:sz="6" w:space="0" w:color="auto"/>
              <w:left w:val="single" w:sz="6" w:space="0" w:color="auto"/>
              <w:bottom w:val="single" w:sz="6" w:space="0" w:color="auto"/>
              <w:right w:val="single" w:sz="4" w:space="0" w:color="auto"/>
            </w:tcBorders>
            <w:hideMark/>
          </w:tcPr>
          <w:p w:rsidR="00CA5858" w:rsidRPr="00B957E7" w:rsidRDefault="00CA5858" w:rsidP="00B957E7">
            <w:pPr>
              <w:ind w:left="136"/>
              <w:rPr>
                <w:sz w:val="22"/>
                <w:szCs w:val="22"/>
              </w:rPr>
            </w:pPr>
            <w:r w:rsidRPr="00B957E7">
              <w:rPr>
                <w:sz w:val="22"/>
                <w:szCs w:val="22"/>
              </w:rPr>
              <w:t> </w:t>
            </w:r>
          </w:p>
        </w:tc>
      </w:tr>
      <w:tr w:rsidR="00CA5858" w:rsidRPr="00B957E7" w:rsidTr="007B7134">
        <w:tc>
          <w:tcPr>
            <w:tcW w:w="1020" w:type="pct"/>
            <w:tcBorders>
              <w:top w:val="single" w:sz="6" w:space="0" w:color="auto"/>
              <w:left w:val="single" w:sz="4"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 xml:space="preserve">Mave-tarm-kanalen </w:t>
            </w:r>
          </w:p>
        </w:tc>
        <w:tc>
          <w:tcPr>
            <w:tcW w:w="811"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p>
        </w:tc>
        <w:tc>
          <w:tcPr>
            <w:tcW w:w="897"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Diarré</w:t>
            </w:r>
            <w:r w:rsidR="00C1111E" w:rsidRPr="00B957E7">
              <w:rPr>
                <w:sz w:val="22"/>
                <w:szCs w:val="22"/>
                <w:vertAlign w:val="superscript"/>
              </w:rPr>
              <w:t>5</w:t>
            </w:r>
            <w:r w:rsidRPr="00B957E7">
              <w:rPr>
                <w:sz w:val="22"/>
                <w:szCs w:val="22"/>
              </w:rPr>
              <w:t>, opkastning</w:t>
            </w:r>
            <w:r w:rsidR="00C1111E" w:rsidRPr="00B957E7">
              <w:rPr>
                <w:sz w:val="22"/>
                <w:szCs w:val="22"/>
                <w:vertAlign w:val="superscript"/>
              </w:rPr>
              <w:t>5</w:t>
            </w:r>
            <w:r w:rsidRPr="00B957E7">
              <w:rPr>
                <w:sz w:val="22"/>
                <w:szCs w:val="22"/>
              </w:rPr>
              <w:t>, dyspepsi, kvalme</w:t>
            </w:r>
            <w:r w:rsidR="00C1111E" w:rsidRPr="00B957E7">
              <w:rPr>
                <w:sz w:val="22"/>
                <w:szCs w:val="22"/>
                <w:vertAlign w:val="superscript"/>
              </w:rPr>
              <w:t>5</w:t>
            </w:r>
            <w:r w:rsidRPr="00B957E7">
              <w:rPr>
                <w:sz w:val="22"/>
                <w:szCs w:val="22"/>
              </w:rPr>
              <w:t>, abdominalsmerter</w:t>
            </w:r>
            <w:r w:rsidR="00C1111E" w:rsidRPr="00B957E7">
              <w:rPr>
                <w:sz w:val="22"/>
                <w:szCs w:val="22"/>
                <w:vertAlign w:val="superscript"/>
              </w:rPr>
              <w:t>5</w:t>
            </w:r>
            <w:r w:rsidRPr="00B957E7">
              <w:rPr>
                <w:sz w:val="22"/>
                <w:szCs w:val="22"/>
              </w:rPr>
              <w:t xml:space="preserve"> </w:t>
            </w:r>
          </w:p>
        </w:tc>
        <w:tc>
          <w:tcPr>
            <w:tcW w:w="1317"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Øsofagitis</w:t>
            </w:r>
            <w:r w:rsidRPr="00B957E7">
              <w:rPr>
                <w:sz w:val="22"/>
                <w:szCs w:val="22"/>
                <w:vertAlign w:val="superscript"/>
              </w:rPr>
              <w:t>1</w:t>
            </w:r>
            <w:r w:rsidRPr="00B957E7">
              <w:rPr>
                <w:sz w:val="22"/>
                <w:szCs w:val="22"/>
              </w:rPr>
              <w:t>, gastroøsofageal reflukssygdom</w:t>
            </w:r>
            <w:r w:rsidRPr="00B957E7">
              <w:rPr>
                <w:sz w:val="22"/>
                <w:szCs w:val="22"/>
                <w:vertAlign w:val="superscript"/>
              </w:rPr>
              <w:t>2</w:t>
            </w:r>
            <w:r w:rsidRPr="00B957E7">
              <w:rPr>
                <w:sz w:val="22"/>
                <w:szCs w:val="22"/>
              </w:rPr>
              <w:t>, gastritis, proctalgi</w:t>
            </w:r>
            <w:r w:rsidRPr="00B957E7">
              <w:rPr>
                <w:sz w:val="22"/>
                <w:szCs w:val="22"/>
                <w:vertAlign w:val="superscript"/>
              </w:rPr>
              <w:t>2</w:t>
            </w:r>
            <w:r w:rsidRPr="00B957E7">
              <w:rPr>
                <w:sz w:val="22"/>
                <w:szCs w:val="22"/>
              </w:rPr>
              <w:t>, stomatitis, glossitis, abdominal udspiling</w:t>
            </w:r>
            <w:r w:rsidRPr="00B957E7">
              <w:rPr>
                <w:sz w:val="22"/>
                <w:szCs w:val="22"/>
                <w:vertAlign w:val="superscript"/>
              </w:rPr>
              <w:t>4</w:t>
            </w:r>
            <w:r w:rsidRPr="00B957E7">
              <w:rPr>
                <w:sz w:val="22"/>
                <w:szCs w:val="22"/>
              </w:rPr>
              <w:t xml:space="preserve">, forstoppelse, mundtørhed, sure opstød, flatulens </w:t>
            </w:r>
          </w:p>
        </w:tc>
        <w:tc>
          <w:tcPr>
            <w:tcW w:w="955" w:type="pct"/>
            <w:tcBorders>
              <w:top w:val="single" w:sz="6" w:space="0" w:color="auto"/>
              <w:left w:val="single" w:sz="6" w:space="0" w:color="auto"/>
              <w:bottom w:val="single" w:sz="6" w:space="0" w:color="auto"/>
              <w:right w:val="single" w:sz="4" w:space="0" w:color="auto"/>
            </w:tcBorders>
            <w:hideMark/>
          </w:tcPr>
          <w:p w:rsidR="00CA5858" w:rsidRPr="00B957E7" w:rsidRDefault="00CA5858" w:rsidP="00B957E7">
            <w:pPr>
              <w:ind w:left="136"/>
              <w:rPr>
                <w:sz w:val="22"/>
                <w:szCs w:val="22"/>
              </w:rPr>
            </w:pPr>
            <w:r w:rsidRPr="00B957E7">
              <w:rPr>
                <w:sz w:val="22"/>
                <w:szCs w:val="22"/>
              </w:rPr>
              <w:t xml:space="preserve">Akut pancreatitis, misfarvning af tungen, misfarvning af tænderne </w:t>
            </w:r>
          </w:p>
        </w:tc>
      </w:tr>
      <w:tr w:rsidR="00CA5858" w:rsidRPr="00B957E7" w:rsidTr="007B7134">
        <w:tc>
          <w:tcPr>
            <w:tcW w:w="1020" w:type="pct"/>
            <w:tcBorders>
              <w:top w:val="single" w:sz="6" w:space="0" w:color="auto"/>
              <w:left w:val="single" w:sz="4"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 xml:space="preserve">Lever og galdeveje </w:t>
            </w:r>
          </w:p>
        </w:tc>
        <w:tc>
          <w:tcPr>
            <w:tcW w:w="811"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p>
        </w:tc>
        <w:tc>
          <w:tcPr>
            <w:tcW w:w="897"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Unormal leverfunktionstest</w:t>
            </w:r>
          </w:p>
        </w:tc>
        <w:tc>
          <w:tcPr>
            <w:tcW w:w="1317"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Cholestasis</w:t>
            </w:r>
            <w:r w:rsidRPr="00B957E7">
              <w:rPr>
                <w:sz w:val="22"/>
                <w:szCs w:val="22"/>
                <w:vertAlign w:val="superscript"/>
              </w:rPr>
              <w:t>4</w:t>
            </w:r>
            <w:r w:rsidRPr="00B957E7">
              <w:rPr>
                <w:sz w:val="22"/>
                <w:szCs w:val="22"/>
              </w:rPr>
              <w:t>, hepatitis</w:t>
            </w:r>
            <w:r w:rsidRPr="00B957E7">
              <w:rPr>
                <w:sz w:val="22"/>
                <w:szCs w:val="22"/>
                <w:vertAlign w:val="superscript"/>
              </w:rPr>
              <w:t>4</w:t>
            </w:r>
            <w:r w:rsidRPr="00B957E7">
              <w:rPr>
                <w:sz w:val="22"/>
                <w:szCs w:val="22"/>
              </w:rPr>
              <w:t xml:space="preserve">, forhøjet alaninaminotransferase, forhøjet aspartataminotransferase, forhøjet </w:t>
            </w:r>
            <w:r w:rsidRPr="00B957E7">
              <w:rPr>
                <w:sz w:val="22"/>
                <w:szCs w:val="22"/>
              </w:rPr>
              <w:lastRenderedPageBreak/>
              <w:t>gammaglutamyltransferase</w:t>
            </w:r>
            <w:r w:rsidRPr="00B957E7">
              <w:rPr>
                <w:sz w:val="22"/>
                <w:szCs w:val="22"/>
                <w:vertAlign w:val="superscript"/>
              </w:rPr>
              <w:t>4</w:t>
            </w:r>
          </w:p>
        </w:tc>
        <w:tc>
          <w:tcPr>
            <w:tcW w:w="955" w:type="pct"/>
            <w:tcBorders>
              <w:top w:val="single" w:sz="6" w:space="0" w:color="auto"/>
              <w:left w:val="single" w:sz="6" w:space="0" w:color="auto"/>
              <w:bottom w:val="single" w:sz="6" w:space="0" w:color="auto"/>
              <w:right w:val="single" w:sz="4" w:space="0" w:color="auto"/>
            </w:tcBorders>
            <w:hideMark/>
          </w:tcPr>
          <w:p w:rsidR="00CA5858" w:rsidRPr="00B957E7" w:rsidRDefault="00CA5858" w:rsidP="00B957E7">
            <w:pPr>
              <w:ind w:left="136"/>
              <w:rPr>
                <w:sz w:val="22"/>
                <w:szCs w:val="22"/>
              </w:rPr>
            </w:pPr>
            <w:r w:rsidRPr="00B957E7">
              <w:rPr>
                <w:sz w:val="22"/>
                <w:szCs w:val="22"/>
              </w:rPr>
              <w:lastRenderedPageBreak/>
              <w:t xml:space="preserve">Leversvigt, hepatocellulær gulsot </w:t>
            </w:r>
          </w:p>
        </w:tc>
      </w:tr>
      <w:tr w:rsidR="00CA5858" w:rsidRPr="00B957E7" w:rsidTr="007B7134">
        <w:tc>
          <w:tcPr>
            <w:tcW w:w="1020" w:type="pct"/>
            <w:tcBorders>
              <w:top w:val="single" w:sz="6" w:space="0" w:color="auto"/>
              <w:left w:val="single" w:sz="4"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 xml:space="preserve">Hud og subkutane væv </w:t>
            </w:r>
          </w:p>
        </w:tc>
        <w:tc>
          <w:tcPr>
            <w:tcW w:w="811"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p>
        </w:tc>
        <w:tc>
          <w:tcPr>
            <w:tcW w:w="897"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 xml:space="preserve">Udslæt, hyperhidrose </w:t>
            </w:r>
          </w:p>
        </w:tc>
        <w:tc>
          <w:tcPr>
            <w:tcW w:w="1317"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Bulløs dermatitis</w:t>
            </w:r>
            <w:r w:rsidRPr="00B957E7">
              <w:rPr>
                <w:sz w:val="22"/>
                <w:szCs w:val="22"/>
                <w:vertAlign w:val="superscript"/>
              </w:rPr>
              <w:t>1</w:t>
            </w:r>
            <w:r w:rsidRPr="00B957E7">
              <w:rPr>
                <w:sz w:val="22"/>
                <w:szCs w:val="22"/>
              </w:rPr>
              <w:t>, pruritus, urticaria, maculopapuløst udslæt</w:t>
            </w:r>
            <w:r w:rsidRPr="00B957E7">
              <w:rPr>
                <w:sz w:val="22"/>
                <w:szCs w:val="22"/>
                <w:vertAlign w:val="superscript"/>
              </w:rPr>
              <w:t>3</w:t>
            </w:r>
          </w:p>
        </w:tc>
        <w:tc>
          <w:tcPr>
            <w:tcW w:w="955" w:type="pct"/>
            <w:tcBorders>
              <w:top w:val="single" w:sz="6" w:space="0" w:color="auto"/>
              <w:left w:val="single" w:sz="6" w:space="0" w:color="auto"/>
              <w:bottom w:val="single" w:sz="6" w:space="0" w:color="auto"/>
              <w:right w:val="single" w:sz="4" w:space="0" w:color="auto"/>
            </w:tcBorders>
            <w:hideMark/>
          </w:tcPr>
          <w:p w:rsidR="00CA5858" w:rsidRPr="00B957E7" w:rsidRDefault="009250C7" w:rsidP="00B957E7">
            <w:pPr>
              <w:ind w:left="136"/>
              <w:rPr>
                <w:sz w:val="22"/>
                <w:szCs w:val="22"/>
              </w:rPr>
            </w:pPr>
            <w:r w:rsidRPr="00B957E7">
              <w:rPr>
                <w:sz w:val="22"/>
                <w:szCs w:val="22"/>
              </w:rPr>
              <w:t>Svære kutane bivirkninger (SCAR) (f.eks. akut generaliseret eksantematøs pustulose (AGEP), Stevens-Johnsons syndrom, toksisk epidermal nekrolyse, medicinudslæt med eosinofili og systemiske symptomer (DRESS)</w:t>
            </w:r>
            <w:r w:rsidRPr="00B957E7">
              <w:rPr>
                <w:color w:val="222222"/>
                <w:sz w:val="22"/>
                <w:szCs w:val="22"/>
              </w:rPr>
              <w:t>),</w:t>
            </w:r>
            <w:r w:rsidRPr="00B957E7">
              <w:rPr>
                <w:sz w:val="22"/>
                <w:szCs w:val="22"/>
                <w:lang w:eastAsia="en-GB"/>
              </w:rPr>
              <w:t xml:space="preserve"> </w:t>
            </w:r>
            <w:r w:rsidRPr="00B957E7">
              <w:rPr>
                <w:sz w:val="22"/>
                <w:szCs w:val="22"/>
              </w:rPr>
              <w:t>akne</w:t>
            </w:r>
          </w:p>
        </w:tc>
      </w:tr>
      <w:tr w:rsidR="00CA5858" w:rsidRPr="00B957E7" w:rsidTr="007B7134">
        <w:tc>
          <w:tcPr>
            <w:tcW w:w="1020" w:type="pct"/>
            <w:tcBorders>
              <w:top w:val="single" w:sz="6" w:space="0" w:color="auto"/>
              <w:left w:val="single" w:sz="4"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 xml:space="preserve">Knogler, led, muskler og bindevæv </w:t>
            </w:r>
          </w:p>
        </w:tc>
        <w:tc>
          <w:tcPr>
            <w:tcW w:w="811"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p>
        </w:tc>
        <w:tc>
          <w:tcPr>
            <w:tcW w:w="897"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 </w:t>
            </w:r>
          </w:p>
        </w:tc>
        <w:tc>
          <w:tcPr>
            <w:tcW w:w="1317"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Muskelspasmer</w:t>
            </w:r>
            <w:r w:rsidRPr="00B957E7">
              <w:rPr>
                <w:sz w:val="22"/>
                <w:szCs w:val="22"/>
                <w:vertAlign w:val="superscript"/>
              </w:rPr>
              <w:t>3</w:t>
            </w:r>
            <w:r w:rsidRPr="00B957E7">
              <w:rPr>
                <w:sz w:val="22"/>
                <w:szCs w:val="22"/>
              </w:rPr>
              <w:t>, musculoskeletal stivhed</w:t>
            </w:r>
            <w:r w:rsidRPr="00B957E7">
              <w:rPr>
                <w:sz w:val="22"/>
                <w:szCs w:val="22"/>
                <w:vertAlign w:val="superscript"/>
              </w:rPr>
              <w:t>1</w:t>
            </w:r>
            <w:r w:rsidRPr="00B957E7">
              <w:rPr>
                <w:sz w:val="22"/>
                <w:szCs w:val="22"/>
              </w:rPr>
              <w:t>, myalgi</w:t>
            </w:r>
            <w:r w:rsidRPr="00B957E7">
              <w:rPr>
                <w:sz w:val="22"/>
                <w:szCs w:val="22"/>
                <w:vertAlign w:val="superscript"/>
              </w:rPr>
              <w:t>2</w:t>
            </w:r>
          </w:p>
        </w:tc>
        <w:tc>
          <w:tcPr>
            <w:tcW w:w="955" w:type="pct"/>
            <w:tcBorders>
              <w:top w:val="single" w:sz="6" w:space="0" w:color="auto"/>
              <w:left w:val="single" w:sz="6" w:space="0" w:color="auto"/>
              <w:bottom w:val="single" w:sz="6" w:space="0" w:color="auto"/>
              <w:right w:val="single" w:sz="4" w:space="0" w:color="auto"/>
            </w:tcBorders>
            <w:hideMark/>
          </w:tcPr>
          <w:p w:rsidR="00CA5858" w:rsidRPr="00B957E7" w:rsidRDefault="00CA5858" w:rsidP="00B957E7">
            <w:pPr>
              <w:ind w:left="136"/>
              <w:rPr>
                <w:sz w:val="22"/>
                <w:szCs w:val="22"/>
              </w:rPr>
            </w:pPr>
            <w:r w:rsidRPr="00B957E7">
              <w:rPr>
                <w:sz w:val="22"/>
                <w:szCs w:val="22"/>
              </w:rPr>
              <w:t>Rhabdomyolyse</w:t>
            </w:r>
            <w:r w:rsidRPr="00B957E7">
              <w:rPr>
                <w:sz w:val="22"/>
                <w:szCs w:val="22"/>
                <w:vertAlign w:val="superscript"/>
              </w:rPr>
              <w:t>2,</w:t>
            </w:r>
            <w:r w:rsidR="006955CD" w:rsidRPr="00B957E7">
              <w:rPr>
                <w:sz w:val="22"/>
                <w:szCs w:val="22"/>
                <w:vertAlign w:val="superscript"/>
              </w:rPr>
              <w:t>6</w:t>
            </w:r>
            <w:r w:rsidRPr="00B957E7">
              <w:rPr>
                <w:sz w:val="22"/>
                <w:szCs w:val="22"/>
              </w:rPr>
              <w:t xml:space="preserve">, myopati </w:t>
            </w:r>
          </w:p>
        </w:tc>
      </w:tr>
      <w:tr w:rsidR="00CA5858" w:rsidRPr="00B957E7" w:rsidTr="007B7134">
        <w:tc>
          <w:tcPr>
            <w:tcW w:w="1020" w:type="pct"/>
            <w:tcBorders>
              <w:top w:val="single" w:sz="6" w:space="0" w:color="auto"/>
              <w:left w:val="single" w:sz="4"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 xml:space="preserve">Nyrer og urinveje </w:t>
            </w:r>
          </w:p>
        </w:tc>
        <w:tc>
          <w:tcPr>
            <w:tcW w:w="811"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p>
        </w:tc>
        <w:tc>
          <w:tcPr>
            <w:tcW w:w="897"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 </w:t>
            </w:r>
          </w:p>
        </w:tc>
        <w:tc>
          <w:tcPr>
            <w:tcW w:w="1317"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Forhøjet blodcreatinin</w:t>
            </w:r>
            <w:r w:rsidRPr="00B957E7">
              <w:rPr>
                <w:sz w:val="22"/>
                <w:szCs w:val="22"/>
                <w:vertAlign w:val="superscript"/>
              </w:rPr>
              <w:t>1</w:t>
            </w:r>
            <w:r w:rsidRPr="00B957E7">
              <w:rPr>
                <w:sz w:val="22"/>
                <w:szCs w:val="22"/>
              </w:rPr>
              <w:t>, forhøjet urinstof i blodet</w:t>
            </w:r>
            <w:r w:rsidRPr="00B957E7">
              <w:rPr>
                <w:sz w:val="22"/>
                <w:szCs w:val="22"/>
                <w:vertAlign w:val="superscript"/>
              </w:rPr>
              <w:t>1</w:t>
            </w:r>
          </w:p>
        </w:tc>
        <w:tc>
          <w:tcPr>
            <w:tcW w:w="955" w:type="pct"/>
            <w:tcBorders>
              <w:top w:val="single" w:sz="6" w:space="0" w:color="auto"/>
              <w:left w:val="single" w:sz="6" w:space="0" w:color="auto"/>
              <w:bottom w:val="single" w:sz="6" w:space="0" w:color="auto"/>
              <w:right w:val="single" w:sz="4" w:space="0" w:color="auto"/>
            </w:tcBorders>
            <w:hideMark/>
          </w:tcPr>
          <w:p w:rsidR="00CA5858" w:rsidRPr="00B957E7" w:rsidRDefault="00CA5858" w:rsidP="00B957E7">
            <w:pPr>
              <w:ind w:left="136"/>
              <w:rPr>
                <w:sz w:val="22"/>
                <w:szCs w:val="22"/>
              </w:rPr>
            </w:pPr>
            <w:r w:rsidRPr="00B957E7">
              <w:rPr>
                <w:sz w:val="22"/>
                <w:szCs w:val="22"/>
              </w:rPr>
              <w:t xml:space="preserve">Nyresvigt, interstitiel nefritis </w:t>
            </w:r>
          </w:p>
        </w:tc>
      </w:tr>
      <w:tr w:rsidR="00CA5858" w:rsidRPr="00B957E7" w:rsidTr="007B7134">
        <w:tc>
          <w:tcPr>
            <w:tcW w:w="1020" w:type="pct"/>
            <w:tcBorders>
              <w:top w:val="single" w:sz="6" w:space="0" w:color="auto"/>
              <w:left w:val="single" w:sz="4"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 xml:space="preserve">Almene symptomer og reaktioner på administrationsstedet </w:t>
            </w:r>
          </w:p>
        </w:tc>
        <w:tc>
          <w:tcPr>
            <w:tcW w:w="811"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Flebitis på injektionsstedet</w:t>
            </w:r>
            <w:r w:rsidRPr="00B957E7">
              <w:rPr>
                <w:sz w:val="22"/>
                <w:szCs w:val="22"/>
                <w:vertAlign w:val="superscript"/>
              </w:rPr>
              <w:t>1</w:t>
            </w:r>
          </w:p>
        </w:tc>
        <w:tc>
          <w:tcPr>
            <w:tcW w:w="897"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Smerter på injektionsstedet</w:t>
            </w:r>
            <w:r w:rsidRPr="00B957E7">
              <w:rPr>
                <w:sz w:val="22"/>
                <w:szCs w:val="22"/>
                <w:vertAlign w:val="superscript"/>
              </w:rPr>
              <w:t>1</w:t>
            </w:r>
            <w:r w:rsidR="006955CD" w:rsidRPr="00B957E7">
              <w:rPr>
                <w:sz w:val="22"/>
                <w:szCs w:val="22"/>
                <w:vertAlign w:val="superscript"/>
              </w:rPr>
              <w:t>,6</w:t>
            </w:r>
            <w:r w:rsidRPr="00B957E7">
              <w:rPr>
                <w:sz w:val="22"/>
                <w:szCs w:val="22"/>
              </w:rPr>
              <w:t>, betændelse på injektionsstedet</w:t>
            </w:r>
            <w:r w:rsidRPr="00B957E7">
              <w:rPr>
                <w:sz w:val="22"/>
                <w:szCs w:val="22"/>
                <w:vertAlign w:val="superscript"/>
              </w:rPr>
              <w:t>1</w:t>
            </w:r>
            <w:r w:rsidR="006955CD" w:rsidRPr="00B957E7">
              <w:rPr>
                <w:sz w:val="22"/>
                <w:szCs w:val="22"/>
                <w:vertAlign w:val="superscript"/>
              </w:rPr>
              <w:t>,6</w:t>
            </w:r>
          </w:p>
        </w:tc>
        <w:tc>
          <w:tcPr>
            <w:tcW w:w="1317" w:type="pct"/>
            <w:tcBorders>
              <w:top w:val="single" w:sz="6" w:space="0" w:color="auto"/>
              <w:left w:val="single" w:sz="6" w:space="0" w:color="auto"/>
              <w:bottom w:val="single" w:sz="6" w:space="0" w:color="auto"/>
              <w:right w:val="single" w:sz="6" w:space="0" w:color="auto"/>
            </w:tcBorders>
            <w:hideMark/>
          </w:tcPr>
          <w:p w:rsidR="00CA5858" w:rsidRPr="00B957E7" w:rsidRDefault="00CA5858" w:rsidP="00B957E7">
            <w:pPr>
              <w:ind w:left="136"/>
              <w:rPr>
                <w:sz w:val="22"/>
                <w:szCs w:val="22"/>
              </w:rPr>
            </w:pPr>
            <w:r w:rsidRPr="00B957E7">
              <w:rPr>
                <w:sz w:val="22"/>
                <w:szCs w:val="22"/>
              </w:rPr>
              <w:t>Utilpashed</w:t>
            </w:r>
            <w:r w:rsidRPr="00B957E7">
              <w:rPr>
                <w:sz w:val="22"/>
                <w:szCs w:val="22"/>
                <w:vertAlign w:val="superscript"/>
              </w:rPr>
              <w:t>4</w:t>
            </w:r>
            <w:r w:rsidRPr="00B957E7">
              <w:rPr>
                <w:sz w:val="22"/>
                <w:szCs w:val="22"/>
              </w:rPr>
              <w:t>, pyreksi</w:t>
            </w:r>
            <w:r w:rsidRPr="00B957E7">
              <w:rPr>
                <w:sz w:val="22"/>
                <w:szCs w:val="22"/>
                <w:vertAlign w:val="superscript"/>
              </w:rPr>
              <w:t>3</w:t>
            </w:r>
            <w:r w:rsidRPr="00B957E7">
              <w:rPr>
                <w:sz w:val="22"/>
                <w:szCs w:val="22"/>
              </w:rPr>
              <w:t>, asteni, brystsmerter</w:t>
            </w:r>
            <w:r w:rsidRPr="00B957E7">
              <w:rPr>
                <w:sz w:val="22"/>
                <w:szCs w:val="22"/>
                <w:vertAlign w:val="superscript"/>
              </w:rPr>
              <w:t>4</w:t>
            </w:r>
            <w:r w:rsidRPr="00B957E7">
              <w:rPr>
                <w:sz w:val="22"/>
                <w:szCs w:val="22"/>
              </w:rPr>
              <w:t>, kulderystelser</w:t>
            </w:r>
            <w:r w:rsidRPr="00B957E7">
              <w:rPr>
                <w:sz w:val="22"/>
                <w:szCs w:val="22"/>
                <w:vertAlign w:val="superscript"/>
              </w:rPr>
              <w:t>4</w:t>
            </w:r>
            <w:r w:rsidRPr="00B957E7">
              <w:rPr>
                <w:sz w:val="22"/>
                <w:szCs w:val="22"/>
              </w:rPr>
              <w:t>, træthed</w:t>
            </w:r>
            <w:r w:rsidRPr="00B957E7">
              <w:rPr>
                <w:sz w:val="22"/>
                <w:szCs w:val="22"/>
                <w:vertAlign w:val="superscript"/>
              </w:rPr>
              <w:t>4</w:t>
            </w:r>
          </w:p>
        </w:tc>
        <w:tc>
          <w:tcPr>
            <w:tcW w:w="955" w:type="pct"/>
            <w:tcBorders>
              <w:top w:val="single" w:sz="6" w:space="0" w:color="auto"/>
              <w:left w:val="single" w:sz="6" w:space="0" w:color="auto"/>
              <w:bottom w:val="single" w:sz="6" w:space="0" w:color="auto"/>
              <w:right w:val="single" w:sz="4" w:space="0" w:color="auto"/>
            </w:tcBorders>
            <w:hideMark/>
          </w:tcPr>
          <w:p w:rsidR="00CA5858" w:rsidRPr="00B957E7" w:rsidRDefault="00CA5858" w:rsidP="00B957E7">
            <w:pPr>
              <w:ind w:left="136"/>
              <w:rPr>
                <w:sz w:val="22"/>
                <w:szCs w:val="22"/>
              </w:rPr>
            </w:pPr>
            <w:r w:rsidRPr="00B957E7">
              <w:rPr>
                <w:sz w:val="22"/>
                <w:szCs w:val="22"/>
              </w:rPr>
              <w:t> </w:t>
            </w:r>
          </w:p>
        </w:tc>
      </w:tr>
      <w:tr w:rsidR="00CA5858" w:rsidRPr="00B957E7" w:rsidTr="007B7134">
        <w:tc>
          <w:tcPr>
            <w:tcW w:w="1020" w:type="pct"/>
            <w:tcBorders>
              <w:top w:val="single" w:sz="6" w:space="0" w:color="auto"/>
              <w:left w:val="single" w:sz="4" w:space="0" w:color="auto"/>
              <w:bottom w:val="single" w:sz="4" w:space="0" w:color="auto"/>
              <w:right w:val="single" w:sz="6" w:space="0" w:color="auto"/>
            </w:tcBorders>
            <w:hideMark/>
          </w:tcPr>
          <w:p w:rsidR="00CA5858" w:rsidRPr="00B957E7" w:rsidRDefault="00CA5858" w:rsidP="00B957E7">
            <w:pPr>
              <w:ind w:left="136"/>
              <w:rPr>
                <w:sz w:val="22"/>
                <w:szCs w:val="22"/>
              </w:rPr>
            </w:pPr>
            <w:r w:rsidRPr="00B957E7">
              <w:rPr>
                <w:sz w:val="22"/>
                <w:szCs w:val="22"/>
              </w:rPr>
              <w:t xml:space="preserve">Undersøgelser </w:t>
            </w:r>
          </w:p>
        </w:tc>
        <w:tc>
          <w:tcPr>
            <w:tcW w:w="811" w:type="pct"/>
            <w:tcBorders>
              <w:top w:val="single" w:sz="6" w:space="0" w:color="auto"/>
              <w:left w:val="single" w:sz="6" w:space="0" w:color="auto"/>
              <w:bottom w:val="single" w:sz="4" w:space="0" w:color="auto"/>
              <w:right w:val="single" w:sz="6" w:space="0" w:color="auto"/>
            </w:tcBorders>
            <w:hideMark/>
          </w:tcPr>
          <w:p w:rsidR="00CA5858" w:rsidRPr="00B957E7" w:rsidRDefault="00CA5858" w:rsidP="00B957E7">
            <w:pPr>
              <w:ind w:left="136"/>
              <w:rPr>
                <w:sz w:val="22"/>
                <w:szCs w:val="22"/>
              </w:rPr>
            </w:pPr>
          </w:p>
        </w:tc>
        <w:tc>
          <w:tcPr>
            <w:tcW w:w="897" w:type="pct"/>
            <w:tcBorders>
              <w:top w:val="single" w:sz="6" w:space="0" w:color="auto"/>
              <w:left w:val="single" w:sz="6" w:space="0" w:color="auto"/>
              <w:bottom w:val="single" w:sz="4" w:space="0" w:color="auto"/>
              <w:right w:val="single" w:sz="6" w:space="0" w:color="auto"/>
            </w:tcBorders>
            <w:hideMark/>
          </w:tcPr>
          <w:p w:rsidR="00CA5858" w:rsidRPr="00B957E7" w:rsidRDefault="00CA5858" w:rsidP="00B957E7">
            <w:pPr>
              <w:ind w:left="136"/>
              <w:rPr>
                <w:sz w:val="22"/>
                <w:szCs w:val="22"/>
              </w:rPr>
            </w:pPr>
            <w:r w:rsidRPr="00B957E7">
              <w:rPr>
                <w:sz w:val="22"/>
                <w:szCs w:val="22"/>
              </w:rPr>
              <w:t> </w:t>
            </w:r>
          </w:p>
        </w:tc>
        <w:tc>
          <w:tcPr>
            <w:tcW w:w="1317" w:type="pct"/>
            <w:tcBorders>
              <w:top w:val="single" w:sz="6" w:space="0" w:color="auto"/>
              <w:left w:val="single" w:sz="6" w:space="0" w:color="auto"/>
              <w:bottom w:val="single" w:sz="4" w:space="0" w:color="auto"/>
              <w:right w:val="single" w:sz="6" w:space="0" w:color="auto"/>
            </w:tcBorders>
            <w:hideMark/>
          </w:tcPr>
          <w:p w:rsidR="00CA5858" w:rsidRPr="00B957E7" w:rsidRDefault="00CA5858" w:rsidP="00B957E7">
            <w:pPr>
              <w:ind w:left="136"/>
              <w:rPr>
                <w:sz w:val="22"/>
                <w:szCs w:val="22"/>
              </w:rPr>
            </w:pPr>
            <w:r w:rsidRPr="00B957E7">
              <w:rPr>
                <w:sz w:val="22"/>
                <w:szCs w:val="22"/>
              </w:rPr>
              <w:t>Unormal albuminglobulinratio</w:t>
            </w:r>
            <w:r w:rsidRPr="00B957E7">
              <w:rPr>
                <w:sz w:val="22"/>
                <w:szCs w:val="22"/>
                <w:vertAlign w:val="superscript"/>
              </w:rPr>
              <w:t>1</w:t>
            </w:r>
            <w:r w:rsidRPr="00B957E7">
              <w:rPr>
                <w:sz w:val="22"/>
                <w:szCs w:val="22"/>
              </w:rPr>
              <w:t>, forhøjet alkalisk fosfatase i blodet</w:t>
            </w:r>
            <w:r w:rsidRPr="00B957E7">
              <w:rPr>
                <w:sz w:val="22"/>
                <w:szCs w:val="22"/>
                <w:vertAlign w:val="superscript"/>
              </w:rPr>
              <w:t>4</w:t>
            </w:r>
            <w:r w:rsidRPr="00B957E7">
              <w:rPr>
                <w:sz w:val="22"/>
                <w:szCs w:val="22"/>
              </w:rPr>
              <w:t>, forhøjet laktatdehydrogenase i blodet</w:t>
            </w:r>
            <w:r w:rsidRPr="00B957E7">
              <w:rPr>
                <w:sz w:val="22"/>
                <w:szCs w:val="22"/>
                <w:vertAlign w:val="superscript"/>
              </w:rPr>
              <w:t>4</w:t>
            </w:r>
          </w:p>
        </w:tc>
        <w:tc>
          <w:tcPr>
            <w:tcW w:w="955" w:type="pct"/>
            <w:tcBorders>
              <w:top w:val="single" w:sz="6" w:space="0" w:color="auto"/>
              <w:left w:val="single" w:sz="6" w:space="0" w:color="auto"/>
              <w:bottom w:val="single" w:sz="4" w:space="0" w:color="auto"/>
              <w:right w:val="single" w:sz="4" w:space="0" w:color="auto"/>
            </w:tcBorders>
            <w:hideMark/>
          </w:tcPr>
          <w:p w:rsidR="00CA5858" w:rsidRPr="00B957E7" w:rsidRDefault="00CA5858" w:rsidP="00B957E7">
            <w:pPr>
              <w:ind w:left="136"/>
              <w:rPr>
                <w:sz w:val="22"/>
                <w:szCs w:val="22"/>
              </w:rPr>
            </w:pPr>
            <w:r w:rsidRPr="00B957E7">
              <w:rPr>
                <w:sz w:val="22"/>
                <w:szCs w:val="22"/>
              </w:rPr>
              <w:t xml:space="preserve">Stigning af international normaliseret ratio, forlænget protrombintid, unormal urinfarve </w:t>
            </w:r>
          </w:p>
        </w:tc>
      </w:tr>
    </w:tbl>
    <w:p w:rsidR="00CA5858" w:rsidRPr="005A561F" w:rsidRDefault="00CA5858" w:rsidP="00CA5858">
      <w:pPr>
        <w:ind w:left="851" w:hanging="851"/>
        <w:rPr>
          <w:sz w:val="24"/>
          <w:szCs w:val="24"/>
        </w:rPr>
      </w:pPr>
      <w:r w:rsidRPr="005A561F">
        <w:rPr>
          <w:sz w:val="24"/>
          <w:szCs w:val="24"/>
          <w:vertAlign w:val="superscript"/>
        </w:rPr>
        <w:t xml:space="preserve">1 </w:t>
      </w:r>
      <w:r w:rsidRPr="005A561F">
        <w:rPr>
          <w:sz w:val="24"/>
          <w:szCs w:val="24"/>
        </w:rPr>
        <w:t xml:space="preserve">Bivirkninger, som kun er rapporteret for formuleringen med pulver til injektionsvæske, opløsning </w:t>
      </w:r>
    </w:p>
    <w:p w:rsidR="00CA5858" w:rsidRPr="005A561F" w:rsidRDefault="00CA5858" w:rsidP="00CA5858">
      <w:pPr>
        <w:ind w:left="851" w:hanging="851"/>
        <w:rPr>
          <w:sz w:val="24"/>
          <w:szCs w:val="24"/>
        </w:rPr>
      </w:pPr>
      <w:r w:rsidRPr="005A561F">
        <w:rPr>
          <w:sz w:val="24"/>
          <w:szCs w:val="24"/>
          <w:vertAlign w:val="superscript"/>
        </w:rPr>
        <w:t xml:space="preserve">2 </w:t>
      </w:r>
      <w:r w:rsidRPr="005A561F">
        <w:rPr>
          <w:sz w:val="24"/>
          <w:szCs w:val="24"/>
        </w:rPr>
        <w:t xml:space="preserve">Bivirkninger, som kun er rapporteret for formuleringen med depottabletter </w:t>
      </w:r>
    </w:p>
    <w:p w:rsidR="00CA5858" w:rsidRPr="005A561F" w:rsidRDefault="00CA5858" w:rsidP="00CA5858">
      <w:pPr>
        <w:ind w:left="851" w:hanging="851"/>
        <w:rPr>
          <w:sz w:val="24"/>
          <w:szCs w:val="24"/>
        </w:rPr>
      </w:pPr>
      <w:r w:rsidRPr="005A561F">
        <w:rPr>
          <w:sz w:val="24"/>
          <w:szCs w:val="24"/>
          <w:vertAlign w:val="superscript"/>
        </w:rPr>
        <w:t xml:space="preserve">3 </w:t>
      </w:r>
      <w:r w:rsidRPr="005A561F">
        <w:rPr>
          <w:sz w:val="24"/>
          <w:szCs w:val="24"/>
        </w:rPr>
        <w:t xml:space="preserve">Bivirkninger, som kun er rapporteret for formuleringen med granulat til oral suspension </w:t>
      </w:r>
    </w:p>
    <w:p w:rsidR="00CA6D95" w:rsidRPr="005A561F" w:rsidRDefault="00CA6D95" w:rsidP="00CA6D95">
      <w:pPr>
        <w:ind w:left="851" w:hanging="851"/>
        <w:rPr>
          <w:sz w:val="24"/>
          <w:szCs w:val="24"/>
        </w:rPr>
      </w:pPr>
      <w:r w:rsidRPr="005A561F">
        <w:rPr>
          <w:sz w:val="24"/>
          <w:szCs w:val="24"/>
          <w:vertAlign w:val="superscript"/>
        </w:rPr>
        <w:t xml:space="preserve">4 </w:t>
      </w:r>
      <w:r w:rsidRPr="005A561F">
        <w:rPr>
          <w:sz w:val="24"/>
          <w:szCs w:val="24"/>
        </w:rPr>
        <w:t xml:space="preserve">Bivirkninger, som kun er rapporteret for formuleringen med tabletter med øjeblikkelig frigivelse </w:t>
      </w:r>
    </w:p>
    <w:p w:rsidR="00CA6D95" w:rsidRPr="005A561F" w:rsidRDefault="00CA6D95" w:rsidP="00CA6D95">
      <w:pPr>
        <w:ind w:left="851" w:hanging="851"/>
        <w:rPr>
          <w:sz w:val="24"/>
          <w:szCs w:val="24"/>
        </w:rPr>
      </w:pPr>
      <w:r w:rsidRPr="005A561F">
        <w:rPr>
          <w:sz w:val="24"/>
          <w:szCs w:val="24"/>
          <w:vertAlign w:val="superscript"/>
        </w:rPr>
        <w:t>5</w:t>
      </w:r>
      <w:r>
        <w:rPr>
          <w:sz w:val="24"/>
          <w:szCs w:val="24"/>
          <w:vertAlign w:val="superscript"/>
        </w:rPr>
        <w:t xml:space="preserve"> </w:t>
      </w:r>
      <w:r w:rsidRPr="005A561F">
        <w:rPr>
          <w:sz w:val="24"/>
          <w:szCs w:val="24"/>
        </w:rPr>
        <w:t xml:space="preserve">Se pkt. a) </w:t>
      </w:r>
    </w:p>
    <w:p w:rsidR="00CA6D95" w:rsidRPr="005A561F" w:rsidRDefault="00CA6D95" w:rsidP="00CA6D95">
      <w:pPr>
        <w:ind w:left="851" w:hanging="851"/>
        <w:rPr>
          <w:sz w:val="24"/>
          <w:szCs w:val="24"/>
        </w:rPr>
      </w:pPr>
      <w:r w:rsidRPr="005A561F">
        <w:rPr>
          <w:sz w:val="24"/>
          <w:szCs w:val="24"/>
          <w:vertAlign w:val="superscript"/>
        </w:rPr>
        <w:t>6</w:t>
      </w:r>
      <w:r>
        <w:rPr>
          <w:sz w:val="24"/>
          <w:szCs w:val="24"/>
          <w:vertAlign w:val="superscript"/>
        </w:rPr>
        <w:t xml:space="preserve"> </w:t>
      </w:r>
      <w:r w:rsidRPr="005A561F">
        <w:rPr>
          <w:sz w:val="24"/>
          <w:szCs w:val="24"/>
        </w:rPr>
        <w:t xml:space="preserve">Se pkt. c) </w:t>
      </w:r>
    </w:p>
    <w:p w:rsidR="00CA5858" w:rsidRPr="005A561F" w:rsidRDefault="00CA5858" w:rsidP="00CA5858">
      <w:pPr>
        <w:ind w:left="851" w:hanging="851"/>
        <w:rPr>
          <w:sz w:val="24"/>
          <w:szCs w:val="24"/>
        </w:rPr>
      </w:pPr>
    </w:p>
    <w:p w:rsidR="00CA5858" w:rsidRPr="005A561F" w:rsidRDefault="00CA5858" w:rsidP="00CA5858">
      <w:pPr>
        <w:ind w:left="851"/>
        <w:rPr>
          <w:sz w:val="24"/>
          <w:szCs w:val="24"/>
        </w:rPr>
      </w:pPr>
      <w:r w:rsidRPr="005A561F">
        <w:rPr>
          <w:b/>
          <w:i/>
          <w:sz w:val="24"/>
          <w:szCs w:val="24"/>
        </w:rPr>
        <w:t>c. Beskrivelse af udvalgte bivirkninger</w:t>
      </w:r>
      <w:r w:rsidRPr="005A561F">
        <w:rPr>
          <w:sz w:val="24"/>
          <w:szCs w:val="24"/>
        </w:rPr>
        <w:t xml:space="preserve"> </w:t>
      </w:r>
    </w:p>
    <w:p w:rsidR="00CA5858" w:rsidRPr="005A561F" w:rsidRDefault="00CA5858" w:rsidP="00CA5858">
      <w:pPr>
        <w:ind w:left="851"/>
        <w:rPr>
          <w:sz w:val="24"/>
          <w:szCs w:val="24"/>
        </w:rPr>
      </w:pPr>
      <w:r w:rsidRPr="005A561F">
        <w:rPr>
          <w:sz w:val="24"/>
          <w:szCs w:val="24"/>
        </w:rPr>
        <w:t xml:space="preserve">Flebitis ved injektionsstedet, smerter ved injektionsstedet, smerter ved punkturstedet og betændelse i injektionsstedet er specifikke i forhold til clarithromycins intravenøse formulering. </w:t>
      </w:r>
    </w:p>
    <w:p w:rsidR="00CA5858" w:rsidRPr="005A561F" w:rsidRDefault="00CA5858" w:rsidP="00CA5858">
      <w:pPr>
        <w:ind w:left="851" w:hanging="851"/>
        <w:rPr>
          <w:sz w:val="24"/>
          <w:szCs w:val="24"/>
        </w:rPr>
      </w:pPr>
    </w:p>
    <w:p w:rsidR="00CA6D95" w:rsidRPr="005A561F" w:rsidRDefault="00CA6D95" w:rsidP="00CA6D95">
      <w:pPr>
        <w:ind w:left="851"/>
        <w:rPr>
          <w:sz w:val="24"/>
          <w:szCs w:val="24"/>
        </w:rPr>
      </w:pPr>
      <w:r w:rsidRPr="005A561F">
        <w:rPr>
          <w:sz w:val="24"/>
          <w:szCs w:val="24"/>
        </w:rPr>
        <w:t xml:space="preserve">I nogle rapporter om rhabdomyolyse var clarithromycin blevet administreret sammen med </w:t>
      </w:r>
      <w:r>
        <w:rPr>
          <w:sz w:val="24"/>
          <w:szCs w:val="24"/>
        </w:rPr>
        <w:t xml:space="preserve">andre lægemidler, som er kendt for at være associeret med rhabdomyolyse (såsom </w:t>
      </w:r>
      <w:r w:rsidRPr="005A561F">
        <w:rPr>
          <w:sz w:val="24"/>
          <w:szCs w:val="24"/>
        </w:rPr>
        <w:t>statiner, fibrater, colchicin eller allopurinol</w:t>
      </w:r>
      <w:r>
        <w:rPr>
          <w:sz w:val="24"/>
          <w:szCs w:val="24"/>
        </w:rPr>
        <w:t>)</w:t>
      </w:r>
      <w:r w:rsidRPr="005A561F">
        <w:rPr>
          <w:sz w:val="24"/>
          <w:szCs w:val="24"/>
        </w:rPr>
        <w:t xml:space="preserve"> (se pkt. 4.3 og 4.4). </w:t>
      </w:r>
    </w:p>
    <w:p w:rsidR="00CA5858" w:rsidRPr="005A561F" w:rsidRDefault="00CA5858" w:rsidP="00CA5858">
      <w:pPr>
        <w:ind w:left="851" w:hanging="851"/>
        <w:rPr>
          <w:sz w:val="24"/>
          <w:szCs w:val="24"/>
        </w:rPr>
      </w:pPr>
    </w:p>
    <w:p w:rsidR="00CA5858" w:rsidRPr="005A561F" w:rsidRDefault="00CA5858" w:rsidP="00CA5858">
      <w:pPr>
        <w:ind w:left="851"/>
        <w:rPr>
          <w:sz w:val="24"/>
          <w:szCs w:val="24"/>
        </w:rPr>
      </w:pPr>
      <w:r w:rsidRPr="005A561F">
        <w:rPr>
          <w:sz w:val="24"/>
          <w:szCs w:val="24"/>
        </w:rPr>
        <w:t xml:space="preserve">Der er efter markedsføring indberettet lægemiddelinteraktioner og virkninger på centralnervesystemet (f.eks. døsighed og forvirring) ved samtidig anvendelse af clarithromycin og triazolam. Det anbefales, at patienten overvåges for øget farmakologisk effekt på centralnervesystemet (se pkt. 4.5). </w:t>
      </w:r>
    </w:p>
    <w:p w:rsidR="00CA5858" w:rsidRPr="005A561F" w:rsidRDefault="00CA5858" w:rsidP="00CA5858">
      <w:pPr>
        <w:ind w:left="851" w:hanging="851"/>
        <w:rPr>
          <w:sz w:val="24"/>
          <w:szCs w:val="24"/>
        </w:rPr>
      </w:pPr>
    </w:p>
    <w:p w:rsidR="00CA5858" w:rsidRPr="005A561F" w:rsidRDefault="00CA5858" w:rsidP="00CA5858">
      <w:pPr>
        <w:ind w:left="851"/>
        <w:rPr>
          <w:sz w:val="24"/>
          <w:szCs w:val="24"/>
        </w:rPr>
      </w:pPr>
      <w:r w:rsidRPr="005A561F">
        <w:rPr>
          <w:sz w:val="24"/>
          <w:szCs w:val="24"/>
        </w:rPr>
        <w:t>Der har været sjældne rapporter om clarithromycin</w:t>
      </w:r>
      <w:r w:rsidR="00CA6D95">
        <w:rPr>
          <w:sz w:val="24"/>
          <w:szCs w:val="24"/>
        </w:rPr>
        <w:t xml:space="preserve"> </w:t>
      </w:r>
      <w:r w:rsidRPr="005A561F">
        <w:rPr>
          <w:sz w:val="24"/>
          <w:szCs w:val="24"/>
        </w:rPr>
        <w:t xml:space="preserve">depottabletter i afføringen, hvoraf mange har fundet sted hos patienter med anatomiske (herunder ileostomi eller kolostomi) eller funktionelle gastrointestinale sygdomme med forkortede passagetider i tarmsystemet. </w:t>
      </w:r>
      <w:r w:rsidRPr="005A561F">
        <w:rPr>
          <w:sz w:val="24"/>
          <w:szCs w:val="24"/>
        </w:rPr>
        <w:lastRenderedPageBreak/>
        <w:t>I flere rapporter er der fundet tabletrester i forbindelse med diarré. Det anbefales, at patienter, som oplever tabletrester i afføringen og ingen forbedring i deres tilstand, skal skifte til en anden formulering af clarithromycin (f.eks. suspension) eller andet antibiotika.</w:t>
      </w:r>
    </w:p>
    <w:p w:rsidR="00CA5858" w:rsidRPr="005A561F" w:rsidRDefault="00CA5858" w:rsidP="00CA5858">
      <w:pPr>
        <w:ind w:left="851" w:hanging="851"/>
        <w:rPr>
          <w:sz w:val="24"/>
          <w:szCs w:val="24"/>
        </w:rPr>
      </w:pPr>
    </w:p>
    <w:p w:rsidR="00CA5858" w:rsidRPr="005A561F" w:rsidRDefault="00CA5858" w:rsidP="00CA5858">
      <w:pPr>
        <w:ind w:left="851"/>
        <w:rPr>
          <w:sz w:val="24"/>
          <w:szCs w:val="24"/>
        </w:rPr>
      </w:pPr>
      <w:r w:rsidRPr="005A561F">
        <w:rPr>
          <w:sz w:val="24"/>
          <w:szCs w:val="24"/>
        </w:rPr>
        <w:t xml:space="preserve">Særlige patientgrupper: Bivirkninger hos immunkompromitterede patienter (se pkt. e). </w:t>
      </w:r>
    </w:p>
    <w:p w:rsidR="00CA5858" w:rsidRPr="005A561F" w:rsidRDefault="00CA5858" w:rsidP="00CA5858">
      <w:pPr>
        <w:ind w:left="851" w:hanging="851"/>
        <w:rPr>
          <w:sz w:val="24"/>
          <w:szCs w:val="24"/>
        </w:rPr>
      </w:pPr>
    </w:p>
    <w:p w:rsidR="00CA5858" w:rsidRPr="005A561F" w:rsidRDefault="00CA5858" w:rsidP="00CA5858">
      <w:pPr>
        <w:ind w:left="851"/>
        <w:rPr>
          <w:sz w:val="24"/>
          <w:szCs w:val="24"/>
        </w:rPr>
      </w:pPr>
      <w:r w:rsidRPr="005A561F">
        <w:rPr>
          <w:b/>
          <w:i/>
          <w:sz w:val="24"/>
          <w:szCs w:val="24"/>
        </w:rPr>
        <w:t>d. Pædiatrisk population</w:t>
      </w:r>
    </w:p>
    <w:p w:rsidR="00CA5858" w:rsidRPr="005A561F" w:rsidRDefault="00CA5858" w:rsidP="00B957E7">
      <w:pPr>
        <w:ind w:left="851"/>
        <w:rPr>
          <w:sz w:val="24"/>
          <w:szCs w:val="24"/>
        </w:rPr>
      </w:pPr>
      <w:r w:rsidRPr="005A561F">
        <w:rPr>
          <w:sz w:val="24"/>
          <w:szCs w:val="24"/>
        </w:rPr>
        <w:t>Kliniske forsøg er blevet udført med clarithromycin pædiatrisk suspension til børn i alderen 6 måneder til 12 år. Børn under 12 år bør derfor tage clarithromycin som pædiatrisk suspension</w:t>
      </w:r>
      <w:r w:rsidR="00033999">
        <w:rPr>
          <w:sz w:val="24"/>
          <w:szCs w:val="24"/>
        </w:rPr>
        <w:t>.</w:t>
      </w:r>
      <w:r w:rsidRPr="005A561F">
        <w:rPr>
          <w:sz w:val="24"/>
          <w:szCs w:val="24"/>
        </w:rPr>
        <w:t xml:space="preserve"> </w:t>
      </w:r>
    </w:p>
    <w:p w:rsidR="00CA5858" w:rsidRPr="005A561F" w:rsidRDefault="00CA5858" w:rsidP="00B957E7">
      <w:pPr>
        <w:ind w:left="851"/>
        <w:rPr>
          <w:sz w:val="24"/>
          <w:szCs w:val="24"/>
        </w:rPr>
      </w:pPr>
      <w:r w:rsidRPr="005A561F">
        <w:rPr>
          <w:sz w:val="24"/>
          <w:szCs w:val="24"/>
        </w:rPr>
        <w:t xml:space="preserve">Frekvens, type og sværhedsgrad af bivirkninger hos børn forventes at være den samme som hos voksne. </w:t>
      </w:r>
    </w:p>
    <w:p w:rsidR="00CA5858" w:rsidRPr="005A561F" w:rsidRDefault="00CA5858" w:rsidP="00B957E7">
      <w:pPr>
        <w:ind w:left="851"/>
        <w:rPr>
          <w:sz w:val="24"/>
          <w:szCs w:val="24"/>
        </w:rPr>
      </w:pPr>
    </w:p>
    <w:p w:rsidR="00CA5858" w:rsidRPr="005A561F" w:rsidRDefault="00CA5858" w:rsidP="00CA5858">
      <w:pPr>
        <w:ind w:left="851"/>
        <w:rPr>
          <w:sz w:val="24"/>
          <w:szCs w:val="24"/>
        </w:rPr>
      </w:pPr>
      <w:r w:rsidRPr="005A561F">
        <w:rPr>
          <w:b/>
          <w:sz w:val="24"/>
          <w:szCs w:val="24"/>
        </w:rPr>
        <w:t xml:space="preserve">e. </w:t>
      </w:r>
      <w:r w:rsidRPr="005A561F">
        <w:rPr>
          <w:b/>
          <w:i/>
          <w:sz w:val="24"/>
          <w:szCs w:val="24"/>
        </w:rPr>
        <w:t>Andre særlige patientgrupper</w:t>
      </w:r>
      <w:r w:rsidRPr="005A561F">
        <w:rPr>
          <w:sz w:val="24"/>
          <w:szCs w:val="24"/>
        </w:rPr>
        <w:t xml:space="preserve"> </w:t>
      </w:r>
    </w:p>
    <w:p w:rsidR="00CA5858" w:rsidRPr="005A561F" w:rsidRDefault="00CA5858" w:rsidP="00CA5858">
      <w:pPr>
        <w:ind w:left="851" w:hanging="851"/>
        <w:rPr>
          <w:i/>
          <w:iCs/>
          <w:sz w:val="24"/>
          <w:szCs w:val="24"/>
        </w:rPr>
      </w:pPr>
    </w:p>
    <w:p w:rsidR="00CA5858" w:rsidRPr="005A561F" w:rsidRDefault="00CA5858" w:rsidP="00CA5858">
      <w:pPr>
        <w:ind w:left="851"/>
        <w:rPr>
          <w:sz w:val="24"/>
          <w:szCs w:val="24"/>
        </w:rPr>
      </w:pPr>
      <w:r w:rsidRPr="005A561F">
        <w:rPr>
          <w:i/>
          <w:sz w:val="24"/>
          <w:szCs w:val="24"/>
        </w:rPr>
        <w:t>Immunkompromitterede patienter</w:t>
      </w:r>
    </w:p>
    <w:p w:rsidR="00CA5858" w:rsidRPr="005A561F" w:rsidRDefault="00CA5858" w:rsidP="00CA5858">
      <w:pPr>
        <w:ind w:left="851"/>
        <w:rPr>
          <w:sz w:val="24"/>
          <w:szCs w:val="24"/>
        </w:rPr>
      </w:pPr>
      <w:r w:rsidRPr="005A561F">
        <w:rPr>
          <w:sz w:val="24"/>
          <w:szCs w:val="24"/>
        </w:rPr>
        <w:t xml:space="preserve">Hos AIDS- og andre immunkompromitterede patienter behandlet for mykobakterielle infektioner med højere doser clarithromycin over længere tid, var det ofte svært at skelne bivirkninger eventuelt associeret med clarithromycinadministration fra underliggende tegn på human immundefektvirus (HIV) eller interkurrent sygdom. </w:t>
      </w:r>
    </w:p>
    <w:p w:rsidR="00CA5858" w:rsidRPr="005A561F" w:rsidRDefault="00CA5858" w:rsidP="00CA5858">
      <w:pPr>
        <w:ind w:left="851" w:hanging="851"/>
        <w:rPr>
          <w:sz w:val="24"/>
          <w:szCs w:val="24"/>
        </w:rPr>
      </w:pPr>
    </w:p>
    <w:p w:rsidR="00CA5858" w:rsidRPr="00033999" w:rsidRDefault="00CA5858" w:rsidP="00CA5858">
      <w:pPr>
        <w:ind w:left="851"/>
        <w:rPr>
          <w:sz w:val="24"/>
          <w:szCs w:val="24"/>
        </w:rPr>
      </w:pPr>
      <w:r w:rsidRPr="00033999">
        <w:rPr>
          <w:sz w:val="24"/>
          <w:szCs w:val="24"/>
        </w:rPr>
        <w:t xml:space="preserve">Hos voksne patienter var de hyppigste bivirkninger rapporteret af patienter, der blev behandlet med samlede daglige doser på 1.000 mg og 2.000 mg clarithromycin: kvalme, opkastning, smagsforstyrrelse, abdominalsmerter, diarré, udslæt, flatulens, hovedpine, obstipation, høreforstyrrelse, forhøjet serum-glutamin-oxalsyre-transaminase (SGOT) og serum-glutamin-pyruvat-transaminase (SPGT). Yderligere hændelser af lavere hyppighed omfatter dyspnø, søvnløshed og mundtørhed. Forekomsten var sammenlignelig for patienter behandlet med 1.000 mg og 2.000 mg, men var generelt omkring 3 til 4 gange så hyppig for de patienter, som modtog samlede daglige doser på 4.000 mg clarithromycin. </w:t>
      </w:r>
    </w:p>
    <w:p w:rsidR="00CA5858" w:rsidRPr="005A561F" w:rsidRDefault="00CA5858" w:rsidP="00CA5858">
      <w:pPr>
        <w:ind w:left="851" w:hanging="851"/>
        <w:rPr>
          <w:sz w:val="24"/>
          <w:szCs w:val="24"/>
        </w:rPr>
      </w:pPr>
    </w:p>
    <w:p w:rsidR="00CA5858" w:rsidRPr="005A561F" w:rsidRDefault="00CA5858" w:rsidP="00CA5858">
      <w:pPr>
        <w:ind w:left="851"/>
        <w:rPr>
          <w:sz w:val="24"/>
          <w:szCs w:val="24"/>
        </w:rPr>
      </w:pPr>
      <w:r w:rsidRPr="005A561F">
        <w:rPr>
          <w:sz w:val="24"/>
          <w:szCs w:val="24"/>
        </w:rPr>
        <w:t xml:space="preserve">Hos disse immunkompromitterede patienter blev evaluering af laboratorieværdier foretaget ved at analysere de værdier, der lå uden for det alvorlige abnorme niveau (dvs. meget høj eller meget lav grænse) for den angivne test. På baggrund af disse kriterier havde omkring 2 % til 3 % af de patienter, som </w:t>
      </w:r>
      <w:r w:rsidR="00EE71BF">
        <w:rPr>
          <w:sz w:val="24"/>
          <w:szCs w:val="24"/>
        </w:rPr>
        <w:t>daglig</w:t>
      </w:r>
      <w:r w:rsidRPr="005A561F">
        <w:rPr>
          <w:sz w:val="24"/>
          <w:szCs w:val="24"/>
        </w:rPr>
        <w:t xml:space="preserve"> fik 1.000 mg eller 2.000 mg clarithromycin alvorligt abnorme forhøjede niveauer af SGOT og SGPT og abnormt lave hvide blodlegemetal og blodpladetal. En lavere procentdel af patienterne i disse to doseringsgrupper havde ligeledes forhøjede carbamid-nitrogen-niveauer</w:t>
      </w:r>
      <w:r w:rsidR="00786740">
        <w:rPr>
          <w:sz w:val="24"/>
          <w:szCs w:val="24"/>
        </w:rPr>
        <w:t xml:space="preserve"> (BUN)</w:t>
      </w:r>
      <w:r w:rsidRPr="005A561F">
        <w:rPr>
          <w:sz w:val="24"/>
          <w:szCs w:val="24"/>
        </w:rPr>
        <w:t xml:space="preserve"> i blodet. Der blev bemærket en lettere forhøjet forekomst af abnorme værdier hos patienter, som fik 4.000 mg </w:t>
      </w:r>
      <w:r w:rsidR="00EE71BF">
        <w:rPr>
          <w:sz w:val="24"/>
          <w:szCs w:val="24"/>
        </w:rPr>
        <w:t>daglig</w:t>
      </w:r>
      <w:r w:rsidRPr="005A561F">
        <w:rPr>
          <w:sz w:val="24"/>
          <w:szCs w:val="24"/>
        </w:rPr>
        <w:t xml:space="preserve"> for samtlige parametre, undtagen hvide blodlegemetal.</w:t>
      </w:r>
    </w:p>
    <w:p w:rsidR="00CA5858" w:rsidRPr="005A561F" w:rsidRDefault="00CA5858" w:rsidP="00CA5858">
      <w:pPr>
        <w:autoSpaceDE w:val="0"/>
        <w:autoSpaceDN w:val="0"/>
        <w:adjustRightInd w:val="0"/>
        <w:ind w:left="851"/>
        <w:rPr>
          <w:b/>
          <w:noProof/>
          <w:sz w:val="24"/>
          <w:szCs w:val="24"/>
          <w:u w:val="single"/>
        </w:rPr>
      </w:pPr>
    </w:p>
    <w:p w:rsidR="00C85606" w:rsidRPr="003952CE" w:rsidRDefault="00C85606" w:rsidP="00C85606">
      <w:pPr>
        <w:autoSpaceDE w:val="0"/>
        <w:autoSpaceDN w:val="0"/>
        <w:ind w:left="851"/>
        <w:rPr>
          <w:sz w:val="24"/>
          <w:szCs w:val="24"/>
          <w:u w:val="single"/>
        </w:rPr>
      </w:pPr>
      <w:r w:rsidRPr="003952CE">
        <w:rPr>
          <w:sz w:val="24"/>
          <w:szCs w:val="24"/>
          <w:u w:val="single"/>
        </w:rPr>
        <w:t>Indberetning af formodede bivirkninger</w:t>
      </w:r>
    </w:p>
    <w:p w:rsidR="00C85606" w:rsidRPr="003952CE" w:rsidRDefault="00C85606" w:rsidP="00C85606">
      <w:pPr>
        <w:ind w:left="851"/>
        <w:rPr>
          <w:sz w:val="24"/>
          <w:szCs w:val="24"/>
        </w:rPr>
      </w:pPr>
      <w:r w:rsidRPr="003952CE">
        <w:rPr>
          <w:sz w:val="24"/>
          <w:szCs w:val="24"/>
        </w:rPr>
        <w:t xml:space="preserve">Når lægemidlet er godkendt, er indberetning af formodede bivirkninger vigtig. Det muliggør løbende overvågning af benefit/risk-forholdet for lægemidlet. </w:t>
      </w:r>
      <w:r>
        <w:rPr>
          <w:sz w:val="24"/>
          <w:szCs w:val="24"/>
        </w:rPr>
        <w:t>S</w:t>
      </w:r>
      <w:r w:rsidRPr="003952CE">
        <w:rPr>
          <w:sz w:val="24"/>
          <w:szCs w:val="24"/>
        </w:rPr>
        <w:t>undhedsperson</w:t>
      </w:r>
      <w:r>
        <w:rPr>
          <w:sz w:val="24"/>
          <w:szCs w:val="24"/>
        </w:rPr>
        <w:t>er</w:t>
      </w:r>
      <w:r w:rsidRPr="003952CE">
        <w:rPr>
          <w:sz w:val="24"/>
          <w:szCs w:val="24"/>
        </w:rPr>
        <w:t xml:space="preserve"> anmodes om at indberette alle formodede bivirkninger via:</w:t>
      </w:r>
    </w:p>
    <w:p w:rsidR="00C85606" w:rsidRPr="003952CE" w:rsidRDefault="00C85606" w:rsidP="00C85606">
      <w:pPr>
        <w:tabs>
          <w:tab w:val="left" w:pos="2440"/>
        </w:tabs>
        <w:ind w:left="851"/>
        <w:rPr>
          <w:sz w:val="24"/>
          <w:szCs w:val="24"/>
        </w:rPr>
      </w:pPr>
    </w:p>
    <w:p w:rsidR="00C85606" w:rsidRPr="003952CE" w:rsidRDefault="00C85606" w:rsidP="00C85606">
      <w:pPr>
        <w:ind w:left="851"/>
        <w:rPr>
          <w:sz w:val="24"/>
          <w:szCs w:val="24"/>
        </w:rPr>
      </w:pPr>
      <w:r w:rsidRPr="003952CE">
        <w:rPr>
          <w:sz w:val="24"/>
          <w:szCs w:val="24"/>
        </w:rPr>
        <w:t>Lægemiddelstyrelsen</w:t>
      </w:r>
    </w:p>
    <w:p w:rsidR="00C85606" w:rsidRPr="003952CE" w:rsidRDefault="00C85606" w:rsidP="00C85606">
      <w:pPr>
        <w:ind w:left="851"/>
        <w:rPr>
          <w:sz w:val="24"/>
          <w:szCs w:val="24"/>
        </w:rPr>
      </w:pPr>
      <w:r w:rsidRPr="003952CE">
        <w:rPr>
          <w:sz w:val="24"/>
          <w:szCs w:val="24"/>
        </w:rPr>
        <w:t>Axel Heides Gade 1</w:t>
      </w:r>
    </w:p>
    <w:p w:rsidR="00C85606" w:rsidRPr="003952CE" w:rsidRDefault="00C85606" w:rsidP="00C85606">
      <w:pPr>
        <w:ind w:left="851"/>
        <w:rPr>
          <w:sz w:val="24"/>
          <w:szCs w:val="24"/>
        </w:rPr>
      </w:pPr>
      <w:r w:rsidRPr="003952CE">
        <w:rPr>
          <w:sz w:val="24"/>
          <w:szCs w:val="24"/>
        </w:rPr>
        <w:t>DK-2300 København S</w:t>
      </w:r>
    </w:p>
    <w:p w:rsidR="00C85606" w:rsidRPr="000A1DC3" w:rsidRDefault="00C85606" w:rsidP="00C85606">
      <w:pPr>
        <w:ind w:left="851"/>
        <w:rPr>
          <w:sz w:val="24"/>
          <w:szCs w:val="24"/>
        </w:rPr>
      </w:pPr>
      <w:r w:rsidRPr="000A1DC3">
        <w:rPr>
          <w:sz w:val="24"/>
          <w:szCs w:val="24"/>
        </w:rPr>
        <w:t xml:space="preserve">Websted: </w:t>
      </w:r>
      <w:r w:rsidRPr="000C3216">
        <w:rPr>
          <w:sz w:val="24"/>
          <w:szCs w:val="24"/>
        </w:rPr>
        <w:t>www.meldenbivirkning.dk</w:t>
      </w:r>
    </w:p>
    <w:p w:rsidR="00B957E7" w:rsidRDefault="00B957E7">
      <w:pPr>
        <w:rPr>
          <w:sz w:val="24"/>
          <w:szCs w:val="24"/>
          <w:lang w:eastAsia="da-DK"/>
        </w:rPr>
      </w:pPr>
      <w:r>
        <w:rPr>
          <w:szCs w:val="24"/>
        </w:rPr>
        <w:br w:type="page"/>
      </w:r>
    </w:p>
    <w:p w:rsidR="00CA5858" w:rsidRPr="005A561F" w:rsidRDefault="00CA5858" w:rsidP="00CA5858">
      <w:pPr>
        <w:pStyle w:val="Sidehoved"/>
        <w:tabs>
          <w:tab w:val="clear" w:pos="4819"/>
          <w:tab w:val="clear" w:pos="9638"/>
        </w:tabs>
        <w:ind w:left="851" w:hanging="851"/>
        <w:rPr>
          <w:szCs w:val="24"/>
        </w:rPr>
      </w:pPr>
    </w:p>
    <w:p w:rsidR="00F26B82" w:rsidRPr="00C84483" w:rsidRDefault="00F26B82" w:rsidP="00F26B82">
      <w:pPr>
        <w:tabs>
          <w:tab w:val="left" w:pos="851"/>
        </w:tabs>
        <w:ind w:left="851" w:hanging="851"/>
        <w:rPr>
          <w:b/>
          <w:sz w:val="24"/>
          <w:szCs w:val="24"/>
        </w:rPr>
      </w:pPr>
      <w:r w:rsidRPr="00C84483">
        <w:rPr>
          <w:b/>
          <w:sz w:val="24"/>
          <w:szCs w:val="24"/>
        </w:rPr>
        <w:t>4.9</w:t>
      </w:r>
      <w:r w:rsidRPr="00C84483">
        <w:rPr>
          <w:b/>
          <w:sz w:val="24"/>
          <w:szCs w:val="24"/>
        </w:rPr>
        <w:tab/>
        <w:t>Overdosering</w:t>
      </w:r>
    </w:p>
    <w:p w:rsidR="00CA5858" w:rsidRPr="00C85606" w:rsidRDefault="00CA5858" w:rsidP="00C85606">
      <w:pPr>
        <w:ind w:left="851"/>
        <w:rPr>
          <w:sz w:val="24"/>
          <w:szCs w:val="24"/>
        </w:rPr>
      </w:pPr>
    </w:p>
    <w:p w:rsidR="00CA5858" w:rsidRPr="00C85606" w:rsidRDefault="00CA5858" w:rsidP="00C85606">
      <w:pPr>
        <w:ind w:left="851"/>
        <w:rPr>
          <w:sz w:val="24"/>
          <w:szCs w:val="24"/>
          <w:u w:val="single"/>
        </w:rPr>
      </w:pPr>
      <w:r w:rsidRPr="00C85606">
        <w:rPr>
          <w:sz w:val="24"/>
          <w:szCs w:val="24"/>
          <w:u w:val="single"/>
        </w:rPr>
        <w:t>Symptomer</w:t>
      </w:r>
    </w:p>
    <w:p w:rsidR="00CA5858" w:rsidRPr="00C85606" w:rsidRDefault="00CA5858" w:rsidP="00C85606">
      <w:pPr>
        <w:ind w:left="851"/>
        <w:rPr>
          <w:sz w:val="24"/>
          <w:szCs w:val="24"/>
        </w:rPr>
      </w:pPr>
      <w:r w:rsidRPr="00C85606">
        <w:rPr>
          <w:sz w:val="24"/>
          <w:szCs w:val="24"/>
        </w:rPr>
        <w:t>Rapporter viser, at indtagelse af store mængder clarithromycin kan forventes at give gastrointestinale symptomer. En patient med bipolær sygdom i anamnesen indtog 8 g clarithromycin og viste forandret mental status, paranoid opførsel, hypokaliæmi og hypoksæmi.</w:t>
      </w:r>
    </w:p>
    <w:p w:rsidR="00CA5858" w:rsidRPr="00C85606" w:rsidRDefault="00CA5858" w:rsidP="00C85606">
      <w:pPr>
        <w:ind w:left="851"/>
        <w:rPr>
          <w:sz w:val="24"/>
          <w:szCs w:val="24"/>
        </w:rPr>
      </w:pPr>
    </w:p>
    <w:p w:rsidR="00CA5858" w:rsidRPr="00C85606" w:rsidRDefault="00CA5858" w:rsidP="00C85606">
      <w:pPr>
        <w:ind w:left="851"/>
        <w:rPr>
          <w:sz w:val="24"/>
          <w:szCs w:val="24"/>
          <w:u w:val="single"/>
        </w:rPr>
      </w:pPr>
      <w:r w:rsidRPr="00C85606">
        <w:rPr>
          <w:sz w:val="24"/>
          <w:szCs w:val="24"/>
          <w:u w:val="single"/>
        </w:rPr>
        <w:t>Håndtering</w:t>
      </w:r>
    </w:p>
    <w:p w:rsidR="00CA5858" w:rsidRPr="00C85606" w:rsidRDefault="00CA5858" w:rsidP="00C85606">
      <w:pPr>
        <w:ind w:left="851"/>
        <w:rPr>
          <w:spacing w:val="-3"/>
          <w:sz w:val="24"/>
          <w:szCs w:val="24"/>
        </w:rPr>
      </w:pPr>
      <w:r w:rsidRPr="00C85606">
        <w:rPr>
          <w:spacing w:val="-3"/>
          <w:sz w:val="24"/>
          <w:szCs w:val="24"/>
        </w:rPr>
        <w:t>Bivirkninger som følge af overdosering bør behandles med prompte eliminering af ikke absorberet substans og understøttende behandling</w:t>
      </w:r>
      <w:r w:rsidRPr="00C85606">
        <w:rPr>
          <w:sz w:val="24"/>
          <w:szCs w:val="24"/>
        </w:rPr>
        <w:t xml:space="preserve">. Som for andre makrolider, forventes serumkoncentrationen af </w:t>
      </w:r>
      <w:r w:rsidRPr="00C85606">
        <w:rPr>
          <w:spacing w:val="-3"/>
          <w:sz w:val="24"/>
          <w:szCs w:val="24"/>
        </w:rPr>
        <w:t>clarithromycin ikke at kunne nedsættes med hæmodialyse eller peritoneal dialyse.</w:t>
      </w:r>
    </w:p>
    <w:p w:rsidR="00CA5858" w:rsidRPr="005A561F" w:rsidRDefault="00CA5858" w:rsidP="00CA5858">
      <w:pPr>
        <w:ind w:left="851" w:hanging="851"/>
        <w:rPr>
          <w:sz w:val="24"/>
          <w:szCs w:val="24"/>
        </w:rPr>
      </w:pPr>
    </w:p>
    <w:p w:rsidR="00F26B82" w:rsidRPr="00C84483" w:rsidRDefault="00F26B82" w:rsidP="00F26B82">
      <w:pPr>
        <w:tabs>
          <w:tab w:val="left" w:pos="851"/>
        </w:tabs>
        <w:ind w:left="851" w:hanging="851"/>
        <w:rPr>
          <w:b/>
          <w:sz w:val="24"/>
          <w:szCs w:val="24"/>
        </w:rPr>
      </w:pPr>
      <w:r w:rsidRPr="00C84483">
        <w:rPr>
          <w:b/>
          <w:sz w:val="24"/>
          <w:szCs w:val="24"/>
        </w:rPr>
        <w:t>4.10</w:t>
      </w:r>
      <w:r w:rsidRPr="00C84483">
        <w:rPr>
          <w:b/>
          <w:sz w:val="24"/>
          <w:szCs w:val="24"/>
        </w:rPr>
        <w:tab/>
        <w:t>Udlevering</w:t>
      </w:r>
    </w:p>
    <w:p w:rsidR="00CA5858" w:rsidRPr="005A561F" w:rsidRDefault="00CA5858" w:rsidP="00CA5858">
      <w:pPr>
        <w:ind w:left="851" w:hanging="851"/>
        <w:rPr>
          <w:sz w:val="24"/>
          <w:szCs w:val="24"/>
        </w:rPr>
      </w:pPr>
      <w:r w:rsidRPr="005A561F">
        <w:rPr>
          <w:sz w:val="24"/>
          <w:szCs w:val="24"/>
        </w:rPr>
        <w:tab/>
        <w:t>B</w:t>
      </w:r>
    </w:p>
    <w:p w:rsidR="00CA5858" w:rsidRPr="005A561F" w:rsidRDefault="00CA5858" w:rsidP="00CA5858">
      <w:pPr>
        <w:ind w:left="851" w:hanging="851"/>
        <w:rPr>
          <w:sz w:val="24"/>
          <w:szCs w:val="24"/>
        </w:rPr>
      </w:pPr>
    </w:p>
    <w:p w:rsidR="00CA5858" w:rsidRPr="005A561F" w:rsidRDefault="00CA5858" w:rsidP="00CA5858">
      <w:pPr>
        <w:ind w:left="851" w:hanging="851"/>
        <w:rPr>
          <w:sz w:val="24"/>
          <w:szCs w:val="24"/>
        </w:rPr>
      </w:pPr>
    </w:p>
    <w:p w:rsidR="00F26B82" w:rsidRPr="00C84483" w:rsidRDefault="00F26B82" w:rsidP="00F26B82">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F26B82" w:rsidRPr="00C84483" w:rsidRDefault="00F26B82" w:rsidP="00F26B82">
      <w:pPr>
        <w:tabs>
          <w:tab w:val="left" w:pos="851"/>
        </w:tabs>
        <w:ind w:left="851"/>
        <w:rPr>
          <w:sz w:val="24"/>
          <w:szCs w:val="24"/>
        </w:rPr>
      </w:pPr>
    </w:p>
    <w:p w:rsidR="00F26B82" w:rsidRPr="00C84483" w:rsidRDefault="00F26B82" w:rsidP="00F26B82">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CA5858" w:rsidRDefault="00610D76" w:rsidP="00CA5858">
      <w:pPr>
        <w:ind w:left="851"/>
        <w:rPr>
          <w:sz w:val="24"/>
          <w:szCs w:val="24"/>
        </w:rPr>
      </w:pPr>
      <w:r>
        <w:rPr>
          <w:sz w:val="24"/>
          <w:szCs w:val="24"/>
        </w:rPr>
        <w:t>Farmakot</w:t>
      </w:r>
      <w:r w:rsidR="0090243F">
        <w:rPr>
          <w:sz w:val="24"/>
          <w:szCs w:val="24"/>
        </w:rPr>
        <w:t xml:space="preserve">erapeutisk klassifikation: </w:t>
      </w:r>
      <w:r w:rsidR="00E30040">
        <w:rPr>
          <w:sz w:val="24"/>
          <w:szCs w:val="24"/>
        </w:rPr>
        <w:t>Antibakterielle midler til systemisk brug, makrolider</w:t>
      </w:r>
      <w:r w:rsidR="006B7B92">
        <w:rPr>
          <w:sz w:val="24"/>
          <w:szCs w:val="24"/>
        </w:rPr>
        <w:t xml:space="preserve">, </w:t>
      </w:r>
      <w:r w:rsidR="006B7B92" w:rsidRPr="005A561F">
        <w:rPr>
          <w:sz w:val="24"/>
          <w:szCs w:val="24"/>
        </w:rPr>
        <w:t>ATC-kode: J01FA09</w:t>
      </w:r>
      <w:r w:rsidR="006B7B92">
        <w:rPr>
          <w:sz w:val="24"/>
          <w:szCs w:val="24"/>
        </w:rPr>
        <w:t>.</w:t>
      </w:r>
    </w:p>
    <w:p w:rsidR="006B7B92" w:rsidRPr="005A561F" w:rsidRDefault="006B7B92" w:rsidP="00CA5858">
      <w:pPr>
        <w:ind w:left="851"/>
        <w:rPr>
          <w:sz w:val="24"/>
          <w:szCs w:val="24"/>
        </w:rPr>
      </w:pPr>
    </w:p>
    <w:p w:rsidR="00CA5858" w:rsidRPr="005A561F" w:rsidRDefault="00CA5858" w:rsidP="00CA5858">
      <w:pPr>
        <w:ind w:left="851"/>
        <w:rPr>
          <w:sz w:val="24"/>
          <w:szCs w:val="24"/>
          <w:u w:val="single"/>
        </w:rPr>
      </w:pPr>
      <w:r w:rsidRPr="005A561F">
        <w:rPr>
          <w:sz w:val="24"/>
          <w:szCs w:val="24"/>
          <w:u w:val="single"/>
        </w:rPr>
        <w:t>Virkningsmekanisme</w:t>
      </w:r>
    </w:p>
    <w:p w:rsidR="00CA5858" w:rsidRPr="005A561F" w:rsidRDefault="00CA5858" w:rsidP="00CA5858">
      <w:pPr>
        <w:ind w:left="851"/>
        <w:rPr>
          <w:sz w:val="24"/>
          <w:szCs w:val="24"/>
        </w:rPr>
      </w:pPr>
      <w:r w:rsidRPr="005A561F">
        <w:rPr>
          <w:sz w:val="24"/>
          <w:szCs w:val="24"/>
        </w:rPr>
        <w:t xml:space="preserve">Clarithromycin er et semisyntetisk derivat af erythromycin A. Det udøver sin antibakterielle virkning ved at bindes til den 50s ribosomale underenhed af følsomme bakterier og undertrykke proteinsyntesen. Det er yderst potent mod en lang række aerobe og anaerobe gram-positive og gram-negative organismer. De mindst </w:t>
      </w:r>
      <w:r w:rsidR="00851838">
        <w:rPr>
          <w:sz w:val="24"/>
          <w:szCs w:val="24"/>
        </w:rPr>
        <w:t>inhiberende</w:t>
      </w:r>
      <w:r w:rsidRPr="005A561F">
        <w:rPr>
          <w:sz w:val="24"/>
          <w:szCs w:val="24"/>
        </w:rPr>
        <w:t xml:space="preserve"> koncentrationer (MIC) af clarithromycin er generelt to gange lavere end MIC for erythromycin.</w:t>
      </w:r>
    </w:p>
    <w:p w:rsidR="00CA5858" w:rsidRPr="005A561F" w:rsidRDefault="00CA5858" w:rsidP="00CA5858">
      <w:pPr>
        <w:ind w:left="851" w:hanging="851"/>
        <w:rPr>
          <w:sz w:val="24"/>
          <w:szCs w:val="24"/>
        </w:rPr>
      </w:pPr>
    </w:p>
    <w:p w:rsidR="00CA5858" w:rsidRPr="005A561F" w:rsidRDefault="00CA5858" w:rsidP="00CA5858">
      <w:pPr>
        <w:ind w:left="851"/>
        <w:rPr>
          <w:sz w:val="24"/>
          <w:szCs w:val="24"/>
        </w:rPr>
      </w:pPr>
      <w:r w:rsidRPr="005A561F">
        <w:rPr>
          <w:sz w:val="24"/>
          <w:szCs w:val="24"/>
        </w:rPr>
        <w:t xml:space="preserve">14-hydroxymetabolitten af clarithromycin udøver også antimikrobiel aktivitet. MIC-værdien for denne metabolit er den samme eller to gange højere end MIC-værdien for udgangsstoffet med undtagelse af </w:t>
      </w:r>
      <w:r w:rsidRPr="005A561F">
        <w:rPr>
          <w:i/>
          <w:sz w:val="24"/>
          <w:szCs w:val="24"/>
        </w:rPr>
        <w:t>H. influenzae</w:t>
      </w:r>
      <w:r w:rsidRPr="005A561F">
        <w:rPr>
          <w:sz w:val="24"/>
          <w:szCs w:val="24"/>
        </w:rPr>
        <w:t>, hvor 14-hydroxymetabolitten er dobbelt så aktiv som udgangsstoffet.</w:t>
      </w:r>
    </w:p>
    <w:p w:rsidR="00CA5858" w:rsidRPr="005A561F" w:rsidRDefault="00CA5858" w:rsidP="00CA5858">
      <w:pPr>
        <w:ind w:left="851" w:hanging="851"/>
        <w:rPr>
          <w:sz w:val="24"/>
          <w:szCs w:val="24"/>
        </w:rPr>
      </w:pPr>
    </w:p>
    <w:p w:rsidR="00CA5858" w:rsidRPr="005A561F" w:rsidRDefault="00CA5858" w:rsidP="00CA5858">
      <w:pPr>
        <w:ind w:left="851"/>
        <w:rPr>
          <w:bCs/>
          <w:iCs/>
          <w:sz w:val="24"/>
          <w:szCs w:val="24"/>
          <w:u w:val="single"/>
        </w:rPr>
      </w:pPr>
      <w:r w:rsidRPr="005A561F">
        <w:rPr>
          <w:sz w:val="24"/>
          <w:szCs w:val="24"/>
          <w:u w:val="single"/>
        </w:rPr>
        <w:t>PK/PD-forholdet</w:t>
      </w:r>
    </w:p>
    <w:p w:rsidR="00CA5858" w:rsidRPr="005A561F" w:rsidRDefault="00CA5858" w:rsidP="00CA5858">
      <w:pPr>
        <w:ind w:left="851"/>
        <w:rPr>
          <w:bCs/>
          <w:iCs/>
          <w:sz w:val="24"/>
          <w:szCs w:val="24"/>
        </w:rPr>
      </w:pPr>
      <w:r w:rsidRPr="005A561F">
        <w:rPr>
          <w:sz w:val="24"/>
          <w:szCs w:val="24"/>
        </w:rPr>
        <w:t>Clarithromycin fordeles i udstrakt omfang i kroppens væv og væsker. Som følge af høj vævspenetrering er intracellulære koncentrationer højere end serumkoncentrationer.</w:t>
      </w:r>
    </w:p>
    <w:p w:rsidR="00CA5858" w:rsidRPr="005A561F" w:rsidRDefault="00CA5858" w:rsidP="00CA5858">
      <w:pPr>
        <w:ind w:left="851"/>
        <w:rPr>
          <w:bCs/>
          <w:iCs/>
          <w:sz w:val="24"/>
          <w:szCs w:val="24"/>
        </w:rPr>
      </w:pPr>
      <w:r w:rsidRPr="005A561F">
        <w:rPr>
          <w:sz w:val="24"/>
          <w:szCs w:val="24"/>
        </w:rPr>
        <w:t>De vigtigste farmakodynamiske parametre for forventelig makrolidaktivitet er ikke fuldstændigt fastsat. Forholdet mellem tiden og MIC (T/MIC) korrelerer muligvis bedst med virkningen af clarithromycin. Men eftersom clarithromycinkoncentrationen i det respiratoriske væv samt epitelomkranset væske overstiger plasmakoncentrationen, kan anvendelsen af parametre baseret på plasmakoncentrationer muligvis ikke præcist forudsige respons for luftvejsinfektioner.</w:t>
      </w:r>
    </w:p>
    <w:p w:rsidR="00CA5858" w:rsidRPr="005A561F" w:rsidRDefault="00CA5858" w:rsidP="00CA5858">
      <w:pPr>
        <w:ind w:left="851" w:hanging="851"/>
        <w:rPr>
          <w:sz w:val="24"/>
          <w:szCs w:val="24"/>
        </w:rPr>
      </w:pPr>
    </w:p>
    <w:p w:rsidR="00CA5858" w:rsidRPr="0093540A" w:rsidRDefault="00CA5858" w:rsidP="0093540A">
      <w:pPr>
        <w:ind w:left="851"/>
        <w:rPr>
          <w:sz w:val="24"/>
          <w:szCs w:val="24"/>
          <w:u w:val="single"/>
        </w:rPr>
      </w:pPr>
      <w:r w:rsidRPr="0093540A">
        <w:rPr>
          <w:sz w:val="24"/>
          <w:szCs w:val="24"/>
          <w:u w:val="single"/>
        </w:rPr>
        <w:t>Resistensmekanismer</w:t>
      </w:r>
    </w:p>
    <w:p w:rsidR="00CA5858" w:rsidRPr="005A561F" w:rsidRDefault="00CA5858" w:rsidP="00CA5858">
      <w:pPr>
        <w:ind w:left="851"/>
        <w:rPr>
          <w:sz w:val="24"/>
          <w:szCs w:val="24"/>
        </w:rPr>
      </w:pPr>
      <w:r w:rsidRPr="005A561F">
        <w:rPr>
          <w:sz w:val="24"/>
          <w:szCs w:val="24"/>
        </w:rPr>
        <w:t xml:space="preserve">Resistensmekanismerne mod makrolidantibiotika inkluderer ændring af targetsted for antibiotika, eller baseres på modificering og/eller aktiv udstrømning af antibiotikaet. Resistensudvikling kan medieres via kromosomer eller plasmider og kan være induceret eller </w:t>
      </w:r>
      <w:r w:rsidRPr="005A561F">
        <w:rPr>
          <w:sz w:val="24"/>
          <w:szCs w:val="24"/>
        </w:rPr>
        <w:lastRenderedPageBreak/>
        <w:t>konstitutiv. Makrolidresistente bakterier danner enzymer, som fører til methylering af restadenin ved ribosomal RNA og følgelig til hæmning af den antibiotiske binding til ribosomet. Makrolidresistente organismer er almindeligvis krydsresistente med lincosamider og streptogramin B baseret på methylering af det ribosomale bindingssted. Clarithromycin befinder sig desuden blandt de stærke inducere af dette enzym. Makrolider har en bakteriostatisk virkning ved at kunne hæmme ribosomers peptidyltransferase.</w:t>
      </w:r>
    </w:p>
    <w:p w:rsidR="00CA5858" w:rsidRPr="005A561F" w:rsidRDefault="00CA5858" w:rsidP="00CA5858">
      <w:pPr>
        <w:ind w:left="851" w:hanging="851"/>
        <w:rPr>
          <w:sz w:val="24"/>
          <w:szCs w:val="24"/>
        </w:rPr>
      </w:pPr>
    </w:p>
    <w:p w:rsidR="00CA5858" w:rsidRDefault="00CA5858" w:rsidP="00CA5858">
      <w:pPr>
        <w:ind w:left="851"/>
        <w:rPr>
          <w:sz w:val="24"/>
          <w:szCs w:val="24"/>
        </w:rPr>
      </w:pPr>
      <w:r w:rsidRPr="005A561F">
        <w:rPr>
          <w:sz w:val="24"/>
          <w:szCs w:val="24"/>
        </w:rPr>
        <w:t xml:space="preserve">Der er en fuldstændig krydsresistens mellem clarithromycin, erythromycin og azithromycin. Methicillinresistente stafylokokker og penicillinresistente </w:t>
      </w:r>
      <w:r w:rsidRPr="005A561F">
        <w:rPr>
          <w:i/>
          <w:sz w:val="24"/>
          <w:szCs w:val="24"/>
        </w:rPr>
        <w:t>Streptococcus pneumoniae</w:t>
      </w:r>
      <w:r w:rsidRPr="005A561F">
        <w:rPr>
          <w:sz w:val="24"/>
          <w:szCs w:val="24"/>
        </w:rPr>
        <w:t xml:space="preserve"> er resistente over for makrolider, såsom clarithromycin.</w:t>
      </w:r>
    </w:p>
    <w:p w:rsidR="00851838" w:rsidRPr="005A561F" w:rsidRDefault="00851838" w:rsidP="00CA5858">
      <w:pPr>
        <w:ind w:left="851"/>
        <w:rPr>
          <w:sz w:val="24"/>
          <w:szCs w:val="24"/>
        </w:rPr>
      </w:pPr>
    </w:p>
    <w:p w:rsidR="00851838" w:rsidRDefault="00851838" w:rsidP="00851838">
      <w:pPr>
        <w:ind w:left="851"/>
        <w:rPr>
          <w:sz w:val="24"/>
          <w:szCs w:val="24"/>
          <w:u w:val="single"/>
        </w:rPr>
      </w:pPr>
      <w:r>
        <w:rPr>
          <w:sz w:val="24"/>
          <w:szCs w:val="24"/>
          <w:u w:val="single"/>
        </w:rPr>
        <w:t xml:space="preserve">Grænseværdier ved følsomhedstestning </w:t>
      </w:r>
    </w:p>
    <w:p w:rsidR="00851838" w:rsidRDefault="00851838" w:rsidP="00851838">
      <w:pPr>
        <w:ind w:left="851"/>
        <w:rPr>
          <w:sz w:val="24"/>
          <w:szCs w:val="24"/>
        </w:rPr>
      </w:pPr>
      <w:r>
        <w:rPr>
          <w:sz w:val="24"/>
          <w:szCs w:val="24"/>
        </w:rPr>
        <w:t xml:space="preserve">MIC (mindste inhiberende koncentration)-fortolkningskriterierne for følsomhedstestning er fastlagt af European Committee on Antimicrobial Susceptibility Testing (EUCAST) for clarithromycin og er anført her: </w:t>
      </w:r>
      <w:r w:rsidRPr="00851838">
        <w:rPr>
          <w:color w:val="000000"/>
          <w:sz w:val="22"/>
          <w:szCs w:val="22"/>
        </w:rPr>
        <w:t>https://www.ema.europa.eu/documents/other/minimum-inhibitory-concentration-mic-breakpoints_en.xlsx</w:t>
      </w:r>
    </w:p>
    <w:p w:rsidR="00851838" w:rsidRDefault="00851838" w:rsidP="00851838">
      <w:pPr>
        <w:rPr>
          <w:sz w:val="24"/>
          <w:szCs w:val="24"/>
          <w:u w:val="single"/>
        </w:rPr>
      </w:pPr>
    </w:p>
    <w:p w:rsidR="00851838" w:rsidRDefault="00851838" w:rsidP="00851838">
      <w:pPr>
        <w:ind w:left="851"/>
        <w:rPr>
          <w:sz w:val="24"/>
          <w:szCs w:val="24"/>
          <w:u w:val="single"/>
        </w:rPr>
      </w:pPr>
      <w:r>
        <w:rPr>
          <w:sz w:val="24"/>
          <w:szCs w:val="24"/>
          <w:u w:val="single"/>
        </w:rPr>
        <w:t>Følsomhed</w:t>
      </w:r>
    </w:p>
    <w:p w:rsidR="00851838" w:rsidRDefault="00851838" w:rsidP="00851838">
      <w:pPr>
        <w:ind w:left="851"/>
        <w:rPr>
          <w:sz w:val="24"/>
          <w:szCs w:val="24"/>
        </w:rPr>
      </w:pPr>
      <w:r>
        <w:rPr>
          <w:sz w:val="24"/>
          <w:szCs w:val="24"/>
        </w:rPr>
        <w:t>Forekomsten af erhvervet resistens kan variere geografisk og med tiden for udvalgte arter, og lokal information om resistens er ønskelig, i særdeleshed ved behandling af alvorlige infektioner. Der bør søges ekspertrådgivning i de tilfælde, hvor forekomsten af resistens gør anvendelse af clarithromycin ved visse typer af infektion tvivlsom.</w:t>
      </w:r>
    </w:p>
    <w:p w:rsidR="00851838" w:rsidRDefault="00851838" w:rsidP="00851838">
      <w:pPr>
        <w:ind w:left="851" w:hanging="851"/>
        <w:rPr>
          <w:sz w:val="24"/>
          <w:szCs w:val="24"/>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47"/>
      </w:tblGrid>
      <w:tr w:rsidR="00851838" w:rsidTr="00851838">
        <w:trPr>
          <w:cantSplit/>
        </w:trPr>
        <w:tc>
          <w:tcPr>
            <w:tcW w:w="8647" w:type="dxa"/>
            <w:tcBorders>
              <w:top w:val="single" w:sz="4" w:space="0" w:color="auto"/>
              <w:left w:val="single" w:sz="4" w:space="0" w:color="auto"/>
              <w:bottom w:val="single" w:sz="4" w:space="0" w:color="auto"/>
              <w:right w:val="single" w:sz="4" w:space="0" w:color="auto"/>
            </w:tcBorders>
            <w:shd w:val="pct15" w:color="auto" w:fill="FFFFFF"/>
            <w:hideMark/>
          </w:tcPr>
          <w:p w:rsidR="00851838" w:rsidRDefault="00851838">
            <w:pPr>
              <w:rPr>
                <w:b/>
                <w:bCs/>
                <w:sz w:val="24"/>
                <w:szCs w:val="24"/>
              </w:rPr>
            </w:pPr>
            <w:r>
              <w:rPr>
                <w:b/>
                <w:sz w:val="24"/>
                <w:szCs w:val="24"/>
              </w:rPr>
              <w:t>Almindeligt følsomme arter (dvs. resistens &lt; 10 % i alle EU-medlemsstater)</w:t>
            </w:r>
          </w:p>
        </w:tc>
      </w:tr>
      <w:tr w:rsidR="00851838" w:rsidTr="00851838">
        <w:trPr>
          <w:cantSplit/>
          <w:trHeight w:val="240"/>
        </w:trPr>
        <w:tc>
          <w:tcPr>
            <w:tcW w:w="8647" w:type="dxa"/>
            <w:tcBorders>
              <w:top w:val="single" w:sz="4" w:space="0" w:color="auto"/>
              <w:left w:val="single" w:sz="4" w:space="0" w:color="auto"/>
              <w:bottom w:val="single" w:sz="4" w:space="0" w:color="auto"/>
              <w:right w:val="single" w:sz="4" w:space="0" w:color="auto"/>
            </w:tcBorders>
            <w:shd w:val="pct15" w:color="auto" w:fill="FFFFFF"/>
            <w:hideMark/>
          </w:tcPr>
          <w:p w:rsidR="00851838" w:rsidRDefault="00851838">
            <w:pPr>
              <w:rPr>
                <w:b/>
                <w:bCs/>
                <w:sz w:val="24"/>
                <w:szCs w:val="24"/>
              </w:rPr>
            </w:pPr>
            <w:r>
              <w:rPr>
                <w:b/>
                <w:sz w:val="24"/>
                <w:szCs w:val="24"/>
              </w:rPr>
              <w:t>Aerobe, Gram-positive mikroorganismer</w:t>
            </w:r>
          </w:p>
        </w:tc>
      </w:tr>
      <w:tr w:rsidR="00851838" w:rsidTr="00851838">
        <w:trPr>
          <w:cantSplit/>
          <w:trHeight w:val="240"/>
        </w:trPr>
        <w:tc>
          <w:tcPr>
            <w:tcW w:w="8647" w:type="dxa"/>
            <w:tcBorders>
              <w:top w:val="single" w:sz="4" w:space="0" w:color="auto"/>
              <w:left w:val="single" w:sz="4" w:space="0" w:color="auto"/>
              <w:bottom w:val="single" w:sz="4" w:space="0" w:color="auto"/>
              <w:right w:val="single" w:sz="4" w:space="0" w:color="auto"/>
            </w:tcBorders>
            <w:shd w:val="clear" w:color="auto" w:fill="FFFFFF"/>
            <w:hideMark/>
          </w:tcPr>
          <w:p w:rsidR="00851838" w:rsidRDefault="00851838">
            <w:pPr>
              <w:rPr>
                <w:sz w:val="24"/>
                <w:szCs w:val="24"/>
              </w:rPr>
            </w:pPr>
            <w:r>
              <w:rPr>
                <w:i/>
                <w:sz w:val="24"/>
                <w:szCs w:val="24"/>
              </w:rPr>
              <w:t>Streptococcus gruppe F</w:t>
            </w:r>
          </w:p>
        </w:tc>
      </w:tr>
      <w:tr w:rsidR="00851838" w:rsidTr="00851838">
        <w:trPr>
          <w:cantSplit/>
          <w:trHeight w:val="240"/>
        </w:trPr>
        <w:tc>
          <w:tcPr>
            <w:tcW w:w="8647" w:type="dxa"/>
            <w:tcBorders>
              <w:top w:val="single" w:sz="4" w:space="0" w:color="auto"/>
              <w:left w:val="single" w:sz="4" w:space="0" w:color="auto"/>
              <w:bottom w:val="single" w:sz="4" w:space="0" w:color="auto"/>
              <w:right w:val="single" w:sz="4" w:space="0" w:color="auto"/>
            </w:tcBorders>
            <w:shd w:val="pct15" w:color="auto" w:fill="FFFFFF"/>
            <w:hideMark/>
          </w:tcPr>
          <w:p w:rsidR="00851838" w:rsidRDefault="00851838">
            <w:pPr>
              <w:rPr>
                <w:b/>
                <w:bCs/>
                <w:sz w:val="24"/>
                <w:szCs w:val="24"/>
              </w:rPr>
            </w:pPr>
            <w:r>
              <w:rPr>
                <w:b/>
                <w:sz w:val="24"/>
                <w:szCs w:val="24"/>
              </w:rPr>
              <w:t>Aerobe, Gram-negative mikroorganismer</w:t>
            </w:r>
          </w:p>
        </w:tc>
      </w:tr>
      <w:tr w:rsidR="00851838" w:rsidTr="00851838">
        <w:trPr>
          <w:trHeight w:val="240"/>
        </w:trPr>
        <w:tc>
          <w:tcPr>
            <w:tcW w:w="8647" w:type="dxa"/>
            <w:tcBorders>
              <w:top w:val="single" w:sz="4" w:space="0" w:color="auto"/>
              <w:left w:val="single" w:sz="4" w:space="0" w:color="auto"/>
              <w:bottom w:val="single" w:sz="4" w:space="0" w:color="auto"/>
              <w:right w:val="single" w:sz="4" w:space="0" w:color="auto"/>
            </w:tcBorders>
            <w:hideMark/>
          </w:tcPr>
          <w:p w:rsidR="00851838" w:rsidRDefault="00851838">
            <w:pPr>
              <w:rPr>
                <w:i/>
                <w:iCs/>
                <w:sz w:val="24"/>
                <w:szCs w:val="24"/>
              </w:rPr>
            </w:pPr>
            <w:r>
              <w:rPr>
                <w:i/>
                <w:sz w:val="24"/>
                <w:szCs w:val="24"/>
              </w:rPr>
              <w:t>Moraxella catarrhalis</w:t>
            </w:r>
          </w:p>
        </w:tc>
      </w:tr>
      <w:tr w:rsidR="00851838" w:rsidTr="00851838">
        <w:trPr>
          <w:trHeight w:val="223"/>
        </w:trPr>
        <w:tc>
          <w:tcPr>
            <w:tcW w:w="8647" w:type="dxa"/>
            <w:tcBorders>
              <w:top w:val="single" w:sz="4" w:space="0" w:color="auto"/>
              <w:left w:val="single" w:sz="4" w:space="0" w:color="auto"/>
              <w:bottom w:val="single" w:sz="4" w:space="0" w:color="auto"/>
              <w:right w:val="single" w:sz="4" w:space="0" w:color="auto"/>
            </w:tcBorders>
            <w:hideMark/>
          </w:tcPr>
          <w:p w:rsidR="00851838" w:rsidRDefault="00851838">
            <w:pPr>
              <w:rPr>
                <w:i/>
                <w:iCs/>
                <w:sz w:val="24"/>
                <w:szCs w:val="24"/>
              </w:rPr>
            </w:pPr>
            <w:r>
              <w:rPr>
                <w:i/>
                <w:sz w:val="24"/>
                <w:szCs w:val="24"/>
              </w:rPr>
              <w:t>Pasteurella multocida</w:t>
            </w:r>
          </w:p>
        </w:tc>
      </w:tr>
      <w:tr w:rsidR="00851838" w:rsidTr="00851838">
        <w:trPr>
          <w:trHeight w:val="223"/>
        </w:trPr>
        <w:tc>
          <w:tcPr>
            <w:tcW w:w="8647" w:type="dxa"/>
            <w:tcBorders>
              <w:top w:val="single" w:sz="4" w:space="0" w:color="auto"/>
              <w:left w:val="single" w:sz="4" w:space="0" w:color="auto"/>
              <w:bottom w:val="single" w:sz="4" w:space="0" w:color="auto"/>
              <w:right w:val="single" w:sz="4" w:space="0" w:color="auto"/>
            </w:tcBorders>
            <w:hideMark/>
          </w:tcPr>
          <w:p w:rsidR="00851838" w:rsidRDefault="00851838">
            <w:pPr>
              <w:jc w:val="both"/>
              <w:rPr>
                <w:i/>
                <w:iCs/>
                <w:sz w:val="24"/>
                <w:szCs w:val="24"/>
              </w:rPr>
            </w:pPr>
            <w:r>
              <w:rPr>
                <w:i/>
                <w:sz w:val="24"/>
                <w:szCs w:val="24"/>
              </w:rPr>
              <w:t xml:space="preserve">Legionella </w:t>
            </w:r>
            <w:r>
              <w:rPr>
                <w:sz w:val="24"/>
                <w:szCs w:val="24"/>
              </w:rPr>
              <w:t>spp</w:t>
            </w:r>
            <w:r>
              <w:rPr>
                <w:i/>
                <w:sz w:val="24"/>
                <w:szCs w:val="24"/>
              </w:rPr>
              <w:t>.</w:t>
            </w:r>
          </w:p>
        </w:tc>
      </w:tr>
      <w:tr w:rsidR="00851838" w:rsidTr="00851838">
        <w:tc>
          <w:tcPr>
            <w:tcW w:w="8647" w:type="dxa"/>
            <w:tcBorders>
              <w:top w:val="single" w:sz="4" w:space="0" w:color="auto"/>
              <w:left w:val="single" w:sz="4" w:space="0" w:color="auto"/>
              <w:bottom w:val="single" w:sz="4" w:space="0" w:color="auto"/>
              <w:right w:val="single" w:sz="4" w:space="0" w:color="auto"/>
            </w:tcBorders>
            <w:shd w:val="pct15" w:color="auto" w:fill="FFFFFF"/>
            <w:hideMark/>
          </w:tcPr>
          <w:p w:rsidR="00851838" w:rsidRDefault="00851838">
            <w:pPr>
              <w:rPr>
                <w:b/>
                <w:bCs/>
                <w:sz w:val="24"/>
                <w:szCs w:val="24"/>
              </w:rPr>
            </w:pPr>
            <w:r>
              <w:rPr>
                <w:b/>
                <w:sz w:val="24"/>
                <w:szCs w:val="24"/>
              </w:rPr>
              <w:t>Anaerobe mikroorganismer</w:t>
            </w:r>
          </w:p>
        </w:tc>
      </w:tr>
      <w:tr w:rsidR="00851838" w:rsidTr="00851838">
        <w:tc>
          <w:tcPr>
            <w:tcW w:w="8647" w:type="dxa"/>
            <w:tcBorders>
              <w:top w:val="single" w:sz="4" w:space="0" w:color="auto"/>
              <w:left w:val="single" w:sz="4" w:space="0" w:color="auto"/>
              <w:bottom w:val="single" w:sz="4" w:space="0" w:color="auto"/>
              <w:right w:val="single" w:sz="4" w:space="0" w:color="auto"/>
            </w:tcBorders>
            <w:hideMark/>
          </w:tcPr>
          <w:p w:rsidR="00851838" w:rsidRDefault="00851838">
            <w:pPr>
              <w:rPr>
                <w:i/>
                <w:iCs/>
                <w:sz w:val="24"/>
                <w:szCs w:val="24"/>
              </w:rPr>
            </w:pPr>
            <w:r>
              <w:rPr>
                <w:i/>
                <w:sz w:val="24"/>
                <w:szCs w:val="24"/>
              </w:rPr>
              <w:t>Clostridium spp., ud over C. difficile</w:t>
            </w:r>
          </w:p>
        </w:tc>
      </w:tr>
      <w:tr w:rsidR="00851838" w:rsidTr="00851838">
        <w:trPr>
          <w:cantSplit/>
        </w:trPr>
        <w:tc>
          <w:tcPr>
            <w:tcW w:w="8647" w:type="dxa"/>
            <w:tcBorders>
              <w:top w:val="single" w:sz="4" w:space="0" w:color="auto"/>
              <w:left w:val="single" w:sz="4" w:space="0" w:color="auto"/>
              <w:bottom w:val="single" w:sz="4" w:space="0" w:color="auto"/>
              <w:right w:val="single" w:sz="4" w:space="0" w:color="auto"/>
            </w:tcBorders>
            <w:shd w:val="pct15" w:color="auto" w:fill="FFFFFF"/>
            <w:hideMark/>
          </w:tcPr>
          <w:p w:rsidR="00851838" w:rsidRDefault="00851838">
            <w:pPr>
              <w:rPr>
                <w:b/>
                <w:bCs/>
                <w:sz w:val="24"/>
                <w:szCs w:val="24"/>
              </w:rPr>
            </w:pPr>
            <w:r>
              <w:rPr>
                <w:b/>
                <w:sz w:val="24"/>
                <w:szCs w:val="24"/>
              </w:rPr>
              <w:t>Andre mikroorganismer</w:t>
            </w:r>
          </w:p>
        </w:tc>
      </w:tr>
      <w:tr w:rsidR="00851838" w:rsidTr="00851838">
        <w:tc>
          <w:tcPr>
            <w:tcW w:w="8647" w:type="dxa"/>
            <w:tcBorders>
              <w:top w:val="single" w:sz="4" w:space="0" w:color="auto"/>
              <w:left w:val="single" w:sz="4" w:space="0" w:color="auto"/>
              <w:bottom w:val="single" w:sz="4" w:space="0" w:color="auto"/>
              <w:right w:val="single" w:sz="4" w:space="0" w:color="auto"/>
            </w:tcBorders>
            <w:hideMark/>
          </w:tcPr>
          <w:p w:rsidR="00851838" w:rsidRDefault="00851838">
            <w:pPr>
              <w:rPr>
                <w:i/>
                <w:iCs/>
                <w:sz w:val="24"/>
                <w:szCs w:val="24"/>
              </w:rPr>
            </w:pPr>
            <w:r>
              <w:rPr>
                <w:i/>
                <w:sz w:val="24"/>
                <w:szCs w:val="24"/>
              </w:rPr>
              <w:t>Mycoplasma pneumoniae</w:t>
            </w:r>
          </w:p>
        </w:tc>
      </w:tr>
      <w:tr w:rsidR="00851838" w:rsidTr="00851838">
        <w:tc>
          <w:tcPr>
            <w:tcW w:w="8647" w:type="dxa"/>
            <w:tcBorders>
              <w:top w:val="single" w:sz="4" w:space="0" w:color="auto"/>
              <w:left w:val="single" w:sz="4" w:space="0" w:color="auto"/>
              <w:bottom w:val="single" w:sz="4" w:space="0" w:color="auto"/>
              <w:right w:val="single" w:sz="4" w:space="0" w:color="auto"/>
            </w:tcBorders>
            <w:hideMark/>
          </w:tcPr>
          <w:p w:rsidR="00851838" w:rsidRDefault="00851838">
            <w:pPr>
              <w:rPr>
                <w:i/>
                <w:iCs/>
                <w:sz w:val="24"/>
                <w:szCs w:val="24"/>
              </w:rPr>
            </w:pPr>
            <w:r>
              <w:rPr>
                <w:i/>
                <w:sz w:val="24"/>
                <w:szCs w:val="24"/>
              </w:rPr>
              <w:t>Chlamydia trachomatis</w:t>
            </w:r>
          </w:p>
        </w:tc>
      </w:tr>
      <w:tr w:rsidR="00851838" w:rsidTr="00851838">
        <w:tc>
          <w:tcPr>
            <w:tcW w:w="8647" w:type="dxa"/>
            <w:tcBorders>
              <w:top w:val="single" w:sz="4" w:space="0" w:color="auto"/>
              <w:left w:val="single" w:sz="4" w:space="0" w:color="auto"/>
              <w:bottom w:val="single" w:sz="4" w:space="0" w:color="auto"/>
              <w:right w:val="single" w:sz="4" w:space="0" w:color="auto"/>
            </w:tcBorders>
            <w:hideMark/>
          </w:tcPr>
          <w:p w:rsidR="00851838" w:rsidRDefault="00851838">
            <w:pPr>
              <w:rPr>
                <w:i/>
                <w:iCs/>
                <w:sz w:val="24"/>
                <w:szCs w:val="24"/>
              </w:rPr>
            </w:pPr>
            <w:r>
              <w:rPr>
                <w:i/>
                <w:sz w:val="24"/>
                <w:szCs w:val="24"/>
              </w:rPr>
              <w:t>Chlamydia pneumoniae</w:t>
            </w:r>
          </w:p>
        </w:tc>
      </w:tr>
      <w:tr w:rsidR="00851838" w:rsidTr="00851838">
        <w:trPr>
          <w:cantSplit/>
        </w:trPr>
        <w:tc>
          <w:tcPr>
            <w:tcW w:w="8647" w:type="dxa"/>
            <w:tcBorders>
              <w:top w:val="single" w:sz="4" w:space="0" w:color="auto"/>
              <w:left w:val="single" w:sz="4" w:space="0" w:color="auto"/>
              <w:bottom w:val="single" w:sz="4" w:space="0" w:color="auto"/>
              <w:right w:val="single" w:sz="4" w:space="0" w:color="auto"/>
            </w:tcBorders>
            <w:shd w:val="pct15" w:color="auto" w:fill="FFFFFF"/>
            <w:hideMark/>
          </w:tcPr>
          <w:p w:rsidR="00851838" w:rsidRDefault="00851838">
            <w:pPr>
              <w:rPr>
                <w:b/>
                <w:bCs/>
                <w:sz w:val="24"/>
                <w:szCs w:val="24"/>
              </w:rPr>
            </w:pPr>
            <w:r>
              <w:rPr>
                <w:b/>
                <w:sz w:val="24"/>
                <w:szCs w:val="24"/>
              </w:rPr>
              <w:t xml:space="preserve">Arter, hvor erhvervet resistens kan være et problem (dvs. resistens </w:t>
            </w:r>
            <w:r>
              <w:rPr>
                <w:sz w:val="24"/>
                <w:szCs w:val="24"/>
              </w:rPr>
              <w:sym w:font="Symbol" w:char="F0B3"/>
            </w:r>
            <w:r>
              <w:rPr>
                <w:b/>
                <w:sz w:val="24"/>
                <w:szCs w:val="24"/>
              </w:rPr>
              <w:t xml:space="preserve"> 10 % i mindst 1 EU-medlemsstat)</w:t>
            </w:r>
          </w:p>
        </w:tc>
      </w:tr>
      <w:tr w:rsidR="00851838" w:rsidTr="00851838">
        <w:trPr>
          <w:cantSplit/>
        </w:trPr>
        <w:tc>
          <w:tcPr>
            <w:tcW w:w="8647" w:type="dxa"/>
            <w:tcBorders>
              <w:top w:val="single" w:sz="4" w:space="0" w:color="auto"/>
              <w:left w:val="single" w:sz="4" w:space="0" w:color="auto"/>
              <w:bottom w:val="single" w:sz="4" w:space="0" w:color="auto"/>
              <w:right w:val="single" w:sz="4" w:space="0" w:color="auto"/>
            </w:tcBorders>
            <w:shd w:val="pct15" w:color="auto" w:fill="FFFFFF"/>
            <w:hideMark/>
          </w:tcPr>
          <w:p w:rsidR="00851838" w:rsidRDefault="00851838">
            <w:pPr>
              <w:rPr>
                <w:b/>
                <w:bCs/>
                <w:sz w:val="24"/>
                <w:szCs w:val="24"/>
              </w:rPr>
            </w:pPr>
            <w:r>
              <w:rPr>
                <w:b/>
                <w:sz w:val="24"/>
                <w:szCs w:val="24"/>
              </w:rPr>
              <w:t>Aerobe, Gram-positive mikroorganismer</w:t>
            </w:r>
          </w:p>
        </w:tc>
      </w:tr>
      <w:tr w:rsidR="00851838" w:rsidTr="00851838">
        <w:tc>
          <w:tcPr>
            <w:tcW w:w="8647" w:type="dxa"/>
            <w:tcBorders>
              <w:top w:val="single" w:sz="4" w:space="0" w:color="auto"/>
              <w:left w:val="single" w:sz="4" w:space="0" w:color="auto"/>
              <w:bottom w:val="single" w:sz="4" w:space="0" w:color="auto"/>
              <w:right w:val="single" w:sz="4" w:space="0" w:color="auto"/>
            </w:tcBorders>
            <w:hideMark/>
          </w:tcPr>
          <w:p w:rsidR="00851838" w:rsidRDefault="00851838">
            <w:pPr>
              <w:rPr>
                <w:i/>
                <w:iCs/>
                <w:sz w:val="24"/>
                <w:szCs w:val="24"/>
              </w:rPr>
            </w:pPr>
            <w:r>
              <w:rPr>
                <w:i/>
                <w:sz w:val="24"/>
                <w:szCs w:val="24"/>
              </w:rPr>
              <w:t>Streptococcus pneumoniae*</w:t>
            </w:r>
          </w:p>
        </w:tc>
      </w:tr>
      <w:tr w:rsidR="00851838" w:rsidRPr="00357D2B" w:rsidTr="00851838">
        <w:trPr>
          <w:cantSplit/>
          <w:trHeight w:val="240"/>
        </w:trPr>
        <w:tc>
          <w:tcPr>
            <w:tcW w:w="8647" w:type="dxa"/>
            <w:tcBorders>
              <w:top w:val="single" w:sz="4" w:space="0" w:color="auto"/>
              <w:left w:val="single" w:sz="4" w:space="0" w:color="auto"/>
              <w:bottom w:val="single" w:sz="4" w:space="0" w:color="auto"/>
              <w:right w:val="single" w:sz="4" w:space="0" w:color="auto"/>
            </w:tcBorders>
            <w:hideMark/>
          </w:tcPr>
          <w:p w:rsidR="00851838" w:rsidRDefault="00851838">
            <w:pPr>
              <w:rPr>
                <w:sz w:val="24"/>
                <w:szCs w:val="24"/>
                <w:lang w:val="en-US"/>
              </w:rPr>
            </w:pPr>
            <w:r>
              <w:rPr>
                <w:i/>
                <w:sz w:val="24"/>
                <w:szCs w:val="24"/>
                <w:lang w:val="en-US"/>
              </w:rPr>
              <w:t>Streptococcus</w:t>
            </w:r>
            <w:r>
              <w:rPr>
                <w:sz w:val="24"/>
                <w:szCs w:val="24"/>
                <w:lang w:val="en-US"/>
              </w:rPr>
              <w:t xml:space="preserve"> gruppe A, C, G</w:t>
            </w:r>
          </w:p>
        </w:tc>
      </w:tr>
      <w:tr w:rsidR="00851838" w:rsidTr="00851838">
        <w:trPr>
          <w:cantSplit/>
          <w:trHeight w:val="240"/>
        </w:trPr>
        <w:tc>
          <w:tcPr>
            <w:tcW w:w="8647" w:type="dxa"/>
            <w:tcBorders>
              <w:top w:val="single" w:sz="4" w:space="0" w:color="auto"/>
              <w:left w:val="single" w:sz="4" w:space="0" w:color="auto"/>
              <w:bottom w:val="single" w:sz="4" w:space="0" w:color="auto"/>
              <w:right w:val="single" w:sz="4" w:space="0" w:color="auto"/>
            </w:tcBorders>
            <w:hideMark/>
          </w:tcPr>
          <w:p w:rsidR="00851838" w:rsidRDefault="00851838">
            <w:pPr>
              <w:rPr>
                <w:sz w:val="24"/>
                <w:szCs w:val="24"/>
              </w:rPr>
            </w:pPr>
            <w:r>
              <w:rPr>
                <w:i/>
                <w:sz w:val="24"/>
                <w:szCs w:val="24"/>
              </w:rPr>
              <w:t>Streptococcus</w:t>
            </w:r>
            <w:r>
              <w:rPr>
                <w:sz w:val="24"/>
                <w:szCs w:val="24"/>
              </w:rPr>
              <w:t xml:space="preserve"> gruppe B</w:t>
            </w:r>
          </w:p>
        </w:tc>
      </w:tr>
      <w:tr w:rsidR="00851838" w:rsidTr="00851838">
        <w:trPr>
          <w:cantSplit/>
          <w:trHeight w:val="240"/>
        </w:trPr>
        <w:tc>
          <w:tcPr>
            <w:tcW w:w="8647" w:type="dxa"/>
            <w:tcBorders>
              <w:top w:val="single" w:sz="4" w:space="0" w:color="auto"/>
              <w:left w:val="single" w:sz="4" w:space="0" w:color="auto"/>
              <w:bottom w:val="single" w:sz="4" w:space="0" w:color="auto"/>
              <w:right w:val="single" w:sz="4" w:space="0" w:color="auto"/>
            </w:tcBorders>
            <w:hideMark/>
          </w:tcPr>
          <w:p w:rsidR="00851838" w:rsidRDefault="00851838">
            <w:pPr>
              <w:rPr>
                <w:i/>
                <w:sz w:val="24"/>
                <w:szCs w:val="24"/>
              </w:rPr>
            </w:pPr>
            <w:r>
              <w:rPr>
                <w:i/>
                <w:sz w:val="24"/>
                <w:szCs w:val="24"/>
              </w:rPr>
              <w:t>Streptococcus viridans</w:t>
            </w:r>
          </w:p>
        </w:tc>
      </w:tr>
      <w:tr w:rsidR="00851838" w:rsidTr="00851838">
        <w:trPr>
          <w:cantSplit/>
          <w:trHeight w:val="240"/>
        </w:trPr>
        <w:tc>
          <w:tcPr>
            <w:tcW w:w="8647" w:type="dxa"/>
            <w:tcBorders>
              <w:top w:val="single" w:sz="4" w:space="0" w:color="auto"/>
              <w:left w:val="single" w:sz="4" w:space="0" w:color="auto"/>
              <w:bottom w:val="single" w:sz="4" w:space="0" w:color="auto"/>
              <w:right w:val="single" w:sz="4" w:space="0" w:color="auto"/>
            </w:tcBorders>
            <w:hideMark/>
          </w:tcPr>
          <w:p w:rsidR="00851838" w:rsidRDefault="00851838">
            <w:pPr>
              <w:rPr>
                <w:i/>
                <w:sz w:val="24"/>
                <w:szCs w:val="24"/>
              </w:rPr>
            </w:pPr>
            <w:r>
              <w:rPr>
                <w:i/>
                <w:sz w:val="24"/>
                <w:szCs w:val="24"/>
              </w:rPr>
              <w:t xml:space="preserve">Enterococcus </w:t>
            </w:r>
            <w:r>
              <w:rPr>
                <w:sz w:val="24"/>
                <w:szCs w:val="24"/>
              </w:rPr>
              <w:t>spp</w:t>
            </w:r>
            <w:r>
              <w:rPr>
                <w:i/>
                <w:sz w:val="24"/>
                <w:szCs w:val="24"/>
              </w:rPr>
              <w:t>+</w:t>
            </w:r>
          </w:p>
        </w:tc>
      </w:tr>
      <w:tr w:rsidR="00851838" w:rsidRPr="00357D2B" w:rsidTr="00851838">
        <w:trPr>
          <w:cantSplit/>
          <w:trHeight w:val="240"/>
        </w:trPr>
        <w:tc>
          <w:tcPr>
            <w:tcW w:w="8647" w:type="dxa"/>
            <w:tcBorders>
              <w:top w:val="single" w:sz="4" w:space="0" w:color="auto"/>
              <w:left w:val="single" w:sz="4" w:space="0" w:color="auto"/>
              <w:bottom w:val="single" w:sz="4" w:space="0" w:color="auto"/>
              <w:right w:val="single" w:sz="4" w:space="0" w:color="auto"/>
            </w:tcBorders>
            <w:hideMark/>
          </w:tcPr>
          <w:p w:rsidR="00851838" w:rsidRDefault="00851838">
            <w:pPr>
              <w:rPr>
                <w:sz w:val="24"/>
                <w:szCs w:val="24"/>
                <w:lang w:val="en-US"/>
              </w:rPr>
            </w:pPr>
            <w:r>
              <w:rPr>
                <w:i/>
                <w:sz w:val="24"/>
                <w:szCs w:val="24"/>
                <w:lang w:val="en-US"/>
              </w:rPr>
              <w:t>Staphylococcus aureus</w:t>
            </w:r>
            <w:r>
              <w:rPr>
                <w:sz w:val="24"/>
                <w:szCs w:val="24"/>
                <w:lang w:val="en-US"/>
              </w:rPr>
              <w:t>, methicillin-følsom og methicillin-resistent+</w:t>
            </w:r>
          </w:p>
        </w:tc>
      </w:tr>
      <w:tr w:rsidR="00851838" w:rsidTr="00851838">
        <w:trPr>
          <w:cantSplit/>
          <w:trHeight w:val="240"/>
        </w:trPr>
        <w:tc>
          <w:tcPr>
            <w:tcW w:w="8647" w:type="dxa"/>
            <w:tcBorders>
              <w:top w:val="single" w:sz="4" w:space="0" w:color="auto"/>
              <w:left w:val="single" w:sz="4" w:space="0" w:color="auto"/>
              <w:bottom w:val="single" w:sz="4" w:space="0" w:color="auto"/>
              <w:right w:val="single" w:sz="4" w:space="0" w:color="auto"/>
            </w:tcBorders>
            <w:hideMark/>
          </w:tcPr>
          <w:p w:rsidR="00851838" w:rsidRDefault="00851838">
            <w:pPr>
              <w:rPr>
                <w:i/>
                <w:sz w:val="24"/>
                <w:szCs w:val="24"/>
              </w:rPr>
            </w:pPr>
            <w:r>
              <w:rPr>
                <w:i/>
                <w:sz w:val="24"/>
                <w:szCs w:val="24"/>
              </w:rPr>
              <w:t>Staphylococcus epidermidis+</w:t>
            </w:r>
          </w:p>
        </w:tc>
      </w:tr>
      <w:tr w:rsidR="00851838" w:rsidTr="00851838">
        <w:trPr>
          <w:cantSplit/>
          <w:trHeight w:val="240"/>
        </w:trPr>
        <w:tc>
          <w:tcPr>
            <w:tcW w:w="8647" w:type="dxa"/>
            <w:tcBorders>
              <w:top w:val="single" w:sz="4" w:space="0" w:color="auto"/>
              <w:left w:val="single" w:sz="4" w:space="0" w:color="auto"/>
              <w:bottom w:val="single" w:sz="4" w:space="0" w:color="auto"/>
              <w:right w:val="single" w:sz="4" w:space="0" w:color="auto"/>
            </w:tcBorders>
            <w:shd w:val="pct15" w:color="auto" w:fill="FFFFFF"/>
            <w:hideMark/>
          </w:tcPr>
          <w:p w:rsidR="00851838" w:rsidRDefault="00851838">
            <w:pPr>
              <w:rPr>
                <w:b/>
                <w:bCs/>
                <w:sz w:val="24"/>
                <w:szCs w:val="24"/>
              </w:rPr>
            </w:pPr>
            <w:r>
              <w:rPr>
                <w:b/>
                <w:sz w:val="24"/>
                <w:szCs w:val="24"/>
              </w:rPr>
              <w:t>Aerobe, Gram-negative mikroorganismer</w:t>
            </w:r>
          </w:p>
        </w:tc>
      </w:tr>
      <w:tr w:rsidR="00851838" w:rsidTr="00851838">
        <w:tc>
          <w:tcPr>
            <w:tcW w:w="8647" w:type="dxa"/>
            <w:tcBorders>
              <w:top w:val="single" w:sz="4" w:space="0" w:color="auto"/>
              <w:left w:val="single" w:sz="4" w:space="0" w:color="auto"/>
              <w:bottom w:val="single" w:sz="4" w:space="0" w:color="auto"/>
              <w:right w:val="single" w:sz="4" w:space="0" w:color="auto"/>
            </w:tcBorders>
            <w:hideMark/>
          </w:tcPr>
          <w:p w:rsidR="00851838" w:rsidRDefault="00851838">
            <w:pPr>
              <w:rPr>
                <w:i/>
                <w:iCs/>
                <w:sz w:val="24"/>
                <w:szCs w:val="24"/>
              </w:rPr>
            </w:pPr>
            <w:r>
              <w:rPr>
                <w:i/>
                <w:sz w:val="24"/>
                <w:szCs w:val="24"/>
              </w:rPr>
              <w:t>Haemophilus influenzae</w:t>
            </w:r>
          </w:p>
        </w:tc>
      </w:tr>
      <w:tr w:rsidR="00851838" w:rsidTr="00851838">
        <w:tc>
          <w:tcPr>
            <w:tcW w:w="8647" w:type="dxa"/>
            <w:tcBorders>
              <w:top w:val="single" w:sz="4" w:space="0" w:color="auto"/>
              <w:left w:val="single" w:sz="4" w:space="0" w:color="auto"/>
              <w:bottom w:val="single" w:sz="4" w:space="0" w:color="auto"/>
              <w:right w:val="single" w:sz="4" w:space="0" w:color="auto"/>
            </w:tcBorders>
            <w:hideMark/>
          </w:tcPr>
          <w:p w:rsidR="00851838" w:rsidRDefault="00851838">
            <w:pPr>
              <w:rPr>
                <w:i/>
                <w:iCs/>
                <w:sz w:val="24"/>
                <w:szCs w:val="24"/>
              </w:rPr>
            </w:pPr>
            <w:r>
              <w:rPr>
                <w:i/>
                <w:sz w:val="24"/>
                <w:szCs w:val="24"/>
              </w:rPr>
              <w:t>Helicobacter pylori</w:t>
            </w:r>
          </w:p>
        </w:tc>
      </w:tr>
      <w:tr w:rsidR="00851838" w:rsidTr="00851838">
        <w:trPr>
          <w:cantSplit/>
        </w:trPr>
        <w:tc>
          <w:tcPr>
            <w:tcW w:w="8647" w:type="dxa"/>
            <w:tcBorders>
              <w:top w:val="single" w:sz="4" w:space="0" w:color="auto"/>
              <w:left w:val="single" w:sz="4" w:space="0" w:color="auto"/>
              <w:bottom w:val="single" w:sz="4" w:space="0" w:color="auto"/>
              <w:right w:val="single" w:sz="4" w:space="0" w:color="auto"/>
            </w:tcBorders>
            <w:shd w:val="pct15" w:color="auto" w:fill="FFFFFF"/>
            <w:hideMark/>
          </w:tcPr>
          <w:p w:rsidR="00851838" w:rsidRDefault="00851838">
            <w:pPr>
              <w:rPr>
                <w:b/>
                <w:bCs/>
                <w:sz w:val="24"/>
                <w:szCs w:val="24"/>
              </w:rPr>
            </w:pPr>
            <w:r>
              <w:rPr>
                <w:b/>
                <w:sz w:val="24"/>
                <w:szCs w:val="24"/>
              </w:rPr>
              <w:t>Anaerobe mikroorganismer</w:t>
            </w:r>
          </w:p>
        </w:tc>
      </w:tr>
      <w:tr w:rsidR="00851838" w:rsidTr="00851838">
        <w:trPr>
          <w:cantSplit/>
        </w:trPr>
        <w:tc>
          <w:tcPr>
            <w:tcW w:w="8647" w:type="dxa"/>
            <w:tcBorders>
              <w:top w:val="single" w:sz="4" w:space="0" w:color="auto"/>
              <w:left w:val="single" w:sz="4" w:space="0" w:color="auto"/>
              <w:bottom w:val="single" w:sz="4" w:space="0" w:color="auto"/>
              <w:right w:val="single" w:sz="4" w:space="0" w:color="auto"/>
            </w:tcBorders>
            <w:shd w:val="clear" w:color="auto" w:fill="FFFFFF"/>
            <w:hideMark/>
          </w:tcPr>
          <w:p w:rsidR="00851838" w:rsidRDefault="00851838">
            <w:pPr>
              <w:rPr>
                <w:b/>
                <w:bCs/>
                <w:sz w:val="24"/>
                <w:szCs w:val="24"/>
              </w:rPr>
            </w:pPr>
            <w:r>
              <w:rPr>
                <w:i/>
                <w:sz w:val="24"/>
                <w:szCs w:val="24"/>
              </w:rPr>
              <w:lastRenderedPageBreak/>
              <w:t xml:space="preserve">Bacteroides </w:t>
            </w:r>
            <w:r>
              <w:rPr>
                <w:sz w:val="24"/>
                <w:szCs w:val="24"/>
              </w:rPr>
              <w:t>spp.</w:t>
            </w:r>
          </w:p>
        </w:tc>
      </w:tr>
      <w:tr w:rsidR="00851838" w:rsidTr="00851838">
        <w:trPr>
          <w:cantSplit/>
        </w:trPr>
        <w:tc>
          <w:tcPr>
            <w:tcW w:w="8647" w:type="dxa"/>
            <w:tcBorders>
              <w:top w:val="single" w:sz="4" w:space="0" w:color="auto"/>
              <w:left w:val="single" w:sz="4" w:space="0" w:color="auto"/>
              <w:bottom w:val="single" w:sz="4" w:space="0" w:color="auto"/>
              <w:right w:val="single" w:sz="4" w:space="0" w:color="auto"/>
            </w:tcBorders>
            <w:shd w:val="clear" w:color="auto" w:fill="FFFFFF"/>
            <w:hideMark/>
          </w:tcPr>
          <w:p w:rsidR="00851838" w:rsidRDefault="00851838">
            <w:pPr>
              <w:rPr>
                <w:b/>
                <w:bCs/>
                <w:sz w:val="24"/>
                <w:szCs w:val="24"/>
              </w:rPr>
            </w:pPr>
            <w:r>
              <w:rPr>
                <w:i/>
                <w:sz w:val="24"/>
                <w:szCs w:val="24"/>
              </w:rPr>
              <w:t xml:space="preserve">Peptococcus/Peptostreptococcus </w:t>
            </w:r>
            <w:r>
              <w:rPr>
                <w:sz w:val="24"/>
                <w:szCs w:val="24"/>
              </w:rPr>
              <w:t>spp.</w:t>
            </w:r>
          </w:p>
        </w:tc>
      </w:tr>
      <w:tr w:rsidR="00851838" w:rsidTr="00851838">
        <w:trPr>
          <w:cantSplit/>
        </w:trPr>
        <w:tc>
          <w:tcPr>
            <w:tcW w:w="8647" w:type="dxa"/>
            <w:tcBorders>
              <w:top w:val="single" w:sz="4" w:space="0" w:color="auto"/>
              <w:left w:val="single" w:sz="4" w:space="0" w:color="auto"/>
              <w:bottom w:val="single" w:sz="4" w:space="0" w:color="auto"/>
              <w:right w:val="single" w:sz="4" w:space="0" w:color="auto"/>
            </w:tcBorders>
            <w:shd w:val="pct15" w:color="auto" w:fill="FFFFFF"/>
            <w:hideMark/>
          </w:tcPr>
          <w:p w:rsidR="00851838" w:rsidRDefault="00851838">
            <w:pPr>
              <w:rPr>
                <w:b/>
                <w:bCs/>
                <w:sz w:val="24"/>
                <w:szCs w:val="24"/>
              </w:rPr>
            </w:pPr>
            <w:r>
              <w:rPr>
                <w:b/>
                <w:sz w:val="24"/>
                <w:szCs w:val="24"/>
              </w:rPr>
              <w:t>Naturligt resistente organismer</w:t>
            </w:r>
          </w:p>
        </w:tc>
      </w:tr>
      <w:tr w:rsidR="00851838" w:rsidTr="00851838">
        <w:trPr>
          <w:cantSplit/>
        </w:trPr>
        <w:tc>
          <w:tcPr>
            <w:tcW w:w="8647" w:type="dxa"/>
            <w:tcBorders>
              <w:top w:val="single" w:sz="4" w:space="0" w:color="auto"/>
              <w:left w:val="single" w:sz="4" w:space="0" w:color="auto"/>
              <w:bottom w:val="single" w:sz="4" w:space="0" w:color="auto"/>
              <w:right w:val="single" w:sz="4" w:space="0" w:color="auto"/>
            </w:tcBorders>
            <w:shd w:val="pct15" w:color="auto" w:fill="FFFFFF"/>
            <w:hideMark/>
          </w:tcPr>
          <w:p w:rsidR="00851838" w:rsidRDefault="00851838">
            <w:pPr>
              <w:rPr>
                <w:b/>
                <w:bCs/>
                <w:sz w:val="24"/>
                <w:szCs w:val="24"/>
              </w:rPr>
            </w:pPr>
            <w:r>
              <w:rPr>
                <w:b/>
                <w:sz w:val="24"/>
                <w:szCs w:val="24"/>
              </w:rPr>
              <w:t>Aerobe, Gram-positive mikroorganismer</w:t>
            </w:r>
          </w:p>
        </w:tc>
      </w:tr>
      <w:tr w:rsidR="00851838" w:rsidTr="00851838">
        <w:tc>
          <w:tcPr>
            <w:tcW w:w="8647" w:type="dxa"/>
            <w:tcBorders>
              <w:top w:val="single" w:sz="4" w:space="0" w:color="auto"/>
              <w:left w:val="single" w:sz="4" w:space="0" w:color="auto"/>
              <w:bottom w:val="single" w:sz="4" w:space="0" w:color="auto"/>
              <w:right w:val="single" w:sz="4" w:space="0" w:color="auto"/>
            </w:tcBorders>
            <w:hideMark/>
          </w:tcPr>
          <w:p w:rsidR="00851838" w:rsidRDefault="00851838">
            <w:pPr>
              <w:rPr>
                <w:i/>
                <w:sz w:val="24"/>
                <w:szCs w:val="24"/>
              </w:rPr>
            </w:pPr>
            <w:r>
              <w:rPr>
                <w:i/>
                <w:sz w:val="24"/>
                <w:szCs w:val="24"/>
              </w:rPr>
              <w:t xml:space="preserve">Enterococcus </w:t>
            </w:r>
            <w:r>
              <w:rPr>
                <w:sz w:val="24"/>
                <w:szCs w:val="24"/>
              </w:rPr>
              <w:t>spp</w:t>
            </w:r>
            <w:r>
              <w:rPr>
                <w:i/>
                <w:sz w:val="24"/>
                <w:szCs w:val="24"/>
              </w:rPr>
              <w:t>.</w:t>
            </w:r>
          </w:p>
        </w:tc>
      </w:tr>
      <w:tr w:rsidR="00851838" w:rsidTr="00851838">
        <w:tc>
          <w:tcPr>
            <w:tcW w:w="8647" w:type="dxa"/>
            <w:tcBorders>
              <w:top w:val="single" w:sz="4" w:space="0" w:color="auto"/>
              <w:left w:val="single" w:sz="4" w:space="0" w:color="auto"/>
              <w:bottom w:val="single" w:sz="4" w:space="0" w:color="auto"/>
              <w:right w:val="single" w:sz="4" w:space="0" w:color="auto"/>
            </w:tcBorders>
            <w:hideMark/>
          </w:tcPr>
          <w:p w:rsidR="00851838" w:rsidRDefault="00851838">
            <w:pPr>
              <w:rPr>
                <w:i/>
                <w:iCs/>
                <w:sz w:val="24"/>
                <w:szCs w:val="24"/>
              </w:rPr>
            </w:pPr>
            <w:r>
              <w:rPr>
                <w:i/>
                <w:sz w:val="24"/>
                <w:szCs w:val="24"/>
              </w:rPr>
              <w:t>Pseudomonas aeruginosa</w:t>
            </w:r>
          </w:p>
        </w:tc>
      </w:tr>
      <w:tr w:rsidR="00851838" w:rsidTr="00851838">
        <w:tc>
          <w:tcPr>
            <w:tcW w:w="8647" w:type="dxa"/>
            <w:tcBorders>
              <w:top w:val="single" w:sz="4" w:space="0" w:color="auto"/>
              <w:left w:val="single" w:sz="4" w:space="0" w:color="auto"/>
              <w:bottom w:val="single" w:sz="4" w:space="0" w:color="auto"/>
              <w:right w:val="single" w:sz="4" w:space="0" w:color="auto"/>
            </w:tcBorders>
            <w:hideMark/>
          </w:tcPr>
          <w:p w:rsidR="00851838" w:rsidRDefault="00851838">
            <w:pPr>
              <w:rPr>
                <w:i/>
                <w:iCs/>
                <w:sz w:val="24"/>
                <w:szCs w:val="24"/>
              </w:rPr>
            </w:pPr>
            <w:r>
              <w:rPr>
                <w:i/>
                <w:sz w:val="24"/>
                <w:szCs w:val="24"/>
              </w:rPr>
              <w:t>Acinetobacter</w:t>
            </w:r>
          </w:p>
        </w:tc>
      </w:tr>
      <w:tr w:rsidR="00851838" w:rsidTr="00851838">
        <w:tc>
          <w:tcPr>
            <w:tcW w:w="8647" w:type="dxa"/>
            <w:tcBorders>
              <w:top w:val="single" w:sz="4" w:space="0" w:color="auto"/>
              <w:left w:val="single" w:sz="4" w:space="0" w:color="auto"/>
              <w:bottom w:val="single" w:sz="4" w:space="0" w:color="auto"/>
              <w:right w:val="single" w:sz="4" w:space="0" w:color="auto"/>
            </w:tcBorders>
            <w:hideMark/>
          </w:tcPr>
          <w:p w:rsidR="00851838" w:rsidRDefault="00851838">
            <w:pPr>
              <w:rPr>
                <w:i/>
                <w:iCs/>
                <w:sz w:val="24"/>
                <w:szCs w:val="24"/>
              </w:rPr>
            </w:pPr>
            <w:r>
              <w:rPr>
                <w:i/>
                <w:sz w:val="24"/>
                <w:szCs w:val="24"/>
              </w:rPr>
              <w:t>Enterobacteriacea</w:t>
            </w:r>
          </w:p>
        </w:tc>
      </w:tr>
      <w:tr w:rsidR="00851838" w:rsidTr="00851838">
        <w:tc>
          <w:tcPr>
            <w:tcW w:w="8647" w:type="dxa"/>
            <w:tcBorders>
              <w:top w:val="single" w:sz="4" w:space="0" w:color="auto"/>
              <w:left w:val="single" w:sz="4" w:space="0" w:color="auto"/>
              <w:bottom w:val="single" w:sz="4" w:space="0" w:color="auto"/>
              <w:right w:val="single" w:sz="4" w:space="0" w:color="auto"/>
            </w:tcBorders>
            <w:shd w:val="pct15" w:color="auto" w:fill="auto"/>
            <w:hideMark/>
          </w:tcPr>
          <w:p w:rsidR="00851838" w:rsidRDefault="00851838">
            <w:pPr>
              <w:rPr>
                <w:i/>
                <w:iCs/>
                <w:sz w:val="24"/>
                <w:szCs w:val="24"/>
              </w:rPr>
            </w:pPr>
            <w:r>
              <w:rPr>
                <w:b/>
                <w:sz w:val="24"/>
                <w:szCs w:val="24"/>
              </w:rPr>
              <w:t>Anaerobe mikroorganismer</w:t>
            </w:r>
          </w:p>
        </w:tc>
      </w:tr>
      <w:tr w:rsidR="00851838" w:rsidTr="00851838">
        <w:tc>
          <w:tcPr>
            <w:tcW w:w="8647" w:type="dxa"/>
            <w:tcBorders>
              <w:top w:val="single" w:sz="4" w:space="0" w:color="auto"/>
              <w:left w:val="single" w:sz="4" w:space="0" w:color="auto"/>
              <w:bottom w:val="single" w:sz="4" w:space="0" w:color="auto"/>
              <w:right w:val="single" w:sz="4" w:space="0" w:color="auto"/>
            </w:tcBorders>
            <w:hideMark/>
          </w:tcPr>
          <w:p w:rsidR="00851838" w:rsidRDefault="00851838">
            <w:pPr>
              <w:rPr>
                <w:i/>
                <w:iCs/>
                <w:sz w:val="24"/>
                <w:szCs w:val="24"/>
              </w:rPr>
            </w:pPr>
            <w:r>
              <w:rPr>
                <w:i/>
                <w:sz w:val="24"/>
                <w:szCs w:val="24"/>
              </w:rPr>
              <w:t xml:space="preserve">Fusobacterium </w:t>
            </w:r>
            <w:r>
              <w:rPr>
                <w:sz w:val="24"/>
                <w:szCs w:val="24"/>
              </w:rPr>
              <w:t>spp.</w:t>
            </w:r>
          </w:p>
        </w:tc>
      </w:tr>
      <w:tr w:rsidR="00851838" w:rsidTr="00851838">
        <w:trPr>
          <w:cantSplit/>
        </w:trPr>
        <w:tc>
          <w:tcPr>
            <w:tcW w:w="8647" w:type="dxa"/>
            <w:tcBorders>
              <w:top w:val="single" w:sz="4" w:space="0" w:color="auto"/>
              <w:left w:val="single" w:sz="4" w:space="0" w:color="auto"/>
              <w:bottom w:val="single" w:sz="4" w:space="0" w:color="auto"/>
              <w:right w:val="single" w:sz="4" w:space="0" w:color="auto"/>
            </w:tcBorders>
            <w:shd w:val="pct15" w:color="auto" w:fill="FFFFFF"/>
            <w:hideMark/>
          </w:tcPr>
          <w:p w:rsidR="00851838" w:rsidRDefault="00851838">
            <w:pPr>
              <w:rPr>
                <w:b/>
                <w:bCs/>
                <w:sz w:val="24"/>
                <w:szCs w:val="24"/>
              </w:rPr>
            </w:pPr>
            <w:r>
              <w:rPr>
                <w:b/>
                <w:sz w:val="24"/>
                <w:szCs w:val="24"/>
              </w:rPr>
              <w:t>Andre mikroorganismer</w:t>
            </w:r>
          </w:p>
        </w:tc>
      </w:tr>
    </w:tbl>
    <w:p w:rsidR="00851838" w:rsidRDefault="00851838" w:rsidP="00851838">
      <w:pPr>
        <w:ind w:left="851"/>
        <w:rPr>
          <w:sz w:val="24"/>
          <w:szCs w:val="24"/>
        </w:rPr>
      </w:pPr>
      <w:r>
        <w:rPr>
          <w:sz w:val="24"/>
          <w:szCs w:val="24"/>
        </w:rPr>
        <w:t>*Se "Resistensmekanismer" for kommentarer om resistens</w:t>
      </w:r>
    </w:p>
    <w:p w:rsidR="00851838" w:rsidRDefault="00851838" w:rsidP="00851838">
      <w:pPr>
        <w:ind w:left="851" w:hanging="851"/>
        <w:rPr>
          <w:sz w:val="24"/>
          <w:szCs w:val="24"/>
        </w:rPr>
      </w:pPr>
    </w:p>
    <w:p w:rsidR="00F26B82" w:rsidRPr="00C84483" w:rsidRDefault="00F26B82" w:rsidP="00F26B82">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CA5858" w:rsidRPr="005A561F" w:rsidRDefault="00CA5858" w:rsidP="00CA5858">
      <w:pPr>
        <w:ind w:left="851"/>
        <w:rPr>
          <w:sz w:val="24"/>
          <w:szCs w:val="24"/>
          <w:u w:val="single"/>
        </w:rPr>
      </w:pPr>
    </w:p>
    <w:p w:rsidR="00CA5858" w:rsidRPr="005A561F" w:rsidRDefault="00CA5858" w:rsidP="00CA5858">
      <w:pPr>
        <w:ind w:left="851"/>
        <w:rPr>
          <w:sz w:val="24"/>
          <w:szCs w:val="24"/>
          <w:u w:val="single"/>
        </w:rPr>
      </w:pPr>
      <w:r w:rsidRPr="005A561F">
        <w:rPr>
          <w:sz w:val="24"/>
          <w:szCs w:val="24"/>
          <w:u w:val="single"/>
        </w:rPr>
        <w:t>Absorption</w:t>
      </w:r>
    </w:p>
    <w:p w:rsidR="00CA5858" w:rsidRPr="005A561F" w:rsidRDefault="00CA5858" w:rsidP="00CA5858">
      <w:pPr>
        <w:ind w:left="851"/>
        <w:rPr>
          <w:sz w:val="24"/>
          <w:szCs w:val="24"/>
        </w:rPr>
      </w:pPr>
      <w:r w:rsidRPr="005A561F">
        <w:rPr>
          <w:sz w:val="24"/>
          <w:szCs w:val="24"/>
        </w:rPr>
        <w:t xml:space="preserve">Clarithromycin absorberes hurtigt og grundigt fra mavetarmkanalen - primært i jejunum - men gennemgår en udtalt first pass-metabolisme efter oral administration. Den absolutte biotilgængelighed af en clarithromycintablet på 250 mg er omtrent 50 %. Føde forsinker absorptionen let, men påvirker ikke graden af biotilgængelighed. Derfor kan clarithromycintabletter gives uden hensyn til føde. Som følge af dets kemiske struktur (6-O-methylerythromycin) er clarithromycin fuldstændig resistent over for nedbrydning af mavesyre. Maksimale plasmaniveauer på 1-2 µg/ml clarithromycin blev set hos voksne efter peroral administration af 250 mg to gange daglig. Efter administration af 500 mg clarithromycin to gange </w:t>
      </w:r>
      <w:r w:rsidR="00EE71BF">
        <w:rPr>
          <w:sz w:val="24"/>
          <w:szCs w:val="24"/>
        </w:rPr>
        <w:t>daglig</w:t>
      </w:r>
      <w:r w:rsidRPr="005A561F">
        <w:rPr>
          <w:sz w:val="24"/>
          <w:szCs w:val="24"/>
        </w:rPr>
        <w:t xml:space="preserve"> var det maksimale plasmaniveau 2,8 µg/ml.</w:t>
      </w:r>
    </w:p>
    <w:p w:rsidR="00CA5858" w:rsidRPr="005A561F" w:rsidRDefault="00CA5858" w:rsidP="00CA5858">
      <w:pPr>
        <w:ind w:left="851" w:hanging="851"/>
        <w:rPr>
          <w:sz w:val="24"/>
          <w:szCs w:val="24"/>
        </w:rPr>
      </w:pPr>
    </w:p>
    <w:p w:rsidR="00CA5858" w:rsidRPr="005A561F" w:rsidRDefault="00CA5858" w:rsidP="00CA5858">
      <w:pPr>
        <w:ind w:left="851"/>
        <w:rPr>
          <w:sz w:val="24"/>
          <w:szCs w:val="24"/>
        </w:rPr>
      </w:pPr>
      <w:r w:rsidRPr="005A561F">
        <w:rPr>
          <w:sz w:val="24"/>
          <w:szCs w:val="24"/>
        </w:rPr>
        <w:t xml:space="preserve">Efter administration af 250 mg clarithromycin to gange </w:t>
      </w:r>
      <w:r w:rsidR="00EE71BF">
        <w:rPr>
          <w:sz w:val="24"/>
          <w:szCs w:val="24"/>
        </w:rPr>
        <w:t>daglig</w:t>
      </w:r>
      <w:r w:rsidRPr="005A561F">
        <w:rPr>
          <w:sz w:val="24"/>
          <w:szCs w:val="24"/>
        </w:rPr>
        <w:t>, når den mikrobiologisk aktive 14-hydroxymetabolit en peak plasma-koncentration på 0,6 µg/ml. Steady state nås i løbet af 2 dages dosering.</w:t>
      </w:r>
    </w:p>
    <w:p w:rsidR="00CA5858" w:rsidRPr="005A561F" w:rsidRDefault="00CA5858" w:rsidP="00CA5858">
      <w:pPr>
        <w:ind w:left="851" w:hanging="851"/>
        <w:rPr>
          <w:sz w:val="24"/>
          <w:szCs w:val="24"/>
        </w:rPr>
      </w:pPr>
    </w:p>
    <w:p w:rsidR="00CA5858" w:rsidRPr="005A561F" w:rsidRDefault="00CA5858" w:rsidP="00CA5858">
      <w:pPr>
        <w:ind w:left="851"/>
        <w:rPr>
          <w:sz w:val="24"/>
          <w:szCs w:val="24"/>
          <w:u w:val="single"/>
        </w:rPr>
      </w:pPr>
      <w:r w:rsidRPr="005A561F">
        <w:rPr>
          <w:sz w:val="24"/>
          <w:szCs w:val="24"/>
          <w:u w:val="single"/>
        </w:rPr>
        <w:t>Fordeling</w:t>
      </w:r>
    </w:p>
    <w:p w:rsidR="00CA5858" w:rsidRPr="005A561F" w:rsidRDefault="00CA5858" w:rsidP="00CA5858">
      <w:pPr>
        <w:ind w:left="851"/>
        <w:rPr>
          <w:sz w:val="24"/>
          <w:szCs w:val="24"/>
        </w:rPr>
      </w:pPr>
      <w:r w:rsidRPr="005A561F">
        <w:rPr>
          <w:sz w:val="24"/>
          <w:szCs w:val="24"/>
        </w:rPr>
        <w:t>Clarithromycin penetrerer godt til forskellige fordelingsrum med et fordelingsvolumen estimeret til 200-400 l. Clarithromycin giver koncentrationer i nogle væv, der er flere gange højere end for de cirkulerende stofkoncentrationer. Forhøjede niveauer er fundet både i tonsiller og lungevæv. Clarithromycin penetrerer også mavens slimhinder.</w:t>
      </w:r>
    </w:p>
    <w:p w:rsidR="00CA5858" w:rsidRPr="005A561F" w:rsidRDefault="00CA5858" w:rsidP="00CA5858">
      <w:pPr>
        <w:ind w:left="851" w:hanging="851"/>
        <w:rPr>
          <w:sz w:val="24"/>
          <w:szCs w:val="24"/>
        </w:rPr>
      </w:pPr>
    </w:p>
    <w:p w:rsidR="00CA5858" w:rsidRPr="005A561F" w:rsidRDefault="00CA5858" w:rsidP="00CA5858">
      <w:pPr>
        <w:ind w:left="851"/>
        <w:rPr>
          <w:sz w:val="24"/>
          <w:szCs w:val="24"/>
        </w:rPr>
      </w:pPr>
      <w:r w:rsidRPr="005A561F">
        <w:rPr>
          <w:sz w:val="24"/>
          <w:szCs w:val="24"/>
        </w:rPr>
        <w:t>Clarithromycin er bundet ca. 80 % til plasmaproteiner ved terapeutiske niveauer.</w:t>
      </w:r>
    </w:p>
    <w:p w:rsidR="00CA5858" w:rsidRPr="005A561F" w:rsidRDefault="00CA5858" w:rsidP="00CA5858">
      <w:pPr>
        <w:ind w:left="851" w:hanging="851"/>
        <w:rPr>
          <w:sz w:val="24"/>
          <w:szCs w:val="24"/>
        </w:rPr>
      </w:pPr>
    </w:p>
    <w:p w:rsidR="00CA5858" w:rsidRPr="005A561F" w:rsidRDefault="00CA5858" w:rsidP="00CA5858">
      <w:pPr>
        <w:ind w:left="851"/>
        <w:rPr>
          <w:sz w:val="24"/>
          <w:szCs w:val="24"/>
          <w:u w:val="single"/>
        </w:rPr>
      </w:pPr>
      <w:r w:rsidRPr="005A561F">
        <w:rPr>
          <w:sz w:val="24"/>
          <w:szCs w:val="24"/>
          <w:u w:val="single"/>
        </w:rPr>
        <w:t>Biotransformation og elimination</w:t>
      </w:r>
    </w:p>
    <w:p w:rsidR="00CA5858" w:rsidRPr="005A561F" w:rsidRDefault="00CA5858" w:rsidP="00CA5858">
      <w:pPr>
        <w:ind w:left="851"/>
        <w:rPr>
          <w:sz w:val="24"/>
          <w:szCs w:val="24"/>
        </w:rPr>
      </w:pPr>
      <w:r w:rsidRPr="005A561F">
        <w:rPr>
          <w:sz w:val="24"/>
          <w:szCs w:val="24"/>
        </w:rPr>
        <w:t>Clarithromycin metaboliseres hurtigt og fuldstændigt i leveren. Metabolismen i leveren omfatter P450-cytokromsystemet. Metabolismen omfatter hovedsagelig N-dealkylering, oxidation og stereospecifik hydroxylering ved C 14.</w:t>
      </w:r>
    </w:p>
    <w:p w:rsidR="00CA5858" w:rsidRPr="005A561F" w:rsidRDefault="00CA5858" w:rsidP="00CA5858">
      <w:pPr>
        <w:ind w:left="851" w:hanging="851"/>
        <w:rPr>
          <w:sz w:val="24"/>
          <w:szCs w:val="24"/>
        </w:rPr>
      </w:pPr>
    </w:p>
    <w:p w:rsidR="00CA5858" w:rsidRPr="005A561F" w:rsidRDefault="00CA5858" w:rsidP="00CA5858">
      <w:pPr>
        <w:ind w:left="851"/>
        <w:rPr>
          <w:sz w:val="24"/>
          <w:szCs w:val="24"/>
        </w:rPr>
      </w:pPr>
      <w:r w:rsidRPr="005A561F">
        <w:rPr>
          <w:sz w:val="24"/>
          <w:szCs w:val="24"/>
        </w:rPr>
        <w:t xml:space="preserve">Clarithromycins farmakokinetik er nonlineær som følge af, at den hepatiske metabolisme mættes ved høje doser. Eliminationshalveringstiden øges fra 2-4 timer efter administration af 250 mg clarithromycin to gange </w:t>
      </w:r>
      <w:r w:rsidR="00EE71BF">
        <w:rPr>
          <w:sz w:val="24"/>
          <w:szCs w:val="24"/>
        </w:rPr>
        <w:t>daglig</w:t>
      </w:r>
      <w:r w:rsidRPr="005A561F">
        <w:rPr>
          <w:sz w:val="24"/>
          <w:szCs w:val="24"/>
        </w:rPr>
        <w:t xml:space="preserve"> til 5 timer efter administration af 500 mg clarithromycin to gange </w:t>
      </w:r>
      <w:r w:rsidR="00EE71BF">
        <w:rPr>
          <w:sz w:val="24"/>
          <w:szCs w:val="24"/>
        </w:rPr>
        <w:t>daglig</w:t>
      </w:r>
      <w:r w:rsidRPr="005A561F">
        <w:rPr>
          <w:sz w:val="24"/>
          <w:szCs w:val="24"/>
        </w:rPr>
        <w:t xml:space="preserve">. Halveringstiden af den aktive 14-hydroxymetabolit ligger mellem 5 til 6 timer efter administration af 250 mg clarithromycin to gange </w:t>
      </w:r>
      <w:r w:rsidR="00EE71BF">
        <w:rPr>
          <w:sz w:val="24"/>
          <w:szCs w:val="24"/>
        </w:rPr>
        <w:t>daglig</w:t>
      </w:r>
      <w:r w:rsidRPr="005A561F">
        <w:rPr>
          <w:sz w:val="24"/>
          <w:szCs w:val="24"/>
        </w:rPr>
        <w:t>.</w:t>
      </w:r>
    </w:p>
    <w:p w:rsidR="00CA5858" w:rsidRPr="005A561F" w:rsidRDefault="00CA5858" w:rsidP="00CA5858">
      <w:pPr>
        <w:ind w:left="851" w:hanging="851"/>
        <w:rPr>
          <w:sz w:val="24"/>
          <w:szCs w:val="24"/>
        </w:rPr>
      </w:pPr>
    </w:p>
    <w:p w:rsidR="00CA5858" w:rsidRPr="005A561F" w:rsidRDefault="00CA5858" w:rsidP="00CA5858">
      <w:pPr>
        <w:ind w:left="851"/>
        <w:rPr>
          <w:sz w:val="24"/>
          <w:szCs w:val="24"/>
        </w:rPr>
      </w:pPr>
      <w:r w:rsidRPr="005A561F">
        <w:rPr>
          <w:sz w:val="24"/>
          <w:szCs w:val="24"/>
        </w:rPr>
        <w:t xml:space="preserve">Efter oral administration af radioaktivt clarithromycin blev 70-80 % af radioaktiviteten fundet i fæces. Omtrent 20-30 % af clarithromycin opsamles som uomdannet aktiv </w:t>
      </w:r>
      <w:r w:rsidRPr="005A561F">
        <w:rPr>
          <w:sz w:val="24"/>
          <w:szCs w:val="24"/>
        </w:rPr>
        <w:lastRenderedPageBreak/>
        <w:t>substans i urinen. Denne del øges, når dosis øges. Ved nyreinsufficiens øges niveauer af clarithromycin i plasma, hvis dosis ikke nedsættes.</w:t>
      </w:r>
    </w:p>
    <w:p w:rsidR="00CA5858" w:rsidRPr="005A561F" w:rsidRDefault="00CA5858" w:rsidP="00CA5858">
      <w:pPr>
        <w:ind w:left="851" w:hanging="851"/>
        <w:rPr>
          <w:sz w:val="24"/>
          <w:szCs w:val="24"/>
        </w:rPr>
      </w:pPr>
    </w:p>
    <w:p w:rsidR="00CA5858" w:rsidRPr="005A561F" w:rsidRDefault="00CA5858" w:rsidP="00CA5858">
      <w:pPr>
        <w:ind w:left="851"/>
        <w:rPr>
          <w:sz w:val="24"/>
          <w:szCs w:val="24"/>
        </w:rPr>
      </w:pPr>
      <w:r w:rsidRPr="005A561F">
        <w:rPr>
          <w:sz w:val="24"/>
          <w:szCs w:val="24"/>
        </w:rPr>
        <w:t>Den totale plasmaclearance er blevet estimeret til omtrent 700 ml/min med en renal clearance på cirka 170 ml/min.</w:t>
      </w:r>
    </w:p>
    <w:p w:rsidR="00CA5858" w:rsidRPr="005A561F" w:rsidRDefault="00CA5858" w:rsidP="00CA5858">
      <w:pPr>
        <w:ind w:left="851" w:hanging="851"/>
        <w:rPr>
          <w:sz w:val="24"/>
          <w:szCs w:val="24"/>
        </w:rPr>
      </w:pPr>
    </w:p>
    <w:p w:rsidR="00CA5858" w:rsidRPr="005A561F" w:rsidRDefault="00CA5858" w:rsidP="00CA5858">
      <w:pPr>
        <w:ind w:left="851"/>
        <w:rPr>
          <w:sz w:val="24"/>
          <w:szCs w:val="24"/>
          <w:u w:val="single"/>
        </w:rPr>
      </w:pPr>
      <w:r w:rsidRPr="005A561F">
        <w:rPr>
          <w:sz w:val="24"/>
          <w:szCs w:val="24"/>
          <w:u w:val="single"/>
        </w:rPr>
        <w:t>Særlige patientgrupper</w:t>
      </w:r>
    </w:p>
    <w:p w:rsidR="00CA5858" w:rsidRPr="005A561F" w:rsidRDefault="00CA5858" w:rsidP="00CA5858">
      <w:pPr>
        <w:ind w:left="851"/>
        <w:rPr>
          <w:sz w:val="24"/>
          <w:szCs w:val="24"/>
        </w:rPr>
      </w:pPr>
      <w:r w:rsidRPr="005A561F">
        <w:rPr>
          <w:sz w:val="24"/>
          <w:szCs w:val="24"/>
        </w:rPr>
        <w:t>Nedsat nyrefunktion: Nedsat nyrefunktion medfører stigning i plasmaværdier af clarithromycin og af den aktive metabolits niveauer i plasma.</w:t>
      </w:r>
    </w:p>
    <w:p w:rsidR="00CA5858" w:rsidRPr="005A561F" w:rsidRDefault="00CA5858" w:rsidP="00CA5858">
      <w:pPr>
        <w:ind w:left="851" w:hanging="851"/>
        <w:rPr>
          <w:sz w:val="24"/>
          <w:szCs w:val="24"/>
        </w:rPr>
      </w:pPr>
    </w:p>
    <w:p w:rsidR="00F26B82" w:rsidRPr="00C84483" w:rsidRDefault="00F26B82" w:rsidP="00F26B82">
      <w:pPr>
        <w:tabs>
          <w:tab w:val="left" w:pos="851"/>
        </w:tabs>
        <w:ind w:left="851" w:hanging="851"/>
        <w:rPr>
          <w:b/>
          <w:sz w:val="24"/>
          <w:szCs w:val="24"/>
        </w:rPr>
      </w:pPr>
      <w:r w:rsidRPr="00C84483">
        <w:rPr>
          <w:b/>
          <w:sz w:val="24"/>
          <w:szCs w:val="24"/>
        </w:rPr>
        <w:t>5.3</w:t>
      </w:r>
      <w:r w:rsidRPr="00C84483">
        <w:rPr>
          <w:b/>
          <w:sz w:val="24"/>
          <w:szCs w:val="24"/>
        </w:rPr>
        <w:tab/>
      </w:r>
      <w:r w:rsidR="009E632D">
        <w:rPr>
          <w:b/>
          <w:sz w:val="24"/>
          <w:szCs w:val="24"/>
        </w:rPr>
        <w:t>Non-</w:t>
      </w:r>
      <w:r w:rsidRPr="00C84483">
        <w:rPr>
          <w:b/>
          <w:sz w:val="24"/>
          <w:szCs w:val="24"/>
        </w:rPr>
        <w:t>kliniske sikkerhedsdata</w:t>
      </w:r>
    </w:p>
    <w:p w:rsidR="00CA5858" w:rsidRPr="005A561F" w:rsidRDefault="00CA5858" w:rsidP="00CA5858">
      <w:pPr>
        <w:ind w:left="851"/>
        <w:rPr>
          <w:sz w:val="24"/>
          <w:szCs w:val="24"/>
        </w:rPr>
      </w:pPr>
      <w:r w:rsidRPr="005A561F">
        <w:rPr>
          <w:sz w:val="24"/>
          <w:szCs w:val="24"/>
        </w:rPr>
        <w:t xml:space="preserve">I forsøg med gentagen dosis blev toksiciteten af clarithromycin fundet at være relateret til dosis og behandlingsvarighed. Hos samtlige arter blev de første tegn på toksicitet fundet i leveren, hvor læsionerne blev synlige inden for 14 dage hos hunde og aber. Andre væv, der mindre hyppigt blev påvirket omfatter maven, thymus og andet lymfevæv samt nyrerne. De systematiske ekspositionsniveauer i forbindelse med denne toksicitet kendes ikke præcist, men de toksiske mg/kg-doser var betydeligt højere and de anbefalede terapeutiske doser til mennesker. </w:t>
      </w:r>
    </w:p>
    <w:p w:rsidR="00CA5858" w:rsidRPr="005A561F" w:rsidRDefault="00CA5858" w:rsidP="00CA5858">
      <w:pPr>
        <w:ind w:left="851" w:hanging="851"/>
        <w:rPr>
          <w:sz w:val="24"/>
          <w:szCs w:val="24"/>
        </w:rPr>
      </w:pPr>
    </w:p>
    <w:p w:rsidR="00CA5858" w:rsidRPr="005A561F" w:rsidRDefault="00CA5858" w:rsidP="00CA5858">
      <w:pPr>
        <w:ind w:left="851"/>
        <w:rPr>
          <w:sz w:val="24"/>
          <w:szCs w:val="24"/>
        </w:rPr>
      </w:pPr>
      <w:r w:rsidRPr="005A561F">
        <w:rPr>
          <w:sz w:val="24"/>
          <w:szCs w:val="24"/>
        </w:rPr>
        <w:t xml:space="preserve">Der blev ikke fundet nogen mutagen effekt i </w:t>
      </w:r>
      <w:r w:rsidRPr="005A561F">
        <w:rPr>
          <w:i/>
          <w:sz w:val="24"/>
          <w:szCs w:val="24"/>
        </w:rPr>
        <w:t>in vitro</w:t>
      </w:r>
      <w:r w:rsidRPr="005A561F">
        <w:rPr>
          <w:sz w:val="24"/>
          <w:szCs w:val="24"/>
        </w:rPr>
        <w:t xml:space="preserve">- og </w:t>
      </w:r>
      <w:r w:rsidRPr="005A561F">
        <w:rPr>
          <w:i/>
          <w:sz w:val="24"/>
          <w:szCs w:val="24"/>
        </w:rPr>
        <w:t>in vivo</w:t>
      </w:r>
      <w:r w:rsidRPr="005A561F">
        <w:rPr>
          <w:sz w:val="24"/>
          <w:szCs w:val="24"/>
        </w:rPr>
        <w:t xml:space="preserve">-studier med clarithromycin. </w:t>
      </w:r>
    </w:p>
    <w:p w:rsidR="00CA5858" w:rsidRPr="005A561F" w:rsidRDefault="00CA5858" w:rsidP="00CA5858">
      <w:pPr>
        <w:ind w:left="851" w:hanging="851"/>
        <w:rPr>
          <w:sz w:val="24"/>
          <w:szCs w:val="24"/>
        </w:rPr>
      </w:pPr>
    </w:p>
    <w:p w:rsidR="00CA5858" w:rsidRPr="005A561F" w:rsidRDefault="00CA5858" w:rsidP="00CA5858">
      <w:pPr>
        <w:ind w:left="851"/>
        <w:rPr>
          <w:sz w:val="24"/>
          <w:szCs w:val="24"/>
        </w:rPr>
      </w:pPr>
      <w:r w:rsidRPr="005A561F">
        <w:rPr>
          <w:sz w:val="24"/>
          <w:szCs w:val="24"/>
        </w:rPr>
        <w:t xml:space="preserve">Fertilitets- og reproduktionsstudier hos rotter viste ingen bivirkninger. Teratogenicitetsstudier med rotter (Wistar (p.o.) og Sprague-Dawley (p.o. og i.v.)), New Zealand White-kaniner og cynomolgus-aber kunne ikke påvise nogen teratogenicitet fra clarithromycin. Et yderligere lignende studie med Sprague-Dawley-rotter indikerede en lav (6 %) incidens af kardiovaskulære abnormiteter, som syntes at skyldes spontan eksprimering af genetiske forandringer. To forsøg med mus viste en varierende incidens (3-30 %) af ganespalte, og hos aber blev der observeret embryotab, men kun ved dosisniveauer, der var klart toksiske for mødrene. </w:t>
      </w:r>
    </w:p>
    <w:p w:rsidR="00CA5858" w:rsidRPr="005A561F" w:rsidRDefault="00CA5858" w:rsidP="00CA5858">
      <w:pPr>
        <w:ind w:left="851" w:hanging="851"/>
        <w:rPr>
          <w:sz w:val="24"/>
          <w:szCs w:val="24"/>
        </w:rPr>
      </w:pPr>
    </w:p>
    <w:p w:rsidR="00CA5858" w:rsidRPr="005A561F" w:rsidRDefault="00CA5858" w:rsidP="00CA5858">
      <w:pPr>
        <w:ind w:left="851"/>
        <w:rPr>
          <w:sz w:val="24"/>
          <w:szCs w:val="24"/>
        </w:rPr>
      </w:pPr>
      <w:r w:rsidRPr="005A561F">
        <w:rPr>
          <w:sz w:val="24"/>
          <w:szCs w:val="24"/>
        </w:rPr>
        <w:t>Der er ikke rapporteret andre toksikologiske fund, som blev anset for værende relevante for det dosisniveau, der anbefales til patientbehandling.</w:t>
      </w:r>
    </w:p>
    <w:p w:rsidR="00CA5858" w:rsidRPr="005A561F" w:rsidRDefault="00CA5858" w:rsidP="00CA5858">
      <w:pPr>
        <w:ind w:left="851" w:hanging="851"/>
        <w:rPr>
          <w:sz w:val="24"/>
          <w:szCs w:val="24"/>
        </w:rPr>
      </w:pPr>
    </w:p>
    <w:p w:rsidR="00CA5858" w:rsidRPr="005A561F" w:rsidRDefault="00CA5858" w:rsidP="00CA5858">
      <w:pPr>
        <w:ind w:left="851" w:hanging="851"/>
        <w:rPr>
          <w:sz w:val="24"/>
          <w:szCs w:val="24"/>
        </w:rPr>
      </w:pPr>
    </w:p>
    <w:p w:rsidR="00F26B82" w:rsidRPr="00C84483" w:rsidRDefault="00F26B82" w:rsidP="00F26B82">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F26B82" w:rsidRPr="00BA09F1" w:rsidRDefault="00F26B82" w:rsidP="00F26B82">
      <w:pPr>
        <w:tabs>
          <w:tab w:val="left" w:pos="851"/>
        </w:tabs>
        <w:ind w:left="851"/>
        <w:rPr>
          <w:sz w:val="24"/>
          <w:szCs w:val="24"/>
        </w:rPr>
      </w:pPr>
    </w:p>
    <w:p w:rsidR="00F26B82" w:rsidRPr="00C84483" w:rsidRDefault="00F26B82" w:rsidP="00F26B82">
      <w:pPr>
        <w:tabs>
          <w:tab w:val="left" w:pos="851"/>
        </w:tabs>
        <w:ind w:left="851" w:hanging="851"/>
        <w:rPr>
          <w:b/>
          <w:sz w:val="24"/>
          <w:szCs w:val="24"/>
        </w:rPr>
      </w:pPr>
      <w:r w:rsidRPr="00C84483">
        <w:rPr>
          <w:b/>
          <w:sz w:val="24"/>
          <w:szCs w:val="24"/>
        </w:rPr>
        <w:t>6.1</w:t>
      </w:r>
      <w:r w:rsidRPr="00C84483">
        <w:rPr>
          <w:b/>
          <w:sz w:val="24"/>
          <w:szCs w:val="24"/>
        </w:rPr>
        <w:tab/>
        <w:t>Hjælpestoffer</w:t>
      </w:r>
    </w:p>
    <w:p w:rsidR="00CA5858" w:rsidRPr="005A561F" w:rsidRDefault="00CA5858" w:rsidP="00CA5858">
      <w:pPr>
        <w:ind w:left="851"/>
        <w:rPr>
          <w:sz w:val="24"/>
          <w:szCs w:val="24"/>
          <w:u w:val="single"/>
        </w:rPr>
      </w:pPr>
    </w:p>
    <w:p w:rsidR="00CA5858" w:rsidRPr="005A561F" w:rsidRDefault="00CA5858" w:rsidP="00CA5858">
      <w:pPr>
        <w:ind w:left="851"/>
        <w:rPr>
          <w:sz w:val="24"/>
          <w:szCs w:val="24"/>
          <w:u w:val="single"/>
        </w:rPr>
      </w:pPr>
      <w:r w:rsidRPr="005A561F">
        <w:rPr>
          <w:sz w:val="24"/>
          <w:szCs w:val="24"/>
          <w:u w:val="single"/>
        </w:rPr>
        <w:t>Tabletkerne</w:t>
      </w:r>
    </w:p>
    <w:p w:rsidR="00CA5858" w:rsidRPr="005A561F" w:rsidRDefault="00CA5858" w:rsidP="00CA5858">
      <w:pPr>
        <w:ind w:left="851"/>
        <w:rPr>
          <w:sz w:val="24"/>
          <w:szCs w:val="24"/>
        </w:rPr>
      </w:pPr>
      <w:r w:rsidRPr="005A561F">
        <w:rPr>
          <w:sz w:val="24"/>
          <w:szCs w:val="24"/>
        </w:rPr>
        <w:t>Natriumstivelsesglycolat (type A)</w:t>
      </w:r>
    </w:p>
    <w:p w:rsidR="00CA5858" w:rsidRPr="005A561F" w:rsidRDefault="00CA5858" w:rsidP="00CA5858">
      <w:pPr>
        <w:ind w:left="851"/>
        <w:rPr>
          <w:sz w:val="24"/>
          <w:szCs w:val="24"/>
        </w:rPr>
      </w:pPr>
      <w:r w:rsidRPr="005A561F">
        <w:rPr>
          <w:sz w:val="24"/>
          <w:szCs w:val="24"/>
        </w:rPr>
        <w:t>Cellulose, mikrokrystallinsk</w:t>
      </w:r>
    </w:p>
    <w:p w:rsidR="00CA5858" w:rsidRPr="005A561F" w:rsidRDefault="00CA5858" w:rsidP="00CA5858">
      <w:pPr>
        <w:ind w:left="851"/>
        <w:rPr>
          <w:sz w:val="24"/>
          <w:szCs w:val="24"/>
        </w:rPr>
      </w:pPr>
      <w:r w:rsidRPr="005A561F">
        <w:rPr>
          <w:sz w:val="24"/>
          <w:szCs w:val="24"/>
        </w:rPr>
        <w:t>Povidon (PVP K-30)</w:t>
      </w:r>
    </w:p>
    <w:p w:rsidR="00CA5858" w:rsidRPr="005A561F" w:rsidRDefault="00CA5858" w:rsidP="00CA5858">
      <w:pPr>
        <w:ind w:left="851"/>
        <w:rPr>
          <w:sz w:val="24"/>
          <w:szCs w:val="24"/>
        </w:rPr>
      </w:pPr>
      <w:r w:rsidRPr="005A561F">
        <w:rPr>
          <w:sz w:val="24"/>
          <w:szCs w:val="24"/>
        </w:rPr>
        <w:t>Magnesiumhydroxid</w:t>
      </w:r>
    </w:p>
    <w:p w:rsidR="00CA5858" w:rsidRPr="00D97311" w:rsidRDefault="00CA5858" w:rsidP="00CA5858">
      <w:pPr>
        <w:ind w:left="851"/>
        <w:rPr>
          <w:sz w:val="24"/>
          <w:szCs w:val="24"/>
          <w:lang w:val="en-US"/>
        </w:rPr>
      </w:pPr>
      <w:r w:rsidRPr="00D97311">
        <w:rPr>
          <w:sz w:val="24"/>
          <w:szCs w:val="24"/>
          <w:lang w:val="en-US"/>
        </w:rPr>
        <w:t>Croscarmellosenatrium</w:t>
      </w:r>
    </w:p>
    <w:p w:rsidR="00CA5858" w:rsidRPr="00D97311" w:rsidRDefault="00CA5858" w:rsidP="00CA5858">
      <w:pPr>
        <w:ind w:left="851"/>
        <w:rPr>
          <w:sz w:val="24"/>
          <w:szCs w:val="24"/>
          <w:lang w:val="en-US"/>
        </w:rPr>
      </w:pPr>
      <w:r w:rsidRPr="00D97311">
        <w:rPr>
          <w:sz w:val="24"/>
          <w:szCs w:val="24"/>
          <w:lang w:val="en-US"/>
        </w:rPr>
        <w:t>Kolloid vandfri silica</w:t>
      </w:r>
    </w:p>
    <w:p w:rsidR="00CA5858" w:rsidRPr="00D97311" w:rsidRDefault="00CA5858" w:rsidP="00CA5858">
      <w:pPr>
        <w:ind w:left="851"/>
        <w:rPr>
          <w:sz w:val="24"/>
          <w:szCs w:val="24"/>
          <w:lang w:val="en-US"/>
        </w:rPr>
      </w:pPr>
      <w:r w:rsidRPr="00D97311">
        <w:rPr>
          <w:sz w:val="24"/>
          <w:szCs w:val="24"/>
          <w:lang w:val="en-US"/>
        </w:rPr>
        <w:t>Stearinsyre</w:t>
      </w:r>
    </w:p>
    <w:p w:rsidR="00CA5858" w:rsidRPr="00D97311" w:rsidRDefault="00CA5858" w:rsidP="00CA5858">
      <w:pPr>
        <w:ind w:left="851"/>
        <w:rPr>
          <w:sz w:val="24"/>
          <w:szCs w:val="24"/>
          <w:lang w:val="en-US"/>
        </w:rPr>
      </w:pPr>
      <w:r w:rsidRPr="00D97311">
        <w:rPr>
          <w:sz w:val="24"/>
          <w:szCs w:val="24"/>
          <w:lang w:val="en-US"/>
        </w:rPr>
        <w:t>Magnesiumstearat</w:t>
      </w:r>
    </w:p>
    <w:p w:rsidR="00CA5858" w:rsidRPr="00D97311" w:rsidRDefault="00CA5858" w:rsidP="00CA5858">
      <w:pPr>
        <w:ind w:left="851"/>
        <w:rPr>
          <w:sz w:val="24"/>
          <w:szCs w:val="24"/>
          <w:lang w:val="en-US"/>
        </w:rPr>
      </w:pPr>
    </w:p>
    <w:p w:rsidR="00CA5858" w:rsidRPr="005A561F" w:rsidRDefault="00CA5858" w:rsidP="00CA5858">
      <w:pPr>
        <w:ind w:left="851"/>
        <w:rPr>
          <w:sz w:val="24"/>
          <w:szCs w:val="24"/>
          <w:u w:val="single"/>
        </w:rPr>
      </w:pPr>
      <w:r w:rsidRPr="005A561F">
        <w:rPr>
          <w:sz w:val="24"/>
          <w:szCs w:val="24"/>
          <w:u w:val="single"/>
        </w:rPr>
        <w:t>Filmovertræk</w:t>
      </w:r>
    </w:p>
    <w:p w:rsidR="00CA5858" w:rsidRPr="005A561F" w:rsidRDefault="00CA5858" w:rsidP="00CA5858">
      <w:pPr>
        <w:ind w:left="851"/>
        <w:rPr>
          <w:sz w:val="24"/>
          <w:szCs w:val="24"/>
        </w:rPr>
      </w:pPr>
      <w:r w:rsidRPr="005A561F">
        <w:rPr>
          <w:sz w:val="24"/>
          <w:szCs w:val="24"/>
        </w:rPr>
        <w:t>Hypromellose (E464)</w:t>
      </w:r>
    </w:p>
    <w:p w:rsidR="00CA5858" w:rsidRPr="005A561F" w:rsidRDefault="00CA5858" w:rsidP="00CA5858">
      <w:pPr>
        <w:ind w:left="851"/>
        <w:rPr>
          <w:sz w:val="24"/>
          <w:szCs w:val="24"/>
        </w:rPr>
      </w:pPr>
      <w:r w:rsidRPr="005A561F">
        <w:rPr>
          <w:sz w:val="24"/>
          <w:szCs w:val="24"/>
        </w:rPr>
        <w:lastRenderedPageBreak/>
        <w:t>Titandioxid (E171)</w:t>
      </w:r>
    </w:p>
    <w:p w:rsidR="00CA5858" w:rsidRPr="00D97311" w:rsidRDefault="00CA5858" w:rsidP="00CA5858">
      <w:pPr>
        <w:ind w:left="851"/>
        <w:rPr>
          <w:sz w:val="24"/>
          <w:szCs w:val="24"/>
          <w:lang w:val="en-US"/>
        </w:rPr>
      </w:pPr>
      <w:r w:rsidRPr="00D97311">
        <w:rPr>
          <w:sz w:val="24"/>
          <w:szCs w:val="24"/>
          <w:lang w:val="en-US"/>
        </w:rPr>
        <w:t>Macrogol 400</w:t>
      </w:r>
    </w:p>
    <w:p w:rsidR="00CA5858" w:rsidRPr="00D97311" w:rsidRDefault="00CA5858" w:rsidP="00CA5858">
      <w:pPr>
        <w:ind w:left="851"/>
        <w:rPr>
          <w:sz w:val="24"/>
          <w:szCs w:val="24"/>
          <w:lang w:val="en-US"/>
        </w:rPr>
      </w:pPr>
      <w:r w:rsidRPr="00D97311">
        <w:rPr>
          <w:sz w:val="24"/>
          <w:szCs w:val="24"/>
          <w:lang w:val="en-US"/>
        </w:rPr>
        <w:t>Tartrazin Lake (E102)</w:t>
      </w:r>
    </w:p>
    <w:p w:rsidR="00CA5858" w:rsidRPr="005A561F" w:rsidRDefault="00CA5858" w:rsidP="00CA5858">
      <w:pPr>
        <w:ind w:left="851"/>
        <w:rPr>
          <w:sz w:val="24"/>
          <w:szCs w:val="24"/>
          <w:lang w:val="en-US"/>
        </w:rPr>
      </w:pPr>
      <w:r w:rsidRPr="005A561F">
        <w:rPr>
          <w:sz w:val="24"/>
          <w:szCs w:val="24"/>
          <w:lang w:val="en-US"/>
        </w:rPr>
        <w:t>Allura Red AC</w:t>
      </w:r>
      <w:r w:rsidR="009E632D">
        <w:rPr>
          <w:sz w:val="24"/>
          <w:szCs w:val="24"/>
          <w:lang w:val="en-US"/>
        </w:rPr>
        <w:t xml:space="preserve"> aluminium l</w:t>
      </w:r>
      <w:r w:rsidRPr="005A561F">
        <w:rPr>
          <w:sz w:val="24"/>
          <w:szCs w:val="24"/>
          <w:lang w:val="en-US"/>
        </w:rPr>
        <w:t>ake (E129)</w:t>
      </w:r>
    </w:p>
    <w:p w:rsidR="00CA5858" w:rsidRPr="005A561F" w:rsidRDefault="00CA5858" w:rsidP="00CA5858">
      <w:pPr>
        <w:ind w:left="851"/>
        <w:rPr>
          <w:sz w:val="24"/>
          <w:szCs w:val="24"/>
        </w:rPr>
      </w:pPr>
      <w:r w:rsidRPr="005A561F">
        <w:rPr>
          <w:sz w:val="24"/>
          <w:szCs w:val="24"/>
        </w:rPr>
        <w:t xml:space="preserve">Indigocarmin </w:t>
      </w:r>
      <w:r w:rsidR="009E632D">
        <w:rPr>
          <w:sz w:val="24"/>
          <w:szCs w:val="24"/>
        </w:rPr>
        <w:t>l</w:t>
      </w:r>
      <w:r w:rsidRPr="005A561F">
        <w:rPr>
          <w:sz w:val="24"/>
          <w:szCs w:val="24"/>
        </w:rPr>
        <w:t>ake (E132)</w:t>
      </w:r>
    </w:p>
    <w:p w:rsidR="00CA5858" w:rsidRPr="005A561F" w:rsidRDefault="00CA5858" w:rsidP="00CA5858">
      <w:pPr>
        <w:ind w:left="851"/>
        <w:rPr>
          <w:sz w:val="24"/>
          <w:szCs w:val="24"/>
        </w:rPr>
      </w:pPr>
      <w:r w:rsidRPr="005A561F">
        <w:rPr>
          <w:sz w:val="24"/>
          <w:szCs w:val="24"/>
        </w:rPr>
        <w:t>Vanillin</w:t>
      </w:r>
    </w:p>
    <w:p w:rsidR="00CA5858" w:rsidRPr="005A561F" w:rsidRDefault="00CA5858" w:rsidP="00CA5858">
      <w:pPr>
        <w:ind w:left="851" w:hanging="851"/>
        <w:rPr>
          <w:sz w:val="24"/>
          <w:szCs w:val="24"/>
        </w:rPr>
      </w:pPr>
    </w:p>
    <w:p w:rsidR="00F26B82" w:rsidRPr="00C84483" w:rsidRDefault="00F26B82" w:rsidP="00F26B82">
      <w:pPr>
        <w:tabs>
          <w:tab w:val="left" w:pos="851"/>
        </w:tabs>
        <w:ind w:left="851" w:hanging="851"/>
        <w:rPr>
          <w:b/>
          <w:sz w:val="24"/>
          <w:szCs w:val="24"/>
        </w:rPr>
      </w:pPr>
      <w:r w:rsidRPr="00C84483">
        <w:rPr>
          <w:b/>
          <w:sz w:val="24"/>
          <w:szCs w:val="24"/>
        </w:rPr>
        <w:t>6.2</w:t>
      </w:r>
      <w:r w:rsidRPr="00C84483">
        <w:rPr>
          <w:b/>
          <w:sz w:val="24"/>
          <w:szCs w:val="24"/>
        </w:rPr>
        <w:tab/>
        <w:t>Uforligeligheder</w:t>
      </w:r>
    </w:p>
    <w:p w:rsidR="00CA5858" w:rsidRPr="005A561F" w:rsidRDefault="00CA5858" w:rsidP="00CA5858">
      <w:pPr>
        <w:ind w:left="851" w:hanging="851"/>
        <w:rPr>
          <w:sz w:val="24"/>
          <w:szCs w:val="24"/>
        </w:rPr>
      </w:pPr>
      <w:r w:rsidRPr="005A561F">
        <w:rPr>
          <w:sz w:val="24"/>
          <w:szCs w:val="24"/>
        </w:rPr>
        <w:tab/>
        <w:t>Ikke relevant.</w:t>
      </w:r>
    </w:p>
    <w:p w:rsidR="00CA5858" w:rsidRPr="005A561F" w:rsidRDefault="00CA5858" w:rsidP="00CA5858">
      <w:pPr>
        <w:ind w:left="851" w:hanging="851"/>
        <w:rPr>
          <w:sz w:val="24"/>
          <w:szCs w:val="24"/>
        </w:rPr>
      </w:pPr>
    </w:p>
    <w:p w:rsidR="00F26B82" w:rsidRPr="00C84483" w:rsidRDefault="00F26B82" w:rsidP="00F26B82">
      <w:pPr>
        <w:tabs>
          <w:tab w:val="left" w:pos="851"/>
        </w:tabs>
        <w:ind w:left="851" w:hanging="851"/>
        <w:rPr>
          <w:b/>
          <w:sz w:val="24"/>
          <w:szCs w:val="24"/>
        </w:rPr>
      </w:pPr>
      <w:r w:rsidRPr="00C84483">
        <w:rPr>
          <w:b/>
          <w:sz w:val="24"/>
          <w:szCs w:val="24"/>
        </w:rPr>
        <w:t>6.3</w:t>
      </w:r>
      <w:r w:rsidRPr="00C84483">
        <w:rPr>
          <w:b/>
          <w:sz w:val="24"/>
          <w:szCs w:val="24"/>
        </w:rPr>
        <w:tab/>
        <w:t>Opbevaringstid</w:t>
      </w:r>
    </w:p>
    <w:p w:rsidR="00CA5858" w:rsidRPr="005A561F" w:rsidRDefault="00CA5858" w:rsidP="00CA5858">
      <w:pPr>
        <w:ind w:left="851" w:hanging="851"/>
        <w:rPr>
          <w:sz w:val="24"/>
          <w:szCs w:val="24"/>
        </w:rPr>
      </w:pPr>
      <w:r w:rsidRPr="005A561F">
        <w:rPr>
          <w:sz w:val="24"/>
          <w:szCs w:val="24"/>
        </w:rPr>
        <w:tab/>
        <w:t>2 år.</w:t>
      </w:r>
    </w:p>
    <w:p w:rsidR="00CA5858" w:rsidRPr="005A561F" w:rsidRDefault="00CA5858" w:rsidP="00CA5858">
      <w:pPr>
        <w:ind w:left="851" w:hanging="851"/>
        <w:rPr>
          <w:sz w:val="24"/>
          <w:szCs w:val="24"/>
        </w:rPr>
      </w:pPr>
    </w:p>
    <w:p w:rsidR="00F26B82" w:rsidRPr="00C84483" w:rsidRDefault="00F26B82" w:rsidP="00F26B82">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A5858" w:rsidRPr="005A561F" w:rsidRDefault="00CA5858" w:rsidP="00CA5858">
      <w:pPr>
        <w:ind w:left="851" w:hanging="851"/>
        <w:rPr>
          <w:sz w:val="24"/>
          <w:szCs w:val="24"/>
        </w:rPr>
      </w:pPr>
      <w:r w:rsidRPr="005A561F">
        <w:rPr>
          <w:sz w:val="24"/>
          <w:szCs w:val="24"/>
        </w:rPr>
        <w:tab/>
        <w:t xml:space="preserve">Må ikke opbevares ved temperaturer over 25 °C. </w:t>
      </w:r>
    </w:p>
    <w:p w:rsidR="00CA5858" w:rsidRPr="005A561F" w:rsidRDefault="00CA5858" w:rsidP="00CA5858">
      <w:pPr>
        <w:ind w:left="851" w:hanging="851"/>
        <w:rPr>
          <w:sz w:val="24"/>
          <w:szCs w:val="24"/>
        </w:rPr>
      </w:pPr>
    </w:p>
    <w:p w:rsidR="00F26B82" w:rsidRPr="00C84483" w:rsidRDefault="00F26B82" w:rsidP="00F26B82">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376B87" w:rsidRDefault="00376B87" w:rsidP="00376B87">
      <w:pPr>
        <w:ind w:left="851"/>
        <w:rPr>
          <w:sz w:val="24"/>
          <w:szCs w:val="24"/>
        </w:rPr>
      </w:pPr>
      <w:r>
        <w:rPr>
          <w:sz w:val="24"/>
          <w:szCs w:val="24"/>
        </w:rPr>
        <w:t>B</w:t>
      </w:r>
      <w:r w:rsidRPr="005A561F">
        <w:rPr>
          <w:sz w:val="24"/>
          <w:szCs w:val="24"/>
        </w:rPr>
        <w:t>listerpakning af transparent eller hvid</w:t>
      </w:r>
      <w:r>
        <w:rPr>
          <w:sz w:val="24"/>
          <w:szCs w:val="24"/>
        </w:rPr>
        <w:t>,</w:t>
      </w:r>
      <w:r w:rsidRPr="005A561F">
        <w:rPr>
          <w:sz w:val="24"/>
          <w:szCs w:val="24"/>
        </w:rPr>
        <w:t xml:space="preserve"> uigennemsigtig PVC eller PVC/PVdC med låg af aluminiumfolie</w:t>
      </w:r>
      <w:r>
        <w:rPr>
          <w:sz w:val="24"/>
          <w:szCs w:val="24"/>
        </w:rPr>
        <w:t>.</w:t>
      </w:r>
    </w:p>
    <w:p w:rsidR="00376B87" w:rsidRDefault="00376B87" w:rsidP="00CA5858">
      <w:pPr>
        <w:ind w:left="851"/>
        <w:rPr>
          <w:sz w:val="24"/>
          <w:szCs w:val="24"/>
          <w:u w:val="single"/>
        </w:rPr>
      </w:pPr>
    </w:p>
    <w:p w:rsidR="00376B87" w:rsidRPr="00376B87" w:rsidRDefault="00376B87" w:rsidP="00CA5858">
      <w:pPr>
        <w:ind w:left="851"/>
        <w:rPr>
          <w:sz w:val="24"/>
          <w:szCs w:val="24"/>
          <w:u w:val="single"/>
        </w:rPr>
      </w:pPr>
      <w:r w:rsidRPr="00376B87">
        <w:rPr>
          <w:sz w:val="24"/>
          <w:szCs w:val="24"/>
          <w:u w:val="single"/>
        </w:rPr>
        <w:t>Pakningsstørrelser</w:t>
      </w:r>
    </w:p>
    <w:p w:rsidR="00376B87" w:rsidRDefault="00376B87" w:rsidP="00CA5858">
      <w:pPr>
        <w:ind w:left="851"/>
        <w:rPr>
          <w:sz w:val="24"/>
          <w:szCs w:val="24"/>
          <w:u w:val="single"/>
        </w:rPr>
      </w:pPr>
    </w:p>
    <w:p w:rsidR="003A65B0" w:rsidRDefault="00CA5858" w:rsidP="003A65B0">
      <w:pPr>
        <w:ind w:left="851"/>
        <w:rPr>
          <w:i/>
          <w:sz w:val="24"/>
          <w:szCs w:val="24"/>
        </w:rPr>
      </w:pPr>
      <w:r w:rsidRPr="00376B87">
        <w:rPr>
          <w:i/>
          <w:sz w:val="24"/>
          <w:szCs w:val="24"/>
        </w:rPr>
        <w:t>250 mg</w:t>
      </w:r>
    </w:p>
    <w:p w:rsidR="00CA5858" w:rsidRPr="003A65B0" w:rsidRDefault="00CA5858" w:rsidP="003A65B0">
      <w:pPr>
        <w:ind w:left="851"/>
        <w:rPr>
          <w:i/>
          <w:sz w:val="24"/>
          <w:szCs w:val="24"/>
        </w:rPr>
      </w:pPr>
      <w:r w:rsidRPr="005A561F">
        <w:rPr>
          <w:sz w:val="24"/>
          <w:szCs w:val="24"/>
        </w:rPr>
        <w:t>8, 10, 12, 14, 1</w:t>
      </w:r>
      <w:r w:rsidR="003A65B0">
        <w:rPr>
          <w:sz w:val="24"/>
          <w:szCs w:val="24"/>
        </w:rPr>
        <w:t xml:space="preserve">4 </w:t>
      </w:r>
      <w:r w:rsidRPr="005A561F">
        <w:rPr>
          <w:sz w:val="24"/>
          <w:szCs w:val="24"/>
        </w:rPr>
        <w:t xml:space="preserve">(kalenderpakning), </w:t>
      </w:r>
      <w:r w:rsidR="003A65B0">
        <w:rPr>
          <w:sz w:val="24"/>
          <w:szCs w:val="24"/>
        </w:rPr>
        <w:t xml:space="preserve">16, </w:t>
      </w:r>
      <w:r w:rsidRPr="005A561F">
        <w:rPr>
          <w:sz w:val="24"/>
          <w:szCs w:val="24"/>
        </w:rPr>
        <w:t>20, 30, 100 og 120 (10</w:t>
      </w:r>
      <w:r w:rsidR="00D90CC4">
        <w:rPr>
          <w:sz w:val="24"/>
          <w:szCs w:val="24"/>
        </w:rPr>
        <w:t>×</w:t>
      </w:r>
      <w:r w:rsidRPr="005A561F">
        <w:rPr>
          <w:sz w:val="24"/>
          <w:szCs w:val="24"/>
        </w:rPr>
        <w:t>12) (hospitalspakning).</w:t>
      </w:r>
    </w:p>
    <w:p w:rsidR="00CA5858" w:rsidRPr="005A561F" w:rsidRDefault="00CA5858" w:rsidP="00CA5858">
      <w:pPr>
        <w:rPr>
          <w:sz w:val="24"/>
          <w:szCs w:val="24"/>
        </w:rPr>
      </w:pPr>
    </w:p>
    <w:p w:rsidR="003A65B0" w:rsidRDefault="00CA5858" w:rsidP="00376B87">
      <w:pPr>
        <w:ind w:left="851"/>
        <w:rPr>
          <w:i/>
          <w:sz w:val="24"/>
          <w:szCs w:val="24"/>
        </w:rPr>
      </w:pPr>
      <w:r w:rsidRPr="00376B87">
        <w:rPr>
          <w:i/>
          <w:sz w:val="24"/>
          <w:szCs w:val="24"/>
        </w:rPr>
        <w:t>500 mg</w:t>
      </w:r>
    </w:p>
    <w:p w:rsidR="00CA5858" w:rsidRPr="00376B87" w:rsidRDefault="00CA5858" w:rsidP="00376B87">
      <w:pPr>
        <w:ind w:left="851"/>
        <w:rPr>
          <w:i/>
          <w:sz w:val="24"/>
          <w:szCs w:val="24"/>
        </w:rPr>
      </w:pPr>
      <w:r w:rsidRPr="005A561F">
        <w:rPr>
          <w:sz w:val="24"/>
          <w:szCs w:val="24"/>
        </w:rPr>
        <w:t>8, 10, 14, 14 (kalenderpakning),</w:t>
      </w:r>
      <w:r w:rsidR="004955BE">
        <w:rPr>
          <w:sz w:val="24"/>
          <w:szCs w:val="24"/>
        </w:rPr>
        <w:t xml:space="preserve"> 16,</w:t>
      </w:r>
      <w:r w:rsidRPr="005A561F">
        <w:rPr>
          <w:sz w:val="24"/>
          <w:szCs w:val="24"/>
        </w:rPr>
        <w:t xml:space="preserve"> 20, 21, 30, 42 og 100.</w:t>
      </w:r>
    </w:p>
    <w:p w:rsidR="00CA5858" w:rsidRPr="005A561F" w:rsidRDefault="00CA5858" w:rsidP="00CA5858">
      <w:pPr>
        <w:ind w:left="851" w:hanging="851"/>
        <w:rPr>
          <w:sz w:val="24"/>
          <w:szCs w:val="24"/>
        </w:rPr>
      </w:pPr>
    </w:p>
    <w:p w:rsidR="00CA5858" w:rsidRPr="005A561F" w:rsidRDefault="00CA5858" w:rsidP="00CA5858">
      <w:pPr>
        <w:ind w:left="851"/>
        <w:rPr>
          <w:sz w:val="24"/>
          <w:szCs w:val="24"/>
        </w:rPr>
      </w:pPr>
      <w:r w:rsidRPr="005A561F">
        <w:rPr>
          <w:sz w:val="24"/>
          <w:szCs w:val="24"/>
        </w:rPr>
        <w:t>Ikke alle pakningsstørrelser er nødvendigvis markedsført.</w:t>
      </w:r>
    </w:p>
    <w:p w:rsidR="00CA5858" w:rsidRPr="005A561F" w:rsidRDefault="00CA5858" w:rsidP="00CA5858">
      <w:pPr>
        <w:ind w:left="851"/>
        <w:rPr>
          <w:sz w:val="24"/>
          <w:szCs w:val="24"/>
        </w:rPr>
      </w:pPr>
    </w:p>
    <w:p w:rsidR="00F26B82" w:rsidRPr="00C84483" w:rsidRDefault="00F26B82" w:rsidP="00F26B82">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4955BE">
        <w:rPr>
          <w:b/>
          <w:sz w:val="24"/>
          <w:szCs w:val="24"/>
        </w:rPr>
        <w:t>bortskaffelse</w:t>
      </w:r>
      <w:r w:rsidRPr="00C84483">
        <w:rPr>
          <w:b/>
          <w:sz w:val="24"/>
          <w:szCs w:val="24"/>
        </w:rPr>
        <w:t xml:space="preserve"> og anden håndtering</w:t>
      </w:r>
    </w:p>
    <w:p w:rsidR="00CA5858" w:rsidRPr="005A561F" w:rsidRDefault="00CA5858" w:rsidP="00CA5858">
      <w:pPr>
        <w:ind w:left="851" w:hanging="851"/>
        <w:rPr>
          <w:sz w:val="24"/>
          <w:szCs w:val="24"/>
        </w:rPr>
      </w:pPr>
      <w:r w:rsidRPr="005A561F">
        <w:rPr>
          <w:sz w:val="24"/>
          <w:szCs w:val="24"/>
        </w:rPr>
        <w:tab/>
        <w:t>Ikke anvendt lægemiddel samt affald heraf skal bortskaffes i henhold til lokale retningslinjer.</w:t>
      </w:r>
    </w:p>
    <w:p w:rsidR="00CA5858" w:rsidRPr="005A561F" w:rsidRDefault="00CA5858" w:rsidP="00CA5858">
      <w:pPr>
        <w:ind w:left="851" w:hanging="851"/>
        <w:jc w:val="both"/>
        <w:rPr>
          <w:sz w:val="24"/>
          <w:szCs w:val="24"/>
        </w:rPr>
      </w:pPr>
    </w:p>
    <w:p w:rsidR="00F26B82" w:rsidRPr="00C84483" w:rsidRDefault="00F26B82" w:rsidP="00F26B82">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CA5858" w:rsidRPr="005A561F" w:rsidRDefault="00CA5858" w:rsidP="00CA5858">
      <w:pPr>
        <w:ind w:left="851"/>
        <w:rPr>
          <w:sz w:val="24"/>
          <w:szCs w:val="24"/>
        </w:rPr>
      </w:pPr>
      <w:r w:rsidRPr="005A561F">
        <w:rPr>
          <w:sz w:val="24"/>
          <w:szCs w:val="24"/>
        </w:rPr>
        <w:t>Teva B.V.</w:t>
      </w:r>
    </w:p>
    <w:p w:rsidR="00CA5858" w:rsidRPr="005A561F" w:rsidRDefault="00CA5858" w:rsidP="00CA5858">
      <w:pPr>
        <w:ind w:left="851"/>
        <w:rPr>
          <w:sz w:val="24"/>
          <w:szCs w:val="24"/>
        </w:rPr>
      </w:pPr>
      <w:r w:rsidRPr="005A561F">
        <w:rPr>
          <w:sz w:val="24"/>
          <w:szCs w:val="24"/>
        </w:rPr>
        <w:t>Swensweg 5</w:t>
      </w:r>
    </w:p>
    <w:p w:rsidR="00CA5858" w:rsidRPr="005A561F" w:rsidRDefault="00CA5858" w:rsidP="00CA5858">
      <w:pPr>
        <w:ind w:left="851"/>
        <w:rPr>
          <w:sz w:val="24"/>
          <w:szCs w:val="24"/>
        </w:rPr>
      </w:pPr>
      <w:r w:rsidRPr="005A561F">
        <w:rPr>
          <w:sz w:val="24"/>
          <w:szCs w:val="24"/>
        </w:rPr>
        <w:t>2031 GA Haarlem</w:t>
      </w:r>
    </w:p>
    <w:p w:rsidR="00CA5858" w:rsidRPr="005A561F" w:rsidRDefault="00CA5858" w:rsidP="00CA5858">
      <w:pPr>
        <w:ind w:left="851"/>
        <w:rPr>
          <w:sz w:val="24"/>
          <w:szCs w:val="24"/>
        </w:rPr>
      </w:pPr>
      <w:r w:rsidRPr="005A561F">
        <w:rPr>
          <w:sz w:val="24"/>
          <w:szCs w:val="24"/>
        </w:rPr>
        <w:t>Holland</w:t>
      </w:r>
    </w:p>
    <w:p w:rsidR="00CA5858" w:rsidRPr="005A561F" w:rsidRDefault="00CA5858" w:rsidP="00CA5858">
      <w:pPr>
        <w:ind w:left="851"/>
        <w:rPr>
          <w:sz w:val="24"/>
          <w:szCs w:val="24"/>
        </w:rPr>
      </w:pPr>
    </w:p>
    <w:p w:rsidR="00CA5858" w:rsidRPr="005A561F" w:rsidRDefault="00CA5858" w:rsidP="00CA5858">
      <w:pPr>
        <w:ind w:left="851"/>
        <w:rPr>
          <w:sz w:val="24"/>
          <w:szCs w:val="24"/>
        </w:rPr>
      </w:pPr>
      <w:r w:rsidRPr="005A561F">
        <w:rPr>
          <w:b/>
          <w:sz w:val="24"/>
          <w:szCs w:val="24"/>
        </w:rPr>
        <w:t>Repræsentant</w:t>
      </w:r>
    </w:p>
    <w:p w:rsidR="00CA5858" w:rsidRPr="005A561F" w:rsidRDefault="00CA5858" w:rsidP="00CA5858">
      <w:pPr>
        <w:ind w:left="851"/>
        <w:rPr>
          <w:sz w:val="24"/>
          <w:szCs w:val="24"/>
        </w:rPr>
      </w:pPr>
      <w:r w:rsidRPr="005A561F">
        <w:rPr>
          <w:sz w:val="24"/>
          <w:szCs w:val="24"/>
        </w:rPr>
        <w:t>Teva Denmark A/S</w:t>
      </w:r>
    </w:p>
    <w:p w:rsidR="00CA5858" w:rsidRPr="005A561F" w:rsidRDefault="00CA5858" w:rsidP="00CA5858">
      <w:pPr>
        <w:ind w:left="851"/>
        <w:rPr>
          <w:sz w:val="24"/>
          <w:szCs w:val="24"/>
          <w:lang w:val="cs-CZ"/>
        </w:rPr>
      </w:pPr>
      <w:r w:rsidRPr="005A561F">
        <w:rPr>
          <w:sz w:val="24"/>
          <w:szCs w:val="24"/>
          <w:lang w:val="cs-CZ"/>
        </w:rPr>
        <w:t>Vandtårnsvej 83A</w:t>
      </w:r>
    </w:p>
    <w:p w:rsidR="00CA5858" w:rsidRPr="005A561F" w:rsidRDefault="00CA5858" w:rsidP="00CA5858">
      <w:pPr>
        <w:ind w:left="851"/>
        <w:rPr>
          <w:sz w:val="24"/>
          <w:szCs w:val="24"/>
          <w:lang w:val="cs-CZ"/>
        </w:rPr>
      </w:pPr>
      <w:r w:rsidRPr="005A561F">
        <w:rPr>
          <w:sz w:val="24"/>
          <w:szCs w:val="24"/>
          <w:lang w:val="cs-CZ"/>
        </w:rPr>
        <w:t>2860 Søborg</w:t>
      </w:r>
    </w:p>
    <w:p w:rsidR="00CA5858" w:rsidRPr="005A561F" w:rsidRDefault="00CA5858" w:rsidP="00CA5858">
      <w:pPr>
        <w:ind w:left="851" w:hanging="851"/>
        <w:rPr>
          <w:sz w:val="24"/>
          <w:szCs w:val="24"/>
        </w:rPr>
      </w:pPr>
    </w:p>
    <w:p w:rsidR="00F26B82" w:rsidRPr="00C84483" w:rsidRDefault="00F26B82" w:rsidP="00F26B82">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EC3BE8">
        <w:rPr>
          <w:b/>
          <w:sz w:val="24"/>
          <w:szCs w:val="24"/>
        </w:rPr>
        <w:t>-</w:t>
      </w:r>
      <w:r w:rsidRPr="00C84483">
        <w:rPr>
          <w:b/>
          <w:sz w:val="24"/>
          <w:szCs w:val="24"/>
        </w:rPr>
        <w:t>NUMRE)</w:t>
      </w:r>
    </w:p>
    <w:p w:rsidR="00CA5858" w:rsidRPr="005A561F" w:rsidRDefault="00CA5858" w:rsidP="00B44DBD">
      <w:pPr>
        <w:tabs>
          <w:tab w:val="left" w:pos="1701"/>
        </w:tabs>
        <w:ind w:left="851" w:hanging="851"/>
        <w:rPr>
          <w:sz w:val="24"/>
          <w:szCs w:val="24"/>
        </w:rPr>
      </w:pPr>
      <w:r w:rsidRPr="005A561F">
        <w:rPr>
          <w:sz w:val="24"/>
          <w:szCs w:val="24"/>
        </w:rPr>
        <w:tab/>
        <w:t>250 mg:</w:t>
      </w:r>
      <w:r w:rsidRPr="005A561F">
        <w:rPr>
          <w:sz w:val="24"/>
          <w:szCs w:val="24"/>
        </w:rPr>
        <w:tab/>
        <w:t>48118</w:t>
      </w:r>
    </w:p>
    <w:p w:rsidR="00CA5858" w:rsidRPr="005A561F" w:rsidRDefault="00CA5858" w:rsidP="00B44DBD">
      <w:pPr>
        <w:tabs>
          <w:tab w:val="left" w:pos="1701"/>
        </w:tabs>
        <w:ind w:left="851"/>
        <w:rPr>
          <w:sz w:val="24"/>
          <w:szCs w:val="24"/>
        </w:rPr>
      </w:pPr>
      <w:r w:rsidRPr="005A561F">
        <w:rPr>
          <w:sz w:val="24"/>
          <w:szCs w:val="24"/>
        </w:rPr>
        <w:t>500 mg:</w:t>
      </w:r>
      <w:r w:rsidRPr="005A561F">
        <w:rPr>
          <w:sz w:val="24"/>
          <w:szCs w:val="24"/>
        </w:rPr>
        <w:tab/>
        <w:t>48119</w:t>
      </w:r>
    </w:p>
    <w:p w:rsidR="00CA5858" w:rsidRPr="005A561F" w:rsidRDefault="00CA5858" w:rsidP="00CA5858">
      <w:pPr>
        <w:ind w:left="851" w:hanging="851"/>
        <w:jc w:val="both"/>
        <w:rPr>
          <w:sz w:val="24"/>
          <w:szCs w:val="24"/>
        </w:rPr>
      </w:pPr>
    </w:p>
    <w:p w:rsidR="00F26B82" w:rsidRPr="00C84483" w:rsidRDefault="00F26B82" w:rsidP="00F26B82">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CA5858" w:rsidRPr="005A561F" w:rsidRDefault="00CA5858" w:rsidP="00CA5858">
      <w:pPr>
        <w:ind w:left="851" w:hanging="851"/>
        <w:rPr>
          <w:sz w:val="24"/>
          <w:szCs w:val="24"/>
        </w:rPr>
      </w:pPr>
      <w:r w:rsidRPr="005A561F">
        <w:rPr>
          <w:sz w:val="24"/>
          <w:szCs w:val="24"/>
        </w:rPr>
        <w:tab/>
        <w:t>30. juli 2012</w:t>
      </w:r>
    </w:p>
    <w:p w:rsidR="00CA5858" w:rsidRPr="005A561F" w:rsidRDefault="00CA5858" w:rsidP="00CA5858">
      <w:pPr>
        <w:ind w:left="851" w:hanging="851"/>
        <w:rPr>
          <w:sz w:val="24"/>
          <w:szCs w:val="24"/>
        </w:rPr>
      </w:pPr>
    </w:p>
    <w:p w:rsidR="00F26B82" w:rsidRPr="00C84483" w:rsidRDefault="00F26B82" w:rsidP="00F26B82">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5A561F" w:rsidRDefault="00B957E7" w:rsidP="00357D2B">
      <w:pPr>
        <w:ind w:left="851"/>
        <w:rPr>
          <w:sz w:val="24"/>
          <w:szCs w:val="24"/>
        </w:rPr>
      </w:pPr>
      <w:bookmarkStart w:id="0" w:name="_GoBack"/>
      <w:bookmarkEnd w:id="0"/>
      <w:r>
        <w:rPr>
          <w:sz w:val="24"/>
          <w:szCs w:val="24"/>
        </w:rPr>
        <w:t>1</w:t>
      </w:r>
      <w:r w:rsidR="00357D2B">
        <w:rPr>
          <w:sz w:val="24"/>
          <w:szCs w:val="24"/>
        </w:rPr>
        <w:t>3</w:t>
      </w:r>
      <w:r w:rsidR="00104E39">
        <w:rPr>
          <w:sz w:val="24"/>
          <w:szCs w:val="24"/>
        </w:rPr>
        <w:t>. november 2024</w:t>
      </w:r>
    </w:p>
    <w:sectPr w:rsidR="009260DE" w:rsidRPr="005A561F"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838" w:rsidRDefault="00851838">
      <w:r>
        <w:separator/>
      </w:r>
    </w:p>
  </w:endnote>
  <w:endnote w:type="continuationSeparator" w:id="0">
    <w:p w:rsidR="00851838" w:rsidRDefault="0085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838" w:rsidRDefault="00851838">
    <w:pPr>
      <w:pStyle w:val="Sidefod"/>
      <w:pBdr>
        <w:bottom w:val="single" w:sz="6" w:space="1" w:color="auto"/>
      </w:pBdr>
    </w:pPr>
  </w:p>
  <w:p w:rsidR="00851838" w:rsidRDefault="00851838" w:rsidP="00C42586">
    <w:pPr>
      <w:pStyle w:val="Sidefod"/>
      <w:tabs>
        <w:tab w:val="clear" w:pos="4819"/>
        <w:tab w:val="left" w:pos="8505"/>
      </w:tabs>
      <w:rPr>
        <w:i/>
        <w:sz w:val="18"/>
        <w:szCs w:val="18"/>
      </w:rPr>
    </w:pPr>
  </w:p>
  <w:p w:rsidR="00851838" w:rsidRPr="00B373D7" w:rsidRDefault="0085183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Clarithromycin Teva, filmovertrukne tabletter 250 mg og 500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838" w:rsidRDefault="00851838">
      <w:r>
        <w:separator/>
      </w:r>
    </w:p>
  </w:footnote>
  <w:footnote w:type="continuationSeparator" w:id="0">
    <w:p w:rsidR="00851838" w:rsidRDefault="00851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3055A"/>
    <w:multiLevelType w:val="hybridMultilevel"/>
    <w:tmpl w:val="1D8E29B2"/>
    <w:lvl w:ilvl="0" w:tplc="04060015">
      <w:start w:val="1"/>
      <w:numFmt w:val="upperLetter"/>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4B87982"/>
    <w:multiLevelType w:val="hybridMultilevel"/>
    <w:tmpl w:val="57ACF0E0"/>
    <w:lvl w:ilvl="0" w:tplc="04060001">
      <w:start w:val="1"/>
      <w:numFmt w:val="bullet"/>
      <w:lvlText w:val=""/>
      <w:lvlJc w:val="left"/>
      <w:pPr>
        <w:ind w:left="1635" w:hanging="360"/>
      </w:pPr>
      <w:rPr>
        <w:rFonts w:ascii="Symbol" w:hAnsi="Symbol" w:hint="default"/>
      </w:rPr>
    </w:lvl>
    <w:lvl w:ilvl="1" w:tplc="04060003">
      <w:start w:val="1"/>
      <w:numFmt w:val="bullet"/>
      <w:lvlText w:val="o"/>
      <w:lvlJc w:val="left"/>
      <w:pPr>
        <w:ind w:left="2355" w:hanging="360"/>
      </w:pPr>
      <w:rPr>
        <w:rFonts w:ascii="Courier New" w:hAnsi="Courier New" w:cs="Courier New" w:hint="default"/>
      </w:rPr>
    </w:lvl>
    <w:lvl w:ilvl="2" w:tplc="04060005">
      <w:start w:val="1"/>
      <w:numFmt w:val="bullet"/>
      <w:lvlText w:val=""/>
      <w:lvlJc w:val="left"/>
      <w:pPr>
        <w:ind w:left="3075" w:hanging="360"/>
      </w:pPr>
      <w:rPr>
        <w:rFonts w:ascii="Wingdings" w:hAnsi="Wingdings" w:hint="default"/>
      </w:rPr>
    </w:lvl>
    <w:lvl w:ilvl="3" w:tplc="04060001">
      <w:start w:val="1"/>
      <w:numFmt w:val="bullet"/>
      <w:lvlText w:val=""/>
      <w:lvlJc w:val="left"/>
      <w:pPr>
        <w:ind w:left="3795" w:hanging="360"/>
      </w:pPr>
      <w:rPr>
        <w:rFonts w:ascii="Symbol" w:hAnsi="Symbol" w:hint="default"/>
      </w:rPr>
    </w:lvl>
    <w:lvl w:ilvl="4" w:tplc="04060003">
      <w:start w:val="1"/>
      <w:numFmt w:val="bullet"/>
      <w:lvlText w:val="o"/>
      <w:lvlJc w:val="left"/>
      <w:pPr>
        <w:ind w:left="4515" w:hanging="360"/>
      </w:pPr>
      <w:rPr>
        <w:rFonts w:ascii="Courier New" w:hAnsi="Courier New" w:cs="Courier New" w:hint="default"/>
      </w:rPr>
    </w:lvl>
    <w:lvl w:ilvl="5" w:tplc="04060005">
      <w:start w:val="1"/>
      <w:numFmt w:val="bullet"/>
      <w:lvlText w:val=""/>
      <w:lvlJc w:val="left"/>
      <w:pPr>
        <w:ind w:left="5235" w:hanging="360"/>
      </w:pPr>
      <w:rPr>
        <w:rFonts w:ascii="Wingdings" w:hAnsi="Wingdings" w:hint="default"/>
      </w:rPr>
    </w:lvl>
    <w:lvl w:ilvl="6" w:tplc="04060001">
      <w:start w:val="1"/>
      <w:numFmt w:val="bullet"/>
      <w:lvlText w:val=""/>
      <w:lvlJc w:val="left"/>
      <w:pPr>
        <w:ind w:left="5955" w:hanging="360"/>
      </w:pPr>
      <w:rPr>
        <w:rFonts w:ascii="Symbol" w:hAnsi="Symbol" w:hint="default"/>
      </w:rPr>
    </w:lvl>
    <w:lvl w:ilvl="7" w:tplc="04060003">
      <w:start w:val="1"/>
      <w:numFmt w:val="bullet"/>
      <w:lvlText w:val="o"/>
      <w:lvlJc w:val="left"/>
      <w:pPr>
        <w:ind w:left="6675" w:hanging="360"/>
      </w:pPr>
      <w:rPr>
        <w:rFonts w:ascii="Courier New" w:hAnsi="Courier New" w:cs="Courier New" w:hint="default"/>
      </w:rPr>
    </w:lvl>
    <w:lvl w:ilvl="8" w:tplc="04060005">
      <w:start w:val="1"/>
      <w:numFmt w:val="bullet"/>
      <w:lvlText w:val=""/>
      <w:lvlJc w:val="left"/>
      <w:pPr>
        <w:ind w:left="7395"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858"/>
    <w:rsid w:val="00016E1F"/>
    <w:rsid w:val="000259B9"/>
    <w:rsid w:val="00033999"/>
    <w:rsid w:val="00041491"/>
    <w:rsid w:val="00050D16"/>
    <w:rsid w:val="000632C7"/>
    <w:rsid w:val="00074F2A"/>
    <w:rsid w:val="00081CB5"/>
    <w:rsid w:val="000A1CA8"/>
    <w:rsid w:val="000A466B"/>
    <w:rsid w:val="000B058C"/>
    <w:rsid w:val="000C3216"/>
    <w:rsid w:val="000C38CA"/>
    <w:rsid w:val="000E4EE6"/>
    <w:rsid w:val="000E6681"/>
    <w:rsid w:val="000F7A3E"/>
    <w:rsid w:val="00104E39"/>
    <w:rsid w:val="001254E2"/>
    <w:rsid w:val="00126FD6"/>
    <w:rsid w:val="001454E2"/>
    <w:rsid w:val="00162333"/>
    <w:rsid w:val="001F20DF"/>
    <w:rsid w:val="00206CE8"/>
    <w:rsid w:val="0021526C"/>
    <w:rsid w:val="00242966"/>
    <w:rsid w:val="00265DAD"/>
    <w:rsid w:val="00283A2B"/>
    <w:rsid w:val="002A16EF"/>
    <w:rsid w:val="002B30AD"/>
    <w:rsid w:val="002C2C01"/>
    <w:rsid w:val="003213C0"/>
    <w:rsid w:val="00324D17"/>
    <w:rsid w:val="00333357"/>
    <w:rsid w:val="00336DCE"/>
    <w:rsid w:val="00357D2B"/>
    <w:rsid w:val="003638EC"/>
    <w:rsid w:val="00376B87"/>
    <w:rsid w:val="003A29AE"/>
    <w:rsid w:val="003A32D7"/>
    <w:rsid w:val="003A65B0"/>
    <w:rsid w:val="003B4074"/>
    <w:rsid w:val="003C769A"/>
    <w:rsid w:val="003D7C96"/>
    <w:rsid w:val="003F1838"/>
    <w:rsid w:val="003F332C"/>
    <w:rsid w:val="003F6A86"/>
    <w:rsid w:val="00415EE1"/>
    <w:rsid w:val="0042013F"/>
    <w:rsid w:val="00454E46"/>
    <w:rsid w:val="0045746C"/>
    <w:rsid w:val="0049104B"/>
    <w:rsid w:val="004955BE"/>
    <w:rsid w:val="004E3B12"/>
    <w:rsid w:val="0051299C"/>
    <w:rsid w:val="00532310"/>
    <w:rsid w:val="0054237B"/>
    <w:rsid w:val="00560ECC"/>
    <w:rsid w:val="00565F0F"/>
    <w:rsid w:val="00594A86"/>
    <w:rsid w:val="00596D86"/>
    <w:rsid w:val="005A561F"/>
    <w:rsid w:val="00610D76"/>
    <w:rsid w:val="00626A6C"/>
    <w:rsid w:val="00637F5A"/>
    <w:rsid w:val="006453D0"/>
    <w:rsid w:val="006560B1"/>
    <w:rsid w:val="006756DD"/>
    <w:rsid w:val="00694F5D"/>
    <w:rsid w:val="006955CD"/>
    <w:rsid w:val="006B7B92"/>
    <w:rsid w:val="006C2703"/>
    <w:rsid w:val="006D3A3F"/>
    <w:rsid w:val="00737275"/>
    <w:rsid w:val="00740EEC"/>
    <w:rsid w:val="0075418F"/>
    <w:rsid w:val="00771DC5"/>
    <w:rsid w:val="0078011A"/>
    <w:rsid w:val="00782AF4"/>
    <w:rsid w:val="00786740"/>
    <w:rsid w:val="00790EE7"/>
    <w:rsid w:val="00793E8A"/>
    <w:rsid w:val="007A5EEC"/>
    <w:rsid w:val="007B6649"/>
    <w:rsid w:val="007B7134"/>
    <w:rsid w:val="007F57B9"/>
    <w:rsid w:val="00812117"/>
    <w:rsid w:val="0081546F"/>
    <w:rsid w:val="0082576E"/>
    <w:rsid w:val="00847908"/>
    <w:rsid w:val="00851838"/>
    <w:rsid w:val="00895497"/>
    <w:rsid w:val="008A1104"/>
    <w:rsid w:val="008D07EF"/>
    <w:rsid w:val="008D25C5"/>
    <w:rsid w:val="0090243F"/>
    <w:rsid w:val="009045A2"/>
    <w:rsid w:val="00907F75"/>
    <w:rsid w:val="00920DC0"/>
    <w:rsid w:val="009250C7"/>
    <w:rsid w:val="009260DE"/>
    <w:rsid w:val="0093258A"/>
    <w:rsid w:val="0093540A"/>
    <w:rsid w:val="00982F46"/>
    <w:rsid w:val="009C7BA3"/>
    <w:rsid w:val="009D1F5A"/>
    <w:rsid w:val="009E632D"/>
    <w:rsid w:val="00A1298B"/>
    <w:rsid w:val="00A3606A"/>
    <w:rsid w:val="00AB21AE"/>
    <w:rsid w:val="00B003BF"/>
    <w:rsid w:val="00B05ECE"/>
    <w:rsid w:val="00B07821"/>
    <w:rsid w:val="00B120D1"/>
    <w:rsid w:val="00B313B1"/>
    <w:rsid w:val="00B373D7"/>
    <w:rsid w:val="00B44DBD"/>
    <w:rsid w:val="00B957E7"/>
    <w:rsid w:val="00BA0354"/>
    <w:rsid w:val="00BC3343"/>
    <w:rsid w:val="00BD6F7C"/>
    <w:rsid w:val="00BE0E8B"/>
    <w:rsid w:val="00BE5496"/>
    <w:rsid w:val="00C1111E"/>
    <w:rsid w:val="00C23F88"/>
    <w:rsid w:val="00C36276"/>
    <w:rsid w:val="00C42586"/>
    <w:rsid w:val="00C5570C"/>
    <w:rsid w:val="00C60CCD"/>
    <w:rsid w:val="00C84483"/>
    <w:rsid w:val="00C85606"/>
    <w:rsid w:val="00C95551"/>
    <w:rsid w:val="00CA5858"/>
    <w:rsid w:val="00CA6D95"/>
    <w:rsid w:val="00CB20D7"/>
    <w:rsid w:val="00CD7891"/>
    <w:rsid w:val="00D020B0"/>
    <w:rsid w:val="00D0280E"/>
    <w:rsid w:val="00D11748"/>
    <w:rsid w:val="00D34A70"/>
    <w:rsid w:val="00D366CF"/>
    <w:rsid w:val="00D63863"/>
    <w:rsid w:val="00D67CA0"/>
    <w:rsid w:val="00D724DB"/>
    <w:rsid w:val="00D90CC4"/>
    <w:rsid w:val="00D97311"/>
    <w:rsid w:val="00DB3572"/>
    <w:rsid w:val="00DB51F4"/>
    <w:rsid w:val="00DC1B15"/>
    <w:rsid w:val="00DE1AAB"/>
    <w:rsid w:val="00DE50F5"/>
    <w:rsid w:val="00E06E44"/>
    <w:rsid w:val="00E108AA"/>
    <w:rsid w:val="00E30040"/>
    <w:rsid w:val="00E31812"/>
    <w:rsid w:val="00E3749A"/>
    <w:rsid w:val="00E4739E"/>
    <w:rsid w:val="00E65AE4"/>
    <w:rsid w:val="00E7437F"/>
    <w:rsid w:val="00E85DFB"/>
    <w:rsid w:val="00E865B8"/>
    <w:rsid w:val="00EB1BC2"/>
    <w:rsid w:val="00EC0B9B"/>
    <w:rsid w:val="00EC3BE8"/>
    <w:rsid w:val="00ED5E9F"/>
    <w:rsid w:val="00EE71BF"/>
    <w:rsid w:val="00EE7D0C"/>
    <w:rsid w:val="00F26B82"/>
    <w:rsid w:val="00F35462"/>
    <w:rsid w:val="00F36FE7"/>
    <w:rsid w:val="00F63739"/>
    <w:rsid w:val="00F66D4F"/>
    <w:rsid w:val="00FB6D01"/>
    <w:rsid w:val="00FD332A"/>
    <w:rsid w:val="00FD37AF"/>
    <w:rsid w:val="00FE7AA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D865B"/>
  <w15:chartTrackingRefBased/>
  <w15:docId w15:val="{9CD05AD9-FC5D-4764-AD25-AFC9B587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CA5858"/>
    <w:rPr>
      <w:color w:val="0563C1" w:themeColor="hyperlink"/>
      <w:u w:val="single"/>
    </w:rPr>
  </w:style>
  <w:style w:type="paragraph" w:styleId="Listeafsnit">
    <w:name w:val="List Paragraph"/>
    <w:basedOn w:val="Normal"/>
    <w:uiPriority w:val="34"/>
    <w:qFormat/>
    <w:rsid w:val="00CA5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6126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0807695">
      <w:bodyDiv w:val="1"/>
      <w:marLeft w:val="0"/>
      <w:marRight w:val="0"/>
      <w:marTop w:val="0"/>
      <w:marBottom w:val="0"/>
      <w:divBdr>
        <w:top w:val="none" w:sz="0" w:space="0" w:color="auto"/>
        <w:left w:val="none" w:sz="0" w:space="0" w:color="auto"/>
        <w:bottom w:val="none" w:sz="0" w:space="0" w:color="auto"/>
        <w:right w:val="none" w:sz="0" w:space="0" w:color="auto"/>
      </w:divBdr>
    </w:div>
    <w:div w:id="894001476">
      <w:bodyDiv w:val="1"/>
      <w:marLeft w:val="0"/>
      <w:marRight w:val="0"/>
      <w:marTop w:val="0"/>
      <w:marBottom w:val="0"/>
      <w:divBdr>
        <w:top w:val="none" w:sz="0" w:space="0" w:color="auto"/>
        <w:left w:val="none" w:sz="0" w:space="0" w:color="auto"/>
        <w:bottom w:val="none" w:sz="0" w:space="0" w:color="auto"/>
        <w:right w:val="none" w:sz="0" w:space="0" w:color="auto"/>
      </w:divBdr>
    </w:div>
    <w:div w:id="1422532381">
      <w:bodyDiv w:val="1"/>
      <w:marLeft w:val="0"/>
      <w:marRight w:val="0"/>
      <w:marTop w:val="0"/>
      <w:marBottom w:val="0"/>
      <w:divBdr>
        <w:top w:val="none" w:sz="0" w:space="0" w:color="auto"/>
        <w:left w:val="none" w:sz="0" w:space="0" w:color="auto"/>
        <w:bottom w:val="none" w:sz="0" w:space="0" w:color="auto"/>
        <w:right w:val="none" w:sz="0" w:space="0" w:color="auto"/>
      </w:divBdr>
    </w:div>
    <w:div w:id="146126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22</Pages>
  <Words>6753</Words>
  <Characters>46902</Characters>
  <Application>Microsoft Office Word</Application>
  <DocSecurity>0</DocSecurity>
  <Lines>390</Lines>
  <Paragraphs>107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2024060575 var 33 brev safety pkt. 5.1</dc:description>
  <cp:lastModifiedBy>Hanne Thy Iversen</cp:lastModifiedBy>
  <cp:revision>8</cp:revision>
  <cp:lastPrinted>2012-08-22T08:53:00Z</cp:lastPrinted>
  <dcterms:created xsi:type="dcterms:W3CDTF">2024-05-01T12:14:00Z</dcterms:created>
  <dcterms:modified xsi:type="dcterms:W3CDTF">2024-11-13T10:05:00Z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