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28" w:rsidRPr="00C84483" w:rsidRDefault="001D2A28" w:rsidP="001D2A28">
      <w:pPr>
        <w:rPr>
          <w:sz w:val="24"/>
          <w:szCs w:val="24"/>
        </w:rPr>
      </w:pPr>
      <w:bookmarkStart w:id="0" w:name="_GoBack"/>
      <w:bookmarkEnd w:id="0"/>
      <w:r>
        <w:rPr>
          <w:noProof/>
          <w:sz w:val="24"/>
          <w:szCs w:val="24"/>
          <w:lang w:eastAsia="da-DK"/>
        </w:rPr>
        <w:drawing>
          <wp:inline distT="0" distB="0" distL="0" distR="0" wp14:anchorId="7B319A3C" wp14:editId="38F6DFD1">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D2A28" w:rsidRPr="00C84483" w:rsidRDefault="001D2A28" w:rsidP="001D2A28">
      <w:pPr>
        <w:pStyle w:val="Titel"/>
        <w:tabs>
          <w:tab w:val="right" w:pos="9356"/>
        </w:tabs>
        <w:jc w:val="left"/>
        <w:rPr>
          <w:b w:val="0"/>
          <w:szCs w:val="24"/>
          <w:lang w:eastAsia="en-US"/>
        </w:rPr>
      </w:pPr>
    </w:p>
    <w:p w:rsidR="001D2A28" w:rsidRPr="00254C25" w:rsidRDefault="007C6248" w:rsidP="001D2A28">
      <w:pPr>
        <w:pStyle w:val="Titel"/>
        <w:tabs>
          <w:tab w:val="left" w:pos="8222"/>
        </w:tabs>
        <w:jc w:val="right"/>
        <w:rPr>
          <w:szCs w:val="24"/>
        </w:rPr>
      </w:pPr>
      <w:r>
        <w:rPr>
          <w:szCs w:val="24"/>
        </w:rPr>
        <w:t>30. oktober 2024</w:t>
      </w:r>
    </w:p>
    <w:p w:rsidR="001D2A28" w:rsidRDefault="001D2A28" w:rsidP="001D2A28">
      <w:pPr>
        <w:pStyle w:val="Titel"/>
        <w:jc w:val="left"/>
        <w:rPr>
          <w:b w:val="0"/>
          <w:szCs w:val="24"/>
        </w:rPr>
      </w:pPr>
    </w:p>
    <w:p w:rsidR="007C6248" w:rsidRDefault="007C6248" w:rsidP="001D2A28">
      <w:pPr>
        <w:pStyle w:val="Titel"/>
        <w:jc w:val="left"/>
        <w:rPr>
          <w:b w:val="0"/>
          <w:szCs w:val="24"/>
        </w:rPr>
      </w:pPr>
    </w:p>
    <w:p w:rsidR="007C6248" w:rsidRPr="00C84483" w:rsidRDefault="007C6248" w:rsidP="001D2A28">
      <w:pPr>
        <w:pStyle w:val="Titel"/>
        <w:jc w:val="left"/>
        <w:rPr>
          <w:b w:val="0"/>
          <w:szCs w:val="24"/>
        </w:rPr>
      </w:pPr>
    </w:p>
    <w:p w:rsidR="001D2A28" w:rsidRPr="00C84483" w:rsidRDefault="001D2A28" w:rsidP="001D2A28">
      <w:pPr>
        <w:jc w:val="center"/>
        <w:rPr>
          <w:b/>
          <w:sz w:val="24"/>
          <w:szCs w:val="24"/>
        </w:rPr>
      </w:pPr>
      <w:r w:rsidRPr="00C84483">
        <w:rPr>
          <w:b/>
          <w:sz w:val="24"/>
          <w:szCs w:val="24"/>
        </w:rPr>
        <w:t>PRODUKTRESUMÉ</w:t>
      </w:r>
    </w:p>
    <w:p w:rsidR="001D2A28" w:rsidRPr="00C84483" w:rsidRDefault="001D2A28" w:rsidP="001D2A28">
      <w:pPr>
        <w:jc w:val="center"/>
        <w:rPr>
          <w:b/>
          <w:sz w:val="24"/>
          <w:szCs w:val="24"/>
        </w:rPr>
      </w:pPr>
    </w:p>
    <w:p w:rsidR="001D2A28" w:rsidRPr="00C84483" w:rsidRDefault="001D2A28" w:rsidP="001D2A28">
      <w:pPr>
        <w:jc w:val="center"/>
        <w:rPr>
          <w:b/>
          <w:sz w:val="24"/>
          <w:szCs w:val="24"/>
        </w:rPr>
      </w:pPr>
      <w:r w:rsidRPr="00C84483">
        <w:rPr>
          <w:b/>
          <w:sz w:val="24"/>
          <w:szCs w:val="24"/>
        </w:rPr>
        <w:t>for</w:t>
      </w:r>
    </w:p>
    <w:p w:rsidR="001D2A28" w:rsidRPr="00C84483" w:rsidRDefault="001D2A28" w:rsidP="001D2A28">
      <w:pPr>
        <w:jc w:val="center"/>
        <w:rPr>
          <w:b/>
          <w:sz w:val="24"/>
          <w:szCs w:val="24"/>
        </w:rPr>
      </w:pPr>
    </w:p>
    <w:p w:rsidR="001D2A28" w:rsidRPr="00C84483" w:rsidRDefault="001D2A28" w:rsidP="001D2A28">
      <w:pPr>
        <w:jc w:val="center"/>
        <w:rPr>
          <w:b/>
          <w:sz w:val="24"/>
          <w:szCs w:val="24"/>
        </w:rPr>
      </w:pPr>
      <w:r>
        <w:rPr>
          <w:b/>
          <w:sz w:val="24"/>
          <w:szCs w:val="24"/>
        </w:rPr>
        <w:t>Cleareyes, øjendråber, opløsning</w:t>
      </w:r>
    </w:p>
    <w:p w:rsidR="001D2A28" w:rsidRPr="00C84483" w:rsidRDefault="001D2A28" w:rsidP="001D2A28">
      <w:pPr>
        <w:jc w:val="both"/>
        <w:rPr>
          <w:sz w:val="24"/>
          <w:szCs w:val="24"/>
        </w:rPr>
      </w:pPr>
    </w:p>
    <w:p w:rsidR="001D2A28" w:rsidRPr="00C84483" w:rsidRDefault="001D2A28" w:rsidP="001D2A28">
      <w:pPr>
        <w:jc w:val="both"/>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0.</w:t>
      </w:r>
      <w:r w:rsidRPr="00C84483">
        <w:rPr>
          <w:b/>
          <w:sz w:val="24"/>
          <w:szCs w:val="24"/>
        </w:rPr>
        <w:tab/>
        <w:t>D.SP.NR.</w:t>
      </w:r>
    </w:p>
    <w:p w:rsidR="001D2A28" w:rsidRPr="00C84483" w:rsidRDefault="001D2A28" w:rsidP="001D2A28">
      <w:pPr>
        <w:tabs>
          <w:tab w:val="left" w:pos="851"/>
        </w:tabs>
        <w:rPr>
          <w:sz w:val="24"/>
          <w:szCs w:val="24"/>
        </w:rPr>
      </w:pPr>
      <w:r w:rsidRPr="00C84483">
        <w:rPr>
          <w:sz w:val="24"/>
          <w:szCs w:val="24"/>
        </w:rPr>
        <w:tab/>
      </w:r>
      <w:r>
        <w:rPr>
          <w:sz w:val="24"/>
          <w:szCs w:val="24"/>
        </w:rPr>
        <w:t>28666</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1.</w:t>
      </w:r>
      <w:r w:rsidRPr="00C84483">
        <w:rPr>
          <w:b/>
          <w:sz w:val="24"/>
          <w:szCs w:val="24"/>
        </w:rPr>
        <w:tab/>
        <w:t>LÆGEMIDLETS NAVN</w:t>
      </w:r>
    </w:p>
    <w:p w:rsidR="001D2A28" w:rsidRPr="00C84483" w:rsidRDefault="001D2A28" w:rsidP="001D2A28">
      <w:pPr>
        <w:tabs>
          <w:tab w:val="left" w:pos="851"/>
        </w:tabs>
        <w:rPr>
          <w:sz w:val="24"/>
          <w:szCs w:val="24"/>
        </w:rPr>
      </w:pPr>
      <w:r w:rsidRPr="00C84483">
        <w:rPr>
          <w:sz w:val="24"/>
          <w:szCs w:val="24"/>
        </w:rPr>
        <w:tab/>
      </w:r>
      <w:r>
        <w:rPr>
          <w:sz w:val="24"/>
          <w:szCs w:val="24"/>
        </w:rPr>
        <w:t>Cleareyes</w:t>
      </w:r>
    </w:p>
    <w:p w:rsidR="001D2A28" w:rsidRPr="00C84483" w:rsidRDefault="001D2A28" w:rsidP="001D2A28">
      <w:pPr>
        <w:tabs>
          <w:tab w:val="left" w:pos="851"/>
        </w:tabs>
        <w:rPr>
          <w:sz w:val="24"/>
          <w:szCs w:val="24"/>
        </w:rPr>
      </w:pPr>
      <w:r w:rsidRPr="00C84483">
        <w:rPr>
          <w:sz w:val="24"/>
          <w:szCs w:val="24"/>
        </w:rPr>
        <w:tab/>
      </w:r>
    </w:p>
    <w:p w:rsidR="001F54CF" w:rsidRPr="00C84483" w:rsidRDefault="001F54CF" w:rsidP="001F54C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D2A28" w:rsidRDefault="001D2A28" w:rsidP="001D2A28">
      <w:pPr>
        <w:ind w:left="851"/>
        <w:rPr>
          <w:sz w:val="24"/>
          <w:szCs w:val="24"/>
          <w:lang w:eastAsia="en-GB"/>
        </w:rPr>
      </w:pPr>
      <w:proofErr w:type="spellStart"/>
      <w:r w:rsidRPr="006373F0">
        <w:rPr>
          <w:sz w:val="24"/>
          <w:szCs w:val="24"/>
          <w:lang w:eastAsia="en-GB"/>
        </w:rPr>
        <w:t>Naphazolinhydro</w:t>
      </w:r>
      <w:r>
        <w:rPr>
          <w:sz w:val="24"/>
          <w:szCs w:val="24"/>
          <w:lang w:eastAsia="en-GB"/>
        </w:rPr>
        <w:t>ch</w:t>
      </w:r>
      <w:r w:rsidRPr="006373F0">
        <w:rPr>
          <w:sz w:val="24"/>
          <w:szCs w:val="24"/>
          <w:lang w:eastAsia="en-GB"/>
        </w:rPr>
        <w:t>lorid</w:t>
      </w:r>
      <w:proofErr w:type="spellEnd"/>
      <w:r w:rsidRPr="006373F0">
        <w:rPr>
          <w:sz w:val="24"/>
          <w:szCs w:val="24"/>
          <w:lang w:eastAsia="en-GB"/>
        </w:rPr>
        <w:t xml:space="preserve"> 0,12 mg/ml</w:t>
      </w:r>
      <w:r>
        <w:rPr>
          <w:sz w:val="24"/>
          <w:szCs w:val="24"/>
          <w:lang w:eastAsia="en-GB"/>
        </w:rPr>
        <w:t>.</w:t>
      </w:r>
    </w:p>
    <w:p w:rsidR="001D2A28" w:rsidRPr="006373F0" w:rsidRDefault="001D2A28" w:rsidP="001D2A28">
      <w:pPr>
        <w:ind w:left="851"/>
        <w:rPr>
          <w:sz w:val="24"/>
          <w:szCs w:val="24"/>
          <w:lang w:eastAsia="en-GB"/>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u w:val="single"/>
          <w:lang w:val="da-DK"/>
        </w:rPr>
        <w:t>Hjælpestof(fer), som behandleren skal være opmærksom på</w:t>
      </w:r>
      <w:r>
        <w:rPr>
          <w:rFonts w:asciiTheme="majorBidi" w:hAnsiTheme="majorBidi" w:cstheme="majorBidi"/>
          <w:lang w:val="da-DK"/>
        </w:rPr>
        <w:t xml:space="preserve"> </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Dette lægemiddel indeholder 0,034 mg </w:t>
      </w:r>
      <w:proofErr w:type="spellStart"/>
      <w:r>
        <w:rPr>
          <w:rFonts w:asciiTheme="majorBidi" w:hAnsiTheme="majorBidi" w:cstheme="majorBidi"/>
          <w:lang w:val="da-DK"/>
        </w:rPr>
        <w:t>benzalkoniumchlorid</w:t>
      </w:r>
      <w:proofErr w:type="spellEnd"/>
      <w:r>
        <w:rPr>
          <w:rFonts w:asciiTheme="majorBidi" w:hAnsiTheme="majorBidi" w:cstheme="majorBidi"/>
          <w:lang w:val="da-DK"/>
        </w:rPr>
        <w:t xml:space="preserve"> i hver dråbe, hvilket svarer til 0,1 mg/ml.</w:t>
      </w:r>
    </w:p>
    <w:p w:rsidR="001D2A28" w:rsidRDefault="001D2A28" w:rsidP="001D2A28">
      <w:pPr>
        <w:ind w:left="851"/>
        <w:rPr>
          <w:sz w:val="24"/>
          <w:szCs w:val="24"/>
        </w:rPr>
      </w:pPr>
    </w:p>
    <w:p w:rsidR="001D2A28" w:rsidRPr="00C84483" w:rsidRDefault="001D2A28" w:rsidP="001D2A28">
      <w:pPr>
        <w:ind w:left="851"/>
        <w:rPr>
          <w:sz w:val="24"/>
          <w:szCs w:val="24"/>
        </w:rPr>
      </w:pPr>
      <w:r w:rsidRPr="006373F0">
        <w:rPr>
          <w:sz w:val="24"/>
          <w:szCs w:val="24"/>
        </w:rPr>
        <w:t>Alle hjælpestoffer er anført under pkt. 6.1</w:t>
      </w:r>
      <w:r>
        <w:rPr>
          <w:sz w:val="24"/>
          <w:szCs w:val="24"/>
        </w:rPr>
        <w:t>.</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3.</w:t>
      </w:r>
      <w:r w:rsidRPr="00C84483">
        <w:rPr>
          <w:b/>
          <w:sz w:val="24"/>
          <w:szCs w:val="24"/>
        </w:rPr>
        <w:tab/>
        <w:t>LÆGEMIDDELFORM</w:t>
      </w:r>
    </w:p>
    <w:p w:rsidR="001D2A28" w:rsidRDefault="001D2A28" w:rsidP="001D2A28">
      <w:pPr>
        <w:ind w:left="851"/>
        <w:rPr>
          <w:sz w:val="24"/>
          <w:szCs w:val="24"/>
          <w:lang w:eastAsia="en-GB"/>
        </w:rPr>
      </w:pPr>
      <w:r>
        <w:rPr>
          <w:sz w:val="24"/>
          <w:szCs w:val="24"/>
          <w:lang w:eastAsia="en-GB"/>
        </w:rPr>
        <w:t>Øjendråber, opløsning</w:t>
      </w:r>
    </w:p>
    <w:p w:rsidR="001D2A28" w:rsidRPr="006373F0" w:rsidRDefault="001D2A28" w:rsidP="001D2A28">
      <w:pPr>
        <w:ind w:left="851"/>
        <w:rPr>
          <w:sz w:val="24"/>
          <w:szCs w:val="24"/>
          <w:lang w:eastAsia="en-GB"/>
        </w:rPr>
      </w:pPr>
    </w:p>
    <w:p w:rsidR="001D2A28" w:rsidRPr="00C84483" w:rsidRDefault="001D2A28" w:rsidP="001D2A28">
      <w:pPr>
        <w:ind w:left="851"/>
        <w:rPr>
          <w:sz w:val="24"/>
          <w:szCs w:val="24"/>
        </w:rPr>
      </w:pPr>
      <w:r w:rsidRPr="006373F0">
        <w:rPr>
          <w:sz w:val="24"/>
          <w:szCs w:val="24"/>
        </w:rPr>
        <w:t>Klar, farveløs væske</w:t>
      </w:r>
      <w:r>
        <w:rPr>
          <w:sz w:val="24"/>
          <w:szCs w:val="24"/>
        </w:rPr>
        <w:t>.</w:t>
      </w:r>
      <w:r w:rsidRPr="00C84483">
        <w:rPr>
          <w:sz w:val="24"/>
          <w:szCs w:val="24"/>
        </w:rPr>
        <w:t xml:space="preserve"> </w:t>
      </w:r>
    </w:p>
    <w:p w:rsidR="001D2A28" w:rsidRPr="00C84483" w:rsidRDefault="001D2A28" w:rsidP="001D2A28">
      <w:pPr>
        <w:tabs>
          <w:tab w:val="left" w:pos="851"/>
        </w:tabs>
        <w:rPr>
          <w:sz w:val="24"/>
          <w:szCs w:val="24"/>
        </w:rPr>
      </w:pP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w:t>
      </w:r>
      <w:r w:rsidRPr="00C84483">
        <w:rPr>
          <w:b/>
          <w:sz w:val="24"/>
          <w:szCs w:val="24"/>
        </w:rPr>
        <w:tab/>
        <w:t>KLINISKE OPLYSNINGER</w:t>
      </w:r>
    </w:p>
    <w:p w:rsidR="001F54CF" w:rsidRPr="00C84483" w:rsidRDefault="001F54CF" w:rsidP="001F54CF">
      <w:pPr>
        <w:tabs>
          <w:tab w:val="left" w:pos="851"/>
        </w:tabs>
        <w:ind w:left="851"/>
        <w:rPr>
          <w:b/>
          <w:sz w:val="24"/>
          <w:szCs w:val="24"/>
        </w:rPr>
      </w:pPr>
    </w:p>
    <w:p w:rsidR="001F54CF" w:rsidRPr="00C84483" w:rsidRDefault="001F54CF" w:rsidP="001F54C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D2A28" w:rsidRPr="007E1B1D" w:rsidRDefault="001D2A28" w:rsidP="001D2A28">
      <w:pPr>
        <w:ind w:left="851"/>
        <w:rPr>
          <w:i/>
          <w:color w:val="000000"/>
          <w:sz w:val="24"/>
          <w:szCs w:val="24"/>
        </w:rPr>
      </w:pPr>
      <w:r w:rsidRPr="007E1B1D">
        <w:rPr>
          <w:sz w:val="24"/>
          <w:szCs w:val="24"/>
        </w:rPr>
        <w:t>Til lindring af lejlighedsvis, mindre rødme og irritation i øjet.</w:t>
      </w:r>
    </w:p>
    <w:p w:rsidR="007C6248" w:rsidRDefault="007C6248" w:rsidP="001D2A28">
      <w:pPr>
        <w:ind w:left="851"/>
        <w:rPr>
          <w:color w:val="222222"/>
          <w:sz w:val="24"/>
          <w:szCs w:val="24"/>
        </w:rPr>
      </w:pPr>
    </w:p>
    <w:p w:rsidR="001D2A28" w:rsidRPr="00C84483" w:rsidRDefault="001D2A28" w:rsidP="001D2A28">
      <w:pPr>
        <w:ind w:left="851"/>
        <w:rPr>
          <w:sz w:val="24"/>
          <w:szCs w:val="24"/>
        </w:rPr>
      </w:pPr>
      <w:r w:rsidRPr="007E1B1D">
        <w:rPr>
          <w:color w:val="222222"/>
          <w:sz w:val="24"/>
          <w:szCs w:val="24"/>
        </w:rPr>
        <w:t>Cleareyes</w:t>
      </w:r>
      <w:r w:rsidRPr="007E1B1D">
        <w:rPr>
          <w:sz w:val="24"/>
          <w:szCs w:val="24"/>
        </w:rPr>
        <w:t xml:space="preserve"> er indiceret til voksne og børn i alderen 12 år og derover.</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D2A28" w:rsidRDefault="001D2A28" w:rsidP="001D2A28">
      <w:pPr>
        <w:tabs>
          <w:tab w:val="left" w:pos="720"/>
        </w:tabs>
        <w:ind w:left="851"/>
        <w:rPr>
          <w:sz w:val="24"/>
          <w:szCs w:val="24"/>
          <w:u w:val="single"/>
        </w:rPr>
      </w:pPr>
    </w:p>
    <w:p w:rsidR="001D2A28" w:rsidRPr="007E1B1D" w:rsidRDefault="001D2A28" w:rsidP="001D2A28">
      <w:pPr>
        <w:tabs>
          <w:tab w:val="left" w:pos="720"/>
        </w:tabs>
        <w:ind w:left="851"/>
        <w:rPr>
          <w:sz w:val="24"/>
          <w:szCs w:val="24"/>
          <w:u w:val="single"/>
        </w:rPr>
      </w:pPr>
      <w:r w:rsidRPr="007E1B1D">
        <w:rPr>
          <w:sz w:val="24"/>
          <w:szCs w:val="24"/>
          <w:u w:val="single"/>
        </w:rPr>
        <w:t>Dosering</w:t>
      </w:r>
    </w:p>
    <w:p w:rsidR="001D2A28" w:rsidRDefault="001D2A28" w:rsidP="001D2A28">
      <w:pPr>
        <w:ind w:left="851"/>
        <w:rPr>
          <w:sz w:val="24"/>
          <w:szCs w:val="24"/>
          <w:lang w:eastAsia="en-GB"/>
        </w:rPr>
      </w:pPr>
    </w:p>
    <w:p w:rsidR="001D2A28" w:rsidRPr="000214A6" w:rsidRDefault="001D2A28" w:rsidP="001D2A28">
      <w:pPr>
        <w:ind w:left="851"/>
        <w:rPr>
          <w:i/>
          <w:sz w:val="24"/>
          <w:szCs w:val="24"/>
          <w:lang w:eastAsia="en-GB"/>
        </w:rPr>
      </w:pPr>
      <w:r w:rsidRPr="007E1B1D">
        <w:rPr>
          <w:i/>
          <w:sz w:val="24"/>
          <w:szCs w:val="24"/>
          <w:lang w:eastAsia="en-GB"/>
        </w:rPr>
        <w:t>Voks</w:t>
      </w:r>
      <w:r w:rsidRPr="000214A6">
        <w:rPr>
          <w:i/>
          <w:sz w:val="24"/>
          <w:szCs w:val="24"/>
          <w:lang w:eastAsia="en-GB"/>
        </w:rPr>
        <w:t>ne og børn på 12 år og derover</w:t>
      </w:r>
    </w:p>
    <w:p w:rsidR="001D2A28" w:rsidRPr="007E1B1D" w:rsidRDefault="001D2A28" w:rsidP="001D2A28">
      <w:pPr>
        <w:ind w:left="851"/>
        <w:rPr>
          <w:sz w:val="24"/>
          <w:szCs w:val="24"/>
          <w:lang w:eastAsia="en-GB"/>
        </w:rPr>
      </w:pPr>
      <w:r w:rsidRPr="007E1B1D">
        <w:rPr>
          <w:sz w:val="24"/>
          <w:szCs w:val="24"/>
          <w:lang w:eastAsia="en-GB"/>
        </w:rPr>
        <w:t xml:space="preserve">Den anbefalede dosis er </w:t>
      </w:r>
      <w:r>
        <w:rPr>
          <w:sz w:val="24"/>
          <w:szCs w:val="24"/>
          <w:lang w:eastAsia="en-GB"/>
        </w:rPr>
        <w:t>en</w:t>
      </w:r>
      <w:r w:rsidRPr="007E1B1D">
        <w:rPr>
          <w:sz w:val="24"/>
          <w:szCs w:val="24"/>
          <w:lang w:eastAsia="en-GB"/>
        </w:rPr>
        <w:t xml:space="preserve"> eller to dråber i hvert øje to eller tre gange </w:t>
      </w:r>
      <w:r>
        <w:rPr>
          <w:sz w:val="24"/>
          <w:szCs w:val="24"/>
          <w:lang w:eastAsia="en-GB"/>
        </w:rPr>
        <w:t>daglig</w:t>
      </w:r>
      <w:r w:rsidRPr="007E1B1D">
        <w:rPr>
          <w:sz w:val="24"/>
          <w:szCs w:val="24"/>
          <w:lang w:eastAsia="en-GB"/>
        </w:rPr>
        <w:t>. Dette produkt er kun beregnet til forbigående eller lejlighedsvis anvendelse (se pkt. 4.4).</w:t>
      </w:r>
    </w:p>
    <w:p w:rsidR="001D2A28" w:rsidRDefault="001D2A28" w:rsidP="001D2A28">
      <w:pPr>
        <w:tabs>
          <w:tab w:val="left" w:pos="720"/>
        </w:tabs>
        <w:ind w:left="851"/>
        <w:rPr>
          <w:i/>
          <w:sz w:val="24"/>
          <w:szCs w:val="24"/>
        </w:rPr>
      </w:pPr>
    </w:p>
    <w:p w:rsidR="001D2A28" w:rsidRPr="007E1B1D" w:rsidRDefault="001D2A28" w:rsidP="001D2A28">
      <w:pPr>
        <w:tabs>
          <w:tab w:val="left" w:pos="720"/>
        </w:tabs>
        <w:ind w:left="851"/>
        <w:rPr>
          <w:b/>
          <w:i/>
          <w:sz w:val="24"/>
          <w:szCs w:val="24"/>
        </w:rPr>
      </w:pPr>
      <w:r w:rsidRPr="007E1B1D">
        <w:rPr>
          <w:i/>
          <w:sz w:val="24"/>
          <w:szCs w:val="24"/>
        </w:rPr>
        <w:t>Pædiatrisk population</w:t>
      </w:r>
    </w:p>
    <w:p w:rsidR="001D2A28" w:rsidRDefault="001D2A28" w:rsidP="001D2A28">
      <w:pPr>
        <w:ind w:left="851"/>
        <w:rPr>
          <w:sz w:val="24"/>
          <w:szCs w:val="24"/>
          <w:lang w:eastAsia="en-GB"/>
        </w:rPr>
      </w:pPr>
      <w:r w:rsidRPr="007E1B1D">
        <w:rPr>
          <w:color w:val="222222"/>
          <w:sz w:val="24"/>
          <w:szCs w:val="24"/>
          <w:lang w:eastAsia="en-GB"/>
        </w:rPr>
        <w:t>Cleareyes</w:t>
      </w:r>
      <w:r w:rsidRPr="007E1B1D">
        <w:rPr>
          <w:sz w:val="24"/>
          <w:szCs w:val="24"/>
          <w:lang w:eastAsia="en-GB"/>
        </w:rPr>
        <w:t xml:space="preserve"> sikkerhed og virkning hos børn i alderen 0 til 12 år er ikke klarlagt. Der foreligger ingen data.</w:t>
      </w:r>
    </w:p>
    <w:p w:rsidR="001D2A28" w:rsidRPr="007E1B1D" w:rsidRDefault="001D2A28" w:rsidP="001D2A28">
      <w:pPr>
        <w:ind w:left="851"/>
        <w:rPr>
          <w:sz w:val="24"/>
          <w:szCs w:val="24"/>
          <w:lang w:eastAsia="en-GB"/>
        </w:rPr>
      </w:pPr>
    </w:p>
    <w:p w:rsidR="001D2A28" w:rsidRPr="007E1B1D" w:rsidRDefault="001D2A28" w:rsidP="001D2A28">
      <w:pPr>
        <w:tabs>
          <w:tab w:val="left" w:pos="720"/>
        </w:tabs>
        <w:ind w:left="851"/>
        <w:rPr>
          <w:sz w:val="24"/>
          <w:szCs w:val="24"/>
        </w:rPr>
      </w:pPr>
      <w:r w:rsidRPr="007E1B1D">
        <w:rPr>
          <w:sz w:val="24"/>
          <w:szCs w:val="24"/>
          <w:u w:val="single"/>
        </w:rPr>
        <w:t xml:space="preserve">Administration </w:t>
      </w:r>
    </w:p>
    <w:p w:rsidR="007C6248" w:rsidRDefault="007C6248" w:rsidP="007C6248">
      <w:pPr>
        <w:pStyle w:val="Brdtekst"/>
        <w:ind w:left="851"/>
        <w:rPr>
          <w:rFonts w:asciiTheme="majorBidi" w:hAnsiTheme="majorBidi" w:cstheme="majorBidi"/>
          <w:lang w:val="da-DK"/>
        </w:rPr>
      </w:pPr>
      <w:proofErr w:type="spellStart"/>
      <w:r>
        <w:rPr>
          <w:rFonts w:asciiTheme="majorBidi" w:hAnsiTheme="majorBidi" w:cstheme="majorBidi"/>
          <w:lang w:val="da-DK"/>
        </w:rPr>
        <w:t>Okulær</w:t>
      </w:r>
      <w:proofErr w:type="spellEnd"/>
      <w:r>
        <w:rPr>
          <w:rFonts w:asciiTheme="majorBidi" w:hAnsiTheme="majorBidi" w:cstheme="majorBidi"/>
          <w:lang w:val="da-DK"/>
        </w:rPr>
        <w:t xml:space="preserve"> anvendelse.</w:t>
      </w:r>
    </w:p>
    <w:p w:rsidR="001D2A28" w:rsidRPr="00C84483" w:rsidRDefault="001D2A28" w:rsidP="001D2A28">
      <w:pPr>
        <w:ind w:left="851"/>
        <w:rPr>
          <w:sz w:val="24"/>
          <w:szCs w:val="24"/>
          <w:lang w:eastAsia="en-GB"/>
        </w:rPr>
      </w:pPr>
      <w:r w:rsidRPr="007E1B1D">
        <w:rPr>
          <w:sz w:val="24"/>
          <w:szCs w:val="24"/>
          <w:lang w:eastAsia="en-GB"/>
        </w:rPr>
        <w:t>Hvis der desuden anvendes andre øjendråber/øjensalver, skal der gå ca. 15</w:t>
      </w:r>
      <w:r w:rsidR="00544D3E">
        <w:rPr>
          <w:sz w:val="24"/>
          <w:szCs w:val="24"/>
          <w:lang w:eastAsia="en-GB"/>
        </w:rPr>
        <w:t> </w:t>
      </w:r>
      <w:r w:rsidRPr="007E1B1D">
        <w:rPr>
          <w:sz w:val="24"/>
          <w:szCs w:val="24"/>
          <w:lang w:eastAsia="en-GB"/>
        </w:rPr>
        <w:t>minutter mellem doserne, og en øjensalve skal altid anvendes sidst.</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4.3</w:t>
      </w:r>
      <w:r w:rsidRPr="00C84483">
        <w:rPr>
          <w:b/>
          <w:sz w:val="24"/>
          <w:szCs w:val="24"/>
        </w:rPr>
        <w:tab/>
        <w:t>Kontraindikationer</w:t>
      </w:r>
    </w:p>
    <w:p w:rsidR="007C6248" w:rsidRDefault="007C6248" w:rsidP="00544D3E">
      <w:pPr>
        <w:pStyle w:val="Brdtekst"/>
        <w:ind w:left="851"/>
        <w:rPr>
          <w:rFonts w:asciiTheme="majorBidi" w:hAnsiTheme="majorBidi" w:cstheme="majorBidi"/>
          <w:color w:val="212121"/>
          <w:lang w:val="da-DK"/>
        </w:rPr>
      </w:pPr>
      <w:r>
        <w:rPr>
          <w:rFonts w:asciiTheme="majorBidi" w:hAnsiTheme="majorBidi" w:cstheme="majorBidi"/>
          <w:color w:val="212121"/>
          <w:lang w:val="da-DK"/>
        </w:rPr>
        <w:t>Overfølsomhed over for det aktive stof eller over for et eller flere af hjælpestofferne anført i pkt.</w:t>
      </w:r>
      <w:r w:rsidR="00544D3E">
        <w:rPr>
          <w:rFonts w:asciiTheme="majorBidi" w:hAnsiTheme="majorBidi" w:cstheme="majorBidi"/>
          <w:color w:val="212121"/>
          <w:lang w:val="da-DK"/>
        </w:rPr>
        <w:t> </w:t>
      </w:r>
      <w:r>
        <w:rPr>
          <w:rFonts w:asciiTheme="majorBidi" w:hAnsiTheme="majorBidi" w:cstheme="majorBidi"/>
          <w:color w:val="212121"/>
          <w:lang w:val="da-DK"/>
        </w:rPr>
        <w:t>6.1.</w:t>
      </w:r>
    </w:p>
    <w:p w:rsidR="007C6248" w:rsidRDefault="007C6248" w:rsidP="00544D3E">
      <w:pPr>
        <w:pStyle w:val="Normalindrykning"/>
        <w:spacing w:after="0"/>
        <w:ind w:left="851"/>
        <w:rPr>
          <w:color w:val="222222"/>
          <w:sz w:val="24"/>
          <w:szCs w:val="24"/>
          <w:lang w:val="da-DK"/>
        </w:rPr>
      </w:pPr>
    </w:p>
    <w:p w:rsidR="001D2A28" w:rsidRDefault="001D2A28" w:rsidP="00544D3E">
      <w:pPr>
        <w:pStyle w:val="Normalindrykning"/>
        <w:spacing w:after="0"/>
        <w:ind w:left="851"/>
        <w:rPr>
          <w:sz w:val="24"/>
          <w:szCs w:val="24"/>
          <w:lang w:val="da-DK"/>
        </w:rPr>
      </w:pPr>
      <w:r>
        <w:rPr>
          <w:color w:val="222222"/>
          <w:sz w:val="24"/>
          <w:szCs w:val="24"/>
          <w:lang w:val="da-DK"/>
        </w:rPr>
        <w:t>Cleareyes</w:t>
      </w:r>
      <w:r w:rsidRPr="00C83C9C">
        <w:rPr>
          <w:sz w:val="24"/>
          <w:szCs w:val="24"/>
          <w:lang w:val="da-DK"/>
        </w:rPr>
        <w:t xml:space="preserve"> er kontraindiceret til patient</w:t>
      </w:r>
      <w:r>
        <w:rPr>
          <w:sz w:val="24"/>
          <w:szCs w:val="24"/>
          <w:lang w:val="da-DK"/>
        </w:rPr>
        <w:t xml:space="preserve">er med: </w:t>
      </w:r>
      <w:proofErr w:type="spellStart"/>
      <w:r>
        <w:rPr>
          <w:sz w:val="24"/>
          <w:szCs w:val="24"/>
          <w:lang w:val="da-DK"/>
        </w:rPr>
        <w:t>G</w:t>
      </w:r>
      <w:r w:rsidRPr="00C83C9C">
        <w:rPr>
          <w:sz w:val="24"/>
          <w:szCs w:val="24"/>
          <w:lang w:val="da-DK"/>
        </w:rPr>
        <w:t>laukom</w:t>
      </w:r>
      <w:proofErr w:type="spellEnd"/>
      <w:r w:rsidRPr="00C83C9C">
        <w:rPr>
          <w:sz w:val="24"/>
          <w:szCs w:val="24"/>
          <w:lang w:val="da-DK"/>
        </w:rPr>
        <w:t xml:space="preserve"> med vinkellukning, snæver kammervinkel (risiko for akut </w:t>
      </w:r>
      <w:proofErr w:type="spellStart"/>
      <w:r w:rsidRPr="00C83C9C">
        <w:rPr>
          <w:sz w:val="24"/>
          <w:szCs w:val="24"/>
          <w:lang w:val="da-DK"/>
        </w:rPr>
        <w:t>glaukom</w:t>
      </w:r>
      <w:proofErr w:type="spellEnd"/>
      <w:r w:rsidRPr="00C83C9C">
        <w:rPr>
          <w:sz w:val="24"/>
          <w:szCs w:val="24"/>
          <w:lang w:val="da-DK"/>
        </w:rPr>
        <w:t xml:space="preserve">), tidligere akut </w:t>
      </w:r>
      <w:proofErr w:type="spellStart"/>
      <w:r w:rsidRPr="00C83C9C">
        <w:rPr>
          <w:sz w:val="24"/>
          <w:szCs w:val="24"/>
          <w:lang w:val="da-DK"/>
        </w:rPr>
        <w:t>glaukom</w:t>
      </w:r>
      <w:proofErr w:type="spellEnd"/>
      <w:r w:rsidRPr="00C83C9C">
        <w:rPr>
          <w:sz w:val="24"/>
          <w:szCs w:val="24"/>
          <w:lang w:val="da-DK"/>
        </w:rPr>
        <w:t xml:space="preserve"> på grund af snæver kammervinkel, </w:t>
      </w:r>
      <w:proofErr w:type="spellStart"/>
      <w:r w:rsidRPr="00C83C9C">
        <w:rPr>
          <w:sz w:val="24"/>
          <w:szCs w:val="24"/>
          <w:lang w:val="da-DK"/>
        </w:rPr>
        <w:t>ir</w:t>
      </w:r>
      <w:r>
        <w:rPr>
          <w:sz w:val="24"/>
          <w:szCs w:val="24"/>
          <w:lang w:val="da-DK"/>
        </w:rPr>
        <w:t>itis</w:t>
      </w:r>
      <w:proofErr w:type="spellEnd"/>
      <w:r>
        <w:rPr>
          <w:sz w:val="24"/>
          <w:szCs w:val="24"/>
          <w:lang w:val="da-DK"/>
        </w:rPr>
        <w:t xml:space="preserve"> eller skade på hornhinden.</w:t>
      </w:r>
    </w:p>
    <w:p w:rsidR="001D2A28" w:rsidRDefault="001D2A28" w:rsidP="00544D3E">
      <w:pPr>
        <w:pStyle w:val="Normalindrykning"/>
        <w:spacing w:after="0"/>
        <w:ind w:left="851"/>
        <w:rPr>
          <w:sz w:val="24"/>
          <w:szCs w:val="24"/>
          <w:lang w:val="da-DK"/>
        </w:rPr>
      </w:pPr>
    </w:p>
    <w:p w:rsidR="001D2A28" w:rsidRPr="00C83C9C" w:rsidRDefault="001D2A28" w:rsidP="00544D3E">
      <w:pPr>
        <w:pStyle w:val="Normalindrykning"/>
        <w:spacing w:after="0"/>
        <w:ind w:left="851"/>
        <w:rPr>
          <w:sz w:val="24"/>
          <w:szCs w:val="24"/>
          <w:lang w:val="da-DK"/>
        </w:rPr>
      </w:pPr>
      <w:r w:rsidRPr="00C83C9C">
        <w:rPr>
          <w:sz w:val="24"/>
          <w:szCs w:val="24"/>
          <w:lang w:val="da-DK"/>
        </w:rPr>
        <w:t xml:space="preserve">Dette produkt må ikke anvendes før perifer </w:t>
      </w:r>
      <w:proofErr w:type="spellStart"/>
      <w:r w:rsidRPr="00C83C9C">
        <w:rPr>
          <w:sz w:val="24"/>
          <w:szCs w:val="24"/>
          <w:lang w:val="da-DK"/>
        </w:rPr>
        <w:t>iridektomi</w:t>
      </w:r>
      <w:proofErr w:type="spellEnd"/>
      <w:r w:rsidRPr="00C83C9C">
        <w:rPr>
          <w:sz w:val="24"/>
          <w:szCs w:val="24"/>
          <w:lang w:val="da-DK"/>
        </w:rPr>
        <w:t xml:space="preserve"> ved øjne, der har tendens til vinkellukning, idet </w:t>
      </w:r>
      <w:proofErr w:type="spellStart"/>
      <w:r w:rsidRPr="00C83C9C">
        <w:rPr>
          <w:sz w:val="24"/>
          <w:szCs w:val="24"/>
          <w:lang w:val="da-DK"/>
        </w:rPr>
        <w:t>mydriati</w:t>
      </w:r>
      <w:proofErr w:type="spellEnd"/>
      <w:r w:rsidRPr="00C83C9C">
        <w:rPr>
          <w:sz w:val="24"/>
          <w:szCs w:val="24"/>
          <w:lang w:val="da-DK"/>
        </w:rPr>
        <w:t xml:space="preserve"> kan fremme vinkelblokering.</w:t>
      </w:r>
    </w:p>
    <w:p w:rsidR="001D2A28" w:rsidRDefault="001D2A28" w:rsidP="00544D3E">
      <w:pPr>
        <w:pStyle w:val="Normalindrykning"/>
        <w:spacing w:after="0"/>
        <w:ind w:left="851"/>
        <w:rPr>
          <w:sz w:val="24"/>
          <w:szCs w:val="24"/>
          <w:lang w:val="da-DK"/>
        </w:rPr>
      </w:pPr>
    </w:p>
    <w:p w:rsidR="007C6248" w:rsidRDefault="007C6248" w:rsidP="00544D3E">
      <w:pPr>
        <w:pStyle w:val="Brdtekst"/>
        <w:ind w:left="851"/>
        <w:rPr>
          <w:rFonts w:asciiTheme="majorBidi" w:hAnsiTheme="majorBidi" w:cstheme="majorBidi"/>
          <w:lang w:val="da-DK"/>
        </w:rPr>
      </w:pPr>
      <w:r>
        <w:rPr>
          <w:rFonts w:asciiTheme="majorBidi" w:hAnsiTheme="majorBidi" w:cstheme="majorBidi"/>
          <w:lang w:val="da-DK"/>
        </w:rPr>
        <w:t>Må ikke anvendes samtidigt med anvendelse af MAO-</w:t>
      </w:r>
      <w:proofErr w:type="spellStart"/>
      <w:r>
        <w:rPr>
          <w:rFonts w:asciiTheme="majorBidi" w:hAnsiTheme="majorBidi" w:cstheme="majorBidi"/>
          <w:lang w:val="da-DK"/>
        </w:rPr>
        <w:t>hæmmere</w:t>
      </w:r>
      <w:proofErr w:type="spellEnd"/>
      <w:r>
        <w:rPr>
          <w:rFonts w:asciiTheme="majorBidi" w:hAnsiTheme="majorBidi" w:cstheme="majorBidi"/>
          <w:lang w:val="da-DK"/>
        </w:rPr>
        <w:t xml:space="preserve"> eller inden for 14 dage efter at have stoppet denne medicinering (se pkt. 4.5).</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D2A28" w:rsidRDefault="001D2A28" w:rsidP="001D2A28">
      <w:pPr>
        <w:ind w:left="851"/>
        <w:rPr>
          <w:sz w:val="24"/>
          <w:szCs w:val="24"/>
        </w:rPr>
      </w:pPr>
      <w:r w:rsidRPr="007E1B1D">
        <w:rPr>
          <w:sz w:val="24"/>
          <w:szCs w:val="24"/>
        </w:rPr>
        <w:t>Dette produkt er kun beregnet til forbigående eller lejlighedsvis anvendelse. Tilbagefald er indberettet efter længerevarende og/eller overdrevet brug af øjendrå</w:t>
      </w:r>
      <w:r>
        <w:rPr>
          <w:sz w:val="24"/>
          <w:szCs w:val="24"/>
        </w:rPr>
        <w:t xml:space="preserve">ber, der indeholder </w:t>
      </w:r>
      <w:proofErr w:type="spellStart"/>
      <w:r>
        <w:rPr>
          <w:sz w:val="24"/>
          <w:szCs w:val="24"/>
        </w:rPr>
        <w:t>naphazolin</w:t>
      </w:r>
      <w:proofErr w:type="spellEnd"/>
      <w:r>
        <w:rPr>
          <w:sz w:val="24"/>
          <w:szCs w:val="24"/>
        </w:rPr>
        <w:t>.</w:t>
      </w:r>
    </w:p>
    <w:p w:rsidR="007C6248" w:rsidRDefault="007C6248" w:rsidP="001D2A28">
      <w:pPr>
        <w:ind w:left="851"/>
        <w:rPr>
          <w:sz w:val="24"/>
          <w:szCs w:val="24"/>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Hvis du behandles for højt blodtryk, depression, hjertesygdom, åreforkalkning, diabetes eller øget aktivitet i skjoldbruskkirtlen, skal du kontakte dine læge, før du bruger dråberne, da </w:t>
      </w:r>
      <w:proofErr w:type="spellStart"/>
      <w:r>
        <w:rPr>
          <w:rFonts w:asciiTheme="majorBidi" w:hAnsiTheme="majorBidi" w:cstheme="majorBidi"/>
          <w:lang w:val="da-DK"/>
        </w:rPr>
        <w:t>naphazolin</w:t>
      </w:r>
      <w:proofErr w:type="spellEnd"/>
      <w:r>
        <w:rPr>
          <w:rFonts w:asciiTheme="majorBidi" w:hAnsiTheme="majorBidi" w:cstheme="majorBidi"/>
          <w:lang w:val="da-DK"/>
        </w:rPr>
        <w:t xml:space="preserve"> kan forværre karsammensnøringer. Af samme årsag bør dette produkt ikke anvendes som </w:t>
      </w:r>
      <w:proofErr w:type="spellStart"/>
      <w:r>
        <w:rPr>
          <w:rFonts w:asciiTheme="majorBidi" w:hAnsiTheme="majorBidi" w:cstheme="majorBidi"/>
          <w:lang w:val="da-DK"/>
        </w:rPr>
        <w:t>okulært</w:t>
      </w:r>
      <w:proofErr w:type="spellEnd"/>
      <w:r>
        <w:rPr>
          <w:rFonts w:asciiTheme="majorBidi" w:hAnsiTheme="majorBidi" w:cstheme="majorBidi"/>
          <w:lang w:val="da-DK"/>
        </w:rPr>
        <w:t xml:space="preserve"> skyllemiddel (se pkt. 4.9).</w:t>
      </w:r>
    </w:p>
    <w:p w:rsidR="001D2A28" w:rsidRPr="007E1B1D" w:rsidRDefault="001D2A28" w:rsidP="001D2A28">
      <w:pPr>
        <w:ind w:left="851"/>
        <w:rPr>
          <w:sz w:val="24"/>
          <w:szCs w:val="24"/>
        </w:rPr>
      </w:pPr>
    </w:p>
    <w:p w:rsidR="001D2A28" w:rsidRDefault="001D2A28" w:rsidP="001D2A28">
      <w:pPr>
        <w:tabs>
          <w:tab w:val="left" w:pos="0"/>
        </w:tabs>
        <w:ind w:left="851"/>
        <w:rPr>
          <w:sz w:val="24"/>
          <w:szCs w:val="24"/>
          <w:lang w:eastAsia="en-GB"/>
        </w:rPr>
      </w:pPr>
      <w:r w:rsidRPr="007E1B1D">
        <w:rPr>
          <w:color w:val="222222"/>
          <w:sz w:val="24"/>
          <w:szCs w:val="24"/>
          <w:lang w:eastAsia="en-GB"/>
        </w:rPr>
        <w:t>Cleareyes</w:t>
      </w:r>
      <w:r w:rsidRPr="007E1B1D">
        <w:rPr>
          <w:sz w:val="24"/>
          <w:szCs w:val="24"/>
          <w:lang w:eastAsia="en-GB"/>
        </w:rPr>
        <w:t xml:space="preserve"> bør ikke anvendes, hvis der er en øjentilstand, der er kendetegnet ved fortsat rødme, smerter eller sløret syn.</w:t>
      </w:r>
    </w:p>
    <w:p w:rsidR="001D2A28" w:rsidRPr="007E1B1D" w:rsidRDefault="001D2A28" w:rsidP="001D2A28">
      <w:pPr>
        <w:tabs>
          <w:tab w:val="left" w:pos="0"/>
        </w:tabs>
        <w:ind w:left="851"/>
        <w:rPr>
          <w:sz w:val="24"/>
          <w:szCs w:val="24"/>
          <w:lang w:eastAsia="en-GB"/>
        </w:rPr>
      </w:pPr>
    </w:p>
    <w:p w:rsidR="001D2A28" w:rsidRDefault="001D2A28" w:rsidP="001D2A28">
      <w:pPr>
        <w:tabs>
          <w:tab w:val="left" w:pos="0"/>
        </w:tabs>
        <w:ind w:left="851"/>
        <w:rPr>
          <w:sz w:val="24"/>
          <w:szCs w:val="24"/>
          <w:lang w:eastAsia="en-GB"/>
        </w:rPr>
      </w:pPr>
      <w:r w:rsidRPr="007E1B1D">
        <w:rPr>
          <w:sz w:val="24"/>
          <w:szCs w:val="24"/>
          <w:lang w:eastAsia="en-GB"/>
        </w:rPr>
        <w:t>Hvis der forekommer øjensmerter, synsændringer, fotofobi, fortsat rødme eller øjenirritation, eller hvis tilstanden forværres eller ikke viser tegn på forbedring efter 24</w:t>
      </w:r>
      <w:r w:rsidR="00B123A2">
        <w:rPr>
          <w:sz w:val="24"/>
          <w:szCs w:val="24"/>
          <w:lang w:eastAsia="en-GB"/>
        </w:rPr>
        <w:t> </w:t>
      </w:r>
      <w:r w:rsidRPr="007E1B1D">
        <w:rPr>
          <w:sz w:val="24"/>
          <w:szCs w:val="24"/>
          <w:lang w:eastAsia="en-GB"/>
        </w:rPr>
        <w:t>timer, så afbry</w:t>
      </w:r>
      <w:r>
        <w:rPr>
          <w:sz w:val="24"/>
          <w:szCs w:val="24"/>
          <w:lang w:eastAsia="en-GB"/>
        </w:rPr>
        <w:t>d anvendelsen og kontakt lægen.</w:t>
      </w:r>
    </w:p>
    <w:p w:rsidR="007C6248" w:rsidRDefault="007C6248" w:rsidP="001D2A28">
      <w:pPr>
        <w:tabs>
          <w:tab w:val="left" w:pos="0"/>
        </w:tabs>
        <w:ind w:left="851"/>
        <w:rPr>
          <w:sz w:val="24"/>
          <w:szCs w:val="24"/>
          <w:lang w:eastAsia="en-GB"/>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Patienter, der har fået foretaget en øjenoperation, bør ikke bruge Cleareyes, før de er blevet informeret af en læge om, at de er kommet sig helt. </w:t>
      </w:r>
    </w:p>
    <w:p w:rsidR="007C6248" w:rsidRDefault="007C6248" w:rsidP="007C6248">
      <w:pPr>
        <w:pStyle w:val="Brdtekst"/>
        <w:ind w:left="851"/>
        <w:rPr>
          <w:rFonts w:asciiTheme="majorBidi" w:hAnsiTheme="majorBidi" w:cstheme="majorBidi"/>
          <w:lang w:val="da-DK"/>
        </w:rPr>
      </w:pPr>
    </w:p>
    <w:p w:rsidR="007C6248" w:rsidRDefault="007C6248" w:rsidP="007C6248">
      <w:pPr>
        <w:pStyle w:val="Brdtekst"/>
        <w:ind w:left="851"/>
        <w:rPr>
          <w:rFonts w:asciiTheme="majorBidi" w:hAnsiTheme="majorBidi" w:cstheme="majorBidi"/>
          <w:lang w:val="da-DK" w:eastAsia="en-GB"/>
        </w:rPr>
      </w:pPr>
      <w:r>
        <w:rPr>
          <w:rFonts w:asciiTheme="majorBidi" w:hAnsiTheme="majorBidi" w:cstheme="majorBidi"/>
          <w:lang w:val="da-DK" w:eastAsia="en-GB"/>
        </w:rPr>
        <w:t xml:space="preserve">Brug af </w:t>
      </w:r>
      <w:proofErr w:type="spellStart"/>
      <w:r>
        <w:rPr>
          <w:rFonts w:asciiTheme="majorBidi" w:hAnsiTheme="majorBidi" w:cstheme="majorBidi"/>
          <w:lang w:val="da-DK" w:eastAsia="en-GB"/>
        </w:rPr>
        <w:t>naphazolin</w:t>
      </w:r>
      <w:proofErr w:type="spellEnd"/>
      <w:r>
        <w:rPr>
          <w:rFonts w:asciiTheme="majorBidi" w:hAnsiTheme="majorBidi" w:cstheme="majorBidi"/>
          <w:lang w:val="da-DK" w:eastAsia="en-GB"/>
        </w:rPr>
        <w:t xml:space="preserve"> i øjet kan frigøre pigmentgranulater fra irissen, særligt hvis der gives en høj dosis til ældre patienter.</w:t>
      </w:r>
    </w:p>
    <w:p w:rsidR="007C6248" w:rsidRDefault="007C6248" w:rsidP="007C6248">
      <w:pPr>
        <w:pStyle w:val="Brdtekst"/>
        <w:ind w:left="851"/>
        <w:rPr>
          <w:rFonts w:asciiTheme="majorBidi" w:hAnsiTheme="majorBidi" w:cstheme="majorBidi"/>
          <w:lang w:val="da-DK"/>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Stop brugen før brug af anæstesimidler, som gør </w:t>
      </w:r>
      <w:proofErr w:type="spellStart"/>
      <w:r>
        <w:rPr>
          <w:rFonts w:asciiTheme="majorBidi" w:hAnsiTheme="majorBidi" w:cstheme="majorBidi"/>
          <w:lang w:val="da-DK"/>
        </w:rPr>
        <w:t>myokardiet</w:t>
      </w:r>
      <w:proofErr w:type="spellEnd"/>
      <w:r>
        <w:rPr>
          <w:rFonts w:asciiTheme="majorBidi" w:hAnsiTheme="majorBidi" w:cstheme="majorBidi"/>
          <w:lang w:val="da-DK"/>
        </w:rPr>
        <w:t xml:space="preserve"> følsomt over for </w:t>
      </w:r>
      <w:proofErr w:type="spellStart"/>
      <w:r>
        <w:rPr>
          <w:rFonts w:asciiTheme="majorBidi" w:hAnsiTheme="majorBidi" w:cstheme="majorBidi"/>
          <w:lang w:val="da-DK"/>
        </w:rPr>
        <w:t>sympatomimetika</w:t>
      </w:r>
      <w:proofErr w:type="spellEnd"/>
      <w:r>
        <w:rPr>
          <w:rFonts w:asciiTheme="majorBidi" w:hAnsiTheme="majorBidi" w:cstheme="majorBidi"/>
          <w:lang w:val="da-DK"/>
        </w:rPr>
        <w:t xml:space="preserve"> (f.eks. </w:t>
      </w:r>
      <w:proofErr w:type="spellStart"/>
      <w:r>
        <w:rPr>
          <w:rFonts w:asciiTheme="majorBidi" w:hAnsiTheme="majorBidi" w:cstheme="majorBidi"/>
          <w:lang w:val="da-DK"/>
        </w:rPr>
        <w:t>desfluran</w:t>
      </w:r>
      <w:proofErr w:type="spellEnd"/>
      <w:r>
        <w:rPr>
          <w:rFonts w:asciiTheme="majorBidi" w:hAnsiTheme="majorBidi" w:cstheme="majorBidi"/>
          <w:lang w:val="da-DK"/>
        </w:rPr>
        <w:t xml:space="preserve">, </w:t>
      </w:r>
      <w:proofErr w:type="spellStart"/>
      <w:r>
        <w:rPr>
          <w:rFonts w:asciiTheme="majorBidi" w:hAnsiTheme="majorBidi" w:cstheme="majorBidi"/>
          <w:lang w:val="da-DK"/>
        </w:rPr>
        <w:t>sevofluran</w:t>
      </w:r>
      <w:proofErr w:type="spellEnd"/>
      <w:r>
        <w:rPr>
          <w:rFonts w:asciiTheme="majorBidi" w:hAnsiTheme="majorBidi" w:cstheme="majorBidi"/>
          <w:lang w:val="da-DK"/>
        </w:rPr>
        <w:t>).</w:t>
      </w:r>
    </w:p>
    <w:p w:rsidR="007C6248" w:rsidRDefault="007C6248" w:rsidP="007C6248">
      <w:pPr>
        <w:pStyle w:val="Brdtekst"/>
        <w:ind w:left="851"/>
        <w:rPr>
          <w:rFonts w:asciiTheme="majorBidi" w:hAnsiTheme="majorBidi" w:cstheme="majorBidi"/>
          <w:lang w:val="da-DK"/>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Cleareyes bør ikke anvendes til børn under 12 år.</w:t>
      </w:r>
    </w:p>
    <w:p w:rsidR="001D2A28" w:rsidRPr="007E1B1D" w:rsidRDefault="001D2A28" w:rsidP="001D2A28">
      <w:pPr>
        <w:tabs>
          <w:tab w:val="left" w:pos="0"/>
        </w:tabs>
        <w:ind w:left="851"/>
        <w:rPr>
          <w:sz w:val="24"/>
          <w:szCs w:val="24"/>
          <w:lang w:eastAsia="en-GB"/>
        </w:rPr>
      </w:pPr>
    </w:p>
    <w:p w:rsidR="001D2A28" w:rsidRDefault="001D2A28" w:rsidP="001D2A28">
      <w:pPr>
        <w:tabs>
          <w:tab w:val="left" w:pos="0"/>
        </w:tabs>
        <w:ind w:left="851"/>
        <w:rPr>
          <w:sz w:val="24"/>
          <w:szCs w:val="24"/>
          <w:lang w:eastAsia="en-GB"/>
        </w:rPr>
      </w:pPr>
      <w:r w:rsidRPr="007E1B1D">
        <w:rPr>
          <w:sz w:val="24"/>
          <w:szCs w:val="24"/>
          <w:lang w:eastAsia="en-GB"/>
        </w:rPr>
        <w:t xml:space="preserve">Indeholder </w:t>
      </w:r>
      <w:proofErr w:type="spellStart"/>
      <w:r w:rsidRPr="007E1B1D">
        <w:rPr>
          <w:sz w:val="24"/>
          <w:szCs w:val="24"/>
          <w:lang w:eastAsia="en-GB"/>
        </w:rPr>
        <w:t>benzalkonium</w:t>
      </w:r>
      <w:r>
        <w:rPr>
          <w:sz w:val="24"/>
          <w:szCs w:val="24"/>
          <w:lang w:eastAsia="en-GB"/>
        </w:rPr>
        <w:t>ch</w:t>
      </w:r>
      <w:r w:rsidRPr="007E1B1D">
        <w:rPr>
          <w:sz w:val="24"/>
          <w:szCs w:val="24"/>
          <w:lang w:eastAsia="en-GB"/>
        </w:rPr>
        <w:t>lorid</w:t>
      </w:r>
      <w:proofErr w:type="spellEnd"/>
      <w:r w:rsidRPr="007E1B1D">
        <w:rPr>
          <w:sz w:val="24"/>
          <w:szCs w:val="24"/>
          <w:lang w:eastAsia="en-GB"/>
        </w:rPr>
        <w:t xml:space="preserve">, der kan medføre øjenirritation og </w:t>
      </w:r>
      <w:r w:rsidR="007C6248">
        <w:rPr>
          <w:rFonts w:asciiTheme="majorBidi" w:hAnsiTheme="majorBidi" w:cstheme="majorBidi"/>
        </w:rPr>
        <w:t xml:space="preserve">er kendt for </w:t>
      </w:r>
      <w:r w:rsidRPr="007E1B1D">
        <w:rPr>
          <w:sz w:val="24"/>
          <w:szCs w:val="24"/>
          <w:lang w:eastAsia="en-GB"/>
        </w:rPr>
        <w:t>at kunne misfarve bløde kontaktlinser. Undgå kontakt med bløde kontaktlinser; tag kontaktlinser ud før anvendelsen og vent mindst 15 minutter, før kontaktlinserne sættes i igen.</w:t>
      </w:r>
    </w:p>
    <w:p w:rsidR="007C6248" w:rsidRDefault="007C6248" w:rsidP="001D2A28">
      <w:pPr>
        <w:tabs>
          <w:tab w:val="left" w:pos="0"/>
        </w:tabs>
        <w:ind w:left="851"/>
        <w:rPr>
          <w:sz w:val="24"/>
          <w:szCs w:val="24"/>
          <w:lang w:eastAsia="en-GB"/>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Rapporteringer har vist, at </w:t>
      </w:r>
      <w:proofErr w:type="spellStart"/>
      <w:r>
        <w:rPr>
          <w:rFonts w:asciiTheme="majorBidi" w:hAnsiTheme="majorBidi" w:cstheme="majorBidi"/>
          <w:lang w:val="da-DK"/>
        </w:rPr>
        <w:t>benzalkoniumchlorid</w:t>
      </w:r>
      <w:proofErr w:type="spellEnd"/>
      <w:r>
        <w:rPr>
          <w:rFonts w:asciiTheme="majorBidi" w:hAnsiTheme="majorBidi" w:cstheme="majorBidi"/>
          <w:lang w:val="da-DK"/>
        </w:rPr>
        <w:t xml:space="preserve"> kan medføre øjenirritation, symptomer på tørre øjne og det kan påvirke tårefilmen og hornhindeoverfladen. Skal anvendes med forsigtighed hos patienter med tørre øjne og hos patienter, hvor hornhinden kan være kompromitteret.</w:t>
      </w:r>
    </w:p>
    <w:p w:rsidR="007C6248" w:rsidRDefault="007C6248" w:rsidP="007C6248">
      <w:pPr>
        <w:pStyle w:val="Brdtekst"/>
        <w:ind w:left="851"/>
        <w:rPr>
          <w:rFonts w:asciiTheme="majorBidi" w:hAnsiTheme="majorBidi" w:cstheme="majorBidi"/>
          <w:lang w:val="da-DK"/>
        </w:rPr>
      </w:pPr>
    </w:p>
    <w:p w:rsidR="007C6248" w:rsidRPr="00C84483" w:rsidRDefault="007C6248" w:rsidP="007C6248">
      <w:pPr>
        <w:tabs>
          <w:tab w:val="left" w:pos="0"/>
        </w:tabs>
        <w:ind w:left="851"/>
        <w:rPr>
          <w:sz w:val="24"/>
          <w:szCs w:val="24"/>
          <w:lang w:eastAsia="en-GB"/>
        </w:rPr>
      </w:pPr>
      <w:r>
        <w:rPr>
          <w:rFonts w:asciiTheme="majorBidi" w:hAnsiTheme="majorBidi" w:cstheme="majorBidi"/>
        </w:rPr>
        <w:t>Hvis opløsningen ændrer farve eller bliver uklar, må den ikke anvendes.</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C6248" w:rsidRDefault="007C6248" w:rsidP="007C6248">
      <w:pPr>
        <w:pStyle w:val="Brdtekst"/>
        <w:numPr>
          <w:ilvl w:val="0"/>
          <w:numId w:val="6"/>
        </w:numPr>
        <w:ind w:left="1418" w:hanging="567"/>
        <w:rPr>
          <w:rFonts w:asciiTheme="majorBidi" w:hAnsiTheme="majorBidi" w:cstheme="majorBidi"/>
          <w:lang w:val="da-DK"/>
        </w:rPr>
      </w:pPr>
      <w:r>
        <w:rPr>
          <w:rFonts w:asciiTheme="majorBidi" w:hAnsiTheme="majorBidi" w:cstheme="majorBidi"/>
          <w:lang w:val="da-DK"/>
        </w:rPr>
        <w:t xml:space="preserve">Cleareyes kan interagere med andre lokalt anvendte autonomiske medikamenter ved behandling af </w:t>
      </w:r>
      <w:proofErr w:type="spellStart"/>
      <w:r>
        <w:rPr>
          <w:rFonts w:asciiTheme="majorBidi" w:hAnsiTheme="majorBidi" w:cstheme="majorBidi"/>
          <w:lang w:val="da-DK"/>
        </w:rPr>
        <w:t>glaukom</w:t>
      </w:r>
      <w:proofErr w:type="spellEnd"/>
      <w:r>
        <w:rPr>
          <w:rFonts w:asciiTheme="majorBidi" w:hAnsiTheme="majorBidi" w:cstheme="majorBidi"/>
          <w:lang w:val="da-DK"/>
        </w:rPr>
        <w:t>.</w:t>
      </w:r>
    </w:p>
    <w:p w:rsidR="007C6248" w:rsidRDefault="007C6248" w:rsidP="007C6248">
      <w:pPr>
        <w:pStyle w:val="Brdtekst"/>
        <w:numPr>
          <w:ilvl w:val="0"/>
          <w:numId w:val="6"/>
        </w:numPr>
        <w:ind w:left="1418" w:hanging="567"/>
        <w:rPr>
          <w:rFonts w:asciiTheme="majorBidi" w:hAnsiTheme="majorBidi" w:cstheme="majorBidi"/>
          <w:lang w:val="da-DK"/>
        </w:rPr>
      </w:pPr>
      <w:r>
        <w:rPr>
          <w:rFonts w:asciiTheme="majorBidi" w:hAnsiTheme="majorBidi" w:cstheme="majorBidi"/>
          <w:lang w:val="da-DK"/>
        </w:rPr>
        <w:t>Cleareyes kan interagere med MAO-</w:t>
      </w:r>
      <w:proofErr w:type="spellStart"/>
      <w:r>
        <w:rPr>
          <w:rFonts w:asciiTheme="majorBidi" w:hAnsiTheme="majorBidi" w:cstheme="majorBidi"/>
          <w:lang w:val="da-DK"/>
        </w:rPr>
        <w:t>hæmmere</w:t>
      </w:r>
      <w:proofErr w:type="spellEnd"/>
      <w:r>
        <w:rPr>
          <w:rFonts w:asciiTheme="majorBidi" w:hAnsiTheme="majorBidi" w:cstheme="majorBidi"/>
          <w:lang w:val="da-DK"/>
        </w:rPr>
        <w:t xml:space="preserve"> og bør ikke anvendes af patienter, som modtager sådan en behandling, eller inden for 14 dage efter endt behandling. </w:t>
      </w:r>
    </w:p>
    <w:p w:rsidR="007C6248" w:rsidRDefault="007C6248" w:rsidP="007C6248">
      <w:pPr>
        <w:pStyle w:val="Brdtekst"/>
        <w:numPr>
          <w:ilvl w:val="0"/>
          <w:numId w:val="6"/>
        </w:numPr>
        <w:ind w:left="1418" w:hanging="567"/>
        <w:rPr>
          <w:rFonts w:asciiTheme="majorBidi" w:hAnsiTheme="majorBidi" w:cstheme="majorBidi"/>
          <w:lang w:val="da-DK"/>
        </w:rPr>
      </w:pPr>
      <w:r>
        <w:rPr>
          <w:rFonts w:asciiTheme="majorBidi" w:hAnsiTheme="majorBidi" w:cstheme="majorBidi"/>
          <w:lang w:val="da-DK"/>
        </w:rPr>
        <w:t xml:space="preserve">Cleareyes kan vende effekten af blodtrykssænkende medikamenter, som bruges til behandling af hypertension. Der kan være øget risiko for </w:t>
      </w:r>
      <w:proofErr w:type="spellStart"/>
      <w:r>
        <w:rPr>
          <w:rFonts w:asciiTheme="majorBidi" w:hAnsiTheme="majorBidi" w:cstheme="majorBidi"/>
          <w:lang w:val="da-DK"/>
        </w:rPr>
        <w:t>arytmi</w:t>
      </w:r>
      <w:proofErr w:type="spellEnd"/>
      <w:r>
        <w:rPr>
          <w:rFonts w:asciiTheme="majorBidi" w:hAnsiTheme="majorBidi" w:cstheme="majorBidi"/>
          <w:lang w:val="da-DK"/>
        </w:rPr>
        <w:t xml:space="preserve"> hos patienter, der får hjerteglykosider, </w:t>
      </w:r>
      <w:proofErr w:type="spellStart"/>
      <w:r>
        <w:rPr>
          <w:rFonts w:asciiTheme="majorBidi" w:hAnsiTheme="majorBidi" w:cstheme="majorBidi"/>
          <w:lang w:val="da-DK"/>
        </w:rPr>
        <w:t>kinidin</w:t>
      </w:r>
      <w:proofErr w:type="spellEnd"/>
      <w:r>
        <w:rPr>
          <w:rFonts w:asciiTheme="majorBidi" w:hAnsiTheme="majorBidi" w:cstheme="majorBidi"/>
          <w:lang w:val="da-DK"/>
        </w:rPr>
        <w:t xml:space="preserve"> eller tricykliske </w:t>
      </w:r>
      <w:proofErr w:type="spellStart"/>
      <w:r>
        <w:rPr>
          <w:rFonts w:asciiTheme="majorBidi" w:hAnsiTheme="majorBidi" w:cstheme="majorBidi"/>
          <w:lang w:val="da-DK"/>
        </w:rPr>
        <w:t>antidepressiva</w:t>
      </w:r>
      <w:proofErr w:type="spellEnd"/>
      <w:r>
        <w:rPr>
          <w:rFonts w:asciiTheme="majorBidi" w:hAnsiTheme="majorBidi" w:cstheme="majorBidi"/>
          <w:lang w:val="da-DK"/>
        </w:rPr>
        <w:t>.</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D2A28" w:rsidRPr="00B123A2" w:rsidRDefault="001D2A28" w:rsidP="00B123A2">
      <w:pPr>
        <w:ind w:left="851"/>
        <w:rPr>
          <w:sz w:val="24"/>
          <w:szCs w:val="24"/>
        </w:rPr>
      </w:pPr>
    </w:p>
    <w:p w:rsidR="001D2A28" w:rsidRPr="007E1B1D" w:rsidRDefault="001D2A28" w:rsidP="001D2A28">
      <w:pPr>
        <w:autoSpaceDE w:val="0"/>
        <w:autoSpaceDN w:val="0"/>
        <w:adjustRightInd w:val="0"/>
        <w:ind w:left="851"/>
        <w:rPr>
          <w:sz w:val="24"/>
          <w:szCs w:val="24"/>
          <w:u w:val="single"/>
        </w:rPr>
      </w:pPr>
      <w:r w:rsidRPr="007E1B1D">
        <w:rPr>
          <w:sz w:val="24"/>
          <w:szCs w:val="24"/>
          <w:u w:val="single"/>
        </w:rPr>
        <w:t>Graviditet</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Der er begrænsede data om gravide kvinders brug af </w:t>
      </w:r>
      <w:proofErr w:type="spellStart"/>
      <w:r>
        <w:rPr>
          <w:rFonts w:asciiTheme="majorBidi" w:hAnsiTheme="majorBidi" w:cstheme="majorBidi"/>
          <w:lang w:val="da-DK"/>
        </w:rPr>
        <w:t>naphazolin</w:t>
      </w:r>
      <w:proofErr w:type="spellEnd"/>
      <w:r>
        <w:rPr>
          <w:rFonts w:asciiTheme="majorBidi" w:hAnsiTheme="majorBidi" w:cstheme="majorBidi"/>
          <w:lang w:val="da-DK"/>
        </w:rPr>
        <w:t xml:space="preserve">. I et offentliggjort kohortestudie var 3061 kvinders brug af øjendråber indeholdende </w:t>
      </w:r>
      <w:proofErr w:type="spellStart"/>
      <w:r>
        <w:rPr>
          <w:rFonts w:asciiTheme="majorBidi" w:hAnsiTheme="majorBidi" w:cstheme="majorBidi"/>
          <w:lang w:val="da-DK"/>
        </w:rPr>
        <w:t>naphazolin</w:t>
      </w:r>
      <w:proofErr w:type="spellEnd"/>
      <w:r>
        <w:rPr>
          <w:rFonts w:asciiTheme="majorBidi" w:hAnsiTheme="majorBidi" w:cstheme="majorBidi"/>
          <w:lang w:val="da-DK"/>
        </w:rPr>
        <w:t xml:space="preserve"> og </w:t>
      </w:r>
      <w:proofErr w:type="spellStart"/>
      <w:r>
        <w:rPr>
          <w:rFonts w:asciiTheme="majorBidi" w:hAnsiTheme="majorBidi" w:cstheme="majorBidi"/>
          <w:lang w:val="da-DK"/>
        </w:rPr>
        <w:t>antazolin</w:t>
      </w:r>
      <w:proofErr w:type="spellEnd"/>
      <w:r>
        <w:rPr>
          <w:rFonts w:asciiTheme="majorBidi" w:hAnsiTheme="majorBidi" w:cstheme="majorBidi"/>
          <w:lang w:val="da-DK"/>
        </w:rPr>
        <w:t xml:space="preserve"> i løbet af graviditetens første trimester ikke forbundet med større medfødte misdannelser generelt eller med nogen specifik større misdannelse. Som en sikkerhedsforanstaltning bør brug af Cleareyes undgås under graviditet, medmindre det anbefales af en sundhedsfaglig person.</w:t>
      </w:r>
    </w:p>
    <w:p w:rsidR="001D2A28" w:rsidRPr="007E1B1D" w:rsidRDefault="001D2A28" w:rsidP="001D2A28">
      <w:pPr>
        <w:autoSpaceDE w:val="0"/>
        <w:autoSpaceDN w:val="0"/>
        <w:adjustRightInd w:val="0"/>
        <w:ind w:left="851"/>
        <w:rPr>
          <w:sz w:val="24"/>
          <w:szCs w:val="24"/>
          <w:lang w:eastAsia="fr-FR"/>
        </w:rPr>
      </w:pPr>
    </w:p>
    <w:p w:rsidR="001D2A28" w:rsidRPr="007E1B1D" w:rsidRDefault="001D2A28" w:rsidP="001D2A28">
      <w:pPr>
        <w:autoSpaceDE w:val="0"/>
        <w:autoSpaceDN w:val="0"/>
        <w:adjustRightInd w:val="0"/>
        <w:ind w:left="851"/>
        <w:rPr>
          <w:sz w:val="24"/>
          <w:szCs w:val="24"/>
          <w:u w:val="single"/>
        </w:rPr>
      </w:pPr>
      <w:r w:rsidRPr="007E1B1D">
        <w:rPr>
          <w:sz w:val="24"/>
          <w:szCs w:val="24"/>
          <w:u w:val="single"/>
        </w:rPr>
        <w:t>Amning</w:t>
      </w:r>
    </w:p>
    <w:p w:rsidR="007C6248" w:rsidRDefault="007C6248" w:rsidP="007C6248">
      <w:pPr>
        <w:adjustRightInd w:val="0"/>
        <w:ind w:left="851"/>
        <w:rPr>
          <w:rFonts w:asciiTheme="majorBidi" w:hAnsiTheme="majorBidi" w:cstheme="majorBidi"/>
          <w:sz w:val="24"/>
          <w:szCs w:val="24"/>
        </w:rPr>
      </w:pPr>
      <w:r>
        <w:rPr>
          <w:rFonts w:asciiTheme="majorBidi" w:hAnsiTheme="majorBidi" w:cstheme="majorBidi"/>
          <w:sz w:val="24"/>
          <w:szCs w:val="24"/>
        </w:rPr>
        <w:t xml:space="preserve">Det vides ikke, om </w:t>
      </w:r>
      <w:proofErr w:type="spellStart"/>
      <w:r>
        <w:rPr>
          <w:rFonts w:asciiTheme="majorBidi" w:hAnsiTheme="majorBidi" w:cstheme="majorBidi"/>
          <w:sz w:val="24"/>
          <w:szCs w:val="24"/>
        </w:rPr>
        <w:t>naphazolin</w:t>
      </w:r>
      <w:proofErr w:type="spellEnd"/>
      <w:r>
        <w:rPr>
          <w:rFonts w:asciiTheme="majorBidi" w:hAnsiTheme="majorBidi" w:cstheme="majorBidi"/>
          <w:sz w:val="24"/>
          <w:szCs w:val="24"/>
        </w:rPr>
        <w:t xml:space="preserve"> udskilles i modermælken, men en effekt på det ammede barn kan ikke udelukkes.</w:t>
      </w:r>
    </w:p>
    <w:p w:rsidR="007C6248" w:rsidRDefault="007C6248" w:rsidP="007C6248">
      <w:pPr>
        <w:adjustRightInd w:val="0"/>
        <w:ind w:left="851"/>
        <w:rPr>
          <w:rFonts w:asciiTheme="majorBidi" w:hAnsiTheme="majorBidi" w:cstheme="majorBidi"/>
          <w:sz w:val="24"/>
          <w:szCs w:val="24"/>
        </w:rPr>
      </w:pPr>
    </w:p>
    <w:p w:rsidR="007C6248" w:rsidRDefault="007C6248" w:rsidP="007C6248">
      <w:pPr>
        <w:pStyle w:val="Brdtekst"/>
        <w:ind w:left="851"/>
        <w:rPr>
          <w:rFonts w:asciiTheme="majorBidi" w:hAnsiTheme="majorBidi" w:cstheme="majorBidi"/>
          <w:u w:val="single"/>
          <w:lang w:val="da-DK"/>
        </w:rPr>
      </w:pPr>
      <w:r>
        <w:rPr>
          <w:rFonts w:asciiTheme="majorBidi" w:hAnsiTheme="majorBidi" w:cstheme="majorBidi"/>
          <w:u w:val="single"/>
          <w:lang w:val="da-DK"/>
        </w:rPr>
        <w:t>Fertilitet</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Ingen kendte effekter.</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D2A28" w:rsidRDefault="001D2A28" w:rsidP="001D2A28">
      <w:pPr>
        <w:ind w:left="851"/>
        <w:rPr>
          <w:color w:val="222222"/>
          <w:sz w:val="24"/>
          <w:szCs w:val="24"/>
          <w:lang w:eastAsia="en-GB"/>
        </w:rPr>
      </w:pPr>
      <w:r>
        <w:rPr>
          <w:color w:val="222222"/>
          <w:sz w:val="24"/>
          <w:szCs w:val="24"/>
          <w:lang w:eastAsia="en-GB"/>
        </w:rPr>
        <w:t>Ikke mærkning.</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Du må ikke føre motorkøretøj eller betjene maskiner, hvis dit syn er sløret. </w:t>
      </w:r>
      <w:proofErr w:type="spellStart"/>
      <w:r>
        <w:rPr>
          <w:rFonts w:asciiTheme="majorBidi" w:hAnsiTheme="majorBidi" w:cstheme="majorBidi"/>
          <w:lang w:val="da-DK"/>
        </w:rPr>
        <w:t>Naphazolin</w:t>
      </w:r>
      <w:proofErr w:type="spellEnd"/>
      <w:r>
        <w:rPr>
          <w:rFonts w:asciiTheme="majorBidi" w:hAnsiTheme="majorBidi" w:cstheme="majorBidi"/>
          <w:lang w:val="da-DK"/>
        </w:rPr>
        <w:t xml:space="preserve"> påvirker ikke eller kun i ubetydelig grad evnen til at føre motorkøretøj og betjene maskiner.</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4.8</w:t>
      </w:r>
      <w:r w:rsidRPr="00C84483">
        <w:rPr>
          <w:b/>
          <w:sz w:val="24"/>
          <w:szCs w:val="24"/>
        </w:rPr>
        <w:tab/>
        <w:t>Bivirkninger</w:t>
      </w:r>
    </w:p>
    <w:p w:rsidR="00544D3E"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Bivirkninger, som er blevet associeret med </w:t>
      </w:r>
      <w:proofErr w:type="spellStart"/>
      <w:r>
        <w:rPr>
          <w:rFonts w:asciiTheme="majorBidi" w:hAnsiTheme="majorBidi" w:cstheme="majorBidi"/>
          <w:lang w:val="da-DK"/>
        </w:rPr>
        <w:t>naphazolinhydrochlorid</w:t>
      </w:r>
      <w:proofErr w:type="spellEnd"/>
      <w:r>
        <w:rPr>
          <w:rFonts w:asciiTheme="majorBidi" w:hAnsiTheme="majorBidi" w:cstheme="majorBidi"/>
          <w:lang w:val="da-DK"/>
        </w:rPr>
        <w:t xml:space="preserve">, er angivet nedenfor og opstillet efter organklasse og hyppighed. Frekvenserne er defineret som: </w:t>
      </w:r>
      <w:r w:rsidR="00544D3E">
        <w:rPr>
          <w:rFonts w:asciiTheme="majorBidi" w:hAnsiTheme="majorBidi" w:cstheme="majorBidi"/>
          <w:lang w:val="da-DK"/>
        </w:rPr>
        <w:t>M</w:t>
      </w:r>
      <w:r>
        <w:rPr>
          <w:rFonts w:asciiTheme="majorBidi" w:hAnsiTheme="majorBidi" w:cstheme="majorBidi"/>
          <w:lang w:val="da-DK"/>
        </w:rPr>
        <w:t>eget almindelig (≥1/10); almindelig (≥1/100 t</w:t>
      </w:r>
      <w:r w:rsidR="00544D3E">
        <w:rPr>
          <w:rFonts w:asciiTheme="majorBidi" w:hAnsiTheme="majorBidi" w:cstheme="majorBidi"/>
          <w:lang w:val="da-DK"/>
        </w:rPr>
        <w:t>il</w:t>
      </w:r>
      <w:r>
        <w:rPr>
          <w:rFonts w:asciiTheme="majorBidi" w:hAnsiTheme="majorBidi" w:cstheme="majorBidi"/>
          <w:lang w:val="da-DK"/>
        </w:rPr>
        <w:t xml:space="preserve"> &lt;1/10); ikke almindelig (≥1/1000 </w:t>
      </w:r>
      <w:r>
        <w:rPr>
          <w:sz w:val="22"/>
          <w:szCs w:val="22"/>
          <w:lang w:val="da-DK"/>
        </w:rPr>
        <w:t xml:space="preserve">til </w:t>
      </w:r>
      <w:r>
        <w:rPr>
          <w:rFonts w:asciiTheme="majorBidi" w:hAnsiTheme="majorBidi" w:cstheme="majorBidi"/>
          <w:lang w:val="da-DK"/>
        </w:rPr>
        <w:t xml:space="preserve">&lt;1/100); sjælden (≥1/10,000 </w:t>
      </w:r>
      <w:r>
        <w:rPr>
          <w:sz w:val="22"/>
          <w:szCs w:val="22"/>
          <w:lang w:val="da-DK"/>
        </w:rPr>
        <w:t xml:space="preserve">til </w:t>
      </w:r>
      <w:r>
        <w:rPr>
          <w:rFonts w:asciiTheme="majorBidi" w:hAnsiTheme="majorBidi" w:cstheme="majorBidi"/>
          <w:lang w:val="da-DK"/>
        </w:rPr>
        <w:t xml:space="preserve">&lt;1/1000); meget sjælden (&lt; 1/10,000); ikke kendt (kan ikke estimeres ud fra forhåndenværende data). </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Inden for hver frekvensgruppe præsenteres bivirkninger med højeste alvorlighedsgrad først. Kun lejlighedsvis er der rapporteret om forbigående øjenirritation (herunder svien og kløen), forbigående, sløret syn og </w:t>
      </w:r>
      <w:proofErr w:type="spellStart"/>
      <w:r>
        <w:rPr>
          <w:rFonts w:asciiTheme="majorBidi" w:hAnsiTheme="majorBidi" w:cstheme="majorBidi"/>
          <w:lang w:val="da-DK"/>
        </w:rPr>
        <w:t>mydriasis</w:t>
      </w:r>
      <w:proofErr w:type="spellEnd"/>
      <w:r>
        <w:rPr>
          <w:rFonts w:asciiTheme="majorBidi" w:hAnsiTheme="majorBidi" w:cstheme="majorBidi"/>
          <w:lang w:val="da-DK"/>
        </w:rPr>
        <w:t xml:space="preserve"> (pupiludvidelse).</w:t>
      </w:r>
    </w:p>
    <w:p w:rsidR="007C6248" w:rsidRDefault="007C6248" w:rsidP="007C6248">
      <w:pPr>
        <w:pStyle w:val="Brdtekst"/>
        <w:ind w:left="851"/>
        <w:rPr>
          <w:rFonts w:asciiTheme="majorBidi" w:hAnsiTheme="majorBidi" w:cstheme="majorBidi"/>
          <w:lang w:val="da-DK"/>
        </w:rPr>
      </w:pPr>
    </w:p>
    <w:tbl>
      <w:tblPr>
        <w:tblStyle w:val="Tabel-Gitter"/>
        <w:tblW w:w="0" w:type="auto"/>
        <w:tblInd w:w="833" w:type="dxa"/>
        <w:tblLook w:val="04A0" w:firstRow="1" w:lastRow="0" w:firstColumn="1" w:lastColumn="0" w:noHBand="0" w:noVBand="1"/>
      </w:tblPr>
      <w:tblGrid>
        <w:gridCol w:w="2798"/>
        <w:gridCol w:w="1609"/>
        <w:gridCol w:w="4039"/>
      </w:tblGrid>
      <w:tr w:rsidR="007C6248" w:rsidTr="007C6248">
        <w:tc>
          <w:tcPr>
            <w:tcW w:w="2798"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b/>
                <w:bCs/>
                <w:lang w:val="da-DK"/>
              </w:rPr>
            </w:pPr>
            <w:r>
              <w:rPr>
                <w:rFonts w:asciiTheme="majorBidi" w:hAnsiTheme="majorBidi" w:cstheme="majorBidi"/>
                <w:b/>
                <w:lang w:val="da-DK"/>
              </w:rPr>
              <w:t>Systemorganklasse</w:t>
            </w:r>
          </w:p>
        </w:tc>
        <w:tc>
          <w:tcPr>
            <w:tcW w:w="160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b/>
                <w:bCs/>
                <w:lang w:val="da-DK"/>
              </w:rPr>
            </w:pPr>
            <w:r>
              <w:rPr>
                <w:rFonts w:asciiTheme="majorBidi" w:hAnsiTheme="majorBidi" w:cstheme="majorBidi"/>
                <w:b/>
                <w:lang w:val="da-DK"/>
              </w:rPr>
              <w:t>Frekvens</w:t>
            </w:r>
          </w:p>
        </w:tc>
        <w:tc>
          <w:tcPr>
            <w:tcW w:w="403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b/>
                <w:bCs/>
                <w:lang w:val="da-DK"/>
              </w:rPr>
            </w:pPr>
            <w:r>
              <w:rPr>
                <w:rFonts w:asciiTheme="majorBidi" w:hAnsiTheme="majorBidi" w:cstheme="majorBidi"/>
                <w:b/>
                <w:lang w:val="da-DK"/>
              </w:rPr>
              <w:t>Bivirkninger</w:t>
            </w:r>
          </w:p>
        </w:tc>
      </w:tr>
      <w:tr w:rsidR="007C6248" w:rsidTr="007C6248">
        <w:tc>
          <w:tcPr>
            <w:tcW w:w="2798"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Immunsystemet</w:t>
            </w:r>
          </w:p>
        </w:tc>
        <w:tc>
          <w:tcPr>
            <w:tcW w:w="160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Ikke kendt</w:t>
            </w:r>
          </w:p>
        </w:tc>
        <w:tc>
          <w:tcPr>
            <w:tcW w:w="403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Hypersensitivitet</w:t>
            </w:r>
          </w:p>
        </w:tc>
      </w:tr>
      <w:tr w:rsidR="007C6248" w:rsidTr="007C6248">
        <w:tc>
          <w:tcPr>
            <w:tcW w:w="2798"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bCs/>
                <w:lang w:val="da-DK"/>
              </w:rPr>
              <w:t>Nervesystemet</w:t>
            </w:r>
          </w:p>
        </w:tc>
        <w:tc>
          <w:tcPr>
            <w:tcW w:w="160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Ikke kendt</w:t>
            </w:r>
          </w:p>
        </w:tc>
        <w:tc>
          <w:tcPr>
            <w:tcW w:w="403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Hovedpine, træthed</w:t>
            </w:r>
          </w:p>
        </w:tc>
      </w:tr>
      <w:tr w:rsidR="007C6248" w:rsidTr="007C6248">
        <w:tc>
          <w:tcPr>
            <w:tcW w:w="2798"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Øjne</w:t>
            </w:r>
          </w:p>
        </w:tc>
        <w:tc>
          <w:tcPr>
            <w:tcW w:w="160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Ikke kendt</w:t>
            </w:r>
          </w:p>
        </w:tc>
        <w:tc>
          <w:tcPr>
            <w:tcW w:w="403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rPr>
                <w:rFonts w:asciiTheme="majorBidi" w:hAnsiTheme="majorBidi" w:cstheme="majorBidi"/>
                <w:vertAlign w:val="superscript"/>
                <w:lang w:val="da-DK"/>
              </w:rPr>
            </w:pPr>
            <w:r>
              <w:rPr>
                <w:rFonts w:asciiTheme="majorBidi" w:hAnsiTheme="majorBidi" w:cstheme="majorBidi"/>
                <w:lang w:val="da-DK"/>
              </w:rPr>
              <w:t>Sløret syn</w:t>
            </w:r>
            <w:r w:rsidR="00B123A2">
              <w:rPr>
                <w:rFonts w:asciiTheme="majorBidi" w:hAnsiTheme="majorBidi" w:cstheme="majorBidi"/>
                <w:lang w:val="da-DK"/>
              </w:rPr>
              <w:t>,</w:t>
            </w:r>
            <w:r>
              <w:rPr>
                <w:rFonts w:asciiTheme="majorBidi" w:hAnsiTheme="majorBidi" w:cstheme="majorBidi"/>
                <w:lang w:val="da-DK"/>
              </w:rPr>
              <w:t xml:space="preserve"> </w:t>
            </w:r>
            <w:proofErr w:type="spellStart"/>
            <w:r>
              <w:rPr>
                <w:rFonts w:asciiTheme="majorBidi" w:hAnsiTheme="majorBidi" w:cstheme="majorBidi"/>
                <w:lang w:val="da-DK"/>
              </w:rPr>
              <w:t>mydriasis</w:t>
            </w:r>
            <w:proofErr w:type="spellEnd"/>
            <w:r>
              <w:rPr>
                <w:rFonts w:asciiTheme="majorBidi" w:hAnsiTheme="majorBidi" w:cstheme="majorBidi"/>
                <w:lang w:val="da-DK"/>
              </w:rPr>
              <w:t xml:space="preserve">, øjenirritation, øjensmerte, </w:t>
            </w:r>
            <w:proofErr w:type="spellStart"/>
            <w:r>
              <w:rPr>
                <w:rFonts w:asciiTheme="majorBidi" w:hAnsiTheme="majorBidi" w:cstheme="majorBidi"/>
                <w:lang w:val="da-DK"/>
              </w:rPr>
              <w:t>okulær</w:t>
            </w:r>
            <w:proofErr w:type="spellEnd"/>
            <w:r>
              <w:rPr>
                <w:rFonts w:asciiTheme="majorBidi" w:hAnsiTheme="majorBidi" w:cstheme="majorBidi"/>
                <w:lang w:val="da-DK"/>
              </w:rPr>
              <w:t xml:space="preserve"> hyperæmi</w:t>
            </w:r>
            <w:r>
              <w:rPr>
                <w:rFonts w:asciiTheme="majorBidi" w:hAnsiTheme="majorBidi" w:cstheme="majorBidi"/>
                <w:vertAlign w:val="superscript"/>
                <w:lang w:val="da-DK"/>
              </w:rPr>
              <w:t>1</w:t>
            </w:r>
          </w:p>
        </w:tc>
      </w:tr>
      <w:tr w:rsidR="007C6248" w:rsidTr="007C6248">
        <w:tc>
          <w:tcPr>
            <w:tcW w:w="2798"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Mave-tarm-kanalen</w:t>
            </w:r>
          </w:p>
        </w:tc>
        <w:tc>
          <w:tcPr>
            <w:tcW w:w="160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Ikke kendt</w:t>
            </w:r>
          </w:p>
        </w:tc>
        <w:tc>
          <w:tcPr>
            <w:tcW w:w="4039" w:type="dxa"/>
            <w:tcBorders>
              <w:top w:val="single" w:sz="4" w:space="0" w:color="auto"/>
              <w:left w:val="single" w:sz="4" w:space="0" w:color="auto"/>
              <w:bottom w:val="single" w:sz="4" w:space="0" w:color="auto"/>
              <w:right w:val="single" w:sz="4" w:space="0" w:color="auto"/>
            </w:tcBorders>
            <w:hideMark/>
          </w:tcPr>
          <w:p w:rsidR="007C6248" w:rsidRDefault="007C6248">
            <w:pPr>
              <w:pStyle w:val="Brdtekst"/>
              <w:ind w:left="851" w:hanging="851"/>
              <w:rPr>
                <w:rFonts w:asciiTheme="majorBidi" w:hAnsiTheme="majorBidi" w:cstheme="majorBidi"/>
                <w:lang w:val="da-DK"/>
              </w:rPr>
            </w:pPr>
            <w:r>
              <w:rPr>
                <w:rFonts w:asciiTheme="majorBidi" w:hAnsiTheme="majorBidi" w:cstheme="majorBidi"/>
                <w:lang w:val="da-DK"/>
              </w:rPr>
              <w:t>Kvalme</w:t>
            </w:r>
          </w:p>
        </w:tc>
      </w:tr>
    </w:tbl>
    <w:p w:rsidR="007C6248" w:rsidRDefault="007C6248" w:rsidP="007C6248">
      <w:pPr>
        <w:pStyle w:val="Brdtekst"/>
        <w:ind w:left="851" w:hanging="851"/>
        <w:rPr>
          <w:rFonts w:asciiTheme="majorBidi" w:hAnsiTheme="majorBidi" w:cstheme="majorBidi"/>
          <w:u w:val="single"/>
          <w:lang w:val="da-DK"/>
        </w:rPr>
      </w:pPr>
    </w:p>
    <w:p w:rsidR="007C6248" w:rsidRDefault="007C6248" w:rsidP="007C6248">
      <w:pPr>
        <w:pStyle w:val="Brdtekst"/>
        <w:ind w:left="851"/>
        <w:rPr>
          <w:rFonts w:asciiTheme="majorBidi" w:hAnsiTheme="majorBidi" w:cstheme="majorBidi"/>
          <w:b/>
          <w:bCs/>
          <w:lang w:val="da-DK"/>
        </w:rPr>
      </w:pPr>
      <w:r>
        <w:rPr>
          <w:rFonts w:asciiTheme="majorBidi" w:hAnsiTheme="majorBidi" w:cstheme="majorBidi"/>
          <w:b/>
          <w:lang w:val="da-DK"/>
        </w:rPr>
        <w:t>Beskrivelse af bivirkninger</w:t>
      </w:r>
    </w:p>
    <w:p w:rsidR="007C6248" w:rsidRDefault="007C6248" w:rsidP="007C6248">
      <w:pPr>
        <w:pStyle w:val="Brdtekst"/>
        <w:ind w:left="851"/>
        <w:rPr>
          <w:rFonts w:asciiTheme="majorBidi" w:hAnsiTheme="majorBidi" w:cstheme="majorBidi"/>
          <w:lang w:val="da-DK"/>
        </w:rPr>
      </w:pPr>
      <w:r>
        <w:rPr>
          <w:rFonts w:asciiTheme="majorBidi" w:hAnsiTheme="majorBidi" w:cstheme="majorBidi"/>
          <w:vertAlign w:val="superscript"/>
          <w:lang w:val="da-DK"/>
        </w:rPr>
        <w:t>1</w:t>
      </w:r>
      <w:r>
        <w:rPr>
          <w:rFonts w:asciiTheme="majorBidi" w:hAnsiTheme="majorBidi" w:cstheme="majorBidi"/>
          <w:lang w:val="da-DK"/>
        </w:rPr>
        <w:t xml:space="preserve">Efter længerevarende brug kan </w:t>
      </w:r>
      <w:proofErr w:type="spellStart"/>
      <w:r>
        <w:rPr>
          <w:rFonts w:asciiTheme="majorBidi" w:hAnsiTheme="majorBidi" w:cstheme="majorBidi"/>
          <w:lang w:val="da-DK"/>
        </w:rPr>
        <w:t>hyperæmi</w:t>
      </w:r>
      <w:proofErr w:type="spellEnd"/>
      <w:r>
        <w:rPr>
          <w:rFonts w:asciiTheme="majorBidi" w:hAnsiTheme="majorBidi" w:cstheme="majorBidi"/>
          <w:lang w:val="da-DK"/>
        </w:rPr>
        <w:t xml:space="preserve"> vende tilbage.</w:t>
      </w:r>
    </w:p>
    <w:p w:rsidR="007C6248" w:rsidRDefault="007C6248" w:rsidP="007C6248">
      <w:pPr>
        <w:pStyle w:val="Brdtekst"/>
        <w:ind w:left="851"/>
        <w:rPr>
          <w:rFonts w:asciiTheme="majorBidi" w:hAnsiTheme="majorBidi" w:cstheme="majorBidi"/>
          <w:lang w:val="da-DK"/>
        </w:rPr>
      </w:pPr>
    </w:p>
    <w:p w:rsidR="001D2A28" w:rsidRDefault="001D2A28" w:rsidP="001D2A28">
      <w:pPr>
        <w:autoSpaceDE w:val="0"/>
        <w:autoSpaceDN w:val="0"/>
        <w:ind w:left="851"/>
        <w:rPr>
          <w:sz w:val="24"/>
          <w:szCs w:val="24"/>
          <w:u w:val="single"/>
        </w:rPr>
      </w:pPr>
      <w:r>
        <w:rPr>
          <w:sz w:val="24"/>
          <w:szCs w:val="24"/>
          <w:u w:val="single"/>
        </w:rPr>
        <w:t>Indberetning af formodede bivirkninger</w:t>
      </w:r>
    </w:p>
    <w:p w:rsidR="001D2A28" w:rsidRDefault="001D2A28" w:rsidP="001D2A2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7C6248">
        <w:rPr>
          <w:sz w:val="24"/>
          <w:szCs w:val="24"/>
        </w:rPr>
        <w:t>S</w:t>
      </w:r>
      <w:r>
        <w:rPr>
          <w:sz w:val="24"/>
          <w:szCs w:val="24"/>
        </w:rPr>
        <w:t>undhedsperson</w:t>
      </w:r>
      <w:r w:rsidR="007C6248">
        <w:rPr>
          <w:sz w:val="24"/>
          <w:szCs w:val="24"/>
        </w:rPr>
        <w:t>er</w:t>
      </w:r>
      <w:r>
        <w:rPr>
          <w:sz w:val="24"/>
          <w:szCs w:val="24"/>
        </w:rPr>
        <w:t xml:space="preserve"> anmodes om at indberette alle formodede bivirkninger via:</w:t>
      </w:r>
    </w:p>
    <w:p w:rsidR="001D2A28" w:rsidRDefault="001D2A28" w:rsidP="001D2A28">
      <w:pPr>
        <w:ind w:left="851"/>
        <w:rPr>
          <w:sz w:val="24"/>
          <w:szCs w:val="24"/>
        </w:rPr>
      </w:pPr>
    </w:p>
    <w:p w:rsidR="001D2A28" w:rsidRDefault="001D2A28" w:rsidP="001D2A28">
      <w:pPr>
        <w:ind w:left="851"/>
        <w:rPr>
          <w:sz w:val="24"/>
          <w:szCs w:val="24"/>
        </w:rPr>
      </w:pPr>
      <w:r>
        <w:rPr>
          <w:sz w:val="24"/>
          <w:szCs w:val="24"/>
        </w:rPr>
        <w:t>Lægemiddelstyrelsen</w:t>
      </w:r>
    </w:p>
    <w:p w:rsidR="001D2A28" w:rsidRDefault="001D2A28" w:rsidP="001D2A28">
      <w:pPr>
        <w:ind w:left="851"/>
        <w:rPr>
          <w:sz w:val="24"/>
          <w:szCs w:val="24"/>
        </w:rPr>
      </w:pPr>
      <w:r>
        <w:rPr>
          <w:sz w:val="24"/>
          <w:szCs w:val="24"/>
        </w:rPr>
        <w:t>Axel Heides Gade 1</w:t>
      </w:r>
    </w:p>
    <w:p w:rsidR="001D2A28" w:rsidRDefault="001D2A28" w:rsidP="001D2A28">
      <w:pPr>
        <w:ind w:left="851"/>
        <w:rPr>
          <w:sz w:val="24"/>
          <w:szCs w:val="24"/>
        </w:rPr>
      </w:pPr>
      <w:r>
        <w:rPr>
          <w:sz w:val="24"/>
          <w:szCs w:val="24"/>
        </w:rPr>
        <w:t>DK-2300 København S</w:t>
      </w:r>
    </w:p>
    <w:p w:rsidR="001D2A28" w:rsidRPr="002369C6" w:rsidRDefault="001D2A28" w:rsidP="00254C25">
      <w:pPr>
        <w:ind w:left="851"/>
        <w:rPr>
          <w:sz w:val="24"/>
          <w:szCs w:val="24"/>
        </w:rPr>
      </w:pPr>
      <w:r w:rsidRPr="002369C6">
        <w:rPr>
          <w:sz w:val="24"/>
          <w:szCs w:val="24"/>
        </w:rPr>
        <w:t xml:space="preserve">Websted: </w:t>
      </w:r>
      <w:hyperlink r:id="rId8" w:history="1">
        <w:r w:rsidRPr="002369C6">
          <w:rPr>
            <w:rStyle w:val="Hyperlink"/>
            <w:sz w:val="24"/>
          </w:rPr>
          <w:t>www.meldenbivirkning.dk</w:t>
        </w:r>
      </w:hyperlink>
    </w:p>
    <w:p w:rsidR="001D2A28" w:rsidRPr="002369C6" w:rsidRDefault="001D2A28" w:rsidP="001D2A28">
      <w:pPr>
        <w:pStyle w:val="Sidehoved"/>
        <w:tabs>
          <w:tab w:val="left" w:pos="851"/>
        </w:tabs>
        <w:rPr>
          <w:szCs w:val="24"/>
        </w:rPr>
      </w:pPr>
    </w:p>
    <w:p w:rsidR="001F54CF" w:rsidRPr="00C84483" w:rsidRDefault="001F54CF" w:rsidP="001F54CF">
      <w:pPr>
        <w:tabs>
          <w:tab w:val="left" w:pos="851"/>
        </w:tabs>
        <w:ind w:left="851" w:hanging="851"/>
        <w:rPr>
          <w:b/>
          <w:sz w:val="24"/>
          <w:szCs w:val="24"/>
        </w:rPr>
      </w:pPr>
      <w:r w:rsidRPr="00C84483">
        <w:rPr>
          <w:b/>
          <w:sz w:val="24"/>
          <w:szCs w:val="24"/>
        </w:rPr>
        <w:t>4.9</w:t>
      </w:r>
      <w:r w:rsidRPr="00C84483">
        <w:rPr>
          <w:b/>
          <w:sz w:val="24"/>
          <w:szCs w:val="24"/>
        </w:rPr>
        <w:tab/>
        <w:t>Overdosering</w:t>
      </w:r>
    </w:p>
    <w:p w:rsidR="00B123A2" w:rsidRPr="00B123A2" w:rsidRDefault="00B123A2" w:rsidP="007C6248">
      <w:pPr>
        <w:pStyle w:val="Brdtekst"/>
        <w:ind w:left="851"/>
        <w:rPr>
          <w:rFonts w:asciiTheme="majorBidi" w:hAnsiTheme="majorBidi" w:cstheme="majorBidi"/>
          <w:u w:val="single"/>
          <w:lang w:val="da-DK"/>
        </w:rPr>
      </w:pPr>
    </w:p>
    <w:p w:rsidR="007C6248" w:rsidRPr="00B123A2" w:rsidRDefault="007C6248" w:rsidP="007C6248">
      <w:pPr>
        <w:pStyle w:val="Brdtekst"/>
        <w:ind w:left="851"/>
        <w:rPr>
          <w:rFonts w:asciiTheme="majorBidi" w:hAnsiTheme="majorBidi" w:cstheme="majorBidi"/>
          <w:u w:val="single"/>
          <w:lang w:val="da-DK"/>
        </w:rPr>
      </w:pPr>
      <w:r w:rsidRPr="00B123A2">
        <w:rPr>
          <w:rFonts w:asciiTheme="majorBidi" w:hAnsiTheme="majorBidi" w:cstheme="majorBidi"/>
          <w:u w:val="single"/>
          <w:lang w:val="da-DK"/>
        </w:rPr>
        <w:t>Symptomer</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Overdosering eller administration gennem munden ved et uheld kan medføre hæmning af centralnervesystemet, </w:t>
      </w:r>
      <w:r>
        <w:rPr>
          <w:rFonts w:asciiTheme="majorBidi" w:hAnsiTheme="majorBidi" w:cstheme="majorBidi"/>
          <w:color w:val="212121"/>
          <w:lang w:val="da-DK"/>
        </w:rPr>
        <w:t>hovedpine, kvalme,</w:t>
      </w:r>
      <w:r>
        <w:rPr>
          <w:rFonts w:asciiTheme="majorBidi" w:hAnsiTheme="majorBidi" w:cstheme="majorBidi"/>
          <w:lang w:val="da-DK"/>
        </w:rPr>
        <w:t xml:space="preserve"> reduktion af kropstemperaturen, bradykardi, svedafsondring, sløvhed og koma, især hos børn. Hypertension kan blive efterfulgt af </w:t>
      </w:r>
      <w:proofErr w:type="spellStart"/>
      <w:r>
        <w:rPr>
          <w:rFonts w:asciiTheme="majorBidi" w:hAnsiTheme="majorBidi" w:cstheme="majorBidi"/>
          <w:lang w:val="da-DK"/>
        </w:rPr>
        <w:t>rebound</w:t>
      </w:r>
      <w:proofErr w:type="spellEnd"/>
      <w:r>
        <w:rPr>
          <w:rFonts w:asciiTheme="majorBidi" w:hAnsiTheme="majorBidi" w:cstheme="majorBidi"/>
          <w:lang w:val="da-DK"/>
        </w:rPr>
        <w:t xml:space="preserve"> hypotension.</w:t>
      </w:r>
    </w:p>
    <w:p w:rsidR="007C6248" w:rsidRPr="00B123A2" w:rsidRDefault="007C6248" w:rsidP="007C6248">
      <w:pPr>
        <w:pStyle w:val="Brdtekst"/>
        <w:ind w:left="851"/>
        <w:rPr>
          <w:rFonts w:asciiTheme="majorBidi" w:hAnsiTheme="majorBidi" w:cstheme="majorBidi"/>
          <w:bCs/>
          <w:lang w:val="da-DK"/>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Hvis det påføres øjet i for store mængder, kan det give irritation og svie. Overdreven eller langvarig brug af dette produkt kan give allergisk bindehindebetændelse, allergisk </w:t>
      </w:r>
      <w:proofErr w:type="spellStart"/>
      <w:r>
        <w:rPr>
          <w:rFonts w:asciiTheme="majorBidi" w:hAnsiTheme="majorBidi" w:cstheme="majorBidi"/>
          <w:lang w:val="da-DK"/>
        </w:rPr>
        <w:t>blepharitis</w:t>
      </w:r>
      <w:proofErr w:type="spellEnd"/>
      <w:r>
        <w:rPr>
          <w:rFonts w:asciiTheme="majorBidi" w:hAnsiTheme="majorBidi" w:cstheme="majorBidi"/>
          <w:lang w:val="da-DK"/>
        </w:rPr>
        <w:t xml:space="preserve"> eller tilbagevendende </w:t>
      </w:r>
      <w:proofErr w:type="spellStart"/>
      <w:r>
        <w:rPr>
          <w:rFonts w:asciiTheme="majorBidi" w:hAnsiTheme="majorBidi" w:cstheme="majorBidi"/>
          <w:lang w:val="da-DK"/>
        </w:rPr>
        <w:t>conjunctival</w:t>
      </w:r>
      <w:proofErr w:type="spellEnd"/>
      <w:r>
        <w:rPr>
          <w:rFonts w:asciiTheme="majorBidi" w:hAnsiTheme="majorBidi" w:cstheme="majorBidi"/>
          <w:lang w:val="da-DK"/>
        </w:rPr>
        <w:t xml:space="preserve"> </w:t>
      </w:r>
      <w:proofErr w:type="spellStart"/>
      <w:r>
        <w:rPr>
          <w:rFonts w:asciiTheme="majorBidi" w:hAnsiTheme="majorBidi" w:cstheme="majorBidi"/>
          <w:lang w:val="da-DK"/>
        </w:rPr>
        <w:t>hyperæmi</w:t>
      </w:r>
      <w:proofErr w:type="spellEnd"/>
      <w:r>
        <w:rPr>
          <w:rFonts w:asciiTheme="majorBidi" w:hAnsiTheme="majorBidi" w:cstheme="majorBidi"/>
          <w:lang w:val="da-DK"/>
        </w:rPr>
        <w:t xml:space="preserve">. Længerevarende brug kan også medføre </w:t>
      </w:r>
      <w:proofErr w:type="spellStart"/>
      <w:r>
        <w:rPr>
          <w:rFonts w:asciiTheme="majorBidi" w:hAnsiTheme="majorBidi" w:cstheme="majorBidi"/>
          <w:lang w:val="da-DK"/>
        </w:rPr>
        <w:t>epithelial</w:t>
      </w:r>
      <w:proofErr w:type="spellEnd"/>
      <w:r>
        <w:rPr>
          <w:rFonts w:asciiTheme="majorBidi" w:hAnsiTheme="majorBidi" w:cstheme="majorBidi"/>
          <w:lang w:val="da-DK"/>
        </w:rPr>
        <w:t xml:space="preserve"> </w:t>
      </w:r>
      <w:proofErr w:type="spellStart"/>
      <w:r>
        <w:rPr>
          <w:rFonts w:asciiTheme="majorBidi" w:hAnsiTheme="majorBidi" w:cstheme="majorBidi"/>
          <w:lang w:val="da-DK"/>
        </w:rPr>
        <w:t>xerosis</w:t>
      </w:r>
      <w:proofErr w:type="spellEnd"/>
      <w:r>
        <w:rPr>
          <w:rFonts w:asciiTheme="majorBidi" w:hAnsiTheme="majorBidi" w:cstheme="majorBidi"/>
          <w:lang w:val="da-DK"/>
        </w:rPr>
        <w:t>, som kan forværre symptomerne irritation, smerte og tørhed,</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som opleves ved allergisk bindehindebetændelse.</w:t>
      </w:r>
    </w:p>
    <w:p w:rsidR="007C6248" w:rsidRDefault="007C6248" w:rsidP="007C6248">
      <w:pPr>
        <w:pStyle w:val="Brdtekst"/>
        <w:ind w:left="851"/>
        <w:rPr>
          <w:rFonts w:asciiTheme="majorBidi" w:hAnsiTheme="majorBidi" w:cstheme="majorBidi"/>
          <w:lang w:val="da-DK"/>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Tilfældig brug af midler mod kongestion såsom </w:t>
      </w:r>
      <w:proofErr w:type="spellStart"/>
      <w:r>
        <w:rPr>
          <w:rFonts w:asciiTheme="majorBidi" w:hAnsiTheme="majorBidi" w:cstheme="majorBidi"/>
          <w:lang w:val="da-DK"/>
        </w:rPr>
        <w:t>naphazolin</w:t>
      </w:r>
      <w:proofErr w:type="spellEnd"/>
      <w:r>
        <w:rPr>
          <w:rFonts w:asciiTheme="majorBidi" w:hAnsiTheme="majorBidi" w:cstheme="majorBidi"/>
          <w:lang w:val="da-DK"/>
        </w:rPr>
        <w:t xml:space="preserve"> i et irriteret øje kan</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 xml:space="preserve">fremkalde papillær udvidelse og fremskynde vinkellukket </w:t>
      </w:r>
      <w:proofErr w:type="spellStart"/>
      <w:r>
        <w:rPr>
          <w:rFonts w:asciiTheme="majorBidi" w:hAnsiTheme="majorBidi" w:cstheme="majorBidi"/>
          <w:lang w:val="da-DK"/>
        </w:rPr>
        <w:t>glaukom</w:t>
      </w:r>
      <w:proofErr w:type="spellEnd"/>
      <w:r>
        <w:rPr>
          <w:rFonts w:asciiTheme="majorBidi" w:hAnsiTheme="majorBidi" w:cstheme="majorBidi"/>
          <w:lang w:val="da-DK"/>
        </w:rPr>
        <w:t xml:space="preserve"> i øjne, der har</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snævre kammervinkler.</w:t>
      </w:r>
    </w:p>
    <w:p w:rsidR="007C6248" w:rsidRDefault="007C6248" w:rsidP="007C6248">
      <w:pPr>
        <w:pStyle w:val="Brdtekst"/>
        <w:ind w:left="851"/>
        <w:rPr>
          <w:rFonts w:asciiTheme="majorBidi" w:hAnsiTheme="majorBidi" w:cstheme="majorBidi"/>
          <w:lang w:val="da-DK"/>
        </w:rPr>
      </w:pP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Overforbrug kan medføre øget rødme i øjet. Hvis dette forekommer, skal anvendelse afbrydes. Kontakt en læge, hvis rødmen fortsætter.</w:t>
      </w:r>
    </w:p>
    <w:p w:rsidR="007C6248" w:rsidRPr="00B123A2" w:rsidRDefault="007C6248" w:rsidP="007C6248">
      <w:pPr>
        <w:pStyle w:val="Brdtekst"/>
        <w:ind w:left="851" w:hanging="851"/>
        <w:rPr>
          <w:rFonts w:asciiTheme="majorBidi" w:hAnsiTheme="majorBidi" w:cstheme="majorBidi"/>
          <w:lang w:val="da-DK"/>
        </w:rPr>
      </w:pPr>
    </w:p>
    <w:p w:rsidR="007C6248" w:rsidRPr="00B123A2" w:rsidRDefault="007C6248" w:rsidP="007C6248">
      <w:pPr>
        <w:pStyle w:val="Brdtekst"/>
        <w:ind w:left="851"/>
        <w:rPr>
          <w:rFonts w:asciiTheme="majorBidi" w:hAnsiTheme="majorBidi" w:cstheme="majorBidi"/>
          <w:lang w:val="da-DK"/>
        </w:rPr>
      </w:pPr>
      <w:r w:rsidRPr="00B123A2">
        <w:rPr>
          <w:rFonts w:asciiTheme="majorBidi" w:hAnsiTheme="majorBidi" w:cstheme="majorBidi"/>
          <w:bCs/>
          <w:u w:val="single"/>
          <w:lang w:val="da-DK"/>
        </w:rPr>
        <w:t>Behandling af overdosering</w:t>
      </w:r>
    </w:p>
    <w:p w:rsidR="007C6248" w:rsidRDefault="007C6248" w:rsidP="007C6248">
      <w:pPr>
        <w:pStyle w:val="Brdtekst"/>
        <w:ind w:left="851"/>
        <w:rPr>
          <w:rFonts w:asciiTheme="majorBidi" w:hAnsiTheme="majorBidi" w:cstheme="majorBidi"/>
          <w:lang w:val="da-DK"/>
        </w:rPr>
      </w:pPr>
      <w:r>
        <w:rPr>
          <w:rFonts w:asciiTheme="majorBidi" w:hAnsiTheme="majorBidi" w:cstheme="majorBidi"/>
          <w:lang w:val="da-DK"/>
        </w:rPr>
        <w:t>Bivirkninger behandles symptomatisk og støttende.</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4.10</w:t>
      </w:r>
      <w:r w:rsidRPr="00C84483">
        <w:rPr>
          <w:b/>
          <w:sz w:val="24"/>
          <w:szCs w:val="24"/>
        </w:rPr>
        <w:tab/>
        <w:t>Udlevering</w:t>
      </w:r>
    </w:p>
    <w:p w:rsidR="001D2A28" w:rsidRPr="00C84483" w:rsidRDefault="001D2A28" w:rsidP="001D2A28">
      <w:pPr>
        <w:tabs>
          <w:tab w:val="left" w:pos="851"/>
        </w:tabs>
        <w:ind w:left="851" w:hanging="851"/>
        <w:rPr>
          <w:sz w:val="24"/>
          <w:szCs w:val="24"/>
        </w:rPr>
      </w:pPr>
      <w:r w:rsidRPr="00C84483">
        <w:rPr>
          <w:sz w:val="24"/>
          <w:szCs w:val="24"/>
        </w:rPr>
        <w:tab/>
      </w:r>
      <w:r>
        <w:rPr>
          <w:sz w:val="24"/>
          <w:szCs w:val="24"/>
        </w:rPr>
        <w:t>HA</w:t>
      </w:r>
    </w:p>
    <w:p w:rsidR="001D2A28" w:rsidRPr="00C84483" w:rsidRDefault="001D2A28" w:rsidP="001D2A28">
      <w:pPr>
        <w:tabs>
          <w:tab w:val="left" w:pos="851"/>
        </w:tabs>
        <w:rPr>
          <w:sz w:val="24"/>
          <w:szCs w:val="24"/>
        </w:rPr>
      </w:pP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F54CF" w:rsidRPr="00C84483" w:rsidRDefault="001F54CF" w:rsidP="001F54CF">
      <w:pPr>
        <w:tabs>
          <w:tab w:val="left" w:pos="851"/>
        </w:tabs>
        <w:ind w:left="851"/>
        <w:rPr>
          <w:sz w:val="24"/>
          <w:szCs w:val="24"/>
        </w:rPr>
      </w:pPr>
    </w:p>
    <w:p w:rsidR="001F54CF" w:rsidRPr="00C84483" w:rsidRDefault="001F54CF" w:rsidP="001F54C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F54CF" w:rsidRPr="00C84483" w:rsidRDefault="001F54CF" w:rsidP="001F54CF">
      <w:pPr>
        <w:ind w:left="851"/>
        <w:rPr>
          <w:noProof/>
          <w:sz w:val="24"/>
          <w:szCs w:val="24"/>
        </w:rPr>
      </w:pPr>
      <w:r>
        <w:rPr>
          <w:noProof/>
          <w:sz w:val="24"/>
          <w:szCs w:val="24"/>
        </w:rPr>
        <w:t>Farmakoterapeutisk klassifikation: Sympathomimetica  anvendt som decongestantica</w:t>
      </w:r>
      <w:r>
        <w:rPr>
          <w:sz w:val="24"/>
          <w:szCs w:val="24"/>
        </w:rPr>
        <w:t xml:space="preserve">, </w:t>
      </w:r>
      <w:r w:rsidRPr="005E7FAD">
        <w:rPr>
          <w:sz w:val="24"/>
          <w:szCs w:val="24"/>
        </w:rPr>
        <w:t>ATC-kode: S01GA01</w:t>
      </w:r>
      <w:r>
        <w:rPr>
          <w:noProof/>
          <w:sz w:val="24"/>
          <w:szCs w:val="24"/>
        </w:rPr>
        <w:t>.</w:t>
      </w:r>
    </w:p>
    <w:p w:rsidR="001D2A28" w:rsidRPr="005E7FAD" w:rsidRDefault="001D2A28" w:rsidP="001D2A28">
      <w:pPr>
        <w:ind w:left="851"/>
        <w:rPr>
          <w:sz w:val="24"/>
          <w:szCs w:val="24"/>
        </w:rPr>
      </w:pPr>
    </w:p>
    <w:p w:rsidR="001D2A28" w:rsidRDefault="001D2A28" w:rsidP="001D2A28">
      <w:pPr>
        <w:ind w:left="851"/>
        <w:rPr>
          <w:sz w:val="24"/>
          <w:szCs w:val="24"/>
          <w:lang w:eastAsia="en-GB"/>
        </w:rPr>
      </w:pPr>
      <w:r w:rsidRPr="005E7FAD">
        <w:rPr>
          <w:sz w:val="24"/>
          <w:szCs w:val="24"/>
          <w:u w:val="single"/>
          <w:lang w:eastAsia="en-GB"/>
        </w:rPr>
        <w:t>Virkningsmekanisme</w:t>
      </w:r>
    </w:p>
    <w:p w:rsidR="007C6248" w:rsidRDefault="007C6248" w:rsidP="007C6248">
      <w:pPr>
        <w:pStyle w:val="Brdtekst"/>
        <w:ind w:left="851"/>
        <w:rPr>
          <w:rFonts w:asciiTheme="majorBidi" w:hAnsiTheme="majorBidi" w:cstheme="majorBidi"/>
          <w:lang w:val="da-DK"/>
        </w:rPr>
      </w:pPr>
      <w:proofErr w:type="spellStart"/>
      <w:r>
        <w:rPr>
          <w:rFonts w:asciiTheme="majorBidi" w:hAnsiTheme="majorBidi" w:cstheme="majorBidi"/>
          <w:lang w:val="da-DK"/>
        </w:rPr>
        <w:t>Naphazolin</w:t>
      </w:r>
      <w:proofErr w:type="spellEnd"/>
      <w:r>
        <w:rPr>
          <w:rFonts w:asciiTheme="majorBidi" w:hAnsiTheme="majorBidi" w:cstheme="majorBidi"/>
          <w:lang w:val="da-DK"/>
        </w:rPr>
        <w:t xml:space="preserve"> er et </w:t>
      </w:r>
      <w:proofErr w:type="spellStart"/>
      <w:r>
        <w:rPr>
          <w:rFonts w:asciiTheme="majorBidi" w:hAnsiTheme="majorBidi" w:cstheme="majorBidi"/>
          <w:lang w:val="da-DK"/>
        </w:rPr>
        <w:t>sympatomimetisk</w:t>
      </w:r>
      <w:proofErr w:type="spellEnd"/>
      <w:r>
        <w:rPr>
          <w:rFonts w:asciiTheme="majorBidi" w:hAnsiTheme="majorBidi" w:cstheme="majorBidi"/>
          <w:lang w:val="da-DK"/>
        </w:rPr>
        <w:t xml:space="preserve"> stof med udpræget alfa-</w:t>
      </w:r>
      <w:proofErr w:type="spellStart"/>
      <w:r>
        <w:rPr>
          <w:rFonts w:asciiTheme="majorBidi" w:hAnsiTheme="majorBidi" w:cstheme="majorBidi"/>
          <w:lang w:val="da-DK"/>
        </w:rPr>
        <w:t>adrenerg</w:t>
      </w:r>
      <w:proofErr w:type="spellEnd"/>
      <w:r>
        <w:rPr>
          <w:rFonts w:asciiTheme="majorBidi" w:hAnsiTheme="majorBidi" w:cstheme="majorBidi"/>
          <w:lang w:val="da-DK"/>
        </w:rPr>
        <w:t xml:space="preserve"> aktivitet. Det er en </w:t>
      </w:r>
      <w:proofErr w:type="spellStart"/>
      <w:r>
        <w:rPr>
          <w:rFonts w:asciiTheme="majorBidi" w:hAnsiTheme="majorBidi" w:cstheme="majorBidi"/>
          <w:lang w:val="da-DK"/>
        </w:rPr>
        <w:t>vasokonstriktor</w:t>
      </w:r>
      <w:proofErr w:type="spellEnd"/>
      <w:r>
        <w:rPr>
          <w:rFonts w:asciiTheme="majorBidi" w:hAnsiTheme="majorBidi" w:cstheme="majorBidi"/>
          <w:lang w:val="da-DK"/>
        </w:rPr>
        <w:t>, der reducerer hævelse og tilstopning ved anvendelse på en slimhinde.</w:t>
      </w:r>
    </w:p>
    <w:p w:rsidR="001D2A28" w:rsidRDefault="001D2A28" w:rsidP="001D2A28">
      <w:pPr>
        <w:ind w:left="851"/>
        <w:rPr>
          <w:color w:val="222222"/>
          <w:sz w:val="24"/>
          <w:szCs w:val="24"/>
          <w:lang w:eastAsia="en-GB"/>
        </w:rPr>
      </w:pPr>
    </w:p>
    <w:p w:rsidR="001D2A28" w:rsidRPr="005E7FAD" w:rsidRDefault="001D2A28" w:rsidP="001D2A28">
      <w:pPr>
        <w:ind w:left="851"/>
        <w:rPr>
          <w:sz w:val="24"/>
          <w:szCs w:val="24"/>
          <w:lang w:eastAsia="en-GB"/>
        </w:rPr>
      </w:pPr>
      <w:r w:rsidRPr="005E7FAD">
        <w:rPr>
          <w:color w:val="222222"/>
          <w:sz w:val="24"/>
          <w:szCs w:val="24"/>
          <w:lang w:eastAsia="en-GB"/>
        </w:rPr>
        <w:t>Cleareyes</w:t>
      </w:r>
      <w:r w:rsidRPr="005E7FAD">
        <w:rPr>
          <w:sz w:val="24"/>
          <w:szCs w:val="24"/>
          <w:lang w:eastAsia="en-GB"/>
        </w:rPr>
        <w:t xml:space="preserve"> virkning starter inden for 1 minut efter administration, og virkningen varer ved i mindst 3 timer.</w:t>
      </w:r>
    </w:p>
    <w:p w:rsidR="001D2A28" w:rsidRPr="00B123A2" w:rsidRDefault="001D2A28" w:rsidP="00B123A2">
      <w:pPr>
        <w:ind w:left="851"/>
        <w:rPr>
          <w:b/>
          <w:sz w:val="24"/>
          <w:szCs w:val="24"/>
        </w:rPr>
      </w:pPr>
    </w:p>
    <w:p w:rsidR="001F54CF" w:rsidRPr="00C84483" w:rsidRDefault="001F54CF" w:rsidP="001F54C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D2A28" w:rsidRDefault="001D2A28" w:rsidP="001D2A28">
      <w:pPr>
        <w:ind w:left="851"/>
        <w:rPr>
          <w:sz w:val="24"/>
          <w:szCs w:val="24"/>
          <w:u w:val="single"/>
        </w:rPr>
      </w:pPr>
    </w:p>
    <w:p w:rsidR="001D2A28" w:rsidRDefault="001D2A28" w:rsidP="001D2A28">
      <w:pPr>
        <w:ind w:left="851"/>
        <w:rPr>
          <w:sz w:val="24"/>
          <w:szCs w:val="24"/>
        </w:rPr>
      </w:pPr>
      <w:r w:rsidRPr="005E7FAD">
        <w:rPr>
          <w:sz w:val="24"/>
          <w:szCs w:val="24"/>
          <w:u w:val="single"/>
        </w:rPr>
        <w:t>Absorption</w:t>
      </w:r>
    </w:p>
    <w:p w:rsidR="001D2A28" w:rsidRPr="005E7FAD" w:rsidRDefault="001D2A28" w:rsidP="001D2A28">
      <w:pPr>
        <w:ind w:left="851"/>
        <w:rPr>
          <w:sz w:val="24"/>
          <w:szCs w:val="24"/>
        </w:rPr>
      </w:pPr>
      <w:r w:rsidRPr="005E7FAD">
        <w:rPr>
          <w:sz w:val="24"/>
          <w:szCs w:val="24"/>
        </w:rPr>
        <w:t xml:space="preserve">Absorberes efter administration i </w:t>
      </w:r>
      <w:proofErr w:type="spellStart"/>
      <w:r w:rsidRPr="005E7FAD">
        <w:rPr>
          <w:sz w:val="24"/>
          <w:szCs w:val="24"/>
        </w:rPr>
        <w:t>konjunktivalsækken</w:t>
      </w:r>
      <w:proofErr w:type="spellEnd"/>
      <w:r w:rsidRPr="005E7FAD">
        <w:rPr>
          <w:sz w:val="24"/>
          <w:szCs w:val="24"/>
        </w:rPr>
        <w:t>.</w:t>
      </w:r>
    </w:p>
    <w:p w:rsidR="00254C25" w:rsidRPr="00C84483" w:rsidRDefault="00254C25"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D2A28" w:rsidRDefault="001D2A28" w:rsidP="001D2A28">
      <w:pPr>
        <w:ind w:left="851"/>
        <w:rPr>
          <w:sz w:val="24"/>
          <w:szCs w:val="24"/>
        </w:rPr>
      </w:pPr>
      <w:r w:rsidRPr="005E7FAD">
        <w:rPr>
          <w:sz w:val="24"/>
          <w:szCs w:val="24"/>
        </w:rPr>
        <w:t xml:space="preserve">Der findes ingen relevante, </w:t>
      </w:r>
      <w:r w:rsidR="007C6248">
        <w:rPr>
          <w:sz w:val="24"/>
          <w:szCs w:val="24"/>
        </w:rPr>
        <w:t>non-</w:t>
      </w:r>
      <w:r w:rsidRPr="005E7FAD">
        <w:rPr>
          <w:sz w:val="24"/>
          <w:szCs w:val="24"/>
        </w:rPr>
        <w:t>kliniske data ud over dem, der allerede er indeholdt</w:t>
      </w:r>
      <w:r>
        <w:rPr>
          <w:sz w:val="24"/>
          <w:szCs w:val="24"/>
        </w:rPr>
        <w:t xml:space="preserve"> i andre afsnit af produktresumé</w:t>
      </w:r>
      <w:r w:rsidRPr="005E7FAD">
        <w:rPr>
          <w:sz w:val="24"/>
          <w:szCs w:val="24"/>
        </w:rPr>
        <w:t>et.</w:t>
      </w:r>
    </w:p>
    <w:p w:rsidR="001D2A28" w:rsidRDefault="001D2A28" w:rsidP="001D2A28">
      <w:pPr>
        <w:tabs>
          <w:tab w:val="left" w:pos="851"/>
        </w:tabs>
        <w:rPr>
          <w:sz w:val="24"/>
          <w:szCs w:val="24"/>
        </w:rPr>
      </w:pPr>
    </w:p>
    <w:p w:rsidR="00B123A2" w:rsidRPr="00C84483" w:rsidRDefault="00B123A2"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F54CF" w:rsidRPr="00BA09F1" w:rsidRDefault="001F54CF" w:rsidP="001F54CF">
      <w:pPr>
        <w:tabs>
          <w:tab w:val="left" w:pos="851"/>
        </w:tabs>
        <w:ind w:left="851"/>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6.1</w:t>
      </w:r>
      <w:r w:rsidRPr="00C84483">
        <w:rPr>
          <w:b/>
          <w:sz w:val="24"/>
          <w:szCs w:val="24"/>
        </w:rPr>
        <w:tab/>
        <w:t>Hjælpestoffer</w:t>
      </w:r>
    </w:p>
    <w:p w:rsidR="001D2A28" w:rsidRPr="00C83C9C" w:rsidRDefault="001D2A28" w:rsidP="001D2A28">
      <w:pPr>
        <w:pStyle w:val="Normalindrykning"/>
        <w:spacing w:after="0"/>
        <w:ind w:left="851"/>
        <w:rPr>
          <w:sz w:val="24"/>
          <w:szCs w:val="24"/>
          <w:lang w:val="da-DK"/>
        </w:rPr>
      </w:pPr>
      <w:proofErr w:type="spellStart"/>
      <w:r w:rsidRPr="00C83C9C">
        <w:rPr>
          <w:sz w:val="24"/>
          <w:szCs w:val="24"/>
          <w:lang w:val="da-DK"/>
        </w:rPr>
        <w:t>Benzalkonium</w:t>
      </w:r>
      <w:r>
        <w:rPr>
          <w:sz w:val="24"/>
          <w:szCs w:val="24"/>
          <w:lang w:val="da-DK"/>
        </w:rPr>
        <w:t>ch</w:t>
      </w:r>
      <w:r w:rsidRPr="00C83C9C">
        <w:rPr>
          <w:sz w:val="24"/>
          <w:szCs w:val="24"/>
          <w:lang w:val="da-DK"/>
        </w:rPr>
        <w:t>loridopløsning</w:t>
      </w:r>
      <w:proofErr w:type="spellEnd"/>
    </w:p>
    <w:p w:rsidR="001D2A28" w:rsidRPr="00C83C9C" w:rsidRDefault="001D2A28" w:rsidP="001D2A28">
      <w:pPr>
        <w:pStyle w:val="Normalindrykning"/>
        <w:spacing w:after="0"/>
        <w:ind w:left="851"/>
        <w:rPr>
          <w:sz w:val="24"/>
          <w:szCs w:val="24"/>
          <w:lang w:val="da-DK"/>
        </w:rPr>
      </w:pPr>
      <w:r w:rsidRPr="00C83C9C">
        <w:rPr>
          <w:sz w:val="24"/>
          <w:szCs w:val="24"/>
          <w:lang w:val="da-DK"/>
        </w:rPr>
        <w:t>Borsyre (E284)</w:t>
      </w:r>
    </w:p>
    <w:p w:rsidR="001D2A28" w:rsidRPr="00C83C9C" w:rsidRDefault="001D2A28" w:rsidP="001D2A28">
      <w:pPr>
        <w:pStyle w:val="Normalindrykning"/>
        <w:spacing w:after="0"/>
        <w:ind w:left="851"/>
        <w:rPr>
          <w:sz w:val="24"/>
          <w:szCs w:val="24"/>
          <w:lang w:val="da-DK"/>
        </w:rPr>
      </w:pPr>
      <w:proofErr w:type="spellStart"/>
      <w:r w:rsidRPr="00C83C9C">
        <w:rPr>
          <w:sz w:val="24"/>
          <w:szCs w:val="24"/>
          <w:lang w:val="da-DK"/>
        </w:rPr>
        <w:t>Borax</w:t>
      </w:r>
      <w:proofErr w:type="spellEnd"/>
      <w:r w:rsidRPr="00C83C9C">
        <w:rPr>
          <w:sz w:val="24"/>
          <w:szCs w:val="24"/>
          <w:lang w:val="da-DK"/>
        </w:rPr>
        <w:t xml:space="preserve"> (E285) </w:t>
      </w:r>
    </w:p>
    <w:p w:rsidR="001D2A28" w:rsidRPr="00C83C9C" w:rsidRDefault="001D2A28" w:rsidP="001D2A28">
      <w:pPr>
        <w:pStyle w:val="Normalindrykning"/>
        <w:spacing w:after="0"/>
        <w:ind w:left="851"/>
        <w:rPr>
          <w:sz w:val="24"/>
          <w:szCs w:val="24"/>
          <w:lang w:val="da-DK"/>
        </w:rPr>
      </w:pPr>
      <w:r w:rsidRPr="00C83C9C">
        <w:rPr>
          <w:sz w:val="24"/>
          <w:szCs w:val="24"/>
          <w:lang w:val="da-DK"/>
        </w:rPr>
        <w:t>Renset vand</w:t>
      </w:r>
    </w:p>
    <w:p w:rsidR="001D2A28" w:rsidRPr="0035539C" w:rsidRDefault="001D2A28" w:rsidP="001D2A28">
      <w:pPr>
        <w:pStyle w:val="Normalindrykning"/>
        <w:spacing w:after="0"/>
        <w:ind w:left="851"/>
        <w:rPr>
          <w:sz w:val="24"/>
          <w:szCs w:val="24"/>
          <w:lang w:val="da-DK"/>
        </w:rPr>
      </w:pPr>
      <w:proofErr w:type="spellStart"/>
      <w:r w:rsidRPr="00C83C9C">
        <w:rPr>
          <w:sz w:val="24"/>
          <w:szCs w:val="24"/>
          <w:lang w:val="da-DK"/>
        </w:rPr>
        <w:t>Dinatriumedetat</w:t>
      </w:r>
      <w:proofErr w:type="spellEnd"/>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6.2</w:t>
      </w:r>
      <w:r w:rsidRPr="00C84483">
        <w:rPr>
          <w:b/>
          <w:sz w:val="24"/>
          <w:szCs w:val="24"/>
        </w:rPr>
        <w:tab/>
        <w:t>Uforligeligheder</w:t>
      </w:r>
    </w:p>
    <w:p w:rsidR="001D2A28" w:rsidRDefault="001D2A28" w:rsidP="00B123A2">
      <w:pPr>
        <w:ind w:left="851"/>
        <w:rPr>
          <w:sz w:val="24"/>
          <w:szCs w:val="24"/>
        </w:rPr>
      </w:pPr>
      <w:r w:rsidRPr="005E7FAD">
        <w:rPr>
          <w:sz w:val="24"/>
          <w:szCs w:val="24"/>
        </w:rPr>
        <w:t>Ikke relevant.</w:t>
      </w:r>
    </w:p>
    <w:p w:rsidR="00B123A2" w:rsidRPr="00C84483" w:rsidRDefault="00B123A2" w:rsidP="00B123A2">
      <w:pPr>
        <w:ind w:left="851"/>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6.3</w:t>
      </w:r>
      <w:r w:rsidRPr="00C84483">
        <w:rPr>
          <w:b/>
          <w:sz w:val="24"/>
          <w:szCs w:val="24"/>
        </w:rPr>
        <w:tab/>
        <w:t>Opbevaringstid</w:t>
      </w:r>
    </w:p>
    <w:p w:rsidR="001D2A28" w:rsidRPr="005E7FAD" w:rsidRDefault="001D2A28" w:rsidP="001D2A28">
      <w:pPr>
        <w:ind w:left="851"/>
        <w:rPr>
          <w:sz w:val="24"/>
          <w:szCs w:val="24"/>
          <w:lang w:eastAsia="en-GB"/>
        </w:rPr>
      </w:pPr>
      <w:r>
        <w:rPr>
          <w:sz w:val="24"/>
          <w:szCs w:val="24"/>
          <w:lang w:eastAsia="en-GB"/>
        </w:rPr>
        <w:t>5 ml: 3</w:t>
      </w:r>
      <w:r w:rsidRPr="005E7FAD">
        <w:rPr>
          <w:sz w:val="24"/>
          <w:szCs w:val="24"/>
          <w:lang w:eastAsia="en-GB"/>
        </w:rPr>
        <w:t xml:space="preserve"> år</w:t>
      </w:r>
      <w:r>
        <w:rPr>
          <w:sz w:val="24"/>
          <w:szCs w:val="24"/>
          <w:lang w:eastAsia="en-GB"/>
        </w:rPr>
        <w:t>.</w:t>
      </w:r>
    </w:p>
    <w:p w:rsidR="001D2A28" w:rsidRPr="005E7FAD" w:rsidRDefault="001D2A28" w:rsidP="001D2A28">
      <w:pPr>
        <w:ind w:left="851"/>
        <w:rPr>
          <w:sz w:val="24"/>
          <w:szCs w:val="24"/>
          <w:lang w:eastAsia="en-GB"/>
        </w:rPr>
      </w:pPr>
      <w:r w:rsidRPr="005E7FAD">
        <w:rPr>
          <w:sz w:val="24"/>
          <w:szCs w:val="24"/>
          <w:lang w:eastAsia="en-GB"/>
        </w:rPr>
        <w:t>10 ml: 3 år</w:t>
      </w:r>
      <w:r>
        <w:rPr>
          <w:sz w:val="24"/>
          <w:szCs w:val="24"/>
          <w:lang w:eastAsia="en-GB"/>
        </w:rPr>
        <w:t>.</w:t>
      </w:r>
    </w:p>
    <w:p w:rsidR="001D2A28" w:rsidRDefault="001D2A28" w:rsidP="001D2A28">
      <w:pPr>
        <w:ind w:left="851"/>
        <w:rPr>
          <w:sz w:val="24"/>
          <w:szCs w:val="24"/>
          <w:lang w:eastAsia="en-GB"/>
        </w:rPr>
      </w:pPr>
    </w:p>
    <w:p w:rsidR="001D2A28" w:rsidRPr="00C84483" w:rsidRDefault="001D2A28" w:rsidP="001D2A28">
      <w:pPr>
        <w:ind w:left="851"/>
        <w:rPr>
          <w:sz w:val="24"/>
          <w:szCs w:val="24"/>
          <w:lang w:eastAsia="en-GB"/>
        </w:rPr>
      </w:pPr>
      <w:r w:rsidRPr="005E7FAD">
        <w:rPr>
          <w:sz w:val="24"/>
          <w:szCs w:val="24"/>
          <w:lang w:eastAsia="en-GB"/>
        </w:rPr>
        <w:t>Efter åbning: 1 måned</w:t>
      </w:r>
      <w:r>
        <w:rPr>
          <w:b/>
          <w:sz w:val="24"/>
          <w:szCs w:val="24"/>
          <w:lang w:eastAsia="en-GB"/>
        </w:rPr>
        <w:t>.</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D2A28" w:rsidRPr="003572B2" w:rsidRDefault="001D2A28" w:rsidP="001D2A28">
      <w:pPr>
        <w:pStyle w:val="Normalindrykning"/>
        <w:spacing w:after="0"/>
        <w:ind w:left="851"/>
        <w:rPr>
          <w:sz w:val="24"/>
          <w:szCs w:val="24"/>
          <w:lang w:val="da-DK"/>
        </w:rPr>
      </w:pPr>
      <w:r w:rsidRPr="00C83C9C">
        <w:rPr>
          <w:sz w:val="24"/>
          <w:szCs w:val="24"/>
          <w:lang w:val="da-DK"/>
        </w:rPr>
        <w:t xml:space="preserve">Må ikke opbevares ved </w:t>
      </w:r>
      <w:r>
        <w:rPr>
          <w:sz w:val="24"/>
          <w:szCs w:val="24"/>
          <w:lang w:val="da-DK"/>
        </w:rPr>
        <w:t xml:space="preserve">temperaturer </w:t>
      </w:r>
      <w:r w:rsidRPr="00C83C9C">
        <w:rPr>
          <w:sz w:val="24"/>
          <w:szCs w:val="24"/>
          <w:lang w:val="da-DK"/>
        </w:rPr>
        <w:t>over 25</w:t>
      </w:r>
      <w:r w:rsidR="007C6248">
        <w:rPr>
          <w:sz w:val="24"/>
          <w:szCs w:val="24"/>
          <w:lang w:val="da-DK"/>
        </w:rPr>
        <w:t xml:space="preserve"> </w:t>
      </w:r>
      <w:r w:rsidRPr="00C83C9C">
        <w:rPr>
          <w:sz w:val="24"/>
          <w:szCs w:val="24"/>
          <w:lang w:val="da-DK"/>
        </w:rPr>
        <w:sym w:font="Symbol" w:char="F0B0"/>
      </w:r>
      <w:r>
        <w:rPr>
          <w:sz w:val="24"/>
          <w:szCs w:val="24"/>
          <w:lang w:val="da-DK"/>
        </w:rPr>
        <w:t>C.</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D2A28" w:rsidRPr="0052630D" w:rsidRDefault="001D2A28" w:rsidP="001D2A28">
      <w:pPr>
        <w:tabs>
          <w:tab w:val="left" w:pos="851"/>
        </w:tabs>
        <w:ind w:left="851"/>
        <w:rPr>
          <w:sz w:val="24"/>
          <w:szCs w:val="24"/>
        </w:rPr>
      </w:pPr>
      <w:r w:rsidRPr="0052630D">
        <w:rPr>
          <w:sz w:val="24"/>
          <w:szCs w:val="24"/>
        </w:rPr>
        <w:t>5</w:t>
      </w:r>
      <w:r w:rsidR="007C6248">
        <w:rPr>
          <w:sz w:val="24"/>
          <w:szCs w:val="24"/>
        </w:rPr>
        <w:t xml:space="preserve"> </w:t>
      </w:r>
      <w:r w:rsidRPr="0052630D">
        <w:rPr>
          <w:sz w:val="24"/>
          <w:szCs w:val="24"/>
        </w:rPr>
        <w:t>ml LDPE-plastflaske med dråbedannende LDPE-plastprop og hætte af polypropylenplast.</w:t>
      </w:r>
    </w:p>
    <w:p w:rsidR="001D2A28" w:rsidRPr="0052630D" w:rsidRDefault="001D2A28" w:rsidP="001D2A28">
      <w:pPr>
        <w:tabs>
          <w:tab w:val="left" w:pos="709"/>
          <w:tab w:val="left" w:pos="851"/>
        </w:tabs>
        <w:ind w:left="851"/>
        <w:rPr>
          <w:sz w:val="24"/>
          <w:szCs w:val="24"/>
        </w:rPr>
      </w:pPr>
    </w:p>
    <w:p w:rsidR="001D2A28" w:rsidRDefault="001D2A28" w:rsidP="00B123A2">
      <w:pPr>
        <w:tabs>
          <w:tab w:val="left" w:pos="570"/>
          <w:tab w:val="left" w:pos="851"/>
        </w:tabs>
        <w:ind w:left="851"/>
        <w:rPr>
          <w:sz w:val="24"/>
          <w:szCs w:val="24"/>
        </w:rPr>
      </w:pPr>
      <w:r w:rsidRPr="0052630D">
        <w:rPr>
          <w:sz w:val="24"/>
          <w:szCs w:val="24"/>
        </w:rPr>
        <w:t>10</w:t>
      </w:r>
      <w:r w:rsidR="007C6248">
        <w:rPr>
          <w:sz w:val="24"/>
          <w:szCs w:val="24"/>
        </w:rPr>
        <w:t xml:space="preserve"> </w:t>
      </w:r>
      <w:r w:rsidRPr="0052630D">
        <w:rPr>
          <w:sz w:val="24"/>
          <w:szCs w:val="24"/>
        </w:rPr>
        <w:t>ml HDPE-plastflaske med dråbedannende LDPE/DPE-plastprop og hætte af polypropylenplast</w:t>
      </w:r>
      <w:r>
        <w:rPr>
          <w:sz w:val="24"/>
          <w:szCs w:val="24"/>
        </w:rPr>
        <w:t>.</w:t>
      </w:r>
    </w:p>
    <w:p w:rsidR="00B123A2" w:rsidRPr="00C84483" w:rsidRDefault="00B123A2" w:rsidP="00B123A2">
      <w:pPr>
        <w:tabs>
          <w:tab w:val="left" w:pos="570"/>
          <w:tab w:val="left" w:pos="851"/>
        </w:tabs>
        <w:ind w:left="851"/>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D2A28" w:rsidRPr="00B123A2" w:rsidRDefault="001D2A28" w:rsidP="00B123A2">
      <w:pPr>
        <w:ind w:left="851"/>
        <w:rPr>
          <w:sz w:val="24"/>
          <w:szCs w:val="24"/>
        </w:rPr>
      </w:pPr>
      <w:r w:rsidRPr="00B123A2">
        <w:rPr>
          <w:sz w:val="24"/>
          <w:szCs w:val="24"/>
        </w:rPr>
        <w:t>Må ikke anvendes, hvis væsken skifter farve eller bliver uklar.</w:t>
      </w:r>
    </w:p>
    <w:p w:rsidR="001D2A28" w:rsidRPr="00B123A2" w:rsidRDefault="001D2A28" w:rsidP="00B123A2">
      <w:pPr>
        <w:ind w:left="851"/>
        <w:rPr>
          <w:i/>
          <w:noProof/>
          <w:sz w:val="24"/>
          <w:szCs w:val="24"/>
        </w:rPr>
      </w:pPr>
    </w:p>
    <w:p w:rsidR="001D2A28" w:rsidRPr="00B123A2" w:rsidRDefault="001D2A28" w:rsidP="00B123A2">
      <w:pPr>
        <w:ind w:left="851"/>
        <w:rPr>
          <w:sz w:val="24"/>
          <w:szCs w:val="24"/>
        </w:rPr>
      </w:pPr>
      <w:r w:rsidRPr="00B123A2">
        <w:rPr>
          <w:sz w:val="24"/>
          <w:szCs w:val="24"/>
        </w:rPr>
        <w:t>Ikke anvendt lægemiddel samt affald heraf skal bortskaffes i henhold til lokale retningslinjer.</w:t>
      </w:r>
    </w:p>
    <w:p w:rsidR="001D2A28" w:rsidRPr="00C84483" w:rsidRDefault="001D2A28" w:rsidP="001D2A28">
      <w:pPr>
        <w:tabs>
          <w:tab w:val="left" w:pos="851"/>
        </w:tabs>
        <w:jc w:val="both"/>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54C25" w:rsidRPr="002369C6" w:rsidRDefault="00254C25" w:rsidP="00254C25">
      <w:pPr>
        <w:ind w:left="851"/>
        <w:rPr>
          <w:sz w:val="24"/>
          <w:szCs w:val="24"/>
        </w:rPr>
      </w:pPr>
      <w:proofErr w:type="spellStart"/>
      <w:r w:rsidRPr="002369C6">
        <w:rPr>
          <w:sz w:val="24"/>
          <w:szCs w:val="24"/>
        </w:rPr>
        <w:t>Elara</w:t>
      </w:r>
      <w:proofErr w:type="spellEnd"/>
      <w:r w:rsidRPr="002369C6">
        <w:rPr>
          <w:sz w:val="24"/>
          <w:szCs w:val="24"/>
        </w:rPr>
        <w:t xml:space="preserve"> </w:t>
      </w:r>
      <w:proofErr w:type="spellStart"/>
      <w:r w:rsidRPr="002369C6">
        <w:rPr>
          <w:sz w:val="24"/>
          <w:szCs w:val="24"/>
        </w:rPr>
        <w:t>Pharmaservices</w:t>
      </w:r>
      <w:proofErr w:type="spellEnd"/>
      <w:r w:rsidRPr="002369C6">
        <w:rPr>
          <w:sz w:val="24"/>
          <w:szCs w:val="24"/>
        </w:rPr>
        <w:t xml:space="preserve"> Europe Limited</w:t>
      </w:r>
    </w:p>
    <w:p w:rsidR="00254C25" w:rsidRPr="00254C25" w:rsidRDefault="00254C25" w:rsidP="00254C25">
      <w:pPr>
        <w:ind w:left="851"/>
        <w:rPr>
          <w:sz w:val="24"/>
          <w:szCs w:val="24"/>
          <w:lang w:val="en-US"/>
        </w:rPr>
      </w:pPr>
      <w:r w:rsidRPr="00254C25">
        <w:rPr>
          <w:sz w:val="24"/>
          <w:szCs w:val="24"/>
          <w:lang w:val="en-US"/>
        </w:rPr>
        <w:t>239 Blanchardstown Corporate Park</w:t>
      </w:r>
    </w:p>
    <w:p w:rsidR="00254C25" w:rsidRPr="002369C6" w:rsidRDefault="00254C25" w:rsidP="00254C25">
      <w:pPr>
        <w:ind w:left="851"/>
        <w:rPr>
          <w:sz w:val="24"/>
          <w:szCs w:val="24"/>
          <w:lang w:val="en-US"/>
        </w:rPr>
      </w:pPr>
      <w:r w:rsidRPr="002369C6">
        <w:rPr>
          <w:sz w:val="24"/>
          <w:szCs w:val="24"/>
          <w:lang w:val="en-US"/>
        </w:rPr>
        <w:t>Ballycoolin, Dublin, D15KV21</w:t>
      </w:r>
    </w:p>
    <w:p w:rsidR="001D2A28" w:rsidRDefault="00254C25" w:rsidP="00254C25">
      <w:pPr>
        <w:ind w:left="851"/>
        <w:rPr>
          <w:sz w:val="24"/>
          <w:szCs w:val="24"/>
        </w:rPr>
      </w:pPr>
      <w:r w:rsidRPr="00254C25">
        <w:rPr>
          <w:sz w:val="24"/>
          <w:szCs w:val="24"/>
        </w:rPr>
        <w:t>Ireland</w:t>
      </w:r>
    </w:p>
    <w:p w:rsidR="00254C25" w:rsidRPr="002369C6" w:rsidRDefault="00254C25" w:rsidP="00254C25">
      <w:pPr>
        <w:ind w:left="851"/>
        <w:rPr>
          <w:sz w:val="24"/>
          <w:szCs w:val="24"/>
        </w:rPr>
      </w:pPr>
    </w:p>
    <w:p w:rsidR="001D2A28" w:rsidRPr="002369C6" w:rsidRDefault="001D2A28" w:rsidP="001D2A28">
      <w:pPr>
        <w:ind w:left="851"/>
        <w:rPr>
          <w:b/>
          <w:sz w:val="24"/>
          <w:szCs w:val="24"/>
        </w:rPr>
      </w:pPr>
      <w:r w:rsidRPr="002369C6">
        <w:rPr>
          <w:b/>
          <w:sz w:val="24"/>
          <w:szCs w:val="24"/>
        </w:rPr>
        <w:t>Repræsentant</w:t>
      </w:r>
    </w:p>
    <w:p w:rsidR="001D2A28" w:rsidRPr="002369C6" w:rsidRDefault="001D2A28" w:rsidP="001D2A28">
      <w:pPr>
        <w:ind w:left="851"/>
        <w:rPr>
          <w:sz w:val="24"/>
          <w:szCs w:val="24"/>
        </w:rPr>
      </w:pPr>
      <w:proofErr w:type="spellStart"/>
      <w:r w:rsidRPr="002369C6">
        <w:rPr>
          <w:sz w:val="24"/>
          <w:szCs w:val="24"/>
        </w:rPr>
        <w:t>Evolan</w:t>
      </w:r>
      <w:proofErr w:type="spellEnd"/>
      <w:r w:rsidRPr="002369C6">
        <w:rPr>
          <w:sz w:val="24"/>
          <w:szCs w:val="24"/>
        </w:rPr>
        <w:t xml:space="preserve"> Pharma AB</w:t>
      </w:r>
    </w:p>
    <w:p w:rsidR="001D2A28" w:rsidRDefault="001D2A28" w:rsidP="001D2A28">
      <w:pPr>
        <w:ind w:left="851"/>
        <w:rPr>
          <w:sz w:val="24"/>
          <w:szCs w:val="24"/>
        </w:rPr>
      </w:pPr>
      <w:proofErr w:type="spellStart"/>
      <w:r>
        <w:rPr>
          <w:sz w:val="24"/>
          <w:szCs w:val="24"/>
        </w:rPr>
        <w:t>Svardvagen</w:t>
      </w:r>
      <w:proofErr w:type="spellEnd"/>
      <w:r>
        <w:rPr>
          <w:sz w:val="24"/>
          <w:szCs w:val="24"/>
        </w:rPr>
        <w:t xml:space="preserve"> 19</w:t>
      </w:r>
    </w:p>
    <w:p w:rsidR="001D2A28" w:rsidRDefault="001D2A28" w:rsidP="001D2A28">
      <w:pPr>
        <w:ind w:left="851"/>
        <w:rPr>
          <w:sz w:val="24"/>
          <w:szCs w:val="24"/>
        </w:rPr>
      </w:pPr>
      <w:r>
        <w:rPr>
          <w:sz w:val="24"/>
          <w:szCs w:val="24"/>
        </w:rPr>
        <w:t xml:space="preserve">18212 </w:t>
      </w:r>
      <w:proofErr w:type="spellStart"/>
      <w:r>
        <w:rPr>
          <w:sz w:val="24"/>
          <w:szCs w:val="24"/>
        </w:rPr>
        <w:t>Danderyd</w:t>
      </w:r>
      <w:proofErr w:type="spellEnd"/>
    </w:p>
    <w:p w:rsidR="001D2A28" w:rsidRPr="004562E5" w:rsidRDefault="001D2A28" w:rsidP="001D2A28">
      <w:pPr>
        <w:ind w:left="851"/>
        <w:rPr>
          <w:noProof/>
          <w:sz w:val="24"/>
          <w:szCs w:val="24"/>
        </w:rPr>
      </w:pPr>
      <w:r>
        <w:rPr>
          <w:sz w:val="24"/>
          <w:szCs w:val="24"/>
        </w:rPr>
        <w:t>Sverige</w:t>
      </w:r>
    </w:p>
    <w:p w:rsidR="00254C25" w:rsidRPr="00C84483" w:rsidRDefault="00254C25"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D2A28" w:rsidRPr="00C84483" w:rsidRDefault="001D2A28" w:rsidP="001D2A28">
      <w:pPr>
        <w:tabs>
          <w:tab w:val="left" w:pos="851"/>
        </w:tabs>
        <w:ind w:left="851" w:hanging="851"/>
        <w:rPr>
          <w:sz w:val="24"/>
          <w:szCs w:val="24"/>
        </w:rPr>
      </w:pPr>
      <w:r w:rsidRPr="00C84483">
        <w:rPr>
          <w:sz w:val="24"/>
          <w:szCs w:val="24"/>
        </w:rPr>
        <w:tab/>
      </w:r>
      <w:r>
        <w:rPr>
          <w:sz w:val="24"/>
          <w:szCs w:val="24"/>
        </w:rPr>
        <w:t>51945</w:t>
      </w:r>
    </w:p>
    <w:p w:rsidR="001D2A28" w:rsidRPr="00C84483" w:rsidRDefault="001D2A28" w:rsidP="001D2A28">
      <w:pPr>
        <w:tabs>
          <w:tab w:val="left" w:pos="851"/>
        </w:tabs>
        <w:jc w:val="both"/>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D2A28" w:rsidRPr="00C84483" w:rsidRDefault="001D2A28" w:rsidP="001D2A28">
      <w:pPr>
        <w:tabs>
          <w:tab w:val="left" w:pos="851"/>
        </w:tabs>
        <w:rPr>
          <w:sz w:val="24"/>
          <w:szCs w:val="24"/>
        </w:rPr>
      </w:pPr>
      <w:r w:rsidRPr="00C84483">
        <w:rPr>
          <w:sz w:val="24"/>
          <w:szCs w:val="24"/>
        </w:rPr>
        <w:tab/>
      </w:r>
      <w:r>
        <w:rPr>
          <w:sz w:val="24"/>
          <w:szCs w:val="24"/>
        </w:rPr>
        <w:t>13. november 2014</w:t>
      </w:r>
    </w:p>
    <w:p w:rsidR="001D2A28" w:rsidRPr="00C84483" w:rsidRDefault="001D2A28" w:rsidP="001D2A28">
      <w:pPr>
        <w:tabs>
          <w:tab w:val="left" w:pos="851"/>
        </w:tabs>
        <w:rPr>
          <w:sz w:val="24"/>
          <w:szCs w:val="24"/>
        </w:rPr>
      </w:pPr>
    </w:p>
    <w:p w:rsidR="001F54CF" w:rsidRPr="00C84483" w:rsidRDefault="001F54CF" w:rsidP="001F54C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D2A28" w:rsidRDefault="001D2A28" w:rsidP="00B123A2">
      <w:pPr>
        <w:tabs>
          <w:tab w:val="left" w:pos="851"/>
        </w:tabs>
      </w:pPr>
      <w:r w:rsidRPr="00C84483">
        <w:rPr>
          <w:sz w:val="24"/>
          <w:szCs w:val="24"/>
        </w:rPr>
        <w:tab/>
      </w:r>
      <w:r w:rsidR="007C6248">
        <w:rPr>
          <w:sz w:val="24"/>
          <w:szCs w:val="24"/>
        </w:rPr>
        <w:t>30. oktober 2024</w:t>
      </w:r>
    </w:p>
    <w:sectPr w:rsidR="009260DE" w:rsidRPr="001D2A2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A28" w:rsidRDefault="001D2A28">
      <w:r>
        <w:separator/>
      </w:r>
    </w:p>
  </w:endnote>
  <w:endnote w:type="continuationSeparator" w:id="0">
    <w:p w:rsidR="001D2A28" w:rsidRDefault="001D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A66B01" w:rsidP="00C42586">
    <w:pPr>
      <w:pStyle w:val="Sidefod"/>
      <w:tabs>
        <w:tab w:val="clear" w:pos="4819"/>
        <w:tab w:val="left" w:pos="8505"/>
      </w:tabs>
      <w:rPr>
        <w:i/>
        <w:sz w:val="18"/>
        <w:szCs w:val="18"/>
      </w:rPr>
    </w:pPr>
    <w:r w:rsidRPr="00A66B01">
      <w:rPr>
        <w:i/>
        <w:sz w:val="18"/>
        <w:szCs w:val="18"/>
      </w:rPr>
      <w:t>Cleareyes, øjendråber, opløsning 0,12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A28" w:rsidRDefault="001D2A28">
      <w:r>
        <w:separator/>
      </w:r>
    </w:p>
  </w:footnote>
  <w:footnote w:type="continuationSeparator" w:id="0">
    <w:p w:rsidR="001D2A28" w:rsidRDefault="001D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B824D60"/>
    <w:multiLevelType w:val="hybridMultilevel"/>
    <w:tmpl w:val="4192D1DE"/>
    <w:lvl w:ilvl="0" w:tplc="FFFFFFFF">
      <w:start w:val="1"/>
      <w:numFmt w:val="bullet"/>
      <w:lvlText w:val="-"/>
      <w:lvlJc w:val="left"/>
      <w:pPr>
        <w:ind w:left="1571" w:hanging="360"/>
      </w:p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28"/>
    <w:rsid w:val="000259B9"/>
    <w:rsid w:val="00041491"/>
    <w:rsid w:val="00050D16"/>
    <w:rsid w:val="00074F2A"/>
    <w:rsid w:val="000A1CA8"/>
    <w:rsid w:val="000A466B"/>
    <w:rsid w:val="000B058C"/>
    <w:rsid w:val="000E4EE6"/>
    <w:rsid w:val="001454E2"/>
    <w:rsid w:val="00186859"/>
    <w:rsid w:val="00193892"/>
    <w:rsid w:val="001D2A28"/>
    <w:rsid w:val="001F54CF"/>
    <w:rsid w:val="00206CE8"/>
    <w:rsid w:val="0021526C"/>
    <w:rsid w:val="002369C6"/>
    <w:rsid w:val="00254C25"/>
    <w:rsid w:val="00283A2B"/>
    <w:rsid w:val="002B30AD"/>
    <w:rsid w:val="002C2C01"/>
    <w:rsid w:val="003A29AE"/>
    <w:rsid w:val="003A32D7"/>
    <w:rsid w:val="003B4074"/>
    <w:rsid w:val="003C769A"/>
    <w:rsid w:val="003F1838"/>
    <w:rsid w:val="0045746C"/>
    <w:rsid w:val="0049104B"/>
    <w:rsid w:val="004E3B12"/>
    <w:rsid w:val="00532310"/>
    <w:rsid w:val="00544D3E"/>
    <w:rsid w:val="00560ECC"/>
    <w:rsid w:val="00565F0F"/>
    <w:rsid w:val="00594A86"/>
    <w:rsid w:val="00596D86"/>
    <w:rsid w:val="005C1611"/>
    <w:rsid w:val="00637F5A"/>
    <w:rsid w:val="006560B1"/>
    <w:rsid w:val="006756DD"/>
    <w:rsid w:val="00737275"/>
    <w:rsid w:val="00740EEC"/>
    <w:rsid w:val="0078011A"/>
    <w:rsid w:val="00782AF4"/>
    <w:rsid w:val="00790EE7"/>
    <w:rsid w:val="007B6649"/>
    <w:rsid w:val="007C6248"/>
    <w:rsid w:val="0081546F"/>
    <w:rsid w:val="0082576E"/>
    <w:rsid w:val="00907F75"/>
    <w:rsid w:val="009260DE"/>
    <w:rsid w:val="0093258A"/>
    <w:rsid w:val="009C7BA3"/>
    <w:rsid w:val="009D1F5A"/>
    <w:rsid w:val="00A66B01"/>
    <w:rsid w:val="00AC735D"/>
    <w:rsid w:val="00B003BF"/>
    <w:rsid w:val="00B123A2"/>
    <w:rsid w:val="00B373D7"/>
    <w:rsid w:val="00B75E05"/>
    <w:rsid w:val="00C36276"/>
    <w:rsid w:val="00C42586"/>
    <w:rsid w:val="00C60CCD"/>
    <w:rsid w:val="00C84483"/>
    <w:rsid w:val="00C95551"/>
    <w:rsid w:val="00CB20D7"/>
    <w:rsid w:val="00D020B0"/>
    <w:rsid w:val="00D108AB"/>
    <w:rsid w:val="00D11748"/>
    <w:rsid w:val="00D366CF"/>
    <w:rsid w:val="00E108AA"/>
    <w:rsid w:val="00E31812"/>
    <w:rsid w:val="00E3749A"/>
    <w:rsid w:val="00E7437F"/>
    <w:rsid w:val="00E75143"/>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6685C"/>
  <w15:chartTrackingRefBased/>
  <w15:docId w15:val="{3471578F-6847-4988-81EB-0606396E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1D2A28"/>
    <w:pPr>
      <w:spacing w:after="120"/>
      <w:ind w:left="720"/>
    </w:pPr>
    <w:rPr>
      <w:sz w:val="22"/>
      <w:lang w:val="en-GB" w:eastAsia="en-GB"/>
    </w:rPr>
  </w:style>
  <w:style w:type="character" w:styleId="Hyperlink">
    <w:name w:val="Hyperlink"/>
    <w:basedOn w:val="Standardskrifttypeiafsnit"/>
    <w:uiPriority w:val="99"/>
    <w:unhideWhenUsed/>
    <w:rsid w:val="001D2A28"/>
    <w:rPr>
      <w:color w:val="0000FF"/>
      <w:u w:val="single"/>
    </w:rPr>
  </w:style>
  <w:style w:type="paragraph" w:styleId="Brdtekst">
    <w:name w:val="Body Text"/>
    <w:basedOn w:val="Normal"/>
    <w:link w:val="BrdtekstTegn"/>
    <w:uiPriority w:val="1"/>
    <w:semiHidden/>
    <w:unhideWhenUsed/>
    <w:qFormat/>
    <w:rsid w:val="007C6248"/>
    <w:pPr>
      <w:widowControl w:val="0"/>
      <w:autoSpaceDE w:val="0"/>
      <w:autoSpaceDN w:val="0"/>
    </w:pPr>
    <w:rPr>
      <w:sz w:val="24"/>
      <w:szCs w:val="24"/>
      <w:lang w:val="en-US"/>
    </w:rPr>
  </w:style>
  <w:style w:type="character" w:customStyle="1" w:styleId="BrdtekstTegn">
    <w:name w:val="Brødtekst Tegn"/>
    <w:basedOn w:val="Standardskrifttypeiafsnit"/>
    <w:link w:val="Brdtekst"/>
    <w:uiPriority w:val="1"/>
    <w:semiHidden/>
    <w:rsid w:val="007C6248"/>
    <w:rPr>
      <w:sz w:val="24"/>
      <w:szCs w:val="24"/>
      <w:lang w:val="en-US" w:eastAsia="en-US"/>
    </w:rPr>
  </w:style>
  <w:style w:type="table" w:styleId="Tabel-Gitter">
    <w:name w:val="Table Grid"/>
    <w:basedOn w:val="Tabel-Normal"/>
    <w:uiPriority w:val="39"/>
    <w:rsid w:val="007C6248"/>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1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7270131">
      <w:bodyDiv w:val="1"/>
      <w:marLeft w:val="0"/>
      <w:marRight w:val="0"/>
      <w:marTop w:val="0"/>
      <w:marBottom w:val="0"/>
      <w:divBdr>
        <w:top w:val="none" w:sz="0" w:space="0" w:color="auto"/>
        <w:left w:val="none" w:sz="0" w:space="0" w:color="auto"/>
        <w:bottom w:val="none" w:sz="0" w:space="0" w:color="auto"/>
        <w:right w:val="none" w:sz="0" w:space="0" w:color="auto"/>
      </w:divBdr>
    </w:div>
    <w:div w:id="296835860">
      <w:bodyDiv w:val="1"/>
      <w:marLeft w:val="0"/>
      <w:marRight w:val="0"/>
      <w:marTop w:val="0"/>
      <w:marBottom w:val="0"/>
      <w:divBdr>
        <w:top w:val="none" w:sz="0" w:space="0" w:color="auto"/>
        <w:left w:val="none" w:sz="0" w:space="0" w:color="auto"/>
        <w:bottom w:val="none" w:sz="0" w:space="0" w:color="auto"/>
        <w:right w:val="none" w:sz="0" w:space="0" w:color="auto"/>
      </w:divBdr>
    </w:div>
    <w:div w:id="548996848">
      <w:bodyDiv w:val="1"/>
      <w:marLeft w:val="0"/>
      <w:marRight w:val="0"/>
      <w:marTop w:val="0"/>
      <w:marBottom w:val="0"/>
      <w:divBdr>
        <w:top w:val="none" w:sz="0" w:space="0" w:color="auto"/>
        <w:left w:val="none" w:sz="0" w:space="0" w:color="auto"/>
        <w:bottom w:val="none" w:sz="0" w:space="0" w:color="auto"/>
        <w:right w:val="none" w:sz="0" w:space="0" w:color="auto"/>
      </w:divBdr>
    </w:div>
    <w:div w:id="722872668">
      <w:bodyDiv w:val="1"/>
      <w:marLeft w:val="0"/>
      <w:marRight w:val="0"/>
      <w:marTop w:val="0"/>
      <w:marBottom w:val="0"/>
      <w:divBdr>
        <w:top w:val="none" w:sz="0" w:space="0" w:color="auto"/>
        <w:left w:val="none" w:sz="0" w:space="0" w:color="auto"/>
        <w:bottom w:val="none" w:sz="0" w:space="0" w:color="auto"/>
        <w:right w:val="none" w:sz="0" w:space="0" w:color="auto"/>
      </w:divBdr>
    </w:div>
    <w:div w:id="849566189">
      <w:bodyDiv w:val="1"/>
      <w:marLeft w:val="0"/>
      <w:marRight w:val="0"/>
      <w:marTop w:val="0"/>
      <w:marBottom w:val="0"/>
      <w:divBdr>
        <w:top w:val="none" w:sz="0" w:space="0" w:color="auto"/>
        <w:left w:val="none" w:sz="0" w:space="0" w:color="auto"/>
        <w:bottom w:val="none" w:sz="0" w:space="0" w:color="auto"/>
        <w:right w:val="none" w:sz="0" w:space="0" w:color="auto"/>
      </w:divBdr>
    </w:div>
    <w:div w:id="1009603634">
      <w:bodyDiv w:val="1"/>
      <w:marLeft w:val="0"/>
      <w:marRight w:val="0"/>
      <w:marTop w:val="0"/>
      <w:marBottom w:val="0"/>
      <w:divBdr>
        <w:top w:val="none" w:sz="0" w:space="0" w:color="auto"/>
        <w:left w:val="none" w:sz="0" w:space="0" w:color="auto"/>
        <w:bottom w:val="none" w:sz="0" w:space="0" w:color="auto"/>
        <w:right w:val="none" w:sz="0" w:space="0" w:color="auto"/>
      </w:divBdr>
    </w:div>
    <w:div w:id="1054234864">
      <w:bodyDiv w:val="1"/>
      <w:marLeft w:val="0"/>
      <w:marRight w:val="0"/>
      <w:marTop w:val="0"/>
      <w:marBottom w:val="0"/>
      <w:divBdr>
        <w:top w:val="none" w:sz="0" w:space="0" w:color="auto"/>
        <w:left w:val="none" w:sz="0" w:space="0" w:color="auto"/>
        <w:bottom w:val="none" w:sz="0" w:space="0" w:color="auto"/>
        <w:right w:val="none" w:sz="0" w:space="0" w:color="auto"/>
      </w:divBdr>
    </w:div>
    <w:div w:id="1059668424">
      <w:bodyDiv w:val="1"/>
      <w:marLeft w:val="0"/>
      <w:marRight w:val="0"/>
      <w:marTop w:val="0"/>
      <w:marBottom w:val="0"/>
      <w:divBdr>
        <w:top w:val="none" w:sz="0" w:space="0" w:color="auto"/>
        <w:left w:val="none" w:sz="0" w:space="0" w:color="auto"/>
        <w:bottom w:val="none" w:sz="0" w:space="0" w:color="auto"/>
        <w:right w:val="none" w:sz="0" w:space="0" w:color="auto"/>
      </w:divBdr>
    </w:div>
    <w:div w:id="1095907086">
      <w:bodyDiv w:val="1"/>
      <w:marLeft w:val="0"/>
      <w:marRight w:val="0"/>
      <w:marTop w:val="0"/>
      <w:marBottom w:val="0"/>
      <w:divBdr>
        <w:top w:val="none" w:sz="0" w:space="0" w:color="auto"/>
        <w:left w:val="none" w:sz="0" w:space="0" w:color="auto"/>
        <w:bottom w:val="none" w:sz="0" w:space="0" w:color="auto"/>
        <w:right w:val="none" w:sz="0" w:space="0" w:color="auto"/>
      </w:divBdr>
    </w:div>
    <w:div w:id="1165973316">
      <w:bodyDiv w:val="1"/>
      <w:marLeft w:val="0"/>
      <w:marRight w:val="0"/>
      <w:marTop w:val="0"/>
      <w:marBottom w:val="0"/>
      <w:divBdr>
        <w:top w:val="none" w:sz="0" w:space="0" w:color="auto"/>
        <w:left w:val="none" w:sz="0" w:space="0" w:color="auto"/>
        <w:bottom w:val="none" w:sz="0" w:space="0" w:color="auto"/>
        <w:right w:val="none" w:sz="0" w:space="0" w:color="auto"/>
      </w:divBdr>
    </w:div>
    <w:div w:id="1221746511">
      <w:bodyDiv w:val="1"/>
      <w:marLeft w:val="0"/>
      <w:marRight w:val="0"/>
      <w:marTop w:val="0"/>
      <w:marBottom w:val="0"/>
      <w:divBdr>
        <w:top w:val="none" w:sz="0" w:space="0" w:color="auto"/>
        <w:left w:val="none" w:sz="0" w:space="0" w:color="auto"/>
        <w:bottom w:val="none" w:sz="0" w:space="0" w:color="auto"/>
        <w:right w:val="none" w:sz="0" w:space="0" w:color="auto"/>
      </w:divBdr>
    </w:div>
    <w:div w:id="1459228152">
      <w:bodyDiv w:val="1"/>
      <w:marLeft w:val="0"/>
      <w:marRight w:val="0"/>
      <w:marTop w:val="0"/>
      <w:marBottom w:val="0"/>
      <w:divBdr>
        <w:top w:val="none" w:sz="0" w:space="0" w:color="auto"/>
        <w:left w:val="none" w:sz="0" w:space="0" w:color="auto"/>
        <w:bottom w:val="none" w:sz="0" w:space="0" w:color="auto"/>
        <w:right w:val="none" w:sz="0" w:space="0" w:color="auto"/>
      </w:divBdr>
    </w:div>
    <w:div w:id="18849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1274</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2022112930, var. 13, pkt. 2, 4.2 til 4.9, 5.1 og 5.3</dc:description>
  <cp:lastModifiedBy>Gitte Jørgensen</cp:lastModifiedBy>
  <cp:revision>8</cp:revision>
  <cp:lastPrinted>2012-08-22T08:53:00Z</cp:lastPrinted>
  <dcterms:created xsi:type="dcterms:W3CDTF">2024-07-08T13:38:00Z</dcterms:created>
  <dcterms:modified xsi:type="dcterms:W3CDTF">2024-10-30T11:14:00Z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