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FEA92" w14:textId="77777777" w:rsidR="009260DE" w:rsidRPr="00D7630B" w:rsidRDefault="0021526C" w:rsidP="009260DE">
      <w:pPr>
        <w:rPr>
          <w:sz w:val="24"/>
          <w:szCs w:val="24"/>
        </w:rPr>
      </w:pPr>
      <w:r w:rsidRPr="00D7630B">
        <w:rPr>
          <w:noProof/>
          <w:sz w:val="24"/>
          <w:szCs w:val="24"/>
          <w:lang w:eastAsia="da-DK"/>
        </w:rPr>
        <w:drawing>
          <wp:anchor distT="0" distB="0" distL="114300" distR="114300" simplePos="0" relativeHeight="251658240" behindDoc="0" locked="0" layoutInCell="1" allowOverlap="1" wp14:anchorId="22EBC396" wp14:editId="49BB23D7">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D7630B">
        <w:rPr>
          <w:sz w:val="24"/>
          <w:szCs w:val="24"/>
        </w:rPr>
        <w:br w:type="textWrapping" w:clear="all"/>
      </w:r>
    </w:p>
    <w:p w14:paraId="14C72EB1" w14:textId="4DFF0BAC" w:rsidR="009260DE" w:rsidRPr="0089290B" w:rsidRDefault="009260DE" w:rsidP="009260DE">
      <w:pPr>
        <w:pStyle w:val="Titel"/>
        <w:tabs>
          <w:tab w:val="right" w:pos="9356"/>
        </w:tabs>
        <w:jc w:val="left"/>
        <w:rPr>
          <w:b w:val="0"/>
          <w:szCs w:val="24"/>
          <w:lang w:eastAsia="en-US"/>
        </w:rPr>
      </w:pPr>
      <w:r w:rsidRPr="00D7630B">
        <w:rPr>
          <w:b w:val="0"/>
          <w:szCs w:val="24"/>
          <w:lang w:eastAsia="en-US"/>
        </w:rPr>
        <w:tab/>
      </w:r>
      <w:r w:rsidR="0089290B">
        <w:rPr>
          <w:szCs w:val="24"/>
        </w:rPr>
        <w:t>24. april 2026</w:t>
      </w:r>
    </w:p>
    <w:p w14:paraId="3856ED9B" w14:textId="77777777" w:rsidR="009260DE" w:rsidRPr="0089290B" w:rsidRDefault="009260DE" w:rsidP="009260DE">
      <w:pPr>
        <w:pStyle w:val="Titel"/>
        <w:tabs>
          <w:tab w:val="left" w:pos="8222"/>
        </w:tabs>
        <w:jc w:val="left"/>
        <w:rPr>
          <w:b w:val="0"/>
          <w:szCs w:val="24"/>
        </w:rPr>
      </w:pPr>
    </w:p>
    <w:p w14:paraId="79E61AB6" w14:textId="77777777" w:rsidR="009260DE" w:rsidRPr="0089290B" w:rsidRDefault="009260DE" w:rsidP="009260DE">
      <w:pPr>
        <w:pStyle w:val="Titel"/>
        <w:jc w:val="left"/>
        <w:rPr>
          <w:b w:val="0"/>
          <w:szCs w:val="24"/>
        </w:rPr>
      </w:pPr>
    </w:p>
    <w:p w14:paraId="0B9BBC4B" w14:textId="77777777" w:rsidR="009260DE" w:rsidRPr="0089290B" w:rsidRDefault="009260DE" w:rsidP="009260DE">
      <w:pPr>
        <w:pStyle w:val="Titel"/>
        <w:jc w:val="left"/>
        <w:rPr>
          <w:b w:val="0"/>
          <w:szCs w:val="24"/>
        </w:rPr>
      </w:pPr>
    </w:p>
    <w:p w14:paraId="70934C9B" w14:textId="77777777" w:rsidR="009260DE" w:rsidRPr="0089290B" w:rsidRDefault="009260DE" w:rsidP="009260DE">
      <w:pPr>
        <w:jc w:val="center"/>
        <w:rPr>
          <w:b/>
          <w:sz w:val="24"/>
          <w:szCs w:val="24"/>
        </w:rPr>
      </w:pPr>
      <w:r w:rsidRPr="0089290B">
        <w:rPr>
          <w:b/>
          <w:sz w:val="24"/>
          <w:szCs w:val="24"/>
        </w:rPr>
        <w:t>PRODUKTRESUMÉ</w:t>
      </w:r>
    </w:p>
    <w:p w14:paraId="5DEEBB76" w14:textId="77777777" w:rsidR="009260DE" w:rsidRPr="0089290B" w:rsidRDefault="009260DE" w:rsidP="009260DE">
      <w:pPr>
        <w:jc w:val="center"/>
        <w:rPr>
          <w:b/>
          <w:sz w:val="24"/>
          <w:szCs w:val="24"/>
        </w:rPr>
      </w:pPr>
    </w:p>
    <w:p w14:paraId="2A9A801A" w14:textId="77777777" w:rsidR="009260DE" w:rsidRPr="0089290B" w:rsidRDefault="009260DE" w:rsidP="009260DE">
      <w:pPr>
        <w:jc w:val="center"/>
        <w:rPr>
          <w:b/>
          <w:sz w:val="24"/>
          <w:szCs w:val="24"/>
        </w:rPr>
      </w:pPr>
      <w:r w:rsidRPr="0089290B">
        <w:rPr>
          <w:b/>
          <w:sz w:val="24"/>
          <w:szCs w:val="24"/>
        </w:rPr>
        <w:t>for</w:t>
      </w:r>
    </w:p>
    <w:p w14:paraId="04311DF2" w14:textId="77777777" w:rsidR="000B058C" w:rsidRPr="0089290B" w:rsidRDefault="000B058C" w:rsidP="009260DE">
      <w:pPr>
        <w:jc w:val="center"/>
        <w:rPr>
          <w:b/>
          <w:sz w:val="24"/>
          <w:szCs w:val="24"/>
        </w:rPr>
      </w:pPr>
    </w:p>
    <w:p w14:paraId="6B567EBD" w14:textId="16F4726A" w:rsidR="009260DE" w:rsidRPr="00D7630B" w:rsidRDefault="002D3B76" w:rsidP="009260DE">
      <w:pPr>
        <w:jc w:val="center"/>
        <w:rPr>
          <w:b/>
          <w:sz w:val="24"/>
          <w:szCs w:val="24"/>
        </w:rPr>
      </w:pPr>
      <w:proofErr w:type="spellStart"/>
      <w:r w:rsidRPr="00D7630B">
        <w:rPr>
          <w:b/>
          <w:sz w:val="24"/>
          <w:szCs w:val="24"/>
        </w:rPr>
        <w:t>Clemastine</w:t>
      </w:r>
      <w:proofErr w:type="spellEnd"/>
      <w:r w:rsidRPr="00D7630B">
        <w:rPr>
          <w:b/>
          <w:sz w:val="24"/>
          <w:szCs w:val="24"/>
        </w:rPr>
        <w:t xml:space="preserve"> "</w:t>
      </w:r>
      <w:proofErr w:type="spellStart"/>
      <w:r w:rsidRPr="00D7630B">
        <w:rPr>
          <w:b/>
          <w:sz w:val="24"/>
          <w:szCs w:val="24"/>
        </w:rPr>
        <w:t>Macure</w:t>
      </w:r>
      <w:proofErr w:type="spellEnd"/>
      <w:r w:rsidRPr="00D7630B">
        <w:rPr>
          <w:b/>
          <w:sz w:val="24"/>
          <w:szCs w:val="24"/>
        </w:rPr>
        <w:t>", injektionsvæske, opløsning</w:t>
      </w:r>
    </w:p>
    <w:p w14:paraId="704910D8" w14:textId="77777777" w:rsidR="009260DE" w:rsidRPr="00D7630B" w:rsidRDefault="009260DE" w:rsidP="009260DE">
      <w:pPr>
        <w:jc w:val="both"/>
        <w:rPr>
          <w:sz w:val="24"/>
          <w:szCs w:val="24"/>
        </w:rPr>
      </w:pPr>
    </w:p>
    <w:p w14:paraId="3E1815CC" w14:textId="77777777" w:rsidR="009260DE" w:rsidRPr="00D7630B" w:rsidRDefault="009260DE" w:rsidP="009260DE">
      <w:pPr>
        <w:jc w:val="both"/>
        <w:rPr>
          <w:sz w:val="24"/>
          <w:szCs w:val="24"/>
        </w:rPr>
      </w:pPr>
    </w:p>
    <w:p w14:paraId="3D08F92B" w14:textId="77777777" w:rsidR="009260DE" w:rsidRPr="00D7630B" w:rsidRDefault="009260DE" w:rsidP="009260DE">
      <w:pPr>
        <w:tabs>
          <w:tab w:val="left" w:pos="851"/>
        </w:tabs>
        <w:ind w:left="851" w:hanging="851"/>
        <w:rPr>
          <w:b/>
          <w:sz w:val="24"/>
          <w:szCs w:val="24"/>
        </w:rPr>
      </w:pPr>
      <w:r w:rsidRPr="00D7630B">
        <w:rPr>
          <w:b/>
          <w:sz w:val="24"/>
          <w:szCs w:val="24"/>
        </w:rPr>
        <w:t>0.</w:t>
      </w:r>
      <w:r w:rsidRPr="00D7630B">
        <w:rPr>
          <w:b/>
          <w:sz w:val="24"/>
          <w:szCs w:val="24"/>
        </w:rPr>
        <w:tab/>
        <w:t>D.SP.NR.</w:t>
      </w:r>
    </w:p>
    <w:p w14:paraId="1C4BBA18" w14:textId="27CB11D3" w:rsidR="009260DE" w:rsidRPr="00D7630B" w:rsidRDefault="002D3B76" w:rsidP="009260DE">
      <w:pPr>
        <w:tabs>
          <w:tab w:val="left" w:pos="851"/>
        </w:tabs>
        <w:ind w:left="851"/>
        <w:rPr>
          <w:sz w:val="24"/>
          <w:szCs w:val="24"/>
        </w:rPr>
      </w:pPr>
      <w:r w:rsidRPr="00D7630B">
        <w:rPr>
          <w:sz w:val="24"/>
          <w:szCs w:val="24"/>
        </w:rPr>
        <w:t>34392</w:t>
      </w:r>
    </w:p>
    <w:p w14:paraId="202EEB89" w14:textId="77777777" w:rsidR="009260DE" w:rsidRPr="00D7630B" w:rsidRDefault="009260DE" w:rsidP="009260DE">
      <w:pPr>
        <w:tabs>
          <w:tab w:val="left" w:pos="851"/>
        </w:tabs>
        <w:ind w:left="851"/>
        <w:rPr>
          <w:sz w:val="24"/>
          <w:szCs w:val="24"/>
        </w:rPr>
      </w:pPr>
    </w:p>
    <w:p w14:paraId="430E9ED1" w14:textId="77777777" w:rsidR="009260DE" w:rsidRPr="00D7630B" w:rsidRDefault="009260DE" w:rsidP="009260DE">
      <w:pPr>
        <w:tabs>
          <w:tab w:val="left" w:pos="851"/>
        </w:tabs>
        <w:ind w:left="851" w:hanging="851"/>
        <w:rPr>
          <w:b/>
          <w:sz w:val="24"/>
          <w:szCs w:val="24"/>
        </w:rPr>
      </w:pPr>
      <w:r w:rsidRPr="00D7630B">
        <w:rPr>
          <w:b/>
          <w:sz w:val="24"/>
          <w:szCs w:val="24"/>
        </w:rPr>
        <w:t>1.</w:t>
      </w:r>
      <w:r w:rsidRPr="00D7630B">
        <w:rPr>
          <w:b/>
          <w:sz w:val="24"/>
          <w:szCs w:val="24"/>
        </w:rPr>
        <w:tab/>
        <w:t>LÆGEMIDLETS NAVN</w:t>
      </w:r>
    </w:p>
    <w:p w14:paraId="22EF8CAC" w14:textId="3DB0DD01" w:rsidR="009260DE" w:rsidRPr="00D7630B" w:rsidRDefault="002D3B76" w:rsidP="009260DE">
      <w:pPr>
        <w:tabs>
          <w:tab w:val="left" w:pos="851"/>
        </w:tabs>
        <w:ind w:left="851"/>
        <w:rPr>
          <w:sz w:val="24"/>
          <w:szCs w:val="24"/>
        </w:rPr>
      </w:pPr>
      <w:proofErr w:type="spellStart"/>
      <w:r w:rsidRPr="00D7630B">
        <w:rPr>
          <w:sz w:val="24"/>
          <w:szCs w:val="24"/>
        </w:rPr>
        <w:t>Clemastine</w:t>
      </w:r>
      <w:proofErr w:type="spellEnd"/>
      <w:r w:rsidRPr="00D7630B">
        <w:rPr>
          <w:sz w:val="24"/>
          <w:szCs w:val="24"/>
        </w:rPr>
        <w:t xml:space="preserve"> "</w:t>
      </w:r>
      <w:proofErr w:type="spellStart"/>
      <w:r w:rsidRPr="00D7630B">
        <w:rPr>
          <w:sz w:val="24"/>
          <w:szCs w:val="24"/>
        </w:rPr>
        <w:t>Macure</w:t>
      </w:r>
      <w:proofErr w:type="spellEnd"/>
      <w:r w:rsidRPr="00D7630B">
        <w:rPr>
          <w:sz w:val="24"/>
          <w:szCs w:val="24"/>
        </w:rPr>
        <w:t>"</w:t>
      </w:r>
    </w:p>
    <w:p w14:paraId="5AF466AB" w14:textId="77777777" w:rsidR="009260DE" w:rsidRPr="00D7630B" w:rsidRDefault="009260DE" w:rsidP="009260DE">
      <w:pPr>
        <w:tabs>
          <w:tab w:val="left" w:pos="851"/>
        </w:tabs>
        <w:ind w:left="851"/>
        <w:rPr>
          <w:sz w:val="24"/>
          <w:szCs w:val="24"/>
        </w:rPr>
      </w:pPr>
    </w:p>
    <w:p w14:paraId="6D139332" w14:textId="77777777" w:rsidR="009260DE" w:rsidRPr="00D7630B" w:rsidRDefault="009260DE" w:rsidP="009260DE">
      <w:pPr>
        <w:tabs>
          <w:tab w:val="left" w:pos="851"/>
        </w:tabs>
        <w:ind w:left="851" w:hanging="851"/>
        <w:rPr>
          <w:b/>
          <w:sz w:val="24"/>
          <w:szCs w:val="24"/>
        </w:rPr>
      </w:pPr>
      <w:r w:rsidRPr="00D7630B">
        <w:rPr>
          <w:b/>
          <w:sz w:val="24"/>
          <w:szCs w:val="24"/>
        </w:rPr>
        <w:t>2.</w:t>
      </w:r>
      <w:r w:rsidRPr="00D7630B">
        <w:rPr>
          <w:b/>
          <w:sz w:val="24"/>
          <w:szCs w:val="24"/>
        </w:rPr>
        <w:tab/>
        <w:t>KVALITATIV OG KVANTITATIV SAMMENSÆTNING</w:t>
      </w:r>
    </w:p>
    <w:p w14:paraId="0C3400E1" w14:textId="77777777" w:rsidR="009D7A8F" w:rsidRPr="009D7A8F" w:rsidRDefault="009D7A8F" w:rsidP="00F2021E">
      <w:pPr>
        <w:ind w:left="851"/>
        <w:rPr>
          <w:sz w:val="24"/>
          <w:szCs w:val="24"/>
        </w:rPr>
      </w:pPr>
      <w:r w:rsidRPr="009D7A8F">
        <w:rPr>
          <w:sz w:val="24"/>
          <w:szCs w:val="24"/>
        </w:rPr>
        <w:t xml:space="preserve">Hver ml injektionsvæske, opløsning indeholder </w:t>
      </w:r>
      <w:proofErr w:type="spellStart"/>
      <w:r w:rsidRPr="009D7A8F">
        <w:rPr>
          <w:sz w:val="24"/>
          <w:szCs w:val="24"/>
        </w:rPr>
        <w:t>clemastinfumarat</w:t>
      </w:r>
      <w:proofErr w:type="spellEnd"/>
      <w:r w:rsidRPr="009D7A8F">
        <w:rPr>
          <w:sz w:val="24"/>
          <w:szCs w:val="24"/>
        </w:rPr>
        <w:t xml:space="preserve"> svarende til 1 mg </w:t>
      </w:r>
      <w:proofErr w:type="spellStart"/>
      <w:r w:rsidRPr="009D7A8F">
        <w:rPr>
          <w:sz w:val="24"/>
          <w:szCs w:val="24"/>
        </w:rPr>
        <w:t>clemastin</w:t>
      </w:r>
      <w:proofErr w:type="spellEnd"/>
      <w:r w:rsidRPr="009D7A8F">
        <w:rPr>
          <w:sz w:val="24"/>
          <w:szCs w:val="24"/>
        </w:rPr>
        <w:t>.</w:t>
      </w:r>
    </w:p>
    <w:p w14:paraId="42125DCD" w14:textId="77777777" w:rsidR="009D7A8F" w:rsidRPr="009D7A8F" w:rsidRDefault="009D7A8F" w:rsidP="00F2021E">
      <w:pPr>
        <w:ind w:left="851"/>
        <w:rPr>
          <w:sz w:val="24"/>
          <w:szCs w:val="24"/>
        </w:rPr>
      </w:pPr>
    </w:p>
    <w:p w14:paraId="55A565CD" w14:textId="77777777" w:rsidR="009D7A8F" w:rsidRPr="009D7A8F" w:rsidRDefault="009D7A8F" w:rsidP="00F2021E">
      <w:pPr>
        <w:ind w:left="851"/>
        <w:rPr>
          <w:sz w:val="24"/>
          <w:szCs w:val="24"/>
        </w:rPr>
      </w:pPr>
      <w:r w:rsidRPr="009D7A8F">
        <w:rPr>
          <w:sz w:val="24"/>
          <w:szCs w:val="24"/>
        </w:rPr>
        <w:t>Hver ampul indeholder 2 ml injektionsvæske, opløsning.</w:t>
      </w:r>
    </w:p>
    <w:p w14:paraId="453F4BA1" w14:textId="77777777" w:rsidR="009D7A8F" w:rsidRPr="009D7A8F" w:rsidRDefault="009D7A8F" w:rsidP="00F2021E">
      <w:pPr>
        <w:ind w:left="851"/>
        <w:rPr>
          <w:sz w:val="24"/>
          <w:szCs w:val="24"/>
        </w:rPr>
      </w:pPr>
    </w:p>
    <w:p w14:paraId="28453762" w14:textId="77777777" w:rsidR="009D7A8F" w:rsidRPr="009D7A8F" w:rsidRDefault="009D7A8F" w:rsidP="00F2021E">
      <w:pPr>
        <w:ind w:left="851"/>
        <w:rPr>
          <w:sz w:val="24"/>
          <w:szCs w:val="24"/>
          <w:u w:val="single"/>
        </w:rPr>
      </w:pPr>
      <w:r w:rsidRPr="009D7A8F">
        <w:rPr>
          <w:sz w:val="24"/>
          <w:szCs w:val="24"/>
          <w:u w:val="single"/>
        </w:rPr>
        <w:t>Hjælpestoffer, som behandleren skal være opmærksom på:</w:t>
      </w:r>
    </w:p>
    <w:p w14:paraId="026A608E" w14:textId="77777777" w:rsidR="009D7A8F" w:rsidRPr="009D7A8F" w:rsidRDefault="009D7A8F" w:rsidP="00F2021E">
      <w:pPr>
        <w:ind w:left="851"/>
        <w:rPr>
          <w:sz w:val="24"/>
          <w:szCs w:val="24"/>
        </w:rPr>
      </w:pPr>
      <w:r w:rsidRPr="009D7A8F">
        <w:rPr>
          <w:sz w:val="24"/>
          <w:szCs w:val="24"/>
        </w:rPr>
        <w:t xml:space="preserve">Hver ml injektionsvæske, opløsning indeholder 45 mg sorbitol, 70 mg </w:t>
      </w:r>
      <w:proofErr w:type="spellStart"/>
      <w:r w:rsidRPr="009D7A8F">
        <w:rPr>
          <w:sz w:val="24"/>
          <w:szCs w:val="24"/>
        </w:rPr>
        <w:t>ethanol</w:t>
      </w:r>
      <w:proofErr w:type="spellEnd"/>
      <w:r w:rsidRPr="009D7A8F">
        <w:rPr>
          <w:sz w:val="24"/>
          <w:szCs w:val="24"/>
        </w:rPr>
        <w:t xml:space="preserve"> 96 % (v/v), cirka 0,10 mg natrium og 300 mg propylenglycol.</w:t>
      </w:r>
    </w:p>
    <w:p w14:paraId="4606D2AB" w14:textId="77777777" w:rsidR="009D7A8F" w:rsidRPr="009D7A8F" w:rsidRDefault="009D7A8F" w:rsidP="00F2021E">
      <w:pPr>
        <w:ind w:left="851"/>
        <w:rPr>
          <w:sz w:val="24"/>
          <w:szCs w:val="24"/>
        </w:rPr>
      </w:pPr>
    </w:p>
    <w:p w14:paraId="0ECCD4F9" w14:textId="77777777" w:rsidR="009D7A8F" w:rsidRPr="009D7A8F" w:rsidRDefault="009D7A8F" w:rsidP="00F2021E">
      <w:pPr>
        <w:ind w:left="851"/>
        <w:rPr>
          <w:sz w:val="24"/>
          <w:szCs w:val="24"/>
        </w:rPr>
      </w:pPr>
      <w:r w:rsidRPr="009D7A8F">
        <w:rPr>
          <w:sz w:val="24"/>
          <w:szCs w:val="24"/>
        </w:rPr>
        <w:t>Alle hjælpestoffer er anført under pkt. 6.1.</w:t>
      </w:r>
    </w:p>
    <w:p w14:paraId="4156F69F" w14:textId="77777777" w:rsidR="009260DE" w:rsidRPr="00D7630B" w:rsidRDefault="009260DE" w:rsidP="009260DE">
      <w:pPr>
        <w:tabs>
          <w:tab w:val="left" w:pos="851"/>
        </w:tabs>
        <w:ind w:left="851"/>
        <w:rPr>
          <w:sz w:val="24"/>
          <w:szCs w:val="24"/>
        </w:rPr>
      </w:pPr>
    </w:p>
    <w:p w14:paraId="404011D2" w14:textId="77777777" w:rsidR="009260DE" w:rsidRPr="00D7630B" w:rsidRDefault="009260DE" w:rsidP="009260DE">
      <w:pPr>
        <w:tabs>
          <w:tab w:val="left" w:pos="851"/>
        </w:tabs>
        <w:ind w:left="851" w:hanging="851"/>
        <w:rPr>
          <w:b/>
          <w:sz w:val="24"/>
          <w:szCs w:val="24"/>
        </w:rPr>
      </w:pPr>
      <w:r w:rsidRPr="00D7630B">
        <w:rPr>
          <w:b/>
          <w:sz w:val="24"/>
          <w:szCs w:val="24"/>
        </w:rPr>
        <w:t>3.</w:t>
      </w:r>
      <w:r w:rsidRPr="00D7630B">
        <w:rPr>
          <w:b/>
          <w:sz w:val="24"/>
          <w:szCs w:val="24"/>
        </w:rPr>
        <w:tab/>
        <w:t>LÆGEMIDDELFORM</w:t>
      </w:r>
    </w:p>
    <w:p w14:paraId="6A670F8A" w14:textId="6FA7701A" w:rsidR="009D7A8F" w:rsidRPr="009D7A8F" w:rsidRDefault="009D7A8F" w:rsidP="009D7A8F">
      <w:pPr>
        <w:tabs>
          <w:tab w:val="left" w:pos="851"/>
        </w:tabs>
        <w:ind w:left="851"/>
        <w:rPr>
          <w:sz w:val="24"/>
          <w:szCs w:val="24"/>
        </w:rPr>
      </w:pPr>
      <w:r w:rsidRPr="009D7A8F">
        <w:rPr>
          <w:sz w:val="24"/>
          <w:szCs w:val="24"/>
        </w:rPr>
        <w:t>Injektionsvæske, opløsning</w:t>
      </w:r>
    </w:p>
    <w:p w14:paraId="0ECC229D" w14:textId="0489D771" w:rsidR="009D7A8F" w:rsidRPr="009D7A8F" w:rsidRDefault="009D7A8F" w:rsidP="009D7A8F">
      <w:pPr>
        <w:tabs>
          <w:tab w:val="left" w:pos="851"/>
        </w:tabs>
        <w:ind w:left="851"/>
        <w:rPr>
          <w:sz w:val="24"/>
          <w:szCs w:val="24"/>
        </w:rPr>
      </w:pPr>
      <w:proofErr w:type="spellStart"/>
      <w:r w:rsidRPr="009D7A8F">
        <w:rPr>
          <w:sz w:val="24"/>
          <w:szCs w:val="24"/>
        </w:rPr>
        <w:t>Clemastine</w:t>
      </w:r>
      <w:proofErr w:type="spellEnd"/>
      <w:r w:rsidRPr="009D7A8F">
        <w:rPr>
          <w:sz w:val="24"/>
          <w:szCs w:val="24"/>
        </w:rPr>
        <w:t xml:space="preserve"> </w:t>
      </w:r>
      <w:r w:rsidR="00D7630B">
        <w:rPr>
          <w:sz w:val="24"/>
          <w:szCs w:val="24"/>
        </w:rPr>
        <w:t>"</w:t>
      </w:r>
      <w:proofErr w:type="spellStart"/>
      <w:r w:rsidR="00D7630B">
        <w:rPr>
          <w:sz w:val="24"/>
          <w:szCs w:val="24"/>
        </w:rPr>
        <w:t>Macure</w:t>
      </w:r>
      <w:proofErr w:type="spellEnd"/>
      <w:r w:rsidR="00D7630B">
        <w:rPr>
          <w:sz w:val="24"/>
          <w:szCs w:val="24"/>
        </w:rPr>
        <w:t>"</w:t>
      </w:r>
      <w:r w:rsidRPr="009D7A8F">
        <w:rPr>
          <w:sz w:val="24"/>
          <w:szCs w:val="24"/>
        </w:rPr>
        <w:t xml:space="preserve"> er en klar og farveløs injektionsvæske, opløsning med en pH på 5,5 til 7,5.</w:t>
      </w:r>
    </w:p>
    <w:p w14:paraId="7B68AFB6" w14:textId="77777777" w:rsidR="009260DE" w:rsidRPr="00D7630B" w:rsidRDefault="009260DE" w:rsidP="009260DE">
      <w:pPr>
        <w:tabs>
          <w:tab w:val="left" w:pos="851"/>
        </w:tabs>
        <w:ind w:left="851"/>
        <w:rPr>
          <w:sz w:val="24"/>
          <w:szCs w:val="24"/>
        </w:rPr>
      </w:pPr>
    </w:p>
    <w:p w14:paraId="7A29C66F" w14:textId="77777777" w:rsidR="009260DE" w:rsidRPr="00D7630B" w:rsidRDefault="009260DE" w:rsidP="009260DE">
      <w:pPr>
        <w:tabs>
          <w:tab w:val="left" w:pos="851"/>
        </w:tabs>
        <w:ind w:left="851"/>
        <w:rPr>
          <w:sz w:val="24"/>
          <w:szCs w:val="24"/>
        </w:rPr>
      </w:pPr>
    </w:p>
    <w:p w14:paraId="2FAE9121" w14:textId="77777777" w:rsidR="009260DE" w:rsidRPr="00D7630B" w:rsidRDefault="009260DE" w:rsidP="009260DE">
      <w:pPr>
        <w:tabs>
          <w:tab w:val="left" w:pos="851"/>
        </w:tabs>
        <w:ind w:left="851" w:hanging="851"/>
        <w:rPr>
          <w:b/>
          <w:sz w:val="24"/>
          <w:szCs w:val="24"/>
        </w:rPr>
      </w:pPr>
      <w:r w:rsidRPr="00D7630B">
        <w:rPr>
          <w:b/>
          <w:sz w:val="24"/>
          <w:szCs w:val="24"/>
        </w:rPr>
        <w:t>4.</w:t>
      </w:r>
      <w:r w:rsidRPr="00D7630B">
        <w:rPr>
          <w:b/>
          <w:sz w:val="24"/>
          <w:szCs w:val="24"/>
        </w:rPr>
        <w:tab/>
        <w:t>KLINISKE OPLYSNINGER</w:t>
      </w:r>
    </w:p>
    <w:p w14:paraId="57025BC1" w14:textId="77777777" w:rsidR="009260DE" w:rsidRPr="00D7630B" w:rsidRDefault="009260DE" w:rsidP="009260DE">
      <w:pPr>
        <w:tabs>
          <w:tab w:val="left" w:pos="851"/>
        </w:tabs>
        <w:ind w:left="851"/>
        <w:rPr>
          <w:b/>
          <w:sz w:val="24"/>
          <w:szCs w:val="24"/>
        </w:rPr>
      </w:pPr>
    </w:p>
    <w:p w14:paraId="1086E0DE" w14:textId="77777777" w:rsidR="009260DE" w:rsidRPr="00D7630B" w:rsidRDefault="009260DE" w:rsidP="009260DE">
      <w:pPr>
        <w:tabs>
          <w:tab w:val="left" w:pos="851"/>
        </w:tabs>
        <w:ind w:left="851" w:hanging="851"/>
        <w:rPr>
          <w:b/>
          <w:sz w:val="24"/>
          <w:szCs w:val="24"/>
          <w:u w:val="single"/>
        </w:rPr>
      </w:pPr>
      <w:r w:rsidRPr="00D7630B">
        <w:rPr>
          <w:b/>
          <w:sz w:val="24"/>
          <w:szCs w:val="24"/>
        </w:rPr>
        <w:t>4.1</w:t>
      </w:r>
      <w:r w:rsidRPr="00D7630B">
        <w:rPr>
          <w:b/>
          <w:sz w:val="24"/>
          <w:szCs w:val="24"/>
        </w:rPr>
        <w:tab/>
        <w:t>Terapeutiske indikationer</w:t>
      </w:r>
    </w:p>
    <w:p w14:paraId="0CCF6881" w14:textId="189F1D60" w:rsidR="009D7A8F" w:rsidRPr="009D7A8F" w:rsidRDefault="009D7A8F" w:rsidP="00F2021E">
      <w:pPr>
        <w:ind w:left="851"/>
        <w:rPr>
          <w:sz w:val="24"/>
          <w:szCs w:val="24"/>
        </w:rPr>
      </w:pPr>
      <w:proofErr w:type="spellStart"/>
      <w:r w:rsidRPr="009D7A8F">
        <w:rPr>
          <w:sz w:val="24"/>
          <w:szCs w:val="24"/>
        </w:rPr>
        <w:t>Clemastine</w:t>
      </w:r>
      <w:proofErr w:type="spellEnd"/>
      <w:r w:rsidRPr="009D7A8F">
        <w:rPr>
          <w:sz w:val="24"/>
          <w:szCs w:val="24"/>
        </w:rPr>
        <w:t xml:space="preserve"> </w:t>
      </w:r>
      <w:r w:rsidR="00D7630B">
        <w:rPr>
          <w:sz w:val="24"/>
          <w:szCs w:val="24"/>
        </w:rPr>
        <w:t>"</w:t>
      </w:r>
      <w:proofErr w:type="spellStart"/>
      <w:r w:rsidR="00D7630B">
        <w:rPr>
          <w:sz w:val="24"/>
          <w:szCs w:val="24"/>
        </w:rPr>
        <w:t>Macure</w:t>
      </w:r>
      <w:proofErr w:type="spellEnd"/>
      <w:r w:rsidR="00D7630B">
        <w:rPr>
          <w:sz w:val="24"/>
          <w:szCs w:val="24"/>
        </w:rPr>
        <w:t>"</w:t>
      </w:r>
      <w:r w:rsidRPr="009D7A8F">
        <w:rPr>
          <w:sz w:val="24"/>
          <w:szCs w:val="24"/>
        </w:rPr>
        <w:t xml:space="preserve"> er indiceret til voksne og børn over 1 år:</w:t>
      </w:r>
    </w:p>
    <w:p w14:paraId="0BE8CED8" w14:textId="77777777" w:rsidR="009D7A8F" w:rsidRPr="009D7A8F" w:rsidRDefault="009D7A8F" w:rsidP="00F2021E">
      <w:pPr>
        <w:numPr>
          <w:ilvl w:val="0"/>
          <w:numId w:val="6"/>
        </w:numPr>
        <w:ind w:left="1276" w:hanging="425"/>
        <w:rPr>
          <w:sz w:val="24"/>
          <w:szCs w:val="24"/>
        </w:rPr>
      </w:pPr>
      <w:r w:rsidRPr="009D7A8F">
        <w:rPr>
          <w:sz w:val="24"/>
          <w:szCs w:val="24"/>
        </w:rPr>
        <w:t xml:space="preserve">Som adjuverende behandling ved </w:t>
      </w:r>
      <w:proofErr w:type="spellStart"/>
      <w:r w:rsidRPr="009D7A8F">
        <w:rPr>
          <w:sz w:val="24"/>
          <w:szCs w:val="24"/>
        </w:rPr>
        <w:t>anafylaktisk</w:t>
      </w:r>
      <w:proofErr w:type="spellEnd"/>
      <w:r w:rsidRPr="009D7A8F">
        <w:rPr>
          <w:sz w:val="24"/>
          <w:szCs w:val="24"/>
        </w:rPr>
        <w:t xml:space="preserve"> eller </w:t>
      </w:r>
      <w:proofErr w:type="spellStart"/>
      <w:r w:rsidRPr="009D7A8F">
        <w:rPr>
          <w:sz w:val="24"/>
          <w:szCs w:val="24"/>
        </w:rPr>
        <w:t>anafylaktoidt</w:t>
      </w:r>
      <w:proofErr w:type="spellEnd"/>
      <w:r w:rsidRPr="009D7A8F">
        <w:rPr>
          <w:sz w:val="24"/>
          <w:szCs w:val="24"/>
        </w:rPr>
        <w:t xml:space="preserve"> </w:t>
      </w:r>
      <w:proofErr w:type="spellStart"/>
      <w:r w:rsidRPr="009D7A8F">
        <w:rPr>
          <w:sz w:val="24"/>
          <w:szCs w:val="24"/>
        </w:rPr>
        <w:t>shock</w:t>
      </w:r>
      <w:proofErr w:type="spellEnd"/>
      <w:r w:rsidRPr="009D7A8F">
        <w:rPr>
          <w:sz w:val="24"/>
          <w:szCs w:val="24"/>
        </w:rPr>
        <w:t xml:space="preserve"> og </w:t>
      </w:r>
      <w:proofErr w:type="spellStart"/>
      <w:r w:rsidRPr="009D7A8F">
        <w:rPr>
          <w:sz w:val="24"/>
          <w:szCs w:val="24"/>
        </w:rPr>
        <w:t>angioødem</w:t>
      </w:r>
      <w:proofErr w:type="spellEnd"/>
      <w:r w:rsidRPr="009D7A8F">
        <w:rPr>
          <w:sz w:val="24"/>
          <w:szCs w:val="24"/>
        </w:rPr>
        <w:t>.</w:t>
      </w:r>
    </w:p>
    <w:p w14:paraId="7D53EDDC" w14:textId="77777777" w:rsidR="009D7A8F" w:rsidRPr="009D7A8F" w:rsidRDefault="009D7A8F" w:rsidP="00F2021E">
      <w:pPr>
        <w:numPr>
          <w:ilvl w:val="0"/>
          <w:numId w:val="6"/>
        </w:numPr>
        <w:ind w:left="1276" w:hanging="425"/>
        <w:rPr>
          <w:sz w:val="24"/>
          <w:szCs w:val="24"/>
        </w:rPr>
      </w:pPr>
      <w:r w:rsidRPr="009D7A8F">
        <w:rPr>
          <w:sz w:val="24"/>
          <w:szCs w:val="24"/>
        </w:rPr>
        <w:t>Til forebyggelse eller behandling af allergiske eller pseudoallergiske reaktioner, for eksempel over for kontrastmidler.</w:t>
      </w:r>
    </w:p>
    <w:p w14:paraId="7EB1A910" w14:textId="4C69044E" w:rsidR="005574E8" w:rsidRDefault="005574E8">
      <w:pPr>
        <w:rPr>
          <w:sz w:val="24"/>
          <w:szCs w:val="24"/>
        </w:rPr>
      </w:pPr>
      <w:r>
        <w:rPr>
          <w:sz w:val="24"/>
          <w:szCs w:val="24"/>
        </w:rPr>
        <w:br w:type="page"/>
      </w:r>
    </w:p>
    <w:p w14:paraId="73D6F854" w14:textId="77777777" w:rsidR="009260DE" w:rsidRPr="00D7630B" w:rsidRDefault="009260DE" w:rsidP="009260DE">
      <w:pPr>
        <w:tabs>
          <w:tab w:val="left" w:pos="851"/>
        </w:tabs>
        <w:ind w:left="851"/>
        <w:rPr>
          <w:sz w:val="24"/>
          <w:szCs w:val="24"/>
        </w:rPr>
      </w:pPr>
    </w:p>
    <w:p w14:paraId="00AFD49C" w14:textId="77777777" w:rsidR="009260DE" w:rsidRPr="00D7630B" w:rsidRDefault="009260DE" w:rsidP="009260DE">
      <w:pPr>
        <w:tabs>
          <w:tab w:val="left" w:pos="851"/>
        </w:tabs>
        <w:ind w:left="851" w:hanging="851"/>
        <w:rPr>
          <w:b/>
          <w:sz w:val="24"/>
          <w:szCs w:val="24"/>
        </w:rPr>
      </w:pPr>
      <w:r w:rsidRPr="00D7630B">
        <w:rPr>
          <w:b/>
          <w:sz w:val="24"/>
          <w:szCs w:val="24"/>
        </w:rPr>
        <w:t>4.2</w:t>
      </w:r>
      <w:r w:rsidRPr="00D7630B">
        <w:rPr>
          <w:b/>
          <w:sz w:val="24"/>
          <w:szCs w:val="24"/>
        </w:rPr>
        <w:tab/>
        <w:t xml:space="preserve">Dosering og </w:t>
      </w:r>
      <w:r w:rsidR="002C1EC0" w:rsidRPr="00D7630B">
        <w:rPr>
          <w:b/>
          <w:sz w:val="24"/>
          <w:szCs w:val="24"/>
        </w:rPr>
        <w:t>administration</w:t>
      </w:r>
    </w:p>
    <w:p w14:paraId="475476BF" w14:textId="77777777" w:rsidR="00D7630B" w:rsidRPr="00D7630B" w:rsidRDefault="00D7630B" w:rsidP="00F2021E">
      <w:pPr>
        <w:ind w:left="851"/>
        <w:rPr>
          <w:iCs/>
          <w:sz w:val="24"/>
          <w:szCs w:val="24"/>
        </w:rPr>
      </w:pPr>
    </w:p>
    <w:p w14:paraId="546E3041" w14:textId="058480F9" w:rsidR="009D7A8F" w:rsidRPr="009D7A8F" w:rsidRDefault="009D7A8F" w:rsidP="00F2021E">
      <w:pPr>
        <w:ind w:left="851"/>
        <w:rPr>
          <w:b/>
          <w:bCs/>
          <w:i/>
          <w:sz w:val="24"/>
          <w:szCs w:val="24"/>
        </w:rPr>
      </w:pPr>
      <w:r w:rsidRPr="009D7A8F">
        <w:rPr>
          <w:b/>
          <w:bCs/>
          <w:i/>
          <w:sz w:val="24"/>
          <w:szCs w:val="24"/>
        </w:rPr>
        <w:t>Voksne:</w:t>
      </w:r>
    </w:p>
    <w:p w14:paraId="223E0A3A" w14:textId="77777777" w:rsidR="009D7A8F" w:rsidRPr="009D7A8F" w:rsidRDefault="009D7A8F" w:rsidP="00F2021E">
      <w:pPr>
        <w:ind w:left="851"/>
        <w:rPr>
          <w:sz w:val="24"/>
          <w:szCs w:val="24"/>
        </w:rPr>
      </w:pPr>
      <w:r w:rsidRPr="009D7A8F">
        <w:rPr>
          <w:sz w:val="24"/>
          <w:szCs w:val="24"/>
        </w:rPr>
        <w:t>Dosering:</w:t>
      </w:r>
    </w:p>
    <w:p w14:paraId="411B1A07" w14:textId="77777777" w:rsidR="009D7A8F" w:rsidRPr="009D7A8F" w:rsidRDefault="009D7A8F" w:rsidP="00F2021E">
      <w:pPr>
        <w:ind w:left="851"/>
        <w:rPr>
          <w:sz w:val="24"/>
          <w:szCs w:val="24"/>
        </w:rPr>
      </w:pPr>
    </w:p>
    <w:p w14:paraId="47C258E8" w14:textId="77777777" w:rsidR="009D7A8F" w:rsidRPr="009D7A8F" w:rsidRDefault="009D7A8F" w:rsidP="00F2021E">
      <w:pPr>
        <w:ind w:left="851"/>
        <w:rPr>
          <w:sz w:val="24"/>
          <w:szCs w:val="24"/>
        </w:rPr>
      </w:pPr>
      <w:r w:rsidRPr="009D7A8F">
        <w:rPr>
          <w:sz w:val="24"/>
          <w:szCs w:val="24"/>
        </w:rPr>
        <w:t>Den sædvanlige dosis er 1 ampul (= 2 mg/2 ml), administreret intravenøst eller intramuskulært om morgenen og aftenen.</w:t>
      </w:r>
    </w:p>
    <w:p w14:paraId="05D9985F" w14:textId="77777777" w:rsidR="009D7A8F" w:rsidRPr="009D7A8F" w:rsidRDefault="009D7A8F" w:rsidP="00F2021E">
      <w:pPr>
        <w:ind w:left="851"/>
        <w:rPr>
          <w:sz w:val="24"/>
          <w:szCs w:val="24"/>
        </w:rPr>
      </w:pPr>
    </w:p>
    <w:p w14:paraId="07B7310F" w14:textId="77777777" w:rsidR="009D7A8F" w:rsidRPr="009D7A8F" w:rsidRDefault="009D7A8F" w:rsidP="00F2021E">
      <w:pPr>
        <w:ind w:left="851"/>
        <w:rPr>
          <w:i/>
          <w:sz w:val="24"/>
          <w:szCs w:val="24"/>
        </w:rPr>
      </w:pPr>
      <w:r w:rsidRPr="009D7A8F">
        <w:rPr>
          <w:i/>
          <w:sz w:val="24"/>
          <w:szCs w:val="24"/>
        </w:rPr>
        <w:t>Profylakse:</w:t>
      </w:r>
    </w:p>
    <w:p w14:paraId="19E1B6F0" w14:textId="77777777" w:rsidR="009D7A8F" w:rsidRPr="009D7A8F" w:rsidRDefault="009D7A8F" w:rsidP="00F2021E">
      <w:pPr>
        <w:ind w:left="851"/>
        <w:rPr>
          <w:sz w:val="24"/>
          <w:szCs w:val="24"/>
        </w:rPr>
      </w:pPr>
      <w:r w:rsidRPr="009D7A8F">
        <w:rPr>
          <w:sz w:val="24"/>
          <w:szCs w:val="24"/>
        </w:rPr>
        <w:t xml:space="preserve">1 ampul (= 2 ml) administreret via en langsom intravenøs injektion før mulig debut af </w:t>
      </w:r>
      <w:proofErr w:type="spellStart"/>
      <w:r w:rsidRPr="009D7A8F">
        <w:rPr>
          <w:sz w:val="24"/>
          <w:szCs w:val="24"/>
        </w:rPr>
        <w:t>anafylaktisk</w:t>
      </w:r>
      <w:proofErr w:type="spellEnd"/>
      <w:r w:rsidRPr="009D7A8F">
        <w:rPr>
          <w:sz w:val="24"/>
          <w:szCs w:val="24"/>
        </w:rPr>
        <w:t xml:space="preserve"> </w:t>
      </w:r>
      <w:proofErr w:type="spellStart"/>
      <w:r w:rsidRPr="009D7A8F">
        <w:rPr>
          <w:sz w:val="24"/>
          <w:szCs w:val="24"/>
        </w:rPr>
        <w:t>shock</w:t>
      </w:r>
      <w:proofErr w:type="spellEnd"/>
      <w:r w:rsidRPr="009D7A8F">
        <w:rPr>
          <w:sz w:val="24"/>
          <w:szCs w:val="24"/>
        </w:rPr>
        <w:t xml:space="preserve"> eller på grund af histamininducerede reaktioner.</w:t>
      </w:r>
    </w:p>
    <w:p w14:paraId="0333C84B" w14:textId="77777777" w:rsidR="009D7A8F" w:rsidRPr="009D7A8F" w:rsidRDefault="009D7A8F" w:rsidP="00F2021E">
      <w:pPr>
        <w:ind w:left="851"/>
        <w:rPr>
          <w:sz w:val="24"/>
          <w:szCs w:val="24"/>
        </w:rPr>
      </w:pPr>
    </w:p>
    <w:p w14:paraId="74979413" w14:textId="77777777" w:rsidR="009D7A8F" w:rsidRPr="009D7A8F" w:rsidRDefault="009D7A8F" w:rsidP="00F2021E">
      <w:pPr>
        <w:ind w:left="851"/>
        <w:rPr>
          <w:b/>
          <w:bCs/>
          <w:i/>
          <w:sz w:val="24"/>
          <w:szCs w:val="24"/>
        </w:rPr>
      </w:pPr>
      <w:r w:rsidRPr="009D7A8F">
        <w:rPr>
          <w:b/>
          <w:bCs/>
          <w:i/>
          <w:sz w:val="24"/>
          <w:szCs w:val="24"/>
        </w:rPr>
        <w:t>Pædiatrisk population: børn over 1 år:</w:t>
      </w:r>
    </w:p>
    <w:p w14:paraId="76188AE5" w14:textId="77777777" w:rsidR="009D7A8F" w:rsidRPr="009D7A8F" w:rsidRDefault="009D7A8F" w:rsidP="00F2021E">
      <w:pPr>
        <w:ind w:left="851"/>
        <w:rPr>
          <w:sz w:val="24"/>
          <w:szCs w:val="24"/>
        </w:rPr>
      </w:pPr>
      <w:r w:rsidRPr="009D7A8F">
        <w:rPr>
          <w:sz w:val="24"/>
          <w:szCs w:val="24"/>
        </w:rPr>
        <w:t>Dosering: 0,025 mg/kg administreret intramuskulært dagligt, fordelt på 2 injektioner.</w:t>
      </w:r>
    </w:p>
    <w:p w14:paraId="26957CFD" w14:textId="77777777" w:rsidR="009D7A8F" w:rsidRPr="009D7A8F" w:rsidRDefault="009D7A8F" w:rsidP="00F2021E">
      <w:pPr>
        <w:ind w:left="851"/>
        <w:rPr>
          <w:sz w:val="24"/>
          <w:szCs w:val="24"/>
        </w:rPr>
      </w:pPr>
    </w:p>
    <w:p w14:paraId="4FE8AAE2" w14:textId="77777777" w:rsidR="009D7A8F" w:rsidRPr="009D7A8F" w:rsidRDefault="009D7A8F" w:rsidP="00F2021E">
      <w:pPr>
        <w:ind w:left="851"/>
        <w:rPr>
          <w:sz w:val="24"/>
          <w:szCs w:val="24"/>
        </w:rPr>
      </w:pPr>
      <w:r w:rsidRPr="009D7A8F">
        <w:rPr>
          <w:sz w:val="24"/>
          <w:szCs w:val="24"/>
        </w:rPr>
        <w:t>Lægemidlet er kontraindiceret til børn under 1 år (se pkt. 4.3).</w:t>
      </w:r>
    </w:p>
    <w:p w14:paraId="2BF08A0D" w14:textId="77777777" w:rsidR="009D7A8F" w:rsidRPr="009D7A8F" w:rsidRDefault="009D7A8F" w:rsidP="00F2021E">
      <w:pPr>
        <w:ind w:left="851"/>
        <w:rPr>
          <w:sz w:val="24"/>
          <w:szCs w:val="24"/>
        </w:rPr>
      </w:pPr>
    </w:p>
    <w:p w14:paraId="45ECE86B" w14:textId="77777777" w:rsidR="009D7A8F" w:rsidRPr="009D7A8F" w:rsidRDefault="009D7A8F" w:rsidP="00F2021E">
      <w:pPr>
        <w:ind w:left="851"/>
        <w:rPr>
          <w:sz w:val="24"/>
          <w:szCs w:val="24"/>
          <w:u w:val="single"/>
        </w:rPr>
      </w:pPr>
      <w:r w:rsidRPr="009D7A8F">
        <w:rPr>
          <w:sz w:val="24"/>
          <w:szCs w:val="24"/>
          <w:u w:val="single"/>
        </w:rPr>
        <w:t>Administration:</w:t>
      </w:r>
    </w:p>
    <w:p w14:paraId="2C9D2697" w14:textId="77777777" w:rsidR="009D7A8F" w:rsidRPr="009D7A8F" w:rsidRDefault="009D7A8F" w:rsidP="00F2021E">
      <w:pPr>
        <w:ind w:left="851"/>
        <w:rPr>
          <w:sz w:val="24"/>
          <w:szCs w:val="24"/>
        </w:rPr>
      </w:pPr>
      <w:r w:rsidRPr="009D7A8F">
        <w:rPr>
          <w:sz w:val="24"/>
          <w:szCs w:val="24"/>
        </w:rPr>
        <w:t>Til intravenøs eller intramuskulær anvendelse.</w:t>
      </w:r>
    </w:p>
    <w:p w14:paraId="23DE40E7" w14:textId="77777777" w:rsidR="009D7A8F" w:rsidRPr="009D7A8F" w:rsidRDefault="009D7A8F" w:rsidP="00F2021E">
      <w:pPr>
        <w:ind w:left="851"/>
        <w:rPr>
          <w:sz w:val="24"/>
          <w:szCs w:val="24"/>
        </w:rPr>
      </w:pPr>
      <w:r w:rsidRPr="009D7A8F">
        <w:rPr>
          <w:sz w:val="24"/>
          <w:szCs w:val="24"/>
        </w:rPr>
        <w:t>Intravenøse injektioner skal gives langsomt (2</w:t>
      </w:r>
      <w:r w:rsidRPr="009D7A8F">
        <w:rPr>
          <w:sz w:val="24"/>
          <w:szCs w:val="24"/>
        </w:rPr>
        <w:noBreakHyphen/>
        <w:t xml:space="preserve">3 minutter pr. ampul). Ampulopløsningen kan fortyndes med isotonisk saltvandsopløsning eller en 5 % </w:t>
      </w:r>
      <w:proofErr w:type="spellStart"/>
      <w:r w:rsidRPr="009D7A8F">
        <w:rPr>
          <w:sz w:val="24"/>
          <w:szCs w:val="24"/>
        </w:rPr>
        <w:t>glucoseopløsning</w:t>
      </w:r>
      <w:proofErr w:type="spellEnd"/>
      <w:r w:rsidRPr="009D7A8F">
        <w:rPr>
          <w:sz w:val="24"/>
          <w:szCs w:val="24"/>
        </w:rPr>
        <w:t xml:space="preserve"> i forholdet 1:5.</w:t>
      </w:r>
    </w:p>
    <w:p w14:paraId="206CB3CA" w14:textId="77777777" w:rsidR="009D7A8F" w:rsidRPr="009D7A8F" w:rsidRDefault="009D7A8F" w:rsidP="00F2021E">
      <w:pPr>
        <w:ind w:left="851"/>
        <w:rPr>
          <w:sz w:val="24"/>
          <w:szCs w:val="24"/>
        </w:rPr>
      </w:pPr>
      <w:r w:rsidRPr="009D7A8F">
        <w:rPr>
          <w:sz w:val="24"/>
          <w:szCs w:val="24"/>
        </w:rPr>
        <w:t>Se pkt.: ”Særlige advarsler og forsigtighedsregler vedrørende brugen”.</w:t>
      </w:r>
    </w:p>
    <w:p w14:paraId="053A0602" w14:textId="77777777" w:rsidR="009D7A8F" w:rsidRPr="009D7A8F" w:rsidRDefault="009D7A8F" w:rsidP="00F2021E">
      <w:pPr>
        <w:ind w:left="851"/>
        <w:rPr>
          <w:sz w:val="24"/>
          <w:szCs w:val="24"/>
        </w:rPr>
      </w:pPr>
    </w:p>
    <w:p w14:paraId="1E0521FE" w14:textId="5E4DC483" w:rsidR="009D7A8F" w:rsidRPr="009D7A8F" w:rsidRDefault="009D7A8F" w:rsidP="00F2021E">
      <w:pPr>
        <w:ind w:left="851"/>
        <w:rPr>
          <w:b/>
          <w:bCs/>
          <w:i/>
          <w:iCs/>
          <w:sz w:val="24"/>
          <w:szCs w:val="24"/>
        </w:rPr>
      </w:pPr>
      <w:bookmarkStart w:id="0" w:name="_Hlk195705178"/>
      <w:r w:rsidRPr="009D7A8F">
        <w:rPr>
          <w:b/>
          <w:bCs/>
          <w:i/>
          <w:iCs/>
          <w:sz w:val="24"/>
          <w:szCs w:val="24"/>
        </w:rPr>
        <w:t>Ældre</w:t>
      </w:r>
      <w:r w:rsidR="00780FF5" w:rsidRPr="00780FF5">
        <w:rPr>
          <w:b/>
          <w:bCs/>
          <w:i/>
          <w:iCs/>
          <w:sz w:val="24"/>
          <w:szCs w:val="24"/>
        </w:rPr>
        <w:t>:</w:t>
      </w:r>
    </w:p>
    <w:p w14:paraId="45F5C7A4" w14:textId="77777777" w:rsidR="009D7A8F" w:rsidRPr="009D7A8F" w:rsidRDefault="009D7A8F" w:rsidP="00F2021E">
      <w:pPr>
        <w:ind w:left="851"/>
        <w:rPr>
          <w:sz w:val="24"/>
          <w:szCs w:val="24"/>
        </w:rPr>
      </w:pPr>
      <w:r w:rsidRPr="009D7A8F">
        <w:rPr>
          <w:sz w:val="24"/>
          <w:szCs w:val="24"/>
        </w:rPr>
        <w:t>Der er ingen evidens for, at ældre patienter har brug for en anden dosis (se pkt. 4.4).</w:t>
      </w:r>
    </w:p>
    <w:bookmarkEnd w:id="0"/>
    <w:p w14:paraId="00F8CB87" w14:textId="77777777" w:rsidR="009D7A8F" w:rsidRPr="009D7A8F" w:rsidRDefault="009D7A8F" w:rsidP="00F2021E">
      <w:pPr>
        <w:ind w:left="851"/>
        <w:rPr>
          <w:sz w:val="24"/>
          <w:szCs w:val="24"/>
        </w:rPr>
      </w:pPr>
    </w:p>
    <w:p w14:paraId="63A4B190" w14:textId="77777777" w:rsidR="009D7A8F" w:rsidRPr="009D7A8F" w:rsidRDefault="009D7A8F" w:rsidP="00F2021E">
      <w:pPr>
        <w:ind w:left="851"/>
        <w:rPr>
          <w:sz w:val="24"/>
          <w:szCs w:val="24"/>
        </w:rPr>
      </w:pPr>
      <w:r w:rsidRPr="009D7A8F">
        <w:rPr>
          <w:sz w:val="24"/>
          <w:szCs w:val="24"/>
        </w:rPr>
        <w:t>Den anbefalede dosering må ikke overskrides.</w:t>
      </w:r>
    </w:p>
    <w:p w14:paraId="57F0B8E4" w14:textId="77777777" w:rsidR="009260DE" w:rsidRPr="00D7630B" w:rsidRDefault="009260DE" w:rsidP="00F2021E">
      <w:pPr>
        <w:ind w:left="851"/>
        <w:rPr>
          <w:sz w:val="24"/>
          <w:szCs w:val="24"/>
        </w:rPr>
      </w:pPr>
    </w:p>
    <w:p w14:paraId="48F1E210" w14:textId="77777777" w:rsidR="009260DE" w:rsidRPr="00D7630B" w:rsidRDefault="009260DE" w:rsidP="009260DE">
      <w:pPr>
        <w:tabs>
          <w:tab w:val="left" w:pos="851"/>
        </w:tabs>
        <w:ind w:left="851" w:hanging="851"/>
        <w:rPr>
          <w:b/>
          <w:sz w:val="24"/>
          <w:szCs w:val="24"/>
        </w:rPr>
      </w:pPr>
      <w:r w:rsidRPr="00D7630B">
        <w:rPr>
          <w:b/>
          <w:sz w:val="24"/>
          <w:szCs w:val="24"/>
        </w:rPr>
        <w:t>4.3</w:t>
      </w:r>
      <w:r w:rsidRPr="00D7630B">
        <w:rPr>
          <w:b/>
          <w:sz w:val="24"/>
          <w:szCs w:val="24"/>
        </w:rPr>
        <w:tab/>
        <w:t>Kontraindikationer</w:t>
      </w:r>
    </w:p>
    <w:p w14:paraId="73629C02" w14:textId="77777777" w:rsidR="009D7A8F" w:rsidRPr="009D7A8F" w:rsidRDefault="009D7A8F" w:rsidP="00F2021E">
      <w:pPr>
        <w:numPr>
          <w:ilvl w:val="0"/>
          <w:numId w:val="7"/>
        </w:numPr>
        <w:ind w:left="1276" w:hanging="425"/>
        <w:rPr>
          <w:sz w:val="24"/>
          <w:szCs w:val="24"/>
        </w:rPr>
      </w:pPr>
      <w:r w:rsidRPr="009D7A8F">
        <w:rPr>
          <w:sz w:val="24"/>
          <w:szCs w:val="24"/>
        </w:rPr>
        <w:t>Overfølsomhed over for det aktive stof, over for andre antihistaminer med en tilsvarende kemisk struktur eller over for et eller flere af hjælpestofferne anført i pkt. 6.1.</w:t>
      </w:r>
    </w:p>
    <w:p w14:paraId="2907DBEF" w14:textId="6CC50C40" w:rsidR="009D7A8F" w:rsidRPr="009D7A8F" w:rsidRDefault="009D7A8F" w:rsidP="00F2021E">
      <w:pPr>
        <w:numPr>
          <w:ilvl w:val="0"/>
          <w:numId w:val="7"/>
        </w:numPr>
        <w:ind w:left="1276" w:hanging="425"/>
        <w:rPr>
          <w:sz w:val="24"/>
          <w:szCs w:val="24"/>
        </w:rPr>
      </w:pPr>
      <w:proofErr w:type="spellStart"/>
      <w:r w:rsidRPr="009D7A8F">
        <w:rPr>
          <w:sz w:val="24"/>
          <w:szCs w:val="24"/>
        </w:rPr>
        <w:t>Clemastine</w:t>
      </w:r>
      <w:proofErr w:type="spellEnd"/>
      <w:r w:rsidRPr="009D7A8F">
        <w:rPr>
          <w:sz w:val="24"/>
          <w:szCs w:val="24"/>
        </w:rPr>
        <w:t xml:space="preserve"> </w:t>
      </w:r>
      <w:r w:rsidR="00D7630B">
        <w:rPr>
          <w:sz w:val="24"/>
          <w:szCs w:val="24"/>
        </w:rPr>
        <w:t>"</w:t>
      </w:r>
      <w:proofErr w:type="spellStart"/>
      <w:r w:rsidR="00D7630B">
        <w:rPr>
          <w:sz w:val="24"/>
          <w:szCs w:val="24"/>
        </w:rPr>
        <w:t>Macure</w:t>
      </w:r>
      <w:proofErr w:type="spellEnd"/>
      <w:r w:rsidR="00D7630B">
        <w:rPr>
          <w:sz w:val="24"/>
          <w:szCs w:val="24"/>
        </w:rPr>
        <w:t>"</w:t>
      </w:r>
      <w:r w:rsidRPr="009D7A8F">
        <w:rPr>
          <w:sz w:val="24"/>
          <w:szCs w:val="24"/>
        </w:rPr>
        <w:t xml:space="preserve"> må ikke administreres til patienter med </w:t>
      </w:r>
      <w:proofErr w:type="spellStart"/>
      <w:r w:rsidRPr="009D7A8F">
        <w:rPr>
          <w:sz w:val="24"/>
          <w:szCs w:val="24"/>
        </w:rPr>
        <w:t>porfyri</w:t>
      </w:r>
      <w:proofErr w:type="spellEnd"/>
      <w:r w:rsidRPr="009D7A8F">
        <w:rPr>
          <w:sz w:val="24"/>
          <w:szCs w:val="24"/>
        </w:rPr>
        <w:t>.</w:t>
      </w:r>
    </w:p>
    <w:p w14:paraId="2D8D262F" w14:textId="1C78928E" w:rsidR="009D7A8F" w:rsidRPr="009D7A8F" w:rsidRDefault="009D7A8F" w:rsidP="00F2021E">
      <w:pPr>
        <w:numPr>
          <w:ilvl w:val="0"/>
          <w:numId w:val="7"/>
        </w:numPr>
        <w:ind w:left="1276" w:hanging="425"/>
        <w:rPr>
          <w:sz w:val="24"/>
          <w:szCs w:val="24"/>
        </w:rPr>
      </w:pPr>
      <w:proofErr w:type="spellStart"/>
      <w:r w:rsidRPr="009D7A8F">
        <w:rPr>
          <w:sz w:val="24"/>
          <w:szCs w:val="24"/>
        </w:rPr>
        <w:t>Clemastine</w:t>
      </w:r>
      <w:proofErr w:type="spellEnd"/>
      <w:r w:rsidRPr="009D7A8F">
        <w:rPr>
          <w:sz w:val="24"/>
          <w:szCs w:val="24"/>
        </w:rPr>
        <w:t xml:space="preserve"> </w:t>
      </w:r>
      <w:r w:rsidR="00D7630B">
        <w:rPr>
          <w:sz w:val="24"/>
          <w:szCs w:val="24"/>
        </w:rPr>
        <w:t>"</w:t>
      </w:r>
      <w:proofErr w:type="spellStart"/>
      <w:r w:rsidR="00D7630B">
        <w:rPr>
          <w:sz w:val="24"/>
          <w:szCs w:val="24"/>
        </w:rPr>
        <w:t>Macure</w:t>
      </w:r>
      <w:proofErr w:type="spellEnd"/>
      <w:r w:rsidR="00D7630B">
        <w:rPr>
          <w:sz w:val="24"/>
          <w:szCs w:val="24"/>
        </w:rPr>
        <w:t>"</w:t>
      </w:r>
      <w:r w:rsidRPr="009D7A8F">
        <w:rPr>
          <w:sz w:val="24"/>
          <w:szCs w:val="24"/>
        </w:rPr>
        <w:t xml:space="preserve"> må ikke administreres til børn under 1 år på grund af den øgede risiko for alvorlige bivirkninger.</w:t>
      </w:r>
    </w:p>
    <w:p w14:paraId="2A07D644" w14:textId="77777777" w:rsidR="009260DE" w:rsidRPr="00D7630B" w:rsidRDefault="009260DE" w:rsidP="009260DE">
      <w:pPr>
        <w:tabs>
          <w:tab w:val="left" w:pos="851"/>
        </w:tabs>
        <w:ind w:left="851"/>
        <w:rPr>
          <w:sz w:val="24"/>
          <w:szCs w:val="24"/>
        </w:rPr>
      </w:pPr>
    </w:p>
    <w:p w14:paraId="09B3B18C" w14:textId="77777777" w:rsidR="009260DE" w:rsidRPr="00D7630B" w:rsidRDefault="009260DE" w:rsidP="009260DE">
      <w:pPr>
        <w:tabs>
          <w:tab w:val="left" w:pos="851"/>
        </w:tabs>
        <w:ind w:left="851" w:hanging="851"/>
        <w:rPr>
          <w:b/>
          <w:sz w:val="24"/>
          <w:szCs w:val="24"/>
        </w:rPr>
      </w:pPr>
      <w:r w:rsidRPr="00D7630B">
        <w:rPr>
          <w:b/>
          <w:sz w:val="24"/>
          <w:szCs w:val="24"/>
        </w:rPr>
        <w:t>4.4</w:t>
      </w:r>
      <w:r w:rsidRPr="00D7630B">
        <w:rPr>
          <w:b/>
          <w:sz w:val="24"/>
          <w:szCs w:val="24"/>
        </w:rPr>
        <w:tab/>
        <w:t>Særlige advarsler og forsigtighedsregler vedrørende brugen</w:t>
      </w:r>
    </w:p>
    <w:p w14:paraId="128142DE" w14:textId="77777777" w:rsidR="009D7A8F" w:rsidRPr="009D7A8F" w:rsidRDefault="009D7A8F" w:rsidP="00F2021E">
      <w:pPr>
        <w:ind w:left="851"/>
        <w:rPr>
          <w:sz w:val="24"/>
          <w:szCs w:val="24"/>
        </w:rPr>
      </w:pPr>
      <w:r w:rsidRPr="009D7A8F">
        <w:rPr>
          <w:sz w:val="24"/>
          <w:szCs w:val="24"/>
        </w:rPr>
        <w:t xml:space="preserve">Der kræves ekstra forsigtighed ved brug hos ældre på grund af den højere risiko for bivirkninger (f.eks. </w:t>
      </w:r>
      <w:proofErr w:type="spellStart"/>
      <w:r w:rsidRPr="009D7A8F">
        <w:rPr>
          <w:sz w:val="24"/>
          <w:szCs w:val="24"/>
        </w:rPr>
        <w:t>antikolinerge</w:t>
      </w:r>
      <w:proofErr w:type="spellEnd"/>
      <w:r w:rsidRPr="009D7A8F">
        <w:rPr>
          <w:sz w:val="24"/>
          <w:szCs w:val="24"/>
        </w:rPr>
        <w:t xml:space="preserve"> virkninger og paradoksal uro) (se pkt. 4.2). Undgå brug hos ældre patienter med forvirring.</w:t>
      </w:r>
    </w:p>
    <w:p w14:paraId="03EEF354" w14:textId="77777777" w:rsidR="009D7A8F" w:rsidRPr="009D7A8F" w:rsidRDefault="009D7A8F" w:rsidP="00F2021E">
      <w:pPr>
        <w:ind w:left="851"/>
        <w:rPr>
          <w:sz w:val="24"/>
          <w:szCs w:val="24"/>
        </w:rPr>
      </w:pPr>
    </w:p>
    <w:p w14:paraId="00F9853B" w14:textId="4FC49579" w:rsidR="009D7A8F" w:rsidRPr="009D7A8F" w:rsidRDefault="009D7A8F" w:rsidP="00F2021E">
      <w:pPr>
        <w:ind w:left="851"/>
        <w:rPr>
          <w:b/>
          <w:bCs/>
          <w:sz w:val="24"/>
          <w:szCs w:val="24"/>
        </w:rPr>
      </w:pPr>
      <w:proofErr w:type="spellStart"/>
      <w:r w:rsidRPr="009D7A8F">
        <w:rPr>
          <w:b/>
          <w:bCs/>
          <w:sz w:val="24"/>
          <w:szCs w:val="24"/>
        </w:rPr>
        <w:t>Clemastine</w:t>
      </w:r>
      <w:proofErr w:type="spellEnd"/>
      <w:r w:rsidRPr="009D7A8F">
        <w:rPr>
          <w:b/>
          <w:bCs/>
          <w:sz w:val="24"/>
          <w:szCs w:val="24"/>
        </w:rPr>
        <w:t xml:space="preserve"> </w:t>
      </w:r>
      <w:r w:rsidR="00D7630B">
        <w:rPr>
          <w:b/>
          <w:bCs/>
          <w:sz w:val="24"/>
          <w:szCs w:val="24"/>
        </w:rPr>
        <w:t>"</w:t>
      </w:r>
      <w:proofErr w:type="spellStart"/>
      <w:r w:rsidR="00D7630B">
        <w:rPr>
          <w:b/>
          <w:bCs/>
          <w:sz w:val="24"/>
          <w:szCs w:val="24"/>
        </w:rPr>
        <w:t>Macure</w:t>
      </w:r>
      <w:proofErr w:type="spellEnd"/>
      <w:r w:rsidR="00D7630B">
        <w:rPr>
          <w:b/>
          <w:bCs/>
          <w:sz w:val="24"/>
          <w:szCs w:val="24"/>
        </w:rPr>
        <w:t>"</w:t>
      </w:r>
      <w:r w:rsidRPr="009D7A8F">
        <w:rPr>
          <w:b/>
          <w:bCs/>
          <w:sz w:val="24"/>
          <w:szCs w:val="24"/>
        </w:rPr>
        <w:t xml:space="preserve"> injektionsvæske, opløsning indeholder</w:t>
      </w:r>
    </w:p>
    <w:p w14:paraId="7F78E63F" w14:textId="77777777" w:rsidR="009D7A8F" w:rsidRPr="009D7A8F" w:rsidRDefault="009D7A8F" w:rsidP="00F2021E">
      <w:pPr>
        <w:numPr>
          <w:ilvl w:val="2"/>
          <w:numId w:val="8"/>
        </w:numPr>
        <w:ind w:left="1276" w:hanging="425"/>
        <w:rPr>
          <w:bCs/>
          <w:sz w:val="24"/>
          <w:szCs w:val="24"/>
        </w:rPr>
      </w:pPr>
      <w:r w:rsidRPr="009D7A8F">
        <w:rPr>
          <w:b/>
          <w:sz w:val="24"/>
          <w:szCs w:val="24"/>
        </w:rPr>
        <w:t>Sorbitol.</w:t>
      </w:r>
      <w:r w:rsidRPr="009D7A8F">
        <w:rPr>
          <w:sz w:val="24"/>
          <w:szCs w:val="24"/>
        </w:rPr>
        <w:t xml:space="preserve"> Dette lægemiddel indeholder 90 mg sorbitol pr. 2 ml injektionsvæske, opløsning.</w:t>
      </w:r>
    </w:p>
    <w:p w14:paraId="5C25F978" w14:textId="77777777" w:rsidR="009D7A8F" w:rsidRPr="009D7A8F" w:rsidRDefault="009D7A8F" w:rsidP="00F2021E">
      <w:pPr>
        <w:ind w:left="1276" w:hanging="425"/>
        <w:rPr>
          <w:sz w:val="24"/>
          <w:szCs w:val="24"/>
        </w:rPr>
      </w:pPr>
    </w:p>
    <w:p w14:paraId="37E05C44" w14:textId="77777777" w:rsidR="009D7A8F" w:rsidRPr="009D7A8F" w:rsidRDefault="009D7A8F" w:rsidP="00A84542">
      <w:pPr>
        <w:ind w:left="1276"/>
        <w:rPr>
          <w:sz w:val="24"/>
          <w:szCs w:val="24"/>
        </w:rPr>
      </w:pPr>
      <w:r w:rsidRPr="009D7A8F">
        <w:rPr>
          <w:sz w:val="24"/>
          <w:szCs w:val="24"/>
        </w:rPr>
        <w:t xml:space="preserve">Sorbitol er en kilde til </w:t>
      </w:r>
      <w:proofErr w:type="spellStart"/>
      <w:r w:rsidRPr="009D7A8F">
        <w:rPr>
          <w:sz w:val="24"/>
          <w:szCs w:val="24"/>
        </w:rPr>
        <w:t>fructose</w:t>
      </w:r>
      <w:proofErr w:type="spellEnd"/>
      <w:r w:rsidRPr="009D7A8F">
        <w:rPr>
          <w:sz w:val="24"/>
          <w:szCs w:val="24"/>
        </w:rPr>
        <w:t xml:space="preserve">. Hvis patienten har arvelig </w:t>
      </w:r>
      <w:proofErr w:type="spellStart"/>
      <w:r w:rsidRPr="009D7A8F">
        <w:rPr>
          <w:sz w:val="24"/>
          <w:szCs w:val="24"/>
        </w:rPr>
        <w:t>fructoseintolerans</w:t>
      </w:r>
      <w:proofErr w:type="spellEnd"/>
      <w:r w:rsidRPr="009D7A8F">
        <w:rPr>
          <w:sz w:val="24"/>
          <w:szCs w:val="24"/>
        </w:rPr>
        <w:t xml:space="preserve"> (HFI), en sjælden genetisk lidelse, må patienten ikke få dette lægemiddel. Patienter med HFI kan ikke nedbryde </w:t>
      </w:r>
      <w:proofErr w:type="spellStart"/>
      <w:r w:rsidRPr="009D7A8F">
        <w:rPr>
          <w:sz w:val="24"/>
          <w:szCs w:val="24"/>
        </w:rPr>
        <w:t>fructose</w:t>
      </w:r>
      <w:proofErr w:type="spellEnd"/>
      <w:r w:rsidRPr="009D7A8F">
        <w:rPr>
          <w:sz w:val="24"/>
          <w:szCs w:val="24"/>
        </w:rPr>
        <w:t>, hvilket kan medføre alvorlige bivirkninger.</w:t>
      </w:r>
    </w:p>
    <w:p w14:paraId="35407738" w14:textId="77777777" w:rsidR="009D7A8F" w:rsidRPr="009D7A8F" w:rsidRDefault="009D7A8F" w:rsidP="00F2021E">
      <w:pPr>
        <w:ind w:left="1276" w:hanging="425"/>
        <w:rPr>
          <w:sz w:val="24"/>
          <w:szCs w:val="24"/>
        </w:rPr>
      </w:pPr>
    </w:p>
    <w:p w14:paraId="052A6302" w14:textId="77777777" w:rsidR="009D7A8F" w:rsidRPr="009D7A8F" w:rsidRDefault="009D7A8F" w:rsidP="00A84542">
      <w:pPr>
        <w:ind w:left="1276"/>
        <w:rPr>
          <w:sz w:val="24"/>
          <w:szCs w:val="24"/>
        </w:rPr>
      </w:pPr>
      <w:r w:rsidRPr="009D7A8F">
        <w:rPr>
          <w:sz w:val="24"/>
          <w:szCs w:val="24"/>
        </w:rPr>
        <w:lastRenderedPageBreak/>
        <w:t>Detaljeret anamnese med henblik på symptomer på HFI skal foretages, før patienten kan anvende lægemidlet.</w:t>
      </w:r>
    </w:p>
    <w:p w14:paraId="4624F807" w14:textId="77777777" w:rsidR="009D7A8F" w:rsidRPr="009D7A8F" w:rsidRDefault="009D7A8F" w:rsidP="00F2021E">
      <w:pPr>
        <w:ind w:left="1276" w:hanging="425"/>
        <w:rPr>
          <w:sz w:val="24"/>
          <w:szCs w:val="24"/>
        </w:rPr>
      </w:pPr>
    </w:p>
    <w:p w14:paraId="134BF625" w14:textId="77777777" w:rsidR="009D7A8F" w:rsidRPr="009D7A8F" w:rsidRDefault="009D7A8F" w:rsidP="00F2021E">
      <w:pPr>
        <w:numPr>
          <w:ilvl w:val="2"/>
          <w:numId w:val="9"/>
        </w:numPr>
        <w:ind w:left="1276" w:hanging="425"/>
        <w:rPr>
          <w:sz w:val="24"/>
          <w:szCs w:val="24"/>
        </w:rPr>
      </w:pPr>
      <w:proofErr w:type="spellStart"/>
      <w:r w:rsidRPr="009D7A8F">
        <w:rPr>
          <w:b/>
          <w:sz w:val="24"/>
          <w:szCs w:val="24"/>
        </w:rPr>
        <w:t>Ethanol</w:t>
      </w:r>
      <w:proofErr w:type="spellEnd"/>
      <w:r w:rsidRPr="009D7A8F">
        <w:rPr>
          <w:b/>
          <w:sz w:val="24"/>
          <w:szCs w:val="24"/>
        </w:rPr>
        <w:t xml:space="preserve"> </w:t>
      </w:r>
      <w:r w:rsidRPr="009D7A8F">
        <w:rPr>
          <w:sz w:val="24"/>
          <w:szCs w:val="24"/>
        </w:rPr>
        <w:t>(alkohol): Dette lægemiddel indeholder 140 mg alkohol (</w:t>
      </w:r>
      <w:proofErr w:type="spellStart"/>
      <w:r w:rsidRPr="009D7A8F">
        <w:rPr>
          <w:sz w:val="24"/>
          <w:szCs w:val="24"/>
        </w:rPr>
        <w:t>ethanol</w:t>
      </w:r>
      <w:proofErr w:type="spellEnd"/>
      <w:r w:rsidRPr="009D7A8F">
        <w:rPr>
          <w:sz w:val="24"/>
          <w:szCs w:val="24"/>
        </w:rPr>
        <w:t>) pr. 2 ml injektionsvæske, opløsning (8 </w:t>
      </w:r>
      <w:proofErr w:type="spellStart"/>
      <w:r w:rsidRPr="009D7A8F">
        <w:rPr>
          <w:sz w:val="24"/>
          <w:szCs w:val="24"/>
        </w:rPr>
        <w:t>vol</w:t>
      </w:r>
      <w:proofErr w:type="spellEnd"/>
      <w:r w:rsidRPr="009D7A8F">
        <w:rPr>
          <w:sz w:val="24"/>
          <w:szCs w:val="24"/>
        </w:rPr>
        <w:t>-%). Mængden i 2 ml af dette lægemiddel svarer til mindre end 3,3 ml øl eller 1,4 ml vin.</w:t>
      </w:r>
    </w:p>
    <w:p w14:paraId="642E957F" w14:textId="77777777" w:rsidR="009D7A8F" w:rsidRPr="009D7A8F" w:rsidRDefault="009D7A8F" w:rsidP="00F2021E">
      <w:pPr>
        <w:ind w:left="1276" w:hanging="425"/>
        <w:rPr>
          <w:sz w:val="24"/>
          <w:szCs w:val="24"/>
        </w:rPr>
      </w:pPr>
    </w:p>
    <w:p w14:paraId="6A2A21D8" w14:textId="77777777" w:rsidR="009D7A8F" w:rsidRPr="009D7A8F" w:rsidRDefault="009D7A8F" w:rsidP="00A84542">
      <w:pPr>
        <w:ind w:left="1276"/>
        <w:rPr>
          <w:sz w:val="24"/>
          <w:szCs w:val="24"/>
        </w:rPr>
      </w:pPr>
      <w:r w:rsidRPr="009D7A8F">
        <w:rPr>
          <w:sz w:val="24"/>
          <w:szCs w:val="24"/>
        </w:rPr>
        <w:t>Den mindre mængde alkohol i dette lægemiddel vil ikke have nogen nævneværdig effekt.</w:t>
      </w:r>
    </w:p>
    <w:p w14:paraId="6D614D35" w14:textId="77777777" w:rsidR="009D7A8F" w:rsidRPr="009D7A8F" w:rsidRDefault="009D7A8F" w:rsidP="00F2021E">
      <w:pPr>
        <w:ind w:left="1276" w:hanging="425"/>
        <w:rPr>
          <w:sz w:val="24"/>
          <w:szCs w:val="24"/>
        </w:rPr>
      </w:pPr>
    </w:p>
    <w:p w14:paraId="48DBE01E" w14:textId="77777777" w:rsidR="009D7A8F" w:rsidRPr="009D7A8F" w:rsidRDefault="009D7A8F" w:rsidP="00F2021E">
      <w:pPr>
        <w:numPr>
          <w:ilvl w:val="2"/>
          <w:numId w:val="9"/>
        </w:numPr>
        <w:ind w:left="1276" w:hanging="425"/>
        <w:rPr>
          <w:sz w:val="24"/>
          <w:szCs w:val="24"/>
        </w:rPr>
      </w:pPr>
      <w:r w:rsidRPr="009D7A8F">
        <w:rPr>
          <w:b/>
          <w:sz w:val="24"/>
          <w:szCs w:val="24"/>
        </w:rPr>
        <w:t xml:space="preserve">Propylenglycol. </w:t>
      </w:r>
      <w:r w:rsidRPr="009D7A8F">
        <w:rPr>
          <w:sz w:val="24"/>
          <w:szCs w:val="24"/>
        </w:rPr>
        <w:t>Dette lægemiddel indeholder 600 mg propylenglycol pr. 2 ml injektionsvæske, opløsning.</w:t>
      </w:r>
    </w:p>
    <w:p w14:paraId="3631AE19" w14:textId="77777777" w:rsidR="009D7A8F" w:rsidRPr="009D7A8F" w:rsidRDefault="009D7A8F" w:rsidP="00F2021E">
      <w:pPr>
        <w:ind w:left="1276" w:hanging="425"/>
        <w:rPr>
          <w:sz w:val="24"/>
          <w:szCs w:val="24"/>
        </w:rPr>
      </w:pPr>
    </w:p>
    <w:p w14:paraId="2AF0CEB3" w14:textId="77777777" w:rsidR="009D7A8F" w:rsidRPr="009D7A8F" w:rsidRDefault="009D7A8F" w:rsidP="00F2021E">
      <w:pPr>
        <w:numPr>
          <w:ilvl w:val="2"/>
          <w:numId w:val="9"/>
        </w:numPr>
        <w:ind w:left="1276" w:hanging="425"/>
        <w:rPr>
          <w:sz w:val="24"/>
          <w:szCs w:val="24"/>
        </w:rPr>
      </w:pPr>
      <w:r w:rsidRPr="009D7A8F">
        <w:rPr>
          <w:b/>
          <w:sz w:val="24"/>
          <w:szCs w:val="24"/>
        </w:rPr>
        <w:t xml:space="preserve">Natrium. </w:t>
      </w:r>
      <w:r w:rsidRPr="009D7A8F">
        <w:rPr>
          <w:sz w:val="24"/>
          <w:szCs w:val="24"/>
        </w:rPr>
        <w:t>Dette lægemiddel indeholder mindre end 1 mmol (23 mg) natrium pr. 2 ml injektionsvæske, opløsning, dvs. det er i det væsentlige natriumfrit.</w:t>
      </w:r>
    </w:p>
    <w:p w14:paraId="733665CB" w14:textId="77777777" w:rsidR="009D7A8F" w:rsidRPr="009D7A8F" w:rsidRDefault="009D7A8F" w:rsidP="00F2021E">
      <w:pPr>
        <w:ind w:left="851"/>
        <w:rPr>
          <w:sz w:val="24"/>
          <w:szCs w:val="24"/>
        </w:rPr>
      </w:pPr>
    </w:p>
    <w:p w14:paraId="08EC0281" w14:textId="77777777" w:rsidR="009D7A8F" w:rsidRPr="009D7A8F" w:rsidRDefault="009D7A8F" w:rsidP="00F2021E">
      <w:pPr>
        <w:ind w:left="851"/>
        <w:rPr>
          <w:sz w:val="24"/>
          <w:szCs w:val="24"/>
        </w:rPr>
      </w:pPr>
      <w:r w:rsidRPr="009D7A8F">
        <w:rPr>
          <w:sz w:val="24"/>
          <w:szCs w:val="24"/>
        </w:rPr>
        <w:t>Antihistaminer bør anvendes med den nødvendige forsigtighed hos patienter med:</w:t>
      </w:r>
    </w:p>
    <w:p w14:paraId="6128B5C0" w14:textId="77777777" w:rsidR="009D7A8F" w:rsidRPr="009D7A8F" w:rsidRDefault="009D7A8F" w:rsidP="00F2021E">
      <w:pPr>
        <w:numPr>
          <w:ilvl w:val="0"/>
          <w:numId w:val="7"/>
        </w:numPr>
        <w:ind w:left="1276" w:hanging="425"/>
        <w:rPr>
          <w:sz w:val="24"/>
          <w:szCs w:val="24"/>
        </w:rPr>
      </w:pPr>
      <w:r w:rsidRPr="009D7A8F">
        <w:rPr>
          <w:sz w:val="24"/>
          <w:szCs w:val="24"/>
        </w:rPr>
        <w:t>epilepsi eller en anamnese med epileptiske anfald</w:t>
      </w:r>
    </w:p>
    <w:p w14:paraId="71D16B00" w14:textId="77777777" w:rsidR="009D7A8F" w:rsidRPr="009D7A8F" w:rsidRDefault="009D7A8F" w:rsidP="00F2021E">
      <w:pPr>
        <w:numPr>
          <w:ilvl w:val="0"/>
          <w:numId w:val="7"/>
        </w:numPr>
        <w:ind w:left="1276" w:hanging="425"/>
        <w:rPr>
          <w:sz w:val="24"/>
          <w:szCs w:val="24"/>
        </w:rPr>
      </w:pPr>
      <w:r w:rsidRPr="009D7A8F">
        <w:rPr>
          <w:sz w:val="24"/>
          <w:szCs w:val="24"/>
        </w:rPr>
        <w:t xml:space="preserve">snævervinklet </w:t>
      </w:r>
      <w:proofErr w:type="spellStart"/>
      <w:r w:rsidRPr="009D7A8F">
        <w:rPr>
          <w:sz w:val="24"/>
          <w:szCs w:val="24"/>
        </w:rPr>
        <w:t>glaukom</w:t>
      </w:r>
      <w:proofErr w:type="spellEnd"/>
    </w:p>
    <w:p w14:paraId="0A02E08E" w14:textId="77777777" w:rsidR="009D7A8F" w:rsidRPr="009D7A8F" w:rsidRDefault="009D7A8F" w:rsidP="00F2021E">
      <w:pPr>
        <w:numPr>
          <w:ilvl w:val="0"/>
          <w:numId w:val="7"/>
        </w:numPr>
        <w:ind w:left="1276" w:hanging="425"/>
        <w:rPr>
          <w:sz w:val="24"/>
          <w:szCs w:val="24"/>
        </w:rPr>
      </w:pPr>
      <w:proofErr w:type="spellStart"/>
      <w:r w:rsidRPr="009D7A8F">
        <w:rPr>
          <w:sz w:val="24"/>
          <w:szCs w:val="24"/>
        </w:rPr>
        <w:t>stenoserende</w:t>
      </w:r>
      <w:proofErr w:type="spellEnd"/>
      <w:r w:rsidRPr="009D7A8F">
        <w:rPr>
          <w:sz w:val="24"/>
          <w:szCs w:val="24"/>
        </w:rPr>
        <w:t xml:space="preserve"> </w:t>
      </w:r>
      <w:proofErr w:type="spellStart"/>
      <w:r w:rsidRPr="009D7A8F">
        <w:rPr>
          <w:sz w:val="24"/>
          <w:szCs w:val="24"/>
        </w:rPr>
        <w:t>peptisk</w:t>
      </w:r>
      <w:proofErr w:type="spellEnd"/>
      <w:r w:rsidRPr="009D7A8F">
        <w:rPr>
          <w:sz w:val="24"/>
          <w:szCs w:val="24"/>
        </w:rPr>
        <w:t xml:space="preserve"> </w:t>
      </w:r>
      <w:proofErr w:type="spellStart"/>
      <w:r w:rsidRPr="009D7A8F">
        <w:rPr>
          <w:sz w:val="24"/>
          <w:szCs w:val="24"/>
        </w:rPr>
        <w:t>ulcer</w:t>
      </w:r>
      <w:proofErr w:type="spellEnd"/>
    </w:p>
    <w:p w14:paraId="2B6D5D50" w14:textId="77777777" w:rsidR="009D7A8F" w:rsidRPr="009D7A8F" w:rsidRDefault="009D7A8F" w:rsidP="00F2021E">
      <w:pPr>
        <w:numPr>
          <w:ilvl w:val="0"/>
          <w:numId w:val="7"/>
        </w:numPr>
        <w:ind w:left="1276" w:hanging="425"/>
        <w:rPr>
          <w:sz w:val="24"/>
          <w:szCs w:val="24"/>
        </w:rPr>
      </w:pPr>
      <w:proofErr w:type="spellStart"/>
      <w:r w:rsidRPr="009D7A8F">
        <w:rPr>
          <w:sz w:val="24"/>
          <w:szCs w:val="24"/>
        </w:rPr>
        <w:t>pylorus</w:t>
      </w:r>
      <w:proofErr w:type="spellEnd"/>
      <w:r w:rsidRPr="009D7A8F">
        <w:rPr>
          <w:sz w:val="24"/>
          <w:szCs w:val="24"/>
        </w:rPr>
        <w:t>-/</w:t>
      </w:r>
      <w:proofErr w:type="spellStart"/>
      <w:r w:rsidRPr="009D7A8F">
        <w:rPr>
          <w:sz w:val="24"/>
          <w:szCs w:val="24"/>
        </w:rPr>
        <w:t>duodenalobstruktion</w:t>
      </w:r>
      <w:proofErr w:type="spellEnd"/>
    </w:p>
    <w:p w14:paraId="1DA1829B" w14:textId="77777777" w:rsidR="009D7A8F" w:rsidRPr="009D7A8F" w:rsidRDefault="009D7A8F" w:rsidP="00F2021E">
      <w:pPr>
        <w:numPr>
          <w:ilvl w:val="0"/>
          <w:numId w:val="7"/>
        </w:numPr>
        <w:ind w:left="1276" w:hanging="425"/>
        <w:rPr>
          <w:sz w:val="24"/>
          <w:szCs w:val="24"/>
        </w:rPr>
      </w:pPr>
      <w:proofErr w:type="spellStart"/>
      <w:r w:rsidRPr="009D7A8F">
        <w:rPr>
          <w:sz w:val="24"/>
          <w:szCs w:val="24"/>
        </w:rPr>
        <w:t>prostatahyperplasi</w:t>
      </w:r>
      <w:proofErr w:type="spellEnd"/>
      <w:r w:rsidRPr="009D7A8F">
        <w:rPr>
          <w:sz w:val="24"/>
          <w:szCs w:val="24"/>
        </w:rPr>
        <w:t xml:space="preserve"> med urinretention og blærehalsobstruktion.</w:t>
      </w:r>
    </w:p>
    <w:p w14:paraId="4AC21CE0" w14:textId="77777777" w:rsidR="009260DE" w:rsidRPr="00D7630B" w:rsidRDefault="009260DE" w:rsidP="009260DE">
      <w:pPr>
        <w:tabs>
          <w:tab w:val="left" w:pos="851"/>
        </w:tabs>
        <w:ind w:left="851"/>
        <w:rPr>
          <w:sz w:val="24"/>
          <w:szCs w:val="24"/>
        </w:rPr>
      </w:pPr>
    </w:p>
    <w:p w14:paraId="13DA8C81" w14:textId="77777777" w:rsidR="009260DE" w:rsidRPr="00D7630B" w:rsidRDefault="009260DE" w:rsidP="009260DE">
      <w:pPr>
        <w:tabs>
          <w:tab w:val="left" w:pos="851"/>
        </w:tabs>
        <w:ind w:left="851" w:hanging="851"/>
        <w:rPr>
          <w:b/>
          <w:sz w:val="24"/>
          <w:szCs w:val="24"/>
        </w:rPr>
      </w:pPr>
      <w:r w:rsidRPr="00D7630B">
        <w:rPr>
          <w:b/>
          <w:sz w:val="24"/>
          <w:szCs w:val="24"/>
        </w:rPr>
        <w:t>4.5</w:t>
      </w:r>
      <w:r w:rsidRPr="00D7630B">
        <w:rPr>
          <w:b/>
          <w:sz w:val="24"/>
          <w:szCs w:val="24"/>
        </w:rPr>
        <w:tab/>
        <w:t>Interaktion med andre lægemidler og andre former for interaktion</w:t>
      </w:r>
    </w:p>
    <w:p w14:paraId="51310865" w14:textId="77777777" w:rsidR="009D7A8F" w:rsidRPr="009D7A8F" w:rsidRDefault="009D7A8F" w:rsidP="00D7630B">
      <w:pPr>
        <w:ind w:left="851"/>
        <w:rPr>
          <w:sz w:val="24"/>
          <w:szCs w:val="24"/>
        </w:rPr>
      </w:pPr>
      <w:proofErr w:type="spellStart"/>
      <w:r w:rsidRPr="009D7A8F">
        <w:rPr>
          <w:sz w:val="24"/>
          <w:szCs w:val="24"/>
        </w:rPr>
        <w:t>Clemastin</w:t>
      </w:r>
      <w:proofErr w:type="spellEnd"/>
      <w:r w:rsidRPr="009D7A8F">
        <w:rPr>
          <w:sz w:val="24"/>
          <w:szCs w:val="24"/>
        </w:rPr>
        <w:t xml:space="preserve"> øger den sederende virkning af undertrykkere af centralnervesystemet, såsom </w:t>
      </w:r>
      <w:proofErr w:type="spellStart"/>
      <w:r w:rsidRPr="009D7A8F">
        <w:rPr>
          <w:sz w:val="24"/>
          <w:szCs w:val="24"/>
        </w:rPr>
        <w:t>hypnotika</w:t>
      </w:r>
      <w:proofErr w:type="spellEnd"/>
      <w:r w:rsidRPr="009D7A8F">
        <w:rPr>
          <w:sz w:val="24"/>
          <w:szCs w:val="24"/>
        </w:rPr>
        <w:t xml:space="preserve">, </w:t>
      </w:r>
      <w:proofErr w:type="spellStart"/>
      <w:r w:rsidRPr="009D7A8F">
        <w:rPr>
          <w:sz w:val="24"/>
          <w:szCs w:val="24"/>
        </w:rPr>
        <w:t>antidepressiva</w:t>
      </w:r>
      <w:proofErr w:type="spellEnd"/>
      <w:r w:rsidRPr="009D7A8F">
        <w:rPr>
          <w:sz w:val="24"/>
          <w:szCs w:val="24"/>
        </w:rPr>
        <w:t xml:space="preserve"> (både tricykliske og MAO-</w:t>
      </w:r>
      <w:proofErr w:type="spellStart"/>
      <w:r w:rsidRPr="009D7A8F">
        <w:rPr>
          <w:sz w:val="24"/>
          <w:szCs w:val="24"/>
        </w:rPr>
        <w:t>hæmmere</w:t>
      </w:r>
      <w:proofErr w:type="spellEnd"/>
      <w:r w:rsidRPr="009D7A8F">
        <w:rPr>
          <w:sz w:val="24"/>
          <w:szCs w:val="24"/>
        </w:rPr>
        <w:t xml:space="preserve">), </w:t>
      </w:r>
      <w:proofErr w:type="spellStart"/>
      <w:r w:rsidRPr="009D7A8F">
        <w:rPr>
          <w:sz w:val="24"/>
          <w:szCs w:val="24"/>
        </w:rPr>
        <w:t>parasympatolytika</w:t>
      </w:r>
      <w:proofErr w:type="spellEnd"/>
      <w:r w:rsidRPr="009D7A8F">
        <w:rPr>
          <w:sz w:val="24"/>
          <w:szCs w:val="24"/>
        </w:rPr>
        <w:t xml:space="preserve">, narkotiske </w:t>
      </w:r>
      <w:proofErr w:type="spellStart"/>
      <w:r w:rsidRPr="009D7A8F">
        <w:rPr>
          <w:sz w:val="24"/>
          <w:szCs w:val="24"/>
        </w:rPr>
        <w:t>analgetika</w:t>
      </w:r>
      <w:proofErr w:type="spellEnd"/>
      <w:r w:rsidRPr="009D7A8F">
        <w:rPr>
          <w:sz w:val="24"/>
          <w:szCs w:val="24"/>
        </w:rPr>
        <w:t xml:space="preserve">, </w:t>
      </w:r>
      <w:proofErr w:type="spellStart"/>
      <w:r w:rsidRPr="009D7A8F">
        <w:rPr>
          <w:sz w:val="24"/>
          <w:szCs w:val="24"/>
        </w:rPr>
        <w:t>anxiolytika</w:t>
      </w:r>
      <w:proofErr w:type="spellEnd"/>
      <w:r w:rsidRPr="009D7A8F">
        <w:rPr>
          <w:sz w:val="24"/>
          <w:szCs w:val="24"/>
        </w:rPr>
        <w:t xml:space="preserve"> og alkohol. MAO-</w:t>
      </w:r>
      <w:proofErr w:type="spellStart"/>
      <w:r w:rsidRPr="009D7A8F">
        <w:rPr>
          <w:sz w:val="24"/>
          <w:szCs w:val="24"/>
        </w:rPr>
        <w:t>hæmmere</w:t>
      </w:r>
      <w:proofErr w:type="spellEnd"/>
      <w:r w:rsidRPr="009D7A8F">
        <w:rPr>
          <w:sz w:val="24"/>
          <w:szCs w:val="24"/>
        </w:rPr>
        <w:t xml:space="preserve"> forlænger og øger </w:t>
      </w:r>
      <w:proofErr w:type="spellStart"/>
      <w:r w:rsidRPr="009D7A8F">
        <w:rPr>
          <w:sz w:val="24"/>
          <w:szCs w:val="24"/>
        </w:rPr>
        <w:t>antikolinerge</w:t>
      </w:r>
      <w:proofErr w:type="spellEnd"/>
      <w:r w:rsidRPr="009D7A8F">
        <w:rPr>
          <w:sz w:val="24"/>
          <w:szCs w:val="24"/>
        </w:rPr>
        <w:t xml:space="preserve"> virkninger af antihistaminer.</w:t>
      </w:r>
    </w:p>
    <w:p w14:paraId="19CCBBB2" w14:textId="77777777" w:rsidR="009260DE" w:rsidRPr="00D7630B" w:rsidRDefault="009260DE" w:rsidP="009260DE">
      <w:pPr>
        <w:tabs>
          <w:tab w:val="left" w:pos="851"/>
        </w:tabs>
        <w:ind w:left="851"/>
        <w:rPr>
          <w:sz w:val="24"/>
          <w:szCs w:val="24"/>
        </w:rPr>
      </w:pPr>
    </w:p>
    <w:p w14:paraId="5E495AAD" w14:textId="77777777" w:rsidR="009260DE" w:rsidRPr="00D7630B" w:rsidRDefault="009260DE" w:rsidP="009260DE">
      <w:pPr>
        <w:tabs>
          <w:tab w:val="left" w:pos="851"/>
        </w:tabs>
        <w:ind w:left="851" w:hanging="851"/>
        <w:rPr>
          <w:b/>
          <w:sz w:val="24"/>
          <w:szCs w:val="24"/>
        </w:rPr>
      </w:pPr>
      <w:r w:rsidRPr="00D7630B">
        <w:rPr>
          <w:b/>
          <w:sz w:val="24"/>
          <w:szCs w:val="24"/>
        </w:rPr>
        <w:t>4.6</w:t>
      </w:r>
      <w:r w:rsidRPr="00D7630B">
        <w:rPr>
          <w:b/>
          <w:sz w:val="24"/>
          <w:szCs w:val="24"/>
        </w:rPr>
        <w:tab/>
      </w:r>
      <w:r w:rsidR="0071241E" w:rsidRPr="00D7630B">
        <w:rPr>
          <w:b/>
          <w:sz w:val="24"/>
          <w:szCs w:val="24"/>
        </w:rPr>
        <w:t>Fertilitet, g</w:t>
      </w:r>
      <w:r w:rsidRPr="00D7630B">
        <w:rPr>
          <w:b/>
          <w:sz w:val="24"/>
          <w:szCs w:val="24"/>
        </w:rPr>
        <w:t>raviditet og amning</w:t>
      </w:r>
    </w:p>
    <w:p w14:paraId="3AB2B7FC" w14:textId="77777777" w:rsidR="00A84542" w:rsidRDefault="00A84542" w:rsidP="00D7630B">
      <w:pPr>
        <w:ind w:left="851"/>
        <w:rPr>
          <w:sz w:val="24"/>
          <w:szCs w:val="24"/>
          <w:u w:val="single"/>
        </w:rPr>
      </w:pPr>
    </w:p>
    <w:p w14:paraId="7CE333A1" w14:textId="3DD1F50D" w:rsidR="009D7A8F" w:rsidRPr="009D7A8F" w:rsidRDefault="009D7A8F" w:rsidP="00D7630B">
      <w:pPr>
        <w:ind w:left="851"/>
        <w:rPr>
          <w:sz w:val="24"/>
          <w:szCs w:val="24"/>
          <w:u w:val="single"/>
        </w:rPr>
      </w:pPr>
      <w:r w:rsidRPr="009D7A8F">
        <w:rPr>
          <w:sz w:val="24"/>
          <w:szCs w:val="24"/>
          <w:u w:val="single"/>
        </w:rPr>
        <w:t>Graviditet</w:t>
      </w:r>
    </w:p>
    <w:p w14:paraId="3340AC30" w14:textId="77777777" w:rsidR="009D7A8F" w:rsidRPr="009D7A8F" w:rsidRDefault="009D7A8F" w:rsidP="00D7630B">
      <w:pPr>
        <w:ind w:left="851"/>
        <w:rPr>
          <w:sz w:val="24"/>
          <w:szCs w:val="24"/>
        </w:rPr>
      </w:pPr>
      <w:r w:rsidRPr="009D7A8F">
        <w:rPr>
          <w:sz w:val="24"/>
          <w:szCs w:val="24"/>
        </w:rPr>
        <w:t xml:space="preserve">Data fra anvendelse af </w:t>
      </w:r>
      <w:proofErr w:type="spellStart"/>
      <w:r w:rsidRPr="009D7A8F">
        <w:rPr>
          <w:sz w:val="24"/>
          <w:szCs w:val="24"/>
        </w:rPr>
        <w:t>clemastin</w:t>
      </w:r>
      <w:proofErr w:type="spellEnd"/>
      <w:r w:rsidRPr="009D7A8F">
        <w:rPr>
          <w:sz w:val="24"/>
          <w:szCs w:val="24"/>
        </w:rPr>
        <w:t xml:space="preserve"> hos et stort antal gravide kvinder har ikke givet nogen evidens for, at anvendelse af </w:t>
      </w:r>
      <w:proofErr w:type="spellStart"/>
      <w:r w:rsidRPr="009D7A8F">
        <w:rPr>
          <w:sz w:val="24"/>
          <w:szCs w:val="24"/>
        </w:rPr>
        <w:t>clemastin</w:t>
      </w:r>
      <w:proofErr w:type="spellEnd"/>
      <w:r w:rsidRPr="009D7A8F">
        <w:rPr>
          <w:sz w:val="24"/>
          <w:szCs w:val="24"/>
        </w:rPr>
        <w:t xml:space="preserve"> til gravide kvinder fører til udvikling af medfødte misdannelser.</w:t>
      </w:r>
    </w:p>
    <w:p w14:paraId="531A7B4A" w14:textId="77777777" w:rsidR="009D7A8F" w:rsidRPr="009D7A8F" w:rsidRDefault="009D7A8F" w:rsidP="00D7630B">
      <w:pPr>
        <w:ind w:left="851"/>
        <w:rPr>
          <w:sz w:val="24"/>
          <w:szCs w:val="24"/>
        </w:rPr>
      </w:pPr>
      <w:r w:rsidRPr="009D7A8F">
        <w:rPr>
          <w:sz w:val="24"/>
          <w:szCs w:val="24"/>
        </w:rPr>
        <w:t xml:space="preserve">Dyreforsøg indikerer hverken direkte eller indirekte skadelige virkninger, hvad angår graviditet eller </w:t>
      </w:r>
      <w:proofErr w:type="spellStart"/>
      <w:r w:rsidRPr="009D7A8F">
        <w:rPr>
          <w:sz w:val="24"/>
          <w:szCs w:val="24"/>
        </w:rPr>
        <w:t>embryoføtal</w:t>
      </w:r>
      <w:proofErr w:type="spellEnd"/>
      <w:r w:rsidRPr="009D7A8F">
        <w:rPr>
          <w:sz w:val="24"/>
          <w:szCs w:val="24"/>
        </w:rPr>
        <w:t xml:space="preserve"> udvikling.</w:t>
      </w:r>
    </w:p>
    <w:p w14:paraId="39F89528" w14:textId="7E2AE2B7" w:rsidR="009D7A8F" w:rsidRPr="009D7A8F" w:rsidRDefault="009D7A8F" w:rsidP="00D7630B">
      <w:pPr>
        <w:ind w:left="851"/>
        <w:rPr>
          <w:sz w:val="24"/>
          <w:szCs w:val="24"/>
        </w:rPr>
      </w:pPr>
      <w:proofErr w:type="spellStart"/>
      <w:r w:rsidRPr="009D7A8F">
        <w:rPr>
          <w:sz w:val="24"/>
          <w:szCs w:val="24"/>
        </w:rPr>
        <w:t>Clemastine</w:t>
      </w:r>
      <w:proofErr w:type="spellEnd"/>
      <w:r w:rsidRPr="009D7A8F">
        <w:rPr>
          <w:sz w:val="24"/>
          <w:szCs w:val="24"/>
        </w:rPr>
        <w:t xml:space="preserve"> </w:t>
      </w:r>
      <w:r w:rsidR="00D7630B">
        <w:rPr>
          <w:sz w:val="24"/>
          <w:szCs w:val="24"/>
        </w:rPr>
        <w:t>"</w:t>
      </w:r>
      <w:proofErr w:type="spellStart"/>
      <w:r w:rsidR="00D7630B">
        <w:rPr>
          <w:sz w:val="24"/>
          <w:szCs w:val="24"/>
        </w:rPr>
        <w:t>Macure</w:t>
      </w:r>
      <w:proofErr w:type="spellEnd"/>
      <w:r w:rsidR="00D7630B">
        <w:rPr>
          <w:sz w:val="24"/>
          <w:szCs w:val="24"/>
        </w:rPr>
        <w:t>"</w:t>
      </w:r>
      <w:r w:rsidRPr="009D7A8F">
        <w:rPr>
          <w:sz w:val="24"/>
          <w:szCs w:val="24"/>
        </w:rPr>
        <w:t xml:space="preserve"> kan anvendes under graviditeten som indiceret. Vær opmærksom på sedation hos det nyfødte barn, hvis præparatet anvendes umiddelbart før fødslen.</w:t>
      </w:r>
    </w:p>
    <w:p w14:paraId="107F001E" w14:textId="77777777" w:rsidR="009D7A8F" w:rsidRPr="009D7A8F" w:rsidRDefault="009D7A8F" w:rsidP="00D7630B">
      <w:pPr>
        <w:ind w:left="851"/>
        <w:rPr>
          <w:sz w:val="24"/>
          <w:szCs w:val="24"/>
        </w:rPr>
      </w:pPr>
    </w:p>
    <w:p w14:paraId="7334378B" w14:textId="77777777" w:rsidR="009D7A8F" w:rsidRPr="009D7A8F" w:rsidRDefault="009D7A8F" w:rsidP="00D7630B">
      <w:pPr>
        <w:ind w:left="851"/>
        <w:rPr>
          <w:sz w:val="24"/>
          <w:szCs w:val="24"/>
          <w:u w:val="single"/>
        </w:rPr>
      </w:pPr>
      <w:r w:rsidRPr="009D7A8F">
        <w:rPr>
          <w:sz w:val="24"/>
          <w:szCs w:val="24"/>
          <w:u w:val="single"/>
        </w:rPr>
        <w:t>Amning</w:t>
      </w:r>
    </w:p>
    <w:p w14:paraId="3543B5A0" w14:textId="502FD037" w:rsidR="009D7A8F" w:rsidRPr="009D7A8F" w:rsidRDefault="009D7A8F" w:rsidP="00D7630B">
      <w:pPr>
        <w:ind w:left="851"/>
        <w:rPr>
          <w:sz w:val="24"/>
          <w:szCs w:val="24"/>
        </w:rPr>
      </w:pPr>
      <w:proofErr w:type="spellStart"/>
      <w:r w:rsidRPr="009D7A8F">
        <w:rPr>
          <w:sz w:val="24"/>
          <w:szCs w:val="24"/>
        </w:rPr>
        <w:t>Clemastin</w:t>
      </w:r>
      <w:proofErr w:type="spellEnd"/>
      <w:r w:rsidRPr="009D7A8F">
        <w:rPr>
          <w:sz w:val="24"/>
          <w:szCs w:val="24"/>
        </w:rPr>
        <w:t xml:space="preserve"> udskilles i human mælk og kan have en sederende virkning på barnet. Der skal vælges, om amning eller behandling med </w:t>
      </w:r>
      <w:proofErr w:type="spellStart"/>
      <w:r w:rsidRPr="009D7A8F">
        <w:rPr>
          <w:sz w:val="24"/>
          <w:szCs w:val="24"/>
        </w:rPr>
        <w:t>Clemastine</w:t>
      </w:r>
      <w:proofErr w:type="spellEnd"/>
      <w:r w:rsidRPr="009D7A8F">
        <w:rPr>
          <w:sz w:val="24"/>
          <w:szCs w:val="24"/>
        </w:rPr>
        <w:t xml:space="preserve"> </w:t>
      </w:r>
      <w:r w:rsidR="00D7630B">
        <w:rPr>
          <w:sz w:val="24"/>
          <w:szCs w:val="24"/>
        </w:rPr>
        <w:t>"</w:t>
      </w:r>
      <w:proofErr w:type="spellStart"/>
      <w:r w:rsidR="00D7630B">
        <w:rPr>
          <w:sz w:val="24"/>
          <w:szCs w:val="24"/>
        </w:rPr>
        <w:t>Macure</w:t>
      </w:r>
      <w:proofErr w:type="spellEnd"/>
      <w:r w:rsidR="00D7630B">
        <w:rPr>
          <w:sz w:val="24"/>
          <w:szCs w:val="24"/>
        </w:rPr>
        <w:t>"</w:t>
      </w:r>
      <w:r w:rsidRPr="009D7A8F">
        <w:rPr>
          <w:sz w:val="24"/>
          <w:szCs w:val="24"/>
        </w:rPr>
        <w:t xml:space="preserve"> skal ophøre, idet der tages højde for fordelene ved amning for barnet i forhold til de terapeutiske fordele for moderen.</w:t>
      </w:r>
    </w:p>
    <w:p w14:paraId="019B84C9" w14:textId="77777777" w:rsidR="009D7A8F" w:rsidRPr="009D7A8F" w:rsidRDefault="009D7A8F" w:rsidP="00D7630B">
      <w:pPr>
        <w:ind w:left="851"/>
        <w:rPr>
          <w:sz w:val="24"/>
          <w:szCs w:val="24"/>
        </w:rPr>
      </w:pPr>
    </w:p>
    <w:p w14:paraId="4641B556" w14:textId="77777777" w:rsidR="009D7A8F" w:rsidRPr="009D7A8F" w:rsidRDefault="009D7A8F" w:rsidP="00D7630B">
      <w:pPr>
        <w:ind w:left="851"/>
        <w:rPr>
          <w:sz w:val="24"/>
          <w:szCs w:val="24"/>
          <w:u w:val="single"/>
        </w:rPr>
      </w:pPr>
      <w:r w:rsidRPr="009D7A8F">
        <w:rPr>
          <w:sz w:val="24"/>
          <w:szCs w:val="24"/>
          <w:u w:val="single"/>
        </w:rPr>
        <w:t>Fertilitet</w:t>
      </w:r>
    </w:p>
    <w:p w14:paraId="61D6856C" w14:textId="77777777" w:rsidR="009D7A8F" w:rsidRPr="009D7A8F" w:rsidRDefault="009D7A8F" w:rsidP="00D7630B">
      <w:pPr>
        <w:ind w:left="851"/>
        <w:rPr>
          <w:sz w:val="24"/>
          <w:szCs w:val="24"/>
        </w:rPr>
      </w:pPr>
      <w:bookmarkStart w:id="1" w:name="_Hlk213833185"/>
      <w:r w:rsidRPr="009D7A8F">
        <w:rPr>
          <w:sz w:val="24"/>
          <w:szCs w:val="24"/>
        </w:rPr>
        <w:t xml:space="preserve">Der er ingen kendte data for </w:t>
      </w:r>
      <w:proofErr w:type="spellStart"/>
      <w:r w:rsidRPr="009D7A8F">
        <w:rPr>
          <w:sz w:val="24"/>
          <w:szCs w:val="24"/>
        </w:rPr>
        <w:t>clemastin</w:t>
      </w:r>
      <w:proofErr w:type="spellEnd"/>
      <w:r w:rsidRPr="009D7A8F">
        <w:rPr>
          <w:sz w:val="24"/>
          <w:szCs w:val="24"/>
        </w:rPr>
        <w:t xml:space="preserve"> om virkningerne på fertiliteten hos mennesker. De tilgængelige non-kliniske data viser mulige skadelige virkninger på fertiliteten hos mennesker ved en dosis, der overstiger den orale kliniske dosis (se pkt. 5.3 Non-kliniske sikkerhedsdata).</w:t>
      </w:r>
      <w:bookmarkEnd w:id="1"/>
    </w:p>
    <w:p w14:paraId="1308F74E" w14:textId="77777777" w:rsidR="009260DE" w:rsidRPr="00D7630B" w:rsidRDefault="009260DE" w:rsidP="009260DE">
      <w:pPr>
        <w:tabs>
          <w:tab w:val="left" w:pos="851"/>
        </w:tabs>
        <w:ind w:left="851"/>
        <w:rPr>
          <w:sz w:val="24"/>
          <w:szCs w:val="24"/>
        </w:rPr>
      </w:pPr>
    </w:p>
    <w:p w14:paraId="5A042687" w14:textId="77777777" w:rsidR="009260DE" w:rsidRPr="00D7630B" w:rsidRDefault="009260DE" w:rsidP="009260DE">
      <w:pPr>
        <w:tabs>
          <w:tab w:val="left" w:pos="851"/>
        </w:tabs>
        <w:ind w:left="851" w:hanging="851"/>
        <w:rPr>
          <w:b/>
          <w:sz w:val="24"/>
          <w:szCs w:val="24"/>
        </w:rPr>
      </w:pPr>
      <w:r w:rsidRPr="00D7630B">
        <w:rPr>
          <w:b/>
          <w:sz w:val="24"/>
          <w:szCs w:val="24"/>
        </w:rPr>
        <w:t>4.7</w:t>
      </w:r>
      <w:r w:rsidRPr="00D7630B">
        <w:rPr>
          <w:b/>
          <w:sz w:val="24"/>
          <w:szCs w:val="24"/>
        </w:rPr>
        <w:tab/>
        <w:t xml:space="preserve">Virkning på evnen til at føre motorkøretøj </w:t>
      </w:r>
      <w:r w:rsidR="0071241E" w:rsidRPr="00D7630B">
        <w:rPr>
          <w:b/>
          <w:sz w:val="24"/>
          <w:szCs w:val="24"/>
        </w:rPr>
        <w:t>og</w:t>
      </w:r>
      <w:r w:rsidRPr="00D7630B">
        <w:rPr>
          <w:b/>
          <w:sz w:val="24"/>
          <w:szCs w:val="24"/>
        </w:rPr>
        <w:t xml:space="preserve"> betjene maskiner</w:t>
      </w:r>
    </w:p>
    <w:p w14:paraId="1FF5415C" w14:textId="77777777" w:rsidR="009D7A8F" w:rsidRPr="009D7A8F" w:rsidRDefault="009D7A8F" w:rsidP="00D7630B">
      <w:pPr>
        <w:ind w:left="851"/>
        <w:rPr>
          <w:sz w:val="24"/>
          <w:szCs w:val="24"/>
        </w:rPr>
      </w:pPr>
      <w:r w:rsidRPr="009D7A8F">
        <w:rPr>
          <w:sz w:val="24"/>
          <w:szCs w:val="24"/>
        </w:rPr>
        <w:t>Mærkning.</w:t>
      </w:r>
    </w:p>
    <w:p w14:paraId="1ED9395F" w14:textId="34F9661D" w:rsidR="009D7A8F" w:rsidRPr="009D7A8F" w:rsidRDefault="009D7A8F" w:rsidP="00D7630B">
      <w:pPr>
        <w:ind w:left="851"/>
        <w:rPr>
          <w:sz w:val="24"/>
          <w:szCs w:val="24"/>
        </w:rPr>
      </w:pPr>
      <w:r w:rsidRPr="009D7A8F">
        <w:rPr>
          <w:sz w:val="24"/>
          <w:szCs w:val="24"/>
        </w:rPr>
        <w:t xml:space="preserve">Anvendelse af </w:t>
      </w:r>
      <w:proofErr w:type="spellStart"/>
      <w:r w:rsidRPr="009D7A8F">
        <w:rPr>
          <w:sz w:val="24"/>
          <w:szCs w:val="24"/>
        </w:rPr>
        <w:t>Clemastine</w:t>
      </w:r>
      <w:proofErr w:type="spellEnd"/>
      <w:r w:rsidRPr="009D7A8F">
        <w:rPr>
          <w:sz w:val="24"/>
          <w:szCs w:val="24"/>
        </w:rPr>
        <w:t xml:space="preserve"> </w:t>
      </w:r>
      <w:r w:rsidR="00D7630B">
        <w:rPr>
          <w:sz w:val="24"/>
          <w:szCs w:val="24"/>
        </w:rPr>
        <w:t>"</w:t>
      </w:r>
      <w:proofErr w:type="spellStart"/>
      <w:r w:rsidR="00D7630B">
        <w:rPr>
          <w:sz w:val="24"/>
          <w:szCs w:val="24"/>
        </w:rPr>
        <w:t>Macure</w:t>
      </w:r>
      <w:proofErr w:type="spellEnd"/>
      <w:r w:rsidR="00D7630B">
        <w:rPr>
          <w:sz w:val="24"/>
          <w:szCs w:val="24"/>
        </w:rPr>
        <w:t>"</w:t>
      </w:r>
      <w:r w:rsidRPr="009D7A8F">
        <w:rPr>
          <w:sz w:val="24"/>
          <w:szCs w:val="24"/>
        </w:rPr>
        <w:t xml:space="preserve"> påvirker i væsentlig grad evnen til at føre motorkøretøj og betjene maskiner. </w:t>
      </w:r>
      <w:proofErr w:type="spellStart"/>
      <w:r w:rsidRPr="009D7A8F">
        <w:rPr>
          <w:sz w:val="24"/>
          <w:szCs w:val="24"/>
        </w:rPr>
        <w:t>Clemastine</w:t>
      </w:r>
      <w:proofErr w:type="spellEnd"/>
      <w:r w:rsidRPr="009D7A8F">
        <w:rPr>
          <w:sz w:val="24"/>
          <w:szCs w:val="24"/>
        </w:rPr>
        <w:t xml:space="preserve"> </w:t>
      </w:r>
      <w:r w:rsidR="00D7630B">
        <w:rPr>
          <w:sz w:val="24"/>
          <w:szCs w:val="24"/>
        </w:rPr>
        <w:t>"</w:t>
      </w:r>
      <w:proofErr w:type="spellStart"/>
      <w:r w:rsidR="00D7630B">
        <w:rPr>
          <w:sz w:val="24"/>
          <w:szCs w:val="24"/>
        </w:rPr>
        <w:t>Macure</w:t>
      </w:r>
      <w:proofErr w:type="spellEnd"/>
      <w:r w:rsidR="00D7630B">
        <w:rPr>
          <w:sz w:val="24"/>
          <w:szCs w:val="24"/>
        </w:rPr>
        <w:t>"</w:t>
      </w:r>
      <w:r w:rsidRPr="009D7A8F">
        <w:rPr>
          <w:sz w:val="24"/>
          <w:szCs w:val="24"/>
        </w:rPr>
        <w:t xml:space="preserve"> kan nedsætte patientens reaktionsevne. Dette er særligt vigtigt for personer, der skal udføre aktiviteter, som kræver et højt koncentrationsniveau (f.eks. at føre motorkøretøj og betjene maskiner osv.). Det er nødvendigt med ekstra forsigtighed i disse tilfælde.</w:t>
      </w:r>
    </w:p>
    <w:p w14:paraId="7954E8EC" w14:textId="77777777" w:rsidR="009260DE" w:rsidRPr="00D7630B" w:rsidRDefault="009260DE" w:rsidP="009260DE">
      <w:pPr>
        <w:tabs>
          <w:tab w:val="left" w:pos="851"/>
        </w:tabs>
        <w:ind w:left="851"/>
        <w:rPr>
          <w:sz w:val="24"/>
          <w:szCs w:val="24"/>
        </w:rPr>
      </w:pPr>
    </w:p>
    <w:p w14:paraId="49789A8C" w14:textId="77777777" w:rsidR="009260DE" w:rsidRPr="00D7630B" w:rsidRDefault="009260DE" w:rsidP="009260DE">
      <w:pPr>
        <w:tabs>
          <w:tab w:val="left" w:pos="851"/>
        </w:tabs>
        <w:ind w:left="851" w:hanging="851"/>
        <w:rPr>
          <w:b/>
          <w:sz w:val="24"/>
          <w:szCs w:val="24"/>
        </w:rPr>
      </w:pPr>
      <w:r w:rsidRPr="00D7630B">
        <w:rPr>
          <w:b/>
          <w:sz w:val="24"/>
          <w:szCs w:val="24"/>
        </w:rPr>
        <w:t>4.8</w:t>
      </w:r>
      <w:r w:rsidRPr="00D7630B">
        <w:rPr>
          <w:b/>
          <w:sz w:val="24"/>
          <w:szCs w:val="24"/>
        </w:rPr>
        <w:tab/>
        <w:t>Bivirkninger</w:t>
      </w:r>
    </w:p>
    <w:p w14:paraId="3FE17EDD" w14:textId="77777777" w:rsidR="009D7A8F" w:rsidRPr="009D7A8F" w:rsidRDefault="009D7A8F" w:rsidP="009D7A8F">
      <w:pPr>
        <w:tabs>
          <w:tab w:val="left" w:pos="851"/>
        </w:tabs>
        <w:ind w:left="851"/>
        <w:rPr>
          <w:sz w:val="24"/>
          <w:szCs w:val="24"/>
        </w:rPr>
      </w:pPr>
      <w:r w:rsidRPr="009D7A8F">
        <w:rPr>
          <w:sz w:val="24"/>
          <w:szCs w:val="24"/>
        </w:rPr>
        <w:t>Bivirkningerne er angivet nedenfor efter system/organklasse og hyppighed. Hyppighederne er defineret som: meget almindelig (≥ 1/10), almindelig (≥ 1/100 til &lt; 1/10), ikke almindelig (≥ 1/1.000 til &lt; 1/100), sjælden (≥ 1/10.000 til &lt; 1/1.000), meget sjælden (&lt; 1/10.000).</w:t>
      </w:r>
    </w:p>
    <w:p w14:paraId="48CCA8FF" w14:textId="77777777" w:rsidR="009D7A8F" w:rsidRPr="009D7A8F" w:rsidRDefault="009D7A8F" w:rsidP="009D7A8F">
      <w:pPr>
        <w:tabs>
          <w:tab w:val="left" w:pos="851"/>
        </w:tabs>
        <w:ind w:left="851"/>
        <w:rPr>
          <w:sz w:val="24"/>
          <w:szCs w:val="24"/>
        </w:rPr>
      </w:pPr>
    </w:p>
    <w:tbl>
      <w:tblPr>
        <w:tblStyle w:val="Tabel-Gitter"/>
        <w:tblW w:w="8788"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2"/>
        <w:gridCol w:w="5786"/>
      </w:tblGrid>
      <w:tr w:rsidR="009D7A8F" w:rsidRPr="009D7A8F" w14:paraId="2742CED5" w14:textId="77777777" w:rsidTr="00D7630B">
        <w:tc>
          <w:tcPr>
            <w:tcW w:w="8788" w:type="dxa"/>
            <w:gridSpan w:val="2"/>
            <w:hideMark/>
          </w:tcPr>
          <w:p w14:paraId="6E7C07C4" w14:textId="77777777" w:rsidR="009D7A8F" w:rsidRPr="009D7A8F" w:rsidRDefault="009D7A8F" w:rsidP="00D7630B">
            <w:pPr>
              <w:rPr>
                <w:sz w:val="24"/>
                <w:szCs w:val="24"/>
                <w:u w:val="single"/>
              </w:rPr>
            </w:pPr>
            <w:r w:rsidRPr="009D7A8F">
              <w:rPr>
                <w:sz w:val="24"/>
                <w:szCs w:val="24"/>
                <w:u w:val="single"/>
              </w:rPr>
              <w:t>Immunsystemet:</w:t>
            </w:r>
          </w:p>
        </w:tc>
      </w:tr>
      <w:tr w:rsidR="009D7A8F" w:rsidRPr="009D7A8F" w14:paraId="25E82EE8" w14:textId="77777777" w:rsidTr="00D7630B">
        <w:tc>
          <w:tcPr>
            <w:tcW w:w="3002" w:type="dxa"/>
            <w:hideMark/>
          </w:tcPr>
          <w:p w14:paraId="4905991F" w14:textId="77777777" w:rsidR="009D7A8F" w:rsidRPr="009D7A8F" w:rsidRDefault="009D7A8F" w:rsidP="00D7630B">
            <w:pPr>
              <w:rPr>
                <w:i/>
                <w:sz w:val="24"/>
                <w:szCs w:val="24"/>
              </w:rPr>
            </w:pPr>
            <w:r w:rsidRPr="009D7A8F">
              <w:rPr>
                <w:i/>
                <w:sz w:val="24"/>
                <w:szCs w:val="24"/>
              </w:rPr>
              <w:t>Ikke almindelig:</w:t>
            </w:r>
          </w:p>
        </w:tc>
        <w:tc>
          <w:tcPr>
            <w:tcW w:w="5786" w:type="dxa"/>
            <w:hideMark/>
          </w:tcPr>
          <w:p w14:paraId="76D008A2" w14:textId="77777777" w:rsidR="009D7A8F" w:rsidRPr="009D7A8F" w:rsidRDefault="009D7A8F" w:rsidP="00D7630B">
            <w:pPr>
              <w:rPr>
                <w:sz w:val="24"/>
                <w:szCs w:val="24"/>
              </w:rPr>
            </w:pPr>
            <w:r w:rsidRPr="009D7A8F">
              <w:rPr>
                <w:sz w:val="24"/>
                <w:szCs w:val="24"/>
              </w:rPr>
              <w:t>overfølsomhedsreaktioner</w:t>
            </w:r>
          </w:p>
        </w:tc>
      </w:tr>
      <w:tr w:rsidR="009D7A8F" w:rsidRPr="009D7A8F" w14:paraId="50B0E05C" w14:textId="77777777" w:rsidTr="00D7630B">
        <w:tc>
          <w:tcPr>
            <w:tcW w:w="3002" w:type="dxa"/>
            <w:hideMark/>
          </w:tcPr>
          <w:p w14:paraId="575C3E17" w14:textId="77777777" w:rsidR="009D7A8F" w:rsidRPr="009D7A8F" w:rsidRDefault="009D7A8F" w:rsidP="00D7630B">
            <w:pPr>
              <w:rPr>
                <w:i/>
                <w:sz w:val="24"/>
                <w:szCs w:val="24"/>
              </w:rPr>
            </w:pPr>
            <w:r w:rsidRPr="009D7A8F">
              <w:rPr>
                <w:i/>
                <w:sz w:val="24"/>
                <w:szCs w:val="24"/>
              </w:rPr>
              <w:t>Sjælden:</w:t>
            </w:r>
          </w:p>
        </w:tc>
        <w:tc>
          <w:tcPr>
            <w:tcW w:w="5786" w:type="dxa"/>
            <w:hideMark/>
          </w:tcPr>
          <w:p w14:paraId="08C6E0F6" w14:textId="77777777" w:rsidR="009D7A8F" w:rsidRPr="009D7A8F" w:rsidRDefault="009D7A8F" w:rsidP="00D7630B">
            <w:pPr>
              <w:rPr>
                <w:sz w:val="24"/>
                <w:szCs w:val="24"/>
              </w:rPr>
            </w:pPr>
            <w:proofErr w:type="spellStart"/>
            <w:r w:rsidRPr="009D7A8F">
              <w:rPr>
                <w:sz w:val="24"/>
                <w:szCs w:val="24"/>
              </w:rPr>
              <w:t>anafylaktisk</w:t>
            </w:r>
            <w:proofErr w:type="spellEnd"/>
            <w:r w:rsidRPr="009D7A8F">
              <w:rPr>
                <w:sz w:val="24"/>
                <w:szCs w:val="24"/>
              </w:rPr>
              <w:t xml:space="preserve"> </w:t>
            </w:r>
            <w:proofErr w:type="spellStart"/>
            <w:r w:rsidRPr="009D7A8F">
              <w:rPr>
                <w:sz w:val="24"/>
                <w:szCs w:val="24"/>
              </w:rPr>
              <w:t>shock</w:t>
            </w:r>
            <w:proofErr w:type="spellEnd"/>
          </w:p>
        </w:tc>
      </w:tr>
      <w:tr w:rsidR="009D7A8F" w:rsidRPr="009D7A8F" w14:paraId="723DC335" w14:textId="77777777" w:rsidTr="00D7630B">
        <w:tc>
          <w:tcPr>
            <w:tcW w:w="3002" w:type="dxa"/>
          </w:tcPr>
          <w:p w14:paraId="2C9BFC98" w14:textId="77777777" w:rsidR="009D7A8F" w:rsidRPr="009D7A8F" w:rsidRDefault="009D7A8F" w:rsidP="00D7630B">
            <w:pPr>
              <w:rPr>
                <w:sz w:val="24"/>
                <w:szCs w:val="24"/>
              </w:rPr>
            </w:pPr>
          </w:p>
        </w:tc>
        <w:tc>
          <w:tcPr>
            <w:tcW w:w="5786" w:type="dxa"/>
          </w:tcPr>
          <w:p w14:paraId="77361E85" w14:textId="77777777" w:rsidR="009D7A8F" w:rsidRPr="009D7A8F" w:rsidRDefault="009D7A8F" w:rsidP="00D7630B">
            <w:pPr>
              <w:rPr>
                <w:sz w:val="24"/>
                <w:szCs w:val="24"/>
              </w:rPr>
            </w:pPr>
          </w:p>
        </w:tc>
      </w:tr>
      <w:tr w:rsidR="009D7A8F" w:rsidRPr="009D7A8F" w14:paraId="54F80DA1" w14:textId="77777777" w:rsidTr="00D7630B">
        <w:tc>
          <w:tcPr>
            <w:tcW w:w="8788" w:type="dxa"/>
            <w:gridSpan w:val="2"/>
            <w:hideMark/>
          </w:tcPr>
          <w:p w14:paraId="4676C1DD" w14:textId="77777777" w:rsidR="009D7A8F" w:rsidRPr="009D7A8F" w:rsidRDefault="009D7A8F" w:rsidP="00D7630B">
            <w:pPr>
              <w:rPr>
                <w:sz w:val="24"/>
                <w:szCs w:val="24"/>
              </w:rPr>
            </w:pPr>
            <w:r w:rsidRPr="009D7A8F">
              <w:rPr>
                <w:sz w:val="24"/>
                <w:szCs w:val="24"/>
              </w:rPr>
              <w:t>Psykiske forstyrrelser:</w:t>
            </w:r>
          </w:p>
        </w:tc>
      </w:tr>
      <w:tr w:rsidR="009D7A8F" w:rsidRPr="009D7A8F" w14:paraId="6F1750F2" w14:textId="77777777" w:rsidTr="00D7630B">
        <w:tc>
          <w:tcPr>
            <w:tcW w:w="3002" w:type="dxa"/>
            <w:hideMark/>
          </w:tcPr>
          <w:p w14:paraId="4B2FCB3B" w14:textId="77777777" w:rsidR="009D7A8F" w:rsidRPr="009D7A8F" w:rsidRDefault="009D7A8F" w:rsidP="00D7630B">
            <w:pPr>
              <w:rPr>
                <w:i/>
                <w:sz w:val="24"/>
                <w:szCs w:val="24"/>
              </w:rPr>
            </w:pPr>
            <w:r w:rsidRPr="009D7A8F">
              <w:rPr>
                <w:i/>
                <w:sz w:val="24"/>
                <w:szCs w:val="24"/>
              </w:rPr>
              <w:t>Sjælden:</w:t>
            </w:r>
          </w:p>
        </w:tc>
        <w:tc>
          <w:tcPr>
            <w:tcW w:w="5786" w:type="dxa"/>
            <w:hideMark/>
          </w:tcPr>
          <w:p w14:paraId="039465F0" w14:textId="77777777" w:rsidR="009D7A8F" w:rsidRPr="009D7A8F" w:rsidRDefault="009D7A8F" w:rsidP="00D7630B">
            <w:pPr>
              <w:rPr>
                <w:sz w:val="24"/>
                <w:szCs w:val="24"/>
              </w:rPr>
            </w:pPr>
            <w:r w:rsidRPr="009D7A8F">
              <w:rPr>
                <w:sz w:val="24"/>
                <w:szCs w:val="24"/>
              </w:rPr>
              <w:t>irritabilitet (især hos børn)</w:t>
            </w:r>
          </w:p>
        </w:tc>
      </w:tr>
      <w:tr w:rsidR="009D7A8F" w:rsidRPr="009D7A8F" w14:paraId="6EBEE8DE" w14:textId="77777777" w:rsidTr="00D7630B">
        <w:tc>
          <w:tcPr>
            <w:tcW w:w="3002" w:type="dxa"/>
          </w:tcPr>
          <w:p w14:paraId="6C894CEC" w14:textId="77777777" w:rsidR="009D7A8F" w:rsidRPr="009D7A8F" w:rsidRDefault="009D7A8F" w:rsidP="00D7630B">
            <w:pPr>
              <w:rPr>
                <w:sz w:val="24"/>
                <w:szCs w:val="24"/>
              </w:rPr>
            </w:pPr>
          </w:p>
        </w:tc>
        <w:tc>
          <w:tcPr>
            <w:tcW w:w="5786" w:type="dxa"/>
          </w:tcPr>
          <w:p w14:paraId="6A58E10F" w14:textId="77777777" w:rsidR="009D7A8F" w:rsidRPr="009D7A8F" w:rsidRDefault="009D7A8F" w:rsidP="00D7630B">
            <w:pPr>
              <w:rPr>
                <w:sz w:val="24"/>
                <w:szCs w:val="24"/>
              </w:rPr>
            </w:pPr>
          </w:p>
        </w:tc>
      </w:tr>
      <w:tr w:rsidR="009D7A8F" w:rsidRPr="009D7A8F" w14:paraId="554C0402" w14:textId="77777777" w:rsidTr="00D7630B">
        <w:tc>
          <w:tcPr>
            <w:tcW w:w="8788" w:type="dxa"/>
            <w:gridSpan w:val="2"/>
            <w:hideMark/>
          </w:tcPr>
          <w:p w14:paraId="2CF8867C" w14:textId="77777777" w:rsidR="009D7A8F" w:rsidRPr="009D7A8F" w:rsidRDefault="009D7A8F" w:rsidP="00D7630B">
            <w:pPr>
              <w:rPr>
                <w:sz w:val="24"/>
                <w:szCs w:val="24"/>
                <w:u w:val="single"/>
              </w:rPr>
            </w:pPr>
            <w:r w:rsidRPr="009D7A8F">
              <w:rPr>
                <w:sz w:val="24"/>
                <w:szCs w:val="24"/>
                <w:u w:val="single"/>
              </w:rPr>
              <w:t>Nervesystemet:</w:t>
            </w:r>
          </w:p>
        </w:tc>
      </w:tr>
      <w:tr w:rsidR="009D7A8F" w:rsidRPr="009D7A8F" w14:paraId="235C20B8" w14:textId="77777777" w:rsidTr="00D7630B">
        <w:tc>
          <w:tcPr>
            <w:tcW w:w="3002" w:type="dxa"/>
            <w:hideMark/>
          </w:tcPr>
          <w:p w14:paraId="6042AD12" w14:textId="77777777" w:rsidR="009D7A8F" w:rsidRPr="009D7A8F" w:rsidRDefault="009D7A8F" w:rsidP="00D7630B">
            <w:pPr>
              <w:rPr>
                <w:i/>
                <w:sz w:val="24"/>
                <w:szCs w:val="24"/>
              </w:rPr>
            </w:pPr>
            <w:r w:rsidRPr="009D7A8F">
              <w:rPr>
                <w:i/>
                <w:sz w:val="24"/>
                <w:szCs w:val="24"/>
              </w:rPr>
              <w:t>Almindelig:</w:t>
            </w:r>
          </w:p>
        </w:tc>
        <w:tc>
          <w:tcPr>
            <w:tcW w:w="5786" w:type="dxa"/>
            <w:hideMark/>
          </w:tcPr>
          <w:p w14:paraId="78F67E67" w14:textId="77777777" w:rsidR="009D7A8F" w:rsidRPr="009D7A8F" w:rsidRDefault="009D7A8F" w:rsidP="00D7630B">
            <w:pPr>
              <w:rPr>
                <w:sz w:val="24"/>
                <w:szCs w:val="24"/>
              </w:rPr>
            </w:pPr>
            <w:r w:rsidRPr="009D7A8F">
              <w:rPr>
                <w:sz w:val="24"/>
                <w:szCs w:val="24"/>
              </w:rPr>
              <w:t>træthed, døsighed, søvnløshed, hovedpine</w:t>
            </w:r>
          </w:p>
        </w:tc>
      </w:tr>
      <w:tr w:rsidR="009D7A8F" w:rsidRPr="009D7A8F" w14:paraId="1EC01723" w14:textId="77777777" w:rsidTr="00D7630B">
        <w:tc>
          <w:tcPr>
            <w:tcW w:w="3002" w:type="dxa"/>
            <w:hideMark/>
          </w:tcPr>
          <w:p w14:paraId="205FEA85" w14:textId="77777777" w:rsidR="009D7A8F" w:rsidRPr="009D7A8F" w:rsidRDefault="009D7A8F" w:rsidP="00D7630B">
            <w:pPr>
              <w:rPr>
                <w:i/>
                <w:sz w:val="24"/>
                <w:szCs w:val="24"/>
              </w:rPr>
            </w:pPr>
            <w:r w:rsidRPr="009D7A8F">
              <w:rPr>
                <w:i/>
                <w:sz w:val="24"/>
                <w:szCs w:val="24"/>
              </w:rPr>
              <w:t>Ikke almindelig:</w:t>
            </w:r>
          </w:p>
        </w:tc>
        <w:tc>
          <w:tcPr>
            <w:tcW w:w="5786" w:type="dxa"/>
            <w:hideMark/>
          </w:tcPr>
          <w:p w14:paraId="1AB4A239" w14:textId="77777777" w:rsidR="009D7A8F" w:rsidRPr="009D7A8F" w:rsidRDefault="009D7A8F" w:rsidP="00D7630B">
            <w:pPr>
              <w:rPr>
                <w:sz w:val="24"/>
                <w:szCs w:val="24"/>
              </w:rPr>
            </w:pPr>
            <w:r w:rsidRPr="009D7A8F">
              <w:rPr>
                <w:sz w:val="24"/>
                <w:szCs w:val="24"/>
              </w:rPr>
              <w:t>svimmelhed</w:t>
            </w:r>
          </w:p>
        </w:tc>
      </w:tr>
      <w:tr w:rsidR="009D7A8F" w:rsidRPr="009D7A8F" w14:paraId="776309AD" w14:textId="77777777" w:rsidTr="00D7630B">
        <w:tc>
          <w:tcPr>
            <w:tcW w:w="3002" w:type="dxa"/>
            <w:hideMark/>
          </w:tcPr>
          <w:p w14:paraId="4A44568E" w14:textId="77777777" w:rsidR="009D7A8F" w:rsidRPr="009D7A8F" w:rsidRDefault="009D7A8F" w:rsidP="00D7630B">
            <w:pPr>
              <w:rPr>
                <w:i/>
                <w:sz w:val="24"/>
                <w:szCs w:val="24"/>
              </w:rPr>
            </w:pPr>
            <w:r w:rsidRPr="009D7A8F">
              <w:rPr>
                <w:i/>
                <w:sz w:val="24"/>
                <w:szCs w:val="24"/>
              </w:rPr>
              <w:t>Sjælden:</w:t>
            </w:r>
          </w:p>
        </w:tc>
        <w:tc>
          <w:tcPr>
            <w:tcW w:w="5786" w:type="dxa"/>
            <w:hideMark/>
          </w:tcPr>
          <w:p w14:paraId="3AB9724F" w14:textId="77777777" w:rsidR="009D7A8F" w:rsidRPr="009D7A8F" w:rsidRDefault="009D7A8F" w:rsidP="00D7630B">
            <w:pPr>
              <w:rPr>
                <w:sz w:val="24"/>
                <w:szCs w:val="24"/>
              </w:rPr>
            </w:pPr>
            <w:r w:rsidRPr="009D7A8F">
              <w:rPr>
                <w:sz w:val="24"/>
                <w:szCs w:val="24"/>
              </w:rPr>
              <w:t>især hos børn, paradoksal stimulering af centralnervesystemet</w:t>
            </w:r>
          </w:p>
        </w:tc>
      </w:tr>
      <w:tr w:rsidR="009D7A8F" w:rsidRPr="009D7A8F" w14:paraId="0986F28C" w14:textId="77777777" w:rsidTr="00D7630B">
        <w:tc>
          <w:tcPr>
            <w:tcW w:w="3002" w:type="dxa"/>
            <w:hideMark/>
          </w:tcPr>
          <w:p w14:paraId="2D772EE8" w14:textId="77777777" w:rsidR="009D7A8F" w:rsidRPr="009D7A8F" w:rsidRDefault="009D7A8F" w:rsidP="00D7630B">
            <w:pPr>
              <w:rPr>
                <w:i/>
                <w:sz w:val="24"/>
                <w:szCs w:val="24"/>
              </w:rPr>
            </w:pPr>
            <w:r w:rsidRPr="009D7A8F">
              <w:rPr>
                <w:i/>
                <w:sz w:val="24"/>
                <w:szCs w:val="24"/>
              </w:rPr>
              <w:t>Meget sjælden:</w:t>
            </w:r>
          </w:p>
        </w:tc>
        <w:tc>
          <w:tcPr>
            <w:tcW w:w="5786" w:type="dxa"/>
            <w:hideMark/>
          </w:tcPr>
          <w:p w14:paraId="504F33E7" w14:textId="77777777" w:rsidR="009D7A8F" w:rsidRPr="009D7A8F" w:rsidRDefault="009D7A8F" w:rsidP="00D7630B">
            <w:pPr>
              <w:rPr>
                <w:sz w:val="24"/>
                <w:szCs w:val="24"/>
              </w:rPr>
            </w:pPr>
            <w:r w:rsidRPr="009D7A8F">
              <w:rPr>
                <w:sz w:val="24"/>
                <w:szCs w:val="24"/>
              </w:rPr>
              <w:t>svedtendens</w:t>
            </w:r>
          </w:p>
        </w:tc>
      </w:tr>
      <w:tr w:rsidR="009D7A8F" w:rsidRPr="009D7A8F" w14:paraId="7526B456" w14:textId="77777777" w:rsidTr="00D7630B">
        <w:tc>
          <w:tcPr>
            <w:tcW w:w="3002" w:type="dxa"/>
          </w:tcPr>
          <w:p w14:paraId="19139F3B" w14:textId="77777777" w:rsidR="009D7A8F" w:rsidRPr="009D7A8F" w:rsidRDefault="009D7A8F" w:rsidP="00D7630B">
            <w:pPr>
              <w:rPr>
                <w:sz w:val="24"/>
                <w:szCs w:val="24"/>
              </w:rPr>
            </w:pPr>
          </w:p>
        </w:tc>
        <w:tc>
          <w:tcPr>
            <w:tcW w:w="5786" w:type="dxa"/>
          </w:tcPr>
          <w:p w14:paraId="20D06105" w14:textId="77777777" w:rsidR="009D7A8F" w:rsidRPr="009D7A8F" w:rsidRDefault="009D7A8F" w:rsidP="00D7630B">
            <w:pPr>
              <w:rPr>
                <w:sz w:val="24"/>
                <w:szCs w:val="24"/>
              </w:rPr>
            </w:pPr>
          </w:p>
        </w:tc>
      </w:tr>
      <w:tr w:rsidR="009D7A8F" w:rsidRPr="009D7A8F" w14:paraId="232BACDC" w14:textId="77777777" w:rsidTr="00D7630B">
        <w:tc>
          <w:tcPr>
            <w:tcW w:w="8788" w:type="dxa"/>
            <w:gridSpan w:val="2"/>
            <w:hideMark/>
          </w:tcPr>
          <w:p w14:paraId="68E137EF" w14:textId="77777777" w:rsidR="009D7A8F" w:rsidRPr="009D7A8F" w:rsidRDefault="009D7A8F" w:rsidP="00D7630B">
            <w:pPr>
              <w:rPr>
                <w:sz w:val="24"/>
                <w:szCs w:val="24"/>
              </w:rPr>
            </w:pPr>
            <w:r w:rsidRPr="009D7A8F">
              <w:rPr>
                <w:sz w:val="24"/>
                <w:szCs w:val="24"/>
              </w:rPr>
              <w:t>Hjerte:</w:t>
            </w:r>
          </w:p>
        </w:tc>
      </w:tr>
      <w:tr w:rsidR="009D7A8F" w:rsidRPr="009D7A8F" w14:paraId="5F305B62" w14:textId="77777777" w:rsidTr="00D7630B">
        <w:tc>
          <w:tcPr>
            <w:tcW w:w="3002" w:type="dxa"/>
            <w:hideMark/>
          </w:tcPr>
          <w:p w14:paraId="5D933003" w14:textId="77777777" w:rsidR="009D7A8F" w:rsidRPr="009D7A8F" w:rsidRDefault="009D7A8F" w:rsidP="00D7630B">
            <w:pPr>
              <w:rPr>
                <w:i/>
                <w:sz w:val="24"/>
                <w:szCs w:val="24"/>
              </w:rPr>
            </w:pPr>
            <w:r w:rsidRPr="009D7A8F">
              <w:rPr>
                <w:i/>
                <w:sz w:val="24"/>
                <w:szCs w:val="24"/>
              </w:rPr>
              <w:t>Meget sjælden:</w:t>
            </w:r>
          </w:p>
        </w:tc>
        <w:tc>
          <w:tcPr>
            <w:tcW w:w="5786" w:type="dxa"/>
            <w:hideMark/>
          </w:tcPr>
          <w:p w14:paraId="72A5D6DA" w14:textId="77777777" w:rsidR="009D7A8F" w:rsidRPr="009D7A8F" w:rsidRDefault="009D7A8F" w:rsidP="00D7630B">
            <w:pPr>
              <w:rPr>
                <w:sz w:val="24"/>
                <w:szCs w:val="24"/>
              </w:rPr>
            </w:pPr>
            <w:proofErr w:type="spellStart"/>
            <w:r w:rsidRPr="009D7A8F">
              <w:rPr>
                <w:sz w:val="24"/>
                <w:szCs w:val="24"/>
              </w:rPr>
              <w:t>takykardi</w:t>
            </w:r>
            <w:proofErr w:type="spellEnd"/>
          </w:p>
        </w:tc>
      </w:tr>
      <w:tr w:rsidR="009D7A8F" w:rsidRPr="009D7A8F" w14:paraId="42CA64AD" w14:textId="77777777" w:rsidTr="00D7630B">
        <w:tc>
          <w:tcPr>
            <w:tcW w:w="3002" w:type="dxa"/>
          </w:tcPr>
          <w:p w14:paraId="5D2EB7E9" w14:textId="77777777" w:rsidR="009D7A8F" w:rsidRPr="009D7A8F" w:rsidRDefault="009D7A8F" w:rsidP="00D7630B">
            <w:pPr>
              <w:rPr>
                <w:sz w:val="24"/>
                <w:szCs w:val="24"/>
              </w:rPr>
            </w:pPr>
          </w:p>
        </w:tc>
        <w:tc>
          <w:tcPr>
            <w:tcW w:w="5786" w:type="dxa"/>
          </w:tcPr>
          <w:p w14:paraId="64524267" w14:textId="77777777" w:rsidR="009D7A8F" w:rsidRPr="009D7A8F" w:rsidRDefault="009D7A8F" w:rsidP="00D7630B">
            <w:pPr>
              <w:rPr>
                <w:sz w:val="24"/>
                <w:szCs w:val="24"/>
              </w:rPr>
            </w:pPr>
          </w:p>
        </w:tc>
      </w:tr>
      <w:tr w:rsidR="009D7A8F" w:rsidRPr="009D7A8F" w14:paraId="313590EE" w14:textId="77777777" w:rsidTr="00D7630B">
        <w:tc>
          <w:tcPr>
            <w:tcW w:w="8788" w:type="dxa"/>
            <w:gridSpan w:val="2"/>
            <w:hideMark/>
          </w:tcPr>
          <w:p w14:paraId="698512F8" w14:textId="77777777" w:rsidR="009D7A8F" w:rsidRPr="009D7A8F" w:rsidRDefault="009D7A8F" w:rsidP="00D7630B">
            <w:pPr>
              <w:rPr>
                <w:sz w:val="24"/>
                <w:szCs w:val="24"/>
                <w:u w:val="single"/>
              </w:rPr>
            </w:pPr>
            <w:r w:rsidRPr="009D7A8F">
              <w:rPr>
                <w:sz w:val="24"/>
                <w:szCs w:val="24"/>
                <w:u w:val="single"/>
              </w:rPr>
              <w:t>Mave-tarm-kanalen:</w:t>
            </w:r>
          </w:p>
        </w:tc>
      </w:tr>
      <w:tr w:rsidR="009D7A8F" w:rsidRPr="009D7A8F" w14:paraId="57054174" w14:textId="77777777" w:rsidTr="00D7630B">
        <w:tc>
          <w:tcPr>
            <w:tcW w:w="3002" w:type="dxa"/>
            <w:hideMark/>
          </w:tcPr>
          <w:p w14:paraId="6F05D652" w14:textId="77777777" w:rsidR="009D7A8F" w:rsidRPr="009D7A8F" w:rsidRDefault="009D7A8F" w:rsidP="00D7630B">
            <w:pPr>
              <w:rPr>
                <w:i/>
                <w:sz w:val="24"/>
                <w:szCs w:val="24"/>
              </w:rPr>
            </w:pPr>
            <w:r w:rsidRPr="009D7A8F">
              <w:rPr>
                <w:i/>
                <w:sz w:val="24"/>
                <w:szCs w:val="24"/>
              </w:rPr>
              <w:t>Sjælden:</w:t>
            </w:r>
          </w:p>
        </w:tc>
        <w:tc>
          <w:tcPr>
            <w:tcW w:w="5786" w:type="dxa"/>
            <w:hideMark/>
          </w:tcPr>
          <w:p w14:paraId="4DFBFC27" w14:textId="77777777" w:rsidR="009D7A8F" w:rsidRPr="009D7A8F" w:rsidRDefault="009D7A8F" w:rsidP="00D7630B">
            <w:pPr>
              <w:rPr>
                <w:sz w:val="24"/>
                <w:szCs w:val="24"/>
              </w:rPr>
            </w:pPr>
            <w:r w:rsidRPr="009D7A8F">
              <w:rPr>
                <w:sz w:val="24"/>
                <w:szCs w:val="24"/>
              </w:rPr>
              <w:t xml:space="preserve">mundtørhed, </w:t>
            </w:r>
            <w:proofErr w:type="spellStart"/>
            <w:r w:rsidRPr="009D7A8F">
              <w:rPr>
                <w:sz w:val="24"/>
                <w:szCs w:val="24"/>
              </w:rPr>
              <w:t>abdominalsmerter</w:t>
            </w:r>
            <w:proofErr w:type="spellEnd"/>
            <w:r w:rsidRPr="009D7A8F">
              <w:rPr>
                <w:sz w:val="24"/>
                <w:szCs w:val="24"/>
              </w:rPr>
              <w:t>, kvalme, diarré</w:t>
            </w:r>
          </w:p>
        </w:tc>
      </w:tr>
      <w:tr w:rsidR="009D7A8F" w:rsidRPr="009D7A8F" w14:paraId="6D156B0A" w14:textId="77777777" w:rsidTr="00D7630B">
        <w:tc>
          <w:tcPr>
            <w:tcW w:w="3002" w:type="dxa"/>
            <w:hideMark/>
          </w:tcPr>
          <w:p w14:paraId="7FACDE72" w14:textId="77777777" w:rsidR="009D7A8F" w:rsidRPr="009D7A8F" w:rsidRDefault="009D7A8F" w:rsidP="00D7630B">
            <w:pPr>
              <w:rPr>
                <w:i/>
                <w:sz w:val="24"/>
                <w:szCs w:val="24"/>
              </w:rPr>
            </w:pPr>
            <w:r w:rsidRPr="009D7A8F">
              <w:rPr>
                <w:i/>
                <w:sz w:val="24"/>
                <w:szCs w:val="24"/>
              </w:rPr>
              <w:t>Meget sjælden:</w:t>
            </w:r>
          </w:p>
        </w:tc>
        <w:tc>
          <w:tcPr>
            <w:tcW w:w="5786" w:type="dxa"/>
            <w:hideMark/>
          </w:tcPr>
          <w:p w14:paraId="25DEBD6B" w14:textId="77777777" w:rsidR="009D7A8F" w:rsidRPr="009D7A8F" w:rsidRDefault="009D7A8F" w:rsidP="00D7630B">
            <w:pPr>
              <w:rPr>
                <w:sz w:val="24"/>
                <w:szCs w:val="24"/>
              </w:rPr>
            </w:pPr>
            <w:r w:rsidRPr="009D7A8F">
              <w:rPr>
                <w:sz w:val="24"/>
                <w:szCs w:val="24"/>
              </w:rPr>
              <w:t>forstoppelse</w:t>
            </w:r>
          </w:p>
        </w:tc>
      </w:tr>
      <w:tr w:rsidR="009D7A8F" w:rsidRPr="009D7A8F" w14:paraId="5DCE4D7D" w14:textId="77777777" w:rsidTr="00D7630B">
        <w:tc>
          <w:tcPr>
            <w:tcW w:w="3002" w:type="dxa"/>
          </w:tcPr>
          <w:p w14:paraId="69B84F2C" w14:textId="77777777" w:rsidR="009D7A8F" w:rsidRPr="009D7A8F" w:rsidRDefault="009D7A8F" w:rsidP="00D7630B">
            <w:pPr>
              <w:rPr>
                <w:sz w:val="24"/>
                <w:szCs w:val="24"/>
              </w:rPr>
            </w:pPr>
          </w:p>
        </w:tc>
        <w:tc>
          <w:tcPr>
            <w:tcW w:w="5786" w:type="dxa"/>
          </w:tcPr>
          <w:p w14:paraId="5EC24497" w14:textId="77777777" w:rsidR="009D7A8F" w:rsidRPr="009D7A8F" w:rsidRDefault="009D7A8F" w:rsidP="00D7630B">
            <w:pPr>
              <w:rPr>
                <w:sz w:val="24"/>
                <w:szCs w:val="24"/>
              </w:rPr>
            </w:pPr>
          </w:p>
        </w:tc>
      </w:tr>
      <w:tr w:rsidR="009D7A8F" w:rsidRPr="009D7A8F" w14:paraId="110AA1B3" w14:textId="77777777" w:rsidTr="00D7630B">
        <w:tc>
          <w:tcPr>
            <w:tcW w:w="8788" w:type="dxa"/>
            <w:gridSpan w:val="2"/>
            <w:hideMark/>
          </w:tcPr>
          <w:p w14:paraId="4E7F9F2F" w14:textId="77777777" w:rsidR="009D7A8F" w:rsidRPr="009D7A8F" w:rsidRDefault="009D7A8F" w:rsidP="00D7630B">
            <w:pPr>
              <w:rPr>
                <w:sz w:val="24"/>
                <w:szCs w:val="24"/>
                <w:u w:val="single"/>
              </w:rPr>
            </w:pPr>
            <w:r w:rsidRPr="009D7A8F">
              <w:rPr>
                <w:sz w:val="24"/>
                <w:szCs w:val="24"/>
                <w:u w:val="single"/>
              </w:rPr>
              <w:t>Hud og subkutane væv:</w:t>
            </w:r>
          </w:p>
        </w:tc>
      </w:tr>
      <w:tr w:rsidR="009D7A8F" w:rsidRPr="009D7A8F" w14:paraId="4AB15257" w14:textId="77777777" w:rsidTr="00D7630B">
        <w:tc>
          <w:tcPr>
            <w:tcW w:w="3002" w:type="dxa"/>
            <w:hideMark/>
          </w:tcPr>
          <w:p w14:paraId="5FE9F869" w14:textId="77777777" w:rsidR="009D7A8F" w:rsidRPr="009D7A8F" w:rsidRDefault="009D7A8F" w:rsidP="00D7630B">
            <w:pPr>
              <w:rPr>
                <w:i/>
                <w:sz w:val="24"/>
                <w:szCs w:val="24"/>
              </w:rPr>
            </w:pPr>
            <w:r w:rsidRPr="009D7A8F">
              <w:rPr>
                <w:i/>
                <w:sz w:val="24"/>
                <w:szCs w:val="24"/>
              </w:rPr>
              <w:t>Sjælden:</w:t>
            </w:r>
          </w:p>
        </w:tc>
        <w:tc>
          <w:tcPr>
            <w:tcW w:w="5786" w:type="dxa"/>
            <w:hideMark/>
          </w:tcPr>
          <w:p w14:paraId="2DEBD0AD" w14:textId="77777777" w:rsidR="009D7A8F" w:rsidRPr="009D7A8F" w:rsidRDefault="009D7A8F" w:rsidP="00D7630B">
            <w:pPr>
              <w:rPr>
                <w:sz w:val="24"/>
                <w:szCs w:val="24"/>
              </w:rPr>
            </w:pPr>
            <w:r w:rsidRPr="009D7A8F">
              <w:rPr>
                <w:sz w:val="24"/>
                <w:szCs w:val="24"/>
              </w:rPr>
              <w:t>hududslæt</w:t>
            </w:r>
          </w:p>
        </w:tc>
      </w:tr>
      <w:tr w:rsidR="009D7A8F" w:rsidRPr="009D7A8F" w14:paraId="4B234147" w14:textId="77777777" w:rsidTr="00D7630B">
        <w:tc>
          <w:tcPr>
            <w:tcW w:w="3002" w:type="dxa"/>
          </w:tcPr>
          <w:p w14:paraId="0FB0B71D" w14:textId="77777777" w:rsidR="009D7A8F" w:rsidRPr="009D7A8F" w:rsidRDefault="009D7A8F" w:rsidP="00D7630B">
            <w:pPr>
              <w:rPr>
                <w:sz w:val="24"/>
                <w:szCs w:val="24"/>
              </w:rPr>
            </w:pPr>
          </w:p>
        </w:tc>
        <w:tc>
          <w:tcPr>
            <w:tcW w:w="5786" w:type="dxa"/>
          </w:tcPr>
          <w:p w14:paraId="096D8F68" w14:textId="77777777" w:rsidR="009D7A8F" w:rsidRPr="009D7A8F" w:rsidRDefault="009D7A8F" w:rsidP="00D7630B">
            <w:pPr>
              <w:rPr>
                <w:sz w:val="24"/>
                <w:szCs w:val="24"/>
              </w:rPr>
            </w:pPr>
          </w:p>
        </w:tc>
      </w:tr>
      <w:tr w:rsidR="009D7A8F" w:rsidRPr="009D7A8F" w14:paraId="73A74D5E" w14:textId="77777777" w:rsidTr="00D7630B">
        <w:tc>
          <w:tcPr>
            <w:tcW w:w="8788" w:type="dxa"/>
            <w:gridSpan w:val="2"/>
            <w:hideMark/>
          </w:tcPr>
          <w:p w14:paraId="228C18FC" w14:textId="77777777" w:rsidR="009D7A8F" w:rsidRPr="009D7A8F" w:rsidRDefault="009D7A8F" w:rsidP="00D7630B">
            <w:pPr>
              <w:rPr>
                <w:sz w:val="24"/>
                <w:szCs w:val="24"/>
                <w:u w:val="single"/>
              </w:rPr>
            </w:pPr>
            <w:r w:rsidRPr="009D7A8F">
              <w:rPr>
                <w:sz w:val="24"/>
                <w:szCs w:val="24"/>
                <w:u w:val="single"/>
              </w:rPr>
              <w:t xml:space="preserve">Luftveje, thorax og </w:t>
            </w:r>
            <w:proofErr w:type="spellStart"/>
            <w:r w:rsidRPr="009D7A8F">
              <w:rPr>
                <w:sz w:val="24"/>
                <w:szCs w:val="24"/>
                <w:u w:val="single"/>
              </w:rPr>
              <w:t>mediastinum</w:t>
            </w:r>
            <w:proofErr w:type="spellEnd"/>
            <w:r w:rsidRPr="009D7A8F">
              <w:rPr>
                <w:sz w:val="24"/>
                <w:szCs w:val="24"/>
                <w:u w:val="single"/>
              </w:rPr>
              <w:t>:</w:t>
            </w:r>
          </w:p>
        </w:tc>
      </w:tr>
      <w:tr w:rsidR="009D7A8F" w:rsidRPr="009D7A8F" w14:paraId="76DD98C8" w14:textId="77777777" w:rsidTr="00D7630B">
        <w:tc>
          <w:tcPr>
            <w:tcW w:w="3002" w:type="dxa"/>
            <w:hideMark/>
          </w:tcPr>
          <w:p w14:paraId="744FF679" w14:textId="77777777" w:rsidR="009D7A8F" w:rsidRPr="009D7A8F" w:rsidRDefault="009D7A8F" w:rsidP="00D7630B">
            <w:pPr>
              <w:rPr>
                <w:i/>
                <w:sz w:val="24"/>
                <w:szCs w:val="24"/>
              </w:rPr>
            </w:pPr>
            <w:r w:rsidRPr="009D7A8F">
              <w:rPr>
                <w:i/>
                <w:sz w:val="24"/>
                <w:szCs w:val="24"/>
              </w:rPr>
              <w:t>Ikke almindelig:</w:t>
            </w:r>
          </w:p>
        </w:tc>
        <w:tc>
          <w:tcPr>
            <w:tcW w:w="5786" w:type="dxa"/>
            <w:hideMark/>
          </w:tcPr>
          <w:p w14:paraId="3AAF6C61" w14:textId="77777777" w:rsidR="009D7A8F" w:rsidRPr="009D7A8F" w:rsidRDefault="009D7A8F" w:rsidP="00D7630B">
            <w:pPr>
              <w:rPr>
                <w:sz w:val="24"/>
                <w:szCs w:val="24"/>
              </w:rPr>
            </w:pPr>
            <w:r w:rsidRPr="009D7A8F">
              <w:rPr>
                <w:sz w:val="24"/>
                <w:szCs w:val="24"/>
              </w:rPr>
              <w:t>dyspnø</w:t>
            </w:r>
          </w:p>
        </w:tc>
      </w:tr>
    </w:tbl>
    <w:p w14:paraId="2E3B1ECD" w14:textId="77777777" w:rsidR="009D7A8F" w:rsidRPr="009D7A8F" w:rsidRDefault="009D7A8F" w:rsidP="00D7630B">
      <w:pPr>
        <w:ind w:left="851"/>
        <w:rPr>
          <w:sz w:val="24"/>
          <w:szCs w:val="24"/>
        </w:rPr>
      </w:pPr>
    </w:p>
    <w:p w14:paraId="2D1978EA" w14:textId="77777777" w:rsidR="009D7A8F" w:rsidRPr="009D7A8F" w:rsidRDefault="009D7A8F" w:rsidP="00D7630B">
      <w:pPr>
        <w:ind w:left="851"/>
        <w:rPr>
          <w:sz w:val="24"/>
          <w:szCs w:val="24"/>
          <w:u w:val="single"/>
        </w:rPr>
      </w:pPr>
      <w:r w:rsidRPr="009D7A8F">
        <w:rPr>
          <w:sz w:val="24"/>
          <w:szCs w:val="24"/>
          <w:u w:val="single"/>
        </w:rPr>
        <w:t>Indberetning af formodede bivirkninger</w:t>
      </w:r>
    </w:p>
    <w:p w14:paraId="454065B3" w14:textId="77777777" w:rsidR="009D7A8F" w:rsidRPr="009D7A8F" w:rsidRDefault="009D7A8F" w:rsidP="00D7630B">
      <w:pPr>
        <w:ind w:left="851"/>
        <w:rPr>
          <w:sz w:val="24"/>
          <w:szCs w:val="24"/>
        </w:rPr>
      </w:pPr>
      <w:r w:rsidRPr="009D7A8F">
        <w:rPr>
          <w:sz w:val="24"/>
          <w:szCs w:val="24"/>
        </w:rPr>
        <w:t>Når lægemidlet er godkendt, er indberetning af formodede bivirkninger vigtig. Det muliggør løbende overvågning af benefit/</w:t>
      </w:r>
      <w:proofErr w:type="spellStart"/>
      <w:r w:rsidRPr="009D7A8F">
        <w:rPr>
          <w:sz w:val="24"/>
          <w:szCs w:val="24"/>
        </w:rPr>
        <w:t>risk</w:t>
      </w:r>
      <w:proofErr w:type="spellEnd"/>
      <w:r w:rsidRPr="009D7A8F">
        <w:rPr>
          <w:sz w:val="24"/>
          <w:szCs w:val="24"/>
        </w:rPr>
        <w:t>-forholdet for lægemidlet. Sundhedspersoner anmodes om at indberette alle formodede bivirkninger via:</w:t>
      </w:r>
    </w:p>
    <w:p w14:paraId="528A62D0" w14:textId="77777777" w:rsidR="009D7A8F" w:rsidRPr="009D7A8F" w:rsidRDefault="009D7A8F" w:rsidP="00D7630B">
      <w:pPr>
        <w:ind w:left="851"/>
        <w:rPr>
          <w:sz w:val="24"/>
          <w:szCs w:val="24"/>
        </w:rPr>
      </w:pPr>
    </w:p>
    <w:p w14:paraId="21FD96C9" w14:textId="77777777" w:rsidR="009D7A8F" w:rsidRPr="009D7A8F" w:rsidRDefault="009D7A8F" w:rsidP="00D7630B">
      <w:pPr>
        <w:ind w:left="851"/>
        <w:rPr>
          <w:sz w:val="24"/>
          <w:szCs w:val="24"/>
        </w:rPr>
      </w:pPr>
      <w:r w:rsidRPr="009D7A8F">
        <w:rPr>
          <w:sz w:val="24"/>
          <w:szCs w:val="24"/>
        </w:rPr>
        <w:t>Lægemiddelstyrelsen</w:t>
      </w:r>
    </w:p>
    <w:p w14:paraId="188E72F7" w14:textId="77777777" w:rsidR="009D7A8F" w:rsidRPr="009D7A8F" w:rsidRDefault="009D7A8F" w:rsidP="00D7630B">
      <w:pPr>
        <w:ind w:left="851"/>
        <w:rPr>
          <w:sz w:val="24"/>
          <w:szCs w:val="24"/>
        </w:rPr>
      </w:pPr>
      <w:r w:rsidRPr="009D7A8F">
        <w:rPr>
          <w:sz w:val="24"/>
          <w:szCs w:val="24"/>
        </w:rPr>
        <w:t>Axel Heides Gade 1</w:t>
      </w:r>
    </w:p>
    <w:p w14:paraId="2BDD2E52" w14:textId="77777777" w:rsidR="009D7A8F" w:rsidRPr="009D7A8F" w:rsidRDefault="009D7A8F" w:rsidP="00D7630B">
      <w:pPr>
        <w:ind w:left="851"/>
        <w:rPr>
          <w:sz w:val="24"/>
          <w:szCs w:val="24"/>
        </w:rPr>
      </w:pPr>
      <w:r w:rsidRPr="009D7A8F">
        <w:rPr>
          <w:sz w:val="24"/>
          <w:szCs w:val="24"/>
        </w:rPr>
        <w:t>DK-2300 København S</w:t>
      </w:r>
    </w:p>
    <w:p w14:paraId="5F46C94B" w14:textId="77777777" w:rsidR="009D7A8F" w:rsidRPr="009D7A8F" w:rsidRDefault="009D7A8F" w:rsidP="00D7630B">
      <w:pPr>
        <w:ind w:left="851"/>
        <w:rPr>
          <w:sz w:val="24"/>
          <w:szCs w:val="24"/>
        </w:rPr>
      </w:pPr>
      <w:r w:rsidRPr="009D7A8F">
        <w:rPr>
          <w:sz w:val="24"/>
          <w:szCs w:val="24"/>
        </w:rPr>
        <w:t xml:space="preserve">Websted: </w:t>
      </w:r>
      <w:hyperlink r:id="rId8" w:history="1">
        <w:r w:rsidRPr="009D7A8F">
          <w:rPr>
            <w:rStyle w:val="Hyperlink"/>
            <w:sz w:val="24"/>
            <w:szCs w:val="24"/>
          </w:rPr>
          <w:t>www.meldenbivirkning.dk</w:t>
        </w:r>
      </w:hyperlink>
    </w:p>
    <w:p w14:paraId="1C5506CE" w14:textId="77777777" w:rsidR="009260DE" w:rsidRPr="00D7630B" w:rsidRDefault="009260DE" w:rsidP="00A10294">
      <w:pPr>
        <w:tabs>
          <w:tab w:val="left" w:pos="851"/>
        </w:tabs>
        <w:ind w:left="851"/>
        <w:rPr>
          <w:sz w:val="24"/>
          <w:szCs w:val="24"/>
        </w:rPr>
      </w:pPr>
    </w:p>
    <w:p w14:paraId="04F2C45D" w14:textId="77777777" w:rsidR="009260DE" w:rsidRPr="00D7630B" w:rsidRDefault="009260DE" w:rsidP="009260DE">
      <w:pPr>
        <w:tabs>
          <w:tab w:val="left" w:pos="851"/>
        </w:tabs>
        <w:ind w:left="851" w:hanging="851"/>
        <w:rPr>
          <w:b/>
          <w:sz w:val="24"/>
          <w:szCs w:val="24"/>
        </w:rPr>
      </w:pPr>
      <w:r w:rsidRPr="00D7630B">
        <w:rPr>
          <w:b/>
          <w:sz w:val="24"/>
          <w:szCs w:val="24"/>
        </w:rPr>
        <w:t>4.9</w:t>
      </w:r>
      <w:r w:rsidRPr="00D7630B">
        <w:rPr>
          <w:b/>
          <w:sz w:val="24"/>
          <w:szCs w:val="24"/>
        </w:rPr>
        <w:tab/>
        <w:t>Overdosering</w:t>
      </w:r>
    </w:p>
    <w:p w14:paraId="78BE02D4" w14:textId="77777777" w:rsidR="00780FF5" w:rsidRDefault="00780FF5" w:rsidP="00D7630B">
      <w:pPr>
        <w:ind w:left="851"/>
        <w:rPr>
          <w:sz w:val="24"/>
          <w:szCs w:val="24"/>
        </w:rPr>
      </w:pPr>
    </w:p>
    <w:p w14:paraId="24530939" w14:textId="2C7F781A" w:rsidR="009D7A8F" w:rsidRPr="009D7A8F" w:rsidRDefault="009D7A8F" w:rsidP="00D7630B">
      <w:pPr>
        <w:ind w:left="851"/>
        <w:rPr>
          <w:sz w:val="24"/>
          <w:szCs w:val="24"/>
          <w:u w:val="single"/>
        </w:rPr>
      </w:pPr>
      <w:r w:rsidRPr="009D7A8F">
        <w:rPr>
          <w:sz w:val="24"/>
          <w:szCs w:val="24"/>
          <w:u w:val="single"/>
        </w:rPr>
        <w:t>Symptomer</w:t>
      </w:r>
    </w:p>
    <w:p w14:paraId="209599E3" w14:textId="1901A01C" w:rsidR="009D7A8F" w:rsidRPr="009D7A8F" w:rsidRDefault="009D7A8F" w:rsidP="00D7630B">
      <w:pPr>
        <w:ind w:left="851"/>
        <w:rPr>
          <w:sz w:val="24"/>
          <w:szCs w:val="24"/>
        </w:rPr>
      </w:pPr>
      <w:r w:rsidRPr="009D7A8F">
        <w:rPr>
          <w:sz w:val="24"/>
          <w:szCs w:val="24"/>
        </w:rPr>
        <w:t xml:space="preserve">Akut overdosering kan medføre forvirring, kvalme og opkastning. Virkningen på centralnervesystemet kan variere fra f.eks. svær sedation til </w:t>
      </w:r>
      <w:proofErr w:type="spellStart"/>
      <w:r w:rsidRPr="009D7A8F">
        <w:rPr>
          <w:sz w:val="24"/>
          <w:szCs w:val="24"/>
        </w:rPr>
        <w:t>excitation</w:t>
      </w:r>
      <w:proofErr w:type="spellEnd"/>
      <w:r w:rsidRPr="009D7A8F">
        <w:rPr>
          <w:sz w:val="24"/>
          <w:szCs w:val="24"/>
        </w:rPr>
        <w:t xml:space="preserve"> såsom nedsat bevidsthed, irritabilitet, hallucinationer og kramper. Hos børn observeres </w:t>
      </w:r>
      <w:proofErr w:type="spellStart"/>
      <w:r w:rsidRPr="009D7A8F">
        <w:rPr>
          <w:sz w:val="24"/>
          <w:szCs w:val="24"/>
        </w:rPr>
        <w:t>excitations</w:t>
      </w:r>
      <w:r w:rsidR="005574E8">
        <w:rPr>
          <w:sz w:val="24"/>
          <w:szCs w:val="24"/>
        </w:rPr>
        <w:softHyphen/>
      </w:r>
      <w:r w:rsidRPr="009D7A8F">
        <w:rPr>
          <w:sz w:val="24"/>
          <w:szCs w:val="24"/>
        </w:rPr>
        <w:t>symptomer</w:t>
      </w:r>
      <w:proofErr w:type="spellEnd"/>
      <w:r w:rsidRPr="009D7A8F">
        <w:rPr>
          <w:sz w:val="24"/>
          <w:szCs w:val="24"/>
        </w:rPr>
        <w:t xml:space="preserve"> normalt først. Hos mange kan </w:t>
      </w:r>
      <w:proofErr w:type="spellStart"/>
      <w:r w:rsidRPr="009D7A8F">
        <w:rPr>
          <w:sz w:val="24"/>
          <w:szCs w:val="24"/>
        </w:rPr>
        <w:t>antikolinerge</w:t>
      </w:r>
      <w:proofErr w:type="spellEnd"/>
      <w:r w:rsidRPr="009D7A8F">
        <w:rPr>
          <w:sz w:val="24"/>
          <w:szCs w:val="24"/>
        </w:rPr>
        <w:t xml:space="preserve"> symptomer forekomme, såsom: mundtørhed, udvidede pupiller, </w:t>
      </w:r>
      <w:proofErr w:type="spellStart"/>
      <w:r w:rsidRPr="009D7A8F">
        <w:rPr>
          <w:sz w:val="24"/>
          <w:szCs w:val="24"/>
        </w:rPr>
        <w:t>takykardi</w:t>
      </w:r>
      <w:proofErr w:type="spellEnd"/>
      <w:r w:rsidRPr="009D7A8F">
        <w:rPr>
          <w:sz w:val="24"/>
          <w:szCs w:val="24"/>
        </w:rPr>
        <w:t xml:space="preserve">, hovedpine, rødmen, temperaturstigning, mave-tarm-symptomer og urinretention. Samtidig brug af alkohol eller </w:t>
      </w:r>
      <w:proofErr w:type="spellStart"/>
      <w:r w:rsidRPr="009D7A8F">
        <w:rPr>
          <w:sz w:val="24"/>
          <w:szCs w:val="24"/>
        </w:rPr>
        <w:t>sedativa</w:t>
      </w:r>
      <w:proofErr w:type="spellEnd"/>
      <w:r w:rsidRPr="009D7A8F">
        <w:rPr>
          <w:sz w:val="24"/>
          <w:szCs w:val="24"/>
        </w:rPr>
        <w:t xml:space="preserve"> kan øge virkningen på centralnervesystemet.</w:t>
      </w:r>
    </w:p>
    <w:p w14:paraId="263D6C90" w14:textId="77777777" w:rsidR="009D7A8F" w:rsidRPr="009D7A8F" w:rsidRDefault="009D7A8F" w:rsidP="00D7630B">
      <w:pPr>
        <w:ind w:left="851"/>
        <w:rPr>
          <w:sz w:val="24"/>
          <w:szCs w:val="24"/>
        </w:rPr>
      </w:pPr>
    </w:p>
    <w:p w14:paraId="1D7A94A6" w14:textId="312F454E" w:rsidR="009D7A8F" w:rsidRPr="009D7A8F" w:rsidRDefault="009D7A8F" w:rsidP="00D7630B">
      <w:pPr>
        <w:ind w:left="851"/>
        <w:rPr>
          <w:iCs/>
          <w:sz w:val="24"/>
          <w:szCs w:val="24"/>
          <w:u w:val="single"/>
        </w:rPr>
      </w:pPr>
      <w:r w:rsidRPr="009D7A8F">
        <w:rPr>
          <w:iCs/>
          <w:sz w:val="24"/>
          <w:szCs w:val="24"/>
          <w:u w:val="single"/>
        </w:rPr>
        <w:t>Behandling</w:t>
      </w:r>
    </w:p>
    <w:p w14:paraId="02A570F6" w14:textId="77777777" w:rsidR="009D7A8F" w:rsidRPr="009D7A8F" w:rsidRDefault="009D7A8F" w:rsidP="00D7630B">
      <w:pPr>
        <w:ind w:left="851"/>
        <w:rPr>
          <w:sz w:val="24"/>
          <w:szCs w:val="24"/>
        </w:rPr>
      </w:pPr>
      <w:r w:rsidRPr="009D7A8F">
        <w:rPr>
          <w:sz w:val="24"/>
          <w:szCs w:val="24"/>
        </w:rPr>
        <w:t>Behandlingen består af symptomatisk behandling.</w:t>
      </w:r>
    </w:p>
    <w:p w14:paraId="3EF2F1C8" w14:textId="77777777" w:rsidR="009260DE" w:rsidRPr="00D7630B" w:rsidRDefault="009260DE" w:rsidP="009260DE">
      <w:pPr>
        <w:tabs>
          <w:tab w:val="left" w:pos="851"/>
        </w:tabs>
        <w:ind w:left="851"/>
        <w:rPr>
          <w:sz w:val="24"/>
          <w:szCs w:val="24"/>
        </w:rPr>
      </w:pPr>
    </w:p>
    <w:p w14:paraId="09326831" w14:textId="77777777" w:rsidR="009260DE" w:rsidRPr="00D7630B" w:rsidRDefault="009260DE" w:rsidP="009260DE">
      <w:pPr>
        <w:tabs>
          <w:tab w:val="left" w:pos="851"/>
        </w:tabs>
        <w:ind w:left="851" w:hanging="851"/>
        <w:rPr>
          <w:b/>
          <w:sz w:val="24"/>
          <w:szCs w:val="24"/>
        </w:rPr>
      </w:pPr>
      <w:r w:rsidRPr="00D7630B">
        <w:rPr>
          <w:b/>
          <w:sz w:val="24"/>
          <w:szCs w:val="24"/>
        </w:rPr>
        <w:t>4.10</w:t>
      </w:r>
      <w:r w:rsidRPr="00D7630B">
        <w:rPr>
          <w:b/>
          <w:sz w:val="24"/>
          <w:szCs w:val="24"/>
        </w:rPr>
        <w:tab/>
        <w:t>Udlevering</w:t>
      </w:r>
    </w:p>
    <w:p w14:paraId="6DD3CDCE" w14:textId="2086D29F" w:rsidR="009260DE" w:rsidRPr="00D7630B" w:rsidRDefault="009D7A8F" w:rsidP="009260DE">
      <w:pPr>
        <w:tabs>
          <w:tab w:val="left" w:pos="851"/>
        </w:tabs>
        <w:ind w:left="851"/>
        <w:rPr>
          <w:sz w:val="24"/>
          <w:szCs w:val="24"/>
        </w:rPr>
      </w:pPr>
      <w:r w:rsidRPr="00D7630B">
        <w:rPr>
          <w:sz w:val="24"/>
          <w:szCs w:val="24"/>
        </w:rPr>
        <w:t>B</w:t>
      </w:r>
    </w:p>
    <w:p w14:paraId="718B45E7" w14:textId="77777777" w:rsidR="009260DE" w:rsidRPr="00D7630B" w:rsidRDefault="009260DE" w:rsidP="009260DE">
      <w:pPr>
        <w:tabs>
          <w:tab w:val="left" w:pos="851"/>
        </w:tabs>
        <w:ind w:left="851"/>
        <w:rPr>
          <w:sz w:val="24"/>
          <w:szCs w:val="24"/>
        </w:rPr>
      </w:pPr>
    </w:p>
    <w:p w14:paraId="0705A8AE" w14:textId="77777777" w:rsidR="009260DE" w:rsidRPr="00D7630B" w:rsidRDefault="009260DE" w:rsidP="009260DE">
      <w:pPr>
        <w:tabs>
          <w:tab w:val="left" w:pos="851"/>
        </w:tabs>
        <w:ind w:left="851"/>
        <w:rPr>
          <w:sz w:val="24"/>
          <w:szCs w:val="24"/>
        </w:rPr>
      </w:pPr>
    </w:p>
    <w:p w14:paraId="7F24D521" w14:textId="77777777" w:rsidR="009260DE" w:rsidRPr="00D7630B" w:rsidRDefault="009260DE" w:rsidP="009260DE">
      <w:pPr>
        <w:tabs>
          <w:tab w:val="left" w:pos="851"/>
        </w:tabs>
        <w:ind w:left="851" w:hanging="851"/>
        <w:rPr>
          <w:b/>
          <w:sz w:val="24"/>
          <w:szCs w:val="24"/>
        </w:rPr>
      </w:pPr>
      <w:r w:rsidRPr="00D7630B">
        <w:rPr>
          <w:b/>
          <w:sz w:val="24"/>
          <w:szCs w:val="24"/>
        </w:rPr>
        <w:t>5.</w:t>
      </w:r>
      <w:r w:rsidRPr="00D7630B">
        <w:rPr>
          <w:b/>
          <w:sz w:val="24"/>
          <w:szCs w:val="24"/>
        </w:rPr>
        <w:tab/>
        <w:t>FARMAKOLOGISKE EGENSKABER</w:t>
      </w:r>
    </w:p>
    <w:p w14:paraId="43113C7D" w14:textId="77777777" w:rsidR="009260DE" w:rsidRPr="00D7630B" w:rsidRDefault="009260DE" w:rsidP="009260DE">
      <w:pPr>
        <w:tabs>
          <w:tab w:val="left" w:pos="851"/>
        </w:tabs>
        <w:ind w:left="851"/>
        <w:rPr>
          <w:sz w:val="24"/>
          <w:szCs w:val="24"/>
        </w:rPr>
      </w:pPr>
    </w:p>
    <w:p w14:paraId="074A57AA" w14:textId="77777777" w:rsidR="009260DE" w:rsidRPr="00D7630B" w:rsidRDefault="009260DE" w:rsidP="009260DE">
      <w:pPr>
        <w:tabs>
          <w:tab w:val="num" w:pos="851"/>
        </w:tabs>
        <w:ind w:left="851" w:hanging="851"/>
        <w:rPr>
          <w:b/>
          <w:sz w:val="24"/>
          <w:szCs w:val="24"/>
        </w:rPr>
      </w:pPr>
      <w:r w:rsidRPr="00D7630B">
        <w:rPr>
          <w:b/>
          <w:sz w:val="24"/>
          <w:szCs w:val="24"/>
        </w:rPr>
        <w:t>5.1</w:t>
      </w:r>
      <w:r w:rsidRPr="00D7630B">
        <w:rPr>
          <w:b/>
          <w:sz w:val="24"/>
          <w:szCs w:val="24"/>
        </w:rPr>
        <w:tab/>
      </w:r>
      <w:proofErr w:type="spellStart"/>
      <w:r w:rsidRPr="00D7630B">
        <w:rPr>
          <w:b/>
          <w:sz w:val="24"/>
          <w:szCs w:val="24"/>
        </w:rPr>
        <w:t>Farmakodynamiske</w:t>
      </w:r>
      <w:proofErr w:type="spellEnd"/>
      <w:r w:rsidRPr="00D7630B">
        <w:rPr>
          <w:b/>
          <w:sz w:val="24"/>
          <w:szCs w:val="24"/>
        </w:rPr>
        <w:t xml:space="preserve"> egenskaber</w:t>
      </w:r>
    </w:p>
    <w:p w14:paraId="397C7FAC" w14:textId="6F8558BD" w:rsidR="009D7A8F" w:rsidRPr="009D7A8F" w:rsidRDefault="009D7A8F" w:rsidP="00D7630B">
      <w:pPr>
        <w:ind w:left="851"/>
        <w:rPr>
          <w:sz w:val="24"/>
          <w:szCs w:val="24"/>
        </w:rPr>
      </w:pPr>
      <w:proofErr w:type="spellStart"/>
      <w:r w:rsidRPr="009D7A8F">
        <w:rPr>
          <w:sz w:val="24"/>
          <w:szCs w:val="24"/>
        </w:rPr>
        <w:t>Famakoterapeutisk</w:t>
      </w:r>
      <w:proofErr w:type="spellEnd"/>
      <w:r w:rsidRPr="009D7A8F">
        <w:rPr>
          <w:sz w:val="24"/>
          <w:szCs w:val="24"/>
        </w:rPr>
        <w:t xml:space="preserve"> klassifikation: </w:t>
      </w:r>
      <w:r w:rsidR="0089290B">
        <w:rPr>
          <w:sz w:val="24"/>
          <w:szCs w:val="24"/>
        </w:rPr>
        <w:t>A</w:t>
      </w:r>
      <w:r w:rsidRPr="009D7A8F">
        <w:rPr>
          <w:sz w:val="24"/>
          <w:szCs w:val="24"/>
        </w:rPr>
        <w:t>ntihistaminer til systemisk brug. ATC-kode: R06AA04</w:t>
      </w:r>
    </w:p>
    <w:p w14:paraId="783AB023" w14:textId="77777777" w:rsidR="009D7A8F" w:rsidRPr="009D7A8F" w:rsidRDefault="009D7A8F" w:rsidP="00D7630B">
      <w:pPr>
        <w:ind w:left="851"/>
        <w:rPr>
          <w:sz w:val="24"/>
          <w:szCs w:val="24"/>
        </w:rPr>
      </w:pPr>
    </w:p>
    <w:p w14:paraId="7E8439EE" w14:textId="77777777" w:rsidR="009D7A8F" w:rsidRPr="009D7A8F" w:rsidRDefault="009D7A8F" w:rsidP="00D7630B">
      <w:pPr>
        <w:ind w:left="851"/>
        <w:rPr>
          <w:sz w:val="24"/>
          <w:szCs w:val="24"/>
          <w:u w:val="single"/>
        </w:rPr>
      </w:pPr>
      <w:r w:rsidRPr="009D7A8F">
        <w:rPr>
          <w:sz w:val="24"/>
          <w:szCs w:val="24"/>
          <w:u w:val="single"/>
        </w:rPr>
        <w:t xml:space="preserve">Virkningsmekanisme og </w:t>
      </w:r>
      <w:proofErr w:type="spellStart"/>
      <w:r w:rsidRPr="009D7A8F">
        <w:rPr>
          <w:sz w:val="24"/>
          <w:szCs w:val="24"/>
          <w:u w:val="single"/>
        </w:rPr>
        <w:t>farmakodynamisk</w:t>
      </w:r>
      <w:proofErr w:type="spellEnd"/>
      <w:r w:rsidRPr="009D7A8F">
        <w:rPr>
          <w:sz w:val="24"/>
          <w:szCs w:val="24"/>
          <w:u w:val="single"/>
        </w:rPr>
        <w:t xml:space="preserve"> virkning</w:t>
      </w:r>
    </w:p>
    <w:p w14:paraId="31AF4C2F" w14:textId="77777777" w:rsidR="009D7A8F" w:rsidRPr="009D7A8F" w:rsidRDefault="009D7A8F" w:rsidP="00D7630B">
      <w:pPr>
        <w:ind w:left="851"/>
        <w:rPr>
          <w:sz w:val="24"/>
          <w:szCs w:val="24"/>
        </w:rPr>
      </w:pPr>
      <w:proofErr w:type="spellStart"/>
      <w:r w:rsidRPr="009D7A8F">
        <w:rPr>
          <w:sz w:val="24"/>
          <w:szCs w:val="24"/>
        </w:rPr>
        <w:t>Clemastin</w:t>
      </w:r>
      <w:proofErr w:type="spellEnd"/>
      <w:r w:rsidRPr="009D7A8F">
        <w:rPr>
          <w:sz w:val="24"/>
          <w:szCs w:val="24"/>
        </w:rPr>
        <w:t xml:space="preserve"> er et antihistamin med H1-receptorantagonist-egenskaber, og det tilhører </w:t>
      </w:r>
      <w:proofErr w:type="spellStart"/>
      <w:r w:rsidRPr="009D7A8F">
        <w:rPr>
          <w:sz w:val="24"/>
          <w:szCs w:val="24"/>
        </w:rPr>
        <w:t>benzhydrylether</w:t>
      </w:r>
      <w:proofErr w:type="spellEnd"/>
      <w:r w:rsidRPr="009D7A8F">
        <w:rPr>
          <w:sz w:val="24"/>
          <w:szCs w:val="24"/>
        </w:rPr>
        <w:t>-gruppen af antihistaminer.</w:t>
      </w:r>
    </w:p>
    <w:p w14:paraId="2D0A7021" w14:textId="77777777" w:rsidR="009D7A8F" w:rsidRPr="009D7A8F" w:rsidRDefault="009D7A8F" w:rsidP="00D7630B">
      <w:pPr>
        <w:ind w:left="851"/>
        <w:rPr>
          <w:sz w:val="24"/>
          <w:szCs w:val="24"/>
        </w:rPr>
      </w:pPr>
    </w:p>
    <w:p w14:paraId="047C7FA7" w14:textId="77777777" w:rsidR="009D7A8F" w:rsidRPr="009D7A8F" w:rsidRDefault="009D7A8F" w:rsidP="00D7630B">
      <w:pPr>
        <w:ind w:left="851"/>
        <w:rPr>
          <w:sz w:val="24"/>
          <w:szCs w:val="24"/>
        </w:rPr>
      </w:pPr>
      <w:r w:rsidRPr="009D7A8F">
        <w:rPr>
          <w:sz w:val="24"/>
          <w:szCs w:val="24"/>
        </w:rPr>
        <w:t xml:space="preserve">Ved den anbefalede dosering kan </w:t>
      </w:r>
      <w:proofErr w:type="spellStart"/>
      <w:r w:rsidRPr="009D7A8F">
        <w:rPr>
          <w:sz w:val="24"/>
          <w:szCs w:val="24"/>
        </w:rPr>
        <w:t>clemastin</w:t>
      </w:r>
      <w:proofErr w:type="spellEnd"/>
      <w:r w:rsidRPr="009D7A8F">
        <w:rPr>
          <w:sz w:val="24"/>
          <w:szCs w:val="24"/>
        </w:rPr>
        <w:t xml:space="preserve"> anses for at være et specifikt antihistamin. Som følge heraf reducerer </w:t>
      </w:r>
      <w:proofErr w:type="spellStart"/>
      <w:r w:rsidRPr="009D7A8F">
        <w:rPr>
          <w:sz w:val="24"/>
          <w:szCs w:val="24"/>
        </w:rPr>
        <w:t>clemastin</w:t>
      </w:r>
      <w:proofErr w:type="spellEnd"/>
      <w:r w:rsidRPr="009D7A8F">
        <w:rPr>
          <w:sz w:val="24"/>
          <w:szCs w:val="24"/>
        </w:rPr>
        <w:t xml:space="preserve"> kapillærpermeabiliteten og er effektivt ved allergisk </w:t>
      </w:r>
      <w:proofErr w:type="spellStart"/>
      <w:r w:rsidRPr="009D7A8F">
        <w:rPr>
          <w:sz w:val="24"/>
          <w:szCs w:val="24"/>
        </w:rPr>
        <w:t>pruritus</w:t>
      </w:r>
      <w:proofErr w:type="spellEnd"/>
      <w:r w:rsidRPr="009D7A8F">
        <w:rPr>
          <w:sz w:val="24"/>
          <w:szCs w:val="24"/>
        </w:rPr>
        <w:t xml:space="preserve"> og allergisk urticaria.</w:t>
      </w:r>
    </w:p>
    <w:p w14:paraId="3739DF18" w14:textId="77777777" w:rsidR="009D7A8F" w:rsidRPr="009D7A8F" w:rsidRDefault="009D7A8F" w:rsidP="00D7630B">
      <w:pPr>
        <w:ind w:left="851"/>
        <w:rPr>
          <w:sz w:val="24"/>
          <w:szCs w:val="24"/>
        </w:rPr>
      </w:pPr>
    </w:p>
    <w:p w14:paraId="423062C0" w14:textId="4D75B09C" w:rsidR="009D7A8F" w:rsidRPr="009D7A8F" w:rsidRDefault="009D7A8F" w:rsidP="00D7630B">
      <w:pPr>
        <w:ind w:left="851"/>
        <w:rPr>
          <w:sz w:val="24"/>
          <w:szCs w:val="24"/>
        </w:rPr>
      </w:pPr>
      <w:proofErr w:type="spellStart"/>
      <w:r w:rsidRPr="009D7A8F">
        <w:rPr>
          <w:sz w:val="24"/>
          <w:szCs w:val="24"/>
        </w:rPr>
        <w:t>Clemastine</w:t>
      </w:r>
      <w:proofErr w:type="spellEnd"/>
      <w:r w:rsidRPr="009D7A8F">
        <w:rPr>
          <w:sz w:val="24"/>
          <w:szCs w:val="24"/>
        </w:rPr>
        <w:t xml:space="preserve"> </w:t>
      </w:r>
      <w:r w:rsidR="00D7630B">
        <w:rPr>
          <w:sz w:val="24"/>
          <w:szCs w:val="24"/>
        </w:rPr>
        <w:t>"</w:t>
      </w:r>
      <w:proofErr w:type="spellStart"/>
      <w:r w:rsidR="00D7630B">
        <w:rPr>
          <w:sz w:val="24"/>
          <w:szCs w:val="24"/>
        </w:rPr>
        <w:t>Macure</w:t>
      </w:r>
      <w:proofErr w:type="spellEnd"/>
      <w:r w:rsidR="00D7630B">
        <w:rPr>
          <w:sz w:val="24"/>
          <w:szCs w:val="24"/>
        </w:rPr>
        <w:t>"</w:t>
      </w:r>
      <w:r w:rsidRPr="009D7A8F">
        <w:rPr>
          <w:sz w:val="24"/>
          <w:szCs w:val="24"/>
        </w:rPr>
        <w:t xml:space="preserve"> injektionsvæske, opløsning har en hurtig virkning efter intravenøs administration. Det kan også administreres intramuskulært.</w:t>
      </w:r>
    </w:p>
    <w:p w14:paraId="2492361F" w14:textId="77777777" w:rsidR="009260DE" w:rsidRPr="00D7630B" w:rsidRDefault="009260DE" w:rsidP="009260DE">
      <w:pPr>
        <w:tabs>
          <w:tab w:val="left" w:pos="851"/>
        </w:tabs>
        <w:ind w:left="851"/>
        <w:rPr>
          <w:sz w:val="24"/>
          <w:szCs w:val="24"/>
        </w:rPr>
      </w:pPr>
    </w:p>
    <w:p w14:paraId="183307E6" w14:textId="77777777" w:rsidR="009260DE" w:rsidRPr="00D7630B" w:rsidRDefault="009260DE" w:rsidP="009260DE">
      <w:pPr>
        <w:tabs>
          <w:tab w:val="left" w:pos="851"/>
        </w:tabs>
        <w:ind w:left="851" w:hanging="851"/>
        <w:rPr>
          <w:b/>
          <w:sz w:val="24"/>
          <w:szCs w:val="24"/>
        </w:rPr>
      </w:pPr>
      <w:r w:rsidRPr="00D7630B">
        <w:rPr>
          <w:b/>
          <w:sz w:val="24"/>
          <w:szCs w:val="24"/>
        </w:rPr>
        <w:t>5.2</w:t>
      </w:r>
      <w:r w:rsidRPr="00D7630B">
        <w:rPr>
          <w:b/>
          <w:sz w:val="24"/>
          <w:szCs w:val="24"/>
        </w:rPr>
        <w:tab/>
      </w:r>
      <w:proofErr w:type="spellStart"/>
      <w:r w:rsidRPr="00D7630B">
        <w:rPr>
          <w:b/>
          <w:sz w:val="24"/>
          <w:szCs w:val="24"/>
        </w:rPr>
        <w:t>Farmakokinetiske</w:t>
      </w:r>
      <w:proofErr w:type="spellEnd"/>
      <w:r w:rsidRPr="00D7630B">
        <w:rPr>
          <w:b/>
          <w:sz w:val="24"/>
          <w:szCs w:val="24"/>
        </w:rPr>
        <w:t xml:space="preserve"> egenskaber</w:t>
      </w:r>
    </w:p>
    <w:p w14:paraId="0D34226E" w14:textId="77777777" w:rsidR="00A84542" w:rsidRDefault="00A84542" w:rsidP="00D7630B">
      <w:pPr>
        <w:ind w:left="851"/>
        <w:rPr>
          <w:sz w:val="24"/>
          <w:szCs w:val="24"/>
          <w:u w:val="single"/>
        </w:rPr>
      </w:pPr>
    </w:p>
    <w:p w14:paraId="13F0C7E9" w14:textId="7549043A" w:rsidR="009D7A8F" w:rsidRPr="009D7A8F" w:rsidRDefault="009D7A8F" w:rsidP="00D7630B">
      <w:pPr>
        <w:ind w:left="851"/>
        <w:rPr>
          <w:sz w:val="24"/>
          <w:szCs w:val="24"/>
          <w:u w:val="single"/>
        </w:rPr>
      </w:pPr>
      <w:r w:rsidRPr="009D7A8F">
        <w:rPr>
          <w:sz w:val="24"/>
          <w:szCs w:val="24"/>
          <w:u w:val="single"/>
        </w:rPr>
        <w:t>Fordeling</w:t>
      </w:r>
    </w:p>
    <w:p w14:paraId="17320226" w14:textId="77777777" w:rsidR="009D7A8F" w:rsidRPr="009D7A8F" w:rsidRDefault="009D7A8F" w:rsidP="00D7630B">
      <w:pPr>
        <w:ind w:left="851"/>
        <w:rPr>
          <w:sz w:val="24"/>
          <w:szCs w:val="24"/>
        </w:rPr>
      </w:pPr>
      <w:proofErr w:type="spellStart"/>
      <w:r w:rsidRPr="009D7A8F">
        <w:rPr>
          <w:sz w:val="24"/>
          <w:szCs w:val="24"/>
        </w:rPr>
        <w:t>Clemastins</w:t>
      </w:r>
      <w:proofErr w:type="spellEnd"/>
      <w:r w:rsidRPr="009D7A8F">
        <w:rPr>
          <w:sz w:val="24"/>
          <w:szCs w:val="24"/>
        </w:rPr>
        <w:t xml:space="preserve"> plasmaproteinbinding er 95 %.</w:t>
      </w:r>
    </w:p>
    <w:p w14:paraId="748930BC" w14:textId="77777777" w:rsidR="009D7A8F" w:rsidRPr="009D7A8F" w:rsidRDefault="009D7A8F" w:rsidP="00D7630B">
      <w:pPr>
        <w:ind w:left="851"/>
        <w:rPr>
          <w:sz w:val="24"/>
          <w:szCs w:val="24"/>
        </w:rPr>
      </w:pPr>
    </w:p>
    <w:p w14:paraId="4E1FA0B2" w14:textId="77777777" w:rsidR="009D7A8F" w:rsidRPr="009D7A8F" w:rsidRDefault="009D7A8F" w:rsidP="00D7630B">
      <w:pPr>
        <w:ind w:left="851"/>
        <w:rPr>
          <w:sz w:val="24"/>
          <w:szCs w:val="24"/>
          <w:u w:val="single"/>
        </w:rPr>
      </w:pPr>
      <w:r w:rsidRPr="009D7A8F">
        <w:rPr>
          <w:sz w:val="24"/>
          <w:szCs w:val="24"/>
          <w:u w:val="single"/>
        </w:rPr>
        <w:t>Biotransformation</w:t>
      </w:r>
    </w:p>
    <w:p w14:paraId="2E64A502" w14:textId="77777777" w:rsidR="009D7A8F" w:rsidRPr="009D7A8F" w:rsidRDefault="009D7A8F" w:rsidP="00D7630B">
      <w:pPr>
        <w:ind w:left="851"/>
        <w:rPr>
          <w:sz w:val="24"/>
          <w:szCs w:val="24"/>
        </w:rPr>
      </w:pPr>
      <w:proofErr w:type="spellStart"/>
      <w:r w:rsidRPr="009D7A8F">
        <w:rPr>
          <w:sz w:val="24"/>
          <w:szCs w:val="24"/>
        </w:rPr>
        <w:t>Clemastin</w:t>
      </w:r>
      <w:proofErr w:type="spellEnd"/>
      <w:r w:rsidRPr="009D7A8F">
        <w:rPr>
          <w:sz w:val="24"/>
          <w:szCs w:val="24"/>
        </w:rPr>
        <w:t xml:space="preserve"> </w:t>
      </w:r>
      <w:proofErr w:type="spellStart"/>
      <w:r w:rsidRPr="009D7A8F">
        <w:rPr>
          <w:sz w:val="24"/>
          <w:szCs w:val="24"/>
        </w:rPr>
        <w:t>metaboliseres</w:t>
      </w:r>
      <w:proofErr w:type="spellEnd"/>
      <w:r w:rsidRPr="009D7A8F">
        <w:rPr>
          <w:sz w:val="24"/>
          <w:szCs w:val="24"/>
        </w:rPr>
        <w:t xml:space="preserve"> i høj grad i leveren.</w:t>
      </w:r>
    </w:p>
    <w:p w14:paraId="661AF71F" w14:textId="77777777" w:rsidR="009D7A8F" w:rsidRPr="009D7A8F" w:rsidRDefault="009D7A8F" w:rsidP="00D7630B">
      <w:pPr>
        <w:ind w:left="851"/>
        <w:rPr>
          <w:sz w:val="24"/>
          <w:szCs w:val="24"/>
        </w:rPr>
      </w:pPr>
    </w:p>
    <w:p w14:paraId="33873F59" w14:textId="77777777" w:rsidR="009D7A8F" w:rsidRPr="009D7A8F" w:rsidRDefault="009D7A8F" w:rsidP="00D7630B">
      <w:pPr>
        <w:ind w:left="851"/>
        <w:rPr>
          <w:sz w:val="24"/>
          <w:szCs w:val="24"/>
          <w:u w:val="single"/>
        </w:rPr>
      </w:pPr>
      <w:r w:rsidRPr="009D7A8F">
        <w:rPr>
          <w:sz w:val="24"/>
          <w:szCs w:val="24"/>
          <w:u w:val="single"/>
        </w:rPr>
        <w:t>Elimination</w:t>
      </w:r>
    </w:p>
    <w:p w14:paraId="66960010" w14:textId="77777777" w:rsidR="009D7A8F" w:rsidRPr="009D7A8F" w:rsidRDefault="009D7A8F" w:rsidP="00D7630B">
      <w:pPr>
        <w:ind w:left="851"/>
        <w:rPr>
          <w:sz w:val="24"/>
          <w:szCs w:val="24"/>
        </w:rPr>
      </w:pPr>
      <w:r w:rsidRPr="009D7A8F">
        <w:rPr>
          <w:sz w:val="24"/>
          <w:szCs w:val="24"/>
        </w:rPr>
        <w:t xml:space="preserve">Eliminationen er </w:t>
      </w:r>
      <w:proofErr w:type="spellStart"/>
      <w:r w:rsidRPr="009D7A8F">
        <w:rPr>
          <w:sz w:val="24"/>
          <w:szCs w:val="24"/>
        </w:rPr>
        <w:t>bifasisk</w:t>
      </w:r>
      <w:proofErr w:type="spellEnd"/>
      <w:r w:rsidRPr="009D7A8F">
        <w:rPr>
          <w:sz w:val="24"/>
          <w:szCs w:val="24"/>
        </w:rPr>
        <w:t>, først med en eliminationshalveringstid på 3,6 ± 0,9 timer og senere 37 ± 16 timer. Metabolitterne udskilles primært (45</w:t>
      </w:r>
      <w:r w:rsidRPr="009D7A8F">
        <w:rPr>
          <w:sz w:val="24"/>
          <w:szCs w:val="24"/>
        </w:rPr>
        <w:noBreakHyphen/>
        <w:t xml:space="preserve">65 %) af nyrerne, hvor der kun findes meget små mængder </w:t>
      </w:r>
      <w:proofErr w:type="spellStart"/>
      <w:r w:rsidRPr="009D7A8F">
        <w:rPr>
          <w:sz w:val="24"/>
          <w:szCs w:val="24"/>
        </w:rPr>
        <w:t>clemastin</w:t>
      </w:r>
      <w:proofErr w:type="spellEnd"/>
      <w:r w:rsidRPr="009D7A8F">
        <w:rPr>
          <w:sz w:val="24"/>
          <w:szCs w:val="24"/>
        </w:rPr>
        <w:t>.</w:t>
      </w:r>
    </w:p>
    <w:p w14:paraId="238D51A3" w14:textId="77777777" w:rsidR="009D7A8F" w:rsidRPr="009D7A8F" w:rsidRDefault="009D7A8F" w:rsidP="00D7630B">
      <w:pPr>
        <w:ind w:left="851"/>
        <w:rPr>
          <w:sz w:val="24"/>
          <w:szCs w:val="24"/>
        </w:rPr>
      </w:pPr>
    </w:p>
    <w:p w14:paraId="7F819C4C" w14:textId="77777777" w:rsidR="009D7A8F" w:rsidRPr="009D7A8F" w:rsidRDefault="009D7A8F" w:rsidP="00D7630B">
      <w:pPr>
        <w:ind w:left="851"/>
        <w:rPr>
          <w:sz w:val="24"/>
          <w:szCs w:val="24"/>
        </w:rPr>
      </w:pPr>
      <w:proofErr w:type="spellStart"/>
      <w:r w:rsidRPr="009D7A8F">
        <w:rPr>
          <w:sz w:val="24"/>
          <w:szCs w:val="24"/>
        </w:rPr>
        <w:t>Clemastin</w:t>
      </w:r>
      <w:proofErr w:type="spellEnd"/>
      <w:r w:rsidRPr="009D7A8F">
        <w:rPr>
          <w:sz w:val="24"/>
          <w:szCs w:val="24"/>
        </w:rPr>
        <w:t xml:space="preserve"> findes i human mælk efter 2 × 1 mg oralt.</w:t>
      </w:r>
    </w:p>
    <w:p w14:paraId="6301893A" w14:textId="6E6813BB" w:rsidR="005574E8" w:rsidRDefault="005574E8">
      <w:pPr>
        <w:rPr>
          <w:sz w:val="24"/>
          <w:szCs w:val="24"/>
        </w:rPr>
      </w:pPr>
      <w:r>
        <w:rPr>
          <w:sz w:val="24"/>
          <w:szCs w:val="24"/>
        </w:rPr>
        <w:br w:type="page"/>
      </w:r>
    </w:p>
    <w:p w14:paraId="29C9EAAA" w14:textId="77777777" w:rsidR="009260DE" w:rsidRPr="00D7630B" w:rsidRDefault="009260DE" w:rsidP="009260DE">
      <w:pPr>
        <w:tabs>
          <w:tab w:val="left" w:pos="851"/>
        </w:tabs>
        <w:ind w:left="851"/>
        <w:rPr>
          <w:sz w:val="24"/>
          <w:szCs w:val="24"/>
        </w:rPr>
      </w:pPr>
    </w:p>
    <w:p w14:paraId="4CFA73E0" w14:textId="77777777" w:rsidR="009260DE" w:rsidRPr="00D7630B" w:rsidRDefault="009260DE" w:rsidP="009260DE">
      <w:pPr>
        <w:tabs>
          <w:tab w:val="left" w:pos="851"/>
        </w:tabs>
        <w:ind w:left="851" w:hanging="851"/>
        <w:rPr>
          <w:b/>
          <w:sz w:val="24"/>
          <w:szCs w:val="24"/>
        </w:rPr>
      </w:pPr>
      <w:r w:rsidRPr="00D7630B">
        <w:rPr>
          <w:b/>
          <w:sz w:val="24"/>
          <w:szCs w:val="24"/>
        </w:rPr>
        <w:t>5.3</w:t>
      </w:r>
      <w:r w:rsidRPr="00D7630B">
        <w:rPr>
          <w:b/>
          <w:sz w:val="24"/>
          <w:szCs w:val="24"/>
        </w:rPr>
        <w:tab/>
      </w:r>
      <w:r w:rsidR="00BD7931" w:rsidRPr="00D7630B">
        <w:rPr>
          <w:b/>
          <w:sz w:val="24"/>
          <w:szCs w:val="24"/>
        </w:rPr>
        <w:t>Non-</w:t>
      </w:r>
      <w:r w:rsidRPr="00D7630B">
        <w:rPr>
          <w:b/>
          <w:sz w:val="24"/>
          <w:szCs w:val="24"/>
        </w:rPr>
        <w:t>kliniske sikkerhedsdata</w:t>
      </w:r>
    </w:p>
    <w:p w14:paraId="7D588D82" w14:textId="77777777" w:rsidR="009D7A8F" w:rsidRPr="009D7A8F" w:rsidRDefault="009D7A8F" w:rsidP="00D7630B">
      <w:pPr>
        <w:ind w:left="851"/>
        <w:rPr>
          <w:sz w:val="24"/>
          <w:szCs w:val="24"/>
        </w:rPr>
      </w:pPr>
      <w:r w:rsidRPr="009D7A8F">
        <w:rPr>
          <w:sz w:val="24"/>
          <w:szCs w:val="24"/>
        </w:rPr>
        <w:t xml:space="preserve">Non-kliniske data viser ingen speciel risiko for mennesker vurderet ud fra konventionelle studier af sikkerhedsfarmakologi, toksicitet efter gentagne doser, genotoksicitet, </w:t>
      </w:r>
      <w:proofErr w:type="spellStart"/>
      <w:r w:rsidRPr="009D7A8F">
        <w:rPr>
          <w:sz w:val="24"/>
          <w:szCs w:val="24"/>
        </w:rPr>
        <w:t>karcinogent</w:t>
      </w:r>
      <w:proofErr w:type="spellEnd"/>
      <w:r w:rsidRPr="009D7A8F">
        <w:rPr>
          <w:sz w:val="24"/>
          <w:szCs w:val="24"/>
        </w:rPr>
        <w:t xml:space="preserve"> potentiale samt reproduktionstoksicitet ved terapeutisk relevante doseringer.</w:t>
      </w:r>
    </w:p>
    <w:p w14:paraId="0339DB56" w14:textId="77777777" w:rsidR="009260DE" w:rsidRPr="00D7630B" w:rsidRDefault="009260DE" w:rsidP="009260DE">
      <w:pPr>
        <w:tabs>
          <w:tab w:val="left" w:pos="851"/>
        </w:tabs>
        <w:ind w:left="851"/>
        <w:rPr>
          <w:sz w:val="24"/>
          <w:szCs w:val="24"/>
        </w:rPr>
      </w:pPr>
    </w:p>
    <w:p w14:paraId="5DA0347A" w14:textId="77777777" w:rsidR="009260DE" w:rsidRPr="00D7630B" w:rsidRDefault="009260DE" w:rsidP="009260DE">
      <w:pPr>
        <w:tabs>
          <w:tab w:val="left" w:pos="851"/>
        </w:tabs>
        <w:ind w:left="851"/>
        <w:rPr>
          <w:sz w:val="24"/>
          <w:szCs w:val="24"/>
        </w:rPr>
      </w:pPr>
    </w:p>
    <w:p w14:paraId="660A1C0A" w14:textId="77777777" w:rsidR="009260DE" w:rsidRPr="00D7630B" w:rsidRDefault="009260DE" w:rsidP="009260DE">
      <w:pPr>
        <w:tabs>
          <w:tab w:val="left" w:pos="851"/>
        </w:tabs>
        <w:ind w:left="851" w:hanging="851"/>
        <w:rPr>
          <w:b/>
          <w:sz w:val="24"/>
          <w:szCs w:val="24"/>
        </w:rPr>
      </w:pPr>
      <w:r w:rsidRPr="00D7630B">
        <w:rPr>
          <w:b/>
          <w:sz w:val="24"/>
          <w:szCs w:val="24"/>
        </w:rPr>
        <w:t>6.</w:t>
      </w:r>
      <w:r w:rsidRPr="00D7630B">
        <w:rPr>
          <w:b/>
          <w:sz w:val="24"/>
          <w:szCs w:val="24"/>
        </w:rPr>
        <w:tab/>
        <w:t>FARMACEUTISKE OPLYSNINGER</w:t>
      </w:r>
    </w:p>
    <w:p w14:paraId="2CE295CF" w14:textId="77777777" w:rsidR="009260DE" w:rsidRPr="00D7630B" w:rsidRDefault="009260DE" w:rsidP="009260DE">
      <w:pPr>
        <w:tabs>
          <w:tab w:val="left" w:pos="851"/>
        </w:tabs>
        <w:ind w:left="851"/>
        <w:rPr>
          <w:sz w:val="24"/>
          <w:szCs w:val="24"/>
        </w:rPr>
      </w:pPr>
    </w:p>
    <w:p w14:paraId="0B99E870" w14:textId="77777777" w:rsidR="009260DE" w:rsidRPr="00D7630B" w:rsidRDefault="009260DE" w:rsidP="009260DE">
      <w:pPr>
        <w:tabs>
          <w:tab w:val="left" w:pos="851"/>
        </w:tabs>
        <w:ind w:left="851" w:hanging="851"/>
        <w:rPr>
          <w:b/>
          <w:sz w:val="24"/>
          <w:szCs w:val="24"/>
        </w:rPr>
      </w:pPr>
      <w:r w:rsidRPr="00D7630B">
        <w:rPr>
          <w:b/>
          <w:sz w:val="24"/>
          <w:szCs w:val="24"/>
        </w:rPr>
        <w:t>6.1</w:t>
      </w:r>
      <w:r w:rsidRPr="00D7630B">
        <w:rPr>
          <w:b/>
          <w:sz w:val="24"/>
          <w:szCs w:val="24"/>
        </w:rPr>
        <w:tab/>
        <w:t>Hjælpestoffer</w:t>
      </w:r>
    </w:p>
    <w:p w14:paraId="2FD4E148" w14:textId="77777777" w:rsidR="002913EC" w:rsidRPr="002913EC" w:rsidRDefault="002913EC" w:rsidP="00D7630B">
      <w:pPr>
        <w:ind w:left="851"/>
        <w:rPr>
          <w:sz w:val="24"/>
          <w:szCs w:val="24"/>
        </w:rPr>
      </w:pPr>
      <w:r w:rsidRPr="002913EC">
        <w:rPr>
          <w:sz w:val="24"/>
          <w:szCs w:val="24"/>
        </w:rPr>
        <w:t>Sorbitol (E 420)</w:t>
      </w:r>
    </w:p>
    <w:p w14:paraId="14D35BD4" w14:textId="77777777" w:rsidR="002913EC" w:rsidRPr="002913EC" w:rsidRDefault="002913EC" w:rsidP="00D7630B">
      <w:pPr>
        <w:ind w:left="851"/>
        <w:rPr>
          <w:sz w:val="24"/>
          <w:szCs w:val="24"/>
          <w:lang w:val="en-US"/>
        </w:rPr>
      </w:pPr>
      <w:r w:rsidRPr="002913EC">
        <w:rPr>
          <w:sz w:val="24"/>
          <w:szCs w:val="24"/>
          <w:lang w:val="en-US"/>
        </w:rPr>
        <w:t>Ethanol (96 </w:t>
      </w:r>
      <w:proofErr w:type="spellStart"/>
      <w:r w:rsidRPr="002913EC">
        <w:rPr>
          <w:sz w:val="24"/>
          <w:szCs w:val="24"/>
          <w:lang w:val="en-US"/>
        </w:rPr>
        <w:t>procent</w:t>
      </w:r>
      <w:proofErr w:type="spellEnd"/>
      <w:r w:rsidRPr="002913EC">
        <w:rPr>
          <w:sz w:val="24"/>
          <w:szCs w:val="24"/>
          <w:lang w:val="en-US"/>
        </w:rPr>
        <w:t>)</w:t>
      </w:r>
    </w:p>
    <w:p w14:paraId="0B76913C" w14:textId="77777777" w:rsidR="002913EC" w:rsidRPr="002913EC" w:rsidRDefault="002913EC" w:rsidP="00D7630B">
      <w:pPr>
        <w:ind w:left="851"/>
        <w:rPr>
          <w:sz w:val="24"/>
          <w:szCs w:val="24"/>
          <w:lang w:val="en-US"/>
        </w:rPr>
      </w:pPr>
      <w:proofErr w:type="spellStart"/>
      <w:r w:rsidRPr="002913EC">
        <w:rPr>
          <w:sz w:val="24"/>
          <w:szCs w:val="24"/>
          <w:lang w:val="en-US"/>
        </w:rPr>
        <w:t>Propylenglykol</w:t>
      </w:r>
      <w:proofErr w:type="spellEnd"/>
      <w:r w:rsidRPr="002913EC">
        <w:rPr>
          <w:sz w:val="24"/>
          <w:szCs w:val="24"/>
          <w:lang w:val="en-US"/>
        </w:rPr>
        <w:t xml:space="preserve"> (E 1520)</w:t>
      </w:r>
    </w:p>
    <w:p w14:paraId="5EAE6DA2" w14:textId="77777777" w:rsidR="002913EC" w:rsidRPr="002913EC" w:rsidRDefault="002913EC" w:rsidP="00D7630B">
      <w:pPr>
        <w:ind w:left="851"/>
        <w:rPr>
          <w:sz w:val="24"/>
          <w:szCs w:val="24"/>
          <w:lang w:val="en-US"/>
        </w:rPr>
      </w:pPr>
      <w:proofErr w:type="spellStart"/>
      <w:r w:rsidRPr="002913EC">
        <w:rPr>
          <w:sz w:val="24"/>
          <w:szCs w:val="24"/>
          <w:lang w:val="en-US"/>
        </w:rPr>
        <w:t>Natriumcitrat</w:t>
      </w:r>
      <w:proofErr w:type="spellEnd"/>
      <w:r w:rsidRPr="002913EC">
        <w:rPr>
          <w:sz w:val="24"/>
          <w:szCs w:val="24"/>
          <w:lang w:val="en-US"/>
        </w:rPr>
        <w:t xml:space="preserve"> (E 331)</w:t>
      </w:r>
    </w:p>
    <w:p w14:paraId="64B0BA96" w14:textId="77777777" w:rsidR="002913EC" w:rsidRPr="002913EC" w:rsidRDefault="002913EC" w:rsidP="00D7630B">
      <w:pPr>
        <w:ind w:left="851"/>
        <w:rPr>
          <w:sz w:val="24"/>
          <w:szCs w:val="24"/>
        </w:rPr>
      </w:pPr>
      <w:r w:rsidRPr="002913EC">
        <w:rPr>
          <w:sz w:val="24"/>
          <w:szCs w:val="24"/>
        </w:rPr>
        <w:t>Vand til injektionsvæsker.</w:t>
      </w:r>
    </w:p>
    <w:p w14:paraId="2C97AB2B" w14:textId="77777777" w:rsidR="009260DE" w:rsidRPr="00D7630B" w:rsidRDefault="009260DE" w:rsidP="009260DE">
      <w:pPr>
        <w:tabs>
          <w:tab w:val="left" w:pos="851"/>
        </w:tabs>
        <w:ind w:left="851"/>
        <w:rPr>
          <w:sz w:val="24"/>
          <w:szCs w:val="24"/>
        </w:rPr>
      </w:pPr>
    </w:p>
    <w:p w14:paraId="518E5BEC" w14:textId="77777777" w:rsidR="009260DE" w:rsidRPr="00D7630B" w:rsidRDefault="009260DE" w:rsidP="009260DE">
      <w:pPr>
        <w:tabs>
          <w:tab w:val="left" w:pos="851"/>
        </w:tabs>
        <w:ind w:left="851" w:hanging="851"/>
        <w:rPr>
          <w:b/>
          <w:sz w:val="24"/>
          <w:szCs w:val="24"/>
        </w:rPr>
      </w:pPr>
      <w:r w:rsidRPr="00D7630B">
        <w:rPr>
          <w:b/>
          <w:sz w:val="24"/>
          <w:szCs w:val="24"/>
        </w:rPr>
        <w:t>6.2</w:t>
      </w:r>
      <w:r w:rsidRPr="00D7630B">
        <w:rPr>
          <w:b/>
          <w:sz w:val="24"/>
          <w:szCs w:val="24"/>
        </w:rPr>
        <w:tab/>
        <w:t>Uforligeligheder</w:t>
      </w:r>
    </w:p>
    <w:p w14:paraId="37671988" w14:textId="5DF48179" w:rsidR="002913EC" w:rsidRPr="002913EC" w:rsidRDefault="002913EC" w:rsidP="00D7630B">
      <w:pPr>
        <w:ind w:left="851"/>
        <w:rPr>
          <w:sz w:val="24"/>
          <w:szCs w:val="24"/>
        </w:rPr>
      </w:pPr>
      <w:r w:rsidRPr="002913EC">
        <w:rPr>
          <w:sz w:val="24"/>
          <w:szCs w:val="24"/>
        </w:rPr>
        <w:t xml:space="preserve">På grund af mangel på relevante data bør </w:t>
      </w:r>
      <w:proofErr w:type="spellStart"/>
      <w:r w:rsidRPr="002913EC">
        <w:rPr>
          <w:sz w:val="24"/>
          <w:szCs w:val="24"/>
        </w:rPr>
        <w:t>Clemastine</w:t>
      </w:r>
      <w:proofErr w:type="spellEnd"/>
      <w:r w:rsidRPr="002913EC">
        <w:rPr>
          <w:sz w:val="24"/>
          <w:szCs w:val="24"/>
        </w:rPr>
        <w:t xml:space="preserve"> </w:t>
      </w:r>
      <w:r w:rsidR="00D7630B">
        <w:rPr>
          <w:sz w:val="24"/>
          <w:szCs w:val="24"/>
        </w:rPr>
        <w:t>"</w:t>
      </w:r>
      <w:proofErr w:type="spellStart"/>
      <w:r w:rsidR="00D7630B">
        <w:rPr>
          <w:sz w:val="24"/>
          <w:szCs w:val="24"/>
        </w:rPr>
        <w:t>Macure</w:t>
      </w:r>
      <w:proofErr w:type="spellEnd"/>
      <w:r w:rsidR="00D7630B">
        <w:rPr>
          <w:sz w:val="24"/>
          <w:szCs w:val="24"/>
        </w:rPr>
        <w:t>"</w:t>
      </w:r>
      <w:r w:rsidRPr="002913EC">
        <w:rPr>
          <w:sz w:val="24"/>
          <w:szCs w:val="24"/>
        </w:rPr>
        <w:t xml:space="preserve"> injektionsvæske, opløsning ikke anvendes med andre </w:t>
      </w:r>
      <w:proofErr w:type="spellStart"/>
      <w:r w:rsidRPr="002913EC">
        <w:rPr>
          <w:sz w:val="24"/>
          <w:szCs w:val="24"/>
        </w:rPr>
        <w:t>diluenser</w:t>
      </w:r>
      <w:proofErr w:type="spellEnd"/>
      <w:r w:rsidRPr="002913EC">
        <w:rPr>
          <w:sz w:val="24"/>
          <w:szCs w:val="24"/>
        </w:rPr>
        <w:t xml:space="preserve"> end dem, der er anført i pkt. 4.2 og 6.6, og det må ikke administreres i store volumener parenteralt.</w:t>
      </w:r>
    </w:p>
    <w:p w14:paraId="2DED02BC" w14:textId="77777777" w:rsidR="009260DE" w:rsidRPr="00D7630B" w:rsidRDefault="009260DE" w:rsidP="009260DE">
      <w:pPr>
        <w:tabs>
          <w:tab w:val="left" w:pos="851"/>
        </w:tabs>
        <w:ind w:left="851"/>
        <w:rPr>
          <w:sz w:val="24"/>
          <w:szCs w:val="24"/>
        </w:rPr>
      </w:pPr>
    </w:p>
    <w:p w14:paraId="788EB891" w14:textId="77777777" w:rsidR="009260DE" w:rsidRPr="00D7630B" w:rsidRDefault="009260DE" w:rsidP="009260DE">
      <w:pPr>
        <w:tabs>
          <w:tab w:val="left" w:pos="851"/>
        </w:tabs>
        <w:ind w:left="851" w:hanging="851"/>
        <w:rPr>
          <w:b/>
          <w:sz w:val="24"/>
          <w:szCs w:val="24"/>
        </w:rPr>
      </w:pPr>
      <w:r w:rsidRPr="00D7630B">
        <w:rPr>
          <w:b/>
          <w:sz w:val="24"/>
          <w:szCs w:val="24"/>
        </w:rPr>
        <w:t>6.3</w:t>
      </w:r>
      <w:r w:rsidRPr="00D7630B">
        <w:rPr>
          <w:b/>
          <w:sz w:val="24"/>
          <w:szCs w:val="24"/>
        </w:rPr>
        <w:tab/>
        <w:t>Opbevaringstid</w:t>
      </w:r>
    </w:p>
    <w:p w14:paraId="41DF02D9" w14:textId="77777777" w:rsidR="002913EC" w:rsidRPr="002913EC" w:rsidRDefault="002913EC" w:rsidP="002913EC">
      <w:pPr>
        <w:tabs>
          <w:tab w:val="left" w:pos="851"/>
        </w:tabs>
        <w:ind w:left="851"/>
        <w:rPr>
          <w:sz w:val="24"/>
          <w:szCs w:val="24"/>
        </w:rPr>
      </w:pPr>
      <w:r w:rsidRPr="002913EC">
        <w:rPr>
          <w:sz w:val="24"/>
          <w:szCs w:val="24"/>
        </w:rPr>
        <w:t>30 måneder</w:t>
      </w:r>
    </w:p>
    <w:p w14:paraId="237D10E1" w14:textId="77777777" w:rsidR="002913EC" w:rsidRPr="002913EC" w:rsidRDefault="002913EC" w:rsidP="002913EC">
      <w:pPr>
        <w:tabs>
          <w:tab w:val="left" w:pos="851"/>
        </w:tabs>
        <w:ind w:left="851"/>
        <w:rPr>
          <w:sz w:val="24"/>
          <w:szCs w:val="24"/>
        </w:rPr>
      </w:pPr>
    </w:p>
    <w:p w14:paraId="0FFD5D9C" w14:textId="77777777" w:rsidR="002913EC" w:rsidRPr="002913EC" w:rsidRDefault="002913EC" w:rsidP="002913EC">
      <w:pPr>
        <w:tabs>
          <w:tab w:val="left" w:pos="851"/>
        </w:tabs>
        <w:ind w:left="851"/>
        <w:rPr>
          <w:sz w:val="24"/>
          <w:szCs w:val="24"/>
        </w:rPr>
      </w:pPr>
      <w:r w:rsidRPr="002913EC">
        <w:rPr>
          <w:sz w:val="24"/>
          <w:szCs w:val="24"/>
        </w:rPr>
        <w:t>Der er påvist kemisk og fysisk stabilitet under brug af 0,2 mg/ml opløsninger i 48 timer ved 25 °C eller i 48 timer ved 5 °C (nedkølet).</w:t>
      </w:r>
    </w:p>
    <w:p w14:paraId="05FCE34C" w14:textId="77777777" w:rsidR="002913EC" w:rsidRPr="002913EC" w:rsidRDefault="002913EC" w:rsidP="002913EC">
      <w:pPr>
        <w:tabs>
          <w:tab w:val="left" w:pos="851"/>
        </w:tabs>
        <w:ind w:left="851"/>
        <w:rPr>
          <w:sz w:val="24"/>
          <w:szCs w:val="24"/>
        </w:rPr>
      </w:pPr>
      <w:r w:rsidRPr="002913EC">
        <w:rPr>
          <w:sz w:val="24"/>
          <w:szCs w:val="24"/>
        </w:rPr>
        <w:t>Ud fra et mikrobiologisk synspunkt skal præparatet anvendes straks, medmindre åbnings-/fortyndingsmetoden udelukker risikoen for mikrobiologisk forurening. Hvis det ikke bruges straks, er opbevaringstider og betingelser under brug brugerens ansvar.</w:t>
      </w:r>
    </w:p>
    <w:p w14:paraId="69187878" w14:textId="77777777" w:rsidR="009260DE" w:rsidRPr="00D7630B" w:rsidRDefault="009260DE" w:rsidP="009260DE">
      <w:pPr>
        <w:tabs>
          <w:tab w:val="left" w:pos="851"/>
        </w:tabs>
        <w:ind w:left="851"/>
        <w:rPr>
          <w:sz w:val="24"/>
          <w:szCs w:val="24"/>
        </w:rPr>
      </w:pPr>
    </w:p>
    <w:p w14:paraId="6AD28FAC" w14:textId="77777777" w:rsidR="009260DE" w:rsidRPr="00D7630B" w:rsidRDefault="009260DE" w:rsidP="009260DE">
      <w:pPr>
        <w:tabs>
          <w:tab w:val="left" w:pos="851"/>
        </w:tabs>
        <w:ind w:left="851" w:hanging="851"/>
        <w:rPr>
          <w:b/>
          <w:sz w:val="24"/>
          <w:szCs w:val="24"/>
        </w:rPr>
      </w:pPr>
      <w:r w:rsidRPr="00D7630B">
        <w:rPr>
          <w:b/>
          <w:sz w:val="24"/>
          <w:szCs w:val="24"/>
        </w:rPr>
        <w:t>6.4</w:t>
      </w:r>
      <w:r w:rsidRPr="00D7630B">
        <w:rPr>
          <w:b/>
          <w:sz w:val="24"/>
          <w:szCs w:val="24"/>
        </w:rPr>
        <w:tab/>
        <w:t>Særlige opbevaringsforhold</w:t>
      </w:r>
    </w:p>
    <w:p w14:paraId="4F339423" w14:textId="77777777" w:rsidR="002913EC" w:rsidRPr="002913EC" w:rsidRDefault="002913EC" w:rsidP="002913EC">
      <w:pPr>
        <w:tabs>
          <w:tab w:val="left" w:pos="851"/>
        </w:tabs>
        <w:ind w:left="851"/>
        <w:rPr>
          <w:sz w:val="24"/>
          <w:szCs w:val="24"/>
        </w:rPr>
      </w:pPr>
      <w:r w:rsidRPr="002913EC">
        <w:rPr>
          <w:sz w:val="24"/>
          <w:szCs w:val="24"/>
        </w:rPr>
        <w:t>Dette lægemiddel kræver ingen særlige forholdsregler vedrørende opbevaringen.</w:t>
      </w:r>
    </w:p>
    <w:p w14:paraId="08C6EE51" w14:textId="77777777" w:rsidR="002913EC" w:rsidRPr="002913EC" w:rsidRDefault="002913EC" w:rsidP="002913EC">
      <w:pPr>
        <w:tabs>
          <w:tab w:val="left" w:pos="851"/>
        </w:tabs>
        <w:ind w:left="851"/>
        <w:rPr>
          <w:sz w:val="24"/>
          <w:szCs w:val="24"/>
        </w:rPr>
      </w:pPr>
    </w:p>
    <w:p w14:paraId="52B1469B" w14:textId="77777777" w:rsidR="002913EC" w:rsidRPr="002913EC" w:rsidRDefault="002913EC" w:rsidP="002913EC">
      <w:pPr>
        <w:tabs>
          <w:tab w:val="left" w:pos="851"/>
        </w:tabs>
        <w:ind w:left="851"/>
        <w:rPr>
          <w:sz w:val="24"/>
          <w:szCs w:val="24"/>
          <w:u w:val="single"/>
        </w:rPr>
      </w:pPr>
      <w:r w:rsidRPr="002913EC">
        <w:rPr>
          <w:sz w:val="24"/>
          <w:szCs w:val="24"/>
          <w:u w:val="single"/>
        </w:rPr>
        <w:t>Opbevaringstid for den fortyndede opløsning</w:t>
      </w:r>
    </w:p>
    <w:p w14:paraId="5D0EBA6E" w14:textId="1912572F" w:rsidR="002913EC" w:rsidRPr="002913EC" w:rsidRDefault="002913EC" w:rsidP="002913EC">
      <w:pPr>
        <w:tabs>
          <w:tab w:val="left" w:pos="851"/>
        </w:tabs>
        <w:ind w:left="851"/>
        <w:rPr>
          <w:sz w:val="24"/>
          <w:szCs w:val="24"/>
        </w:rPr>
      </w:pPr>
      <w:proofErr w:type="spellStart"/>
      <w:r w:rsidRPr="002913EC">
        <w:rPr>
          <w:sz w:val="24"/>
          <w:szCs w:val="24"/>
        </w:rPr>
        <w:t>Clemastine</w:t>
      </w:r>
      <w:proofErr w:type="spellEnd"/>
      <w:r w:rsidRPr="002913EC">
        <w:rPr>
          <w:sz w:val="24"/>
          <w:szCs w:val="24"/>
        </w:rPr>
        <w:t xml:space="preserve"> </w:t>
      </w:r>
      <w:r w:rsidR="00D7630B">
        <w:rPr>
          <w:sz w:val="24"/>
          <w:szCs w:val="24"/>
        </w:rPr>
        <w:t>"</w:t>
      </w:r>
      <w:proofErr w:type="spellStart"/>
      <w:r w:rsidR="00D7630B">
        <w:rPr>
          <w:sz w:val="24"/>
          <w:szCs w:val="24"/>
        </w:rPr>
        <w:t>Macure</w:t>
      </w:r>
      <w:proofErr w:type="spellEnd"/>
      <w:r w:rsidR="00D7630B">
        <w:rPr>
          <w:sz w:val="24"/>
          <w:szCs w:val="24"/>
        </w:rPr>
        <w:t>"</w:t>
      </w:r>
      <w:r w:rsidRPr="002913EC">
        <w:rPr>
          <w:sz w:val="24"/>
          <w:szCs w:val="24"/>
        </w:rPr>
        <w:t xml:space="preserve"> kan fortyndes med 0,9 % NaCl-opløsning og 5 % </w:t>
      </w:r>
      <w:proofErr w:type="spellStart"/>
      <w:r w:rsidRPr="002913EC">
        <w:rPr>
          <w:sz w:val="24"/>
          <w:szCs w:val="24"/>
        </w:rPr>
        <w:t>dextroseopløsning</w:t>
      </w:r>
      <w:proofErr w:type="spellEnd"/>
      <w:r w:rsidRPr="002913EC">
        <w:rPr>
          <w:sz w:val="24"/>
          <w:szCs w:val="24"/>
        </w:rPr>
        <w:t xml:space="preserve"> til en endelig opløsning på 0,2 mg/ml. Se pkt. 6.3</w:t>
      </w:r>
    </w:p>
    <w:p w14:paraId="3C5B7422" w14:textId="77777777" w:rsidR="009260DE" w:rsidRPr="00D7630B" w:rsidRDefault="009260DE" w:rsidP="009260DE">
      <w:pPr>
        <w:tabs>
          <w:tab w:val="left" w:pos="851"/>
        </w:tabs>
        <w:ind w:left="851"/>
        <w:rPr>
          <w:sz w:val="24"/>
          <w:szCs w:val="24"/>
        </w:rPr>
      </w:pPr>
    </w:p>
    <w:p w14:paraId="1B83234E" w14:textId="77777777" w:rsidR="009260DE" w:rsidRPr="00D7630B" w:rsidRDefault="009260DE" w:rsidP="009260DE">
      <w:pPr>
        <w:tabs>
          <w:tab w:val="left" w:pos="851"/>
        </w:tabs>
        <w:ind w:left="851" w:hanging="851"/>
        <w:rPr>
          <w:b/>
          <w:sz w:val="24"/>
          <w:szCs w:val="24"/>
        </w:rPr>
      </w:pPr>
      <w:r w:rsidRPr="00D7630B">
        <w:rPr>
          <w:b/>
          <w:sz w:val="24"/>
          <w:szCs w:val="24"/>
        </w:rPr>
        <w:t>6.5</w:t>
      </w:r>
      <w:r w:rsidRPr="00D7630B">
        <w:rPr>
          <w:b/>
          <w:sz w:val="24"/>
          <w:szCs w:val="24"/>
        </w:rPr>
        <w:tab/>
        <w:t>Emballagetype og pakningsstørrelser</w:t>
      </w:r>
    </w:p>
    <w:p w14:paraId="3B409906" w14:textId="77777777" w:rsidR="002913EC" w:rsidRPr="002913EC" w:rsidRDefault="002913EC" w:rsidP="002913EC">
      <w:pPr>
        <w:tabs>
          <w:tab w:val="left" w:pos="851"/>
        </w:tabs>
        <w:ind w:left="851"/>
        <w:rPr>
          <w:sz w:val="24"/>
          <w:szCs w:val="24"/>
        </w:rPr>
      </w:pPr>
      <w:r w:rsidRPr="002913EC">
        <w:rPr>
          <w:sz w:val="24"/>
          <w:szCs w:val="24"/>
        </w:rPr>
        <w:t>2 ml ampuller (type 1-glas). Hver pakning indeholder 5 ampuller.</w:t>
      </w:r>
    </w:p>
    <w:p w14:paraId="1CD48937" w14:textId="77777777" w:rsidR="009260DE" w:rsidRPr="00D7630B" w:rsidRDefault="009260DE" w:rsidP="009260DE">
      <w:pPr>
        <w:tabs>
          <w:tab w:val="left" w:pos="851"/>
        </w:tabs>
        <w:ind w:left="851"/>
        <w:rPr>
          <w:sz w:val="24"/>
          <w:szCs w:val="24"/>
        </w:rPr>
      </w:pPr>
    </w:p>
    <w:p w14:paraId="20A0C60B" w14:textId="77777777" w:rsidR="009260DE" w:rsidRPr="00D7630B" w:rsidRDefault="009260DE" w:rsidP="009260DE">
      <w:pPr>
        <w:tabs>
          <w:tab w:val="left" w:pos="851"/>
        </w:tabs>
        <w:ind w:left="851" w:hanging="851"/>
        <w:rPr>
          <w:b/>
          <w:sz w:val="24"/>
          <w:szCs w:val="24"/>
        </w:rPr>
      </w:pPr>
      <w:r w:rsidRPr="00D7630B">
        <w:rPr>
          <w:b/>
          <w:sz w:val="24"/>
          <w:szCs w:val="24"/>
        </w:rPr>
        <w:t>6.6</w:t>
      </w:r>
      <w:r w:rsidRPr="00D7630B">
        <w:rPr>
          <w:b/>
          <w:sz w:val="24"/>
          <w:szCs w:val="24"/>
        </w:rPr>
        <w:tab/>
        <w:t xml:space="preserve">Regler for </w:t>
      </w:r>
      <w:r w:rsidR="00BD7931" w:rsidRPr="00D7630B">
        <w:rPr>
          <w:b/>
          <w:sz w:val="24"/>
          <w:szCs w:val="24"/>
        </w:rPr>
        <w:t>bortskaffelse</w:t>
      </w:r>
      <w:r w:rsidRPr="00D7630B">
        <w:rPr>
          <w:b/>
          <w:sz w:val="24"/>
          <w:szCs w:val="24"/>
        </w:rPr>
        <w:t xml:space="preserve"> og anden håndtering</w:t>
      </w:r>
    </w:p>
    <w:p w14:paraId="1DC990FC" w14:textId="77777777" w:rsidR="002913EC" w:rsidRPr="002913EC" w:rsidRDefault="002913EC" w:rsidP="002913EC">
      <w:pPr>
        <w:tabs>
          <w:tab w:val="left" w:pos="851"/>
        </w:tabs>
        <w:ind w:left="851"/>
        <w:rPr>
          <w:sz w:val="24"/>
          <w:szCs w:val="24"/>
        </w:rPr>
      </w:pPr>
      <w:r w:rsidRPr="002913EC">
        <w:rPr>
          <w:sz w:val="24"/>
          <w:szCs w:val="24"/>
        </w:rPr>
        <w:t>Ikke anvendt lægemiddel samt affald heraf skal bortskaffes i henhold til lokale retningslinjer.</w:t>
      </w:r>
    </w:p>
    <w:p w14:paraId="1E3938FF" w14:textId="77777777" w:rsidR="009260DE" w:rsidRPr="00D7630B" w:rsidRDefault="009260DE" w:rsidP="000730CA">
      <w:pPr>
        <w:tabs>
          <w:tab w:val="left" w:pos="851"/>
        </w:tabs>
        <w:ind w:left="851"/>
        <w:rPr>
          <w:sz w:val="24"/>
          <w:szCs w:val="24"/>
        </w:rPr>
      </w:pPr>
    </w:p>
    <w:p w14:paraId="144C5E10" w14:textId="77777777" w:rsidR="009260DE" w:rsidRPr="00D7630B" w:rsidRDefault="009260DE" w:rsidP="009260DE">
      <w:pPr>
        <w:tabs>
          <w:tab w:val="left" w:pos="851"/>
        </w:tabs>
        <w:ind w:left="851" w:hanging="851"/>
        <w:rPr>
          <w:b/>
          <w:sz w:val="24"/>
          <w:szCs w:val="24"/>
        </w:rPr>
      </w:pPr>
      <w:r w:rsidRPr="00D7630B">
        <w:rPr>
          <w:b/>
          <w:sz w:val="24"/>
          <w:szCs w:val="24"/>
        </w:rPr>
        <w:t>7.</w:t>
      </w:r>
      <w:r w:rsidRPr="00D7630B">
        <w:rPr>
          <w:b/>
          <w:sz w:val="24"/>
          <w:szCs w:val="24"/>
        </w:rPr>
        <w:tab/>
        <w:t>INDEHAVER AF MARKEDSFØRINGSTILLADELSEN</w:t>
      </w:r>
    </w:p>
    <w:p w14:paraId="27349AB8" w14:textId="77777777" w:rsidR="002913EC" w:rsidRPr="002913EC" w:rsidRDefault="002913EC" w:rsidP="002913EC">
      <w:pPr>
        <w:tabs>
          <w:tab w:val="left" w:pos="851"/>
        </w:tabs>
        <w:ind w:left="851"/>
        <w:rPr>
          <w:sz w:val="24"/>
          <w:szCs w:val="24"/>
        </w:rPr>
      </w:pPr>
      <w:proofErr w:type="spellStart"/>
      <w:r w:rsidRPr="002913EC">
        <w:rPr>
          <w:sz w:val="24"/>
          <w:szCs w:val="24"/>
        </w:rPr>
        <w:t>Macure</w:t>
      </w:r>
      <w:proofErr w:type="spellEnd"/>
      <w:r w:rsidRPr="002913EC">
        <w:rPr>
          <w:sz w:val="24"/>
          <w:szCs w:val="24"/>
        </w:rPr>
        <w:t xml:space="preserve"> Healthcare Ltd.</w:t>
      </w:r>
    </w:p>
    <w:p w14:paraId="28205DA3" w14:textId="77777777" w:rsidR="002913EC" w:rsidRPr="002913EC" w:rsidRDefault="002913EC" w:rsidP="002913EC">
      <w:pPr>
        <w:tabs>
          <w:tab w:val="left" w:pos="851"/>
        </w:tabs>
        <w:ind w:left="851"/>
        <w:rPr>
          <w:sz w:val="24"/>
          <w:szCs w:val="24"/>
          <w:lang w:val="en-US"/>
        </w:rPr>
      </w:pPr>
      <w:r w:rsidRPr="002913EC">
        <w:rPr>
          <w:sz w:val="24"/>
          <w:szCs w:val="24"/>
          <w:lang w:val="en-US"/>
        </w:rPr>
        <w:t>62, Arclight Building</w:t>
      </w:r>
    </w:p>
    <w:p w14:paraId="7CB4F30E" w14:textId="77777777" w:rsidR="002913EC" w:rsidRPr="002913EC" w:rsidRDefault="002913EC" w:rsidP="002913EC">
      <w:pPr>
        <w:tabs>
          <w:tab w:val="left" w:pos="851"/>
        </w:tabs>
        <w:ind w:left="851"/>
        <w:rPr>
          <w:sz w:val="24"/>
          <w:szCs w:val="24"/>
          <w:lang w:val="en-US"/>
        </w:rPr>
      </w:pPr>
      <w:proofErr w:type="spellStart"/>
      <w:r w:rsidRPr="002913EC">
        <w:rPr>
          <w:sz w:val="24"/>
          <w:szCs w:val="24"/>
          <w:lang w:val="en-US"/>
        </w:rPr>
        <w:t>Triq</w:t>
      </w:r>
      <w:proofErr w:type="spellEnd"/>
      <w:r w:rsidRPr="002913EC">
        <w:rPr>
          <w:sz w:val="24"/>
          <w:szCs w:val="24"/>
          <w:lang w:val="en-US"/>
        </w:rPr>
        <w:t xml:space="preserve"> l-</w:t>
      </w:r>
      <w:proofErr w:type="spellStart"/>
      <w:r w:rsidRPr="002913EC">
        <w:rPr>
          <w:sz w:val="24"/>
          <w:szCs w:val="24"/>
          <w:lang w:val="en-US"/>
        </w:rPr>
        <w:t>Gharbiel</w:t>
      </w:r>
      <w:proofErr w:type="spellEnd"/>
    </w:p>
    <w:p w14:paraId="44DD4CCF" w14:textId="77777777" w:rsidR="002913EC" w:rsidRPr="002913EC" w:rsidRDefault="002913EC" w:rsidP="002913EC">
      <w:pPr>
        <w:tabs>
          <w:tab w:val="left" w:pos="851"/>
        </w:tabs>
        <w:ind w:left="851"/>
        <w:rPr>
          <w:sz w:val="24"/>
          <w:szCs w:val="24"/>
          <w:lang w:val="en-US"/>
        </w:rPr>
      </w:pPr>
      <w:r w:rsidRPr="002913EC">
        <w:rPr>
          <w:sz w:val="24"/>
          <w:szCs w:val="24"/>
          <w:lang w:val="en-US"/>
        </w:rPr>
        <w:t>Is-</w:t>
      </w:r>
      <w:proofErr w:type="spellStart"/>
      <w:r w:rsidRPr="002913EC">
        <w:rPr>
          <w:sz w:val="24"/>
          <w:szCs w:val="24"/>
          <w:lang w:val="en-US"/>
        </w:rPr>
        <w:t>Swieqi</w:t>
      </w:r>
      <w:proofErr w:type="spellEnd"/>
      <w:r w:rsidRPr="002913EC">
        <w:rPr>
          <w:sz w:val="24"/>
          <w:szCs w:val="24"/>
          <w:lang w:val="en-US"/>
        </w:rPr>
        <w:t>, SWQ 3251</w:t>
      </w:r>
    </w:p>
    <w:p w14:paraId="78D86A40" w14:textId="77777777" w:rsidR="002913EC" w:rsidRPr="002913EC" w:rsidRDefault="002913EC" w:rsidP="002913EC">
      <w:pPr>
        <w:tabs>
          <w:tab w:val="left" w:pos="851"/>
        </w:tabs>
        <w:ind w:left="851"/>
        <w:rPr>
          <w:sz w:val="24"/>
          <w:szCs w:val="24"/>
        </w:rPr>
      </w:pPr>
      <w:r w:rsidRPr="002913EC">
        <w:rPr>
          <w:sz w:val="24"/>
          <w:szCs w:val="24"/>
        </w:rPr>
        <w:t>Malta</w:t>
      </w:r>
    </w:p>
    <w:p w14:paraId="7237F1F4" w14:textId="77777777" w:rsidR="00641C65" w:rsidRPr="00D7630B" w:rsidRDefault="00641C65" w:rsidP="009260DE">
      <w:pPr>
        <w:tabs>
          <w:tab w:val="left" w:pos="851"/>
        </w:tabs>
        <w:ind w:left="851"/>
        <w:rPr>
          <w:sz w:val="24"/>
          <w:szCs w:val="24"/>
        </w:rPr>
      </w:pPr>
    </w:p>
    <w:p w14:paraId="674A06B0" w14:textId="77777777" w:rsidR="009260DE" w:rsidRPr="00D7630B" w:rsidRDefault="009260DE" w:rsidP="009260DE">
      <w:pPr>
        <w:tabs>
          <w:tab w:val="left" w:pos="851"/>
        </w:tabs>
        <w:ind w:left="851" w:hanging="851"/>
        <w:rPr>
          <w:b/>
          <w:sz w:val="24"/>
          <w:szCs w:val="24"/>
        </w:rPr>
      </w:pPr>
      <w:r w:rsidRPr="00D7630B">
        <w:rPr>
          <w:b/>
          <w:sz w:val="24"/>
          <w:szCs w:val="24"/>
        </w:rPr>
        <w:t>8.</w:t>
      </w:r>
      <w:r w:rsidRPr="00D7630B">
        <w:rPr>
          <w:b/>
          <w:sz w:val="24"/>
          <w:szCs w:val="24"/>
        </w:rPr>
        <w:tab/>
        <w:t>MARKEDSFØRINGSTILLADELSESNUMMER (</w:t>
      </w:r>
      <w:r w:rsidR="00BF6243" w:rsidRPr="00D7630B">
        <w:rPr>
          <w:b/>
          <w:sz w:val="24"/>
          <w:szCs w:val="24"/>
        </w:rPr>
        <w:t>-</w:t>
      </w:r>
      <w:r w:rsidRPr="00D7630B">
        <w:rPr>
          <w:b/>
          <w:sz w:val="24"/>
          <w:szCs w:val="24"/>
        </w:rPr>
        <w:t>NUMRE)</w:t>
      </w:r>
    </w:p>
    <w:p w14:paraId="1DEF8141" w14:textId="59BCF94A" w:rsidR="009260DE" w:rsidRPr="00D7630B" w:rsidRDefault="00AF6BC2" w:rsidP="009260DE">
      <w:pPr>
        <w:tabs>
          <w:tab w:val="left" w:pos="851"/>
        </w:tabs>
        <w:ind w:left="851"/>
        <w:rPr>
          <w:sz w:val="24"/>
          <w:szCs w:val="24"/>
        </w:rPr>
      </w:pPr>
      <w:r w:rsidRPr="00D7630B">
        <w:rPr>
          <w:sz w:val="24"/>
          <w:szCs w:val="24"/>
        </w:rPr>
        <w:t>73152</w:t>
      </w:r>
    </w:p>
    <w:p w14:paraId="083E62FF" w14:textId="77777777" w:rsidR="009260DE" w:rsidRPr="00D7630B" w:rsidRDefault="009260DE" w:rsidP="009260DE">
      <w:pPr>
        <w:tabs>
          <w:tab w:val="left" w:pos="851"/>
        </w:tabs>
        <w:ind w:left="851"/>
        <w:jc w:val="both"/>
        <w:rPr>
          <w:sz w:val="24"/>
          <w:szCs w:val="24"/>
        </w:rPr>
      </w:pPr>
    </w:p>
    <w:p w14:paraId="5C6895F2" w14:textId="77777777" w:rsidR="009260DE" w:rsidRPr="00D7630B" w:rsidRDefault="009260DE" w:rsidP="009260DE">
      <w:pPr>
        <w:tabs>
          <w:tab w:val="left" w:pos="851"/>
        </w:tabs>
        <w:ind w:left="851" w:hanging="851"/>
        <w:rPr>
          <w:b/>
          <w:sz w:val="24"/>
          <w:szCs w:val="24"/>
        </w:rPr>
      </w:pPr>
      <w:r w:rsidRPr="00D7630B">
        <w:rPr>
          <w:b/>
          <w:sz w:val="24"/>
          <w:szCs w:val="24"/>
        </w:rPr>
        <w:t>9.</w:t>
      </w:r>
      <w:r w:rsidRPr="00D7630B">
        <w:rPr>
          <w:b/>
          <w:sz w:val="24"/>
          <w:szCs w:val="24"/>
        </w:rPr>
        <w:tab/>
        <w:t>DATO FOR FØRSTE MARKEDSFØRINGSTILLADELSE</w:t>
      </w:r>
    </w:p>
    <w:p w14:paraId="334D3F6E" w14:textId="400B05AA" w:rsidR="009260DE" w:rsidRPr="00D7630B" w:rsidRDefault="0089290B" w:rsidP="009260DE">
      <w:pPr>
        <w:tabs>
          <w:tab w:val="left" w:pos="851"/>
        </w:tabs>
        <w:ind w:left="851"/>
        <w:rPr>
          <w:sz w:val="24"/>
          <w:szCs w:val="24"/>
        </w:rPr>
      </w:pPr>
      <w:r>
        <w:rPr>
          <w:sz w:val="24"/>
          <w:szCs w:val="24"/>
        </w:rPr>
        <w:t>24. april 2026</w:t>
      </w:r>
    </w:p>
    <w:p w14:paraId="3587229F" w14:textId="77777777" w:rsidR="009260DE" w:rsidRPr="00D7630B" w:rsidRDefault="009260DE" w:rsidP="009260DE">
      <w:pPr>
        <w:tabs>
          <w:tab w:val="left" w:pos="851"/>
        </w:tabs>
        <w:ind w:left="851"/>
        <w:rPr>
          <w:sz w:val="24"/>
          <w:szCs w:val="24"/>
        </w:rPr>
      </w:pPr>
    </w:p>
    <w:p w14:paraId="1C48086D" w14:textId="77777777" w:rsidR="009260DE" w:rsidRPr="00D7630B" w:rsidRDefault="009260DE" w:rsidP="009260DE">
      <w:pPr>
        <w:tabs>
          <w:tab w:val="left" w:pos="851"/>
        </w:tabs>
        <w:ind w:left="851" w:hanging="851"/>
        <w:rPr>
          <w:b/>
          <w:sz w:val="24"/>
          <w:szCs w:val="24"/>
        </w:rPr>
      </w:pPr>
      <w:r w:rsidRPr="00D7630B">
        <w:rPr>
          <w:b/>
          <w:sz w:val="24"/>
          <w:szCs w:val="24"/>
        </w:rPr>
        <w:t>10.</w:t>
      </w:r>
      <w:r w:rsidRPr="00D7630B">
        <w:rPr>
          <w:b/>
          <w:sz w:val="24"/>
          <w:szCs w:val="24"/>
        </w:rPr>
        <w:tab/>
        <w:t>DATO FOR ÆNDRING AF TEKSTEN</w:t>
      </w:r>
    </w:p>
    <w:p w14:paraId="12780F33" w14:textId="7B313408" w:rsidR="009260DE" w:rsidRPr="00D7630B" w:rsidRDefault="00AF6BC2" w:rsidP="009260DE">
      <w:pPr>
        <w:tabs>
          <w:tab w:val="left" w:pos="851"/>
        </w:tabs>
        <w:ind w:left="851"/>
        <w:rPr>
          <w:sz w:val="24"/>
          <w:szCs w:val="24"/>
        </w:rPr>
      </w:pPr>
      <w:r w:rsidRPr="00D7630B">
        <w:rPr>
          <w:sz w:val="24"/>
          <w:szCs w:val="24"/>
        </w:rPr>
        <w:t>-</w:t>
      </w:r>
    </w:p>
    <w:sectPr w:rsidR="009260DE" w:rsidRPr="00D7630B"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751EA" w14:textId="77777777" w:rsidR="0030781C" w:rsidRDefault="0030781C">
      <w:r>
        <w:separator/>
      </w:r>
    </w:p>
  </w:endnote>
  <w:endnote w:type="continuationSeparator" w:id="0">
    <w:p w14:paraId="06784761" w14:textId="77777777" w:rsidR="0030781C" w:rsidRDefault="00307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733F1" w14:textId="77777777" w:rsidR="000259B9" w:rsidRDefault="000259B9">
    <w:pPr>
      <w:pStyle w:val="Sidefod"/>
      <w:pBdr>
        <w:bottom w:val="single" w:sz="6" w:space="1" w:color="auto"/>
      </w:pBdr>
    </w:pPr>
  </w:p>
  <w:p w14:paraId="5B808CA0" w14:textId="77777777" w:rsidR="000259B9" w:rsidRDefault="000259B9" w:rsidP="00C42586">
    <w:pPr>
      <w:pStyle w:val="Sidefod"/>
      <w:tabs>
        <w:tab w:val="clear" w:pos="4819"/>
        <w:tab w:val="left" w:pos="8505"/>
      </w:tabs>
      <w:rPr>
        <w:i/>
        <w:sz w:val="18"/>
        <w:szCs w:val="18"/>
      </w:rPr>
    </w:pPr>
  </w:p>
  <w:p w14:paraId="6D9FBB6D" w14:textId="61A956AC"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860D52">
      <w:rPr>
        <w:i/>
        <w:noProof/>
        <w:sz w:val="18"/>
        <w:szCs w:val="18"/>
      </w:rPr>
      <w:t>Clemastine Macure, injektionsvæske, opløsning 1 mg-ml.docx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A6A12" w14:textId="77777777" w:rsidR="0030781C" w:rsidRDefault="0030781C">
      <w:r>
        <w:separator/>
      </w:r>
    </w:p>
  </w:footnote>
  <w:footnote w:type="continuationSeparator" w:id="0">
    <w:p w14:paraId="17C815A4" w14:textId="77777777" w:rsidR="0030781C" w:rsidRDefault="00307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5EB917CC"/>
    <w:multiLevelType w:val="multilevel"/>
    <w:tmpl w:val="4A8A18D2"/>
    <w:lvl w:ilvl="0">
      <w:start w:val="1"/>
      <w:numFmt w:val="decimal"/>
      <w:lvlText w:val="%1."/>
      <w:lvlJc w:val="left"/>
      <w:pPr>
        <w:ind w:left="536" w:hanging="284"/>
      </w:pPr>
      <w:rPr>
        <w:rFonts w:ascii="Times New Roman" w:eastAsia="Arial" w:hAnsi="Times New Roman" w:cs="Times New Roman" w:hint="default"/>
        <w:b/>
        <w:bCs/>
        <w:sz w:val="22"/>
        <w:szCs w:val="22"/>
      </w:rPr>
    </w:lvl>
    <w:lvl w:ilvl="1">
      <w:start w:val="1"/>
      <w:numFmt w:val="decimal"/>
      <w:lvlText w:val="%1.%2."/>
      <w:lvlJc w:val="left"/>
      <w:pPr>
        <w:ind w:left="545" w:hanging="430"/>
      </w:pPr>
      <w:rPr>
        <w:rFonts w:ascii="Arial" w:eastAsia="Arial" w:hAnsi="Arial" w:cs="Times New Roman" w:hint="default"/>
        <w:b/>
        <w:bCs/>
        <w:sz w:val="22"/>
        <w:szCs w:val="22"/>
      </w:rPr>
    </w:lvl>
    <w:lvl w:ilvl="2">
      <w:start w:val="1"/>
      <w:numFmt w:val="bullet"/>
      <w:lvlText w:val=""/>
      <w:lvlJc w:val="left"/>
      <w:pPr>
        <w:ind w:left="836" w:hanging="360"/>
      </w:pPr>
      <w:rPr>
        <w:rFonts w:ascii="Symbol" w:hAnsi="Symbol" w:hint="default"/>
        <w:sz w:val="22"/>
        <w:szCs w:val="22"/>
      </w:rPr>
    </w:lvl>
    <w:lvl w:ilvl="3">
      <w:start w:val="1"/>
      <w:numFmt w:val="bullet"/>
      <w:lvlText w:val="•"/>
      <w:lvlJc w:val="left"/>
      <w:pPr>
        <w:ind w:left="1895" w:hanging="360"/>
      </w:pPr>
    </w:lvl>
    <w:lvl w:ilvl="4">
      <w:start w:val="1"/>
      <w:numFmt w:val="bullet"/>
      <w:lvlText w:val="•"/>
      <w:lvlJc w:val="left"/>
      <w:pPr>
        <w:ind w:left="2953" w:hanging="360"/>
      </w:pPr>
    </w:lvl>
    <w:lvl w:ilvl="5">
      <w:start w:val="1"/>
      <w:numFmt w:val="bullet"/>
      <w:lvlText w:val="•"/>
      <w:lvlJc w:val="left"/>
      <w:pPr>
        <w:ind w:left="4012" w:hanging="360"/>
      </w:pPr>
    </w:lvl>
    <w:lvl w:ilvl="6">
      <w:start w:val="1"/>
      <w:numFmt w:val="bullet"/>
      <w:lvlText w:val="•"/>
      <w:lvlJc w:val="left"/>
      <w:pPr>
        <w:ind w:left="5071" w:hanging="360"/>
      </w:pPr>
    </w:lvl>
    <w:lvl w:ilvl="7">
      <w:start w:val="1"/>
      <w:numFmt w:val="bullet"/>
      <w:lvlText w:val="•"/>
      <w:lvlJc w:val="left"/>
      <w:pPr>
        <w:ind w:left="6130" w:hanging="360"/>
      </w:pPr>
    </w:lvl>
    <w:lvl w:ilvl="8">
      <w:start w:val="1"/>
      <w:numFmt w:val="bullet"/>
      <w:lvlText w:val="•"/>
      <w:lvlJc w:val="left"/>
      <w:pPr>
        <w:ind w:left="7188" w:hanging="360"/>
      </w:pPr>
    </w:lvl>
  </w:abstractNum>
  <w:abstractNum w:abstractNumId="6" w15:restartNumberingAfterBreak="0">
    <w:nsid w:val="69A403BB"/>
    <w:multiLevelType w:val="hybridMultilevel"/>
    <w:tmpl w:val="80B085B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15:restartNumberingAfterBreak="0">
    <w:nsid w:val="69F649E6"/>
    <w:multiLevelType w:val="multilevel"/>
    <w:tmpl w:val="9244B388"/>
    <w:lvl w:ilvl="0">
      <w:start w:val="1"/>
      <w:numFmt w:val="decimal"/>
      <w:lvlText w:val="%1."/>
      <w:lvlJc w:val="left"/>
      <w:pPr>
        <w:ind w:left="536" w:hanging="284"/>
      </w:pPr>
      <w:rPr>
        <w:rFonts w:ascii="Times New Roman" w:eastAsia="Arial" w:hAnsi="Times New Roman" w:cs="Times New Roman" w:hint="default"/>
        <w:b/>
        <w:bCs/>
        <w:sz w:val="22"/>
        <w:szCs w:val="22"/>
      </w:rPr>
    </w:lvl>
    <w:lvl w:ilvl="1">
      <w:start w:val="1"/>
      <w:numFmt w:val="decimal"/>
      <w:lvlText w:val="%1.%2."/>
      <w:lvlJc w:val="left"/>
      <w:pPr>
        <w:ind w:left="545" w:hanging="430"/>
      </w:pPr>
      <w:rPr>
        <w:rFonts w:ascii="Arial" w:eastAsia="Arial" w:hAnsi="Arial" w:cs="Times New Roman" w:hint="default"/>
        <w:b/>
        <w:bCs/>
        <w:sz w:val="22"/>
        <w:szCs w:val="22"/>
      </w:rPr>
    </w:lvl>
    <w:lvl w:ilvl="2">
      <w:start w:val="1"/>
      <w:numFmt w:val="bullet"/>
      <w:lvlText w:val="-"/>
      <w:lvlJc w:val="left"/>
      <w:pPr>
        <w:ind w:left="836" w:hanging="360"/>
      </w:pPr>
      <w:rPr>
        <w:rFonts w:ascii="Arial" w:eastAsia="Arial" w:hAnsi="Arial" w:cs="Times New Roman" w:hint="default"/>
        <w:sz w:val="22"/>
        <w:szCs w:val="22"/>
      </w:rPr>
    </w:lvl>
    <w:lvl w:ilvl="3">
      <w:start w:val="1"/>
      <w:numFmt w:val="bullet"/>
      <w:lvlText w:val="•"/>
      <w:lvlJc w:val="left"/>
      <w:pPr>
        <w:ind w:left="1895" w:hanging="360"/>
      </w:pPr>
    </w:lvl>
    <w:lvl w:ilvl="4">
      <w:start w:val="1"/>
      <w:numFmt w:val="bullet"/>
      <w:lvlText w:val="•"/>
      <w:lvlJc w:val="left"/>
      <w:pPr>
        <w:ind w:left="2953" w:hanging="360"/>
      </w:pPr>
    </w:lvl>
    <w:lvl w:ilvl="5">
      <w:start w:val="1"/>
      <w:numFmt w:val="bullet"/>
      <w:lvlText w:val="•"/>
      <w:lvlJc w:val="left"/>
      <w:pPr>
        <w:ind w:left="4012" w:hanging="360"/>
      </w:pPr>
    </w:lvl>
    <w:lvl w:ilvl="6">
      <w:start w:val="1"/>
      <w:numFmt w:val="bullet"/>
      <w:lvlText w:val="•"/>
      <w:lvlJc w:val="left"/>
      <w:pPr>
        <w:ind w:left="5071" w:hanging="360"/>
      </w:pPr>
    </w:lvl>
    <w:lvl w:ilvl="7">
      <w:start w:val="1"/>
      <w:numFmt w:val="bullet"/>
      <w:lvlText w:val="•"/>
      <w:lvlJc w:val="left"/>
      <w:pPr>
        <w:ind w:left="6130" w:hanging="360"/>
      </w:pPr>
    </w:lvl>
    <w:lvl w:ilvl="8">
      <w:start w:val="1"/>
      <w:numFmt w:val="bullet"/>
      <w:lvlText w:val="•"/>
      <w:lvlJc w:val="left"/>
      <w:pPr>
        <w:ind w:left="7188" w:hanging="360"/>
      </w:pPr>
    </w:lvl>
  </w:abstractNum>
  <w:abstractNum w:abstractNumId="8" w15:restartNumberingAfterBreak="0">
    <w:nsid w:val="6FD808A9"/>
    <w:multiLevelType w:val="hybridMultilevel"/>
    <w:tmpl w:val="F0104CA6"/>
    <w:lvl w:ilvl="0" w:tplc="077EE5E2">
      <w:start w:val="1"/>
      <w:numFmt w:val="bullet"/>
      <w:lvlText w:val=""/>
      <w:lvlJc w:val="left"/>
      <w:pPr>
        <w:ind w:left="682" w:hanging="567"/>
      </w:pPr>
      <w:rPr>
        <w:rFonts w:ascii="Symbol" w:eastAsia="Symbol" w:hAnsi="Symbol" w:hint="default"/>
        <w:sz w:val="22"/>
        <w:szCs w:val="22"/>
      </w:rPr>
    </w:lvl>
    <w:lvl w:ilvl="1" w:tplc="A832146C">
      <w:start w:val="1"/>
      <w:numFmt w:val="bullet"/>
      <w:lvlText w:val="•"/>
      <w:lvlJc w:val="left"/>
      <w:pPr>
        <w:ind w:left="1545" w:hanging="567"/>
      </w:pPr>
    </w:lvl>
    <w:lvl w:ilvl="2" w:tplc="BFD608DC">
      <w:start w:val="1"/>
      <w:numFmt w:val="bullet"/>
      <w:lvlText w:val="•"/>
      <w:lvlJc w:val="left"/>
      <w:pPr>
        <w:ind w:left="2407" w:hanging="567"/>
      </w:pPr>
    </w:lvl>
    <w:lvl w:ilvl="3" w:tplc="3CDE9C02">
      <w:start w:val="1"/>
      <w:numFmt w:val="bullet"/>
      <w:lvlText w:val="•"/>
      <w:lvlJc w:val="left"/>
      <w:pPr>
        <w:ind w:left="3269" w:hanging="567"/>
      </w:pPr>
    </w:lvl>
    <w:lvl w:ilvl="4" w:tplc="625239EE">
      <w:start w:val="1"/>
      <w:numFmt w:val="bullet"/>
      <w:lvlText w:val="•"/>
      <w:lvlJc w:val="left"/>
      <w:pPr>
        <w:ind w:left="4132" w:hanging="567"/>
      </w:pPr>
    </w:lvl>
    <w:lvl w:ilvl="5" w:tplc="A75AC9A4">
      <w:start w:val="1"/>
      <w:numFmt w:val="bullet"/>
      <w:lvlText w:val="•"/>
      <w:lvlJc w:val="left"/>
      <w:pPr>
        <w:ind w:left="4994" w:hanging="567"/>
      </w:pPr>
    </w:lvl>
    <w:lvl w:ilvl="6" w:tplc="2C4E3828">
      <w:start w:val="1"/>
      <w:numFmt w:val="bullet"/>
      <w:lvlText w:val="•"/>
      <w:lvlJc w:val="left"/>
      <w:pPr>
        <w:ind w:left="5857" w:hanging="567"/>
      </w:pPr>
    </w:lvl>
    <w:lvl w:ilvl="7" w:tplc="9E665F54">
      <w:start w:val="1"/>
      <w:numFmt w:val="bullet"/>
      <w:lvlText w:val="•"/>
      <w:lvlJc w:val="left"/>
      <w:pPr>
        <w:ind w:left="6719" w:hanging="567"/>
      </w:pPr>
    </w:lvl>
    <w:lvl w:ilvl="8" w:tplc="7BD070DA">
      <w:start w:val="1"/>
      <w:numFmt w:val="bullet"/>
      <w:lvlText w:val="•"/>
      <w:lvlJc w:val="left"/>
      <w:pPr>
        <w:ind w:left="7581" w:hanging="567"/>
      </w:pPr>
    </w:lvl>
  </w:abstractNum>
  <w:num w:numId="1" w16cid:durableId="172826359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858583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933187">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893027">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140021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3188234">
    <w:abstractNumId w:val="6"/>
  </w:num>
  <w:num w:numId="7" w16cid:durableId="564754592">
    <w:abstractNumId w:val="8"/>
  </w:num>
  <w:num w:numId="8" w16cid:durableId="485391855">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796030450">
    <w:abstractNumId w:val="7"/>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81C"/>
    <w:rsid w:val="000259B9"/>
    <w:rsid w:val="00041491"/>
    <w:rsid w:val="00050D16"/>
    <w:rsid w:val="000730CA"/>
    <w:rsid w:val="00074F2A"/>
    <w:rsid w:val="000A1CA8"/>
    <w:rsid w:val="000A466B"/>
    <w:rsid w:val="000B058C"/>
    <w:rsid w:val="000D68B0"/>
    <w:rsid w:val="000E4EE6"/>
    <w:rsid w:val="001454E2"/>
    <w:rsid w:val="00206CE8"/>
    <w:rsid w:val="0021526C"/>
    <w:rsid w:val="00283A2B"/>
    <w:rsid w:val="002913EC"/>
    <w:rsid w:val="002B30AD"/>
    <w:rsid w:val="002C1EC0"/>
    <w:rsid w:val="002C2C01"/>
    <w:rsid w:val="002D3B76"/>
    <w:rsid w:val="0030781C"/>
    <w:rsid w:val="003922B4"/>
    <w:rsid w:val="003A29AE"/>
    <w:rsid w:val="003A32D7"/>
    <w:rsid w:val="003B4074"/>
    <w:rsid w:val="003C769A"/>
    <w:rsid w:val="003D3A90"/>
    <w:rsid w:val="003F1838"/>
    <w:rsid w:val="004251C1"/>
    <w:rsid w:val="0045746C"/>
    <w:rsid w:val="0049104B"/>
    <w:rsid w:val="004E3B12"/>
    <w:rsid w:val="00532310"/>
    <w:rsid w:val="005574E8"/>
    <w:rsid w:val="00565F0F"/>
    <w:rsid w:val="00594A86"/>
    <w:rsid w:val="00596D86"/>
    <w:rsid w:val="00637F5A"/>
    <w:rsid w:val="00641C65"/>
    <w:rsid w:val="006560B1"/>
    <w:rsid w:val="006756DD"/>
    <w:rsid w:val="0071241E"/>
    <w:rsid w:val="00737275"/>
    <w:rsid w:val="00740EEC"/>
    <w:rsid w:val="0078011A"/>
    <w:rsid w:val="00780FF5"/>
    <w:rsid w:val="00782AF4"/>
    <w:rsid w:val="00790EE7"/>
    <w:rsid w:val="007A3130"/>
    <w:rsid w:val="007B6649"/>
    <w:rsid w:val="0082576E"/>
    <w:rsid w:val="00860D52"/>
    <w:rsid w:val="0089290B"/>
    <w:rsid w:val="0089346F"/>
    <w:rsid w:val="008C1734"/>
    <w:rsid w:val="00907F75"/>
    <w:rsid w:val="009260DE"/>
    <w:rsid w:val="0093258A"/>
    <w:rsid w:val="009C7BA3"/>
    <w:rsid w:val="009D1F5A"/>
    <w:rsid w:val="009D7A8F"/>
    <w:rsid w:val="00A10294"/>
    <w:rsid w:val="00A84542"/>
    <w:rsid w:val="00AF6BC2"/>
    <w:rsid w:val="00B003BF"/>
    <w:rsid w:val="00B373D7"/>
    <w:rsid w:val="00B55271"/>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7630B"/>
    <w:rsid w:val="00D93992"/>
    <w:rsid w:val="00E108AA"/>
    <w:rsid w:val="00E3749A"/>
    <w:rsid w:val="00E7437F"/>
    <w:rsid w:val="00E865B8"/>
    <w:rsid w:val="00EC0B9B"/>
    <w:rsid w:val="00ED5E9F"/>
    <w:rsid w:val="00F2021E"/>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4679B2"/>
  <w15:chartTrackingRefBased/>
  <w15:docId w15:val="{B04B55AE-92A2-4A63-9E2D-22228A7C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table" w:styleId="Tabel-Gitter">
    <w:name w:val="Table Grid"/>
    <w:basedOn w:val="Tabel-Normal"/>
    <w:uiPriority w:val="59"/>
    <w:rsid w:val="009D7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9D7A8F"/>
    <w:rPr>
      <w:color w:val="0563C1" w:themeColor="hyperlink"/>
      <w:u w:val="single"/>
    </w:rPr>
  </w:style>
  <w:style w:type="character" w:styleId="Ulstomtale">
    <w:name w:val="Unresolved Mention"/>
    <w:basedOn w:val="Standardskrifttypeiafsnit"/>
    <w:uiPriority w:val="99"/>
    <w:semiHidden/>
    <w:unhideWhenUsed/>
    <w:rsid w:val="009D7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5597">
      <w:bodyDiv w:val="1"/>
      <w:marLeft w:val="0"/>
      <w:marRight w:val="0"/>
      <w:marTop w:val="0"/>
      <w:marBottom w:val="0"/>
      <w:divBdr>
        <w:top w:val="none" w:sz="0" w:space="0" w:color="auto"/>
        <w:left w:val="none" w:sz="0" w:space="0" w:color="auto"/>
        <w:bottom w:val="none" w:sz="0" w:space="0" w:color="auto"/>
        <w:right w:val="none" w:sz="0" w:space="0" w:color="auto"/>
      </w:divBdr>
    </w:div>
    <w:div w:id="80176788">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9199937">
      <w:bodyDiv w:val="1"/>
      <w:marLeft w:val="0"/>
      <w:marRight w:val="0"/>
      <w:marTop w:val="0"/>
      <w:marBottom w:val="0"/>
      <w:divBdr>
        <w:top w:val="none" w:sz="0" w:space="0" w:color="auto"/>
        <w:left w:val="none" w:sz="0" w:space="0" w:color="auto"/>
        <w:bottom w:val="none" w:sz="0" w:space="0" w:color="auto"/>
        <w:right w:val="none" w:sz="0" w:space="0" w:color="auto"/>
      </w:divBdr>
    </w:div>
    <w:div w:id="185945609">
      <w:bodyDiv w:val="1"/>
      <w:marLeft w:val="0"/>
      <w:marRight w:val="0"/>
      <w:marTop w:val="0"/>
      <w:marBottom w:val="0"/>
      <w:divBdr>
        <w:top w:val="none" w:sz="0" w:space="0" w:color="auto"/>
        <w:left w:val="none" w:sz="0" w:space="0" w:color="auto"/>
        <w:bottom w:val="none" w:sz="0" w:space="0" w:color="auto"/>
        <w:right w:val="none" w:sz="0" w:space="0" w:color="auto"/>
      </w:divBdr>
    </w:div>
    <w:div w:id="203837849">
      <w:bodyDiv w:val="1"/>
      <w:marLeft w:val="0"/>
      <w:marRight w:val="0"/>
      <w:marTop w:val="0"/>
      <w:marBottom w:val="0"/>
      <w:divBdr>
        <w:top w:val="none" w:sz="0" w:space="0" w:color="auto"/>
        <w:left w:val="none" w:sz="0" w:space="0" w:color="auto"/>
        <w:bottom w:val="none" w:sz="0" w:space="0" w:color="auto"/>
        <w:right w:val="none" w:sz="0" w:space="0" w:color="auto"/>
      </w:divBdr>
    </w:div>
    <w:div w:id="284510587">
      <w:bodyDiv w:val="1"/>
      <w:marLeft w:val="0"/>
      <w:marRight w:val="0"/>
      <w:marTop w:val="0"/>
      <w:marBottom w:val="0"/>
      <w:divBdr>
        <w:top w:val="none" w:sz="0" w:space="0" w:color="auto"/>
        <w:left w:val="none" w:sz="0" w:space="0" w:color="auto"/>
        <w:bottom w:val="none" w:sz="0" w:space="0" w:color="auto"/>
        <w:right w:val="none" w:sz="0" w:space="0" w:color="auto"/>
      </w:divBdr>
    </w:div>
    <w:div w:id="348482986">
      <w:bodyDiv w:val="1"/>
      <w:marLeft w:val="0"/>
      <w:marRight w:val="0"/>
      <w:marTop w:val="0"/>
      <w:marBottom w:val="0"/>
      <w:divBdr>
        <w:top w:val="none" w:sz="0" w:space="0" w:color="auto"/>
        <w:left w:val="none" w:sz="0" w:space="0" w:color="auto"/>
        <w:bottom w:val="none" w:sz="0" w:space="0" w:color="auto"/>
        <w:right w:val="none" w:sz="0" w:space="0" w:color="auto"/>
      </w:divBdr>
    </w:div>
    <w:div w:id="357122591">
      <w:bodyDiv w:val="1"/>
      <w:marLeft w:val="0"/>
      <w:marRight w:val="0"/>
      <w:marTop w:val="0"/>
      <w:marBottom w:val="0"/>
      <w:divBdr>
        <w:top w:val="none" w:sz="0" w:space="0" w:color="auto"/>
        <w:left w:val="none" w:sz="0" w:space="0" w:color="auto"/>
        <w:bottom w:val="none" w:sz="0" w:space="0" w:color="auto"/>
        <w:right w:val="none" w:sz="0" w:space="0" w:color="auto"/>
      </w:divBdr>
    </w:div>
    <w:div w:id="362827577">
      <w:bodyDiv w:val="1"/>
      <w:marLeft w:val="0"/>
      <w:marRight w:val="0"/>
      <w:marTop w:val="0"/>
      <w:marBottom w:val="0"/>
      <w:divBdr>
        <w:top w:val="none" w:sz="0" w:space="0" w:color="auto"/>
        <w:left w:val="none" w:sz="0" w:space="0" w:color="auto"/>
        <w:bottom w:val="none" w:sz="0" w:space="0" w:color="auto"/>
        <w:right w:val="none" w:sz="0" w:space="0" w:color="auto"/>
      </w:divBdr>
    </w:div>
    <w:div w:id="428476054">
      <w:bodyDiv w:val="1"/>
      <w:marLeft w:val="0"/>
      <w:marRight w:val="0"/>
      <w:marTop w:val="0"/>
      <w:marBottom w:val="0"/>
      <w:divBdr>
        <w:top w:val="none" w:sz="0" w:space="0" w:color="auto"/>
        <w:left w:val="none" w:sz="0" w:space="0" w:color="auto"/>
        <w:bottom w:val="none" w:sz="0" w:space="0" w:color="auto"/>
        <w:right w:val="none" w:sz="0" w:space="0" w:color="auto"/>
      </w:divBdr>
    </w:div>
    <w:div w:id="438528727">
      <w:bodyDiv w:val="1"/>
      <w:marLeft w:val="0"/>
      <w:marRight w:val="0"/>
      <w:marTop w:val="0"/>
      <w:marBottom w:val="0"/>
      <w:divBdr>
        <w:top w:val="none" w:sz="0" w:space="0" w:color="auto"/>
        <w:left w:val="none" w:sz="0" w:space="0" w:color="auto"/>
        <w:bottom w:val="none" w:sz="0" w:space="0" w:color="auto"/>
        <w:right w:val="none" w:sz="0" w:space="0" w:color="auto"/>
      </w:divBdr>
    </w:div>
    <w:div w:id="501547933">
      <w:bodyDiv w:val="1"/>
      <w:marLeft w:val="0"/>
      <w:marRight w:val="0"/>
      <w:marTop w:val="0"/>
      <w:marBottom w:val="0"/>
      <w:divBdr>
        <w:top w:val="none" w:sz="0" w:space="0" w:color="auto"/>
        <w:left w:val="none" w:sz="0" w:space="0" w:color="auto"/>
        <w:bottom w:val="none" w:sz="0" w:space="0" w:color="auto"/>
        <w:right w:val="none" w:sz="0" w:space="0" w:color="auto"/>
      </w:divBdr>
    </w:div>
    <w:div w:id="552275047">
      <w:bodyDiv w:val="1"/>
      <w:marLeft w:val="0"/>
      <w:marRight w:val="0"/>
      <w:marTop w:val="0"/>
      <w:marBottom w:val="0"/>
      <w:divBdr>
        <w:top w:val="none" w:sz="0" w:space="0" w:color="auto"/>
        <w:left w:val="none" w:sz="0" w:space="0" w:color="auto"/>
        <w:bottom w:val="none" w:sz="0" w:space="0" w:color="auto"/>
        <w:right w:val="none" w:sz="0" w:space="0" w:color="auto"/>
      </w:divBdr>
    </w:div>
    <w:div w:id="555623238">
      <w:bodyDiv w:val="1"/>
      <w:marLeft w:val="0"/>
      <w:marRight w:val="0"/>
      <w:marTop w:val="0"/>
      <w:marBottom w:val="0"/>
      <w:divBdr>
        <w:top w:val="none" w:sz="0" w:space="0" w:color="auto"/>
        <w:left w:val="none" w:sz="0" w:space="0" w:color="auto"/>
        <w:bottom w:val="none" w:sz="0" w:space="0" w:color="auto"/>
        <w:right w:val="none" w:sz="0" w:space="0" w:color="auto"/>
      </w:divBdr>
    </w:div>
    <w:div w:id="572200875">
      <w:bodyDiv w:val="1"/>
      <w:marLeft w:val="0"/>
      <w:marRight w:val="0"/>
      <w:marTop w:val="0"/>
      <w:marBottom w:val="0"/>
      <w:divBdr>
        <w:top w:val="none" w:sz="0" w:space="0" w:color="auto"/>
        <w:left w:val="none" w:sz="0" w:space="0" w:color="auto"/>
        <w:bottom w:val="none" w:sz="0" w:space="0" w:color="auto"/>
        <w:right w:val="none" w:sz="0" w:space="0" w:color="auto"/>
      </w:divBdr>
    </w:div>
    <w:div w:id="588462758">
      <w:bodyDiv w:val="1"/>
      <w:marLeft w:val="0"/>
      <w:marRight w:val="0"/>
      <w:marTop w:val="0"/>
      <w:marBottom w:val="0"/>
      <w:divBdr>
        <w:top w:val="none" w:sz="0" w:space="0" w:color="auto"/>
        <w:left w:val="none" w:sz="0" w:space="0" w:color="auto"/>
        <w:bottom w:val="none" w:sz="0" w:space="0" w:color="auto"/>
        <w:right w:val="none" w:sz="0" w:space="0" w:color="auto"/>
      </w:divBdr>
    </w:div>
    <w:div w:id="625891050">
      <w:bodyDiv w:val="1"/>
      <w:marLeft w:val="0"/>
      <w:marRight w:val="0"/>
      <w:marTop w:val="0"/>
      <w:marBottom w:val="0"/>
      <w:divBdr>
        <w:top w:val="none" w:sz="0" w:space="0" w:color="auto"/>
        <w:left w:val="none" w:sz="0" w:space="0" w:color="auto"/>
        <w:bottom w:val="none" w:sz="0" w:space="0" w:color="auto"/>
        <w:right w:val="none" w:sz="0" w:space="0" w:color="auto"/>
      </w:divBdr>
    </w:div>
    <w:div w:id="859126268">
      <w:bodyDiv w:val="1"/>
      <w:marLeft w:val="0"/>
      <w:marRight w:val="0"/>
      <w:marTop w:val="0"/>
      <w:marBottom w:val="0"/>
      <w:divBdr>
        <w:top w:val="none" w:sz="0" w:space="0" w:color="auto"/>
        <w:left w:val="none" w:sz="0" w:space="0" w:color="auto"/>
        <w:bottom w:val="none" w:sz="0" w:space="0" w:color="auto"/>
        <w:right w:val="none" w:sz="0" w:space="0" w:color="auto"/>
      </w:divBdr>
    </w:div>
    <w:div w:id="895698528">
      <w:bodyDiv w:val="1"/>
      <w:marLeft w:val="0"/>
      <w:marRight w:val="0"/>
      <w:marTop w:val="0"/>
      <w:marBottom w:val="0"/>
      <w:divBdr>
        <w:top w:val="none" w:sz="0" w:space="0" w:color="auto"/>
        <w:left w:val="none" w:sz="0" w:space="0" w:color="auto"/>
        <w:bottom w:val="none" w:sz="0" w:space="0" w:color="auto"/>
        <w:right w:val="none" w:sz="0" w:space="0" w:color="auto"/>
      </w:divBdr>
    </w:div>
    <w:div w:id="911160561">
      <w:bodyDiv w:val="1"/>
      <w:marLeft w:val="0"/>
      <w:marRight w:val="0"/>
      <w:marTop w:val="0"/>
      <w:marBottom w:val="0"/>
      <w:divBdr>
        <w:top w:val="none" w:sz="0" w:space="0" w:color="auto"/>
        <w:left w:val="none" w:sz="0" w:space="0" w:color="auto"/>
        <w:bottom w:val="none" w:sz="0" w:space="0" w:color="auto"/>
        <w:right w:val="none" w:sz="0" w:space="0" w:color="auto"/>
      </w:divBdr>
    </w:div>
    <w:div w:id="944578001">
      <w:bodyDiv w:val="1"/>
      <w:marLeft w:val="0"/>
      <w:marRight w:val="0"/>
      <w:marTop w:val="0"/>
      <w:marBottom w:val="0"/>
      <w:divBdr>
        <w:top w:val="none" w:sz="0" w:space="0" w:color="auto"/>
        <w:left w:val="none" w:sz="0" w:space="0" w:color="auto"/>
        <w:bottom w:val="none" w:sz="0" w:space="0" w:color="auto"/>
        <w:right w:val="none" w:sz="0" w:space="0" w:color="auto"/>
      </w:divBdr>
    </w:div>
    <w:div w:id="950088280">
      <w:bodyDiv w:val="1"/>
      <w:marLeft w:val="0"/>
      <w:marRight w:val="0"/>
      <w:marTop w:val="0"/>
      <w:marBottom w:val="0"/>
      <w:divBdr>
        <w:top w:val="none" w:sz="0" w:space="0" w:color="auto"/>
        <w:left w:val="none" w:sz="0" w:space="0" w:color="auto"/>
        <w:bottom w:val="none" w:sz="0" w:space="0" w:color="auto"/>
        <w:right w:val="none" w:sz="0" w:space="0" w:color="auto"/>
      </w:divBdr>
    </w:div>
    <w:div w:id="1069155622">
      <w:bodyDiv w:val="1"/>
      <w:marLeft w:val="0"/>
      <w:marRight w:val="0"/>
      <w:marTop w:val="0"/>
      <w:marBottom w:val="0"/>
      <w:divBdr>
        <w:top w:val="none" w:sz="0" w:space="0" w:color="auto"/>
        <w:left w:val="none" w:sz="0" w:space="0" w:color="auto"/>
        <w:bottom w:val="none" w:sz="0" w:space="0" w:color="auto"/>
        <w:right w:val="none" w:sz="0" w:space="0" w:color="auto"/>
      </w:divBdr>
    </w:div>
    <w:div w:id="1115564654">
      <w:bodyDiv w:val="1"/>
      <w:marLeft w:val="0"/>
      <w:marRight w:val="0"/>
      <w:marTop w:val="0"/>
      <w:marBottom w:val="0"/>
      <w:divBdr>
        <w:top w:val="none" w:sz="0" w:space="0" w:color="auto"/>
        <w:left w:val="none" w:sz="0" w:space="0" w:color="auto"/>
        <w:bottom w:val="none" w:sz="0" w:space="0" w:color="auto"/>
        <w:right w:val="none" w:sz="0" w:space="0" w:color="auto"/>
      </w:divBdr>
    </w:div>
    <w:div w:id="1116026555">
      <w:bodyDiv w:val="1"/>
      <w:marLeft w:val="0"/>
      <w:marRight w:val="0"/>
      <w:marTop w:val="0"/>
      <w:marBottom w:val="0"/>
      <w:divBdr>
        <w:top w:val="none" w:sz="0" w:space="0" w:color="auto"/>
        <w:left w:val="none" w:sz="0" w:space="0" w:color="auto"/>
        <w:bottom w:val="none" w:sz="0" w:space="0" w:color="auto"/>
        <w:right w:val="none" w:sz="0" w:space="0" w:color="auto"/>
      </w:divBdr>
    </w:div>
    <w:div w:id="1159612123">
      <w:bodyDiv w:val="1"/>
      <w:marLeft w:val="0"/>
      <w:marRight w:val="0"/>
      <w:marTop w:val="0"/>
      <w:marBottom w:val="0"/>
      <w:divBdr>
        <w:top w:val="none" w:sz="0" w:space="0" w:color="auto"/>
        <w:left w:val="none" w:sz="0" w:space="0" w:color="auto"/>
        <w:bottom w:val="none" w:sz="0" w:space="0" w:color="auto"/>
        <w:right w:val="none" w:sz="0" w:space="0" w:color="auto"/>
      </w:divBdr>
    </w:div>
    <w:div w:id="1178542372">
      <w:bodyDiv w:val="1"/>
      <w:marLeft w:val="0"/>
      <w:marRight w:val="0"/>
      <w:marTop w:val="0"/>
      <w:marBottom w:val="0"/>
      <w:divBdr>
        <w:top w:val="none" w:sz="0" w:space="0" w:color="auto"/>
        <w:left w:val="none" w:sz="0" w:space="0" w:color="auto"/>
        <w:bottom w:val="none" w:sz="0" w:space="0" w:color="auto"/>
        <w:right w:val="none" w:sz="0" w:space="0" w:color="auto"/>
      </w:divBdr>
    </w:div>
    <w:div w:id="1246643466">
      <w:bodyDiv w:val="1"/>
      <w:marLeft w:val="0"/>
      <w:marRight w:val="0"/>
      <w:marTop w:val="0"/>
      <w:marBottom w:val="0"/>
      <w:divBdr>
        <w:top w:val="none" w:sz="0" w:space="0" w:color="auto"/>
        <w:left w:val="none" w:sz="0" w:space="0" w:color="auto"/>
        <w:bottom w:val="none" w:sz="0" w:space="0" w:color="auto"/>
        <w:right w:val="none" w:sz="0" w:space="0" w:color="auto"/>
      </w:divBdr>
    </w:div>
    <w:div w:id="1300843581">
      <w:bodyDiv w:val="1"/>
      <w:marLeft w:val="0"/>
      <w:marRight w:val="0"/>
      <w:marTop w:val="0"/>
      <w:marBottom w:val="0"/>
      <w:divBdr>
        <w:top w:val="none" w:sz="0" w:space="0" w:color="auto"/>
        <w:left w:val="none" w:sz="0" w:space="0" w:color="auto"/>
        <w:bottom w:val="none" w:sz="0" w:space="0" w:color="auto"/>
        <w:right w:val="none" w:sz="0" w:space="0" w:color="auto"/>
      </w:divBdr>
    </w:div>
    <w:div w:id="1316838915">
      <w:bodyDiv w:val="1"/>
      <w:marLeft w:val="0"/>
      <w:marRight w:val="0"/>
      <w:marTop w:val="0"/>
      <w:marBottom w:val="0"/>
      <w:divBdr>
        <w:top w:val="none" w:sz="0" w:space="0" w:color="auto"/>
        <w:left w:val="none" w:sz="0" w:space="0" w:color="auto"/>
        <w:bottom w:val="none" w:sz="0" w:space="0" w:color="auto"/>
        <w:right w:val="none" w:sz="0" w:space="0" w:color="auto"/>
      </w:divBdr>
    </w:div>
    <w:div w:id="1425296906">
      <w:bodyDiv w:val="1"/>
      <w:marLeft w:val="0"/>
      <w:marRight w:val="0"/>
      <w:marTop w:val="0"/>
      <w:marBottom w:val="0"/>
      <w:divBdr>
        <w:top w:val="none" w:sz="0" w:space="0" w:color="auto"/>
        <w:left w:val="none" w:sz="0" w:space="0" w:color="auto"/>
        <w:bottom w:val="none" w:sz="0" w:space="0" w:color="auto"/>
        <w:right w:val="none" w:sz="0" w:space="0" w:color="auto"/>
      </w:divBdr>
    </w:div>
    <w:div w:id="1551653075">
      <w:bodyDiv w:val="1"/>
      <w:marLeft w:val="0"/>
      <w:marRight w:val="0"/>
      <w:marTop w:val="0"/>
      <w:marBottom w:val="0"/>
      <w:divBdr>
        <w:top w:val="none" w:sz="0" w:space="0" w:color="auto"/>
        <w:left w:val="none" w:sz="0" w:space="0" w:color="auto"/>
        <w:bottom w:val="none" w:sz="0" w:space="0" w:color="auto"/>
        <w:right w:val="none" w:sz="0" w:space="0" w:color="auto"/>
      </w:divBdr>
    </w:div>
    <w:div w:id="1563053769">
      <w:bodyDiv w:val="1"/>
      <w:marLeft w:val="0"/>
      <w:marRight w:val="0"/>
      <w:marTop w:val="0"/>
      <w:marBottom w:val="0"/>
      <w:divBdr>
        <w:top w:val="none" w:sz="0" w:space="0" w:color="auto"/>
        <w:left w:val="none" w:sz="0" w:space="0" w:color="auto"/>
        <w:bottom w:val="none" w:sz="0" w:space="0" w:color="auto"/>
        <w:right w:val="none" w:sz="0" w:space="0" w:color="auto"/>
      </w:divBdr>
    </w:div>
    <w:div w:id="1665551047">
      <w:bodyDiv w:val="1"/>
      <w:marLeft w:val="0"/>
      <w:marRight w:val="0"/>
      <w:marTop w:val="0"/>
      <w:marBottom w:val="0"/>
      <w:divBdr>
        <w:top w:val="none" w:sz="0" w:space="0" w:color="auto"/>
        <w:left w:val="none" w:sz="0" w:space="0" w:color="auto"/>
        <w:bottom w:val="none" w:sz="0" w:space="0" w:color="auto"/>
        <w:right w:val="none" w:sz="0" w:space="0" w:color="auto"/>
      </w:divBdr>
    </w:div>
    <w:div w:id="1688675166">
      <w:bodyDiv w:val="1"/>
      <w:marLeft w:val="0"/>
      <w:marRight w:val="0"/>
      <w:marTop w:val="0"/>
      <w:marBottom w:val="0"/>
      <w:divBdr>
        <w:top w:val="none" w:sz="0" w:space="0" w:color="auto"/>
        <w:left w:val="none" w:sz="0" w:space="0" w:color="auto"/>
        <w:bottom w:val="none" w:sz="0" w:space="0" w:color="auto"/>
        <w:right w:val="none" w:sz="0" w:space="0" w:color="auto"/>
      </w:divBdr>
    </w:div>
    <w:div w:id="1712266537">
      <w:bodyDiv w:val="1"/>
      <w:marLeft w:val="0"/>
      <w:marRight w:val="0"/>
      <w:marTop w:val="0"/>
      <w:marBottom w:val="0"/>
      <w:divBdr>
        <w:top w:val="none" w:sz="0" w:space="0" w:color="auto"/>
        <w:left w:val="none" w:sz="0" w:space="0" w:color="auto"/>
        <w:bottom w:val="none" w:sz="0" w:space="0" w:color="auto"/>
        <w:right w:val="none" w:sz="0" w:space="0" w:color="auto"/>
      </w:divBdr>
    </w:div>
    <w:div w:id="1717657014">
      <w:bodyDiv w:val="1"/>
      <w:marLeft w:val="0"/>
      <w:marRight w:val="0"/>
      <w:marTop w:val="0"/>
      <w:marBottom w:val="0"/>
      <w:divBdr>
        <w:top w:val="none" w:sz="0" w:space="0" w:color="auto"/>
        <w:left w:val="none" w:sz="0" w:space="0" w:color="auto"/>
        <w:bottom w:val="none" w:sz="0" w:space="0" w:color="auto"/>
        <w:right w:val="none" w:sz="0" w:space="0" w:color="auto"/>
      </w:divBdr>
    </w:div>
    <w:div w:id="1770469611">
      <w:bodyDiv w:val="1"/>
      <w:marLeft w:val="0"/>
      <w:marRight w:val="0"/>
      <w:marTop w:val="0"/>
      <w:marBottom w:val="0"/>
      <w:divBdr>
        <w:top w:val="none" w:sz="0" w:space="0" w:color="auto"/>
        <w:left w:val="none" w:sz="0" w:space="0" w:color="auto"/>
        <w:bottom w:val="none" w:sz="0" w:space="0" w:color="auto"/>
        <w:right w:val="none" w:sz="0" w:space="0" w:color="auto"/>
      </w:divBdr>
    </w:div>
    <w:div w:id="1789660681">
      <w:bodyDiv w:val="1"/>
      <w:marLeft w:val="0"/>
      <w:marRight w:val="0"/>
      <w:marTop w:val="0"/>
      <w:marBottom w:val="0"/>
      <w:divBdr>
        <w:top w:val="none" w:sz="0" w:space="0" w:color="auto"/>
        <w:left w:val="none" w:sz="0" w:space="0" w:color="auto"/>
        <w:bottom w:val="none" w:sz="0" w:space="0" w:color="auto"/>
        <w:right w:val="none" w:sz="0" w:space="0" w:color="auto"/>
      </w:divBdr>
    </w:div>
    <w:div w:id="1872184412">
      <w:bodyDiv w:val="1"/>
      <w:marLeft w:val="0"/>
      <w:marRight w:val="0"/>
      <w:marTop w:val="0"/>
      <w:marBottom w:val="0"/>
      <w:divBdr>
        <w:top w:val="none" w:sz="0" w:space="0" w:color="auto"/>
        <w:left w:val="none" w:sz="0" w:space="0" w:color="auto"/>
        <w:bottom w:val="none" w:sz="0" w:space="0" w:color="auto"/>
        <w:right w:val="none" w:sz="0" w:space="0" w:color="auto"/>
      </w:divBdr>
    </w:div>
    <w:div w:id="1887840035">
      <w:bodyDiv w:val="1"/>
      <w:marLeft w:val="0"/>
      <w:marRight w:val="0"/>
      <w:marTop w:val="0"/>
      <w:marBottom w:val="0"/>
      <w:divBdr>
        <w:top w:val="none" w:sz="0" w:space="0" w:color="auto"/>
        <w:left w:val="none" w:sz="0" w:space="0" w:color="auto"/>
        <w:bottom w:val="none" w:sz="0" w:space="0" w:color="auto"/>
        <w:right w:val="none" w:sz="0" w:space="0" w:color="auto"/>
      </w:divBdr>
    </w:div>
    <w:div w:id="203248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40</TotalTime>
  <Pages>7</Pages>
  <Words>1417</Words>
  <Characters>9538</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2025012705, MT</dc:description>
  <cp:lastModifiedBy>Gitte Jørgensen</cp:lastModifiedBy>
  <cp:revision>11</cp:revision>
  <cp:lastPrinted>2012-08-22T08:53:00Z</cp:lastPrinted>
  <dcterms:created xsi:type="dcterms:W3CDTF">2026-04-23T07:59:00Z</dcterms:created>
  <dcterms:modified xsi:type="dcterms:W3CDTF">2026-04-24T13:39:00Z</dcterms:modified>
</cp:coreProperties>
</file>