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5447B" w14:textId="77777777" w:rsidR="009260DE" w:rsidRPr="00384190" w:rsidRDefault="0021526C" w:rsidP="009260DE">
      <w:pPr>
        <w:rPr>
          <w:sz w:val="24"/>
          <w:szCs w:val="24"/>
        </w:rPr>
      </w:pPr>
      <w:r w:rsidRPr="00384190">
        <w:rPr>
          <w:noProof/>
          <w:sz w:val="24"/>
          <w:szCs w:val="24"/>
          <w:lang w:eastAsia="da-DK"/>
        </w:rPr>
        <w:drawing>
          <wp:anchor distT="0" distB="0" distL="114300" distR="114300" simplePos="0" relativeHeight="251658240" behindDoc="0" locked="0" layoutInCell="1" allowOverlap="1" wp14:anchorId="6A08D0DE" wp14:editId="6F41CCE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84190">
        <w:rPr>
          <w:sz w:val="24"/>
          <w:szCs w:val="24"/>
        </w:rPr>
        <w:br w:type="textWrapping" w:clear="all"/>
      </w:r>
    </w:p>
    <w:p w14:paraId="4A85C848" w14:textId="609FBE57" w:rsidR="009260DE" w:rsidRPr="00384190" w:rsidRDefault="009260DE" w:rsidP="009260DE">
      <w:pPr>
        <w:pStyle w:val="Titel"/>
        <w:tabs>
          <w:tab w:val="right" w:pos="9356"/>
        </w:tabs>
        <w:jc w:val="left"/>
        <w:rPr>
          <w:b w:val="0"/>
          <w:szCs w:val="24"/>
          <w:lang w:eastAsia="en-US"/>
        </w:rPr>
      </w:pPr>
      <w:r w:rsidRPr="00384190">
        <w:rPr>
          <w:b w:val="0"/>
          <w:szCs w:val="24"/>
          <w:lang w:eastAsia="en-US"/>
        </w:rPr>
        <w:tab/>
      </w:r>
      <w:r w:rsidR="003C6AE4">
        <w:rPr>
          <w:szCs w:val="24"/>
        </w:rPr>
        <w:t>21. februar 2025</w:t>
      </w:r>
    </w:p>
    <w:p w14:paraId="096143AF" w14:textId="77777777" w:rsidR="009260DE" w:rsidRPr="00384190" w:rsidRDefault="009260DE" w:rsidP="009260DE">
      <w:pPr>
        <w:pStyle w:val="Titel"/>
        <w:tabs>
          <w:tab w:val="left" w:pos="8222"/>
        </w:tabs>
        <w:jc w:val="left"/>
        <w:rPr>
          <w:b w:val="0"/>
          <w:szCs w:val="24"/>
        </w:rPr>
      </w:pPr>
    </w:p>
    <w:p w14:paraId="736E35A9" w14:textId="77777777" w:rsidR="009260DE" w:rsidRPr="00384190" w:rsidRDefault="009260DE" w:rsidP="009260DE">
      <w:pPr>
        <w:pStyle w:val="Titel"/>
        <w:jc w:val="left"/>
        <w:rPr>
          <w:b w:val="0"/>
          <w:szCs w:val="24"/>
        </w:rPr>
      </w:pPr>
    </w:p>
    <w:p w14:paraId="660D9139" w14:textId="77777777" w:rsidR="009260DE" w:rsidRPr="00384190" w:rsidRDefault="009260DE" w:rsidP="009260DE">
      <w:pPr>
        <w:pStyle w:val="Titel"/>
        <w:jc w:val="left"/>
        <w:rPr>
          <w:b w:val="0"/>
          <w:szCs w:val="24"/>
        </w:rPr>
      </w:pPr>
    </w:p>
    <w:p w14:paraId="31892939" w14:textId="77777777" w:rsidR="009260DE" w:rsidRPr="00384190" w:rsidRDefault="009260DE" w:rsidP="009260DE">
      <w:pPr>
        <w:jc w:val="center"/>
        <w:rPr>
          <w:b/>
          <w:sz w:val="24"/>
          <w:szCs w:val="24"/>
        </w:rPr>
      </w:pPr>
      <w:r w:rsidRPr="00384190">
        <w:rPr>
          <w:b/>
          <w:sz w:val="24"/>
          <w:szCs w:val="24"/>
        </w:rPr>
        <w:t>PRODUKTRESUMÉ</w:t>
      </w:r>
    </w:p>
    <w:p w14:paraId="75FF50A9" w14:textId="77777777" w:rsidR="009260DE" w:rsidRPr="00384190" w:rsidRDefault="009260DE" w:rsidP="009260DE">
      <w:pPr>
        <w:jc w:val="center"/>
        <w:rPr>
          <w:b/>
          <w:sz w:val="24"/>
          <w:szCs w:val="24"/>
        </w:rPr>
      </w:pPr>
    </w:p>
    <w:p w14:paraId="5EC6653E" w14:textId="77777777" w:rsidR="009260DE" w:rsidRPr="00384190" w:rsidRDefault="009260DE" w:rsidP="009260DE">
      <w:pPr>
        <w:jc w:val="center"/>
        <w:rPr>
          <w:b/>
          <w:sz w:val="24"/>
          <w:szCs w:val="24"/>
        </w:rPr>
      </w:pPr>
      <w:r w:rsidRPr="00384190">
        <w:rPr>
          <w:b/>
          <w:sz w:val="24"/>
          <w:szCs w:val="24"/>
        </w:rPr>
        <w:t>for</w:t>
      </w:r>
    </w:p>
    <w:p w14:paraId="7C26F37B" w14:textId="77777777" w:rsidR="000B058C" w:rsidRPr="00384190" w:rsidRDefault="000B058C" w:rsidP="009260DE">
      <w:pPr>
        <w:jc w:val="center"/>
        <w:rPr>
          <w:b/>
          <w:sz w:val="24"/>
          <w:szCs w:val="24"/>
        </w:rPr>
      </w:pPr>
    </w:p>
    <w:p w14:paraId="7D57AE77" w14:textId="26D5D46D" w:rsidR="009260DE" w:rsidRPr="00384190" w:rsidRDefault="00DA57A3" w:rsidP="009260DE">
      <w:pPr>
        <w:jc w:val="center"/>
        <w:rPr>
          <w:b/>
          <w:sz w:val="24"/>
          <w:szCs w:val="24"/>
        </w:rPr>
      </w:pPr>
      <w:proofErr w:type="spellStart"/>
      <w:r w:rsidRPr="00384190">
        <w:rPr>
          <w:b/>
          <w:sz w:val="24"/>
          <w:szCs w:val="24"/>
        </w:rPr>
        <w:t>Clindamycin</w:t>
      </w:r>
      <w:proofErr w:type="spellEnd"/>
      <w:r w:rsidRPr="00384190">
        <w:rPr>
          <w:b/>
          <w:sz w:val="24"/>
          <w:szCs w:val="24"/>
        </w:rPr>
        <w:t xml:space="preserve"> "</w:t>
      </w:r>
      <w:proofErr w:type="spellStart"/>
      <w:r w:rsidR="00805C1C">
        <w:rPr>
          <w:b/>
          <w:sz w:val="24"/>
          <w:szCs w:val="24"/>
        </w:rPr>
        <w:t>Kalceks</w:t>
      </w:r>
      <w:proofErr w:type="spellEnd"/>
      <w:r w:rsidRPr="00384190">
        <w:rPr>
          <w:b/>
          <w:sz w:val="24"/>
          <w:szCs w:val="24"/>
        </w:rPr>
        <w:t>", injektions-/infusionsvæske, opløsning</w:t>
      </w:r>
    </w:p>
    <w:p w14:paraId="27CD03F1" w14:textId="77777777" w:rsidR="009260DE" w:rsidRPr="00384190" w:rsidRDefault="009260DE" w:rsidP="009260DE">
      <w:pPr>
        <w:jc w:val="both"/>
        <w:rPr>
          <w:sz w:val="24"/>
          <w:szCs w:val="24"/>
        </w:rPr>
      </w:pPr>
    </w:p>
    <w:p w14:paraId="7F1D0000" w14:textId="77777777" w:rsidR="009260DE" w:rsidRPr="00384190" w:rsidRDefault="009260DE" w:rsidP="009260DE">
      <w:pPr>
        <w:jc w:val="both"/>
        <w:rPr>
          <w:sz w:val="24"/>
          <w:szCs w:val="24"/>
        </w:rPr>
      </w:pPr>
    </w:p>
    <w:p w14:paraId="1695FCD5" w14:textId="77777777" w:rsidR="009260DE" w:rsidRPr="00384190" w:rsidRDefault="009260DE" w:rsidP="009260DE">
      <w:pPr>
        <w:tabs>
          <w:tab w:val="left" w:pos="851"/>
        </w:tabs>
        <w:ind w:left="851" w:hanging="851"/>
        <w:rPr>
          <w:b/>
          <w:sz w:val="24"/>
          <w:szCs w:val="24"/>
        </w:rPr>
      </w:pPr>
      <w:r w:rsidRPr="00384190">
        <w:rPr>
          <w:b/>
          <w:sz w:val="24"/>
          <w:szCs w:val="24"/>
        </w:rPr>
        <w:t>0.</w:t>
      </w:r>
      <w:r w:rsidRPr="00384190">
        <w:rPr>
          <w:b/>
          <w:sz w:val="24"/>
          <w:szCs w:val="24"/>
        </w:rPr>
        <w:tab/>
        <w:t>D.SP.NR.</w:t>
      </w:r>
    </w:p>
    <w:p w14:paraId="13114289" w14:textId="687765AE" w:rsidR="009260DE" w:rsidRPr="00384190" w:rsidRDefault="00DA57A3" w:rsidP="009260DE">
      <w:pPr>
        <w:tabs>
          <w:tab w:val="left" w:pos="851"/>
        </w:tabs>
        <w:ind w:left="851"/>
        <w:rPr>
          <w:sz w:val="24"/>
          <w:szCs w:val="24"/>
        </w:rPr>
      </w:pPr>
      <w:r w:rsidRPr="00384190">
        <w:rPr>
          <w:sz w:val="24"/>
          <w:szCs w:val="24"/>
        </w:rPr>
        <w:t>32827</w:t>
      </w:r>
    </w:p>
    <w:p w14:paraId="18323C5E" w14:textId="77777777" w:rsidR="009260DE" w:rsidRPr="00384190" w:rsidRDefault="009260DE" w:rsidP="009260DE">
      <w:pPr>
        <w:tabs>
          <w:tab w:val="left" w:pos="851"/>
        </w:tabs>
        <w:ind w:left="851"/>
        <w:rPr>
          <w:sz w:val="24"/>
          <w:szCs w:val="24"/>
        </w:rPr>
      </w:pPr>
    </w:p>
    <w:p w14:paraId="5A429745" w14:textId="77777777" w:rsidR="009260DE" w:rsidRPr="00384190" w:rsidRDefault="009260DE" w:rsidP="009260DE">
      <w:pPr>
        <w:tabs>
          <w:tab w:val="left" w:pos="851"/>
        </w:tabs>
        <w:ind w:left="851" w:hanging="851"/>
        <w:rPr>
          <w:b/>
          <w:sz w:val="24"/>
          <w:szCs w:val="24"/>
        </w:rPr>
      </w:pPr>
      <w:r w:rsidRPr="00384190">
        <w:rPr>
          <w:b/>
          <w:sz w:val="24"/>
          <w:szCs w:val="24"/>
        </w:rPr>
        <w:t>1.</w:t>
      </w:r>
      <w:r w:rsidRPr="00384190">
        <w:rPr>
          <w:b/>
          <w:sz w:val="24"/>
          <w:szCs w:val="24"/>
        </w:rPr>
        <w:tab/>
        <w:t>LÆGEMIDLETS NAVN</w:t>
      </w:r>
    </w:p>
    <w:p w14:paraId="47B229F4" w14:textId="4C845620" w:rsidR="009260DE" w:rsidRPr="00384190" w:rsidRDefault="00DA57A3" w:rsidP="009260DE">
      <w:pPr>
        <w:tabs>
          <w:tab w:val="left" w:pos="851"/>
        </w:tabs>
        <w:ind w:left="851"/>
        <w:rPr>
          <w:sz w:val="24"/>
          <w:szCs w:val="24"/>
        </w:rPr>
      </w:pPr>
      <w:proofErr w:type="spellStart"/>
      <w:r w:rsidRPr="00384190">
        <w:rPr>
          <w:sz w:val="24"/>
          <w:szCs w:val="24"/>
        </w:rPr>
        <w:t>Clindamycin</w:t>
      </w:r>
      <w:proofErr w:type="spellEnd"/>
      <w:r w:rsidRPr="00384190">
        <w:rPr>
          <w:sz w:val="24"/>
          <w:szCs w:val="24"/>
        </w:rPr>
        <w:t xml:space="preserve"> "</w:t>
      </w:r>
      <w:proofErr w:type="spellStart"/>
      <w:r w:rsidR="00805C1C">
        <w:rPr>
          <w:sz w:val="24"/>
          <w:szCs w:val="24"/>
        </w:rPr>
        <w:t>Kalceks</w:t>
      </w:r>
      <w:proofErr w:type="spellEnd"/>
      <w:r w:rsidR="00805C1C">
        <w:rPr>
          <w:sz w:val="24"/>
          <w:szCs w:val="24"/>
        </w:rPr>
        <w:t>"</w:t>
      </w:r>
    </w:p>
    <w:p w14:paraId="19004119" w14:textId="77777777" w:rsidR="009260DE" w:rsidRPr="00384190" w:rsidRDefault="009260DE" w:rsidP="009260DE">
      <w:pPr>
        <w:tabs>
          <w:tab w:val="left" w:pos="851"/>
        </w:tabs>
        <w:ind w:left="851"/>
        <w:rPr>
          <w:sz w:val="24"/>
          <w:szCs w:val="24"/>
        </w:rPr>
      </w:pPr>
    </w:p>
    <w:p w14:paraId="39CE0C30" w14:textId="77777777" w:rsidR="009260DE" w:rsidRPr="00384190" w:rsidRDefault="009260DE" w:rsidP="009260DE">
      <w:pPr>
        <w:tabs>
          <w:tab w:val="left" w:pos="851"/>
        </w:tabs>
        <w:ind w:left="851" w:hanging="851"/>
        <w:rPr>
          <w:b/>
          <w:sz w:val="24"/>
          <w:szCs w:val="24"/>
        </w:rPr>
      </w:pPr>
      <w:r w:rsidRPr="00384190">
        <w:rPr>
          <w:b/>
          <w:sz w:val="24"/>
          <w:szCs w:val="24"/>
        </w:rPr>
        <w:t>2.</w:t>
      </w:r>
      <w:r w:rsidRPr="00384190">
        <w:rPr>
          <w:b/>
          <w:sz w:val="24"/>
          <w:szCs w:val="24"/>
        </w:rPr>
        <w:tab/>
        <w:t>KVALITATIV OG KVANTITATIV SAMMENSÆTNING</w:t>
      </w:r>
    </w:p>
    <w:p w14:paraId="38516AA7" w14:textId="77777777" w:rsidR="009C646A" w:rsidRPr="00384190" w:rsidRDefault="009C646A" w:rsidP="00384190">
      <w:pPr>
        <w:ind w:left="851"/>
        <w:rPr>
          <w:sz w:val="24"/>
          <w:szCs w:val="24"/>
        </w:rPr>
      </w:pPr>
      <w:r w:rsidRPr="00384190">
        <w:rPr>
          <w:sz w:val="24"/>
          <w:szCs w:val="24"/>
        </w:rPr>
        <w:t xml:space="preserve">Hver ml opløsning indeholder 150 mg </w:t>
      </w:r>
      <w:proofErr w:type="spellStart"/>
      <w:r w:rsidRPr="00384190">
        <w:rPr>
          <w:sz w:val="24"/>
          <w:szCs w:val="24"/>
        </w:rPr>
        <w:t>clindamycin</w:t>
      </w:r>
      <w:proofErr w:type="spellEnd"/>
      <w:r w:rsidRPr="00384190">
        <w:rPr>
          <w:sz w:val="24"/>
          <w:szCs w:val="24"/>
        </w:rPr>
        <w:t xml:space="preserve"> (som </w:t>
      </w:r>
      <w:proofErr w:type="spellStart"/>
      <w:r w:rsidRPr="00384190">
        <w:rPr>
          <w:sz w:val="24"/>
          <w:szCs w:val="24"/>
        </w:rPr>
        <w:t>clindamycinphosphat</w:t>
      </w:r>
      <w:proofErr w:type="spellEnd"/>
      <w:r w:rsidRPr="00384190">
        <w:rPr>
          <w:sz w:val="24"/>
          <w:szCs w:val="24"/>
        </w:rPr>
        <w:t>).</w:t>
      </w:r>
    </w:p>
    <w:p w14:paraId="26755F10" w14:textId="15EDE4AC" w:rsidR="009C646A" w:rsidRPr="00384190" w:rsidRDefault="009C646A" w:rsidP="00384190">
      <w:pPr>
        <w:ind w:left="851"/>
        <w:rPr>
          <w:sz w:val="24"/>
          <w:szCs w:val="24"/>
        </w:rPr>
      </w:pPr>
      <w:r w:rsidRPr="00384190">
        <w:rPr>
          <w:sz w:val="24"/>
          <w:szCs w:val="24"/>
        </w:rPr>
        <w:t xml:space="preserve">Hver ampul med 2 ml opløsning indeholder 300 mg </w:t>
      </w:r>
      <w:proofErr w:type="spellStart"/>
      <w:r w:rsidRPr="00384190">
        <w:rPr>
          <w:sz w:val="24"/>
          <w:szCs w:val="24"/>
        </w:rPr>
        <w:t>clindamycin</w:t>
      </w:r>
      <w:proofErr w:type="spellEnd"/>
      <w:r w:rsidRPr="00384190">
        <w:rPr>
          <w:sz w:val="24"/>
          <w:szCs w:val="24"/>
        </w:rPr>
        <w:t xml:space="preserve"> (som </w:t>
      </w:r>
      <w:proofErr w:type="spellStart"/>
      <w:r w:rsidRPr="00384190">
        <w:rPr>
          <w:sz w:val="24"/>
          <w:szCs w:val="24"/>
        </w:rPr>
        <w:t>clindamycin</w:t>
      </w:r>
      <w:r w:rsidR="005B3363">
        <w:rPr>
          <w:sz w:val="24"/>
          <w:szCs w:val="24"/>
        </w:rPr>
        <w:softHyphen/>
      </w:r>
      <w:r w:rsidRPr="00384190">
        <w:rPr>
          <w:sz w:val="24"/>
          <w:szCs w:val="24"/>
        </w:rPr>
        <w:t>phosphat</w:t>
      </w:r>
      <w:proofErr w:type="spellEnd"/>
      <w:r w:rsidRPr="00384190">
        <w:rPr>
          <w:sz w:val="24"/>
          <w:szCs w:val="24"/>
        </w:rPr>
        <w:t>).</w:t>
      </w:r>
    </w:p>
    <w:p w14:paraId="7FCCACD8" w14:textId="579516B0" w:rsidR="009C646A" w:rsidRPr="00384190" w:rsidRDefault="009C646A" w:rsidP="00384190">
      <w:pPr>
        <w:ind w:left="851"/>
        <w:rPr>
          <w:sz w:val="24"/>
          <w:szCs w:val="24"/>
        </w:rPr>
      </w:pPr>
      <w:r w:rsidRPr="00384190">
        <w:rPr>
          <w:sz w:val="24"/>
          <w:szCs w:val="24"/>
        </w:rPr>
        <w:t xml:space="preserve">Hver ampul med 4 ml opløsning indeholder 600 mg </w:t>
      </w:r>
      <w:proofErr w:type="spellStart"/>
      <w:r w:rsidRPr="00384190">
        <w:rPr>
          <w:sz w:val="24"/>
          <w:szCs w:val="24"/>
        </w:rPr>
        <w:t>clindamycin</w:t>
      </w:r>
      <w:proofErr w:type="spellEnd"/>
      <w:r w:rsidRPr="00384190">
        <w:rPr>
          <w:sz w:val="24"/>
          <w:szCs w:val="24"/>
        </w:rPr>
        <w:t xml:space="preserve"> (som </w:t>
      </w:r>
      <w:proofErr w:type="spellStart"/>
      <w:r w:rsidRPr="00384190">
        <w:rPr>
          <w:sz w:val="24"/>
          <w:szCs w:val="24"/>
        </w:rPr>
        <w:t>clindamycin</w:t>
      </w:r>
      <w:r w:rsidR="00805C1C">
        <w:rPr>
          <w:sz w:val="24"/>
          <w:szCs w:val="24"/>
        </w:rPr>
        <w:softHyphen/>
      </w:r>
      <w:r w:rsidRPr="00384190">
        <w:rPr>
          <w:sz w:val="24"/>
          <w:szCs w:val="24"/>
        </w:rPr>
        <w:t>phosphat</w:t>
      </w:r>
      <w:proofErr w:type="spellEnd"/>
      <w:r w:rsidRPr="00384190">
        <w:rPr>
          <w:sz w:val="24"/>
          <w:szCs w:val="24"/>
        </w:rPr>
        <w:t>).</w:t>
      </w:r>
    </w:p>
    <w:p w14:paraId="6A0FD7F9" w14:textId="77777777" w:rsidR="009C646A" w:rsidRPr="00384190" w:rsidRDefault="009C646A" w:rsidP="00384190">
      <w:pPr>
        <w:ind w:left="851"/>
        <w:rPr>
          <w:sz w:val="24"/>
          <w:szCs w:val="24"/>
        </w:rPr>
      </w:pPr>
    </w:p>
    <w:p w14:paraId="7CDD4EE2" w14:textId="77777777" w:rsidR="009C646A" w:rsidRPr="00384190" w:rsidRDefault="009C646A" w:rsidP="00384190">
      <w:pPr>
        <w:ind w:left="851"/>
        <w:rPr>
          <w:sz w:val="24"/>
          <w:szCs w:val="24"/>
        </w:rPr>
      </w:pPr>
      <w:r w:rsidRPr="00384190">
        <w:rPr>
          <w:sz w:val="24"/>
          <w:szCs w:val="24"/>
          <w:u w:val="single"/>
        </w:rPr>
        <w:t>Hjælpestof, som behandleren skal være opmærksom på</w:t>
      </w:r>
    </w:p>
    <w:p w14:paraId="512835BA" w14:textId="77777777" w:rsidR="009C646A" w:rsidRPr="00384190" w:rsidRDefault="009C646A" w:rsidP="00384190">
      <w:pPr>
        <w:ind w:left="851"/>
        <w:rPr>
          <w:sz w:val="24"/>
          <w:szCs w:val="24"/>
        </w:rPr>
      </w:pPr>
      <w:r w:rsidRPr="00384190">
        <w:rPr>
          <w:sz w:val="24"/>
          <w:szCs w:val="24"/>
        </w:rPr>
        <w:t>Hver ml opløsning indeholder 6,5 mg natrium.</w:t>
      </w:r>
    </w:p>
    <w:p w14:paraId="0EA203B4" w14:textId="77777777" w:rsidR="009C646A" w:rsidRPr="00384190" w:rsidRDefault="009C646A" w:rsidP="00384190">
      <w:pPr>
        <w:ind w:left="851"/>
        <w:rPr>
          <w:sz w:val="24"/>
          <w:szCs w:val="24"/>
        </w:rPr>
      </w:pPr>
    </w:p>
    <w:p w14:paraId="7874CFC7" w14:textId="77777777" w:rsidR="009C646A" w:rsidRPr="00384190" w:rsidRDefault="009C646A" w:rsidP="00384190">
      <w:pPr>
        <w:ind w:left="851"/>
        <w:rPr>
          <w:sz w:val="24"/>
          <w:szCs w:val="24"/>
        </w:rPr>
      </w:pPr>
      <w:r w:rsidRPr="00384190">
        <w:rPr>
          <w:sz w:val="24"/>
          <w:szCs w:val="24"/>
        </w:rPr>
        <w:t>Alle hjælpestoffer er anført under pkt. 6.1.</w:t>
      </w:r>
    </w:p>
    <w:p w14:paraId="5E6BBA12" w14:textId="77777777" w:rsidR="009260DE" w:rsidRPr="00384190" w:rsidRDefault="009260DE" w:rsidP="009260DE">
      <w:pPr>
        <w:tabs>
          <w:tab w:val="left" w:pos="851"/>
        </w:tabs>
        <w:ind w:left="851"/>
        <w:rPr>
          <w:sz w:val="24"/>
          <w:szCs w:val="24"/>
        </w:rPr>
      </w:pPr>
    </w:p>
    <w:p w14:paraId="65CE2844" w14:textId="77777777" w:rsidR="009260DE" w:rsidRPr="00384190" w:rsidRDefault="009260DE" w:rsidP="009260DE">
      <w:pPr>
        <w:tabs>
          <w:tab w:val="left" w:pos="851"/>
        </w:tabs>
        <w:ind w:left="851" w:hanging="851"/>
        <w:rPr>
          <w:b/>
          <w:sz w:val="24"/>
          <w:szCs w:val="24"/>
        </w:rPr>
      </w:pPr>
      <w:r w:rsidRPr="00384190">
        <w:rPr>
          <w:b/>
          <w:sz w:val="24"/>
          <w:szCs w:val="24"/>
        </w:rPr>
        <w:t>3.</w:t>
      </w:r>
      <w:r w:rsidRPr="00384190">
        <w:rPr>
          <w:b/>
          <w:sz w:val="24"/>
          <w:szCs w:val="24"/>
        </w:rPr>
        <w:tab/>
        <w:t>LÆGEMIDDELFORM</w:t>
      </w:r>
    </w:p>
    <w:p w14:paraId="098488AB" w14:textId="77777777" w:rsidR="009C646A" w:rsidRPr="00384190" w:rsidRDefault="009C646A" w:rsidP="00384190">
      <w:pPr>
        <w:ind w:left="851"/>
        <w:rPr>
          <w:sz w:val="24"/>
          <w:szCs w:val="24"/>
        </w:rPr>
      </w:pPr>
      <w:r w:rsidRPr="00384190">
        <w:rPr>
          <w:sz w:val="24"/>
          <w:szCs w:val="24"/>
        </w:rPr>
        <w:t xml:space="preserve">Injektions-/infusionsvæske, opløsning </w:t>
      </w:r>
    </w:p>
    <w:p w14:paraId="3C7BCA5C" w14:textId="77777777" w:rsidR="009C646A" w:rsidRPr="00384190" w:rsidRDefault="009C646A" w:rsidP="00384190">
      <w:pPr>
        <w:ind w:left="851"/>
        <w:rPr>
          <w:sz w:val="24"/>
          <w:szCs w:val="24"/>
        </w:rPr>
      </w:pPr>
      <w:bookmarkStart w:id="0" w:name="_Hlk90036817"/>
      <w:r w:rsidRPr="00384190">
        <w:rPr>
          <w:sz w:val="24"/>
          <w:szCs w:val="24"/>
        </w:rPr>
        <w:t>Klar, farveløs til næsten farveløs opløsning, praktisk taget fri for synlige partikler.</w:t>
      </w:r>
    </w:p>
    <w:bookmarkEnd w:id="0"/>
    <w:p w14:paraId="740EF4C6" w14:textId="77777777" w:rsidR="009C646A" w:rsidRPr="00384190" w:rsidRDefault="009C646A" w:rsidP="00384190">
      <w:pPr>
        <w:ind w:left="851"/>
        <w:rPr>
          <w:sz w:val="24"/>
          <w:szCs w:val="24"/>
        </w:rPr>
      </w:pPr>
      <w:r w:rsidRPr="00384190">
        <w:rPr>
          <w:sz w:val="24"/>
          <w:szCs w:val="24"/>
        </w:rPr>
        <w:t>Opløsningens pH-værdi 5,5-7,0.</w:t>
      </w:r>
    </w:p>
    <w:p w14:paraId="7CD14976" w14:textId="77777777" w:rsidR="009C646A" w:rsidRPr="00384190" w:rsidRDefault="009C646A" w:rsidP="00384190">
      <w:pPr>
        <w:ind w:left="851"/>
        <w:rPr>
          <w:sz w:val="24"/>
          <w:szCs w:val="24"/>
        </w:rPr>
      </w:pPr>
      <w:proofErr w:type="spellStart"/>
      <w:r w:rsidRPr="00384190">
        <w:rPr>
          <w:sz w:val="24"/>
          <w:szCs w:val="24"/>
        </w:rPr>
        <w:t>Osmolalitet</w:t>
      </w:r>
      <w:proofErr w:type="spellEnd"/>
      <w:r w:rsidRPr="00384190">
        <w:rPr>
          <w:sz w:val="24"/>
          <w:szCs w:val="24"/>
        </w:rPr>
        <w:t xml:space="preserve"> 700-830 </w:t>
      </w:r>
      <w:proofErr w:type="spellStart"/>
      <w:r w:rsidRPr="00384190">
        <w:rPr>
          <w:sz w:val="24"/>
          <w:szCs w:val="24"/>
        </w:rPr>
        <w:t>mOsmol</w:t>
      </w:r>
      <w:proofErr w:type="spellEnd"/>
      <w:r w:rsidRPr="00384190">
        <w:rPr>
          <w:sz w:val="24"/>
          <w:szCs w:val="24"/>
        </w:rPr>
        <w:t>/kg</w:t>
      </w:r>
    </w:p>
    <w:p w14:paraId="5CC59D9A" w14:textId="77777777" w:rsidR="009260DE" w:rsidRPr="00384190" w:rsidRDefault="009260DE" w:rsidP="009260DE">
      <w:pPr>
        <w:tabs>
          <w:tab w:val="left" w:pos="851"/>
        </w:tabs>
        <w:ind w:left="851"/>
        <w:rPr>
          <w:sz w:val="24"/>
          <w:szCs w:val="24"/>
        </w:rPr>
      </w:pPr>
    </w:p>
    <w:p w14:paraId="243BF643" w14:textId="77777777" w:rsidR="009260DE" w:rsidRPr="00384190" w:rsidRDefault="009260DE" w:rsidP="009260DE">
      <w:pPr>
        <w:tabs>
          <w:tab w:val="left" w:pos="851"/>
        </w:tabs>
        <w:ind w:left="851"/>
        <w:rPr>
          <w:sz w:val="24"/>
          <w:szCs w:val="24"/>
        </w:rPr>
      </w:pPr>
    </w:p>
    <w:p w14:paraId="2B632F99" w14:textId="77777777" w:rsidR="009260DE" w:rsidRPr="00384190" w:rsidRDefault="009260DE" w:rsidP="009260DE">
      <w:pPr>
        <w:tabs>
          <w:tab w:val="left" w:pos="851"/>
        </w:tabs>
        <w:ind w:left="851" w:hanging="851"/>
        <w:rPr>
          <w:b/>
          <w:sz w:val="24"/>
          <w:szCs w:val="24"/>
        </w:rPr>
      </w:pPr>
      <w:r w:rsidRPr="00384190">
        <w:rPr>
          <w:b/>
          <w:sz w:val="24"/>
          <w:szCs w:val="24"/>
        </w:rPr>
        <w:t>4.</w:t>
      </w:r>
      <w:r w:rsidRPr="00384190">
        <w:rPr>
          <w:b/>
          <w:sz w:val="24"/>
          <w:szCs w:val="24"/>
        </w:rPr>
        <w:tab/>
        <w:t>KLINISKE OPLYSNINGER</w:t>
      </w:r>
    </w:p>
    <w:p w14:paraId="1725D075" w14:textId="77777777" w:rsidR="009260DE" w:rsidRPr="00384190" w:rsidRDefault="009260DE" w:rsidP="009260DE">
      <w:pPr>
        <w:tabs>
          <w:tab w:val="left" w:pos="851"/>
        </w:tabs>
        <w:ind w:left="851"/>
        <w:rPr>
          <w:b/>
          <w:sz w:val="24"/>
          <w:szCs w:val="24"/>
        </w:rPr>
      </w:pPr>
    </w:p>
    <w:p w14:paraId="20BAE41C" w14:textId="77777777" w:rsidR="009260DE" w:rsidRPr="00384190" w:rsidRDefault="009260DE" w:rsidP="009260DE">
      <w:pPr>
        <w:tabs>
          <w:tab w:val="left" w:pos="851"/>
        </w:tabs>
        <w:ind w:left="851" w:hanging="851"/>
        <w:rPr>
          <w:b/>
          <w:sz w:val="24"/>
          <w:szCs w:val="24"/>
          <w:u w:val="single"/>
        </w:rPr>
      </w:pPr>
      <w:r w:rsidRPr="00384190">
        <w:rPr>
          <w:b/>
          <w:sz w:val="24"/>
          <w:szCs w:val="24"/>
        </w:rPr>
        <w:t>4.1</w:t>
      </w:r>
      <w:r w:rsidRPr="00384190">
        <w:rPr>
          <w:b/>
          <w:sz w:val="24"/>
          <w:szCs w:val="24"/>
        </w:rPr>
        <w:tab/>
        <w:t>Terapeutiske indikationer</w:t>
      </w:r>
    </w:p>
    <w:p w14:paraId="1844FB4B" w14:textId="0C576602" w:rsidR="009C646A" w:rsidRPr="00384190" w:rsidRDefault="009C646A" w:rsidP="00384190">
      <w:pPr>
        <w:ind w:left="851"/>
        <w:rPr>
          <w:sz w:val="24"/>
          <w:szCs w:val="24"/>
        </w:rPr>
      </w:pPr>
      <w:proofErr w:type="spellStart"/>
      <w:r w:rsidRPr="00384190">
        <w:rPr>
          <w:sz w:val="24"/>
          <w:szCs w:val="24"/>
        </w:rPr>
        <w:t>Clindamycin</w:t>
      </w:r>
      <w:proofErr w:type="spellEnd"/>
      <w:r w:rsidRPr="00384190">
        <w:rPr>
          <w:sz w:val="24"/>
          <w:szCs w:val="24"/>
        </w:rPr>
        <w:t xml:space="preserve"> </w:t>
      </w:r>
      <w:r w:rsidR="00805C1C">
        <w:rPr>
          <w:sz w:val="24"/>
          <w:szCs w:val="24"/>
        </w:rPr>
        <w:t>"</w:t>
      </w:r>
      <w:proofErr w:type="spellStart"/>
      <w:r w:rsidR="00805C1C">
        <w:rPr>
          <w:sz w:val="24"/>
          <w:szCs w:val="24"/>
        </w:rPr>
        <w:t>Kalceks</w:t>
      </w:r>
      <w:proofErr w:type="spellEnd"/>
      <w:r w:rsidR="00805C1C">
        <w:rPr>
          <w:sz w:val="24"/>
          <w:szCs w:val="24"/>
        </w:rPr>
        <w:t>"</w:t>
      </w:r>
      <w:r w:rsidRPr="00384190">
        <w:rPr>
          <w:sz w:val="24"/>
          <w:szCs w:val="24"/>
        </w:rPr>
        <w:t xml:space="preserve"> er indiceret til behandling af </w:t>
      </w:r>
      <w:bookmarkStart w:id="1" w:name="_Hlk165023386"/>
      <w:r w:rsidRPr="00384190">
        <w:rPr>
          <w:sz w:val="24"/>
          <w:szCs w:val="24"/>
        </w:rPr>
        <w:t xml:space="preserve">følgende alvorlige infektioner forårsaget af </w:t>
      </w:r>
      <w:proofErr w:type="spellStart"/>
      <w:r w:rsidRPr="00384190">
        <w:rPr>
          <w:sz w:val="24"/>
          <w:szCs w:val="24"/>
        </w:rPr>
        <w:t>clindamycinfølsomme</w:t>
      </w:r>
      <w:proofErr w:type="spellEnd"/>
      <w:r w:rsidRPr="00384190">
        <w:rPr>
          <w:sz w:val="24"/>
          <w:szCs w:val="24"/>
        </w:rPr>
        <w:t xml:space="preserve"> mikroorganismer hos voksne samt børn over 1 måned </w:t>
      </w:r>
      <w:bookmarkEnd w:id="1"/>
      <w:r w:rsidRPr="00384190">
        <w:rPr>
          <w:sz w:val="24"/>
          <w:szCs w:val="24"/>
        </w:rPr>
        <w:t>(se pkt. 4.2 og 5.1):</w:t>
      </w:r>
    </w:p>
    <w:p w14:paraId="29692591" w14:textId="77777777" w:rsidR="009C646A" w:rsidRPr="00384190" w:rsidRDefault="009C646A" w:rsidP="00384190">
      <w:pPr>
        <w:ind w:left="851"/>
        <w:rPr>
          <w:sz w:val="24"/>
          <w:szCs w:val="24"/>
        </w:rPr>
      </w:pPr>
    </w:p>
    <w:p w14:paraId="41D303CB" w14:textId="77777777" w:rsidR="009C646A" w:rsidRPr="00384190" w:rsidRDefault="009C646A" w:rsidP="00384190">
      <w:pPr>
        <w:pStyle w:val="Listeafsnit"/>
        <w:numPr>
          <w:ilvl w:val="0"/>
          <w:numId w:val="9"/>
        </w:numPr>
        <w:ind w:left="1276" w:hanging="425"/>
        <w:rPr>
          <w:sz w:val="24"/>
          <w:szCs w:val="24"/>
        </w:rPr>
      </w:pPr>
      <w:r w:rsidRPr="00384190">
        <w:rPr>
          <w:sz w:val="24"/>
          <w:szCs w:val="24"/>
        </w:rPr>
        <w:t xml:space="preserve">Knogle- og </w:t>
      </w:r>
      <w:proofErr w:type="spellStart"/>
      <w:r w:rsidRPr="00384190">
        <w:rPr>
          <w:sz w:val="24"/>
          <w:szCs w:val="24"/>
        </w:rPr>
        <w:t>ledinfektioner</w:t>
      </w:r>
      <w:proofErr w:type="spellEnd"/>
    </w:p>
    <w:p w14:paraId="57454D99" w14:textId="77777777" w:rsidR="009C646A" w:rsidRPr="00384190" w:rsidRDefault="009C646A" w:rsidP="00384190">
      <w:pPr>
        <w:pStyle w:val="Listeafsnit"/>
        <w:numPr>
          <w:ilvl w:val="0"/>
          <w:numId w:val="9"/>
        </w:numPr>
        <w:ind w:left="1276" w:hanging="425"/>
        <w:rPr>
          <w:sz w:val="24"/>
          <w:szCs w:val="24"/>
        </w:rPr>
      </w:pPr>
      <w:r w:rsidRPr="00384190">
        <w:rPr>
          <w:sz w:val="24"/>
          <w:szCs w:val="24"/>
        </w:rPr>
        <w:t xml:space="preserve">Kronisk bihulebetændelse </w:t>
      </w:r>
      <w:bookmarkStart w:id="2" w:name="_Hlk165023416"/>
      <w:r w:rsidRPr="00384190">
        <w:rPr>
          <w:sz w:val="24"/>
          <w:szCs w:val="24"/>
        </w:rPr>
        <w:t>forårsaget af anaerobe mikroorganismer</w:t>
      </w:r>
      <w:bookmarkEnd w:id="2"/>
    </w:p>
    <w:p w14:paraId="18BED208" w14:textId="77777777" w:rsidR="009C646A" w:rsidRPr="00384190" w:rsidRDefault="009C646A" w:rsidP="00384190">
      <w:pPr>
        <w:pStyle w:val="Listeafsnit"/>
        <w:numPr>
          <w:ilvl w:val="0"/>
          <w:numId w:val="9"/>
        </w:numPr>
        <w:ind w:left="1276" w:hanging="425"/>
        <w:rPr>
          <w:sz w:val="24"/>
          <w:szCs w:val="24"/>
        </w:rPr>
      </w:pPr>
      <w:r w:rsidRPr="00384190">
        <w:rPr>
          <w:sz w:val="24"/>
          <w:szCs w:val="24"/>
        </w:rPr>
        <w:t>Infektioner i de nedre luftveje</w:t>
      </w:r>
    </w:p>
    <w:p w14:paraId="6B8C4283" w14:textId="77777777" w:rsidR="009C646A" w:rsidRPr="00384190" w:rsidRDefault="009C646A" w:rsidP="00384190">
      <w:pPr>
        <w:pStyle w:val="Listeafsnit"/>
        <w:numPr>
          <w:ilvl w:val="0"/>
          <w:numId w:val="9"/>
        </w:numPr>
        <w:ind w:left="1276" w:hanging="425"/>
        <w:rPr>
          <w:sz w:val="24"/>
          <w:szCs w:val="24"/>
        </w:rPr>
      </w:pPr>
      <w:r w:rsidRPr="00384190">
        <w:rPr>
          <w:sz w:val="24"/>
          <w:szCs w:val="24"/>
        </w:rPr>
        <w:lastRenderedPageBreak/>
        <w:t xml:space="preserve">Komplicerede </w:t>
      </w:r>
      <w:proofErr w:type="spellStart"/>
      <w:r w:rsidRPr="00384190">
        <w:rPr>
          <w:sz w:val="24"/>
          <w:szCs w:val="24"/>
        </w:rPr>
        <w:t>intraabdominale</w:t>
      </w:r>
      <w:proofErr w:type="spellEnd"/>
      <w:r w:rsidRPr="00384190">
        <w:rPr>
          <w:sz w:val="24"/>
          <w:szCs w:val="24"/>
        </w:rPr>
        <w:t xml:space="preserve"> infektioner</w:t>
      </w:r>
    </w:p>
    <w:p w14:paraId="7EE091F9" w14:textId="77777777" w:rsidR="009C646A" w:rsidRPr="00384190" w:rsidRDefault="009C646A" w:rsidP="00384190">
      <w:pPr>
        <w:pStyle w:val="Listeafsnit"/>
        <w:numPr>
          <w:ilvl w:val="0"/>
          <w:numId w:val="9"/>
        </w:numPr>
        <w:ind w:left="1276" w:hanging="425"/>
        <w:rPr>
          <w:sz w:val="24"/>
          <w:szCs w:val="24"/>
        </w:rPr>
      </w:pPr>
      <w:r w:rsidRPr="00384190">
        <w:rPr>
          <w:sz w:val="24"/>
          <w:szCs w:val="24"/>
        </w:rPr>
        <w:t>Infektioner i bækken og kvindelige kønsorganer</w:t>
      </w:r>
    </w:p>
    <w:p w14:paraId="084CFD5D" w14:textId="77777777" w:rsidR="009C646A" w:rsidRPr="00384190" w:rsidRDefault="009C646A" w:rsidP="00384190">
      <w:pPr>
        <w:pStyle w:val="Listeafsnit"/>
        <w:numPr>
          <w:ilvl w:val="0"/>
          <w:numId w:val="9"/>
        </w:numPr>
        <w:ind w:left="1276" w:hanging="425"/>
        <w:rPr>
          <w:sz w:val="24"/>
          <w:szCs w:val="24"/>
        </w:rPr>
      </w:pPr>
      <w:r w:rsidRPr="00384190">
        <w:rPr>
          <w:sz w:val="24"/>
          <w:szCs w:val="24"/>
        </w:rPr>
        <w:t>Komplicerede hud- og bløddelsinfektioner.</w:t>
      </w:r>
    </w:p>
    <w:p w14:paraId="0CA08EA9" w14:textId="77777777" w:rsidR="009C646A" w:rsidRPr="00384190" w:rsidRDefault="009C646A" w:rsidP="00384190">
      <w:pPr>
        <w:ind w:left="851"/>
        <w:rPr>
          <w:sz w:val="24"/>
          <w:szCs w:val="24"/>
        </w:rPr>
      </w:pPr>
    </w:p>
    <w:p w14:paraId="068DB3E1" w14:textId="2F33419F" w:rsidR="009C646A" w:rsidRPr="00384190" w:rsidRDefault="009C646A" w:rsidP="00384190">
      <w:pPr>
        <w:ind w:left="851"/>
        <w:rPr>
          <w:sz w:val="24"/>
          <w:szCs w:val="24"/>
        </w:rPr>
      </w:pPr>
      <w:proofErr w:type="spellStart"/>
      <w:r w:rsidRPr="00384190">
        <w:rPr>
          <w:sz w:val="24"/>
          <w:szCs w:val="24"/>
        </w:rPr>
        <w:t>Clindamycin</w:t>
      </w:r>
      <w:proofErr w:type="spellEnd"/>
      <w:r w:rsidRPr="00384190">
        <w:rPr>
          <w:sz w:val="24"/>
          <w:szCs w:val="24"/>
        </w:rPr>
        <w:t xml:space="preserve"> </w:t>
      </w:r>
      <w:r w:rsidR="00805C1C">
        <w:rPr>
          <w:sz w:val="24"/>
          <w:szCs w:val="24"/>
        </w:rPr>
        <w:t>"</w:t>
      </w:r>
      <w:proofErr w:type="spellStart"/>
      <w:r w:rsidR="00805C1C">
        <w:rPr>
          <w:sz w:val="24"/>
          <w:szCs w:val="24"/>
        </w:rPr>
        <w:t>Kalceks</w:t>
      </w:r>
      <w:proofErr w:type="spellEnd"/>
      <w:r w:rsidR="00805C1C">
        <w:rPr>
          <w:sz w:val="24"/>
          <w:szCs w:val="24"/>
        </w:rPr>
        <w:t>"</w:t>
      </w:r>
      <w:r w:rsidRPr="00384190">
        <w:rPr>
          <w:sz w:val="24"/>
          <w:szCs w:val="24"/>
        </w:rPr>
        <w:t xml:space="preserve"> kan anvendes til profylakse ved kirurgi i tilfælde af allergi over for beta</w:t>
      </w:r>
      <w:r w:rsidRPr="00384190">
        <w:rPr>
          <w:sz w:val="24"/>
          <w:szCs w:val="24"/>
        </w:rPr>
        <w:noBreakHyphen/>
      </w:r>
      <w:proofErr w:type="spellStart"/>
      <w:r w:rsidRPr="00384190">
        <w:rPr>
          <w:sz w:val="24"/>
          <w:szCs w:val="24"/>
        </w:rPr>
        <w:t>lactamer</w:t>
      </w:r>
      <w:proofErr w:type="spellEnd"/>
      <w:r w:rsidRPr="00384190">
        <w:rPr>
          <w:sz w:val="24"/>
          <w:szCs w:val="24"/>
        </w:rPr>
        <w:t>.</w:t>
      </w:r>
    </w:p>
    <w:p w14:paraId="053A60FC" w14:textId="77777777" w:rsidR="009C646A" w:rsidRPr="00384190" w:rsidRDefault="009C646A" w:rsidP="00384190">
      <w:pPr>
        <w:ind w:left="851"/>
        <w:rPr>
          <w:sz w:val="24"/>
          <w:szCs w:val="24"/>
        </w:rPr>
      </w:pPr>
    </w:p>
    <w:p w14:paraId="2BA75766" w14:textId="77777777" w:rsidR="009C646A" w:rsidRPr="00384190" w:rsidRDefault="009C646A" w:rsidP="00384190">
      <w:pPr>
        <w:ind w:left="851"/>
        <w:rPr>
          <w:sz w:val="24"/>
          <w:szCs w:val="24"/>
        </w:rPr>
      </w:pPr>
      <w:r w:rsidRPr="00384190">
        <w:rPr>
          <w:sz w:val="24"/>
          <w:szCs w:val="24"/>
        </w:rPr>
        <w:t>Behandlingen skal ske under hensyntagen til officielle retningslinjer for hensigtsmæssig brug af antibakterielle midler.</w:t>
      </w:r>
    </w:p>
    <w:p w14:paraId="3CED34BE" w14:textId="77777777" w:rsidR="009260DE" w:rsidRPr="00384190" w:rsidRDefault="009260DE" w:rsidP="009260DE">
      <w:pPr>
        <w:tabs>
          <w:tab w:val="left" w:pos="851"/>
        </w:tabs>
        <w:ind w:left="851"/>
        <w:rPr>
          <w:sz w:val="24"/>
          <w:szCs w:val="24"/>
        </w:rPr>
      </w:pPr>
    </w:p>
    <w:p w14:paraId="730D30CA" w14:textId="77777777" w:rsidR="009260DE" w:rsidRPr="00384190" w:rsidRDefault="009260DE" w:rsidP="009260DE">
      <w:pPr>
        <w:tabs>
          <w:tab w:val="left" w:pos="851"/>
        </w:tabs>
        <w:ind w:left="851" w:hanging="851"/>
        <w:rPr>
          <w:b/>
          <w:sz w:val="24"/>
          <w:szCs w:val="24"/>
        </w:rPr>
      </w:pPr>
      <w:r w:rsidRPr="00384190">
        <w:rPr>
          <w:b/>
          <w:sz w:val="24"/>
          <w:szCs w:val="24"/>
        </w:rPr>
        <w:t>4.2</w:t>
      </w:r>
      <w:r w:rsidRPr="00384190">
        <w:rPr>
          <w:b/>
          <w:sz w:val="24"/>
          <w:szCs w:val="24"/>
        </w:rPr>
        <w:tab/>
        <w:t xml:space="preserve">Dosering og </w:t>
      </w:r>
      <w:r w:rsidR="002C1EC0" w:rsidRPr="00384190">
        <w:rPr>
          <w:b/>
          <w:sz w:val="24"/>
          <w:szCs w:val="24"/>
        </w:rPr>
        <w:t>administration</w:t>
      </w:r>
    </w:p>
    <w:p w14:paraId="0607D62E" w14:textId="77777777" w:rsidR="009C646A" w:rsidRPr="00384190" w:rsidRDefault="009C646A" w:rsidP="00384190">
      <w:pPr>
        <w:ind w:left="851"/>
        <w:rPr>
          <w:sz w:val="24"/>
          <w:szCs w:val="24"/>
        </w:rPr>
      </w:pPr>
      <w:r w:rsidRPr="00384190">
        <w:rPr>
          <w:sz w:val="24"/>
          <w:szCs w:val="24"/>
        </w:rPr>
        <w:t>Dosis og administration bør fastlægges afhængigt af infektionens sværhedsgrad, patientens tilstand og følsomheden af den mikroorganisme, der forårsager sygdommen. Lokale retningslinjer skal inkluderes i overvejelsen.</w:t>
      </w:r>
    </w:p>
    <w:p w14:paraId="75B04E17" w14:textId="77777777" w:rsidR="009C646A" w:rsidRPr="00384190" w:rsidRDefault="009C646A" w:rsidP="00384190">
      <w:pPr>
        <w:ind w:left="851"/>
        <w:rPr>
          <w:sz w:val="24"/>
          <w:szCs w:val="24"/>
        </w:rPr>
      </w:pPr>
    </w:p>
    <w:p w14:paraId="07B0CF15" w14:textId="77777777" w:rsidR="009C646A" w:rsidRPr="00384190" w:rsidRDefault="009C646A" w:rsidP="00384190">
      <w:pPr>
        <w:ind w:left="851"/>
        <w:rPr>
          <w:sz w:val="24"/>
          <w:szCs w:val="24"/>
          <w:u w:val="single"/>
        </w:rPr>
      </w:pPr>
      <w:r w:rsidRPr="00384190">
        <w:rPr>
          <w:sz w:val="24"/>
          <w:szCs w:val="24"/>
          <w:u w:val="single"/>
        </w:rPr>
        <w:t>Dosering</w:t>
      </w:r>
    </w:p>
    <w:p w14:paraId="2504FC86" w14:textId="77777777" w:rsidR="009C646A" w:rsidRPr="00384190" w:rsidRDefault="009C646A" w:rsidP="00384190">
      <w:pPr>
        <w:ind w:left="851"/>
        <w:rPr>
          <w:sz w:val="24"/>
          <w:szCs w:val="24"/>
        </w:rPr>
      </w:pPr>
    </w:p>
    <w:p w14:paraId="4B585461" w14:textId="77777777" w:rsidR="009C646A" w:rsidRPr="00384190" w:rsidRDefault="009C646A" w:rsidP="00384190">
      <w:pPr>
        <w:ind w:left="851"/>
        <w:rPr>
          <w:b/>
          <w:i/>
          <w:sz w:val="24"/>
          <w:szCs w:val="24"/>
        </w:rPr>
      </w:pPr>
      <w:r w:rsidRPr="00384190">
        <w:rPr>
          <w:b/>
          <w:i/>
          <w:sz w:val="24"/>
          <w:szCs w:val="24"/>
        </w:rPr>
        <w:t>Voksne</w:t>
      </w:r>
    </w:p>
    <w:p w14:paraId="16A9F3D1" w14:textId="77777777" w:rsidR="009C646A" w:rsidRPr="00384190" w:rsidRDefault="009C646A" w:rsidP="00384190">
      <w:pPr>
        <w:ind w:left="851"/>
        <w:rPr>
          <w:iCs/>
          <w:sz w:val="24"/>
          <w:szCs w:val="24"/>
        </w:rPr>
      </w:pPr>
      <w:r w:rsidRPr="00384190">
        <w:rPr>
          <w:sz w:val="24"/>
          <w:szCs w:val="24"/>
        </w:rPr>
        <w:t>Intramuskulær eller intravenøs administration: 1200</w:t>
      </w:r>
      <w:r w:rsidRPr="00384190">
        <w:rPr>
          <w:sz w:val="24"/>
          <w:szCs w:val="24"/>
        </w:rPr>
        <w:noBreakHyphen/>
        <w:t>2700 mg/døgn fordelt på 2</w:t>
      </w:r>
      <w:r w:rsidRPr="00384190">
        <w:rPr>
          <w:sz w:val="24"/>
          <w:szCs w:val="24"/>
        </w:rPr>
        <w:noBreakHyphen/>
        <w:t>4 doser.</w:t>
      </w:r>
    </w:p>
    <w:p w14:paraId="10FB65F5" w14:textId="77777777" w:rsidR="009C646A" w:rsidRPr="00384190" w:rsidRDefault="009C646A" w:rsidP="00384190">
      <w:pPr>
        <w:ind w:left="851"/>
        <w:rPr>
          <w:iCs/>
          <w:sz w:val="24"/>
          <w:szCs w:val="24"/>
        </w:rPr>
      </w:pPr>
    </w:p>
    <w:p w14:paraId="178310FE" w14:textId="77777777" w:rsidR="009C646A" w:rsidRPr="00384190" w:rsidRDefault="009C646A" w:rsidP="00384190">
      <w:pPr>
        <w:ind w:left="851"/>
        <w:rPr>
          <w:sz w:val="24"/>
          <w:szCs w:val="24"/>
        </w:rPr>
      </w:pPr>
      <w:r w:rsidRPr="00384190">
        <w:rPr>
          <w:sz w:val="24"/>
          <w:szCs w:val="24"/>
        </w:rPr>
        <w:t xml:space="preserve">Den sædvanlige dosis for infektioner i det </w:t>
      </w:r>
      <w:proofErr w:type="spellStart"/>
      <w:r w:rsidRPr="00384190">
        <w:rPr>
          <w:sz w:val="24"/>
          <w:szCs w:val="24"/>
        </w:rPr>
        <w:t>intraabdominale</w:t>
      </w:r>
      <w:proofErr w:type="spellEnd"/>
      <w:r w:rsidRPr="00384190">
        <w:rPr>
          <w:sz w:val="24"/>
          <w:szCs w:val="24"/>
        </w:rPr>
        <w:t xml:space="preserve"> område, bækkenet hos kvinder eller andre svære infektioner er 2400</w:t>
      </w:r>
      <w:r w:rsidRPr="00384190">
        <w:rPr>
          <w:sz w:val="24"/>
          <w:szCs w:val="24"/>
        </w:rPr>
        <w:noBreakHyphen/>
        <w:t xml:space="preserve">2700 mg/døgn </w:t>
      </w:r>
      <w:proofErr w:type="spellStart"/>
      <w:r w:rsidRPr="00384190">
        <w:rPr>
          <w:sz w:val="24"/>
          <w:szCs w:val="24"/>
        </w:rPr>
        <w:t>i.v</w:t>
      </w:r>
      <w:proofErr w:type="spellEnd"/>
      <w:r w:rsidRPr="00384190">
        <w:rPr>
          <w:sz w:val="24"/>
          <w:szCs w:val="24"/>
        </w:rPr>
        <w:t xml:space="preserve">. eller </w:t>
      </w:r>
      <w:proofErr w:type="spellStart"/>
      <w:r w:rsidRPr="00384190">
        <w:rPr>
          <w:sz w:val="24"/>
          <w:szCs w:val="24"/>
        </w:rPr>
        <w:t>i.m</w:t>
      </w:r>
      <w:proofErr w:type="spellEnd"/>
      <w:r w:rsidRPr="00384190">
        <w:rPr>
          <w:sz w:val="24"/>
          <w:szCs w:val="24"/>
        </w:rPr>
        <w:t xml:space="preserve">. administreret i 2, 3 eller 4 lige store doser (uden at overskride den maksimalt anbefalede enkeltdosis på 1200 mg </w:t>
      </w:r>
      <w:proofErr w:type="spellStart"/>
      <w:r w:rsidRPr="00384190">
        <w:rPr>
          <w:sz w:val="24"/>
          <w:szCs w:val="24"/>
        </w:rPr>
        <w:t>i.v</w:t>
      </w:r>
      <w:proofErr w:type="spellEnd"/>
      <w:r w:rsidRPr="00384190">
        <w:rPr>
          <w:sz w:val="24"/>
          <w:szCs w:val="24"/>
        </w:rPr>
        <w:t xml:space="preserve">. eller 600 mg </w:t>
      </w:r>
      <w:proofErr w:type="spellStart"/>
      <w:r w:rsidRPr="00384190">
        <w:rPr>
          <w:sz w:val="24"/>
          <w:szCs w:val="24"/>
        </w:rPr>
        <w:t>i.m</w:t>
      </w:r>
      <w:proofErr w:type="spellEnd"/>
      <w:r w:rsidRPr="00384190">
        <w:rPr>
          <w:sz w:val="24"/>
          <w:szCs w:val="24"/>
        </w:rPr>
        <w:t xml:space="preserve">.). </w:t>
      </w:r>
    </w:p>
    <w:p w14:paraId="1A2FA177" w14:textId="77777777" w:rsidR="009C646A" w:rsidRPr="00384190" w:rsidRDefault="009C646A" w:rsidP="00384190">
      <w:pPr>
        <w:ind w:left="851"/>
        <w:rPr>
          <w:sz w:val="24"/>
          <w:szCs w:val="24"/>
        </w:rPr>
      </w:pPr>
    </w:p>
    <w:p w14:paraId="305206C2" w14:textId="77777777" w:rsidR="009C646A" w:rsidRPr="00384190" w:rsidRDefault="009C646A" w:rsidP="00384190">
      <w:pPr>
        <w:ind w:left="851"/>
        <w:rPr>
          <w:sz w:val="24"/>
          <w:szCs w:val="24"/>
        </w:rPr>
      </w:pPr>
      <w:r w:rsidRPr="00384190">
        <w:rPr>
          <w:sz w:val="24"/>
          <w:szCs w:val="24"/>
        </w:rPr>
        <w:t>Til behandling af mindre komplicerede infektioner på grund af mere følsomme mikroorganismer, der kan respondere på lavere doser: dosis er 1200</w:t>
      </w:r>
      <w:r w:rsidRPr="00384190">
        <w:rPr>
          <w:sz w:val="24"/>
          <w:szCs w:val="24"/>
        </w:rPr>
        <w:noBreakHyphen/>
        <w:t xml:space="preserve">1800 mg/døgn </w:t>
      </w:r>
      <w:proofErr w:type="spellStart"/>
      <w:r w:rsidRPr="00384190">
        <w:rPr>
          <w:sz w:val="24"/>
          <w:szCs w:val="24"/>
        </w:rPr>
        <w:t>i.v</w:t>
      </w:r>
      <w:proofErr w:type="spellEnd"/>
      <w:r w:rsidRPr="00384190">
        <w:rPr>
          <w:sz w:val="24"/>
          <w:szCs w:val="24"/>
        </w:rPr>
        <w:t xml:space="preserve">. eller </w:t>
      </w:r>
      <w:proofErr w:type="spellStart"/>
      <w:r w:rsidRPr="00384190">
        <w:rPr>
          <w:sz w:val="24"/>
          <w:szCs w:val="24"/>
        </w:rPr>
        <w:t>i.m</w:t>
      </w:r>
      <w:proofErr w:type="spellEnd"/>
      <w:r w:rsidRPr="00384190">
        <w:rPr>
          <w:sz w:val="24"/>
          <w:szCs w:val="24"/>
        </w:rPr>
        <w:t>. administreret i 3 eller 4 lige store doser.</w:t>
      </w:r>
    </w:p>
    <w:p w14:paraId="55DA009D" w14:textId="77777777" w:rsidR="009C646A" w:rsidRPr="00384190" w:rsidRDefault="009C646A" w:rsidP="00384190">
      <w:pPr>
        <w:ind w:left="851"/>
        <w:rPr>
          <w:sz w:val="24"/>
          <w:szCs w:val="24"/>
        </w:rPr>
      </w:pPr>
    </w:p>
    <w:p w14:paraId="27567375" w14:textId="77777777" w:rsidR="009C646A" w:rsidRPr="00384190" w:rsidRDefault="009C646A" w:rsidP="00384190">
      <w:pPr>
        <w:ind w:left="851"/>
        <w:rPr>
          <w:sz w:val="24"/>
          <w:szCs w:val="24"/>
        </w:rPr>
      </w:pPr>
      <w:r w:rsidRPr="00384190">
        <w:rPr>
          <w:sz w:val="24"/>
          <w:szCs w:val="24"/>
        </w:rPr>
        <w:t>Ved livstruende infektioner kan den intravenøse dosis øges op til 4800 mg/døgn.</w:t>
      </w:r>
    </w:p>
    <w:p w14:paraId="3A9822FA" w14:textId="77777777" w:rsidR="009C646A" w:rsidRPr="00384190" w:rsidRDefault="009C646A" w:rsidP="00384190">
      <w:pPr>
        <w:ind w:left="851"/>
        <w:rPr>
          <w:sz w:val="24"/>
          <w:szCs w:val="24"/>
        </w:rPr>
      </w:pPr>
    </w:p>
    <w:p w14:paraId="798291A1" w14:textId="77777777" w:rsidR="009C646A" w:rsidRPr="00384190" w:rsidRDefault="009C646A" w:rsidP="00384190">
      <w:pPr>
        <w:ind w:left="851"/>
        <w:rPr>
          <w:i/>
          <w:iCs/>
          <w:sz w:val="24"/>
          <w:szCs w:val="24"/>
        </w:rPr>
      </w:pPr>
      <w:r w:rsidRPr="00384190">
        <w:rPr>
          <w:i/>
          <w:sz w:val="24"/>
          <w:szCs w:val="24"/>
        </w:rPr>
        <w:t>Profylakse ved kirurgi</w:t>
      </w:r>
    </w:p>
    <w:p w14:paraId="2119D243" w14:textId="77777777" w:rsidR="009C646A" w:rsidRPr="00384190" w:rsidRDefault="009C646A" w:rsidP="00384190">
      <w:pPr>
        <w:ind w:left="851"/>
        <w:rPr>
          <w:sz w:val="24"/>
          <w:szCs w:val="24"/>
        </w:rPr>
      </w:pPr>
      <w:r w:rsidRPr="00384190">
        <w:rPr>
          <w:sz w:val="24"/>
          <w:szCs w:val="24"/>
        </w:rPr>
        <w:t>Dosis bør fastlægges afhængigt af typen og varigheden af det kirurgiske indgreb.</w:t>
      </w:r>
    </w:p>
    <w:p w14:paraId="76A42915" w14:textId="77777777" w:rsidR="009C646A" w:rsidRPr="00384190" w:rsidRDefault="009C646A" w:rsidP="00384190">
      <w:pPr>
        <w:ind w:left="851"/>
        <w:rPr>
          <w:sz w:val="24"/>
          <w:szCs w:val="24"/>
        </w:rPr>
      </w:pPr>
      <w:r w:rsidRPr="00384190">
        <w:rPr>
          <w:sz w:val="24"/>
          <w:szCs w:val="24"/>
        </w:rPr>
        <w:t>Den sædvanlige dosis er 600-900 mg hver 4.-8. time indtil operationens afslutning.</w:t>
      </w:r>
    </w:p>
    <w:p w14:paraId="12C8F52E" w14:textId="77777777" w:rsidR="009C646A" w:rsidRPr="00384190" w:rsidRDefault="009C646A" w:rsidP="00384190">
      <w:pPr>
        <w:ind w:left="851"/>
        <w:rPr>
          <w:sz w:val="24"/>
          <w:szCs w:val="24"/>
        </w:rPr>
      </w:pPr>
    </w:p>
    <w:p w14:paraId="4272A493" w14:textId="77777777" w:rsidR="009C646A" w:rsidRPr="00384190" w:rsidRDefault="009C646A" w:rsidP="00384190">
      <w:pPr>
        <w:ind w:left="851"/>
        <w:rPr>
          <w:b/>
          <w:bCs/>
          <w:i/>
          <w:sz w:val="24"/>
          <w:szCs w:val="24"/>
        </w:rPr>
      </w:pPr>
      <w:r w:rsidRPr="00384190">
        <w:rPr>
          <w:b/>
          <w:i/>
          <w:sz w:val="24"/>
          <w:szCs w:val="24"/>
        </w:rPr>
        <w:t>Pædiatrisk population</w:t>
      </w:r>
    </w:p>
    <w:p w14:paraId="43208474" w14:textId="77777777" w:rsidR="009C646A" w:rsidRPr="00384190" w:rsidRDefault="009C646A" w:rsidP="00384190">
      <w:pPr>
        <w:ind w:left="851"/>
        <w:rPr>
          <w:sz w:val="24"/>
          <w:szCs w:val="24"/>
        </w:rPr>
      </w:pPr>
    </w:p>
    <w:p w14:paraId="518622F1" w14:textId="77777777" w:rsidR="009C646A" w:rsidRPr="00384190" w:rsidRDefault="009C646A" w:rsidP="00384190">
      <w:pPr>
        <w:ind w:left="851"/>
        <w:rPr>
          <w:i/>
          <w:iCs/>
          <w:sz w:val="24"/>
          <w:szCs w:val="24"/>
        </w:rPr>
      </w:pPr>
      <w:r w:rsidRPr="00384190">
        <w:rPr>
          <w:i/>
          <w:sz w:val="24"/>
          <w:szCs w:val="24"/>
        </w:rPr>
        <w:t>Børn over 1 måned og op til 12 år</w:t>
      </w:r>
    </w:p>
    <w:p w14:paraId="21F7585C" w14:textId="77777777" w:rsidR="009C646A" w:rsidRPr="00384190" w:rsidRDefault="009C646A" w:rsidP="00384190">
      <w:pPr>
        <w:ind w:left="851"/>
        <w:rPr>
          <w:iCs/>
          <w:sz w:val="24"/>
          <w:szCs w:val="24"/>
        </w:rPr>
      </w:pPr>
      <w:r w:rsidRPr="00384190">
        <w:rPr>
          <w:sz w:val="24"/>
          <w:szCs w:val="24"/>
        </w:rPr>
        <w:t>20</w:t>
      </w:r>
      <w:r w:rsidRPr="00384190">
        <w:rPr>
          <w:sz w:val="24"/>
          <w:szCs w:val="24"/>
        </w:rPr>
        <w:noBreakHyphen/>
        <w:t xml:space="preserve">40 mg/kg/døgn </w:t>
      </w:r>
      <w:proofErr w:type="spellStart"/>
      <w:r w:rsidRPr="00384190">
        <w:rPr>
          <w:sz w:val="24"/>
          <w:szCs w:val="24"/>
        </w:rPr>
        <w:t>i.v</w:t>
      </w:r>
      <w:proofErr w:type="spellEnd"/>
      <w:r w:rsidRPr="00384190">
        <w:rPr>
          <w:sz w:val="24"/>
          <w:szCs w:val="24"/>
        </w:rPr>
        <w:t xml:space="preserve">. eller </w:t>
      </w:r>
      <w:proofErr w:type="spellStart"/>
      <w:r w:rsidRPr="00384190">
        <w:rPr>
          <w:sz w:val="24"/>
          <w:szCs w:val="24"/>
        </w:rPr>
        <w:t>i.m</w:t>
      </w:r>
      <w:proofErr w:type="spellEnd"/>
      <w:r w:rsidRPr="00384190">
        <w:rPr>
          <w:sz w:val="24"/>
          <w:szCs w:val="24"/>
        </w:rPr>
        <w:t>. administreret i 3 eller 4 lige store doser (se pkt. 4.4).</w:t>
      </w:r>
    </w:p>
    <w:p w14:paraId="29058EF9" w14:textId="77777777" w:rsidR="009C646A" w:rsidRPr="00384190" w:rsidRDefault="009C646A" w:rsidP="00384190">
      <w:pPr>
        <w:ind w:left="851"/>
        <w:rPr>
          <w:iCs/>
          <w:sz w:val="24"/>
          <w:szCs w:val="24"/>
        </w:rPr>
      </w:pPr>
      <w:proofErr w:type="spellStart"/>
      <w:r w:rsidRPr="00384190">
        <w:rPr>
          <w:sz w:val="24"/>
          <w:szCs w:val="24"/>
        </w:rPr>
        <w:t>Clindamycin</w:t>
      </w:r>
      <w:proofErr w:type="spellEnd"/>
      <w:r w:rsidRPr="00384190">
        <w:rPr>
          <w:sz w:val="24"/>
          <w:szCs w:val="24"/>
        </w:rPr>
        <w:t>-dosis til børn skal baseres på den samlede kropsvægt uanset fedme (se pkt. 5.2). Ved alvorlige infektioner hos børn er den mindste anbefalede dosis 300 mg/døgn uanset kropsvægt. Den samlede døgndosis må ikke overstige den maksimalt anbefalede døgndosis til voksne.</w:t>
      </w:r>
    </w:p>
    <w:p w14:paraId="554AC038" w14:textId="77777777" w:rsidR="009C646A" w:rsidRPr="00384190" w:rsidRDefault="009C646A" w:rsidP="00384190">
      <w:pPr>
        <w:ind w:left="851"/>
        <w:rPr>
          <w:sz w:val="24"/>
          <w:szCs w:val="24"/>
        </w:rPr>
      </w:pPr>
    </w:p>
    <w:p w14:paraId="2FBD1569" w14:textId="77777777" w:rsidR="009C646A" w:rsidRPr="00384190" w:rsidRDefault="009C646A" w:rsidP="00384190">
      <w:pPr>
        <w:ind w:left="851"/>
        <w:rPr>
          <w:i/>
          <w:iCs/>
          <w:sz w:val="24"/>
          <w:szCs w:val="24"/>
        </w:rPr>
      </w:pPr>
      <w:r w:rsidRPr="00384190">
        <w:rPr>
          <w:i/>
          <w:sz w:val="24"/>
          <w:szCs w:val="24"/>
        </w:rPr>
        <w:t>Unge over 12</w:t>
      </w:r>
      <w:r w:rsidRPr="00384190">
        <w:rPr>
          <w:sz w:val="24"/>
          <w:szCs w:val="24"/>
        </w:rPr>
        <w:t> </w:t>
      </w:r>
      <w:r w:rsidRPr="00384190">
        <w:rPr>
          <w:i/>
          <w:sz w:val="24"/>
          <w:szCs w:val="24"/>
        </w:rPr>
        <w:t xml:space="preserve">år </w:t>
      </w:r>
    </w:p>
    <w:p w14:paraId="03EB3AA9" w14:textId="77777777" w:rsidR="009C646A" w:rsidRPr="00384190" w:rsidRDefault="009C646A" w:rsidP="00384190">
      <w:pPr>
        <w:ind w:left="851"/>
        <w:rPr>
          <w:sz w:val="24"/>
          <w:szCs w:val="24"/>
        </w:rPr>
      </w:pPr>
      <w:r w:rsidRPr="00384190">
        <w:rPr>
          <w:sz w:val="24"/>
          <w:szCs w:val="24"/>
        </w:rPr>
        <w:t>Doser til unge over 12 år skal være de samme som til voksne under hensyntagen til mulige dosisjusteringer baseret på leverfunktion. Hos undervægtige unge patienter mellem 12 og 18 år, frarådes det at overskride den maksimale dosis på 40 mg/kg/døgn. Den samlede døgndosis må ikke overstige den maksimalt anbefalede døgndosis til voksne.</w:t>
      </w:r>
    </w:p>
    <w:p w14:paraId="72360CE1" w14:textId="0BE8DC93" w:rsidR="00805C1C" w:rsidRDefault="00805C1C">
      <w:pPr>
        <w:rPr>
          <w:sz w:val="24"/>
          <w:szCs w:val="24"/>
        </w:rPr>
      </w:pPr>
      <w:r>
        <w:rPr>
          <w:sz w:val="24"/>
          <w:szCs w:val="24"/>
        </w:rPr>
        <w:br w:type="page"/>
      </w:r>
    </w:p>
    <w:p w14:paraId="7F62A9CC" w14:textId="77777777" w:rsidR="009C646A" w:rsidRPr="00384190" w:rsidRDefault="009C646A" w:rsidP="00384190">
      <w:pPr>
        <w:ind w:left="851"/>
        <w:rPr>
          <w:sz w:val="24"/>
          <w:szCs w:val="24"/>
        </w:rPr>
      </w:pPr>
    </w:p>
    <w:p w14:paraId="1E990961" w14:textId="77777777" w:rsidR="009C646A" w:rsidRPr="00384190" w:rsidRDefault="009C646A" w:rsidP="00384190">
      <w:pPr>
        <w:ind w:left="851"/>
        <w:rPr>
          <w:i/>
          <w:iCs/>
          <w:sz w:val="24"/>
          <w:szCs w:val="24"/>
        </w:rPr>
      </w:pPr>
      <w:r w:rsidRPr="00384190">
        <w:rPr>
          <w:i/>
          <w:sz w:val="24"/>
          <w:szCs w:val="24"/>
        </w:rPr>
        <w:t>Spædbørn under 1 måned</w:t>
      </w:r>
    </w:p>
    <w:p w14:paraId="7009889B" w14:textId="4DE42D2D" w:rsidR="009C646A" w:rsidRPr="00384190" w:rsidRDefault="009C646A" w:rsidP="00384190">
      <w:pPr>
        <w:ind w:left="851"/>
        <w:rPr>
          <w:color w:val="000000"/>
          <w:sz w:val="24"/>
          <w:szCs w:val="24"/>
        </w:rPr>
      </w:pPr>
      <w:proofErr w:type="spellStart"/>
      <w:r w:rsidRPr="00384190">
        <w:rPr>
          <w:sz w:val="24"/>
          <w:szCs w:val="24"/>
        </w:rPr>
        <w:t>Clindamycin</w:t>
      </w:r>
      <w:proofErr w:type="spellEnd"/>
      <w:r w:rsidRPr="00384190">
        <w:rPr>
          <w:sz w:val="24"/>
          <w:szCs w:val="24"/>
        </w:rPr>
        <w:t xml:space="preserve"> </w:t>
      </w:r>
      <w:r w:rsidR="00805C1C">
        <w:rPr>
          <w:sz w:val="24"/>
          <w:szCs w:val="24"/>
        </w:rPr>
        <w:t>"</w:t>
      </w:r>
      <w:proofErr w:type="spellStart"/>
      <w:r w:rsidR="00805C1C">
        <w:rPr>
          <w:sz w:val="24"/>
          <w:szCs w:val="24"/>
        </w:rPr>
        <w:t>Kalceks"</w:t>
      </w:r>
      <w:r w:rsidRPr="00384190">
        <w:rPr>
          <w:sz w:val="24"/>
          <w:szCs w:val="24"/>
        </w:rPr>
        <w:t>s</w:t>
      </w:r>
      <w:proofErr w:type="spellEnd"/>
      <w:r w:rsidRPr="00384190">
        <w:rPr>
          <w:sz w:val="24"/>
          <w:szCs w:val="24"/>
        </w:rPr>
        <w:t xml:space="preserve"> sikkerhed og virkning til spædbørn under 1 måned er endnu ikke klarlagt. Der foreligger ingen data.</w:t>
      </w:r>
    </w:p>
    <w:p w14:paraId="38CA8F41" w14:textId="77777777" w:rsidR="009C646A" w:rsidRPr="00384190" w:rsidRDefault="009C646A" w:rsidP="00384190">
      <w:pPr>
        <w:ind w:left="851"/>
        <w:rPr>
          <w:i/>
          <w:iCs/>
          <w:sz w:val="24"/>
          <w:szCs w:val="24"/>
        </w:rPr>
      </w:pPr>
    </w:p>
    <w:p w14:paraId="4DE68EA6" w14:textId="77777777" w:rsidR="009C646A" w:rsidRPr="00384190" w:rsidRDefault="009C646A" w:rsidP="00384190">
      <w:pPr>
        <w:ind w:left="851"/>
        <w:rPr>
          <w:b/>
          <w:i/>
          <w:iCs/>
          <w:sz w:val="24"/>
          <w:szCs w:val="24"/>
        </w:rPr>
      </w:pPr>
      <w:r w:rsidRPr="00384190">
        <w:rPr>
          <w:b/>
          <w:i/>
          <w:sz w:val="24"/>
          <w:szCs w:val="24"/>
        </w:rPr>
        <w:t>Ældre</w:t>
      </w:r>
    </w:p>
    <w:p w14:paraId="20FB4E93" w14:textId="77777777" w:rsidR="009C646A" w:rsidRPr="00384190" w:rsidRDefault="009C646A" w:rsidP="00384190">
      <w:pPr>
        <w:ind w:left="851"/>
        <w:rPr>
          <w:sz w:val="24"/>
          <w:szCs w:val="24"/>
        </w:rPr>
      </w:pPr>
      <w:r w:rsidRPr="00384190">
        <w:rPr>
          <w:sz w:val="24"/>
          <w:szCs w:val="24"/>
        </w:rPr>
        <w:t>Der kræves ingen dosisjusteringer til ældre patienter med normal lever- og nyrefunktion (se pkt. 5.2).</w:t>
      </w:r>
    </w:p>
    <w:p w14:paraId="64020FD4" w14:textId="77777777" w:rsidR="009C646A" w:rsidRPr="00384190" w:rsidRDefault="009C646A" w:rsidP="00384190">
      <w:pPr>
        <w:ind w:left="851"/>
        <w:rPr>
          <w:sz w:val="24"/>
          <w:szCs w:val="24"/>
        </w:rPr>
      </w:pPr>
    </w:p>
    <w:p w14:paraId="3E261B39" w14:textId="77777777" w:rsidR="009C646A" w:rsidRPr="00384190" w:rsidRDefault="009C646A" w:rsidP="00384190">
      <w:pPr>
        <w:ind w:left="851"/>
        <w:rPr>
          <w:b/>
          <w:i/>
          <w:sz w:val="24"/>
          <w:szCs w:val="24"/>
        </w:rPr>
      </w:pPr>
      <w:r w:rsidRPr="00384190">
        <w:rPr>
          <w:b/>
          <w:i/>
          <w:sz w:val="24"/>
          <w:szCs w:val="24"/>
        </w:rPr>
        <w:t>Nedsat leverfunktion</w:t>
      </w:r>
    </w:p>
    <w:p w14:paraId="56EF2010" w14:textId="77777777" w:rsidR="009C646A" w:rsidRPr="00384190" w:rsidRDefault="009C646A" w:rsidP="00384190">
      <w:pPr>
        <w:ind w:left="851"/>
        <w:rPr>
          <w:sz w:val="24"/>
          <w:szCs w:val="24"/>
        </w:rPr>
      </w:pPr>
      <w:r w:rsidRPr="00384190">
        <w:rPr>
          <w:sz w:val="24"/>
          <w:szCs w:val="24"/>
        </w:rPr>
        <w:t xml:space="preserve">Eliminationshalveringstiden er forlænget hos patienter med moderat til svært nedsat leverfunktion (se pkt. 4.4 og 5.2). Hvis </w:t>
      </w:r>
      <w:proofErr w:type="spellStart"/>
      <w:r w:rsidRPr="00384190">
        <w:rPr>
          <w:sz w:val="24"/>
          <w:szCs w:val="24"/>
        </w:rPr>
        <w:t>clindamycin</w:t>
      </w:r>
      <w:proofErr w:type="spellEnd"/>
      <w:r w:rsidRPr="00384190">
        <w:rPr>
          <w:sz w:val="24"/>
          <w:szCs w:val="24"/>
        </w:rPr>
        <w:t xml:space="preserve"> gives hver 8. time, ses akkumulation kun sjældent. Hos patienter med svært nedsat leverfunktion anbefales det at monitorere leverfunktionen og patientens fremskridt, og monitorering af plasmaniveauer af </w:t>
      </w:r>
      <w:proofErr w:type="spellStart"/>
      <w:r w:rsidRPr="00384190">
        <w:rPr>
          <w:sz w:val="24"/>
          <w:szCs w:val="24"/>
        </w:rPr>
        <w:t>clindamycin</w:t>
      </w:r>
      <w:proofErr w:type="spellEnd"/>
      <w:r w:rsidRPr="00384190">
        <w:rPr>
          <w:sz w:val="24"/>
          <w:szCs w:val="24"/>
        </w:rPr>
        <w:t xml:space="preserve"> anbefales, hvor det er muligt. Afhængigt af resultaterne skal dosis- eller doseringsintervaller justeres ved behov.</w:t>
      </w:r>
    </w:p>
    <w:p w14:paraId="2EADF528" w14:textId="77777777" w:rsidR="009C646A" w:rsidRPr="00384190" w:rsidRDefault="009C646A" w:rsidP="00384190">
      <w:pPr>
        <w:ind w:left="851"/>
        <w:rPr>
          <w:sz w:val="24"/>
          <w:szCs w:val="24"/>
        </w:rPr>
      </w:pPr>
    </w:p>
    <w:p w14:paraId="62A2D639" w14:textId="77777777" w:rsidR="009C646A" w:rsidRPr="00384190" w:rsidRDefault="009C646A" w:rsidP="00384190">
      <w:pPr>
        <w:ind w:left="851"/>
        <w:rPr>
          <w:b/>
          <w:i/>
          <w:sz w:val="24"/>
          <w:szCs w:val="24"/>
        </w:rPr>
      </w:pPr>
      <w:r w:rsidRPr="00384190">
        <w:rPr>
          <w:b/>
          <w:i/>
          <w:sz w:val="24"/>
          <w:szCs w:val="24"/>
        </w:rPr>
        <w:t>Nedsat nyrefunktion</w:t>
      </w:r>
    </w:p>
    <w:p w14:paraId="1C01289E" w14:textId="77777777" w:rsidR="009C646A" w:rsidRPr="00384190" w:rsidRDefault="009C646A" w:rsidP="00384190">
      <w:pPr>
        <w:ind w:left="851"/>
        <w:rPr>
          <w:sz w:val="24"/>
          <w:szCs w:val="24"/>
        </w:rPr>
      </w:pPr>
      <w:r w:rsidRPr="00384190">
        <w:rPr>
          <w:sz w:val="24"/>
          <w:szCs w:val="24"/>
        </w:rPr>
        <w:t>Eliminationshalveringstiden er forlænget hos patienter med nedsat nyrefunktion (se pkt. 4.4 og 5.2). Dosisjustering er dog ikke nødvendigt hos patienter med let til moderat nedsat nyrefunktion. Hos patienter med svært nedsat nyrefunktion anbefales det at monitorere nyrefunktionen og patientens fremskridt.</w:t>
      </w:r>
    </w:p>
    <w:p w14:paraId="737FFC0E" w14:textId="77777777" w:rsidR="009C646A" w:rsidRPr="00384190" w:rsidRDefault="009C646A" w:rsidP="00384190">
      <w:pPr>
        <w:ind w:left="851"/>
        <w:rPr>
          <w:sz w:val="24"/>
          <w:szCs w:val="24"/>
        </w:rPr>
      </w:pPr>
    </w:p>
    <w:p w14:paraId="0FF589F1" w14:textId="77777777" w:rsidR="009C646A" w:rsidRPr="00384190" w:rsidRDefault="009C646A" w:rsidP="00384190">
      <w:pPr>
        <w:ind w:left="851"/>
        <w:rPr>
          <w:iCs/>
          <w:sz w:val="24"/>
          <w:szCs w:val="24"/>
        </w:rPr>
      </w:pPr>
      <w:proofErr w:type="spellStart"/>
      <w:r w:rsidRPr="00384190">
        <w:rPr>
          <w:sz w:val="24"/>
          <w:szCs w:val="24"/>
        </w:rPr>
        <w:t>Clindamycin</w:t>
      </w:r>
      <w:proofErr w:type="spellEnd"/>
      <w:r w:rsidRPr="00384190">
        <w:rPr>
          <w:sz w:val="24"/>
          <w:szCs w:val="24"/>
        </w:rPr>
        <w:t xml:space="preserve"> kan ikke fjernes ved hæmodialyse. Det er derfor ikke nødvendigt med yderligere dosis før eller efter hæmodialyse.</w:t>
      </w:r>
    </w:p>
    <w:p w14:paraId="59B9A8E8" w14:textId="77777777" w:rsidR="009C646A" w:rsidRPr="00384190" w:rsidRDefault="009C646A" w:rsidP="00384190">
      <w:pPr>
        <w:ind w:left="851"/>
        <w:rPr>
          <w:sz w:val="24"/>
          <w:szCs w:val="24"/>
        </w:rPr>
      </w:pPr>
    </w:p>
    <w:p w14:paraId="4291BBA0" w14:textId="77777777" w:rsidR="009C646A" w:rsidRPr="00384190" w:rsidRDefault="009C646A" w:rsidP="00384190">
      <w:pPr>
        <w:ind w:left="851"/>
        <w:rPr>
          <w:sz w:val="24"/>
          <w:szCs w:val="24"/>
          <w:u w:val="single"/>
        </w:rPr>
      </w:pPr>
      <w:bookmarkStart w:id="3" w:name="_Hlk165020672"/>
      <w:r w:rsidRPr="00384190">
        <w:rPr>
          <w:sz w:val="24"/>
          <w:szCs w:val="24"/>
          <w:u w:val="single"/>
        </w:rPr>
        <w:t>Administration</w:t>
      </w:r>
    </w:p>
    <w:p w14:paraId="6BD7BFD1" w14:textId="77777777" w:rsidR="009C646A" w:rsidRPr="00384190" w:rsidRDefault="009C646A" w:rsidP="00384190">
      <w:pPr>
        <w:ind w:left="851"/>
        <w:rPr>
          <w:sz w:val="24"/>
          <w:szCs w:val="24"/>
        </w:rPr>
      </w:pPr>
    </w:p>
    <w:p w14:paraId="4EE694D5" w14:textId="77777777" w:rsidR="009C646A" w:rsidRPr="00384190" w:rsidRDefault="009C646A" w:rsidP="00384190">
      <w:pPr>
        <w:ind w:left="851"/>
        <w:rPr>
          <w:sz w:val="24"/>
          <w:szCs w:val="24"/>
        </w:rPr>
      </w:pPr>
      <w:r w:rsidRPr="00384190">
        <w:rPr>
          <w:sz w:val="24"/>
          <w:szCs w:val="24"/>
        </w:rPr>
        <w:t>Intramuskulær injektion (</w:t>
      </w:r>
      <w:proofErr w:type="spellStart"/>
      <w:r w:rsidRPr="00384190">
        <w:rPr>
          <w:sz w:val="24"/>
          <w:szCs w:val="24"/>
        </w:rPr>
        <w:t>i.m</w:t>
      </w:r>
      <w:proofErr w:type="spellEnd"/>
      <w:r w:rsidRPr="00384190">
        <w:rPr>
          <w:sz w:val="24"/>
          <w:szCs w:val="24"/>
        </w:rPr>
        <w:t>.) eller intravenøs infusion (</w:t>
      </w:r>
      <w:proofErr w:type="spellStart"/>
      <w:r w:rsidRPr="00384190">
        <w:rPr>
          <w:sz w:val="24"/>
          <w:szCs w:val="24"/>
        </w:rPr>
        <w:t>i.v</w:t>
      </w:r>
      <w:proofErr w:type="spellEnd"/>
      <w:r w:rsidRPr="00384190">
        <w:rPr>
          <w:sz w:val="24"/>
          <w:szCs w:val="24"/>
        </w:rPr>
        <w:t>.).</w:t>
      </w:r>
    </w:p>
    <w:p w14:paraId="7EE89C65" w14:textId="77777777" w:rsidR="009C646A" w:rsidRPr="00384190" w:rsidRDefault="009C646A" w:rsidP="00384190">
      <w:pPr>
        <w:ind w:left="851"/>
        <w:rPr>
          <w:sz w:val="24"/>
          <w:szCs w:val="24"/>
        </w:rPr>
      </w:pPr>
    </w:p>
    <w:p w14:paraId="3CC4D9E9" w14:textId="0DA087E4" w:rsidR="009C646A" w:rsidRPr="00384190" w:rsidRDefault="009C646A" w:rsidP="00384190">
      <w:pPr>
        <w:ind w:left="851"/>
        <w:rPr>
          <w:iCs/>
          <w:sz w:val="24"/>
          <w:szCs w:val="24"/>
        </w:rPr>
      </w:pPr>
      <w:r w:rsidRPr="00384190">
        <w:rPr>
          <w:sz w:val="24"/>
          <w:szCs w:val="24"/>
        </w:rPr>
        <w:t xml:space="preserve">Til intramuskulær administration skal </w:t>
      </w:r>
      <w:proofErr w:type="spellStart"/>
      <w:r w:rsidRPr="00384190">
        <w:rPr>
          <w:sz w:val="24"/>
          <w:szCs w:val="24"/>
        </w:rPr>
        <w:t>Clindamycin</w:t>
      </w:r>
      <w:proofErr w:type="spellEnd"/>
      <w:r w:rsidRPr="00384190">
        <w:rPr>
          <w:sz w:val="24"/>
          <w:szCs w:val="24"/>
        </w:rPr>
        <w:t xml:space="preserve"> </w:t>
      </w:r>
      <w:r w:rsidR="00805C1C">
        <w:rPr>
          <w:sz w:val="24"/>
          <w:szCs w:val="24"/>
        </w:rPr>
        <w:t>"</w:t>
      </w:r>
      <w:proofErr w:type="spellStart"/>
      <w:r w:rsidR="00805C1C">
        <w:rPr>
          <w:sz w:val="24"/>
          <w:szCs w:val="24"/>
        </w:rPr>
        <w:t>Kalceks</w:t>
      </w:r>
      <w:proofErr w:type="spellEnd"/>
      <w:r w:rsidR="00805C1C">
        <w:rPr>
          <w:sz w:val="24"/>
          <w:szCs w:val="24"/>
        </w:rPr>
        <w:t>"</w:t>
      </w:r>
      <w:r w:rsidRPr="00384190">
        <w:rPr>
          <w:sz w:val="24"/>
          <w:szCs w:val="24"/>
        </w:rPr>
        <w:t xml:space="preserve"> anvendes ufortyndet. Intramuskulær administration af mere end 600 mg på én gang frarådes.</w:t>
      </w:r>
    </w:p>
    <w:p w14:paraId="66E88600" w14:textId="77777777" w:rsidR="009C646A" w:rsidRPr="00384190" w:rsidRDefault="009C646A" w:rsidP="00384190">
      <w:pPr>
        <w:ind w:left="851"/>
        <w:rPr>
          <w:sz w:val="24"/>
          <w:szCs w:val="24"/>
        </w:rPr>
      </w:pPr>
      <w:r w:rsidRPr="00384190">
        <w:rPr>
          <w:sz w:val="24"/>
          <w:szCs w:val="24"/>
        </w:rPr>
        <w:t>Intramuskulær administration er indiceret, når intravenøs infusion af en eller anden grund ikke er mulig.</w:t>
      </w:r>
    </w:p>
    <w:p w14:paraId="01699D59" w14:textId="77777777" w:rsidR="009C646A" w:rsidRPr="00384190" w:rsidRDefault="009C646A" w:rsidP="00384190">
      <w:pPr>
        <w:ind w:left="851"/>
        <w:rPr>
          <w:iCs/>
          <w:sz w:val="24"/>
          <w:szCs w:val="24"/>
        </w:rPr>
      </w:pPr>
    </w:p>
    <w:p w14:paraId="4BC60FA9" w14:textId="631DE099" w:rsidR="009C646A" w:rsidRPr="00384190" w:rsidRDefault="009C646A" w:rsidP="00384190">
      <w:pPr>
        <w:ind w:left="851"/>
        <w:rPr>
          <w:sz w:val="24"/>
          <w:szCs w:val="24"/>
        </w:rPr>
      </w:pPr>
      <w:r w:rsidRPr="00384190">
        <w:rPr>
          <w:b/>
          <w:sz w:val="24"/>
          <w:szCs w:val="24"/>
        </w:rPr>
        <w:t>Til intravenøs administration skal</w:t>
      </w:r>
      <w:r w:rsidRPr="00384190">
        <w:rPr>
          <w:sz w:val="24"/>
          <w:szCs w:val="24"/>
        </w:rPr>
        <w:t xml:space="preserve"> </w:t>
      </w:r>
      <w:proofErr w:type="spellStart"/>
      <w:r w:rsidRPr="00384190">
        <w:rPr>
          <w:sz w:val="24"/>
          <w:szCs w:val="24"/>
        </w:rPr>
        <w:t>Clindamycin</w:t>
      </w:r>
      <w:proofErr w:type="spellEnd"/>
      <w:r w:rsidRPr="00384190">
        <w:rPr>
          <w:sz w:val="24"/>
          <w:szCs w:val="24"/>
        </w:rPr>
        <w:t xml:space="preserve"> </w:t>
      </w:r>
      <w:r w:rsidR="00805C1C">
        <w:rPr>
          <w:sz w:val="24"/>
          <w:szCs w:val="24"/>
        </w:rPr>
        <w:t>"</w:t>
      </w:r>
      <w:proofErr w:type="spellStart"/>
      <w:r w:rsidR="00805C1C">
        <w:rPr>
          <w:sz w:val="24"/>
          <w:szCs w:val="24"/>
        </w:rPr>
        <w:t>Kalceks</w:t>
      </w:r>
      <w:proofErr w:type="spellEnd"/>
      <w:r w:rsidR="00805C1C">
        <w:rPr>
          <w:sz w:val="24"/>
          <w:szCs w:val="24"/>
        </w:rPr>
        <w:t>"</w:t>
      </w:r>
      <w:r w:rsidRPr="00384190">
        <w:rPr>
          <w:b/>
          <w:sz w:val="24"/>
          <w:szCs w:val="24"/>
        </w:rPr>
        <w:t xml:space="preserve"> fortyndes før </w:t>
      </w:r>
      <w:proofErr w:type="spellStart"/>
      <w:r w:rsidRPr="00384190">
        <w:rPr>
          <w:b/>
          <w:sz w:val="24"/>
          <w:szCs w:val="24"/>
        </w:rPr>
        <w:t>i.v</w:t>
      </w:r>
      <w:proofErr w:type="spellEnd"/>
      <w:r w:rsidRPr="00384190">
        <w:rPr>
          <w:b/>
          <w:sz w:val="24"/>
          <w:szCs w:val="24"/>
        </w:rPr>
        <w:t>.-administration</w:t>
      </w:r>
      <w:r w:rsidRPr="00384190">
        <w:rPr>
          <w:sz w:val="24"/>
          <w:szCs w:val="24"/>
        </w:rPr>
        <w:t xml:space="preserve"> og skal </w:t>
      </w:r>
      <w:proofErr w:type="spellStart"/>
      <w:r w:rsidRPr="00384190">
        <w:rPr>
          <w:sz w:val="24"/>
          <w:szCs w:val="24"/>
        </w:rPr>
        <w:t>infunderes</w:t>
      </w:r>
      <w:proofErr w:type="spellEnd"/>
      <w:r w:rsidRPr="00384190">
        <w:rPr>
          <w:sz w:val="24"/>
          <w:szCs w:val="24"/>
        </w:rPr>
        <w:t xml:space="preserve"> over mindst 10</w:t>
      </w:r>
      <w:r w:rsidRPr="00384190">
        <w:rPr>
          <w:sz w:val="24"/>
          <w:szCs w:val="24"/>
        </w:rPr>
        <w:noBreakHyphen/>
        <w:t xml:space="preserve">60 minutter. Koncentrationen må ikke overstige 18 mg </w:t>
      </w:r>
      <w:proofErr w:type="spellStart"/>
      <w:r w:rsidRPr="00384190">
        <w:rPr>
          <w:sz w:val="24"/>
          <w:szCs w:val="24"/>
        </w:rPr>
        <w:t>clindamycin</w:t>
      </w:r>
      <w:proofErr w:type="spellEnd"/>
      <w:r w:rsidRPr="00384190">
        <w:rPr>
          <w:sz w:val="24"/>
          <w:szCs w:val="24"/>
        </w:rPr>
        <w:t xml:space="preserve"> pr. ml opløsning, og infusionshastigheden må ikke overstige 30 mg/min. </w:t>
      </w:r>
      <w:r w:rsidRPr="00384190">
        <w:rPr>
          <w:b/>
          <w:sz w:val="24"/>
          <w:szCs w:val="24"/>
        </w:rPr>
        <w:t xml:space="preserve">Det må aldrig gives som intravenøs </w:t>
      </w:r>
      <w:proofErr w:type="spellStart"/>
      <w:r w:rsidRPr="00384190">
        <w:rPr>
          <w:b/>
          <w:sz w:val="24"/>
          <w:szCs w:val="24"/>
        </w:rPr>
        <w:t>bolusinjektion</w:t>
      </w:r>
      <w:proofErr w:type="spellEnd"/>
      <w:r w:rsidRPr="00384190">
        <w:rPr>
          <w:sz w:val="24"/>
          <w:szCs w:val="24"/>
        </w:rPr>
        <w:t xml:space="preserve"> (kan forårsage svære bivirkninger, se pkt. 4.8). Intravenøse infusioner på mere end 1200 mg på en time frarådes.</w:t>
      </w:r>
    </w:p>
    <w:p w14:paraId="0853A64F" w14:textId="77777777" w:rsidR="009C646A" w:rsidRPr="00384190" w:rsidRDefault="009C646A" w:rsidP="00384190">
      <w:pPr>
        <w:ind w:left="851"/>
        <w:rPr>
          <w:bCs/>
          <w:sz w:val="24"/>
          <w:szCs w:val="24"/>
        </w:rPr>
      </w:pPr>
    </w:p>
    <w:p w14:paraId="0C1FD076" w14:textId="77777777" w:rsidR="009C646A" w:rsidRPr="00384190" w:rsidRDefault="009C646A" w:rsidP="009C646A">
      <w:pPr>
        <w:pStyle w:val="Ingenafstand"/>
        <w:tabs>
          <w:tab w:val="left" w:pos="1134"/>
        </w:tabs>
        <w:ind w:left="0" w:firstLine="0"/>
        <w:rPr>
          <w:b/>
          <w:sz w:val="24"/>
          <w:szCs w:val="24"/>
        </w:rPr>
      </w:pPr>
      <w:r w:rsidRPr="00384190">
        <w:rPr>
          <w:b/>
          <w:sz w:val="24"/>
          <w:szCs w:val="24"/>
        </w:rPr>
        <w:t>Tabel 1</w:t>
      </w:r>
      <w:r w:rsidRPr="00384190">
        <w:rPr>
          <w:b/>
          <w:sz w:val="24"/>
          <w:szCs w:val="24"/>
        </w:rPr>
        <w:tab/>
        <w:t>Sædvanlige infusionshastigheder</w:t>
      </w:r>
    </w:p>
    <w:p w14:paraId="3B8CF557" w14:textId="77777777" w:rsidR="009C646A" w:rsidRPr="00384190" w:rsidRDefault="009C646A" w:rsidP="009C646A">
      <w:pPr>
        <w:pStyle w:val="Ingenafstand"/>
        <w:tabs>
          <w:tab w:val="left" w:pos="1134"/>
        </w:tabs>
        <w:ind w:left="0" w:firstLine="0"/>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177"/>
        <w:gridCol w:w="3103"/>
        <w:gridCol w:w="2812"/>
      </w:tblGrid>
      <w:tr w:rsidR="009C646A" w:rsidRPr="00384190" w14:paraId="609B64CE" w14:textId="77777777" w:rsidTr="00384190">
        <w:trPr>
          <w:trHeight w:val="283"/>
        </w:trPr>
        <w:tc>
          <w:tcPr>
            <w:tcW w:w="809" w:type="pct"/>
            <w:tcBorders>
              <w:top w:val="single" w:sz="4" w:space="0" w:color="auto"/>
              <w:left w:val="single" w:sz="4" w:space="0" w:color="auto"/>
              <w:bottom w:val="single" w:sz="4" w:space="0" w:color="auto"/>
              <w:right w:val="single" w:sz="4" w:space="0" w:color="auto"/>
            </w:tcBorders>
            <w:hideMark/>
          </w:tcPr>
          <w:p w14:paraId="29ACE678" w14:textId="77777777" w:rsidR="009C646A" w:rsidRPr="00384190" w:rsidRDefault="009C646A">
            <w:pPr>
              <w:pStyle w:val="Ingenafstand"/>
              <w:rPr>
                <w:b/>
                <w:bCs/>
                <w:sz w:val="24"/>
                <w:szCs w:val="24"/>
                <w:lang w:val="lv-LV"/>
              </w:rPr>
            </w:pPr>
            <w:r w:rsidRPr="00384190">
              <w:rPr>
                <w:b/>
                <w:sz w:val="24"/>
                <w:szCs w:val="24"/>
                <w:lang w:val="lv-LV"/>
              </w:rPr>
              <w:t>Dosis</w:t>
            </w:r>
          </w:p>
        </w:tc>
        <w:tc>
          <w:tcPr>
            <w:tcW w:w="1097" w:type="pct"/>
            <w:tcBorders>
              <w:top w:val="single" w:sz="4" w:space="0" w:color="auto"/>
              <w:left w:val="single" w:sz="4" w:space="0" w:color="auto"/>
              <w:bottom w:val="single" w:sz="4" w:space="0" w:color="auto"/>
              <w:right w:val="single" w:sz="4" w:space="0" w:color="auto"/>
            </w:tcBorders>
            <w:hideMark/>
          </w:tcPr>
          <w:p w14:paraId="69125798" w14:textId="77777777" w:rsidR="009C646A" w:rsidRPr="00384190" w:rsidRDefault="009C646A">
            <w:pPr>
              <w:pStyle w:val="Ingenafstand"/>
              <w:rPr>
                <w:b/>
                <w:bCs/>
                <w:sz w:val="24"/>
                <w:szCs w:val="24"/>
                <w:lang w:val="lv-LV"/>
              </w:rPr>
            </w:pPr>
            <w:r w:rsidRPr="00384190">
              <w:rPr>
                <w:b/>
                <w:sz w:val="24"/>
                <w:szCs w:val="24"/>
                <w:lang w:val="lv-LV"/>
              </w:rPr>
              <w:t>Fortyndingsmiddel</w:t>
            </w:r>
          </w:p>
        </w:tc>
        <w:tc>
          <w:tcPr>
            <w:tcW w:w="1623" w:type="pct"/>
            <w:tcBorders>
              <w:top w:val="single" w:sz="4" w:space="0" w:color="auto"/>
              <w:left w:val="single" w:sz="4" w:space="0" w:color="auto"/>
              <w:bottom w:val="single" w:sz="4" w:space="0" w:color="auto"/>
              <w:right w:val="single" w:sz="4" w:space="0" w:color="auto"/>
            </w:tcBorders>
            <w:hideMark/>
          </w:tcPr>
          <w:p w14:paraId="7FB73F6D" w14:textId="77777777" w:rsidR="009C646A" w:rsidRPr="00384190" w:rsidRDefault="009C646A">
            <w:pPr>
              <w:pStyle w:val="Ingenafstand"/>
              <w:rPr>
                <w:b/>
                <w:bCs/>
                <w:sz w:val="24"/>
                <w:szCs w:val="24"/>
                <w:lang w:val="lv-LV"/>
              </w:rPr>
            </w:pPr>
            <w:r w:rsidRPr="00384190">
              <w:rPr>
                <w:b/>
                <w:sz w:val="24"/>
                <w:szCs w:val="24"/>
                <w:lang w:val="lv-LV"/>
              </w:rPr>
              <w:t>Clindamycin-koncentration</w:t>
            </w:r>
          </w:p>
        </w:tc>
        <w:tc>
          <w:tcPr>
            <w:tcW w:w="1471" w:type="pct"/>
            <w:tcBorders>
              <w:top w:val="single" w:sz="4" w:space="0" w:color="auto"/>
              <w:left w:val="single" w:sz="4" w:space="0" w:color="auto"/>
              <w:bottom w:val="single" w:sz="4" w:space="0" w:color="auto"/>
              <w:right w:val="single" w:sz="4" w:space="0" w:color="auto"/>
            </w:tcBorders>
            <w:hideMark/>
          </w:tcPr>
          <w:p w14:paraId="3409374D" w14:textId="77777777" w:rsidR="009C646A" w:rsidRPr="00384190" w:rsidRDefault="009C646A">
            <w:pPr>
              <w:pStyle w:val="Ingenafstand"/>
              <w:rPr>
                <w:b/>
                <w:bCs/>
                <w:sz w:val="24"/>
                <w:szCs w:val="24"/>
                <w:lang w:val="lv-LV"/>
              </w:rPr>
            </w:pPr>
            <w:r w:rsidRPr="00384190">
              <w:rPr>
                <w:b/>
                <w:sz w:val="24"/>
                <w:szCs w:val="24"/>
                <w:lang w:val="lv-LV"/>
              </w:rPr>
              <w:t>Minimum infusionstid</w:t>
            </w:r>
          </w:p>
        </w:tc>
      </w:tr>
      <w:tr w:rsidR="009C646A" w:rsidRPr="00384190" w14:paraId="48286415" w14:textId="77777777" w:rsidTr="00384190">
        <w:trPr>
          <w:trHeight w:val="283"/>
        </w:trPr>
        <w:tc>
          <w:tcPr>
            <w:tcW w:w="809" w:type="pct"/>
            <w:tcBorders>
              <w:top w:val="single" w:sz="4" w:space="0" w:color="auto"/>
              <w:left w:val="single" w:sz="4" w:space="0" w:color="auto"/>
              <w:bottom w:val="single" w:sz="4" w:space="0" w:color="auto"/>
              <w:right w:val="single" w:sz="4" w:space="0" w:color="auto"/>
            </w:tcBorders>
            <w:hideMark/>
          </w:tcPr>
          <w:p w14:paraId="447718E3" w14:textId="77777777" w:rsidR="009C646A" w:rsidRPr="00384190" w:rsidRDefault="009C646A">
            <w:pPr>
              <w:pStyle w:val="Ingenafstand"/>
              <w:rPr>
                <w:sz w:val="24"/>
                <w:szCs w:val="24"/>
                <w:lang w:val="lv-LV"/>
              </w:rPr>
            </w:pPr>
            <w:r w:rsidRPr="00384190">
              <w:rPr>
                <w:sz w:val="24"/>
                <w:szCs w:val="24"/>
                <w:lang w:val="lv-LV"/>
              </w:rPr>
              <w:t>300 mg</w:t>
            </w:r>
          </w:p>
        </w:tc>
        <w:tc>
          <w:tcPr>
            <w:tcW w:w="1097" w:type="pct"/>
            <w:tcBorders>
              <w:top w:val="single" w:sz="4" w:space="0" w:color="auto"/>
              <w:left w:val="single" w:sz="4" w:space="0" w:color="auto"/>
              <w:bottom w:val="single" w:sz="4" w:space="0" w:color="auto"/>
              <w:right w:val="single" w:sz="4" w:space="0" w:color="auto"/>
            </w:tcBorders>
            <w:hideMark/>
          </w:tcPr>
          <w:p w14:paraId="2802A571" w14:textId="77777777" w:rsidR="009C646A" w:rsidRPr="00384190" w:rsidRDefault="009C646A">
            <w:pPr>
              <w:pStyle w:val="Ingenafstand"/>
              <w:rPr>
                <w:sz w:val="24"/>
                <w:szCs w:val="24"/>
                <w:lang w:val="lv-LV"/>
              </w:rPr>
            </w:pPr>
            <w:r w:rsidRPr="00384190">
              <w:rPr>
                <w:sz w:val="24"/>
                <w:szCs w:val="24"/>
                <w:lang w:val="lv-LV"/>
              </w:rPr>
              <w:t>50 ml</w:t>
            </w:r>
          </w:p>
        </w:tc>
        <w:tc>
          <w:tcPr>
            <w:tcW w:w="1623" w:type="pct"/>
            <w:tcBorders>
              <w:top w:val="single" w:sz="4" w:space="0" w:color="auto"/>
              <w:left w:val="single" w:sz="4" w:space="0" w:color="auto"/>
              <w:bottom w:val="single" w:sz="4" w:space="0" w:color="auto"/>
              <w:right w:val="single" w:sz="4" w:space="0" w:color="auto"/>
            </w:tcBorders>
            <w:hideMark/>
          </w:tcPr>
          <w:p w14:paraId="0891A5E3" w14:textId="77777777" w:rsidR="009C646A" w:rsidRPr="00384190" w:rsidRDefault="009C646A">
            <w:pPr>
              <w:pStyle w:val="Ingenafstand"/>
              <w:rPr>
                <w:sz w:val="24"/>
                <w:szCs w:val="24"/>
                <w:lang w:val="lv-LV"/>
              </w:rPr>
            </w:pPr>
            <w:r w:rsidRPr="00384190">
              <w:rPr>
                <w:sz w:val="24"/>
                <w:szCs w:val="24"/>
                <w:lang w:val="lv-LV"/>
              </w:rPr>
              <w:t>6 mg/ml</w:t>
            </w:r>
          </w:p>
        </w:tc>
        <w:tc>
          <w:tcPr>
            <w:tcW w:w="1471" w:type="pct"/>
            <w:tcBorders>
              <w:top w:val="single" w:sz="4" w:space="0" w:color="auto"/>
              <w:left w:val="single" w:sz="4" w:space="0" w:color="auto"/>
              <w:bottom w:val="single" w:sz="4" w:space="0" w:color="auto"/>
              <w:right w:val="single" w:sz="4" w:space="0" w:color="auto"/>
            </w:tcBorders>
            <w:hideMark/>
          </w:tcPr>
          <w:p w14:paraId="5695B407" w14:textId="77777777" w:rsidR="009C646A" w:rsidRPr="00384190" w:rsidRDefault="009C646A">
            <w:pPr>
              <w:pStyle w:val="Ingenafstand"/>
              <w:rPr>
                <w:sz w:val="24"/>
                <w:szCs w:val="24"/>
                <w:lang w:val="lv-LV"/>
              </w:rPr>
            </w:pPr>
            <w:r w:rsidRPr="00384190">
              <w:rPr>
                <w:sz w:val="24"/>
                <w:szCs w:val="24"/>
                <w:lang w:val="lv-LV"/>
              </w:rPr>
              <w:t>10 minutter</w:t>
            </w:r>
          </w:p>
        </w:tc>
      </w:tr>
      <w:tr w:rsidR="009C646A" w:rsidRPr="00384190" w14:paraId="32E86EA4" w14:textId="77777777" w:rsidTr="00384190">
        <w:trPr>
          <w:trHeight w:val="283"/>
        </w:trPr>
        <w:tc>
          <w:tcPr>
            <w:tcW w:w="809" w:type="pct"/>
            <w:tcBorders>
              <w:top w:val="single" w:sz="4" w:space="0" w:color="auto"/>
              <w:left w:val="single" w:sz="4" w:space="0" w:color="auto"/>
              <w:bottom w:val="single" w:sz="4" w:space="0" w:color="auto"/>
              <w:right w:val="single" w:sz="4" w:space="0" w:color="auto"/>
            </w:tcBorders>
            <w:hideMark/>
          </w:tcPr>
          <w:p w14:paraId="509456EA" w14:textId="77777777" w:rsidR="009C646A" w:rsidRPr="00384190" w:rsidRDefault="009C646A">
            <w:pPr>
              <w:pStyle w:val="Ingenafstand"/>
              <w:rPr>
                <w:sz w:val="24"/>
                <w:szCs w:val="24"/>
                <w:lang w:val="lv-LV"/>
              </w:rPr>
            </w:pPr>
            <w:r w:rsidRPr="00384190">
              <w:rPr>
                <w:sz w:val="24"/>
                <w:szCs w:val="24"/>
                <w:lang w:val="lv-LV"/>
              </w:rPr>
              <w:t>600 mg</w:t>
            </w:r>
          </w:p>
        </w:tc>
        <w:tc>
          <w:tcPr>
            <w:tcW w:w="1097" w:type="pct"/>
            <w:tcBorders>
              <w:top w:val="single" w:sz="4" w:space="0" w:color="auto"/>
              <w:left w:val="single" w:sz="4" w:space="0" w:color="auto"/>
              <w:bottom w:val="single" w:sz="4" w:space="0" w:color="auto"/>
              <w:right w:val="single" w:sz="4" w:space="0" w:color="auto"/>
            </w:tcBorders>
            <w:hideMark/>
          </w:tcPr>
          <w:p w14:paraId="65D72E51" w14:textId="77777777" w:rsidR="009C646A" w:rsidRPr="00384190" w:rsidRDefault="009C646A">
            <w:pPr>
              <w:pStyle w:val="Ingenafstand"/>
              <w:rPr>
                <w:sz w:val="24"/>
                <w:szCs w:val="24"/>
                <w:lang w:val="lv-LV"/>
              </w:rPr>
            </w:pPr>
            <w:r w:rsidRPr="00384190">
              <w:rPr>
                <w:sz w:val="24"/>
                <w:szCs w:val="24"/>
                <w:lang w:val="lv-LV"/>
              </w:rPr>
              <w:t>50 ml</w:t>
            </w:r>
          </w:p>
        </w:tc>
        <w:tc>
          <w:tcPr>
            <w:tcW w:w="1623" w:type="pct"/>
            <w:tcBorders>
              <w:top w:val="single" w:sz="4" w:space="0" w:color="auto"/>
              <w:left w:val="single" w:sz="4" w:space="0" w:color="auto"/>
              <w:bottom w:val="single" w:sz="4" w:space="0" w:color="auto"/>
              <w:right w:val="single" w:sz="4" w:space="0" w:color="auto"/>
            </w:tcBorders>
            <w:hideMark/>
          </w:tcPr>
          <w:p w14:paraId="0B18B511" w14:textId="77777777" w:rsidR="009C646A" w:rsidRPr="00384190" w:rsidRDefault="009C646A">
            <w:pPr>
              <w:pStyle w:val="Ingenafstand"/>
              <w:rPr>
                <w:sz w:val="24"/>
                <w:szCs w:val="24"/>
                <w:lang w:val="lv-LV"/>
              </w:rPr>
            </w:pPr>
            <w:r w:rsidRPr="00384190">
              <w:rPr>
                <w:sz w:val="24"/>
                <w:szCs w:val="24"/>
                <w:lang w:val="lv-LV"/>
              </w:rPr>
              <w:t>12 mg/ml</w:t>
            </w:r>
          </w:p>
        </w:tc>
        <w:tc>
          <w:tcPr>
            <w:tcW w:w="1471" w:type="pct"/>
            <w:tcBorders>
              <w:top w:val="single" w:sz="4" w:space="0" w:color="auto"/>
              <w:left w:val="single" w:sz="4" w:space="0" w:color="auto"/>
              <w:bottom w:val="single" w:sz="4" w:space="0" w:color="auto"/>
              <w:right w:val="single" w:sz="4" w:space="0" w:color="auto"/>
            </w:tcBorders>
            <w:hideMark/>
          </w:tcPr>
          <w:p w14:paraId="4DE70645" w14:textId="77777777" w:rsidR="009C646A" w:rsidRPr="00384190" w:rsidRDefault="009C646A">
            <w:pPr>
              <w:pStyle w:val="Ingenafstand"/>
              <w:rPr>
                <w:sz w:val="24"/>
                <w:szCs w:val="24"/>
                <w:lang w:val="lv-LV"/>
              </w:rPr>
            </w:pPr>
            <w:r w:rsidRPr="00384190">
              <w:rPr>
                <w:sz w:val="24"/>
                <w:szCs w:val="24"/>
                <w:lang w:val="lv-LV"/>
              </w:rPr>
              <w:t>20 minutter</w:t>
            </w:r>
          </w:p>
        </w:tc>
      </w:tr>
      <w:tr w:rsidR="009C646A" w:rsidRPr="00384190" w14:paraId="71C11423" w14:textId="77777777" w:rsidTr="00384190">
        <w:trPr>
          <w:trHeight w:val="283"/>
        </w:trPr>
        <w:tc>
          <w:tcPr>
            <w:tcW w:w="809" w:type="pct"/>
            <w:tcBorders>
              <w:top w:val="single" w:sz="4" w:space="0" w:color="auto"/>
              <w:left w:val="single" w:sz="4" w:space="0" w:color="auto"/>
              <w:bottom w:val="single" w:sz="4" w:space="0" w:color="auto"/>
              <w:right w:val="single" w:sz="4" w:space="0" w:color="auto"/>
            </w:tcBorders>
            <w:hideMark/>
          </w:tcPr>
          <w:p w14:paraId="19E960CC" w14:textId="77777777" w:rsidR="009C646A" w:rsidRPr="00384190" w:rsidRDefault="009C646A">
            <w:pPr>
              <w:pStyle w:val="Ingenafstand"/>
              <w:rPr>
                <w:sz w:val="24"/>
                <w:szCs w:val="24"/>
                <w:lang w:val="lv-LV"/>
              </w:rPr>
            </w:pPr>
            <w:r w:rsidRPr="00384190">
              <w:rPr>
                <w:sz w:val="24"/>
                <w:szCs w:val="24"/>
                <w:lang w:val="lv-LV"/>
              </w:rPr>
              <w:t>900 mg</w:t>
            </w:r>
          </w:p>
        </w:tc>
        <w:tc>
          <w:tcPr>
            <w:tcW w:w="1097" w:type="pct"/>
            <w:tcBorders>
              <w:top w:val="single" w:sz="4" w:space="0" w:color="auto"/>
              <w:left w:val="single" w:sz="4" w:space="0" w:color="auto"/>
              <w:bottom w:val="single" w:sz="4" w:space="0" w:color="auto"/>
              <w:right w:val="single" w:sz="4" w:space="0" w:color="auto"/>
            </w:tcBorders>
            <w:hideMark/>
          </w:tcPr>
          <w:p w14:paraId="29333612" w14:textId="77777777" w:rsidR="009C646A" w:rsidRPr="00384190" w:rsidRDefault="009C646A">
            <w:pPr>
              <w:pStyle w:val="Ingenafstand"/>
              <w:rPr>
                <w:sz w:val="24"/>
                <w:szCs w:val="24"/>
                <w:lang w:val="lv-LV"/>
              </w:rPr>
            </w:pPr>
            <w:r w:rsidRPr="00384190">
              <w:rPr>
                <w:sz w:val="24"/>
                <w:szCs w:val="24"/>
                <w:lang w:val="lv-LV"/>
              </w:rPr>
              <w:t>50</w:t>
            </w:r>
            <w:r w:rsidRPr="00384190">
              <w:rPr>
                <w:sz w:val="24"/>
                <w:szCs w:val="24"/>
                <w:lang w:val="lv-LV"/>
              </w:rPr>
              <w:noBreakHyphen/>
              <w:t>100 ml</w:t>
            </w:r>
          </w:p>
        </w:tc>
        <w:tc>
          <w:tcPr>
            <w:tcW w:w="1623" w:type="pct"/>
            <w:tcBorders>
              <w:top w:val="single" w:sz="4" w:space="0" w:color="auto"/>
              <w:left w:val="single" w:sz="4" w:space="0" w:color="auto"/>
              <w:bottom w:val="single" w:sz="4" w:space="0" w:color="auto"/>
              <w:right w:val="single" w:sz="4" w:space="0" w:color="auto"/>
            </w:tcBorders>
            <w:hideMark/>
          </w:tcPr>
          <w:p w14:paraId="2CAE20B7" w14:textId="77777777" w:rsidR="009C646A" w:rsidRPr="00384190" w:rsidRDefault="009C646A">
            <w:pPr>
              <w:pStyle w:val="Ingenafstand"/>
              <w:rPr>
                <w:sz w:val="24"/>
                <w:szCs w:val="24"/>
                <w:lang w:val="lv-LV"/>
              </w:rPr>
            </w:pPr>
            <w:r w:rsidRPr="00384190">
              <w:rPr>
                <w:sz w:val="24"/>
                <w:szCs w:val="24"/>
                <w:lang w:val="lv-LV"/>
              </w:rPr>
              <w:t>9 mg/ml til 18 mg/ml</w:t>
            </w:r>
          </w:p>
        </w:tc>
        <w:tc>
          <w:tcPr>
            <w:tcW w:w="1471" w:type="pct"/>
            <w:tcBorders>
              <w:top w:val="single" w:sz="4" w:space="0" w:color="auto"/>
              <w:left w:val="single" w:sz="4" w:space="0" w:color="auto"/>
              <w:bottom w:val="single" w:sz="4" w:space="0" w:color="auto"/>
              <w:right w:val="single" w:sz="4" w:space="0" w:color="auto"/>
            </w:tcBorders>
            <w:hideMark/>
          </w:tcPr>
          <w:p w14:paraId="2F29CD98" w14:textId="77777777" w:rsidR="009C646A" w:rsidRPr="00384190" w:rsidRDefault="009C646A">
            <w:pPr>
              <w:pStyle w:val="Ingenafstand"/>
              <w:rPr>
                <w:sz w:val="24"/>
                <w:szCs w:val="24"/>
                <w:lang w:val="lv-LV"/>
              </w:rPr>
            </w:pPr>
            <w:r w:rsidRPr="00384190">
              <w:rPr>
                <w:sz w:val="24"/>
                <w:szCs w:val="24"/>
                <w:lang w:val="lv-LV"/>
              </w:rPr>
              <w:t>30 minutter</w:t>
            </w:r>
          </w:p>
        </w:tc>
      </w:tr>
      <w:tr w:rsidR="009C646A" w:rsidRPr="00384190" w14:paraId="2D39833A" w14:textId="77777777" w:rsidTr="00384190">
        <w:trPr>
          <w:trHeight w:val="283"/>
        </w:trPr>
        <w:tc>
          <w:tcPr>
            <w:tcW w:w="809" w:type="pct"/>
            <w:tcBorders>
              <w:top w:val="single" w:sz="4" w:space="0" w:color="auto"/>
              <w:left w:val="single" w:sz="4" w:space="0" w:color="auto"/>
              <w:bottom w:val="single" w:sz="4" w:space="0" w:color="auto"/>
              <w:right w:val="single" w:sz="4" w:space="0" w:color="auto"/>
            </w:tcBorders>
            <w:hideMark/>
          </w:tcPr>
          <w:p w14:paraId="172E6D57" w14:textId="77777777" w:rsidR="009C646A" w:rsidRPr="00384190" w:rsidRDefault="009C646A">
            <w:pPr>
              <w:pStyle w:val="Ingenafstand"/>
              <w:rPr>
                <w:sz w:val="24"/>
                <w:szCs w:val="24"/>
                <w:lang w:val="lv-LV"/>
              </w:rPr>
            </w:pPr>
            <w:r w:rsidRPr="00384190">
              <w:rPr>
                <w:sz w:val="24"/>
                <w:szCs w:val="24"/>
                <w:lang w:val="lv-LV"/>
              </w:rPr>
              <w:t>1200 mg</w:t>
            </w:r>
          </w:p>
        </w:tc>
        <w:tc>
          <w:tcPr>
            <w:tcW w:w="1097" w:type="pct"/>
            <w:tcBorders>
              <w:top w:val="single" w:sz="4" w:space="0" w:color="auto"/>
              <w:left w:val="single" w:sz="4" w:space="0" w:color="auto"/>
              <w:bottom w:val="single" w:sz="4" w:space="0" w:color="auto"/>
              <w:right w:val="single" w:sz="4" w:space="0" w:color="auto"/>
            </w:tcBorders>
            <w:hideMark/>
          </w:tcPr>
          <w:p w14:paraId="6B25685D" w14:textId="77777777" w:rsidR="009C646A" w:rsidRPr="00384190" w:rsidRDefault="009C646A">
            <w:pPr>
              <w:pStyle w:val="Ingenafstand"/>
              <w:rPr>
                <w:sz w:val="24"/>
                <w:szCs w:val="24"/>
                <w:lang w:val="lv-LV"/>
              </w:rPr>
            </w:pPr>
            <w:r w:rsidRPr="00384190">
              <w:rPr>
                <w:sz w:val="24"/>
                <w:szCs w:val="24"/>
                <w:lang w:val="lv-LV"/>
              </w:rPr>
              <w:t>100 ml</w:t>
            </w:r>
          </w:p>
        </w:tc>
        <w:tc>
          <w:tcPr>
            <w:tcW w:w="1623" w:type="pct"/>
            <w:tcBorders>
              <w:top w:val="single" w:sz="4" w:space="0" w:color="auto"/>
              <w:left w:val="single" w:sz="4" w:space="0" w:color="auto"/>
              <w:bottom w:val="single" w:sz="4" w:space="0" w:color="auto"/>
              <w:right w:val="single" w:sz="4" w:space="0" w:color="auto"/>
            </w:tcBorders>
            <w:hideMark/>
          </w:tcPr>
          <w:p w14:paraId="152195C0" w14:textId="77777777" w:rsidR="009C646A" w:rsidRPr="00384190" w:rsidRDefault="009C646A">
            <w:pPr>
              <w:pStyle w:val="Ingenafstand"/>
              <w:rPr>
                <w:sz w:val="24"/>
                <w:szCs w:val="24"/>
                <w:lang w:val="lv-LV"/>
              </w:rPr>
            </w:pPr>
            <w:r w:rsidRPr="00384190">
              <w:rPr>
                <w:sz w:val="24"/>
                <w:szCs w:val="24"/>
                <w:lang w:val="lv-LV"/>
              </w:rPr>
              <w:t>12 mg/ml</w:t>
            </w:r>
          </w:p>
        </w:tc>
        <w:tc>
          <w:tcPr>
            <w:tcW w:w="1471" w:type="pct"/>
            <w:tcBorders>
              <w:top w:val="single" w:sz="4" w:space="0" w:color="auto"/>
              <w:left w:val="single" w:sz="4" w:space="0" w:color="auto"/>
              <w:bottom w:val="single" w:sz="4" w:space="0" w:color="auto"/>
              <w:right w:val="single" w:sz="4" w:space="0" w:color="auto"/>
            </w:tcBorders>
            <w:hideMark/>
          </w:tcPr>
          <w:p w14:paraId="447A91D5" w14:textId="77777777" w:rsidR="009C646A" w:rsidRPr="00384190" w:rsidRDefault="009C646A">
            <w:pPr>
              <w:pStyle w:val="Ingenafstand"/>
              <w:rPr>
                <w:sz w:val="24"/>
                <w:szCs w:val="24"/>
                <w:lang w:val="lv-LV"/>
              </w:rPr>
            </w:pPr>
            <w:r w:rsidRPr="00384190">
              <w:rPr>
                <w:sz w:val="24"/>
                <w:szCs w:val="24"/>
                <w:lang w:val="lv-LV"/>
              </w:rPr>
              <w:t>40 minutter</w:t>
            </w:r>
          </w:p>
        </w:tc>
      </w:tr>
    </w:tbl>
    <w:p w14:paraId="126C22A9" w14:textId="77777777" w:rsidR="009C646A" w:rsidRPr="00384190" w:rsidRDefault="009C646A" w:rsidP="00384190">
      <w:pPr>
        <w:ind w:left="851"/>
        <w:rPr>
          <w:sz w:val="24"/>
          <w:szCs w:val="24"/>
        </w:rPr>
      </w:pPr>
    </w:p>
    <w:p w14:paraId="597A7806" w14:textId="77777777" w:rsidR="009C646A" w:rsidRPr="00384190" w:rsidRDefault="009C646A" w:rsidP="00384190">
      <w:pPr>
        <w:ind w:left="851"/>
        <w:rPr>
          <w:sz w:val="24"/>
          <w:szCs w:val="24"/>
        </w:rPr>
      </w:pPr>
      <w:r w:rsidRPr="00384190">
        <w:rPr>
          <w:sz w:val="24"/>
          <w:szCs w:val="24"/>
        </w:rPr>
        <w:t>For kompatible fortyndingsmidler, se pkt. 6.6.</w:t>
      </w:r>
    </w:p>
    <w:bookmarkEnd w:id="3"/>
    <w:p w14:paraId="48514853" w14:textId="77777777" w:rsidR="009260DE" w:rsidRPr="00384190" w:rsidRDefault="009260DE" w:rsidP="009260DE">
      <w:pPr>
        <w:tabs>
          <w:tab w:val="left" w:pos="851"/>
        </w:tabs>
        <w:ind w:left="851"/>
        <w:rPr>
          <w:sz w:val="24"/>
          <w:szCs w:val="24"/>
        </w:rPr>
      </w:pPr>
    </w:p>
    <w:p w14:paraId="7150755C" w14:textId="77777777" w:rsidR="009260DE" w:rsidRPr="00384190" w:rsidRDefault="009260DE" w:rsidP="009260DE">
      <w:pPr>
        <w:tabs>
          <w:tab w:val="left" w:pos="851"/>
        </w:tabs>
        <w:ind w:left="851" w:hanging="851"/>
        <w:rPr>
          <w:b/>
          <w:sz w:val="24"/>
          <w:szCs w:val="24"/>
        </w:rPr>
      </w:pPr>
      <w:r w:rsidRPr="00384190">
        <w:rPr>
          <w:b/>
          <w:sz w:val="24"/>
          <w:szCs w:val="24"/>
        </w:rPr>
        <w:lastRenderedPageBreak/>
        <w:t>4.3</w:t>
      </w:r>
      <w:r w:rsidRPr="00384190">
        <w:rPr>
          <w:b/>
          <w:sz w:val="24"/>
          <w:szCs w:val="24"/>
        </w:rPr>
        <w:tab/>
        <w:t>Kontraindikationer</w:t>
      </w:r>
    </w:p>
    <w:p w14:paraId="0C6BF805" w14:textId="77777777" w:rsidR="009C646A" w:rsidRPr="00384190" w:rsidRDefault="009C646A" w:rsidP="00384190">
      <w:pPr>
        <w:ind w:left="851"/>
        <w:rPr>
          <w:sz w:val="24"/>
          <w:szCs w:val="24"/>
        </w:rPr>
      </w:pPr>
      <w:r w:rsidRPr="00384190">
        <w:rPr>
          <w:sz w:val="24"/>
          <w:szCs w:val="24"/>
        </w:rPr>
        <w:t xml:space="preserve">Overfølsomhed over for det aktive stof, </w:t>
      </w:r>
      <w:proofErr w:type="spellStart"/>
      <w:r w:rsidRPr="00384190">
        <w:rPr>
          <w:sz w:val="24"/>
          <w:szCs w:val="24"/>
        </w:rPr>
        <w:t>lincomycin</w:t>
      </w:r>
      <w:proofErr w:type="spellEnd"/>
      <w:r w:rsidRPr="00384190">
        <w:rPr>
          <w:sz w:val="24"/>
          <w:szCs w:val="24"/>
        </w:rPr>
        <w:t xml:space="preserve"> eller over for et eller flere af hjælpestofferne anført i pkt. 6.1.</w:t>
      </w:r>
    </w:p>
    <w:p w14:paraId="17093076" w14:textId="77777777" w:rsidR="009260DE" w:rsidRPr="00384190" w:rsidRDefault="009260DE" w:rsidP="009260DE">
      <w:pPr>
        <w:tabs>
          <w:tab w:val="left" w:pos="851"/>
        </w:tabs>
        <w:ind w:left="851"/>
        <w:rPr>
          <w:sz w:val="24"/>
          <w:szCs w:val="24"/>
        </w:rPr>
      </w:pPr>
    </w:p>
    <w:p w14:paraId="5694DE8E" w14:textId="77777777" w:rsidR="009260DE" w:rsidRPr="00384190" w:rsidRDefault="009260DE" w:rsidP="009260DE">
      <w:pPr>
        <w:tabs>
          <w:tab w:val="left" w:pos="851"/>
        </w:tabs>
        <w:ind w:left="851" w:hanging="851"/>
        <w:rPr>
          <w:b/>
          <w:sz w:val="24"/>
          <w:szCs w:val="24"/>
        </w:rPr>
      </w:pPr>
      <w:r w:rsidRPr="00384190">
        <w:rPr>
          <w:b/>
          <w:sz w:val="24"/>
          <w:szCs w:val="24"/>
        </w:rPr>
        <w:t>4.4</w:t>
      </w:r>
      <w:r w:rsidRPr="00384190">
        <w:rPr>
          <w:b/>
          <w:sz w:val="24"/>
          <w:szCs w:val="24"/>
        </w:rPr>
        <w:tab/>
        <w:t>Særlige advarsler og forsigtighedsregler vedrørende brugen</w:t>
      </w:r>
    </w:p>
    <w:p w14:paraId="34D93756" w14:textId="77777777" w:rsidR="00384190" w:rsidRDefault="00384190" w:rsidP="00384190">
      <w:pPr>
        <w:ind w:left="851"/>
        <w:rPr>
          <w:sz w:val="24"/>
          <w:szCs w:val="24"/>
        </w:rPr>
      </w:pPr>
    </w:p>
    <w:p w14:paraId="2FDEB0C4" w14:textId="377594C6" w:rsidR="009C646A" w:rsidRPr="00384190" w:rsidRDefault="009C646A" w:rsidP="00384190">
      <w:pPr>
        <w:ind w:left="851"/>
        <w:rPr>
          <w:sz w:val="24"/>
          <w:szCs w:val="24"/>
          <w:u w:val="single"/>
        </w:rPr>
      </w:pPr>
      <w:r w:rsidRPr="00384190">
        <w:rPr>
          <w:sz w:val="24"/>
          <w:szCs w:val="24"/>
          <w:u w:val="single"/>
        </w:rPr>
        <w:t>Overfølsomhedsreaktioner</w:t>
      </w:r>
    </w:p>
    <w:p w14:paraId="0D3027FF" w14:textId="77777777" w:rsidR="009C646A" w:rsidRPr="00384190" w:rsidRDefault="009C646A" w:rsidP="00384190">
      <w:pPr>
        <w:ind w:left="851"/>
        <w:rPr>
          <w:sz w:val="24"/>
          <w:szCs w:val="24"/>
        </w:rPr>
      </w:pPr>
      <w:r w:rsidRPr="00384190">
        <w:rPr>
          <w:sz w:val="24"/>
          <w:szCs w:val="24"/>
        </w:rPr>
        <w:t xml:space="preserve">Der kan forekomme svære overfølsomhedsreaktioner selv efter den første administration. Hvis der opstår en overfølsomhedsreaktion, skal behandlingen med </w:t>
      </w:r>
      <w:proofErr w:type="spellStart"/>
      <w:r w:rsidRPr="00384190">
        <w:rPr>
          <w:sz w:val="24"/>
          <w:szCs w:val="24"/>
        </w:rPr>
        <w:t>clindamycin</w:t>
      </w:r>
      <w:proofErr w:type="spellEnd"/>
      <w:r w:rsidRPr="00384190">
        <w:rPr>
          <w:sz w:val="24"/>
          <w:szCs w:val="24"/>
        </w:rPr>
        <w:t xml:space="preserve"> straks seponeres, og der skal iværksættes passende standard akutbehandling (se pkt. 4.3 og 4.8).</w:t>
      </w:r>
    </w:p>
    <w:p w14:paraId="0B7B1E7B" w14:textId="77777777" w:rsidR="009C646A" w:rsidRPr="00384190" w:rsidRDefault="009C646A" w:rsidP="00384190">
      <w:pPr>
        <w:ind w:left="851"/>
        <w:rPr>
          <w:sz w:val="24"/>
          <w:szCs w:val="24"/>
        </w:rPr>
      </w:pPr>
    </w:p>
    <w:p w14:paraId="0D4D1B0B" w14:textId="77777777" w:rsidR="009C646A" w:rsidRPr="00384190" w:rsidRDefault="009C646A" w:rsidP="00384190">
      <w:pPr>
        <w:ind w:left="851"/>
        <w:rPr>
          <w:sz w:val="24"/>
          <w:szCs w:val="24"/>
        </w:rPr>
      </w:pPr>
      <w:r w:rsidRPr="00384190">
        <w:rPr>
          <w:sz w:val="24"/>
          <w:szCs w:val="24"/>
        </w:rPr>
        <w:t xml:space="preserve">Under visse omstændigheder kan behandling med </w:t>
      </w:r>
      <w:proofErr w:type="spellStart"/>
      <w:r w:rsidRPr="00384190">
        <w:rPr>
          <w:sz w:val="24"/>
          <w:szCs w:val="24"/>
        </w:rPr>
        <w:t>clindamycin</w:t>
      </w:r>
      <w:proofErr w:type="spellEnd"/>
      <w:r w:rsidRPr="00384190">
        <w:rPr>
          <w:sz w:val="24"/>
          <w:szCs w:val="24"/>
        </w:rPr>
        <w:t xml:space="preserve"> udgøre en alternativ form for behandling til patienter med penicillinallergi (overfølsomhed over for penicillin). Der har ikke været indberetninger om krydsallergi mellem </w:t>
      </w:r>
      <w:proofErr w:type="spellStart"/>
      <w:r w:rsidRPr="00384190">
        <w:rPr>
          <w:sz w:val="24"/>
          <w:szCs w:val="24"/>
        </w:rPr>
        <w:t>clindamycin</w:t>
      </w:r>
      <w:proofErr w:type="spellEnd"/>
      <w:r w:rsidRPr="00384190">
        <w:rPr>
          <w:sz w:val="24"/>
          <w:szCs w:val="24"/>
        </w:rPr>
        <w:t xml:space="preserve"> og penicillin, og på baggrund af stoffernes strukturforskelle er det ikke forventeligt. Der foreligger dog informationer om enkelttilfælde af anafylaksi (overfølsomhed) over for </w:t>
      </w:r>
      <w:proofErr w:type="spellStart"/>
      <w:r w:rsidRPr="00384190">
        <w:rPr>
          <w:sz w:val="24"/>
          <w:szCs w:val="24"/>
        </w:rPr>
        <w:t>clindamycin</w:t>
      </w:r>
      <w:proofErr w:type="spellEnd"/>
      <w:r w:rsidRPr="00384190">
        <w:rPr>
          <w:sz w:val="24"/>
          <w:szCs w:val="24"/>
        </w:rPr>
        <w:t xml:space="preserve"> hos personer, der allerede er allergiske over for penicillin. Dette skal tages i betragtning i et forløb med </w:t>
      </w:r>
      <w:proofErr w:type="spellStart"/>
      <w:r w:rsidRPr="00384190">
        <w:rPr>
          <w:sz w:val="24"/>
          <w:szCs w:val="24"/>
        </w:rPr>
        <w:t>clindamycinbehandling</w:t>
      </w:r>
      <w:proofErr w:type="spellEnd"/>
      <w:r w:rsidRPr="00384190">
        <w:rPr>
          <w:sz w:val="24"/>
          <w:szCs w:val="24"/>
        </w:rPr>
        <w:t xml:space="preserve"> til patienter med penicillinallergi.</w:t>
      </w:r>
    </w:p>
    <w:p w14:paraId="62133DF9" w14:textId="77777777" w:rsidR="009C646A" w:rsidRPr="00384190" w:rsidRDefault="009C646A" w:rsidP="00384190">
      <w:pPr>
        <w:ind w:left="851"/>
        <w:rPr>
          <w:sz w:val="24"/>
          <w:szCs w:val="24"/>
        </w:rPr>
      </w:pPr>
      <w:bookmarkStart w:id="4" w:name="_Hlk164856172"/>
    </w:p>
    <w:p w14:paraId="173D7684" w14:textId="77777777" w:rsidR="009C646A" w:rsidRPr="00384190" w:rsidRDefault="009C646A" w:rsidP="00384190">
      <w:pPr>
        <w:ind w:left="851"/>
        <w:rPr>
          <w:sz w:val="24"/>
          <w:szCs w:val="24"/>
          <w:u w:val="single"/>
        </w:rPr>
      </w:pPr>
      <w:r w:rsidRPr="00384190">
        <w:rPr>
          <w:sz w:val="24"/>
          <w:szCs w:val="24"/>
          <w:u w:val="single"/>
        </w:rPr>
        <w:t xml:space="preserve">Svære </w:t>
      </w:r>
      <w:proofErr w:type="spellStart"/>
      <w:r w:rsidRPr="00384190">
        <w:rPr>
          <w:sz w:val="24"/>
          <w:szCs w:val="24"/>
          <w:u w:val="single"/>
        </w:rPr>
        <w:t>kutane</w:t>
      </w:r>
      <w:proofErr w:type="spellEnd"/>
      <w:r w:rsidRPr="00384190">
        <w:rPr>
          <w:sz w:val="24"/>
          <w:szCs w:val="24"/>
          <w:u w:val="single"/>
        </w:rPr>
        <w:t xml:space="preserve"> bivirkninger</w:t>
      </w:r>
      <w:bookmarkEnd w:id="4"/>
    </w:p>
    <w:p w14:paraId="2BF85F80" w14:textId="77777777" w:rsidR="009C646A" w:rsidRPr="00384190" w:rsidRDefault="009C646A" w:rsidP="00384190">
      <w:pPr>
        <w:ind w:left="851"/>
        <w:rPr>
          <w:sz w:val="24"/>
          <w:szCs w:val="24"/>
        </w:rPr>
      </w:pPr>
      <w:r w:rsidRPr="00384190">
        <w:rPr>
          <w:sz w:val="24"/>
          <w:szCs w:val="24"/>
        </w:rPr>
        <w:t xml:space="preserve">Der er blevet indberettet svære </w:t>
      </w:r>
      <w:proofErr w:type="spellStart"/>
      <w:r w:rsidRPr="00384190">
        <w:rPr>
          <w:sz w:val="24"/>
          <w:szCs w:val="24"/>
        </w:rPr>
        <w:t>kutane</w:t>
      </w:r>
      <w:proofErr w:type="spellEnd"/>
      <w:r w:rsidRPr="00384190">
        <w:rPr>
          <w:sz w:val="24"/>
          <w:szCs w:val="24"/>
        </w:rPr>
        <w:t xml:space="preserve"> bivirkninger, såsom lægemiddelreaktioner med </w:t>
      </w:r>
      <w:proofErr w:type="spellStart"/>
      <w:r w:rsidRPr="00384190">
        <w:rPr>
          <w:sz w:val="24"/>
          <w:szCs w:val="24"/>
        </w:rPr>
        <w:t>eosinofili</w:t>
      </w:r>
      <w:proofErr w:type="spellEnd"/>
      <w:r w:rsidRPr="00384190">
        <w:rPr>
          <w:sz w:val="24"/>
          <w:szCs w:val="24"/>
        </w:rPr>
        <w:t xml:space="preserve"> og systemiske symptomer (DRESS), Stevens-Johnson syndrom (SJS), toksisk </w:t>
      </w:r>
      <w:proofErr w:type="spellStart"/>
      <w:r w:rsidRPr="00384190">
        <w:rPr>
          <w:sz w:val="24"/>
          <w:szCs w:val="24"/>
        </w:rPr>
        <w:t>epidermal</w:t>
      </w:r>
      <w:proofErr w:type="spellEnd"/>
      <w:r w:rsidRPr="00384190">
        <w:rPr>
          <w:sz w:val="24"/>
          <w:szCs w:val="24"/>
        </w:rPr>
        <w:t xml:space="preserve"> </w:t>
      </w:r>
      <w:proofErr w:type="spellStart"/>
      <w:r w:rsidRPr="00384190">
        <w:rPr>
          <w:sz w:val="24"/>
          <w:szCs w:val="24"/>
        </w:rPr>
        <w:t>nekrolyse</w:t>
      </w:r>
      <w:proofErr w:type="spellEnd"/>
      <w:r w:rsidRPr="00384190">
        <w:rPr>
          <w:sz w:val="24"/>
          <w:szCs w:val="24"/>
        </w:rPr>
        <w:t xml:space="preserve"> (TEN) og akut generaliseret </w:t>
      </w:r>
      <w:proofErr w:type="spellStart"/>
      <w:r w:rsidRPr="00384190">
        <w:rPr>
          <w:sz w:val="24"/>
          <w:szCs w:val="24"/>
        </w:rPr>
        <w:t>eksantematøs</w:t>
      </w:r>
      <w:proofErr w:type="spellEnd"/>
      <w:r w:rsidRPr="00384190">
        <w:rPr>
          <w:sz w:val="24"/>
          <w:szCs w:val="24"/>
        </w:rPr>
        <w:t xml:space="preserve"> </w:t>
      </w:r>
      <w:proofErr w:type="spellStart"/>
      <w:r w:rsidRPr="00384190">
        <w:rPr>
          <w:sz w:val="24"/>
          <w:szCs w:val="24"/>
        </w:rPr>
        <w:t>pustulose</w:t>
      </w:r>
      <w:proofErr w:type="spellEnd"/>
      <w:r w:rsidRPr="00384190">
        <w:rPr>
          <w:sz w:val="24"/>
          <w:szCs w:val="24"/>
        </w:rPr>
        <w:t xml:space="preserve"> (AGEP), som kan være livstruende eller dødelig, hos patienter, der fik </w:t>
      </w:r>
      <w:proofErr w:type="spellStart"/>
      <w:r w:rsidRPr="00384190">
        <w:rPr>
          <w:sz w:val="24"/>
          <w:szCs w:val="24"/>
        </w:rPr>
        <w:t>clindamycin</w:t>
      </w:r>
      <w:proofErr w:type="spellEnd"/>
      <w:r w:rsidRPr="00384190">
        <w:rPr>
          <w:sz w:val="24"/>
          <w:szCs w:val="24"/>
        </w:rPr>
        <w:t xml:space="preserve">. Disse kan forekomme selv efter den første administration. Hvis der opstår symptomer på svære hudreaktioner, skal behandlingen med </w:t>
      </w:r>
      <w:proofErr w:type="spellStart"/>
      <w:r w:rsidRPr="00384190">
        <w:rPr>
          <w:sz w:val="24"/>
          <w:szCs w:val="24"/>
        </w:rPr>
        <w:t>clindamycin</w:t>
      </w:r>
      <w:proofErr w:type="spellEnd"/>
      <w:r w:rsidRPr="00384190">
        <w:rPr>
          <w:sz w:val="24"/>
          <w:szCs w:val="24"/>
        </w:rPr>
        <w:t xml:space="preserve"> straks seponeres, og der skal iværksættes passende standard akutbehandling. Hvis patienten har udviklet en svær reaktion såsom DRESS, SJS, TEN eller AGEP ved brug af </w:t>
      </w:r>
      <w:proofErr w:type="spellStart"/>
      <w:r w:rsidRPr="00384190">
        <w:rPr>
          <w:sz w:val="24"/>
          <w:szCs w:val="24"/>
        </w:rPr>
        <w:t>clindamycin</w:t>
      </w:r>
      <w:proofErr w:type="spellEnd"/>
      <w:r w:rsidRPr="00384190">
        <w:rPr>
          <w:sz w:val="24"/>
          <w:szCs w:val="24"/>
        </w:rPr>
        <w:t xml:space="preserve">, må behandling med </w:t>
      </w:r>
      <w:proofErr w:type="spellStart"/>
      <w:r w:rsidRPr="00384190">
        <w:rPr>
          <w:sz w:val="24"/>
          <w:szCs w:val="24"/>
        </w:rPr>
        <w:t>clindamycin</w:t>
      </w:r>
      <w:proofErr w:type="spellEnd"/>
      <w:r w:rsidRPr="00384190">
        <w:rPr>
          <w:sz w:val="24"/>
          <w:szCs w:val="24"/>
        </w:rPr>
        <w:t xml:space="preserve"> på intet tidspunkt genoptages hos denne patient (se pkt. 4.3 og 4.8).</w:t>
      </w:r>
    </w:p>
    <w:p w14:paraId="72747828" w14:textId="77777777" w:rsidR="009C646A" w:rsidRPr="00384190" w:rsidRDefault="009C646A" w:rsidP="00384190">
      <w:pPr>
        <w:ind w:left="851"/>
        <w:rPr>
          <w:sz w:val="24"/>
          <w:szCs w:val="24"/>
        </w:rPr>
      </w:pPr>
    </w:p>
    <w:p w14:paraId="79327B62" w14:textId="77777777" w:rsidR="009C646A" w:rsidRPr="00384190" w:rsidRDefault="009C646A" w:rsidP="00384190">
      <w:pPr>
        <w:ind w:left="851"/>
        <w:rPr>
          <w:iCs/>
          <w:sz w:val="24"/>
          <w:szCs w:val="24"/>
          <w:u w:val="single"/>
        </w:rPr>
      </w:pPr>
      <w:r w:rsidRPr="00384190">
        <w:rPr>
          <w:sz w:val="24"/>
          <w:szCs w:val="24"/>
          <w:u w:val="single"/>
        </w:rPr>
        <w:t>Mave-tarm-kanalen</w:t>
      </w:r>
    </w:p>
    <w:p w14:paraId="20B44B53" w14:textId="77777777" w:rsidR="009C646A" w:rsidRPr="00384190" w:rsidRDefault="009C646A" w:rsidP="00384190">
      <w:pPr>
        <w:ind w:left="851"/>
        <w:rPr>
          <w:sz w:val="24"/>
          <w:szCs w:val="24"/>
        </w:rPr>
      </w:pPr>
      <w:r w:rsidRPr="00384190">
        <w:rPr>
          <w:sz w:val="24"/>
          <w:szCs w:val="24"/>
        </w:rPr>
        <w:t xml:space="preserve">Behandling med antibakterielle midler ændrer den normale flora i </w:t>
      </w:r>
      <w:proofErr w:type="spellStart"/>
      <w:r w:rsidRPr="00384190">
        <w:rPr>
          <w:sz w:val="24"/>
          <w:szCs w:val="24"/>
        </w:rPr>
        <w:t>colon</w:t>
      </w:r>
      <w:proofErr w:type="spellEnd"/>
      <w:r w:rsidRPr="00384190">
        <w:rPr>
          <w:sz w:val="24"/>
          <w:szCs w:val="24"/>
        </w:rPr>
        <w:t xml:space="preserve"> og kan dermed forårsage overvækst af </w:t>
      </w:r>
      <w:proofErr w:type="spellStart"/>
      <w:r w:rsidRPr="00384190">
        <w:rPr>
          <w:i/>
          <w:sz w:val="24"/>
          <w:szCs w:val="24"/>
        </w:rPr>
        <w:t>Clostridioides</w:t>
      </w:r>
      <w:proofErr w:type="spellEnd"/>
      <w:r w:rsidRPr="00384190">
        <w:rPr>
          <w:i/>
          <w:sz w:val="24"/>
          <w:szCs w:val="24"/>
        </w:rPr>
        <w:t xml:space="preserve"> difficile</w:t>
      </w:r>
      <w:r w:rsidRPr="00384190">
        <w:rPr>
          <w:sz w:val="24"/>
          <w:szCs w:val="24"/>
        </w:rPr>
        <w:t xml:space="preserve">. Dette er indberettet ved brug af næsten alle antibakterielle midler, herunder </w:t>
      </w:r>
      <w:proofErr w:type="spellStart"/>
      <w:r w:rsidRPr="00384190">
        <w:rPr>
          <w:sz w:val="24"/>
          <w:szCs w:val="24"/>
        </w:rPr>
        <w:t>clindamycin</w:t>
      </w:r>
      <w:proofErr w:type="spellEnd"/>
      <w:r w:rsidRPr="00384190">
        <w:rPr>
          <w:sz w:val="24"/>
          <w:szCs w:val="24"/>
        </w:rPr>
        <w:t xml:space="preserve">. </w:t>
      </w:r>
      <w:r w:rsidRPr="00384190">
        <w:rPr>
          <w:i/>
          <w:iCs/>
          <w:sz w:val="24"/>
          <w:szCs w:val="24"/>
        </w:rPr>
        <w:t>C. difficile</w:t>
      </w:r>
      <w:r w:rsidRPr="00384190">
        <w:rPr>
          <w:sz w:val="24"/>
          <w:szCs w:val="24"/>
        </w:rPr>
        <w:t xml:space="preserve"> producerer toksinerne A og B, der bidrager til udviklingen af </w:t>
      </w:r>
      <w:r w:rsidRPr="00384190">
        <w:rPr>
          <w:i/>
          <w:sz w:val="24"/>
          <w:szCs w:val="24"/>
        </w:rPr>
        <w:t>C. difficile-</w:t>
      </w:r>
      <w:r w:rsidRPr="00384190">
        <w:rPr>
          <w:sz w:val="24"/>
          <w:szCs w:val="24"/>
        </w:rPr>
        <w:t>associeret diarré (CDAD) og er en primær årsag til 'antibiotika-associeret colitis'.</w:t>
      </w:r>
    </w:p>
    <w:p w14:paraId="3FBA7835" w14:textId="77777777" w:rsidR="009C646A" w:rsidRPr="00384190" w:rsidRDefault="009C646A" w:rsidP="00384190">
      <w:pPr>
        <w:ind w:left="851"/>
        <w:rPr>
          <w:sz w:val="24"/>
          <w:szCs w:val="24"/>
        </w:rPr>
      </w:pPr>
      <w:r w:rsidRPr="00384190">
        <w:rPr>
          <w:sz w:val="24"/>
          <w:szCs w:val="24"/>
        </w:rPr>
        <w:t xml:space="preserve">Det er vigtigt at overveje diagnosen CDAD hos patienter, som får diarré efter administration af antibakterielle midler. Dette kan udvikle sig til colitis, heriblandt </w:t>
      </w:r>
      <w:proofErr w:type="spellStart"/>
      <w:r w:rsidRPr="00384190">
        <w:rPr>
          <w:sz w:val="24"/>
          <w:szCs w:val="24"/>
        </w:rPr>
        <w:t>pseudomembranøs</w:t>
      </w:r>
      <w:proofErr w:type="spellEnd"/>
      <w:r w:rsidRPr="00384190">
        <w:rPr>
          <w:sz w:val="24"/>
          <w:szCs w:val="24"/>
        </w:rPr>
        <w:t xml:space="preserve"> colitis (se pkt. 4.8), som kan variere fra let til </w:t>
      </w:r>
      <w:proofErr w:type="gramStart"/>
      <w:r w:rsidRPr="00384190">
        <w:rPr>
          <w:sz w:val="24"/>
          <w:szCs w:val="24"/>
        </w:rPr>
        <w:t>dødelig colitis</w:t>
      </w:r>
      <w:proofErr w:type="gramEnd"/>
      <w:r w:rsidRPr="00384190">
        <w:rPr>
          <w:sz w:val="24"/>
          <w:szCs w:val="24"/>
        </w:rPr>
        <w:t xml:space="preserve">. Ved mistanke om eller bekræftet antibiotika-relateret diarré eller antibiotika-relateret colitis skal igangværende behandling med antibakterielle midler, heriblandt </w:t>
      </w:r>
      <w:proofErr w:type="spellStart"/>
      <w:r w:rsidRPr="00384190">
        <w:rPr>
          <w:sz w:val="24"/>
          <w:szCs w:val="24"/>
        </w:rPr>
        <w:t>clindamycin</w:t>
      </w:r>
      <w:proofErr w:type="spellEnd"/>
      <w:r w:rsidRPr="00384190">
        <w:rPr>
          <w:sz w:val="24"/>
          <w:szCs w:val="24"/>
        </w:rPr>
        <w:t>, seponeres og passende behandlingsmæssige tiltag skal straks iværksættes. Lægemidler, som hæmmer peristaltikken, er kontraindiceret i denne situation.</w:t>
      </w:r>
    </w:p>
    <w:p w14:paraId="6FA266E9" w14:textId="77777777" w:rsidR="009C646A" w:rsidRPr="00384190" w:rsidRDefault="009C646A" w:rsidP="00384190">
      <w:pPr>
        <w:ind w:left="851"/>
        <w:rPr>
          <w:sz w:val="24"/>
          <w:szCs w:val="24"/>
        </w:rPr>
      </w:pPr>
    </w:p>
    <w:p w14:paraId="4452FACC" w14:textId="77777777" w:rsidR="009C646A" w:rsidRPr="00384190" w:rsidRDefault="009C646A" w:rsidP="00384190">
      <w:pPr>
        <w:ind w:left="851"/>
        <w:rPr>
          <w:sz w:val="24"/>
          <w:szCs w:val="24"/>
        </w:rPr>
      </w:pPr>
      <w:proofErr w:type="spellStart"/>
      <w:r w:rsidRPr="00384190">
        <w:rPr>
          <w:sz w:val="24"/>
          <w:szCs w:val="24"/>
        </w:rPr>
        <w:t>Clindamycinbehandling</w:t>
      </w:r>
      <w:proofErr w:type="spellEnd"/>
      <w:r w:rsidRPr="00384190">
        <w:rPr>
          <w:sz w:val="24"/>
          <w:szCs w:val="24"/>
        </w:rPr>
        <w:t xml:space="preserve"> er blevet forbundet med en </w:t>
      </w:r>
      <w:proofErr w:type="spellStart"/>
      <w:r w:rsidRPr="00384190">
        <w:rPr>
          <w:sz w:val="24"/>
          <w:szCs w:val="24"/>
        </w:rPr>
        <w:t>pseudomembranøs</w:t>
      </w:r>
      <w:proofErr w:type="spellEnd"/>
      <w:r w:rsidRPr="00384190">
        <w:rPr>
          <w:sz w:val="24"/>
          <w:szCs w:val="24"/>
        </w:rPr>
        <w:t xml:space="preserve"> colitis, som kan være dødelig og er forbundet med svær og vedvarende diarré, under og indtil 2 til 3 uger efter behandling med </w:t>
      </w:r>
      <w:proofErr w:type="spellStart"/>
      <w:r w:rsidRPr="00384190">
        <w:rPr>
          <w:sz w:val="24"/>
          <w:szCs w:val="24"/>
        </w:rPr>
        <w:t>clindamycin</w:t>
      </w:r>
      <w:proofErr w:type="spellEnd"/>
      <w:r w:rsidRPr="00384190">
        <w:rPr>
          <w:sz w:val="24"/>
          <w:szCs w:val="24"/>
        </w:rPr>
        <w:t xml:space="preserve">. Der skal udvises forsigtighed ved ordinering af </w:t>
      </w:r>
      <w:proofErr w:type="spellStart"/>
      <w:r w:rsidRPr="00384190">
        <w:rPr>
          <w:sz w:val="24"/>
          <w:szCs w:val="24"/>
        </w:rPr>
        <w:t>clindamycin</w:t>
      </w:r>
      <w:proofErr w:type="spellEnd"/>
      <w:r w:rsidRPr="00384190">
        <w:rPr>
          <w:sz w:val="24"/>
          <w:szCs w:val="24"/>
        </w:rPr>
        <w:t xml:space="preserve"> til en patient, der har tendens til mave-tarmsygdomme, især colitis. Antibiotika-relateret colitis og diarré er hyppigere og mere alvorligt hos svækkede og/eller ældre patienter (&gt; 60 år).</w:t>
      </w:r>
    </w:p>
    <w:p w14:paraId="3E6C2B37" w14:textId="77777777" w:rsidR="009C646A" w:rsidRPr="00384190" w:rsidRDefault="009C646A" w:rsidP="00384190">
      <w:pPr>
        <w:ind w:left="851"/>
        <w:rPr>
          <w:sz w:val="24"/>
          <w:szCs w:val="24"/>
        </w:rPr>
      </w:pPr>
    </w:p>
    <w:p w14:paraId="56C2C548" w14:textId="77777777" w:rsidR="009C646A" w:rsidRPr="00384190" w:rsidRDefault="009C646A" w:rsidP="00384190">
      <w:pPr>
        <w:ind w:left="851"/>
        <w:rPr>
          <w:sz w:val="24"/>
          <w:szCs w:val="24"/>
          <w:u w:val="single"/>
        </w:rPr>
      </w:pPr>
      <w:r w:rsidRPr="00384190">
        <w:rPr>
          <w:sz w:val="24"/>
          <w:szCs w:val="24"/>
          <w:u w:val="single"/>
        </w:rPr>
        <w:lastRenderedPageBreak/>
        <w:t xml:space="preserve">Forstyrrelser i </w:t>
      </w:r>
      <w:proofErr w:type="spellStart"/>
      <w:r w:rsidRPr="00384190">
        <w:rPr>
          <w:sz w:val="24"/>
          <w:szCs w:val="24"/>
          <w:u w:val="single"/>
        </w:rPr>
        <w:t>neuromuskulær</w:t>
      </w:r>
      <w:proofErr w:type="spellEnd"/>
      <w:r w:rsidRPr="00384190">
        <w:rPr>
          <w:sz w:val="24"/>
          <w:szCs w:val="24"/>
          <w:u w:val="single"/>
        </w:rPr>
        <w:t xml:space="preserve"> transmission</w:t>
      </w:r>
    </w:p>
    <w:p w14:paraId="09172F01" w14:textId="77777777" w:rsidR="009C646A" w:rsidRPr="00384190" w:rsidRDefault="009C646A" w:rsidP="00384190">
      <w:pPr>
        <w:ind w:left="851"/>
        <w:rPr>
          <w:sz w:val="24"/>
          <w:szCs w:val="24"/>
        </w:rPr>
      </w:pPr>
      <w:r w:rsidRPr="00384190">
        <w:rPr>
          <w:sz w:val="24"/>
          <w:szCs w:val="24"/>
        </w:rPr>
        <w:t xml:space="preserve">Der skal udvises forsigtighed hos patienter med forstyrrelser i </w:t>
      </w:r>
      <w:proofErr w:type="spellStart"/>
      <w:r w:rsidRPr="00384190">
        <w:rPr>
          <w:sz w:val="24"/>
          <w:szCs w:val="24"/>
        </w:rPr>
        <w:t>neuromuskulær</w:t>
      </w:r>
      <w:proofErr w:type="spellEnd"/>
      <w:r w:rsidRPr="00384190">
        <w:rPr>
          <w:sz w:val="24"/>
          <w:szCs w:val="24"/>
        </w:rPr>
        <w:t xml:space="preserve"> transmission (fx </w:t>
      </w:r>
      <w:proofErr w:type="spellStart"/>
      <w:r w:rsidRPr="00384190">
        <w:rPr>
          <w:sz w:val="24"/>
          <w:szCs w:val="24"/>
        </w:rPr>
        <w:t>myasthenia</w:t>
      </w:r>
      <w:proofErr w:type="spellEnd"/>
      <w:r w:rsidRPr="00384190">
        <w:rPr>
          <w:sz w:val="24"/>
          <w:szCs w:val="24"/>
        </w:rPr>
        <w:t xml:space="preserve"> </w:t>
      </w:r>
      <w:proofErr w:type="spellStart"/>
      <w:r w:rsidRPr="00384190">
        <w:rPr>
          <w:sz w:val="24"/>
          <w:szCs w:val="24"/>
        </w:rPr>
        <w:t>gravis</w:t>
      </w:r>
      <w:proofErr w:type="spellEnd"/>
      <w:r w:rsidRPr="00384190">
        <w:rPr>
          <w:sz w:val="24"/>
          <w:szCs w:val="24"/>
        </w:rPr>
        <w:t xml:space="preserve">, Parkinsons sygdom), da </w:t>
      </w:r>
      <w:proofErr w:type="spellStart"/>
      <w:r w:rsidRPr="00384190">
        <w:rPr>
          <w:sz w:val="24"/>
          <w:szCs w:val="24"/>
        </w:rPr>
        <w:t>clindamycin</w:t>
      </w:r>
      <w:proofErr w:type="spellEnd"/>
      <w:r w:rsidRPr="00384190">
        <w:rPr>
          <w:sz w:val="24"/>
          <w:szCs w:val="24"/>
        </w:rPr>
        <w:t xml:space="preserve"> har været relateret til </w:t>
      </w:r>
      <w:proofErr w:type="spellStart"/>
      <w:r w:rsidRPr="00384190">
        <w:rPr>
          <w:sz w:val="24"/>
          <w:szCs w:val="24"/>
        </w:rPr>
        <w:t>neuromuskulær</w:t>
      </w:r>
      <w:proofErr w:type="spellEnd"/>
      <w:r w:rsidRPr="00384190">
        <w:rPr>
          <w:sz w:val="24"/>
          <w:szCs w:val="24"/>
        </w:rPr>
        <w:t xml:space="preserve"> blokade og forlængelse af blokade (se pkt. 4.5 og 4.8). </w:t>
      </w:r>
      <w:r w:rsidRPr="00384190">
        <w:rPr>
          <w:i/>
          <w:sz w:val="24"/>
          <w:szCs w:val="24"/>
        </w:rPr>
        <w:t xml:space="preserve">In </w:t>
      </w:r>
      <w:proofErr w:type="spellStart"/>
      <w:r w:rsidRPr="00384190">
        <w:rPr>
          <w:i/>
          <w:sz w:val="24"/>
          <w:szCs w:val="24"/>
        </w:rPr>
        <w:t>vitro</w:t>
      </w:r>
      <w:proofErr w:type="spellEnd"/>
      <w:r w:rsidRPr="00384190">
        <w:rPr>
          <w:sz w:val="24"/>
          <w:szCs w:val="24"/>
        </w:rPr>
        <w:t xml:space="preserve"> har </w:t>
      </w:r>
      <w:proofErr w:type="spellStart"/>
      <w:r w:rsidRPr="00384190">
        <w:rPr>
          <w:sz w:val="24"/>
          <w:szCs w:val="24"/>
        </w:rPr>
        <w:t>clindamycin</w:t>
      </w:r>
      <w:proofErr w:type="spellEnd"/>
      <w:r w:rsidRPr="00384190">
        <w:rPr>
          <w:sz w:val="24"/>
          <w:szCs w:val="24"/>
        </w:rPr>
        <w:t xml:space="preserve"> vist sig at hæmme </w:t>
      </w:r>
      <w:proofErr w:type="spellStart"/>
      <w:r w:rsidRPr="00384190">
        <w:rPr>
          <w:sz w:val="24"/>
          <w:szCs w:val="24"/>
        </w:rPr>
        <w:t>nikotinacetylcholinreceptorer</w:t>
      </w:r>
      <w:proofErr w:type="spellEnd"/>
      <w:r w:rsidRPr="00384190">
        <w:rPr>
          <w:sz w:val="24"/>
          <w:szCs w:val="24"/>
        </w:rPr>
        <w:t>.</w:t>
      </w:r>
    </w:p>
    <w:p w14:paraId="5972F6A7" w14:textId="77777777" w:rsidR="009C646A" w:rsidRPr="00384190" w:rsidRDefault="009C646A" w:rsidP="00384190">
      <w:pPr>
        <w:ind w:left="851"/>
        <w:rPr>
          <w:sz w:val="24"/>
          <w:szCs w:val="24"/>
        </w:rPr>
      </w:pPr>
    </w:p>
    <w:p w14:paraId="2A6D54D6" w14:textId="77777777" w:rsidR="009C646A" w:rsidRPr="00384190" w:rsidRDefault="009C646A" w:rsidP="00384190">
      <w:pPr>
        <w:ind w:left="851"/>
        <w:rPr>
          <w:sz w:val="24"/>
          <w:szCs w:val="24"/>
          <w:u w:val="single"/>
        </w:rPr>
      </w:pPr>
      <w:r w:rsidRPr="00384190">
        <w:rPr>
          <w:sz w:val="24"/>
          <w:szCs w:val="24"/>
          <w:u w:val="single"/>
        </w:rPr>
        <w:t>Nedsat lever- og nyrefunktion</w:t>
      </w:r>
    </w:p>
    <w:p w14:paraId="3F5C6C5C" w14:textId="77777777" w:rsidR="009C646A" w:rsidRPr="00384190" w:rsidRDefault="009C646A" w:rsidP="00384190">
      <w:pPr>
        <w:ind w:left="851"/>
        <w:rPr>
          <w:sz w:val="24"/>
          <w:szCs w:val="24"/>
        </w:rPr>
      </w:pPr>
      <w:bookmarkStart w:id="5" w:name="_Hlk90013499"/>
      <w:r w:rsidRPr="00384190">
        <w:rPr>
          <w:sz w:val="24"/>
          <w:szCs w:val="24"/>
        </w:rPr>
        <w:t>Ved længere tids behandling skal lever- og nyrefunktion monitoreres regelmæssigt.</w:t>
      </w:r>
      <w:bookmarkEnd w:id="5"/>
    </w:p>
    <w:p w14:paraId="57B5DE5C" w14:textId="77777777" w:rsidR="009C646A" w:rsidRPr="00384190" w:rsidRDefault="009C646A" w:rsidP="00384190">
      <w:pPr>
        <w:ind w:left="851"/>
        <w:rPr>
          <w:sz w:val="24"/>
          <w:szCs w:val="24"/>
        </w:rPr>
      </w:pPr>
      <w:r w:rsidRPr="00384190">
        <w:rPr>
          <w:sz w:val="24"/>
          <w:szCs w:val="24"/>
        </w:rPr>
        <w:t>Eliminationshalveringstiden er forlænget hos patienter med nedsat nyrefunktion samt patienter med moderat til svært nedsat leverfunktion (se pkt. 4.2 og 5.2).</w:t>
      </w:r>
    </w:p>
    <w:p w14:paraId="77206090" w14:textId="77777777" w:rsidR="009C646A" w:rsidRPr="00384190" w:rsidRDefault="009C646A" w:rsidP="00384190">
      <w:pPr>
        <w:ind w:left="851"/>
        <w:rPr>
          <w:sz w:val="24"/>
          <w:szCs w:val="24"/>
        </w:rPr>
      </w:pPr>
      <w:r w:rsidRPr="00384190">
        <w:rPr>
          <w:sz w:val="24"/>
          <w:szCs w:val="24"/>
        </w:rPr>
        <w:t xml:space="preserve">Der er enkelte gange indberettet tilfælde af akut nyreskade, herunder akut nyresvigt. Hos patienter med </w:t>
      </w:r>
      <w:proofErr w:type="spellStart"/>
      <w:r w:rsidRPr="00384190">
        <w:rPr>
          <w:sz w:val="24"/>
          <w:szCs w:val="24"/>
        </w:rPr>
        <w:t>forudeksisterende</w:t>
      </w:r>
      <w:proofErr w:type="spellEnd"/>
      <w:r w:rsidRPr="00384190">
        <w:rPr>
          <w:sz w:val="24"/>
          <w:szCs w:val="24"/>
        </w:rPr>
        <w:t xml:space="preserve"> </w:t>
      </w:r>
      <w:proofErr w:type="spellStart"/>
      <w:r w:rsidRPr="00384190">
        <w:rPr>
          <w:sz w:val="24"/>
          <w:szCs w:val="24"/>
        </w:rPr>
        <w:t>renal</w:t>
      </w:r>
      <w:proofErr w:type="spellEnd"/>
      <w:r w:rsidRPr="00384190">
        <w:rPr>
          <w:sz w:val="24"/>
          <w:szCs w:val="24"/>
        </w:rPr>
        <w:t xml:space="preserve"> dysfunktion, eller som samtidig tager </w:t>
      </w:r>
      <w:proofErr w:type="spellStart"/>
      <w:r w:rsidRPr="00384190">
        <w:rPr>
          <w:sz w:val="24"/>
          <w:szCs w:val="24"/>
        </w:rPr>
        <w:t>nefrotoksiske</w:t>
      </w:r>
      <w:proofErr w:type="spellEnd"/>
      <w:r w:rsidRPr="00384190">
        <w:rPr>
          <w:sz w:val="24"/>
          <w:szCs w:val="24"/>
        </w:rPr>
        <w:t xml:space="preserve"> lægemidler, bør overvågning af nyrefunktionen overvejes (se pkt. 4.8).</w:t>
      </w:r>
    </w:p>
    <w:p w14:paraId="302558CB" w14:textId="77777777" w:rsidR="009C646A" w:rsidRPr="00384190" w:rsidRDefault="009C646A" w:rsidP="00384190">
      <w:pPr>
        <w:ind w:left="851"/>
        <w:rPr>
          <w:sz w:val="24"/>
          <w:szCs w:val="24"/>
        </w:rPr>
      </w:pPr>
    </w:p>
    <w:p w14:paraId="23CC2D8D" w14:textId="77777777" w:rsidR="009C646A" w:rsidRPr="00384190" w:rsidRDefault="009C646A" w:rsidP="00384190">
      <w:pPr>
        <w:ind w:left="851"/>
        <w:rPr>
          <w:sz w:val="24"/>
          <w:szCs w:val="24"/>
          <w:u w:val="single"/>
        </w:rPr>
      </w:pPr>
      <w:r w:rsidRPr="00384190">
        <w:rPr>
          <w:sz w:val="24"/>
          <w:szCs w:val="24"/>
          <w:u w:val="single"/>
        </w:rPr>
        <w:t>Overvækst af ikke</w:t>
      </w:r>
      <w:r w:rsidRPr="00384190">
        <w:rPr>
          <w:sz w:val="24"/>
          <w:szCs w:val="24"/>
          <w:u w:val="single"/>
        </w:rPr>
        <w:noBreakHyphen/>
        <w:t>følsomme organismer</w:t>
      </w:r>
    </w:p>
    <w:p w14:paraId="6AFC50D6" w14:textId="77777777" w:rsidR="009C646A" w:rsidRPr="00384190" w:rsidRDefault="009C646A" w:rsidP="00384190">
      <w:pPr>
        <w:ind w:left="851"/>
        <w:rPr>
          <w:sz w:val="24"/>
          <w:szCs w:val="24"/>
        </w:rPr>
      </w:pPr>
      <w:r w:rsidRPr="00384190">
        <w:rPr>
          <w:sz w:val="24"/>
          <w:szCs w:val="24"/>
        </w:rPr>
        <w:t xml:space="preserve">Brug af </w:t>
      </w:r>
      <w:proofErr w:type="spellStart"/>
      <w:r w:rsidRPr="00384190">
        <w:rPr>
          <w:sz w:val="24"/>
          <w:szCs w:val="24"/>
        </w:rPr>
        <w:t>clindamycin</w:t>
      </w:r>
      <w:proofErr w:type="spellEnd"/>
      <w:r w:rsidRPr="00384190">
        <w:rPr>
          <w:sz w:val="24"/>
          <w:szCs w:val="24"/>
        </w:rPr>
        <w:t xml:space="preserve"> kan også medføre overvækst af ikke-følsomme organismer, især gærsvamp.</w:t>
      </w:r>
    </w:p>
    <w:p w14:paraId="6CB6210B" w14:textId="77777777" w:rsidR="009C646A" w:rsidRPr="00384190" w:rsidRDefault="009C646A" w:rsidP="00384190">
      <w:pPr>
        <w:ind w:left="851"/>
        <w:rPr>
          <w:sz w:val="24"/>
          <w:szCs w:val="24"/>
        </w:rPr>
      </w:pPr>
    </w:p>
    <w:p w14:paraId="221E9437" w14:textId="77777777" w:rsidR="009C646A" w:rsidRPr="00384190" w:rsidRDefault="009C646A" w:rsidP="00384190">
      <w:pPr>
        <w:ind w:left="851"/>
        <w:rPr>
          <w:sz w:val="24"/>
          <w:szCs w:val="24"/>
          <w:u w:val="single"/>
        </w:rPr>
      </w:pPr>
      <w:r w:rsidRPr="00384190">
        <w:rPr>
          <w:sz w:val="24"/>
          <w:szCs w:val="24"/>
          <w:u w:val="single"/>
        </w:rPr>
        <w:t>Diffusion i cerebrospinalvæske</w:t>
      </w:r>
    </w:p>
    <w:p w14:paraId="0A28C725" w14:textId="77777777" w:rsidR="009C646A" w:rsidRPr="00384190" w:rsidRDefault="009C646A" w:rsidP="00384190">
      <w:pPr>
        <w:ind w:left="851"/>
        <w:rPr>
          <w:sz w:val="24"/>
          <w:szCs w:val="24"/>
        </w:rPr>
      </w:pPr>
      <w:r w:rsidRPr="00384190">
        <w:rPr>
          <w:sz w:val="24"/>
          <w:szCs w:val="24"/>
        </w:rPr>
        <w:t xml:space="preserve">Da </w:t>
      </w:r>
      <w:proofErr w:type="spellStart"/>
      <w:r w:rsidRPr="00384190">
        <w:rPr>
          <w:sz w:val="24"/>
          <w:szCs w:val="24"/>
        </w:rPr>
        <w:t>clindamycin</w:t>
      </w:r>
      <w:proofErr w:type="spellEnd"/>
      <w:r w:rsidRPr="00384190">
        <w:rPr>
          <w:sz w:val="24"/>
          <w:szCs w:val="24"/>
        </w:rPr>
        <w:t xml:space="preserve"> ikke diffunderer tilstrækkeligt ind i cerebrospinalvæsken, må det ikke anvendes til behandling af meningitis.</w:t>
      </w:r>
    </w:p>
    <w:p w14:paraId="596C7CA7" w14:textId="77777777" w:rsidR="009C646A" w:rsidRPr="00384190" w:rsidRDefault="009C646A" w:rsidP="00384190">
      <w:pPr>
        <w:ind w:left="851"/>
        <w:rPr>
          <w:sz w:val="24"/>
          <w:szCs w:val="24"/>
        </w:rPr>
      </w:pPr>
    </w:p>
    <w:p w14:paraId="31F704EF" w14:textId="77777777" w:rsidR="009C646A" w:rsidRPr="00384190" w:rsidRDefault="009C646A" w:rsidP="00384190">
      <w:pPr>
        <w:ind w:left="851"/>
        <w:rPr>
          <w:sz w:val="24"/>
          <w:szCs w:val="24"/>
          <w:u w:val="single"/>
        </w:rPr>
      </w:pPr>
      <w:r w:rsidRPr="00384190">
        <w:rPr>
          <w:sz w:val="24"/>
          <w:szCs w:val="24"/>
          <w:u w:val="single"/>
        </w:rPr>
        <w:t>Andet</w:t>
      </w:r>
    </w:p>
    <w:p w14:paraId="6C851EBC" w14:textId="77777777" w:rsidR="009C646A" w:rsidRPr="00384190" w:rsidRDefault="009C646A" w:rsidP="00384190">
      <w:pPr>
        <w:ind w:left="851"/>
        <w:rPr>
          <w:sz w:val="24"/>
          <w:szCs w:val="24"/>
        </w:rPr>
      </w:pPr>
      <w:r w:rsidRPr="00384190">
        <w:rPr>
          <w:sz w:val="24"/>
          <w:szCs w:val="24"/>
        </w:rPr>
        <w:t xml:space="preserve">Der skal udvises forsigtighed hos patienter med </w:t>
      </w:r>
      <w:proofErr w:type="spellStart"/>
      <w:r w:rsidRPr="00384190">
        <w:rPr>
          <w:sz w:val="24"/>
          <w:szCs w:val="24"/>
        </w:rPr>
        <w:t>atopiske</w:t>
      </w:r>
      <w:proofErr w:type="spellEnd"/>
      <w:r w:rsidRPr="00384190">
        <w:rPr>
          <w:sz w:val="24"/>
          <w:szCs w:val="24"/>
        </w:rPr>
        <w:t xml:space="preserve"> sygdomme.</w:t>
      </w:r>
    </w:p>
    <w:p w14:paraId="49F9114D" w14:textId="77777777" w:rsidR="009C646A" w:rsidRPr="00384190" w:rsidRDefault="009C646A" w:rsidP="00384190">
      <w:pPr>
        <w:ind w:left="851"/>
        <w:rPr>
          <w:sz w:val="24"/>
          <w:szCs w:val="24"/>
        </w:rPr>
      </w:pPr>
    </w:p>
    <w:p w14:paraId="73198C50" w14:textId="77777777" w:rsidR="009C646A" w:rsidRPr="00384190" w:rsidRDefault="009C646A" w:rsidP="00384190">
      <w:pPr>
        <w:ind w:left="851"/>
        <w:rPr>
          <w:sz w:val="24"/>
          <w:szCs w:val="24"/>
          <w:u w:val="single"/>
        </w:rPr>
      </w:pPr>
      <w:r w:rsidRPr="00384190">
        <w:rPr>
          <w:sz w:val="24"/>
          <w:szCs w:val="24"/>
          <w:u w:val="single"/>
        </w:rPr>
        <w:t>Natrium</w:t>
      </w:r>
    </w:p>
    <w:p w14:paraId="3628D4FF" w14:textId="77777777" w:rsidR="009C646A" w:rsidRPr="00384190" w:rsidRDefault="009C646A" w:rsidP="00384190">
      <w:pPr>
        <w:ind w:left="851"/>
        <w:rPr>
          <w:sz w:val="24"/>
          <w:szCs w:val="24"/>
        </w:rPr>
      </w:pPr>
      <w:r w:rsidRPr="00384190">
        <w:rPr>
          <w:sz w:val="24"/>
          <w:szCs w:val="24"/>
        </w:rPr>
        <w:t>Dette lægemiddel indeholder 6,5 mg natrium pr. ml opløsning, svarende til 0,33 % af den WHO anbefalede maksimale daglige indtagelse af 2 g natrium for en voksen.</w:t>
      </w:r>
    </w:p>
    <w:p w14:paraId="0E761826" w14:textId="77777777" w:rsidR="009260DE" w:rsidRPr="00384190" w:rsidRDefault="009260DE" w:rsidP="009260DE">
      <w:pPr>
        <w:tabs>
          <w:tab w:val="left" w:pos="851"/>
        </w:tabs>
        <w:ind w:left="851"/>
        <w:rPr>
          <w:sz w:val="24"/>
          <w:szCs w:val="24"/>
        </w:rPr>
      </w:pPr>
    </w:p>
    <w:p w14:paraId="6389285E" w14:textId="77777777" w:rsidR="009260DE" w:rsidRPr="00384190" w:rsidRDefault="009260DE" w:rsidP="009260DE">
      <w:pPr>
        <w:tabs>
          <w:tab w:val="left" w:pos="851"/>
        </w:tabs>
        <w:ind w:left="851" w:hanging="851"/>
        <w:rPr>
          <w:b/>
          <w:sz w:val="24"/>
          <w:szCs w:val="24"/>
        </w:rPr>
      </w:pPr>
      <w:r w:rsidRPr="00384190">
        <w:rPr>
          <w:b/>
          <w:sz w:val="24"/>
          <w:szCs w:val="24"/>
        </w:rPr>
        <w:t>4.5</w:t>
      </w:r>
      <w:r w:rsidRPr="00384190">
        <w:rPr>
          <w:b/>
          <w:sz w:val="24"/>
          <w:szCs w:val="24"/>
        </w:rPr>
        <w:tab/>
        <w:t>Interaktion med andre lægemidler og andre former for interaktion</w:t>
      </w:r>
    </w:p>
    <w:p w14:paraId="2B372873" w14:textId="77777777" w:rsidR="00384190" w:rsidRDefault="00384190" w:rsidP="00384190">
      <w:pPr>
        <w:ind w:left="851"/>
        <w:rPr>
          <w:sz w:val="24"/>
          <w:szCs w:val="24"/>
        </w:rPr>
      </w:pPr>
    </w:p>
    <w:p w14:paraId="482BF542" w14:textId="0C2CBC0E" w:rsidR="009C646A" w:rsidRPr="00384190" w:rsidRDefault="009C646A" w:rsidP="00384190">
      <w:pPr>
        <w:ind w:left="851"/>
        <w:rPr>
          <w:i/>
          <w:iCs/>
          <w:sz w:val="24"/>
          <w:szCs w:val="24"/>
        </w:rPr>
      </w:pPr>
      <w:proofErr w:type="spellStart"/>
      <w:r w:rsidRPr="00384190">
        <w:rPr>
          <w:i/>
          <w:sz w:val="24"/>
          <w:szCs w:val="24"/>
        </w:rPr>
        <w:t>Neuromuskulære</w:t>
      </w:r>
      <w:proofErr w:type="spellEnd"/>
      <w:r w:rsidRPr="00384190">
        <w:rPr>
          <w:i/>
          <w:sz w:val="24"/>
          <w:szCs w:val="24"/>
        </w:rPr>
        <w:t xml:space="preserve"> </w:t>
      </w:r>
      <w:proofErr w:type="spellStart"/>
      <w:r w:rsidRPr="00384190">
        <w:rPr>
          <w:i/>
          <w:sz w:val="24"/>
          <w:szCs w:val="24"/>
        </w:rPr>
        <w:t>blokkere</w:t>
      </w:r>
      <w:proofErr w:type="spellEnd"/>
    </w:p>
    <w:p w14:paraId="596CAE08" w14:textId="77777777" w:rsidR="009C646A" w:rsidRPr="00384190" w:rsidRDefault="009C646A" w:rsidP="00384190">
      <w:pPr>
        <w:ind w:left="851"/>
        <w:rPr>
          <w:sz w:val="24"/>
          <w:szCs w:val="24"/>
        </w:rPr>
      </w:pPr>
      <w:proofErr w:type="spellStart"/>
      <w:r w:rsidRPr="00384190">
        <w:rPr>
          <w:sz w:val="24"/>
          <w:szCs w:val="24"/>
        </w:rPr>
        <w:t>Clindamycin</w:t>
      </w:r>
      <w:proofErr w:type="spellEnd"/>
      <w:r w:rsidRPr="00384190">
        <w:rPr>
          <w:sz w:val="24"/>
          <w:szCs w:val="24"/>
        </w:rPr>
        <w:t xml:space="preserve"> kan forstærke virkningen af </w:t>
      </w:r>
      <w:proofErr w:type="spellStart"/>
      <w:r w:rsidRPr="00384190">
        <w:rPr>
          <w:sz w:val="24"/>
          <w:szCs w:val="24"/>
        </w:rPr>
        <w:t>neuromuskulære</w:t>
      </w:r>
      <w:proofErr w:type="spellEnd"/>
      <w:r w:rsidRPr="00384190">
        <w:rPr>
          <w:sz w:val="24"/>
          <w:szCs w:val="24"/>
        </w:rPr>
        <w:t xml:space="preserve"> </w:t>
      </w:r>
      <w:proofErr w:type="spellStart"/>
      <w:r w:rsidRPr="00384190">
        <w:rPr>
          <w:sz w:val="24"/>
          <w:szCs w:val="24"/>
        </w:rPr>
        <w:t>blokkere</w:t>
      </w:r>
      <w:proofErr w:type="spellEnd"/>
      <w:r w:rsidRPr="00384190">
        <w:rPr>
          <w:sz w:val="24"/>
          <w:szCs w:val="24"/>
        </w:rPr>
        <w:t>. Det skal derfor bruges med forsigtighed til patienter, der får disse lægemidler.</w:t>
      </w:r>
    </w:p>
    <w:p w14:paraId="395D4691" w14:textId="77777777" w:rsidR="009C646A" w:rsidRPr="00384190" w:rsidRDefault="009C646A" w:rsidP="00384190">
      <w:pPr>
        <w:ind w:left="851"/>
        <w:rPr>
          <w:iCs/>
          <w:sz w:val="24"/>
          <w:szCs w:val="24"/>
        </w:rPr>
      </w:pPr>
    </w:p>
    <w:p w14:paraId="4A690476" w14:textId="77777777" w:rsidR="009C646A" w:rsidRPr="00384190" w:rsidRDefault="009C646A" w:rsidP="00384190">
      <w:pPr>
        <w:ind w:left="851"/>
        <w:rPr>
          <w:i/>
          <w:iCs/>
          <w:sz w:val="24"/>
          <w:szCs w:val="24"/>
        </w:rPr>
      </w:pPr>
      <w:r w:rsidRPr="00384190">
        <w:rPr>
          <w:i/>
          <w:sz w:val="24"/>
          <w:szCs w:val="24"/>
        </w:rPr>
        <w:t>K-vitaminantagonister</w:t>
      </w:r>
    </w:p>
    <w:p w14:paraId="39DD1043" w14:textId="77777777" w:rsidR="009C646A" w:rsidRPr="00384190" w:rsidRDefault="009C646A" w:rsidP="00384190">
      <w:pPr>
        <w:ind w:left="851"/>
        <w:rPr>
          <w:sz w:val="24"/>
          <w:szCs w:val="24"/>
        </w:rPr>
      </w:pPr>
      <w:r w:rsidRPr="00384190">
        <w:rPr>
          <w:sz w:val="24"/>
          <w:szCs w:val="24"/>
        </w:rPr>
        <w:t xml:space="preserve">Der er indberettet forhøjet koagulationsprøve (PT/INR) og/eller blødning hos patienter, der er i behandling med </w:t>
      </w:r>
      <w:proofErr w:type="spellStart"/>
      <w:r w:rsidRPr="00384190">
        <w:rPr>
          <w:sz w:val="24"/>
          <w:szCs w:val="24"/>
        </w:rPr>
        <w:t>clindamycin</w:t>
      </w:r>
      <w:proofErr w:type="spellEnd"/>
      <w:r w:rsidRPr="00384190">
        <w:rPr>
          <w:sz w:val="24"/>
          <w:szCs w:val="24"/>
        </w:rPr>
        <w:t xml:space="preserve"> i kombination med en K-vitaminantagonist (fx </w:t>
      </w:r>
      <w:proofErr w:type="spellStart"/>
      <w:r w:rsidRPr="00384190">
        <w:rPr>
          <w:sz w:val="24"/>
          <w:szCs w:val="24"/>
        </w:rPr>
        <w:t>warfarin</w:t>
      </w:r>
      <w:proofErr w:type="spellEnd"/>
      <w:r w:rsidRPr="00384190">
        <w:rPr>
          <w:sz w:val="24"/>
          <w:szCs w:val="24"/>
        </w:rPr>
        <w:t xml:space="preserve">, </w:t>
      </w:r>
      <w:proofErr w:type="spellStart"/>
      <w:r w:rsidRPr="00384190">
        <w:rPr>
          <w:sz w:val="24"/>
          <w:szCs w:val="24"/>
        </w:rPr>
        <w:t>acenocoumarol</w:t>
      </w:r>
      <w:proofErr w:type="spellEnd"/>
      <w:r w:rsidRPr="00384190">
        <w:rPr>
          <w:sz w:val="24"/>
          <w:szCs w:val="24"/>
        </w:rPr>
        <w:t xml:space="preserve"> og </w:t>
      </w:r>
      <w:proofErr w:type="spellStart"/>
      <w:r w:rsidRPr="00384190">
        <w:rPr>
          <w:sz w:val="24"/>
          <w:szCs w:val="24"/>
        </w:rPr>
        <w:t>fluindion</w:t>
      </w:r>
      <w:proofErr w:type="spellEnd"/>
      <w:r w:rsidRPr="00384190">
        <w:rPr>
          <w:sz w:val="24"/>
          <w:szCs w:val="24"/>
        </w:rPr>
        <w:t>). Koagulationstests skal derfor følges tæt hos patienter, der er i behandling med K</w:t>
      </w:r>
      <w:r w:rsidRPr="00384190">
        <w:rPr>
          <w:sz w:val="24"/>
          <w:szCs w:val="24"/>
        </w:rPr>
        <w:noBreakHyphen/>
        <w:t>vitaminantagonister.</w:t>
      </w:r>
    </w:p>
    <w:p w14:paraId="70C5BBAB" w14:textId="77777777" w:rsidR="009C646A" w:rsidRPr="00384190" w:rsidRDefault="009C646A" w:rsidP="00384190">
      <w:pPr>
        <w:ind w:left="851"/>
        <w:rPr>
          <w:sz w:val="24"/>
          <w:szCs w:val="24"/>
        </w:rPr>
      </w:pPr>
    </w:p>
    <w:p w14:paraId="6CBD8D73" w14:textId="77777777" w:rsidR="009C646A" w:rsidRPr="00384190" w:rsidRDefault="009C646A" w:rsidP="00384190">
      <w:pPr>
        <w:ind w:left="851"/>
        <w:rPr>
          <w:i/>
          <w:iCs/>
          <w:sz w:val="24"/>
          <w:szCs w:val="24"/>
        </w:rPr>
      </w:pPr>
      <w:r w:rsidRPr="00384190">
        <w:rPr>
          <w:i/>
          <w:sz w:val="24"/>
          <w:szCs w:val="24"/>
        </w:rPr>
        <w:t>Andre antibakterielle midler</w:t>
      </w:r>
    </w:p>
    <w:p w14:paraId="3EE85835" w14:textId="77777777" w:rsidR="009C646A" w:rsidRPr="00384190" w:rsidRDefault="009C646A" w:rsidP="00384190">
      <w:pPr>
        <w:ind w:left="851"/>
        <w:rPr>
          <w:sz w:val="24"/>
          <w:szCs w:val="24"/>
        </w:rPr>
      </w:pPr>
      <w:r w:rsidRPr="00384190">
        <w:rPr>
          <w:sz w:val="24"/>
          <w:szCs w:val="24"/>
        </w:rPr>
        <w:t xml:space="preserve">Der er påvist antagonisme mellem </w:t>
      </w:r>
      <w:proofErr w:type="spellStart"/>
      <w:r w:rsidRPr="00384190">
        <w:rPr>
          <w:sz w:val="24"/>
          <w:szCs w:val="24"/>
        </w:rPr>
        <w:t>clindamycin</w:t>
      </w:r>
      <w:proofErr w:type="spellEnd"/>
      <w:r w:rsidRPr="00384190">
        <w:rPr>
          <w:sz w:val="24"/>
          <w:szCs w:val="24"/>
        </w:rPr>
        <w:t xml:space="preserve"> og </w:t>
      </w:r>
      <w:proofErr w:type="spellStart"/>
      <w:r w:rsidRPr="00384190">
        <w:rPr>
          <w:sz w:val="24"/>
          <w:szCs w:val="24"/>
        </w:rPr>
        <w:t>erythromycin</w:t>
      </w:r>
      <w:proofErr w:type="spellEnd"/>
      <w:r w:rsidRPr="00384190">
        <w:rPr>
          <w:sz w:val="24"/>
          <w:szCs w:val="24"/>
        </w:rPr>
        <w:t xml:space="preserve"> </w:t>
      </w:r>
      <w:r w:rsidRPr="00A94E88">
        <w:rPr>
          <w:i/>
          <w:sz w:val="24"/>
          <w:szCs w:val="24"/>
        </w:rPr>
        <w:t xml:space="preserve">in </w:t>
      </w:r>
      <w:proofErr w:type="spellStart"/>
      <w:r w:rsidRPr="00A94E88">
        <w:rPr>
          <w:i/>
          <w:sz w:val="24"/>
          <w:szCs w:val="24"/>
        </w:rPr>
        <w:t>vitro</w:t>
      </w:r>
      <w:proofErr w:type="spellEnd"/>
      <w:r w:rsidRPr="00384190">
        <w:rPr>
          <w:sz w:val="24"/>
          <w:szCs w:val="24"/>
        </w:rPr>
        <w:t>. På grund af mulig klinisk betydning må disse to lægemidler ikke administreres samtidigt.</w:t>
      </w:r>
    </w:p>
    <w:p w14:paraId="728CC497" w14:textId="77777777" w:rsidR="009C646A" w:rsidRPr="00384190" w:rsidRDefault="009C646A" w:rsidP="00384190">
      <w:pPr>
        <w:ind w:left="851"/>
        <w:rPr>
          <w:sz w:val="24"/>
          <w:szCs w:val="24"/>
        </w:rPr>
      </w:pPr>
    </w:p>
    <w:p w14:paraId="1D5EBECE" w14:textId="77777777" w:rsidR="009C646A" w:rsidRPr="00384190" w:rsidRDefault="009C646A" w:rsidP="00384190">
      <w:pPr>
        <w:ind w:left="851"/>
        <w:rPr>
          <w:i/>
          <w:iCs/>
          <w:sz w:val="24"/>
          <w:szCs w:val="24"/>
        </w:rPr>
      </w:pPr>
      <w:r w:rsidRPr="00384190">
        <w:rPr>
          <w:i/>
          <w:sz w:val="24"/>
          <w:szCs w:val="24"/>
        </w:rPr>
        <w:t>CYP-</w:t>
      </w:r>
      <w:proofErr w:type="spellStart"/>
      <w:r w:rsidRPr="00384190">
        <w:rPr>
          <w:i/>
          <w:sz w:val="24"/>
          <w:szCs w:val="24"/>
        </w:rPr>
        <w:t>enzymhæmmere</w:t>
      </w:r>
      <w:proofErr w:type="spellEnd"/>
      <w:r w:rsidRPr="00384190">
        <w:rPr>
          <w:i/>
          <w:sz w:val="24"/>
          <w:szCs w:val="24"/>
        </w:rPr>
        <w:t xml:space="preserve"> og -inducere</w:t>
      </w:r>
    </w:p>
    <w:p w14:paraId="56CAB8AE" w14:textId="77777777" w:rsidR="009C646A" w:rsidRPr="00384190" w:rsidRDefault="009C646A" w:rsidP="00384190">
      <w:pPr>
        <w:ind w:left="851"/>
        <w:rPr>
          <w:sz w:val="24"/>
          <w:szCs w:val="24"/>
        </w:rPr>
      </w:pPr>
      <w:proofErr w:type="spellStart"/>
      <w:r w:rsidRPr="00384190">
        <w:rPr>
          <w:sz w:val="24"/>
          <w:szCs w:val="24"/>
        </w:rPr>
        <w:t>Clindamycin</w:t>
      </w:r>
      <w:proofErr w:type="spellEnd"/>
      <w:r w:rsidRPr="00384190">
        <w:rPr>
          <w:sz w:val="24"/>
          <w:szCs w:val="24"/>
        </w:rPr>
        <w:t xml:space="preserve"> </w:t>
      </w:r>
      <w:proofErr w:type="spellStart"/>
      <w:r w:rsidRPr="00384190">
        <w:rPr>
          <w:sz w:val="24"/>
          <w:szCs w:val="24"/>
        </w:rPr>
        <w:t>metaboliseres</w:t>
      </w:r>
      <w:proofErr w:type="spellEnd"/>
      <w:r w:rsidRPr="00384190">
        <w:rPr>
          <w:sz w:val="24"/>
          <w:szCs w:val="24"/>
        </w:rPr>
        <w:t xml:space="preserve"> primært af CYP3A4 og i mindre grad af CYP3A5 til den primære metabolit </w:t>
      </w:r>
      <w:proofErr w:type="spellStart"/>
      <w:r w:rsidRPr="00384190">
        <w:rPr>
          <w:sz w:val="24"/>
          <w:szCs w:val="24"/>
        </w:rPr>
        <w:t>clindamycinsulfoxid</w:t>
      </w:r>
      <w:proofErr w:type="spellEnd"/>
      <w:r w:rsidRPr="00384190">
        <w:rPr>
          <w:sz w:val="24"/>
          <w:szCs w:val="24"/>
        </w:rPr>
        <w:t xml:space="preserve"> og sekundære metabolit N </w:t>
      </w:r>
      <w:proofErr w:type="spellStart"/>
      <w:r w:rsidRPr="00384190">
        <w:rPr>
          <w:sz w:val="24"/>
          <w:szCs w:val="24"/>
        </w:rPr>
        <w:t>desmethylclindamycin</w:t>
      </w:r>
      <w:proofErr w:type="spellEnd"/>
      <w:r w:rsidRPr="00384190">
        <w:rPr>
          <w:sz w:val="24"/>
          <w:szCs w:val="24"/>
        </w:rPr>
        <w:t>.</w:t>
      </w:r>
    </w:p>
    <w:p w14:paraId="3A1BCEDE" w14:textId="7E178290" w:rsidR="009C646A" w:rsidRPr="00384190" w:rsidRDefault="009C646A" w:rsidP="00384190">
      <w:pPr>
        <w:ind w:left="851"/>
        <w:rPr>
          <w:sz w:val="24"/>
          <w:szCs w:val="24"/>
        </w:rPr>
      </w:pPr>
      <w:r w:rsidRPr="00384190">
        <w:rPr>
          <w:sz w:val="24"/>
          <w:szCs w:val="24"/>
        </w:rPr>
        <w:t xml:space="preserve">CYP3A4- og CYP3A5-hæmmerne kan således reducere </w:t>
      </w:r>
      <w:proofErr w:type="spellStart"/>
      <w:r w:rsidRPr="00384190">
        <w:rPr>
          <w:sz w:val="24"/>
          <w:szCs w:val="24"/>
        </w:rPr>
        <w:t>clindamycins</w:t>
      </w:r>
      <w:proofErr w:type="spellEnd"/>
      <w:r w:rsidRPr="00384190">
        <w:rPr>
          <w:sz w:val="24"/>
          <w:szCs w:val="24"/>
        </w:rPr>
        <w:t xml:space="preserve"> </w:t>
      </w:r>
      <w:proofErr w:type="spellStart"/>
      <w:r w:rsidRPr="00384190">
        <w:rPr>
          <w:sz w:val="24"/>
          <w:szCs w:val="24"/>
        </w:rPr>
        <w:t>clearance</w:t>
      </w:r>
      <w:proofErr w:type="spellEnd"/>
      <w:r w:rsidRPr="00384190">
        <w:rPr>
          <w:sz w:val="24"/>
          <w:szCs w:val="24"/>
        </w:rPr>
        <w:t xml:space="preserve">. </w:t>
      </w:r>
    </w:p>
    <w:p w14:paraId="57DBE474" w14:textId="77777777" w:rsidR="009C646A" w:rsidRPr="00384190" w:rsidRDefault="009C646A" w:rsidP="00384190">
      <w:pPr>
        <w:ind w:left="851"/>
        <w:rPr>
          <w:sz w:val="24"/>
          <w:szCs w:val="24"/>
        </w:rPr>
      </w:pPr>
      <w:r w:rsidRPr="00384190">
        <w:rPr>
          <w:sz w:val="24"/>
          <w:szCs w:val="24"/>
        </w:rPr>
        <w:lastRenderedPageBreak/>
        <w:t xml:space="preserve">CYP3A4- og CYP3A5-induktorer kan øge </w:t>
      </w:r>
      <w:proofErr w:type="spellStart"/>
      <w:r w:rsidRPr="00384190">
        <w:rPr>
          <w:sz w:val="24"/>
          <w:szCs w:val="24"/>
        </w:rPr>
        <w:t>clindamycins</w:t>
      </w:r>
      <w:proofErr w:type="spellEnd"/>
      <w:r w:rsidRPr="00384190">
        <w:rPr>
          <w:sz w:val="24"/>
          <w:szCs w:val="24"/>
        </w:rPr>
        <w:t xml:space="preserve"> </w:t>
      </w:r>
      <w:proofErr w:type="spellStart"/>
      <w:r w:rsidRPr="00384190">
        <w:rPr>
          <w:sz w:val="24"/>
          <w:szCs w:val="24"/>
        </w:rPr>
        <w:t>clearance</w:t>
      </w:r>
      <w:proofErr w:type="spellEnd"/>
      <w:r w:rsidRPr="00384190">
        <w:rPr>
          <w:sz w:val="24"/>
          <w:szCs w:val="24"/>
        </w:rPr>
        <w:t xml:space="preserve">. Patienterne skal observeres for nedsat behandlingseffekt, hvis </w:t>
      </w:r>
      <w:proofErr w:type="spellStart"/>
      <w:r w:rsidRPr="00384190">
        <w:rPr>
          <w:sz w:val="24"/>
          <w:szCs w:val="24"/>
        </w:rPr>
        <w:t>clindamycin</w:t>
      </w:r>
      <w:proofErr w:type="spellEnd"/>
      <w:r w:rsidRPr="00384190">
        <w:rPr>
          <w:sz w:val="24"/>
          <w:szCs w:val="24"/>
        </w:rPr>
        <w:t xml:space="preserve"> anvendes sammen med kraftige CYP3A4-induktorer såsom </w:t>
      </w:r>
      <w:proofErr w:type="spellStart"/>
      <w:r w:rsidRPr="00384190">
        <w:rPr>
          <w:sz w:val="24"/>
          <w:szCs w:val="24"/>
        </w:rPr>
        <w:t>rifampicin</w:t>
      </w:r>
      <w:proofErr w:type="spellEnd"/>
      <w:r w:rsidRPr="00384190">
        <w:rPr>
          <w:sz w:val="24"/>
          <w:szCs w:val="24"/>
        </w:rPr>
        <w:t>.</w:t>
      </w:r>
    </w:p>
    <w:p w14:paraId="29D80CC2" w14:textId="77777777" w:rsidR="009C646A" w:rsidRPr="00384190" w:rsidRDefault="009C646A" w:rsidP="00384190">
      <w:pPr>
        <w:ind w:left="851"/>
        <w:rPr>
          <w:sz w:val="24"/>
          <w:szCs w:val="24"/>
        </w:rPr>
      </w:pPr>
    </w:p>
    <w:p w14:paraId="606E476A" w14:textId="77777777" w:rsidR="009C646A" w:rsidRPr="00384190" w:rsidRDefault="009C646A" w:rsidP="00384190">
      <w:pPr>
        <w:ind w:left="851"/>
        <w:rPr>
          <w:color w:val="000000"/>
          <w:sz w:val="24"/>
          <w:szCs w:val="24"/>
        </w:rPr>
      </w:pPr>
      <w:r w:rsidRPr="00384190">
        <w:rPr>
          <w:i/>
          <w:sz w:val="24"/>
          <w:szCs w:val="24"/>
        </w:rPr>
        <w:t xml:space="preserve">In </w:t>
      </w:r>
      <w:proofErr w:type="spellStart"/>
      <w:r w:rsidRPr="00384190">
        <w:rPr>
          <w:i/>
          <w:sz w:val="24"/>
          <w:szCs w:val="24"/>
        </w:rPr>
        <w:t>vitro</w:t>
      </w:r>
      <w:proofErr w:type="spellEnd"/>
      <w:r w:rsidRPr="00384190">
        <w:rPr>
          <w:sz w:val="24"/>
          <w:szCs w:val="24"/>
        </w:rPr>
        <w:t xml:space="preserve">-undersøgelser indikerer, at </w:t>
      </w:r>
      <w:proofErr w:type="spellStart"/>
      <w:r w:rsidRPr="00384190">
        <w:rPr>
          <w:sz w:val="24"/>
          <w:szCs w:val="24"/>
        </w:rPr>
        <w:t>clindamycin</w:t>
      </w:r>
      <w:proofErr w:type="spellEnd"/>
      <w:r w:rsidRPr="00384190">
        <w:rPr>
          <w:sz w:val="24"/>
          <w:szCs w:val="24"/>
        </w:rPr>
        <w:t xml:space="preserve"> ikke hæmmer CYP1A2, CYP2C9, CYP2C19, CYP2E1 eller CYP2D6 og kun moderat hæmmer CYP3A4. Klinisk vigtige interaktioner mellem </w:t>
      </w:r>
      <w:proofErr w:type="spellStart"/>
      <w:r w:rsidRPr="00384190">
        <w:rPr>
          <w:sz w:val="24"/>
          <w:szCs w:val="24"/>
        </w:rPr>
        <w:t>clindamycin</w:t>
      </w:r>
      <w:proofErr w:type="spellEnd"/>
      <w:r w:rsidRPr="00384190">
        <w:rPr>
          <w:sz w:val="24"/>
          <w:szCs w:val="24"/>
        </w:rPr>
        <w:t xml:space="preserve"> og samtidigt indgivne lægemidler, der </w:t>
      </w:r>
      <w:proofErr w:type="spellStart"/>
      <w:r w:rsidRPr="00384190">
        <w:rPr>
          <w:sz w:val="24"/>
          <w:szCs w:val="24"/>
        </w:rPr>
        <w:t>metaboliseres</w:t>
      </w:r>
      <w:proofErr w:type="spellEnd"/>
      <w:r w:rsidRPr="00384190">
        <w:rPr>
          <w:sz w:val="24"/>
          <w:szCs w:val="24"/>
        </w:rPr>
        <w:t xml:space="preserve"> af disse CYP-enzymer, er derfor usandsynlige.</w:t>
      </w:r>
    </w:p>
    <w:p w14:paraId="01B69EA7" w14:textId="77777777" w:rsidR="009C646A" w:rsidRPr="00384190" w:rsidRDefault="009C646A" w:rsidP="00384190">
      <w:pPr>
        <w:ind w:left="851"/>
        <w:rPr>
          <w:bCs/>
          <w:sz w:val="24"/>
          <w:szCs w:val="24"/>
        </w:rPr>
      </w:pPr>
    </w:p>
    <w:p w14:paraId="55F12AC8" w14:textId="77777777" w:rsidR="009C646A" w:rsidRPr="00384190" w:rsidRDefault="009C646A" w:rsidP="00384190">
      <w:pPr>
        <w:ind w:left="851"/>
        <w:rPr>
          <w:bCs/>
          <w:i/>
          <w:sz w:val="24"/>
          <w:szCs w:val="24"/>
        </w:rPr>
      </w:pPr>
      <w:proofErr w:type="spellStart"/>
      <w:r w:rsidRPr="00384190">
        <w:rPr>
          <w:i/>
          <w:sz w:val="24"/>
          <w:szCs w:val="24"/>
        </w:rPr>
        <w:t>Immunsuppressiva</w:t>
      </w:r>
      <w:proofErr w:type="spellEnd"/>
    </w:p>
    <w:p w14:paraId="20032AC1" w14:textId="77777777" w:rsidR="009C646A" w:rsidRPr="00384190" w:rsidRDefault="009C646A" w:rsidP="00384190">
      <w:pPr>
        <w:ind w:left="851"/>
        <w:rPr>
          <w:bCs/>
          <w:iCs/>
          <w:sz w:val="24"/>
          <w:szCs w:val="24"/>
        </w:rPr>
      </w:pPr>
      <w:proofErr w:type="spellStart"/>
      <w:r w:rsidRPr="00384190">
        <w:rPr>
          <w:sz w:val="24"/>
          <w:szCs w:val="24"/>
        </w:rPr>
        <w:t>Clindamycin</w:t>
      </w:r>
      <w:proofErr w:type="spellEnd"/>
      <w:r w:rsidRPr="00384190">
        <w:rPr>
          <w:sz w:val="24"/>
          <w:szCs w:val="24"/>
        </w:rPr>
        <w:t xml:space="preserve"> kan </w:t>
      </w:r>
      <w:r w:rsidRPr="00384190">
        <w:rPr>
          <w:bCs/>
          <w:sz w:val="24"/>
          <w:szCs w:val="24"/>
        </w:rPr>
        <w:t xml:space="preserve">påvirke </w:t>
      </w:r>
      <w:r w:rsidRPr="00384190">
        <w:rPr>
          <w:sz w:val="24"/>
          <w:szCs w:val="24"/>
        </w:rPr>
        <w:t xml:space="preserve">koncentrationen af </w:t>
      </w:r>
      <w:proofErr w:type="spellStart"/>
      <w:r w:rsidRPr="00384190">
        <w:rPr>
          <w:sz w:val="24"/>
          <w:szCs w:val="24"/>
        </w:rPr>
        <w:t>ciclosporin</w:t>
      </w:r>
      <w:proofErr w:type="spellEnd"/>
      <w:r w:rsidRPr="00384190">
        <w:rPr>
          <w:sz w:val="24"/>
          <w:szCs w:val="24"/>
        </w:rPr>
        <w:t xml:space="preserve"> og </w:t>
      </w:r>
      <w:proofErr w:type="spellStart"/>
      <w:r w:rsidRPr="00384190">
        <w:rPr>
          <w:sz w:val="24"/>
          <w:szCs w:val="24"/>
        </w:rPr>
        <w:t>tacrolimus</w:t>
      </w:r>
      <w:proofErr w:type="spellEnd"/>
      <w:r w:rsidRPr="00384190">
        <w:rPr>
          <w:sz w:val="24"/>
          <w:szCs w:val="24"/>
        </w:rPr>
        <w:t xml:space="preserve"> i blodet. </w:t>
      </w:r>
      <w:r w:rsidRPr="00384190">
        <w:rPr>
          <w:bCs/>
          <w:sz w:val="24"/>
          <w:szCs w:val="24"/>
        </w:rPr>
        <w:t xml:space="preserve">Overvågning af </w:t>
      </w:r>
      <w:proofErr w:type="spellStart"/>
      <w:r w:rsidRPr="00384190">
        <w:rPr>
          <w:bCs/>
          <w:sz w:val="24"/>
          <w:szCs w:val="24"/>
        </w:rPr>
        <w:t>ciclosporin</w:t>
      </w:r>
      <w:proofErr w:type="spellEnd"/>
      <w:r w:rsidRPr="00384190">
        <w:rPr>
          <w:bCs/>
          <w:sz w:val="24"/>
          <w:szCs w:val="24"/>
        </w:rPr>
        <w:t>/</w:t>
      </w:r>
      <w:proofErr w:type="spellStart"/>
      <w:r w:rsidRPr="00384190">
        <w:rPr>
          <w:bCs/>
          <w:sz w:val="24"/>
          <w:szCs w:val="24"/>
        </w:rPr>
        <w:t>tacrolimus</w:t>
      </w:r>
      <w:proofErr w:type="spellEnd"/>
      <w:r w:rsidRPr="00384190">
        <w:rPr>
          <w:bCs/>
          <w:sz w:val="24"/>
          <w:szCs w:val="24"/>
        </w:rPr>
        <w:t xml:space="preserve"> serumniveauer under behandling med </w:t>
      </w:r>
      <w:proofErr w:type="spellStart"/>
      <w:r w:rsidRPr="00384190">
        <w:rPr>
          <w:bCs/>
          <w:sz w:val="24"/>
          <w:szCs w:val="24"/>
        </w:rPr>
        <w:t>clindamycin</w:t>
      </w:r>
      <w:proofErr w:type="spellEnd"/>
      <w:r w:rsidRPr="00384190">
        <w:rPr>
          <w:bCs/>
          <w:sz w:val="24"/>
          <w:szCs w:val="24"/>
        </w:rPr>
        <w:t xml:space="preserve"> anbefales</w:t>
      </w:r>
      <w:r w:rsidRPr="00384190">
        <w:rPr>
          <w:sz w:val="24"/>
          <w:szCs w:val="24"/>
        </w:rPr>
        <w:t>.</w:t>
      </w:r>
    </w:p>
    <w:p w14:paraId="3887EA39" w14:textId="77777777" w:rsidR="009260DE" w:rsidRPr="00384190" w:rsidRDefault="009260DE" w:rsidP="009260DE">
      <w:pPr>
        <w:tabs>
          <w:tab w:val="left" w:pos="851"/>
        </w:tabs>
        <w:ind w:left="851"/>
        <w:rPr>
          <w:sz w:val="24"/>
          <w:szCs w:val="24"/>
        </w:rPr>
      </w:pPr>
    </w:p>
    <w:p w14:paraId="51316C04" w14:textId="77777777" w:rsidR="009260DE" w:rsidRPr="00384190" w:rsidRDefault="009260DE" w:rsidP="009260DE">
      <w:pPr>
        <w:tabs>
          <w:tab w:val="left" w:pos="851"/>
        </w:tabs>
        <w:ind w:left="851" w:hanging="851"/>
        <w:rPr>
          <w:b/>
          <w:sz w:val="24"/>
          <w:szCs w:val="24"/>
        </w:rPr>
      </w:pPr>
      <w:r w:rsidRPr="00384190">
        <w:rPr>
          <w:b/>
          <w:sz w:val="24"/>
          <w:szCs w:val="24"/>
        </w:rPr>
        <w:t>4.6</w:t>
      </w:r>
      <w:r w:rsidRPr="00384190">
        <w:rPr>
          <w:b/>
          <w:sz w:val="24"/>
          <w:szCs w:val="24"/>
        </w:rPr>
        <w:tab/>
      </w:r>
      <w:r w:rsidR="0071241E" w:rsidRPr="00384190">
        <w:rPr>
          <w:b/>
          <w:sz w:val="24"/>
          <w:szCs w:val="24"/>
        </w:rPr>
        <w:t>Fertilitet, g</w:t>
      </w:r>
      <w:r w:rsidRPr="00384190">
        <w:rPr>
          <w:b/>
          <w:sz w:val="24"/>
          <w:szCs w:val="24"/>
        </w:rPr>
        <w:t>raviditet og amning</w:t>
      </w:r>
    </w:p>
    <w:p w14:paraId="7353A179" w14:textId="77777777" w:rsidR="00384190" w:rsidRDefault="00384190" w:rsidP="00384190">
      <w:pPr>
        <w:ind w:left="851"/>
        <w:rPr>
          <w:sz w:val="24"/>
          <w:szCs w:val="24"/>
          <w:u w:color="000000"/>
        </w:rPr>
      </w:pPr>
    </w:p>
    <w:p w14:paraId="34E2F63D" w14:textId="66F8D6C1" w:rsidR="009C646A" w:rsidRPr="00384190" w:rsidRDefault="009C646A" w:rsidP="00384190">
      <w:pPr>
        <w:ind w:left="851"/>
        <w:rPr>
          <w:sz w:val="24"/>
          <w:szCs w:val="24"/>
          <w:u w:val="single"/>
        </w:rPr>
      </w:pPr>
      <w:r w:rsidRPr="00384190">
        <w:rPr>
          <w:sz w:val="24"/>
          <w:szCs w:val="24"/>
          <w:u w:val="single"/>
        </w:rPr>
        <w:t>Graviditet</w:t>
      </w:r>
    </w:p>
    <w:p w14:paraId="020D5556" w14:textId="77777777" w:rsidR="009C646A" w:rsidRPr="00384190" w:rsidRDefault="009C646A" w:rsidP="00384190">
      <w:pPr>
        <w:ind w:left="851"/>
        <w:rPr>
          <w:iCs/>
          <w:sz w:val="24"/>
          <w:szCs w:val="24"/>
        </w:rPr>
      </w:pPr>
      <w:r w:rsidRPr="00384190">
        <w:rPr>
          <w:sz w:val="24"/>
          <w:szCs w:val="24"/>
        </w:rPr>
        <w:t xml:space="preserve">I kliniske undersøgelser med gravide kvinder var systemisk administration af </w:t>
      </w:r>
      <w:proofErr w:type="spellStart"/>
      <w:r w:rsidRPr="00384190">
        <w:rPr>
          <w:sz w:val="24"/>
          <w:szCs w:val="24"/>
        </w:rPr>
        <w:t>clindamycin</w:t>
      </w:r>
      <w:proofErr w:type="spellEnd"/>
      <w:r w:rsidRPr="00384190">
        <w:rPr>
          <w:sz w:val="24"/>
          <w:szCs w:val="24"/>
        </w:rPr>
        <w:t xml:space="preserve"> i andet og tredje trimester ikke relateret til en øget forekomst af medfødte misdannelser. Der er ingen tilstrækkelige, velkontrollerede undersøgelser af gravide kvinder i graviditetens første trimester. </w:t>
      </w:r>
      <w:proofErr w:type="spellStart"/>
      <w:r w:rsidRPr="00384190">
        <w:rPr>
          <w:sz w:val="24"/>
          <w:szCs w:val="24"/>
        </w:rPr>
        <w:t>Clindamycin</w:t>
      </w:r>
      <w:proofErr w:type="spellEnd"/>
      <w:r w:rsidRPr="00384190">
        <w:rPr>
          <w:sz w:val="24"/>
          <w:szCs w:val="24"/>
        </w:rPr>
        <w:t xml:space="preserve"> krydser placenta hos mennesker.</w:t>
      </w:r>
    </w:p>
    <w:p w14:paraId="548F692E" w14:textId="77777777" w:rsidR="009C646A" w:rsidRPr="00384190" w:rsidRDefault="009C646A" w:rsidP="00384190">
      <w:pPr>
        <w:ind w:left="851"/>
        <w:rPr>
          <w:sz w:val="24"/>
          <w:szCs w:val="24"/>
        </w:rPr>
      </w:pPr>
      <w:proofErr w:type="spellStart"/>
      <w:r w:rsidRPr="00384190">
        <w:rPr>
          <w:sz w:val="24"/>
          <w:szCs w:val="24"/>
        </w:rPr>
        <w:t>Clindamycin</w:t>
      </w:r>
      <w:proofErr w:type="spellEnd"/>
      <w:r w:rsidRPr="00384190">
        <w:rPr>
          <w:sz w:val="24"/>
          <w:szCs w:val="24"/>
        </w:rPr>
        <w:t xml:space="preserve"> må kun anvendes, hvis det er absolut nødvendigt under graviditet.</w:t>
      </w:r>
    </w:p>
    <w:p w14:paraId="1CC2F89C" w14:textId="77777777" w:rsidR="009C646A" w:rsidRPr="00384190" w:rsidRDefault="009C646A" w:rsidP="00384190">
      <w:pPr>
        <w:ind w:left="851"/>
        <w:rPr>
          <w:sz w:val="24"/>
          <w:szCs w:val="24"/>
        </w:rPr>
      </w:pPr>
    </w:p>
    <w:p w14:paraId="7EC83C8E" w14:textId="77777777" w:rsidR="009C646A" w:rsidRPr="00384190" w:rsidRDefault="009C646A" w:rsidP="00384190">
      <w:pPr>
        <w:ind w:left="851"/>
        <w:rPr>
          <w:sz w:val="24"/>
          <w:szCs w:val="24"/>
          <w:u w:val="single"/>
        </w:rPr>
      </w:pPr>
      <w:r w:rsidRPr="00384190">
        <w:rPr>
          <w:sz w:val="24"/>
          <w:szCs w:val="24"/>
          <w:u w:val="single"/>
        </w:rPr>
        <w:t>Amning</w:t>
      </w:r>
    </w:p>
    <w:p w14:paraId="62C80327" w14:textId="77777777" w:rsidR="009C646A" w:rsidRPr="00384190" w:rsidRDefault="009C646A" w:rsidP="00384190">
      <w:pPr>
        <w:ind w:left="851"/>
        <w:rPr>
          <w:sz w:val="24"/>
          <w:szCs w:val="24"/>
        </w:rPr>
      </w:pPr>
      <w:r w:rsidRPr="00384190">
        <w:rPr>
          <w:sz w:val="24"/>
          <w:szCs w:val="24"/>
        </w:rPr>
        <w:t xml:space="preserve">Efter systemisk administration er der indberetninger om, at </w:t>
      </w:r>
      <w:proofErr w:type="spellStart"/>
      <w:r w:rsidRPr="00384190">
        <w:rPr>
          <w:sz w:val="24"/>
          <w:szCs w:val="24"/>
        </w:rPr>
        <w:t>clindamycin</w:t>
      </w:r>
      <w:proofErr w:type="spellEnd"/>
      <w:r w:rsidRPr="00384190">
        <w:rPr>
          <w:sz w:val="24"/>
          <w:szCs w:val="24"/>
        </w:rPr>
        <w:t xml:space="preserve"> forekommer i human modermælk i niveau fra &lt; 0,5 til 3,8 </w:t>
      </w:r>
      <w:proofErr w:type="spellStart"/>
      <w:r w:rsidRPr="00384190">
        <w:rPr>
          <w:sz w:val="24"/>
          <w:szCs w:val="24"/>
        </w:rPr>
        <w:t>μg</w:t>
      </w:r>
      <w:proofErr w:type="spellEnd"/>
      <w:r w:rsidRPr="00384190">
        <w:rPr>
          <w:sz w:val="24"/>
          <w:szCs w:val="24"/>
        </w:rPr>
        <w:t xml:space="preserve">/ml. </w:t>
      </w:r>
      <w:proofErr w:type="spellStart"/>
      <w:r w:rsidRPr="00384190">
        <w:rPr>
          <w:sz w:val="24"/>
          <w:szCs w:val="24"/>
        </w:rPr>
        <w:t>Clindamycin</w:t>
      </w:r>
      <w:proofErr w:type="spellEnd"/>
      <w:r w:rsidRPr="00384190">
        <w:rPr>
          <w:sz w:val="24"/>
          <w:szCs w:val="24"/>
        </w:rPr>
        <w:t xml:space="preserve"> kan potentielt have negativ indvirkning på det ammede spædbarns tarmflora med symptomer som diarré eller blod i afføringen eller udslæt. Det frarådes at bruge </w:t>
      </w:r>
      <w:proofErr w:type="spellStart"/>
      <w:r w:rsidRPr="00384190">
        <w:rPr>
          <w:sz w:val="24"/>
          <w:szCs w:val="24"/>
        </w:rPr>
        <w:t>clindamycin</w:t>
      </w:r>
      <w:proofErr w:type="spellEnd"/>
      <w:r w:rsidRPr="00384190">
        <w:rPr>
          <w:sz w:val="24"/>
          <w:szCs w:val="24"/>
        </w:rPr>
        <w:t xml:space="preserve"> i </w:t>
      </w:r>
      <w:proofErr w:type="spellStart"/>
      <w:r w:rsidRPr="00384190">
        <w:rPr>
          <w:sz w:val="24"/>
          <w:szCs w:val="24"/>
        </w:rPr>
        <w:t>ammeperioden</w:t>
      </w:r>
      <w:proofErr w:type="spellEnd"/>
      <w:r w:rsidRPr="00384190">
        <w:rPr>
          <w:sz w:val="24"/>
          <w:szCs w:val="24"/>
        </w:rPr>
        <w:t xml:space="preserve">, og der skal træffes beslutning om enten at stoppe amning eller vælge en anden behandlingsmulighed. Fordelene ved amning for spædbarnet skal afvejes mod moderens kliniske behov for </w:t>
      </w:r>
      <w:proofErr w:type="spellStart"/>
      <w:r w:rsidRPr="00384190">
        <w:rPr>
          <w:sz w:val="24"/>
          <w:szCs w:val="24"/>
        </w:rPr>
        <w:t>clindamycin</w:t>
      </w:r>
      <w:proofErr w:type="spellEnd"/>
      <w:r w:rsidRPr="00384190">
        <w:rPr>
          <w:sz w:val="24"/>
          <w:szCs w:val="24"/>
        </w:rPr>
        <w:t>.</w:t>
      </w:r>
    </w:p>
    <w:p w14:paraId="2E2DDAD7" w14:textId="77777777" w:rsidR="009C646A" w:rsidRPr="00384190" w:rsidRDefault="009C646A" w:rsidP="00384190">
      <w:pPr>
        <w:ind w:left="851"/>
        <w:rPr>
          <w:bCs/>
          <w:sz w:val="24"/>
          <w:szCs w:val="24"/>
        </w:rPr>
      </w:pPr>
    </w:p>
    <w:p w14:paraId="3031449F" w14:textId="77777777" w:rsidR="009C646A" w:rsidRPr="00384190" w:rsidRDefault="009C646A" w:rsidP="00384190">
      <w:pPr>
        <w:ind w:left="851"/>
        <w:rPr>
          <w:bCs/>
          <w:sz w:val="24"/>
          <w:szCs w:val="24"/>
          <w:u w:val="single"/>
        </w:rPr>
      </w:pPr>
      <w:r w:rsidRPr="00384190">
        <w:rPr>
          <w:bCs/>
          <w:sz w:val="24"/>
          <w:szCs w:val="24"/>
          <w:u w:val="single"/>
        </w:rPr>
        <w:t>Fertilitet</w:t>
      </w:r>
    </w:p>
    <w:p w14:paraId="6D224B6B" w14:textId="77777777" w:rsidR="009C646A" w:rsidRPr="00384190" w:rsidRDefault="009C646A" w:rsidP="00384190">
      <w:pPr>
        <w:ind w:left="851"/>
        <w:rPr>
          <w:bCs/>
          <w:sz w:val="24"/>
          <w:szCs w:val="24"/>
        </w:rPr>
      </w:pPr>
      <w:r w:rsidRPr="00384190">
        <w:rPr>
          <w:bCs/>
          <w:sz w:val="24"/>
          <w:szCs w:val="24"/>
        </w:rPr>
        <w:t>Dyreforsøg indikerer ikke direkte eller indirekte skadelige virkninger med hensyn til reproduktionstoksicitet (se pkt. 5.3).</w:t>
      </w:r>
    </w:p>
    <w:p w14:paraId="3EDB9ED1" w14:textId="77777777" w:rsidR="009260DE" w:rsidRPr="00384190" w:rsidRDefault="009260DE" w:rsidP="009260DE">
      <w:pPr>
        <w:tabs>
          <w:tab w:val="left" w:pos="851"/>
        </w:tabs>
        <w:ind w:left="851"/>
        <w:rPr>
          <w:sz w:val="24"/>
          <w:szCs w:val="24"/>
        </w:rPr>
      </w:pPr>
    </w:p>
    <w:p w14:paraId="0A687B4A" w14:textId="77777777" w:rsidR="009260DE" w:rsidRPr="00384190" w:rsidRDefault="009260DE" w:rsidP="009260DE">
      <w:pPr>
        <w:tabs>
          <w:tab w:val="left" w:pos="851"/>
        </w:tabs>
        <w:ind w:left="851" w:hanging="851"/>
        <w:rPr>
          <w:b/>
          <w:sz w:val="24"/>
          <w:szCs w:val="24"/>
        </w:rPr>
      </w:pPr>
      <w:r w:rsidRPr="00384190">
        <w:rPr>
          <w:b/>
          <w:sz w:val="24"/>
          <w:szCs w:val="24"/>
        </w:rPr>
        <w:t>4.7</w:t>
      </w:r>
      <w:r w:rsidRPr="00384190">
        <w:rPr>
          <w:b/>
          <w:sz w:val="24"/>
          <w:szCs w:val="24"/>
        </w:rPr>
        <w:tab/>
        <w:t xml:space="preserve">Virkning på evnen til at føre motorkøretøj </w:t>
      </w:r>
      <w:r w:rsidR="0071241E" w:rsidRPr="00384190">
        <w:rPr>
          <w:b/>
          <w:sz w:val="24"/>
          <w:szCs w:val="24"/>
        </w:rPr>
        <w:t>og</w:t>
      </w:r>
      <w:r w:rsidRPr="00384190">
        <w:rPr>
          <w:b/>
          <w:sz w:val="24"/>
          <w:szCs w:val="24"/>
        </w:rPr>
        <w:t xml:space="preserve"> betjene maskiner</w:t>
      </w:r>
    </w:p>
    <w:p w14:paraId="724DE293" w14:textId="77777777" w:rsidR="009C646A" w:rsidRPr="00384190" w:rsidRDefault="009C646A" w:rsidP="00384190">
      <w:pPr>
        <w:ind w:left="851"/>
        <w:rPr>
          <w:sz w:val="24"/>
          <w:szCs w:val="24"/>
        </w:rPr>
      </w:pPr>
      <w:r w:rsidRPr="00384190">
        <w:rPr>
          <w:sz w:val="24"/>
          <w:szCs w:val="24"/>
        </w:rPr>
        <w:t>Ikke mærkning</w:t>
      </w:r>
    </w:p>
    <w:p w14:paraId="30FA19BD" w14:textId="77777777" w:rsidR="009C646A" w:rsidRPr="00384190" w:rsidRDefault="009C646A" w:rsidP="00384190">
      <w:pPr>
        <w:ind w:left="851"/>
        <w:rPr>
          <w:sz w:val="24"/>
          <w:szCs w:val="24"/>
        </w:rPr>
      </w:pPr>
      <w:proofErr w:type="spellStart"/>
      <w:r w:rsidRPr="00384190">
        <w:rPr>
          <w:sz w:val="24"/>
          <w:szCs w:val="24"/>
        </w:rPr>
        <w:t>Clindamycin</w:t>
      </w:r>
      <w:proofErr w:type="spellEnd"/>
      <w:r w:rsidRPr="00384190">
        <w:rPr>
          <w:sz w:val="24"/>
          <w:szCs w:val="24"/>
        </w:rPr>
        <w:t xml:space="preserve"> påvirker ikke eller kun i ubetydelig grad evnen til at føre motorkøretøj og betjene maskiner.</w:t>
      </w:r>
    </w:p>
    <w:p w14:paraId="10449C92" w14:textId="77777777" w:rsidR="009260DE" w:rsidRPr="00384190" w:rsidRDefault="009260DE" w:rsidP="009260DE">
      <w:pPr>
        <w:tabs>
          <w:tab w:val="left" w:pos="851"/>
        </w:tabs>
        <w:ind w:left="851"/>
        <w:rPr>
          <w:sz w:val="24"/>
          <w:szCs w:val="24"/>
        </w:rPr>
      </w:pPr>
    </w:p>
    <w:p w14:paraId="33373799" w14:textId="77777777" w:rsidR="009260DE" w:rsidRPr="00384190" w:rsidRDefault="009260DE" w:rsidP="009260DE">
      <w:pPr>
        <w:tabs>
          <w:tab w:val="left" w:pos="851"/>
        </w:tabs>
        <w:ind w:left="851" w:hanging="851"/>
        <w:rPr>
          <w:b/>
          <w:sz w:val="24"/>
          <w:szCs w:val="24"/>
        </w:rPr>
      </w:pPr>
      <w:r w:rsidRPr="00384190">
        <w:rPr>
          <w:b/>
          <w:sz w:val="24"/>
          <w:szCs w:val="24"/>
        </w:rPr>
        <w:t>4.8</w:t>
      </w:r>
      <w:r w:rsidRPr="00384190">
        <w:rPr>
          <w:b/>
          <w:sz w:val="24"/>
          <w:szCs w:val="24"/>
        </w:rPr>
        <w:tab/>
        <w:t>Bivirkninger</w:t>
      </w:r>
    </w:p>
    <w:p w14:paraId="176D469F" w14:textId="77777777" w:rsidR="009C646A" w:rsidRPr="00384190" w:rsidRDefault="009C646A" w:rsidP="00384190">
      <w:pPr>
        <w:ind w:left="851"/>
        <w:rPr>
          <w:sz w:val="24"/>
          <w:szCs w:val="24"/>
        </w:rPr>
      </w:pPr>
      <w:r w:rsidRPr="00384190">
        <w:rPr>
          <w:sz w:val="24"/>
          <w:szCs w:val="24"/>
        </w:rPr>
        <w:t xml:space="preserve">Nedenstående tabel 2 viser de bivirkninger, der er påvist via erfaringer fra kliniske forsøg og overvågning efter markedsføring. Bivirkninger er anført efter </w:t>
      </w:r>
      <w:proofErr w:type="spellStart"/>
      <w:r w:rsidRPr="00384190">
        <w:rPr>
          <w:sz w:val="24"/>
          <w:szCs w:val="24"/>
        </w:rPr>
        <w:t>MedDRA</w:t>
      </w:r>
      <w:proofErr w:type="spellEnd"/>
      <w:r w:rsidRPr="00384190">
        <w:rPr>
          <w:sz w:val="24"/>
          <w:szCs w:val="24"/>
        </w:rPr>
        <w:t xml:space="preserve"> systemorganklasse og hyppighed: almindelig (≥ 1/100 til &lt; 1/10), ikke almindelig (≥ 1/1 000 til &lt; 1/100), sjælden (≥ 1/10 000 til &lt; 1/1 000), meget sjælden (&lt; 1/10 000), ikke kendt (kan ikke estimeres ud fra forhåndenværende data).</w:t>
      </w:r>
    </w:p>
    <w:p w14:paraId="563AEE1E" w14:textId="77777777" w:rsidR="009C646A" w:rsidRPr="00384190" w:rsidRDefault="009C646A" w:rsidP="00384190">
      <w:pPr>
        <w:ind w:left="851"/>
        <w:rPr>
          <w:sz w:val="24"/>
          <w:szCs w:val="24"/>
        </w:rPr>
      </w:pPr>
    </w:p>
    <w:p w14:paraId="2DCDE31F" w14:textId="77777777" w:rsidR="009C646A" w:rsidRPr="00384190" w:rsidRDefault="009C646A" w:rsidP="00384190">
      <w:pPr>
        <w:ind w:left="851"/>
        <w:rPr>
          <w:sz w:val="24"/>
          <w:szCs w:val="24"/>
        </w:rPr>
      </w:pPr>
      <w:r w:rsidRPr="00384190">
        <w:rPr>
          <w:sz w:val="24"/>
          <w:szCs w:val="24"/>
        </w:rPr>
        <w:t>Inden for hver enkelt hyppighedsgruppe er bivirkningerne opstillet efter sværhedsgrad. De alvorligste bivirkninger er anført først.</w:t>
      </w:r>
    </w:p>
    <w:p w14:paraId="4E8ED728" w14:textId="77777777" w:rsidR="009C646A" w:rsidRPr="00384190" w:rsidRDefault="009C646A" w:rsidP="00384190">
      <w:pPr>
        <w:ind w:left="851"/>
        <w:rPr>
          <w:sz w:val="24"/>
          <w:szCs w:val="24"/>
        </w:rPr>
      </w:pPr>
    </w:p>
    <w:p w14:paraId="58E0EA87" w14:textId="0718F25F" w:rsidR="009C646A" w:rsidRPr="00384190" w:rsidRDefault="009C646A" w:rsidP="00384190">
      <w:pPr>
        <w:ind w:left="851"/>
        <w:rPr>
          <w:sz w:val="24"/>
          <w:szCs w:val="24"/>
        </w:rPr>
      </w:pPr>
      <w:r w:rsidRPr="00384190">
        <w:rPr>
          <w:sz w:val="24"/>
          <w:szCs w:val="24"/>
        </w:rPr>
        <w:lastRenderedPageBreak/>
        <w:t xml:space="preserve">De hyppigste bivirkninger er </w:t>
      </w:r>
      <w:proofErr w:type="spellStart"/>
      <w:r w:rsidRPr="00384190">
        <w:rPr>
          <w:sz w:val="24"/>
          <w:szCs w:val="24"/>
        </w:rPr>
        <w:t>gastrointestinale</w:t>
      </w:r>
      <w:proofErr w:type="spellEnd"/>
      <w:r w:rsidRPr="00384190">
        <w:rPr>
          <w:sz w:val="24"/>
          <w:szCs w:val="24"/>
        </w:rPr>
        <w:t xml:space="preserve">, overvejende diarré. </w:t>
      </w:r>
      <w:proofErr w:type="spellStart"/>
      <w:r w:rsidRPr="00384190">
        <w:rPr>
          <w:sz w:val="24"/>
          <w:szCs w:val="24"/>
        </w:rPr>
        <w:t>Gastrointestinale</w:t>
      </w:r>
      <w:proofErr w:type="spellEnd"/>
      <w:r w:rsidRPr="00384190">
        <w:rPr>
          <w:sz w:val="24"/>
          <w:szCs w:val="24"/>
        </w:rPr>
        <w:t>,</w:t>
      </w:r>
      <w:r w:rsidR="00384190" w:rsidRPr="00384190">
        <w:rPr>
          <w:sz w:val="24"/>
          <w:szCs w:val="24"/>
        </w:rPr>
        <w:t xml:space="preserve"> </w:t>
      </w:r>
      <w:r w:rsidRPr="00384190">
        <w:rPr>
          <w:sz w:val="24"/>
          <w:szCs w:val="24"/>
        </w:rPr>
        <w:t>bivirkninger forekommer hos ca. 8 % af patienterne.</w:t>
      </w:r>
    </w:p>
    <w:p w14:paraId="7243E863" w14:textId="77777777" w:rsidR="009C646A" w:rsidRPr="00384190" w:rsidRDefault="009C646A" w:rsidP="00384190">
      <w:pPr>
        <w:ind w:left="851"/>
        <w:rPr>
          <w:sz w:val="24"/>
          <w:szCs w:val="24"/>
        </w:rPr>
      </w:pPr>
    </w:p>
    <w:p w14:paraId="4C8CF65D" w14:textId="7D905DC5" w:rsidR="009C646A" w:rsidRDefault="009C646A" w:rsidP="009C646A">
      <w:pPr>
        <w:pStyle w:val="Ingenafstand"/>
        <w:tabs>
          <w:tab w:val="left" w:pos="1134"/>
        </w:tabs>
        <w:ind w:left="0" w:firstLine="0"/>
        <w:rPr>
          <w:b/>
          <w:sz w:val="24"/>
          <w:szCs w:val="24"/>
        </w:rPr>
      </w:pPr>
      <w:r w:rsidRPr="00384190">
        <w:rPr>
          <w:b/>
          <w:sz w:val="24"/>
          <w:szCs w:val="24"/>
        </w:rPr>
        <w:t>Tabel 2</w:t>
      </w:r>
      <w:r w:rsidRPr="00384190">
        <w:rPr>
          <w:b/>
          <w:sz w:val="24"/>
          <w:szCs w:val="24"/>
        </w:rPr>
        <w:tab/>
        <w:t>Bivirkninger</w:t>
      </w:r>
    </w:p>
    <w:p w14:paraId="266A4CAC" w14:textId="570C30EF" w:rsidR="00805C1C" w:rsidRDefault="00805C1C" w:rsidP="009C646A">
      <w:pPr>
        <w:pStyle w:val="Ingenafstand"/>
        <w:tabs>
          <w:tab w:val="left" w:pos="1134"/>
        </w:tabs>
        <w:ind w:left="0" w:firstLine="0"/>
        <w:rPr>
          <w:b/>
          <w:sz w:val="24"/>
          <w:szCs w:val="24"/>
        </w:rPr>
      </w:pPr>
    </w:p>
    <w:tbl>
      <w:tblPr>
        <w:tblStyle w:val="Tabel-Gitter"/>
        <w:tblW w:w="5000" w:type="pct"/>
        <w:tblLook w:val="04A0" w:firstRow="1" w:lastRow="0" w:firstColumn="1" w:lastColumn="0" w:noHBand="0" w:noVBand="1"/>
      </w:tblPr>
      <w:tblGrid>
        <w:gridCol w:w="2061"/>
        <w:gridCol w:w="1816"/>
        <w:gridCol w:w="1772"/>
        <w:gridCol w:w="1058"/>
        <w:gridCol w:w="961"/>
        <w:gridCol w:w="1960"/>
      </w:tblGrid>
      <w:tr w:rsidR="00805C1C" w:rsidRPr="00805C1C" w14:paraId="3CDD3464" w14:textId="77777777" w:rsidTr="00805C1C">
        <w:tc>
          <w:tcPr>
            <w:tcW w:w="1059" w:type="pct"/>
          </w:tcPr>
          <w:p w14:paraId="792DE85C" w14:textId="481BA819" w:rsidR="00805C1C" w:rsidRPr="00805C1C" w:rsidRDefault="00805C1C" w:rsidP="009C646A">
            <w:pPr>
              <w:pStyle w:val="Ingenafstand"/>
              <w:tabs>
                <w:tab w:val="left" w:pos="1134"/>
              </w:tabs>
              <w:ind w:left="0" w:firstLine="0"/>
              <w:rPr>
                <w:b/>
                <w:sz w:val="20"/>
                <w:szCs w:val="20"/>
              </w:rPr>
            </w:pPr>
            <w:r w:rsidRPr="00805C1C">
              <w:rPr>
                <w:b/>
                <w:sz w:val="20"/>
                <w:szCs w:val="20"/>
                <w:lang w:val="lv-LV"/>
              </w:rPr>
              <w:t>Systemorganklasse</w:t>
            </w:r>
          </w:p>
        </w:tc>
        <w:tc>
          <w:tcPr>
            <w:tcW w:w="933" w:type="pct"/>
          </w:tcPr>
          <w:p w14:paraId="7137F90C" w14:textId="52DA961C" w:rsidR="00805C1C" w:rsidRPr="00805C1C" w:rsidRDefault="00805C1C" w:rsidP="009C646A">
            <w:pPr>
              <w:pStyle w:val="Ingenafstand"/>
              <w:tabs>
                <w:tab w:val="left" w:pos="1134"/>
              </w:tabs>
              <w:ind w:left="0" w:firstLine="0"/>
              <w:rPr>
                <w:b/>
                <w:sz w:val="20"/>
                <w:szCs w:val="20"/>
              </w:rPr>
            </w:pPr>
            <w:r w:rsidRPr="00805C1C">
              <w:rPr>
                <w:b/>
                <w:sz w:val="20"/>
                <w:szCs w:val="20"/>
                <w:lang w:val="lv-LV"/>
              </w:rPr>
              <w:t>Almindelig</w:t>
            </w:r>
          </w:p>
        </w:tc>
        <w:tc>
          <w:tcPr>
            <w:tcW w:w="910" w:type="pct"/>
          </w:tcPr>
          <w:p w14:paraId="0B5A234B" w14:textId="505ADC4C" w:rsidR="00805C1C" w:rsidRPr="00805C1C" w:rsidRDefault="00805C1C" w:rsidP="009C646A">
            <w:pPr>
              <w:pStyle w:val="Ingenafstand"/>
              <w:tabs>
                <w:tab w:val="left" w:pos="1134"/>
              </w:tabs>
              <w:ind w:left="0" w:firstLine="0"/>
              <w:rPr>
                <w:b/>
                <w:sz w:val="20"/>
                <w:szCs w:val="20"/>
              </w:rPr>
            </w:pPr>
            <w:r w:rsidRPr="00805C1C">
              <w:rPr>
                <w:b/>
                <w:sz w:val="20"/>
                <w:szCs w:val="20"/>
              </w:rPr>
              <w:t>Ikke almindelig</w:t>
            </w:r>
          </w:p>
        </w:tc>
        <w:tc>
          <w:tcPr>
            <w:tcW w:w="597" w:type="pct"/>
          </w:tcPr>
          <w:p w14:paraId="1C08B74F" w14:textId="265840ED" w:rsidR="00805C1C" w:rsidRPr="00805C1C" w:rsidRDefault="00805C1C" w:rsidP="009C646A">
            <w:pPr>
              <w:pStyle w:val="Ingenafstand"/>
              <w:tabs>
                <w:tab w:val="left" w:pos="1134"/>
              </w:tabs>
              <w:ind w:left="0" w:firstLine="0"/>
              <w:rPr>
                <w:b/>
                <w:sz w:val="20"/>
                <w:szCs w:val="20"/>
              </w:rPr>
            </w:pPr>
            <w:r w:rsidRPr="00805C1C">
              <w:rPr>
                <w:b/>
                <w:sz w:val="20"/>
                <w:szCs w:val="20"/>
              </w:rPr>
              <w:t>Sjælden</w:t>
            </w:r>
          </w:p>
        </w:tc>
        <w:tc>
          <w:tcPr>
            <w:tcW w:w="494" w:type="pct"/>
          </w:tcPr>
          <w:p w14:paraId="156D1AFB" w14:textId="4864C6A8" w:rsidR="00805C1C" w:rsidRPr="00805C1C" w:rsidRDefault="00805C1C" w:rsidP="009C646A">
            <w:pPr>
              <w:pStyle w:val="Ingenafstand"/>
              <w:tabs>
                <w:tab w:val="left" w:pos="1134"/>
              </w:tabs>
              <w:ind w:left="0" w:firstLine="0"/>
              <w:rPr>
                <w:b/>
                <w:sz w:val="20"/>
                <w:szCs w:val="20"/>
              </w:rPr>
            </w:pPr>
            <w:r w:rsidRPr="00805C1C">
              <w:rPr>
                <w:b/>
                <w:sz w:val="20"/>
                <w:szCs w:val="20"/>
              </w:rPr>
              <w:t>Meget sjælden</w:t>
            </w:r>
          </w:p>
        </w:tc>
        <w:tc>
          <w:tcPr>
            <w:tcW w:w="1007" w:type="pct"/>
          </w:tcPr>
          <w:p w14:paraId="15B0DB63" w14:textId="15594574" w:rsidR="00805C1C" w:rsidRPr="00805C1C" w:rsidRDefault="00805C1C" w:rsidP="009C646A">
            <w:pPr>
              <w:pStyle w:val="Ingenafstand"/>
              <w:tabs>
                <w:tab w:val="left" w:pos="1134"/>
              </w:tabs>
              <w:ind w:left="0" w:firstLine="0"/>
              <w:rPr>
                <w:b/>
                <w:sz w:val="20"/>
                <w:szCs w:val="20"/>
              </w:rPr>
            </w:pPr>
            <w:r w:rsidRPr="00805C1C">
              <w:rPr>
                <w:b/>
                <w:sz w:val="20"/>
                <w:szCs w:val="20"/>
              </w:rPr>
              <w:t>Ikke kendt</w:t>
            </w:r>
          </w:p>
        </w:tc>
      </w:tr>
      <w:tr w:rsidR="00805C1C" w:rsidRPr="003C6AE4" w14:paraId="46F91E69" w14:textId="77777777" w:rsidTr="00805C1C">
        <w:tc>
          <w:tcPr>
            <w:tcW w:w="1059" w:type="pct"/>
          </w:tcPr>
          <w:p w14:paraId="0D2FA87D" w14:textId="6DA01BC1" w:rsidR="00805C1C" w:rsidRPr="00805C1C" w:rsidRDefault="00805C1C" w:rsidP="009C646A">
            <w:pPr>
              <w:pStyle w:val="Ingenafstand"/>
              <w:tabs>
                <w:tab w:val="left" w:pos="1134"/>
              </w:tabs>
              <w:ind w:left="0" w:firstLine="0"/>
              <w:rPr>
                <w:b/>
                <w:sz w:val="20"/>
                <w:szCs w:val="20"/>
              </w:rPr>
            </w:pPr>
            <w:r w:rsidRPr="00805C1C">
              <w:rPr>
                <w:b/>
                <w:sz w:val="20"/>
                <w:szCs w:val="20"/>
              </w:rPr>
              <w:t>Infektioner og parasitære sygdomme</w:t>
            </w:r>
          </w:p>
        </w:tc>
        <w:tc>
          <w:tcPr>
            <w:tcW w:w="933" w:type="pct"/>
          </w:tcPr>
          <w:p w14:paraId="785F73D0" w14:textId="610A5488" w:rsidR="00805C1C" w:rsidRPr="00805C1C" w:rsidRDefault="00805C1C" w:rsidP="009C646A">
            <w:pPr>
              <w:pStyle w:val="Ingenafstand"/>
              <w:tabs>
                <w:tab w:val="left" w:pos="1134"/>
              </w:tabs>
              <w:ind w:left="0" w:firstLine="0"/>
              <w:rPr>
                <w:b/>
                <w:sz w:val="20"/>
                <w:szCs w:val="20"/>
              </w:rPr>
            </w:pPr>
            <w:proofErr w:type="spellStart"/>
            <w:r w:rsidRPr="00805C1C">
              <w:rPr>
                <w:sz w:val="20"/>
                <w:szCs w:val="20"/>
              </w:rPr>
              <w:t>Pseudomembranøs</w:t>
            </w:r>
            <w:proofErr w:type="spellEnd"/>
            <w:r w:rsidRPr="00805C1C">
              <w:rPr>
                <w:sz w:val="20"/>
                <w:szCs w:val="20"/>
              </w:rPr>
              <w:t xml:space="preserve"> colitis*#</w:t>
            </w:r>
          </w:p>
        </w:tc>
        <w:tc>
          <w:tcPr>
            <w:tcW w:w="910" w:type="pct"/>
          </w:tcPr>
          <w:p w14:paraId="00EAD971" w14:textId="77777777" w:rsidR="00805C1C" w:rsidRPr="00805C1C" w:rsidRDefault="00805C1C" w:rsidP="009C646A">
            <w:pPr>
              <w:pStyle w:val="Ingenafstand"/>
              <w:tabs>
                <w:tab w:val="left" w:pos="1134"/>
              </w:tabs>
              <w:ind w:left="0" w:firstLine="0"/>
              <w:rPr>
                <w:b/>
                <w:sz w:val="20"/>
                <w:szCs w:val="20"/>
              </w:rPr>
            </w:pPr>
          </w:p>
        </w:tc>
        <w:tc>
          <w:tcPr>
            <w:tcW w:w="597" w:type="pct"/>
          </w:tcPr>
          <w:p w14:paraId="4CA486A9" w14:textId="77777777" w:rsidR="00805C1C" w:rsidRPr="00805C1C" w:rsidRDefault="00805C1C" w:rsidP="009C646A">
            <w:pPr>
              <w:pStyle w:val="Ingenafstand"/>
              <w:tabs>
                <w:tab w:val="left" w:pos="1134"/>
              </w:tabs>
              <w:ind w:left="0" w:firstLine="0"/>
              <w:rPr>
                <w:b/>
                <w:sz w:val="20"/>
                <w:szCs w:val="20"/>
              </w:rPr>
            </w:pPr>
          </w:p>
        </w:tc>
        <w:tc>
          <w:tcPr>
            <w:tcW w:w="494" w:type="pct"/>
          </w:tcPr>
          <w:p w14:paraId="5ECEED97" w14:textId="77777777" w:rsidR="00805C1C" w:rsidRPr="00805C1C" w:rsidRDefault="00805C1C" w:rsidP="009C646A">
            <w:pPr>
              <w:pStyle w:val="Ingenafstand"/>
              <w:tabs>
                <w:tab w:val="left" w:pos="1134"/>
              </w:tabs>
              <w:ind w:left="0" w:firstLine="0"/>
              <w:rPr>
                <w:b/>
                <w:sz w:val="20"/>
                <w:szCs w:val="20"/>
              </w:rPr>
            </w:pPr>
          </w:p>
        </w:tc>
        <w:tc>
          <w:tcPr>
            <w:tcW w:w="1007" w:type="pct"/>
          </w:tcPr>
          <w:p w14:paraId="437DAA3F" w14:textId="64F325DC" w:rsidR="00805C1C" w:rsidRPr="00805C1C" w:rsidRDefault="00805C1C" w:rsidP="009C646A">
            <w:pPr>
              <w:pStyle w:val="Ingenafstand"/>
              <w:tabs>
                <w:tab w:val="left" w:pos="1134"/>
              </w:tabs>
              <w:ind w:left="0" w:firstLine="0"/>
              <w:rPr>
                <w:b/>
                <w:sz w:val="20"/>
                <w:szCs w:val="20"/>
                <w:lang w:val="en-US"/>
              </w:rPr>
            </w:pPr>
            <w:proofErr w:type="spellStart"/>
            <w:r w:rsidRPr="00805C1C">
              <w:rPr>
                <w:i/>
                <w:sz w:val="20"/>
                <w:szCs w:val="20"/>
                <w:lang w:val="en-US"/>
              </w:rPr>
              <w:t>Clostridioides</w:t>
            </w:r>
            <w:proofErr w:type="spellEnd"/>
            <w:r w:rsidRPr="00805C1C">
              <w:rPr>
                <w:i/>
                <w:sz w:val="20"/>
                <w:szCs w:val="20"/>
                <w:lang w:val="en-US"/>
              </w:rPr>
              <w:t xml:space="preserve"> difficile </w:t>
            </w:r>
            <w:r w:rsidRPr="00805C1C">
              <w:rPr>
                <w:sz w:val="20"/>
                <w:szCs w:val="20"/>
                <w:lang w:val="en-US"/>
              </w:rPr>
              <w:t xml:space="preserve">colitis*#, vaginal </w:t>
            </w:r>
            <w:proofErr w:type="spellStart"/>
            <w:r w:rsidRPr="00805C1C">
              <w:rPr>
                <w:sz w:val="20"/>
                <w:szCs w:val="20"/>
                <w:lang w:val="en-US"/>
              </w:rPr>
              <w:t>infektion</w:t>
            </w:r>
            <w:proofErr w:type="spellEnd"/>
            <w:r w:rsidRPr="00805C1C">
              <w:rPr>
                <w:sz w:val="20"/>
                <w:szCs w:val="20"/>
                <w:lang w:val="en-US"/>
              </w:rPr>
              <w:t>*</w:t>
            </w:r>
          </w:p>
        </w:tc>
      </w:tr>
      <w:tr w:rsidR="00805C1C" w:rsidRPr="003C6AE4" w14:paraId="60BF0884" w14:textId="77777777" w:rsidTr="00805C1C">
        <w:tc>
          <w:tcPr>
            <w:tcW w:w="1059" w:type="pct"/>
          </w:tcPr>
          <w:p w14:paraId="5E106EB8" w14:textId="16C4EB58" w:rsidR="00805C1C" w:rsidRPr="00805C1C" w:rsidRDefault="00805C1C" w:rsidP="00805C1C">
            <w:pPr>
              <w:pStyle w:val="Ingenafstand"/>
              <w:tabs>
                <w:tab w:val="left" w:pos="1134"/>
              </w:tabs>
              <w:ind w:left="0" w:firstLine="0"/>
              <w:rPr>
                <w:b/>
                <w:sz w:val="20"/>
                <w:szCs w:val="20"/>
              </w:rPr>
            </w:pPr>
            <w:r w:rsidRPr="00805C1C">
              <w:rPr>
                <w:b/>
                <w:sz w:val="20"/>
                <w:szCs w:val="20"/>
              </w:rPr>
              <w:t>Blod og lymfesystem</w:t>
            </w:r>
          </w:p>
        </w:tc>
        <w:tc>
          <w:tcPr>
            <w:tcW w:w="933" w:type="pct"/>
          </w:tcPr>
          <w:p w14:paraId="37747B1C" w14:textId="4B236B5F" w:rsidR="00805C1C" w:rsidRPr="00805C1C" w:rsidRDefault="00805C1C" w:rsidP="009C646A">
            <w:pPr>
              <w:pStyle w:val="Ingenafstand"/>
              <w:tabs>
                <w:tab w:val="left" w:pos="1134"/>
              </w:tabs>
              <w:ind w:left="0" w:firstLine="0"/>
              <w:rPr>
                <w:b/>
                <w:sz w:val="20"/>
                <w:szCs w:val="20"/>
              </w:rPr>
            </w:pPr>
            <w:proofErr w:type="spellStart"/>
            <w:r w:rsidRPr="00805C1C">
              <w:rPr>
                <w:sz w:val="20"/>
                <w:szCs w:val="20"/>
              </w:rPr>
              <w:t>Eosinofili</w:t>
            </w:r>
            <w:proofErr w:type="spellEnd"/>
          </w:p>
        </w:tc>
        <w:tc>
          <w:tcPr>
            <w:tcW w:w="910" w:type="pct"/>
          </w:tcPr>
          <w:p w14:paraId="0AA3BB17" w14:textId="32BEF842" w:rsidR="00805C1C" w:rsidRPr="00805C1C" w:rsidRDefault="00805C1C" w:rsidP="009C646A">
            <w:pPr>
              <w:pStyle w:val="Ingenafstand"/>
              <w:tabs>
                <w:tab w:val="left" w:pos="1134"/>
              </w:tabs>
              <w:ind w:left="0" w:firstLine="0"/>
              <w:rPr>
                <w:b/>
                <w:sz w:val="20"/>
                <w:szCs w:val="20"/>
              </w:rPr>
            </w:pPr>
            <w:proofErr w:type="spellStart"/>
            <w:r w:rsidRPr="00805C1C">
              <w:rPr>
                <w:sz w:val="20"/>
                <w:szCs w:val="20"/>
              </w:rPr>
              <w:t>Granulocytopeni</w:t>
            </w:r>
            <w:proofErr w:type="spellEnd"/>
          </w:p>
        </w:tc>
        <w:tc>
          <w:tcPr>
            <w:tcW w:w="597" w:type="pct"/>
          </w:tcPr>
          <w:p w14:paraId="464D13A2" w14:textId="77777777" w:rsidR="00805C1C" w:rsidRPr="00805C1C" w:rsidRDefault="00805C1C" w:rsidP="009C646A">
            <w:pPr>
              <w:pStyle w:val="Ingenafstand"/>
              <w:tabs>
                <w:tab w:val="left" w:pos="1134"/>
              </w:tabs>
              <w:ind w:left="0" w:firstLine="0"/>
              <w:rPr>
                <w:b/>
                <w:sz w:val="20"/>
                <w:szCs w:val="20"/>
              </w:rPr>
            </w:pPr>
          </w:p>
        </w:tc>
        <w:tc>
          <w:tcPr>
            <w:tcW w:w="494" w:type="pct"/>
          </w:tcPr>
          <w:p w14:paraId="15F7031F" w14:textId="77777777" w:rsidR="00805C1C" w:rsidRPr="00805C1C" w:rsidRDefault="00805C1C" w:rsidP="009C646A">
            <w:pPr>
              <w:pStyle w:val="Ingenafstand"/>
              <w:tabs>
                <w:tab w:val="left" w:pos="1134"/>
              </w:tabs>
              <w:ind w:left="0" w:firstLine="0"/>
              <w:rPr>
                <w:b/>
                <w:sz w:val="20"/>
                <w:szCs w:val="20"/>
              </w:rPr>
            </w:pPr>
          </w:p>
        </w:tc>
        <w:tc>
          <w:tcPr>
            <w:tcW w:w="1007" w:type="pct"/>
          </w:tcPr>
          <w:p w14:paraId="403F8ADD" w14:textId="556FC322" w:rsidR="00805C1C" w:rsidRPr="00805C1C" w:rsidRDefault="00805C1C" w:rsidP="009C646A">
            <w:pPr>
              <w:pStyle w:val="Ingenafstand"/>
              <w:tabs>
                <w:tab w:val="left" w:pos="1134"/>
              </w:tabs>
              <w:ind w:left="0" w:firstLine="0"/>
              <w:rPr>
                <w:b/>
                <w:sz w:val="20"/>
                <w:szCs w:val="20"/>
                <w:lang w:val="en-US"/>
              </w:rPr>
            </w:pPr>
            <w:proofErr w:type="spellStart"/>
            <w:r w:rsidRPr="00805C1C">
              <w:rPr>
                <w:sz w:val="20"/>
                <w:szCs w:val="20"/>
                <w:lang w:val="en-US"/>
              </w:rPr>
              <w:t>Agranulocytose</w:t>
            </w:r>
            <w:proofErr w:type="spellEnd"/>
            <w:r w:rsidRPr="00805C1C">
              <w:rPr>
                <w:sz w:val="20"/>
                <w:szCs w:val="20"/>
                <w:lang w:val="en-US"/>
              </w:rPr>
              <w:t xml:space="preserve">*, </w:t>
            </w:r>
            <w:proofErr w:type="spellStart"/>
            <w:r w:rsidRPr="00805C1C">
              <w:rPr>
                <w:sz w:val="20"/>
                <w:szCs w:val="20"/>
                <w:lang w:val="en-US"/>
              </w:rPr>
              <w:t>neutropeni</w:t>
            </w:r>
            <w:proofErr w:type="spellEnd"/>
            <w:r w:rsidRPr="00805C1C">
              <w:rPr>
                <w:sz w:val="20"/>
                <w:szCs w:val="20"/>
                <w:lang w:val="en-US"/>
              </w:rPr>
              <w:t xml:space="preserve">*, </w:t>
            </w:r>
            <w:proofErr w:type="spellStart"/>
            <w:r w:rsidRPr="00805C1C">
              <w:rPr>
                <w:sz w:val="20"/>
                <w:szCs w:val="20"/>
                <w:lang w:val="en-US"/>
              </w:rPr>
              <w:t>trombocytopeni</w:t>
            </w:r>
            <w:proofErr w:type="spellEnd"/>
            <w:r w:rsidRPr="00805C1C">
              <w:rPr>
                <w:sz w:val="20"/>
                <w:szCs w:val="20"/>
                <w:lang w:val="en-US"/>
              </w:rPr>
              <w:t xml:space="preserve">*, </w:t>
            </w:r>
            <w:proofErr w:type="spellStart"/>
            <w:r w:rsidRPr="00805C1C">
              <w:rPr>
                <w:sz w:val="20"/>
                <w:szCs w:val="20"/>
                <w:lang w:val="en-US"/>
              </w:rPr>
              <w:t>leukopeni</w:t>
            </w:r>
            <w:proofErr w:type="spellEnd"/>
            <w:r w:rsidRPr="00805C1C">
              <w:rPr>
                <w:sz w:val="20"/>
                <w:szCs w:val="20"/>
                <w:lang w:val="en-US"/>
              </w:rPr>
              <w:t xml:space="preserve">*, </w:t>
            </w:r>
            <w:proofErr w:type="spellStart"/>
            <w:r w:rsidRPr="00805C1C">
              <w:rPr>
                <w:sz w:val="20"/>
                <w:szCs w:val="20"/>
                <w:lang w:val="en-US"/>
              </w:rPr>
              <w:t>trombocytopenisk</w:t>
            </w:r>
            <w:proofErr w:type="spellEnd"/>
            <w:r w:rsidRPr="00805C1C">
              <w:rPr>
                <w:sz w:val="20"/>
                <w:szCs w:val="20"/>
                <w:lang w:val="en-US"/>
              </w:rPr>
              <w:t xml:space="preserve"> purpura</w:t>
            </w:r>
          </w:p>
        </w:tc>
      </w:tr>
      <w:tr w:rsidR="00805C1C" w:rsidRPr="00805C1C" w14:paraId="0B49751B" w14:textId="77777777" w:rsidTr="00805C1C">
        <w:tc>
          <w:tcPr>
            <w:tcW w:w="1059" w:type="pct"/>
          </w:tcPr>
          <w:p w14:paraId="1BB68DB1" w14:textId="3B42CFB3" w:rsidR="00805C1C" w:rsidRPr="00805C1C" w:rsidRDefault="00805C1C" w:rsidP="009C646A">
            <w:pPr>
              <w:pStyle w:val="Ingenafstand"/>
              <w:tabs>
                <w:tab w:val="left" w:pos="1134"/>
              </w:tabs>
              <w:ind w:left="0" w:firstLine="0"/>
              <w:rPr>
                <w:b/>
                <w:sz w:val="20"/>
                <w:szCs w:val="20"/>
              </w:rPr>
            </w:pPr>
            <w:r w:rsidRPr="00805C1C">
              <w:rPr>
                <w:b/>
                <w:sz w:val="20"/>
                <w:szCs w:val="20"/>
              </w:rPr>
              <w:t>Immunsystemet</w:t>
            </w:r>
          </w:p>
        </w:tc>
        <w:tc>
          <w:tcPr>
            <w:tcW w:w="933" w:type="pct"/>
          </w:tcPr>
          <w:p w14:paraId="45667BB1" w14:textId="77777777" w:rsidR="00805C1C" w:rsidRPr="00805C1C" w:rsidRDefault="00805C1C" w:rsidP="009C646A">
            <w:pPr>
              <w:pStyle w:val="Ingenafstand"/>
              <w:tabs>
                <w:tab w:val="left" w:pos="1134"/>
              </w:tabs>
              <w:ind w:left="0" w:firstLine="0"/>
              <w:rPr>
                <w:b/>
                <w:sz w:val="20"/>
                <w:szCs w:val="20"/>
              </w:rPr>
            </w:pPr>
          </w:p>
        </w:tc>
        <w:tc>
          <w:tcPr>
            <w:tcW w:w="910" w:type="pct"/>
          </w:tcPr>
          <w:p w14:paraId="07A41E94" w14:textId="77777777" w:rsidR="00805C1C" w:rsidRPr="00805C1C" w:rsidRDefault="00805C1C" w:rsidP="009C646A">
            <w:pPr>
              <w:pStyle w:val="Ingenafstand"/>
              <w:tabs>
                <w:tab w:val="left" w:pos="1134"/>
              </w:tabs>
              <w:ind w:left="0" w:firstLine="0"/>
              <w:rPr>
                <w:b/>
                <w:sz w:val="20"/>
                <w:szCs w:val="20"/>
              </w:rPr>
            </w:pPr>
          </w:p>
        </w:tc>
        <w:tc>
          <w:tcPr>
            <w:tcW w:w="597" w:type="pct"/>
          </w:tcPr>
          <w:p w14:paraId="3E35CF1C" w14:textId="165ED5A0" w:rsidR="00805C1C" w:rsidRPr="00805C1C" w:rsidRDefault="00805C1C" w:rsidP="009C646A">
            <w:pPr>
              <w:pStyle w:val="Ingenafstand"/>
              <w:tabs>
                <w:tab w:val="left" w:pos="1134"/>
              </w:tabs>
              <w:ind w:left="0" w:firstLine="0"/>
              <w:rPr>
                <w:b/>
                <w:sz w:val="20"/>
                <w:szCs w:val="20"/>
              </w:rPr>
            </w:pPr>
            <w:proofErr w:type="spellStart"/>
            <w:r w:rsidRPr="00805C1C">
              <w:rPr>
                <w:sz w:val="20"/>
                <w:szCs w:val="20"/>
              </w:rPr>
              <w:t>Angio</w:t>
            </w:r>
            <w:r w:rsidR="00FB727B">
              <w:rPr>
                <w:sz w:val="20"/>
                <w:szCs w:val="20"/>
              </w:rPr>
              <w:softHyphen/>
            </w:r>
            <w:r w:rsidRPr="00805C1C">
              <w:rPr>
                <w:sz w:val="20"/>
                <w:szCs w:val="20"/>
              </w:rPr>
              <w:t>ødem</w:t>
            </w:r>
            <w:proofErr w:type="spellEnd"/>
          </w:p>
        </w:tc>
        <w:tc>
          <w:tcPr>
            <w:tcW w:w="494" w:type="pct"/>
          </w:tcPr>
          <w:p w14:paraId="3157399E" w14:textId="77777777" w:rsidR="00805C1C" w:rsidRPr="00805C1C" w:rsidRDefault="00805C1C" w:rsidP="009C646A">
            <w:pPr>
              <w:pStyle w:val="Ingenafstand"/>
              <w:tabs>
                <w:tab w:val="left" w:pos="1134"/>
              </w:tabs>
              <w:ind w:left="0" w:firstLine="0"/>
              <w:rPr>
                <w:b/>
                <w:sz w:val="20"/>
                <w:szCs w:val="20"/>
              </w:rPr>
            </w:pPr>
          </w:p>
        </w:tc>
        <w:tc>
          <w:tcPr>
            <w:tcW w:w="1007" w:type="pct"/>
          </w:tcPr>
          <w:p w14:paraId="7A4A3112" w14:textId="041C9EE8" w:rsidR="00805C1C" w:rsidRPr="00805C1C" w:rsidRDefault="00805C1C" w:rsidP="00805C1C">
            <w:pPr>
              <w:pStyle w:val="Ingenafstand"/>
              <w:tabs>
                <w:tab w:val="left" w:pos="1134"/>
              </w:tabs>
              <w:ind w:left="0" w:firstLine="0"/>
              <w:rPr>
                <w:b/>
                <w:sz w:val="20"/>
                <w:szCs w:val="20"/>
              </w:rPr>
            </w:pPr>
            <w:proofErr w:type="spellStart"/>
            <w:r w:rsidRPr="00805C1C">
              <w:rPr>
                <w:sz w:val="20"/>
                <w:szCs w:val="20"/>
              </w:rPr>
              <w:t>Anafylaktisk</w:t>
            </w:r>
            <w:proofErr w:type="spellEnd"/>
            <w:r w:rsidRPr="00805C1C">
              <w:rPr>
                <w:sz w:val="20"/>
                <w:szCs w:val="20"/>
              </w:rPr>
              <w:t xml:space="preserve"> </w:t>
            </w:r>
            <w:proofErr w:type="spellStart"/>
            <w:r w:rsidRPr="00805C1C">
              <w:rPr>
                <w:sz w:val="20"/>
                <w:szCs w:val="20"/>
              </w:rPr>
              <w:t>chock</w:t>
            </w:r>
            <w:proofErr w:type="spellEnd"/>
            <w:r w:rsidRPr="00805C1C">
              <w:rPr>
                <w:sz w:val="20"/>
                <w:szCs w:val="20"/>
              </w:rPr>
              <w:t xml:space="preserve">*, </w:t>
            </w:r>
            <w:proofErr w:type="spellStart"/>
            <w:r w:rsidRPr="00805C1C">
              <w:rPr>
                <w:sz w:val="20"/>
                <w:szCs w:val="20"/>
              </w:rPr>
              <w:t>anafylaktoid</w:t>
            </w:r>
            <w:proofErr w:type="spellEnd"/>
            <w:r w:rsidRPr="00805C1C">
              <w:rPr>
                <w:sz w:val="20"/>
                <w:szCs w:val="20"/>
              </w:rPr>
              <w:t xml:space="preserve"> reaktion*#, </w:t>
            </w:r>
            <w:proofErr w:type="spellStart"/>
            <w:r w:rsidRPr="00805C1C">
              <w:rPr>
                <w:sz w:val="20"/>
                <w:szCs w:val="20"/>
              </w:rPr>
              <w:t>anafylaktisk</w:t>
            </w:r>
            <w:proofErr w:type="spellEnd"/>
            <w:r w:rsidRPr="00805C1C">
              <w:rPr>
                <w:sz w:val="20"/>
                <w:szCs w:val="20"/>
              </w:rPr>
              <w:t xml:space="preserve"> reaktion*, overfølsomhed*+</w:t>
            </w:r>
          </w:p>
        </w:tc>
      </w:tr>
      <w:tr w:rsidR="00805C1C" w:rsidRPr="00805C1C" w14:paraId="1AC61F11" w14:textId="77777777" w:rsidTr="00805C1C">
        <w:tc>
          <w:tcPr>
            <w:tcW w:w="1059" w:type="pct"/>
          </w:tcPr>
          <w:p w14:paraId="1C1E4023" w14:textId="45FB8CCD" w:rsidR="00805C1C" w:rsidRPr="00805C1C" w:rsidRDefault="00805C1C" w:rsidP="00805C1C">
            <w:pPr>
              <w:pStyle w:val="Ingenafstand"/>
              <w:tabs>
                <w:tab w:val="left" w:pos="1134"/>
              </w:tabs>
              <w:ind w:left="0" w:firstLine="0"/>
              <w:rPr>
                <w:b/>
                <w:sz w:val="20"/>
                <w:szCs w:val="20"/>
              </w:rPr>
            </w:pPr>
            <w:r w:rsidRPr="00805C1C">
              <w:rPr>
                <w:b/>
                <w:sz w:val="20"/>
                <w:szCs w:val="20"/>
              </w:rPr>
              <w:t>Nervesystemet</w:t>
            </w:r>
          </w:p>
        </w:tc>
        <w:tc>
          <w:tcPr>
            <w:tcW w:w="933" w:type="pct"/>
          </w:tcPr>
          <w:p w14:paraId="4F8F4273" w14:textId="77777777" w:rsidR="00805C1C" w:rsidRPr="00805C1C" w:rsidRDefault="00805C1C" w:rsidP="009C646A">
            <w:pPr>
              <w:pStyle w:val="Ingenafstand"/>
              <w:tabs>
                <w:tab w:val="left" w:pos="1134"/>
              </w:tabs>
              <w:ind w:left="0" w:firstLine="0"/>
              <w:rPr>
                <w:b/>
                <w:sz w:val="20"/>
                <w:szCs w:val="20"/>
              </w:rPr>
            </w:pPr>
          </w:p>
        </w:tc>
        <w:tc>
          <w:tcPr>
            <w:tcW w:w="910" w:type="pct"/>
          </w:tcPr>
          <w:p w14:paraId="45F51769" w14:textId="2417BDF8" w:rsidR="00805C1C" w:rsidRPr="00805C1C" w:rsidRDefault="00805C1C" w:rsidP="009C646A">
            <w:pPr>
              <w:pStyle w:val="Ingenafstand"/>
              <w:tabs>
                <w:tab w:val="left" w:pos="1134"/>
              </w:tabs>
              <w:ind w:left="0" w:firstLine="0"/>
              <w:rPr>
                <w:b/>
                <w:sz w:val="20"/>
                <w:szCs w:val="20"/>
              </w:rPr>
            </w:pPr>
            <w:proofErr w:type="spellStart"/>
            <w:r w:rsidRPr="00805C1C">
              <w:rPr>
                <w:sz w:val="20"/>
                <w:szCs w:val="20"/>
              </w:rPr>
              <w:t>Dysgeusi</w:t>
            </w:r>
            <w:proofErr w:type="spellEnd"/>
            <w:r w:rsidRPr="00805C1C">
              <w:rPr>
                <w:sz w:val="20"/>
                <w:szCs w:val="20"/>
              </w:rPr>
              <w:t xml:space="preserve">, </w:t>
            </w:r>
            <w:proofErr w:type="spellStart"/>
            <w:r w:rsidRPr="00805C1C">
              <w:rPr>
                <w:sz w:val="20"/>
                <w:szCs w:val="20"/>
              </w:rPr>
              <w:t>neuromuskulær</w:t>
            </w:r>
            <w:proofErr w:type="spellEnd"/>
            <w:r w:rsidRPr="00805C1C">
              <w:rPr>
                <w:sz w:val="20"/>
                <w:szCs w:val="20"/>
              </w:rPr>
              <w:t xml:space="preserve"> blokade</w:t>
            </w:r>
          </w:p>
        </w:tc>
        <w:tc>
          <w:tcPr>
            <w:tcW w:w="597" w:type="pct"/>
          </w:tcPr>
          <w:p w14:paraId="668FE49E" w14:textId="77777777" w:rsidR="00805C1C" w:rsidRPr="00805C1C" w:rsidRDefault="00805C1C" w:rsidP="009C646A">
            <w:pPr>
              <w:pStyle w:val="Ingenafstand"/>
              <w:tabs>
                <w:tab w:val="left" w:pos="1134"/>
              </w:tabs>
              <w:ind w:left="0" w:firstLine="0"/>
              <w:rPr>
                <w:b/>
                <w:sz w:val="20"/>
                <w:szCs w:val="20"/>
              </w:rPr>
            </w:pPr>
          </w:p>
        </w:tc>
        <w:tc>
          <w:tcPr>
            <w:tcW w:w="494" w:type="pct"/>
          </w:tcPr>
          <w:p w14:paraId="39427A8F" w14:textId="77777777" w:rsidR="00805C1C" w:rsidRPr="00805C1C" w:rsidRDefault="00805C1C" w:rsidP="009C646A">
            <w:pPr>
              <w:pStyle w:val="Ingenafstand"/>
              <w:tabs>
                <w:tab w:val="left" w:pos="1134"/>
              </w:tabs>
              <w:ind w:left="0" w:firstLine="0"/>
              <w:rPr>
                <w:b/>
                <w:sz w:val="20"/>
                <w:szCs w:val="20"/>
              </w:rPr>
            </w:pPr>
          </w:p>
        </w:tc>
        <w:tc>
          <w:tcPr>
            <w:tcW w:w="1007" w:type="pct"/>
          </w:tcPr>
          <w:p w14:paraId="46648EC6" w14:textId="4E027818" w:rsidR="00805C1C" w:rsidRPr="00805C1C" w:rsidRDefault="00805C1C" w:rsidP="009C646A">
            <w:pPr>
              <w:pStyle w:val="Ingenafstand"/>
              <w:tabs>
                <w:tab w:val="left" w:pos="1134"/>
              </w:tabs>
              <w:ind w:left="0" w:firstLine="0"/>
              <w:rPr>
                <w:b/>
                <w:sz w:val="20"/>
                <w:szCs w:val="20"/>
              </w:rPr>
            </w:pPr>
            <w:r w:rsidRPr="00805C1C">
              <w:rPr>
                <w:sz w:val="20"/>
                <w:szCs w:val="20"/>
              </w:rPr>
              <w:t>Ændringer i lugtesansen</w:t>
            </w:r>
          </w:p>
        </w:tc>
      </w:tr>
      <w:tr w:rsidR="00805C1C" w:rsidRPr="00805C1C" w14:paraId="7801A5C4" w14:textId="77777777" w:rsidTr="00805C1C">
        <w:tc>
          <w:tcPr>
            <w:tcW w:w="1059" w:type="pct"/>
          </w:tcPr>
          <w:p w14:paraId="6629F20A" w14:textId="50A28878" w:rsidR="00805C1C" w:rsidRPr="00805C1C" w:rsidRDefault="00805C1C" w:rsidP="00805C1C">
            <w:pPr>
              <w:pStyle w:val="Ingenafstand"/>
              <w:tabs>
                <w:tab w:val="left" w:pos="1134"/>
              </w:tabs>
              <w:ind w:left="0" w:firstLine="0"/>
              <w:rPr>
                <w:b/>
                <w:sz w:val="20"/>
                <w:szCs w:val="20"/>
              </w:rPr>
            </w:pPr>
            <w:r w:rsidRPr="00805C1C">
              <w:rPr>
                <w:b/>
                <w:sz w:val="20"/>
                <w:szCs w:val="20"/>
              </w:rPr>
              <w:t>Hjerte</w:t>
            </w:r>
          </w:p>
        </w:tc>
        <w:tc>
          <w:tcPr>
            <w:tcW w:w="933" w:type="pct"/>
          </w:tcPr>
          <w:p w14:paraId="72375FDE" w14:textId="77777777" w:rsidR="00805C1C" w:rsidRPr="00805C1C" w:rsidRDefault="00805C1C" w:rsidP="009C646A">
            <w:pPr>
              <w:pStyle w:val="Ingenafstand"/>
              <w:tabs>
                <w:tab w:val="left" w:pos="1134"/>
              </w:tabs>
              <w:ind w:left="0" w:firstLine="0"/>
              <w:rPr>
                <w:b/>
                <w:sz w:val="20"/>
                <w:szCs w:val="20"/>
              </w:rPr>
            </w:pPr>
          </w:p>
        </w:tc>
        <w:tc>
          <w:tcPr>
            <w:tcW w:w="910" w:type="pct"/>
          </w:tcPr>
          <w:p w14:paraId="5165B99D" w14:textId="0D0A0284" w:rsidR="00805C1C" w:rsidRPr="00805C1C" w:rsidRDefault="00805C1C" w:rsidP="00805C1C">
            <w:pPr>
              <w:pStyle w:val="Ingenafstand"/>
              <w:tabs>
                <w:tab w:val="left" w:pos="1134"/>
              </w:tabs>
              <w:ind w:left="0" w:firstLine="0"/>
              <w:rPr>
                <w:b/>
                <w:sz w:val="20"/>
                <w:szCs w:val="20"/>
              </w:rPr>
            </w:pPr>
            <w:r w:rsidRPr="00805C1C">
              <w:rPr>
                <w:sz w:val="20"/>
                <w:szCs w:val="20"/>
              </w:rPr>
              <w:t>Akut hjertestop§</w:t>
            </w:r>
          </w:p>
        </w:tc>
        <w:tc>
          <w:tcPr>
            <w:tcW w:w="597" w:type="pct"/>
          </w:tcPr>
          <w:p w14:paraId="468EA084" w14:textId="77777777" w:rsidR="00805C1C" w:rsidRPr="00805C1C" w:rsidRDefault="00805C1C" w:rsidP="009C646A">
            <w:pPr>
              <w:pStyle w:val="Ingenafstand"/>
              <w:tabs>
                <w:tab w:val="left" w:pos="1134"/>
              </w:tabs>
              <w:ind w:left="0" w:firstLine="0"/>
              <w:rPr>
                <w:b/>
                <w:sz w:val="20"/>
                <w:szCs w:val="20"/>
              </w:rPr>
            </w:pPr>
          </w:p>
        </w:tc>
        <w:tc>
          <w:tcPr>
            <w:tcW w:w="494" w:type="pct"/>
          </w:tcPr>
          <w:p w14:paraId="68B0B1AE" w14:textId="77777777" w:rsidR="00805C1C" w:rsidRPr="00805C1C" w:rsidRDefault="00805C1C" w:rsidP="009C646A">
            <w:pPr>
              <w:pStyle w:val="Ingenafstand"/>
              <w:tabs>
                <w:tab w:val="left" w:pos="1134"/>
              </w:tabs>
              <w:ind w:left="0" w:firstLine="0"/>
              <w:rPr>
                <w:b/>
                <w:sz w:val="20"/>
                <w:szCs w:val="20"/>
              </w:rPr>
            </w:pPr>
          </w:p>
        </w:tc>
        <w:tc>
          <w:tcPr>
            <w:tcW w:w="1007" w:type="pct"/>
          </w:tcPr>
          <w:p w14:paraId="5D9D5639" w14:textId="77777777" w:rsidR="00805C1C" w:rsidRPr="00805C1C" w:rsidRDefault="00805C1C" w:rsidP="009C646A">
            <w:pPr>
              <w:pStyle w:val="Ingenafstand"/>
              <w:tabs>
                <w:tab w:val="left" w:pos="1134"/>
              </w:tabs>
              <w:ind w:left="0" w:firstLine="0"/>
              <w:rPr>
                <w:b/>
                <w:sz w:val="20"/>
                <w:szCs w:val="20"/>
              </w:rPr>
            </w:pPr>
          </w:p>
        </w:tc>
      </w:tr>
      <w:tr w:rsidR="00805C1C" w:rsidRPr="00805C1C" w14:paraId="0F47E818" w14:textId="77777777" w:rsidTr="00805C1C">
        <w:tc>
          <w:tcPr>
            <w:tcW w:w="1059" w:type="pct"/>
          </w:tcPr>
          <w:p w14:paraId="4FE4DCDC" w14:textId="6405AD10" w:rsidR="00805C1C" w:rsidRPr="00805C1C" w:rsidRDefault="00805C1C" w:rsidP="00805C1C">
            <w:pPr>
              <w:pStyle w:val="Ingenafstand"/>
              <w:tabs>
                <w:tab w:val="left" w:pos="1134"/>
              </w:tabs>
              <w:ind w:left="0" w:firstLine="0"/>
              <w:rPr>
                <w:b/>
                <w:sz w:val="20"/>
                <w:szCs w:val="20"/>
              </w:rPr>
            </w:pPr>
            <w:proofErr w:type="spellStart"/>
            <w:r w:rsidRPr="00805C1C">
              <w:rPr>
                <w:b/>
                <w:sz w:val="20"/>
                <w:szCs w:val="20"/>
              </w:rPr>
              <w:t>Vaskulære</w:t>
            </w:r>
            <w:proofErr w:type="spellEnd"/>
            <w:r w:rsidRPr="00805C1C">
              <w:rPr>
                <w:b/>
                <w:sz w:val="20"/>
                <w:szCs w:val="20"/>
              </w:rPr>
              <w:t xml:space="preserve"> sygdomme</w:t>
            </w:r>
          </w:p>
        </w:tc>
        <w:tc>
          <w:tcPr>
            <w:tcW w:w="933" w:type="pct"/>
          </w:tcPr>
          <w:p w14:paraId="19F9BAEB" w14:textId="621CA62A" w:rsidR="00805C1C" w:rsidRPr="00805C1C" w:rsidRDefault="00805C1C" w:rsidP="009C646A">
            <w:pPr>
              <w:pStyle w:val="Ingenafstand"/>
              <w:tabs>
                <w:tab w:val="left" w:pos="1134"/>
              </w:tabs>
              <w:ind w:left="0" w:firstLine="0"/>
              <w:rPr>
                <w:b/>
                <w:sz w:val="20"/>
                <w:szCs w:val="20"/>
              </w:rPr>
            </w:pPr>
            <w:proofErr w:type="spellStart"/>
            <w:r w:rsidRPr="00805C1C">
              <w:rPr>
                <w:sz w:val="20"/>
                <w:szCs w:val="20"/>
              </w:rPr>
              <w:t>Tromboflebitis</w:t>
            </w:r>
            <w:proofErr w:type="spellEnd"/>
            <w:r w:rsidRPr="00805C1C">
              <w:rPr>
                <w:sz w:val="20"/>
                <w:szCs w:val="20"/>
              </w:rPr>
              <w:t>****</w:t>
            </w:r>
          </w:p>
        </w:tc>
        <w:tc>
          <w:tcPr>
            <w:tcW w:w="910" w:type="pct"/>
          </w:tcPr>
          <w:p w14:paraId="1C84786E" w14:textId="7D77A44F" w:rsidR="00805C1C" w:rsidRPr="00805C1C" w:rsidRDefault="00805C1C" w:rsidP="009C646A">
            <w:pPr>
              <w:pStyle w:val="Ingenafstand"/>
              <w:tabs>
                <w:tab w:val="left" w:pos="1134"/>
              </w:tabs>
              <w:ind w:left="0" w:firstLine="0"/>
              <w:rPr>
                <w:b/>
                <w:sz w:val="20"/>
                <w:szCs w:val="20"/>
              </w:rPr>
            </w:pPr>
            <w:r w:rsidRPr="00805C1C">
              <w:rPr>
                <w:sz w:val="20"/>
                <w:szCs w:val="20"/>
              </w:rPr>
              <w:t>Hypotension§</w:t>
            </w:r>
          </w:p>
        </w:tc>
        <w:tc>
          <w:tcPr>
            <w:tcW w:w="597" w:type="pct"/>
          </w:tcPr>
          <w:p w14:paraId="210CCA23" w14:textId="77777777" w:rsidR="00805C1C" w:rsidRPr="00805C1C" w:rsidRDefault="00805C1C" w:rsidP="009C646A">
            <w:pPr>
              <w:pStyle w:val="Ingenafstand"/>
              <w:tabs>
                <w:tab w:val="left" w:pos="1134"/>
              </w:tabs>
              <w:ind w:left="0" w:firstLine="0"/>
              <w:rPr>
                <w:b/>
                <w:sz w:val="20"/>
                <w:szCs w:val="20"/>
              </w:rPr>
            </w:pPr>
          </w:p>
        </w:tc>
        <w:tc>
          <w:tcPr>
            <w:tcW w:w="494" w:type="pct"/>
          </w:tcPr>
          <w:p w14:paraId="02B360B5" w14:textId="77777777" w:rsidR="00805C1C" w:rsidRPr="00805C1C" w:rsidRDefault="00805C1C" w:rsidP="009C646A">
            <w:pPr>
              <w:pStyle w:val="Ingenafstand"/>
              <w:tabs>
                <w:tab w:val="left" w:pos="1134"/>
              </w:tabs>
              <w:ind w:left="0" w:firstLine="0"/>
              <w:rPr>
                <w:b/>
                <w:sz w:val="20"/>
                <w:szCs w:val="20"/>
              </w:rPr>
            </w:pPr>
          </w:p>
        </w:tc>
        <w:tc>
          <w:tcPr>
            <w:tcW w:w="1007" w:type="pct"/>
          </w:tcPr>
          <w:p w14:paraId="3691B7E0" w14:textId="77777777" w:rsidR="00805C1C" w:rsidRPr="00805C1C" w:rsidRDefault="00805C1C" w:rsidP="009C646A">
            <w:pPr>
              <w:pStyle w:val="Ingenafstand"/>
              <w:tabs>
                <w:tab w:val="left" w:pos="1134"/>
              </w:tabs>
              <w:ind w:left="0" w:firstLine="0"/>
              <w:rPr>
                <w:b/>
                <w:sz w:val="20"/>
                <w:szCs w:val="20"/>
              </w:rPr>
            </w:pPr>
          </w:p>
        </w:tc>
      </w:tr>
      <w:tr w:rsidR="00805C1C" w:rsidRPr="00805C1C" w14:paraId="0E9CA9E3" w14:textId="77777777" w:rsidTr="00805C1C">
        <w:tc>
          <w:tcPr>
            <w:tcW w:w="1059" w:type="pct"/>
          </w:tcPr>
          <w:p w14:paraId="23CB5B6A" w14:textId="52F0FEB5" w:rsidR="00805C1C" w:rsidRPr="00805C1C" w:rsidRDefault="00805C1C" w:rsidP="00805C1C">
            <w:pPr>
              <w:pStyle w:val="Ingenafstand"/>
              <w:tabs>
                <w:tab w:val="left" w:pos="1134"/>
              </w:tabs>
              <w:ind w:left="0" w:firstLine="0"/>
              <w:rPr>
                <w:b/>
                <w:sz w:val="20"/>
                <w:szCs w:val="20"/>
              </w:rPr>
            </w:pPr>
            <w:r w:rsidRPr="00805C1C">
              <w:rPr>
                <w:b/>
                <w:sz w:val="20"/>
                <w:szCs w:val="20"/>
              </w:rPr>
              <w:t>Mave-tarm-kanalen</w:t>
            </w:r>
          </w:p>
        </w:tc>
        <w:tc>
          <w:tcPr>
            <w:tcW w:w="933" w:type="pct"/>
          </w:tcPr>
          <w:p w14:paraId="4B7EC55A" w14:textId="04D4D904" w:rsidR="00805C1C" w:rsidRPr="00805C1C" w:rsidRDefault="00805C1C" w:rsidP="009C646A">
            <w:pPr>
              <w:pStyle w:val="Ingenafstand"/>
              <w:tabs>
                <w:tab w:val="left" w:pos="1134"/>
              </w:tabs>
              <w:ind w:left="0" w:firstLine="0"/>
              <w:rPr>
                <w:b/>
                <w:sz w:val="20"/>
                <w:szCs w:val="20"/>
              </w:rPr>
            </w:pPr>
            <w:r w:rsidRPr="00805C1C">
              <w:rPr>
                <w:sz w:val="20"/>
                <w:szCs w:val="20"/>
              </w:rPr>
              <w:t>Betændelse i mundslimhinden, diarré**</w:t>
            </w:r>
          </w:p>
        </w:tc>
        <w:tc>
          <w:tcPr>
            <w:tcW w:w="910" w:type="pct"/>
          </w:tcPr>
          <w:p w14:paraId="5965F159" w14:textId="68845F74" w:rsidR="00805C1C" w:rsidRPr="00805C1C" w:rsidRDefault="00805C1C" w:rsidP="009C646A">
            <w:pPr>
              <w:pStyle w:val="Ingenafstand"/>
              <w:tabs>
                <w:tab w:val="left" w:pos="1134"/>
              </w:tabs>
              <w:ind w:left="0" w:firstLine="0"/>
              <w:rPr>
                <w:b/>
                <w:sz w:val="20"/>
                <w:szCs w:val="20"/>
              </w:rPr>
            </w:pPr>
            <w:proofErr w:type="spellStart"/>
            <w:r w:rsidRPr="00805C1C">
              <w:rPr>
                <w:sz w:val="20"/>
                <w:szCs w:val="20"/>
              </w:rPr>
              <w:t>Abdominalsmerter</w:t>
            </w:r>
            <w:proofErr w:type="spellEnd"/>
            <w:r w:rsidRPr="00805C1C">
              <w:rPr>
                <w:sz w:val="20"/>
                <w:szCs w:val="20"/>
              </w:rPr>
              <w:t xml:space="preserve">, </w:t>
            </w:r>
            <w:proofErr w:type="spellStart"/>
            <w:r w:rsidRPr="00805C1C">
              <w:rPr>
                <w:sz w:val="20"/>
                <w:szCs w:val="20"/>
              </w:rPr>
              <w:t>øsofagitis</w:t>
            </w:r>
            <w:proofErr w:type="spellEnd"/>
            <w:r w:rsidRPr="00805C1C">
              <w:rPr>
                <w:sz w:val="20"/>
                <w:szCs w:val="20"/>
              </w:rPr>
              <w:t>, kvalme, opkastning</w:t>
            </w:r>
          </w:p>
        </w:tc>
        <w:tc>
          <w:tcPr>
            <w:tcW w:w="597" w:type="pct"/>
          </w:tcPr>
          <w:p w14:paraId="36E8D380" w14:textId="77777777" w:rsidR="00805C1C" w:rsidRPr="00805C1C" w:rsidRDefault="00805C1C" w:rsidP="009C646A">
            <w:pPr>
              <w:pStyle w:val="Ingenafstand"/>
              <w:tabs>
                <w:tab w:val="left" w:pos="1134"/>
              </w:tabs>
              <w:ind w:left="0" w:firstLine="0"/>
              <w:rPr>
                <w:b/>
                <w:sz w:val="20"/>
                <w:szCs w:val="20"/>
              </w:rPr>
            </w:pPr>
          </w:p>
        </w:tc>
        <w:tc>
          <w:tcPr>
            <w:tcW w:w="494" w:type="pct"/>
          </w:tcPr>
          <w:p w14:paraId="1D06AC1F" w14:textId="79362B36" w:rsidR="00805C1C" w:rsidRPr="00805C1C" w:rsidRDefault="00805C1C" w:rsidP="009C646A">
            <w:pPr>
              <w:pStyle w:val="Ingenafstand"/>
              <w:tabs>
                <w:tab w:val="left" w:pos="1134"/>
              </w:tabs>
              <w:ind w:left="0" w:firstLine="0"/>
              <w:rPr>
                <w:b/>
                <w:sz w:val="20"/>
                <w:szCs w:val="20"/>
              </w:rPr>
            </w:pPr>
            <w:r w:rsidRPr="00805C1C">
              <w:rPr>
                <w:sz w:val="20"/>
                <w:szCs w:val="20"/>
              </w:rPr>
              <w:t>Dyspepsi</w:t>
            </w:r>
          </w:p>
        </w:tc>
        <w:tc>
          <w:tcPr>
            <w:tcW w:w="1007" w:type="pct"/>
          </w:tcPr>
          <w:p w14:paraId="2405D3D7" w14:textId="77777777" w:rsidR="00805C1C" w:rsidRPr="00805C1C" w:rsidRDefault="00805C1C" w:rsidP="009C646A">
            <w:pPr>
              <w:pStyle w:val="Ingenafstand"/>
              <w:tabs>
                <w:tab w:val="left" w:pos="1134"/>
              </w:tabs>
              <w:ind w:left="0" w:firstLine="0"/>
              <w:rPr>
                <w:b/>
                <w:sz w:val="20"/>
                <w:szCs w:val="20"/>
              </w:rPr>
            </w:pPr>
          </w:p>
        </w:tc>
      </w:tr>
      <w:tr w:rsidR="00805C1C" w:rsidRPr="00805C1C" w14:paraId="0F828BFC" w14:textId="77777777" w:rsidTr="00805C1C">
        <w:tc>
          <w:tcPr>
            <w:tcW w:w="1059" w:type="pct"/>
          </w:tcPr>
          <w:p w14:paraId="358F41B7" w14:textId="16280B0E" w:rsidR="00805C1C" w:rsidRPr="00805C1C" w:rsidRDefault="00805C1C" w:rsidP="00805C1C">
            <w:pPr>
              <w:pStyle w:val="Ingenafstand"/>
              <w:tabs>
                <w:tab w:val="left" w:pos="1134"/>
              </w:tabs>
              <w:ind w:left="0" w:firstLine="0"/>
              <w:rPr>
                <w:b/>
                <w:sz w:val="20"/>
                <w:szCs w:val="20"/>
              </w:rPr>
            </w:pPr>
            <w:r w:rsidRPr="00805C1C">
              <w:rPr>
                <w:b/>
                <w:sz w:val="20"/>
                <w:szCs w:val="20"/>
              </w:rPr>
              <w:t>Lever og galdeveje</w:t>
            </w:r>
          </w:p>
        </w:tc>
        <w:tc>
          <w:tcPr>
            <w:tcW w:w="933" w:type="pct"/>
          </w:tcPr>
          <w:p w14:paraId="53D8D741" w14:textId="77777777" w:rsidR="00805C1C" w:rsidRPr="00805C1C" w:rsidRDefault="00805C1C" w:rsidP="009C646A">
            <w:pPr>
              <w:pStyle w:val="Ingenafstand"/>
              <w:tabs>
                <w:tab w:val="left" w:pos="1134"/>
              </w:tabs>
              <w:ind w:left="0" w:firstLine="0"/>
              <w:rPr>
                <w:b/>
                <w:sz w:val="20"/>
                <w:szCs w:val="20"/>
              </w:rPr>
            </w:pPr>
          </w:p>
        </w:tc>
        <w:tc>
          <w:tcPr>
            <w:tcW w:w="910" w:type="pct"/>
          </w:tcPr>
          <w:p w14:paraId="40C6C748" w14:textId="77777777" w:rsidR="00805C1C" w:rsidRPr="00805C1C" w:rsidRDefault="00805C1C" w:rsidP="009C646A">
            <w:pPr>
              <w:pStyle w:val="Ingenafstand"/>
              <w:tabs>
                <w:tab w:val="left" w:pos="1134"/>
              </w:tabs>
              <w:ind w:left="0" w:firstLine="0"/>
              <w:rPr>
                <w:b/>
                <w:sz w:val="20"/>
                <w:szCs w:val="20"/>
              </w:rPr>
            </w:pPr>
          </w:p>
        </w:tc>
        <w:tc>
          <w:tcPr>
            <w:tcW w:w="597" w:type="pct"/>
          </w:tcPr>
          <w:p w14:paraId="24D7F9DD" w14:textId="77777777" w:rsidR="00805C1C" w:rsidRPr="00805C1C" w:rsidRDefault="00805C1C" w:rsidP="009C646A">
            <w:pPr>
              <w:pStyle w:val="Ingenafstand"/>
              <w:tabs>
                <w:tab w:val="left" w:pos="1134"/>
              </w:tabs>
              <w:ind w:left="0" w:firstLine="0"/>
              <w:rPr>
                <w:b/>
                <w:sz w:val="20"/>
                <w:szCs w:val="20"/>
              </w:rPr>
            </w:pPr>
          </w:p>
        </w:tc>
        <w:tc>
          <w:tcPr>
            <w:tcW w:w="494" w:type="pct"/>
          </w:tcPr>
          <w:p w14:paraId="0C994B8F" w14:textId="77777777" w:rsidR="00805C1C" w:rsidRPr="00805C1C" w:rsidRDefault="00805C1C" w:rsidP="009C646A">
            <w:pPr>
              <w:pStyle w:val="Ingenafstand"/>
              <w:tabs>
                <w:tab w:val="left" w:pos="1134"/>
              </w:tabs>
              <w:ind w:left="0" w:firstLine="0"/>
              <w:rPr>
                <w:b/>
                <w:sz w:val="20"/>
                <w:szCs w:val="20"/>
              </w:rPr>
            </w:pPr>
          </w:p>
        </w:tc>
        <w:tc>
          <w:tcPr>
            <w:tcW w:w="1007" w:type="pct"/>
          </w:tcPr>
          <w:p w14:paraId="6FF4703B" w14:textId="6B82AB17" w:rsidR="00805C1C" w:rsidRPr="00805C1C" w:rsidRDefault="00805C1C" w:rsidP="009C646A">
            <w:pPr>
              <w:pStyle w:val="Ingenafstand"/>
              <w:tabs>
                <w:tab w:val="left" w:pos="1134"/>
              </w:tabs>
              <w:ind w:left="0" w:firstLine="0"/>
              <w:rPr>
                <w:b/>
                <w:sz w:val="20"/>
                <w:szCs w:val="20"/>
              </w:rPr>
            </w:pPr>
            <w:r w:rsidRPr="00805C1C">
              <w:rPr>
                <w:sz w:val="20"/>
                <w:szCs w:val="20"/>
              </w:rPr>
              <w:t>Gulsot*</w:t>
            </w:r>
          </w:p>
        </w:tc>
      </w:tr>
      <w:tr w:rsidR="00805C1C" w:rsidRPr="00805C1C" w14:paraId="1951373D" w14:textId="77777777" w:rsidTr="00805C1C">
        <w:tc>
          <w:tcPr>
            <w:tcW w:w="1059" w:type="pct"/>
          </w:tcPr>
          <w:p w14:paraId="77CC224C" w14:textId="7F524090" w:rsidR="00805C1C" w:rsidRPr="00805C1C" w:rsidRDefault="00805C1C" w:rsidP="00805C1C">
            <w:pPr>
              <w:pStyle w:val="Ingenafstand"/>
              <w:tabs>
                <w:tab w:val="left" w:pos="1134"/>
              </w:tabs>
              <w:ind w:left="0" w:firstLine="0"/>
              <w:rPr>
                <w:b/>
                <w:sz w:val="20"/>
                <w:szCs w:val="20"/>
              </w:rPr>
            </w:pPr>
            <w:r w:rsidRPr="00805C1C">
              <w:rPr>
                <w:b/>
                <w:sz w:val="20"/>
                <w:szCs w:val="20"/>
              </w:rPr>
              <w:t>Hud og subkutane væv</w:t>
            </w:r>
          </w:p>
        </w:tc>
        <w:tc>
          <w:tcPr>
            <w:tcW w:w="933" w:type="pct"/>
          </w:tcPr>
          <w:p w14:paraId="6D4CA3A9" w14:textId="08ED2010" w:rsidR="00805C1C" w:rsidRPr="00805C1C" w:rsidRDefault="00805C1C" w:rsidP="009C646A">
            <w:pPr>
              <w:pStyle w:val="Ingenafstand"/>
              <w:tabs>
                <w:tab w:val="left" w:pos="1134"/>
              </w:tabs>
              <w:ind w:left="0" w:firstLine="0"/>
              <w:rPr>
                <w:b/>
                <w:sz w:val="20"/>
                <w:szCs w:val="20"/>
              </w:rPr>
            </w:pPr>
            <w:proofErr w:type="spellStart"/>
            <w:r w:rsidRPr="00805C1C">
              <w:rPr>
                <w:sz w:val="20"/>
                <w:szCs w:val="20"/>
              </w:rPr>
              <w:t>Makulopapuløst</w:t>
            </w:r>
            <w:proofErr w:type="spellEnd"/>
            <w:r w:rsidRPr="00805C1C">
              <w:rPr>
                <w:sz w:val="20"/>
                <w:szCs w:val="20"/>
              </w:rPr>
              <w:t xml:space="preserve"> udslæt</w:t>
            </w:r>
          </w:p>
        </w:tc>
        <w:tc>
          <w:tcPr>
            <w:tcW w:w="910" w:type="pct"/>
          </w:tcPr>
          <w:p w14:paraId="302F7385" w14:textId="670291D2" w:rsidR="00805C1C" w:rsidRPr="00805C1C" w:rsidRDefault="00805C1C" w:rsidP="00805C1C">
            <w:pPr>
              <w:pStyle w:val="Ingenafstand"/>
              <w:tabs>
                <w:tab w:val="left" w:pos="1134"/>
              </w:tabs>
              <w:ind w:left="0" w:firstLine="0"/>
              <w:rPr>
                <w:b/>
                <w:sz w:val="20"/>
                <w:szCs w:val="20"/>
              </w:rPr>
            </w:pPr>
            <w:proofErr w:type="spellStart"/>
            <w:r w:rsidRPr="00805C1C">
              <w:rPr>
                <w:sz w:val="20"/>
                <w:szCs w:val="20"/>
              </w:rPr>
              <w:t>Urticaria</w:t>
            </w:r>
            <w:proofErr w:type="spellEnd"/>
            <w:r w:rsidRPr="00805C1C">
              <w:rPr>
                <w:sz w:val="20"/>
                <w:szCs w:val="20"/>
              </w:rPr>
              <w:t xml:space="preserve">, </w:t>
            </w:r>
            <w:proofErr w:type="spellStart"/>
            <w:r w:rsidRPr="00805C1C">
              <w:rPr>
                <w:sz w:val="20"/>
                <w:szCs w:val="20"/>
              </w:rPr>
              <w:t>erythema</w:t>
            </w:r>
            <w:proofErr w:type="spellEnd"/>
            <w:r w:rsidRPr="00805C1C">
              <w:rPr>
                <w:sz w:val="20"/>
                <w:szCs w:val="20"/>
              </w:rPr>
              <w:t xml:space="preserve"> multiforme, </w:t>
            </w:r>
            <w:proofErr w:type="spellStart"/>
            <w:r w:rsidRPr="00805C1C">
              <w:rPr>
                <w:sz w:val="20"/>
                <w:szCs w:val="20"/>
              </w:rPr>
              <w:t>pruritus</w:t>
            </w:r>
            <w:proofErr w:type="spellEnd"/>
          </w:p>
        </w:tc>
        <w:tc>
          <w:tcPr>
            <w:tcW w:w="597" w:type="pct"/>
          </w:tcPr>
          <w:p w14:paraId="276F892A" w14:textId="77777777" w:rsidR="00805C1C" w:rsidRPr="00805C1C" w:rsidRDefault="00805C1C" w:rsidP="009C646A">
            <w:pPr>
              <w:pStyle w:val="Ingenafstand"/>
              <w:tabs>
                <w:tab w:val="left" w:pos="1134"/>
              </w:tabs>
              <w:ind w:left="0" w:firstLine="0"/>
              <w:rPr>
                <w:b/>
                <w:sz w:val="20"/>
                <w:szCs w:val="20"/>
              </w:rPr>
            </w:pPr>
          </w:p>
        </w:tc>
        <w:tc>
          <w:tcPr>
            <w:tcW w:w="494" w:type="pct"/>
          </w:tcPr>
          <w:p w14:paraId="7CEDCD8C" w14:textId="77777777" w:rsidR="00805C1C" w:rsidRPr="00805C1C" w:rsidRDefault="00805C1C" w:rsidP="009C646A">
            <w:pPr>
              <w:pStyle w:val="Ingenafstand"/>
              <w:tabs>
                <w:tab w:val="left" w:pos="1134"/>
              </w:tabs>
              <w:ind w:left="0" w:firstLine="0"/>
              <w:rPr>
                <w:b/>
                <w:sz w:val="20"/>
                <w:szCs w:val="20"/>
              </w:rPr>
            </w:pPr>
          </w:p>
        </w:tc>
        <w:tc>
          <w:tcPr>
            <w:tcW w:w="1007" w:type="pct"/>
          </w:tcPr>
          <w:p w14:paraId="49F36407" w14:textId="34450985" w:rsidR="00805C1C" w:rsidRPr="00805C1C" w:rsidRDefault="00805C1C" w:rsidP="009C646A">
            <w:pPr>
              <w:pStyle w:val="Ingenafstand"/>
              <w:tabs>
                <w:tab w:val="left" w:pos="1134"/>
              </w:tabs>
              <w:ind w:left="0" w:firstLine="0"/>
              <w:rPr>
                <w:b/>
                <w:sz w:val="20"/>
                <w:szCs w:val="20"/>
              </w:rPr>
            </w:pPr>
            <w:r w:rsidRPr="00805C1C">
              <w:rPr>
                <w:sz w:val="20"/>
                <w:szCs w:val="20"/>
              </w:rPr>
              <w:t xml:space="preserve">Toksisk </w:t>
            </w:r>
            <w:proofErr w:type="spellStart"/>
            <w:r w:rsidRPr="00805C1C">
              <w:rPr>
                <w:sz w:val="20"/>
                <w:szCs w:val="20"/>
              </w:rPr>
              <w:t>epidermal</w:t>
            </w:r>
            <w:proofErr w:type="spellEnd"/>
            <w:r w:rsidRPr="00805C1C">
              <w:rPr>
                <w:sz w:val="20"/>
                <w:szCs w:val="20"/>
              </w:rPr>
              <w:t xml:space="preserve"> </w:t>
            </w:r>
            <w:proofErr w:type="spellStart"/>
            <w:r w:rsidRPr="00805C1C">
              <w:rPr>
                <w:sz w:val="20"/>
                <w:szCs w:val="20"/>
              </w:rPr>
              <w:t>nekrolyse</w:t>
            </w:r>
            <w:proofErr w:type="spellEnd"/>
            <w:r w:rsidRPr="00805C1C">
              <w:rPr>
                <w:sz w:val="20"/>
                <w:szCs w:val="20"/>
              </w:rPr>
              <w:t xml:space="preserve"> (TEN)*#, Stevens-Johnson syndrom (SJS)*#, lægemiddelreaktioner med </w:t>
            </w:r>
            <w:proofErr w:type="spellStart"/>
            <w:r w:rsidRPr="00805C1C">
              <w:rPr>
                <w:sz w:val="20"/>
                <w:szCs w:val="20"/>
              </w:rPr>
              <w:t>eosinofili</w:t>
            </w:r>
            <w:proofErr w:type="spellEnd"/>
            <w:r w:rsidRPr="00805C1C">
              <w:rPr>
                <w:sz w:val="20"/>
                <w:szCs w:val="20"/>
              </w:rPr>
              <w:t xml:space="preserve"> og systemiske symptomer (DRESS)*#, akut generaliseret </w:t>
            </w:r>
            <w:proofErr w:type="spellStart"/>
            <w:r w:rsidRPr="00805C1C">
              <w:rPr>
                <w:sz w:val="20"/>
                <w:szCs w:val="20"/>
              </w:rPr>
              <w:t>eksantematøs</w:t>
            </w:r>
            <w:proofErr w:type="spellEnd"/>
            <w:r w:rsidRPr="00805C1C">
              <w:rPr>
                <w:sz w:val="20"/>
                <w:szCs w:val="20"/>
              </w:rPr>
              <w:t xml:space="preserve"> </w:t>
            </w:r>
            <w:proofErr w:type="spellStart"/>
            <w:r w:rsidRPr="00805C1C">
              <w:rPr>
                <w:sz w:val="20"/>
                <w:szCs w:val="20"/>
              </w:rPr>
              <w:t>pustulose</w:t>
            </w:r>
            <w:proofErr w:type="spellEnd"/>
            <w:r w:rsidRPr="00805C1C">
              <w:rPr>
                <w:sz w:val="20"/>
                <w:szCs w:val="20"/>
              </w:rPr>
              <w:t xml:space="preserve"> (AGEP)*#, </w:t>
            </w:r>
            <w:proofErr w:type="spellStart"/>
            <w:r w:rsidRPr="00805C1C">
              <w:rPr>
                <w:sz w:val="20"/>
                <w:szCs w:val="20"/>
              </w:rPr>
              <w:t>eksfoliativ</w:t>
            </w:r>
            <w:proofErr w:type="spellEnd"/>
            <w:r w:rsidRPr="00805C1C">
              <w:rPr>
                <w:sz w:val="20"/>
                <w:szCs w:val="20"/>
              </w:rPr>
              <w:t xml:space="preserve"> </w:t>
            </w:r>
            <w:proofErr w:type="spellStart"/>
            <w:r w:rsidRPr="00805C1C">
              <w:rPr>
                <w:sz w:val="20"/>
                <w:szCs w:val="20"/>
              </w:rPr>
              <w:t>dermatitis</w:t>
            </w:r>
            <w:proofErr w:type="spellEnd"/>
            <w:r w:rsidRPr="00805C1C">
              <w:rPr>
                <w:sz w:val="20"/>
                <w:szCs w:val="20"/>
              </w:rPr>
              <w:t xml:space="preserve">*, </w:t>
            </w:r>
            <w:proofErr w:type="spellStart"/>
            <w:r w:rsidRPr="00805C1C">
              <w:rPr>
                <w:sz w:val="20"/>
                <w:szCs w:val="20"/>
              </w:rPr>
              <w:t>bulløs</w:t>
            </w:r>
            <w:proofErr w:type="spellEnd"/>
            <w:r w:rsidRPr="00805C1C">
              <w:rPr>
                <w:sz w:val="20"/>
                <w:szCs w:val="20"/>
              </w:rPr>
              <w:t xml:space="preserve"> </w:t>
            </w:r>
            <w:proofErr w:type="spellStart"/>
            <w:r w:rsidRPr="00805C1C">
              <w:rPr>
                <w:sz w:val="20"/>
                <w:szCs w:val="20"/>
              </w:rPr>
              <w:t>dermatitis</w:t>
            </w:r>
            <w:proofErr w:type="spellEnd"/>
            <w:r w:rsidRPr="00805C1C">
              <w:rPr>
                <w:sz w:val="20"/>
                <w:szCs w:val="20"/>
              </w:rPr>
              <w:t xml:space="preserve">*, </w:t>
            </w:r>
            <w:proofErr w:type="spellStart"/>
            <w:r w:rsidRPr="00805C1C">
              <w:rPr>
                <w:sz w:val="20"/>
                <w:szCs w:val="20"/>
              </w:rPr>
              <w:t>morbilliformt</w:t>
            </w:r>
            <w:proofErr w:type="spellEnd"/>
            <w:r w:rsidRPr="00805C1C">
              <w:rPr>
                <w:sz w:val="20"/>
                <w:szCs w:val="20"/>
              </w:rPr>
              <w:t xml:space="preserve"> udslæt*</w:t>
            </w:r>
          </w:p>
        </w:tc>
      </w:tr>
      <w:tr w:rsidR="00805C1C" w:rsidRPr="00805C1C" w14:paraId="56B69AA2" w14:textId="77777777" w:rsidTr="00805C1C">
        <w:tc>
          <w:tcPr>
            <w:tcW w:w="1059" w:type="pct"/>
          </w:tcPr>
          <w:p w14:paraId="1A4B2098" w14:textId="3B4F6582" w:rsidR="00805C1C" w:rsidRPr="00805C1C" w:rsidRDefault="00805C1C" w:rsidP="00805C1C">
            <w:pPr>
              <w:pStyle w:val="Ingenafstand"/>
              <w:tabs>
                <w:tab w:val="left" w:pos="1134"/>
              </w:tabs>
              <w:ind w:left="0" w:firstLine="0"/>
              <w:rPr>
                <w:b/>
                <w:sz w:val="20"/>
                <w:szCs w:val="20"/>
              </w:rPr>
            </w:pPr>
            <w:r w:rsidRPr="00805C1C">
              <w:rPr>
                <w:b/>
                <w:sz w:val="20"/>
                <w:szCs w:val="20"/>
              </w:rPr>
              <w:t>Nyrer og urinveje</w:t>
            </w:r>
          </w:p>
        </w:tc>
        <w:tc>
          <w:tcPr>
            <w:tcW w:w="933" w:type="pct"/>
          </w:tcPr>
          <w:p w14:paraId="4F2E1BD2" w14:textId="77777777" w:rsidR="00805C1C" w:rsidRPr="00805C1C" w:rsidRDefault="00805C1C" w:rsidP="009C646A">
            <w:pPr>
              <w:pStyle w:val="Ingenafstand"/>
              <w:tabs>
                <w:tab w:val="left" w:pos="1134"/>
              </w:tabs>
              <w:ind w:left="0" w:firstLine="0"/>
              <w:rPr>
                <w:b/>
                <w:sz w:val="20"/>
                <w:szCs w:val="20"/>
              </w:rPr>
            </w:pPr>
          </w:p>
        </w:tc>
        <w:tc>
          <w:tcPr>
            <w:tcW w:w="910" w:type="pct"/>
          </w:tcPr>
          <w:p w14:paraId="36EE19E6" w14:textId="77777777" w:rsidR="00805C1C" w:rsidRPr="00805C1C" w:rsidRDefault="00805C1C" w:rsidP="009C646A">
            <w:pPr>
              <w:pStyle w:val="Ingenafstand"/>
              <w:tabs>
                <w:tab w:val="left" w:pos="1134"/>
              </w:tabs>
              <w:ind w:left="0" w:firstLine="0"/>
              <w:rPr>
                <w:b/>
                <w:sz w:val="20"/>
                <w:szCs w:val="20"/>
              </w:rPr>
            </w:pPr>
          </w:p>
        </w:tc>
        <w:tc>
          <w:tcPr>
            <w:tcW w:w="597" w:type="pct"/>
          </w:tcPr>
          <w:p w14:paraId="67645D2D" w14:textId="77777777" w:rsidR="00805C1C" w:rsidRPr="00805C1C" w:rsidRDefault="00805C1C" w:rsidP="009C646A">
            <w:pPr>
              <w:pStyle w:val="Ingenafstand"/>
              <w:tabs>
                <w:tab w:val="left" w:pos="1134"/>
              </w:tabs>
              <w:ind w:left="0" w:firstLine="0"/>
              <w:rPr>
                <w:b/>
                <w:sz w:val="20"/>
                <w:szCs w:val="20"/>
              </w:rPr>
            </w:pPr>
          </w:p>
        </w:tc>
        <w:tc>
          <w:tcPr>
            <w:tcW w:w="494" w:type="pct"/>
          </w:tcPr>
          <w:p w14:paraId="10577246" w14:textId="77777777" w:rsidR="00805C1C" w:rsidRPr="00805C1C" w:rsidRDefault="00805C1C" w:rsidP="009C646A">
            <w:pPr>
              <w:pStyle w:val="Ingenafstand"/>
              <w:tabs>
                <w:tab w:val="left" w:pos="1134"/>
              </w:tabs>
              <w:ind w:left="0" w:firstLine="0"/>
              <w:rPr>
                <w:b/>
                <w:sz w:val="20"/>
                <w:szCs w:val="20"/>
              </w:rPr>
            </w:pPr>
          </w:p>
        </w:tc>
        <w:tc>
          <w:tcPr>
            <w:tcW w:w="1007" w:type="pct"/>
          </w:tcPr>
          <w:p w14:paraId="05C7A2A0" w14:textId="02E1E594" w:rsidR="00805C1C" w:rsidRPr="00805C1C" w:rsidRDefault="00805C1C" w:rsidP="009C646A">
            <w:pPr>
              <w:pStyle w:val="Ingenafstand"/>
              <w:tabs>
                <w:tab w:val="left" w:pos="1134"/>
              </w:tabs>
              <w:ind w:left="0" w:firstLine="0"/>
              <w:rPr>
                <w:b/>
                <w:sz w:val="20"/>
                <w:szCs w:val="20"/>
              </w:rPr>
            </w:pPr>
            <w:r w:rsidRPr="00805C1C">
              <w:rPr>
                <w:sz w:val="20"/>
                <w:szCs w:val="20"/>
              </w:rPr>
              <w:t>Akut nyreskade#</w:t>
            </w:r>
          </w:p>
        </w:tc>
      </w:tr>
      <w:tr w:rsidR="00805C1C" w:rsidRPr="00805C1C" w14:paraId="6C87FE1F" w14:textId="77777777" w:rsidTr="00805C1C">
        <w:tc>
          <w:tcPr>
            <w:tcW w:w="1059" w:type="pct"/>
          </w:tcPr>
          <w:p w14:paraId="0ABBBCF0" w14:textId="243756B1" w:rsidR="00805C1C" w:rsidRPr="00805C1C" w:rsidRDefault="00805C1C" w:rsidP="00805C1C">
            <w:pPr>
              <w:pStyle w:val="Ingenafstand"/>
              <w:tabs>
                <w:tab w:val="left" w:pos="1134"/>
              </w:tabs>
              <w:ind w:left="0" w:firstLine="0"/>
              <w:rPr>
                <w:b/>
                <w:sz w:val="20"/>
                <w:szCs w:val="20"/>
              </w:rPr>
            </w:pPr>
            <w:r w:rsidRPr="00805C1C">
              <w:rPr>
                <w:b/>
                <w:sz w:val="20"/>
                <w:szCs w:val="20"/>
              </w:rPr>
              <w:t>Almene symptomer og reaktioner på administrationsstedet</w:t>
            </w:r>
          </w:p>
        </w:tc>
        <w:tc>
          <w:tcPr>
            <w:tcW w:w="933" w:type="pct"/>
          </w:tcPr>
          <w:p w14:paraId="5F4BED12" w14:textId="3AD59C7B" w:rsidR="00805C1C" w:rsidRPr="00805C1C" w:rsidRDefault="00805C1C" w:rsidP="00805C1C">
            <w:pPr>
              <w:pStyle w:val="Ingenafstand"/>
              <w:tabs>
                <w:tab w:val="left" w:pos="1134"/>
              </w:tabs>
              <w:ind w:left="0" w:firstLine="0"/>
              <w:rPr>
                <w:b/>
                <w:sz w:val="20"/>
                <w:szCs w:val="20"/>
              </w:rPr>
            </w:pPr>
            <w:proofErr w:type="spellStart"/>
            <w:r w:rsidRPr="00805C1C">
              <w:rPr>
                <w:sz w:val="20"/>
                <w:szCs w:val="20"/>
              </w:rPr>
              <w:t>Induration</w:t>
            </w:r>
            <w:proofErr w:type="spellEnd"/>
            <w:r w:rsidRPr="00805C1C">
              <w:rPr>
                <w:sz w:val="20"/>
                <w:szCs w:val="20"/>
              </w:rPr>
              <w:t xml:space="preserve"> på injektionsstedet***</w:t>
            </w:r>
          </w:p>
        </w:tc>
        <w:tc>
          <w:tcPr>
            <w:tcW w:w="910" w:type="pct"/>
          </w:tcPr>
          <w:p w14:paraId="7ED2B9FB" w14:textId="6D264EC3" w:rsidR="00805C1C" w:rsidRPr="00805C1C" w:rsidRDefault="00805C1C" w:rsidP="009C646A">
            <w:pPr>
              <w:pStyle w:val="Ingenafstand"/>
              <w:tabs>
                <w:tab w:val="left" w:pos="1134"/>
              </w:tabs>
              <w:ind w:left="0" w:firstLine="0"/>
              <w:rPr>
                <w:b/>
                <w:sz w:val="20"/>
                <w:szCs w:val="20"/>
              </w:rPr>
            </w:pPr>
            <w:r w:rsidRPr="00805C1C">
              <w:rPr>
                <w:sz w:val="20"/>
                <w:szCs w:val="20"/>
              </w:rPr>
              <w:t>Smerter på injektionsstedet, steril absces på injektionsstedet***</w:t>
            </w:r>
          </w:p>
        </w:tc>
        <w:tc>
          <w:tcPr>
            <w:tcW w:w="597" w:type="pct"/>
          </w:tcPr>
          <w:p w14:paraId="7535C858" w14:textId="77777777" w:rsidR="00805C1C" w:rsidRPr="00805C1C" w:rsidRDefault="00805C1C" w:rsidP="009C646A">
            <w:pPr>
              <w:pStyle w:val="Ingenafstand"/>
              <w:tabs>
                <w:tab w:val="left" w:pos="1134"/>
              </w:tabs>
              <w:ind w:left="0" w:firstLine="0"/>
              <w:rPr>
                <w:b/>
                <w:sz w:val="20"/>
                <w:szCs w:val="20"/>
              </w:rPr>
            </w:pPr>
          </w:p>
        </w:tc>
        <w:tc>
          <w:tcPr>
            <w:tcW w:w="494" w:type="pct"/>
          </w:tcPr>
          <w:p w14:paraId="2B53C30B" w14:textId="77777777" w:rsidR="00805C1C" w:rsidRPr="00805C1C" w:rsidRDefault="00805C1C" w:rsidP="009C646A">
            <w:pPr>
              <w:pStyle w:val="Ingenafstand"/>
              <w:tabs>
                <w:tab w:val="left" w:pos="1134"/>
              </w:tabs>
              <w:ind w:left="0" w:firstLine="0"/>
              <w:rPr>
                <w:b/>
                <w:sz w:val="20"/>
                <w:szCs w:val="20"/>
              </w:rPr>
            </w:pPr>
          </w:p>
        </w:tc>
        <w:tc>
          <w:tcPr>
            <w:tcW w:w="1007" w:type="pct"/>
          </w:tcPr>
          <w:p w14:paraId="476E4633" w14:textId="1FC4625E" w:rsidR="00805C1C" w:rsidRPr="00805C1C" w:rsidRDefault="00805C1C" w:rsidP="009C646A">
            <w:pPr>
              <w:pStyle w:val="Ingenafstand"/>
              <w:tabs>
                <w:tab w:val="left" w:pos="1134"/>
              </w:tabs>
              <w:ind w:left="0" w:firstLine="0"/>
              <w:rPr>
                <w:b/>
                <w:sz w:val="20"/>
                <w:szCs w:val="20"/>
              </w:rPr>
            </w:pPr>
            <w:r w:rsidRPr="00805C1C">
              <w:rPr>
                <w:sz w:val="20"/>
                <w:szCs w:val="20"/>
              </w:rPr>
              <w:t>Irritation på injektionsstedet*</w:t>
            </w:r>
          </w:p>
        </w:tc>
      </w:tr>
      <w:tr w:rsidR="00805C1C" w:rsidRPr="00805C1C" w14:paraId="53ECFB9C" w14:textId="77777777" w:rsidTr="00805C1C">
        <w:tc>
          <w:tcPr>
            <w:tcW w:w="1059" w:type="pct"/>
          </w:tcPr>
          <w:p w14:paraId="3163A795" w14:textId="772819CB" w:rsidR="00805C1C" w:rsidRPr="00805C1C" w:rsidRDefault="00805C1C" w:rsidP="00805C1C">
            <w:pPr>
              <w:pStyle w:val="Ingenafstand"/>
              <w:tabs>
                <w:tab w:val="left" w:pos="1134"/>
              </w:tabs>
              <w:ind w:left="0" w:firstLine="0"/>
              <w:rPr>
                <w:b/>
                <w:sz w:val="20"/>
                <w:szCs w:val="20"/>
              </w:rPr>
            </w:pPr>
            <w:r w:rsidRPr="00805C1C">
              <w:rPr>
                <w:b/>
                <w:sz w:val="20"/>
                <w:szCs w:val="20"/>
              </w:rPr>
              <w:t>Undersøgelser</w:t>
            </w:r>
          </w:p>
        </w:tc>
        <w:tc>
          <w:tcPr>
            <w:tcW w:w="933" w:type="pct"/>
          </w:tcPr>
          <w:p w14:paraId="5720D0F3" w14:textId="4999A54D" w:rsidR="00805C1C" w:rsidRPr="00805C1C" w:rsidRDefault="00805C1C" w:rsidP="009C646A">
            <w:pPr>
              <w:pStyle w:val="Ingenafstand"/>
              <w:tabs>
                <w:tab w:val="left" w:pos="1134"/>
              </w:tabs>
              <w:ind w:left="0" w:firstLine="0"/>
              <w:rPr>
                <w:b/>
                <w:sz w:val="20"/>
                <w:szCs w:val="20"/>
              </w:rPr>
            </w:pPr>
            <w:r w:rsidRPr="00805C1C">
              <w:rPr>
                <w:sz w:val="20"/>
                <w:szCs w:val="20"/>
              </w:rPr>
              <w:t>Unormale levertal, forhøjede serum-</w:t>
            </w:r>
            <w:proofErr w:type="spellStart"/>
            <w:r w:rsidRPr="00805C1C">
              <w:rPr>
                <w:sz w:val="20"/>
                <w:szCs w:val="20"/>
              </w:rPr>
              <w:t>transaminaser</w:t>
            </w:r>
            <w:proofErr w:type="spellEnd"/>
          </w:p>
        </w:tc>
        <w:tc>
          <w:tcPr>
            <w:tcW w:w="910" w:type="pct"/>
          </w:tcPr>
          <w:p w14:paraId="20FCE19B" w14:textId="77777777" w:rsidR="00805C1C" w:rsidRPr="00805C1C" w:rsidRDefault="00805C1C" w:rsidP="009C646A">
            <w:pPr>
              <w:pStyle w:val="Ingenafstand"/>
              <w:tabs>
                <w:tab w:val="left" w:pos="1134"/>
              </w:tabs>
              <w:ind w:left="0" w:firstLine="0"/>
              <w:rPr>
                <w:b/>
                <w:sz w:val="20"/>
                <w:szCs w:val="20"/>
              </w:rPr>
            </w:pPr>
          </w:p>
        </w:tc>
        <w:tc>
          <w:tcPr>
            <w:tcW w:w="597" w:type="pct"/>
          </w:tcPr>
          <w:p w14:paraId="2067BD4B" w14:textId="77777777" w:rsidR="00805C1C" w:rsidRPr="00805C1C" w:rsidRDefault="00805C1C" w:rsidP="009C646A">
            <w:pPr>
              <w:pStyle w:val="Ingenafstand"/>
              <w:tabs>
                <w:tab w:val="left" w:pos="1134"/>
              </w:tabs>
              <w:ind w:left="0" w:firstLine="0"/>
              <w:rPr>
                <w:b/>
                <w:sz w:val="20"/>
                <w:szCs w:val="20"/>
              </w:rPr>
            </w:pPr>
          </w:p>
        </w:tc>
        <w:tc>
          <w:tcPr>
            <w:tcW w:w="494" w:type="pct"/>
          </w:tcPr>
          <w:p w14:paraId="46D5B2BF" w14:textId="77777777" w:rsidR="00805C1C" w:rsidRPr="00805C1C" w:rsidRDefault="00805C1C" w:rsidP="009C646A">
            <w:pPr>
              <w:pStyle w:val="Ingenafstand"/>
              <w:tabs>
                <w:tab w:val="left" w:pos="1134"/>
              </w:tabs>
              <w:ind w:left="0" w:firstLine="0"/>
              <w:rPr>
                <w:b/>
                <w:sz w:val="20"/>
                <w:szCs w:val="20"/>
              </w:rPr>
            </w:pPr>
          </w:p>
        </w:tc>
        <w:tc>
          <w:tcPr>
            <w:tcW w:w="1007" w:type="pct"/>
          </w:tcPr>
          <w:p w14:paraId="0F3734B0" w14:textId="77777777" w:rsidR="00805C1C" w:rsidRPr="00805C1C" w:rsidRDefault="00805C1C" w:rsidP="009C646A">
            <w:pPr>
              <w:pStyle w:val="Ingenafstand"/>
              <w:tabs>
                <w:tab w:val="left" w:pos="1134"/>
              </w:tabs>
              <w:ind w:left="0" w:firstLine="0"/>
              <w:rPr>
                <w:b/>
                <w:sz w:val="20"/>
                <w:szCs w:val="20"/>
              </w:rPr>
            </w:pPr>
          </w:p>
        </w:tc>
      </w:tr>
    </w:tbl>
    <w:p w14:paraId="35DAC6CD" w14:textId="77777777" w:rsidR="009C646A" w:rsidRPr="00384190" w:rsidRDefault="009C646A" w:rsidP="00805C1C">
      <w:pPr>
        <w:pStyle w:val="Ingenafstand"/>
        <w:ind w:left="567" w:hanging="567"/>
        <w:rPr>
          <w:sz w:val="24"/>
          <w:szCs w:val="24"/>
        </w:rPr>
      </w:pPr>
      <w:r w:rsidRPr="00384190">
        <w:rPr>
          <w:sz w:val="24"/>
          <w:szCs w:val="24"/>
        </w:rPr>
        <w:t>*</w:t>
      </w:r>
      <w:r w:rsidRPr="00384190">
        <w:rPr>
          <w:sz w:val="24"/>
          <w:szCs w:val="24"/>
        </w:rPr>
        <w:tab/>
        <w:t>Bivirkninger indberettet fra erfaringer efter markedsføring.</w:t>
      </w:r>
    </w:p>
    <w:p w14:paraId="25097B4B" w14:textId="77777777" w:rsidR="009C646A" w:rsidRPr="00384190" w:rsidRDefault="009C646A" w:rsidP="00805C1C">
      <w:pPr>
        <w:pStyle w:val="Ingenafstand"/>
        <w:ind w:left="567" w:hanging="567"/>
        <w:rPr>
          <w:sz w:val="24"/>
          <w:szCs w:val="24"/>
        </w:rPr>
      </w:pPr>
      <w:r w:rsidRPr="00384190">
        <w:rPr>
          <w:sz w:val="24"/>
          <w:szCs w:val="24"/>
        </w:rPr>
        <w:lastRenderedPageBreak/>
        <w:t>**</w:t>
      </w:r>
      <w:r w:rsidRPr="00384190">
        <w:rPr>
          <w:sz w:val="24"/>
          <w:szCs w:val="24"/>
        </w:rPr>
        <w:tab/>
        <w:t xml:space="preserve">Ofte lette af natur og forsvinder ofte under eller efter </w:t>
      </w:r>
      <w:proofErr w:type="spellStart"/>
      <w:r w:rsidRPr="00384190">
        <w:rPr>
          <w:sz w:val="24"/>
          <w:szCs w:val="24"/>
        </w:rPr>
        <w:t>behandlingsseponering</w:t>
      </w:r>
      <w:proofErr w:type="spellEnd"/>
      <w:r w:rsidRPr="00384190">
        <w:rPr>
          <w:sz w:val="24"/>
          <w:szCs w:val="24"/>
        </w:rPr>
        <w:t>. Disse bivirkninger afhænger af administrationsmetode og dosering.</w:t>
      </w:r>
    </w:p>
    <w:p w14:paraId="77CBB765" w14:textId="77777777" w:rsidR="009C646A" w:rsidRPr="00384190" w:rsidRDefault="009C646A" w:rsidP="00805C1C">
      <w:pPr>
        <w:pStyle w:val="Ingenafstand"/>
        <w:ind w:left="567" w:hanging="567"/>
        <w:rPr>
          <w:sz w:val="24"/>
          <w:szCs w:val="24"/>
        </w:rPr>
      </w:pPr>
      <w:r w:rsidRPr="00384190">
        <w:rPr>
          <w:sz w:val="24"/>
          <w:szCs w:val="24"/>
        </w:rPr>
        <w:t>***</w:t>
      </w:r>
      <w:r w:rsidRPr="00384190">
        <w:rPr>
          <w:sz w:val="24"/>
          <w:szCs w:val="24"/>
        </w:rPr>
        <w:tab/>
        <w:t xml:space="preserve">Kan forekomme lokalt efter </w:t>
      </w:r>
      <w:proofErr w:type="spellStart"/>
      <w:r w:rsidRPr="00384190">
        <w:rPr>
          <w:sz w:val="24"/>
          <w:szCs w:val="24"/>
        </w:rPr>
        <w:t>i.m</w:t>
      </w:r>
      <w:proofErr w:type="spellEnd"/>
      <w:r w:rsidRPr="00384190">
        <w:rPr>
          <w:sz w:val="24"/>
          <w:szCs w:val="24"/>
        </w:rPr>
        <w:t>.-injektion.</w:t>
      </w:r>
    </w:p>
    <w:p w14:paraId="5D47A503" w14:textId="77777777" w:rsidR="009C646A" w:rsidRPr="00384190" w:rsidRDefault="009C646A" w:rsidP="00805C1C">
      <w:pPr>
        <w:pStyle w:val="Ingenafstand"/>
        <w:ind w:left="567" w:hanging="567"/>
        <w:rPr>
          <w:sz w:val="24"/>
          <w:szCs w:val="24"/>
        </w:rPr>
      </w:pPr>
      <w:r w:rsidRPr="00384190">
        <w:rPr>
          <w:sz w:val="24"/>
          <w:szCs w:val="24"/>
        </w:rPr>
        <w:t>****</w:t>
      </w:r>
      <w:r w:rsidRPr="00384190">
        <w:rPr>
          <w:sz w:val="24"/>
          <w:szCs w:val="24"/>
        </w:rPr>
        <w:tab/>
        <w:t xml:space="preserve">Efter </w:t>
      </w:r>
      <w:proofErr w:type="spellStart"/>
      <w:r w:rsidRPr="00384190">
        <w:rPr>
          <w:sz w:val="24"/>
          <w:szCs w:val="24"/>
        </w:rPr>
        <w:t>i.v</w:t>
      </w:r>
      <w:proofErr w:type="spellEnd"/>
      <w:r w:rsidRPr="00384190">
        <w:rPr>
          <w:sz w:val="24"/>
          <w:szCs w:val="24"/>
        </w:rPr>
        <w:t>.-administration.</w:t>
      </w:r>
    </w:p>
    <w:p w14:paraId="20923FBB" w14:textId="77777777" w:rsidR="009C646A" w:rsidRPr="00384190" w:rsidRDefault="009C646A" w:rsidP="00805C1C">
      <w:pPr>
        <w:pStyle w:val="Ingenafstand"/>
        <w:ind w:left="567" w:hanging="567"/>
        <w:rPr>
          <w:sz w:val="24"/>
          <w:szCs w:val="24"/>
        </w:rPr>
      </w:pPr>
      <w:r w:rsidRPr="00384190">
        <w:rPr>
          <w:sz w:val="24"/>
          <w:szCs w:val="24"/>
        </w:rPr>
        <w:t>+</w:t>
      </w:r>
      <w:r w:rsidRPr="00384190">
        <w:rPr>
          <w:sz w:val="24"/>
          <w:szCs w:val="24"/>
        </w:rPr>
        <w:tab/>
        <w:t xml:space="preserve">Efter en hurtig </w:t>
      </w:r>
      <w:proofErr w:type="spellStart"/>
      <w:r w:rsidRPr="00384190">
        <w:rPr>
          <w:sz w:val="24"/>
          <w:szCs w:val="24"/>
        </w:rPr>
        <w:t>i.v</w:t>
      </w:r>
      <w:proofErr w:type="spellEnd"/>
      <w:r w:rsidRPr="00384190">
        <w:rPr>
          <w:sz w:val="24"/>
          <w:szCs w:val="24"/>
        </w:rPr>
        <w:t>.-indsprøjtning kan der opstå overfølsomhedsreaktioner i form af rødmen eller følelse af kvalme.</w:t>
      </w:r>
    </w:p>
    <w:p w14:paraId="25A3A208" w14:textId="77777777" w:rsidR="009C646A" w:rsidRPr="00384190" w:rsidRDefault="009C646A" w:rsidP="00805C1C">
      <w:pPr>
        <w:pStyle w:val="Ingenafstand"/>
        <w:ind w:left="567" w:hanging="567"/>
        <w:rPr>
          <w:sz w:val="24"/>
          <w:szCs w:val="24"/>
        </w:rPr>
      </w:pPr>
      <w:r w:rsidRPr="00384190">
        <w:rPr>
          <w:sz w:val="24"/>
          <w:szCs w:val="24"/>
        </w:rPr>
        <w:t>#</w:t>
      </w:r>
      <w:r w:rsidRPr="00384190">
        <w:rPr>
          <w:sz w:val="24"/>
          <w:szCs w:val="24"/>
        </w:rPr>
        <w:tab/>
        <w:t>Se pkt. 4.4.</w:t>
      </w:r>
    </w:p>
    <w:p w14:paraId="118BD01F" w14:textId="77777777" w:rsidR="009C646A" w:rsidRPr="00384190" w:rsidRDefault="009C646A" w:rsidP="00805C1C">
      <w:pPr>
        <w:pStyle w:val="Ingenafstand"/>
        <w:ind w:left="567" w:hanging="567"/>
        <w:rPr>
          <w:sz w:val="24"/>
          <w:szCs w:val="24"/>
        </w:rPr>
      </w:pPr>
      <w:r w:rsidRPr="00384190">
        <w:rPr>
          <w:sz w:val="24"/>
          <w:szCs w:val="24"/>
        </w:rPr>
        <w:t>§</w:t>
      </w:r>
      <w:r w:rsidRPr="00384190">
        <w:rPr>
          <w:sz w:val="24"/>
          <w:szCs w:val="24"/>
        </w:rPr>
        <w:tab/>
        <w:t xml:space="preserve">Der er indberettet tilfælde af akut hjertestop og hypotension efter for hurtig </w:t>
      </w:r>
      <w:proofErr w:type="spellStart"/>
      <w:r w:rsidRPr="00384190">
        <w:rPr>
          <w:sz w:val="24"/>
          <w:szCs w:val="24"/>
        </w:rPr>
        <w:t>i.v</w:t>
      </w:r>
      <w:proofErr w:type="spellEnd"/>
      <w:r w:rsidRPr="00384190">
        <w:rPr>
          <w:sz w:val="24"/>
          <w:szCs w:val="24"/>
        </w:rPr>
        <w:t>.-administration.</w:t>
      </w:r>
    </w:p>
    <w:p w14:paraId="3BBBE61E" w14:textId="77777777" w:rsidR="009C646A" w:rsidRPr="00384190" w:rsidRDefault="009C646A" w:rsidP="009C646A">
      <w:pPr>
        <w:pStyle w:val="Ingenafstand"/>
        <w:ind w:left="0" w:firstLine="0"/>
        <w:rPr>
          <w:sz w:val="24"/>
          <w:szCs w:val="24"/>
          <w:u w:val="single"/>
        </w:rPr>
      </w:pPr>
    </w:p>
    <w:p w14:paraId="3277D0DC" w14:textId="77777777" w:rsidR="009C646A" w:rsidRPr="00384190" w:rsidRDefault="009C646A" w:rsidP="00384190">
      <w:pPr>
        <w:ind w:left="851"/>
        <w:rPr>
          <w:sz w:val="24"/>
          <w:szCs w:val="24"/>
          <w:u w:val="single"/>
        </w:rPr>
      </w:pPr>
      <w:r w:rsidRPr="00384190">
        <w:rPr>
          <w:sz w:val="24"/>
          <w:szCs w:val="24"/>
          <w:u w:val="single"/>
        </w:rPr>
        <w:t>Indberetning af formodede bivirkninger</w:t>
      </w:r>
    </w:p>
    <w:p w14:paraId="39945819" w14:textId="77777777" w:rsidR="009C646A" w:rsidRPr="00384190" w:rsidRDefault="009C646A" w:rsidP="00384190">
      <w:pPr>
        <w:ind w:left="851"/>
        <w:rPr>
          <w:noProof/>
          <w:sz w:val="24"/>
          <w:szCs w:val="24"/>
          <w:highlight w:val="lightGray"/>
        </w:rPr>
      </w:pPr>
      <w:r w:rsidRPr="00384190">
        <w:rPr>
          <w:sz w:val="24"/>
          <w:szCs w:val="24"/>
        </w:rPr>
        <w:t>Når lægemidlet er godkendt, er indberetning af formodede bivirkninger vigtig. Det muliggør løbende overvågning af benefit/</w:t>
      </w:r>
      <w:proofErr w:type="spellStart"/>
      <w:r w:rsidRPr="00384190">
        <w:rPr>
          <w:sz w:val="24"/>
          <w:szCs w:val="24"/>
        </w:rPr>
        <w:t>risk</w:t>
      </w:r>
      <w:proofErr w:type="spellEnd"/>
      <w:r w:rsidRPr="00384190">
        <w:rPr>
          <w:sz w:val="24"/>
          <w:szCs w:val="24"/>
        </w:rPr>
        <w:t>-forholdet for lægemidlet. Sundhedspersoner anmodes om at indberette alle formodede bivirkninger via</w:t>
      </w:r>
    </w:p>
    <w:p w14:paraId="0B047833" w14:textId="77777777" w:rsidR="009C646A" w:rsidRPr="00384190" w:rsidRDefault="009C646A" w:rsidP="00384190">
      <w:pPr>
        <w:ind w:left="851"/>
        <w:rPr>
          <w:rFonts w:eastAsia="SimSun"/>
          <w:sz w:val="24"/>
          <w:szCs w:val="24"/>
          <w:lang w:eastAsia="en-GB"/>
        </w:rPr>
      </w:pPr>
    </w:p>
    <w:p w14:paraId="4583EA15" w14:textId="77777777" w:rsidR="009C646A" w:rsidRPr="00384190" w:rsidRDefault="009C646A" w:rsidP="00384190">
      <w:pPr>
        <w:ind w:left="851"/>
        <w:rPr>
          <w:rFonts w:eastAsia="Calibri"/>
          <w:color w:val="000000"/>
          <w:sz w:val="24"/>
          <w:szCs w:val="24"/>
          <w:lang w:eastAsia="zh-CN"/>
        </w:rPr>
      </w:pPr>
      <w:r w:rsidRPr="00384190">
        <w:rPr>
          <w:rFonts w:eastAsia="SimSun"/>
          <w:sz w:val="24"/>
          <w:szCs w:val="24"/>
          <w:lang w:eastAsia="en-GB"/>
        </w:rPr>
        <w:t>Lægemiddelstyrelsen</w:t>
      </w:r>
    </w:p>
    <w:p w14:paraId="70B81240" w14:textId="77777777" w:rsidR="009C646A" w:rsidRPr="00384190" w:rsidRDefault="009C646A" w:rsidP="00384190">
      <w:pPr>
        <w:ind w:left="851"/>
        <w:rPr>
          <w:rFonts w:eastAsia="Calibri"/>
          <w:noProof/>
          <w:sz w:val="24"/>
          <w:szCs w:val="24"/>
          <w:lang w:eastAsia="zh-CN"/>
        </w:rPr>
      </w:pPr>
      <w:r w:rsidRPr="00384190">
        <w:rPr>
          <w:rFonts w:eastAsia="Calibri"/>
          <w:sz w:val="24"/>
          <w:szCs w:val="24"/>
          <w:lang w:eastAsia="zh-CN"/>
        </w:rPr>
        <w:t>Axel Heides Gade 1</w:t>
      </w:r>
    </w:p>
    <w:p w14:paraId="60A10D4C" w14:textId="77777777" w:rsidR="009C646A" w:rsidRPr="00384190" w:rsidRDefault="009C646A" w:rsidP="00384190">
      <w:pPr>
        <w:ind w:left="851"/>
        <w:rPr>
          <w:rFonts w:eastAsia="Calibri"/>
          <w:noProof/>
          <w:sz w:val="24"/>
          <w:szCs w:val="24"/>
          <w:lang w:eastAsia="zh-CN"/>
        </w:rPr>
      </w:pPr>
      <w:r w:rsidRPr="00384190">
        <w:rPr>
          <w:rFonts w:eastAsia="Calibri"/>
          <w:noProof/>
          <w:sz w:val="24"/>
          <w:szCs w:val="24"/>
          <w:lang w:eastAsia="zh-CN"/>
        </w:rPr>
        <w:t xml:space="preserve">DK-2300 </w:t>
      </w:r>
      <w:r w:rsidRPr="00384190">
        <w:rPr>
          <w:rFonts w:eastAsia="Calibri"/>
          <w:sz w:val="24"/>
          <w:szCs w:val="24"/>
          <w:lang w:eastAsia="zh-CN"/>
        </w:rPr>
        <w:t>København S</w:t>
      </w:r>
    </w:p>
    <w:p w14:paraId="1D87F3C1" w14:textId="77777777" w:rsidR="009C646A" w:rsidRPr="00384190" w:rsidRDefault="009C646A" w:rsidP="00384190">
      <w:pPr>
        <w:ind w:left="851"/>
        <w:rPr>
          <w:rFonts w:eastAsia="Calibri"/>
          <w:noProof/>
          <w:sz w:val="24"/>
          <w:szCs w:val="24"/>
          <w:lang w:eastAsia="zh-CN"/>
        </w:rPr>
      </w:pPr>
      <w:r w:rsidRPr="00384190">
        <w:rPr>
          <w:rFonts w:eastAsia="Calibri"/>
          <w:sz w:val="24"/>
          <w:szCs w:val="24"/>
          <w:lang w:eastAsia="zh-CN"/>
        </w:rPr>
        <w:t>Websted</w:t>
      </w:r>
      <w:r w:rsidRPr="00384190">
        <w:rPr>
          <w:rFonts w:eastAsia="Calibri"/>
          <w:noProof/>
          <w:sz w:val="24"/>
          <w:szCs w:val="24"/>
          <w:lang w:eastAsia="zh-CN"/>
        </w:rPr>
        <w:t xml:space="preserve">: </w:t>
      </w:r>
      <w:hyperlink r:id="rId8" w:history="1">
        <w:r w:rsidRPr="00384190">
          <w:rPr>
            <w:rStyle w:val="Hyperlink"/>
            <w:rFonts w:eastAsia="Calibri"/>
            <w:noProof/>
            <w:color w:val="0000FF"/>
            <w:sz w:val="24"/>
            <w:szCs w:val="24"/>
            <w:lang w:eastAsia="zh-CN"/>
          </w:rPr>
          <w:t>www.meldenbivirkning.dk</w:t>
        </w:r>
      </w:hyperlink>
    </w:p>
    <w:p w14:paraId="4A986F86" w14:textId="77777777" w:rsidR="009260DE" w:rsidRPr="00384190" w:rsidRDefault="009260DE" w:rsidP="00A10294">
      <w:pPr>
        <w:tabs>
          <w:tab w:val="left" w:pos="851"/>
        </w:tabs>
        <w:ind w:left="851"/>
        <w:rPr>
          <w:sz w:val="24"/>
          <w:szCs w:val="24"/>
        </w:rPr>
      </w:pPr>
    </w:p>
    <w:p w14:paraId="54FB560C" w14:textId="77777777" w:rsidR="009260DE" w:rsidRPr="00384190" w:rsidRDefault="009260DE" w:rsidP="009260DE">
      <w:pPr>
        <w:tabs>
          <w:tab w:val="left" w:pos="851"/>
        </w:tabs>
        <w:ind w:left="851" w:hanging="851"/>
        <w:rPr>
          <w:b/>
          <w:sz w:val="24"/>
          <w:szCs w:val="24"/>
        </w:rPr>
      </w:pPr>
      <w:r w:rsidRPr="00384190">
        <w:rPr>
          <w:b/>
          <w:sz w:val="24"/>
          <w:szCs w:val="24"/>
        </w:rPr>
        <w:t>4.9</w:t>
      </w:r>
      <w:r w:rsidRPr="00384190">
        <w:rPr>
          <w:b/>
          <w:sz w:val="24"/>
          <w:szCs w:val="24"/>
        </w:rPr>
        <w:tab/>
        <w:t>Overdosering</w:t>
      </w:r>
    </w:p>
    <w:p w14:paraId="66687A06" w14:textId="77777777" w:rsidR="009C646A" w:rsidRPr="00384190" w:rsidRDefault="009C646A" w:rsidP="00384190">
      <w:pPr>
        <w:ind w:left="851"/>
        <w:rPr>
          <w:sz w:val="24"/>
          <w:szCs w:val="24"/>
        </w:rPr>
      </w:pPr>
      <w:r w:rsidRPr="00384190">
        <w:rPr>
          <w:sz w:val="24"/>
          <w:szCs w:val="24"/>
        </w:rPr>
        <w:t>Symptomer på overdosis er kvalme, opkastning og diarré.</w:t>
      </w:r>
    </w:p>
    <w:p w14:paraId="511E31B6" w14:textId="77777777" w:rsidR="009C646A" w:rsidRPr="00384190" w:rsidRDefault="009C646A" w:rsidP="00384190">
      <w:pPr>
        <w:ind w:left="851"/>
        <w:rPr>
          <w:sz w:val="24"/>
          <w:szCs w:val="24"/>
        </w:rPr>
      </w:pPr>
      <w:r w:rsidRPr="00384190">
        <w:rPr>
          <w:sz w:val="24"/>
          <w:szCs w:val="24"/>
        </w:rPr>
        <w:t xml:space="preserve">Hæmodialyse og </w:t>
      </w:r>
      <w:proofErr w:type="spellStart"/>
      <w:r w:rsidRPr="00384190">
        <w:rPr>
          <w:sz w:val="24"/>
          <w:szCs w:val="24"/>
        </w:rPr>
        <w:t>peritonealdialyse</w:t>
      </w:r>
      <w:proofErr w:type="spellEnd"/>
      <w:r w:rsidRPr="00384190">
        <w:rPr>
          <w:sz w:val="24"/>
          <w:szCs w:val="24"/>
        </w:rPr>
        <w:t xml:space="preserve"> er ikke effektive behandlingsmetoder til at fjerne </w:t>
      </w:r>
      <w:proofErr w:type="spellStart"/>
      <w:r w:rsidRPr="00384190">
        <w:rPr>
          <w:sz w:val="24"/>
          <w:szCs w:val="24"/>
        </w:rPr>
        <w:t>clindamycin</w:t>
      </w:r>
      <w:proofErr w:type="spellEnd"/>
      <w:r w:rsidRPr="00384190">
        <w:rPr>
          <w:sz w:val="24"/>
          <w:szCs w:val="24"/>
        </w:rPr>
        <w:t xml:space="preserve"> fra serum. </w:t>
      </w:r>
    </w:p>
    <w:p w14:paraId="11128558" w14:textId="77777777" w:rsidR="009260DE" w:rsidRPr="00384190" w:rsidRDefault="009260DE" w:rsidP="009260DE">
      <w:pPr>
        <w:tabs>
          <w:tab w:val="left" w:pos="851"/>
        </w:tabs>
        <w:ind w:left="851"/>
        <w:rPr>
          <w:sz w:val="24"/>
          <w:szCs w:val="24"/>
        </w:rPr>
      </w:pPr>
    </w:p>
    <w:p w14:paraId="0E9242C2" w14:textId="77777777" w:rsidR="009260DE" w:rsidRPr="00384190" w:rsidRDefault="009260DE" w:rsidP="009260DE">
      <w:pPr>
        <w:tabs>
          <w:tab w:val="left" w:pos="851"/>
        </w:tabs>
        <w:ind w:left="851" w:hanging="851"/>
        <w:rPr>
          <w:b/>
          <w:sz w:val="24"/>
          <w:szCs w:val="24"/>
        </w:rPr>
      </w:pPr>
      <w:r w:rsidRPr="00384190">
        <w:rPr>
          <w:b/>
          <w:sz w:val="24"/>
          <w:szCs w:val="24"/>
        </w:rPr>
        <w:t>4.10</w:t>
      </w:r>
      <w:r w:rsidRPr="00384190">
        <w:rPr>
          <w:b/>
          <w:sz w:val="24"/>
          <w:szCs w:val="24"/>
        </w:rPr>
        <w:tab/>
        <w:t>Udlevering</w:t>
      </w:r>
    </w:p>
    <w:p w14:paraId="1C17D263" w14:textId="7AD25B8C" w:rsidR="009260DE" w:rsidRPr="00384190" w:rsidRDefault="009C646A" w:rsidP="009260DE">
      <w:pPr>
        <w:tabs>
          <w:tab w:val="left" w:pos="851"/>
        </w:tabs>
        <w:ind w:left="851"/>
        <w:rPr>
          <w:sz w:val="24"/>
          <w:szCs w:val="24"/>
        </w:rPr>
      </w:pPr>
      <w:r w:rsidRPr="00384190">
        <w:rPr>
          <w:sz w:val="24"/>
          <w:szCs w:val="24"/>
        </w:rPr>
        <w:t>B</w:t>
      </w:r>
    </w:p>
    <w:p w14:paraId="58EEE57F" w14:textId="77777777" w:rsidR="009260DE" w:rsidRPr="00384190" w:rsidRDefault="009260DE" w:rsidP="009260DE">
      <w:pPr>
        <w:tabs>
          <w:tab w:val="left" w:pos="851"/>
        </w:tabs>
        <w:ind w:left="851"/>
        <w:rPr>
          <w:sz w:val="24"/>
          <w:szCs w:val="24"/>
        </w:rPr>
      </w:pPr>
      <w:bookmarkStart w:id="6" w:name="_GoBack"/>
      <w:bookmarkEnd w:id="6"/>
    </w:p>
    <w:p w14:paraId="5FE7288E" w14:textId="77777777" w:rsidR="009260DE" w:rsidRPr="00384190" w:rsidRDefault="009260DE" w:rsidP="009260DE">
      <w:pPr>
        <w:tabs>
          <w:tab w:val="left" w:pos="851"/>
        </w:tabs>
        <w:ind w:left="851"/>
        <w:rPr>
          <w:sz w:val="24"/>
          <w:szCs w:val="24"/>
        </w:rPr>
      </w:pPr>
    </w:p>
    <w:p w14:paraId="420BAD3F" w14:textId="77777777" w:rsidR="009260DE" w:rsidRPr="00384190" w:rsidRDefault="009260DE" w:rsidP="009260DE">
      <w:pPr>
        <w:tabs>
          <w:tab w:val="left" w:pos="851"/>
        </w:tabs>
        <w:ind w:left="851" w:hanging="851"/>
        <w:rPr>
          <w:b/>
          <w:sz w:val="24"/>
          <w:szCs w:val="24"/>
        </w:rPr>
      </w:pPr>
      <w:r w:rsidRPr="00384190">
        <w:rPr>
          <w:b/>
          <w:sz w:val="24"/>
          <w:szCs w:val="24"/>
        </w:rPr>
        <w:t>5.</w:t>
      </w:r>
      <w:r w:rsidRPr="00384190">
        <w:rPr>
          <w:b/>
          <w:sz w:val="24"/>
          <w:szCs w:val="24"/>
        </w:rPr>
        <w:tab/>
        <w:t>FARMAKOLOGISKE EGENSKABER</w:t>
      </w:r>
    </w:p>
    <w:p w14:paraId="550225AC" w14:textId="77777777" w:rsidR="009260DE" w:rsidRPr="00384190" w:rsidRDefault="009260DE" w:rsidP="009260DE">
      <w:pPr>
        <w:tabs>
          <w:tab w:val="left" w:pos="851"/>
        </w:tabs>
        <w:ind w:left="851"/>
        <w:rPr>
          <w:sz w:val="24"/>
          <w:szCs w:val="24"/>
        </w:rPr>
      </w:pPr>
    </w:p>
    <w:p w14:paraId="4E6C24E1" w14:textId="77777777" w:rsidR="009260DE" w:rsidRPr="00384190" w:rsidRDefault="009260DE" w:rsidP="009260DE">
      <w:pPr>
        <w:tabs>
          <w:tab w:val="num" w:pos="851"/>
        </w:tabs>
        <w:ind w:left="851" w:hanging="851"/>
        <w:rPr>
          <w:b/>
          <w:sz w:val="24"/>
          <w:szCs w:val="24"/>
        </w:rPr>
      </w:pPr>
      <w:r w:rsidRPr="00384190">
        <w:rPr>
          <w:b/>
          <w:sz w:val="24"/>
          <w:szCs w:val="24"/>
        </w:rPr>
        <w:t>5.1</w:t>
      </w:r>
      <w:r w:rsidRPr="00384190">
        <w:rPr>
          <w:b/>
          <w:sz w:val="24"/>
          <w:szCs w:val="24"/>
        </w:rPr>
        <w:tab/>
      </w:r>
      <w:proofErr w:type="spellStart"/>
      <w:r w:rsidRPr="00384190">
        <w:rPr>
          <w:b/>
          <w:sz w:val="24"/>
          <w:szCs w:val="24"/>
        </w:rPr>
        <w:t>Farmakodynamiske</w:t>
      </w:r>
      <w:proofErr w:type="spellEnd"/>
      <w:r w:rsidRPr="00384190">
        <w:rPr>
          <w:b/>
          <w:sz w:val="24"/>
          <w:szCs w:val="24"/>
        </w:rPr>
        <w:t xml:space="preserve"> egenskaber</w:t>
      </w:r>
    </w:p>
    <w:p w14:paraId="60FAB822" w14:textId="77777777" w:rsidR="009C646A" w:rsidRPr="00384190" w:rsidRDefault="009C646A" w:rsidP="00384190">
      <w:pPr>
        <w:ind w:left="851"/>
        <w:rPr>
          <w:sz w:val="24"/>
          <w:szCs w:val="24"/>
        </w:rPr>
      </w:pPr>
      <w:proofErr w:type="spellStart"/>
      <w:r w:rsidRPr="00384190">
        <w:rPr>
          <w:sz w:val="24"/>
          <w:szCs w:val="24"/>
        </w:rPr>
        <w:t>Farmakoterapeutisk</w:t>
      </w:r>
      <w:proofErr w:type="spellEnd"/>
      <w:r w:rsidRPr="00384190">
        <w:rPr>
          <w:sz w:val="24"/>
          <w:szCs w:val="24"/>
        </w:rPr>
        <w:t xml:space="preserve"> klassifikation: Antibakterielle midler til systemisk brug, lincosamider. ATC</w:t>
      </w:r>
      <w:r w:rsidRPr="00384190">
        <w:rPr>
          <w:sz w:val="24"/>
          <w:szCs w:val="24"/>
        </w:rPr>
        <w:noBreakHyphen/>
        <w:t>kode: J01FF01</w:t>
      </w:r>
    </w:p>
    <w:p w14:paraId="0D76DFC6" w14:textId="77777777" w:rsidR="009C646A" w:rsidRPr="00384190" w:rsidRDefault="009C646A" w:rsidP="00384190">
      <w:pPr>
        <w:ind w:left="851"/>
        <w:rPr>
          <w:sz w:val="24"/>
          <w:szCs w:val="24"/>
        </w:rPr>
      </w:pPr>
    </w:p>
    <w:p w14:paraId="2473663B" w14:textId="77777777" w:rsidR="009C646A" w:rsidRPr="00384190" w:rsidRDefault="009C646A" w:rsidP="00384190">
      <w:pPr>
        <w:ind w:left="851"/>
        <w:rPr>
          <w:sz w:val="24"/>
          <w:szCs w:val="24"/>
          <w:u w:val="single"/>
        </w:rPr>
      </w:pPr>
      <w:r w:rsidRPr="00384190">
        <w:rPr>
          <w:sz w:val="24"/>
          <w:szCs w:val="24"/>
          <w:u w:val="single"/>
        </w:rPr>
        <w:t>Virkningsmekanisme</w:t>
      </w:r>
    </w:p>
    <w:p w14:paraId="7A259ADB" w14:textId="77777777" w:rsidR="009C646A" w:rsidRPr="00384190" w:rsidRDefault="009C646A" w:rsidP="00384190">
      <w:pPr>
        <w:ind w:left="851"/>
        <w:rPr>
          <w:sz w:val="24"/>
          <w:szCs w:val="24"/>
        </w:rPr>
      </w:pPr>
      <w:proofErr w:type="spellStart"/>
      <w:r w:rsidRPr="00384190">
        <w:rPr>
          <w:sz w:val="24"/>
          <w:szCs w:val="24"/>
        </w:rPr>
        <w:t>Clindamycin</w:t>
      </w:r>
      <w:proofErr w:type="spellEnd"/>
      <w:r w:rsidRPr="00384190">
        <w:rPr>
          <w:sz w:val="24"/>
          <w:szCs w:val="24"/>
        </w:rPr>
        <w:t xml:space="preserve"> er et lincosamid-antibiotikum, der hæmmer den bakterielle proteinsyntese. Det binder sig til 50S sub-enheden af det bakterielle ribosom, og påvirker både syntese samt translationsprocessen i ribosomer. Selvom </w:t>
      </w:r>
      <w:proofErr w:type="spellStart"/>
      <w:r w:rsidRPr="00384190">
        <w:rPr>
          <w:sz w:val="24"/>
          <w:szCs w:val="24"/>
        </w:rPr>
        <w:t>clindamycinphosphat</w:t>
      </w:r>
      <w:proofErr w:type="spellEnd"/>
      <w:r w:rsidRPr="00384190">
        <w:rPr>
          <w:sz w:val="24"/>
          <w:szCs w:val="24"/>
        </w:rPr>
        <w:t xml:space="preserve"> er inaktivt </w:t>
      </w:r>
      <w:r w:rsidRPr="00384190">
        <w:rPr>
          <w:i/>
          <w:sz w:val="24"/>
          <w:szCs w:val="24"/>
        </w:rPr>
        <w:t xml:space="preserve">in </w:t>
      </w:r>
      <w:proofErr w:type="spellStart"/>
      <w:r w:rsidRPr="00384190">
        <w:rPr>
          <w:i/>
          <w:sz w:val="24"/>
          <w:szCs w:val="24"/>
        </w:rPr>
        <w:t>vitro</w:t>
      </w:r>
      <w:proofErr w:type="spellEnd"/>
      <w:r w:rsidRPr="00384190">
        <w:rPr>
          <w:sz w:val="24"/>
          <w:szCs w:val="24"/>
        </w:rPr>
        <w:t xml:space="preserve">, omdannes dette stof ved hurtig </w:t>
      </w:r>
      <w:r w:rsidRPr="00384190">
        <w:rPr>
          <w:i/>
          <w:sz w:val="24"/>
          <w:szCs w:val="24"/>
        </w:rPr>
        <w:t xml:space="preserve">in </w:t>
      </w:r>
      <w:proofErr w:type="spellStart"/>
      <w:r w:rsidRPr="00384190">
        <w:rPr>
          <w:i/>
          <w:sz w:val="24"/>
          <w:szCs w:val="24"/>
        </w:rPr>
        <w:t>vivo</w:t>
      </w:r>
      <w:proofErr w:type="spellEnd"/>
      <w:r w:rsidRPr="00384190">
        <w:rPr>
          <w:sz w:val="24"/>
          <w:szCs w:val="24"/>
        </w:rPr>
        <w:t xml:space="preserve">-hydrolyse til det antibakterielt aktive </w:t>
      </w:r>
      <w:proofErr w:type="spellStart"/>
      <w:r w:rsidRPr="00384190">
        <w:rPr>
          <w:sz w:val="24"/>
          <w:szCs w:val="24"/>
        </w:rPr>
        <w:t>clindamycin</w:t>
      </w:r>
      <w:proofErr w:type="spellEnd"/>
      <w:r w:rsidRPr="00384190">
        <w:rPr>
          <w:sz w:val="24"/>
          <w:szCs w:val="24"/>
        </w:rPr>
        <w:t>.</w:t>
      </w:r>
    </w:p>
    <w:p w14:paraId="0FB2B0F5" w14:textId="77777777" w:rsidR="009C646A" w:rsidRPr="00384190" w:rsidRDefault="009C646A" w:rsidP="00384190">
      <w:pPr>
        <w:ind w:left="851"/>
        <w:rPr>
          <w:sz w:val="24"/>
          <w:szCs w:val="24"/>
        </w:rPr>
      </w:pPr>
      <w:proofErr w:type="spellStart"/>
      <w:r w:rsidRPr="00384190">
        <w:rPr>
          <w:sz w:val="24"/>
          <w:szCs w:val="24"/>
        </w:rPr>
        <w:t>Clindamycin</w:t>
      </w:r>
      <w:proofErr w:type="spellEnd"/>
      <w:r w:rsidRPr="00384190">
        <w:rPr>
          <w:sz w:val="24"/>
          <w:szCs w:val="24"/>
        </w:rPr>
        <w:t xml:space="preserve"> udviser </w:t>
      </w:r>
      <w:proofErr w:type="spellStart"/>
      <w:r w:rsidRPr="00384190">
        <w:rPr>
          <w:sz w:val="24"/>
          <w:szCs w:val="24"/>
        </w:rPr>
        <w:t>bakteriostatisk</w:t>
      </w:r>
      <w:proofErr w:type="spellEnd"/>
      <w:r w:rsidRPr="00384190">
        <w:rPr>
          <w:sz w:val="24"/>
          <w:szCs w:val="24"/>
        </w:rPr>
        <w:t xml:space="preserve"> aktivitet </w:t>
      </w:r>
      <w:r w:rsidRPr="00384190">
        <w:rPr>
          <w:i/>
          <w:sz w:val="24"/>
          <w:szCs w:val="24"/>
        </w:rPr>
        <w:t xml:space="preserve">in </w:t>
      </w:r>
      <w:proofErr w:type="spellStart"/>
      <w:r w:rsidRPr="00384190">
        <w:rPr>
          <w:i/>
          <w:sz w:val="24"/>
          <w:szCs w:val="24"/>
        </w:rPr>
        <w:t>vitro</w:t>
      </w:r>
      <w:proofErr w:type="spellEnd"/>
      <w:r w:rsidRPr="00384190">
        <w:rPr>
          <w:sz w:val="24"/>
          <w:szCs w:val="24"/>
        </w:rPr>
        <w:t xml:space="preserve"> ved normale doser.</w:t>
      </w:r>
    </w:p>
    <w:p w14:paraId="553B61F9" w14:textId="77777777" w:rsidR="009C646A" w:rsidRPr="00384190" w:rsidRDefault="009C646A" w:rsidP="00384190">
      <w:pPr>
        <w:ind w:left="851"/>
        <w:rPr>
          <w:sz w:val="24"/>
          <w:szCs w:val="24"/>
        </w:rPr>
      </w:pPr>
    </w:p>
    <w:p w14:paraId="622A656C" w14:textId="77777777" w:rsidR="009C646A" w:rsidRPr="00384190" w:rsidRDefault="009C646A" w:rsidP="00384190">
      <w:pPr>
        <w:ind w:left="851"/>
        <w:rPr>
          <w:sz w:val="24"/>
          <w:szCs w:val="24"/>
          <w:u w:val="single"/>
        </w:rPr>
      </w:pPr>
      <w:proofErr w:type="spellStart"/>
      <w:r w:rsidRPr="00384190">
        <w:rPr>
          <w:sz w:val="24"/>
          <w:szCs w:val="24"/>
          <w:u w:val="single"/>
        </w:rPr>
        <w:t>Farmakokinetisk</w:t>
      </w:r>
      <w:proofErr w:type="spellEnd"/>
      <w:r w:rsidRPr="00384190">
        <w:rPr>
          <w:sz w:val="24"/>
          <w:szCs w:val="24"/>
          <w:u w:val="single"/>
        </w:rPr>
        <w:t>/</w:t>
      </w:r>
      <w:proofErr w:type="spellStart"/>
      <w:r w:rsidRPr="00384190">
        <w:rPr>
          <w:sz w:val="24"/>
          <w:szCs w:val="24"/>
          <w:u w:val="single"/>
        </w:rPr>
        <w:t>farmakodynamisk</w:t>
      </w:r>
      <w:proofErr w:type="spellEnd"/>
      <w:r w:rsidRPr="00384190">
        <w:rPr>
          <w:sz w:val="24"/>
          <w:szCs w:val="24"/>
          <w:u w:val="single"/>
        </w:rPr>
        <w:t xml:space="preserve"> forhold</w:t>
      </w:r>
    </w:p>
    <w:p w14:paraId="0F81C385" w14:textId="77777777" w:rsidR="009C646A" w:rsidRPr="00384190" w:rsidRDefault="009C646A" w:rsidP="00384190">
      <w:pPr>
        <w:ind w:left="851"/>
        <w:rPr>
          <w:sz w:val="24"/>
          <w:szCs w:val="24"/>
        </w:rPr>
      </w:pPr>
      <w:r w:rsidRPr="00384190">
        <w:rPr>
          <w:sz w:val="24"/>
          <w:szCs w:val="24"/>
        </w:rPr>
        <w:t xml:space="preserve">Virkningen er relateret til AUC-tidskurven for den ubundne fraktion af midlet, der overstiger den mindste hæmmende koncentration (MIC) for </w:t>
      </w:r>
      <w:proofErr w:type="spellStart"/>
      <w:r w:rsidRPr="00384190">
        <w:rPr>
          <w:sz w:val="24"/>
          <w:szCs w:val="24"/>
        </w:rPr>
        <w:t>patogenet</w:t>
      </w:r>
      <w:proofErr w:type="spellEnd"/>
      <w:r w:rsidRPr="00384190">
        <w:rPr>
          <w:sz w:val="24"/>
          <w:szCs w:val="24"/>
        </w:rPr>
        <w:t xml:space="preserve"> (</w:t>
      </w:r>
      <w:proofErr w:type="spellStart"/>
      <w:r w:rsidRPr="00384190">
        <w:rPr>
          <w:sz w:val="24"/>
          <w:szCs w:val="24"/>
        </w:rPr>
        <w:t>fAUC</w:t>
      </w:r>
      <w:proofErr w:type="spellEnd"/>
      <w:r w:rsidRPr="00384190">
        <w:rPr>
          <w:sz w:val="24"/>
          <w:szCs w:val="24"/>
        </w:rPr>
        <w:t>/MIC).</w:t>
      </w:r>
    </w:p>
    <w:p w14:paraId="00366C49" w14:textId="77777777" w:rsidR="009C646A" w:rsidRPr="00384190" w:rsidRDefault="009C646A" w:rsidP="00384190">
      <w:pPr>
        <w:ind w:left="851"/>
        <w:rPr>
          <w:sz w:val="24"/>
          <w:szCs w:val="24"/>
        </w:rPr>
      </w:pPr>
    </w:p>
    <w:p w14:paraId="42E4CB04" w14:textId="77777777" w:rsidR="009C646A" w:rsidRPr="00384190" w:rsidRDefault="009C646A" w:rsidP="00384190">
      <w:pPr>
        <w:ind w:left="851"/>
        <w:rPr>
          <w:sz w:val="24"/>
          <w:szCs w:val="24"/>
          <w:u w:val="single"/>
        </w:rPr>
      </w:pPr>
      <w:r w:rsidRPr="00384190">
        <w:rPr>
          <w:sz w:val="24"/>
          <w:szCs w:val="24"/>
          <w:u w:val="single"/>
        </w:rPr>
        <w:t>Resistensmekanisme</w:t>
      </w:r>
    </w:p>
    <w:p w14:paraId="5E4D2F85" w14:textId="77777777" w:rsidR="009C646A" w:rsidRPr="00384190" w:rsidRDefault="009C646A" w:rsidP="00384190">
      <w:pPr>
        <w:ind w:left="851"/>
        <w:rPr>
          <w:sz w:val="24"/>
          <w:szCs w:val="24"/>
        </w:rPr>
      </w:pPr>
      <w:r w:rsidRPr="00384190">
        <w:rPr>
          <w:sz w:val="24"/>
          <w:szCs w:val="24"/>
        </w:rPr>
        <w:t xml:space="preserve">Resistens over for </w:t>
      </w:r>
      <w:proofErr w:type="spellStart"/>
      <w:r w:rsidRPr="00384190">
        <w:rPr>
          <w:sz w:val="24"/>
          <w:szCs w:val="24"/>
        </w:rPr>
        <w:t>clindamycin</w:t>
      </w:r>
      <w:proofErr w:type="spellEnd"/>
      <w:r w:rsidRPr="00384190">
        <w:rPr>
          <w:sz w:val="24"/>
          <w:szCs w:val="24"/>
        </w:rPr>
        <w:t xml:space="preserve"> skyldes som regel mutationer på bindingsstedet for antibiotika på </w:t>
      </w:r>
      <w:proofErr w:type="spellStart"/>
      <w:r w:rsidRPr="00384190">
        <w:rPr>
          <w:sz w:val="24"/>
          <w:szCs w:val="24"/>
        </w:rPr>
        <w:t>rRNA</w:t>
      </w:r>
      <w:proofErr w:type="spellEnd"/>
      <w:r w:rsidRPr="00384190">
        <w:rPr>
          <w:sz w:val="24"/>
          <w:szCs w:val="24"/>
        </w:rPr>
        <w:t xml:space="preserve"> eller </w:t>
      </w:r>
      <w:proofErr w:type="spellStart"/>
      <w:r w:rsidRPr="00384190">
        <w:rPr>
          <w:sz w:val="24"/>
          <w:szCs w:val="24"/>
        </w:rPr>
        <w:t>methylering</w:t>
      </w:r>
      <w:proofErr w:type="spellEnd"/>
      <w:r w:rsidRPr="00384190">
        <w:rPr>
          <w:sz w:val="24"/>
          <w:szCs w:val="24"/>
        </w:rPr>
        <w:t xml:space="preserve"> af specifikke nukleotider i 23S-RNA'et på 50S subenheden af det bakterielle ribosom. Disse ændringer kan være afgørende for </w:t>
      </w:r>
      <w:r w:rsidRPr="00384190">
        <w:rPr>
          <w:i/>
          <w:sz w:val="24"/>
          <w:szCs w:val="24"/>
        </w:rPr>
        <w:t xml:space="preserve">in </w:t>
      </w:r>
      <w:proofErr w:type="spellStart"/>
      <w:r w:rsidRPr="00384190">
        <w:rPr>
          <w:i/>
          <w:sz w:val="24"/>
          <w:szCs w:val="24"/>
        </w:rPr>
        <w:t>vitro</w:t>
      </w:r>
      <w:proofErr w:type="spellEnd"/>
      <w:r w:rsidRPr="00384190">
        <w:rPr>
          <w:sz w:val="24"/>
          <w:szCs w:val="24"/>
        </w:rPr>
        <w:t xml:space="preserve"> </w:t>
      </w:r>
      <w:r w:rsidRPr="00384190">
        <w:rPr>
          <w:sz w:val="24"/>
          <w:szCs w:val="24"/>
        </w:rPr>
        <w:lastRenderedPageBreak/>
        <w:t xml:space="preserve">krydsresistens over for makrolider og gruppe B </w:t>
      </w:r>
      <w:proofErr w:type="spellStart"/>
      <w:r w:rsidRPr="00384190">
        <w:rPr>
          <w:sz w:val="24"/>
          <w:szCs w:val="24"/>
        </w:rPr>
        <w:t>streptograminer</w:t>
      </w:r>
      <w:proofErr w:type="spellEnd"/>
      <w:r w:rsidRPr="00384190">
        <w:rPr>
          <w:sz w:val="24"/>
          <w:szCs w:val="24"/>
        </w:rPr>
        <w:t xml:space="preserve"> (MLS</w:t>
      </w:r>
      <w:r w:rsidRPr="00384190">
        <w:rPr>
          <w:sz w:val="24"/>
          <w:szCs w:val="24"/>
          <w:vertAlign w:val="subscript"/>
        </w:rPr>
        <w:t>B</w:t>
      </w:r>
      <w:r w:rsidRPr="00384190">
        <w:rPr>
          <w:sz w:val="24"/>
          <w:szCs w:val="24"/>
        </w:rPr>
        <w:t>-resistens). Resistens skyldes somme tider ændringer i ribosomale proteiner.</w:t>
      </w:r>
    </w:p>
    <w:p w14:paraId="5224EC17" w14:textId="77777777" w:rsidR="009C646A" w:rsidRPr="00384190" w:rsidRDefault="009C646A" w:rsidP="00384190">
      <w:pPr>
        <w:ind w:left="851"/>
        <w:rPr>
          <w:sz w:val="24"/>
          <w:szCs w:val="24"/>
        </w:rPr>
      </w:pPr>
      <w:r w:rsidRPr="00384190">
        <w:rPr>
          <w:sz w:val="24"/>
          <w:szCs w:val="24"/>
        </w:rPr>
        <w:t xml:space="preserve">Resistens over for </w:t>
      </w:r>
      <w:proofErr w:type="spellStart"/>
      <w:r w:rsidRPr="00384190">
        <w:rPr>
          <w:sz w:val="24"/>
          <w:szCs w:val="24"/>
        </w:rPr>
        <w:t>clindamycin</w:t>
      </w:r>
      <w:proofErr w:type="spellEnd"/>
      <w:r w:rsidRPr="00384190">
        <w:rPr>
          <w:sz w:val="24"/>
          <w:szCs w:val="24"/>
        </w:rPr>
        <w:t xml:space="preserve"> kan muligvis induceres af makrolider i </w:t>
      </w:r>
      <w:proofErr w:type="spellStart"/>
      <w:r w:rsidRPr="00384190">
        <w:rPr>
          <w:sz w:val="24"/>
          <w:szCs w:val="24"/>
        </w:rPr>
        <w:t>makrolidresistente</w:t>
      </w:r>
      <w:proofErr w:type="spellEnd"/>
      <w:r w:rsidRPr="00384190">
        <w:rPr>
          <w:sz w:val="24"/>
          <w:szCs w:val="24"/>
        </w:rPr>
        <w:t xml:space="preserve"> bakterielle </w:t>
      </w:r>
      <w:proofErr w:type="spellStart"/>
      <w:r w:rsidRPr="00384190">
        <w:rPr>
          <w:sz w:val="24"/>
          <w:szCs w:val="24"/>
        </w:rPr>
        <w:t>isolater</w:t>
      </w:r>
      <w:proofErr w:type="spellEnd"/>
      <w:r w:rsidRPr="00384190">
        <w:rPr>
          <w:sz w:val="24"/>
          <w:szCs w:val="24"/>
        </w:rPr>
        <w:t>.</w:t>
      </w:r>
    </w:p>
    <w:p w14:paraId="6D8201F9" w14:textId="77777777" w:rsidR="009C646A" w:rsidRPr="00384190" w:rsidRDefault="009C646A" w:rsidP="00384190">
      <w:pPr>
        <w:ind w:left="851"/>
        <w:rPr>
          <w:sz w:val="24"/>
          <w:szCs w:val="24"/>
        </w:rPr>
      </w:pPr>
      <w:proofErr w:type="spellStart"/>
      <w:r w:rsidRPr="00384190">
        <w:rPr>
          <w:sz w:val="24"/>
          <w:szCs w:val="24"/>
        </w:rPr>
        <w:t>Inducérbar</w:t>
      </w:r>
      <w:proofErr w:type="spellEnd"/>
      <w:r w:rsidRPr="00384190">
        <w:rPr>
          <w:sz w:val="24"/>
          <w:szCs w:val="24"/>
        </w:rPr>
        <w:t xml:space="preserve"> resistens kan påvises med en disktest (D-zone test) eller i medium. Mindre hyppige resistensmekanismer omfatter ændring af antibiotikum og aktivt </w:t>
      </w:r>
      <w:proofErr w:type="spellStart"/>
      <w:r w:rsidRPr="00384190">
        <w:rPr>
          <w:sz w:val="24"/>
          <w:szCs w:val="24"/>
        </w:rPr>
        <w:t>effluks</w:t>
      </w:r>
      <w:proofErr w:type="spellEnd"/>
      <w:r w:rsidRPr="00384190">
        <w:rPr>
          <w:sz w:val="24"/>
          <w:szCs w:val="24"/>
        </w:rPr>
        <w:t xml:space="preserve">. Der er fuldstændig krydsresistens mellem </w:t>
      </w:r>
      <w:proofErr w:type="spellStart"/>
      <w:r w:rsidRPr="00384190">
        <w:rPr>
          <w:sz w:val="24"/>
          <w:szCs w:val="24"/>
        </w:rPr>
        <w:t>clindamycin</w:t>
      </w:r>
      <w:proofErr w:type="spellEnd"/>
      <w:r w:rsidRPr="00384190">
        <w:rPr>
          <w:sz w:val="24"/>
          <w:szCs w:val="24"/>
        </w:rPr>
        <w:t xml:space="preserve"> og </w:t>
      </w:r>
      <w:proofErr w:type="spellStart"/>
      <w:r w:rsidRPr="00384190">
        <w:rPr>
          <w:sz w:val="24"/>
          <w:szCs w:val="24"/>
        </w:rPr>
        <w:t>lincomycin</w:t>
      </w:r>
      <w:proofErr w:type="spellEnd"/>
      <w:r w:rsidRPr="00384190">
        <w:rPr>
          <w:sz w:val="24"/>
          <w:szCs w:val="24"/>
        </w:rPr>
        <w:t xml:space="preserve">. Som med mange antibiotika varierer forekomsten af resistens i forhold til bakterieart og geografisk område. Forekomsten af resistens over for </w:t>
      </w:r>
      <w:proofErr w:type="spellStart"/>
      <w:r w:rsidRPr="00384190">
        <w:rPr>
          <w:sz w:val="24"/>
          <w:szCs w:val="24"/>
        </w:rPr>
        <w:t>clindamycin</w:t>
      </w:r>
      <w:proofErr w:type="spellEnd"/>
      <w:r w:rsidRPr="00384190">
        <w:rPr>
          <w:sz w:val="24"/>
          <w:szCs w:val="24"/>
        </w:rPr>
        <w:t xml:space="preserve"> er højere blandt </w:t>
      </w:r>
      <w:proofErr w:type="spellStart"/>
      <w:r w:rsidRPr="00384190">
        <w:rPr>
          <w:sz w:val="24"/>
          <w:szCs w:val="24"/>
        </w:rPr>
        <w:t>methicillinresistente</w:t>
      </w:r>
      <w:proofErr w:type="spellEnd"/>
      <w:r w:rsidRPr="00384190">
        <w:rPr>
          <w:sz w:val="24"/>
          <w:szCs w:val="24"/>
        </w:rPr>
        <w:t xml:space="preserve"> </w:t>
      </w:r>
      <w:proofErr w:type="spellStart"/>
      <w:r w:rsidRPr="00384190">
        <w:rPr>
          <w:sz w:val="24"/>
          <w:szCs w:val="24"/>
        </w:rPr>
        <w:t>stafylokokisolater</w:t>
      </w:r>
      <w:proofErr w:type="spellEnd"/>
      <w:r w:rsidRPr="00384190">
        <w:rPr>
          <w:sz w:val="24"/>
          <w:szCs w:val="24"/>
        </w:rPr>
        <w:t xml:space="preserve"> og penicillinresistente </w:t>
      </w:r>
      <w:proofErr w:type="spellStart"/>
      <w:r w:rsidRPr="00384190">
        <w:rPr>
          <w:sz w:val="24"/>
          <w:szCs w:val="24"/>
        </w:rPr>
        <w:t>pneumokokisolater</w:t>
      </w:r>
      <w:proofErr w:type="spellEnd"/>
      <w:r w:rsidRPr="00384190">
        <w:rPr>
          <w:sz w:val="24"/>
          <w:szCs w:val="24"/>
        </w:rPr>
        <w:t xml:space="preserve"> end blandt organismer, der er følsomme over for disse stoffer.</w:t>
      </w:r>
    </w:p>
    <w:p w14:paraId="2F92A292" w14:textId="77777777" w:rsidR="009C646A" w:rsidRPr="00384190" w:rsidRDefault="009C646A" w:rsidP="00384190">
      <w:pPr>
        <w:ind w:left="851"/>
        <w:rPr>
          <w:sz w:val="24"/>
          <w:szCs w:val="24"/>
        </w:rPr>
      </w:pPr>
      <w:r w:rsidRPr="00384190">
        <w:rPr>
          <w:sz w:val="24"/>
          <w:szCs w:val="24"/>
        </w:rPr>
        <w:t xml:space="preserve">Størstedelen af </w:t>
      </w:r>
      <w:proofErr w:type="spellStart"/>
      <w:r w:rsidRPr="00384190">
        <w:rPr>
          <w:sz w:val="24"/>
          <w:szCs w:val="24"/>
        </w:rPr>
        <w:t>methicillinresistent</w:t>
      </w:r>
      <w:proofErr w:type="spellEnd"/>
      <w:r w:rsidRPr="00384190">
        <w:rPr>
          <w:sz w:val="24"/>
          <w:szCs w:val="24"/>
        </w:rPr>
        <w:t xml:space="preserve"> </w:t>
      </w:r>
      <w:r w:rsidRPr="00384190">
        <w:rPr>
          <w:i/>
          <w:sz w:val="24"/>
          <w:szCs w:val="24"/>
        </w:rPr>
        <w:t>S. aureus</w:t>
      </w:r>
      <w:r w:rsidRPr="00384190">
        <w:rPr>
          <w:sz w:val="24"/>
          <w:szCs w:val="24"/>
        </w:rPr>
        <w:t xml:space="preserve"> (MRSA) udviser den konstitutive form for MLSB</w:t>
      </w:r>
      <w:r w:rsidRPr="00384190">
        <w:rPr>
          <w:sz w:val="24"/>
          <w:szCs w:val="24"/>
        </w:rPr>
        <w:noBreakHyphen/>
        <w:t xml:space="preserve">resistens og er derfor resistent over for </w:t>
      </w:r>
      <w:proofErr w:type="spellStart"/>
      <w:r w:rsidRPr="00384190">
        <w:rPr>
          <w:sz w:val="24"/>
          <w:szCs w:val="24"/>
        </w:rPr>
        <w:t>clindamycin</w:t>
      </w:r>
      <w:proofErr w:type="spellEnd"/>
      <w:r w:rsidRPr="00384190">
        <w:rPr>
          <w:sz w:val="24"/>
          <w:szCs w:val="24"/>
        </w:rPr>
        <w:t xml:space="preserve">. Infektioner forårsaget af </w:t>
      </w:r>
      <w:proofErr w:type="spellStart"/>
      <w:r w:rsidRPr="00384190">
        <w:rPr>
          <w:sz w:val="24"/>
          <w:szCs w:val="24"/>
        </w:rPr>
        <w:t>makrolidresistente</w:t>
      </w:r>
      <w:proofErr w:type="spellEnd"/>
      <w:r w:rsidRPr="00384190">
        <w:rPr>
          <w:sz w:val="24"/>
          <w:szCs w:val="24"/>
        </w:rPr>
        <w:t xml:space="preserve"> stafylokokker må ikke behandles med </w:t>
      </w:r>
      <w:proofErr w:type="spellStart"/>
      <w:r w:rsidRPr="00384190">
        <w:rPr>
          <w:sz w:val="24"/>
          <w:szCs w:val="24"/>
        </w:rPr>
        <w:t>clindamycin</w:t>
      </w:r>
      <w:proofErr w:type="spellEnd"/>
      <w:r w:rsidRPr="00384190">
        <w:rPr>
          <w:sz w:val="24"/>
          <w:szCs w:val="24"/>
        </w:rPr>
        <w:t xml:space="preserve">, heller ikke når </w:t>
      </w:r>
      <w:r w:rsidRPr="00384190">
        <w:rPr>
          <w:i/>
          <w:sz w:val="24"/>
          <w:szCs w:val="24"/>
        </w:rPr>
        <w:t xml:space="preserve">in </w:t>
      </w:r>
      <w:proofErr w:type="spellStart"/>
      <w:r w:rsidRPr="00384190">
        <w:rPr>
          <w:i/>
          <w:sz w:val="24"/>
          <w:szCs w:val="24"/>
        </w:rPr>
        <w:t>vitro</w:t>
      </w:r>
      <w:proofErr w:type="spellEnd"/>
      <w:r w:rsidRPr="00384190">
        <w:rPr>
          <w:sz w:val="24"/>
          <w:szCs w:val="24"/>
        </w:rPr>
        <w:t>-følsomhed blev påvist, da behandling kan medføre selektion af mutanter med konstitutiv MLS</w:t>
      </w:r>
      <w:r w:rsidRPr="00384190">
        <w:rPr>
          <w:sz w:val="24"/>
          <w:szCs w:val="24"/>
          <w:vertAlign w:val="subscript"/>
        </w:rPr>
        <w:t>B</w:t>
      </w:r>
      <w:r w:rsidRPr="00384190">
        <w:rPr>
          <w:sz w:val="24"/>
          <w:szCs w:val="24"/>
        </w:rPr>
        <w:t>-resistens.</w:t>
      </w:r>
    </w:p>
    <w:p w14:paraId="27739149" w14:textId="77777777" w:rsidR="009C646A" w:rsidRPr="00384190" w:rsidRDefault="009C646A" w:rsidP="00384190">
      <w:pPr>
        <w:ind w:left="851"/>
        <w:rPr>
          <w:sz w:val="24"/>
          <w:szCs w:val="24"/>
        </w:rPr>
      </w:pPr>
      <w:r w:rsidRPr="00384190">
        <w:rPr>
          <w:sz w:val="24"/>
          <w:szCs w:val="24"/>
        </w:rPr>
        <w:t>Stammer med konstitutiv MLS</w:t>
      </w:r>
      <w:r w:rsidRPr="00384190">
        <w:rPr>
          <w:sz w:val="24"/>
          <w:szCs w:val="24"/>
          <w:vertAlign w:val="subscript"/>
        </w:rPr>
        <w:t>B</w:t>
      </w:r>
      <w:r w:rsidRPr="00384190">
        <w:rPr>
          <w:sz w:val="24"/>
          <w:szCs w:val="24"/>
        </w:rPr>
        <w:t xml:space="preserve">-resistens udviser fuldstændig krydsresistens for </w:t>
      </w:r>
      <w:proofErr w:type="spellStart"/>
      <w:r w:rsidRPr="00384190">
        <w:rPr>
          <w:sz w:val="24"/>
          <w:szCs w:val="24"/>
        </w:rPr>
        <w:t>clindamycin</w:t>
      </w:r>
      <w:proofErr w:type="spellEnd"/>
      <w:r w:rsidRPr="00384190">
        <w:rPr>
          <w:sz w:val="24"/>
          <w:szCs w:val="24"/>
        </w:rPr>
        <w:t xml:space="preserve"> over for </w:t>
      </w:r>
      <w:proofErr w:type="spellStart"/>
      <w:r w:rsidRPr="00384190">
        <w:rPr>
          <w:sz w:val="24"/>
          <w:szCs w:val="24"/>
        </w:rPr>
        <w:t>lincomycin</w:t>
      </w:r>
      <w:proofErr w:type="spellEnd"/>
      <w:r w:rsidRPr="00384190">
        <w:rPr>
          <w:sz w:val="24"/>
          <w:szCs w:val="24"/>
        </w:rPr>
        <w:t xml:space="preserve">, makrolider (fx </w:t>
      </w:r>
      <w:proofErr w:type="spellStart"/>
      <w:r w:rsidRPr="00384190">
        <w:rPr>
          <w:sz w:val="24"/>
          <w:szCs w:val="24"/>
        </w:rPr>
        <w:t>azithromycin</w:t>
      </w:r>
      <w:proofErr w:type="spellEnd"/>
      <w:r w:rsidRPr="00384190">
        <w:rPr>
          <w:sz w:val="24"/>
          <w:szCs w:val="24"/>
        </w:rPr>
        <w:t xml:space="preserve">, </w:t>
      </w:r>
      <w:proofErr w:type="spellStart"/>
      <w:r w:rsidRPr="00384190">
        <w:rPr>
          <w:sz w:val="24"/>
          <w:szCs w:val="24"/>
        </w:rPr>
        <w:t>clarithromycin</w:t>
      </w:r>
      <w:proofErr w:type="spellEnd"/>
      <w:r w:rsidRPr="00384190">
        <w:rPr>
          <w:sz w:val="24"/>
          <w:szCs w:val="24"/>
        </w:rPr>
        <w:t xml:space="preserve">, </w:t>
      </w:r>
      <w:proofErr w:type="spellStart"/>
      <w:r w:rsidRPr="00384190">
        <w:rPr>
          <w:sz w:val="24"/>
          <w:szCs w:val="24"/>
        </w:rPr>
        <w:t>erythromycin</w:t>
      </w:r>
      <w:proofErr w:type="spellEnd"/>
      <w:r w:rsidRPr="00384190">
        <w:rPr>
          <w:sz w:val="24"/>
          <w:szCs w:val="24"/>
        </w:rPr>
        <w:t xml:space="preserve">, </w:t>
      </w:r>
      <w:proofErr w:type="spellStart"/>
      <w:r w:rsidRPr="00384190">
        <w:rPr>
          <w:sz w:val="24"/>
          <w:szCs w:val="24"/>
        </w:rPr>
        <w:t>roxithromycin</w:t>
      </w:r>
      <w:proofErr w:type="spellEnd"/>
      <w:r w:rsidRPr="00384190">
        <w:rPr>
          <w:sz w:val="24"/>
          <w:szCs w:val="24"/>
        </w:rPr>
        <w:t xml:space="preserve">, </w:t>
      </w:r>
      <w:proofErr w:type="spellStart"/>
      <w:r w:rsidRPr="00384190">
        <w:rPr>
          <w:sz w:val="24"/>
          <w:szCs w:val="24"/>
        </w:rPr>
        <w:t>spiramycin</w:t>
      </w:r>
      <w:proofErr w:type="spellEnd"/>
      <w:r w:rsidRPr="00384190">
        <w:rPr>
          <w:sz w:val="24"/>
          <w:szCs w:val="24"/>
        </w:rPr>
        <w:t xml:space="preserve">) samt </w:t>
      </w:r>
      <w:proofErr w:type="spellStart"/>
      <w:r w:rsidRPr="00384190">
        <w:rPr>
          <w:sz w:val="24"/>
          <w:szCs w:val="24"/>
        </w:rPr>
        <w:t>streptogramin</w:t>
      </w:r>
      <w:proofErr w:type="spellEnd"/>
      <w:r w:rsidRPr="00384190">
        <w:rPr>
          <w:sz w:val="24"/>
          <w:szCs w:val="24"/>
        </w:rPr>
        <w:t xml:space="preserve"> B.</w:t>
      </w:r>
    </w:p>
    <w:p w14:paraId="1799539F" w14:textId="77777777" w:rsidR="009C646A" w:rsidRPr="00384190" w:rsidRDefault="009C646A" w:rsidP="00384190">
      <w:pPr>
        <w:ind w:left="851"/>
        <w:rPr>
          <w:sz w:val="24"/>
          <w:szCs w:val="24"/>
        </w:rPr>
      </w:pPr>
    </w:p>
    <w:p w14:paraId="7029B3C8" w14:textId="77777777" w:rsidR="009C646A" w:rsidRPr="00384190" w:rsidRDefault="009C646A" w:rsidP="00384190">
      <w:pPr>
        <w:ind w:left="851"/>
        <w:rPr>
          <w:sz w:val="24"/>
          <w:szCs w:val="24"/>
          <w:u w:val="single"/>
        </w:rPr>
      </w:pPr>
      <w:r w:rsidRPr="00384190">
        <w:rPr>
          <w:sz w:val="24"/>
          <w:szCs w:val="24"/>
          <w:u w:val="single"/>
        </w:rPr>
        <w:t>Grænseværdier ved følsomhedsbestemmelse</w:t>
      </w:r>
    </w:p>
    <w:p w14:paraId="0AE2E244" w14:textId="77777777" w:rsidR="009C646A" w:rsidRPr="00384190" w:rsidRDefault="009C646A" w:rsidP="00384190">
      <w:pPr>
        <w:ind w:left="851"/>
        <w:rPr>
          <w:sz w:val="24"/>
          <w:szCs w:val="24"/>
        </w:rPr>
      </w:pPr>
      <w:r w:rsidRPr="00384190">
        <w:rPr>
          <w:sz w:val="24"/>
          <w:szCs w:val="24"/>
        </w:rPr>
        <w:t xml:space="preserve">MIC (mindste inhiberende koncentration)-fortolkningskriterierne for følsomhedstestning er fastlagt af European </w:t>
      </w:r>
      <w:proofErr w:type="spellStart"/>
      <w:r w:rsidRPr="00384190">
        <w:rPr>
          <w:sz w:val="24"/>
          <w:szCs w:val="24"/>
        </w:rPr>
        <w:t>Committee</w:t>
      </w:r>
      <w:proofErr w:type="spellEnd"/>
      <w:r w:rsidRPr="00384190">
        <w:rPr>
          <w:sz w:val="24"/>
          <w:szCs w:val="24"/>
        </w:rPr>
        <w:t xml:space="preserve"> on </w:t>
      </w:r>
      <w:proofErr w:type="spellStart"/>
      <w:r w:rsidRPr="00384190">
        <w:rPr>
          <w:sz w:val="24"/>
          <w:szCs w:val="24"/>
        </w:rPr>
        <w:t>Antimicrobial</w:t>
      </w:r>
      <w:proofErr w:type="spellEnd"/>
      <w:r w:rsidRPr="00384190">
        <w:rPr>
          <w:sz w:val="24"/>
          <w:szCs w:val="24"/>
        </w:rPr>
        <w:t xml:space="preserve"> </w:t>
      </w:r>
      <w:proofErr w:type="spellStart"/>
      <w:r w:rsidRPr="00384190">
        <w:rPr>
          <w:sz w:val="24"/>
          <w:szCs w:val="24"/>
        </w:rPr>
        <w:t>Susceptibility</w:t>
      </w:r>
      <w:proofErr w:type="spellEnd"/>
      <w:r w:rsidRPr="00384190">
        <w:rPr>
          <w:sz w:val="24"/>
          <w:szCs w:val="24"/>
        </w:rPr>
        <w:t xml:space="preserve"> </w:t>
      </w:r>
      <w:proofErr w:type="spellStart"/>
      <w:r w:rsidRPr="00384190">
        <w:rPr>
          <w:sz w:val="24"/>
          <w:szCs w:val="24"/>
        </w:rPr>
        <w:t>Testing</w:t>
      </w:r>
      <w:proofErr w:type="spellEnd"/>
      <w:r w:rsidRPr="00384190">
        <w:rPr>
          <w:sz w:val="24"/>
          <w:szCs w:val="24"/>
        </w:rPr>
        <w:t xml:space="preserve"> (EUCAST) for </w:t>
      </w:r>
      <w:proofErr w:type="spellStart"/>
      <w:r w:rsidRPr="00384190">
        <w:rPr>
          <w:sz w:val="24"/>
          <w:szCs w:val="24"/>
        </w:rPr>
        <w:t>clindamycin</w:t>
      </w:r>
      <w:proofErr w:type="spellEnd"/>
      <w:r w:rsidRPr="00384190">
        <w:rPr>
          <w:sz w:val="24"/>
          <w:szCs w:val="24"/>
        </w:rPr>
        <w:t xml:space="preserve"> og er anført her: </w:t>
      </w:r>
      <w:hyperlink r:id="rId9" w:history="1">
        <w:r w:rsidRPr="00384190">
          <w:rPr>
            <w:rStyle w:val="Hyperlink"/>
            <w:sz w:val="24"/>
            <w:szCs w:val="24"/>
          </w:rPr>
          <w:t>https://www.ema.europa.eu/documents/other/minimum-inhibitory-concentration-mic-breakpoints_en.xlsx</w:t>
        </w:r>
      </w:hyperlink>
    </w:p>
    <w:p w14:paraId="3D0EFFAE" w14:textId="77777777" w:rsidR="009C646A" w:rsidRPr="00384190" w:rsidRDefault="009C646A" w:rsidP="00384190">
      <w:pPr>
        <w:ind w:left="851"/>
        <w:rPr>
          <w:sz w:val="24"/>
          <w:szCs w:val="24"/>
        </w:rPr>
      </w:pPr>
    </w:p>
    <w:p w14:paraId="037379CD" w14:textId="77777777" w:rsidR="009C646A" w:rsidRPr="00384190" w:rsidRDefault="009C646A" w:rsidP="00384190">
      <w:pPr>
        <w:ind w:left="851"/>
        <w:rPr>
          <w:sz w:val="24"/>
          <w:szCs w:val="24"/>
          <w:u w:val="single"/>
        </w:rPr>
      </w:pPr>
      <w:r w:rsidRPr="00384190">
        <w:rPr>
          <w:sz w:val="24"/>
          <w:szCs w:val="24"/>
          <w:u w:val="single"/>
        </w:rPr>
        <w:t>Prævalens af erhvervet resistens</w:t>
      </w:r>
    </w:p>
    <w:p w14:paraId="00145ACF" w14:textId="77777777" w:rsidR="009C646A" w:rsidRPr="00384190" w:rsidRDefault="009C646A" w:rsidP="00384190">
      <w:pPr>
        <w:ind w:left="851"/>
        <w:rPr>
          <w:sz w:val="24"/>
          <w:szCs w:val="24"/>
        </w:rPr>
      </w:pPr>
      <w:r w:rsidRPr="00384190">
        <w:rPr>
          <w:sz w:val="24"/>
          <w:szCs w:val="24"/>
        </w:rPr>
        <w:t>Prævalensen af erhvervet resistens kan variere geografisk og over tid for udvalgte arter, og lokal information om resistens anbefales, især ved behandling af alvorlige infektioner. Der skal ved behov søges ekspertbistand, når den lokale forekomst er af en sådan beskaffenhed, at midlet i det mindste ved visse infektionstyper er tvivlsomt.</w:t>
      </w:r>
    </w:p>
    <w:p w14:paraId="27EC668E" w14:textId="77777777" w:rsidR="009C646A" w:rsidRPr="00384190" w:rsidRDefault="009C646A" w:rsidP="00384190">
      <w:pPr>
        <w:ind w:left="851"/>
        <w:rPr>
          <w:sz w:val="24"/>
          <w:szCs w:val="24"/>
        </w:rPr>
      </w:pPr>
      <w:r w:rsidRPr="00384190">
        <w:rPr>
          <w:sz w:val="24"/>
          <w:szCs w:val="24"/>
        </w:rPr>
        <w:t xml:space="preserve">Ved alvorlige infektioner eller fejlslagen behandling anbefales det især at foretage mikrobiologisk diagnose med verifikation af </w:t>
      </w:r>
      <w:proofErr w:type="spellStart"/>
      <w:r w:rsidRPr="00384190">
        <w:rPr>
          <w:sz w:val="24"/>
          <w:szCs w:val="24"/>
        </w:rPr>
        <w:t>patogenet</w:t>
      </w:r>
      <w:proofErr w:type="spellEnd"/>
      <w:r w:rsidRPr="00384190">
        <w:rPr>
          <w:sz w:val="24"/>
          <w:szCs w:val="24"/>
        </w:rPr>
        <w:t xml:space="preserve"> og dets følsomhed over for </w:t>
      </w:r>
      <w:proofErr w:type="spellStart"/>
      <w:r w:rsidRPr="00384190">
        <w:rPr>
          <w:sz w:val="24"/>
          <w:szCs w:val="24"/>
        </w:rPr>
        <w:t>clindamycin</w:t>
      </w:r>
      <w:proofErr w:type="spellEnd"/>
      <w:r w:rsidRPr="00384190">
        <w:rPr>
          <w:sz w:val="24"/>
          <w:szCs w:val="24"/>
        </w:rPr>
        <w:t>.</w:t>
      </w:r>
    </w:p>
    <w:p w14:paraId="332727A3" w14:textId="77777777" w:rsidR="009C646A" w:rsidRPr="00384190" w:rsidRDefault="009C646A" w:rsidP="00384190">
      <w:pPr>
        <w:ind w:left="851"/>
        <w:rPr>
          <w:sz w:val="24"/>
          <w:szCs w:val="24"/>
        </w:rPr>
      </w:pPr>
    </w:p>
    <w:p w14:paraId="0028555C" w14:textId="77777777" w:rsidR="009C646A" w:rsidRPr="00384190" w:rsidRDefault="009C646A" w:rsidP="00384190">
      <w:pPr>
        <w:ind w:left="851"/>
        <w:rPr>
          <w:b/>
          <w:sz w:val="24"/>
          <w:szCs w:val="24"/>
          <w:u w:val="single"/>
        </w:rPr>
      </w:pPr>
      <w:r w:rsidRPr="00384190">
        <w:rPr>
          <w:b/>
          <w:sz w:val="24"/>
          <w:szCs w:val="24"/>
          <w:u w:val="single"/>
        </w:rPr>
        <w:t>Arter, der sædvanligvis er følsomme</w:t>
      </w:r>
    </w:p>
    <w:p w14:paraId="265F664B" w14:textId="77777777" w:rsidR="009C646A" w:rsidRPr="00384190" w:rsidRDefault="009C646A" w:rsidP="00384190">
      <w:pPr>
        <w:ind w:left="851"/>
        <w:rPr>
          <w:sz w:val="24"/>
          <w:szCs w:val="24"/>
          <w:u w:val="single"/>
        </w:rPr>
      </w:pPr>
    </w:p>
    <w:p w14:paraId="34E403BF" w14:textId="77777777" w:rsidR="009C646A" w:rsidRPr="00384190" w:rsidRDefault="009C646A" w:rsidP="00384190">
      <w:pPr>
        <w:ind w:left="851"/>
        <w:rPr>
          <w:b/>
          <w:sz w:val="24"/>
          <w:szCs w:val="24"/>
        </w:rPr>
      </w:pPr>
      <w:r w:rsidRPr="00384190">
        <w:rPr>
          <w:b/>
          <w:sz w:val="24"/>
          <w:szCs w:val="24"/>
        </w:rPr>
        <w:t xml:space="preserve">Aerobe </w:t>
      </w:r>
      <w:proofErr w:type="spellStart"/>
      <w:r w:rsidRPr="00384190">
        <w:rPr>
          <w:b/>
          <w:sz w:val="24"/>
          <w:szCs w:val="24"/>
        </w:rPr>
        <w:t>gram-positive</w:t>
      </w:r>
      <w:proofErr w:type="spellEnd"/>
      <w:r w:rsidRPr="00384190">
        <w:rPr>
          <w:b/>
          <w:sz w:val="24"/>
          <w:szCs w:val="24"/>
        </w:rPr>
        <w:t xml:space="preserve"> mikroorganismer</w:t>
      </w:r>
    </w:p>
    <w:p w14:paraId="2A70769A" w14:textId="77777777" w:rsidR="009C646A" w:rsidRPr="00384190" w:rsidRDefault="009C646A" w:rsidP="00384190">
      <w:pPr>
        <w:ind w:left="851"/>
        <w:rPr>
          <w:sz w:val="24"/>
          <w:szCs w:val="24"/>
        </w:rPr>
      </w:pPr>
      <w:proofErr w:type="spellStart"/>
      <w:r w:rsidRPr="00384190">
        <w:rPr>
          <w:i/>
          <w:sz w:val="24"/>
          <w:szCs w:val="24"/>
        </w:rPr>
        <w:t>Staphylococcus</w:t>
      </w:r>
      <w:proofErr w:type="spellEnd"/>
      <w:r w:rsidRPr="00384190">
        <w:rPr>
          <w:i/>
          <w:sz w:val="24"/>
          <w:szCs w:val="24"/>
        </w:rPr>
        <w:t xml:space="preserve"> aureus </w:t>
      </w:r>
      <w:r w:rsidRPr="00384190">
        <w:rPr>
          <w:sz w:val="24"/>
          <w:szCs w:val="24"/>
        </w:rPr>
        <w:t>(</w:t>
      </w:r>
      <w:proofErr w:type="spellStart"/>
      <w:r w:rsidRPr="00384190">
        <w:rPr>
          <w:sz w:val="24"/>
          <w:szCs w:val="24"/>
        </w:rPr>
        <w:t>methicillinfølsomme</w:t>
      </w:r>
      <w:proofErr w:type="spellEnd"/>
      <w:r w:rsidRPr="00384190">
        <w:rPr>
          <w:sz w:val="24"/>
          <w:szCs w:val="24"/>
        </w:rPr>
        <w:t xml:space="preserve"> og </w:t>
      </w:r>
      <w:proofErr w:type="spellStart"/>
      <w:r w:rsidRPr="00384190">
        <w:rPr>
          <w:sz w:val="24"/>
          <w:szCs w:val="24"/>
        </w:rPr>
        <w:t>methicillinfølsomme</w:t>
      </w:r>
      <w:proofErr w:type="spellEnd"/>
      <w:r w:rsidRPr="00384190">
        <w:rPr>
          <w:sz w:val="24"/>
          <w:szCs w:val="24"/>
        </w:rPr>
        <w:t xml:space="preserve"> </w:t>
      </w:r>
      <w:proofErr w:type="spellStart"/>
      <w:r w:rsidRPr="00384190">
        <w:rPr>
          <w:sz w:val="24"/>
          <w:szCs w:val="24"/>
        </w:rPr>
        <w:t>koagulasenegative</w:t>
      </w:r>
      <w:proofErr w:type="spellEnd"/>
      <w:r w:rsidRPr="00384190">
        <w:rPr>
          <w:sz w:val="24"/>
          <w:szCs w:val="24"/>
        </w:rPr>
        <w:t xml:space="preserve"> </w:t>
      </w:r>
      <w:proofErr w:type="spellStart"/>
      <w:r w:rsidRPr="00384190">
        <w:rPr>
          <w:sz w:val="24"/>
          <w:szCs w:val="24"/>
        </w:rPr>
        <w:t>staphylococci</w:t>
      </w:r>
      <w:proofErr w:type="spellEnd"/>
      <w:r w:rsidRPr="00384190">
        <w:rPr>
          <w:sz w:val="24"/>
          <w:szCs w:val="24"/>
        </w:rPr>
        <w:t>)</w:t>
      </w:r>
    </w:p>
    <w:p w14:paraId="3782BEF9" w14:textId="77777777" w:rsidR="009C646A" w:rsidRPr="00384190" w:rsidRDefault="009C646A" w:rsidP="00384190">
      <w:pPr>
        <w:ind w:left="851"/>
        <w:rPr>
          <w:sz w:val="24"/>
          <w:szCs w:val="24"/>
        </w:rPr>
      </w:pPr>
      <w:proofErr w:type="spellStart"/>
      <w:r w:rsidRPr="00384190">
        <w:rPr>
          <w:i/>
          <w:sz w:val="24"/>
          <w:szCs w:val="24"/>
        </w:rPr>
        <w:t>Streptococcus</w:t>
      </w:r>
      <w:proofErr w:type="spellEnd"/>
      <w:r w:rsidRPr="00384190">
        <w:rPr>
          <w:sz w:val="24"/>
          <w:szCs w:val="24"/>
        </w:rPr>
        <w:t xml:space="preserve"> gruppe A, B, C og G</w:t>
      </w:r>
    </w:p>
    <w:p w14:paraId="2DE525CF" w14:textId="77777777" w:rsidR="009C646A" w:rsidRPr="00384190" w:rsidRDefault="009C646A" w:rsidP="00384190">
      <w:pPr>
        <w:ind w:left="851"/>
        <w:rPr>
          <w:sz w:val="24"/>
          <w:szCs w:val="24"/>
        </w:rPr>
      </w:pPr>
      <w:proofErr w:type="spellStart"/>
      <w:r w:rsidRPr="00384190">
        <w:rPr>
          <w:i/>
          <w:sz w:val="24"/>
          <w:szCs w:val="24"/>
        </w:rPr>
        <w:t>Streptococcus</w:t>
      </w:r>
      <w:proofErr w:type="spellEnd"/>
      <w:r w:rsidRPr="00384190">
        <w:rPr>
          <w:i/>
          <w:sz w:val="24"/>
          <w:szCs w:val="24"/>
        </w:rPr>
        <w:t xml:space="preserve"> </w:t>
      </w:r>
      <w:proofErr w:type="spellStart"/>
      <w:r w:rsidRPr="00384190">
        <w:rPr>
          <w:i/>
          <w:sz w:val="24"/>
          <w:szCs w:val="24"/>
        </w:rPr>
        <w:t>pneumoniae</w:t>
      </w:r>
      <w:proofErr w:type="spellEnd"/>
      <w:r w:rsidRPr="00384190">
        <w:rPr>
          <w:i/>
          <w:sz w:val="24"/>
          <w:szCs w:val="24"/>
        </w:rPr>
        <w:t xml:space="preserve"> </w:t>
      </w:r>
      <w:r w:rsidRPr="00384190">
        <w:rPr>
          <w:sz w:val="24"/>
          <w:szCs w:val="24"/>
        </w:rPr>
        <w:t xml:space="preserve">(penicillinfølsomme </w:t>
      </w:r>
      <w:proofErr w:type="spellStart"/>
      <w:r w:rsidRPr="00384190">
        <w:rPr>
          <w:sz w:val="24"/>
          <w:szCs w:val="24"/>
        </w:rPr>
        <w:t>isolater</w:t>
      </w:r>
      <w:proofErr w:type="spellEnd"/>
      <w:r w:rsidRPr="00384190">
        <w:rPr>
          <w:sz w:val="24"/>
          <w:szCs w:val="24"/>
        </w:rPr>
        <w:t>)</w:t>
      </w:r>
    </w:p>
    <w:p w14:paraId="4AE83763" w14:textId="77777777" w:rsidR="009C646A" w:rsidRPr="00384190" w:rsidRDefault="009C646A" w:rsidP="00384190">
      <w:pPr>
        <w:ind w:left="851"/>
        <w:rPr>
          <w:sz w:val="24"/>
          <w:szCs w:val="24"/>
        </w:rPr>
      </w:pPr>
      <w:proofErr w:type="spellStart"/>
      <w:r w:rsidRPr="00384190">
        <w:rPr>
          <w:i/>
          <w:sz w:val="24"/>
          <w:szCs w:val="24"/>
        </w:rPr>
        <w:t>Streptococcus</w:t>
      </w:r>
      <w:proofErr w:type="spellEnd"/>
      <w:r w:rsidRPr="00384190">
        <w:rPr>
          <w:i/>
          <w:sz w:val="24"/>
          <w:szCs w:val="24"/>
        </w:rPr>
        <w:t xml:space="preserve"> </w:t>
      </w:r>
      <w:proofErr w:type="spellStart"/>
      <w:r w:rsidRPr="00384190">
        <w:rPr>
          <w:i/>
          <w:sz w:val="24"/>
          <w:szCs w:val="24"/>
        </w:rPr>
        <w:t>pyogenes</w:t>
      </w:r>
      <w:proofErr w:type="spellEnd"/>
    </w:p>
    <w:p w14:paraId="49A1ABDA" w14:textId="77777777" w:rsidR="009C646A" w:rsidRPr="00384190" w:rsidRDefault="009C646A" w:rsidP="00384190">
      <w:pPr>
        <w:ind w:left="851"/>
        <w:rPr>
          <w:sz w:val="24"/>
          <w:szCs w:val="24"/>
        </w:rPr>
      </w:pPr>
      <w:r w:rsidRPr="00384190">
        <w:rPr>
          <w:sz w:val="24"/>
          <w:szCs w:val="24"/>
        </w:rPr>
        <w:t xml:space="preserve">Streptokokker af </w:t>
      </w:r>
      <w:proofErr w:type="spellStart"/>
      <w:r w:rsidRPr="00384190">
        <w:rPr>
          <w:sz w:val="24"/>
          <w:szCs w:val="24"/>
        </w:rPr>
        <w:t>viridansgruppe</w:t>
      </w:r>
      <w:proofErr w:type="spellEnd"/>
    </w:p>
    <w:p w14:paraId="5A4AB0B2" w14:textId="77777777" w:rsidR="009C646A" w:rsidRPr="00384190" w:rsidRDefault="009C646A" w:rsidP="00384190">
      <w:pPr>
        <w:ind w:left="851"/>
        <w:rPr>
          <w:sz w:val="24"/>
          <w:szCs w:val="24"/>
        </w:rPr>
      </w:pPr>
    </w:p>
    <w:p w14:paraId="7E698915" w14:textId="77777777" w:rsidR="009C646A" w:rsidRPr="00384190" w:rsidRDefault="009C646A" w:rsidP="00384190">
      <w:pPr>
        <w:ind w:left="851"/>
        <w:rPr>
          <w:b/>
          <w:sz w:val="24"/>
          <w:szCs w:val="24"/>
        </w:rPr>
      </w:pPr>
      <w:r w:rsidRPr="00384190">
        <w:rPr>
          <w:b/>
          <w:sz w:val="24"/>
          <w:szCs w:val="24"/>
        </w:rPr>
        <w:t xml:space="preserve">Anaerobe </w:t>
      </w:r>
      <w:proofErr w:type="spellStart"/>
      <w:r w:rsidRPr="00384190">
        <w:rPr>
          <w:b/>
          <w:sz w:val="24"/>
          <w:szCs w:val="24"/>
        </w:rPr>
        <w:t>gram-positive</w:t>
      </w:r>
      <w:proofErr w:type="spellEnd"/>
      <w:r w:rsidRPr="00384190">
        <w:rPr>
          <w:b/>
          <w:sz w:val="24"/>
          <w:szCs w:val="24"/>
        </w:rPr>
        <w:t xml:space="preserve"> mikroorganismer</w:t>
      </w:r>
    </w:p>
    <w:p w14:paraId="31BCE477" w14:textId="77777777" w:rsidR="009C646A" w:rsidRPr="00384190" w:rsidRDefault="009C646A" w:rsidP="00384190">
      <w:pPr>
        <w:ind w:left="851"/>
        <w:rPr>
          <w:sz w:val="24"/>
          <w:szCs w:val="24"/>
        </w:rPr>
      </w:pPr>
      <w:proofErr w:type="spellStart"/>
      <w:r w:rsidRPr="00384190">
        <w:rPr>
          <w:i/>
          <w:sz w:val="24"/>
          <w:szCs w:val="24"/>
        </w:rPr>
        <w:t>Clostridium</w:t>
      </w:r>
      <w:proofErr w:type="spellEnd"/>
      <w:r w:rsidRPr="00384190">
        <w:rPr>
          <w:i/>
          <w:sz w:val="24"/>
          <w:szCs w:val="24"/>
        </w:rPr>
        <w:t xml:space="preserve"> </w:t>
      </w:r>
      <w:proofErr w:type="spellStart"/>
      <w:r w:rsidRPr="00384190">
        <w:rPr>
          <w:i/>
          <w:sz w:val="24"/>
          <w:szCs w:val="24"/>
        </w:rPr>
        <w:t>perfringens</w:t>
      </w:r>
      <w:proofErr w:type="spellEnd"/>
    </w:p>
    <w:p w14:paraId="36956A32" w14:textId="77777777" w:rsidR="009C646A" w:rsidRPr="00384190" w:rsidRDefault="009C646A" w:rsidP="00384190">
      <w:pPr>
        <w:ind w:left="851"/>
        <w:rPr>
          <w:sz w:val="24"/>
          <w:szCs w:val="24"/>
          <w:lang w:val="en-US"/>
        </w:rPr>
      </w:pPr>
      <w:proofErr w:type="spellStart"/>
      <w:r w:rsidRPr="00384190">
        <w:rPr>
          <w:i/>
          <w:sz w:val="24"/>
          <w:szCs w:val="24"/>
          <w:lang w:val="en-US"/>
        </w:rPr>
        <w:t>Peptostreptococcus</w:t>
      </w:r>
      <w:proofErr w:type="spellEnd"/>
      <w:r w:rsidRPr="00384190">
        <w:rPr>
          <w:i/>
          <w:sz w:val="24"/>
          <w:szCs w:val="24"/>
          <w:lang w:val="en-US"/>
        </w:rPr>
        <w:t xml:space="preserve"> </w:t>
      </w:r>
      <w:r w:rsidRPr="00384190">
        <w:rPr>
          <w:sz w:val="24"/>
          <w:szCs w:val="24"/>
          <w:lang w:val="en-US"/>
        </w:rPr>
        <w:t>spp</w:t>
      </w:r>
      <w:r w:rsidRPr="00384190">
        <w:rPr>
          <w:i/>
          <w:sz w:val="24"/>
          <w:szCs w:val="24"/>
          <w:lang w:val="en-US"/>
        </w:rPr>
        <w:t>. (</w:t>
      </w:r>
      <w:proofErr w:type="spellStart"/>
      <w:r w:rsidRPr="00384190">
        <w:rPr>
          <w:i/>
          <w:sz w:val="24"/>
          <w:szCs w:val="24"/>
          <w:lang w:val="en-US"/>
        </w:rPr>
        <w:t>Finegoldia</w:t>
      </w:r>
      <w:proofErr w:type="spellEnd"/>
      <w:r w:rsidRPr="00384190">
        <w:rPr>
          <w:i/>
          <w:sz w:val="24"/>
          <w:szCs w:val="24"/>
          <w:lang w:val="en-US"/>
        </w:rPr>
        <w:t xml:space="preserve"> magna, </w:t>
      </w:r>
      <w:proofErr w:type="spellStart"/>
      <w:r w:rsidRPr="00384190">
        <w:rPr>
          <w:i/>
          <w:sz w:val="24"/>
          <w:szCs w:val="24"/>
          <w:lang w:val="en-US"/>
        </w:rPr>
        <w:t>Micromonas</w:t>
      </w:r>
      <w:proofErr w:type="spellEnd"/>
      <w:r w:rsidRPr="00384190">
        <w:rPr>
          <w:i/>
          <w:sz w:val="24"/>
          <w:szCs w:val="24"/>
          <w:lang w:val="en-US"/>
        </w:rPr>
        <w:t xml:space="preserve"> micros)</w:t>
      </w:r>
    </w:p>
    <w:p w14:paraId="1D17C626" w14:textId="77777777" w:rsidR="009C646A" w:rsidRPr="00384190" w:rsidRDefault="009C646A" w:rsidP="00384190">
      <w:pPr>
        <w:ind w:left="851"/>
        <w:rPr>
          <w:i/>
          <w:sz w:val="24"/>
          <w:szCs w:val="24"/>
          <w:lang w:val="en-US"/>
        </w:rPr>
      </w:pPr>
      <w:r w:rsidRPr="00384190">
        <w:rPr>
          <w:i/>
          <w:sz w:val="24"/>
          <w:szCs w:val="24"/>
          <w:lang w:val="en-US"/>
        </w:rPr>
        <w:t xml:space="preserve">Actinomyces </w:t>
      </w:r>
      <w:proofErr w:type="spellStart"/>
      <w:r w:rsidRPr="00384190">
        <w:rPr>
          <w:i/>
          <w:sz w:val="24"/>
          <w:szCs w:val="24"/>
          <w:lang w:val="en-US"/>
        </w:rPr>
        <w:t>israelii</w:t>
      </w:r>
      <w:proofErr w:type="spellEnd"/>
    </w:p>
    <w:p w14:paraId="34196C4F" w14:textId="77777777" w:rsidR="009C646A" w:rsidRPr="00384190" w:rsidRDefault="009C646A" w:rsidP="00384190">
      <w:pPr>
        <w:ind w:left="851"/>
        <w:rPr>
          <w:i/>
          <w:sz w:val="24"/>
          <w:szCs w:val="24"/>
          <w:lang w:val="en-US"/>
        </w:rPr>
      </w:pPr>
      <w:proofErr w:type="spellStart"/>
      <w:r w:rsidRPr="00384190">
        <w:rPr>
          <w:i/>
          <w:sz w:val="24"/>
          <w:szCs w:val="24"/>
          <w:lang w:val="en-US"/>
        </w:rPr>
        <w:t>Cutibacterium</w:t>
      </w:r>
      <w:proofErr w:type="spellEnd"/>
      <w:r w:rsidRPr="00384190">
        <w:rPr>
          <w:i/>
          <w:sz w:val="24"/>
          <w:szCs w:val="24"/>
          <w:lang w:val="en-US"/>
        </w:rPr>
        <w:t xml:space="preserve"> acnes</w:t>
      </w:r>
    </w:p>
    <w:p w14:paraId="4E5CD7A2" w14:textId="77777777" w:rsidR="009C646A" w:rsidRPr="00384190" w:rsidRDefault="009C646A" w:rsidP="00384190">
      <w:pPr>
        <w:ind w:left="851"/>
        <w:rPr>
          <w:i/>
          <w:sz w:val="24"/>
          <w:szCs w:val="24"/>
          <w:lang w:val="en-US"/>
        </w:rPr>
      </w:pPr>
      <w:proofErr w:type="spellStart"/>
      <w:r w:rsidRPr="00384190">
        <w:rPr>
          <w:i/>
          <w:sz w:val="24"/>
          <w:szCs w:val="24"/>
          <w:lang w:val="en-US"/>
        </w:rPr>
        <w:t>Peptoniphilus</w:t>
      </w:r>
      <w:proofErr w:type="spellEnd"/>
      <w:r w:rsidRPr="00384190">
        <w:rPr>
          <w:i/>
          <w:sz w:val="24"/>
          <w:szCs w:val="24"/>
          <w:lang w:val="en-US"/>
        </w:rPr>
        <w:t xml:space="preserve"> </w:t>
      </w:r>
      <w:r w:rsidRPr="00384190">
        <w:rPr>
          <w:sz w:val="24"/>
          <w:szCs w:val="24"/>
          <w:lang w:val="en-US"/>
        </w:rPr>
        <w:t xml:space="preserve">spp. </w:t>
      </w:r>
      <w:r w:rsidRPr="00384190">
        <w:rPr>
          <w:sz w:val="24"/>
          <w:szCs w:val="24"/>
          <w:vertAlign w:val="superscript"/>
          <w:lang w:val="en-US"/>
        </w:rPr>
        <w:t>1</w:t>
      </w:r>
    </w:p>
    <w:p w14:paraId="5AC93FE3" w14:textId="77777777" w:rsidR="009C646A" w:rsidRPr="00384190" w:rsidRDefault="009C646A" w:rsidP="00384190">
      <w:pPr>
        <w:ind w:left="851"/>
        <w:rPr>
          <w:sz w:val="24"/>
          <w:szCs w:val="24"/>
          <w:lang w:val="en-US"/>
        </w:rPr>
      </w:pPr>
      <w:r w:rsidRPr="00384190">
        <w:rPr>
          <w:i/>
          <w:sz w:val="24"/>
          <w:szCs w:val="24"/>
          <w:lang w:val="en-US"/>
        </w:rPr>
        <w:lastRenderedPageBreak/>
        <w:t xml:space="preserve">Propionibacterium </w:t>
      </w:r>
      <w:r w:rsidRPr="00384190">
        <w:rPr>
          <w:sz w:val="24"/>
          <w:szCs w:val="24"/>
          <w:lang w:val="en-US"/>
        </w:rPr>
        <w:t>spp.</w:t>
      </w:r>
      <w:r w:rsidRPr="00384190">
        <w:rPr>
          <w:sz w:val="24"/>
          <w:szCs w:val="24"/>
          <w:vertAlign w:val="superscript"/>
          <w:lang w:val="en-US"/>
        </w:rPr>
        <w:t xml:space="preserve"> 1</w:t>
      </w:r>
    </w:p>
    <w:p w14:paraId="75A4BFBA" w14:textId="77777777" w:rsidR="009C646A" w:rsidRPr="00384190" w:rsidRDefault="009C646A" w:rsidP="00384190">
      <w:pPr>
        <w:ind w:left="851"/>
        <w:rPr>
          <w:sz w:val="24"/>
          <w:szCs w:val="24"/>
          <w:lang w:val="en-US"/>
        </w:rPr>
      </w:pPr>
    </w:p>
    <w:p w14:paraId="4C5C41B9" w14:textId="77777777" w:rsidR="009C646A" w:rsidRPr="00384190" w:rsidRDefault="009C646A" w:rsidP="00384190">
      <w:pPr>
        <w:ind w:left="851"/>
        <w:rPr>
          <w:b/>
          <w:sz w:val="24"/>
          <w:szCs w:val="24"/>
          <w:lang w:val="en-US"/>
        </w:rPr>
      </w:pPr>
      <w:r w:rsidRPr="00384190">
        <w:rPr>
          <w:b/>
          <w:sz w:val="24"/>
          <w:szCs w:val="24"/>
          <w:lang w:val="en-US"/>
        </w:rPr>
        <w:t xml:space="preserve">Anaerobe gram-negative </w:t>
      </w:r>
      <w:proofErr w:type="spellStart"/>
      <w:r w:rsidRPr="00384190">
        <w:rPr>
          <w:b/>
          <w:sz w:val="24"/>
          <w:szCs w:val="24"/>
          <w:lang w:val="en-US"/>
        </w:rPr>
        <w:t>mikroorganismer</w:t>
      </w:r>
      <w:proofErr w:type="spellEnd"/>
    </w:p>
    <w:p w14:paraId="0A52397E" w14:textId="77777777" w:rsidR="009C646A" w:rsidRPr="004C7F1E" w:rsidRDefault="009C646A" w:rsidP="00384190">
      <w:pPr>
        <w:ind w:left="851"/>
        <w:rPr>
          <w:i/>
          <w:sz w:val="24"/>
          <w:szCs w:val="24"/>
          <w:lang w:val="en-US"/>
        </w:rPr>
      </w:pPr>
      <w:r w:rsidRPr="00384190">
        <w:rPr>
          <w:i/>
          <w:sz w:val="24"/>
          <w:szCs w:val="24"/>
          <w:lang w:val="en-US"/>
        </w:rPr>
        <w:t xml:space="preserve">Fusobacterium </w:t>
      </w:r>
      <w:r w:rsidRPr="00384190">
        <w:rPr>
          <w:sz w:val="24"/>
          <w:szCs w:val="24"/>
          <w:lang w:val="en-US"/>
        </w:rPr>
        <w:t>spp.</w:t>
      </w:r>
      <w:r w:rsidRPr="00384190">
        <w:rPr>
          <w:i/>
          <w:sz w:val="24"/>
          <w:szCs w:val="24"/>
          <w:lang w:val="en-US"/>
        </w:rPr>
        <w:t xml:space="preserve"> </w:t>
      </w:r>
      <w:r w:rsidRPr="004C7F1E">
        <w:rPr>
          <w:i/>
          <w:sz w:val="24"/>
          <w:szCs w:val="24"/>
          <w:lang w:val="en-US"/>
        </w:rPr>
        <w:t>(</w:t>
      </w:r>
      <w:r w:rsidRPr="004C7F1E">
        <w:rPr>
          <w:sz w:val="24"/>
          <w:szCs w:val="24"/>
          <w:lang w:val="en-US"/>
        </w:rPr>
        <w:t>excl.</w:t>
      </w:r>
      <w:r w:rsidRPr="004C7F1E">
        <w:rPr>
          <w:i/>
          <w:sz w:val="24"/>
          <w:szCs w:val="24"/>
          <w:lang w:val="en-US"/>
        </w:rPr>
        <w:t xml:space="preserve"> F. varium)</w:t>
      </w:r>
    </w:p>
    <w:p w14:paraId="0F743DBD" w14:textId="77777777" w:rsidR="009C646A" w:rsidRPr="004C7F1E" w:rsidRDefault="009C646A" w:rsidP="00384190">
      <w:pPr>
        <w:ind w:left="851"/>
        <w:rPr>
          <w:i/>
          <w:sz w:val="24"/>
          <w:szCs w:val="24"/>
          <w:lang w:val="en-US"/>
        </w:rPr>
      </w:pPr>
      <w:r w:rsidRPr="004C7F1E">
        <w:rPr>
          <w:i/>
          <w:sz w:val="24"/>
          <w:szCs w:val="24"/>
          <w:lang w:val="en-US"/>
        </w:rPr>
        <w:t xml:space="preserve">Prevotella </w:t>
      </w:r>
      <w:r w:rsidRPr="004C7F1E">
        <w:rPr>
          <w:sz w:val="24"/>
          <w:szCs w:val="24"/>
          <w:lang w:val="en-US"/>
        </w:rPr>
        <w:t>spp.</w:t>
      </w:r>
    </w:p>
    <w:p w14:paraId="79714084" w14:textId="77777777" w:rsidR="009C646A" w:rsidRPr="00384190" w:rsidRDefault="009C646A" w:rsidP="00384190">
      <w:pPr>
        <w:ind w:left="851"/>
        <w:rPr>
          <w:i/>
          <w:sz w:val="24"/>
          <w:szCs w:val="24"/>
        </w:rPr>
      </w:pPr>
      <w:proofErr w:type="spellStart"/>
      <w:r w:rsidRPr="00384190">
        <w:rPr>
          <w:i/>
          <w:sz w:val="24"/>
          <w:szCs w:val="24"/>
        </w:rPr>
        <w:t>Veillonella</w:t>
      </w:r>
      <w:proofErr w:type="spellEnd"/>
      <w:r w:rsidRPr="00384190">
        <w:rPr>
          <w:i/>
          <w:sz w:val="24"/>
          <w:szCs w:val="24"/>
        </w:rPr>
        <w:t xml:space="preserve"> </w:t>
      </w:r>
      <w:proofErr w:type="spellStart"/>
      <w:r w:rsidRPr="00384190">
        <w:rPr>
          <w:sz w:val="24"/>
          <w:szCs w:val="24"/>
        </w:rPr>
        <w:t>spp</w:t>
      </w:r>
      <w:proofErr w:type="spellEnd"/>
      <w:r w:rsidRPr="00384190">
        <w:rPr>
          <w:sz w:val="24"/>
          <w:szCs w:val="24"/>
        </w:rPr>
        <w:t>.</w:t>
      </w:r>
      <w:r w:rsidRPr="00384190">
        <w:rPr>
          <w:sz w:val="24"/>
          <w:szCs w:val="24"/>
          <w:vertAlign w:val="superscript"/>
        </w:rPr>
        <w:t xml:space="preserve"> 1</w:t>
      </w:r>
    </w:p>
    <w:p w14:paraId="08C50563" w14:textId="4074B881" w:rsidR="00A94E88" w:rsidRDefault="00A94E88">
      <w:pPr>
        <w:rPr>
          <w:sz w:val="24"/>
          <w:szCs w:val="24"/>
        </w:rPr>
      </w:pPr>
      <w:r>
        <w:rPr>
          <w:sz w:val="24"/>
          <w:szCs w:val="24"/>
        </w:rPr>
        <w:br w:type="page"/>
      </w:r>
    </w:p>
    <w:p w14:paraId="58D6FF82" w14:textId="77777777" w:rsidR="009C646A" w:rsidRPr="00384190" w:rsidRDefault="009C646A" w:rsidP="00384190">
      <w:pPr>
        <w:ind w:left="851"/>
        <w:rPr>
          <w:sz w:val="24"/>
          <w:szCs w:val="24"/>
        </w:rPr>
      </w:pPr>
    </w:p>
    <w:p w14:paraId="096C5D24" w14:textId="77777777" w:rsidR="009C646A" w:rsidRPr="00384190" w:rsidRDefault="009C646A" w:rsidP="00384190">
      <w:pPr>
        <w:ind w:left="851"/>
        <w:rPr>
          <w:b/>
          <w:sz w:val="24"/>
          <w:szCs w:val="24"/>
        </w:rPr>
      </w:pPr>
      <w:r w:rsidRPr="00384190">
        <w:rPr>
          <w:b/>
          <w:sz w:val="24"/>
          <w:szCs w:val="24"/>
        </w:rPr>
        <w:t>Andre mikroorganismer</w:t>
      </w:r>
    </w:p>
    <w:p w14:paraId="1D3DEE12" w14:textId="77777777" w:rsidR="009C646A" w:rsidRPr="004C7F1E" w:rsidRDefault="009C646A" w:rsidP="00384190">
      <w:pPr>
        <w:ind w:left="851"/>
        <w:rPr>
          <w:i/>
          <w:sz w:val="24"/>
          <w:szCs w:val="24"/>
        </w:rPr>
      </w:pPr>
      <w:r w:rsidRPr="004C7F1E">
        <w:rPr>
          <w:i/>
          <w:sz w:val="24"/>
          <w:szCs w:val="24"/>
        </w:rPr>
        <w:t>Chlamydia trachomatis</w:t>
      </w:r>
    </w:p>
    <w:p w14:paraId="6BE2E0A8" w14:textId="77777777" w:rsidR="009C646A" w:rsidRPr="00384190" w:rsidRDefault="009C646A" w:rsidP="00384190">
      <w:pPr>
        <w:ind w:left="851"/>
        <w:rPr>
          <w:i/>
          <w:sz w:val="24"/>
          <w:szCs w:val="24"/>
          <w:lang w:val="en-US"/>
        </w:rPr>
      </w:pPr>
      <w:r w:rsidRPr="00384190">
        <w:rPr>
          <w:i/>
          <w:sz w:val="24"/>
          <w:szCs w:val="24"/>
          <w:lang w:val="en-US"/>
        </w:rPr>
        <w:t>Gardnerella vaginalis</w:t>
      </w:r>
    </w:p>
    <w:p w14:paraId="79D18F1B" w14:textId="77777777" w:rsidR="009C646A" w:rsidRPr="00384190" w:rsidRDefault="009C646A" w:rsidP="00384190">
      <w:pPr>
        <w:ind w:left="851"/>
        <w:rPr>
          <w:sz w:val="24"/>
          <w:szCs w:val="24"/>
          <w:lang w:val="en-US"/>
        </w:rPr>
      </w:pPr>
      <w:r w:rsidRPr="00384190">
        <w:rPr>
          <w:i/>
          <w:sz w:val="24"/>
          <w:szCs w:val="24"/>
          <w:lang w:val="en-US"/>
        </w:rPr>
        <w:t>Chlamydophila pneumoniae</w:t>
      </w:r>
      <w:r w:rsidRPr="00384190">
        <w:rPr>
          <w:sz w:val="24"/>
          <w:szCs w:val="24"/>
          <w:lang w:val="en-US"/>
        </w:rPr>
        <w:t xml:space="preserve"> </w:t>
      </w:r>
      <w:r w:rsidRPr="00384190">
        <w:rPr>
          <w:sz w:val="24"/>
          <w:szCs w:val="24"/>
          <w:vertAlign w:val="superscript"/>
          <w:lang w:val="en-US"/>
        </w:rPr>
        <w:t>1</w:t>
      </w:r>
    </w:p>
    <w:p w14:paraId="776BE53C" w14:textId="77777777" w:rsidR="009C646A" w:rsidRPr="004C7F1E" w:rsidRDefault="009C646A" w:rsidP="00384190">
      <w:pPr>
        <w:ind w:left="851"/>
        <w:rPr>
          <w:sz w:val="24"/>
          <w:szCs w:val="24"/>
          <w:lang w:val="en-US"/>
        </w:rPr>
      </w:pPr>
      <w:r w:rsidRPr="004C7F1E">
        <w:rPr>
          <w:i/>
          <w:sz w:val="24"/>
          <w:szCs w:val="24"/>
          <w:lang w:val="en-US"/>
        </w:rPr>
        <w:t xml:space="preserve">Mycoplasma hominis </w:t>
      </w:r>
      <w:r w:rsidRPr="004C7F1E">
        <w:rPr>
          <w:sz w:val="24"/>
          <w:szCs w:val="24"/>
          <w:vertAlign w:val="superscript"/>
          <w:lang w:val="en-US"/>
        </w:rPr>
        <w:t>1</w:t>
      </w:r>
    </w:p>
    <w:p w14:paraId="01461454" w14:textId="77777777" w:rsidR="009C646A" w:rsidRPr="004C7F1E" w:rsidRDefault="009C646A" w:rsidP="00384190">
      <w:pPr>
        <w:ind w:left="851"/>
        <w:rPr>
          <w:sz w:val="24"/>
          <w:szCs w:val="24"/>
          <w:lang w:val="en-US"/>
        </w:rPr>
      </w:pPr>
    </w:p>
    <w:p w14:paraId="788692C9" w14:textId="77777777" w:rsidR="009C646A" w:rsidRPr="00384190" w:rsidRDefault="009C646A" w:rsidP="00384190">
      <w:pPr>
        <w:ind w:left="851"/>
        <w:rPr>
          <w:i/>
          <w:sz w:val="24"/>
          <w:szCs w:val="24"/>
        </w:rPr>
      </w:pPr>
      <w:r w:rsidRPr="00384190">
        <w:rPr>
          <w:i/>
          <w:sz w:val="24"/>
          <w:szCs w:val="24"/>
          <w:vertAlign w:val="superscript"/>
        </w:rPr>
        <w:t xml:space="preserve">1 </w:t>
      </w:r>
      <w:r w:rsidRPr="00384190">
        <w:rPr>
          <w:i/>
          <w:sz w:val="24"/>
          <w:szCs w:val="24"/>
        </w:rPr>
        <w:t>Ajourførte data var ikke til rådighed på tidspunktet for tabellernes frigivelse. Der er benyttet primær litteratur, videnskabelig standardlitteratur og behandlingsmæssige anbefalinger til at antage følsomhed.</w:t>
      </w:r>
    </w:p>
    <w:p w14:paraId="5DBA12AB" w14:textId="77777777" w:rsidR="009C646A" w:rsidRPr="00384190" w:rsidRDefault="009C646A" w:rsidP="00384190">
      <w:pPr>
        <w:ind w:left="851"/>
        <w:rPr>
          <w:sz w:val="24"/>
          <w:szCs w:val="24"/>
        </w:rPr>
      </w:pPr>
    </w:p>
    <w:p w14:paraId="466B13D8" w14:textId="77777777" w:rsidR="009C646A" w:rsidRPr="00384190" w:rsidRDefault="009C646A" w:rsidP="00384190">
      <w:pPr>
        <w:ind w:left="851"/>
        <w:rPr>
          <w:b/>
          <w:sz w:val="24"/>
          <w:szCs w:val="24"/>
          <w:u w:val="single"/>
        </w:rPr>
      </w:pPr>
      <w:r w:rsidRPr="00384190">
        <w:rPr>
          <w:b/>
          <w:sz w:val="24"/>
          <w:szCs w:val="24"/>
          <w:u w:val="single"/>
        </w:rPr>
        <w:t>Arter, hvor erhvervet resistens kan være et problem</w:t>
      </w:r>
    </w:p>
    <w:p w14:paraId="14E52AA0" w14:textId="77777777" w:rsidR="009C646A" w:rsidRPr="00384190" w:rsidRDefault="009C646A" w:rsidP="00384190">
      <w:pPr>
        <w:ind w:left="851"/>
        <w:rPr>
          <w:sz w:val="24"/>
          <w:szCs w:val="24"/>
        </w:rPr>
      </w:pPr>
    </w:p>
    <w:p w14:paraId="36A0F7D8" w14:textId="77777777" w:rsidR="009C646A" w:rsidRPr="00384190" w:rsidRDefault="009C646A" w:rsidP="00384190">
      <w:pPr>
        <w:ind w:left="851"/>
        <w:rPr>
          <w:b/>
          <w:sz w:val="24"/>
          <w:szCs w:val="24"/>
          <w:lang w:val="en-US"/>
        </w:rPr>
      </w:pPr>
      <w:r w:rsidRPr="00384190">
        <w:rPr>
          <w:b/>
          <w:sz w:val="24"/>
          <w:szCs w:val="24"/>
          <w:lang w:val="en-US"/>
        </w:rPr>
        <w:t xml:space="preserve">Aerobe gram-positive </w:t>
      </w:r>
      <w:proofErr w:type="spellStart"/>
      <w:r w:rsidRPr="00384190">
        <w:rPr>
          <w:b/>
          <w:sz w:val="24"/>
          <w:szCs w:val="24"/>
          <w:lang w:val="en-US"/>
        </w:rPr>
        <w:t>mikroorganismer</w:t>
      </w:r>
      <w:proofErr w:type="spellEnd"/>
    </w:p>
    <w:p w14:paraId="5850EA64" w14:textId="77777777" w:rsidR="009C646A" w:rsidRPr="00384190" w:rsidRDefault="009C646A" w:rsidP="00384190">
      <w:pPr>
        <w:ind w:left="851"/>
        <w:rPr>
          <w:sz w:val="24"/>
          <w:szCs w:val="24"/>
          <w:lang w:val="en-US"/>
        </w:rPr>
      </w:pPr>
      <w:r w:rsidRPr="00384190">
        <w:rPr>
          <w:i/>
          <w:sz w:val="24"/>
          <w:szCs w:val="24"/>
          <w:lang w:val="en-US"/>
        </w:rPr>
        <w:t xml:space="preserve">Staphylococcus aureus </w:t>
      </w:r>
      <w:r w:rsidRPr="00384190">
        <w:rPr>
          <w:sz w:val="24"/>
          <w:szCs w:val="24"/>
          <w:lang w:val="en-US"/>
        </w:rPr>
        <w:t>(</w:t>
      </w:r>
      <w:proofErr w:type="spellStart"/>
      <w:r w:rsidRPr="00384190">
        <w:rPr>
          <w:sz w:val="24"/>
          <w:szCs w:val="24"/>
          <w:lang w:val="en-US"/>
        </w:rPr>
        <w:t>methicillinresistent</w:t>
      </w:r>
      <w:proofErr w:type="spellEnd"/>
      <w:r w:rsidRPr="00384190">
        <w:rPr>
          <w:sz w:val="24"/>
          <w:szCs w:val="24"/>
          <w:lang w:val="en-US"/>
        </w:rPr>
        <w:t>)</w:t>
      </w:r>
    </w:p>
    <w:p w14:paraId="333CDEC3" w14:textId="77777777" w:rsidR="009C646A" w:rsidRPr="00384190" w:rsidRDefault="009C646A" w:rsidP="00384190">
      <w:pPr>
        <w:ind w:left="851"/>
        <w:rPr>
          <w:i/>
          <w:sz w:val="24"/>
          <w:szCs w:val="24"/>
          <w:lang w:val="en-US"/>
        </w:rPr>
      </w:pPr>
      <w:r w:rsidRPr="00384190">
        <w:rPr>
          <w:i/>
          <w:sz w:val="24"/>
          <w:szCs w:val="24"/>
          <w:lang w:val="en-US"/>
        </w:rPr>
        <w:t>Staphylococcus epidermidis</w:t>
      </w:r>
    </w:p>
    <w:p w14:paraId="413AAFEA" w14:textId="77777777" w:rsidR="009C646A" w:rsidRPr="00384190" w:rsidRDefault="009C646A" w:rsidP="00384190">
      <w:pPr>
        <w:ind w:left="851"/>
        <w:rPr>
          <w:i/>
          <w:sz w:val="24"/>
          <w:szCs w:val="24"/>
          <w:lang w:val="en-US"/>
        </w:rPr>
      </w:pPr>
      <w:r w:rsidRPr="00384190">
        <w:rPr>
          <w:i/>
          <w:sz w:val="24"/>
          <w:szCs w:val="24"/>
          <w:lang w:val="en-US"/>
        </w:rPr>
        <w:t xml:space="preserve">Staphylococcus </w:t>
      </w:r>
      <w:proofErr w:type="spellStart"/>
      <w:r w:rsidRPr="00384190">
        <w:rPr>
          <w:i/>
          <w:sz w:val="24"/>
          <w:szCs w:val="24"/>
          <w:lang w:val="en-US"/>
        </w:rPr>
        <w:t>haemolyticus</w:t>
      </w:r>
      <w:proofErr w:type="spellEnd"/>
    </w:p>
    <w:p w14:paraId="037B6C05" w14:textId="77777777" w:rsidR="009C646A" w:rsidRPr="00384190" w:rsidRDefault="009C646A" w:rsidP="00384190">
      <w:pPr>
        <w:ind w:left="851"/>
        <w:rPr>
          <w:i/>
          <w:sz w:val="24"/>
          <w:szCs w:val="24"/>
          <w:lang w:val="en-US"/>
        </w:rPr>
      </w:pPr>
      <w:r w:rsidRPr="00384190">
        <w:rPr>
          <w:i/>
          <w:sz w:val="24"/>
          <w:szCs w:val="24"/>
          <w:lang w:val="en-US"/>
        </w:rPr>
        <w:t>Staphylococcus hominis</w:t>
      </w:r>
    </w:p>
    <w:p w14:paraId="30EB9E49" w14:textId="77777777" w:rsidR="009C646A" w:rsidRPr="00384190" w:rsidRDefault="009C646A" w:rsidP="00384190">
      <w:pPr>
        <w:ind w:left="851"/>
        <w:rPr>
          <w:i/>
          <w:sz w:val="24"/>
          <w:szCs w:val="24"/>
          <w:lang w:val="en-US"/>
        </w:rPr>
      </w:pPr>
      <w:r w:rsidRPr="00384190">
        <w:rPr>
          <w:i/>
          <w:sz w:val="24"/>
          <w:szCs w:val="24"/>
          <w:lang w:val="en-US"/>
        </w:rPr>
        <w:t>Streptococcus agalactiae</w:t>
      </w:r>
    </w:p>
    <w:p w14:paraId="5A241F46" w14:textId="77777777" w:rsidR="009C646A" w:rsidRPr="00384190" w:rsidRDefault="009C646A" w:rsidP="00384190">
      <w:pPr>
        <w:ind w:left="851"/>
        <w:rPr>
          <w:sz w:val="24"/>
          <w:szCs w:val="24"/>
          <w:lang w:val="en-US"/>
        </w:rPr>
      </w:pPr>
      <w:r w:rsidRPr="00384190">
        <w:rPr>
          <w:i/>
          <w:sz w:val="24"/>
          <w:szCs w:val="24"/>
          <w:lang w:val="en-US"/>
        </w:rPr>
        <w:t xml:space="preserve">Corynebacterium </w:t>
      </w:r>
      <w:r w:rsidRPr="00384190">
        <w:rPr>
          <w:sz w:val="24"/>
          <w:szCs w:val="24"/>
          <w:lang w:val="en-US"/>
        </w:rPr>
        <w:t>spp.</w:t>
      </w:r>
    </w:p>
    <w:p w14:paraId="36D0A895" w14:textId="77777777" w:rsidR="009C646A" w:rsidRPr="00384190" w:rsidRDefault="009C646A" w:rsidP="00384190">
      <w:pPr>
        <w:ind w:left="851"/>
        <w:rPr>
          <w:sz w:val="24"/>
          <w:szCs w:val="24"/>
          <w:lang w:val="en-US"/>
        </w:rPr>
      </w:pPr>
    </w:p>
    <w:p w14:paraId="7DE02209" w14:textId="77777777" w:rsidR="009C646A" w:rsidRPr="00384190" w:rsidRDefault="009C646A" w:rsidP="00384190">
      <w:pPr>
        <w:ind w:left="851"/>
        <w:rPr>
          <w:b/>
          <w:sz w:val="24"/>
          <w:szCs w:val="24"/>
          <w:lang w:val="en-US"/>
        </w:rPr>
      </w:pPr>
      <w:r w:rsidRPr="00384190">
        <w:rPr>
          <w:b/>
          <w:sz w:val="24"/>
          <w:szCs w:val="24"/>
          <w:lang w:val="en-US"/>
        </w:rPr>
        <w:t xml:space="preserve">Aerobe gram-negative </w:t>
      </w:r>
      <w:proofErr w:type="spellStart"/>
      <w:r w:rsidRPr="00384190">
        <w:rPr>
          <w:b/>
          <w:sz w:val="24"/>
          <w:szCs w:val="24"/>
          <w:lang w:val="en-US"/>
        </w:rPr>
        <w:t>mikroorganismer</w:t>
      </w:r>
      <w:proofErr w:type="spellEnd"/>
    </w:p>
    <w:p w14:paraId="1A869F2B" w14:textId="77777777" w:rsidR="009C646A" w:rsidRPr="00384190" w:rsidRDefault="009C646A" w:rsidP="00384190">
      <w:pPr>
        <w:ind w:left="851"/>
        <w:rPr>
          <w:i/>
          <w:sz w:val="24"/>
          <w:szCs w:val="24"/>
          <w:lang w:val="en-US"/>
        </w:rPr>
      </w:pPr>
      <w:r w:rsidRPr="00384190">
        <w:rPr>
          <w:i/>
          <w:sz w:val="24"/>
          <w:szCs w:val="24"/>
          <w:lang w:val="en-US"/>
        </w:rPr>
        <w:t>Moraxella catarrhalis</w:t>
      </w:r>
    </w:p>
    <w:p w14:paraId="3994FDAD" w14:textId="77777777" w:rsidR="009C646A" w:rsidRPr="00384190" w:rsidRDefault="009C646A" w:rsidP="00384190">
      <w:pPr>
        <w:ind w:left="851"/>
        <w:rPr>
          <w:i/>
          <w:sz w:val="24"/>
          <w:szCs w:val="24"/>
          <w:lang w:val="en-US"/>
        </w:rPr>
      </w:pPr>
    </w:p>
    <w:p w14:paraId="23D4B383" w14:textId="77777777" w:rsidR="009C646A" w:rsidRPr="00384190" w:rsidRDefault="009C646A" w:rsidP="00384190">
      <w:pPr>
        <w:ind w:left="851"/>
        <w:rPr>
          <w:b/>
          <w:sz w:val="24"/>
          <w:szCs w:val="24"/>
          <w:lang w:val="en-US"/>
        </w:rPr>
      </w:pPr>
      <w:r w:rsidRPr="00384190">
        <w:rPr>
          <w:b/>
          <w:sz w:val="24"/>
          <w:szCs w:val="24"/>
          <w:lang w:val="en-US"/>
        </w:rPr>
        <w:t xml:space="preserve">Anaerobe gram-positive </w:t>
      </w:r>
      <w:proofErr w:type="spellStart"/>
      <w:r w:rsidRPr="00384190">
        <w:rPr>
          <w:b/>
          <w:sz w:val="24"/>
          <w:szCs w:val="24"/>
          <w:lang w:val="en-US"/>
        </w:rPr>
        <w:t>mikroorganismer</w:t>
      </w:r>
      <w:proofErr w:type="spellEnd"/>
    </w:p>
    <w:p w14:paraId="31F75E04" w14:textId="77777777" w:rsidR="009C646A" w:rsidRPr="00384190" w:rsidRDefault="009C646A" w:rsidP="00384190">
      <w:pPr>
        <w:ind w:left="851"/>
        <w:rPr>
          <w:i/>
          <w:sz w:val="24"/>
          <w:szCs w:val="24"/>
          <w:lang w:val="en-US"/>
        </w:rPr>
      </w:pPr>
      <w:proofErr w:type="spellStart"/>
      <w:r w:rsidRPr="00384190">
        <w:rPr>
          <w:i/>
          <w:sz w:val="24"/>
          <w:szCs w:val="24"/>
          <w:lang w:val="en-US"/>
        </w:rPr>
        <w:t>Clostridioides</w:t>
      </w:r>
      <w:proofErr w:type="spellEnd"/>
      <w:r w:rsidRPr="00384190">
        <w:rPr>
          <w:i/>
          <w:sz w:val="24"/>
          <w:szCs w:val="24"/>
          <w:lang w:val="en-US"/>
        </w:rPr>
        <w:t xml:space="preserve"> difficile</w:t>
      </w:r>
    </w:p>
    <w:p w14:paraId="79DE867B" w14:textId="77777777" w:rsidR="009C646A" w:rsidRPr="00384190" w:rsidRDefault="009C646A" w:rsidP="00384190">
      <w:pPr>
        <w:ind w:left="851"/>
        <w:rPr>
          <w:i/>
          <w:sz w:val="24"/>
          <w:szCs w:val="24"/>
          <w:lang w:val="en-US"/>
        </w:rPr>
      </w:pPr>
    </w:p>
    <w:p w14:paraId="68DA2460" w14:textId="77777777" w:rsidR="009C646A" w:rsidRPr="004C7F1E" w:rsidRDefault="009C646A" w:rsidP="00384190">
      <w:pPr>
        <w:ind w:left="851"/>
        <w:rPr>
          <w:b/>
          <w:sz w:val="24"/>
          <w:szCs w:val="24"/>
        </w:rPr>
      </w:pPr>
      <w:r w:rsidRPr="004C7F1E">
        <w:rPr>
          <w:b/>
          <w:sz w:val="24"/>
          <w:szCs w:val="24"/>
        </w:rPr>
        <w:t>Anaerobe gram-negative mikroorganismer</w:t>
      </w:r>
    </w:p>
    <w:p w14:paraId="13B27548" w14:textId="77777777" w:rsidR="009C646A" w:rsidRPr="004C7F1E" w:rsidRDefault="009C646A" w:rsidP="00384190">
      <w:pPr>
        <w:ind w:left="851"/>
        <w:rPr>
          <w:i/>
          <w:sz w:val="24"/>
          <w:szCs w:val="24"/>
        </w:rPr>
      </w:pPr>
      <w:r w:rsidRPr="004C7F1E">
        <w:rPr>
          <w:i/>
          <w:sz w:val="24"/>
          <w:szCs w:val="24"/>
        </w:rPr>
        <w:t xml:space="preserve">Bacteroides </w:t>
      </w:r>
      <w:r w:rsidRPr="004C7F1E">
        <w:rPr>
          <w:sz w:val="24"/>
          <w:szCs w:val="24"/>
        </w:rPr>
        <w:t>spp.</w:t>
      </w:r>
    </w:p>
    <w:p w14:paraId="404A0F0B" w14:textId="77777777" w:rsidR="009C646A" w:rsidRPr="004C7F1E" w:rsidRDefault="009C646A" w:rsidP="00384190">
      <w:pPr>
        <w:ind w:left="851"/>
        <w:rPr>
          <w:sz w:val="24"/>
          <w:szCs w:val="24"/>
        </w:rPr>
      </w:pPr>
    </w:p>
    <w:p w14:paraId="742FE233" w14:textId="77777777" w:rsidR="009C646A" w:rsidRPr="00384190" w:rsidRDefault="009C646A" w:rsidP="00384190">
      <w:pPr>
        <w:ind w:left="851"/>
        <w:rPr>
          <w:b/>
          <w:sz w:val="24"/>
          <w:szCs w:val="24"/>
          <w:u w:val="single"/>
        </w:rPr>
      </w:pPr>
      <w:bookmarkStart w:id="7" w:name="_Hlk165552519"/>
      <w:r w:rsidRPr="00384190">
        <w:rPr>
          <w:b/>
          <w:sz w:val="24"/>
          <w:szCs w:val="24"/>
          <w:u w:val="single"/>
        </w:rPr>
        <w:t>Organismer med nedarvet resistens</w:t>
      </w:r>
      <w:bookmarkEnd w:id="7"/>
    </w:p>
    <w:p w14:paraId="6C05AA1F" w14:textId="77777777" w:rsidR="009C646A" w:rsidRPr="00384190" w:rsidRDefault="009C646A" w:rsidP="00384190">
      <w:pPr>
        <w:ind w:left="851"/>
        <w:rPr>
          <w:sz w:val="24"/>
          <w:szCs w:val="24"/>
        </w:rPr>
      </w:pPr>
    </w:p>
    <w:p w14:paraId="305C612C" w14:textId="77777777" w:rsidR="009C646A" w:rsidRPr="004C7F1E" w:rsidRDefault="009C646A" w:rsidP="00384190">
      <w:pPr>
        <w:ind w:left="851"/>
        <w:rPr>
          <w:b/>
          <w:sz w:val="24"/>
          <w:szCs w:val="24"/>
          <w:lang w:val="en-US"/>
        </w:rPr>
      </w:pPr>
      <w:r w:rsidRPr="004C7F1E">
        <w:rPr>
          <w:b/>
          <w:sz w:val="24"/>
          <w:szCs w:val="24"/>
          <w:lang w:val="en-US"/>
        </w:rPr>
        <w:t>Aerobe gram-positive mikroorganismer</w:t>
      </w:r>
    </w:p>
    <w:p w14:paraId="63089CD7" w14:textId="77777777" w:rsidR="009C646A" w:rsidRPr="00384190" w:rsidRDefault="009C646A" w:rsidP="00384190">
      <w:pPr>
        <w:ind w:left="851"/>
        <w:rPr>
          <w:i/>
          <w:sz w:val="24"/>
          <w:szCs w:val="24"/>
          <w:lang w:val="en-US"/>
        </w:rPr>
      </w:pPr>
      <w:r w:rsidRPr="00384190">
        <w:rPr>
          <w:i/>
          <w:sz w:val="24"/>
          <w:szCs w:val="24"/>
          <w:lang w:val="en-US"/>
        </w:rPr>
        <w:t xml:space="preserve">Enterococcus </w:t>
      </w:r>
      <w:r w:rsidRPr="00384190">
        <w:rPr>
          <w:sz w:val="24"/>
          <w:szCs w:val="24"/>
          <w:lang w:val="en-US"/>
        </w:rPr>
        <w:t>spp</w:t>
      </w:r>
      <w:r w:rsidRPr="00384190">
        <w:rPr>
          <w:i/>
          <w:sz w:val="24"/>
          <w:szCs w:val="24"/>
          <w:lang w:val="en-US"/>
        </w:rPr>
        <w:t xml:space="preserve">. </w:t>
      </w:r>
    </w:p>
    <w:p w14:paraId="5C75C55C" w14:textId="77777777" w:rsidR="009C646A" w:rsidRPr="00384190" w:rsidRDefault="009C646A" w:rsidP="00384190">
      <w:pPr>
        <w:ind w:left="851"/>
        <w:rPr>
          <w:i/>
          <w:sz w:val="24"/>
          <w:szCs w:val="24"/>
          <w:lang w:val="en-US"/>
        </w:rPr>
      </w:pPr>
      <w:r w:rsidRPr="00384190">
        <w:rPr>
          <w:i/>
          <w:sz w:val="24"/>
          <w:szCs w:val="24"/>
          <w:lang w:val="en-US"/>
        </w:rPr>
        <w:t>Listeria monocytogenes</w:t>
      </w:r>
    </w:p>
    <w:p w14:paraId="2D2151C9" w14:textId="77777777" w:rsidR="009C646A" w:rsidRPr="00384190" w:rsidRDefault="009C646A" w:rsidP="00384190">
      <w:pPr>
        <w:ind w:left="851"/>
        <w:rPr>
          <w:i/>
          <w:sz w:val="24"/>
          <w:szCs w:val="24"/>
          <w:lang w:val="en-US"/>
        </w:rPr>
      </w:pPr>
    </w:p>
    <w:p w14:paraId="724B4D0E" w14:textId="77777777" w:rsidR="009C646A" w:rsidRPr="00384190" w:rsidRDefault="009C646A" w:rsidP="00384190">
      <w:pPr>
        <w:ind w:left="851"/>
        <w:rPr>
          <w:b/>
          <w:sz w:val="24"/>
          <w:szCs w:val="24"/>
          <w:lang w:val="en-US"/>
        </w:rPr>
      </w:pPr>
      <w:r w:rsidRPr="00384190">
        <w:rPr>
          <w:b/>
          <w:sz w:val="24"/>
          <w:szCs w:val="24"/>
          <w:lang w:val="en-US"/>
        </w:rPr>
        <w:t xml:space="preserve">Aerobe gram-negative </w:t>
      </w:r>
      <w:proofErr w:type="spellStart"/>
      <w:r w:rsidRPr="00384190">
        <w:rPr>
          <w:b/>
          <w:sz w:val="24"/>
          <w:szCs w:val="24"/>
          <w:lang w:val="en-US"/>
        </w:rPr>
        <w:t>mikroorganismer</w:t>
      </w:r>
      <w:proofErr w:type="spellEnd"/>
    </w:p>
    <w:p w14:paraId="4DD80566" w14:textId="77777777" w:rsidR="009C646A" w:rsidRPr="00384190" w:rsidRDefault="009C646A" w:rsidP="00384190">
      <w:pPr>
        <w:ind w:left="851"/>
        <w:rPr>
          <w:i/>
          <w:sz w:val="24"/>
          <w:szCs w:val="24"/>
          <w:lang w:val="en-US"/>
        </w:rPr>
      </w:pPr>
      <w:r w:rsidRPr="00384190">
        <w:rPr>
          <w:i/>
          <w:sz w:val="24"/>
          <w:szCs w:val="24"/>
          <w:lang w:val="en-US"/>
        </w:rPr>
        <w:t xml:space="preserve">Escherichia coli </w:t>
      </w:r>
    </w:p>
    <w:p w14:paraId="735408DF" w14:textId="77777777" w:rsidR="009C646A" w:rsidRPr="00384190" w:rsidRDefault="009C646A" w:rsidP="00384190">
      <w:pPr>
        <w:ind w:left="851"/>
        <w:rPr>
          <w:i/>
          <w:sz w:val="24"/>
          <w:szCs w:val="24"/>
          <w:lang w:val="en-US"/>
        </w:rPr>
      </w:pPr>
      <w:proofErr w:type="spellStart"/>
      <w:r w:rsidRPr="00384190">
        <w:rPr>
          <w:i/>
          <w:sz w:val="24"/>
          <w:szCs w:val="24"/>
          <w:lang w:val="en-US"/>
        </w:rPr>
        <w:t>Haemophilus</w:t>
      </w:r>
      <w:proofErr w:type="spellEnd"/>
      <w:r w:rsidRPr="00384190">
        <w:rPr>
          <w:i/>
          <w:sz w:val="24"/>
          <w:szCs w:val="24"/>
          <w:lang w:val="en-US"/>
        </w:rPr>
        <w:t xml:space="preserve"> influenzae </w:t>
      </w:r>
    </w:p>
    <w:p w14:paraId="79E545A6" w14:textId="77777777" w:rsidR="009C646A" w:rsidRPr="004C7F1E" w:rsidRDefault="009C646A" w:rsidP="00384190">
      <w:pPr>
        <w:ind w:left="851"/>
        <w:rPr>
          <w:i/>
          <w:sz w:val="24"/>
          <w:szCs w:val="24"/>
        </w:rPr>
      </w:pPr>
      <w:r w:rsidRPr="004C7F1E">
        <w:rPr>
          <w:i/>
          <w:sz w:val="24"/>
          <w:szCs w:val="24"/>
        </w:rPr>
        <w:t xml:space="preserve">Klebsiella </w:t>
      </w:r>
      <w:r w:rsidRPr="004C7F1E">
        <w:rPr>
          <w:sz w:val="24"/>
          <w:szCs w:val="24"/>
        </w:rPr>
        <w:t>spp.</w:t>
      </w:r>
      <w:r w:rsidRPr="004C7F1E">
        <w:rPr>
          <w:i/>
          <w:sz w:val="24"/>
          <w:szCs w:val="24"/>
        </w:rPr>
        <w:t xml:space="preserve"> </w:t>
      </w:r>
    </w:p>
    <w:p w14:paraId="6BADEE35" w14:textId="77777777" w:rsidR="009C646A" w:rsidRPr="004C7F1E" w:rsidRDefault="009C646A" w:rsidP="00384190">
      <w:pPr>
        <w:ind w:left="851"/>
        <w:rPr>
          <w:i/>
          <w:sz w:val="24"/>
          <w:szCs w:val="24"/>
        </w:rPr>
      </w:pPr>
      <w:r w:rsidRPr="004C7F1E">
        <w:rPr>
          <w:i/>
          <w:sz w:val="24"/>
          <w:szCs w:val="24"/>
        </w:rPr>
        <w:t xml:space="preserve">Pseudomonas aeruginosa </w:t>
      </w:r>
    </w:p>
    <w:p w14:paraId="0A985FAB" w14:textId="77777777" w:rsidR="009C646A" w:rsidRPr="004C7F1E" w:rsidRDefault="009C646A" w:rsidP="00384190">
      <w:pPr>
        <w:ind w:left="851"/>
        <w:rPr>
          <w:i/>
          <w:sz w:val="24"/>
          <w:szCs w:val="24"/>
        </w:rPr>
      </w:pPr>
    </w:p>
    <w:p w14:paraId="129AD2B4" w14:textId="77777777" w:rsidR="009C646A" w:rsidRPr="00384190" w:rsidRDefault="009C646A" w:rsidP="00384190">
      <w:pPr>
        <w:ind w:left="851"/>
        <w:rPr>
          <w:b/>
          <w:sz w:val="24"/>
          <w:szCs w:val="24"/>
        </w:rPr>
      </w:pPr>
      <w:r w:rsidRPr="00384190">
        <w:rPr>
          <w:b/>
          <w:sz w:val="24"/>
          <w:szCs w:val="24"/>
        </w:rPr>
        <w:t>Andre mikroorganismer</w:t>
      </w:r>
    </w:p>
    <w:p w14:paraId="589203FA" w14:textId="77777777" w:rsidR="009C646A" w:rsidRPr="00384190" w:rsidRDefault="009C646A" w:rsidP="00384190">
      <w:pPr>
        <w:ind w:left="851"/>
        <w:rPr>
          <w:i/>
          <w:sz w:val="24"/>
          <w:szCs w:val="24"/>
        </w:rPr>
      </w:pPr>
      <w:proofErr w:type="spellStart"/>
      <w:r w:rsidRPr="00384190">
        <w:rPr>
          <w:i/>
          <w:sz w:val="24"/>
          <w:szCs w:val="24"/>
        </w:rPr>
        <w:t>Ureaplasma</w:t>
      </w:r>
      <w:proofErr w:type="spellEnd"/>
      <w:r w:rsidRPr="00384190">
        <w:rPr>
          <w:i/>
          <w:sz w:val="24"/>
          <w:szCs w:val="24"/>
        </w:rPr>
        <w:t xml:space="preserve"> </w:t>
      </w:r>
      <w:proofErr w:type="spellStart"/>
      <w:r w:rsidRPr="00384190">
        <w:rPr>
          <w:i/>
          <w:sz w:val="24"/>
          <w:szCs w:val="24"/>
        </w:rPr>
        <w:t>urealyticum</w:t>
      </w:r>
      <w:proofErr w:type="spellEnd"/>
    </w:p>
    <w:p w14:paraId="74AF7DAF" w14:textId="77777777" w:rsidR="009C646A" w:rsidRPr="00384190" w:rsidRDefault="009C646A" w:rsidP="00384190">
      <w:pPr>
        <w:ind w:left="851"/>
        <w:rPr>
          <w:i/>
          <w:sz w:val="24"/>
          <w:szCs w:val="24"/>
        </w:rPr>
      </w:pPr>
      <w:proofErr w:type="spellStart"/>
      <w:r w:rsidRPr="00384190">
        <w:rPr>
          <w:i/>
          <w:sz w:val="24"/>
          <w:szCs w:val="24"/>
        </w:rPr>
        <w:t>Mycoplasma</w:t>
      </w:r>
      <w:proofErr w:type="spellEnd"/>
      <w:r w:rsidRPr="00384190">
        <w:rPr>
          <w:i/>
          <w:sz w:val="24"/>
          <w:szCs w:val="24"/>
        </w:rPr>
        <w:t xml:space="preserve"> </w:t>
      </w:r>
      <w:proofErr w:type="spellStart"/>
      <w:r w:rsidRPr="00384190">
        <w:rPr>
          <w:i/>
          <w:sz w:val="24"/>
          <w:szCs w:val="24"/>
        </w:rPr>
        <w:t>pneumoniae</w:t>
      </w:r>
      <w:proofErr w:type="spellEnd"/>
    </w:p>
    <w:p w14:paraId="2B2F6382" w14:textId="77777777" w:rsidR="009260DE" w:rsidRPr="00384190" w:rsidRDefault="009260DE" w:rsidP="009260DE">
      <w:pPr>
        <w:tabs>
          <w:tab w:val="left" w:pos="851"/>
        </w:tabs>
        <w:ind w:left="851"/>
        <w:rPr>
          <w:sz w:val="24"/>
          <w:szCs w:val="24"/>
        </w:rPr>
      </w:pPr>
    </w:p>
    <w:p w14:paraId="54092F24" w14:textId="77777777" w:rsidR="009260DE" w:rsidRPr="00384190" w:rsidRDefault="009260DE" w:rsidP="009260DE">
      <w:pPr>
        <w:tabs>
          <w:tab w:val="left" w:pos="851"/>
        </w:tabs>
        <w:ind w:left="851" w:hanging="851"/>
        <w:rPr>
          <w:b/>
          <w:sz w:val="24"/>
          <w:szCs w:val="24"/>
        </w:rPr>
      </w:pPr>
      <w:r w:rsidRPr="00384190">
        <w:rPr>
          <w:b/>
          <w:sz w:val="24"/>
          <w:szCs w:val="24"/>
        </w:rPr>
        <w:t>5.2</w:t>
      </w:r>
      <w:r w:rsidRPr="00384190">
        <w:rPr>
          <w:b/>
          <w:sz w:val="24"/>
          <w:szCs w:val="24"/>
        </w:rPr>
        <w:tab/>
      </w:r>
      <w:proofErr w:type="spellStart"/>
      <w:r w:rsidRPr="00384190">
        <w:rPr>
          <w:b/>
          <w:sz w:val="24"/>
          <w:szCs w:val="24"/>
        </w:rPr>
        <w:t>Farmakokinetiske</w:t>
      </w:r>
      <w:proofErr w:type="spellEnd"/>
      <w:r w:rsidRPr="00384190">
        <w:rPr>
          <w:b/>
          <w:sz w:val="24"/>
          <w:szCs w:val="24"/>
        </w:rPr>
        <w:t xml:space="preserve"> egenskaber</w:t>
      </w:r>
    </w:p>
    <w:p w14:paraId="20D3492C" w14:textId="77777777" w:rsidR="00384190" w:rsidRDefault="00384190" w:rsidP="00384190">
      <w:pPr>
        <w:ind w:left="851"/>
        <w:rPr>
          <w:sz w:val="24"/>
          <w:szCs w:val="24"/>
        </w:rPr>
      </w:pPr>
    </w:p>
    <w:p w14:paraId="2EAEFA4B" w14:textId="209F7835" w:rsidR="009C646A" w:rsidRPr="00384190" w:rsidRDefault="009C646A" w:rsidP="00384190">
      <w:pPr>
        <w:ind w:left="851"/>
        <w:rPr>
          <w:sz w:val="24"/>
          <w:szCs w:val="24"/>
          <w:u w:val="single"/>
        </w:rPr>
      </w:pPr>
      <w:r w:rsidRPr="00384190">
        <w:rPr>
          <w:sz w:val="24"/>
          <w:szCs w:val="24"/>
          <w:u w:val="single"/>
        </w:rPr>
        <w:t>Absorption</w:t>
      </w:r>
    </w:p>
    <w:p w14:paraId="09C4EC16" w14:textId="77777777" w:rsidR="009C646A" w:rsidRPr="00384190" w:rsidRDefault="009C646A" w:rsidP="00384190">
      <w:pPr>
        <w:ind w:left="851"/>
        <w:rPr>
          <w:sz w:val="24"/>
          <w:szCs w:val="24"/>
        </w:rPr>
      </w:pPr>
      <w:r w:rsidRPr="00384190">
        <w:rPr>
          <w:sz w:val="24"/>
          <w:szCs w:val="24"/>
        </w:rPr>
        <w:t xml:space="preserve">Efter intramuskulær injektion af 600 mg </w:t>
      </w:r>
      <w:proofErr w:type="spellStart"/>
      <w:r w:rsidRPr="00384190">
        <w:rPr>
          <w:sz w:val="24"/>
          <w:szCs w:val="24"/>
        </w:rPr>
        <w:t>clindamycinphosphat</w:t>
      </w:r>
      <w:proofErr w:type="spellEnd"/>
      <w:r w:rsidRPr="00384190">
        <w:rPr>
          <w:sz w:val="24"/>
          <w:szCs w:val="24"/>
        </w:rPr>
        <w:t xml:space="preserve"> blev der observeret maksimal serumkoncentration af </w:t>
      </w:r>
      <w:proofErr w:type="spellStart"/>
      <w:r w:rsidRPr="00384190">
        <w:rPr>
          <w:sz w:val="24"/>
          <w:szCs w:val="24"/>
        </w:rPr>
        <w:t>clindamycin</w:t>
      </w:r>
      <w:proofErr w:type="spellEnd"/>
      <w:r w:rsidRPr="00384190">
        <w:rPr>
          <w:sz w:val="24"/>
          <w:szCs w:val="24"/>
        </w:rPr>
        <w:t xml:space="preserve">, som varierede mellem 5 og 10 µg/ml i en </w:t>
      </w:r>
      <w:r w:rsidRPr="00384190">
        <w:rPr>
          <w:sz w:val="24"/>
          <w:szCs w:val="24"/>
        </w:rPr>
        <w:lastRenderedPageBreak/>
        <w:t xml:space="preserve">periode på 1 til 4 timer efter administration. Efter en intravenøs </w:t>
      </w:r>
      <w:bookmarkStart w:id="8" w:name="_Hlk90027447"/>
      <w:r w:rsidRPr="00384190">
        <w:rPr>
          <w:sz w:val="24"/>
          <w:szCs w:val="24"/>
        </w:rPr>
        <w:t xml:space="preserve">infusion </w:t>
      </w:r>
      <w:bookmarkEnd w:id="8"/>
      <w:r w:rsidRPr="00384190">
        <w:rPr>
          <w:sz w:val="24"/>
          <w:szCs w:val="24"/>
        </w:rPr>
        <w:t>af 300 mg på 10 minutter og 600 mg på 20 minutter er den maksimale serumkoncentration ved infusionens afslutning på hhv. 7 µg/ml og 10 µg/ml.</w:t>
      </w:r>
    </w:p>
    <w:p w14:paraId="62A1BD7D" w14:textId="77777777" w:rsidR="009C646A" w:rsidRPr="00384190" w:rsidRDefault="009C646A" w:rsidP="00384190">
      <w:pPr>
        <w:ind w:left="851"/>
        <w:rPr>
          <w:sz w:val="24"/>
          <w:szCs w:val="24"/>
        </w:rPr>
      </w:pPr>
    </w:p>
    <w:p w14:paraId="71EF58C5" w14:textId="77777777" w:rsidR="009C646A" w:rsidRPr="00384190" w:rsidRDefault="009C646A" w:rsidP="00384190">
      <w:pPr>
        <w:ind w:left="851"/>
        <w:rPr>
          <w:bCs/>
          <w:sz w:val="24"/>
          <w:szCs w:val="24"/>
        </w:rPr>
      </w:pPr>
      <w:proofErr w:type="spellStart"/>
      <w:r w:rsidRPr="00384190">
        <w:rPr>
          <w:sz w:val="24"/>
          <w:szCs w:val="24"/>
        </w:rPr>
        <w:t>Clindamycins</w:t>
      </w:r>
      <w:proofErr w:type="spellEnd"/>
      <w:r w:rsidRPr="00384190">
        <w:rPr>
          <w:sz w:val="24"/>
          <w:szCs w:val="24"/>
        </w:rPr>
        <w:t xml:space="preserve"> serumkoncentration kan holdes over den mindste hæmmende koncentration </w:t>
      </w:r>
      <w:r w:rsidRPr="00384190">
        <w:rPr>
          <w:i/>
          <w:sz w:val="24"/>
          <w:szCs w:val="24"/>
        </w:rPr>
        <w:t xml:space="preserve">in </w:t>
      </w:r>
      <w:proofErr w:type="spellStart"/>
      <w:r w:rsidRPr="00384190">
        <w:rPr>
          <w:i/>
          <w:sz w:val="24"/>
          <w:szCs w:val="24"/>
        </w:rPr>
        <w:t>vitro</w:t>
      </w:r>
      <w:proofErr w:type="spellEnd"/>
      <w:r w:rsidRPr="00384190">
        <w:rPr>
          <w:sz w:val="24"/>
          <w:szCs w:val="24"/>
        </w:rPr>
        <w:t xml:space="preserve"> for de fleste følsomme mikroorganismer ved </w:t>
      </w:r>
      <w:proofErr w:type="spellStart"/>
      <w:r w:rsidRPr="00384190">
        <w:rPr>
          <w:sz w:val="24"/>
          <w:szCs w:val="24"/>
        </w:rPr>
        <w:t>i.v</w:t>
      </w:r>
      <w:proofErr w:type="spellEnd"/>
      <w:r w:rsidRPr="00384190">
        <w:rPr>
          <w:sz w:val="24"/>
          <w:szCs w:val="24"/>
        </w:rPr>
        <w:t xml:space="preserve">.-administration af </w:t>
      </w:r>
      <w:proofErr w:type="spellStart"/>
      <w:r w:rsidRPr="00384190">
        <w:rPr>
          <w:sz w:val="24"/>
          <w:szCs w:val="24"/>
        </w:rPr>
        <w:t>clindamycinphosphat</w:t>
      </w:r>
      <w:proofErr w:type="spellEnd"/>
      <w:r w:rsidRPr="00384190">
        <w:rPr>
          <w:sz w:val="24"/>
          <w:szCs w:val="24"/>
        </w:rPr>
        <w:t xml:space="preserve"> hver 8. til 12. time hos voksne og hver 6. til 8. time hos børn over 3 år. Der opnås et konstant niveau efter den tredje dosis.</w:t>
      </w:r>
    </w:p>
    <w:p w14:paraId="062D8125" w14:textId="77777777" w:rsidR="009C646A" w:rsidRPr="00384190" w:rsidRDefault="009C646A" w:rsidP="00384190">
      <w:pPr>
        <w:ind w:left="851"/>
        <w:rPr>
          <w:sz w:val="24"/>
          <w:szCs w:val="24"/>
        </w:rPr>
      </w:pPr>
    </w:p>
    <w:p w14:paraId="1AC01A6C" w14:textId="77777777" w:rsidR="009C646A" w:rsidRPr="00384190" w:rsidRDefault="009C646A" w:rsidP="00384190">
      <w:pPr>
        <w:ind w:left="851"/>
        <w:rPr>
          <w:sz w:val="24"/>
          <w:szCs w:val="24"/>
          <w:u w:val="single"/>
        </w:rPr>
      </w:pPr>
      <w:r w:rsidRPr="00384190">
        <w:rPr>
          <w:sz w:val="24"/>
          <w:szCs w:val="24"/>
          <w:u w:val="single"/>
        </w:rPr>
        <w:t>Fordeling</w:t>
      </w:r>
    </w:p>
    <w:p w14:paraId="56C25AA1" w14:textId="77777777" w:rsidR="009C646A" w:rsidRPr="00384190" w:rsidRDefault="009C646A" w:rsidP="00384190">
      <w:pPr>
        <w:ind w:left="851"/>
        <w:rPr>
          <w:sz w:val="24"/>
          <w:szCs w:val="24"/>
        </w:rPr>
      </w:pPr>
      <w:r w:rsidRPr="00384190">
        <w:rPr>
          <w:sz w:val="24"/>
          <w:szCs w:val="24"/>
        </w:rPr>
        <w:t xml:space="preserve">Proteinbindingen er mellem 40 % og 94 %. </w:t>
      </w:r>
      <w:proofErr w:type="spellStart"/>
      <w:r w:rsidRPr="00384190">
        <w:rPr>
          <w:sz w:val="24"/>
          <w:szCs w:val="24"/>
        </w:rPr>
        <w:t>Clindamycin</w:t>
      </w:r>
      <w:proofErr w:type="spellEnd"/>
      <w:r w:rsidRPr="00384190">
        <w:rPr>
          <w:sz w:val="24"/>
          <w:szCs w:val="24"/>
        </w:rPr>
        <w:t xml:space="preserve"> penetrerer godt til forskellige væv og er således et alternativ ved svært tilgængelige </w:t>
      </w:r>
      <w:proofErr w:type="spellStart"/>
      <w:r w:rsidRPr="00384190">
        <w:rPr>
          <w:sz w:val="24"/>
          <w:szCs w:val="24"/>
        </w:rPr>
        <w:t>infektionsfoci</w:t>
      </w:r>
      <w:proofErr w:type="spellEnd"/>
      <w:r w:rsidRPr="00384190">
        <w:rPr>
          <w:sz w:val="24"/>
          <w:szCs w:val="24"/>
        </w:rPr>
        <w:t xml:space="preserve"> såsom bløddelsinfektioner samt akut og kronisk </w:t>
      </w:r>
      <w:proofErr w:type="spellStart"/>
      <w:r w:rsidRPr="00384190">
        <w:rPr>
          <w:sz w:val="24"/>
          <w:szCs w:val="24"/>
        </w:rPr>
        <w:t>osteomyelit</w:t>
      </w:r>
      <w:proofErr w:type="spellEnd"/>
      <w:r w:rsidRPr="00384190">
        <w:rPr>
          <w:sz w:val="24"/>
          <w:szCs w:val="24"/>
        </w:rPr>
        <w:t xml:space="preserve">. Ca. 40 % (20-75 %) af serumkoncentration opnås i knoglevæv, 50-100 % i modermælk, 50 % i </w:t>
      </w:r>
      <w:proofErr w:type="spellStart"/>
      <w:r w:rsidRPr="00384190">
        <w:rPr>
          <w:sz w:val="24"/>
          <w:szCs w:val="24"/>
        </w:rPr>
        <w:t>synovialvæske</w:t>
      </w:r>
      <w:proofErr w:type="spellEnd"/>
      <w:r w:rsidRPr="00384190">
        <w:rPr>
          <w:sz w:val="24"/>
          <w:szCs w:val="24"/>
        </w:rPr>
        <w:t xml:space="preserve">, 30-75 % i </w:t>
      </w:r>
      <w:proofErr w:type="spellStart"/>
      <w:r w:rsidRPr="00384190">
        <w:rPr>
          <w:sz w:val="24"/>
          <w:szCs w:val="24"/>
        </w:rPr>
        <w:t>ekspektorationer</w:t>
      </w:r>
      <w:proofErr w:type="spellEnd"/>
      <w:r w:rsidRPr="00384190">
        <w:rPr>
          <w:sz w:val="24"/>
          <w:szCs w:val="24"/>
        </w:rPr>
        <w:t xml:space="preserve">, 50 % i </w:t>
      </w:r>
      <w:proofErr w:type="spellStart"/>
      <w:r w:rsidRPr="00384190">
        <w:rPr>
          <w:sz w:val="24"/>
          <w:szCs w:val="24"/>
        </w:rPr>
        <w:t>peritonealvæske</w:t>
      </w:r>
      <w:proofErr w:type="spellEnd"/>
      <w:r w:rsidRPr="00384190">
        <w:rPr>
          <w:sz w:val="24"/>
          <w:szCs w:val="24"/>
        </w:rPr>
        <w:t xml:space="preserve">, 40 % i fosterblod, 30 % i pus, 50-90 % i pleuravæske. </w:t>
      </w:r>
      <w:proofErr w:type="spellStart"/>
      <w:r w:rsidRPr="00384190">
        <w:rPr>
          <w:sz w:val="24"/>
          <w:szCs w:val="24"/>
        </w:rPr>
        <w:t>Clindamycin</w:t>
      </w:r>
      <w:proofErr w:type="spellEnd"/>
      <w:r w:rsidRPr="00384190">
        <w:rPr>
          <w:sz w:val="24"/>
          <w:szCs w:val="24"/>
        </w:rPr>
        <w:t xml:space="preserve"> trænger dog ikke ind i cerebrospinalvæsken, selv i tilfælde af meningitis.</w:t>
      </w:r>
    </w:p>
    <w:p w14:paraId="791BB192" w14:textId="77777777" w:rsidR="009C646A" w:rsidRPr="00384190" w:rsidRDefault="009C646A" w:rsidP="00384190">
      <w:pPr>
        <w:ind w:left="851"/>
        <w:rPr>
          <w:sz w:val="24"/>
          <w:szCs w:val="24"/>
        </w:rPr>
      </w:pPr>
      <w:r w:rsidRPr="00384190">
        <w:rPr>
          <w:sz w:val="24"/>
          <w:szCs w:val="24"/>
        </w:rPr>
        <w:t>Efter flere doser var fostervandskoncentrationerne cirka 30 % af moderens blodkoncentrationer.</w:t>
      </w:r>
    </w:p>
    <w:p w14:paraId="36781B23" w14:textId="77777777" w:rsidR="009C646A" w:rsidRPr="00384190" w:rsidRDefault="009C646A" w:rsidP="00384190">
      <w:pPr>
        <w:ind w:left="851"/>
        <w:rPr>
          <w:sz w:val="24"/>
          <w:szCs w:val="24"/>
        </w:rPr>
      </w:pPr>
    </w:p>
    <w:p w14:paraId="38B5D32D" w14:textId="77777777" w:rsidR="009C646A" w:rsidRPr="00384190" w:rsidRDefault="009C646A" w:rsidP="00384190">
      <w:pPr>
        <w:ind w:left="851"/>
        <w:rPr>
          <w:sz w:val="24"/>
          <w:szCs w:val="24"/>
          <w:u w:val="single"/>
        </w:rPr>
      </w:pPr>
      <w:r w:rsidRPr="00384190">
        <w:rPr>
          <w:sz w:val="24"/>
          <w:szCs w:val="24"/>
          <w:u w:val="single"/>
        </w:rPr>
        <w:t>Biotransformation</w:t>
      </w:r>
    </w:p>
    <w:p w14:paraId="32732770" w14:textId="77777777" w:rsidR="009C646A" w:rsidRPr="00384190" w:rsidRDefault="009C646A" w:rsidP="00384190">
      <w:pPr>
        <w:ind w:left="851"/>
        <w:rPr>
          <w:sz w:val="24"/>
          <w:szCs w:val="24"/>
        </w:rPr>
      </w:pPr>
      <w:r w:rsidRPr="00384190">
        <w:rPr>
          <w:i/>
          <w:iCs/>
          <w:sz w:val="24"/>
          <w:szCs w:val="24"/>
        </w:rPr>
        <w:t xml:space="preserve">In </w:t>
      </w:r>
      <w:proofErr w:type="spellStart"/>
      <w:r w:rsidRPr="00384190">
        <w:rPr>
          <w:i/>
          <w:iCs/>
          <w:sz w:val="24"/>
          <w:szCs w:val="24"/>
        </w:rPr>
        <w:t>vitro</w:t>
      </w:r>
      <w:proofErr w:type="spellEnd"/>
      <w:r w:rsidRPr="00384190">
        <w:rPr>
          <w:sz w:val="24"/>
          <w:szCs w:val="24"/>
        </w:rPr>
        <w:t xml:space="preserve">-forsøg med human lever og </w:t>
      </w:r>
      <w:proofErr w:type="spellStart"/>
      <w:r w:rsidRPr="00384190">
        <w:rPr>
          <w:sz w:val="24"/>
          <w:szCs w:val="24"/>
        </w:rPr>
        <w:t>intestinalmikrosomer</w:t>
      </w:r>
      <w:proofErr w:type="spellEnd"/>
      <w:r w:rsidRPr="00384190">
        <w:rPr>
          <w:sz w:val="24"/>
          <w:szCs w:val="24"/>
        </w:rPr>
        <w:t xml:space="preserve"> indikerede, at </w:t>
      </w:r>
      <w:proofErr w:type="spellStart"/>
      <w:r w:rsidRPr="00384190">
        <w:rPr>
          <w:sz w:val="24"/>
          <w:szCs w:val="24"/>
        </w:rPr>
        <w:t>clindamycin</w:t>
      </w:r>
      <w:proofErr w:type="spellEnd"/>
      <w:r w:rsidRPr="00384190">
        <w:rPr>
          <w:sz w:val="24"/>
          <w:szCs w:val="24"/>
        </w:rPr>
        <w:t xml:space="preserve"> primært oxideres af CYP3A4 og i mindre grad af CYP3A5, som danner </w:t>
      </w:r>
      <w:proofErr w:type="spellStart"/>
      <w:r w:rsidRPr="00384190">
        <w:rPr>
          <w:sz w:val="24"/>
          <w:szCs w:val="24"/>
        </w:rPr>
        <w:t>clindamycinsulfoxid</w:t>
      </w:r>
      <w:proofErr w:type="spellEnd"/>
      <w:r w:rsidRPr="00384190">
        <w:rPr>
          <w:sz w:val="24"/>
          <w:szCs w:val="24"/>
        </w:rPr>
        <w:t xml:space="preserve"> og en sekundær metabolit N-</w:t>
      </w:r>
      <w:proofErr w:type="spellStart"/>
      <w:r w:rsidRPr="00384190">
        <w:rPr>
          <w:sz w:val="24"/>
          <w:szCs w:val="24"/>
        </w:rPr>
        <w:t>desmethylclindamycin</w:t>
      </w:r>
      <w:proofErr w:type="spellEnd"/>
      <w:r w:rsidRPr="00384190">
        <w:rPr>
          <w:sz w:val="24"/>
          <w:szCs w:val="24"/>
        </w:rPr>
        <w:t>.</w:t>
      </w:r>
    </w:p>
    <w:p w14:paraId="06BCAF1C" w14:textId="77777777" w:rsidR="009C646A" w:rsidRPr="00384190" w:rsidRDefault="009C646A" w:rsidP="00384190">
      <w:pPr>
        <w:ind w:left="851"/>
        <w:rPr>
          <w:sz w:val="24"/>
          <w:szCs w:val="24"/>
        </w:rPr>
      </w:pPr>
      <w:proofErr w:type="spellStart"/>
      <w:r w:rsidRPr="00384190">
        <w:rPr>
          <w:sz w:val="24"/>
          <w:szCs w:val="24"/>
        </w:rPr>
        <w:t>Clindamycins</w:t>
      </w:r>
      <w:proofErr w:type="spellEnd"/>
      <w:r w:rsidRPr="00384190">
        <w:rPr>
          <w:sz w:val="24"/>
          <w:szCs w:val="24"/>
        </w:rPr>
        <w:t xml:space="preserve"> plasmahalveringstid er 2,4 timer. Hos patienter med nyreinsufficiens og moderat til svær leverinsufficiens forlænges halveringstiden.</w:t>
      </w:r>
    </w:p>
    <w:p w14:paraId="0F967A39" w14:textId="77777777" w:rsidR="009C646A" w:rsidRPr="00384190" w:rsidRDefault="009C646A" w:rsidP="00384190">
      <w:pPr>
        <w:ind w:left="851"/>
        <w:rPr>
          <w:sz w:val="24"/>
          <w:szCs w:val="24"/>
        </w:rPr>
      </w:pPr>
    </w:p>
    <w:p w14:paraId="1ADBA743" w14:textId="77777777" w:rsidR="009C646A" w:rsidRPr="00384190" w:rsidRDefault="009C646A" w:rsidP="00384190">
      <w:pPr>
        <w:ind w:left="851"/>
        <w:rPr>
          <w:sz w:val="24"/>
          <w:szCs w:val="24"/>
          <w:u w:val="single"/>
        </w:rPr>
      </w:pPr>
      <w:r w:rsidRPr="00384190">
        <w:rPr>
          <w:sz w:val="24"/>
          <w:szCs w:val="24"/>
          <w:u w:val="single"/>
        </w:rPr>
        <w:t>Elimination</w:t>
      </w:r>
    </w:p>
    <w:p w14:paraId="77AC84E9" w14:textId="77777777" w:rsidR="009C646A" w:rsidRPr="00384190" w:rsidRDefault="009C646A" w:rsidP="00384190">
      <w:pPr>
        <w:ind w:left="851"/>
        <w:rPr>
          <w:sz w:val="24"/>
          <w:szCs w:val="24"/>
        </w:rPr>
      </w:pPr>
      <w:r w:rsidRPr="00384190">
        <w:rPr>
          <w:sz w:val="24"/>
          <w:szCs w:val="24"/>
        </w:rPr>
        <w:t>Efter parenteral administration udskilles ca. 15 % af den administrerede dosis i urinen. Udskillelse sker hovedsageligt via galde og fæces som biologisk inaktive metabolitter.</w:t>
      </w:r>
    </w:p>
    <w:p w14:paraId="3073DB1A" w14:textId="77777777" w:rsidR="009C646A" w:rsidRPr="00384190" w:rsidRDefault="009C646A" w:rsidP="00384190">
      <w:pPr>
        <w:ind w:left="851"/>
        <w:rPr>
          <w:bCs/>
          <w:sz w:val="24"/>
          <w:szCs w:val="24"/>
        </w:rPr>
      </w:pPr>
      <w:r w:rsidRPr="00384190">
        <w:rPr>
          <w:sz w:val="24"/>
          <w:szCs w:val="24"/>
        </w:rPr>
        <w:t xml:space="preserve">Hæmodialyse og </w:t>
      </w:r>
      <w:proofErr w:type="spellStart"/>
      <w:r w:rsidRPr="00384190">
        <w:rPr>
          <w:sz w:val="24"/>
          <w:szCs w:val="24"/>
        </w:rPr>
        <w:t>peritonealdialyse</w:t>
      </w:r>
      <w:proofErr w:type="spellEnd"/>
      <w:r w:rsidRPr="00384190">
        <w:rPr>
          <w:sz w:val="24"/>
          <w:szCs w:val="24"/>
        </w:rPr>
        <w:t xml:space="preserve"> er ikke effektive behandlingsmetoder til at fjerne </w:t>
      </w:r>
      <w:proofErr w:type="spellStart"/>
      <w:r w:rsidRPr="00384190">
        <w:rPr>
          <w:sz w:val="24"/>
          <w:szCs w:val="24"/>
        </w:rPr>
        <w:t>clindamycin</w:t>
      </w:r>
      <w:proofErr w:type="spellEnd"/>
      <w:r w:rsidRPr="00384190">
        <w:rPr>
          <w:sz w:val="24"/>
          <w:szCs w:val="24"/>
        </w:rPr>
        <w:t xml:space="preserve"> fra serum.</w:t>
      </w:r>
    </w:p>
    <w:p w14:paraId="67A9430B" w14:textId="77777777" w:rsidR="009C646A" w:rsidRPr="00384190" w:rsidRDefault="009C646A" w:rsidP="00384190">
      <w:pPr>
        <w:ind w:left="851"/>
        <w:rPr>
          <w:bCs/>
          <w:sz w:val="24"/>
          <w:szCs w:val="24"/>
        </w:rPr>
      </w:pPr>
    </w:p>
    <w:p w14:paraId="637DEB97" w14:textId="77777777" w:rsidR="009C646A" w:rsidRPr="00384190" w:rsidRDefault="009C646A" w:rsidP="00384190">
      <w:pPr>
        <w:ind w:left="851"/>
        <w:rPr>
          <w:iCs/>
          <w:sz w:val="24"/>
          <w:szCs w:val="24"/>
          <w:u w:val="single"/>
        </w:rPr>
      </w:pPr>
      <w:r w:rsidRPr="00384190">
        <w:rPr>
          <w:sz w:val="24"/>
          <w:szCs w:val="24"/>
          <w:u w:val="single"/>
        </w:rPr>
        <w:t>Linearitet/non-linearitet</w:t>
      </w:r>
    </w:p>
    <w:p w14:paraId="70C3DD97" w14:textId="77777777" w:rsidR="009C646A" w:rsidRPr="00384190" w:rsidRDefault="009C646A" w:rsidP="00384190">
      <w:pPr>
        <w:ind w:left="851"/>
        <w:rPr>
          <w:bCs/>
          <w:color w:val="000000"/>
          <w:sz w:val="24"/>
          <w:szCs w:val="24"/>
        </w:rPr>
      </w:pPr>
      <w:proofErr w:type="spellStart"/>
      <w:r w:rsidRPr="00384190">
        <w:rPr>
          <w:sz w:val="24"/>
          <w:szCs w:val="24"/>
        </w:rPr>
        <w:t>Clindamycins</w:t>
      </w:r>
      <w:proofErr w:type="spellEnd"/>
      <w:r w:rsidRPr="00384190">
        <w:rPr>
          <w:sz w:val="24"/>
          <w:szCs w:val="24"/>
        </w:rPr>
        <w:t xml:space="preserve"> serumkoncentration stiger lineært med stigende dosis.</w:t>
      </w:r>
    </w:p>
    <w:p w14:paraId="2518CC9D" w14:textId="77777777" w:rsidR="009C646A" w:rsidRPr="00384190" w:rsidRDefault="009C646A" w:rsidP="00384190">
      <w:pPr>
        <w:ind w:left="851"/>
        <w:rPr>
          <w:bCs/>
          <w:sz w:val="24"/>
          <w:szCs w:val="24"/>
        </w:rPr>
      </w:pPr>
    </w:p>
    <w:p w14:paraId="436E6619" w14:textId="77777777" w:rsidR="009C646A" w:rsidRPr="00384190" w:rsidRDefault="009C646A" w:rsidP="00384190">
      <w:pPr>
        <w:ind w:left="851"/>
        <w:rPr>
          <w:bCs/>
          <w:sz w:val="24"/>
          <w:szCs w:val="24"/>
          <w:u w:val="single"/>
        </w:rPr>
      </w:pPr>
      <w:r w:rsidRPr="00384190">
        <w:rPr>
          <w:sz w:val="24"/>
          <w:szCs w:val="24"/>
          <w:u w:val="single"/>
        </w:rPr>
        <w:t>Særlige populationer</w:t>
      </w:r>
    </w:p>
    <w:p w14:paraId="7D4F965C" w14:textId="77777777" w:rsidR="009C646A" w:rsidRPr="00384190" w:rsidRDefault="009C646A" w:rsidP="00384190">
      <w:pPr>
        <w:ind w:left="851"/>
        <w:rPr>
          <w:sz w:val="24"/>
          <w:szCs w:val="24"/>
        </w:rPr>
      </w:pPr>
      <w:bookmarkStart w:id="9" w:name="_Hlk148362022"/>
      <w:r w:rsidRPr="00384190">
        <w:rPr>
          <w:i/>
          <w:sz w:val="24"/>
          <w:szCs w:val="24"/>
        </w:rPr>
        <w:t xml:space="preserve">Adipøse pædiatriske patienter i alderen 2 til </w:t>
      </w:r>
      <w:r w:rsidRPr="00384190">
        <w:rPr>
          <w:sz w:val="24"/>
          <w:szCs w:val="24"/>
        </w:rPr>
        <w:t>&lt; </w:t>
      </w:r>
      <w:r w:rsidRPr="00384190">
        <w:rPr>
          <w:i/>
          <w:sz w:val="24"/>
          <w:szCs w:val="24"/>
        </w:rPr>
        <w:t>18 år og adipøse voksne i alderen 18 til 20 år</w:t>
      </w:r>
    </w:p>
    <w:p w14:paraId="714839FC" w14:textId="77777777" w:rsidR="009C646A" w:rsidRPr="00384190" w:rsidRDefault="009C646A" w:rsidP="00384190">
      <w:pPr>
        <w:ind w:left="851"/>
        <w:rPr>
          <w:bCs/>
          <w:sz w:val="24"/>
          <w:szCs w:val="24"/>
        </w:rPr>
      </w:pPr>
      <w:proofErr w:type="spellStart"/>
      <w:r w:rsidRPr="00384190">
        <w:rPr>
          <w:sz w:val="24"/>
          <w:szCs w:val="24"/>
        </w:rPr>
        <w:t>Farmakokinetiske</w:t>
      </w:r>
      <w:proofErr w:type="spellEnd"/>
      <w:r w:rsidRPr="00384190">
        <w:rPr>
          <w:sz w:val="24"/>
          <w:szCs w:val="24"/>
        </w:rPr>
        <w:t xml:space="preserve"> undersøgelser af adipøse pædiatriske patienter (2 til &lt; 18 år) og adipøse voksne i alderen 18 til 20 år viser, at </w:t>
      </w:r>
      <w:proofErr w:type="spellStart"/>
      <w:r w:rsidRPr="00384190">
        <w:rPr>
          <w:sz w:val="24"/>
          <w:szCs w:val="24"/>
        </w:rPr>
        <w:t>clindamycin-clearance</w:t>
      </w:r>
      <w:proofErr w:type="spellEnd"/>
      <w:r w:rsidRPr="00384190">
        <w:rPr>
          <w:sz w:val="24"/>
          <w:szCs w:val="24"/>
        </w:rPr>
        <w:t xml:space="preserve"> og fordelingsvolumen, normaliseret for total kropsvægt, er sammenlignelig mellem adipøse og ikke-adipøse patienter.</w:t>
      </w:r>
    </w:p>
    <w:bookmarkEnd w:id="9"/>
    <w:p w14:paraId="7AE56E68" w14:textId="77777777" w:rsidR="009C646A" w:rsidRPr="00384190" w:rsidRDefault="009C646A" w:rsidP="00384190">
      <w:pPr>
        <w:ind w:left="851"/>
        <w:rPr>
          <w:bCs/>
          <w:i/>
          <w:iCs/>
          <w:sz w:val="24"/>
          <w:szCs w:val="24"/>
        </w:rPr>
      </w:pPr>
    </w:p>
    <w:p w14:paraId="4EC98158" w14:textId="77777777" w:rsidR="009C646A" w:rsidRPr="00384190" w:rsidRDefault="009C646A" w:rsidP="00384190">
      <w:pPr>
        <w:ind w:left="851"/>
        <w:rPr>
          <w:bCs/>
          <w:i/>
          <w:iCs/>
          <w:sz w:val="24"/>
          <w:szCs w:val="24"/>
        </w:rPr>
      </w:pPr>
      <w:r w:rsidRPr="00384190">
        <w:rPr>
          <w:i/>
          <w:sz w:val="24"/>
          <w:szCs w:val="24"/>
        </w:rPr>
        <w:t>Ældre</w:t>
      </w:r>
    </w:p>
    <w:p w14:paraId="2373E6A9" w14:textId="007FFEB4" w:rsidR="009C646A" w:rsidRPr="00384190" w:rsidRDefault="009C646A" w:rsidP="00384190">
      <w:pPr>
        <w:ind w:left="851"/>
        <w:rPr>
          <w:bCs/>
          <w:sz w:val="24"/>
          <w:szCs w:val="24"/>
        </w:rPr>
      </w:pPr>
      <w:proofErr w:type="spellStart"/>
      <w:r w:rsidRPr="00384190">
        <w:rPr>
          <w:sz w:val="24"/>
          <w:szCs w:val="24"/>
        </w:rPr>
        <w:t>Farmakokinetiske</w:t>
      </w:r>
      <w:proofErr w:type="spellEnd"/>
      <w:r w:rsidRPr="00384190">
        <w:rPr>
          <w:sz w:val="24"/>
          <w:szCs w:val="24"/>
        </w:rPr>
        <w:t xml:space="preserve"> undersøgelser med ældre forsøgspersoner (61-79 år) og yngre voksne (18-39 år) indikerer, at alder alene ikke ændrer </w:t>
      </w:r>
      <w:proofErr w:type="spellStart"/>
      <w:r w:rsidRPr="00384190">
        <w:rPr>
          <w:sz w:val="24"/>
          <w:szCs w:val="24"/>
        </w:rPr>
        <w:t>clindamycins</w:t>
      </w:r>
      <w:proofErr w:type="spellEnd"/>
      <w:r w:rsidRPr="00384190">
        <w:rPr>
          <w:sz w:val="24"/>
          <w:szCs w:val="24"/>
        </w:rPr>
        <w:t xml:space="preserve"> farmakokinetik (</w:t>
      </w:r>
      <w:proofErr w:type="spellStart"/>
      <w:r w:rsidRPr="00384190">
        <w:rPr>
          <w:sz w:val="24"/>
          <w:szCs w:val="24"/>
        </w:rPr>
        <w:t>clearance</w:t>
      </w:r>
      <w:proofErr w:type="spellEnd"/>
      <w:r w:rsidRPr="00384190">
        <w:rPr>
          <w:sz w:val="24"/>
          <w:szCs w:val="24"/>
        </w:rPr>
        <w:t>, elim</w:t>
      </w:r>
      <w:r w:rsidR="00A94E88">
        <w:rPr>
          <w:sz w:val="24"/>
          <w:szCs w:val="24"/>
        </w:rPr>
        <w:t>in</w:t>
      </w:r>
      <w:r w:rsidRPr="00384190">
        <w:rPr>
          <w:sz w:val="24"/>
          <w:szCs w:val="24"/>
        </w:rPr>
        <w:t xml:space="preserve">ationshalveringstid, fordelingsvolumen og AUC efter </w:t>
      </w:r>
      <w:proofErr w:type="spellStart"/>
      <w:r w:rsidRPr="00384190">
        <w:rPr>
          <w:sz w:val="24"/>
          <w:szCs w:val="24"/>
        </w:rPr>
        <w:t>i.v</w:t>
      </w:r>
      <w:proofErr w:type="spellEnd"/>
      <w:r w:rsidRPr="00384190">
        <w:rPr>
          <w:sz w:val="24"/>
          <w:szCs w:val="24"/>
        </w:rPr>
        <w:t xml:space="preserve">.-administration af </w:t>
      </w:r>
      <w:proofErr w:type="spellStart"/>
      <w:r w:rsidRPr="00384190">
        <w:rPr>
          <w:sz w:val="24"/>
          <w:szCs w:val="24"/>
        </w:rPr>
        <w:t>clindamycin</w:t>
      </w:r>
      <w:proofErr w:type="spellEnd"/>
      <w:r w:rsidRPr="00384190">
        <w:rPr>
          <w:sz w:val="24"/>
          <w:szCs w:val="24"/>
        </w:rPr>
        <w:t>).</w:t>
      </w:r>
    </w:p>
    <w:p w14:paraId="3064A522" w14:textId="77777777" w:rsidR="009C646A" w:rsidRPr="00384190" w:rsidRDefault="009C646A" w:rsidP="00384190">
      <w:pPr>
        <w:ind w:left="851"/>
        <w:rPr>
          <w:i/>
          <w:iCs/>
          <w:sz w:val="24"/>
          <w:szCs w:val="24"/>
        </w:rPr>
      </w:pPr>
    </w:p>
    <w:p w14:paraId="201FC49F" w14:textId="77777777" w:rsidR="009C646A" w:rsidRPr="00384190" w:rsidRDefault="009C646A" w:rsidP="00384190">
      <w:pPr>
        <w:ind w:left="851"/>
        <w:rPr>
          <w:i/>
          <w:iCs/>
          <w:sz w:val="24"/>
          <w:szCs w:val="24"/>
        </w:rPr>
      </w:pPr>
      <w:r w:rsidRPr="00384190">
        <w:rPr>
          <w:i/>
          <w:sz w:val="24"/>
          <w:szCs w:val="24"/>
        </w:rPr>
        <w:t>Nedsat nyrefunktion</w:t>
      </w:r>
    </w:p>
    <w:p w14:paraId="7DC6D53C" w14:textId="77777777" w:rsidR="009C646A" w:rsidRPr="00384190" w:rsidRDefault="009C646A" w:rsidP="00384190">
      <w:pPr>
        <w:ind w:left="851"/>
        <w:rPr>
          <w:sz w:val="24"/>
          <w:szCs w:val="24"/>
        </w:rPr>
      </w:pPr>
      <w:proofErr w:type="spellStart"/>
      <w:r w:rsidRPr="00384190">
        <w:rPr>
          <w:sz w:val="24"/>
          <w:szCs w:val="24"/>
        </w:rPr>
        <w:lastRenderedPageBreak/>
        <w:t>Clindamycins</w:t>
      </w:r>
      <w:proofErr w:type="spellEnd"/>
      <w:r w:rsidRPr="00384190">
        <w:rPr>
          <w:sz w:val="24"/>
          <w:szCs w:val="24"/>
        </w:rPr>
        <w:t xml:space="preserve"> serumhalveringstid er let øget hos patienter med svært nedsat nyrefunktion (se pkt. 4.2).</w:t>
      </w:r>
    </w:p>
    <w:p w14:paraId="7DCD296C" w14:textId="77777777" w:rsidR="009260DE" w:rsidRPr="00384190" w:rsidRDefault="009260DE" w:rsidP="009260DE">
      <w:pPr>
        <w:tabs>
          <w:tab w:val="left" w:pos="851"/>
        </w:tabs>
        <w:ind w:left="851"/>
        <w:rPr>
          <w:sz w:val="24"/>
          <w:szCs w:val="24"/>
        </w:rPr>
      </w:pPr>
    </w:p>
    <w:p w14:paraId="42BB11BD" w14:textId="77777777" w:rsidR="009260DE" w:rsidRPr="00384190" w:rsidRDefault="009260DE" w:rsidP="009260DE">
      <w:pPr>
        <w:tabs>
          <w:tab w:val="left" w:pos="851"/>
        </w:tabs>
        <w:ind w:left="851" w:hanging="851"/>
        <w:rPr>
          <w:b/>
          <w:sz w:val="24"/>
          <w:szCs w:val="24"/>
        </w:rPr>
      </w:pPr>
      <w:r w:rsidRPr="00384190">
        <w:rPr>
          <w:b/>
          <w:sz w:val="24"/>
          <w:szCs w:val="24"/>
        </w:rPr>
        <w:t>5.3</w:t>
      </w:r>
      <w:r w:rsidRPr="00384190">
        <w:rPr>
          <w:b/>
          <w:sz w:val="24"/>
          <w:szCs w:val="24"/>
        </w:rPr>
        <w:tab/>
      </w:r>
      <w:r w:rsidR="00BD7931" w:rsidRPr="00384190">
        <w:rPr>
          <w:b/>
          <w:sz w:val="24"/>
          <w:szCs w:val="24"/>
        </w:rPr>
        <w:t>Non-</w:t>
      </w:r>
      <w:r w:rsidRPr="00384190">
        <w:rPr>
          <w:b/>
          <w:sz w:val="24"/>
          <w:szCs w:val="24"/>
        </w:rPr>
        <w:t>kliniske sikkerhedsdata</w:t>
      </w:r>
    </w:p>
    <w:p w14:paraId="00FB9365" w14:textId="77777777" w:rsidR="009C646A" w:rsidRPr="00384190" w:rsidRDefault="009C646A" w:rsidP="00384190">
      <w:pPr>
        <w:ind w:left="851"/>
        <w:rPr>
          <w:sz w:val="24"/>
          <w:szCs w:val="24"/>
        </w:rPr>
      </w:pPr>
      <w:r w:rsidRPr="00384190">
        <w:rPr>
          <w:sz w:val="24"/>
          <w:szCs w:val="24"/>
        </w:rPr>
        <w:t>Non-kliniske data viser ingen særlig risiko for mennesker vurderet ud fra konventionelle studier af sikkerhedsfarmakologi, toksicitet efter gentagne doser, genotoksicitet, samt reproduktions- og udviklingstoksicitet.</w:t>
      </w:r>
    </w:p>
    <w:p w14:paraId="4E5245C9" w14:textId="77777777" w:rsidR="009C646A" w:rsidRPr="00384190" w:rsidRDefault="009C646A" w:rsidP="00384190">
      <w:pPr>
        <w:ind w:left="851"/>
        <w:rPr>
          <w:sz w:val="24"/>
          <w:szCs w:val="24"/>
        </w:rPr>
      </w:pPr>
    </w:p>
    <w:p w14:paraId="454BFD6C" w14:textId="77777777" w:rsidR="009C646A" w:rsidRPr="00384190" w:rsidRDefault="009C646A" w:rsidP="00384190">
      <w:pPr>
        <w:ind w:left="851"/>
        <w:rPr>
          <w:sz w:val="24"/>
          <w:szCs w:val="24"/>
          <w:u w:val="single"/>
        </w:rPr>
      </w:pPr>
      <w:proofErr w:type="spellStart"/>
      <w:r w:rsidRPr="00384190">
        <w:rPr>
          <w:sz w:val="24"/>
          <w:szCs w:val="24"/>
          <w:u w:val="single"/>
        </w:rPr>
        <w:t>Karcinogenicitet</w:t>
      </w:r>
      <w:proofErr w:type="spellEnd"/>
    </w:p>
    <w:p w14:paraId="0F45EF87" w14:textId="77777777" w:rsidR="009C646A" w:rsidRPr="00384190" w:rsidRDefault="009C646A" w:rsidP="00384190">
      <w:pPr>
        <w:ind w:left="851"/>
        <w:rPr>
          <w:sz w:val="24"/>
          <w:szCs w:val="24"/>
        </w:rPr>
      </w:pPr>
      <w:r w:rsidRPr="00384190">
        <w:rPr>
          <w:sz w:val="24"/>
          <w:szCs w:val="24"/>
        </w:rPr>
        <w:t>Der er ikke gennemført langtidsforsøg med dyr med henblik på at vurdere karcinogenetisk potentiale.</w:t>
      </w:r>
    </w:p>
    <w:p w14:paraId="0902D8FA" w14:textId="77777777" w:rsidR="009C646A" w:rsidRPr="00384190" w:rsidRDefault="009C646A" w:rsidP="00384190">
      <w:pPr>
        <w:ind w:left="851"/>
        <w:rPr>
          <w:sz w:val="24"/>
          <w:szCs w:val="24"/>
        </w:rPr>
      </w:pPr>
    </w:p>
    <w:p w14:paraId="4D4A9482" w14:textId="77777777" w:rsidR="009C646A" w:rsidRPr="00384190" w:rsidRDefault="009C646A" w:rsidP="00384190">
      <w:pPr>
        <w:ind w:left="851"/>
        <w:rPr>
          <w:sz w:val="24"/>
          <w:szCs w:val="24"/>
          <w:u w:val="single"/>
        </w:rPr>
      </w:pPr>
      <w:proofErr w:type="spellStart"/>
      <w:r w:rsidRPr="00384190">
        <w:rPr>
          <w:sz w:val="24"/>
          <w:szCs w:val="24"/>
          <w:u w:val="single"/>
        </w:rPr>
        <w:t>Mutagenicitet</w:t>
      </w:r>
      <w:proofErr w:type="spellEnd"/>
    </w:p>
    <w:p w14:paraId="41302714" w14:textId="77777777" w:rsidR="009C646A" w:rsidRPr="00384190" w:rsidRDefault="009C646A" w:rsidP="00384190">
      <w:pPr>
        <w:ind w:left="851"/>
        <w:rPr>
          <w:sz w:val="24"/>
          <w:szCs w:val="24"/>
        </w:rPr>
      </w:pPr>
      <w:r w:rsidRPr="00384190">
        <w:rPr>
          <w:sz w:val="24"/>
          <w:szCs w:val="24"/>
        </w:rPr>
        <w:t xml:space="preserve">Udførte genotoksiske tests omfatter en </w:t>
      </w:r>
      <w:proofErr w:type="spellStart"/>
      <w:r w:rsidRPr="00384190">
        <w:rPr>
          <w:sz w:val="24"/>
          <w:szCs w:val="24"/>
        </w:rPr>
        <w:t>mikronucleus</w:t>
      </w:r>
      <w:proofErr w:type="spellEnd"/>
      <w:r w:rsidRPr="00384190">
        <w:rPr>
          <w:sz w:val="24"/>
          <w:szCs w:val="24"/>
        </w:rPr>
        <w:t xml:space="preserve"> test i rotter og en </w:t>
      </w:r>
      <w:proofErr w:type="spellStart"/>
      <w:r w:rsidRPr="00384190">
        <w:rPr>
          <w:sz w:val="24"/>
          <w:szCs w:val="24"/>
        </w:rPr>
        <w:t>Ames</w:t>
      </w:r>
      <w:proofErr w:type="spellEnd"/>
      <w:r w:rsidRPr="00384190">
        <w:rPr>
          <w:sz w:val="24"/>
          <w:szCs w:val="24"/>
        </w:rPr>
        <w:t xml:space="preserve"> Salmonella </w:t>
      </w:r>
      <w:proofErr w:type="spellStart"/>
      <w:r w:rsidRPr="00384190">
        <w:rPr>
          <w:sz w:val="24"/>
          <w:szCs w:val="24"/>
        </w:rPr>
        <w:t>Reversion</w:t>
      </w:r>
      <w:proofErr w:type="spellEnd"/>
      <w:r w:rsidRPr="00384190">
        <w:rPr>
          <w:sz w:val="24"/>
          <w:szCs w:val="24"/>
        </w:rPr>
        <w:t xml:space="preserve"> test. Resultaterne fra begge tests var negative.</w:t>
      </w:r>
    </w:p>
    <w:p w14:paraId="6F57FAA9" w14:textId="77777777" w:rsidR="009C646A" w:rsidRPr="00384190" w:rsidRDefault="009C646A" w:rsidP="00384190">
      <w:pPr>
        <w:ind w:left="851"/>
        <w:rPr>
          <w:sz w:val="24"/>
          <w:szCs w:val="24"/>
        </w:rPr>
      </w:pPr>
    </w:p>
    <w:p w14:paraId="1D3821C7" w14:textId="77777777" w:rsidR="009C646A" w:rsidRPr="00384190" w:rsidRDefault="009C646A" w:rsidP="00384190">
      <w:pPr>
        <w:ind w:left="851"/>
        <w:rPr>
          <w:sz w:val="24"/>
          <w:szCs w:val="24"/>
          <w:u w:val="single"/>
        </w:rPr>
      </w:pPr>
      <w:r w:rsidRPr="00384190">
        <w:rPr>
          <w:sz w:val="24"/>
          <w:szCs w:val="24"/>
          <w:u w:val="single"/>
        </w:rPr>
        <w:t>Reproduktionstoksicitet</w:t>
      </w:r>
    </w:p>
    <w:p w14:paraId="0D7496DA" w14:textId="77777777" w:rsidR="009C646A" w:rsidRPr="00384190" w:rsidRDefault="009C646A" w:rsidP="00384190">
      <w:pPr>
        <w:ind w:left="851"/>
        <w:rPr>
          <w:sz w:val="24"/>
          <w:szCs w:val="24"/>
        </w:rPr>
      </w:pPr>
      <w:r w:rsidRPr="00384190">
        <w:rPr>
          <w:sz w:val="24"/>
          <w:szCs w:val="24"/>
        </w:rPr>
        <w:t>I forsøg vedrørende embryo-</w:t>
      </w:r>
      <w:proofErr w:type="spellStart"/>
      <w:r w:rsidRPr="00384190">
        <w:rPr>
          <w:sz w:val="24"/>
          <w:szCs w:val="24"/>
        </w:rPr>
        <w:t>føtal</w:t>
      </w:r>
      <w:proofErr w:type="spellEnd"/>
      <w:r w:rsidRPr="00384190">
        <w:rPr>
          <w:sz w:val="24"/>
          <w:szCs w:val="24"/>
        </w:rPr>
        <w:t xml:space="preserve"> udvikling hos rotter ved oral dosering og forsøg vedrørende embryo-</w:t>
      </w:r>
      <w:proofErr w:type="spellStart"/>
      <w:r w:rsidRPr="00384190">
        <w:rPr>
          <w:sz w:val="24"/>
          <w:szCs w:val="24"/>
        </w:rPr>
        <w:t>føtal</w:t>
      </w:r>
      <w:proofErr w:type="spellEnd"/>
      <w:r w:rsidRPr="00384190">
        <w:rPr>
          <w:sz w:val="24"/>
          <w:szCs w:val="24"/>
        </w:rPr>
        <w:t xml:space="preserve"> udvikling hos rotter og kaniner ved subkutan dosering blev der kun observeret udviklings-toksicitet ved doser, som medførte </w:t>
      </w:r>
      <w:proofErr w:type="spellStart"/>
      <w:r w:rsidRPr="00384190">
        <w:rPr>
          <w:sz w:val="24"/>
          <w:szCs w:val="24"/>
        </w:rPr>
        <w:t>maternel</w:t>
      </w:r>
      <w:proofErr w:type="spellEnd"/>
      <w:r w:rsidRPr="00384190">
        <w:rPr>
          <w:sz w:val="24"/>
          <w:szCs w:val="24"/>
        </w:rPr>
        <w:t xml:space="preserve"> toksicitet.</w:t>
      </w:r>
    </w:p>
    <w:p w14:paraId="4CCBEE94" w14:textId="77777777" w:rsidR="009C646A" w:rsidRPr="00384190" w:rsidRDefault="009C646A" w:rsidP="00384190">
      <w:pPr>
        <w:ind w:left="851"/>
        <w:rPr>
          <w:sz w:val="24"/>
          <w:szCs w:val="24"/>
        </w:rPr>
      </w:pPr>
      <w:r w:rsidRPr="00384190">
        <w:rPr>
          <w:sz w:val="24"/>
          <w:szCs w:val="24"/>
        </w:rPr>
        <w:t>Resultater fra reproduktionsforsøg på dyr kan ikke umiddelbart overføres til mennesker.</w:t>
      </w:r>
    </w:p>
    <w:p w14:paraId="467A449E" w14:textId="77777777" w:rsidR="009260DE" w:rsidRPr="00384190" w:rsidRDefault="009260DE" w:rsidP="009260DE">
      <w:pPr>
        <w:tabs>
          <w:tab w:val="left" w:pos="851"/>
        </w:tabs>
        <w:ind w:left="851"/>
        <w:rPr>
          <w:sz w:val="24"/>
          <w:szCs w:val="24"/>
        </w:rPr>
      </w:pPr>
    </w:p>
    <w:p w14:paraId="5BA74461" w14:textId="77777777" w:rsidR="009260DE" w:rsidRPr="00384190" w:rsidRDefault="009260DE" w:rsidP="009260DE">
      <w:pPr>
        <w:tabs>
          <w:tab w:val="left" w:pos="851"/>
        </w:tabs>
        <w:ind w:left="851"/>
        <w:rPr>
          <w:sz w:val="24"/>
          <w:szCs w:val="24"/>
        </w:rPr>
      </w:pPr>
    </w:p>
    <w:p w14:paraId="3AF7150E" w14:textId="77777777" w:rsidR="009260DE" w:rsidRPr="00384190" w:rsidRDefault="009260DE" w:rsidP="009260DE">
      <w:pPr>
        <w:tabs>
          <w:tab w:val="left" w:pos="851"/>
        </w:tabs>
        <w:ind w:left="851" w:hanging="851"/>
        <w:rPr>
          <w:b/>
          <w:sz w:val="24"/>
          <w:szCs w:val="24"/>
        </w:rPr>
      </w:pPr>
      <w:r w:rsidRPr="00384190">
        <w:rPr>
          <w:b/>
          <w:sz w:val="24"/>
          <w:szCs w:val="24"/>
        </w:rPr>
        <w:t>6.</w:t>
      </w:r>
      <w:r w:rsidRPr="00384190">
        <w:rPr>
          <w:b/>
          <w:sz w:val="24"/>
          <w:szCs w:val="24"/>
        </w:rPr>
        <w:tab/>
        <w:t>FARMACEUTISKE OPLYSNINGER</w:t>
      </w:r>
    </w:p>
    <w:p w14:paraId="33EF8F6E" w14:textId="77777777" w:rsidR="009260DE" w:rsidRPr="00384190" w:rsidRDefault="009260DE" w:rsidP="009260DE">
      <w:pPr>
        <w:tabs>
          <w:tab w:val="left" w:pos="851"/>
        </w:tabs>
        <w:ind w:left="851"/>
        <w:rPr>
          <w:sz w:val="24"/>
          <w:szCs w:val="24"/>
        </w:rPr>
      </w:pPr>
    </w:p>
    <w:p w14:paraId="085E4488" w14:textId="77777777" w:rsidR="009260DE" w:rsidRPr="00384190" w:rsidRDefault="009260DE" w:rsidP="009260DE">
      <w:pPr>
        <w:tabs>
          <w:tab w:val="left" w:pos="851"/>
        </w:tabs>
        <w:ind w:left="851" w:hanging="851"/>
        <w:rPr>
          <w:b/>
          <w:sz w:val="24"/>
          <w:szCs w:val="24"/>
        </w:rPr>
      </w:pPr>
      <w:r w:rsidRPr="00384190">
        <w:rPr>
          <w:b/>
          <w:sz w:val="24"/>
          <w:szCs w:val="24"/>
        </w:rPr>
        <w:t>6.1</w:t>
      </w:r>
      <w:r w:rsidRPr="00384190">
        <w:rPr>
          <w:b/>
          <w:sz w:val="24"/>
          <w:szCs w:val="24"/>
        </w:rPr>
        <w:tab/>
        <w:t>Hjælpestoffer</w:t>
      </w:r>
    </w:p>
    <w:p w14:paraId="75F3695A" w14:textId="77777777" w:rsidR="009C646A" w:rsidRPr="00384190" w:rsidRDefault="009C646A" w:rsidP="00384190">
      <w:pPr>
        <w:ind w:left="851"/>
        <w:rPr>
          <w:sz w:val="24"/>
          <w:szCs w:val="24"/>
        </w:rPr>
      </w:pPr>
    </w:p>
    <w:p w14:paraId="161D941D" w14:textId="77777777" w:rsidR="009C646A" w:rsidRPr="00384190" w:rsidRDefault="009C646A" w:rsidP="00384190">
      <w:pPr>
        <w:ind w:left="851"/>
        <w:rPr>
          <w:sz w:val="24"/>
          <w:szCs w:val="24"/>
        </w:rPr>
      </w:pPr>
      <w:proofErr w:type="spellStart"/>
      <w:r w:rsidRPr="00384190">
        <w:rPr>
          <w:sz w:val="24"/>
          <w:szCs w:val="24"/>
        </w:rPr>
        <w:t>Dinatriumedetat</w:t>
      </w:r>
      <w:proofErr w:type="spellEnd"/>
    </w:p>
    <w:p w14:paraId="07C7DE1A" w14:textId="77777777" w:rsidR="009C646A" w:rsidRPr="00384190" w:rsidRDefault="009C646A" w:rsidP="00384190">
      <w:pPr>
        <w:ind w:left="851"/>
        <w:rPr>
          <w:sz w:val="24"/>
          <w:szCs w:val="24"/>
        </w:rPr>
      </w:pPr>
      <w:r w:rsidRPr="00384190">
        <w:rPr>
          <w:sz w:val="24"/>
          <w:szCs w:val="24"/>
        </w:rPr>
        <w:t>Natriumhydroxid (til pH-justering)</w:t>
      </w:r>
    </w:p>
    <w:p w14:paraId="19A03C73" w14:textId="77777777" w:rsidR="009C646A" w:rsidRPr="00384190" w:rsidRDefault="009C646A" w:rsidP="00384190">
      <w:pPr>
        <w:ind w:left="851"/>
        <w:rPr>
          <w:sz w:val="24"/>
          <w:szCs w:val="24"/>
        </w:rPr>
      </w:pPr>
      <w:r w:rsidRPr="00384190">
        <w:rPr>
          <w:sz w:val="24"/>
          <w:szCs w:val="24"/>
        </w:rPr>
        <w:t>Vand til injektionsvæsker</w:t>
      </w:r>
    </w:p>
    <w:p w14:paraId="47E07B10" w14:textId="77777777" w:rsidR="009260DE" w:rsidRPr="00384190" w:rsidRDefault="009260DE" w:rsidP="009260DE">
      <w:pPr>
        <w:tabs>
          <w:tab w:val="left" w:pos="851"/>
        </w:tabs>
        <w:ind w:left="851"/>
        <w:rPr>
          <w:sz w:val="24"/>
          <w:szCs w:val="24"/>
        </w:rPr>
      </w:pPr>
    </w:p>
    <w:p w14:paraId="09DDF40D" w14:textId="77777777" w:rsidR="009260DE" w:rsidRPr="00384190" w:rsidRDefault="009260DE" w:rsidP="009260DE">
      <w:pPr>
        <w:tabs>
          <w:tab w:val="left" w:pos="851"/>
        </w:tabs>
        <w:ind w:left="851" w:hanging="851"/>
        <w:rPr>
          <w:b/>
          <w:sz w:val="24"/>
          <w:szCs w:val="24"/>
        </w:rPr>
      </w:pPr>
      <w:r w:rsidRPr="00384190">
        <w:rPr>
          <w:b/>
          <w:sz w:val="24"/>
          <w:szCs w:val="24"/>
        </w:rPr>
        <w:t>6.2</w:t>
      </w:r>
      <w:r w:rsidRPr="00384190">
        <w:rPr>
          <w:b/>
          <w:sz w:val="24"/>
          <w:szCs w:val="24"/>
        </w:rPr>
        <w:tab/>
        <w:t>Uforligeligheder</w:t>
      </w:r>
    </w:p>
    <w:p w14:paraId="2887D260" w14:textId="77777777" w:rsidR="009C646A" w:rsidRPr="00384190" w:rsidRDefault="009C646A" w:rsidP="00384190">
      <w:pPr>
        <w:ind w:left="851"/>
        <w:rPr>
          <w:sz w:val="24"/>
          <w:szCs w:val="24"/>
        </w:rPr>
      </w:pPr>
      <w:r w:rsidRPr="00384190">
        <w:rPr>
          <w:sz w:val="24"/>
          <w:szCs w:val="24"/>
        </w:rPr>
        <w:t>Dette lægemiddel må ikke blandes med andre lægemidler end dem, der er anført under pkt. 6.6.</w:t>
      </w:r>
    </w:p>
    <w:p w14:paraId="7D9E642B" w14:textId="77777777" w:rsidR="009C646A" w:rsidRPr="00384190" w:rsidRDefault="009C646A" w:rsidP="00384190">
      <w:pPr>
        <w:ind w:left="851"/>
        <w:rPr>
          <w:sz w:val="24"/>
          <w:szCs w:val="24"/>
        </w:rPr>
      </w:pPr>
      <w:r w:rsidRPr="00384190">
        <w:rPr>
          <w:sz w:val="24"/>
          <w:szCs w:val="24"/>
        </w:rPr>
        <w:t xml:space="preserve">Følgende stoffer er fysisk uforligelige med </w:t>
      </w:r>
      <w:proofErr w:type="spellStart"/>
      <w:r w:rsidRPr="00384190">
        <w:rPr>
          <w:sz w:val="24"/>
          <w:szCs w:val="24"/>
        </w:rPr>
        <w:t>clindamycinphosphat</w:t>
      </w:r>
      <w:proofErr w:type="spellEnd"/>
      <w:r w:rsidRPr="00384190">
        <w:rPr>
          <w:sz w:val="24"/>
          <w:szCs w:val="24"/>
        </w:rPr>
        <w:t xml:space="preserve">: </w:t>
      </w:r>
      <w:proofErr w:type="spellStart"/>
      <w:r w:rsidRPr="00384190">
        <w:rPr>
          <w:sz w:val="24"/>
          <w:szCs w:val="24"/>
        </w:rPr>
        <w:t>ampicillin</w:t>
      </w:r>
      <w:proofErr w:type="spellEnd"/>
      <w:r w:rsidRPr="00384190">
        <w:rPr>
          <w:sz w:val="24"/>
          <w:szCs w:val="24"/>
        </w:rPr>
        <w:t xml:space="preserve">, </w:t>
      </w:r>
      <w:proofErr w:type="spellStart"/>
      <w:r w:rsidRPr="00384190">
        <w:rPr>
          <w:sz w:val="24"/>
          <w:szCs w:val="24"/>
        </w:rPr>
        <w:t>phenytoinnatrium</w:t>
      </w:r>
      <w:proofErr w:type="spellEnd"/>
      <w:r w:rsidRPr="00384190">
        <w:rPr>
          <w:sz w:val="24"/>
          <w:szCs w:val="24"/>
        </w:rPr>
        <w:t xml:space="preserve">, barbiturater, </w:t>
      </w:r>
      <w:proofErr w:type="spellStart"/>
      <w:r w:rsidRPr="00384190">
        <w:rPr>
          <w:sz w:val="24"/>
          <w:szCs w:val="24"/>
        </w:rPr>
        <w:t>aminophyllin</w:t>
      </w:r>
      <w:proofErr w:type="spellEnd"/>
      <w:r w:rsidRPr="00384190">
        <w:rPr>
          <w:sz w:val="24"/>
          <w:szCs w:val="24"/>
        </w:rPr>
        <w:t xml:space="preserve">, </w:t>
      </w:r>
      <w:proofErr w:type="spellStart"/>
      <w:r w:rsidRPr="00384190">
        <w:rPr>
          <w:sz w:val="24"/>
          <w:szCs w:val="24"/>
        </w:rPr>
        <w:t>calciumgluconat</w:t>
      </w:r>
      <w:proofErr w:type="spellEnd"/>
      <w:r w:rsidRPr="00384190">
        <w:rPr>
          <w:sz w:val="24"/>
          <w:szCs w:val="24"/>
        </w:rPr>
        <w:t xml:space="preserve">, magnesiumsulfat, </w:t>
      </w:r>
      <w:proofErr w:type="spellStart"/>
      <w:r w:rsidRPr="00384190">
        <w:rPr>
          <w:sz w:val="24"/>
          <w:szCs w:val="24"/>
        </w:rPr>
        <w:t>ceftriaxonnatrium</w:t>
      </w:r>
      <w:proofErr w:type="spellEnd"/>
      <w:r w:rsidRPr="00384190">
        <w:rPr>
          <w:sz w:val="24"/>
          <w:szCs w:val="24"/>
        </w:rPr>
        <w:t xml:space="preserve">, </w:t>
      </w:r>
      <w:proofErr w:type="spellStart"/>
      <w:r w:rsidRPr="00384190">
        <w:rPr>
          <w:sz w:val="24"/>
          <w:szCs w:val="24"/>
        </w:rPr>
        <w:t>ciprofloxacin</w:t>
      </w:r>
      <w:proofErr w:type="spellEnd"/>
      <w:r w:rsidRPr="00384190">
        <w:rPr>
          <w:sz w:val="24"/>
          <w:szCs w:val="24"/>
        </w:rPr>
        <w:t xml:space="preserve">, </w:t>
      </w:r>
      <w:proofErr w:type="spellStart"/>
      <w:r w:rsidRPr="00384190">
        <w:rPr>
          <w:sz w:val="24"/>
          <w:szCs w:val="24"/>
        </w:rPr>
        <w:t>idarubicinhydrochlorid</w:t>
      </w:r>
      <w:proofErr w:type="spellEnd"/>
      <w:r w:rsidRPr="00384190">
        <w:rPr>
          <w:sz w:val="24"/>
          <w:szCs w:val="24"/>
        </w:rPr>
        <w:t xml:space="preserve"> og </w:t>
      </w:r>
      <w:proofErr w:type="spellStart"/>
      <w:r w:rsidRPr="00384190">
        <w:rPr>
          <w:sz w:val="24"/>
          <w:szCs w:val="24"/>
        </w:rPr>
        <w:t>ranitidinhydrochlorid</w:t>
      </w:r>
      <w:proofErr w:type="spellEnd"/>
      <w:r w:rsidRPr="00384190">
        <w:rPr>
          <w:sz w:val="24"/>
          <w:szCs w:val="24"/>
        </w:rPr>
        <w:t>.</w:t>
      </w:r>
    </w:p>
    <w:p w14:paraId="43AD011F" w14:textId="77777777" w:rsidR="009260DE" w:rsidRPr="00384190" w:rsidRDefault="009260DE" w:rsidP="009260DE">
      <w:pPr>
        <w:tabs>
          <w:tab w:val="left" w:pos="851"/>
        </w:tabs>
        <w:ind w:left="851"/>
        <w:rPr>
          <w:sz w:val="24"/>
          <w:szCs w:val="24"/>
        </w:rPr>
      </w:pPr>
    </w:p>
    <w:p w14:paraId="5F10EB76" w14:textId="77777777" w:rsidR="009260DE" w:rsidRPr="00384190" w:rsidRDefault="009260DE" w:rsidP="009260DE">
      <w:pPr>
        <w:tabs>
          <w:tab w:val="left" w:pos="851"/>
        </w:tabs>
        <w:ind w:left="851" w:hanging="851"/>
        <w:rPr>
          <w:b/>
          <w:sz w:val="24"/>
          <w:szCs w:val="24"/>
        </w:rPr>
      </w:pPr>
      <w:r w:rsidRPr="00384190">
        <w:rPr>
          <w:b/>
          <w:sz w:val="24"/>
          <w:szCs w:val="24"/>
        </w:rPr>
        <w:t>6.3</w:t>
      </w:r>
      <w:r w:rsidRPr="00384190">
        <w:rPr>
          <w:b/>
          <w:sz w:val="24"/>
          <w:szCs w:val="24"/>
        </w:rPr>
        <w:tab/>
        <w:t>Opbevaringstid</w:t>
      </w:r>
    </w:p>
    <w:p w14:paraId="7EA1FF7A" w14:textId="77777777" w:rsidR="009C646A" w:rsidRPr="00384190" w:rsidRDefault="009C646A" w:rsidP="00384190">
      <w:pPr>
        <w:ind w:left="851"/>
        <w:rPr>
          <w:sz w:val="24"/>
          <w:szCs w:val="24"/>
        </w:rPr>
      </w:pPr>
      <w:r w:rsidRPr="00384190">
        <w:rPr>
          <w:sz w:val="24"/>
          <w:szCs w:val="24"/>
        </w:rPr>
        <w:t>18 måneder.</w:t>
      </w:r>
    </w:p>
    <w:p w14:paraId="27D2EB86" w14:textId="77777777" w:rsidR="009C646A" w:rsidRPr="00384190" w:rsidRDefault="009C646A" w:rsidP="00384190">
      <w:pPr>
        <w:ind w:left="851"/>
        <w:rPr>
          <w:sz w:val="24"/>
          <w:szCs w:val="24"/>
        </w:rPr>
      </w:pPr>
    </w:p>
    <w:p w14:paraId="61A2456D" w14:textId="77777777" w:rsidR="009C646A" w:rsidRPr="00384190" w:rsidRDefault="009C646A" w:rsidP="00384190">
      <w:pPr>
        <w:ind w:left="851"/>
        <w:rPr>
          <w:iCs/>
          <w:sz w:val="24"/>
          <w:szCs w:val="24"/>
          <w:u w:val="single"/>
        </w:rPr>
      </w:pPr>
      <w:r w:rsidRPr="00384190">
        <w:rPr>
          <w:sz w:val="24"/>
          <w:szCs w:val="24"/>
          <w:u w:val="single"/>
        </w:rPr>
        <w:t>Opbevaringstid efter anbrud af ampul:</w:t>
      </w:r>
      <w:r w:rsidRPr="00384190">
        <w:rPr>
          <w:sz w:val="24"/>
          <w:szCs w:val="24"/>
        </w:rPr>
        <w:t xml:space="preserve"> Lægemidlet skal anvendes umiddelbart efter anbrud.</w:t>
      </w:r>
    </w:p>
    <w:p w14:paraId="294E46F5" w14:textId="77777777" w:rsidR="009C646A" w:rsidRPr="00384190" w:rsidRDefault="009C646A" w:rsidP="00384190">
      <w:pPr>
        <w:ind w:left="851"/>
        <w:rPr>
          <w:sz w:val="24"/>
          <w:szCs w:val="24"/>
        </w:rPr>
      </w:pPr>
    </w:p>
    <w:p w14:paraId="3B04EF1C" w14:textId="77777777" w:rsidR="009C646A" w:rsidRPr="00384190" w:rsidRDefault="009C646A" w:rsidP="00384190">
      <w:pPr>
        <w:ind w:left="851"/>
        <w:rPr>
          <w:sz w:val="24"/>
          <w:szCs w:val="24"/>
        </w:rPr>
      </w:pPr>
      <w:r w:rsidRPr="00384190">
        <w:rPr>
          <w:sz w:val="24"/>
          <w:szCs w:val="24"/>
          <w:u w:val="single" w:color="000000"/>
        </w:rPr>
        <w:t>Holdbarhed efter fortynding</w:t>
      </w:r>
    </w:p>
    <w:p w14:paraId="4755D14D" w14:textId="77777777" w:rsidR="009C646A" w:rsidRPr="00384190" w:rsidRDefault="009C646A" w:rsidP="00384190">
      <w:pPr>
        <w:ind w:left="851"/>
        <w:rPr>
          <w:sz w:val="24"/>
          <w:szCs w:val="24"/>
        </w:rPr>
      </w:pPr>
      <w:r w:rsidRPr="00384190">
        <w:rPr>
          <w:sz w:val="24"/>
          <w:szCs w:val="24"/>
        </w:rPr>
        <w:t>Kemisk og fysisk stabilitet efter åbning er dokumenteret i 48 timer ved 25 °C og 2</w:t>
      </w:r>
      <w:r w:rsidRPr="00384190">
        <w:rPr>
          <w:sz w:val="24"/>
          <w:szCs w:val="24"/>
        </w:rPr>
        <w:noBreakHyphen/>
        <w:t xml:space="preserve">8 °C. </w:t>
      </w:r>
    </w:p>
    <w:p w14:paraId="424B3F6E" w14:textId="77777777" w:rsidR="009C646A" w:rsidRPr="00384190" w:rsidRDefault="009C646A" w:rsidP="00384190">
      <w:pPr>
        <w:ind w:left="851"/>
        <w:rPr>
          <w:sz w:val="24"/>
          <w:szCs w:val="24"/>
        </w:rPr>
      </w:pPr>
      <w:r w:rsidRPr="00384190">
        <w:rPr>
          <w:sz w:val="24"/>
          <w:szCs w:val="24"/>
        </w:rPr>
        <w:t>Ud fra et mikrobiologisk synspunkt skal præparatet bruges med det samme. Hvis det ikke anvendes med det samme, er opbevaringstider og -betingelser på brugerens eget ansvar, og må ikke overstige 24 timer ved 2-8 °C, med mindre fortyndingen er udført under kontrollerede og validerede aseptiske betingelser.</w:t>
      </w:r>
    </w:p>
    <w:p w14:paraId="74595ADF" w14:textId="495AE9A6" w:rsidR="00A94E88" w:rsidRDefault="00A94E88">
      <w:pPr>
        <w:rPr>
          <w:sz w:val="24"/>
          <w:szCs w:val="24"/>
        </w:rPr>
      </w:pPr>
      <w:r>
        <w:rPr>
          <w:sz w:val="24"/>
          <w:szCs w:val="24"/>
        </w:rPr>
        <w:br w:type="page"/>
      </w:r>
    </w:p>
    <w:p w14:paraId="3FC2703B" w14:textId="77777777" w:rsidR="009260DE" w:rsidRPr="00384190" w:rsidRDefault="009260DE" w:rsidP="009260DE">
      <w:pPr>
        <w:tabs>
          <w:tab w:val="left" w:pos="851"/>
        </w:tabs>
        <w:ind w:left="851"/>
        <w:rPr>
          <w:sz w:val="24"/>
          <w:szCs w:val="24"/>
        </w:rPr>
      </w:pPr>
    </w:p>
    <w:p w14:paraId="230011AD" w14:textId="77777777" w:rsidR="009260DE" w:rsidRPr="00384190" w:rsidRDefault="009260DE" w:rsidP="009260DE">
      <w:pPr>
        <w:tabs>
          <w:tab w:val="left" w:pos="851"/>
        </w:tabs>
        <w:ind w:left="851" w:hanging="851"/>
        <w:rPr>
          <w:b/>
          <w:sz w:val="24"/>
          <w:szCs w:val="24"/>
        </w:rPr>
      </w:pPr>
      <w:r w:rsidRPr="00384190">
        <w:rPr>
          <w:b/>
          <w:sz w:val="24"/>
          <w:szCs w:val="24"/>
        </w:rPr>
        <w:t>6.4</w:t>
      </w:r>
      <w:r w:rsidRPr="00384190">
        <w:rPr>
          <w:b/>
          <w:sz w:val="24"/>
          <w:szCs w:val="24"/>
        </w:rPr>
        <w:tab/>
        <w:t>Særlige opbevaringsforhold</w:t>
      </w:r>
    </w:p>
    <w:p w14:paraId="303436BA" w14:textId="77777777" w:rsidR="009C646A" w:rsidRPr="00384190" w:rsidRDefault="009C646A" w:rsidP="00384190">
      <w:pPr>
        <w:ind w:left="851"/>
        <w:rPr>
          <w:sz w:val="24"/>
          <w:szCs w:val="24"/>
          <w:lang w:eastAsia="en-GB"/>
        </w:rPr>
      </w:pPr>
      <w:bookmarkStart w:id="10" w:name="_Hlk124934411"/>
      <w:r w:rsidRPr="00384190">
        <w:rPr>
          <w:sz w:val="24"/>
          <w:szCs w:val="24"/>
        </w:rPr>
        <w:t>Må ikke opbevares ved temperaturer over 25 °C. Må ikke opbevares i køleskab eller nedfryses.</w:t>
      </w:r>
    </w:p>
    <w:p w14:paraId="5E243FCE" w14:textId="77777777" w:rsidR="009C646A" w:rsidRPr="00384190" w:rsidRDefault="009C646A" w:rsidP="00384190">
      <w:pPr>
        <w:ind w:left="851"/>
        <w:rPr>
          <w:sz w:val="24"/>
          <w:szCs w:val="24"/>
        </w:rPr>
      </w:pPr>
      <w:r w:rsidRPr="00384190">
        <w:rPr>
          <w:sz w:val="24"/>
          <w:szCs w:val="24"/>
        </w:rPr>
        <w:t>Opbevar ampullerne i den ydre karton for at beskytte mod lys.</w:t>
      </w:r>
    </w:p>
    <w:bookmarkEnd w:id="10"/>
    <w:p w14:paraId="2FB0B18E" w14:textId="77777777" w:rsidR="009C646A" w:rsidRPr="00384190" w:rsidRDefault="009C646A" w:rsidP="00384190">
      <w:pPr>
        <w:ind w:left="851"/>
        <w:rPr>
          <w:sz w:val="24"/>
          <w:szCs w:val="24"/>
        </w:rPr>
      </w:pPr>
    </w:p>
    <w:p w14:paraId="289867C2" w14:textId="77777777" w:rsidR="009C646A" w:rsidRPr="00384190" w:rsidRDefault="009C646A" w:rsidP="00384190">
      <w:pPr>
        <w:ind w:left="851"/>
        <w:rPr>
          <w:sz w:val="24"/>
          <w:szCs w:val="24"/>
        </w:rPr>
      </w:pPr>
      <w:r w:rsidRPr="00384190">
        <w:rPr>
          <w:sz w:val="24"/>
          <w:szCs w:val="24"/>
        </w:rPr>
        <w:t>Opbevaringsforhold efter anbrud og fortynding af lægemidlet, se pkt. 6.3.</w:t>
      </w:r>
    </w:p>
    <w:p w14:paraId="6F2D44C3" w14:textId="77777777" w:rsidR="009260DE" w:rsidRPr="00384190" w:rsidRDefault="009260DE" w:rsidP="009260DE">
      <w:pPr>
        <w:tabs>
          <w:tab w:val="left" w:pos="851"/>
        </w:tabs>
        <w:ind w:left="851"/>
        <w:rPr>
          <w:sz w:val="24"/>
          <w:szCs w:val="24"/>
        </w:rPr>
      </w:pPr>
    </w:p>
    <w:p w14:paraId="36B3F057" w14:textId="77777777" w:rsidR="009260DE" w:rsidRPr="00384190" w:rsidRDefault="009260DE" w:rsidP="009260DE">
      <w:pPr>
        <w:tabs>
          <w:tab w:val="left" w:pos="851"/>
        </w:tabs>
        <w:ind w:left="851" w:hanging="851"/>
        <w:rPr>
          <w:b/>
          <w:sz w:val="24"/>
          <w:szCs w:val="24"/>
        </w:rPr>
      </w:pPr>
      <w:r w:rsidRPr="00384190">
        <w:rPr>
          <w:b/>
          <w:sz w:val="24"/>
          <w:szCs w:val="24"/>
        </w:rPr>
        <w:t>6.5</w:t>
      </w:r>
      <w:r w:rsidRPr="00384190">
        <w:rPr>
          <w:b/>
          <w:sz w:val="24"/>
          <w:szCs w:val="24"/>
        </w:rPr>
        <w:tab/>
        <w:t>Emballagetype og pakningsstørrelser</w:t>
      </w:r>
    </w:p>
    <w:p w14:paraId="65410F28" w14:textId="77777777" w:rsidR="009C646A" w:rsidRPr="00384190" w:rsidRDefault="009C646A" w:rsidP="00384190">
      <w:pPr>
        <w:ind w:left="851"/>
        <w:rPr>
          <w:sz w:val="24"/>
          <w:szCs w:val="24"/>
        </w:rPr>
      </w:pPr>
      <w:r w:rsidRPr="00384190">
        <w:rPr>
          <w:sz w:val="24"/>
          <w:szCs w:val="24"/>
        </w:rPr>
        <w:t>2 ml eller 4 ml opløsning fyldt i farveløse glasampuller med OPC (</w:t>
      </w:r>
      <w:proofErr w:type="spellStart"/>
      <w:r w:rsidRPr="00384190">
        <w:rPr>
          <w:sz w:val="24"/>
          <w:szCs w:val="24"/>
        </w:rPr>
        <w:t>one</w:t>
      </w:r>
      <w:proofErr w:type="spellEnd"/>
      <w:r w:rsidRPr="00384190">
        <w:rPr>
          <w:sz w:val="24"/>
          <w:szCs w:val="24"/>
        </w:rPr>
        <w:t>-point-cut).</w:t>
      </w:r>
    </w:p>
    <w:p w14:paraId="0BEF6E37" w14:textId="77777777" w:rsidR="009C646A" w:rsidRPr="00384190" w:rsidRDefault="009C646A" w:rsidP="00384190">
      <w:pPr>
        <w:ind w:left="851"/>
        <w:rPr>
          <w:sz w:val="24"/>
          <w:szCs w:val="24"/>
        </w:rPr>
      </w:pPr>
      <w:r w:rsidRPr="00384190">
        <w:rPr>
          <w:sz w:val="24"/>
          <w:szCs w:val="24"/>
        </w:rPr>
        <w:t>Hver pakning indeholder 1, 5 eller 10 ampuller.</w:t>
      </w:r>
    </w:p>
    <w:p w14:paraId="7B63F10B" w14:textId="77777777" w:rsidR="009C646A" w:rsidRPr="00384190" w:rsidRDefault="009C646A" w:rsidP="00384190">
      <w:pPr>
        <w:ind w:left="851"/>
        <w:rPr>
          <w:sz w:val="24"/>
          <w:szCs w:val="24"/>
        </w:rPr>
      </w:pPr>
    </w:p>
    <w:p w14:paraId="4423349F" w14:textId="77777777" w:rsidR="009C646A" w:rsidRPr="00384190" w:rsidRDefault="009C646A" w:rsidP="00384190">
      <w:pPr>
        <w:ind w:left="851"/>
        <w:rPr>
          <w:sz w:val="24"/>
          <w:szCs w:val="24"/>
        </w:rPr>
      </w:pPr>
      <w:r w:rsidRPr="00384190">
        <w:rPr>
          <w:sz w:val="24"/>
          <w:szCs w:val="24"/>
        </w:rPr>
        <w:t>Ikke alle pakningsstørrelser er nødvendigvis markedsført.</w:t>
      </w:r>
    </w:p>
    <w:p w14:paraId="256CDC93" w14:textId="77777777" w:rsidR="009260DE" w:rsidRPr="00384190" w:rsidRDefault="009260DE" w:rsidP="009260DE">
      <w:pPr>
        <w:tabs>
          <w:tab w:val="left" w:pos="851"/>
        </w:tabs>
        <w:ind w:left="851"/>
        <w:rPr>
          <w:sz w:val="24"/>
          <w:szCs w:val="24"/>
        </w:rPr>
      </w:pPr>
    </w:p>
    <w:p w14:paraId="5C56A7A0" w14:textId="77777777" w:rsidR="009260DE" w:rsidRPr="00384190" w:rsidRDefault="009260DE" w:rsidP="009260DE">
      <w:pPr>
        <w:tabs>
          <w:tab w:val="left" w:pos="851"/>
        </w:tabs>
        <w:ind w:left="851" w:hanging="851"/>
        <w:rPr>
          <w:b/>
          <w:sz w:val="24"/>
          <w:szCs w:val="24"/>
        </w:rPr>
      </w:pPr>
      <w:r w:rsidRPr="00384190">
        <w:rPr>
          <w:b/>
          <w:sz w:val="24"/>
          <w:szCs w:val="24"/>
        </w:rPr>
        <w:t>6.6</w:t>
      </w:r>
      <w:r w:rsidRPr="00384190">
        <w:rPr>
          <w:b/>
          <w:sz w:val="24"/>
          <w:szCs w:val="24"/>
        </w:rPr>
        <w:tab/>
        <w:t xml:space="preserve">Regler for </w:t>
      </w:r>
      <w:r w:rsidR="00BD7931" w:rsidRPr="00384190">
        <w:rPr>
          <w:b/>
          <w:sz w:val="24"/>
          <w:szCs w:val="24"/>
        </w:rPr>
        <w:t>bortskaffelse</w:t>
      </w:r>
      <w:r w:rsidRPr="00384190">
        <w:rPr>
          <w:b/>
          <w:sz w:val="24"/>
          <w:szCs w:val="24"/>
        </w:rPr>
        <w:t xml:space="preserve"> og anden håndtering</w:t>
      </w:r>
    </w:p>
    <w:p w14:paraId="1F774649" w14:textId="77777777" w:rsidR="009C646A" w:rsidRPr="00384190" w:rsidRDefault="009C646A" w:rsidP="00384190">
      <w:pPr>
        <w:ind w:left="851"/>
        <w:rPr>
          <w:sz w:val="24"/>
          <w:szCs w:val="24"/>
        </w:rPr>
      </w:pPr>
      <w:r w:rsidRPr="00384190">
        <w:rPr>
          <w:sz w:val="24"/>
          <w:szCs w:val="24"/>
        </w:rPr>
        <w:t>Kun til engangsbrug. Kassér eventuelt ikke anvendt lægemiddel.</w:t>
      </w:r>
    </w:p>
    <w:p w14:paraId="3DD0203B" w14:textId="77777777" w:rsidR="009C646A" w:rsidRPr="00384190" w:rsidRDefault="009C646A" w:rsidP="00384190">
      <w:pPr>
        <w:ind w:left="851"/>
        <w:rPr>
          <w:sz w:val="24"/>
          <w:szCs w:val="24"/>
        </w:rPr>
      </w:pPr>
    </w:p>
    <w:p w14:paraId="74715CBC" w14:textId="77777777" w:rsidR="009C646A" w:rsidRPr="00384190" w:rsidRDefault="009C646A" w:rsidP="00384190">
      <w:pPr>
        <w:ind w:left="851"/>
        <w:rPr>
          <w:sz w:val="24"/>
          <w:szCs w:val="24"/>
        </w:rPr>
      </w:pPr>
      <w:bookmarkStart w:id="11" w:name="_Hlk168658570"/>
      <w:r w:rsidRPr="00384190">
        <w:rPr>
          <w:sz w:val="24"/>
          <w:szCs w:val="24"/>
        </w:rPr>
        <w:t xml:space="preserve">Opløsningen </w:t>
      </w:r>
      <w:bookmarkEnd w:id="11"/>
      <w:r w:rsidRPr="00384190">
        <w:rPr>
          <w:sz w:val="24"/>
          <w:szCs w:val="24"/>
        </w:rPr>
        <w:t>skal inspiceres visuelt før brug. Brug ikke lægemidlet, hvis der er synlige tegn på nedbrydning (fx partikler). Der må kun anvendes klare opløsninger, der er fri for synlige partikler.</w:t>
      </w:r>
    </w:p>
    <w:p w14:paraId="3BFF8851" w14:textId="77777777" w:rsidR="009C646A" w:rsidRPr="00384190" w:rsidRDefault="009C646A" w:rsidP="00384190">
      <w:pPr>
        <w:ind w:left="851"/>
        <w:rPr>
          <w:sz w:val="24"/>
          <w:szCs w:val="24"/>
        </w:rPr>
      </w:pPr>
    </w:p>
    <w:p w14:paraId="551D542E" w14:textId="77777777" w:rsidR="009C646A" w:rsidRPr="00384190" w:rsidRDefault="009C646A" w:rsidP="00384190">
      <w:pPr>
        <w:ind w:left="851"/>
        <w:rPr>
          <w:color w:val="000000"/>
          <w:sz w:val="24"/>
          <w:szCs w:val="24"/>
        </w:rPr>
      </w:pPr>
      <w:r w:rsidRPr="00384190">
        <w:rPr>
          <w:sz w:val="24"/>
          <w:szCs w:val="24"/>
        </w:rPr>
        <w:t>Kan fortyndes med:</w:t>
      </w:r>
    </w:p>
    <w:p w14:paraId="613350DC" w14:textId="77777777" w:rsidR="009C646A" w:rsidRPr="00384190" w:rsidRDefault="009C646A" w:rsidP="00384190">
      <w:pPr>
        <w:ind w:left="851"/>
        <w:rPr>
          <w:sz w:val="24"/>
          <w:szCs w:val="24"/>
        </w:rPr>
      </w:pPr>
      <w:proofErr w:type="spellStart"/>
      <w:r w:rsidRPr="00384190">
        <w:rPr>
          <w:sz w:val="24"/>
          <w:szCs w:val="24"/>
        </w:rPr>
        <w:t>natriumchlorid</w:t>
      </w:r>
      <w:proofErr w:type="spellEnd"/>
      <w:r w:rsidRPr="00384190">
        <w:rPr>
          <w:sz w:val="24"/>
          <w:szCs w:val="24"/>
        </w:rPr>
        <w:t xml:space="preserve"> 9 mg/ml (0,9 %) infusionsvæske</w:t>
      </w:r>
    </w:p>
    <w:p w14:paraId="08B1F432" w14:textId="77777777" w:rsidR="009C646A" w:rsidRPr="00384190" w:rsidRDefault="009C646A" w:rsidP="00384190">
      <w:pPr>
        <w:ind w:left="851"/>
        <w:rPr>
          <w:sz w:val="24"/>
          <w:szCs w:val="24"/>
        </w:rPr>
      </w:pPr>
      <w:proofErr w:type="spellStart"/>
      <w:r w:rsidRPr="00384190">
        <w:rPr>
          <w:sz w:val="24"/>
          <w:szCs w:val="24"/>
        </w:rPr>
        <w:t>glucose</w:t>
      </w:r>
      <w:proofErr w:type="spellEnd"/>
      <w:r w:rsidRPr="00384190">
        <w:rPr>
          <w:sz w:val="24"/>
          <w:szCs w:val="24"/>
        </w:rPr>
        <w:t xml:space="preserve"> 50 mg/ml (5 %) infusionsvæske.</w:t>
      </w:r>
    </w:p>
    <w:p w14:paraId="2DF1E7B3" w14:textId="77777777" w:rsidR="009C646A" w:rsidRPr="00384190" w:rsidRDefault="009C646A" w:rsidP="00384190">
      <w:pPr>
        <w:ind w:left="851"/>
        <w:rPr>
          <w:sz w:val="24"/>
          <w:szCs w:val="24"/>
        </w:rPr>
      </w:pPr>
    </w:p>
    <w:p w14:paraId="34528715" w14:textId="77777777" w:rsidR="009C646A" w:rsidRPr="00384190" w:rsidRDefault="009C646A" w:rsidP="00384190">
      <w:pPr>
        <w:ind w:left="851"/>
        <w:rPr>
          <w:sz w:val="24"/>
          <w:szCs w:val="24"/>
        </w:rPr>
      </w:pPr>
      <w:r w:rsidRPr="00384190">
        <w:rPr>
          <w:sz w:val="24"/>
          <w:szCs w:val="24"/>
        </w:rPr>
        <w:t xml:space="preserve">Koncentrationen af </w:t>
      </w:r>
      <w:proofErr w:type="spellStart"/>
      <w:r w:rsidRPr="00384190">
        <w:rPr>
          <w:sz w:val="24"/>
          <w:szCs w:val="24"/>
        </w:rPr>
        <w:t>clindamycin</w:t>
      </w:r>
      <w:proofErr w:type="spellEnd"/>
      <w:r w:rsidRPr="00384190">
        <w:rPr>
          <w:sz w:val="24"/>
          <w:szCs w:val="24"/>
        </w:rPr>
        <w:t xml:space="preserve"> i fortyndingsmidlet bør ikke overstige 18 mg/ml. Se pkt. 4.2 for yderligere anbefalinger om fortynding af produktet før administration.</w:t>
      </w:r>
    </w:p>
    <w:p w14:paraId="5D150E4A" w14:textId="77777777" w:rsidR="009C646A" w:rsidRPr="00384190" w:rsidRDefault="009C646A" w:rsidP="00384190">
      <w:pPr>
        <w:ind w:left="851"/>
        <w:rPr>
          <w:sz w:val="24"/>
          <w:szCs w:val="24"/>
        </w:rPr>
      </w:pPr>
    </w:p>
    <w:p w14:paraId="0BD208AC" w14:textId="77777777" w:rsidR="009C646A" w:rsidRPr="00384190" w:rsidRDefault="009C646A" w:rsidP="00384190">
      <w:pPr>
        <w:ind w:left="851"/>
        <w:rPr>
          <w:sz w:val="24"/>
          <w:szCs w:val="24"/>
        </w:rPr>
      </w:pPr>
      <w:r w:rsidRPr="00384190">
        <w:rPr>
          <w:sz w:val="24"/>
          <w:szCs w:val="24"/>
        </w:rPr>
        <w:t>Ikke anvendt lægemiddel samt affald heraf skal bortskaffes i henhold til lokale retningslinjer.</w:t>
      </w:r>
    </w:p>
    <w:p w14:paraId="04B0D372" w14:textId="77777777" w:rsidR="009260DE" w:rsidRPr="00384190" w:rsidRDefault="009260DE" w:rsidP="000730CA">
      <w:pPr>
        <w:tabs>
          <w:tab w:val="left" w:pos="851"/>
        </w:tabs>
        <w:ind w:left="851"/>
        <w:rPr>
          <w:sz w:val="24"/>
          <w:szCs w:val="24"/>
        </w:rPr>
      </w:pPr>
    </w:p>
    <w:p w14:paraId="0EAC6807" w14:textId="77777777" w:rsidR="009260DE" w:rsidRPr="00384190" w:rsidRDefault="009260DE" w:rsidP="009260DE">
      <w:pPr>
        <w:tabs>
          <w:tab w:val="left" w:pos="851"/>
        </w:tabs>
        <w:ind w:left="851" w:hanging="851"/>
        <w:rPr>
          <w:b/>
          <w:sz w:val="24"/>
          <w:szCs w:val="24"/>
        </w:rPr>
      </w:pPr>
      <w:r w:rsidRPr="00384190">
        <w:rPr>
          <w:b/>
          <w:sz w:val="24"/>
          <w:szCs w:val="24"/>
        </w:rPr>
        <w:t>7.</w:t>
      </w:r>
      <w:r w:rsidRPr="00384190">
        <w:rPr>
          <w:b/>
          <w:sz w:val="24"/>
          <w:szCs w:val="24"/>
        </w:rPr>
        <w:tab/>
        <w:t>INDEHAVER AF MARKEDSFØRINGSTILLADELSEN</w:t>
      </w:r>
    </w:p>
    <w:p w14:paraId="64B47A41" w14:textId="53B8AD35" w:rsidR="009C646A" w:rsidRPr="00384190" w:rsidRDefault="009C646A" w:rsidP="00384190">
      <w:pPr>
        <w:ind w:left="851"/>
        <w:rPr>
          <w:sz w:val="24"/>
          <w:szCs w:val="24"/>
        </w:rPr>
      </w:pPr>
      <w:r w:rsidRPr="00384190">
        <w:rPr>
          <w:sz w:val="24"/>
          <w:szCs w:val="24"/>
        </w:rPr>
        <w:t xml:space="preserve">AS </w:t>
      </w:r>
      <w:r w:rsidR="00805C1C">
        <w:rPr>
          <w:sz w:val="24"/>
          <w:szCs w:val="24"/>
        </w:rPr>
        <w:t>KALCEKS</w:t>
      </w:r>
    </w:p>
    <w:p w14:paraId="7AC2F164" w14:textId="77777777" w:rsidR="009C646A" w:rsidRPr="00384190" w:rsidRDefault="009C646A" w:rsidP="00384190">
      <w:pPr>
        <w:ind w:left="851"/>
        <w:rPr>
          <w:sz w:val="24"/>
          <w:szCs w:val="24"/>
        </w:rPr>
      </w:pPr>
      <w:proofErr w:type="spellStart"/>
      <w:r w:rsidRPr="00384190">
        <w:rPr>
          <w:sz w:val="24"/>
          <w:szCs w:val="24"/>
        </w:rPr>
        <w:t>Krustpils</w:t>
      </w:r>
      <w:proofErr w:type="spellEnd"/>
      <w:r w:rsidRPr="00384190">
        <w:rPr>
          <w:sz w:val="24"/>
          <w:szCs w:val="24"/>
        </w:rPr>
        <w:t xml:space="preserve"> </w:t>
      </w:r>
      <w:proofErr w:type="spellStart"/>
      <w:r w:rsidRPr="00384190">
        <w:rPr>
          <w:sz w:val="24"/>
          <w:szCs w:val="24"/>
        </w:rPr>
        <w:t>iela</w:t>
      </w:r>
      <w:proofErr w:type="spellEnd"/>
      <w:r w:rsidRPr="00384190">
        <w:rPr>
          <w:sz w:val="24"/>
          <w:szCs w:val="24"/>
        </w:rPr>
        <w:t xml:space="preserve"> 71E</w:t>
      </w:r>
    </w:p>
    <w:p w14:paraId="23B38B1B" w14:textId="77777777" w:rsidR="009C646A" w:rsidRPr="00384190" w:rsidRDefault="009C646A" w:rsidP="00384190">
      <w:pPr>
        <w:ind w:left="851"/>
        <w:rPr>
          <w:sz w:val="24"/>
          <w:szCs w:val="24"/>
        </w:rPr>
      </w:pPr>
      <w:r w:rsidRPr="00384190">
        <w:rPr>
          <w:sz w:val="24"/>
          <w:szCs w:val="24"/>
        </w:rPr>
        <w:t>LV</w:t>
      </w:r>
      <w:r w:rsidRPr="00384190">
        <w:rPr>
          <w:sz w:val="24"/>
          <w:szCs w:val="24"/>
        </w:rPr>
        <w:noBreakHyphen/>
        <w:t xml:space="preserve">1057 </w:t>
      </w:r>
      <w:proofErr w:type="spellStart"/>
      <w:r w:rsidRPr="00384190">
        <w:rPr>
          <w:sz w:val="24"/>
          <w:szCs w:val="24"/>
        </w:rPr>
        <w:t>Rīga</w:t>
      </w:r>
      <w:proofErr w:type="spellEnd"/>
    </w:p>
    <w:p w14:paraId="39EC555D" w14:textId="77777777" w:rsidR="009C646A" w:rsidRPr="00384190" w:rsidRDefault="009C646A" w:rsidP="00384190">
      <w:pPr>
        <w:ind w:left="851"/>
        <w:rPr>
          <w:color w:val="000000"/>
          <w:sz w:val="24"/>
          <w:szCs w:val="24"/>
        </w:rPr>
      </w:pPr>
      <w:r w:rsidRPr="00384190">
        <w:rPr>
          <w:sz w:val="24"/>
          <w:szCs w:val="24"/>
        </w:rPr>
        <w:t>Letland</w:t>
      </w:r>
    </w:p>
    <w:p w14:paraId="543189E8" w14:textId="77777777" w:rsidR="00641C65" w:rsidRPr="00384190" w:rsidRDefault="00641C65" w:rsidP="009260DE">
      <w:pPr>
        <w:tabs>
          <w:tab w:val="left" w:pos="851"/>
        </w:tabs>
        <w:ind w:left="851"/>
        <w:rPr>
          <w:sz w:val="24"/>
          <w:szCs w:val="24"/>
        </w:rPr>
      </w:pPr>
    </w:p>
    <w:p w14:paraId="0B84654C" w14:textId="77777777" w:rsidR="009260DE" w:rsidRPr="00384190" w:rsidRDefault="009260DE" w:rsidP="009260DE">
      <w:pPr>
        <w:tabs>
          <w:tab w:val="left" w:pos="851"/>
        </w:tabs>
        <w:ind w:left="851" w:hanging="851"/>
        <w:rPr>
          <w:b/>
          <w:sz w:val="24"/>
          <w:szCs w:val="24"/>
        </w:rPr>
      </w:pPr>
      <w:r w:rsidRPr="00384190">
        <w:rPr>
          <w:b/>
          <w:sz w:val="24"/>
          <w:szCs w:val="24"/>
        </w:rPr>
        <w:t>8.</w:t>
      </w:r>
      <w:r w:rsidRPr="00384190">
        <w:rPr>
          <w:b/>
          <w:sz w:val="24"/>
          <w:szCs w:val="24"/>
        </w:rPr>
        <w:tab/>
        <w:t>MARKEDSFØRINGSTILLADELSESNUMMER (</w:t>
      </w:r>
      <w:r w:rsidR="00BF6243" w:rsidRPr="00384190">
        <w:rPr>
          <w:b/>
          <w:sz w:val="24"/>
          <w:szCs w:val="24"/>
        </w:rPr>
        <w:t>-</w:t>
      </w:r>
      <w:r w:rsidRPr="00384190">
        <w:rPr>
          <w:b/>
          <w:sz w:val="24"/>
          <w:szCs w:val="24"/>
        </w:rPr>
        <w:t>NUMRE)</w:t>
      </w:r>
    </w:p>
    <w:p w14:paraId="712ECA2E" w14:textId="63649CF2" w:rsidR="009260DE" w:rsidRPr="00384190" w:rsidRDefault="009C646A" w:rsidP="009260DE">
      <w:pPr>
        <w:tabs>
          <w:tab w:val="left" w:pos="851"/>
        </w:tabs>
        <w:ind w:left="851"/>
        <w:rPr>
          <w:sz w:val="24"/>
          <w:szCs w:val="24"/>
        </w:rPr>
      </w:pPr>
      <w:r w:rsidRPr="00384190">
        <w:rPr>
          <w:sz w:val="24"/>
          <w:szCs w:val="24"/>
        </w:rPr>
        <w:t>67215</w:t>
      </w:r>
    </w:p>
    <w:p w14:paraId="2B0F420B" w14:textId="77777777" w:rsidR="009260DE" w:rsidRPr="00384190" w:rsidRDefault="009260DE" w:rsidP="009260DE">
      <w:pPr>
        <w:tabs>
          <w:tab w:val="left" w:pos="851"/>
        </w:tabs>
        <w:ind w:left="851"/>
        <w:jc w:val="both"/>
        <w:rPr>
          <w:sz w:val="24"/>
          <w:szCs w:val="24"/>
        </w:rPr>
      </w:pPr>
    </w:p>
    <w:p w14:paraId="0365793D" w14:textId="77777777" w:rsidR="009260DE" w:rsidRPr="00384190" w:rsidRDefault="009260DE" w:rsidP="009260DE">
      <w:pPr>
        <w:tabs>
          <w:tab w:val="left" w:pos="851"/>
        </w:tabs>
        <w:ind w:left="851" w:hanging="851"/>
        <w:rPr>
          <w:b/>
          <w:sz w:val="24"/>
          <w:szCs w:val="24"/>
        </w:rPr>
      </w:pPr>
      <w:r w:rsidRPr="00384190">
        <w:rPr>
          <w:b/>
          <w:sz w:val="24"/>
          <w:szCs w:val="24"/>
        </w:rPr>
        <w:t>9.</w:t>
      </w:r>
      <w:r w:rsidRPr="00384190">
        <w:rPr>
          <w:b/>
          <w:sz w:val="24"/>
          <w:szCs w:val="24"/>
        </w:rPr>
        <w:tab/>
        <w:t>DATO FOR FØRSTE MARKEDSFØRINGSTILLADELSE</w:t>
      </w:r>
    </w:p>
    <w:p w14:paraId="66E8D972" w14:textId="3F773ADB" w:rsidR="009260DE" w:rsidRPr="00384190" w:rsidRDefault="003C6AE4" w:rsidP="009260DE">
      <w:pPr>
        <w:tabs>
          <w:tab w:val="left" w:pos="851"/>
        </w:tabs>
        <w:ind w:left="851"/>
        <w:rPr>
          <w:sz w:val="24"/>
          <w:szCs w:val="24"/>
        </w:rPr>
      </w:pPr>
      <w:r>
        <w:rPr>
          <w:sz w:val="24"/>
          <w:szCs w:val="24"/>
        </w:rPr>
        <w:t>21. februar 2025</w:t>
      </w:r>
    </w:p>
    <w:p w14:paraId="0DEAE4C6" w14:textId="77777777" w:rsidR="009260DE" w:rsidRPr="00384190" w:rsidRDefault="009260DE" w:rsidP="009260DE">
      <w:pPr>
        <w:tabs>
          <w:tab w:val="left" w:pos="851"/>
        </w:tabs>
        <w:ind w:left="851"/>
        <w:rPr>
          <w:sz w:val="24"/>
          <w:szCs w:val="24"/>
        </w:rPr>
      </w:pPr>
    </w:p>
    <w:p w14:paraId="07574B29" w14:textId="77777777" w:rsidR="009260DE" w:rsidRPr="00384190" w:rsidRDefault="009260DE" w:rsidP="009260DE">
      <w:pPr>
        <w:tabs>
          <w:tab w:val="left" w:pos="851"/>
        </w:tabs>
        <w:ind w:left="851" w:hanging="851"/>
        <w:rPr>
          <w:b/>
          <w:sz w:val="24"/>
          <w:szCs w:val="24"/>
        </w:rPr>
      </w:pPr>
      <w:r w:rsidRPr="00384190">
        <w:rPr>
          <w:b/>
          <w:sz w:val="24"/>
          <w:szCs w:val="24"/>
        </w:rPr>
        <w:t>10.</w:t>
      </w:r>
      <w:r w:rsidRPr="00384190">
        <w:rPr>
          <w:b/>
          <w:sz w:val="24"/>
          <w:szCs w:val="24"/>
        </w:rPr>
        <w:tab/>
        <w:t>DATO FOR ÆNDRING AF TEKSTEN</w:t>
      </w:r>
    </w:p>
    <w:p w14:paraId="3AEB2575" w14:textId="49533BEF" w:rsidR="009260DE" w:rsidRPr="00384190" w:rsidRDefault="009C646A" w:rsidP="009260DE">
      <w:pPr>
        <w:tabs>
          <w:tab w:val="left" w:pos="851"/>
        </w:tabs>
        <w:ind w:left="851"/>
        <w:rPr>
          <w:sz w:val="24"/>
          <w:szCs w:val="24"/>
        </w:rPr>
      </w:pPr>
      <w:r w:rsidRPr="00384190">
        <w:rPr>
          <w:sz w:val="24"/>
          <w:szCs w:val="24"/>
        </w:rPr>
        <w:t>-</w:t>
      </w:r>
    </w:p>
    <w:sectPr w:rsidR="009260DE" w:rsidRPr="0038419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00E99" w14:textId="77777777" w:rsidR="00AA176B" w:rsidRDefault="00AA176B">
      <w:r>
        <w:separator/>
      </w:r>
    </w:p>
  </w:endnote>
  <w:endnote w:type="continuationSeparator" w:id="0">
    <w:p w14:paraId="74339262" w14:textId="77777777" w:rsidR="00AA176B" w:rsidRDefault="00AA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BF30" w14:textId="77777777" w:rsidR="000259B9" w:rsidRDefault="000259B9">
    <w:pPr>
      <w:pStyle w:val="Sidefod"/>
      <w:pBdr>
        <w:bottom w:val="single" w:sz="6" w:space="1" w:color="auto"/>
      </w:pBdr>
    </w:pPr>
  </w:p>
  <w:p w14:paraId="5AAD7F36" w14:textId="77777777" w:rsidR="000259B9" w:rsidRDefault="000259B9" w:rsidP="00C42586">
    <w:pPr>
      <w:pStyle w:val="Sidefod"/>
      <w:tabs>
        <w:tab w:val="clear" w:pos="4819"/>
        <w:tab w:val="left" w:pos="8505"/>
      </w:tabs>
      <w:rPr>
        <w:i/>
        <w:sz w:val="18"/>
        <w:szCs w:val="18"/>
      </w:rPr>
    </w:pPr>
  </w:p>
  <w:p w14:paraId="4CF60E3D" w14:textId="66E0283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94E88">
      <w:rPr>
        <w:i/>
        <w:noProof/>
        <w:sz w:val="18"/>
        <w:szCs w:val="18"/>
      </w:rPr>
      <w:t>Clindamycin Kalceks, injektions--infusionsvæske, opløsning 150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C6AF5" w14:textId="77777777" w:rsidR="00AA176B" w:rsidRDefault="00AA176B">
      <w:r>
        <w:separator/>
      </w:r>
    </w:p>
  </w:footnote>
  <w:footnote w:type="continuationSeparator" w:id="0">
    <w:p w14:paraId="77DBAB99" w14:textId="77777777" w:rsidR="00AA176B" w:rsidRDefault="00AA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627E3E"/>
    <w:multiLevelType w:val="hybridMultilevel"/>
    <w:tmpl w:val="C66EF634"/>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612AD5"/>
    <w:multiLevelType w:val="hybridMultilevel"/>
    <w:tmpl w:val="D152BE4A"/>
    <w:lvl w:ilvl="0" w:tplc="FFFFFFFF">
      <w:start w:val="1"/>
      <w:numFmt w:val="bullet"/>
      <w:lvlText w:val="‒"/>
      <w:lvlJc w:val="left"/>
      <w:pPr>
        <w:ind w:left="1571" w:hanging="360"/>
      </w:pPr>
      <w:rPr>
        <w:rFonts w:ascii="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0C75D8E"/>
    <w:multiLevelType w:val="hybridMultilevel"/>
    <w:tmpl w:val="928804E6"/>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6B"/>
    <w:rsid w:val="000259B9"/>
    <w:rsid w:val="00041491"/>
    <w:rsid w:val="00050D16"/>
    <w:rsid w:val="00062415"/>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84190"/>
    <w:rsid w:val="003A29AE"/>
    <w:rsid w:val="003A32D7"/>
    <w:rsid w:val="003B4074"/>
    <w:rsid w:val="003C6AE4"/>
    <w:rsid w:val="003C769A"/>
    <w:rsid w:val="003D3A90"/>
    <w:rsid w:val="003F1838"/>
    <w:rsid w:val="004251C1"/>
    <w:rsid w:val="0045746C"/>
    <w:rsid w:val="0049104B"/>
    <w:rsid w:val="004C7F1E"/>
    <w:rsid w:val="004E3B12"/>
    <w:rsid w:val="00532310"/>
    <w:rsid w:val="00565F0F"/>
    <w:rsid w:val="00594A86"/>
    <w:rsid w:val="00596D86"/>
    <w:rsid w:val="005B3363"/>
    <w:rsid w:val="00637F5A"/>
    <w:rsid w:val="00641C65"/>
    <w:rsid w:val="006560B1"/>
    <w:rsid w:val="006756DD"/>
    <w:rsid w:val="0071241E"/>
    <w:rsid w:val="00737275"/>
    <w:rsid w:val="00740EEC"/>
    <w:rsid w:val="0078011A"/>
    <w:rsid w:val="00782AF4"/>
    <w:rsid w:val="00790EE7"/>
    <w:rsid w:val="007B6649"/>
    <w:rsid w:val="00805C1C"/>
    <w:rsid w:val="0082576E"/>
    <w:rsid w:val="008720EE"/>
    <w:rsid w:val="0089346F"/>
    <w:rsid w:val="00907F75"/>
    <w:rsid w:val="009260DE"/>
    <w:rsid w:val="0093258A"/>
    <w:rsid w:val="009C646A"/>
    <w:rsid w:val="009C7BA3"/>
    <w:rsid w:val="009D1F5A"/>
    <w:rsid w:val="00A10294"/>
    <w:rsid w:val="00A94E88"/>
    <w:rsid w:val="00AA176B"/>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A57A3"/>
    <w:rsid w:val="00E108AA"/>
    <w:rsid w:val="00E3749A"/>
    <w:rsid w:val="00E7437F"/>
    <w:rsid w:val="00E865B8"/>
    <w:rsid w:val="00EC0B9B"/>
    <w:rsid w:val="00ED5E9F"/>
    <w:rsid w:val="00F66D4F"/>
    <w:rsid w:val="00FB6D01"/>
    <w:rsid w:val="00FB72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04198"/>
  <w15:chartTrackingRefBased/>
  <w15:docId w15:val="{5737D774-354F-4DB5-B028-7A7C4FF6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aliases w:val="Heading3"/>
    <w:uiPriority w:val="1"/>
    <w:qFormat/>
    <w:rsid w:val="009C646A"/>
    <w:pPr>
      <w:ind w:left="10" w:hanging="10"/>
    </w:pPr>
    <w:rPr>
      <w:color w:val="000000"/>
      <w:sz w:val="22"/>
      <w:szCs w:val="22"/>
      <w:lang w:eastAsia="en-US"/>
    </w:rPr>
  </w:style>
  <w:style w:type="character" w:styleId="Hyperlink">
    <w:name w:val="Hyperlink"/>
    <w:basedOn w:val="Standardskrifttypeiafsnit"/>
    <w:uiPriority w:val="99"/>
    <w:semiHidden/>
    <w:unhideWhenUsed/>
    <w:rsid w:val="009C646A"/>
    <w:rPr>
      <w:color w:val="0563C1" w:themeColor="hyperlink"/>
      <w:u w:val="single"/>
    </w:rPr>
  </w:style>
  <w:style w:type="paragraph" w:styleId="Brdtekst">
    <w:name w:val="Body Text"/>
    <w:basedOn w:val="Normal"/>
    <w:link w:val="BrdtekstTegn"/>
    <w:uiPriority w:val="1"/>
    <w:semiHidden/>
    <w:unhideWhenUsed/>
    <w:qFormat/>
    <w:rsid w:val="009C646A"/>
    <w:pPr>
      <w:widowControl w:val="0"/>
      <w:autoSpaceDE w:val="0"/>
      <w:autoSpaceDN w:val="0"/>
    </w:pPr>
    <w:rPr>
      <w:sz w:val="22"/>
      <w:szCs w:val="22"/>
      <w:lang w:eastAsia="en-GB" w:bidi="en-GB"/>
    </w:rPr>
  </w:style>
  <w:style w:type="character" w:customStyle="1" w:styleId="BrdtekstTegn">
    <w:name w:val="Brødtekst Tegn"/>
    <w:basedOn w:val="Standardskrifttypeiafsnit"/>
    <w:link w:val="Brdtekst"/>
    <w:uiPriority w:val="1"/>
    <w:semiHidden/>
    <w:rsid w:val="009C646A"/>
    <w:rPr>
      <w:sz w:val="22"/>
      <w:szCs w:val="22"/>
      <w:lang w:eastAsia="en-GB" w:bidi="en-GB"/>
    </w:rPr>
  </w:style>
  <w:style w:type="paragraph" w:styleId="Listeafsnit">
    <w:name w:val="List Paragraph"/>
    <w:basedOn w:val="Normal"/>
    <w:uiPriority w:val="34"/>
    <w:qFormat/>
    <w:rsid w:val="009C646A"/>
    <w:pPr>
      <w:ind w:left="720"/>
      <w:contextualSpacing/>
    </w:pPr>
  </w:style>
  <w:style w:type="table" w:styleId="Tabel-Gitter">
    <w:name w:val="Table Grid"/>
    <w:basedOn w:val="Tabel-Normal"/>
    <w:uiPriority w:val="59"/>
    <w:rsid w:val="00805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0180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9045510">
      <w:bodyDiv w:val="1"/>
      <w:marLeft w:val="0"/>
      <w:marRight w:val="0"/>
      <w:marTop w:val="0"/>
      <w:marBottom w:val="0"/>
      <w:divBdr>
        <w:top w:val="none" w:sz="0" w:space="0" w:color="auto"/>
        <w:left w:val="none" w:sz="0" w:space="0" w:color="auto"/>
        <w:bottom w:val="none" w:sz="0" w:space="0" w:color="auto"/>
        <w:right w:val="none" w:sz="0" w:space="0" w:color="auto"/>
      </w:divBdr>
    </w:div>
    <w:div w:id="345913595">
      <w:bodyDiv w:val="1"/>
      <w:marLeft w:val="0"/>
      <w:marRight w:val="0"/>
      <w:marTop w:val="0"/>
      <w:marBottom w:val="0"/>
      <w:divBdr>
        <w:top w:val="none" w:sz="0" w:space="0" w:color="auto"/>
        <w:left w:val="none" w:sz="0" w:space="0" w:color="auto"/>
        <w:bottom w:val="none" w:sz="0" w:space="0" w:color="auto"/>
        <w:right w:val="none" w:sz="0" w:space="0" w:color="auto"/>
      </w:divBdr>
    </w:div>
    <w:div w:id="507256869">
      <w:bodyDiv w:val="1"/>
      <w:marLeft w:val="0"/>
      <w:marRight w:val="0"/>
      <w:marTop w:val="0"/>
      <w:marBottom w:val="0"/>
      <w:divBdr>
        <w:top w:val="none" w:sz="0" w:space="0" w:color="auto"/>
        <w:left w:val="none" w:sz="0" w:space="0" w:color="auto"/>
        <w:bottom w:val="none" w:sz="0" w:space="0" w:color="auto"/>
        <w:right w:val="none" w:sz="0" w:space="0" w:color="auto"/>
      </w:divBdr>
    </w:div>
    <w:div w:id="558052251">
      <w:bodyDiv w:val="1"/>
      <w:marLeft w:val="0"/>
      <w:marRight w:val="0"/>
      <w:marTop w:val="0"/>
      <w:marBottom w:val="0"/>
      <w:divBdr>
        <w:top w:val="none" w:sz="0" w:space="0" w:color="auto"/>
        <w:left w:val="none" w:sz="0" w:space="0" w:color="auto"/>
        <w:bottom w:val="none" w:sz="0" w:space="0" w:color="auto"/>
        <w:right w:val="none" w:sz="0" w:space="0" w:color="auto"/>
      </w:divBdr>
    </w:div>
    <w:div w:id="768618879">
      <w:bodyDiv w:val="1"/>
      <w:marLeft w:val="0"/>
      <w:marRight w:val="0"/>
      <w:marTop w:val="0"/>
      <w:marBottom w:val="0"/>
      <w:divBdr>
        <w:top w:val="none" w:sz="0" w:space="0" w:color="auto"/>
        <w:left w:val="none" w:sz="0" w:space="0" w:color="auto"/>
        <w:bottom w:val="none" w:sz="0" w:space="0" w:color="auto"/>
        <w:right w:val="none" w:sz="0" w:space="0" w:color="auto"/>
      </w:divBdr>
    </w:div>
    <w:div w:id="812405182">
      <w:bodyDiv w:val="1"/>
      <w:marLeft w:val="0"/>
      <w:marRight w:val="0"/>
      <w:marTop w:val="0"/>
      <w:marBottom w:val="0"/>
      <w:divBdr>
        <w:top w:val="none" w:sz="0" w:space="0" w:color="auto"/>
        <w:left w:val="none" w:sz="0" w:space="0" w:color="auto"/>
        <w:bottom w:val="none" w:sz="0" w:space="0" w:color="auto"/>
        <w:right w:val="none" w:sz="0" w:space="0" w:color="auto"/>
      </w:divBdr>
    </w:div>
    <w:div w:id="818883731">
      <w:bodyDiv w:val="1"/>
      <w:marLeft w:val="0"/>
      <w:marRight w:val="0"/>
      <w:marTop w:val="0"/>
      <w:marBottom w:val="0"/>
      <w:divBdr>
        <w:top w:val="none" w:sz="0" w:space="0" w:color="auto"/>
        <w:left w:val="none" w:sz="0" w:space="0" w:color="auto"/>
        <w:bottom w:val="none" w:sz="0" w:space="0" w:color="auto"/>
        <w:right w:val="none" w:sz="0" w:space="0" w:color="auto"/>
      </w:divBdr>
    </w:div>
    <w:div w:id="834340714">
      <w:bodyDiv w:val="1"/>
      <w:marLeft w:val="0"/>
      <w:marRight w:val="0"/>
      <w:marTop w:val="0"/>
      <w:marBottom w:val="0"/>
      <w:divBdr>
        <w:top w:val="none" w:sz="0" w:space="0" w:color="auto"/>
        <w:left w:val="none" w:sz="0" w:space="0" w:color="auto"/>
        <w:bottom w:val="none" w:sz="0" w:space="0" w:color="auto"/>
        <w:right w:val="none" w:sz="0" w:space="0" w:color="auto"/>
      </w:divBdr>
    </w:div>
    <w:div w:id="844201568">
      <w:bodyDiv w:val="1"/>
      <w:marLeft w:val="0"/>
      <w:marRight w:val="0"/>
      <w:marTop w:val="0"/>
      <w:marBottom w:val="0"/>
      <w:divBdr>
        <w:top w:val="none" w:sz="0" w:space="0" w:color="auto"/>
        <w:left w:val="none" w:sz="0" w:space="0" w:color="auto"/>
        <w:bottom w:val="none" w:sz="0" w:space="0" w:color="auto"/>
        <w:right w:val="none" w:sz="0" w:space="0" w:color="auto"/>
      </w:divBdr>
    </w:div>
    <w:div w:id="872157620">
      <w:bodyDiv w:val="1"/>
      <w:marLeft w:val="0"/>
      <w:marRight w:val="0"/>
      <w:marTop w:val="0"/>
      <w:marBottom w:val="0"/>
      <w:divBdr>
        <w:top w:val="none" w:sz="0" w:space="0" w:color="auto"/>
        <w:left w:val="none" w:sz="0" w:space="0" w:color="auto"/>
        <w:bottom w:val="none" w:sz="0" w:space="0" w:color="auto"/>
        <w:right w:val="none" w:sz="0" w:space="0" w:color="auto"/>
      </w:divBdr>
    </w:div>
    <w:div w:id="882063150">
      <w:bodyDiv w:val="1"/>
      <w:marLeft w:val="0"/>
      <w:marRight w:val="0"/>
      <w:marTop w:val="0"/>
      <w:marBottom w:val="0"/>
      <w:divBdr>
        <w:top w:val="none" w:sz="0" w:space="0" w:color="auto"/>
        <w:left w:val="none" w:sz="0" w:space="0" w:color="auto"/>
        <w:bottom w:val="none" w:sz="0" w:space="0" w:color="auto"/>
        <w:right w:val="none" w:sz="0" w:space="0" w:color="auto"/>
      </w:divBdr>
    </w:div>
    <w:div w:id="890269011">
      <w:bodyDiv w:val="1"/>
      <w:marLeft w:val="0"/>
      <w:marRight w:val="0"/>
      <w:marTop w:val="0"/>
      <w:marBottom w:val="0"/>
      <w:divBdr>
        <w:top w:val="none" w:sz="0" w:space="0" w:color="auto"/>
        <w:left w:val="none" w:sz="0" w:space="0" w:color="auto"/>
        <w:bottom w:val="none" w:sz="0" w:space="0" w:color="auto"/>
        <w:right w:val="none" w:sz="0" w:space="0" w:color="auto"/>
      </w:divBdr>
    </w:div>
    <w:div w:id="978920329">
      <w:bodyDiv w:val="1"/>
      <w:marLeft w:val="0"/>
      <w:marRight w:val="0"/>
      <w:marTop w:val="0"/>
      <w:marBottom w:val="0"/>
      <w:divBdr>
        <w:top w:val="none" w:sz="0" w:space="0" w:color="auto"/>
        <w:left w:val="none" w:sz="0" w:space="0" w:color="auto"/>
        <w:bottom w:val="none" w:sz="0" w:space="0" w:color="auto"/>
        <w:right w:val="none" w:sz="0" w:space="0" w:color="auto"/>
      </w:divBdr>
    </w:div>
    <w:div w:id="1223056533">
      <w:bodyDiv w:val="1"/>
      <w:marLeft w:val="0"/>
      <w:marRight w:val="0"/>
      <w:marTop w:val="0"/>
      <w:marBottom w:val="0"/>
      <w:divBdr>
        <w:top w:val="none" w:sz="0" w:space="0" w:color="auto"/>
        <w:left w:val="none" w:sz="0" w:space="0" w:color="auto"/>
        <w:bottom w:val="none" w:sz="0" w:space="0" w:color="auto"/>
        <w:right w:val="none" w:sz="0" w:space="0" w:color="auto"/>
      </w:divBdr>
    </w:div>
    <w:div w:id="1306278243">
      <w:bodyDiv w:val="1"/>
      <w:marLeft w:val="0"/>
      <w:marRight w:val="0"/>
      <w:marTop w:val="0"/>
      <w:marBottom w:val="0"/>
      <w:divBdr>
        <w:top w:val="none" w:sz="0" w:space="0" w:color="auto"/>
        <w:left w:val="none" w:sz="0" w:space="0" w:color="auto"/>
        <w:bottom w:val="none" w:sz="0" w:space="0" w:color="auto"/>
        <w:right w:val="none" w:sz="0" w:space="0" w:color="auto"/>
      </w:divBdr>
    </w:div>
    <w:div w:id="1341083638">
      <w:bodyDiv w:val="1"/>
      <w:marLeft w:val="0"/>
      <w:marRight w:val="0"/>
      <w:marTop w:val="0"/>
      <w:marBottom w:val="0"/>
      <w:divBdr>
        <w:top w:val="none" w:sz="0" w:space="0" w:color="auto"/>
        <w:left w:val="none" w:sz="0" w:space="0" w:color="auto"/>
        <w:bottom w:val="none" w:sz="0" w:space="0" w:color="auto"/>
        <w:right w:val="none" w:sz="0" w:space="0" w:color="auto"/>
      </w:divBdr>
    </w:div>
    <w:div w:id="1355232470">
      <w:bodyDiv w:val="1"/>
      <w:marLeft w:val="0"/>
      <w:marRight w:val="0"/>
      <w:marTop w:val="0"/>
      <w:marBottom w:val="0"/>
      <w:divBdr>
        <w:top w:val="none" w:sz="0" w:space="0" w:color="auto"/>
        <w:left w:val="none" w:sz="0" w:space="0" w:color="auto"/>
        <w:bottom w:val="none" w:sz="0" w:space="0" w:color="auto"/>
        <w:right w:val="none" w:sz="0" w:space="0" w:color="auto"/>
      </w:divBdr>
    </w:div>
    <w:div w:id="1460538770">
      <w:bodyDiv w:val="1"/>
      <w:marLeft w:val="0"/>
      <w:marRight w:val="0"/>
      <w:marTop w:val="0"/>
      <w:marBottom w:val="0"/>
      <w:divBdr>
        <w:top w:val="none" w:sz="0" w:space="0" w:color="auto"/>
        <w:left w:val="none" w:sz="0" w:space="0" w:color="auto"/>
        <w:bottom w:val="none" w:sz="0" w:space="0" w:color="auto"/>
        <w:right w:val="none" w:sz="0" w:space="0" w:color="auto"/>
      </w:divBdr>
    </w:div>
    <w:div w:id="1572498636">
      <w:bodyDiv w:val="1"/>
      <w:marLeft w:val="0"/>
      <w:marRight w:val="0"/>
      <w:marTop w:val="0"/>
      <w:marBottom w:val="0"/>
      <w:divBdr>
        <w:top w:val="none" w:sz="0" w:space="0" w:color="auto"/>
        <w:left w:val="none" w:sz="0" w:space="0" w:color="auto"/>
        <w:bottom w:val="none" w:sz="0" w:space="0" w:color="auto"/>
        <w:right w:val="none" w:sz="0" w:space="0" w:color="auto"/>
      </w:divBdr>
    </w:div>
    <w:div w:id="158637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46</TotalTime>
  <Pages>13</Pages>
  <Words>3566</Words>
  <Characters>24668</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2021123288; MT</dc:description>
  <cp:lastModifiedBy>Gitte Jørgensen</cp:lastModifiedBy>
  <cp:revision>10</cp:revision>
  <cp:lastPrinted>2012-08-22T08:53:00Z</cp:lastPrinted>
  <dcterms:created xsi:type="dcterms:W3CDTF">2025-02-19T14:02:00Z</dcterms:created>
  <dcterms:modified xsi:type="dcterms:W3CDTF">2025-02-21T13:01:00Z</dcterms:modified>
</cp:coreProperties>
</file>