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23AC0" w14:textId="77777777" w:rsidR="004A3BF4" w:rsidRPr="00BB5BFC" w:rsidRDefault="00056601" w:rsidP="004A3BF4">
      <w:pPr>
        <w:rPr>
          <w:sz w:val="24"/>
          <w:szCs w:val="24"/>
          <w:lang w:val="en-GB"/>
        </w:rPr>
      </w:pPr>
      <w:bookmarkStart w:id="0" w:name="_GoBack"/>
      <w:bookmarkEnd w:id="0"/>
      <w:r w:rsidRPr="00BB5BFC">
        <w:rPr>
          <w:noProof/>
          <w:sz w:val="24"/>
          <w:szCs w:val="24"/>
          <w:lang w:val="en-GB"/>
        </w:rPr>
        <w:drawing>
          <wp:inline distT="0" distB="0" distL="0" distR="0" wp14:anchorId="307A0035" wp14:editId="5366BB8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0F4D123" w14:textId="77777777" w:rsidR="006B3847" w:rsidRPr="00BB5BFC" w:rsidRDefault="006B3847" w:rsidP="006B3847">
      <w:pPr>
        <w:rPr>
          <w:sz w:val="24"/>
          <w:szCs w:val="24"/>
          <w:lang w:val="en-GB"/>
        </w:rPr>
      </w:pPr>
    </w:p>
    <w:p w14:paraId="3B07E915" w14:textId="327E936F" w:rsidR="006B3847" w:rsidRPr="00BB5BFC" w:rsidRDefault="006B3847" w:rsidP="006B3847">
      <w:pPr>
        <w:tabs>
          <w:tab w:val="right" w:pos="9356"/>
        </w:tabs>
        <w:rPr>
          <w:b/>
          <w:sz w:val="24"/>
          <w:szCs w:val="24"/>
          <w:lang w:val="en-GB"/>
        </w:rPr>
      </w:pPr>
      <w:r w:rsidRPr="00BB5BFC">
        <w:rPr>
          <w:b/>
          <w:sz w:val="24"/>
          <w:szCs w:val="24"/>
          <w:lang w:val="en-GB"/>
        </w:rPr>
        <w:tab/>
      </w:r>
      <w:r w:rsidR="00433E36">
        <w:rPr>
          <w:b/>
          <w:sz w:val="24"/>
          <w:szCs w:val="24"/>
          <w:lang w:val="en-GB"/>
        </w:rPr>
        <w:t>11 December 2025</w:t>
      </w:r>
    </w:p>
    <w:p w14:paraId="39859B67" w14:textId="77777777" w:rsidR="006B3847" w:rsidRPr="00BB5BFC" w:rsidRDefault="006B3847" w:rsidP="006B3847">
      <w:pPr>
        <w:rPr>
          <w:sz w:val="24"/>
          <w:szCs w:val="24"/>
          <w:lang w:val="en-GB"/>
        </w:rPr>
      </w:pPr>
    </w:p>
    <w:p w14:paraId="55A790EA" w14:textId="77777777" w:rsidR="007C5D2A" w:rsidRPr="00BB5BFC" w:rsidRDefault="007C5D2A" w:rsidP="007C5D2A">
      <w:pPr>
        <w:rPr>
          <w:sz w:val="24"/>
          <w:szCs w:val="24"/>
          <w:lang w:val="en-GB"/>
        </w:rPr>
      </w:pPr>
    </w:p>
    <w:p w14:paraId="186F3A53" w14:textId="77777777" w:rsidR="007C5D2A" w:rsidRPr="00BB5BFC" w:rsidRDefault="007C5D2A" w:rsidP="007C5D2A">
      <w:pPr>
        <w:rPr>
          <w:sz w:val="24"/>
          <w:szCs w:val="24"/>
          <w:lang w:val="en-GB"/>
        </w:rPr>
      </w:pPr>
    </w:p>
    <w:p w14:paraId="7E1D4968" w14:textId="77777777" w:rsidR="007C5D2A" w:rsidRPr="00BB5BFC" w:rsidRDefault="007C5D2A" w:rsidP="007C5D2A">
      <w:pPr>
        <w:jc w:val="center"/>
        <w:rPr>
          <w:b/>
          <w:sz w:val="24"/>
          <w:szCs w:val="24"/>
          <w:lang w:val="en-GB"/>
        </w:rPr>
      </w:pPr>
      <w:bookmarkStart w:id="1" w:name="_Hlk49158549"/>
      <w:r w:rsidRPr="00BB5BFC">
        <w:rPr>
          <w:b/>
          <w:sz w:val="24"/>
          <w:szCs w:val="24"/>
          <w:lang w:val="en-GB"/>
        </w:rPr>
        <w:t>SUMMARY OF PRODUCT CHARACTERISTICS</w:t>
      </w:r>
    </w:p>
    <w:bookmarkEnd w:id="1"/>
    <w:p w14:paraId="44961105" w14:textId="77777777" w:rsidR="007C5D2A" w:rsidRPr="00BB5BFC" w:rsidRDefault="007C5D2A" w:rsidP="007C5D2A">
      <w:pPr>
        <w:jc w:val="center"/>
        <w:rPr>
          <w:sz w:val="24"/>
          <w:szCs w:val="24"/>
          <w:lang w:val="en-GB"/>
        </w:rPr>
      </w:pPr>
    </w:p>
    <w:p w14:paraId="4C17B892" w14:textId="77777777" w:rsidR="007C5D2A" w:rsidRPr="00BB5BFC" w:rsidRDefault="007C5D2A" w:rsidP="007C5D2A">
      <w:pPr>
        <w:jc w:val="center"/>
        <w:rPr>
          <w:b/>
          <w:sz w:val="24"/>
          <w:szCs w:val="24"/>
          <w:lang w:val="en-GB"/>
        </w:rPr>
      </w:pPr>
      <w:r w:rsidRPr="00BB5BFC">
        <w:rPr>
          <w:b/>
          <w:sz w:val="24"/>
          <w:szCs w:val="24"/>
          <w:lang w:val="en-GB"/>
        </w:rPr>
        <w:t>for</w:t>
      </w:r>
    </w:p>
    <w:p w14:paraId="45108504" w14:textId="77777777" w:rsidR="007C5D2A" w:rsidRPr="00BB5BFC" w:rsidRDefault="007C5D2A" w:rsidP="007C5D2A">
      <w:pPr>
        <w:jc w:val="center"/>
        <w:rPr>
          <w:sz w:val="24"/>
          <w:szCs w:val="24"/>
          <w:lang w:val="en-GB"/>
        </w:rPr>
      </w:pPr>
    </w:p>
    <w:p w14:paraId="25CBCB56" w14:textId="3148D8B7" w:rsidR="007C5D2A" w:rsidRPr="00BB5BFC" w:rsidRDefault="00FA6201" w:rsidP="007C5D2A">
      <w:pPr>
        <w:jc w:val="center"/>
        <w:rPr>
          <w:b/>
          <w:sz w:val="24"/>
          <w:szCs w:val="24"/>
          <w:lang w:val="en-GB"/>
        </w:rPr>
      </w:pPr>
      <w:r w:rsidRPr="00BB5BFC">
        <w:rPr>
          <w:b/>
          <w:sz w:val="24"/>
          <w:szCs w:val="24"/>
          <w:lang w:val="en-GB"/>
        </w:rPr>
        <w:t>Clindamycin "Noridem", solution for injection/infusion</w:t>
      </w:r>
    </w:p>
    <w:p w14:paraId="164476C4" w14:textId="77777777" w:rsidR="007C5D2A" w:rsidRPr="00BB5BFC" w:rsidRDefault="007C5D2A" w:rsidP="007C5D2A">
      <w:pPr>
        <w:jc w:val="both"/>
        <w:rPr>
          <w:sz w:val="24"/>
          <w:szCs w:val="24"/>
          <w:lang w:val="en-GB"/>
        </w:rPr>
      </w:pPr>
    </w:p>
    <w:p w14:paraId="5B8CEC7B" w14:textId="77777777" w:rsidR="0042292D" w:rsidRPr="00BB5BFC" w:rsidRDefault="0042292D" w:rsidP="007C5D2A">
      <w:pPr>
        <w:jc w:val="both"/>
        <w:rPr>
          <w:sz w:val="24"/>
          <w:szCs w:val="24"/>
          <w:lang w:val="en-GB"/>
        </w:rPr>
      </w:pPr>
    </w:p>
    <w:p w14:paraId="48591C20" w14:textId="77777777" w:rsidR="008F2F8C" w:rsidRPr="00BB5BFC" w:rsidRDefault="008F2F8C" w:rsidP="008F2F8C">
      <w:pPr>
        <w:tabs>
          <w:tab w:val="left" w:pos="8222"/>
        </w:tabs>
        <w:ind w:left="851" w:hanging="851"/>
        <w:rPr>
          <w:b/>
          <w:sz w:val="24"/>
          <w:szCs w:val="24"/>
          <w:lang w:val="en-GB"/>
        </w:rPr>
      </w:pPr>
      <w:r w:rsidRPr="00BB5BFC">
        <w:rPr>
          <w:b/>
          <w:sz w:val="24"/>
          <w:szCs w:val="24"/>
          <w:lang w:val="en-GB"/>
        </w:rPr>
        <w:t>0.</w:t>
      </w:r>
      <w:r w:rsidRPr="00BB5BFC">
        <w:rPr>
          <w:b/>
          <w:sz w:val="24"/>
          <w:szCs w:val="24"/>
          <w:lang w:val="en-GB"/>
        </w:rPr>
        <w:tab/>
      </w:r>
      <w:proofErr w:type="gramStart"/>
      <w:r w:rsidRPr="00BB5BFC">
        <w:rPr>
          <w:b/>
          <w:sz w:val="24"/>
          <w:szCs w:val="24"/>
          <w:lang w:val="en-GB"/>
        </w:rPr>
        <w:t>D.SP.NO</w:t>
      </w:r>
      <w:proofErr w:type="gramEnd"/>
      <w:r w:rsidRPr="00BB5BFC">
        <w:rPr>
          <w:b/>
          <w:sz w:val="24"/>
          <w:szCs w:val="24"/>
          <w:lang w:val="en-GB"/>
        </w:rPr>
        <w:t>.</w:t>
      </w:r>
    </w:p>
    <w:p w14:paraId="1D98D19E" w14:textId="1A39B4C0" w:rsidR="008F2F8C" w:rsidRPr="00BB5BFC" w:rsidRDefault="008A4090" w:rsidP="008F2F8C">
      <w:pPr>
        <w:tabs>
          <w:tab w:val="left" w:pos="8222"/>
        </w:tabs>
        <w:ind w:left="851"/>
        <w:rPr>
          <w:sz w:val="24"/>
          <w:szCs w:val="24"/>
          <w:lang w:val="en-GB"/>
        </w:rPr>
      </w:pPr>
      <w:r w:rsidRPr="00BB5BFC">
        <w:rPr>
          <w:sz w:val="24"/>
          <w:szCs w:val="24"/>
          <w:lang w:val="en-GB"/>
        </w:rPr>
        <w:t>34501</w:t>
      </w:r>
    </w:p>
    <w:p w14:paraId="0AAE53A6" w14:textId="77777777" w:rsidR="007C5D2A" w:rsidRPr="00BB5BFC" w:rsidRDefault="007C5D2A" w:rsidP="007C5D2A">
      <w:pPr>
        <w:tabs>
          <w:tab w:val="left" w:pos="851"/>
        </w:tabs>
        <w:jc w:val="both"/>
        <w:rPr>
          <w:sz w:val="24"/>
          <w:szCs w:val="24"/>
          <w:lang w:val="en-GB"/>
        </w:rPr>
      </w:pPr>
    </w:p>
    <w:p w14:paraId="5CCBB216" w14:textId="77777777" w:rsidR="007C5D2A" w:rsidRPr="00BB5BFC" w:rsidRDefault="009925C9" w:rsidP="007C5D2A">
      <w:pPr>
        <w:tabs>
          <w:tab w:val="left" w:pos="851"/>
        </w:tabs>
        <w:ind w:left="851" w:hanging="851"/>
        <w:rPr>
          <w:sz w:val="24"/>
          <w:szCs w:val="24"/>
          <w:lang w:val="en-GB"/>
        </w:rPr>
      </w:pPr>
      <w:r w:rsidRPr="00BB5BFC">
        <w:rPr>
          <w:b/>
          <w:sz w:val="24"/>
          <w:szCs w:val="24"/>
          <w:lang w:val="en-GB"/>
        </w:rPr>
        <w:t>1.</w:t>
      </w:r>
      <w:r w:rsidR="007C5D2A" w:rsidRPr="00BB5BFC">
        <w:rPr>
          <w:b/>
          <w:sz w:val="24"/>
          <w:szCs w:val="24"/>
          <w:lang w:val="en-GB"/>
        </w:rPr>
        <w:tab/>
        <w:t>NAME OF THE MEDICINAL PRODUCT</w:t>
      </w:r>
    </w:p>
    <w:p w14:paraId="0D7BEB55" w14:textId="49DAD55F" w:rsidR="007C5D2A" w:rsidRPr="00BB5BFC" w:rsidRDefault="00FA6201" w:rsidP="004A3BF4">
      <w:pPr>
        <w:tabs>
          <w:tab w:val="left" w:pos="851"/>
        </w:tabs>
        <w:ind w:left="851"/>
        <w:rPr>
          <w:sz w:val="24"/>
          <w:szCs w:val="24"/>
          <w:lang w:val="en-GB"/>
        </w:rPr>
      </w:pPr>
      <w:r w:rsidRPr="00BB5BFC">
        <w:rPr>
          <w:sz w:val="24"/>
          <w:szCs w:val="24"/>
          <w:lang w:val="en-GB"/>
        </w:rPr>
        <w:t>Clindamycin "Noridem"</w:t>
      </w:r>
    </w:p>
    <w:p w14:paraId="65FFE096" w14:textId="77777777" w:rsidR="007C5D2A" w:rsidRPr="00BB5BFC" w:rsidRDefault="007C5D2A" w:rsidP="004A3BF4">
      <w:pPr>
        <w:tabs>
          <w:tab w:val="left" w:pos="851"/>
        </w:tabs>
        <w:ind w:left="851"/>
        <w:rPr>
          <w:sz w:val="24"/>
          <w:szCs w:val="24"/>
          <w:lang w:val="en-GB"/>
        </w:rPr>
      </w:pPr>
    </w:p>
    <w:p w14:paraId="2457C9FD" w14:textId="77777777" w:rsidR="007C5D2A" w:rsidRPr="00BB5BFC" w:rsidRDefault="009925C9" w:rsidP="007C5D2A">
      <w:pPr>
        <w:ind w:left="851" w:hanging="851"/>
        <w:rPr>
          <w:b/>
          <w:sz w:val="24"/>
          <w:szCs w:val="24"/>
          <w:lang w:val="en-GB"/>
        </w:rPr>
      </w:pPr>
      <w:r w:rsidRPr="00BB5BFC">
        <w:rPr>
          <w:b/>
          <w:sz w:val="24"/>
          <w:szCs w:val="24"/>
          <w:lang w:val="en-GB"/>
        </w:rPr>
        <w:t>2.</w:t>
      </w:r>
      <w:r w:rsidR="007C5D2A" w:rsidRPr="00BB5BFC">
        <w:rPr>
          <w:b/>
          <w:sz w:val="24"/>
          <w:szCs w:val="24"/>
          <w:lang w:val="en-GB"/>
        </w:rPr>
        <w:tab/>
        <w:t>QUALITATIVE AND QUANTITATIVE COMPOSITION</w:t>
      </w:r>
    </w:p>
    <w:p w14:paraId="2F455496" w14:textId="77777777" w:rsidR="000D4D1E" w:rsidRPr="00BB5BFC" w:rsidRDefault="000D4D1E" w:rsidP="006933B5">
      <w:pPr>
        <w:ind w:left="851"/>
        <w:rPr>
          <w:sz w:val="24"/>
          <w:szCs w:val="24"/>
          <w:lang w:val="en-US"/>
        </w:rPr>
      </w:pPr>
      <w:r w:rsidRPr="00BB5BFC">
        <w:rPr>
          <w:sz w:val="24"/>
          <w:szCs w:val="24"/>
          <w:lang w:val="en-US"/>
        </w:rPr>
        <w:t>Each ml of solution contains 150 mg clindamycin (as phosphate).</w:t>
      </w:r>
    </w:p>
    <w:p w14:paraId="11CADDF4" w14:textId="77777777" w:rsidR="000D4D1E" w:rsidRPr="00BB5BFC" w:rsidRDefault="000D4D1E" w:rsidP="006933B5">
      <w:pPr>
        <w:ind w:left="851"/>
        <w:rPr>
          <w:sz w:val="24"/>
          <w:szCs w:val="24"/>
          <w:lang w:val="en-US"/>
        </w:rPr>
      </w:pPr>
    </w:p>
    <w:p w14:paraId="2EB19CDA" w14:textId="77777777" w:rsidR="000D4D1E" w:rsidRPr="00BB5BFC" w:rsidRDefault="000D4D1E" w:rsidP="006933B5">
      <w:pPr>
        <w:ind w:left="851"/>
        <w:rPr>
          <w:sz w:val="24"/>
          <w:szCs w:val="24"/>
          <w:lang w:val="en-US"/>
        </w:rPr>
      </w:pPr>
      <w:r w:rsidRPr="00BB5BFC">
        <w:rPr>
          <w:sz w:val="24"/>
          <w:szCs w:val="24"/>
          <w:lang w:val="en-US"/>
        </w:rPr>
        <w:t>Each ampoule of 2 ml contains 300 mg clindamycin (as phosphate).</w:t>
      </w:r>
    </w:p>
    <w:p w14:paraId="6EDB2E69" w14:textId="77777777" w:rsidR="000D4D1E" w:rsidRPr="00BB5BFC" w:rsidRDefault="000D4D1E" w:rsidP="006933B5">
      <w:pPr>
        <w:ind w:left="851"/>
        <w:rPr>
          <w:sz w:val="24"/>
          <w:szCs w:val="24"/>
          <w:lang w:val="en-US"/>
        </w:rPr>
      </w:pPr>
      <w:r w:rsidRPr="00BB5BFC">
        <w:rPr>
          <w:sz w:val="24"/>
          <w:szCs w:val="24"/>
          <w:lang w:val="en-US"/>
        </w:rPr>
        <w:t>Each ampoule of 4 ml contains 600 mg clindamycin (as phosphate).</w:t>
      </w:r>
    </w:p>
    <w:p w14:paraId="69905C77" w14:textId="77777777" w:rsidR="000D4D1E" w:rsidRPr="00BB5BFC" w:rsidRDefault="000D4D1E" w:rsidP="006933B5">
      <w:pPr>
        <w:ind w:left="851"/>
        <w:rPr>
          <w:sz w:val="24"/>
          <w:szCs w:val="24"/>
          <w:lang w:val="en-GB"/>
        </w:rPr>
      </w:pPr>
      <w:r w:rsidRPr="00433E36">
        <w:rPr>
          <w:sz w:val="24"/>
          <w:szCs w:val="24"/>
          <w:lang w:val="en-US"/>
        </w:rPr>
        <w:t>Each ampoule of 6 ml contains 900 mg clindamycin (as phosphate).</w:t>
      </w:r>
    </w:p>
    <w:p w14:paraId="623837D7" w14:textId="77777777" w:rsidR="000D4D1E" w:rsidRPr="00BB5BFC" w:rsidRDefault="000D4D1E" w:rsidP="006933B5">
      <w:pPr>
        <w:ind w:left="851"/>
        <w:rPr>
          <w:sz w:val="24"/>
          <w:szCs w:val="24"/>
          <w:lang w:val="en-GB"/>
        </w:rPr>
      </w:pPr>
    </w:p>
    <w:p w14:paraId="21C3218D" w14:textId="77777777" w:rsidR="000D4D1E" w:rsidRPr="00BB5BFC" w:rsidRDefault="000D4D1E" w:rsidP="006933B5">
      <w:pPr>
        <w:ind w:left="851"/>
        <w:rPr>
          <w:rFonts w:eastAsia="SimSun"/>
          <w:color w:val="000000"/>
          <w:sz w:val="24"/>
          <w:szCs w:val="24"/>
          <w:u w:val="single"/>
          <w:lang w:val="en-US" w:eastAsia="en-GB"/>
        </w:rPr>
      </w:pPr>
      <w:r w:rsidRPr="00BB5BFC">
        <w:rPr>
          <w:sz w:val="24"/>
          <w:szCs w:val="24"/>
          <w:u w:val="single"/>
          <w:lang w:val="en-US"/>
        </w:rPr>
        <w:t>Excipient with known effect</w:t>
      </w:r>
      <w:r w:rsidRPr="00BB5BFC">
        <w:rPr>
          <w:rFonts w:eastAsia="SimSun"/>
          <w:color w:val="000000"/>
          <w:sz w:val="24"/>
          <w:szCs w:val="24"/>
          <w:u w:val="single"/>
          <w:lang w:val="en-US" w:eastAsia="en-GB"/>
        </w:rPr>
        <w:t xml:space="preserve"> </w:t>
      </w:r>
    </w:p>
    <w:p w14:paraId="55EAEE05" w14:textId="77777777" w:rsidR="000D4D1E" w:rsidRPr="00BB5BFC" w:rsidRDefault="000D4D1E" w:rsidP="006933B5">
      <w:pPr>
        <w:ind w:left="851"/>
        <w:rPr>
          <w:sz w:val="24"/>
          <w:szCs w:val="24"/>
          <w:lang w:val="en-US" w:eastAsia="en-US"/>
        </w:rPr>
      </w:pPr>
      <w:r w:rsidRPr="00BB5BFC">
        <w:rPr>
          <w:rFonts w:eastAsia="SimSun"/>
          <w:color w:val="000000"/>
          <w:sz w:val="24"/>
          <w:szCs w:val="24"/>
          <w:lang w:val="en-US" w:eastAsia="en-GB"/>
        </w:rPr>
        <w:t>Each ml of solution contains up to 7.72 mg of sodium.</w:t>
      </w:r>
    </w:p>
    <w:p w14:paraId="30BA20D1" w14:textId="77777777" w:rsidR="000D4D1E" w:rsidRPr="00BB5BFC" w:rsidRDefault="000D4D1E" w:rsidP="006933B5">
      <w:pPr>
        <w:ind w:left="851"/>
        <w:rPr>
          <w:sz w:val="24"/>
          <w:szCs w:val="24"/>
          <w:lang w:val="en-US"/>
        </w:rPr>
      </w:pPr>
    </w:p>
    <w:p w14:paraId="6F89B416" w14:textId="77777777" w:rsidR="000D4D1E" w:rsidRPr="00BB5BFC" w:rsidRDefault="000D4D1E" w:rsidP="006933B5">
      <w:pPr>
        <w:ind w:left="851"/>
        <w:rPr>
          <w:noProof/>
          <w:sz w:val="24"/>
          <w:szCs w:val="24"/>
          <w:lang w:val="en-GB"/>
        </w:rPr>
      </w:pPr>
      <w:r w:rsidRPr="00BB5BFC">
        <w:rPr>
          <w:noProof/>
          <w:sz w:val="24"/>
          <w:szCs w:val="24"/>
          <w:lang w:val="en-US"/>
        </w:rPr>
        <w:t>For the full list of excipients, see section 6.1.</w:t>
      </w:r>
    </w:p>
    <w:p w14:paraId="50BC6F03" w14:textId="77777777" w:rsidR="007C5D2A" w:rsidRPr="00BB5BFC" w:rsidRDefault="007C5D2A" w:rsidP="004A3BF4">
      <w:pPr>
        <w:tabs>
          <w:tab w:val="left" w:pos="851"/>
        </w:tabs>
        <w:ind w:left="851"/>
        <w:rPr>
          <w:sz w:val="24"/>
          <w:szCs w:val="24"/>
          <w:lang w:val="en-GB"/>
        </w:rPr>
      </w:pPr>
    </w:p>
    <w:p w14:paraId="67FBB3DC"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3.</w:t>
      </w:r>
      <w:r w:rsidRPr="00BB5BFC">
        <w:rPr>
          <w:b/>
          <w:sz w:val="24"/>
          <w:szCs w:val="24"/>
          <w:lang w:val="en-GB"/>
        </w:rPr>
        <w:tab/>
        <w:t>PHARMACEUTICAL FORM</w:t>
      </w:r>
    </w:p>
    <w:p w14:paraId="1A6E7336" w14:textId="77777777" w:rsidR="000D4D1E" w:rsidRPr="00BB5BFC" w:rsidRDefault="000D4D1E" w:rsidP="006933B5">
      <w:pPr>
        <w:ind w:left="851"/>
        <w:rPr>
          <w:noProof/>
          <w:sz w:val="24"/>
          <w:szCs w:val="24"/>
          <w:lang w:val="en-US"/>
        </w:rPr>
      </w:pPr>
      <w:r w:rsidRPr="00BB5BFC">
        <w:rPr>
          <w:noProof/>
          <w:sz w:val="24"/>
          <w:szCs w:val="24"/>
          <w:lang w:val="en-US"/>
        </w:rPr>
        <w:t>Solution for injection/infusion [injection/infusion]</w:t>
      </w:r>
    </w:p>
    <w:p w14:paraId="1A468C07" w14:textId="77777777" w:rsidR="000D4D1E" w:rsidRPr="00BB5BFC" w:rsidRDefault="000D4D1E" w:rsidP="006933B5">
      <w:pPr>
        <w:ind w:left="851"/>
        <w:rPr>
          <w:noProof/>
          <w:sz w:val="24"/>
          <w:szCs w:val="24"/>
          <w:lang w:val="en-GB"/>
        </w:rPr>
      </w:pPr>
    </w:p>
    <w:p w14:paraId="1F769EDE" w14:textId="77777777" w:rsidR="000D4D1E" w:rsidRPr="00BB5BFC" w:rsidRDefault="000D4D1E" w:rsidP="006933B5">
      <w:pPr>
        <w:ind w:left="851"/>
        <w:rPr>
          <w:noProof/>
          <w:sz w:val="24"/>
          <w:szCs w:val="24"/>
          <w:lang w:val="en-US"/>
        </w:rPr>
      </w:pPr>
      <w:r w:rsidRPr="00BB5BFC">
        <w:rPr>
          <w:noProof/>
          <w:sz w:val="24"/>
          <w:szCs w:val="24"/>
          <w:lang w:val="en-US"/>
        </w:rPr>
        <w:t>Clear and colourless to almost colourless solution.</w:t>
      </w:r>
    </w:p>
    <w:p w14:paraId="24B97893" w14:textId="77777777" w:rsidR="000D4D1E" w:rsidRPr="00BB5BFC" w:rsidRDefault="000D4D1E" w:rsidP="006933B5">
      <w:pPr>
        <w:ind w:left="851"/>
        <w:rPr>
          <w:noProof/>
          <w:sz w:val="24"/>
          <w:szCs w:val="24"/>
          <w:lang w:val="en-US"/>
        </w:rPr>
      </w:pPr>
    </w:p>
    <w:p w14:paraId="7A5375A4" w14:textId="77777777" w:rsidR="000D4D1E" w:rsidRPr="00BB5BFC" w:rsidRDefault="000D4D1E" w:rsidP="006933B5">
      <w:pPr>
        <w:ind w:left="851"/>
        <w:rPr>
          <w:noProof/>
          <w:sz w:val="24"/>
          <w:szCs w:val="24"/>
          <w:lang w:val="en-US"/>
        </w:rPr>
      </w:pPr>
      <w:r w:rsidRPr="00BB5BFC">
        <w:rPr>
          <w:noProof/>
          <w:sz w:val="24"/>
          <w:szCs w:val="24"/>
          <w:lang w:val="en-US"/>
        </w:rPr>
        <w:t>pH: 5.50 – 7.00</w:t>
      </w:r>
    </w:p>
    <w:p w14:paraId="6ED51767" w14:textId="77777777" w:rsidR="000D4D1E" w:rsidRPr="00BB5BFC" w:rsidRDefault="000D4D1E" w:rsidP="006933B5">
      <w:pPr>
        <w:ind w:left="851"/>
        <w:rPr>
          <w:noProof/>
          <w:sz w:val="24"/>
          <w:szCs w:val="24"/>
          <w:lang w:val="en-US"/>
        </w:rPr>
      </w:pPr>
    </w:p>
    <w:p w14:paraId="7FEFA9F3" w14:textId="77777777" w:rsidR="000D4D1E" w:rsidRPr="00BB5BFC" w:rsidRDefault="000D4D1E" w:rsidP="006933B5">
      <w:pPr>
        <w:ind w:left="851"/>
        <w:rPr>
          <w:noProof/>
          <w:sz w:val="24"/>
          <w:szCs w:val="24"/>
          <w:lang w:val="en-US"/>
        </w:rPr>
      </w:pPr>
      <w:r w:rsidRPr="00BB5BFC">
        <w:rPr>
          <w:noProof/>
          <w:sz w:val="24"/>
          <w:szCs w:val="24"/>
          <w:lang w:val="en-US"/>
        </w:rPr>
        <w:t>Osmolality: 760-900 mOsm/kg</w:t>
      </w:r>
    </w:p>
    <w:p w14:paraId="4D33DBA8" w14:textId="77777777" w:rsidR="007C5D2A" w:rsidRPr="00BB5BFC" w:rsidRDefault="007C5D2A" w:rsidP="004A3BF4">
      <w:pPr>
        <w:tabs>
          <w:tab w:val="left" w:pos="851"/>
        </w:tabs>
        <w:ind w:left="851"/>
        <w:rPr>
          <w:sz w:val="24"/>
          <w:szCs w:val="24"/>
          <w:lang w:val="en-GB"/>
        </w:rPr>
      </w:pPr>
    </w:p>
    <w:p w14:paraId="597EA12F" w14:textId="77777777" w:rsidR="007C5D2A" w:rsidRPr="00BB5BFC" w:rsidRDefault="007C5D2A" w:rsidP="004A3BF4">
      <w:pPr>
        <w:tabs>
          <w:tab w:val="left" w:pos="851"/>
        </w:tabs>
        <w:ind w:left="851"/>
        <w:rPr>
          <w:sz w:val="24"/>
          <w:szCs w:val="24"/>
          <w:lang w:val="en-GB"/>
        </w:rPr>
      </w:pPr>
    </w:p>
    <w:p w14:paraId="69FA6A27" w14:textId="77777777" w:rsidR="007C5D2A" w:rsidRPr="00BB5BFC" w:rsidRDefault="007C5D2A" w:rsidP="007C5D2A">
      <w:pPr>
        <w:ind w:left="851" w:hanging="851"/>
        <w:rPr>
          <w:b/>
          <w:sz w:val="24"/>
          <w:szCs w:val="24"/>
          <w:lang w:val="en-GB"/>
        </w:rPr>
      </w:pPr>
      <w:r w:rsidRPr="00BB5BFC">
        <w:rPr>
          <w:b/>
          <w:sz w:val="24"/>
          <w:szCs w:val="24"/>
          <w:lang w:val="en-GB"/>
        </w:rPr>
        <w:t>4.</w:t>
      </w:r>
      <w:r w:rsidRPr="00BB5BFC">
        <w:rPr>
          <w:b/>
          <w:sz w:val="24"/>
          <w:szCs w:val="24"/>
          <w:lang w:val="en-GB"/>
        </w:rPr>
        <w:tab/>
        <w:t>CLINICAL PARTICULARS</w:t>
      </w:r>
    </w:p>
    <w:p w14:paraId="46C75174" w14:textId="77777777" w:rsidR="007C5D2A" w:rsidRPr="00BB5BFC" w:rsidRDefault="007C5D2A" w:rsidP="004A3BF4">
      <w:pPr>
        <w:tabs>
          <w:tab w:val="left" w:pos="851"/>
        </w:tabs>
        <w:ind w:left="851"/>
        <w:rPr>
          <w:sz w:val="24"/>
          <w:szCs w:val="24"/>
          <w:lang w:val="en-GB"/>
        </w:rPr>
      </w:pPr>
    </w:p>
    <w:p w14:paraId="678CAF92" w14:textId="77777777" w:rsidR="007C5D2A" w:rsidRPr="00BB5BFC" w:rsidRDefault="007C5D2A" w:rsidP="007C5D2A">
      <w:pPr>
        <w:ind w:left="851" w:hanging="851"/>
        <w:rPr>
          <w:b/>
          <w:sz w:val="24"/>
          <w:szCs w:val="24"/>
          <w:u w:val="single"/>
          <w:lang w:val="en-GB"/>
        </w:rPr>
      </w:pPr>
      <w:r w:rsidRPr="00BB5BFC">
        <w:rPr>
          <w:b/>
          <w:sz w:val="24"/>
          <w:szCs w:val="24"/>
          <w:lang w:val="en-GB"/>
        </w:rPr>
        <w:t>4.1</w:t>
      </w:r>
      <w:r w:rsidRPr="00BB5BFC">
        <w:rPr>
          <w:b/>
          <w:sz w:val="24"/>
          <w:szCs w:val="24"/>
          <w:lang w:val="en-GB"/>
        </w:rPr>
        <w:tab/>
        <w:t>Therapeutic indications</w:t>
      </w:r>
    </w:p>
    <w:p w14:paraId="156EA326" w14:textId="4D356E7D" w:rsidR="000D4D1E" w:rsidRPr="00BB5BFC" w:rsidRDefault="00BB5BFC" w:rsidP="006933B5">
      <w:pPr>
        <w:ind w:left="851"/>
        <w:rPr>
          <w:noProof/>
          <w:sz w:val="24"/>
          <w:szCs w:val="24"/>
          <w:lang w:val="en-US"/>
        </w:rPr>
      </w:pPr>
      <w:r>
        <w:rPr>
          <w:noProof/>
          <w:sz w:val="24"/>
          <w:szCs w:val="24"/>
          <w:lang w:val="en-US"/>
        </w:rPr>
        <w:t>Clindamycin "Noridem"</w:t>
      </w:r>
      <w:r w:rsidR="000D4D1E" w:rsidRPr="00BB5BFC">
        <w:rPr>
          <w:noProof/>
          <w:sz w:val="24"/>
          <w:szCs w:val="24"/>
          <w:lang w:val="en-US"/>
        </w:rPr>
        <w:t xml:space="preserve"> is indicated for the treatment of the following severe infections caused by clindamycin susceptible microorganisms in adults, adolescents and children ≥</w:t>
      </w:r>
      <w:r w:rsidR="009942D1">
        <w:rPr>
          <w:noProof/>
          <w:sz w:val="24"/>
          <w:szCs w:val="24"/>
          <w:lang w:val="en-US"/>
        </w:rPr>
        <w:t> </w:t>
      </w:r>
      <w:r w:rsidR="000D4D1E" w:rsidRPr="00BB5BFC">
        <w:rPr>
          <w:noProof/>
          <w:sz w:val="24"/>
          <w:szCs w:val="24"/>
          <w:lang w:val="en-US"/>
        </w:rPr>
        <w:t>1</w:t>
      </w:r>
      <w:r w:rsidR="009942D1">
        <w:rPr>
          <w:noProof/>
          <w:sz w:val="24"/>
          <w:szCs w:val="24"/>
          <w:lang w:val="en-US"/>
        </w:rPr>
        <w:t> </w:t>
      </w:r>
      <w:r w:rsidR="000D4D1E" w:rsidRPr="00BB5BFC">
        <w:rPr>
          <w:noProof/>
          <w:sz w:val="24"/>
          <w:szCs w:val="24"/>
          <w:lang w:val="en-US"/>
        </w:rPr>
        <w:t xml:space="preserve">months (see sections 4.2 and 5.1): </w:t>
      </w:r>
    </w:p>
    <w:p w14:paraId="50759E3A" w14:textId="77777777" w:rsidR="000D4D1E" w:rsidRPr="00BB5BFC" w:rsidRDefault="000D4D1E" w:rsidP="006933B5">
      <w:pPr>
        <w:ind w:left="851"/>
        <w:rPr>
          <w:noProof/>
          <w:sz w:val="24"/>
          <w:szCs w:val="24"/>
          <w:lang w:val="en-US"/>
        </w:rPr>
      </w:pPr>
    </w:p>
    <w:p w14:paraId="4B440477"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lastRenderedPageBreak/>
        <w:t xml:space="preserve">Bone and joint infections </w:t>
      </w:r>
    </w:p>
    <w:p w14:paraId="0B6C2A91"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t>Chronic sinusitis</w:t>
      </w:r>
    </w:p>
    <w:p w14:paraId="4FA9AE47"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t xml:space="preserve">Infections of the lower respiratory tract </w:t>
      </w:r>
    </w:p>
    <w:p w14:paraId="3B8FBD13"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t xml:space="preserve">Intra-abdominal infections </w:t>
      </w:r>
    </w:p>
    <w:p w14:paraId="14554F3B"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t xml:space="preserve">Pelvic and female genital infections. </w:t>
      </w:r>
    </w:p>
    <w:p w14:paraId="27CD4F4B"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t>Skin and soft tissue infections</w:t>
      </w:r>
    </w:p>
    <w:p w14:paraId="0A67C751" w14:textId="25ADB152" w:rsidR="000D4D1E" w:rsidRPr="00BB5BFC" w:rsidRDefault="000D4D1E" w:rsidP="00BB5BFC">
      <w:pPr>
        <w:pStyle w:val="Listeafsnit"/>
        <w:numPr>
          <w:ilvl w:val="0"/>
          <w:numId w:val="10"/>
        </w:numPr>
        <w:tabs>
          <w:tab w:val="clear" w:pos="567"/>
        </w:tabs>
        <w:spacing w:line="240" w:lineRule="auto"/>
        <w:ind w:left="1276" w:hanging="425"/>
        <w:rPr>
          <w:noProof/>
          <w:sz w:val="24"/>
          <w:szCs w:val="24"/>
        </w:rPr>
      </w:pPr>
      <w:r w:rsidRPr="00BB5BFC">
        <w:rPr>
          <w:noProof/>
          <w:sz w:val="24"/>
          <w:szCs w:val="24"/>
        </w:rPr>
        <w:t xml:space="preserve">Dental </w:t>
      </w:r>
      <w:r w:rsidR="00874FCD">
        <w:rPr>
          <w:noProof/>
          <w:sz w:val="24"/>
          <w:szCs w:val="24"/>
        </w:rPr>
        <w:t>i</w:t>
      </w:r>
      <w:r w:rsidRPr="00BB5BFC">
        <w:rPr>
          <w:noProof/>
          <w:sz w:val="24"/>
          <w:szCs w:val="24"/>
        </w:rPr>
        <w:t>nfection</w:t>
      </w:r>
    </w:p>
    <w:p w14:paraId="4A562473" w14:textId="77777777" w:rsidR="000D4D1E" w:rsidRPr="00BB5BFC" w:rsidRDefault="000D4D1E" w:rsidP="00BB5BFC">
      <w:pPr>
        <w:pStyle w:val="Listeafsnit"/>
        <w:numPr>
          <w:ilvl w:val="0"/>
          <w:numId w:val="10"/>
        </w:numPr>
        <w:tabs>
          <w:tab w:val="clear" w:pos="567"/>
        </w:tabs>
        <w:spacing w:line="240" w:lineRule="auto"/>
        <w:ind w:left="1276" w:hanging="425"/>
        <w:rPr>
          <w:iCs/>
          <w:sz w:val="24"/>
          <w:szCs w:val="24"/>
          <w:lang w:eastAsia="de-DE"/>
        </w:rPr>
      </w:pPr>
      <w:r w:rsidRPr="00BB5BFC">
        <w:rPr>
          <w:iCs/>
          <w:sz w:val="24"/>
          <w:szCs w:val="24"/>
          <w:lang w:eastAsia="de-DE"/>
        </w:rPr>
        <w:t>Treatment of bacteraemia that occurs in association with, or is suspected to be associated with any of the infections listed above</w:t>
      </w:r>
    </w:p>
    <w:p w14:paraId="65C12831" w14:textId="77777777" w:rsidR="000D4D1E" w:rsidRPr="00BB5BFC" w:rsidRDefault="000D4D1E" w:rsidP="00BB5BFC">
      <w:pPr>
        <w:pStyle w:val="Listeafsnit"/>
        <w:tabs>
          <w:tab w:val="clear" w:pos="567"/>
        </w:tabs>
        <w:spacing w:line="240" w:lineRule="auto"/>
        <w:ind w:left="1276"/>
        <w:rPr>
          <w:iCs/>
          <w:sz w:val="24"/>
          <w:szCs w:val="24"/>
          <w:lang w:eastAsia="de-DE"/>
        </w:rPr>
      </w:pPr>
      <w:r w:rsidRPr="00BB5BFC">
        <w:rPr>
          <w:iCs/>
          <w:sz w:val="24"/>
          <w:szCs w:val="24"/>
          <w:lang w:eastAsia="de-DE"/>
        </w:rPr>
        <w:t xml:space="preserve">and </w:t>
      </w:r>
    </w:p>
    <w:p w14:paraId="3E2FC687" w14:textId="77777777" w:rsidR="000D4D1E" w:rsidRPr="00BB5BFC" w:rsidRDefault="000D4D1E" w:rsidP="00BB5BFC">
      <w:pPr>
        <w:pStyle w:val="Listeafsnit"/>
        <w:numPr>
          <w:ilvl w:val="0"/>
          <w:numId w:val="10"/>
        </w:numPr>
        <w:tabs>
          <w:tab w:val="clear" w:pos="567"/>
        </w:tabs>
        <w:spacing w:line="240" w:lineRule="auto"/>
        <w:ind w:left="1276" w:hanging="425"/>
        <w:rPr>
          <w:noProof/>
          <w:sz w:val="24"/>
          <w:szCs w:val="24"/>
        </w:rPr>
      </w:pPr>
      <w:r w:rsidRPr="00BB5BFC">
        <w:rPr>
          <w:noProof/>
          <w:sz w:val="24"/>
          <w:szCs w:val="24"/>
        </w:rPr>
        <w:t xml:space="preserve">Treatment of opportunistic infections from </w:t>
      </w:r>
      <w:r w:rsidRPr="00BB5BFC">
        <w:rPr>
          <w:i/>
          <w:noProof/>
          <w:sz w:val="24"/>
          <w:szCs w:val="24"/>
        </w:rPr>
        <w:t>Toxoplasma gondii</w:t>
      </w:r>
      <w:r w:rsidRPr="00BB5BFC">
        <w:rPr>
          <w:noProof/>
          <w:sz w:val="24"/>
          <w:szCs w:val="24"/>
        </w:rPr>
        <w:t xml:space="preserve"> and </w:t>
      </w:r>
      <w:r w:rsidRPr="00BB5BFC">
        <w:rPr>
          <w:i/>
          <w:noProof/>
          <w:sz w:val="24"/>
          <w:szCs w:val="24"/>
        </w:rPr>
        <w:t>Pneumocystis jirovecii</w:t>
      </w:r>
      <w:r w:rsidRPr="00BB5BFC">
        <w:rPr>
          <w:noProof/>
          <w:sz w:val="24"/>
          <w:szCs w:val="24"/>
        </w:rPr>
        <w:t xml:space="preserve"> in adult immunocompromised patients.</w:t>
      </w:r>
    </w:p>
    <w:p w14:paraId="49E00401" w14:textId="77777777" w:rsidR="000D4D1E" w:rsidRPr="00BB5BFC" w:rsidRDefault="000D4D1E" w:rsidP="006933B5">
      <w:pPr>
        <w:ind w:left="851"/>
        <w:rPr>
          <w:iCs/>
          <w:sz w:val="24"/>
          <w:szCs w:val="24"/>
          <w:lang w:val="en-US" w:eastAsia="de-DE"/>
        </w:rPr>
      </w:pPr>
    </w:p>
    <w:p w14:paraId="320687D6" w14:textId="77777777" w:rsidR="000D4D1E" w:rsidRPr="00BB5BFC" w:rsidRDefault="000D4D1E" w:rsidP="006933B5">
      <w:pPr>
        <w:ind w:left="851"/>
        <w:rPr>
          <w:iCs/>
          <w:sz w:val="24"/>
          <w:szCs w:val="24"/>
          <w:lang w:val="en-US" w:eastAsia="de-DE"/>
        </w:rPr>
      </w:pPr>
      <w:r w:rsidRPr="00BB5BFC">
        <w:rPr>
          <w:noProof/>
          <w:sz w:val="24"/>
          <w:szCs w:val="24"/>
          <w:lang w:val="en-US"/>
        </w:rPr>
        <w:t>In case of aerobic infections clindamycin constitutes an alternative treatment in case other antibacterial agents are inactive or contraindicated (e.g. in case of allergy to penicillins). In case of anaerobic infections a treatment with clindamycin as first choice agent can be envisaged. In case of polymicrobial infection, c</w:t>
      </w:r>
      <w:proofErr w:type="spellStart"/>
      <w:r w:rsidRPr="00BB5BFC">
        <w:rPr>
          <w:rFonts w:eastAsia="SimSun"/>
          <w:sz w:val="24"/>
          <w:szCs w:val="24"/>
          <w:lang w:val="en-IE" w:eastAsia="en-GB"/>
        </w:rPr>
        <w:t>onsideration</w:t>
      </w:r>
      <w:proofErr w:type="spellEnd"/>
      <w:r w:rsidRPr="00BB5BFC">
        <w:rPr>
          <w:rFonts w:eastAsia="SimSun"/>
          <w:sz w:val="24"/>
          <w:szCs w:val="24"/>
          <w:lang w:val="en-IE" w:eastAsia="en-GB"/>
        </w:rPr>
        <w:t xml:space="preserve"> should be given to use in combination with an agent with adequate activity against Gram-negative bacteria.</w:t>
      </w:r>
    </w:p>
    <w:p w14:paraId="3F95DEAE" w14:textId="77777777" w:rsidR="000D4D1E" w:rsidRPr="00BB5BFC" w:rsidRDefault="000D4D1E" w:rsidP="006933B5">
      <w:pPr>
        <w:ind w:left="851"/>
        <w:rPr>
          <w:noProof/>
          <w:sz w:val="24"/>
          <w:szCs w:val="24"/>
          <w:lang w:val="en-US" w:eastAsia="en-US"/>
        </w:rPr>
      </w:pPr>
    </w:p>
    <w:p w14:paraId="738C8D0E" w14:textId="77777777" w:rsidR="000D4D1E" w:rsidRPr="00BB5BFC" w:rsidRDefault="000D4D1E" w:rsidP="006933B5">
      <w:pPr>
        <w:ind w:left="851"/>
        <w:rPr>
          <w:noProof/>
          <w:sz w:val="24"/>
          <w:szCs w:val="24"/>
          <w:lang w:val="en-US"/>
        </w:rPr>
      </w:pPr>
      <w:r w:rsidRPr="00BB5BFC">
        <w:rPr>
          <w:noProof/>
          <w:sz w:val="24"/>
          <w:szCs w:val="24"/>
          <w:lang w:val="en-US"/>
        </w:rPr>
        <w:t>Consideration should be given to official guidance on the appropriate use of antibacterial agents.</w:t>
      </w:r>
    </w:p>
    <w:p w14:paraId="5E7FEF53" w14:textId="77777777" w:rsidR="007C5D2A" w:rsidRPr="00BB5BFC" w:rsidRDefault="007C5D2A" w:rsidP="00A85D26">
      <w:pPr>
        <w:tabs>
          <w:tab w:val="left" w:pos="851"/>
        </w:tabs>
        <w:ind w:left="851"/>
        <w:rPr>
          <w:sz w:val="24"/>
          <w:szCs w:val="24"/>
          <w:lang w:val="en-GB"/>
        </w:rPr>
      </w:pPr>
    </w:p>
    <w:p w14:paraId="6D0D3258" w14:textId="77777777" w:rsidR="007C5D2A" w:rsidRPr="00BB5BFC" w:rsidRDefault="009925C9" w:rsidP="007C5D2A">
      <w:pPr>
        <w:tabs>
          <w:tab w:val="left" w:pos="851"/>
        </w:tabs>
        <w:ind w:left="851" w:hanging="851"/>
        <w:rPr>
          <w:sz w:val="24"/>
          <w:szCs w:val="24"/>
          <w:lang w:val="en-GB"/>
        </w:rPr>
      </w:pPr>
      <w:r w:rsidRPr="00BB5BFC">
        <w:rPr>
          <w:b/>
          <w:sz w:val="24"/>
          <w:szCs w:val="24"/>
          <w:lang w:val="en-GB"/>
        </w:rPr>
        <w:t>4.2</w:t>
      </w:r>
      <w:r w:rsidR="007C5D2A" w:rsidRPr="00BB5BFC">
        <w:rPr>
          <w:b/>
          <w:sz w:val="24"/>
          <w:szCs w:val="24"/>
          <w:lang w:val="en-GB"/>
        </w:rPr>
        <w:tab/>
        <w:t>Posology and method of administration</w:t>
      </w:r>
    </w:p>
    <w:p w14:paraId="6C2C1E45" w14:textId="77777777" w:rsidR="00BB5BFC" w:rsidRDefault="00BB5BFC" w:rsidP="006933B5">
      <w:pPr>
        <w:ind w:left="851"/>
        <w:rPr>
          <w:sz w:val="24"/>
          <w:szCs w:val="24"/>
          <w:lang w:val="en-US"/>
        </w:rPr>
      </w:pPr>
    </w:p>
    <w:p w14:paraId="73192453" w14:textId="51C0CAAD" w:rsidR="000D4D1E" w:rsidRPr="00BB5BFC" w:rsidRDefault="000D4D1E" w:rsidP="006933B5">
      <w:pPr>
        <w:ind w:left="851"/>
        <w:rPr>
          <w:sz w:val="24"/>
          <w:szCs w:val="24"/>
          <w:u w:val="single"/>
          <w:lang w:val="en-US"/>
        </w:rPr>
      </w:pPr>
      <w:r w:rsidRPr="00BB5BFC">
        <w:rPr>
          <w:sz w:val="24"/>
          <w:szCs w:val="24"/>
          <w:u w:val="single"/>
          <w:lang w:val="en-US"/>
        </w:rPr>
        <w:t>Posology</w:t>
      </w:r>
    </w:p>
    <w:p w14:paraId="269367E2" w14:textId="77777777" w:rsidR="000D4D1E" w:rsidRPr="00BB5BFC" w:rsidRDefault="000D4D1E" w:rsidP="006933B5">
      <w:pPr>
        <w:ind w:left="851"/>
        <w:rPr>
          <w:sz w:val="24"/>
          <w:szCs w:val="24"/>
          <w:lang w:val="en-US"/>
        </w:rPr>
      </w:pPr>
    </w:p>
    <w:p w14:paraId="000519F4" w14:textId="77777777" w:rsidR="000D4D1E" w:rsidRPr="00BB5BFC" w:rsidRDefault="000D4D1E" w:rsidP="006933B5">
      <w:pPr>
        <w:ind w:left="851"/>
        <w:rPr>
          <w:i/>
          <w:sz w:val="24"/>
          <w:szCs w:val="24"/>
          <w:lang w:val="en-US"/>
        </w:rPr>
      </w:pPr>
      <w:r w:rsidRPr="00BB5BFC">
        <w:rPr>
          <w:i/>
          <w:sz w:val="24"/>
          <w:szCs w:val="24"/>
          <w:lang w:val="en-US"/>
        </w:rPr>
        <w:t>Adults</w:t>
      </w:r>
      <w:r w:rsidRPr="00BB5BFC">
        <w:rPr>
          <w:i/>
          <w:spacing w:val="-7"/>
          <w:sz w:val="24"/>
          <w:szCs w:val="24"/>
          <w:lang w:val="en-US"/>
        </w:rPr>
        <w:t xml:space="preserve"> </w:t>
      </w:r>
      <w:r w:rsidRPr="00BB5BFC">
        <w:rPr>
          <w:i/>
          <w:sz w:val="24"/>
          <w:szCs w:val="24"/>
          <w:lang w:val="en-US"/>
        </w:rPr>
        <w:t>and</w:t>
      </w:r>
      <w:r w:rsidRPr="00BB5BFC">
        <w:rPr>
          <w:i/>
          <w:spacing w:val="-6"/>
          <w:sz w:val="24"/>
          <w:szCs w:val="24"/>
          <w:lang w:val="en-US"/>
        </w:rPr>
        <w:t xml:space="preserve"> </w:t>
      </w:r>
      <w:r w:rsidRPr="00BB5BFC">
        <w:rPr>
          <w:i/>
          <w:sz w:val="24"/>
          <w:szCs w:val="24"/>
          <w:lang w:val="en-US"/>
        </w:rPr>
        <w:t>adolescents</w:t>
      </w:r>
      <w:r w:rsidRPr="00BB5BFC">
        <w:rPr>
          <w:i/>
          <w:spacing w:val="-6"/>
          <w:sz w:val="24"/>
          <w:szCs w:val="24"/>
          <w:lang w:val="en-US"/>
        </w:rPr>
        <w:t xml:space="preserve"> </w:t>
      </w:r>
      <w:r w:rsidRPr="00BB5BFC">
        <w:rPr>
          <w:i/>
          <w:sz w:val="24"/>
          <w:szCs w:val="24"/>
          <w:lang w:val="en-US"/>
        </w:rPr>
        <w:t>older</w:t>
      </w:r>
      <w:r w:rsidRPr="00BB5BFC">
        <w:rPr>
          <w:i/>
          <w:spacing w:val="-6"/>
          <w:sz w:val="24"/>
          <w:szCs w:val="24"/>
          <w:lang w:val="en-US"/>
        </w:rPr>
        <w:t xml:space="preserve"> </w:t>
      </w:r>
      <w:r w:rsidRPr="00BB5BFC">
        <w:rPr>
          <w:i/>
          <w:sz w:val="24"/>
          <w:szCs w:val="24"/>
          <w:lang w:val="en-US"/>
        </w:rPr>
        <w:t>than</w:t>
      </w:r>
      <w:r w:rsidRPr="00BB5BFC">
        <w:rPr>
          <w:i/>
          <w:spacing w:val="-7"/>
          <w:sz w:val="24"/>
          <w:szCs w:val="24"/>
          <w:lang w:val="en-US"/>
        </w:rPr>
        <w:t xml:space="preserve"> </w:t>
      </w:r>
      <w:r w:rsidRPr="00BB5BFC">
        <w:rPr>
          <w:i/>
          <w:sz w:val="24"/>
          <w:szCs w:val="24"/>
          <w:lang w:val="en-US"/>
        </w:rPr>
        <w:t>12</w:t>
      </w:r>
      <w:r w:rsidRPr="00BB5BFC">
        <w:rPr>
          <w:i/>
          <w:spacing w:val="-6"/>
          <w:sz w:val="24"/>
          <w:szCs w:val="24"/>
          <w:lang w:val="en-US"/>
        </w:rPr>
        <w:t xml:space="preserve"> </w:t>
      </w:r>
      <w:r w:rsidRPr="00BB5BFC">
        <w:rPr>
          <w:i/>
          <w:sz w:val="24"/>
          <w:szCs w:val="24"/>
          <w:lang w:val="en-US"/>
        </w:rPr>
        <w:t>years</w:t>
      </w:r>
    </w:p>
    <w:p w14:paraId="5EC158BD" w14:textId="77777777" w:rsidR="000D4D1E" w:rsidRPr="00BB5BFC" w:rsidRDefault="000D4D1E" w:rsidP="006933B5">
      <w:pPr>
        <w:ind w:left="851"/>
        <w:rPr>
          <w:sz w:val="24"/>
          <w:szCs w:val="24"/>
          <w:lang w:val="en-US"/>
        </w:rPr>
      </w:pPr>
    </w:p>
    <w:p w14:paraId="3A764638" w14:textId="77777777" w:rsidR="000D4D1E" w:rsidRPr="00BB5BFC" w:rsidRDefault="000D4D1E" w:rsidP="00BB5BFC">
      <w:pPr>
        <w:pStyle w:val="Listeafsnit"/>
        <w:numPr>
          <w:ilvl w:val="0"/>
          <w:numId w:val="10"/>
        </w:numPr>
        <w:tabs>
          <w:tab w:val="clear" w:pos="567"/>
        </w:tabs>
        <w:ind w:left="1276" w:hanging="425"/>
        <w:rPr>
          <w:sz w:val="24"/>
          <w:szCs w:val="24"/>
        </w:rPr>
      </w:pPr>
      <w:r w:rsidRPr="00BB5BFC">
        <w:rPr>
          <w:sz w:val="24"/>
          <w:szCs w:val="24"/>
        </w:rPr>
        <w:t>for the treatment of severe infections: 1800 to 2700 mg clindamycin daily in two to four equal doses, generally in combination with an antibiotic with good activity against aerobic Gram-negative bacteria.</w:t>
      </w:r>
    </w:p>
    <w:p w14:paraId="6670A7D6" w14:textId="77777777" w:rsidR="000D4D1E" w:rsidRPr="00BB5BFC" w:rsidRDefault="000D4D1E" w:rsidP="00BB5BFC">
      <w:pPr>
        <w:ind w:left="1276" w:hanging="425"/>
        <w:rPr>
          <w:sz w:val="24"/>
          <w:szCs w:val="24"/>
          <w:lang w:val="en-US"/>
        </w:rPr>
      </w:pPr>
    </w:p>
    <w:p w14:paraId="0AE3A040" w14:textId="77777777" w:rsidR="000D4D1E" w:rsidRPr="00BB5BFC" w:rsidRDefault="000D4D1E" w:rsidP="00BB5BFC">
      <w:pPr>
        <w:pStyle w:val="Listeafsnit"/>
        <w:numPr>
          <w:ilvl w:val="0"/>
          <w:numId w:val="10"/>
        </w:numPr>
        <w:tabs>
          <w:tab w:val="clear" w:pos="567"/>
        </w:tabs>
        <w:ind w:left="1276" w:hanging="425"/>
        <w:rPr>
          <w:sz w:val="24"/>
          <w:szCs w:val="24"/>
        </w:rPr>
      </w:pPr>
      <w:r w:rsidRPr="00BB5BFC">
        <w:rPr>
          <w:sz w:val="24"/>
          <w:szCs w:val="24"/>
        </w:rPr>
        <w:t>or for the treatment of less complicated infections: 1200 to 1800 mg clindamycin daily administered in three or four equal doses.</w:t>
      </w:r>
    </w:p>
    <w:p w14:paraId="5987731E" w14:textId="77777777" w:rsidR="000D4D1E" w:rsidRPr="00BB5BFC" w:rsidRDefault="000D4D1E" w:rsidP="006933B5">
      <w:pPr>
        <w:ind w:left="851"/>
        <w:rPr>
          <w:sz w:val="24"/>
          <w:szCs w:val="24"/>
          <w:lang w:val="en-US"/>
        </w:rPr>
      </w:pPr>
    </w:p>
    <w:p w14:paraId="3C5824C2" w14:textId="68642C96" w:rsidR="000D4D1E" w:rsidRPr="00BB5BFC" w:rsidRDefault="000D4D1E" w:rsidP="006933B5">
      <w:pPr>
        <w:ind w:left="851"/>
        <w:rPr>
          <w:sz w:val="24"/>
          <w:szCs w:val="24"/>
          <w:lang w:val="en-US"/>
        </w:rPr>
      </w:pPr>
      <w:r w:rsidRPr="00BB5BFC">
        <w:rPr>
          <w:sz w:val="24"/>
          <w:szCs w:val="24"/>
          <w:lang w:val="en-US"/>
        </w:rPr>
        <w:t>Normally the maximum daily dose for adults and adolescents older than 12 years is 2700</w:t>
      </w:r>
      <w:r w:rsidR="009942D1">
        <w:rPr>
          <w:sz w:val="24"/>
          <w:szCs w:val="24"/>
          <w:lang w:val="en-US"/>
        </w:rPr>
        <w:t> </w:t>
      </w:r>
      <w:r w:rsidRPr="00BB5BFC">
        <w:rPr>
          <w:sz w:val="24"/>
          <w:szCs w:val="24"/>
          <w:lang w:val="en-US"/>
        </w:rPr>
        <w:t>mg clindamycin in two to four equal doses. In life-threatening infections doses up to 4800</w:t>
      </w:r>
      <w:r w:rsidR="009942D1">
        <w:rPr>
          <w:sz w:val="24"/>
          <w:szCs w:val="24"/>
          <w:lang w:val="en-US"/>
        </w:rPr>
        <w:t> </w:t>
      </w:r>
      <w:r w:rsidRPr="00BB5BFC">
        <w:rPr>
          <w:sz w:val="24"/>
          <w:szCs w:val="24"/>
          <w:lang w:val="en-US"/>
        </w:rPr>
        <w:t>mg/day have been given.</w:t>
      </w:r>
    </w:p>
    <w:p w14:paraId="1C86FEAB" w14:textId="77777777" w:rsidR="000D4D1E" w:rsidRPr="00BB5BFC" w:rsidRDefault="000D4D1E" w:rsidP="006933B5">
      <w:pPr>
        <w:ind w:left="851"/>
        <w:rPr>
          <w:sz w:val="24"/>
          <w:szCs w:val="24"/>
          <w:lang w:val="en-US"/>
        </w:rPr>
      </w:pPr>
    </w:p>
    <w:p w14:paraId="01E4B7F2" w14:textId="77777777" w:rsidR="000D4D1E" w:rsidRPr="00BB5BFC" w:rsidRDefault="000D4D1E" w:rsidP="006933B5">
      <w:pPr>
        <w:ind w:left="851"/>
        <w:rPr>
          <w:i/>
          <w:sz w:val="24"/>
          <w:szCs w:val="24"/>
          <w:lang w:val="en-US"/>
        </w:rPr>
      </w:pPr>
      <w:r w:rsidRPr="00BB5BFC">
        <w:rPr>
          <w:i/>
          <w:sz w:val="24"/>
          <w:szCs w:val="24"/>
          <w:lang w:val="en-US"/>
        </w:rPr>
        <w:t>Paediatric Population</w:t>
      </w:r>
    </w:p>
    <w:p w14:paraId="3E717FE1" w14:textId="77777777" w:rsidR="000D4D1E" w:rsidRPr="00BB5BFC" w:rsidRDefault="000D4D1E" w:rsidP="006933B5">
      <w:pPr>
        <w:ind w:left="851"/>
        <w:rPr>
          <w:sz w:val="24"/>
          <w:szCs w:val="24"/>
          <w:lang w:val="en-US"/>
        </w:rPr>
      </w:pPr>
      <w:r w:rsidRPr="00BB5BFC">
        <w:rPr>
          <w:sz w:val="24"/>
          <w:szCs w:val="24"/>
          <w:lang w:val="en-US"/>
        </w:rPr>
        <w:t>Children (over 1 month of age up to 12 years):</w:t>
      </w:r>
    </w:p>
    <w:p w14:paraId="2343A0BA" w14:textId="77777777" w:rsidR="000D4D1E" w:rsidRPr="00BB5BFC" w:rsidRDefault="000D4D1E" w:rsidP="006933B5">
      <w:pPr>
        <w:ind w:left="851"/>
        <w:rPr>
          <w:sz w:val="24"/>
          <w:szCs w:val="24"/>
          <w:lang w:val="en-US"/>
        </w:rPr>
      </w:pPr>
      <w:r w:rsidRPr="00BB5BFC">
        <w:rPr>
          <w:sz w:val="24"/>
          <w:szCs w:val="24"/>
          <w:lang w:val="en-US"/>
        </w:rPr>
        <w:t>Serious infections: 15-25 mg/kg/day in three or four equal doses.</w:t>
      </w:r>
    </w:p>
    <w:p w14:paraId="7479BCB5" w14:textId="77777777" w:rsidR="000D4D1E" w:rsidRPr="00BB5BFC" w:rsidRDefault="000D4D1E" w:rsidP="006933B5">
      <w:pPr>
        <w:ind w:left="851"/>
        <w:rPr>
          <w:sz w:val="24"/>
          <w:szCs w:val="24"/>
          <w:lang w:val="en-US"/>
        </w:rPr>
      </w:pPr>
    </w:p>
    <w:p w14:paraId="7D497458" w14:textId="77777777" w:rsidR="000D4D1E" w:rsidRPr="00BB5BFC" w:rsidRDefault="000D4D1E" w:rsidP="006933B5">
      <w:pPr>
        <w:ind w:left="851"/>
        <w:rPr>
          <w:sz w:val="24"/>
          <w:szCs w:val="24"/>
          <w:lang w:val="en-US"/>
        </w:rPr>
      </w:pPr>
      <w:r w:rsidRPr="00BB5BFC">
        <w:rPr>
          <w:sz w:val="24"/>
          <w:szCs w:val="24"/>
          <w:lang w:val="en-US"/>
        </w:rPr>
        <w:t>More severe infections: 25-40 mg/kg/day in three or four equal doses. In severe infections, it is recommended that children be given no less than 300 mg/day regardless of body weight.</w:t>
      </w:r>
    </w:p>
    <w:p w14:paraId="06015945" w14:textId="77777777" w:rsidR="000D4D1E" w:rsidRPr="00BB5BFC" w:rsidRDefault="000D4D1E" w:rsidP="006933B5">
      <w:pPr>
        <w:ind w:left="851"/>
        <w:rPr>
          <w:sz w:val="24"/>
          <w:szCs w:val="24"/>
          <w:lang w:val="en-US"/>
        </w:rPr>
      </w:pPr>
    </w:p>
    <w:p w14:paraId="7CCA64EF" w14:textId="77777777" w:rsidR="000D4D1E" w:rsidRPr="00BB5BFC" w:rsidRDefault="000D4D1E" w:rsidP="006933B5">
      <w:pPr>
        <w:ind w:left="851"/>
        <w:rPr>
          <w:sz w:val="24"/>
          <w:szCs w:val="24"/>
          <w:lang w:val="en-US"/>
        </w:rPr>
      </w:pPr>
      <w:r w:rsidRPr="00BB5BFC">
        <w:rPr>
          <w:sz w:val="24"/>
          <w:szCs w:val="24"/>
          <w:lang w:val="en-US"/>
        </w:rPr>
        <w:t>Clindamycin should be dosed based on total body weight regardless of obesity.</w:t>
      </w:r>
    </w:p>
    <w:p w14:paraId="7B8F1FDA" w14:textId="77777777" w:rsidR="000D4D1E" w:rsidRPr="00BB5BFC" w:rsidRDefault="000D4D1E" w:rsidP="006933B5">
      <w:pPr>
        <w:ind w:left="851"/>
        <w:rPr>
          <w:sz w:val="24"/>
          <w:szCs w:val="24"/>
          <w:lang w:val="en-US"/>
        </w:rPr>
      </w:pPr>
    </w:p>
    <w:p w14:paraId="3CC5F84A" w14:textId="77777777" w:rsidR="000D4D1E" w:rsidRPr="00BB5BFC" w:rsidRDefault="000D4D1E" w:rsidP="006933B5">
      <w:pPr>
        <w:ind w:left="851"/>
        <w:rPr>
          <w:sz w:val="24"/>
          <w:szCs w:val="24"/>
          <w:lang w:val="en-US"/>
        </w:rPr>
      </w:pPr>
      <w:r w:rsidRPr="00BB5BFC">
        <w:rPr>
          <w:sz w:val="24"/>
          <w:szCs w:val="24"/>
          <w:lang w:val="en-US"/>
        </w:rPr>
        <w:t>The maximum daily dose should not exceed that of adults.</w:t>
      </w:r>
    </w:p>
    <w:p w14:paraId="11D2FFBC" w14:textId="77777777" w:rsidR="000D4D1E" w:rsidRPr="00BB5BFC" w:rsidRDefault="000D4D1E" w:rsidP="006933B5">
      <w:pPr>
        <w:ind w:left="851"/>
        <w:rPr>
          <w:sz w:val="24"/>
          <w:szCs w:val="24"/>
          <w:lang w:val="en-US"/>
        </w:rPr>
      </w:pPr>
    </w:p>
    <w:p w14:paraId="66A98265" w14:textId="77777777" w:rsidR="000D4D1E" w:rsidRPr="00BB5BFC" w:rsidRDefault="000D4D1E" w:rsidP="006933B5">
      <w:pPr>
        <w:ind w:left="851"/>
        <w:rPr>
          <w:sz w:val="24"/>
          <w:szCs w:val="24"/>
          <w:u w:val="single"/>
          <w:lang w:val="en-US"/>
        </w:rPr>
      </w:pPr>
      <w:r w:rsidRPr="00BB5BFC">
        <w:rPr>
          <w:sz w:val="24"/>
          <w:szCs w:val="24"/>
          <w:u w:val="single"/>
          <w:lang w:val="en-US"/>
        </w:rPr>
        <w:lastRenderedPageBreak/>
        <w:t>Elderly patients:</w:t>
      </w:r>
    </w:p>
    <w:p w14:paraId="0FFC5840" w14:textId="77777777" w:rsidR="000D4D1E" w:rsidRPr="00BB5BFC" w:rsidRDefault="000D4D1E" w:rsidP="006933B5">
      <w:pPr>
        <w:ind w:left="851"/>
        <w:rPr>
          <w:sz w:val="24"/>
          <w:szCs w:val="24"/>
          <w:lang w:val="en-US"/>
        </w:rPr>
      </w:pPr>
      <w:r w:rsidRPr="00BB5BFC">
        <w:rPr>
          <w:sz w:val="24"/>
          <w:szCs w:val="24"/>
          <w:lang w:val="en-US"/>
        </w:rPr>
        <w:t xml:space="preserve">The half-life, volume of distribution and clearance, and extent of absorption after administration of clindamycin phosphate are not altered by increased age. Analysis of data from clinical studies has not revealed any age-related increase in toxicity. </w:t>
      </w:r>
      <w:r w:rsidRPr="00BB5BFC">
        <w:rPr>
          <w:rStyle w:val="y2iqfc"/>
          <w:color w:val="202124"/>
          <w:sz w:val="24"/>
          <w:szCs w:val="24"/>
          <w:lang w:val="en"/>
        </w:rPr>
        <w:t xml:space="preserve">Therefore, no dose adjustment is required in elderly patients with normal hepatic function and normal (depending on age) renal function. </w:t>
      </w:r>
      <w:r w:rsidRPr="00BB5BFC">
        <w:rPr>
          <w:sz w:val="24"/>
          <w:szCs w:val="24"/>
          <w:lang w:val="en-US"/>
        </w:rPr>
        <w:t>See section 4.4 for other factors which should be taken into consideration.</w:t>
      </w:r>
    </w:p>
    <w:p w14:paraId="5ED256E1" w14:textId="77777777" w:rsidR="000D4D1E" w:rsidRPr="00BB5BFC" w:rsidRDefault="000D4D1E" w:rsidP="006933B5">
      <w:pPr>
        <w:ind w:left="851"/>
        <w:rPr>
          <w:sz w:val="24"/>
          <w:szCs w:val="24"/>
          <w:lang w:val="en-US"/>
        </w:rPr>
      </w:pPr>
    </w:p>
    <w:p w14:paraId="465BE874" w14:textId="77777777" w:rsidR="000D4D1E" w:rsidRPr="00BB5BFC" w:rsidRDefault="000D4D1E" w:rsidP="006933B5">
      <w:pPr>
        <w:ind w:left="851"/>
        <w:rPr>
          <w:sz w:val="24"/>
          <w:szCs w:val="24"/>
          <w:u w:val="single"/>
          <w:lang w:val="en-US"/>
        </w:rPr>
      </w:pPr>
      <w:r w:rsidRPr="00BB5BFC">
        <w:rPr>
          <w:sz w:val="24"/>
          <w:szCs w:val="24"/>
          <w:u w:val="single"/>
          <w:lang w:val="en-US"/>
        </w:rPr>
        <w:t>Patients with hepatic impairment</w:t>
      </w:r>
    </w:p>
    <w:p w14:paraId="4EF18780" w14:textId="77777777" w:rsidR="000D4D1E" w:rsidRPr="00BB5BFC" w:rsidRDefault="000D4D1E" w:rsidP="006933B5">
      <w:pPr>
        <w:ind w:left="851"/>
        <w:rPr>
          <w:sz w:val="24"/>
          <w:szCs w:val="24"/>
          <w:lang w:val="en-US"/>
        </w:rPr>
      </w:pPr>
      <w:r w:rsidRPr="00BB5BFC">
        <w:rPr>
          <w:sz w:val="24"/>
          <w:szCs w:val="24"/>
          <w:lang w:val="en-US"/>
        </w:rPr>
        <w:t>In patients with liver disease of moderate to severe degree, elimination half-life of clindamycin is prolonged. A reduction in dosage is generally not necessary if clindamycin is administered every 8 hours. However, the plasma concentration of clindamycin should be monitored in patients with severe hepatic insufficiency. Depending on the results, this measure can make a reduction in dosage or an increase in the dose intervals necessary.</w:t>
      </w:r>
    </w:p>
    <w:p w14:paraId="22E81FC7" w14:textId="77777777" w:rsidR="000D4D1E" w:rsidRPr="00BB5BFC" w:rsidRDefault="000D4D1E" w:rsidP="006933B5">
      <w:pPr>
        <w:ind w:left="851"/>
        <w:rPr>
          <w:sz w:val="24"/>
          <w:szCs w:val="24"/>
          <w:lang w:val="en-US"/>
        </w:rPr>
      </w:pPr>
    </w:p>
    <w:p w14:paraId="3E17ECCF" w14:textId="77777777" w:rsidR="000D4D1E" w:rsidRPr="00BB5BFC" w:rsidRDefault="000D4D1E" w:rsidP="006933B5">
      <w:pPr>
        <w:ind w:left="851"/>
        <w:rPr>
          <w:sz w:val="24"/>
          <w:szCs w:val="24"/>
          <w:u w:val="single"/>
          <w:lang w:val="en-US"/>
        </w:rPr>
      </w:pPr>
      <w:r w:rsidRPr="00BB5BFC">
        <w:rPr>
          <w:sz w:val="24"/>
          <w:szCs w:val="24"/>
          <w:u w:val="single"/>
          <w:lang w:val="en-US"/>
        </w:rPr>
        <w:t>Patients with renal impairment:</w:t>
      </w:r>
    </w:p>
    <w:p w14:paraId="36E4A109" w14:textId="77777777" w:rsidR="000D4D1E" w:rsidRPr="00BB5BFC" w:rsidRDefault="000D4D1E" w:rsidP="006933B5">
      <w:pPr>
        <w:ind w:left="851"/>
        <w:rPr>
          <w:sz w:val="24"/>
          <w:szCs w:val="24"/>
          <w:lang w:val="en-US"/>
        </w:rPr>
      </w:pPr>
      <w:r w:rsidRPr="00BB5BFC">
        <w:rPr>
          <w:sz w:val="24"/>
          <w:szCs w:val="24"/>
          <w:lang w:val="en-US"/>
        </w:rPr>
        <w:t>In the presence of kidney disease, elimination half-life is prolonged; however, a dosage reduction is not necessary in the event of mild to moderate impairment of renal function. Nevertheless, the plasma concentration should be monitored in patients with severe renal insufficiency or anuria. Depending on the results, this measure can make a reduction in dosage or an increase in the dose interval of 8 or even 12 hours necessary.</w:t>
      </w:r>
    </w:p>
    <w:p w14:paraId="7C0295F5" w14:textId="77777777" w:rsidR="000D4D1E" w:rsidRPr="00BB5BFC" w:rsidRDefault="000D4D1E" w:rsidP="006933B5">
      <w:pPr>
        <w:ind w:left="851"/>
        <w:rPr>
          <w:sz w:val="24"/>
          <w:szCs w:val="24"/>
          <w:lang w:val="en-US"/>
        </w:rPr>
      </w:pPr>
    </w:p>
    <w:p w14:paraId="0A3FC0FB" w14:textId="77777777" w:rsidR="000D4D1E" w:rsidRPr="00BB5BFC" w:rsidRDefault="000D4D1E" w:rsidP="006933B5">
      <w:pPr>
        <w:ind w:left="851"/>
        <w:rPr>
          <w:sz w:val="24"/>
          <w:szCs w:val="24"/>
          <w:u w:val="single"/>
          <w:lang w:val="en-US"/>
        </w:rPr>
      </w:pPr>
      <w:r w:rsidRPr="00BB5BFC">
        <w:rPr>
          <w:sz w:val="24"/>
          <w:szCs w:val="24"/>
          <w:u w:val="single"/>
          <w:lang w:val="en-US"/>
        </w:rPr>
        <w:t xml:space="preserve">Dosage in the event of </w:t>
      </w:r>
      <w:proofErr w:type="spellStart"/>
      <w:r w:rsidRPr="00BB5BFC">
        <w:rPr>
          <w:sz w:val="24"/>
          <w:szCs w:val="24"/>
          <w:u w:val="single"/>
          <w:lang w:val="en-US"/>
        </w:rPr>
        <w:t>haemodialysis</w:t>
      </w:r>
      <w:proofErr w:type="spellEnd"/>
    </w:p>
    <w:p w14:paraId="4ADB2317" w14:textId="77777777" w:rsidR="000D4D1E" w:rsidRPr="00BB5BFC" w:rsidRDefault="000D4D1E" w:rsidP="006933B5">
      <w:pPr>
        <w:ind w:left="851"/>
        <w:rPr>
          <w:sz w:val="24"/>
          <w:szCs w:val="24"/>
          <w:lang w:val="en-US"/>
        </w:rPr>
      </w:pPr>
      <w:r w:rsidRPr="00BB5BFC">
        <w:rPr>
          <w:sz w:val="24"/>
          <w:szCs w:val="24"/>
          <w:lang w:val="en-US"/>
        </w:rPr>
        <w:t xml:space="preserve">Clindamycin cannot be removed by </w:t>
      </w:r>
      <w:proofErr w:type="spellStart"/>
      <w:r w:rsidRPr="00BB5BFC">
        <w:rPr>
          <w:sz w:val="24"/>
          <w:szCs w:val="24"/>
          <w:lang w:val="en-US"/>
        </w:rPr>
        <w:t>haemodialysis</w:t>
      </w:r>
      <w:proofErr w:type="spellEnd"/>
      <w:r w:rsidRPr="00BB5BFC">
        <w:rPr>
          <w:sz w:val="24"/>
          <w:szCs w:val="24"/>
          <w:lang w:val="en-US"/>
        </w:rPr>
        <w:t xml:space="preserve">. Therefore, no additional dose is necessary before or after </w:t>
      </w:r>
      <w:proofErr w:type="spellStart"/>
      <w:r w:rsidRPr="00BB5BFC">
        <w:rPr>
          <w:sz w:val="24"/>
          <w:szCs w:val="24"/>
          <w:lang w:val="en-US"/>
        </w:rPr>
        <w:t>haemodialysis</w:t>
      </w:r>
      <w:proofErr w:type="spellEnd"/>
      <w:r w:rsidRPr="00BB5BFC">
        <w:rPr>
          <w:sz w:val="24"/>
          <w:szCs w:val="24"/>
          <w:lang w:val="en-US"/>
        </w:rPr>
        <w:t>.</w:t>
      </w:r>
    </w:p>
    <w:p w14:paraId="53DE1540" w14:textId="77777777" w:rsidR="000D4D1E" w:rsidRPr="00BB5BFC" w:rsidRDefault="000D4D1E" w:rsidP="006933B5">
      <w:pPr>
        <w:ind w:left="851"/>
        <w:rPr>
          <w:sz w:val="24"/>
          <w:szCs w:val="24"/>
          <w:lang w:val="en-US"/>
        </w:rPr>
      </w:pPr>
    </w:p>
    <w:p w14:paraId="09E227AC" w14:textId="77777777" w:rsidR="000D4D1E" w:rsidRPr="00BB5BFC" w:rsidRDefault="000D4D1E" w:rsidP="006933B5">
      <w:pPr>
        <w:ind w:left="851"/>
        <w:rPr>
          <w:sz w:val="24"/>
          <w:szCs w:val="24"/>
          <w:u w:val="single"/>
          <w:lang w:val="en-US"/>
        </w:rPr>
      </w:pPr>
      <w:r w:rsidRPr="00BB5BFC">
        <w:rPr>
          <w:sz w:val="24"/>
          <w:szCs w:val="24"/>
          <w:u w:val="single"/>
          <w:lang w:val="en-US"/>
        </w:rPr>
        <w:t>Duration of treatment</w:t>
      </w:r>
    </w:p>
    <w:p w14:paraId="4418A8C8" w14:textId="77777777" w:rsidR="000D4D1E" w:rsidRPr="00BB5BFC" w:rsidRDefault="000D4D1E" w:rsidP="006933B5">
      <w:pPr>
        <w:ind w:left="851"/>
        <w:rPr>
          <w:sz w:val="24"/>
          <w:szCs w:val="24"/>
          <w:lang w:val="en-US"/>
        </w:rPr>
      </w:pPr>
      <w:r w:rsidRPr="00BB5BFC">
        <w:rPr>
          <w:sz w:val="24"/>
          <w:szCs w:val="24"/>
          <w:lang w:val="en-US"/>
        </w:rPr>
        <w:t>In case of proven or even suspected infections with ß-</w:t>
      </w:r>
      <w:proofErr w:type="spellStart"/>
      <w:r w:rsidRPr="00BB5BFC">
        <w:rPr>
          <w:sz w:val="24"/>
          <w:szCs w:val="24"/>
          <w:lang w:val="en-US"/>
        </w:rPr>
        <w:t>haemolytic</w:t>
      </w:r>
      <w:proofErr w:type="spellEnd"/>
      <w:r w:rsidRPr="00BB5BFC">
        <w:rPr>
          <w:sz w:val="24"/>
          <w:szCs w:val="24"/>
          <w:lang w:val="en-US"/>
        </w:rPr>
        <w:t xml:space="preserve"> streptococci the treatment with clindamycin should be continued for at least 10 days to prevent the development of rheumatic fever or glomerulonephritis.</w:t>
      </w:r>
    </w:p>
    <w:p w14:paraId="010FDC73" w14:textId="77777777" w:rsidR="000D4D1E" w:rsidRPr="00BB5BFC" w:rsidRDefault="000D4D1E" w:rsidP="006933B5">
      <w:pPr>
        <w:ind w:left="851"/>
        <w:rPr>
          <w:sz w:val="24"/>
          <w:szCs w:val="24"/>
          <w:lang w:val="en-US"/>
        </w:rPr>
      </w:pPr>
    </w:p>
    <w:p w14:paraId="5888C872" w14:textId="77777777" w:rsidR="000D4D1E" w:rsidRPr="00BB5BFC" w:rsidRDefault="000D4D1E" w:rsidP="006933B5">
      <w:pPr>
        <w:ind w:left="851"/>
        <w:rPr>
          <w:sz w:val="24"/>
          <w:szCs w:val="24"/>
          <w:u w:val="single"/>
          <w:lang w:val="en-US"/>
        </w:rPr>
      </w:pPr>
      <w:r w:rsidRPr="00BB5BFC">
        <w:rPr>
          <w:sz w:val="24"/>
          <w:szCs w:val="24"/>
          <w:u w:val="single"/>
          <w:lang w:val="en-US"/>
        </w:rPr>
        <w:t xml:space="preserve">Method of administration </w:t>
      </w:r>
    </w:p>
    <w:p w14:paraId="127E9EC0" w14:textId="766FA89F" w:rsidR="000D4D1E" w:rsidRPr="00BB5BFC" w:rsidRDefault="00BB5BFC" w:rsidP="006933B5">
      <w:pPr>
        <w:ind w:left="851"/>
        <w:rPr>
          <w:sz w:val="24"/>
          <w:szCs w:val="24"/>
          <w:lang w:val="en-US"/>
        </w:rPr>
      </w:pPr>
      <w:r>
        <w:rPr>
          <w:sz w:val="24"/>
          <w:szCs w:val="24"/>
          <w:lang w:val="en-US"/>
        </w:rPr>
        <w:t>Clindamycin "Noridem"</w:t>
      </w:r>
      <w:r w:rsidR="000D4D1E" w:rsidRPr="00BB5BFC">
        <w:rPr>
          <w:sz w:val="24"/>
          <w:szCs w:val="24"/>
          <w:lang w:val="en-US"/>
        </w:rPr>
        <w:t xml:space="preserve"> is administered by intramuscular injection or intravenous infusion.</w:t>
      </w:r>
    </w:p>
    <w:p w14:paraId="1E9CE8D2" w14:textId="7CCC948F" w:rsidR="000D4D1E" w:rsidRPr="00BB5BFC" w:rsidRDefault="00BB5BFC" w:rsidP="006933B5">
      <w:pPr>
        <w:ind w:left="851"/>
        <w:rPr>
          <w:sz w:val="24"/>
          <w:szCs w:val="24"/>
          <w:lang w:val="en-US"/>
        </w:rPr>
      </w:pPr>
      <w:r>
        <w:rPr>
          <w:sz w:val="24"/>
          <w:szCs w:val="24"/>
          <w:lang w:val="en-US"/>
        </w:rPr>
        <w:t>Clindamycin "Noridem"</w:t>
      </w:r>
      <w:r w:rsidR="000D4D1E" w:rsidRPr="00BB5BFC">
        <w:rPr>
          <w:sz w:val="24"/>
          <w:szCs w:val="24"/>
          <w:lang w:val="en-US"/>
        </w:rPr>
        <w:t xml:space="preserve"> must be diluted prior to intravenous administration and should be infused over at least 10-60 minutes. The concentration should not exceed 18 mg clindamycin per ml solution.</w:t>
      </w:r>
    </w:p>
    <w:p w14:paraId="049C7531" w14:textId="0229523C" w:rsidR="000D4D1E" w:rsidRPr="00BB5BFC" w:rsidRDefault="000D4D1E" w:rsidP="006933B5">
      <w:pPr>
        <w:ind w:left="851"/>
        <w:rPr>
          <w:sz w:val="24"/>
          <w:szCs w:val="24"/>
          <w:lang w:val="en-US"/>
        </w:rPr>
      </w:pPr>
      <w:r w:rsidRPr="00BB5BFC">
        <w:rPr>
          <w:sz w:val="24"/>
          <w:szCs w:val="24"/>
          <w:lang w:val="en-US"/>
        </w:rPr>
        <w:t xml:space="preserve">For intramuscular administration </w:t>
      </w:r>
      <w:r w:rsidR="00BB5BFC">
        <w:rPr>
          <w:sz w:val="24"/>
          <w:szCs w:val="24"/>
          <w:lang w:val="en-US"/>
        </w:rPr>
        <w:t>Clindamycin "Noridem"</w:t>
      </w:r>
      <w:r w:rsidRPr="00BB5BFC">
        <w:rPr>
          <w:sz w:val="24"/>
          <w:szCs w:val="24"/>
          <w:lang w:val="en-US"/>
        </w:rPr>
        <w:t xml:space="preserve"> should be used undiluted.</w:t>
      </w:r>
    </w:p>
    <w:p w14:paraId="0148956C" w14:textId="77777777" w:rsidR="000D4D1E" w:rsidRPr="00BB5BFC" w:rsidRDefault="000D4D1E" w:rsidP="006933B5">
      <w:pPr>
        <w:ind w:left="851"/>
        <w:rPr>
          <w:sz w:val="24"/>
          <w:szCs w:val="24"/>
          <w:lang w:val="en-US"/>
        </w:rPr>
      </w:pPr>
    </w:p>
    <w:p w14:paraId="589901B0" w14:textId="77777777" w:rsidR="000D4D1E" w:rsidRPr="00BB5BFC" w:rsidRDefault="000D4D1E" w:rsidP="006933B5">
      <w:pPr>
        <w:ind w:left="851"/>
        <w:rPr>
          <w:sz w:val="24"/>
          <w:szCs w:val="24"/>
          <w:lang w:val="en-US"/>
        </w:rPr>
      </w:pPr>
      <w:r w:rsidRPr="00BB5BFC">
        <w:rPr>
          <w:sz w:val="24"/>
          <w:szCs w:val="24"/>
          <w:lang w:val="en-US"/>
        </w:rPr>
        <w:t>Single intramuscular (IM) injections of greater than 600 mg are not recommended nor is administration of more than 1.2 g in a single one-hour infusion.</w:t>
      </w:r>
    </w:p>
    <w:p w14:paraId="00E29249" w14:textId="77777777" w:rsidR="000D4D1E" w:rsidRPr="00BB5BFC" w:rsidRDefault="000D4D1E" w:rsidP="006933B5">
      <w:pPr>
        <w:ind w:left="851"/>
        <w:rPr>
          <w:sz w:val="24"/>
          <w:szCs w:val="24"/>
          <w:lang w:val="en-US"/>
        </w:rPr>
      </w:pPr>
    </w:p>
    <w:p w14:paraId="0F12B531" w14:textId="77777777" w:rsidR="000D4D1E" w:rsidRPr="00BB5BFC" w:rsidRDefault="000D4D1E" w:rsidP="006933B5">
      <w:pPr>
        <w:ind w:left="851"/>
        <w:rPr>
          <w:sz w:val="24"/>
          <w:szCs w:val="24"/>
          <w:lang w:val="en-US"/>
        </w:rPr>
      </w:pPr>
      <w:r w:rsidRPr="00BB5BFC">
        <w:rPr>
          <w:sz w:val="24"/>
          <w:szCs w:val="24"/>
          <w:lang w:val="en-US"/>
        </w:rPr>
        <w:t>Alternatively, the medicinal product may be administered in the form of a single rapid infusion of the first dose followed by continuous intravenous (IV) infusion.</w:t>
      </w:r>
    </w:p>
    <w:p w14:paraId="5BBDD4E5" w14:textId="77777777" w:rsidR="000D4D1E" w:rsidRPr="00BB5BFC" w:rsidRDefault="000D4D1E" w:rsidP="006933B5">
      <w:pPr>
        <w:ind w:left="851"/>
        <w:rPr>
          <w:sz w:val="24"/>
          <w:szCs w:val="24"/>
          <w:lang w:val="en-US"/>
        </w:rPr>
      </w:pPr>
    </w:p>
    <w:p w14:paraId="1C9D2E19" w14:textId="77777777" w:rsidR="000D4D1E" w:rsidRPr="00BB5BFC" w:rsidRDefault="000D4D1E" w:rsidP="006933B5">
      <w:pPr>
        <w:ind w:left="851"/>
        <w:rPr>
          <w:sz w:val="24"/>
          <w:szCs w:val="24"/>
          <w:lang w:val="en-US"/>
        </w:rPr>
      </w:pPr>
      <w:r w:rsidRPr="00BB5BFC">
        <w:rPr>
          <w:sz w:val="24"/>
          <w:szCs w:val="24"/>
          <w:lang w:val="en-US"/>
        </w:rPr>
        <w:t>For instructions on dilution of the medicinal product before administration, see section 6.6.</w:t>
      </w:r>
    </w:p>
    <w:p w14:paraId="7F6DB937" w14:textId="77777777" w:rsidR="007C5D2A" w:rsidRPr="00BB5BFC" w:rsidRDefault="007C5D2A" w:rsidP="00A85D26">
      <w:pPr>
        <w:tabs>
          <w:tab w:val="left" w:pos="851"/>
        </w:tabs>
        <w:ind w:left="851"/>
        <w:rPr>
          <w:sz w:val="24"/>
          <w:szCs w:val="24"/>
          <w:lang w:val="en-GB"/>
        </w:rPr>
      </w:pPr>
    </w:p>
    <w:p w14:paraId="2F676639"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4.3</w:t>
      </w:r>
      <w:r w:rsidRPr="00BB5BFC">
        <w:rPr>
          <w:b/>
          <w:sz w:val="24"/>
          <w:szCs w:val="24"/>
          <w:lang w:val="en-GB"/>
        </w:rPr>
        <w:tab/>
        <w:t>Contraindications</w:t>
      </w:r>
    </w:p>
    <w:p w14:paraId="539EEF9A" w14:textId="77777777" w:rsidR="000D4D1E" w:rsidRPr="00BB5BFC" w:rsidRDefault="000D4D1E" w:rsidP="006933B5">
      <w:pPr>
        <w:ind w:left="851"/>
        <w:rPr>
          <w:noProof/>
          <w:sz w:val="24"/>
          <w:szCs w:val="24"/>
          <w:lang w:val="en-US"/>
        </w:rPr>
      </w:pPr>
      <w:r w:rsidRPr="00BB5BFC">
        <w:rPr>
          <w:noProof/>
          <w:sz w:val="24"/>
          <w:szCs w:val="24"/>
          <w:lang w:val="en-US"/>
        </w:rPr>
        <w:t xml:space="preserve">Hypersensitivity to the active substance or lincomycin or to any of the excipients listed in section 6.1. </w:t>
      </w:r>
    </w:p>
    <w:p w14:paraId="4398E06F" w14:textId="77777777" w:rsidR="007C5D2A" w:rsidRPr="00BB5BFC" w:rsidRDefault="007C5D2A" w:rsidP="003E0341">
      <w:pPr>
        <w:tabs>
          <w:tab w:val="left" w:pos="851"/>
        </w:tabs>
        <w:ind w:left="851"/>
        <w:rPr>
          <w:sz w:val="24"/>
          <w:szCs w:val="24"/>
          <w:lang w:val="en-GB"/>
        </w:rPr>
      </w:pPr>
    </w:p>
    <w:p w14:paraId="5AE6D438" w14:textId="77777777" w:rsidR="007C5D2A" w:rsidRPr="00BB5BFC" w:rsidRDefault="007C5D2A" w:rsidP="007C5D2A">
      <w:pPr>
        <w:tabs>
          <w:tab w:val="left" w:pos="851"/>
        </w:tabs>
        <w:rPr>
          <w:b/>
          <w:sz w:val="24"/>
          <w:szCs w:val="24"/>
          <w:lang w:val="en-GB"/>
        </w:rPr>
      </w:pPr>
      <w:r w:rsidRPr="00BB5BFC">
        <w:rPr>
          <w:b/>
          <w:sz w:val="24"/>
          <w:szCs w:val="24"/>
          <w:lang w:val="en-GB"/>
        </w:rPr>
        <w:lastRenderedPageBreak/>
        <w:t>4.4</w:t>
      </w:r>
      <w:r w:rsidRPr="00BB5BFC">
        <w:rPr>
          <w:b/>
          <w:sz w:val="24"/>
          <w:szCs w:val="24"/>
          <w:lang w:val="en-GB"/>
        </w:rPr>
        <w:tab/>
        <w:t>Special warnings and precautions for use</w:t>
      </w:r>
    </w:p>
    <w:p w14:paraId="0D900EB8" w14:textId="77777777" w:rsidR="00BB5BFC" w:rsidRDefault="00BB5BFC" w:rsidP="006933B5">
      <w:pPr>
        <w:ind w:left="851"/>
        <w:rPr>
          <w:noProof/>
          <w:sz w:val="24"/>
          <w:szCs w:val="24"/>
          <w:lang w:val="en-GB"/>
        </w:rPr>
      </w:pPr>
    </w:p>
    <w:p w14:paraId="0CD052DE" w14:textId="06448431" w:rsidR="000D4D1E" w:rsidRPr="00BB5BFC" w:rsidRDefault="000D4D1E" w:rsidP="006933B5">
      <w:pPr>
        <w:ind w:left="851"/>
        <w:rPr>
          <w:noProof/>
          <w:sz w:val="24"/>
          <w:szCs w:val="24"/>
          <w:u w:val="single"/>
          <w:lang w:val="en-US"/>
        </w:rPr>
      </w:pPr>
      <w:r w:rsidRPr="00BB5BFC">
        <w:rPr>
          <w:noProof/>
          <w:sz w:val="24"/>
          <w:szCs w:val="24"/>
          <w:u w:val="single"/>
          <w:lang w:val="en-US"/>
        </w:rPr>
        <w:t>Hypersensitivity</w:t>
      </w:r>
    </w:p>
    <w:p w14:paraId="2F07CB91" w14:textId="77777777" w:rsidR="000D4D1E" w:rsidRPr="00BB5BFC" w:rsidRDefault="000D4D1E" w:rsidP="006933B5">
      <w:pPr>
        <w:ind w:left="851"/>
        <w:rPr>
          <w:noProof/>
          <w:sz w:val="24"/>
          <w:szCs w:val="24"/>
          <w:lang w:val="en-US"/>
        </w:rPr>
      </w:pPr>
      <w:r w:rsidRPr="00BB5BFC">
        <w:rPr>
          <w:noProof/>
          <w:sz w:val="24"/>
          <w:szCs w:val="24"/>
          <w:lang w:val="en-US"/>
        </w:rPr>
        <w:t>Severe hypersensitivity reactions, including severe skin reactions such as drug reaction with eosinophilia and systemic symptoms (DRESS), Stevens-Johnson syndrome (SJS), toxic epidermal necrolysis (TEN), and acute generalized exanthematous pustulosis (AGEP) have been reported in patients receiving clindamycin therapy. If a hypersensitivity or severe skin reaction occurs, clindamycin should be discontinued and appropriate therapy should be initiated (see sections 4.3 and 4.8).</w:t>
      </w:r>
    </w:p>
    <w:p w14:paraId="59194700" w14:textId="77777777" w:rsidR="000D4D1E" w:rsidRPr="00BB5BFC" w:rsidRDefault="000D4D1E" w:rsidP="006933B5">
      <w:pPr>
        <w:ind w:left="851"/>
        <w:rPr>
          <w:noProof/>
          <w:sz w:val="24"/>
          <w:szCs w:val="24"/>
          <w:lang w:val="en-US"/>
        </w:rPr>
      </w:pPr>
    </w:p>
    <w:p w14:paraId="39C5B639" w14:textId="77777777" w:rsidR="000D4D1E" w:rsidRPr="00BB5BFC" w:rsidRDefault="000D4D1E" w:rsidP="006933B5">
      <w:pPr>
        <w:ind w:left="851"/>
        <w:rPr>
          <w:noProof/>
          <w:sz w:val="24"/>
          <w:szCs w:val="24"/>
          <w:u w:val="single"/>
          <w:lang w:val="en-US"/>
        </w:rPr>
      </w:pPr>
      <w:r w:rsidRPr="00BB5BFC">
        <w:rPr>
          <w:noProof/>
          <w:sz w:val="24"/>
          <w:szCs w:val="24"/>
          <w:u w:val="single"/>
          <w:lang w:val="en-US"/>
        </w:rPr>
        <w:t>Allergy</w:t>
      </w:r>
    </w:p>
    <w:p w14:paraId="70EC7FC5" w14:textId="77777777" w:rsidR="000D4D1E" w:rsidRPr="00BB5BFC" w:rsidRDefault="000D4D1E" w:rsidP="006933B5">
      <w:pPr>
        <w:ind w:left="851"/>
        <w:rPr>
          <w:noProof/>
          <w:sz w:val="24"/>
          <w:szCs w:val="24"/>
          <w:lang w:val="en-US"/>
        </w:rPr>
      </w:pPr>
      <w:r w:rsidRPr="00BB5BFC">
        <w:rPr>
          <w:noProof/>
          <w:sz w:val="24"/>
          <w:szCs w:val="24"/>
          <w:lang w:val="en-US"/>
        </w:rPr>
        <w:t>Severe allergic reactions can occur even after the first application. In this case, treatment with clindamycin must be discontinued immediately and the appropriate standard emergency measures must be started.</w:t>
      </w:r>
    </w:p>
    <w:p w14:paraId="3BEEAB51" w14:textId="77777777" w:rsidR="000D4D1E" w:rsidRPr="00BB5BFC" w:rsidRDefault="000D4D1E" w:rsidP="006933B5">
      <w:pPr>
        <w:ind w:left="851"/>
        <w:rPr>
          <w:noProof/>
          <w:sz w:val="24"/>
          <w:szCs w:val="24"/>
          <w:lang w:val="en-US"/>
        </w:rPr>
      </w:pPr>
    </w:p>
    <w:p w14:paraId="4E2F1AEA" w14:textId="77777777" w:rsidR="000D4D1E" w:rsidRPr="00BB5BFC" w:rsidRDefault="000D4D1E" w:rsidP="006933B5">
      <w:pPr>
        <w:ind w:left="851"/>
        <w:rPr>
          <w:noProof/>
          <w:sz w:val="24"/>
          <w:szCs w:val="24"/>
          <w:lang w:val="en-US"/>
        </w:rPr>
      </w:pPr>
      <w:r w:rsidRPr="00BB5BFC">
        <w:rPr>
          <w:noProof/>
          <w:sz w:val="24"/>
          <w:szCs w:val="24"/>
          <w:lang w:val="en-US"/>
        </w:rPr>
        <w:t>Under certain circumstances, clindamycin therapy may be an alternative form of treatment in patients with a penicillin allergy (penicillin hypersensitivity). There have been no reports of a cross-allergy between clindamycin and penicillin and, based on the structural differences between the substances, this is not to be expected. However, in individual cases, information does exist on anaphylaxis (hypersensitivity) towards clindamycin in persons with an already existing penicillin allergy. This should be taken into consideration in a course of clindamycin treatment in patients with a penicillin allergy.</w:t>
      </w:r>
    </w:p>
    <w:p w14:paraId="002870B5" w14:textId="77777777" w:rsidR="000D4D1E" w:rsidRPr="00BB5BFC" w:rsidRDefault="000D4D1E" w:rsidP="006933B5">
      <w:pPr>
        <w:ind w:left="851"/>
        <w:rPr>
          <w:noProof/>
          <w:sz w:val="24"/>
          <w:szCs w:val="24"/>
          <w:lang w:val="en-US"/>
        </w:rPr>
      </w:pPr>
    </w:p>
    <w:p w14:paraId="2A78803C" w14:textId="77777777" w:rsidR="000D4D1E" w:rsidRPr="00BB5BFC" w:rsidRDefault="000D4D1E" w:rsidP="006933B5">
      <w:pPr>
        <w:ind w:left="851"/>
        <w:rPr>
          <w:noProof/>
          <w:sz w:val="24"/>
          <w:szCs w:val="24"/>
          <w:u w:val="single"/>
          <w:lang w:val="en-US"/>
        </w:rPr>
      </w:pPr>
      <w:r w:rsidRPr="00BB5BFC">
        <w:rPr>
          <w:noProof/>
          <w:sz w:val="24"/>
          <w:szCs w:val="24"/>
          <w:u w:val="single"/>
          <w:lang w:val="en-US"/>
        </w:rPr>
        <w:t>Colitis</w:t>
      </w:r>
    </w:p>
    <w:p w14:paraId="6BDC4547" w14:textId="77777777" w:rsidR="000D4D1E" w:rsidRPr="00BB5BFC" w:rsidRDefault="000D4D1E" w:rsidP="006933B5">
      <w:pPr>
        <w:ind w:left="851"/>
        <w:rPr>
          <w:sz w:val="24"/>
          <w:szCs w:val="24"/>
          <w:lang w:val="en-US"/>
        </w:rPr>
      </w:pPr>
      <w:r w:rsidRPr="00BB5BFC">
        <w:rPr>
          <w:sz w:val="24"/>
          <w:szCs w:val="24"/>
          <w:lang w:val="en-US"/>
        </w:rPr>
        <w:t xml:space="preserve">Clindamycin should only be used in the treatment of serious infections. In considering the use of clindamycin, the practitioner should bear in mind the type of infection and the potential hazard of the </w:t>
      </w:r>
      <w:proofErr w:type="spellStart"/>
      <w:r w:rsidRPr="00BB5BFC">
        <w:rPr>
          <w:sz w:val="24"/>
          <w:szCs w:val="24"/>
          <w:lang w:val="en-US"/>
        </w:rPr>
        <w:t>diarrhoea</w:t>
      </w:r>
      <w:proofErr w:type="spellEnd"/>
      <w:r w:rsidRPr="00BB5BFC">
        <w:rPr>
          <w:sz w:val="24"/>
          <w:szCs w:val="24"/>
          <w:lang w:val="en-US"/>
        </w:rPr>
        <w:t xml:space="preserve"> which may develop, since cases of colitis have been reported during, or even two or three weeks following, the administration of clindamycin. The disease is likely to follow a more severe course in older patients or patients who are debilitated.</w:t>
      </w:r>
    </w:p>
    <w:p w14:paraId="7C5AA7F4" w14:textId="77777777" w:rsidR="000D4D1E" w:rsidRPr="00BB5BFC" w:rsidRDefault="000D4D1E" w:rsidP="006933B5">
      <w:pPr>
        <w:ind w:left="851"/>
        <w:rPr>
          <w:noProof/>
          <w:sz w:val="24"/>
          <w:szCs w:val="24"/>
          <w:lang w:val="en-US"/>
        </w:rPr>
      </w:pPr>
    </w:p>
    <w:p w14:paraId="3CEA42E3" w14:textId="77777777" w:rsidR="000D4D1E" w:rsidRPr="00BB5BFC" w:rsidRDefault="000D4D1E" w:rsidP="006933B5">
      <w:pPr>
        <w:ind w:left="851"/>
        <w:rPr>
          <w:noProof/>
          <w:sz w:val="24"/>
          <w:szCs w:val="24"/>
          <w:lang w:val="en-US"/>
        </w:rPr>
      </w:pPr>
      <w:r w:rsidRPr="00BB5BFC">
        <w:rPr>
          <w:noProof/>
          <w:sz w:val="24"/>
          <w:szCs w:val="24"/>
          <w:lang w:val="en-US"/>
        </w:rPr>
        <w:t xml:space="preserve">The development of </w:t>
      </w:r>
      <w:r w:rsidRPr="00BB5BFC">
        <w:rPr>
          <w:i/>
          <w:noProof/>
          <w:sz w:val="24"/>
          <w:szCs w:val="24"/>
          <w:lang w:val="en-US"/>
        </w:rPr>
        <w:t>Clostridioides difficile</w:t>
      </w:r>
      <w:r w:rsidRPr="00BB5BFC">
        <w:rPr>
          <w:noProof/>
          <w:sz w:val="24"/>
          <w:szCs w:val="24"/>
          <w:lang w:val="en-US"/>
        </w:rPr>
        <w:t xml:space="preserve"> associated diarrhoea (CDAD) has been reported with use of nearly all antibacterial agents, including clindamycin. It ranges from mild diarrhoea to fatal colitis.</w:t>
      </w:r>
    </w:p>
    <w:p w14:paraId="0214D310" w14:textId="77777777" w:rsidR="000D4D1E" w:rsidRPr="00BB5BFC" w:rsidRDefault="000D4D1E" w:rsidP="006933B5">
      <w:pPr>
        <w:ind w:left="851"/>
        <w:rPr>
          <w:noProof/>
          <w:sz w:val="24"/>
          <w:szCs w:val="24"/>
          <w:lang w:val="en-US"/>
        </w:rPr>
      </w:pPr>
      <w:r w:rsidRPr="00BB5BFC">
        <w:rPr>
          <w:noProof/>
          <w:sz w:val="24"/>
          <w:szCs w:val="24"/>
          <w:lang w:val="en-US"/>
        </w:rPr>
        <w:t xml:space="preserve">Treatment with antibacterial agents alters the normal flora of the colon leading to overgrowth of </w:t>
      </w:r>
      <w:r w:rsidRPr="00BB5BFC">
        <w:rPr>
          <w:i/>
          <w:noProof/>
          <w:sz w:val="24"/>
          <w:szCs w:val="24"/>
          <w:lang w:val="en-US"/>
        </w:rPr>
        <w:t>C. difficile</w:t>
      </w:r>
      <w:r w:rsidRPr="00BB5BFC">
        <w:rPr>
          <w:noProof/>
          <w:sz w:val="24"/>
          <w:szCs w:val="24"/>
          <w:lang w:val="en-US"/>
        </w:rPr>
        <w:t xml:space="preserve">. </w:t>
      </w:r>
      <w:r w:rsidRPr="00BB5BFC">
        <w:rPr>
          <w:i/>
          <w:noProof/>
          <w:sz w:val="24"/>
          <w:szCs w:val="24"/>
          <w:lang w:val="en-US"/>
        </w:rPr>
        <w:t>C. difficile</w:t>
      </w:r>
      <w:r w:rsidRPr="00BB5BFC">
        <w:rPr>
          <w:noProof/>
          <w:sz w:val="24"/>
          <w:szCs w:val="24"/>
          <w:lang w:val="en-US"/>
        </w:rPr>
        <w:t xml:space="preserve"> produces toxins A and B which contribute to the development of CDAD and is a primary cause of 'antibiotic-associated colitis'.</w:t>
      </w:r>
    </w:p>
    <w:p w14:paraId="73F1C30F" w14:textId="77777777" w:rsidR="000D4D1E" w:rsidRPr="00BB5BFC" w:rsidRDefault="000D4D1E" w:rsidP="006933B5">
      <w:pPr>
        <w:ind w:left="851"/>
        <w:rPr>
          <w:noProof/>
          <w:sz w:val="24"/>
          <w:szCs w:val="24"/>
          <w:lang w:val="en-US"/>
        </w:rPr>
      </w:pPr>
    </w:p>
    <w:p w14:paraId="1CD503C6" w14:textId="77777777" w:rsidR="000D4D1E" w:rsidRPr="00BB5BFC" w:rsidRDefault="000D4D1E" w:rsidP="006933B5">
      <w:pPr>
        <w:ind w:left="851"/>
        <w:rPr>
          <w:noProof/>
          <w:sz w:val="24"/>
          <w:szCs w:val="24"/>
          <w:lang w:val="en-US"/>
        </w:rPr>
      </w:pPr>
      <w:r w:rsidRPr="00BB5BFC">
        <w:rPr>
          <w:noProof/>
          <w:sz w:val="24"/>
          <w:szCs w:val="24"/>
          <w:lang w:val="en-US"/>
        </w:rPr>
        <w:t xml:space="preserve">Hypervirulent strains of </w:t>
      </w:r>
      <w:r w:rsidRPr="00BB5BFC">
        <w:rPr>
          <w:i/>
          <w:noProof/>
          <w:sz w:val="24"/>
          <w:szCs w:val="24"/>
          <w:lang w:val="en-US"/>
        </w:rPr>
        <w:t>C. difficile</w:t>
      </w:r>
      <w:r w:rsidRPr="00BB5BFC">
        <w:rPr>
          <w:noProof/>
          <w:sz w:val="24"/>
          <w:szCs w:val="24"/>
          <w:lang w:val="en-US"/>
        </w:rPr>
        <w:t xml:space="preserve"> are associated with increased morbidity and mortality since such infections may be resistant to antibiotic therapy and may require colectomy.</w:t>
      </w:r>
    </w:p>
    <w:p w14:paraId="32FE8DEF" w14:textId="77777777" w:rsidR="000D4D1E" w:rsidRPr="00BB5BFC" w:rsidRDefault="000D4D1E" w:rsidP="006933B5">
      <w:pPr>
        <w:ind w:left="851"/>
        <w:rPr>
          <w:noProof/>
          <w:sz w:val="24"/>
          <w:szCs w:val="24"/>
          <w:lang w:val="en-US"/>
        </w:rPr>
      </w:pPr>
    </w:p>
    <w:p w14:paraId="6A97DCD8" w14:textId="77777777" w:rsidR="000D4D1E" w:rsidRPr="00BB5BFC" w:rsidRDefault="000D4D1E" w:rsidP="006933B5">
      <w:pPr>
        <w:ind w:left="851"/>
        <w:rPr>
          <w:noProof/>
          <w:sz w:val="24"/>
          <w:szCs w:val="24"/>
          <w:lang w:val="en-US"/>
        </w:rPr>
      </w:pPr>
      <w:r w:rsidRPr="00BB5BFC">
        <w:rPr>
          <w:noProof/>
          <w:sz w:val="24"/>
          <w:szCs w:val="24"/>
          <w:lang w:val="en-US"/>
        </w:rPr>
        <w:t>It is important to consider the diagnosis of CDAD in patients who present with diarrhoea subsequent to the administration of antibacterial agents.</w:t>
      </w:r>
    </w:p>
    <w:p w14:paraId="5F002E32" w14:textId="77777777" w:rsidR="000D4D1E" w:rsidRPr="00BB5BFC" w:rsidRDefault="000D4D1E" w:rsidP="006933B5">
      <w:pPr>
        <w:ind w:left="851"/>
        <w:rPr>
          <w:noProof/>
          <w:sz w:val="24"/>
          <w:szCs w:val="24"/>
          <w:lang w:val="en-US"/>
        </w:rPr>
      </w:pPr>
      <w:r w:rsidRPr="00BB5BFC">
        <w:rPr>
          <w:noProof/>
          <w:sz w:val="24"/>
          <w:szCs w:val="24"/>
          <w:lang w:val="en-US"/>
        </w:rPr>
        <w:t>In this case, a careful anamnesis has to be performed since a CDAD can occur up to two months after antibiotic therapy.</w:t>
      </w:r>
    </w:p>
    <w:p w14:paraId="24F92B4D" w14:textId="7FA43456" w:rsidR="000D4D1E" w:rsidRPr="00BB5BFC" w:rsidRDefault="000D4D1E" w:rsidP="006933B5">
      <w:pPr>
        <w:ind w:left="851"/>
        <w:rPr>
          <w:noProof/>
          <w:sz w:val="24"/>
          <w:szCs w:val="24"/>
          <w:lang w:val="en-US"/>
        </w:rPr>
      </w:pPr>
      <w:r w:rsidRPr="00BB5BFC">
        <w:rPr>
          <w:noProof/>
          <w:sz w:val="24"/>
          <w:szCs w:val="24"/>
          <w:lang w:val="en-US"/>
        </w:rPr>
        <w:t>If antibiotic-associated diarrhoea or antibiotic-associated colitis is suspected or confirmed, ongoing treatment with antibacterial agents, including clindamycin, should be discontinued and adequate therapeutic measures should be initiated immediately.</w:t>
      </w:r>
      <w:r w:rsidR="009942D1">
        <w:rPr>
          <w:noProof/>
          <w:sz w:val="24"/>
          <w:szCs w:val="24"/>
          <w:lang w:val="en-US"/>
        </w:rPr>
        <w:t xml:space="preserve"> </w:t>
      </w:r>
      <w:r w:rsidRPr="00BB5BFC">
        <w:rPr>
          <w:noProof/>
          <w:sz w:val="24"/>
          <w:szCs w:val="24"/>
          <w:lang w:val="en-US"/>
        </w:rPr>
        <w:t>Medicinal products inhibiting peristalsis are contraindicated in this situation.</w:t>
      </w:r>
    </w:p>
    <w:p w14:paraId="05FEFB79" w14:textId="660F60F7" w:rsidR="009942D1" w:rsidRDefault="009942D1">
      <w:pPr>
        <w:rPr>
          <w:noProof/>
          <w:sz w:val="24"/>
          <w:szCs w:val="24"/>
          <w:lang w:val="en-US"/>
        </w:rPr>
      </w:pPr>
      <w:r>
        <w:rPr>
          <w:noProof/>
          <w:sz w:val="24"/>
          <w:szCs w:val="24"/>
          <w:lang w:val="en-US"/>
        </w:rPr>
        <w:br w:type="page"/>
      </w:r>
    </w:p>
    <w:p w14:paraId="7707C1D6" w14:textId="77777777" w:rsidR="000D4D1E" w:rsidRPr="00BB5BFC" w:rsidRDefault="000D4D1E" w:rsidP="006933B5">
      <w:pPr>
        <w:ind w:left="851"/>
        <w:rPr>
          <w:noProof/>
          <w:sz w:val="24"/>
          <w:szCs w:val="24"/>
          <w:lang w:val="en-US"/>
        </w:rPr>
      </w:pPr>
    </w:p>
    <w:p w14:paraId="220203E9" w14:textId="77777777" w:rsidR="000D4D1E" w:rsidRPr="00BB5BFC" w:rsidRDefault="000D4D1E" w:rsidP="006933B5">
      <w:pPr>
        <w:ind w:left="851"/>
        <w:rPr>
          <w:noProof/>
          <w:sz w:val="24"/>
          <w:szCs w:val="24"/>
          <w:u w:val="single"/>
          <w:lang w:val="en-US"/>
        </w:rPr>
      </w:pPr>
      <w:r w:rsidRPr="00BB5BFC">
        <w:rPr>
          <w:noProof/>
          <w:sz w:val="24"/>
          <w:szCs w:val="24"/>
          <w:u w:val="single"/>
          <w:lang w:val="en-US"/>
        </w:rPr>
        <w:t>Precautions</w:t>
      </w:r>
    </w:p>
    <w:p w14:paraId="425CC8E7" w14:textId="77777777" w:rsidR="000D4D1E" w:rsidRPr="00BB5BFC" w:rsidRDefault="000D4D1E" w:rsidP="006933B5">
      <w:pPr>
        <w:ind w:left="851"/>
        <w:rPr>
          <w:noProof/>
          <w:sz w:val="24"/>
          <w:szCs w:val="24"/>
          <w:lang w:val="en-US"/>
        </w:rPr>
      </w:pPr>
      <w:r w:rsidRPr="00BB5BFC">
        <w:rPr>
          <w:noProof/>
          <w:sz w:val="24"/>
          <w:szCs w:val="24"/>
          <w:lang w:val="en-US"/>
        </w:rPr>
        <w:t>Caution should be exercised in patients with</w:t>
      </w:r>
    </w:p>
    <w:p w14:paraId="7C9415CA" w14:textId="77777777" w:rsidR="000D4D1E" w:rsidRPr="00BB5BFC" w:rsidRDefault="000D4D1E" w:rsidP="006933B5">
      <w:pPr>
        <w:ind w:left="851"/>
        <w:rPr>
          <w:noProof/>
          <w:sz w:val="24"/>
          <w:szCs w:val="24"/>
          <w:lang w:val="en-US"/>
        </w:rPr>
      </w:pPr>
    </w:p>
    <w:p w14:paraId="5814D859" w14:textId="77777777" w:rsidR="000D4D1E" w:rsidRPr="00BB5BFC" w:rsidRDefault="000D4D1E" w:rsidP="00BB5BFC">
      <w:pPr>
        <w:pStyle w:val="Listeafsnit"/>
        <w:numPr>
          <w:ilvl w:val="0"/>
          <w:numId w:val="11"/>
        </w:numPr>
        <w:tabs>
          <w:tab w:val="clear" w:pos="567"/>
        </w:tabs>
        <w:spacing w:line="240" w:lineRule="auto"/>
        <w:ind w:left="1276" w:hanging="425"/>
        <w:rPr>
          <w:noProof/>
          <w:sz w:val="24"/>
          <w:szCs w:val="24"/>
        </w:rPr>
      </w:pPr>
      <w:r w:rsidRPr="00BB5BFC">
        <w:rPr>
          <w:noProof/>
          <w:sz w:val="24"/>
          <w:szCs w:val="24"/>
        </w:rPr>
        <w:t>impaired hepatic and/or renal function (see section 4.2),</w:t>
      </w:r>
    </w:p>
    <w:p w14:paraId="32BCB2D0" w14:textId="77777777" w:rsidR="000D4D1E" w:rsidRPr="00BB5BFC" w:rsidRDefault="000D4D1E" w:rsidP="00BB5BFC">
      <w:pPr>
        <w:pStyle w:val="Listeafsnit"/>
        <w:numPr>
          <w:ilvl w:val="0"/>
          <w:numId w:val="11"/>
        </w:numPr>
        <w:tabs>
          <w:tab w:val="clear" w:pos="567"/>
        </w:tabs>
        <w:spacing w:line="240" w:lineRule="auto"/>
        <w:ind w:left="1276" w:hanging="425"/>
        <w:rPr>
          <w:noProof/>
          <w:sz w:val="24"/>
          <w:szCs w:val="24"/>
        </w:rPr>
      </w:pPr>
      <w:r w:rsidRPr="00BB5BFC">
        <w:rPr>
          <w:noProof/>
          <w:sz w:val="24"/>
          <w:szCs w:val="24"/>
        </w:rPr>
        <w:t>disturbances in neuromuscular transmission (myasthenia gravis, Parkinson's disease, etc.) as well as</w:t>
      </w:r>
    </w:p>
    <w:p w14:paraId="0C249F4C" w14:textId="77777777" w:rsidR="000D4D1E" w:rsidRPr="00BB5BFC" w:rsidRDefault="000D4D1E" w:rsidP="00BB5BFC">
      <w:pPr>
        <w:pStyle w:val="Listeafsnit"/>
        <w:numPr>
          <w:ilvl w:val="0"/>
          <w:numId w:val="11"/>
        </w:numPr>
        <w:tabs>
          <w:tab w:val="clear" w:pos="567"/>
        </w:tabs>
        <w:spacing w:line="240" w:lineRule="auto"/>
        <w:ind w:left="1276" w:hanging="425"/>
        <w:rPr>
          <w:noProof/>
          <w:sz w:val="24"/>
          <w:szCs w:val="24"/>
        </w:rPr>
      </w:pPr>
      <w:r w:rsidRPr="00BB5BFC">
        <w:rPr>
          <w:noProof/>
          <w:sz w:val="24"/>
          <w:szCs w:val="24"/>
        </w:rPr>
        <w:t>a history of gastrointestinal disorders (e.g. earlier inflammations of the colon).</w:t>
      </w:r>
    </w:p>
    <w:p w14:paraId="73FFCFE4" w14:textId="77777777" w:rsidR="000D4D1E" w:rsidRPr="00BB5BFC" w:rsidRDefault="000D4D1E" w:rsidP="00BB5BFC">
      <w:pPr>
        <w:pStyle w:val="Listeafsnit"/>
        <w:numPr>
          <w:ilvl w:val="0"/>
          <w:numId w:val="11"/>
        </w:numPr>
        <w:tabs>
          <w:tab w:val="clear" w:pos="567"/>
        </w:tabs>
        <w:spacing w:line="240" w:lineRule="auto"/>
        <w:ind w:left="1276" w:hanging="425"/>
        <w:rPr>
          <w:noProof/>
          <w:sz w:val="24"/>
          <w:szCs w:val="24"/>
        </w:rPr>
      </w:pPr>
      <w:r w:rsidRPr="00BB5BFC">
        <w:rPr>
          <w:noProof/>
          <w:sz w:val="24"/>
          <w:szCs w:val="24"/>
        </w:rPr>
        <w:t>atopic diseases.</w:t>
      </w:r>
    </w:p>
    <w:p w14:paraId="37D76141" w14:textId="77777777" w:rsidR="000D4D1E" w:rsidRPr="00BB5BFC" w:rsidRDefault="000D4D1E" w:rsidP="006933B5">
      <w:pPr>
        <w:ind w:left="851"/>
        <w:rPr>
          <w:noProof/>
          <w:sz w:val="24"/>
          <w:szCs w:val="24"/>
        </w:rPr>
      </w:pPr>
    </w:p>
    <w:p w14:paraId="5CBAC52A" w14:textId="77777777" w:rsidR="000D4D1E" w:rsidRPr="00BB5BFC" w:rsidRDefault="000D4D1E" w:rsidP="006933B5">
      <w:pPr>
        <w:ind w:left="851"/>
        <w:rPr>
          <w:noProof/>
          <w:sz w:val="24"/>
          <w:szCs w:val="24"/>
          <w:u w:val="single"/>
        </w:rPr>
      </w:pPr>
      <w:r w:rsidRPr="00BB5BFC">
        <w:rPr>
          <w:noProof/>
          <w:sz w:val="24"/>
          <w:szCs w:val="24"/>
          <w:u w:val="single"/>
        </w:rPr>
        <w:t xml:space="preserve">Bolous injection </w:t>
      </w:r>
    </w:p>
    <w:p w14:paraId="042AD233" w14:textId="77777777" w:rsidR="000D4D1E" w:rsidRPr="00BB5BFC" w:rsidRDefault="000D4D1E" w:rsidP="006933B5">
      <w:pPr>
        <w:ind w:left="851"/>
        <w:rPr>
          <w:noProof/>
          <w:sz w:val="24"/>
          <w:szCs w:val="24"/>
          <w:lang w:val="en-US"/>
        </w:rPr>
      </w:pPr>
      <w:r w:rsidRPr="00BB5BFC">
        <w:rPr>
          <w:noProof/>
          <w:sz w:val="24"/>
          <w:szCs w:val="24"/>
          <w:lang w:val="en-US"/>
        </w:rPr>
        <w:t>Rapid intravenous injection may have a serious effect on the heart (see section 4.8) and must be avoided.</w:t>
      </w:r>
    </w:p>
    <w:p w14:paraId="79CE9E41" w14:textId="77777777" w:rsidR="000D4D1E" w:rsidRPr="00BB5BFC" w:rsidRDefault="000D4D1E" w:rsidP="006933B5">
      <w:pPr>
        <w:ind w:left="851"/>
        <w:rPr>
          <w:noProof/>
          <w:sz w:val="24"/>
          <w:szCs w:val="24"/>
          <w:lang w:val="en-US"/>
        </w:rPr>
      </w:pPr>
    </w:p>
    <w:p w14:paraId="069A1881" w14:textId="77777777" w:rsidR="000D4D1E" w:rsidRPr="00BB5BFC" w:rsidRDefault="000D4D1E" w:rsidP="006933B5">
      <w:pPr>
        <w:ind w:left="851"/>
        <w:rPr>
          <w:noProof/>
          <w:sz w:val="24"/>
          <w:szCs w:val="24"/>
          <w:u w:val="single"/>
          <w:lang w:val="en-US"/>
        </w:rPr>
      </w:pPr>
      <w:r w:rsidRPr="00BB5BFC">
        <w:rPr>
          <w:noProof/>
          <w:sz w:val="24"/>
          <w:szCs w:val="24"/>
          <w:u w:val="single"/>
          <w:lang w:val="en-US"/>
        </w:rPr>
        <w:t>Laboratory testing during therapy</w:t>
      </w:r>
    </w:p>
    <w:p w14:paraId="60AACE20" w14:textId="08C4BAF5" w:rsidR="000D4D1E" w:rsidRPr="00BB5BFC" w:rsidRDefault="000D4D1E" w:rsidP="006933B5">
      <w:pPr>
        <w:ind w:left="851"/>
        <w:rPr>
          <w:noProof/>
          <w:sz w:val="24"/>
          <w:szCs w:val="24"/>
          <w:lang w:val="en-US"/>
        </w:rPr>
      </w:pPr>
      <w:r w:rsidRPr="00BB5BFC">
        <w:rPr>
          <w:noProof/>
          <w:sz w:val="24"/>
          <w:szCs w:val="24"/>
          <w:lang w:val="en-US"/>
        </w:rPr>
        <w:t>In infants under the age of one year and in long-term therapy (treatment for more than 10</w:t>
      </w:r>
      <w:r w:rsidR="009942D1">
        <w:rPr>
          <w:noProof/>
          <w:sz w:val="24"/>
          <w:szCs w:val="24"/>
          <w:lang w:val="en-US"/>
        </w:rPr>
        <w:t> </w:t>
      </w:r>
      <w:r w:rsidRPr="00BB5BFC">
        <w:rPr>
          <w:noProof/>
          <w:sz w:val="24"/>
          <w:szCs w:val="24"/>
          <w:lang w:val="en-US"/>
        </w:rPr>
        <w:t>days), the haemogram as well as hepatic and renal function should be monitored at regular intervals.</w:t>
      </w:r>
    </w:p>
    <w:p w14:paraId="13B2837C" w14:textId="77777777" w:rsidR="000D4D1E" w:rsidRPr="00BB5BFC" w:rsidRDefault="000D4D1E" w:rsidP="006933B5">
      <w:pPr>
        <w:ind w:left="851"/>
        <w:rPr>
          <w:noProof/>
          <w:sz w:val="24"/>
          <w:szCs w:val="24"/>
          <w:lang w:val="en-US"/>
        </w:rPr>
      </w:pPr>
    </w:p>
    <w:p w14:paraId="426AE811" w14:textId="77777777" w:rsidR="000D4D1E" w:rsidRPr="00BB5BFC" w:rsidRDefault="000D4D1E" w:rsidP="006933B5">
      <w:pPr>
        <w:ind w:left="851"/>
        <w:rPr>
          <w:sz w:val="24"/>
          <w:szCs w:val="24"/>
          <w:u w:val="single"/>
          <w:lang w:val="en-US"/>
        </w:rPr>
      </w:pPr>
      <w:r w:rsidRPr="00BB5BFC">
        <w:rPr>
          <w:sz w:val="24"/>
          <w:szCs w:val="24"/>
          <w:u w:val="single"/>
          <w:lang w:val="en-US"/>
        </w:rPr>
        <w:t>Acute kidney injury</w:t>
      </w:r>
    </w:p>
    <w:p w14:paraId="1A559A9C" w14:textId="77777777" w:rsidR="000D4D1E" w:rsidRPr="00BB5BFC" w:rsidRDefault="000D4D1E" w:rsidP="006933B5">
      <w:pPr>
        <w:ind w:left="851"/>
        <w:rPr>
          <w:sz w:val="24"/>
          <w:szCs w:val="24"/>
          <w:lang w:val="en-US"/>
        </w:rPr>
      </w:pPr>
      <w:r w:rsidRPr="00BB5BFC">
        <w:rPr>
          <w:sz w:val="24"/>
          <w:szCs w:val="24"/>
          <w:lang w:val="en-US"/>
        </w:rPr>
        <w:t>Acute kidney injury, including acute renal failure, has been reported infrequently. In patients suffering from pre-existing renal dysfunction or taking concomitant nephrotoxic drugs, monitoring of renal function should be considered (see section 4.8).</w:t>
      </w:r>
    </w:p>
    <w:p w14:paraId="6119229E" w14:textId="77777777" w:rsidR="000D4D1E" w:rsidRPr="00BB5BFC" w:rsidRDefault="000D4D1E" w:rsidP="006933B5">
      <w:pPr>
        <w:ind w:left="851"/>
        <w:rPr>
          <w:sz w:val="24"/>
          <w:szCs w:val="24"/>
          <w:lang w:val="en-US"/>
        </w:rPr>
      </w:pPr>
    </w:p>
    <w:p w14:paraId="1C520056" w14:textId="77777777" w:rsidR="000D4D1E" w:rsidRPr="00BB5BFC" w:rsidRDefault="000D4D1E" w:rsidP="006933B5">
      <w:pPr>
        <w:ind w:left="851"/>
        <w:rPr>
          <w:sz w:val="24"/>
          <w:szCs w:val="24"/>
          <w:u w:val="single"/>
          <w:lang w:val="en-US"/>
        </w:rPr>
      </w:pPr>
      <w:r w:rsidRPr="00BB5BFC">
        <w:rPr>
          <w:sz w:val="24"/>
          <w:szCs w:val="24"/>
          <w:u w:val="single"/>
          <w:lang w:val="en-US"/>
        </w:rPr>
        <w:t xml:space="preserve">Non-susceptible infections </w:t>
      </w:r>
    </w:p>
    <w:p w14:paraId="10E39D2A" w14:textId="77777777" w:rsidR="000D4D1E" w:rsidRPr="00BB5BFC" w:rsidRDefault="000D4D1E" w:rsidP="006933B5">
      <w:pPr>
        <w:ind w:left="851"/>
        <w:rPr>
          <w:noProof/>
          <w:sz w:val="24"/>
          <w:szCs w:val="24"/>
          <w:lang w:val="en-US"/>
        </w:rPr>
      </w:pPr>
      <w:r w:rsidRPr="00BB5BFC">
        <w:rPr>
          <w:noProof/>
          <w:sz w:val="24"/>
          <w:szCs w:val="24"/>
          <w:lang w:val="en-US"/>
        </w:rPr>
        <w:t>Long-term and repeated application of clindamycin can lead to a superinfection and/or colonisation with resistant pathogens or yeasts on the skin and mucous membranes.</w:t>
      </w:r>
    </w:p>
    <w:p w14:paraId="07111766" w14:textId="77777777" w:rsidR="000D4D1E" w:rsidRPr="00BB5BFC" w:rsidRDefault="000D4D1E" w:rsidP="006933B5">
      <w:pPr>
        <w:ind w:left="851"/>
        <w:rPr>
          <w:noProof/>
          <w:sz w:val="24"/>
          <w:szCs w:val="24"/>
          <w:lang w:val="en-US"/>
        </w:rPr>
      </w:pPr>
      <w:r w:rsidRPr="00BB5BFC">
        <w:rPr>
          <w:noProof/>
          <w:sz w:val="24"/>
          <w:szCs w:val="24"/>
          <w:lang w:val="en-US"/>
        </w:rPr>
        <w:t xml:space="preserve">Clindamycin should not be used in case of acute infections of the respiratory tract, if these are caused by viruses. </w:t>
      </w:r>
    </w:p>
    <w:p w14:paraId="35BB4DF1" w14:textId="77777777" w:rsidR="000D4D1E" w:rsidRPr="00BB5BFC" w:rsidRDefault="000D4D1E" w:rsidP="006933B5">
      <w:pPr>
        <w:ind w:left="851"/>
        <w:rPr>
          <w:sz w:val="24"/>
          <w:szCs w:val="24"/>
          <w:lang w:val="en-US"/>
        </w:rPr>
      </w:pPr>
      <w:r w:rsidRPr="00BB5BFC">
        <w:rPr>
          <w:noProof/>
          <w:sz w:val="24"/>
          <w:szCs w:val="24"/>
          <w:lang w:val="en-US"/>
        </w:rPr>
        <w:t xml:space="preserve">Clindamycin is not suitable for the treatment of meningitis, </w:t>
      </w:r>
      <w:r w:rsidRPr="00BB5BFC">
        <w:rPr>
          <w:sz w:val="24"/>
          <w:szCs w:val="24"/>
          <w:lang w:val="en-US"/>
        </w:rPr>
        <w:t>as the concentration of antibiotic obtained in the cerebrospinal fluid is insufficient.</w:t>
      </w:r>
    </w:p>
    <w:p w14:paraId="6DA9DEA1" w14:textId="77777777" w:rsidR="000D4D1E" w:rsidRPr="00BB5BFC" w:rsidRDefault="000D4D1E" w:rsidP="006933B5">
      <w:pPr>
        <w:ind w:left="851"/>
        <w:rPr>
          <w:noProof/>
          <w:sz w:val="24"/>
          <w:szCs w:val="24"/>
          <w:lang w:val="en-US"/>
        </w:rPr>
      </w:pPr>
    </w:p>
    <w:p w14:paraId="28CEBCA7" w14:textId="77777777" w:rsidR="000D4D1E" w:rsidRPr="00BB5BFC" w:rsidRDefault="000D4D1E" w:rsidP="006933B5">
      <w:pPr>
        <w:ind w:left="851"/>
        <w:rPr>
          <w:noProof/>
          <w:sz w:val="24"/>
          <w:szCs w:val="24"/>
          <w:u w:val="single"/>
          <w:lang w:val="en-US"/>
        </w:rPr>
      </w:pPr>
      <w:r w:rsidRPr="00BB5BFC">
        <w:rPr>
          <w:noProof/>
          <w:sz w:val="24"/>
          <w:szCs w:val="24"/>
          <w:u w:val="single"/>
          <w:lang w:val="en-US"/>
        </w:rPr>
        <w:t>Paediatric population</w:t>
      </w:r>
    </w:p>
    <w:p w14:paraId="1E281761" w14:textId="77777777" w:rsidR="000D4D1E" w:rsidRPr="00BB5BFC" w:rsidRDefault="000D4D1E" w:rsidP="006933B5">
      <w:pPr>
        <w:ind w:left="851"/>
        <w:rPr>
          <w:noProof/>
          <w:sz w:val="24"/>
          <w:szCs w:val="24"/>
          <w:lang w:val="en-US"/>
        </w:rPr>
      </w:pPr>
      <w:r w:rsidRPr="00BB5BFC">
        <w:rPr>
          <w:noProof/>
          <w:sz w:val="24"/>
          <w:szCs w:val="24"/>
          <w:lang w:val="en-US"/>
        </w:rPr>
        <w:t>Safety and appropriate dosage in infants less than one month of age have not been established.</w:t>
      </w:r>
    </w:p>
    <w:p w14:paraId="0315AD5F" w14:textId="77777777" w:rsidR="000D4D1E" w:rsidRPr="00BB5BFC" w:rsidRDefault="000D4D1E" w:rsidP="006933B5">
      <w:pPr>
        <w:ind w:left="851"/>
        <w:rPr>
          <w:noProof/>
          <w:sz w:val="24"/>
          <w:szCs w:val="24"/>
          <w:lang w:val="en-US"/>
        </w:rPr>
      </w:pPr>
    </w:p>
    <w:p w14:paraId="71A8D3C6" w14:textId="77777777" w:rsidR="000D4D1E" w:rsidRPr="00BB5BFC" w:rsidRDefault="000D4D1E" w:rsidP="006933B5">
      <w:pPr>
        <w:ind w:left="851"/>
        <w:rPr>
          <w:rFonts w:eastAsia="SimSun"/>
          <w:bCs/>
          <w:sz w:val="24"/>
          <w:szCs w:val="24"/>
          <w:u w:val="single"/>
          <w:lang w:val="en-US" w:eastAsia="en-GB"/>
        </w:rPr>
      </w:pPr>
      <w:r w:rsidRPr="00BB5BFC">
        <w:rPr>
          <w:rFonts w:eastAsia="SimSun"/>
          <w:bCs/>
          <w:sz w:val="24"/>
          <w:szCs w:val="24"/>
          <w:u w:val="single"/>
          <w:lang w:val="en-US" w:eastAsia="en-GB"/>
        </w:rPr>
        <w:t xml:space="preserve">Excipients </w:t>
      </w:r>
    </w:p>
    <w:p w14:paraId="74D150F5" w14:textId="77777777" w:rsidR="000D4D1E" w:rsidRPr="00BB5BFC" w:rsidRDefault="000D4D1E" w:rsidP="006933B5">
      <w:pPr>
        <w:ind w:left="851"/>
        <w:rPr>
          <w:sz w:val="24"/>
          <w:szCs w:val="24"/>
          <w:lang w:val="en-US" w:eastAsia="en-US"/>
        </w:rPr>
      </w:pPr>
      <w:r w:rsidRPr="00BB5BFC">
        <w:rPr>
          <w:rFonts w:eastAsia="SimSun"/>
          <w:color w:val="000000"/>
          <w:sz w:val="24"/>
          <w:szCs w:val="24"/>
          <w:lang w:val="en-US" w:eastAsia="en-GB"/>
        </w:rPr>
        <w:t>This medicinal product contains up to 7.72 mg of sodium per ml, equivalent to 0.39% of the recommended maximum daily intake of 2 g sodium for an adult.</w:t>
      </w:r>
    </w:p>
    <w:p w14:paraId="11D09371" w14:textId="77777777" w:rsidR="007C5D2A" w:rsidRPr="00BB5BFC" w:rsidRDefault="007C5D2A" w:rsidP="003E0341">
      <w:pPr>
        <w:tabs>
          <w:tab w:val="left" w:pos="851"/>
        </w:tabs>
        <w:ind w:left="851"/>
        <w:rPr>
          <w:sz w:val="24"/>
          <w:szCs w:val="24"/>
          <w:lang w:val="en-GB"/>
        </w:rPr>
      </w:pPr>
    </w:p>
    <w:p w14:paraId="09B522EE" w14:textId="77777777" w:rsidR="007C5D2A" w:rsidRPr="00BB5BFC" w:rsidRDefault="007C5D2A" w:rsidP="007C5D2A">
      <w:pPr>
        <w:ind w:left="851" w:hanging="851"/>
        <w:rPr>
          <w:b/>
          <w:sz w:val="24"/>
          <w:szCs w:val="24"/>
          <w:lang w:val="en-GB"/>
        </w:rPr>
      </w:pPr>
      <w:r w:rsidRPr="00BB5BFC">
        <w:rPr>
          <w:b/>
          <w:sz w:val="24"/>
          <w:szCs w:val="24"/>
          <w:lang w:val="en-GB"/>
        </w:rPr>
        <w:t>4.5</w:t>
      </w:r>
      <w:r w:rsidRPr="00BB5BFC">
        <w:rPr>
          <w:b/>
          <w:sz w:val="24"/>
          <w:szCs w:val="24"/>
          <w:lang w:val="en-GB"/>
        </w:rPr>
        <w:tab/>
        <w:t>Interaction with other medicinal products and other forms of interaction</w:t>
      </w:r>
    </w:p>
    <w:p w14:paraId="6FEE73C4" w14:textId="77777777" w:rsidR="00BB5BFC" w:rsidRDefault="00BB5BFC" w:rsidP="006933B5">
      <w:pPr>
        <w:ind w:left="851"/>
        <w:rPr>
          <w:noProof/>
          <w:sz w:val="24"/>
          <w:szCs w:val="24"/>
          <w:lang w:val="en-US"/>
        </w:rPr>
      </w:pPr>
    </w:p>
    <w:p w14:paraId="64F1B519" w14:textId="1AD4C74C" w:rsidR="000D4D1E" w:rsidRPr="00BB5BFC" w:rsidRDefault="000D4D1E" w:rsidP="006933B5">
      <w:pPr>
        <w:ind w:left="851"/>
        <w:rPr>
          <w:noProof/>
          <w:sz w:val="24"/>
          <w:szCs w:val="24"/>
          <w:u w:val="single"/>
          <w:lang w:val="en-US"/>
        </w:rPr>
      </w:pPr>
      <w:r w:rsidRPr="00BB5BFC">
        <w:rPr>
          <w:noProof/>
          <w:sz w:val="24"/>
          <w:szCs w:val="24"/>
          <w:u w:val="single"/>
          <w:lang w:val="en-US"/>
        </w:rPr>
        <w:t>Vitamin K antagonists</w:t>
      </w:r>
    </w:p>
    <w:p w14:paraId="27BD7A38" w14:textId="77777777" w:rsidR="000D4D1E" w:rsidRPr="00BB5BFC" w:rsidRDefault="000D4D1E" w:rsidP="006933B5">
      <w:pPr>
        <w:ind w:left="851"/>
        <w:rPr>
          <w:noProof/>
          <w:sz w:val="24"/>
          <w:szCs w:val="24"/>
          <w:lang w:val="en-US"/>
        </w:rPr>
      </w:pPr>
      <w:r w:rsidRPr="00BB5BFC">
        <w:rPr>
          <w:noProof/>
          <w:sz w:val="24"/>
          <w:szCs w:val="24"/>
          <w:lang w:val="en-US"/>
        </w:rPr>
        <w:t>Increased coagulation tests (PT/INR) and/or bleeding, have been reported in patients treated with clindamycin in combination with a vitamin K antagonist (e.g. warfarin, acenocoumarol and fluindione). Coagulation tests, therefore, should be frequently monitored in patients treated with vitamin K antagonists.</w:t>
      </w:r>
    </w:p>
    <w:p w14:paraId="2B066CAB" w14:textId="77777777" w:rsidR="000D4D1E" w:rsidRPr="00BB5BFC" w:rsidRDefault="000D4D1E" w:rsidP="006933B5">
      <w:pPr>
        <w:ind w:left="851"/>
        <w:rPr>
          <w:noProof/>
          <w:sz w:val="24"/>
          <w:szCs w:val="24"/>
          <w:lang w:val="en-US"/>
        </w:rPr>
      </w:pPr>
    </w:p>
    <w:p w14:paraId="3083AA0C" w14:textId="77777777" w:rsidR="000D4D1E" w:rsidRPr="00BB5BFC" w:rsidRDefault="000D4D1E" w:rsidP="006933B5">
      <w:pPr>
        <w:ind w:left="851"/>
        <w:rPr>
          <w:noProof/>
          <w:sz w:val="24"/>
          <w:szCs w:val="24"/>
          <w:u w:val="single"/>
          <w:lang w:val="en-US"/>
        </w:rPr>
      </w:pPr>
      <w:r w:rsidRPr="00BB5BFC">
        <w:rPr>
          <w:noProof/>
          <w:sz w:val="24"/>
          <w:szCs w:val="24"/>
          <w:u w:val="single"/>
          <w:lang w:val="en-US"/>
        </w:rPr>
        <w:t>Erythromycin</w:t>
      </w:r>
    </w:p>
    <w:p w14:paraId="461F649A" w14:textId="77777777" w:rsidR="000D4D1E" w:rsidRPr="00BB5BFC" w:rsidRDefault="000D4D1E" w:rsidP="006933B5">
      <w:pPr>
        <w:ind w:left="851"/>
        <w:rPr>
          <w:noProof/>
          <w:sz w:val="24"/>
          <w:szCs w:val="24"/>
          <w:lang w:val="en-US"/>
        </w:rPr>
      </w:pPr>
      <w:r w:rsidRPr="00BB5BFC">
        <w:rPr>
          <w:noProof/>
          <w:sz w:val="24"/>
          <w:szCs w:val="24"/>
          <w:lang w:val="en-US"/>
        </w:rPr>
        <w:t xml:space="preserve">Wherever possible, clindamycin should not be combined with erythromycin as an antagonistic effect of antibacterial action has been observed </w:t>
      </w:r>
      <w:r w:rsidRPr="00BB5BFC">
        <w:rPr>
          <w:i/>
          <w:noProof/>
          <w:sz w:val="24"/>
          <w:szCs w:val="24"/>
          <w:lang w:val="en-US"/>
        </w:rPr>
        <w:t>in vitro</w:t>
      </w:r>
      <w:r w:rsidRPr="00BB5BFC">
        <w:rPr>
          <w:noProof/>
          <w:sz w:val="24"/>
          <w:szCs w:val="24"/>
          <w:lang w:val="en-US"/>
        </w:rPr>
        <w:t>.</w:t>
      </w:r>
    </w:p>
    <w:p w14:paraId="3D634468" w14:textId="77777777" w:rsidR="000D4D1E" w:rsidRPr="00BB5BFC" w:rsidRDefault="000D4D1E" w:rsidP="006933B5">
      <w:pPr>
        <w:ind w:left="851"/>
        <w:rPr>
          <w:noProof/>
          <w:sz w:val="24"/>
          <w:szCs w:val="24"/>
          <w:lang w:val="en-US"/>
        </w:rPr>
      </w:pPr>
    </w:p>
    <w:p w14:paraId="2444292B" w14:textId="77777777" w:rsidR="000D4D1E" w:rsidRPr="00BB5BFC" w:rsidRDefault="000D4D1E" w:rsidP="006933B5">
      <w:pPr>
        <w:ind w:left="851"/>
        <w:rPr>
          <w:noProof/>
          <w:sz w:val="24"/>
          <w:szCs w:val="24"/>
          <w:u w:val="single"/>
          <w:lang w:val="en-GB"/>
        </w:rPr>
      </w:pPr>
      <w:r w:rsidRPr="00BB5BFC">
        <w:rPr>
          <w:noProof/>
          <w:sz w:val="24"/>
          <w:szCs w:val="24"/>
          <w:u w:val="single"/>
          <w:lang w:val="en-US"/>
        </w:rPr>
        <w:t>Lincomycin</w:t>
      </w:r>
    </w:p>
    <w:p w14:paraId="65EC12DD" w14:textId="77777777" w:rsidR="000D4D1E" w:rsidRPr="00BB5BFC" w:rsidRDefault="000D4D1E" w:rsidP="006933B5">
      <w:pPr>
        <w:ind w:left="851"/>
        <w:rPr>
          <w:noProof/>
          <w:sz w:val="24"/>
          <w:szCs w:val="24"/>
          <w:lang w:val="en-US"/>
        </w:rPr>
      </w:pPr>
      <w:r w:rsidRPr="00BB5BFC">
        <w:rPr>
          <w:noProof/>
          <w:sz w:val="24"/>
          <w:szCs w:val="24"/>
          <w:lang w:val="en-US"/>
        </w:rPr>
        <w:t>There is cross-resistance of pathogens towards clindamycin and lincomycin.</w:t>
      </w:r>
    </w:p>
    <w:p w14:paraId="2C9C83A0" w14:textId="77777777" w:rsidR="000D4D1E" w:rsidRPr="00BB5BFC" w:rsidRDefault="000D4D1E" w:rsidP="006933B5">
      <w:pPr>
        <w:ind w:left="851"/>
        <w:rPr>
          <w:noProof/>
          <w:sz w:val="24"/>
          <w:szCs w:val="24"/>
          <w:lang w:val="en-US"/>
        </w:rPr>
      </w:pPr>
    </w:p>
    <w:p w14:paraId="0B7254B7" w14:textId="77777777" w:rsidR="000D4D1E" w:rsidRPr="00BB5BFC" w:rsidRDefault="000D4D1E" w:rsidP="006933B5">
      <w:pPr>
        <w:ind w:left="851"/>
        <w:rPr>
          <w:noProof/>
          <w:sz w:val="24"/>
          <w:szCs w:val="24"/>
          <w:u w:val="single"/>
          <w:lang w:val="en-US"/>
        </w:rPr>
      </w:pPr>
      <w:r w:rsidRPr="00BB5BFC">
        <w:rPr>
          <w:noProof/>
          <w:sz w:val="24"/>
          <w:szCs w:val="24"/>
          <w:u w:val="single"/>
          <w:lang w:val="en-US"/>
        </w:rPr>
        <w:t>Neuromuscular blocking agents</w:t>
      </w:r>
    </w:p>
    <w:p w14:paraId="3C289DD0" w14:textId="77777777" w:rsidR="000D4D1E" w:rsidRPr="00BB5BFC" w:rsidRDefault="000D4D1E" w:rsidP="006933B5">
      <w:pPr>
        <w:ind w:left="851"/>
        <w:rPr>
          <w:noProof/>
          <w:sz w:val="24"/>
          <w:szCs w:val="24"/>
          <w:lang w:val="en-US"/>
        </w:rPr>
      </w:pPr>
      <w:r w:rsidRPr="00BB5BFC">
        <w:rPr>
          <w:noProof/>
          <w:sz w:val="24"/>
          <w:szCs w:val="24"/>
          <w:lang w:val="en-US"/>
        </w:rPr>
        <w:t>Due to its neuromuscular-blocking properties, clindamycin can potentiate the effect of muscle relaxants. As a result of this, unexpected, life-threatening incidents may occur during surgery.</w:t>
      </w:r>
    </w:p>
    <w:p w14:paraId="7D3B0A47" w14:textId="77777777" w:rsidR="000D4D1E" w:rsidRPr="00BB5BFC" w:rsidRDefault="000D4D1E" w:rsidP="006933B5">
      <w:pPr>
        <w:ind w:left="851"/>
        <w:rPr>
          <w:noProof/>
          <w:sz w:val="24"/>
          <w:szCs w:val="24"/>
          <w:lang w:val="en-US"/>
        </w:rPr>
      </w:pPr>
    </w:p>
    <w:p w14:paraId="5D063E34" w14:textId="77777777" w:rsidR="000D4D1E" w:rsidRPr="00BB5BFC" w:rsidRDefault="000D4D1E" w:rsidP="006933B5">
      <w:pPr>
        <w:ind w:left="851"/>
        <w:rPr>
          <w:noProof/>
          <w:sz w:val="24"/>
          <w:szCs w:val="24"/>
          <w:lang w:val="en-US"/>
        </w:rPr>
      </w:pPr>
      <w:r w:rsidRPr="00BB5BFC">
        <w:rPr>
          <w:noProof/>
          <w:sz w:val="24"/>
          <w:szCs w:val="24"/>
          <w:lang w:val="en-US"/>
        </w:rPr>
        <w:t>Clindamycin is metabolized predominantly by CYP3A4, and to a lesser extent by CYP3A5, to the major metabolite clindamycin sulfoxide and minor metabolite N-desmethylclindamycin. Therefore, inhibitors of CYP3A4 and CYP3A5 may increase plasma concentrations of clindamycin. Some examples of strong CYP3A4 inhibitors are itraconazole, voriconazole, clarithromycin, telitromycin, ritonavir and cobicistat. Caution is recommended if clindamycin is used together with strong CYP3A4 inhibitors. Inducers of these enzymes may increase clearance of clindamycin, resulting in decreased plasma concentrations. In a prospective study with orally administered clindamycin, trough concentrations of clindamycin were decreased by 80% when given concomitantly with rifampicin, a strong inducer of CYP3A4. Patients should be observed for reduced treatment efficacy if clindamycin is used together with strong CYP3A4 inducers such as rifampicin, St John's wort (</w:t>
      </w:r>
      <w:r w:rsidRPr="00BB5BFC">
        <w:rPr>
          <w:i/>
          <w:sz w:val="24"/>
          <w:szCs w:val="24"/>
          <w:lang w:val="en-US"/>
        </w:rPr>
        <w:t xml:space="preserve">Hypericum </w:t>
      </w:r>
      <w:proofErr w:type="spellStart"/>
      <w:r w:rsidRPr="00BB5BFC">
        <w:rPr>
          <w:i/>
          <w:sz w:val="24"/>
          <w:szCs w:val="24"/>
          <w:lang w:val="en-US"/>
        </w:rPr>
        <w:t>perforatum</w:t>
      </w:r>
      <w:proofErr w:type="spellEnd"/>
      <w:r w:rsidRPr="00BB5BFC">
        <w:rPr>
          <w:noProof/>
          <w:sz w:val="24"/>
          <w:szCs w:val="24"/>
          <w:lang w:val="en-US"/>
        </w:rPr>
        <w:t>), carbamazepine, phenytoin or phenobarbital.</w:t>
      </w:r>
    </w:p>
    <w:p w14:paraId="538D26D5" w14:textId="77777777" w:rsidR="000D4D1E" w:rsidRPr="00BB5BFC" w:rsidRDefault="000D4D1E" w:rsidP="006933B5">
      <w:pPr>
        <w:ind w:left="851"/>
        <w:rPr>
          <w:noProof/>
          <w:sz w:val="24"/>
          <w:szCs w:val="24"/>
          <w:lang w:val="en-US"/>
        </w:rPr>
      </w:pPr>
    </w:p>
    <w:p w14:paraId="6917A054" w14:textId="77777777" w:rsidR="000D4D1E" w:rsidRPr="00BB5BFC" w:rsidRDefault="000D4D1E" w:rsidP="006933B5">
      <w:pPr>
        <w:ind w:left="851"/>
        <w:rPr>
          <w:noProof/>
          <w:sz w:val="24"/>
          <w:szCs w:val="24"/>
          <w:lang w:val="en-US"/>
        </w:rPr>
      </w:pPr>
      <w:r w:rsidRPr="00BB5BFC">
        <w:rPr>
          <w:i/>
          <w:noProof/>
          <w:sz w:val="24"/>
          <w:szCs w:val="24"/>
          <w:lang w:val="en-US"/>
        </w:rPr>
        <w:t>In vitro</w:t>
      </w:r>
      <w:r w:rsidRPr="00BB5BFC">
        <w:rPr>
          <w:noProof/>
          <w:sz w:val="24"/>
          <w:szCs w:val="24"/>
          <w:lang w:val="en-US"/>
        </w:rPr>
        <w:t xml:space="preserve"> studies indicate that clindamycin does not inhibit CYP1A2, CYP2C9, CYP2C19, CYP2E1 or CYP2D6. Therefore, clinically important interactions between clindamycin and co-administered medicinal products metabolized by these CYP enzymes are unlikely.</w:t>
      </w:r>
      <w:r w:rsidRPr="00BB5BFC">
        <w:rPr>
          <w:sz w:val="24"/>
          <w:szCs w:val="24"/>
          <w:lang w:val="en-US"/>
        </w:rPr>
        <w:t xml:space="preserve"> </w:t>
      </w:r>
      <w:r w:rsidRPr="00BB5BFC">
        <w:rPr>
          <w:noProof/>
          <w:sz w:val="24"/>
          <w:szCs w:val="24"/>
          <w:lang w:val="en-US"/>
        </w:rPr>
        <w:t>Based on in vitro-data orally administered clindamycin may inhibit intestinal CYP3A4, but clinically relevant effects of parenterally administered clindamycin on concomitantly administered medicinal products metabolized by CYP3A4 are unlikely.</w:t>
      </w:r>
    </w:p>
    <w:p w14:paraId="62F8EBCE" w14:textId="77777777" w:rsidR="007C5D2A" w:rsidRPr="00BB5BFC" w:rsidRDefault="007C5D2A" w:rsidP="003E0341">
      <w:pPr>
        <w:tabs>
          <w:tab w:val="left" w:pos="851"/>
        </w:tabs>
        <w:ind w:left="851"/>
        <w:rPr>
          <w:sz w:val="24"/>
          <w:szCs w:val="24"/>
          <w:lang w:val="en-GB"/>
        </w:rPr>
      </w:pPr>
    </w:p>
    <w:p w14:paraId="027B17FB"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4.6</w:t>
      </w:r>
      <w:r w:rsidRPr="00BB5BFC">
        <w:rPr>
          <w:b/>
          <w:sz w:val="24"/>
          <w:szCs w:val="24"/>
          <w:lang w:val="en-GB"/>
        </w:rPr>
        <w:tab/>
      </w:r>
      <w:r w:rsidR="004860D3" w:rsidRPr="00BB5BFC">
        <w:rPr>
          <w:b/>
          <w:sz w:val="24"/>
          <w:szCs w:val="24"/>
          <w:lang w:val="en-GB"/>
        </w:rPr>
        <w:t>Fertility, p</w:t>
      </w:r>
      <w:r w:rsidRPr="00BB5BFC">
        <w:rPr>
          <w:b/>
          <w:sz w:val="24"/>
          <w:szCs w:val="24"/>
          <w:lang w:val="en-GB"/>
        </w:rPr>
        <w:t>regnancy and lactation</w:t>
      </w:r>
    </w:p>
    <w:p w14:paraId="5AD164CA" w14:textId="77777777" w:rsidR="00081C6D" w:rsidRDefault="00081C6D" w:rsidP="006933B5">
      <w:pPr>
        <w:ind w:left="851"/>
        <w:rPr>
          <w:noProof/>
          <w:sz w:val="24"/>
          <w:szCs w:val="24"/>
          <w:lang w:val="en-US"/>
        </w:rPr>
      </w:pPr>
    </w:p>
    <w:p w14:paraId="2E35E32B" w14:textId="4024B21A" w:rsidR="000D4D1E" w:rsidRPr="00081C6D" w:rsidRDefault="000D4D1E" w:rsidP="006933B5">
      <w:pPr>
        <w:ind w:left="851"/>
        <w:rPr>
          <w:noProof/>
          <w:sz w:val="24"/>
          <w:szCs w:val="24"/>
          <w:u w:val="single"/>
          <w:lang w:val="en-US"/>
        </w:rPr>
      </w:pPr>
      <w:r w:rsidRPr="00081C6D">
        <w:rPr>
          <w:noProof/>
          <w:sz w:val="24"/>
          <w:szCs w:val="24"/>
          <w:u w:val="single"/>
          <w:lang w:val="en-US"/>
        </w:rPr>
        <w:t>Pregnancy</w:t>
      </w:r>
    </w:p>
    <w:p w14:paraId="3A31F12C" w14:textId="77777777" w:rsidR="000D4D1E" w:rsidRPr="00BB5BFC" w:rsidRDefault="000D4D1E" w:rsidP="006933B5">
      <w:pPr>
        <w:ind w:left="851"/>
        <w:rPr>
          <w:noProof/>
          <w:sz w:val="24"/>
          <w:szCs w:val="24"/>
          <w:lang w:val="en-US"/>
        </w:rPr>
      </w:pPr>
      <w:r w:rsidRPr="00BB5BFC">
        <w:rPr>
          <w:noProof/>
          <w:sz w:val="24"/>
          <w:szCs w:val="24"/>
          <w:lang w:val="en-US"/>
        </w:rPr>
        <w:t>A large study on pregnant women, in which approx. 650 neonates exposed in the first trimester of pregnancy were examined, showed no increase in malformation rates. However, there are inadequate data regarding the safety of clindamycin in pregnancy.</w:t>
      </w:r>
    </w:p>
    <w:p w14:paraId="28FDF6A8" w14:textId="77777777" w:rsidR="000D4D1E" w:rsidRPr="00BB5BFC" w:rsidRDefault="000D4D1E" w:rsidP="006933B5">
      <w:pPr>
        <w:ind w:left="851"/>
        <w:rPr>
          <w:noProof/>
          <w:sz w:val="24"/>
          <w:szCs w:val="24"/>
          <w:lang w:val="en-US"/>
        </w:rPr>
      </w:pPr>
    </w:p>
    <w:p w14:paraId="31EC646C" w14:textId="77777777" w:rsidR="000D4D1E" w:rsidRPr="00BB5BFC" w:rsidRDefault="000D4D1E" w:rsidP="006933B5">
      <w:pPr>
        <w:ind w:left="851"/>
        <w:rPr>
          <w:noProof/>
          <w:sz w:val="24"/>
          <w:szCs w:val="24"/>
          <w:lang w:val="en-US"/>
        </w:rPr>
      </w:pPr>
      <w:r w:rsidRPr="00BB5BFC">
        <w:rPr>
          <w:noProof/>
          <w:sz w:val="24"/>
          <w:szCs w:val="24"/>
          <w:lang w:val="en-US"/>
        </w:rPr>
        <w:t>In clinical trials with pregnant women, the systemic administration of clindamycin during the second and third trimesters has not been associated with an increased frequency of congenital abnormalities. There are no adequate and well-controlled studies in pregnant women during the first trimester of pregnancy.</w:t>
      </w:r>
    </w:p>
    <w:p w14:paraId="54D55175" w14:textId="77777777" w:rsidR="000D4D1E" w:rsidRPr="00BB5BFC" w:rsidRDefault="000D4D1E" w:rsidP="006933B5">
      <w:pPr>
        <w:ind w:left="851"/>
        <w:rPr>
          <w:noProof/>
          <w:sz w:val="24"/>
          <w:szCs w:val="24"/>
          <w:lang w:val="en-US"/>
        </w:rPr>
      </w:pPr>
    </w:p>
    <w:p w14:paraId="16A2E79F" w14:textId="77777777" w:rsidR="000D4D1E" w:rsidRPr="00BB5BFC" w:rsidRDefault="000D4D1E" w:rsidP="006933B5">
      <w:pPr>
        <w:ind w:left="851"/>
        <w:rPr>
          <w:noProof/>
          <w:sz w:val="24"/>
          <w:szCs w:val="24"/>
          <w:lang w:val="en-GB" w:eastAsia="en-US"/>
        </w:rPr>
      </w:pPr>
      <w:r w:rsidRPr="00BB5BFC">
        <w:rPr>
          <w:noProof/>
          <w:sz w:val="24"/>
          <w:szCs w:val="24"/>
          <w:lang w:val="en-GB" w:eastAsia="en-US"/>
        </w:rPr>
        <w:t xml:space="preserve">Clindamycin crosses the placenta. It is assumed that a concentration with therapeutic effect can be reached in the fetus. </w:t>
      </w:r>
    </w:p>
    <w:p w14:paraId="029C8ABE" w14:textId="77777777" w:rsidR="000D4D1E" w:rsidRPr="00BB5BFC" w:rsidRDefault="000D4D1E" w:rsidP="006933B5">
      <w:pPr>
        <w:ind w:left="851"/>
        <w:rPr>
          <w:noProof/>
          <w:sz w:val="24"/>
          <w:szCs w:val="24"/>
          <w:lang w:val="en-GB" w:eastAsia="en-US"/>
        </w:rPr>
      </w:pPr>
    </w:p>
    <w:p w14:paraId="4A83558B" w14:textId="77777777" w:rsidR="000D4D1E" w:rsidRPr="00BB5BFC" w:rsidRDefault="000D4D1E" w:rsidP="006933B5">
      <w:pPr>
        <w:ind w:left="851"/>
        <w:rPr>
          <w:noProof/>
          <w:sz w:val="24"/>
          <w:szCs w:val="24"/>
          <w:lang w:val="en-GB" w:eastAsia="en-US"/>
        </w:rPr>
      </w:pPr>
      <w:r w:rsidRPr="00BB5BFC">
        <w:rPr>
          <w:noProof/>
          <w:sz w:val="24"/>
          <w:szCs w:val="24"/>
          <w:lang w:val="en-GB" w:eastAsia="en-US"/>
        </w:rPr>
        <w:t>Animal studies do not indicate direct or indirect harmful effects on pregnancy, embryonal / fetal development, childbirth or postnatal development (see section 5.3).</w:t>
      </w:r>
    </w:p>
    <w:p w14:paraId="2B758A05" w14:textId="77777777" w:rsidR="000D4D1E" w:rsidRPr="00BB5BFC" w:rsidRDefault="000D4D1E" w:rsidP="006933B5">
      <w:pPr>
        <w:ind w:left="851"/>
        <w:rPr>
          <w:noProof/>
          <w:sz w:val="24"/>
          <w:szCs w:val="24"/>
          <w:lang w:val="en-GB" w:eastAsia="en-US"/>
        </w:rPr>
      </w:pPr>
    </w:p>
    <w:p w14:paraId="573CA819" w14:textId="2E146EF4" w:rsidR="000D4D1E" w:rsidRPr="00BB5BFC" w:rsidRDefault="00BB5BFC" w:rsidP="006933B5">
      <w:pPr>
        <w:ind w:left="851"/>
        <w:rPr>
          <w:noProof/>
          <w:sz w:val="24"/>
          <w:szCs w:val="24"/>
          <w:lang w:val="en-GB" w:eastAsia="en-US"/>
        </w:rPr>
      </w:pPr>
      <w:r>
        <w:rPr>
          <w:noProof/>
          <w:sz w:val="24"/>
          <w:szCs w:val="24"/>
          <w:lang w:val="en-US"/>
        </w:rPr>
        <w:t>Clindamycin "Noridem"</w:t>
      </w:r>
      <w:r w:rsidR="000D4D1E" w:rsidRPr="00BB5BFC">
        <w:rPr>
          <w:noProof/>
          <w:sz w:val="24"/>
          <w:szCs w:val="24"/>
          <w:lang w:val="en-US"/>
        </w:rPr>
        <w:t xml:space="preserve"> should be only be administered when no other treatment options are available.</w:t>
      </w:r>
    </w:p>
    <w:p w14:paraId="23CD85DD" w14:textId="7E450EAF" w:rsidR="009942D1" w:rsidRDefault="009942D1">
      <w:pPr>
        <w:rPr>
          <w:noProof/>
          <w:sz w:val="24"/>
          <w:szCs w:val="24"/>
          <w:lang w:val="en-GB"/>
        </w:rPr>
      </w:pPr>
      <w:r>
        <w:rPr>
          <w:noProof/>
          <w:sz w:val="24"/>
          <w:szCs w:val="24"/>
          <w:lang w:val="en-GB"/>
        </w:rPr>
        <w:br w:type="page"/>
      </w:r>
    </w:p>
    <w:p w14:paraId="3A514CEE" w14:textId="77777777" w:rsidR="00081C6D" w:rsidRDefault="00081C6D" w:rsidP="006933B5">
      <w:pPr>
        <w:ind w:left="851"/>
        <w:rPr>
          <w:noProof/>
          <w:sz w:val="24"/>
          <w:szCs w:val="24"/>
          <w:lang w:val="en-GB"/>
        </w:rPr>
      </w:pPr>
    </w:p>
    <w:p w14:paraId="4D09AF75" w14:textId="60F14AC0" w:rsidR="000D4D1E" w:rsidRPr="00081C6D" w:rsidRDefault="000D4D1E" w:rsidP="006933B5">
      <w:pPr>
        <w:ind w:left="851"/>
        <w:rPr>
          <w:noProof/>
          <w:sz w:val="24"/>
          <w:szCs w:val="24"/>
          <w:u w:val="single"/>
          <w:lang w:val="en-US"/>
        </w:rPr>
      </w:pPr>
      <w:r w:rsidRPr="00081C6D">
        <w:rPr>
          <w:noProof/>
          <w:sz w:val="24"/>
          <w:szCs w:val="24"/>
          <w:u w:val="single"/>
          <w:lang w:val="en-US"/>
        </w:rPr>
        <w:t>Breastfeeding</w:t>
      </w:r>
    </w:p>
    <w:p w14:paraId="079CF652" w14:textId="13E3A8B3" w:rsidR="000D4D1E" w:rsidRPr="00BB5BFC" w:rsidRDefault="000D4D1E" w:rsidP="006933B5">
      <w:pPr>
        <w:ind w:left="851"/>
        <w:rPr>
          <w:noProof/>
          <w:sz w:val="24"/>
          <w:szCs w:val="24"/>
          <w:lang w:val="en-US"/>
        </w:rPr>
      </w:pPr>
      <w:r w:rsidRPr="00BB5BFC">
        <w:rPr>
          <w:rFonts w:eastAsia="SimSun"/>
          <w:color w:val="000000"/>
          <w:sz w:val="24"/>
          <w:szCs w:val="24"/>
          <w:lang w:val="en-US" w:eastAsia="zh-CN"/>
        </w:rPr>
        <w:t xml:space="preserve">Clindamycin is excreted in human milk, there is a risk of effects in breastfed newborns/infants of treated women. These effects are a risk of </w:t>
      </w:r>
      <w:r w:rsidRPr="00BB5BFC">
        <w:rPr>
          <w:noProof/>
          <w:sz w:val="24"/>
          <w:szCs w:val="24"/>
          <w:lang w:val="en-US"/>
        </w:rPr>
        <w:t xml:space="preserve">sensitisation, skin rash, diarrhoea, blood in stool and yeast colonisation. </w:t>
      </w:r>
      <w:r w:rsidR="00BB5BFC">
        <w:rPr>
          <w:noProof/>
          <w:sz w:val="24"/>
          <w:szCs w:val="24"/>
          <w:lang w:val="en-US"/>
        </w:rPr>
        <w:t>Clindamycin "Noridem"</w:t>
      </w:r>
      <w:r w:rsidRPr="00BB5BFC">
        <w:rPr>
          <w:rFonts w:eastAsia="SimSun"/>
          <w:color w:val="000000"/>
          <w:sz w:val="24"/>
          <w:szCs w:val="24"/>
          <w:lang w:val="en-US" w:eastAsia="zh-CN"/>
        </w:rPr>
        <w:t xml:space="preserve"> should not be used during breast-feeding.</w:t>
      </w:r>
    </w:p>
    <w:p w14:paraId="2BA260F6" w14:textId="77777777" w:rsidR="000D4D1E" w:rsidRPr="00BB5BFC" w:rsidRDefault="000D4D1E" w:rsidP="006933B5">
      <w:pPr>
        <w:ind w:left="851"/>
        <w:rPr>
          <w:noProof/>
          <w:sz w:val="24"/>
          <w:szCs w:val="24"/>
          <w:lang w:val="en-US"/>
        </w:rPr>
      </w:pPr>
    </w:p>
    <w:p w14:paraId="0F6E878D" w14:textId="77777777" w:rsidR="000D4D1E" w:rsidRPr="00081C6D" w:rsidRDefault="000D4D1E" w:rsidP="006933B5">
      <w:pPr>
        <w:ind w:left="851"/>
        <w:rPr>
          <w:noProof/>
          <w:sz w:val="24"/>
          <w:szCs w:val="24"/>
          <w:u w:val="single"/>
          <w:lang w:val="en-US"/>
        </w:rPr>
      </w:pPr>
      <w:r w:rsidRPr="00081C6D">
        <w:rPr>
          <w:noProof/>
          <w:sz w:val="24"/>
          <w:szCs w:val="24"/>
          <w:u w:val="single"/>
          <w:lang w:val="en-US"/>
        </w:rPr>
        <w:t>Fertility</w:t>
      </w:r>
    </w:p>
    <w:p w14:paraId="1E52D8F5" w14:textId="77777777" w:rsidR="000D4D1E" w:rsidRPr="00BB5BFC" w:rsidRDefault="000D4D1E" w:rsidP="006933B5">
      <w:pPr>
        <w:ind w:left="851"/>
        <w:rPr>
          <w:noProof/>
          <w:sz w:val="24"/>
          <w:szCs w:val="24"/>
          <w:lang w:val="en-US"/>
        </w:rPr>
      </w:pPr>
      <w:r w:rsidRPr="00BB5BFC">
        <w:rPr>
          <w:noProof/>
          <w:sz w:val="24"/>
          <w:szCs w:val="24"/>
          <w:lang w:val="en-US"/>
        </w:rPr>
        <w:t>Animal studies revealed no effects on the fertility. There are no data about the influence of clindamycin on the fertility in humans.</w:t>
      </w:r>
    </w:p>
    <w:p w14:paraId="6D218445" w14:textId="77777777" w:rsidR="007C5D2A" w:rsidRPr="00BB5BFC" w:rsidRDefault="007C5D2A" w:rsidP="003E0341">
      <w:pPr>
        <w:tabs>
          <w:tab w:val="left" w:pos="851"/>
        </w:tabs>
        <w:ind w:left="851"/>
        <w:rPr>
          <w:sz w:val="24"/>
          <w:szCs w:val="24"/>
          <w:lang w:val="en-GB"/>
        </w:rPr>
      </w:pPr>
    </w:p>
    <w:p w14:paraId="39DC31CB"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4.7</w:t>
      </w:r>
      <w:r w:rsidRPr="00BB5BFC">
        <w:rPr>
          <w:b/>
          <w:sz w:val="24"/>
          <w:szCs w:val="24"/>
          <w:lang w:val="en-GB"/>
        </w:rPr>
        <w:tab/>
        <w:t>Effects on ability to drive and use machines</w:t>
      </w:r>
    </w:p>
    <w:p w14:paraId="4E10CE79" w14:textId="77777777" w:rsidR="006933B5" w:rsidRPr="00BB5BFC" w:rsidRDefault="006933B5" w:rsidP="006933B5">
      <w:pPr>
        <w:ind w:left="851"/>
        <w:rPr>
          <w:sz w:val="24"/>
          <w:szCs w:val="24"/>
          <w:lang w:val="en-US"/>
        </w:rPr>
      </w:pPr>
      <w:r w:rsidRPr="00BB5BFC">
        <w:rPr>
          <w:sz w:val="24"/>
          <w:szCs w:val="24"/>
          <w:lang w:val="en-US"/>
        </w:rPr>
        <w:t>No traffic warning.</w:t>
      </w:r>
    </w:p>
    <w:p w14:paraId="1E2C5780" w14:textId="601B118A" w:rsidR="000D4D1E" w:rsidRPr="00BB5BFC" w:rsidRDefault="00BB5BFC" w:rsidP="006933B5">
      <w:pPr>
        <w:ind w:left="851"/>
        <w:rPr>
          <w:noProof/>
          <w:sz w:val="24"/>
          <w:szCs w:val="24"/>
          <w:lang w:val="en-US"/>
        </w:rPr>
      </w:pPr>
      <w:r>
        <w:rPr>
          <w:sz w:val="24"/>
          <w:szCs w:val="24"/>
          <w:lang w:val="en-US"/>
        </w:rPr>
        <w:t>Clindamycin "Noridem"</w:t>
      </w:r>
      <w:r w:rsidR="000D4D1E" w:rsidRPr="00BB5BFC">
        <w:rPr>
          <w:sz w:val="24"/>
          <w:szCs w:val="24"/>
          <w:lang w:val="en-US"/>
        </w:rPr>
        <w:t xml:space="preserve"> has mild to moderate influence on the ability to drive and use machines. </w:t>
      </w:r>
      <w:r w:rsidR="000D4D1E" w:rsidRPr="00BB5BFC">
        <w:rPr>
          <w:noProof/>
          <w:sz w:val="24"/>
          <w:szCs w:val="24"/>
          <w:lang w:val="en-US"/>
        </w:rPr>
        <w:t>Undesirable effects like dizziness, sleepiness and headaches can constrict the ability to drive and use machines.</w:t>
      </w:r>
    </w:p>
    <w:p w14:paraId="26259973" w14:textId="77777777" w:rsidR="000D4D1E" w:rsidRPr="00BB5BFC" w:rsidRDefault="000D4D1E" w:rsidP="006933B5">
      <w:pPr>
        <w:ind w:left="851"/>
        <w:rPr>
          <w:noProof/>
          <w:sz w:val="24"/>
          <w:szCs w:val="24"/>
          <w:lang w:val="en-US"/>
        </w:rPr>
      </w:pPr>
    </w:p>
    <w:p w14:paraId="0B7CA35A" w14:textId="77777777" w:rsidR="000D4D1E" w:rsidRPr="00BB5BFC" w:rsidRDefault="000D4D1E" w:rsidP="006933B5">
      <w:pPr>
        <w:ind w:left="851"/>
        <w:rPr>
          <w:noProof/>
          <w:sz w:val="24"/>
          <w:szCs w:val="24"/>
          <w:lang w:val="en-US"/>
        </w:rPr>
      </w:pPr>
      <w:r w:rsidRPr="00BB5BFC">
        <w:rPr>
          <w:noProof/>
          <w:sz w:val="24"/>
          <w:szCs w:val="24"/>
          <w:lang w:val="en-US"/>
        </w:rPr>
        <w:t>In isolated cases undesirable effects (e.g. anaphylactic shock) have been observed (see section 4.8.) which render patients incapable of participating actively in road traffic or operating machines and working without suitable precautions owing to unsteadiness.</w:t>
      </w:r>
    </w:p>
    <w:p w14:paraId="7356D418" w14:textId="77777777" w:rsidR="007C5D2A" w:rsidRPr="00BB5BFC" w:rsidRDefault="007C5D2A" w:rsidP="003E0341">
      <w:pPr>
        <w:tabs>
          <w:tab w:val="left" w:pos="851"/>
        </w:tabs>
        <w:ind w:left="851"/>
        <w:rPr>
          <w:sz w:val="24"/>
          <w:szCs w:val="24"/>
          <w:lang w:val="en-GB"/>
        </w:rPr>
      </w:pPr>
    </w:p>
    <w:p w14:paraId="651380E5"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4.8</w:t>
      </w:r>
      <w:r w:rsidRPr="00BB5BFC">
        <w:rPr>
          <w:b/>
          <w:sz w:val="24"/>
          <w:szCs w:val="24"/>
          <w:lang w:val="en-GB"/>
        </w:rPr>
        <w:tab/>
        <w:t>Undesirable effects</w:t>
      </w:r>
    </w:p>
    <w:p w14:paraId="0C630B87" w14:textId="77777777" w:rsidR="000D4D1E" w:rsidRPr="00BB5BFC" w:rsidRDefault="000D4D1E" w:rsidP="006933B5">
      <w:pPr>
        <w:ind w:left="851"/>
        <w:rPr>
          <w:sz w:val="24"/>
          <w:szCs w:val="24"/>
          <w:lang w:val="en-US"/>
        </w:rPr>
      </w:pPr>
      <w:r w:rsidRPr="00BB5BFC">
        <w:rPr>
          <w:sz w:val="24"/>
          <w:szCs w:val="24"/>
          <w:lang w:val="en-US"/>
        </w:rPr>
        <w:t>a) Tabular summary of undesirable effects</w:t>
      </w:r>
    </w:p>
    <w:p w14:paraId="4EBDE25B" w14:textId="77777777" w:rsidR="000D4D1E" w:rsidRPr="00BB5BFC" w:rsidRDefault="000D4D1E" w:rsidP="006933B5">
      <w:pPr>
        <w:ind w:left="851"/>
        <w:rPr>
          <w:sz w:val="24"/>
          <w:szCs w:val="24"/>
          <w:lang w:val="en-US"/>
        </w:rPr>
      </w:pPr>
    </w:p>
    <w:p w14:paraId="65A18C41" w14:textId="77777777" w:rsidR="000D4D1E" w:rsidRPr="00BB5BFC" w:rsidRDefault="000D4D1E" w:rsidP="006933B5">
      <w:pPr>
        <w:ind w:left="851"/>
        <w:rPr>
          <w:sz w:val="24"/>
          <w:szCs w:val="24"/>
          <w:lang w:val="en-US"/>
        </w:rPr>
      </w:pPr>
      <w:r w:rsidRPr="00BB5BFC">
        <w:rPr>
          <w:sz w:val="24"/>
          <w:szCs w:val="24"/>
          <w:lang w:val="en-US"/>
        </w:rPr>
        <w:t>The table below lists the adverse reactions identified through clinical trial experience and post-marketing surveillance by system organ class and frequency.</w:t>
      </w:r>
    </w:p>
    <w:p w14:paraId="018E9998" w14:textId="77777777" w:rsidR="000D4D1E" w:rsidRPr="00BB5BFC" w:rsidRDefault="000D4D1E" w:rsidP="006933B5">
      <w:pPr>
        <w:ind w:left="851"/>
        <w:rPr>
          <w:sz w:val="24"/>
          <w:szCs w:val="24"/>
          <w:lang w:val="en-US"/>
        </w:rPr>
      </w:pPr>
    </w:p>
    <w:p w14:paraId="56A718FC" w14:textId="77777777" w:rsidR="000D4D1E" w:rsidRPr="00BB5BFC" w:rsidRDefault="000D4D1E" w:rsidP="006933B5">
      <w:pPr>
        <w:ind w:left="851"/>
        <w:rPr>
          <w:sz w:val="24"/>
          <w:szCs w:val="24"/>
          <w:lang w:val="en-US"/>
        </w:rPr>
      </w:pPr>
      <w:r w:rsidRPr="00BB5BFC">
        <w:rPr>
          <w:sz w:val="24"/>
          <w:szCs w:val="24"/>
          <w:lang w:val="en-US"/>
        </w:rPr>
        <w:t xml:space="preserve">The frequency grouping is defined using the following convention: </w:t>
      </w:r>
    </w:p>
    <w:p w14:paraId="6376614C" w14:textId="77777777" w:rsidR="000D4D1E" w:rsidRPr="00BB5BFC" w:rsidRDefault="000D4D1E" w:rsidP="006933B5">
      <w:pPr>
        <w:ind w:left="851"/>
        <w:rPr>
          <w:sz w:val="24"/>
          <w:szCs w:val="24"/>
          <w:lang w:val="en-US"/>
        </w:rPr>
      </w:pPr>
      <w:r w:rsidRPr="00BB5BFC">
        <w:rPr>
          <w:sz w:val="24"/>
          <w:szCs w:val="24"/>
          <w:lang w:val="en-US"/>
        </w:rPr>
        <w:t>Very common (≥ 1/10)</w:t>
      </w:r>
    </w:p>
    <w:p w14:paraId="4F7F9F8A" w14:textId="77777777" w:rsidR="000D4D1E" w:rsidRPr="00BB5BFC" w:rsidRDefault="000D4D1E" w:rsidP="006933B5">
      <w:pPr>
        <w:ind w:left="851"/>
        <w:rPr>
          <w:sz w:val="24"/>
          <w:szCs w:val="24"/>
          <w:lang w:val="en-US"/>
        </w:rPr>
      </w:pPr>
      <w:r w:rsidRPr="00BB5BFC">
        <w:rPr>
          <w:sz w:val="24"/>
          <w:szCs w:val="24"/>
          <w:lang w:val="en-US"/>
        </w:rPr>
        <w:t xml:space="preserve">Common (≥ 1/100 to &lt; 1/10) </w:t>
      </w:r>
    </w:p>
    <w:p w14:paraId="6E183F6E" w14:textId="77777777" w:rsidR="000D4D1E" w:rsidRPr="00BB5BFC" w:rsidRDefault="000D4D1E" w:rsidP="006933B5">
      <w:pPr>
        <w:ind w:left="851"/>
        <w:rPr>
          <w:sz w:val="24"/>
          <w:szCs w:val="24"/>
          <w:lang w:val="en-US"/>
        </w:rPr>
      </w:pPr>
      <w:r w:rsidRPr="00BB5BFC">
        <w:rPr>
          <w:sz w:val="24"/>
          <w:szCs w:val="24"/>
          <w:lang w:val="en-US"/>
        </w:rPr>
        <w:t xml:space="preserve">Uncommon (≥ 1/1,000 to &lt; 1/100) </w:t>
      </w:r>
    </w:p>
    <w:p w14:paraId="3346580C" w14:textId="77777777" w:rsidR="000D4D1E" w:rsidRPr="00BB5BFC" w:rsidRDefault="000D4D1E" w:rsidP="006933B5">
      <w:pPr>
        <w:ind w:left="851"/>
        <w:rPr>
          <w:sz w:val="24"/>
          <w:szCs w:val="24"/>
          <w:lang w:val="en-US"/>
        </w:rPr>
      </w:pPr>
      <w:r w:rsidRPr="00BB5BFC">
        <w:rPr>
          <w:sz w:val="24"/>
          <w:szCs w:val="24"/>
          <w:lang w:val="en-US"/>
        </w:rPr>
        <w:t xml:space="preserve">Rare (≥ 1/10,000 to &lt; 1/1,000) </w:t>
      </w:r>
    </w:p>
    <w:p w14:paraId="2CAC8C38" w14:textId="77777777" w:rsidR="000D4D1E" w:rsidRPr="00BB5BFC" w:rsidRDefault="000D4D1E" w:rsidP="006933B5">
      <w:pPr>
        <w:ind w:left="851"/>
        <w:rPr>
          <w:sz w:val="24"/>
          <w:szCs w:val="24"/>
          <w:lang w:val="en-US"/>
        </w:rPr>
      </w:pPr>
      <w:r w:rsidRPr="00BB5BFC">
        <w:rPr>
          <w:sz w:val="24"/>
          <w:szCs w:val="24"/>
          <w:lang w:val="en-US"/>
        </w:rPr>
        <w:t>Very rare (&lt; 1/10,000)</w:t>
      </w:r>
    </w:p>
    <w:p w14:paraId="728BFB3C" w14:textId="77777777" w:rsidR="000D4D1E" w:rsidRPr="00BB5BFC" w:rsidRDefault="000D4D1E" w:rsidP="006933B5">
      <w:pPr>
        <w:ind w:left="851"/>
        <w:rPr>
          <w:sz w:val="24"/>
          <w:szCs w:val="24"/>
          <w:lang w:val="en-US"/>
        </w:rPr>
      </w:pPr>
      <w:r w:rsidRPr="00BB5BFC">
        <w:rPr>
          <w:sz w:val="24"/>
          <w:szCs w:val="24"/>
          <w:lang w:val="en-US"/>
        </w:rPr>
        <w:t>Not known (cannot be estimated form the available data)</w:t>
      </w:r>
    </w:p>
    <w:p w14:paraId="7F322427" w14:textId="77777777" w:rsidR="000D4D1E" w:rsidRPr="00BB5BFC" w:rsidRDefault="000D4D1E" w:rsidP="006933B5">
      <w:pPr>
        <w:ind w:left="851"/>
        <w:rPr>
          <w:sz w:val="24"/>
          <w:szCs w:val="24"/>
          <w:lang w:val="en-US"/>
        </w:rPr>
      </w:pPr>
    </w:p>
    <w:p w14:paraId="41A1FA02" w14:textId="77777777" w:rsidR="000D4D1E" w:rsidRPr="00BB5BFC" w:rsidRDefault="000D4D1E" w:rsidP="006933B5">
      <w:pPr>
        <w:ind w:left="851"/>
        <w:rPr>
          <w:sz w:val="24"/>
          <w:szCs w:val="24"/>
          <w:lang w:val="en-US"/>
        </w:rPr>
      </w:pPr>
      <w:r w:rsidRPr="00BB5BFC">
        <w:rPr>
          <w:sz w:val="24"/>
          <w:szCs w:val="24"/>
          <w:lang w:val="en-US"/>
        </w:rPr>
        <w:t>Within each frequency grouping, undesirable effects are presented in order of decreasing seriousness.</w:t>
      </w:r>
    </w:p>
    <w:p w14:paraId="7E00F2B8" w14:textId="77777777" w:rsidR="000D4D1E" w:rsidRPr="00BB5BFC" w:rsidRDefault="000D4D1E" w:rsidP="000D4D1E">
      <w:pPr>
        <w:autoSpaceDE w:val="0"/>
        <w:autoSpaceDN w:val="0"/>
        <w:adjustRightInd w:val="0"/>
        <w:jc w:val="both"/>
        <w:rPr>
          <w:sz w:val="24"/>
          <w:szCs w:val="24"/>
          <w:lang w:val="en-US"/>
        </w:rPr>
      </w:pPr>
    </w:p>
    <w:tbl>
      <w:tblPr>
        <w:tblStyle w:val="Tabel-Gitter"/>
        <w:tblW w:w="5000" w:type="pct"/>
        <w:tblInd w:w="0" w:type="dxa"/>
        <w:tblLook w:val="04A0" w:firstRow="1" w:lastRow="0" w:firstColumn="1" w:lastColumn="0" w:noHBand="0" w:noVBand="1"/>
      </w:tblPr>
      <w:tblGrid>
        <w:gridCol w:w="1697"/>
        <w:gridCol w:w="1019"/>
        <w:gridCol w:w="1642"/>
        <w:gridCol w:w="1559"/>
        <w:gridCol w:w="993"/>
        <w:gridCol w:w="1359"/>
        <w:gridCol w:w="1359"/>
      </w:tblGrid>
      <w:tr w:rsidR="000D4D1E" w:rsidRPr="00BB5BFC" w14:paraId="34007CED"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056C6E70" w14:textId="77777777" w:rsidR="000D4D1E" w:rsidRPr="00081C6D" w:rsidRDefault="000D4D1E" w:rsidP="00BB5BFC">
            <w:pPr>
              <w:autoSpaceDE w:val="0"/>
              <w:autoSpaceDN w:val="0"/>
              <w:adjustRightInd w:val="0"/>
              <w:rPr>
                <w:b/>
                <w:bCs/>
                <w:sz w:val="20"/>
              </w:rPr>
            </w:pPr>
            <w:r w:rsidRPr="00081C6D">
              <w:rPr>
                <w:b/>
                <w:bCs/>
                <w:sz w:val="20"/>
              </w:rPr>
              <w:t>System Organ Class</w:t>
            </w:r>
          </w:p>
        </w:tc>
        <w:tc>
          <w:tcPr>
            <w:tcW w:w="538" w:type="pct"/>
            <w:tcBorders>
              <w:top w:val="single" w:sz="4" w:space="0" w:color="auto"/>
              <w:left w:val="single" w:sz="4" w:space="0" w:color="auto"/>
              <w:bottom w:val="single" w:sz="4" w:space="0" w:color="auto"/>
              <w:right w:val="single" w:sz="4" w:space="0" w:color="auto"/>
            </w:tcBorders>
            <w:hideMark/>
          </w:tcPr>
          <w:p w14:paraId="2BD58040" w14:textId="77777777" w:rsidR="000D4D1E" w:rsidRPr="00081C6D" w:rsidRDefault="000D4D1E" w:rsidP="00BB5BFC">
            <w:pPr>
              <w:autoSpaceDE w:val="0"/>
              <w:autoSpaceDN w:val="0"/>
              <w:adjustRightInd w:val="0"/>
              <w:rPr>
                <w:b/>
                <w:bCs/>
                <w:sz w:val="20"/>
              </w:rPr>
            </w:pPr>
            <w:r w:rsidRPr="00081C6D">
              <w:rPr>
                <w:b/>
                <w:bCs/>
                <w:sz w:val="20"/>
              </w:rPr>
              <w:t xml:space="preserve">Very common </w:t>
            </w:r>
          </w:p>
        </w:tc>
        <w:tc>
          <w:tcPr>
            <w:tcW w:w="801" w:type="pct"/>
            <w:tcBorders>
              <w:top w:val="single" w:sz="4" w:space="0" w:color="auto"/>
              <w:left w:val="single" w:sz="4" w:space="0" w:color="auto"/>
              <w:bottom w:val="single" w:sz="4" w:space="0" w:color="auto"/>
              <w:right w:val="single" w:sz="4" w:space="0" w:color="auto"/>
            </w:tcBorders>
          </w:tcPr>
          <w:p w14:paraId="38A5EE9E" w14:textId="77777777" w:rsidR="000D4D1E" w:rsidRPr="00081C6D" w:rsidRDefault="000D4D1E" w:rsidP="00BB5BFC">
            <w:pPr>
              <w:autoSpaceDE w:val="0"/>
              <w:autoSpaceDN w:val="0"/>
              <w:adjustRightInd w:val="0"/>
              <w:rPr>
                <w:b/>
                <w:bCs/>
                <w:sz w:val="20"/>
              </w:rPr>
            </w:pPr>
            <w:r w:rsidRPr="00081C6D">
              <w:rPr>
                <w:b/>
                <w:bCs/>
                <w:sz w:val="20"/>
              </w:rPr>
              <w:t>Common</w:t>
            </w:r>
          </w:p>
          <w:p w14:paraId="50BFF54B" w14:textId="77777777" w:rsidR="000D4D1E" w:rsidRPr="00081C6D" w:rsidRDefault="000D4D1E" w:rsidP="00BB5BFC">
            <w:pPr>
              <w:autoSpaceDE w:val="0"/>
              <w:autoSpaceDN w:val="0"/>
              <w:adjustRightInd w:val="0"/>
              <w:rPr>
                <w:b/>
                <w:bCs/>
                <w:sz w:val="20"/>
              </w:rPr>
            </w:pPr>
          </w:p>
        </w:tc>
        <w:tc>
          <w:tcPr>
            <w:tcW w:w="818" w:type="pct"/>
            <w:tcBorders>
              <w:top w:val="single" w:sz="4" w:space="0" w:color="auto"/>
              <w:left w:val="single" w:sz="4" w:space="0" w:color="auto"/>
              <w:bottom w:val="single" w:sz="4" w:space="0" w:color="auto"/>
              <w:right w:val="single" w:sz="4" w:space="0" w:color="auto"/>
            </w:tcBorders>
            <w:hideMark/>
          </w:tcPr>
          <w:p w14:paraId="6F322C8A" w14:textId="77777777" w:rsidR="000D4D1E" w:rsidRPr="00081C6D" w:rsidRDefault="000D4D1E" w:rsidP="00BB5BFC">
            <w:pPr>
              <w:autoSpaceDE w:val="0"/>
              <w:autoSpaceDN w:val="0"/>
              <w:adjustRightInd w:val="0"/>
              <w:rPr>
                <w:b/>
                <w:bCs/>
                <w:sz w:val="20"/>
              </w:rPr>
            </w:pPr>
            <w:r w:rsidRPr="00081C6D">
              <w:rPr>
                <w:b/>
                <w:bCs/>
                <w:sz w:val="20"/>
              </w:rPr>
              <w:t xml:space="preserve">Uncommon </w:t>
            </w:r>
          </w:p>
        </w:tc>
        <w:tc>
          <w:tcPr>
            <w:tcW w:w="524" w:type="pct"/>
            <w:tcBorders>
              <w:top w:val="single" w:sz="4" w:space="0" w:color="auto"/>
              <w:left w:val="single" w:sz="4" w:space="0" w:color="auto"/>
              <w:bottom w:val="single" w:sz="4" w:space="0" w:color="auto"/>
              <w:right w:val="single" w:sz="4" w:space="0" w:color="auto"/>
            </w:tcBorders>
          </w:tcPr>
          <w:p w14:paraId="72E3925B" w14:textId="77777777" w:rsidR="000D4D1E" w:rsidRPr="00081C6D" w:rsidRDefault="000D4D1E" w:rsidP="00BB5BFC">
            <w:pPr>
              <w:autoSpaceDE w:val="0"/>
              <w:autoSpaceDN w:val="0"/>
              <w:adjustRightInd w:val="0"/>
              <w:rPr>
                <w:b/>
                <w:bCs/>
                <w:sz w:val="20"/>
              </w:rPr>
            </w:pPr>
            <w:r w:rsidRPr="00081C6D">
              <w:rPr>
                <w:b/>
                <w:bCs/>
                <w:sz w:val="20"/>
              </w:rPr>
              <w:t>Rare</w:t>
            </w:r>
          </w:p>
          <w:p w14:paraId="1F72A060" w14:textId="77777777" w:rsidR="000D4D1E" w:rsidRPr="00081C6D" w:rsidRDefault="000D4D1E" w:rsidP="00BB5BFC">
            <w:pPr>
              <w:autoSpaceDE w:val="0"/>
              <w:autoSpaceDN w:val="0"/>
              <w:adjustRightInd w:val="0"/>
              <w:rPr>
                <w:b/>
                <w:bCs/>
                <w:sz w:val="20"/>
              </w:rPr>
            </w:pPr>
          </w:p>
        </w:tc>
        <w:tc>
          <w:tcPr>
            <w:tcW w:w="714" w:type="pct"/>
            <w:tcBorders>
              <w:top w:val="single" w:sz="4" w:space="0" w:color="auto"/>
              <w:left w:val="single" w:sz="4" w:space="0" w:color="auto"/>
              <w:bottom w:val="single" w:sz="4" w:space="0" w:color="auto"/>
              <w:right w:val="single" w:sz="4" w:space="0" w:color="auto"/>
            </w:tcBorders>
            <w:hideMark/>
          </w:tcPr>
          <w:p w14:paraId="0B7F4B56" w14:textId="77777777" w:rsidR="000D4D1E" w:rsidRPr="00081C6D" w:rsidRDefault="000D4D1E" w:rsidP="00BB5BFC">
            <w:pPr>
              <w:autoSpaceDE w:val="0"/>
              <w:autoSpaceDN w:val="0"/>
              <w:adjustRightInd w:val="0"/>
              <w:rPr>
                <w:b/>
                <w:bCs/>
                <w:sz w:val="20"/>
              </w:rPr>
            </w:pPr>
            <w:r w:rsidRPr="00081C6D">
              <w:rPr>
                <w:b/>
                <w:bCs/>
                <w:sz w:val="20"/>
              </w:rPr>
              <w:t xml:space="preserve">Very Rare </w:t>
            </w:r>
          </w:p>
        </w:tc>
        <w:tc>
          <w:tcPr>
            <w:tcW w:w="714" w:type="pct"/>
            <w:tcBorders>
              <w:top w:val="single" w:sz="4" w:space="0" w:color="auto"/>
              <w:left w:val="single" w:sz="4" w:space="0" w:color="auto"/>
              <w:bottom w:val="single" w:sz="4" w:space="0" w:color="auto"/>
              <w:right w:val="single" w:sz="4" w:space="0" w:color="auto"/>
            </w:tcBorders>
            <w:hideMark/>
          </w:tcPr>
          <w:p w14:paraId="2D79C828" w14:textId="77777777" w:rsidR="000D4D1E" w:rsidRPr="00081C6D" w:rsidRDefault="000D4D1E" w:rsidP="00BB5BFC">
            <w:pPr>
              <w:autoSpaceDE w:val="0"/>
              <w:autoSpaceDN w:val="0"/>
              <w:adjustRightInd w:val="0"/>
              <w:rPr>
                <w:b/>
                <w:bCs/>
                <w:sz w:val="20"/>
              </w:rPr>
            </w:pPr>
            <w:r w:rsidRPr="00081C6D">
              <w:rPr>
                <w:b/>
                <w:bCs/>
                <w:sz w:val="20"/>
              </w:rPr>
              <w:t xml:space="preserve">Not known </w:t>
            </w:r>
          </w:p>
        </w:tc>
      </w:tr>
      <w:tr w:rsidR="000D4D1E" w:rsidRPr="00433E36" w14:paraId="50015D9F"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11C55423" w14:textId="77777777" w:rsidR="000D4D1E" w:rsidRPr="00081C6D" w:rsidRDefault="000D4D1E" w:rsidP="00BB5BFC">
            <w:pPr>
              <w:autoSpaceDE w:val="0"/>
              <w:autoSpaceDN w:val="0"/>
              <w:adjustRightInd w:val="0"/>
              <w:rPr>
                <w:sz w:val="20"/>
              </w:rPr>
            </w:pPr>
            <w:r w:rsidRPr="00081C6D">
              <w:rPr>
                <w:sz w:val="20"/>
              </w:rPr>
              <w:t>Infections and Infestations</w:t>
            </w:r>
          </w:p>
        </w:tc>
        <w:tc>
          <w:tcPr>
            <w:tcW w:w="538" w:type="pct"/>
            <w:tcBorders>
              <w:top w:val="single" w:sz="4" w:space="0" w:color="auto"/>
              <w:left w:val="single" w:sz="4" w:space="0" w:color="auto"/>
              <w:bottom w:val="single" w:sz="4" w:space="0" w:color="auto"/>
              <w:right w:val="single" w:sz="4" w:space="0" w:color="auto"/>
            </w:tcBorders>
          </w:tcPr>
          <w:p w14:paraId="5A39737E"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hideMark/>
          </w:tcPr>
          <w:p w14:paraId="69108C20" w14:textId="77777777" w:rsidR="000D4D1E" w:rsidRPr="00081C6D" w:rsidRDefault="000D4D1E" w:rsidP="00BB5BFC">
            <w:pPr>
              <w:autoSpaceDE w:val="0"/>
              <w:autoSpaceDN w:val="0"/>
              <w:adjustRightInd w:val="0"/>
              <w:rPr>
                <w:sz w:val="20"/>
              </w:rPr>
            </w:pPr>
            <w:r w:rsidRPr="00081C6D">
              <w:rPr>
                <w:sz w:val="20"/>
              </w:rPr>
              <w:t>pseudomembranous colitis</w:t>
            </w:r>
            <w:r w:rsidRPr="00081C6D">
              <w:rPr>
                <w:sz w:val="20"/>
                <w:vertAlign w:val="superscript"/>
              </w:rPr>
              <w:t>*#</w:t>
            </w:r>
          </w:p>
        </w:tc>
        <w:tc>
          <w:tcPr>
            <w:tcW w:w="818" w:type="pct"/>
            <w:tcBorders>
              <w:top w:val="single" w:sz="4" w:space="0" w:color="auto"/>
              <w:left w:val="single" w:sz="4" w:space="0" w:color="auto"/>
              <w:bottom w:val="single" w:sz="4" w:space="0" w:color="auto"/>
              <w:right w:val="single" w:sz="4" w:space="0" w:color="auto"/>
            </w:tcBorders>
          </w:tcPr>
          <w:p w14:paraId="3ADCA249"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tcPr>
          <w:p w14:paraId="3D4A8B42"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6FCD3A6A"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hideMark/>
          </w:tcPr>
          <w:p w14:paraId="2F46F3BD" w14:textId="77777777" w:rsidR="000D4D1E" w:rsidRPr="00081C6D" w:rsidRDefault="000D4D1E" w:rsidP="00BB5BFC">
            <w:pPr>
              <w:autoSpaceDE w:val="0"/>
              <w:autoSpaceDN w:val="0"/>
              <w:adjustRightInd w:val="0"/>
              <w:rPr>
                <w:sz w:val="20"/>
                <w:lang w:val="fr-FR"/>
              </w:rPr>
            </w:pPr>
            <w:r w:rsidRPr="00081C6D">
              <w:rPr>
                <w:i/>
                <w:sz w:val="20"/>
                <w:lang w:val="fr-FR"/>
              </w:rPr>
              <w:t>Clostridioides difficile</w:t>
            </w:r>
            <w:r w:rsidRPr="00081C6D">
              <w:rPr>
                <w:sz w:val="20"/>
                <w:lang w:val="fr-FR"/>
              </w:rPr>
              <w:t xml:space="preserve"> colitis</w:t>
            </w:r>
            <w:r w:rsidRPr="00081C6D">
              <w:rPr>
                <w:sz w:val="20"/>
                <w:vertAlign w:val="superscript"/>
                <w:lang w:val="fr-FR"/>
              </w:rPr>
              <w:t>*</w:t>
            </w:r>
            <w:r w:rsidRPr="00081C6D">
              <w:rPr>
                <w:sz w:val="20"/>
                <w:lang w:val="fr-FR"/>
              </w:rPr>
              <w:t>, vaginal infection</w:t>
            </w:r>
            <w:r w:rsidRPr="00081C6D">
              <w:rPr>
                <w:sz w:val="20"/>
                <w:vertAlign w:val="superscript"/>
                <w:lang w:val="fr-FR"/>
              </w:rPr>
              <w:t>*</w:t>
            </w:r>
          </w:p>
        </w:tc>
      </w:tr>
      <w:tr w:rsidR="000D4D1E" w:rsidRPr="00433E36" w14:paraId="59445AE7"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5F716CEF" w14:textId="77777777" w:rsidR="000D4D1E" w:rsidRPr="00081C6D" w:rsidRDefault="000D4D1E" w:rsidP="00BB5BFC">
            <w:pPr>
              <w:autoSpaceDE w:val="0"/>
              <w:autoSpaceDN w:val="0"/>
              <w:adjustRightInd w:val="0"/>
              <w:rPr>
                <w:sz w:val="20"/>
              </w:rPr>
            </w:pPr>
            <w:r w:rsidRPr="00081C6D">
              <w:rPr>
                <w:sz w:val="20"/>
              </w:rPr>
              <w:t>Blood and lymphatic system disorders</w:t>
            </w:r>
          </w:p>
        </w:tc>
        <w:tc>
          <w:tcPr>
            <w:tcW w:w="538" w:type="pct"/>
            <w:tcBorders>
              <w:top w:val="single" w:sz="4" w:space="0" w:color="auto"/>
              <w:left w:val="single" w:sz="4" w:space="0" w:color="auto"/>
              <w:bottom w:val="single" w:sz="4" w:space="0" w:color="auto"/>
              <w:right w:val="single" w:sz="4" w:space="0" w:color="auto"/>
            </w:tcBorders>
          </w:tcPr>
          <w:p w14:paraId="1D6CF44D"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hideMark/>
          </w:tcPr>
          <w:p w14:paraId="77E501E4" w14:textId="77777777" w:rsidR="000D4D1E" w:rsidRPr="00081C6D" w:rsidRDefault="000D4D1E" w:rsidP="00BB5BFC">
            <w:pPr>
              <w:autoSpaceDE w:val="0"/>
              <w:autoSpaceDN w:val="0"/>
              <w:adjustRightInd w:val="0"/>
              <w:rPr>
                <w:sz w:val="20"/>
                <w:lang w:val="it-IT"/>
              </w:rPr>
            </w:pPr>
            <w:r w:rsidRPr="00081C6D">
              <w:rPr>
                <w:sz w:val="20"/>
                <w:lang w:val="it-IT"/>
              </w:rPr>
              <w:t>Agranulocytosis</w:t>
            </w:r>
            <w:r w:rsidRPr="00081C6D">
              <w:rPr>
                <w:sz w:val="20"/>
                <w:vertAlign w:val="superscript"/>
                <w:lang w:val="it-IT"/>
              </w:rPr>
              <w:t>*</w:t>
            </w:r>
            <w:r w:rsidRPr="00081C6D">
              <w:rPr>
                <w:sz w:val="20"/>
                <w:lang w:val="it-IT"/>
              </w:rPr>
              <w:t>, neutropenia*, thrombocyte-penia</w:t>
            </w:r>
            <w:r w:rsidRPr="00081C6D">
              <w:rPr>
                <w:sz w:val="20"/>
                <w:vertAlign w:val="superscript"/>
                <w:lang w:val="it-IT"/>
              </w:rPr>
              <w:t>*</w:t>
            </w:r>
            <w:r w:rsidRPr="00081C6D">
              <w:rPr>
                <w:sz w:val="20"/>
                <w:lang w:val="it-IT"/>
              </w:rPr>
              <w:t>, leucopenia</w:t>
            </w:r>
            <w:r w:rsidRPr="00081C6D">
              <w:rPr>
                <w:sz w:val="20"/>
                <w:vertAlign w:val="superscript"/>
                <w:lang w:val="it-IT"/>
              </w:rPr>
              <w:t>*</w:t>
            </w:r>
            <w:r w:rsidRPr="00081C6D">
              <w:rPr>
                <w:sz w:val="20"/>
                <w:lang w:val="it-IT"/>
              </w:rPr>
              <w:t>, eosinophilia,</w:t>
            </w:r>
          </w:p>
        </w:tc>
        <w:tc>
          <w:tcPr>
            <w:tcW w:w="818" w:type="pct"/>
            <w:tcBorders>
              <w:top w:val="single" w:sz="4" w:space="0" w:color="auto"/>
              <w:left w:val="single" w:sz="4" w:space="0" w:color="auto"/>
              <w:bottom w:val="single" w:sz="4" w:space="0" w:color="auto"/>
              <w:right w:val="single" w:sz="4" w:space="0" w:color="auto"/>
            </w:tcBorders>
          </w:tcPr>
          <w:p w14:paraId="27867274" w14:textId="77777777" w:rsidR="000D4D1E" w:rsidRPr="00081C6D" w:rsidRDefault="000D4D1E" w:rsidP="00BB5BFC">
            <w:pPr>
              <w:autoSpaceDE w:val="0"/>
              <w:autoSpaceDN w:val="0"/>
              <w:adjustRightInd w:val="0"/>
              <w:rPr>
                <w:sz w:val="20"/>
                <w:lang w:val="it-IT"/>
              </w:rPr>
            </w:pPr>
          </w:p>
        </w:tc>
        <w:tc>
          <w:tcPr>
            <w:tcW w:w="524" w:type="pct"/>
            <w:tcBorders>
              <w:top w:val="single" w:sz="4" w:space="0" w:color="auto"/>
              <w:left w:val="single" w:sz="4" w:space="0" w:color="auto"/>
              <w:bottom w:val="single" w:sz="4" w:space="0" w:color="auto"/>
              <w:right w:val="single" w:sz="4" w:space="0" w:color="auto"/>
            </w:tcBorders>
          </w:tcPr>
          <w:p w14:paraId="6BE191E6" w14:textId="77777777" w:rsidR="000D4D1E" w:rsidRPr="00081C6D" w:rsidRDefault="000D4D1E" w:rsidP="00BB5BFC">
            <w:pPr>
              <w:autoSpaceDE w:val="0"/>
              <w:autoSpaceDN w:val="0"/>
              <w:adjustRightInd w:val="0"/>
              <w:rPr>
                <w:sz w:val="20"/>
                <w:lang w:val="it-IT"/>
              </w:rPr>
            </w:pPr>
          </w:p>
        </w:tc>
        <w:tc>
          <w:tcPr>
            <w:tcW w:w="714" w:type="pct"/>
            <w:tcBorders>
              <w:top w:val="single" w:sz="4" w:space="0" w:color="auto"/>
              <w:left w:val="single" w:sz="4" w:space="0" w:color="auto"/>
              <w:bottom w:val="single" w:sz="4" w:space="0" w:color="auto"/>
              <w:right w:val="single" w:sz="4" w:space="0" w:color="auto"/>
            </w:tcBorders>
          </w:tcPr>
          <w:p w14:paraId="47A70284" w14:textId="77777777" w:rsidR="000D4D1E" w:rsidRPr="00081C6D" w:rsidRDefault="000D4D1E" w:rsidP="00BB5BFC">
            <w:pPr>
              <w:autoSpaceDE w:val="0"/>
              <w:autoSpaceDN w:val="0"/>
              <w:adjustRightInd w:val="0"/>
              <w:rPr>
                <w:sz w:val="20"/>
                <w:lang w:val="it-IT"/>
              </w:rPr>
            </w:pPr>
          </w:p>
        </w:tc>
        <w:tc>
          <w:tcPr>
            <w:tcW w:w="714" w:type="pct"/>
            <w:tcBorders>
              <w:top w:val="single" w:sz="4" w:space="0" w:color="auto"/>
              <w:left w:val="single" w:sz="4" w:space="0" w:color="auto"/>
              <w:bottom w:val="single" w:sz="4" w:space="0" w:color="auto"/>
              <w:right w:val="single" w:sz="4" w:space="0" w:color="auto"/>
            </w:tcBorders>
          </w:tcPr>
          <w:p w14:paraId="6D185366" w14:textId="77777777" w:rsidR="000D4D1E" w:rsidRPr="00081C6D" w:rsidRDefault="000D4D1E" w:rsidP="00BB5BFC">
            <w:pPr>
              <w:autoSpaceDE w:val="0"/>
              <w:autoSpaceDN w:val="0"/>
              <w:adjustRightInd w:val="0"/>
              <w:rPr>
                <w:sz w:val="20"/>
                <w:lang w:val="it-IT"/>
              </w:rPr>
            </w:pPr>
          </w:p>
        </w:tc>
      </w:tr>
      <w:tr w:rsidR="000D4D1E" w:rsidRPr="00433E36" w14:paraId="4C729379"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2E602AA8" w14:textId="77777777" w:rsidR="000D4D1E" w:rsidRPr="00081C6D" w:rsidRDefault="000D4D1E" w:rsidP="00BB5BFC">
            <w:pPr>
              <w:autoSpaceDE w:val="0"/>
              <w:autoSpaceDN w:val="0"/>
              <w:adjustRightInd w:val="0"/>
              <w:rPr>
                <w:sz w:val="20"/>
              </w:rPr>
            </w:pPr>
            <w:r w:rsidRPr="00081C6D">
              <w:rPr>
                <w:sz w:val="20"/>
              </w:rPr>
              <w:t>Immune System disorders</w:t>
            </w:r>
          </w:p>
        </w:tc>
        <w:tc>
          <w:tcPr>
            <w:tcW w:w="538" w:type="pct"/>
            <w:tcBorders>
              <w:top w:val="single" w:sz="4" w:space="0" w:color="auto"/>
              <w:left w:val="single" w:sz="4" w:space="0" w:color="auto"/>
              <w:bottom w:val="single" w:sz="4" w:space="0" w:color="auto"/>
              <w:right w:val="single" w:sz="4" w:space="0" w:color="auto"/>
            </w:tcBorders>
          </w:tcPr>
          <w:p w14:paraId="3A514799"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5B3486E1"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tcPr>
          <w:p w14:paraId="09275ED3"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hideMark/>
          </w:tcPr>
          <w:p w14:paraId="466D8C82" w14:textId="77777777" w:rsidR="000D4D1E" w:rsidRPr="00081C6D" w:rsidRDefault="000D4D1E" w:rsidP="00BB5BFC">
            <w:pPr>
              <w:autoSpaceDE w:val="0"/>
              <w:autoSpaceDN w:val="0"/>
              <w:adjustRightInd w:val="0"/>
              <w:rPr>
                <w:sz w:val="20"/>
              </w:rPr>
            </w:pPr>
            <w:r w:rsidRPr="00081C6D">
              <w:rPr>
                <w:sz w:val="20"/>
              </w:rPr>
              <w:t xml:space="preserve">drug fever </w:t>
            </w:r>
          </w:p>
        </w:tc>
        <w:tc>
          <w:tcPr>
            <w:tcW w:w="714" w:type="pct"/>
            <w:tcBorders>
              <w:top w:val="single" w:sz="4" w:space="0" w:color="auto"/>
              <w:left w:val="single" w:sz="4" w:space="0" w:color="auto"/>
              <w:bottom w:val="single" w:sz="4" w:space="0" w:color="auto"/>
              <w:right w:val="single" w:sz="4" w:space="0" w:color="auto"/>
            </w:tcBorders>
            <w:hideMark/>
          </w:tcPr>
          <w:p w14:paraId="73B4387B" w14:textId="77777777" w:rsidR="000D4D1E" w:rsidRPr="00081C6D" w:rsidRDefault="000D4D1E" w:rsidP="00BB5BFC">
            <w:pPr>
              <w:autoSpaceDE w:val="0"/>
              <w:autoSpaceDN w:val="0"/>
              <w:adjustRightInd w:val="0"/>
              <w:rPr>
                <w:sz w:val="20"/>
              </w:rPr>
            </w:pPr>
            <w:r w:rsidRPr="00081C6D">
              <w:rPr>
                <w:sz w:val="20"/>
              </w:rPr>
              <w:t xml:space="preserve">anaphylactic reaction </w:t>
            </w:r>
            <w:proofErr w:type="gramStart"/>
            <w:r w:rsidRPr="00081C6D">
              <w:rPr>
                <w:sz w:val="20"/>
                <w:vertAlign w:val="superscript"/>
              </w:rPr>
              <w:t>*,#</w:t>
            </w:r>
            <w:proofErr w:type="gramEnd"/>
          </w:p>
        </w:tc>
        <w:tc>
          <w:tcPr>
            <w:tcW w:w="714" w:type="pct"/>
            <w:tcBorders>
              <w:top w:val="single" w:sz="4" w:space="0" w:color="auto"/>
              <w:left w:val="single" w:sz="4" w:space="0" w:color="auto"/>
              <w:bottom w:val="single" w:sz="4" w:space="0" w:color="auto"/>
              <w:right w:val="single" w:sz="4" w:space="0" w:color="auto"/>
            </w:tcBorders>
            <w:hideMark/>
          </w:tcPr>
          <w:p w14:paraId="63E7BE0B" w14:textId="77777777" w:rsidR="000D4D1E" w:rsidRPr="00081C6D" w:rsidRDefault="000D4D1E" w:rsidP="00BB5BFC">
            <w:pPr>
              <w:autoSpaceDE w:val="0"/>
              <w:autoSpaceDN w:val="0"/>
              <w:adjustRightInd w:val="0"/>
              <w:rPr>
                <w:sz w:val="20"/>
              </w:rPr>
            </w:pPr>
            <w:r w:rsidRPr="00081C6D">
              <w:rPr>
                <w:sz w:val="20"/>
              </w:rPr>
              <w:t>anaphylactic shock</w:t>
            </w:r>
            <w:r w:rsidRPr="00081C6D">
              <w:rPr>
                <w:sz w:val="20"/>
                <w:vertAlign w:val="superscript"/>
              </w:rPr>
              <w:t>*</w:t>
            </w:r>
            <w:r w:rsidRPr="00081C6D">
              <w:rPr>
                <w:sz w:val="20"/>
              </w:rPr>
              <w:t xml:space="preserve">, </w:t>
            </w:r>
            <w:r w:rsidRPr="00081C6D">
              <w:rPr>
                <w:sz w:val="20"/>
              </w:rPr>
              <w:lastRenderedPageBreak/>
              <w:t>anaphylactoid reaction*, hypersensitivity</w:t>
            </w:r>
            <w:r w:rsidRPr="00081C6D">
              <w:rPr>
                <w:sz w:val="20"/>
                <w:vertAlign w:val="superscript"/>
              </w:rPr>
              <w:t>*</w:t>
            </w:r>
          </w:p>
        </w:tc>
      </w:tr>
      <w:tr w:rsidR="000D4D1E" w:rsidRPr="00BB5BFC" w14:paraId="69BB2F6A"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62905CE0" w14:textId="77777777" w:rsidR="000D4D1E" w:rsidRPr="00081C6D" w:rsidRDefault="000D4D1E" w:rsidP="00BB5BFC">
            <w:pPr>
              <w:autoSpaceDE w:val="0"/>
              <w:autoSpaceDN w:val="0"/>
              <w:adjustRightInd w:val="0"/>
              <w:rPr>
                <w:sz w:val="20"/>
              </w:rPr>
            </w:pPr>
            <w:r w:rsidRPr="00081C6D">
              <w:rPr>
                <w:sz w:val="20"/>
              </w:rPr>
              <w:lastRenderedPageBreak/>
              <w:t>Nervous system disorders</w:t>
            </w:r>
          </w:p>
        </w:tc>
        <w:tc>
          <w:tcPr>
            <w:tcW w:w="538" w:type="pct"/>
            <w:tcBorders>
              <w:top w:val="single" w:sz="4" w:space="0" w:color="auto"/>
              <w:left w:val="single" w:sz="4" w:space="0" w:color="auto"/>
              <w:bottom w:val="single" w:sz="4" w:space="0" w:color="auto"/>
              <w:right w:val="single" w:sz="4" w:space="0" w:color="auto"/>
            </w:tcBorders>
          </w:tcPr>
          <w:p w14:paraId="5747E7FF"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7C9C0DAE"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hideMark/>
          </w:tcPr>
          <w:p w14:paraId="09C5C992" w14:textId="77777777" w:rsidR="000D4D1E" w:rsidRPr="00081C6D" w:rsidRDefault="000D4D1E" w:rsidP="00BB5BFC">
            <w:pPr>
              <w:autoSpaceDE w:val="0"/>
              <w:autoSpaceDN w:val="0"/>
              <w:adjustRightInd w:val="0"/>
              <w:rPr>
                <w:sz w:val="20"/>
              </w:rPr>
            </w:pPr>
            <w:r w:rsidRPr="00081C6D">
              <w:rPr>
                <w:sz w:val="20"/>
              </w:rPr>
              <w:t>dysgeusia, neuromuscular blocking effect</w:t>
            </w:r>
          </w:p>
        </w:tc>
        <w:tc>
          <w:tcPr>
            <w:tcW w:w="524" w:type="pct"/>
            <w:tcBorders>
              <w:top w:val="single" w:sz="4" w:space="0" w:color="auto"/>
              <w:left w:val="single" w:sz="4" w:space="0" w:color="auto"/>
              <w:bottom w:val="single" w:sz="4" w:space="0" w:color="auto"/>
              <w:right w:val="single" w:sz="4" w:space="0" w:color="auto"/>
            </w:tcBorders>
          </w:tcPr>
          <w:p w14:paraId="03D2952C"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40B17620"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hideMark/>
          </w:tcPr>
          <w:p w14:paraId="730D8BDA" w14:textId="77777777" w:rsidR="000D4D1E" w:rsidRPr="00081C6D" w:rsidRDefault="000D4D1E" w:rsidP="00BB5BFC">
            <w:pPr>
              <w:autoSpaceDE w:val="0"/>
              <w:autoSpaceDN w:val="0"/>
              <w:adjustRightInd w:val="0"/>
              <w:rPr>
                <w:sz w:val="20"/>
              </w:rPr>
            </w:pPr>
            <w:r w:rsidRPr="00081C6D">
              <w:rPr>
                <w:sz w:val="20"/>
              </w:rPr>
              <w:t>headache, sleepiness, dizziness</w:t>
            </w:r>
          </w:p>
        </w:tc>
      </w:tr>
      <w:tr w:rsidR="000D4D1E" w:rsidRPr="00BB5BFC" w14:paraId="666BFCDF"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4D16F436" w14:textId="77777777" w:rsidR="000D4D1E" w:rsidRPr="00081C6D" w:rsidRDefault="000D4D1E" w:rsidP="00BB5BFC">
            <w:pPr>
              <w:autoSpaceDE w:val="0"/>
              <w:autoSpaceDN w:val="0"/>
              <w:adjustRightInd w:val="0"/>
              <w:rPr>
                <w:sz w:val="20"/>
              </w:rPr>
            </w:pPr>
            <w:r w:rsidRPr="00081C6D">
              <w:rPr>
                <w:sz w:val="20"/>
              </w:rPr>
              <w:t>Cardiac disorders</w:t>
            </w:r>
          </w:p>
        </w:tc>
        <w:tc>
          <w:tcPr>
            <w:tcW w:w="538" w:type="pct"/>
            <w:tcBorders>
              <w:top w:val="single" w:sz="4" w:space="0" w:color="auto"/>
              <w:left w:val="single" w:sz="4" w:space="0" w:color="auto"/>
              <w:bottom w:val="single" w:sz="4" w:space="0" w:color="auto"/>
              <w:right w:val="single" w:sz="4" w:space="0" w:color="auto"/>
            </w:tcBorders>
          </w:tcPr>
          <w:p w14:paraId="04A39B61"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138C90F6"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hideMark/>
          </w:tcPr>
          <w:p w14:paraId="12A1F41A" w14:textId="77777777" w:rsidR="000D4D1E" w:rsidRPr="00081C6D" w:rsidRDefault="000D4D1E" w:rsidP="00BB5BFC">
            <w:pPr>
              <w:autoSpaceDE w:val="0"/>
              <w:autoSpaceDN w:val="0"/>
              <w:adjustRightInd w:val="0"/>
              <w:rPr>
                <w:sz w:val="20"/>
              </w:rPr>
            </w:pPr>
            <w:r w:rsidRPr="00081C6D">
              <w:rPr>
                <w:sz w:val="20"/>
              </w:rPr>
              <w:t>cardiorespiratory arrest</w:t>
            </w:r>
            <w:r w:rsidRPr="00081C6D">
              <w:rPr>
                <w:sz w:val="20"/>
                <w:vertAlign w:val="superscript"/>
              </w:rPr>
              <w:t>§</w:t>
            </w:r>
          </w:p>
        </w:tc>
        <w:tc>
          <w:tcPr>
            <w:tcW w:w="524" w:type="pct"/>
            <w:tcBorders>
              <w:top w:val="single" w:sz="4" w:space="0" w:color="auto"/>
              <w:left w:val="single" w:sz="4" w:space="0" w:color="auto"/>
              <w:bottom w:val="single" w:sz="4" w:space="0" w:color="auto"/>
              <w:right w:val="single" w:sz="4" w:space="0" w:color="auto"/>
            </w:tcBorders>
          </w:tcPr>
          <w:p w14:paraId="6A1E4EE7"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27C5DC5F"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6CA3E3ED" w14:textId="77777777" w:rsidR="000D4D1E" w:rsidRPr="00081C6D" w:rsidRDefault="000D4D1E" w:rsidP="00BB5BFC">
            <w:pPr>
              <w:autoSpaceDE w:val="0"/>
              <w:autoSpaceDN w:val="0"/>
              <w:adjustRightInd w:val="0"/>
              <w:rPr>
                <w:sz w:val="20"/>
              </w:rPr>
            </w:pPr>
          </w:p>
        </w:tc>
      </w:tr>
      <w:tr w:rsidR="000D4D1E" w:rsidRPr="00BB5BFC" w14:paraId="2460A1AE"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57D0E7ED" w14:textId="77777777" w:rsidR="000D4D1E" w:rsidRPr="00081C6D" w:rsidRDefault="000D4D1E" w:rsidP="00BB5BFC">
            <w:pPr>
              <w:autoSpaceDE w:val="0"/>
              <w:autoSpaceDN w:val="0"/>
              <w:adjustRightInd w:val="0"/>
              <w:rPr>
                <w:sz w:val="20"/>
              </w:rPr>
            </w:pPr>
            <w:r w:rsidRPr="00081C6D">
              <w:rPr>
                <w:sz w:val="20"/>
              </w:rPr>
              <w:t>Vascular Disorders</w:t>
            </w:r>
          </w:p>
        </w:tc>
        <w:tc>
          <w:tcPr>
            <w:tcW w:w="538" w:type="pct"/>
            <w:tcBorders>
              <w:top w:val="single" w:sz="4" w:space="0" w:color="auto"/>
              <w:left w:val="single" w:sz="4" w:space="0" w:color="auto"/>
              <w:bottom w:val="single" w:sz="4" w:space="0" w:color="auto"/>
              <w:right w:val="single" w:sz="4" w:space="0" w:color="auto"/>
            </w:tcBorders>
          </w:tcPr>
          <w:p w14:paraId="045E650A"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hideMark/>
          </w:tcPr>
          <w:p w14:paraId="3456E05D" w14:textId="77777777" w:rsidR="000D4D1E" w:rsidRPr="00081C6D" w:rsidRDefault="000D4D1E" w:rsidP="00BB5BFC">
            <w:pPr>
              <w:autoSpaceDE w:val="0"/>
              <w:autoSpaceDN w:val="0"/>
              <w:adjustRightInd w:val="0"/>
              <w:rPr>
                <w:sz w:val="20"/>
              </w:rPr>
            </w:pPr>
            <w:r w:rsidRPr="00081C6D">
              <w:rPr>
                <w:sz w:val="20"/>
              </w:rPr>
              <w:t>thrombophlebitis</w:t>
            </w:r>
          </w:p>
        </w:tc>
        <w:tc>
          <w:tcPr>
            <w:tcW w:w="818" w:type="pct"/>
            <w:tcBorders>
              <w:top w:val="single" w:sz="4" w:space="0" w:color="auto"/>
              <w:left w:val="single" w:sz="4" w:space="0" w:color="auto"/>
              <w:bottom w:val="single" w:sz="4" w:space="0" w:color="auto"/>
              <w:right w:val="single" w:sz="4" w:space="0" w:color="auto"/>
            </w:tcBorders>
            <w:hideMark/>
          </w:tcPr>
          <w:p w14:paraId="03EA1E50" w14:textId="77777777" w:rsidR="000D4D1E" w:rsidRPr="00081C6D" w:rsidRDefault="000D4D1E" w:rsidP="00BB5BFC">
            <w:pPr>
              <w:autoSpaceDE w:val="0"/>
              <w:autoSpaceDN w:val="0"/>
              <w:adjustRightInd w:val="0"/>
              <w:rPr>
                <w:sz w:val="20"/>
              </w:rPr>
            </w:pPr>
            <w:r w:rsidRPr="00081C6D">
              <w:rPr>
                <w:sz w:val="20"/>
              </w:rPr>
              <w:t>hypotension</w:t>
            </w:r>
            <w:r w:rsidRPr="00081C6D">
              <w:rPr>
                <w:sz w:val="20"/>
                <w:vertAlign w:val="superscript"/>
              </w:rPr>
              <w:t>§</w:t>
            </w:r>
          </w:p>
        </w:tc>
        <w:tc>
          <w:tcPr>
            <w:tcW w:w="524" w:type="pct"/>
            <w:tcBorders>
              <w:top w:val="single" w:sz="4" w:space="0" w:color="auto"/>
              <w:left w:val="single" w:sz="4" w:space="0" w:color="auto"/>
              <w:bottom w:val="single" w:sz="4" w:space="0" w:color="auto"/>
              <w:right w:val="single" w:sz="4" w:space="0" w:color="auto"/>
            </w:tcBorders>
          </w:tcPr>
          <w:p w14:paraId="4799A453"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6C41E602"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3721BD1C" w14:textId="77777777" w:rsidR="000D4D1E" w:rsidRPr="00081C6D" w:rsidRDefault="000D4D1E" w:rsidP="00BB5BFC">
            <w:pPr>
              <w:autoSpaceDE w:val="0"/>
              <w:autoSpaceDN w:val="0"/>
              <w:adjustRightInd w:val="0"/>
              <w:rPr>
                <w:sz w:val="20"/>
              </w:rPr>
            </w:pPr>
          </w:p>
        </w:tc>
      </w:tr>
      <w:tr w:rsidR="000D4D1E" w:rsidRPr="00433E36" w14:paraId="25028B79"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2A276721" w14:textId="77777777" w:rsidR="000D4D1E" w:rsidRPr="00081C6D" w:rsidRDefault="000D4D1E" w:rsidP="00BB5BFC">
            <w:pPr>
              <w:autoSpaceDE w:val="0"/>
              <w:autoSpaceDN w:val="0"/>
              <w:adjustRightInd w:val="0"/>
              <w:rPr>
                <w:sz w:val="20"/>
              </w:rPr>
            </w:pPr>
            <w:r w:rsidRPr="00081C6D">
              <w:rPr>
                <w:sz w:val="20"/>
              </w:rPr>
              <w:t>Gastrointestinal disorders</w:t>
            </w:r>
          </w:p>
        </w:tc>
        <w:tc>
          <w:tcPr>
            <w:tcW w:w="538" w:type="pct"/>
            <w:tcBorders>
              <w:top w:val="single" w:sz="4" w:space="0" w:color="auto"/>
              <w:left w:val="single" w:sz="4" w:space="0" w:color="auto"/>
              <w:bottom w:val="single" w:sz="4" w:space="0" w:color="auto"/>
              <w:right w:val="single" w:sz="4" w:space="0" w:color="auto"/>
            </w:tcBorders>
            <w:hideMark/>
          </w:tcPr>
          <w:p w14:paraId="44AC2B70" w14:textId="77777777" w:rsidR="000D4D1E" w:rsidRPr="00081C6D" w:rsidRDefault="000D4D1E" w:rsidP="00BB5BFC">
            <w:pPr>
              <w:autoSpaceDE w:val="0"/>
              <w:autoSpaceDN w:val="0"/>
              <w:adjustRightInd w:val="0"/>
              <w:rPr>
                <w:sz w:val="20"/>
              </w:rPr>
            </w:pPr>
            <w:r w:rsidRPr="00081C6D">
              <w:rPr>
                <w:sz w:val="20"/>
              </w:rPr>
              <w:t>diarrhoea, abdominal pain, vomiting, nausea</w:t>
            </w:r>
          </w:p>
        </w:tc>
        <w:tc>
          <w:tcPr>
            <w:tcW w:w="801" w:type="pct"/>
            <w:tcBorders>
              <w:top w:val="single" w:sz="4" w:space="0" w:color="auto"/>
              <w:left w:val="single" w:sz="4" w:space="0" w:color="auto"/>
              <w:bottom w:val="single" w:sz="4" w:space="0" w:color="auto"/>
              <w:right w:val="single" w:sz="4" w:space="0" w:color="auto"/>
            </w:tcBorders>
          </w:tcPr>
          <w:p w14:paraId="1C0B4859"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tcPr>
          <w:p w14:paraId="77E33DF1"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tcPr>
          <w:p w14:paraId="63CC4EEB"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2FFC7DB1"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046EAD7F" w14:textId="77777777" w:rsidR="000D4D1E" w:rsidRPr="00081C6D" w:rsidRDefault="000D4D1E" w:rsidP="00BB5BFC">
            <w:pPr>
              <w:autoSpaceDE w:val="0"/>
              <w:autoSpaceDN w:val="0"/>
              <w:adjustRightInd w:val="0"/>
              <w:rPr>
                <w:sz w:val="20"/>
              </w:rPr>
            </w:pPr>
          </w:p>
        </w:tc>
      </w:tr>
      <w:tr w:rsidR="000D4D1E" w:rsidRPr="00BB5BFC" w14:paraId="3BC472BC"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6DAD6C7B" w14:textId="77777777" w:rsidR="000D4D1E" w:rsidRPr="00081C6D" w:rsidRDefault="000D4D1E" w:rsidP="00BB5BFC">
            <w:pPr>
              <w:autoSpaceDE w:val="0"/>
              <w:autoSpaceDN w:val="0"/>
              <w:adjustRightInd w:val="0"/>
              <w:rPr>
                <w:sz w:val="20"/>
              </w:rPr>
            </w:pPr>
            <w:r w:rsidRPr="00081C6D">
              <w:rPr>
                <w:sz w:val="20"/>
              </w:rPr>
              <w:t>Hepatobiliary disorders</w:t>
            </w:r>
          </w:p>
        </w:tc>
        <w:tc>
          <w:tcPr>
            <w:tcW w:w="538" w:type="pct"/>
            <w:tcBorders>
              <w:top w:val="single" w:sz="4" w:space="0" w:color="auto"/>
              <w:left w:val="single" w:sz="4" w:space="0" w:color="auto"/>
              <w:bottom w:val="single" w:sz="4" w:space="0" w:color="auto"/>
              <w:right w:val="single" w:sz="4" w:space="0" w:color="auto"/>
            </w:tcBorders>
          </w:tcPr>
          <w:p w14:paraId="3127AE7C"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5A5D9201"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tcPr>
          <w:p w14:paraId="52B70ABA"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tcPr>
          <w:p w14:paraId="53235DA8"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hideMark/>
          </w:tcPr>
          <w:p w14:paraId="0ECCD8F1" w14:textId="77777777" w:rsidR="000D4D1E" w:rsidRPr="00081C6D" w:rsidRDefault="000D4D1E" w:rsidP="00BB5BFC">
            <w:pPr>
              <w:autoSpaceDE w:val="0"/>
              <w:autoSpaceDN w:val="0"/>
              <w:adjustRightInd w:val="0"/>
              <w:rPr>
                <w:sz w:val="20"/>
              </w:rPr>
            </w:pPr>
            <w:r w:rsidRPr="00081C6D">
              <w:rPr>
                <w:sz w:val="20"/>
              </w:rPr>
              <w:t>transient hepatitis with cholestatic jaundice</w:t>
            </w:r>
          </w:p>
        </w:tc>
        <w:tc>
          <w:tcPr>
            <w:tcW w:w="714" w:type="pct"/>
            <w:tcBorders>
              <w:top w:val="single" w:sz="4" w:space="0" w:color="auto"/>
              <w:left w:val="single" w:sz="4" w:space="0" w:color="auto"/>
              <w:bottom w:val="single" w:sz="4" w:space="0" w:color="auto"/>
              <w:right w:val="single" w:sz="4" w:space="0" w:color="auto"/>
            </w:tcBorders>
            <w:hideMark/>
          </w:tcPr>
          <w:p w14:paraId="63AB4009" w14:textId="77777777" w:rsidR="000D4D1E" w:rsidRPr="00081C6D" w:rsidRDefault="000D4D1E" w:rsidP="00BB5BFC">
            <w:pPr>
              <w:autoSpaceDE w:val="0"/>
              <w:autoSpaceDN w:val="0"/>
              <w:adjustRightInd w:val="0"/>
              <w:rPr>
                <w:sz w:val="20"/>
              </w:rPr>
            </w:pPr>
            <w:r w:rsidRPr="00081C6D">
              <w:rPr>
                <w:sz w:val="20"/>
              </w:rPr>
              <w:t>jaundice</w:t>
            </w:r>
            <w:r w:rsidRPr="00081C6D">
              <w:rPr>
                <w:sz w:val="20"/>
                <w:vertAlign w:val="superscript"/>
              </w:rPr>
              <w:t>*</w:t>
            </w:r>
          </w:p>
        </w:tc>
      </w:tr>
      <w:tr w:rsidR="000D4D1E" w:rsidRPr="00433E36" w14:paraId="34A24C0C"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7A726B7D" w14:textId="77777777" w:rsidR="000D4D1E" w:rsidRPr="00081C6D" w:rsidRDefault="000D4D1E" w:rsidP="00BB5BFC">
            <w:pPr>
              <w:autoSpaceDE w:val="0"/>
              <w:autoSpaceDN w:val="0"/>
              <w:adjustRightInd w:val="0"/>
              <w:rPr>
                <w:sz w:val="20"/>
              </w:rPr>
            </w:pPr>
            <w:r w:rsidRPr="00081C6D">
              <w:rPr>
                <w:sz w:val="20"/>
              </w:rPr>
              <w:t>Skin and subcutaneous tissue disorders</w:t>
            </w:r>
          </w:p>
        </w:tc>
        <w:tc>
          <w:tcPr>
            <w:tcW w:w="538" w:type="pct"/>
            <w:tcBorders>
              <w:top w:val="single" w:sz="4" w:space="0" w:color="auto"/>
              <w:left w:val="single" w:sz="4" w:space="0" w:color="auto"/>
              <w:bottom w:val="single" w:sz="4" w:space="0" w:color="auto"/>
              <w:right w:val="single" w:sz="4" w:space="0" w:color="auto"/>
            </w:tcBorders>
          </w:tcPr>
          <w:p w14:paraId="12928868"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hideMark/>
          </w:tcPr>
          <w:p w14:paraId="1A87CA23" w14:textId="77777777" w:rsidR="000D4D1E" w:rsidRPr="00081C6D" w:rsidRDefault="000D4D1E" w:rsidP="00BB5BFC">
            <w:pPr>
              <w:autoSpaceDE w:val="0"/>
              <w:autoSpaceDN w:val="0"/>
              <w:adjustRightInd w:val="0"/>
              <w:rPr>
                <w:sz w:val="20"/>
              </w:rPr>
            </w:pPr>
            <w:r w:rsidRPr="00081C6D">
              <w:rPr>
                <w:sz w:val="20"/>
              </w:rPr>
              <w:t>maculopapular exanthema, morbilliform exanthema</w:t>
            </w:r>
            <w:r w:rsidRPr="00081C6D">
              <w:rPr>
                <w:sz w:val="20"/>
                <w:vertAlign w:val="superscript"/>
              </w:rPr>
              <w:t>*</w:t>
            </w:r>
            <w:r w:rsidRPr="00081C6D">
              <w:rPr>
                <w:sz w:val="20"/>
              </w:rPr>
              <w:t>, urticaria</w:t>
            </w:r>
          </w:p>
        </w:tc>
        <w:tc>
          <w:tcPr>
            <w:tcW w:w="818" w:type="pct"/>
            <w:tcBorders>
              <w:top w:val="single" w:sz="4" w:space="0" w:color="auto"/>
              <w:left w:val="single" w:sz="4" w:space="0" w:color="auto"/>
              <w:bottom w:val="single" w:sz="4" w:space="0" w:color="auto"/>
              <w:right w:val="single" w:sz="4" w:space="0" w:color="auto"/>
            </w:tcBorders>
          </w:tcPr>
          <w:p w14:paraId="666257B6"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hideMark/>
          </w:tcPr>
          <w:p w14:paraId="65CBC764" w14:textId="77777777" w:rsidR="000D4D1E" w:rsidRPr="00081C6D" w:rsidRDefault="000D4D1E" w:rsidP="00BB5BFC">
            <w:pPr>
              <w:autoSpaceDE w:val="0"/>
              <w:autoSpaceDN w:val="0"/>
              <w:adjustRightInd w:val="0"/>
              <w:rPr>
                <w:sz w:val="20"/>
              </w:rPr>
            </w:pPr>
            <w:r w:rsidRPr="00081C6D">
              <w:rPr>
                <w:sz w:val="20"/>
              </w:rPr>
              <w:t>toxic epidermal necrolysis (TEN)</w:t>
            </w:r>
            <w:r w:rsidRPr="00081C6D">
              <w:rPr>
                <w:sz w:val="20"/>
                <w:vertAlign w:val="superscript"/>
              </w:rPr>
              <w:t>*</w:t>
            </w:r>
            <w:r w:rsidRPr="00081C6D">
              <w:rPr>
                <w:sz w:val="20"/>
              </w:rPr>
              <w:t>, Stevens Johnson syndrome (SJS)</w:t>
            </w:r>
            <w:r w:rsidRPr="00081C6D">
              <w:rPr>
                <w:sz w:val="20"/>
                <w:vertAlign w:val="superscript"/>
              </w:rPr>
              <w:t>*</w:t>
            </w:r>
            <w:r w:rsidRPr="00081C6D">
              <w:rPr>
                <w:sz w:val="20"/>
              </w:rPr>
              <w:t>, Lyell syndrome, angioedema*, exfoliative dermatitis</w:t>
            </w:r>
            <w:r w:rsidRPr="00081C6D">
              <w:rPr>
                <w:sz w:val="20"/>
                <w:vertAlign w:val="superscript"/>
              </w:rPr>
              <w:t>*</w:t>
            </w:r>
            <w:r w:rsidRPr="00081C6D">
              <w:rPr>
                <w:sz w:val="20"/>
              </w:rPr>
              <w:t xml:space="preserve"> bullous dermatitis</w:t>
            </w:r>
            <w:r w:rsidRPr="00081C6D">
              <w:rPr>
                <w:sz w:val="20"/>
                <w:vertAlign w:val="superscript"/>
              </w:rPr>
              <w:t>*</w:t>
            </w:r>
            <w:r w:rsidRPr="00081C6D">
              <w:rPr>
                <w:sz w:val="20"/>
              </w:rPr>
              <w:t>, erythema multiforme*, pruritus, vaginitis</w:t>
            </w:r>
          </w:p>
        </w:tc>
        <w:tc>
          <w:tcPr>
            <w:tcW w:w="714" w:type="pct"/>
            <w:tcBorders>
              <w:top w:val="single" w:sz="4" w:space="0" w:color="auto"/>
              <w:left w:val="single" w:sz="4" w:space="0" w:color="auto"/>
              <w:bottom w:val="single" w:sz="4" w:space="0" w:color="auto"/>
              <w:right w:val="single" w:sz="4" w:space="0" w:color="auto"/>
            </w:tcBorders>
            <w:hideMark/>
          </w:tcPr>
          <w:p w14:paraId="55AD4535" w14:textId="77777777" w:rsidR="000D4D1E" w:rsidRPr="00081C6D" w:rsidRDefault="000D4D1E" w:rsidP="00BB5BFC">
            <w:pPr>
              <w:autoSpaceDE w:val="0"/>
              <w:autoSpaceDN w:val="0"/>
              <w:adjustRightInd w:val="0"/>
              <w:rPr>
                <w:sz w:val="20"/>
              </w:rPr>
            </w:pPr>
            <w:r w:rsidRPr="00081C6D">
              <w:rPr>
                <w:sz w:val="20"/>
              </w:rPr>
              <w:t>rash and formation of blisters (hypersensitivity reaction)</w:t>
            </w:r>
          </w:p>
        </w:tc>
        <w:tc>
          <w:tcPr>
            <w:tcW w:w="714" w:type="pct"/>
            <w:tcBorders>
              <w:top w:val="single" w:sz="4" w:space="0" w:color="auto"/>
              <w:left w:val="single" w:sz="4" w:space="0" w:color="auto"/>
              <w:bottom w:val="single" w:sz="4" w:space="0" w:color="auto"/>
              <w:right w:val="single" w:sz="4" w:space="0" w:color="auto"/>
            </w:tcBorders>
            <w:hideMark/>
          </w:tcPr>
          <w:p w14:paraId="7344E216" w14:textId="77777777" w:rsidR="000D4D1E" w:rsidRPr="00081C6D" w:rsidRDefault="000D4D1E" w:rsidP="00BB5BFC">
            <w:pPr>
              <w:autoSpaceDE w:val="0"/>
              <w:autoSpaceDN w:val="0"/>
              <w:adjustRightInd w:val="0"/>
              <w:rPr>
                <w:sz w:val="20"/>
              </w:rPr>
            </w:pPr>
            <w:r w:rsidRPr="00081C6D">
              <w:rPr>
                <w:sz w:val="20"/>
              </w:rPr>
              <w:t>drug reaction with eosinophilia and systemic symptom (DRESS)</w:t>
            </w:r>
            <w:r w:rsidRPr="00081C6D">
              <w:rPr>
                <w:sz w:val="20"/>
                <w:vertAlign w:val="superscript"/>
              </w:rPr>
              <w:t>*</w:t>
            </w:r>
            <w:r w:rsidRPr="00081C6D">
              <w:rPr>
                <w:sz w:val="20"/>
              </w:rPr>
              <w:t xml:space="preserve">, acute generalised </w:t>
            </w:r>
            <w:proofErr w:type="spellStart"/>
            <w:r w:rsidRPr="00081C6D">
              <w:rPr>
                <w:sz w:val="20"/>
              </w:rPr>
              <w:t>exanthematous</w:t>
            </w:r>
            <w:proofErr w:type="spellEnd"/>
            <w:r w:rsidRPr="00081C6D">
              <w:rPr>
                <w:sz w:val="20"/>
              </w:rPr>
              <w:t xml:space="preserve"> pustulosis (AGEP)</w:t>
            </w:r>
            <w:r w:rsidRPr="00081C6D">
              <w:rPr>
                <w:sz w:val="20"/>
                <w:vertAlign w:val="superscript"/>
              </w:rPr>
              <w:t>*</w:t>
            </w:r>
          </w:p>
        </w:tc>
      </w:tr>
      <w:tr w:rsidR="000D4D1E" w:rsidRPr="00BB5BFC" w14:paraId="09E423A5"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514C2B1F" w14:textId="77777777" w:rsidR="000D4D1E" w:rsidRPr="00081C6D" w:rsidRDefault="000D4D1E" w:rsidP="00BB5BFC">
            <w:pPr>
              <w:autoSpaceDE w:val="0"/>
              <w:autoSpaceDN w:val="0"/>
              <w:adjustRightInd w:val="0"/>
              <w:rPr>
                <w:sz w:val="20"/>
              </w:rPr>
            </w:pPr>
            <w:r w:rsidRPr="00081C6D">
              <w:rPr>
                <w:sz w:val="20"/>
              </w:rPr>
              <w:t>Musculoskeletal and connective tissue disorders</w:t>
            </w:r>
          </w:p>
        </w:tc>
        <w:tc>
          <w:tcPr>
            <w:tcW w:w="538" w:type="pct"/>
            <w:tcBorders>
              <w:top w:val="single" w:sz="4" w:space="0" w:color="auto"/>
              <w:left w:val="single" w:sz="4" w:space="0" w:color="auto"/>
              <w:bottom w:val="single" w:sz="4" w:space="0" w:color="auto"/>
              <w:right w:val="single" w:sz="4" w:space="0" w:color="auto"/>
            </w:tcBorders>
          </w:tcPr>
          <w:p w14:paraId="721F1807"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2DE9C798"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tcPr>
          <w:p w14:paraId="7C9AE037"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tcPr>
          <w:p w14:paraId="5C98A18E"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hideMark/>
          </w:tcPr>
          <w:p w14:paraId="667A9CED" w14:textId="77777777" w:rsidR="000D4D1E" w:rsidRPr="00081C6D" w:rsidRDefault="000D4D1E" w:rsidP="00BB5BFC">
            <w:pPr>
              <w:autoSpaceDE w:val="0"/>
              <w:autoSpaceDN w:val="0"/>
              <w:adjustRightInd w:val="0"/>
              <w:rPr>
                <w:sz w:val="20"/>
              </w:rPr>
            </w:pPr>
            <w:r w:rsidRPr="00081C6D">
              <w:rPr>
                <w:sz w:val="20"/>
              </w:rPr>
              <w:t>Polyarthritis</w:t>
            </w:r>
          </w:p>
        </w:tc>
        <w:tc>
          <w:tcPr>
            <w:tcW w:w="714" w:type="pct"/>
            <w:tcBorders>
              <w:top w:val="single" w:sz="4" w:space="0" w:color="auto"/>
              <w:left w:val="single" w:sz="4" w:space="0" w:color="auto"/>
              <w:bottom w:val="single" w:sz="4" w:space="0" w:color="auto"/>
              <w:right w:val="single" w:sz="4" w:space="0" w:color="auto"/>
            </w:tcBorders>
          </w:tcPr>
          <w:p w14:paraId="08E30FDC" w14:textId="77777777" w:rsidR="000D4D1E" w:rsidRPr="00081C6D" w:rsidRDefault="000D4D1E" w:rsidP="00BB5BFC">
            <w:pPr>
              <w:autoSpaceDE w:val="0"/>
              <w:autoSpaceDN w:val="0"/>
              <w:adjustRightInd w:val="0"/>
              <w:rPr>
                <w:sz w:val="20"/>
              </w:rPr>
            </w:pPr>
          </w:p>
        </w:tc>
      </w:tr>
      <w:tr w:rsidR="000D4D1E" w:rsidRPr="00BB5BFC" w14:paraId="385118A0"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103837AD" w14:textId="77777777" w:rsidR="000D4D1E" w:rsidRPr="00081C6D" w:rsidRDefault="000D4D1E" w:rsidP="00BB5BFC">
            <w:pPr>
              <w:autoSpaceDE w:val="0"/>
              <w:autoSpaceDN w:val="0"/>
              <w:adjustRightInd w:val="0"/>
              <w:rPr>
                <w:sz w:val="20"/>
              </w:rPr>
            </w:pPr>
            <w:r w:rsidRPr="00081C6D">
              <w:rPr>
                <w:sz w:val="20"/>
              </w:rPr>
              <w:t>Renal and urinary disorders</w:t>
            </w:r>
          </w:p>
        </w:tc>
        <w:tc>
          <w:tcPr>
            <w:tcW w:w="538" w:type="pct"/>
            <w:tcBorders>
              <w:top w:val="single" w:sz="4" w:space="0" w:color="auto"/>
              <w:left w:val="single" w:sz="4" w:space="0" w:color="auto"/>
              <w:bottom w:val="single" w:sz="4" w:space="0" w:color="auto"/>
              <w:right w:val="single" w:sz="4" w:space="0" w:color="auto"/>
            </w:tcBorders>
          </w:tcPr>
          <w:p w14:paraId="57BCAD4E"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7C5171C8"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tcPr>
          <w:p w14:paraId="5B870DCD"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tcPr>
          <w:p w14:paraId="67294CF5"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367A4AE4"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hideMark/>
          </w:tcPr>
          <w:p w14:paraId="0C97D849" w14:textId="77777777" w:rsidR="000D4D1E" w:rsidRPr="00081C6D" w:rsidRDefault="000D4D1E" w:rsidP="00BB5BFC">
            <w:pPr>
              <w:autoSpaceDE w:val="0"/>
              <w:autoSpaceDN w:val="0"/>
              <w:adjustRightInd w:val="0"/>
              <w:rPr>
                <w:sz w:val="20"/>
              </w:rPr>
            </w:pPr>
            <w:r w:rsidRPr="00081C6D">
              <w:rPr>
                <w:sz w:val="20"/>
              </w:rPr>
              <w:t>Acute kidney injury</w:t>
            </w:r>
            <w:r w:rsidRPr="00081C6D">
              <w:rPr>
                <w:sz w:val="20"/>
                <w:vertAlign w:val="superscript"/>
              </w:rPr>
              <w:t>#</w:t>
            </w:r>
          </w:p>
        </w:tc>
      </w:tr>
      <w:tr w:rsidR="000D4D1E" w:rsidRPr="00BB5BFC" w14:paraId="002CCE0C"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1A2A7D21" w14:textId="77777777" w:rsidR="000D4D1E" w:rsidRPr="00081C6D" w:rsidRDefault="000D4D1E" w:rsidP="00BB5BFC">
            <w:pPr>
              <w:autoSpaceDE w:val="0"/>
              <w:autoSpaceDN w:val="0"/>
              <w:adjustRightInd w:val="0"/>
              <w:rPr>
                <w:sz w:val="20"/>
              </w:rPr>
            </w:pPr>
            <w:r w:rsidRPr="00081C6D">
              <w:rPr>
                <w:sz w:val="20"/>
              </w:rPr>
              <w:t>General disorders and administrations site conditions</w:t>
            </w:r>
          </w:p>
        </w:tc>
        <w:tc>
          <w:tcPr>
            <w:tcW w:w="538" w:type="pct"/>
            <w:tcBorders>
              <w:top w:val="single" w:sz="4" w:space="0" w:color="auto"/>
              <w:left w:val="single" w:sz="4" w:space="0" w:color="auto"/>
              <w:bottom w:val="single" w:sz="4" w:space="0" w:color="auto"/>
              <w:right w:val="single" w:sz="4" w:space="0" w:color="auto"/>
            </w:tcBorders>
          </w:tcPr>
          <w:p w14:paraId="6B0F2E02"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tcPr>
          <w:p w14:paraId="4064E675" w14:textId="77777777" w:rsidR="000D4D1E" w:rsidRPr="00081C6D" w:rsidRDefault="000D4D1E" w:rsidP="00BB5BFC">
            <w:pPr>
              <w:autoSpaceDE w:val="0"/>
              <w:autoSpaceDN w:val="0"/>
              <w:adjustRightInd w:val="0"/>
              <w:rPr>
                <w:sz w:val="20"/>
              </w:rPr>
            </w:pPr>
          </w:p>
        </w:tc>
        <w:tc>
          <w:tcPr>
            <w:tcW w:w="818" w:type="pct"/>
            <w:tcBorders>
              <w:top w:val="single" w:sz="4" w:space="0" w:color="auto"/>
              <w:left w:val="single" w:sz="4" w:space="0" w:color="auto"/>
              <w:bottom w:val="single" w:sz="4" w:space="0" w:color="auto"/>
              <w:right w:val="single" w:sz="4" w:space="0" w:color="auto"/>
            </w:tcBorders>
            <w:hideMark/>
          </w:tcPr>
          <w:p w14:paraId="79E9E759" w14:textId="77777777" w:rsidR="000D4D1E" w:rsidRPr="00081C6D" w:rsidRDefault="000D4D1E" w:rsidP="00BB5BFC">
            <w:pPr>
              <w:autoSpaceDE w:val="0"/>
              <w:autoSpaceDN w:val="0"/>
              <w:adjustRightInd w:val="0"/>
              <w:rPr>
                <w:sz w:val="20"/>
              </w:rPr>
            </w:pPr>
            <w:r w:rsidRPr="00081C6D">
              <w:rPr>
                <w:sz w:val="20"/>
              </w:rPr>
              <w:t>pain, injection site abscess</w:t>
            </w:r>
          </w:p>
        </w:tc>
        <w:tc>
          <w:tcPr>
            <w:tcW w:w="524" w:type="pct"/>
            <w:tcBorders>
              <w:top w:val="single" w:sz="4" w:space="0" w:color="auto"/>
              <w:left w:val="single" w:sz="4" w:space="0" w:color="auto"/>
              <w:bottom w:val="single" w:sz="4" w:space="0" w:color="auto"/>
              <w:right w:val="single" w:sz="4" w:space="0" w:color="auto"/>
            </w:tcBorders>
          </w:tcPr>
          <w:p w14:paraId="1D5D412A"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1D99973E"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hideMark/>
          </w:tcPr>
          <w:p w14:paraId="284BD4BB" w14:textId="77777777" w:rsidR="000D4D1E" w:rsidRPr="00081C6D" w:rsidRDefault="000D4D1E" w:rsidP="00BB5BFC">
            <w:pPr>
              <w:autoSpaceDE w:val="0"/>
              <w:autoSpaceDN w:val="0"/>
              <w:adjustRightInd w:val="0"/>
              <w:rPr>
                <w:sz w:val="20"/>
              </w:rPr>
            </w:pPr>
            <w:r w:rsidRPr="00081C6D">
              <w:rPr>
                <w:sz w:val="20"/>
              </w:rPr>
              <w:t>injection site irritation</w:t>
            </w:r>
            <w:r w:rsidRPr="00081C6D">
              <w:rPr>
                <w:sz w:val="20"/>
                <w:vertAlign w:val="superscript"/>
              </w:rPr>
              <w:t>*</w:t>
            </w:r>
          </w:p>
        </w:tc>
      </w:tr>
      <w:tr w:rsidR="000D4D1E" w:rsidRPr="00BB5BFC" w14:paraId="40FD178C" w14:textId="77777777" w:rsidTr="00081C6D">
        <w:tc>
          <w:tcPr>
            <w:tcW w:w="890" w:type="pct"/>
            <w:tcBorders>
              <w:top w:val="single" w:sz="4" w:space="0" w:color="auto"/>
              <w:left w:val="single" w:sz="4" w:space="0" w:color="auto"/>
              <w:bottom w:val="single" w:sz="4" w:space="0" w:color="auto"/>
              <w:right w:val="single" w:sz="4" w:space="0" w:color="auto"/>
            </w:tcBorders>
            <w:hideMark/>
          </w:tcPr>
          <w:p w14:paraId="51E95A1B" w14:textId="77777777" w:rsidR="000D4D1E" w:rsidRPr="00081C6D" w:rsidRDefault="000D4D1E" w:rsidP="00BB5BFC">
            <w:pPr>
              <w:autoSpaceDE w:val="0"/>
              <w:autoSpaceDN w:val="0"/>
              <w:adjustRightInd w:val="0"/>
              <w:rPr>
                <w:sz w:val="20"/>
              </w:rPr>
            </w:pPr>
            <w:r w:rsidRPr="00081C6D">
              <w:rPr>
                <w:sz w:val="20"/>
              </w:rPr>
              <w:t>Investigations</w:t>
            </w:r>
          </w:p>
        </w:tc>
        <w:tc>
          <w:tcPr>
            <w:tcW w:w="538" w:type="pct"/>
            <w:tcBorders>
              <w:top w:val="single" w:sz="4" w:space="0" w:color="auto"/>
              <w:left w:val="single" w:sz="4" w:space="0" w:color="auto"/>
              <w:bottom w:val="single" w:sz="4" w:space="0" w:color="auto"/>
              <w:right w:val="single" w:sz="4" w:space="0" w:color="auto"/>
            </w:tcBorders>
          </w:tcPr>
          <w:p w14:paraId="00329D0C" w14:textId="77777777" w:rsidR="000D4D1E" w:rsidRPr="00081C6D" w:rsidRDefault="000D4D1E" w:rsidP="00BB5BFC">
            <w:pPr>
              <w:autoSpaceDE w:val="0"/>
              <w:autoSpaceDN w:val="0"/>
              <w:adjustRightInd w:val="0"/>
              <w:rPr>
                <w:sz w:val="20"/>
              </w:rPr>
            </w:pPr>
          </w:p>
        </w:tc>
        <w:tc>
          <w:tcPr>
            <w:tcW w:w="801" w:type="pct"/>
            <w:tcBorders>
              <w:top w:val="single" w:sz="4" w:space="0" w:color="auto"/>
              <w:left w:val="single" w:sz="4" w:space="0" w:color="auto"/>
              <w:bottom w:val="single" w:sz="4" w:space="0" w:color="auto"/>
              <w:right w:val="single" w:sz="4" w:space="0" w:color="auto"/>
            </w:tcBorders>
            <w:hideMark/>
          </w:tcPr>
          <w:p w14:paraId="30BF920D" w14:textId="77777777" w:rsidR="000D4D1E" w:rsidRPr="00081C6D" w:rsidRDefault="000D4D1E" w:rsidP="00BB5BFC">
            <w:pPr>
              <w:autoSpaceDE w:val="0"/>
              <w:autoSpaceDN w:val="0"/>
              <w:adjustRightInd w:val="0"/>
              <w:rPr>
                <w:sz w:val="20"/>
              </w:rPr>
            </w:pPr>
            <w:r w:rsidRPr="00081C6D">
              <w:rPr>
                <w:sz w:val="20"/>
              </w:rPr>
              <w:t>Liver function test abnormal</w:t>
            </w:r>
          </w:p>
        </w:tc>
        <w:tc>
          <w:tcPr>
            <w:tcW w:w="818" w:type="pct"/>
            <w:tcBorders>
              <w:top w:val="single" w:sz="4" w:space="0" w:color="auto"/>
              <w:left w:val="single" w:sz="4" w:space="0" w:color="auto"/>
              <w:bottom w:val="single" w:sz="4" w:space="0" w:color="auto"/>
              <w:right w:val="single" w:sz="4" w:space="0" w:color="auto"/>
            </w:tcBorders>
          </w:tcPr>
          <w:p w14:paraId="4052DB82" w14:textId="77777777" w:rsidR="000D4D1E" w:rsidRPr="00081C6D" w:rsidRDefault="000D4D1E" w:rsidP="00BB5BFC">
            <w:pPr>
              <w:autoSpaceDE w:val="0"/>
              <w:autoSpaceDN w:val="0"/>
              <w:adjustRightInd w:val="0"/>
              <w:rPr>
                <w:sz w:val="20"/>
              </w:rPr>
            </w:pPr>
          </w:p>
        </w:tc>
        <w:tc>
          <w:tcPr>
            <w:tcW w:w="524" w:type="pct"/>
            <w:tcBorders>
              <w:top w:val="single" w:sz="4" w:space="0" w:color="auto"/>
              <w:left w:val="single" w:sz="4" w:space="0" w:color="auto"/>
              <w:bottom w:val="single" w:sz="4" w:space="0" w:color="auto"/>
              <w:right w:val="single" w:sz="4" w:space="0" w:color="auto"/>
            </w:tcBorders>
          </w:tcPr>
          <w:p w14:paraId="45BBE9D6"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550687E3" w14:textId="77777777" w:rsidR="000D4D1E" w:rsidRPr="00081C6D" w:rsidRDefault="000D4D1E" w:rsidP="00BB5BFC">
            <w:pPr>
              <w:autoSpaceDE w:val="0"/>
              <w:autoSpaceDN w:val="0"/>
              <w:adjustRightInd w:val="0"/>
              <w:rPr>
                <w:sz w:val="20"/>
              </w:rPr>
            </w:pPr>
          </w:p>
        </w:tc>
        <w:tc>
          <w:tcPr>
            <w:tcW w:w="714" w:type="pct"/>
            <w:tcBorders>
              <w:top w:val="single" w:sz="4" w:space="0" w:color="auto"/>
              <w:left w:val="single" w:sz="4" w:space="0" w:color="auto"/>
              <w:bottom w:val="single" w:sz="4" w:space="0" w:color="auto"/>
              <w:right w:val="single" w:sz="4" w:space="0" w:color="auto"/>
            </w:tcBorders>
          </w:tcPr>
          <w:p w14:paraId="769804CD" w14:textId="77777777" w:rsidR="000D4D1E" w:rsidRPr="00081C6D" w:rsidRDefault="000D4D1E" w:rsidP="00BB5BFC">
            <w:pPr>
              <w:autoSpaceDE w:val="0"/>
              <w:autoSpaceDN w:val="0"/>
              <w:adjustRightInd w:val="0"/>
              <w:rPr>
                <w:sz w:val="20"/>
              </w:rPr>
            </w:pPr>
          </w:p>
        </w:tc>
      </w:tr>
    </w:tbl>
    <w:p w14:paraId="487D1F10" w14:textId="0F633380" w:rsidR="000D4D1E" w:rsidRPr="00081C6D" w:rsidRDefault="000D4D1E" w:rsidP="00081C6D">
      <w:pPr>
        <w:autoSpaceDE w:val="0"/>
        <w:autoSpaceDN w:val="0"/>
        <w:adjustRightInd w:val="0"/>
        <w:ind w:left="284" w:hanging="284"/>
        <w:rPr>
          <w:sz w:val="22"/>
          <w:szCs w:val="22"/>
          <w:lang w:val="en-GB" w:eastAsia="en-US"/>
        </w:rPr>
      </w:pPr>
      <w:r w:rsidRPr="00081C6D">
        <w:rPr>
          <w:sz w:val="22"/>
          <w:szCs w:val="22"/>
          <w:vertAlign w:val="superscript"/>
          <w:lang w:val="en-US"/>
        </w:rPr>
        <w:t>*</w:t>
      </w:r>
      <w:r w:rsidRPr="00081C6D">
        <w:rPr>
          <w:sz w:val="22"/>
          <w:szCs w:val="22"/>
          <w:lang w:val="en-US"/>
        </w:rPr>
        <w:t xml:space="preserve"> </w:t>
      </w:r>
      <w:r w:rsidR="00081C6D" w:rsidRPr="00081C6D">
        <w:rPr>
          <w:sz w:val="22"/>
          <w:szCs w:val="22"/>
          <w:lang w:val="en-US"/>
        </w:rPr>
        <w:tab/>
      </w:r>
      <w:r w:rsidRPr="00081C6D">
        <w:rPr>
          <w:sz w:val="22"/>
          <w:szCs w:val="22"/>
          <w:lang w:val="en-US"/>
        </w:rPr>
        <w:t>Adverse reactions identified from post-marketing experience</w:t>
      </w:r>
    </w:p>
    <w:p w14:paraId="031D946A" w14:textId="3B9B0971" w:rsidR="000D4D1E" w:rsidRPr="00081C6D" w:rsidRDefault="000D4D1E" w:rsidP="00081C6D">
      <w:pPr>
        <w:autoSpaceDE w:val="0"/>
        <w:autoSpaceDN w:val="0"/>
        <w:adjustRightInd w:val="0"/>
        <w:ind w:left="284" w:hanging="284"/>
        <w:rPr>
          <w:sz w:val="22"/>
          <w:szCs w:val="22"/>
          <w:lang w:val="en-US"/>
        </w:rPr>
      </w:pPr>
      <w:r w:rsidRPr="00081C6D">
        <w:rPr>
          <w:sz w:val="22"/>
          <w:szCs w:val="22"/>
          <w:vertAlign w:val="superscript"/>
          <w:lang w:val="en-US"/>
        </w:rPr>
        <w:t>#</w:t>
      </w:r>
      <w:r w:rsidRPr="00081C6D">
        <w:rPr>
          <w:sz w:val="22"/>
          <w:szCs w:val="22"/>
          <w:lang w:val="en-US"/>
        </w:rPr>
        <w:t xml:space="preserve"> </w:t>
      </w:r>
      <w:r w:rsidR="00081C6D" w:rsidRPr="00081C6D">
        <w:rPr>
          <w:sz w:val="22"/>
          <w:szCs w:val="22"/>
          <w:lang w:val="en-US"/>
        </w:rPr>
        <w:tab/>
        <w:t>S</w:t>
      </w:r>
      <w:r w:rsidRPr="00081C6D">
        <w:rPr>
          <w:sz w:val="22"/>
          <w:szCs w:val="22"/>
          <w:lang w:val="en-US"/>
        </w:rPr>
        <w:t>ee section 4.4</w:t>
      </w:r>
    </w:p>
    <w:p w14:paraId="20D353B1" w14:textId="1351C6FB" w:rsidR="000D4D1E" w:rsidRPr="00081C6D" w:rsidRDefault="000D4D1E" w:rsidP="00081C6D">
      <w:pPr>
        <w:autoSpaceDE w:val="0"/>
        <w:autoSpaceDN w:val="0"/>
        <w:adjustRightInd w:val="0"/>
        <w:ind w:left="284" w:hanging="284"/>
        <w:rPr>
          <w:sz w:val="22"/>
          <w:szCs w:val="22"/>
          <w:lang w:val="en-US"/>
        </w:rPr>
      </w:pPr>
      <w:r w:rsidRPr="00081C6D">
        <w:rPr>
          <w:sz w:val="22"/>
          <w:szCs w:val="22"/>
          <w:vertAlign w:val="superscript"/>
          <w:lang w:val="en-US"/>
        </w:rPr>
        <w:t>§</w:t>
      </w:r>
      <w:r w:rsidRPr="00081C6D">
        <w:rPr>
          <w:sz w:val="22"/>
          <w:szCs w:val="22"/>
          <w:lang w:val="en-US"/>
        </w:rPr>
        <w:t xml:space="preserve"> </w:t>
      </w:r>
      <w:r w:rsidR="00081C6D" w:rsidRPr="00081C6D">
        <w:rPr>
          <w:sz w:val="22"/>
          <w:szCs w:val="22"/>
          <w:lang w:val="en-US"/>
        </w:rPr>
        <w:tab/>
      </w:r>
      <w:r w:rsidRPr="00081C6D">
        <w:rPr>
          <w:sz w:val="22"/>
          <w:szCs w:val="22"/>
          <w:lang w:val="en-US"/>
        </w:rPr>
        <w:t>Rare instances have been reported following too rapid intravenous administration (see section 4.2).</w:t>
      </w:r>
    </w:p>
    <w:p w14:paraId="663E7515" w14:textId="77777777" w:rsidR="000D4D1E" w:rsidRPr="00BB5BFC" w:rsidRDefault="000D4D1E" w:rsidP="00BB5BFC">
      <w:pPr>
        <w:rPr>
          <w:sz w:val="24"/>
          <w:szCs w:val="24"/>
          <w:lang w:val="en-US"/>
        </w:rPr>
      </w:pPr>
    </w:p>
    <w:p w14:paraId="0B58DF71" w14:textId="77777777" w:rsidR="006933B5" w:rsidRPr="00BB5BFC" w:rsidRDefault="006933B5" w:rsidP="006933B5">
      <w:pPr>
        <w:ind w:left="851"/>
        <w:rPr>
          <w:sz w:val="24"/>
          <w:szCs w:val="24"/>
          <w:u w:val="single"/>
          <w:lang w:val="en-GB"/>
        </w:rPr>
      </w:pPr>
      <w:r w:rsidRPr="00BB5BFC">
        <w:rPr>
          <w:sz w:val="24"/>
          <w:szCs w:val="24"/>
          <w:u w:val="single"/>
          <w:lang w:val="en-GB"/>
        </w:rPr>
        <w:t>Reporting of suspected adverse reactions</w:t>
      </w:r>
    </w:p>
    <w:p w14:paraId="6B80B269" w14:textId="77777777" w:rsidR="006933B5" w:rsidRPr="00BB5BFC" w:rsidRDefault="006933B5" w:rsidP="006933B5">
      <w:pPr>
        <w:ind w:left="851"/>
        <w:rPr>
          <w:sz w:val="24"/>
          <w:szCs w:val="24"/>
          <w:lang w:val="en-GB"/>
        </w:rPr>
      </w:pPr>
      <w:r w:rsidRPr="00BB5BFC">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3496779" w14:textId="77777777" w:rsidR="006933B5" w:rsidRPr="00BB5BFC" w:rsidRDefault="006933B5" w:rsidP="006933B5">
      <w:pPr>
        <w:ind w:left="851"/>
        <w:rPr>
          <w:sz w:val="24"/>
          <w:szCs w:val="24"/>
          <w:lang w:val="en-GB"/>
        </w:rPr>
      </w:pPr>
    </w:p>
    <w:p w14:paraId="72135436" w14:textId="77777777" w:rsidR="006933B5" w:rsidRPr="00BB5BFC" w:rsidRDefault="006933B5" w:rsidP="006933B5">
      <w:pPr>
        <w:ind w:left="851"/>
        <w:rPr>
          <w:sz w:val="24"/>
          <w:szCs w:val="24"/>
        </w:rPr>
      </w:pPr>
      <w:r w:rsidRPr="00BB5BFC">
        <w:rPr>
          <w:sz w:val="24"/>
          <w:szCs w:val="24"/>
        </w:rPr>
        <w:t>Lægemiddelstyrelsen</w:t>
      </w:r>
    </w:p>
    <w:p w14:paraId="6A9291DA" w14:textId="77777777" w:rsidR="006933B5" w:rsidRPr="00BB5BFC" w:rsidRDefault="006933B5" w:rsidP="006933B5">
      <w:pPr>
        <w:ind w:left="851"/>
        <w:rPr>
          <w:sz w:val="24"/>
          <w:szCs w:val="24"/>
        </w:rPr>
      </w:pPr>
      <w:r w:rsidRPr="00BB5BFC">
        <w:rPr>
          <w:sz w:val="24"/>
          <w:szCs w:val="24"/>
        </w:rPr>
        <w:t>Axel Heides Gade 1</w:t>
      </w:r>
    </w:p>
    <w:p w14:paraId="13F24A50" w14:textId="77777777" w:rsidR="006933B5" w:rsidRPr="00BB5BFC" w:rsidRDefault="006933B5" w:rsidP="006933B5">
      <w:pPr>
        <w:ind w:left="851"/>
        <w:rPr>
          <w:sz w:val="24"/>
          <w:szCs w:val="24"/>
        </w:rPr>
      </w:pPr>
      <w:r w:rsidRPr="00BB5BFC">
        <w:rPr>
          <w:sz w:val="24"/>
          <w:szCs w:val="24"/>
        </w:rPr>
        <w:t>DK-2300 København S</w:t>
      </w:r>
    </w:p>
    <w:p w14:paraId="5119AB0A" w14:textId="77777777" w:rsidR="006933B5" w:rsidRPr="00433E36" w:rsidRDefault="006933B5" w:rsidP="006933B5">
      <w:pPr>
        <w:ind w:left="851"/>
        <w:rPr>
          <w:sz w:val="24"/>
          <w:szCs w:val="24"/>
          <w:lang w:val="en-US"/>
        </w:rPr>
      </w:pPr>
      <w:r w:rsidRPr="00433E36">
        <w:rPr>
          <w:sz w:val="24"/>
          <w:szCs w:val="24"/>
          <w:lang w:val="en-US"/>
        </w:rPr>
        <w:t>Website: www.meldenbivirkning.dk</w:t>
      </w:r>
    </w:p>
    <w:p w14:paraId="424D2AEF" w14:textId="77777777" w:rsidR="007C5D2A" w:rsidRPr="00BB5BFC" w:rsidRDefault="007C5D2A" w:rsidP="007A4CC6">
      <w:pPr>
        <w:tabs>
          <w:tab w:val="left" w:pos="851"/>
        </w:tabs>
        <w:ind w:left="851"/>
        <w:rPr>
          <w:sz w:val="24"/>
          <w:szCs w:val="24"/>
          <w:lang w:val="en-GB"/>
        </w:rPr>
      </w:pPr>
    </w:p>
    <w:p w14:paraId="2574EA44"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4.9</w:t>
      </w:r>
      <w:r w:rsidRPr="00BB5BFC">
        <w:rPr>
          <w:b/>
          <w:sz w:val="24"/>
          <w:szCs w:val="24"/>
          <w:lang w:val="en-GB"/>
        </w:rPr>
        <w:tab/>
        <w:t>Overdose</w:t>
      </w:r>
    </w:p>
    <w:p w14:paraId="0BD18C5B" w14:textId="15256D5C" w:rsidR="000D4D1E" w:rsidRPr="00BB5BFC" w:rsidRDefault="000D4D1E" w:rsidP="00BB5BFC">
      <w:pPr>
        <w:ind w:left="851"/>
        <w:rPr>
          <w:noProof/>
          <w:sz w:val="24"/>
          <w:szCs w:val="24"/>
          <w:lang w:val="en-US"/>
        </w:rPr>
      </w:pPr>
      <w:r w:rsidRPr="00BB5BFC">
        <w:rPr>
          <w:noProof/>
          <w:sz w:val="24"/>
          <w:szCs w:val="24"/>
          <w:lang w:val="en-US"/>
        </w:rPr>
        <w:t xml:space="preserve">No overdose symptoms have yet been observed. Haemodialysis and peritoneal dialysis are ineffective. There is no known specific antidote. </w:t>
      </w:r>
      <w:r w:rsidR="00BB5BFC">
        <w:rPr>
          <w:noProof/>
          <w:sz w:val="24"/>
          <w:szCs w:val="24"/>
          <w:lang w:val="en-US"/>
        </w:rPr>
        <w:t>Clindamycin "Noridem"</w:t>
      </w:r>
      <w:r w:rsidRPr="00BB5BFC">
        <w:rPr>
          <w:noProof/>
          <w:sz w:val="24"/>
          <w:szCs w:val="24"/>
          <w:lang w:val="en-US"/>
        </w:rPr>
        <w:t xml:space="preserve"> is administered via i.m. or i.v. route therefore gastric lavage is not useful.</w:t>
      </w:r>
    </w:p>
    <w:p w14:paraId="2D64A3DA" w14:textId="77777777" w:rsidR="007C5D2A" w:rsidRPr="00BB5BFC" w:rsidRDefault="007C5D2A" w:rsidP="003E0341">
      <w:pPr>
        <w:tabs>
          <w:tab w:val="left" w:pos="851"/>
        </w:tabs>
        <w:ind w:left="851"/>
        <w:rPr>
          <w:sz w:val="24"/>
          <w:szCs w:val="24"/>
          <w:lang w:val="en-GB"/>
        </w:rPr>
      </w:pPr>
    </w:p>
    <w:p w14:paraId="08EEA470" w14:textId="77777777" w:rsidR="008F2F8C" w:rsidRPr="00BB5BFC" w:rsidRDefault="0042292D" w:rsidP="0042292D">
      <w:pPr>
        <w:tabs>
          <w:tab w:val="left" w:pos="851"/>
        </w:tabs>
        <w:rPr>
          <w:b/>
          <w:sz w:val="24"/>
          <w:szCs w:val="24"/>
          <w:lang w:val="en-GB"/>
        </w:rPr>
      </w:pPr>
      <w:r w:rsidRPr="00BB5BFC">
        <w:rPr>
          <w:b/>
          <w:sz w:val="24"/>
          <w:szCs w:val="24"/>
          <w:lang w:val="en-GB"/>
        </w:rPr>
        <w:t>4.10</w:t>
      </w:r>
      <w:r w:rsidRPr="00BB5BFC">
        <w:rPr>
          <w:b/>
          <w:sz w:val="24"/>
          <w:szCs w:val="24"/>
          <w:lang w:val="en-GB"/>
        </w:rPr>
        <w:tab/>
        <w:t>Legal status</w:t>
      </w:r>
    </w:p>
    <w:p w14:paraId="4626FFAE" w14:textId="573888FE" w:rsidR="00AD2E36" w:rsidRPr="00BB5BFC" w:rsidRDefault="006933B5" w:rsidP="00AD2E36">
      <w:pPr>
        <w:tabs>
          <w:tab w:val="left" w:pos="851"/>
        </w:tabs>
        <w:ind w:left="851"/>
        <w:rPr>
          <w:sz w:val="24"/>
          <w:szCs w:val="24"/>
          <w:lang w:val="en-GB"/>
        </w:rPr>
      </w:pPr>
      <w:r w:rsidRPr="00BB5BFC">
        <w:rPr>
          <w:sz w:val="24"/>
          <w:szCs w:val="24"/>
          <w:lang w:val="en-GB"/>
        </w:rPr>
        <w:t>B</w:t>
      </w:r>
    </w:p>
    <w:p w14:paraId="612B8961" w14:textId="77777777" w:rsidR="007C5D2A" w:rsidRPr="00BB5BFC" w:rsidRDefault="007C5D2A" w:rsidP="003E0341">
      <w:pPr>
        <w:tabs>
          <w:tab w:val="left" w:pos="851"/>
        </w:tabs>
        <w:ind w:left="851"/>
        <w:rPr>
          <w:sz w:val="24"/>
          <w:szCs w:val="24"/>
          <w:lang w:val="en-GB"/>
        </w:rPr>
      </w:pPr>
    </w:p>
    <w:p w14:paraId="5E423FE7" w14:textId="77777777" w:rsidR="00AD2E36" w:rsidRPr="00BB5BFC" w:rsidRDefault="00AD2E36" w:rsidP="003E0341">
      <w:pPr>
        <w:tabs>
          <w:tab w:val="left" w:pos="851"/>
        </w:tabs>
        <w:ind w:left="851"/>
        <w:rPr>
          <w:sz w:val="24"/>
          <w:szCs w:val="24"/>
          <w:lang w:val="en-GB"/>
        </w:rPr>
      </w:pPr>
    </w:p>
    <w:p w14:paraId="2E9A6FD0" w14:textId="77777777" w:rsidR="007C5D2A" w:rsidRPr="00BB5BFC" w:rsidRDefault="007C5D2A" w:rsidP="007C5D2A">
      <w:pPr>
        <w:tabs>
          <w:tab w:val="left" w:pos="851"/>
        </w:tabs>
        <w:rPr>
          <w:b/>
          <w:sz w:val="24"/>
          <w:szCs w:val="24"/>
          <w:lang w:val="en-GB"/>
        </w:rPr>
      </w:pPr>
      <w:r w:rsidRPr="00BB5BFC">
        <w:rPr>
          <w:b/>
          <w:sz w:val="24"/>
          <w:szCs w:val="24"/>
          <w:lang w:val="en-GB"/>
        </w:rPr>
        <w:t>5.</w:t>
      </w:r>
      <w:r w:rsidRPr="00BB5BFC">
        <w:rPr>
          <w:b/>
          <w:sz w:val="24"/>
          <w:szCs w:val="24"/>
          <w:lang w:val="en-GB"/>
        </w:rPr>
        <w:tab/>
        <w:t>PHARMACOLOGICAL PROPERTIES</w:t>
      </w:r>
    </w:p>
    <w:p w14:paraId="75C051CE" w14:textId="77777777" w:rsidR="007C5D2A" w:rsidRPr="00BB5BFC" w:rsidRDefault="007C5D2A" w:rsidP="003E0341">
      <w:pPr>
        <w:tabs>
          <w:tab w:val="left" w:pos="851"/>
        </w:tabs>
        <w:ind w:left="851"/>
        <w:rPr>
          <w:sz w:val="24"/>
          <w:szCs w:val="24"/>
          <w:lang w:val="en-GB"/>
        </w:rPr>
      </w:pPr>
    </w:p>
    <w:p w14:paraId="6E0F4478" w14:textId="77777777" w:rsidR="007C5D2A" w:rsidRPr="00BB5BFC" w:rsidRDefault="007C5D2A" w:rsidP="007C5D2A">
      <w:pPr>
        <w:tabs>
          <w:tab w:val="left" w:pos="851"/>
        </w:tabs>
        <w:ind w:left="851" w:hanging="851"/>
        <w:rPr>
          <w:b/>
          <w:sz w:val="24"/>
          <w:szCs w:val="24"/>
          <w:lang w:val="en-GB"/>
        </w:rPr>
      </w:pPr>
      <w:r w:rsidRPr="00BB5BFC">
        <w:rPr>
          <w:b/>
          <w:sz w:val="24"/>
          <w:szCs w:val="24"/>
          <w:lang w:val="en-GB"/>
        </w:rPr>
        <w:t>5.1</w:t>
      </w:r>
      <w:r w:rsidRPr="00BB5BFC">
        <w:rPr>
          <w:b/>
          <w:sz w:val="24"/>
          <w:szCs w:val="24"/>
          <w:lang w:val="en-GB"/>
        </w:rPr>
        <w:tab/>
        <w:t>Pharmacodynamic properties</w:t>
      </w:r>
      <w:r w:rsidRPr="00BB5BFC">
        <w:rPr>
          <w:b/>
          <w:sz w:val="24"/>
          <w:szCs w:val="24"/>
          <w:lang w:val="en-GB"/>
        </w:rPr>
        <w:tab/>
      </w:r>
    </w:p>
    <w:p w14:paraId="7AA75FF7" w14:textId="77777777" w:rsidR="000D4D1E" w:rsidRPr="00BB5BFC" w:rsidRDefault="000D4D1E" w:rsidP="00BB5BFC">
      <w:pPr>
        <w:ind w:left="851"/>
        <w:rPr>
          <w:noProof/>
          <w:sz w:val="24"/>
          <w:szCs w:val="24"/>
          <w:lang w:val="en-US"/>
        </w:rPr>
      </w:pPr>
      <w:r w:rsidRPr="00BB5BFC">
        <w:rPr>
          <w:sz w:val="24"/>
          <w:szCs w:val="24"/>
          <w:lang w:val="en-US"/>
        </w:rPr>
        <w:t xml:space="preserve">Pharmacotherapeutic group: </w:t>
      </w:r>
      <w:r w:rsidRPr="00BB5BFC">
        <w:rPr>
          <w:bCs/>
          <w:noProof/>
          <w:sz w:val="24"/>
          <w:szCs w:val="24"/>
          <w:lang w:val="en-US"/>
        </w:rPr>
        <w:t>Antibacterials for systemic use; Lincosamides</w:t>
      </w:r>
      <w:r w:rsidRPr="00BB5BFC">
        <w:rPr>
          <w:noProof/>
          <w:sz w:val="24"/>
          <w:szCs w:val="24"/>
          <w:lang w:val="en-US"/>
        </w:rPr>
        <w:t xml:space="preserve">, ATC code: J01FF01 </w:t>
      </w:r>
    </w:p>
    <w:p w14:paraId="02198D9B" w14:textId="77777777" w:rsidR="000D4D1E" w:rsidRPr="00BB5BFC" w:rsidRDefault="000D4D1E" w:rsidP="00BB5BFC">
      <w:pPr>
        <w:ind w:left="851"/>
        <w:rPr>
          <w:noProof/>
          <w:sz w:val="24"/>
          <w:szCs w:val="24"/>
          <w:lang w:val="en-US"/>
        </w:rPr>
      </w:pPr>
    </w:p>
    <w:p w14:paraId="295A24FD" w14:textId="77777777" w:rsidR="000D4D1E" w:rsidRPr="00BB5BFC" w:rsidRDefault="000D4D1E" w:rsidP="00BB5BFC">
      <w:pPr>
        <w:ind w:left="851"/>
        <w:rPr>
          <w:sz w:val="24"/>
          <w:szCs w:val="24"/>
          <w:lang w:val="en-US"/>
        </w:rPr>
      </w:pPr>
      <w:r w:rsidRPr="00BB5BFC">
        <w:rPr>
          <w:sz w:val="24"/>
          <w:szCs w:val="24"/>
          <w:u w:val="single"/>
          <w:lang w:val="en-US"/>
        </w:rPr>
        <w:t>Mechanism of action</w:t>
      </w:r>
    </w:p>
    <w:p w14:paraId="0249C1CD" w14:textId="77777777" w:rsidR="000D4D1E" w:rsidRPr="00BB5BFC" w:rsidRDefault="000D4D1E" w:rsidP="00BB5BFC">
      <w:pPr>
        <w:ind w:left="851"/>
        <w:rPr>
          <w:sz w:val="24"/>
          <w:szCs w:val="24"/>
          <w:lang w:val="en-US"/>
        </w:rPr>
      </w:pPr>
      <w:r w:rsidRPr="00BB5BFC">
        <w:rPr>
          <w:sz w:val="24"/>
          <w:szCs w:val="24"/>
          <w:lang w:val="en-US"/>
        </w:rPr>
        <w:t>Clindamycin binds to the 50S subunit of the bacterial ribosome and inhibits protein synthesis. Clindamycin has a predominately bacteriostatic action.</w:t>
      </w:r>
    </w:p>
    <w:p w14:paraId="629C8F51" w14:textId="77777777" w:rsidR="000D4D1E" w:rsidRPr="00BB5BFC" w:rsidRDefault="000D4D1E" w:rsidP="00BB5BFC">
      <w:pPr>
        <w:ind w:left="851"/>
        <w:rPr>
          <w:sz w:val="24"/>
          <w:szCs w:val="24"/>
          <w:lang w:val="en-US"/>
        </w:rPr>
      </w:pPr>
    </w:p>
    <w:p w14:paraId="2B32F8F6" w14:textId="77777777" w:rsidR="000D4D1E" w:rsidRPr="00BB5BFC" w:rsidRDefault="000D4D1E" w:rsidP="00BB5BFC">
      <w:pPr>
        <w:ind w:left="851"/>
        <w:rPr>
          <w:sz w:val="24"/>
          <w:szCs w:val="24"/>
          <w:lang w:val="en-US"/>
        </w:rPr>
      </w:pPr>
      <w:r w:rsidRPr="00BB5BFC">
        <w:rPr>
          <w:sz w:val="24"/>
          <w:szCs w:val="24"/>
          <w:u w:val="single"/>
          <w:lang w:val="en-US"/>
        </w:rPr>
        <w:t>Pharmacodynamic effects</w:t>
      </w:r>
    </w:p>
    <w:p w14:paraId="5D85BA60" w14:textId="77777777" w:rsidR="000D4D1E" w:rsidRPr="00BB5BFC" w:rsidRDefault="000D4D1E" w:rsidP="00BB5BFC">
      <w:pPr>
        <w:ind w:left="851"/>
        <w:rPr>
          <w:sz w:val="24"/>
          <w:szCs w:val="24"/>
          <w:lang w:val="en-US"/>
        </w:rPr>
      </w:pPr>
      <w:r w:rsidRPr="00BB5BFC">
        <w:rPr>
          <w:sz w:val="24"/>
          <w:szCs w:val="24"/>
          <w:lang w:val="en-US"/>
        </w:rPr>
        <w:t>The efficacy is basically dependent on the time period, in which the agent level is above the minimum inhibitory concentration (MIC) of the pathogen.</w:t>
      </w:r>
    </w:p>
    <w:p w14:paraId="6E4BD9E0" w14:textId="77777777" w:rsidR="000D4D1E" w:rsidRPr="00BB5BFC" w:rsidRDefault="000D4D1E" w:rsidP="00BB5BFC">
      <w:pPr>
        <w:ind w:left="851"/>
        <w:rPr>
          <w:sz w:val="24"/>
          <w:szCs w:val="24"/>
          <w:lang w:val="en-US"/>
        </w:rPr>
      </w:pPr>
    </w:p>
    <w:p w14:paraId="6EF260E1" w14:textId="77777777" w:rsidR="000D4D1E" w:rsidRPr="00BB5BFC" w:rsidRDefault="000D4D1E" w:rsidP="00BB5BFC">
      <w:pPr>
        <w:ind w:left="851"/>
        <w:rPr>
          <w:sz w:val="24"/>
          <w:szCs w:val="24"/>
          <w:u w:val="single"/>
          <w:lang w:val="en-US"/>
        </w:rPr>
      </w:pPr>
      <w:r w:rsidRPr="00BB5BFC">
        <w:rPr>
          <w:sz w:val="24"/>
          <w:szCs w:val="24"/>
          <w:u w:val="single"/>
          <w:lang w:val="en-US"/>
        </w:rPr>
        <w:t>Mechanism(s) of resistance</w:t>
      </w:r>
    </w:p>
    <w:p w14:paraId="637B9757" w14:textId="77777777" w:rsidR="000D4D1E" w:rsidRPr="00BB5BFC" w:rsidRDefault="000D4D1E" w:rsidP="00BB5BFC">
      <w:pPr>
        <w:ind w:left="851"/>
        <w:rPr>
          <w:sz w:val="24"/>
          <w:szCs w:val="24"/>
          <w:lang w:val="en-US"/>
        </w:rPr>
      </w:pPr>
      <w:r w:rsidRPr="00BB5BFC">
        <w:rPr>
          <w:sz w:val="24"/>
          <w:szCs w:val="24"/>
          <w:lang w:val="en-US"/>
        </w:rPr>
        <w:t>Resistance to clindamycin can be due to the following mechanisms:</w:t>
      </w:r>
    </w:p>
    <w:p w14:paraId="1769CB56" w14:textId="77777777" w:rsidR="000D4D1E" w:rsidRPr="00BB5BFC" w:rsidRDefault="000D4D1E" w:rsidP="00BB5BFC">
      <w:pPr>
        <w:ind w:left="851"/>
        <w:rPr>
          <w:sz w:val="24"/>
          <w:szCs w:val="24"/>
          <w:lang w:val="en-US"/>
        </w:rPr>
      </w:pPr>
      <w:r w:rsidRPr="00BB5BFC">
        <w:rPr>
          <w:sz w:val="24"/>
          <w:szCs w:val="24"/>
          <w:lang w:val="en-US"/>
        </w:rPr>
        <w:t>Resistance to staphylococci and streptococci is often based on methyl groups increasingly binding to the 23S rRNA (so-called constitutive MLSB-resistance), whereby the binding affinity of clindamycin to the ribosome is highly reduced.</w:t>
      </w:r>
    </w:p>
    <w:p w14:paraId="50AA56D7" w14:textId="77777777" w:rsidR="000D4D1E" w:rsidRPr="00BB5BFC" w:rsidRDefault="000D4D1E" w:rsidP="00BB5BFC">
      <w:pPr>
        <w:ind w:left="851"/>
        <w:rPr>
          <w:sz w:val="24"/>
          <w:szCs w:val="24"/>
          <w:lang w:val="en-US"/>
        </w:rPr>
      </w:pPr>
    </w:p>
    <w:p w14:paraId="31D26394" w14:textId="77777777" w:rsidR="000D4D1E" w:rsidRPr="00BB5BFC" w:rsidRDefault="000D4D1E" w:rsidP="00BB5BFC">
      <w:pPr>
        <w:ind w:left="851"/>
        <w:rPr>
          <w:sz w:val="24"/>
          <w:szCs w:val="24"/>
          <w:lang w:val="en-US"/>
        </w:rPr>
      </w:pPr>
      <w:r w:rsidRPr="00BB5BFC">
        <w:rPr>
          <w:sz w:val="24"/>
          <w:szCs w:val="24"/>
          <w:lang w:val="en-US"/>
        </w:rPr>
        <w:t xml:space="preserve">The majority of methicillin-resistant </w:t>
      </w:r>
      <w:r w:rsidRPr="00BB5BFC">
        <w:rPr>
          <w:i/>
          <w:sz w:val="24"/>
          <w:szCs w:val="24"/>
          <w:lang w:val="en-US"/>
        </w:rPr>
        <w:t>S. aureus</w:t>
      </w:r>
      <w:r w:rsidRPr="00BB5BFC">
        <w:rPr>
          <w:sz w:val="24"/>
          <w:szCs w:val="24"/>
          <w:lang w:val="en-US"/>
        </w:rPr>
        <w:t xml:space="preserve"> (MRSA) shows the constitutive </w:t>
      </w:r>
      <w:r w:rsidRPr="00BB5BFC">
        <w:rPr>
          <w:spacing w:val="3"/>
          <w:sz w:val="24"/>
          <w:szCs w:val="24"/>
          <w:lang w:val="en-US"/>
        </w:rPr>
        <w:t>MLS</w:t>
      </w:r>
      <w:r w:rsidRPr="00BB5BFC">
        <w:rPr>
          <w:spacing w:val="2"/>
          <w:position w:val="-2"/>
          <w:sz w:val="24"/>
          <w:szCs w:val="24"/>
          <w:lang w:val="en-US"/>
        </w:rPr>
        <w:t>B</w:t>
      </w:r>
      <w:r w:rsidRPr="00BB5BFC">
        <w:rPr>
          <w:sz w:val="24"/>
          <w:szCs w:val="24"/>
          <w:lang w:val="en-US"/>
        </w:rPr>
        <w:t xml:space="preserve"> type of resistance and is therefore resistant to clindamycin. Infections caused by macrolide-resistant staphylococci should not be treated with clindamycin, also when in-vitro susceptibility was proven, because therapy may lead to selection of mutants with constitutive </w:t>
      </w:r>
      <w:r w:rsidRPr="00BB5BFC">
        <w:rPr>
          <w:spacing w:val="3"/>
          <w:sz w:val="24"/>
          <w:szCs w:val="24"/>
          <w:lang w:val="en-US"/>
        </w:rPr>
        <w:t>MLS</w:t>
      </w:r>
      <w:r w:rsidRPr="00BB5BFC">
        <w:rPr>
          <w:spacing w:val="2"/>
          <w:position w:val="-2"/>
          <w:sz w:val="24"/>
          <w:szCs w:val="24"/>
          <w:lang w:val="en-US"/>
        </w:rPr>
        <w:t>B</w:t>
      </w:r>
      <w:r w:rsidRPr="00BB5BFC">
        <w:rPr>
          <w:sz w:val="24"/>
          <w:szCs w:val="24"/>
          <w:lang w:val="en-US"/>
        </w:rPr>
        <w:t xml:space="preserve"> resistance. Strains with constitutive </w:t>
      </w:r>
      <w:r w:rsidRPr="00BB5BFC">
        <w:rPr>
          <w:spacing w:val="3"/>
          <w:sz w:val="24"/>
          <w:szCs w:val="24"/>
          <w:lang w:val="en-US"/>
        </w:rPr>
        <w:t>MLS</w:t>
      </w:r>
      <w:r w:rsidRPr="00BB5BFC">
        <w:rPr>
          <w:spacing w:val="2"/>
          <w:position w:val="-2"/>
          <w:sz w:val="24"/>
          <w:szCs w:val="24"/>
          <w:lang w:val="en-US"/>
        </w:rPr>
        <w:t>B</w:t>
      </w:r>
      <w:r w:rsidRPr="00BB5BFC">
        <w:rPr>
          <w:sz w:val="24"/>
          <w:szCs w:val="24"/>
          <w:lang w:val="en-US"/>
        </w:rPr>
        <w:t xml:space="preserve"> resistance show complete cross-resistance of clindamycin with lincomycin, macrolides (e.g. azithromycin, clarithromycin, erythromycin, roxithromycin, </w:t>
      </w:r>
      <w:proofErr w:type="spellStart"/>
      <w:r w:rsidRPr="00BB5BFC">
        <w:rPr>
          <w:sz w:val="24"/>
          <w:szCs w:val="24"/>
          <w:lang w:val="en-US"/>
        </w:rPr>
        <w:t>spiramycin</w:t>
      </w:r>
      <w:proofErr w:type="spellEnd"/>
      <w:r w:rsidRPr="00BB5BFC">
        <w:rPr>
          <w:sz w:val="24"/>
          <w:szCs w:val="24"/>
          <w:lang w:val="en-US"/>
        </w:rPr>
        <w:t>) as well as streptogramin B.</w:t>
      </w:r>
    </w:p>
    <w:p w14:paraId="6F42E6B3" w14:textId="77777777" w:rsidR="000D4D1E" w:rsidRPr="00BB5BFC" w:rsidRDefault="000D4D1E" w:rsidP="00BB5BFC">
      <w:pPr>
        <w:ind w:left="851"/>
        <w:rPr>
          <w:sz w:val="24"/>
          <w:szCs w:val="24"/>
          <w:lang w:val="en-US"/>
        </w:rPr>
      </w:pPr>
    </w:p>
    <w:p w14:paraId="74995B3C" w14:textId="77777777" w:rsidR="000D4D1E" w:rsidRPr="00BB5BFC" w:rsidRDefault="000D4D1E" w:rsidP="00BB5BFC">
      <w:pPr>
        <w:ind w:left="851"/>
        <w:rPr>
          <w:b/>
          <w:sz w:val="24"/>
          <w:szCs w:val="24"/>
          <w:lang w:val="en-US"/>
        </w:rPr>
      </w:pPr>
      <w:r w:rsidRPr="00BB5BFC">
        <w:rPr>
          <w:b/>
          <w:sz w:val="24"/>
          <w:szCs w:val="24"/>
          <w:lang w:val="en-US"/>
        </w:rPr>
        <w:t>Breakpoints</w:t>
      </w:r>
    </w:p>
    <w:p w14:paraId="3A4DF087" w14:textId="77777777" w:rsidR="000D4D1E" w:rsidRPr="00BB5BFC" w:rsidRDefault="000D4D1E" w:rsidP="00BB5BFC">
      <w:pPr>
        <w:ind w:left="851"/>
        <w:rPr>
          <w:sz w:val="24"/>
          <w:szCs w:val="24"/>
          <w:lang w:val="en-US"/>
        </w:rPr>
      </w:pPr>
      <w:r w:rsidRPr="00BB5BFC">
        <w:rPr>
          <w:sz w:val="24"/>
          <w:szCs w:val="24"/>
          <w:lang w:val="en-US"/>
        </w:rPr>
        <w:t>Common dilution series are used for clindamycin testing. Following minimum inhibitory concentrations for susceptible and resistant germs were defined:</w:t>
      </w:r>
    </w:p>
    <w:p w14:paraId="5B113BE4" w14:textId="77777777" w:rsidR="000D4D1E" w:rsidRPr="00BB5BFC" w:rsidRDefault="000D4D1E" w:rsidP="00BB5BFC">
      <w:pPr>
        <w:ind w:left="851"/>
        <w:rPr>
          <w:sz w:val="24"/>
          <w:szCs w:val="24"/>
          <w:lang w:val="en-US"/>
        </w:rPr>
      </w:pPr>
      <w:r w:rsidRPr="00BB5BFC">
        <w:rPr>
          <w:sz w:val="24"/>
          <w:szCs w:val="24"/>
          <w:lang w:val="en-US"/>
        </w:rPr>
        <w:lastRenderedPageBreak/>
        <w:t>EUCAST (Version 13.0, valid from 2023-01-01)</w:t>
      </w:r>
    </w:p>
    <w:p w14:paraId="319A4326" w14:textId="77777777" w:rsidR="000D4D1E" w:rsidRPr="00BB5BFC" w:rsidRDefault="000D4D1E" w:rsidP="00BB5BFC">
      <w:pPr>
        <w:ind w:left="851"/>
        <w:rPr>
          <w:sz w:val="24"/>
          <w:szCs w:val="24"/>
          <w:lang w:val="en-US"/>
        </w:rPr>
      </w:pPr>
    </w:p>
    <w:p w14:paraId="33DAD971" w14:textId="77777777" w:rsidR="000D4D1E" w:rsidRPr="00BB5BFC" w:rsidRDefault="000D4D1E" w:rsidP="00BB5BFC">
      <w:pPr>
        <w:ind w:left="851"/>
        <w:rPr>
          <w:sz w:val="24"/>
          <w:szCs w:val="24"/>
          <w:lang w:val="en-US"/>
        </w:rPr>
      </w:pPr>
      <w:r w:rsidRPr="00BB5BFC">
        <w:rPr>
          <w:sz w:val="24"/>
          <w:szCs w:val="24"/>
          <w:lang w:val="en-US"/>
        </w:rPr>
        <w:t>Clinical Breakpoints</w:t>
      </w:r>
    </w:p>
    <w:tbl>
      <w:tblPr>
        <w:tblStyle w:val="Tabel-Gitter"/>
        <w:tblW w:w="5000" w:type="pct"/>
        <w:jc w:val="center"/>
        <w:tblInd w:w="0" w:type="dxa"/>
        <w:tblLook w:val="04A0" w:firstRow="1" w:lastRow="0" w:firstColumn="1" w:lastColumn="0" w:noHBand="0" w:noVBand="1"/>
      </w:tblPr>
      <w:tblGrid>
        <w:gridCol w:w="5165"/>
        <w:gridCol w:w="2316"/>
        <w:gridCol w:w="2147"/>
      </w:tblGrid>
      <w:tr w:rsidR="000D4D1E" w:rsidRPr="00BB5BFC" w14:paraId="482D2FA7"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6DD48BAE" w14:textId="77777777" w:rsidR="000D4D1E" w:rsidRPr="00BB5BFC" w:rsidRDefault="000D4D1E">
            <w:pPr>
              <w:autoSpaceDE w:val="0"/>
              <w:autoSpaceDN w:val="0"/>
              <w:adjustRightInd w:val="0"/>
              <w:rPr>
                <w:sz w:val="24"/>
                <w:szCs w:val="24"/>
              </w:rPr>
            </w:pPr>
            <w:r w:rsidRPr="00BB5BFC">
              <w:rPr>
                <w:sz w:val="24"/>
                <w:szCs w:val="24"/>
              </w:rPr>
              <w:t>Pathogen</w:t>
            </w:r>
          </w:p>
        </w:tc>
        <w:tc>
          <w:tcPr>
            <w:tcW w:w="1203" w:type="pct"/>
            <w:tcBorders>
              <w:top w:val="single" w:sz="4" w:space="0" w:color="auto"/>
              <w:left w:val="single" w:sz="4" w:space="0" w:color="auto"/>
              <w:bottom w:val="single" w:sz="4" w:space="0" w:color="auto"/>
              <w:right w:val="single" w:sz="4" w:space="0" w:color="auto"/>
            </w:tcBorders>
            <w:hideMark/>
          </w:tcPr>
          <w:p w14:paraId="0DFF84EE" w14:textId="77777777" w:rsidR="000D4D1E" w:rsidRPr="00BB5BFC" w:rsidRDefault="000D4D1E">
            <w:pPr>
              <w:autoSpaceDE w:val="0"/>
              <w:autoSpaceDN w:val="0"/>
              <w:adjustRightInd w:val="0"/>
              <w:rPr>
                <w:sz w:val="24"/>
                <w:szCs w:val="24"/>
              </w:rPr>
            </w:pPr>
            <w:r w:rsidRPr="00BB5BFC">
              <w:rPr>
                <w:sz w:val="24"/>
                <w:szCs w:val="24"/>
              </w:rPr>
              <w:t>Susceptible</w:t>
            </w:r>
          </w:p>
        </w:tc>
        <w:tc>
          <w:tcPr>
            <w:tcW w:w="1114" w:type="pct"/>
            <w:tcBorders>
              <w:top w:val="single" w:sz="4" w:space="0" w:color="auto"/>
              <w:left w:val="single" w:sz="4" w:space="0" w:color="auto"/>
              <w:bottom w:val="single" w:sz="4" w:space="0" w:color="auto"/>
              <w:right w:val="single" w:sz="4" w:space="0" w:color="auto"/>
            </w:tcBorders>
            <w:hideMark/>
          </w:tcPr>
          <w:p w14:paraId="1E9B5589" w14:textId="77777777" w:rsidR="000D4D1E" w:rsidRPr="00BB5BFC" w:rsidRDefault="000D4D1E">
            <w:pPr>
              <w:autoSpaceDE w:val="0"/>
              <w:autoSpaceDN w:val="0"/>
              <w:adjustRightInd w:val="0"/>
              <w:rPr>
                <w:sz w:val="24"/>
                <w:szCs w:val="24"/>
              </w:rPr>
            </w:pPr>
            <w:r w:rsidRPr="00BB5BFC">
              <w:rPr>
                <w:sz w:val="24"/>
                <w:szCs w:val="24"/>
              </w:rPr>
              <w:t>Resistant</w:t>
            </w:r>
          </w:p>
        </w:tc>
      </w:tr>
      <w:tr w:rsidR="000D4D1E" w:rsidRPr="00BB5BFC" w14:paraId="779F9BB3"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0889ED11" w14:textId="77777777" w:rsidR="000D4D1E" w:rsidRPr="00BB5BFC" w:rsidRDefault="000D4D1E">
            <w:pPr>
              <w:autoSpaceDE w:val="0"/>
              <w:autoSpaceDN w:val="0"/>
              <w:adjustRightInd w:val="0"/>
              <w:rPr>
                <w:sz w:val="24"/>
                <w:szCs w:val="24"/>
              </w:rPr>
            </w:pPr>
            <w:r w:rsidRPr="00BB5BFC">
              <w:rPr>
                <w:i/>
                <w:sz w:val="24"/>
                <w:szCs w:val="24"/>
              </w:rPr>
              <w:t xml:space="preserve">Staphylococcus </w:t>
            </w:r>
            <w:r w:rsidRPr="00BB5BFC">
              <w:rPr>
                <w:sz w:val="24"/>
                <w:szCs w:val="24"/>
              </w:rPr>
              <w:t>spp.</w:t>
            </w:r>
            <w:r w:rsidRPr="00BB5BFC">
              <w:rPr>
                <w:sz w:val="24"/>
                <w:szCs w:val="24"/>
                <w:vertAlign w:val="superscript"/>
              </w:rPr>
              <w:t>1</w:t>
            </w:r>
          </w:p>
        </w:tc>
        <w:tc>
          <w:tcPr>
            <w:tcW w:w="1203" w:type="pct"/>
            <w:tcBorders>
              <w:top w:val="single" w:sz="4" w:space="0" w:color="auto"/>
              <w:left w:val="single" w:sz="4" w:space="0" w:color="auto"/>
              <w:bottom w:val="single" w:sz="4" w:space="0" w:color="auto"/>
              <w:right w:val="single" w:sz="4" w:space="0" w:color="auto"/>
            </w:tcBorders>
            <w:hideMark/>
          </w:tcPr>
          <w:p w14:paraId="2E585F06" w14:textId="77777777" w:rsidR="000D4D1E" w:rsidRPr="00BB5BFC" w:rsidRDefault="000D4D1E">
            <w:pPr>
              <w:autoSpaceDE w:val="0"/>
              <w:autoSpaceDN w:val="0"/>
              <w:adjustRightInd w:val="0"/>
              <w:rPr>
                <w:sz w:val="24"/>
                <w:szCs w:val="24"/>
              </w:rPr>
            </w:pPr>
            <w:r w:rsidRPr="00BB5BFC">
              <w:rPr>
                <w:sz w:val="24"/>
                <w:szCs w:val="24"/>
              </w:rPr>
              <w:t>≤ 0.25 mg/l</w:t>
            </w:r>
          </w:p>
        </w:tc>
        <w:tc>
          <w:tcPr>
            <w:tcW w:w="1114" w:type="pct"/>
            <w:tcBorders>
              <w:top w:val="single" w:sz="4" w:space="0" w:color="auto"/>
              <w:left w:val="single" w:sz="4" w:space="0" w:color="auto"/>
              <w:bottom w:val="single" w:sz="4" w:space="0" w:color="auto"/>
              <w:right w:val="single" w:sz="4" w:space="0" w:color="auto"/>
            </w:tcBorders>
            <w:hideMark/>
          </w:tcPr>
          <w:p w14:paraId="0F42255A" w14:textId="77777777" w:rsidR="000D4D1E" w:rsidRPr="00BB5BFC" w:rsidRDefault="000D4D1E">
            <w:pPr>
              <w:autoSpaceDE w:val="0"/>
              <w:autoSpaceDN w:val="0"/>
              <w:adjustRightInd w:val="0"/>
              <w:rPr>
                <w:sz w:val="24"/>
                <w:szCs w:val="24"/>
              </w:rPr>
            </w:pPr>
            <w:r w:rsidRPr="00BB5BFC">
              <w:rPr>
                <w:sz w:val="24"/>
                <w:szCs w:val="24"/>
              </w:rPr>
              <w:t>&gt; 0.</w:t>
            </w:r>
            <w:r w:rsidRPr="00BB5BFC">
              <w:rPr>
                <w:sz w:val="24"/>
                <w:szCs w:val="24"/>
                <w:lang w:val="el-GR"/>
              </w:rPr>
              <w:t>2</w:t>
            </w:r>
            <w:r w:rsidRPr="00BB5BFC">
              <w:rPr>
                <w:sz w:val="24"/>
                <w:szCs w:val="24"/>
              </w:rPr>
              <w:t>5 mg/l</w:t>
            </w:r>
          </w:p>
        </w:tc>
      </w:tr>
      <w:tr w:rsidR="000D4D1E" w:rsidRPr="00BB5BFC" w14:paraId="69689792"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41251019" w14:textId="77777777" w:rsidR="000D4D1E" w:rsidRPr="00BB5BFC" w:rsidRDefault="000D4D1E">
            <w:pPr>
              <w:autoSpaceDE w:val="0"/>
              <w:autoSpaceDN w:val="0"/>
              <w:adjustRightInd w:val="0"/>
              <w:rPr>
                <w:sz w:val="24"/>
                <w:szCs w:val="24"/>
              </w:rPr>
            </w:pPr>
            <w:r w:rsidRPr="00BB5BFC">
              <w:rPr>
                <w:i/>
                <w:sz w:val="24"/>
                <w:szCs w:val="24"/>
              </w:rPr>
              <w:t>Streptococcus</w:t>
            </w:r>
            <w:r w:rsidRPr="00BB5BFC">
              <w:rPr>
                <w:sz w:val="24"/>
                <w:szCs w:val="24"/>
              </w:rPr>
              <w:t xml:space="preserve"> (groups A, B, C, G) </w:t>
            </w:r>
            <w:r w:rsidRPr="00BB5BFC">
              <w:rPr>
                <w:sz w:val="24"/>
                <w:szCs w:val="24"/>
                <w:vertAlign w:val="superscript"/>
              </w:rPr>
              <w:t>1, 2</w:t>
            </w:r>
          </w:p>
        </w:tc>
        <w:tc>
          <w:tcPr>
            <w:tcW w:w="1203" w:type="pct"/>
            <w:tcBorders>
              <w:top w:val="single" w:sz="4" w:space="0" w:color="auto"/>
              <w:left w:val="single" w:sz="4" w:space="0" w:color="auto"/>
              <w:bottom w:val="single" w:sz="4" w:space="0" w:color="auto"/>
              <w:right w:val="single" w:sz="4" w:space="0" w:color="auto"/>
            </w:tcBorders>
            <w:hideMark/>
          </w:tcPr>
          <w:p w14:paraId="45E7627A" w14:textId="77777777" w:rsidR="000D4D1E" w:rsidRPr="00BB5BFC" w:rsidRDefault="000D4D1E">
            <w:pPr>
              <w:autoSpaceDE w:val="0"/>
              <w:autoSpaceDN w:val="0"/>
              <w:adjustRightInd w:val="0"/>
              <w:rPr>
                <w:sz w:val="24"/>
                <w:szCs w:val="24"/>
              </w:rPr>
            </w:pPr>
            <w:r w:rsidRPr="00BB5BFC">
              <w:rPr>
                <w:sz w:val="24"/>
                <w:szCs w:val="24"/>
              </w:rPr>
              <w:t>≤ 0.5 mg/l</w:t>
            </w:r>
          </w:p>
        </w:tc>
        <w:tc>
          <w:tcPr>
            <w:tcW w:w="1114" w:type="pct"/>
            <w:tcBorders>
              <w:top w:val="single" w:sz="4" w:space="0" w:color="auto"/>
              <w:left w:val="single" w:sz="4" w:space="0" w:color="auto"/>
              <w:bottom w:val="single" w:sz="4" w:space="0" w:color="auto"/>
              <w:right w:val="single" w:sz="4" w:space="0" w:color="auto"/>
            </w:tcBorders>
            <w:hideMark/>
          </w:tcPr>
          <w:p w14:paraId="58B9C287" w14:textId="77777777" w:rsidR="000D4D1E" w:rsidRPr="00BB5BFC" w:rsidRDefault="000D4D1E">
            <w:pPr>
              <w:autoSpaceDE w:val="0"/>
              <w:autoSpaceDN w:val="0"/>
              <w:adjustRightInd w:val="0"/>
              <w:rPr>
                <w:sz w:val="24"/>
                <w:szCs w:val="24"/>
              </w:rPr>
            </w:pPr>
            <w:r w:rsidRPr="00BB5BFC">
              <w:rPr>
                <w:sz w:val="24"/>
                <w:szCs w:val="24"/>
              </w:rPr>
              <w:t>&gt; 0.5 mg/l</w:t>
            </w:r>
          </w:p>
        </w:tc>
      </w:tr>
      <w:tr w:rsidR="000D4D1E" w:rsidRPr="00BB5BFC" w14:paraId="3E5259E1"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6C8BB6C5" w14:textId="77777777" w:rsidR="000D4D1E" w:rsidRPr="00BB5BFC" w:rsidRDefault="000D4D1E">
            <w:pPr>
              <w:autoSpaceDE w:val="0"/>
              <w:autoSpaceDN w:val="0"/>
              <w:adjustRightInd w:val="0"/>
              <w:rPr>
                <w:sz w:val="24"/>
                <w:szCs w:val="24"/>
              </w:rPr>
            </w:pPr>
            <w:r w:rsidRPr="00BB5BFC">
              <w:rPr>
                <w:i/>
                <w:sz w:val="24"/>
                <w:szCs w:val="24"/>
              </w:rPr>
              <w:t>Streptococcus pneumoniae</w:t>
            </w:r>
            <w:r w:rsidRPr="00BB5BFC">
              <w:rPr>
                <w:sz w:val="24"/>
                <w:szCs w:val="24"/>
              </w:rPr>
              <w:t xml:space="preserve"> </w:t>
            </w:r>
            <w:r w:rsidRPr="00BB5BFC">
              <w:rPr>
                <w:sz w:val="24"/>
                <w:szCs w:val="24"/>
                <w:vertAlign w:val="superscript"/>
              </w:rPr>
              <w:t>3</w:t>
            </w:r>
          </w:p>
        </w:tc>
        <w:tc>
          <w:tcPr>
            <w:tcW w:w="1203" w:type="pct"/>
            <w:tcBorders>
              <w:top w:val="single" w:sz="4" w:space="0" w:color="auto"/>
              <w:left w:val="single" w:sz="4" w:space="0" w:color="auto"/>
              <w:bottom w:val="single" w:sz="4" w:space="0" w:color="auto"/>
              <w:right w:val="single" w:sz="4" w:space="0" w:color="auto"/>
            </w:tcBorders>
            <w:hideMark/>
          </w:tcPr>
          <w:p w14:paraId="46EF91A3" w14:textId="77777777" w:rsidR="000D4D1E" w:rsidRPr="00BB5BFC" w:rsidRDefault="000D4D1E">
            <w:pPr>
              <w:autoSpaceDE w:val="0"/>
              <w:autoSpaceDN w:val="0"/>
              <w:adjustRightInd w:val="0"/>
              <w:rPr>
                <w:sz w:val="24"/>
                <w:szCs w:val="24"/>
              </w:rPr>
            </w:pPr>
            <w:r w:rsidRPr="00BB5BFC">
              <w:rPr>
                <w:sz w:val="24"/>
                <w:szCs w:val="24"/>
              </w:rPr>
              <w:t>≤ 0.5 mg/l</w:t>
            </w:r>
          </w:p>
        </w:tc>
        <w:tc>
          <w:tcPr>
            <w:tcW w:w="1114" w:type="pct"/>
            <w:tcBorders>
              <w:top w:val="single" w:sz="4" w:space="0" w:color="auto"/>
              <w:left w:val="single" w:sz="4" w:space="0" w:color="auto"/>
              <w:bottom w:val="single" w:sz="4" w:space="0" w:color="auto"/>
              <w:right w:val="single" w:sz="4" w:space="0" w:color="auto"/>
            </w:tcBorders>
            <w:hideMark/>
          </w:tcPr>
          <w:p w14:paraId="6FB2ED9C" w14:textId="77777777" w:rsidR="000D4D1E" w:rsidRPr="00BB5BFC" w:rsidRDefault="000D4D1E">
            <w:pPr>
              <w:autoSpaceDE w:val="0"/>
              <w:autoSpaceDN w:val="0"/>
              <w:adjustRightInd w:val="0"/>
              <w:rPr>
                <w:sz w:val="24"/>
                <w:szCs w:val="24"/>
              </w:rPr>
            </w:pPr>
            <w:r w:rsidRPr="00BB5BFC">
              <w:rPr>
                <w:sz w:val="24"/>
                <w:szCs w:val="24"/>
              </w:rPr>
              <w:t>&gt; 0.5 mg/l</w:t>
            </w:r>
          </w:p>
        </w:tc>
      </w:tr>
      <w:tr w:rsidR="000D4D1E" w:rsidRPr="00BB5BFC" w14:paraId="4E7173C1"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784EEF44" w14:textId="77777777" w:rsidR="000D4D1E" w:rsidRPr="00BB5BFC" w:rsidRDefault="000D4D1E">
            <w:pPr>
              <w:autoSpaceDE w:val="0"/>
              <w:autoSpaceDN w:val="0"/>
              <w:adjustRightInd w:val="0"/>
              <w:rPr>
                <w:sz w:val="24"/>
                <w:szCs w:val="24"/>
              </w:rPr>
            </w:pPr>
            <w:proofErr w:type="spellStart"/>
            <w:r w:rsidRPr="00BB5BFC">
              <w:rPr>
                <w:sz w:val="24"/>
                <w:szCs w:val="24"/>
              </w:rPr>
              <w:t>Viridans</w:t>
            </w:r>
            <w:proofErr w:type="spellEnd"/>
            <w:r w:rsidRPr="00BB5BFC">
              <w:rPr>
                <w:sz w:val="24"/>
                <w:szCs w:val="24"/>
              </w:rPr>
              <w:t xml:space="preserve"> group streptococci</w:t>
            </w:r>
            <w:r w:rsidRPr="00BB5BFC">
              <w:rPr>
                <w:sz w:val="24"/>
                <w:szCs w:val="24"/>
                <w:vertAlign w:val="superscript"/>
              </w:rPr>
              <w:t>4</w:t>
            </w:r>
          </w:p>
        </w:tc>
        <w:tc>
          <w:tcPr>
            <w:tcW w:w="1203" w:type="pct"/>
            <w:tcBorders>
              <w:top w:val="single" w:sz="4" w:space="0" w:color="auto"/>
              <w:left w:val="single" w:sz="4" w:space="0" w:color="auto"/>
              <w:bottom w:val="single" w:sz="4" w:space="0" w:color="auto"/>
              <w:right w:val="single" w:sz="4" w:space="0" w:color="auto"/>
            </w:tcBorders>
            <w:hideMark/>
          </w:tcPr>
          <w:p w14:paraId="073DFE71" w14:textId="77777777" w:rsidR="000D4D1E" w:rsidRPr="00BB5BFC" w:rsidRDefault="000D4D1E">
            <w:pPr>
              <w:autoSpaceDE w:val="0"/>
              <w:autoSpaceDN w:val="0"/>
              <w:adjustRightInd w:val="0"/>
              <w:rPr>
                <w:sz w:val="24"/>
                <w:szCs w:val="24"/>
              </w:rPr>
            </w:pPr>
            <w:r w:rsidRPr="00BB5BFC">
              <w:rPr>
                <w:sz w:val="24"/>
                <w:szCs w:val="24"/>
              </w:rPr>
              <w:t>≤ 0.5 mg/l</w:t>
            </w:r>
          </w:p>
        </w:tc>
        <w:tc>
          <w:tcPr>
            <w:tcW w:w="1114" w:type="pct"/>
            <w:tcBorders>
              <w:top w:val="single" w:sz="4" w:space="0" w:color="auto"/>
              <w:left w:val="single" w:sz="4" w:space="0" w:color="auto"/>
              <w:bottom w:val="single" w:sz="4" w:space="0" w:color="auto"/>
              <w:right w:val="single" w:sz="4" w:space="0" w:color="auto"/>
            </w:tcBorders>
            <w:hideMark/>
          </w:tcPr>
          <w:p w14:paraId="7056D68B" w14:textId="77777777" w:rsidR="000D4D1E" w:rsidRPr="00BB5BFC" w:rsidRDefault="000D4D1E">
            <w:pPr>
              <w:autoSpaceDE w:val="0"/>
              <w:autoSpaceDN w:val="0"/>
              <w:adjustRightInd w:val="0"/>
              <w:rPr>
                <w:sz w:val="24"/>
                <w:szCs w:val="24"/>
              </w:rPr>
            </w:pPr>
            <w:r w:rsidRPr="00BB5BFC">
              <w:rPr>
                <w:sz w:val="24"/>
                <w:szCs w:val="24"/>
              </w:rPr>
              <w:t>&gt; 0.5 mg/l</w:t>
            </w:r>
          </w:p>
        </w:tc>
      </w:tr>
      <w:tr w:rsidR="000D4D1E" w:rsidRPr="00BB5BFC" w14:paraId="2A160496"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tcPr>
          <w:p w14:paraId="71728442" w14:textId="77777777" w:rsidR="000D4D1E" w:rsidRPr="00BB5BFC" w:rsidRDefault="000D4D1E">
            <w:pPr>
              <w:autoSpaceDE w:val="0"/>
              <w:autoSpaceDN w:val="0"/>
              <w:adjustRightInd w:val="0"/>
              <w:rPr>
                <w:sz w:val="24"/>
                <w:szCs w:val="24"/>
              </w:rPr>
            </w:pPr>
          </w:p>
        </w:tc>
        <w:tc>
          <w:tcPr>
            <w:tcW w:w="1203" w:type="pct"/>
            <w:tcBorders>
              <w:top w:val="single" w:sz="4" w:space="0" w:color="auto"/>
              <w:left w:val="single" w:sz="4" w:space="0" w:color="auto"/>
              <w:bottom w:val="single" w:sz="4" w:space="0" w:color="auto"/>
              <w:right w:val="single" w:sz="4" w:space="0" w:color="auto"/>
            </w:tcBorders>
          </w:tcPr>
          <w:p w14:paraId="5148CD50" w14:textId="77777777" w:rsidR="000D4D1E" w:rsidRPr="00BB5BFC" w:rsidRDefault="000D4D1E">
            <w:pPr>
              <w:autoSpaceDE w:val="0"/>
              <w:autoSpaceDN w:val="0"/>
              <w:adjustRightInd w:val="0"/>
              <w:rPr>
                <w:sz w:val="24"/>
                <w:szCs w:val="24"/>
              </w:rPr>
            </w:pPr>
          </w:p>
        </w:tc>
        <w:tc>
          <w:tcPr>
            <w:tcW w:w="1114" w:type="pct"/>
            <w:tcBorders>
              <w:top w:val="single" w:sz="4" w:space="0" w:color="auto"/>
              <w:left w:val="single" w:sz="4" w:space="0" w:color="auto"/>
              <w:bottom w:val="single" w:sz="4" w:space="0" w:color="auto"/>
              <w:right w:val="single" w:sz="4" w:space="0" w:color="auto"/>
            </w:tcBorders>
          </w:tcPr>
          <w:p w14:paraId="70F96148" w14:textId="77777777" w:rsidR="000D4D1E" w:rsidRPr="00BB5BFC" w:rsidRDefault="000D4D1E">
            <w:pPr>
              <w:autoSpaceDE w:val="0"/>
              <w:autoSpaceDN w:val="0"/>
              <w:adjustRightInd w:val="0"/>
              <w:rPr>
                <w:sz w:val="24"/>
                <w:szCs w:val="24"/>
              </w:rPr>
            </w:pPr>
          </w:p>
        </w:tc>
      </w:tr>
      <w:tr w:rsidR="000D4D1E" w:rsidRPr="00BB5BFC" w14:paraId="241FD4A3"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tcPr>
          <w:p w14:paraId="29BACB08" w14:textId="77777777" w:rsidR="000D4D1E" w:rsidRPr="00BB5BFC" w:rsidRDefault="000D4D1E">
            <w:pPr>
              <w:autoSpaceDE w:val="0"/>
              <w:autoSpaceDN w:val="0"/>
              <w:adjustRightInd w:val="0"/>
              <w:rPr>
                <w:sz w:val="24"/>
                <w:szCs w:val="24"/>
              </w:rPr>
            </w:pPr>
          </w:p>
        </w:tc>
        <w:tc>
          <w:tcPr>
            <w:tcW w:w="1203" w:type="pct"/>
            <w:tcBorders>
              <w:top w:val="single" w:sz="4" w:space="0" w:color="auto"/>
              <w:left w:val="single" w:sz="4" w:space="0" w:color="auto"/>
              <w:bottom w:val="single" w:sz="4" w:space="0" w:color="auto"/>
              <w:right w:val="single" w:sz="4" w:space="0" w:color="auto"/>
            </w:tcBorders>
          </w:tcPr>
          <w:p w14:paraId="7E0BB1E4" w14:textId="77777777" w:rsidR="000D4D1E" w:rsidRPr="00BB5BFC" w:rsidRDefault="000D4D1E">
            <w:pPr>
              <w:autoSpaceDE w:val="0"/>
              <w:autoSpaceDN w:val="0"/>
              <w:adjustRightInd w:val="0"/>
              <w:rPr>
                <w:sz w:val="24"/>
                <w:szCs w:val="24"/>
              </w:rPr>
            </w:pPr>
          </w:p>
        </w:tc>
        <w:tc>
          <w:tcPr>
            <w:tcW w:w="1114" w:type="pct"/>
            <w:tcBorders>
              <w:top w:val="single" w:sz="4" w:space="0" w:color="auto"/>
              <w:left w:val="single" w:sz="4" w:space="0" w:color="auto"/>
              <w:bottom w:val="single" w:sz="4" w:space="0" w:color="auto"/>
              <w:right w:val="single" w:sz="4" w:space="0" w:color="auto"/>
            </w:tcBorders>
          </w:tcPr>
          <w:p w14:paraId="21B47CAE" w14:textId="77777777" w:rsidR="000D4D1E" w:rsidRPr="00BB5BFC" w:rsidRDefault="000D4D1E">
            <w:pPr>
              <w:autoSpaceDE w:val="0"/>
              <w:autoSpaceDN w:val="0"/>
              <w:adjustRightInd w:val="0"/>
              <w:rPr>
                <w:sz w:val="24"/>
                <w:szCs w:val="24"/>
              </w:rPr>
            </w:pPr>
          </w:p>
        </w:tc>
      </w:tr>
      <w:tr w:rsidR="000D4D1E" w:rsidRPr="00BB5BFC" w14:paraId="466CDFDA"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742D383E" w14:textId="77777777" w:rsidR="000D4D1E" w:rsidRPr="00BB5BFC" w:rsidRDefault="000D4D1E">
            <w:pPr>
              <w:autoSpaceDE w:val="0"/>
              <w:autoSpaceDN w:val="0"/>
              <w:adjustRightInd w:val="0"/>
              <w:rPr>
                <w:sz w:val="24"/>
                <w:szCs w:val="24"/>
              </w:rPr>
            </w:pPr>
            <w:r w:rsidRPr="00BB5BFC">
              <w:rPr>
                <w:i/>
                <w:sz w:val="24"/>
                <w:szCs w:val="24"/>
              </w:rPr>
              <w:t xml:space="preserve">Bacteroides </w:t>
            </w:r>
            <w:r w:rsidRPr="00BB5BFC">
              <w:rPr>
                <w:sz w:val="24"/>
                <w:szCs w:val="24"/>
              </w:rPr>
              <w:t>spp.</w:t>
            </w:r>
          </w:p>
        </w:tc>
        <w:tc>
          <w:tcPr>
            <w:tcW w:w="1203" w:type="pct"/>
            <w:tcBorders>
              <w:top w:val="single" w:sz="4" w:space="0" w:color="auto"/>
              <w:left w:val="single" w:sz="4" w:space="0" w:color="auto"/>
              <w:bottom w:val="single" w:sz="4" w:space="0" w:color="auto"/>
              <w:right w:val="single" w:sz="4" w:space="0" w:color="auto"/>
            </w:tcBorders>
            <w:hideMark/>
          </w:tcPr>
          <w:p w14:paraId="05D3AA39" w14:textId="77777777" w:rsidR="000D4D1E" w:rsidRPr="00BB5BFC" w:rsidRDefault="000D4D1E">
            <w:pPr>
              <w:autoSpaceDE w:val="0"/>
              <w:autoSpaceDN w:val="0"/>
              <w:adjustRightInd w:val="0"/>
              <w:rPr>
                <w:sz w:val="24"/>
                <w:szCs w:val="24"/>
              </w:rPr>
            </w:pPr>
            <w:r w:rsidRPr="00BB5BFC">
              <w:rPr>
                <w:sz w:val="24"/>
                <w:szCs w:val="24"/>
              </w:rPr>
              <w:t>(≤ 4 mg/l)</w:t>
            </w:r>
          </w:p>
        </w:tc>
        <w:tc>
          <w:tcPr>
            <w:tcW w:w="1114" w:type="pct"/>
            <w:tcBorders>
              <w:top w:val="single" w:sz="4" w:space="0" w:color="auto"/>
              <w:left w:val="single" w:sz="4" w:space="0" w:color="auto"/>
              <w:bottom w:val="single" w:sz="4" w:space="0" w:color="auto"/>
              <w:right w:val="single" w:sz="4" w:space="0" w:color="auto"/>
            </w:tcBorders>
            <w:hideMark/>
          </w:tcPr>
          <w:p w14:paraId="2435FE63" w14:textId="77777777" w:rsidR="000D4D1E" w:rsidRPr="00BB5BFC" w:rsidRDefault="000D4D1E">
            <w:pPr>
              <w:autoSpaceDE w:val="0"/>
              <w:autoSpaceDN w:val="0"/>
              <w:adjustRightInd w:val="0"/>
              <w:rPr>
                <w:sz w:val="24"/>
                <w:szCs w:val="24"/>
              </w:rPr>
            </w:pPr>
            <w:r w:rsidRPr="00BB5BFC">
              <w:rPr>
                <w:sz w:val="24"/>
                <w:szCs w:val="24"/>
              </w:rPr>
              <w:t>(&gt; 4 mg/l)</w:t>
            </w:r>
          </w:p>
        </w:tc>
      </w:tr>
      <w:tr w:rsidR="000D4D1E" w:rsidRPr="00BB5BFC" w14:paraId="50D85EC3"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59D47766" w14:textId="77777777" w:rsidR="000D4D1E" w:rsidRPr="00BB5BFC" w:rsidRDefault="000D4D1E">
            <w:pPr>
              <w:autoSpaceDE w:val="0"/>
              <w:autoSpaceDN w:val="0"/>
              <w:adjustRightInd w:val="0"/>
              <w:rPr>
                <w:sz w:val="24"/>
                <w:szCs w:val="24"/>
              </w:rPr>
            </w:pPr>
            <w:proofErr w:type="spellStart"/>
            <w:r w:rsidRPr="00BB5BFC">
              <w:rPr>
                <w:i/>
                <w:sz w:val="24"/>
                <w:szCs w:val="24"/>
              </w:rPr>
              <w:t>Prevotella</w:t>
            </w:r>
            <w:proofErr w:type="spellEnd"/>
            <w:r w:rsidRPr="00BB5BFC">
              <w:rPr>
                <w:i/>
                <w:sz w:val="24"/>
                <w:szCs w:val="24"/>
              </w:rPr>
              <w:t xml:space="preserve"> </w:t>
            </w:r>
            <w:r w:rsidRPr="00BB5BFC">
              <w:rPr>
                <w:sz w:val="24"/>
                <w:szCs w:val="24"/>
              </w:rPr>
              <w:t>spp.</w:t>
            </w:r>
          </w:p>
        </w:tc>
        <w:tc>
          <w:tcPr>
            <w:tcW w:w="1203" w:type="pct"/>
            <w:tcBorders>
              <w:top w:val="single" w:sz="4" w:space="0" w:color="auto"/>
              <w:left w:val="single" w:sz="4" w:space="0" w:color="auto"/>
              <w:bottom w:val="single" w:sz="4" w:space="0" w:color="auto"/>
              <w:right w:val="single" w:sz="4" w:space="0" w:color="auto"/>
            </w:tcBorders>
            <w:hideMark/>
          </w:tcPr>
          <w:p w14:paraId="46F56FA7" w14:textId="77777777" w:rsidR="000D4D1E" w:rsidRPr="00BB5BFC" w:rsidRDefault="000D4D1E">
            <w:pPr>
              <w:autoSpaceDE w:val="0"/>
              <w:autoSpaceDN w:val="0"/>
              <w:adjustRightInd w:val="0"/>
              <w:rPr>
                <w:sz w:val="24"/>
                <w:szCs w:val="24"/>
              </w:rPr>
            </w:pPr>
            <w:r w:rsidRPr="00BB5BFC">
              <w:rPr>
                <w:sz w:val="24"/>
                <w:szCs w:val="24"/>
              </w:rPr>
              <w:t>≤ 0.25 mg/l</w:t>
            </w:r>
          </w:p>
        </w:tc>
        <w:tc>
          <w:tcPr>
            <w:tcW w:w="1114" w:type="pct"/>
            <w:tcBorders>
              <w:top w:val="single" w:sz="4" w:space="0" w:color="auto"/>
              <w:left w:val="single" w:sz="4" w:space="0" w:color="auto"/>
              <w:bottom w:val="single" w:sz="4" w:space="0" w:color="auto"/>
              <w:right w:val="single" w:sz="4" w:space="0" w:color="auto"/>
            </w:tcBorders>
            <w:hideMark/>
          </w:tcPr>
          <w:p w14:paraId="50C92D36" w14:textId="77777777" w:rsidR="000D4D1E" w:rsidRPr="00BB5BFC" w:rsidRDefault="000D4D1E">
            <w:pPr>
              <w:autoSpaceDE w:val="0"/>
              <w:autoSpaceDN w:val="0"/>
              <w:adjustRightInd w:val="0"/>
              <w:rPr>
                <w:sz w:val="24"/>
                <w:szCs w:val="24"/>
              </w:rPr>
            </w:pPr>
            <w:r w:rsidRPr="00BB5BFC">
              <w:rPr>
                <w:sz w:val="24"/>
                <w:szCs w:val="24"/>
              </w:rPr>
              <w:t>&gt; 0.25 mg/l</w:t>
            </w:r>
          </w:p>
        </w:tc>
      </w:tr>
      <w:tr w:rsidR="000D4D1E" w:rsidRPr="00BB5BFC" w14:paraId="2C422837"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17B83922" w14:textId="77777777" w:rsidR="000D4D1E" w:rsidRPr="00BB5BFC" w:rsidRDefault="000D4D1E">
            <w:pPr>
              <w:autoSpaceDE w:val="0"/>
              <w:autoSpaceDN w:val="0"/>
              <w:adjustRightInd w:val="0"/>
              <w:rPr>
                <w:i/>
                <w:sz w:val="24"/>
                <w:szCs w:val="24"/>
              </w:rPr>
            </w:pPr>
            <w:r w:rsidRPr="00BB5BFC">
              <w:rPr>
                <w:i/>
                <w:sz w:val="24"/>
                <w:szCs w:val="24"/>
              </w:rPr>
              <w:t xml:space="preserve">Fusobacterium </w:t>
            </w:r>
            <w:proofErr w:type="spellStart"/>
            <w:r w:rsidRPr="00BB5BFC">
              <w:rPr>
                <w:i/>
                <w:sz w:val="24"/>
                <w:szCs w:val="24"/>
              </w:rPr>
              <w:t>necrophorum</w:t>
            </w:r>
            <w:proofErr w:type="spellEnd"/>
          </w:p>
        </w:tc>
        <w:tc>
          <w:tcPr>
            <w:tcW w:w="1203" w:type="pct"/>
            <w:tcBorders>
              <w:top w:val="single" w:sz="4" w:space="0" w:color="auto"/>
              <w:left w:val="single" w:sz="4" w:space="0" w:color="auto"/>
              <w:bottom w:val="single" w:sz="4" w:space="0" w:color="auto"/>
              <w:right w:val="single" w:sz="4" w:space="0" w:color="auto"/>
            </w:tcBorders>
            <w:hideMark/>
          </w:tcPr>
          <w:p w14:paraId="11747C1C" w14:textId="77777777" w:rsidR="000D4D1E" w:rsidRPr="00BB5BFC" w:rsidRDefault="000D4D1E">
            <w:pPr>
              <w:autoSpaceDE w:val="0"/>
              <w:autoSpaceDN w:val="0"/>
              <w:adjustRightInd w:val="0"/>
              <w:rPr>
                <w:sz w:val="24"/>
                <w:szCs w:val="24"/>
              </w:rPr>
            </w:pPr>
            <w:r w:rsidRPr="00BB5BFC">
              <w:rPr>
                <w:sz w:val="24"/>
                <w:szCs w:val="24"/>
              </w:rPr>
              <w:t>≤ 0.25 mg/l</w:t>
            </w:r>
          </w:p>
        </w:tc>
        <w:tc>
          <w:tcPr>
            <w:tcW w:w="1114" w:type="pct"/>
            <w:tcBorders>
              <w:top w:val="single" w:sz="4" w:space="0" w:color="auto"/>
              <w:left w:val="single" w:sz="4" w:space="0" w:color="auto"/>
              <w:bottom w:val="single" w:sz="4" w:space="0" w:color="auto"/>
              <w:right w:val="single" w:sz="4" w:space="0" w:color="auto"/>
            </w:tcBorders>
            <w:hideMark/>
          </w:tcPr>
          <w:p w14:paraId="3CC9FED6" w14:textId="77777777" w:rsidR="000D4D1E" w:rsidRPr="00BB5BFC" w:rsidRDefault="000D4D1E">
            <w:pPr>
              <w:autoSpaceDE w:val="0"/>
              <w:autoSpaceDN w:val="0"/>
              <w:adjustRightInd w:val="0"/>
              <w:rPr>
                <w:sz w:val="24"/>
                <w:szCs w:val="24"/>
              </w:rPr>
            </w:pPr>
            <w:r w:rsidRPr="00BB5BFC">
              <w:rPr>
                <w:sz w:val="24"/>
                <w:szCs w:val="24"/>
              </w:rPr>
              <w:t>&gt; 0.25 mg/l</w:t>
            </w:r>
          </w:p>
        </w:tc>
      </w:tr>
      <w:tr w:rsidR="000D4D1E" w:rsidRPr="00BB5BFC" w14:paraId="1CE89EB8"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010DA2F8" w14:textId="77777777" w:rsidR="000D4D1E" w:rsidRPr="00BB5BFC" w:rsidRDefault="000D4D1E">
            <w:pPr>
              <w:autoSpaceDE w:val="0"/>
              <w:autoSpaceDN w:val="0"/>
              <w:adjustRightInd w:val="0"/>
              <w:rPr>
                <w:i/>
                <w:sz w:val="24"/>
                <w:szCs w:val="24"/>
              </w:rPr>
            </w:pPr>
            <w:r w:rsidRPr="00BB5BFC">
              <w:rPr>
                <w:i/>
                <w:sz w:val="24"/>
                <w:szCs w:val="24"/>
              </w:rPr>
              <w:t>Clostridium perfringens</w:t>
            </w:r>
          </w:p>
        </w:tc>
        <w:tc>
          <w:tcPr>
            <w:tcW w:w="1203" w:type="pct"/>
            <w:tcBorders>
              <w:top w:val="single" w:sz="4" w:space="0" w:color="auto"/>
              <w:left w:val="single" w:sz="4" w:space="0" w:color="auto"/>
              <w:bottom w:val="single" w:sz="4" w:space="0" w:color="auto"/>
              <w:right w:val="single" w:sz="4" w:space="0" w:color="auto"/>
            </w:tcBorders>
            <w:hideMark/>
          </w:tcPr>
          <w:p w14:paraId="0331C789" w14:textId="77777777" w:rsidR="000D4D1E" w:rsidRPr="00BB5BFC" w:rsidRDefault="000D4D1E">
            <w:pPr>
              <w:autoSpaceDE w:val="0"/>
              <w:autoSpaceDN w:val="0"/>
              <w:adjustRightInd w:val="0"/>
              <w:rPr>
                <w:sz w:val="24"/>
                <w:szCs w:val="24"/>
              </w:rPr>
            </w:pPr>
            <w:r w:rsidRPr="00BB5BFC">
              <w:rPr>
                <w:sz w:val="24"/>
                <w:szCs w:val="24"/>
              </w:rPr>
              <w:t>≤ 0.25 mg/l</w:t>
            </w:r>
          </w:p>
        </w:tc>
        <w:tc>
          <w:tcPr>
            <w:tcW w:w="1114" w:type="pct"/>
            <w:tcBorders>
              <w:top w:val="single" w:sz="4" w:space="0" w:color="auto"/>
              <w:left w:val="single" w:sz="4" w:space="0" w:color="auto"/>
              <w:bottom w:val="single" w:sz="4" w:space="0" w:color="auto"/>
              <w:right w:val="single" w:sz="4" w:space="0" w:color="auto"/>
            </w:tcBorders>
            <w:hideMark/>
          </w:tcPr>
          <w:p w14:paraId="27C0722B" w14:textId="77777777" w:rsidR="000D4D1E" w:rsidRPr="00BB5BFC" w:rsidRDefault="000D4D1E">
            <w:pPr>
              <w:autoSpaceDE w:val="0"/>
              <w:autoSpaceDN w:val="0"/>
              <w:adjustRightInd w:val="0"/>
              <w:rPr>
                <w:sz w:val="24"/>
                <w:szCs w:val="24"/>
              </w:rPr>
            </w:pPr>
            <w:r w:rsidRPr="00BB5BFC">
              <w:rPr>
                <w:sz w:val="24"/>
                <w:szCs w:val="24"/>
              </w:rPr>
              <w:t>&gt; 0.25 mg/l</w:t>
            </w:r>
          </w:p>
        </w:tc>
      </w:tr>
      <w:tr w:rsidR="000D4D1E" w:rsidRPr="00BB5BFC" w14:paraId="04DF6B43"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231DC1CA" w14:textId="77777777" w:rsidR="000D4D1E" w:rsidRPr="00BB5BFC" w:rsidRDefault="000D4D1E">
            <w:pPr>
              <w:autoSpaceDE w:val="0"/>
              <w:autoSpaceDN w:val="0"/>
              <w:adjustRightInd w:val="0"/>
              <w:rPr>
                <w:i/>
                <w:sz w:val="24"/>
                <w:szCs w:val="24"/>
              </w:rPr>
            </w:pPr>
            <w:proofErr w:type="spellStart"/>
            <w:r w:rsidRPr="00BB5BFC">
              <w:rPr>
                <w:i/>
                <w:sz w:val="24"/>
                <w:szCs w:val="24"/>
              </w:rPr>
              <w:t>Cutibacterium</w:t>
            </w:r>
            <w:proofErr w:type="spellEnd"/>
            <w:r w:rsidRPr="00BB5BFC">
              <w:rPr>
                <w:i/>
                <w:sz w:val="24"/>
                <w:szCs w:val="24"/>
              </w:rPr>
              <w:t xml:space="preserve"> acnes</w:t>
            </w:r>
          </w:p>
        </w:tc>
        <w:tc>
          <w:tcPr>
            <w:tcW w:w="1203" w:type="pct"/>
            <w:tcBorders>
              <w:top w:val="single" w:sz="4" w:space="0" w:color="auto"/>
              <w:left w:val="single" w:sz="4" w:space="0" w:color="auto"/>
              <w:bottom w:val="single" w:sz="4" w:space="0" w:color="auto"/>
              <w:right w:val="single" w:sz="4" w:space="0" w:color="auto"/>
            </w:tcBorders>
            <w:hideMark/>
          </w:tcPr>
          <w:p w14:paraId="47A02269" w14:textId="77777777" w:rsidR="000D4D1E" w:rsidRPr="00BB5BFC" w:rsidRDefault="000D4D1E">
            <w:pPr>
              <w:autoSpaceDE w:val="0"/>
              <w:autoSpaceDN w:val="0"/>
              <w:adjustRightInd w:val="0"/>
              <w:rPr>
                <w:sz w:val="24"/>
                <w:szCs w:val="24"/>
              </w:rPr>
            </w:pPr>
            <w:r w:rsidRPr="00BB5BFC">
              <w:rPr>
                <w:sz w:val="24"/>
                <w:szCs w:val="24"/>
              </w:rPr>
              <w:t>≤ 0.25 mg/l</w:t>
            </w:r>
          </w:p>
        </w:tc>
        <w:tc>
          <w:tcPr>
            <w:tcW w:w="1114" w:type="pct"/>
            <w:tcBorders>
              <w:top w:val="single" w:sz="4" w:space="0" w:color="auto"/>
              <w:left w:val="single" w:sz="4" w:space="0" w:color="auto"/>
              <w:bottom w:val="single" w:sz="4" w:space="0" w:color="auto"/>
              <w:right w:val="single" w:sz="4" w:space="0" w:color="auto"/>
            </w:tcBorders>
            <w:hideMark/>
          </w:tcPr>
          <w:p w14:paraId="6554E4EE" w14:textId="77777777" w:rsidR="000D4D1E" w:rsidRPr="00BB5BFC" w:rsidRDefault="000D4D1E">
            <w:pPr>
              <w:autoSpaceDE w:val="0"/>
              <w:autoSpaceDN w:val="0"/>
              <w:adjustRightInd w:val="0"/>
              <w:rPr>
                <w:sz w:val="24"/>
                <w:szCs w:val="24"/>
              </w:rPr>
            </w:pPr>
            <w:r w:rsidRPr="00BB5BFC">
              <w:rPr>
                <w:sz w:val="24"/>
                <w:szCs w:val="24"/>
              </w:rPr>
              <w:t>&gt; 0.25 mg/l</w:t>
            </w:r>
          </w:p>
        </w:tc>
      </w:tr>
      <w:tr w:rsidR="000D4D1E" w:rsidRPr="00BB5BFC" w14:paraId="6C4738FD" w14:textId="77777777" w:rsidTr="00BB5BFC">
        <w:trPr>
          <w:trHeight w:val="251"/>
          <w:jc w:val="center"/>
        </w:trPr>
        <w:tc>
          <w:tcPr>
            <w:tcW w:w="2682" w:type="pct"/>
            <w:tcBorders>
              <w:top w:val="single" w:sz="4" w:space="0" w:color="auto"/>
              <w:left w:val="single" w:sz="4" w:space="0" w:color="auto"/>
              <w:bottom w:val="single" w:sz="4" w:space="0" w:color="auto"/>
              <w:right w:val="single" w:sz="4" w:space="0" w:color="auto"/>
            </w:tcBorders>
            <w:hideMark/>
          </w:tcPr>
          <w:p w14:paraId="0A2292EE" w14:textId="77777777" w:rsidR="000D4D1E" w:rsidRPr="00BB5BFC" w:rsidRDefault="000D4D1E">
            <w:pPr>
              <w:autoSpaceDE w:val="0"/>
              <w:autoSpaceDN w:val="0"/>
              <w:adjustRightInd w:val="0"/>
              <w:rPr>
                <w:sz w:val="24"/>
                <w:szCs w:val="24"/>
              </w:rPr>
            </w:pPr>
            <w:r w:rsidRPr="00BB5BFC">
              <w:rPr>
                <w:i/>
                <w:sz w:val="24"/>
                <w:szCs w:val="24"/>
              </w:rPr>
              <w:t xml:space="preserve">Corynebacterium </w:t>
            </w:r>
            <w:r w:rsidRPr="00BB5BFC">
              <w:rPr>
                <w:sz w:val="24"/>
                <w:szCs w:val="24"/>
              </w:rPr>
              <w:t>spp.</w:t>
            </w:r>
            <w:r w:rsidRPr="00BB5BFC">
              <w:rPr>
                <w:sz w:val="24"/>
                <w:szCs w:val="24"/>
                <w:vertAlign w:val="superscript"/>
              </w:rPr>
              <w:t>5</w:t>
            </w:r>
          </w:p>
        </w:tc>
        <w:tc>
          <w:tcPr>
            <w:tcW w:w="1203" w:type="pct"/>
            <w:tcBorders>
              <w:top w:val="single" w:sz="4" w:space="0" w:color="auto"/>
              <w:left w:val="single" w:sz="4" w:space="0" w:color="auto"/>
              <w:bottom w:val="single" w:sz="4" w:space="0" w:color="auto"/>
              <w:right w:val="single" w:sz="4" w:space="0" w:color="auto"/>
            </w:tcBorders>
            <w:hideMark/>
          </w:tcPr>
          <w:p w14:paraId="6B6B60AB" w14:textId="77777777" w:rsidR="000D4D1E" w:rsidRPr="00BB5BFC" w:rsidRDefault="000D4D1E">
            <w:pPr>
              <w:autoSpaceDE w:val="0"/>
              <w:autoSpaceDN w:val="0"/>
              <w:adjustRightInd w:val="0"/>
              <w:rPr>
                <w:sz w:val="24"/>
                <w:szCs w:val="24"/>
              </w:rPr>
            </w:pPr>
            <w:r w:rsidRPr="00BB5BFC">
              <w:rPr>
                <w:sz w:val="24"/>
                <w:szCs w:val="24"/>
              </w:rPr>
              <w:t>≤ 0.5 mg/l</w:t>
            </w:r>
          </w:p>
        </w:tc>
        <w:tc>
          <w:tcPr>
            <w:tcW w:w="1114" w:type="pct"/>
            <w:tcBorders>
              <w:top w:val="single" w:sz="4" w:space="0" w:color="auto"/>
              <w:left w:val="single" w:sz="4" w:space="0" w:color="auto"/>
              <w:bottom w:val="single" w:sz="4" w:space="0" w:color="auto"/>
              <w:right w:val="single" w:sz="4" w:space="0" w:color="auto"/>
            </w:tcBorders>
            <w:hideMark/>
          </w:tcPr>
          <w:p w14:paraId="11686068" w14:textId="77777777" w:rsidR="000D4D1E" w:rsidRPr="00BB5BFC" w:rsidRDefault="000D4D1E">
            <w:pPr>
              <w:autoSpaceDE w:val="0"/>
              <w:autoSpaceDN w:val="0"/>
              <w:adjustRightInd w:val="0"/>
              <w:rPr>
                <w:sz w:val="24"/>
                <w:szCs w:val="24"/>
              </w:rPr>
            </w:pPr>
            <w:r w:rsidRPr="00BB5BFC">
              <w:rPr>
                <w:sz w:val="24"/>
                <w:szCs w:val="24"/>
              </w:rPr>
              <w:t>&gt; 0.5 mg/l</w:t>
            </w:r>
          </w:p>
        </w:tc>
      </w:tr>
      <w:tr w:rsidR="000D4D1E" w:rsidRPr="00433E36" w14:paraId="6B2823E8" w14:textId="77777777" w:rsidTr="00BB5BFC">
        <w:trPr>
          <w:trHeight w:val="251"/>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3623F7E" w14:textId="285F5436" w:rsidR="000D4D1E" w:rsidRPr="00081C6D" w:rsidRDefault="000D4D1E" w:rsidP="00081C6D">
            <w:pPr>
              <w:pStyle w:val="Listeafsnit"/>
              <w:numPr>
                <w:ilvl w:val="0"/>
                <w:numId w:val="12"/>
              </w:numPr>
              <w:tabs>
                <w:tab w:val="left" w:pos="316"/>
              </w:tabs>
              <w:autoSpaceDE w:val="0"/>
              <w:autoSpaceDN w:val="0"/>
              <w:adjustRightInd w:val="0"/>
              <w:ind w:left="316" w:hanging="284"/>
              <w:rPr>
                <w:sz w:val="24"/>
                <w:szCs w:val="24"/>
                <w:lang w:eastAsia="en-GB"/>
              </w:rPr>
            </w:pPr>
            <w:r w:rsidRPr="00081C6D">
              <w:rPr>
                <w:sz w:val="24"/>
                <w:szCs w:val="24"/>
                <w:lang w:eastAsia="en-GB"/>
              </w:rPr>
              <w:t>Inducible clindamycin resistance can be detected by antagonism of clindamycin activity by a macrolide agent. If not detected, then report as susceptible. If detected, then report as resistant and consider adding this comment to the report: "Clindamycin may still be used for short-term therapy of less serious skin and soft tissue infections as constitutive resistance is unlikely to develop during such therapy".</w:t>
            </w:r>
          </w:p>
          <w:p w14:paraId="6B2A88BB" w14:textId="0AA41FF5" w:rsidR="000D4D1E" w:rsidRPr="00081C6D" w:rsidRDefault="000D4D1E" w:rsidP="00081C6D">
            <w:pPr>
              <w:pStyle w:val="Listeafsnit"/>
              <w:numPr>
                <w:ilvl w:val="0"/>
                <w:numId w:val="12"/>
              </w:numPr>
              <w:tabs>
                <w:tab w:val="left" w:pos="316"/>
              </w:tabs>
              <w:autoSpaceDE w:val="0"/>
              <w:autoSpaceDN w:val="0"/>
              <w:adjustRightInd w:val="0"/>
              <w:ind w:left="316" w:hanging="284"/>
              <w:rPr>
                <w:sz w:val="24"/>
                <w:szCs w:val="24"/>
                <w:lang w:eastAsia="en-GB"/>
              </w:rPr>
            </w:pPr>
            <w:r w:rsidRPr="00081C6D">
              <w:rPr>
                <w:sz w:val="24"/>
                <w:szCs w:val="24"/>
                <w:lang w:eastAsia="en-GB"/>
              </w:rPr>
              <w:t>The clinical importance of inducible clindamycin resistance in combination treatment of severe S. pyogenes infections is not known.</w:t>
            </w:r>
          </w:p>
          <w:p w14:paraId="59CC6478" w14:textId="556AAED4" w:rsidR="000D4D1E" w:rsidRPr="00081C6D" w:rsidRDefault="000D4D1E" w:rsidP="00081C6D">
            <w:pPr>
              <w:pStyle w:val="Listeafsnit"/>
              <w:numPr>
                <w:ilvl w:val="0"/>
                <w:numId w:val="12"/>
              </w:numPr>
              <w:tabs>
                <w:tab w:val="left" w:pos="316"/>
              </w:tabs>
              <w:autoSpaceDE w:val="0"/>
              <w:autoSpaceDN w:val="0"/>
              <w:adjustRightInd w:val="0"/>
              <w:ind w:left="316" w:hanging="284"/>
              <w:rPr>
                <w:sz w:val="24"/>
                <w:szCs w:val="24"/>
                <w:lang w:eastAsia="en-GB"/>
              </w:rPr>
            </w:pPr>
            <w:r w:rsidRPr="00081C6D">
              <w:rPr>
                <w:sz w:val="24"/>
                <w:szCs w:val="24"/>
                <w:lang w:eastAsia="en-GB"/>
              </w:rPr>
              <w:t>Inducible clindamycin resistance can be detected by antagonism of clindamycin activity by a macrolide agent. If not detected, then report as susceptible. If detected, then report as resistant.</w:t>
            </w:r>
          </w:p>
          <w:p w14:paraId="11373739" w14:textId="3F63037B" w:rsidR="000D4D1E" w:rsidRPr="00081C6D" w:rsidRDefault="000D4D1E" w:rsidP="00081C6D">
            <w:pPr>
              <w:pStyle w:val="Listeafsnit"/>
              <w:numPr>
                <w:ilvl w:val="0"/>
                <w:numId w:val="12"/>
              </w:numPr>
              <w:tabs>
                <w:tab w:val="left" w:pos="316"/>
              </w:tabs>
              <w:autoSpaceDE w:val="0"/>
              <w:autoSpaceDN w:val="0"/>
              <w:adjustRightInd w:val="0"/>
              <w:ind w:left="316" w:hanging="284"/>
              <w:rPr>
                <w:sz w:val="24"/>
                <w:szCs w:val="24"/>
                <w:lang w:eastAsia="en-GB"/>
              </w:rPr>
            </w:pPr>
            <w:r w:rsidRPr="00081C6D">
              <w:rPr>
                <w:sz w:val="24"/>
                <w:szCs w:val="24"/>
                <w:lang w:eastAsia="en-GB"/>
              </w:rPr>
              <w:t>Inducible clindamycin resistance can be detected by antagonism of clindamycin activity by a macrolide agent. If not detected, then report as tested according to the clinical breakpoints. If detected, then report as resistant.</w:t>
            </w:r>
          </w:p>
          <w:p w14:paraId="0E4E4134" w14:textId="05745D7C" w:rsidR="000D4D1E" w:rsidRPr="00081C6D" w:rsidRDefault="000D4D1E" w:rsidP="00081C6D">
            <w:pPr>
              <w:pStyle w:val="Listeafsnit"/>
              <w:numPr>
                <w:ilvl w:val="0"/>
                <w:numId w:val="12"/>
              </w:numPr>
              <w:tabs>
                <w:tab w:val="left" w:pos="316"/>
              </w:tabs>
              <w:autoSpaceDE w:val="0"/>
              <w:autoSpaceDN w:val="0"/>
              <w:adjustRightInd w:val="0"/>
              <w:ind w:left="316" w:hanging="284"/>
              <w:rPr>
                <w:sz w:val="24"/>
                <w:szCs w:val="24"/>
                <w:lang w:eastAsia="en-GB"/>
              </w:rPr>
            </w:pPr>
            <w:r w:rsidRPr="00081C6D">
              <w:rPr>
                <w:sz w:val="24"/>
                <w:szCs w:val="24"/>
                <w:lang w:eastAsia="en-GB"/>
              </w:rPr>
              <w:t xml:space="preserve">Inducible clindamycin resistance may occur in </w:t>
            </w:r>
            <w:proofErr w:type="spellStart"/>
            <w:r w:rsidRPr="00081C6D">
              <w:rPr>
                <w:sz w:val="24"/>
                <w:szCs w:val="24"/>
                <w:lang w:eastAsia="en-GB"/>
              </w:rPr>
              <w:t>Corynebacteria</w:t>
            </w:r>
            <w:proofErr w:type="spellEnd"/>
            <w:r w:rsidRPr="00081C6D">
              <w:rPr>
                <w:sz w:val="24"/>
                <w:szCs w:val="24"/>
                <w:lang w:eastAsia="en-GB"/>
              </w:rPr>
              <w:t>. This can be detected by antagonism of clindamycin activity by a macrolide agent. The clinical significance is unknown. There is currently no recommendation for testing.</w:t>
            </w:r>
          </w:p>
        </w:tc>
      </w:tr>
    </w:tbl>
    <w:p w14:paraId="7DF66813" w14:textId="77777777" w:rsidR="000D4D1E" w:rsidRPr="00BB5BFC" w:rsidRDefault="000D4D1E" w:rsidP="000D4D1E">
      <w:pPr>
        <w:autoSpaceDE w:val="0"/>
        <w:autoSpaceDN w:val="0"/>
        <w:adjustRightInd w:val="0"/>
        <w:rPr>
          <w:sz w:val="24"/>
          <w:szCs w:val="24"/>
          <w:lang w:val="en-GB" w:eastAsia="en-US"/>
        </w:rPr>
      </w:pPr>
    </w:p>
    <w:p w14:paraId="71039736" w14:textId="77777777" w:rsidR="000D4D1E" w:rsidRPr="004F3E05" w:rsidRDefault="000D4D1E" w:rsidP="00BB5BFC">
      <w:pPr>
        <w:ind w:left="851"/>
        <w:rPr>
          <w:sz w:val="24"/>
          <w:szCs w:val="24"/>
          <w:u w:val="single"/>
          <w:lang w:val="en-US"/>
        </w:rPr>
      </w:pPr>
      <w:r w:rsidRPr="004F3E05">
        <w:rPr>
          <w:sz w:val="24"/>
          <w:szCs w:val="24"/>
          <w:u w:val="single"/>
          <w:lang w:val="en-US"/>
        </w:rPr>
        <w:t>Prevalence of acquired resistance</w:t>
      </w:r>
    </w:p>
    <w:p w14:paraId="31CCEBA1" w14:textId="77777777" w:rsidR="000D4D1E" w:rsidRPr="00BB5BFC" w:rsidRDefault="000D4D1E" w:rsidP="00BB5BFC">
      <w:pPr>
        <w:ind w:left="851"/>
        <w:rPr>
          <w:sz w:val="24"/>
          <w:szCs w:val="24"/>
          <w:lang w:val="en-US"/>
        </w:rPr>
      </w:pPr>
      <w:r w:rsidRPr="00BB5BFC">
        <w:rPr>
          <w:sz w:val="24"/>
          <w:szCs w:val="24"/>
          <w:lang w:val="en-US"/>
        </w:rPr>
        <w:t>The prevalence of acquired resistance may vary geographically and with time for selected species and local information on resistance is desirable, particularly when treating severe infections. As necessary, expert advice should be sought when the local prevalence of resistance is such that the utility of the agent in at least some types of infections is questionable. Particularly in severe infections or therapy failure microbiological diagnosis with verification of the pathogen and its susceptibility to clindamycin is recommended.</w:t>
      </w:r>
    </w:p>
    <w:p w14:paraId="1D784074" w14:textId="77777777" w:rsidR="000D4D1E" w:rsidRPr="00BB5BFC" w:rsidRDefault="000D4D1E" w:rsidP="000D4D1E">
      <w:pPr>
        <w:autoSpaceDE w:val="0"/>
        <w:autoSpaceDN w:val="0"/>
        <w:adjustRightInd w:val="0"/>
        <w:rPr>
          <w:sz w:val="24"/>
          <w:szCs w:val="24"/>
          <w:lang w:val="en-US"/>
        </w:rPr>
      </w:pPr>
    </w:p>
    <w:tbl>
      <w:tblPr>
        <w:tblW w:w="0" w:type="auto"/>
        <w:tblInd w:w="843" w:type="dxa"/>
        <w:tblLayout w:type="fixed"/>
        <w:tblCellMar>
          <w:left w:w="0" w:type="dxa"/>
          <w:right w:w="0" w:type="dxa"/>
        </w:tblCellMar>
        <w:tblLook w:val="01E0" w:firstRow="1" w:lastRow="1" w:firstColumn="1" w:lastColumn="1" w:noHBand="0" w:noVBand="0"/>
      </w:tblPr>
      <w:tblGrid>
        <w:gridCol w:w="5528"/>
      </w:tblGrid>
      <w:tr w:rsidR="000D4D1E" w:rsidRPr="00BB5BFC" w14:paraId="19A06021"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294D6820" w14:textId="77777777" w:rsidR="000D4D1E" w:rsidRPr="00BB5BFC" w:rsidRDefault="000D4D1E">
            <w:pPr>
              <w:pStyle w:val="TableParagraph"/>
              <w:ind w:left="102"/>
              <w:rPr>
                <w:rFonts w:ascii="Times New Roman" w:eastAsia="Times New Roman" w:hAnsi="Times New Roman" w:cs="Times New Roman"/>
                <w:b/>
                <w:sz w:val="24"/>
                <w:szCs w:val="24"/>
                <w:lang w:val="en-GB"/>
              </w:rPr>
            </w:pPr>
            <w:r w:rsidRPr="00BB5BFC">
              <w:rPr>
                <w:rFonts w:ascii="Times New Roman" w:eastAsia="Times New Roman" w:hAnsi="Times New Roman" w:cs="Times New Roman"/>
                <w:b/>
                <w:sz w:val="24"/>
                <w:szCs w:val="24"/>
                <w:lang w:val="en-GB"/>
              </w:rPr>
              <w:t>Commonly susceptible species</w:t>
            </w:r>
          </w:p>
        </w:tc>
      </w:tr>
      <w:tr w:rsidR="000D4D1E" w:rsidRPr="00BB5BFC" w14:paraId="376EB9C5"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389496EC" w14:textId="77777777" w:rsidR="000D4D1E" w:rsidRPr="00BB5BFC" w:rsidRDefault="000D4D1E">
            <w:pPr>
              <w:pStyle w:val="TableParagraph"/>
              <w:ind w:left="102"/>
              <w:rPr>
                <w:rFonts w:ascii="Times New Roman" w:eastAsia="Times New Roman" w:hAnsi="Times New Roman" w:cs="Times New Roman"/>
                <w:b/>
                <w:i/>
                <w:sz w:val="24"/>
                <w:szCs w:val="24"/>
                <w:lang w:val="en-GB"/>
              </w:rPr>
            </w:pPr>
            <w:r w:rsidRPr="00BB5BFC">
              <w:rPr>
                <w:rFonts w:ascii="Times New Roman" w:eastAsia="Times New Roman" w:hAnsi="Times New Roman" w:cs="Times New Roman"/>
                <w:b/>
                <w:i/>
                <w:sz w:val="24"/>
                <w:szCs w:val="24"/>
                <w:lang w:val="en-GB"/>
              </w:rPr>
              <w:t>Aerobic Gram-positive microorganisms</w:t>
            </w:r>
          </w:p>
        </w:tc>
      </w:tr>
      <w:tr w:rsidR="000D4D1E" w:rsidRPr="00BB5BFC" w14:paraId="0EE2CE2C"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2DD992D5"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Staphylococcus aureus (Methicillin-sensitive)</w:t>
            </w:r>
          </w:p>
        </w:tc>
      </w:tr>
      <w:tr w:rsidR="000D4D1E" w:rsidRPr="00BB5BFC" w14:paraId="23D3CD60"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2E0C2AD4"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Streptococcus pneumoniae</w:t>
            </w:r>
          </w:p>
        </w:tc>
      </w:tr>
      <w:tr w:rsidR="000D4D1E" w:rsidRPr="00BB5BFC" w14:paraId="6F133C40"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0F7AA4DC"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Streptococcus pyogenes</w:t>
            </w:r>
          </w:p>
        </w:tc>
      </w:tr>
      <w:tr w:rsidR="000D4D1E" w:rsidRPr="00433E36" w14:paraId="754C428D"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4FFB4328"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Streptococci of the „</w:t>
            </w:r>
            <w:proofErr w:type="spellStart"/>
            <w:r w:rsidRPr="00BB5BFC">
              <w:rPr>
                <w:rFonts w:ascii="Times New Roman" w:eastAsia="Times New Roman" w:hAnsi="Times New Roman" w:cs="Times New Roman"/>
                <w:i/>
                <w:sz w:val="24"/>
                <w:szCs w:val="24"/>
                <w:lang w:val="en-GB"/>
              </w:rPr>
              <w:t>viridans</w:t>
            </w:r>
            <w:proofErr w:type="spellEnd"/>
            <w:r w:rsidRPr="00BB5BFC">
              <w:rPr>
                <w:rFonts w:ascii="Times New Roman" w:eastAsia="Times New Roman" w:hAnsi="Times New Roman" w:cs="Times New Roman"/>
                <w:i/>
                <w:sz w:val="24"/>
                <w:szCs w:val="24"/>
                <w:lang w:val="en-GB"/>
              </w:rPr>
              <w:t>"-group°^</w:t>
            </w:r>
          </w:p>
        </w:tc>
      </w:tr>
      <w:tr w:rsidR="000D4D1E" w:rsidRPr="00BB5BFC" w14:paraId="26E9C5A0"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09A20014" w14:textId="77777777" w:rsidR="000D4D1E" w:rsidRPr="00BB5BFC" w:rsidRDefault="000D4D1E">
            <w:pPr>
              <w:pStyle w:val="TableParagraph"/>
              <w:ind w:left="102"/>
              <w:rPr>
                <w:rFonts w:ascii="Times New Roman" w:eastAsia="Times New Roman" w:hAnsi="Times New Roman" w:cs="Times New Roman"/>
                <w:b/>
                <w:i/>
                <w:sz w:val="24"/>
                <w:szCs w:val="24"/>
                <w:lang w:val="en-GB"/>
              </w:rPr>
            </w:pPr>
            <w:r w:rsidRPr="00BB5BFC">
              <w:rPr>
                <w:rFonts w:ascii="Times New Roman" w:eastAsia="Times New Roman" w:hAnsi="Times New Roman" w:cs="Times New Roman"/>
                <w:b/>
                <w:i/>
                <w:sz w:val="24"/>
                <w:szCs w:val="24"/>
                <w:lang w:val="en-GB"/>
              </w:rPr>
              <w:t>Anaerobic microorganisms</w:t>
            </w:r>
          </w:p>
        </w:tc>
      </w:tr>
      <w:tr w:rsidR="000D4D1E" w:rsidRPr="00BB5BFC" w14:paraId="0B5A6681"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714F541A"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 xml:space="preserve">Actinomyces </w:t>
            </w:r>
            <w:proofErr w:type="spellStart"/>
            <w:r w:rsidRPr="00BB5BFC">
              <w:rPr>
                <w:rFonts w:ascii="Times New Roman" w:eastAsia="Times New Roman" w:hAnsi="Times New Roman" w:cs="Times New Roman"/>
                <w:i/>
                <w:sz w:val="24"/>
                <w:szCs w:val="24"/>
                <w:lang w:val="en-GB"/>
              </w:rPr>
              <w:t>israelii</w:t>
            </w:r>
            <w:proofErr w:type="spellEnd"/>
            <w:r w:rsidRPr="00BB5BFC">
              <w:rPr>
                <w:rFonts w:ascii="Times New Roman" w:eastAsia="Times New Roman" w:hAnsi="Times New Roman" w:cs="Times New Roman"/>
                <w:i/>
                <w:sz w:val="24"/>
                <w:szCs w:val="24"/>
                <w:lang w:val="en-GB"/>
              </w:rPr>
              <w:t>°</w:t>
            </w:r>
          </w:p>
        </w:tc>
      </w:tr>
      <w:tr w:rsidR="000D4D1E" w:rsidRPr="00433E36" w14:paraId="79208EAB"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261B1C7C" w14:textId="77777777" w:rsidR="000D4D1E" w:rsidRPr="00BB5BFC" w:rsidRDefault="000D4D1E">
            <w:pPr>
              <w:pStyle w:val="TableParagraph"/>
              <w:ind w:left="102"/>
              <w:rPr>
                <w:rFonts w:ascii="Times New Roman" w:eastAsia="Times New Roman" w:hAnsi="Times New Roman" w:cs="Times New Roman"/>
                <w:i/>
                <w:sz w:val="24"/>
                <w:szCs w:val="24"/>
                <w:lang w:val="fr-FR"/>
              </w:rPr>
            </w:pPr>
            <w:r w:rsidRPr="00BB5BFC">
              <w:rPr>
                <w:rFonts w:ascii="Times New Roman" w:eastAsia="Times New Roman" w:hAnsi="Times New Roman" w:cs="Times New Roman"/>
                <w:i/>
                <w:sz w:val="24"/>
                <w:szCs w:val="24"/>
                <w:lang w:val="fr-FR"/>
              </w:rPr>
              <w:t>Bacteroides spp.° (excl. B. fragilis)</w:t>
            </w:r>
          </w:p>
        </w:tc>
      </w:tr>
      <w:tr w:rsidR="000D4D1E" w:rsidRPr="00BB5BFC" w14:paraId="4A4F5400"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710E3D37"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Clostridium perfringens °</w:t>
            </w:r>
          </w:p>
        </w:tc>
      </w:tr>
      <w:tr w:rsidR="000D4D1E" w:rsidRPr="00BB5BFC" w14:paraId="6E043FA2"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605668ED"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lastRenderedPageBreak/>
              <w:t>Fusobacterium spp.°</w:t>
            </w:r>
          </w:p>
        </w:tc>
      </w:tr>
      <w:tr w:rsidR="000D4D1E" w:rsidRPr="00BB5BFC" w14:paraId="058066E3"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340A2D80" w14:textId="77777777" w:rsidR="000D4D1E" w:rsidRPr="00BB5BFC" w:rsidRDefault="000D4D1E">
            <w:pPr>
              <w:pStyle w:val="TableParagraph"/>
              <w:ind w:left="102"/>
              <w:rPr>
                <w:rFonts w:ascii="Times New Roman" w:eastAsia="Times New Roman" w:hAnsi="Times New Roman" w:cs="Times New Roman"/>
                <w:i/>
                <w:sz w:val="24"/>
                <w:szCs w:val="24"/>
                <w:lang w:val="en-GB"/>
              </w:rPr>
            </w:pPr>
            <w:proofErr w:type="spellStart"/>
            <w:r w:rsidRPr="00BB5BFC">
              <w:rPr>
                <w:rFonts w:ascii="Times New Roman" w:eastAsia="Times New Roman" w:hAnsi="Times New Roman" w:cs="Times New Roman"/>
                <w:i/>
                <w:sz w:val="24"/>
                <w:szCs w:val="24"/>
                <w:lang w:val="en-GB"/>
              </w:rPr>
              <w:t>Peptoniphilus</w:t>
            </w:r>
            <w:proofErr w:type="spellEnd"/>
            <w:r w:rsidRPr="00BB5BFC">
              <w:rPr>
                <w:rFonts w:ascii="Times New Roman" w:eastAsia="Times New Roman" w:hAnsi="Times New Roman" w:cs="Times New Roman"/>
                <w:i/>
                <w:sz w:val="24"/>
                <w:szCs w:val="24"/>
                <w:lang w:val="en-GB"/>
              </w:rPr>
              <w:t xml:space="preserve"> spp. °</w:t>
            </w:r>
          </w:p>
        </w:tc>
      </w:tr>
      <w:tr w:rsidR="000D4D1E" w:rsidRPr="00BB5BFC" w14:paraId="22C1D118"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29F7CEB5" w14:textId="77777777" w:rsidR="000D4D1E" w:rsidRPr="00BB5BFC" w:rsidRDefault="000D4D1E">
            <w:pPr>
              <w:pStyle w:val="TableParagraph"/>
              <w:ind w:left="102"/>
              <w:rPr>
                <w:rFonts w:ascii="Times New Roman" w:eastAsia="Times New Roman" w:hAnsi="Times New Roman" w:cs="Times New Roman"/>
                <w:i/>
                <w:sz w:val="24"/>
                <w:szCs w:val="24"/>
                <w:lang w:val="en-GB"/>
              </w:rPr>
            </w:pPr>
            <w:proofErr w:type="spellStart"/>
            <w:r w:rsidRPr="00BB5BFC">
              <w:rPr>
                <w:rFonts w:ascii="Times New Roman" w:eastAsia="Times New Roman" w:hAnsi="Times New Roman" w:cs="Times New Roman"/>
                <w:i/>
                <w:sz w:val="24"/>
                <w:szCs w:val="24"/>
                <w:lang w:val="en-GB"/>
              </w:rPr>
              <w:t>Peptostreptococcus</w:t>
            </w:r>
            <w:proofErr w:type="spellEnd"/>
            <w:r w:rsidRPr="00BB5BFC">
              <w:rPr>
                <w:rFonts w:ascii="Times New Roman" w:eastAsia="Times New Roman" w:hAnsi="Times New Roman" w:cs="Times New Roman"/>
                <w:i/>
                <w:sz w:val="24"/>
                <w:szCs w:val="24"/>
                <w:lang w:val="en-GB"/>
              </w:rPr>
              <w:t xml:space="preserve"> spp. °</w:t>
            </w:r>
          </w:p>
        </w:tc>
      </w:tr>
      <w:tr w:rsidR="000D4D1E" w:rsidRPr="00BB5BFC" w14:paraId="2E2C0908"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007F494F" w14:textId="77777777" w:rsidR="000D4D1E" w:rsidRPr="00BB5BFC" w:rsidRDefault="000D4D1E">
            <w:pPr>
              <w:pStyle w:val="TableParagraph"/>
              <w:ind w:left="102"/>
              <w:rPr>
                <w:rFonts w:ascii="Times New Roman" w:eastAsia="Times New Roman" w:hAnsi="Times New Roman" w:cs="Times New Roman"/>
                <w:i/>
                <w:sz w:val="24"/>
                <w:szCs w:val="24"/>
                <w:lang w:val="en-GB"/>
              </w:rPr>
            </w:pPr>
            <w:proofErr w:type="spellStart"/>
            <w:r w:rsidRPr="00BB5BFC">
              <w:rPr>
                <w:rFonts w:ascii="Times New Roman" w:eastAsia="Times New Roman" w:hAnsi="Times New Roman" w:cs="Times New Roman"/>
                <w:i/>
                <w:sz w:val="24"/>
                <w:szCs w:val="24"/>
                <w:lang w:val="en-GB"/>
              </w:rPr>
              <w:t>Prevotella</w:t>
            </w:r>
            <w:proofErr w:type="spellEnd"/>
            <w:r w:rsidRPr="00BB5BFC">
              <w:rPr>
                <w:rFonts w:ascii="Times New Roman" w:eastAsia="Times New Roman" w:hAnsi="Times New Roman" w:cs="Times New Roman"/>
                <w:i/>
                <w:sz w:val="24"/>
                <w:szCs w:val="24"/>
                <w:lang w:val="en-GB"/>
              </w:rPr>
              <w:t xml:space="preserve"> spp.</w:t>
            </w:r>
          </w:p>
        </w:tc>
      </w:tr>
      <w:tr w:rsidR="000D4D1E" w:rsidRPr="00BB5BFC" w14:paraId="7EA5D0AB"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6A634DA0"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Propionibacterium spp. °</w:t>
            </w:r>
          </w:p>
        </w:tc>
      </w:tr>
      <w:tr w:rsidR="000D4D1E" w:rsidRPr="00BB5BFC" w14:paraId="403CBF7B"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3A433B0A" w14:textId="77777777" w:rsidR="000D4D1E" w:rsidRPr="00BB5BFC" w:rsidRDefault="000D4D1E">
            <w:pPr>
              <w:pStyle w:val="TableParagraph"/>
              <w:ind w:left="102"/>
              <w:rPr>
                <w:rFonts w:ascii="Times New Roman" w:eastAsia="Times New Roman" w:hAnsi="Times New Roman" w:cs="Times New Roman"/>
                <w:i/>
                <w:sz w:val="24"/>
                <w:szCs w:val="24"/>
                <w:lang w:val="en-GB"/>
              </w:rPr>
            </w:pPr>
            <w:proofErr w:type="spellStart"/>
            <w:r w:rsidRPr="00BB5BFC">
              <w:rPr>
                <w:rFonts w:ascii="Times New Roman" w:eastAsia="Times New Roman" w:hAnsi="Times New Roman" w:cs="Times New Roman"/>
                <w:i/>
                <w:sz w:val="24"/>
                <w:szCs w:val="24"/>
                <w:lang w:val="en-GB"/>
              </w:rPr>
              <w:t>Veillonella</w:t>
            </w:r>
            <w:proofErr w:type="spellEnd"/>
            <w:r w:rsidRPr="00BB5BFC">
              <w:rPr>
                <w:rFonts w:ascii="Times New Roman" w:eastAsia="Times New Roman" w:hAnsi="Times New Roman" w:cs="Times New Roman"/>
                <w:i/>
                <w:sz w:val="24"/>
                <w:szCs w:val="24"/>
                <w:lang w:val="en-GB"/>
              </w:rPr>
              <w:t xml:space="preserve"> spp.°</w:t>
            </w:r>
          </w:p>
        </w:tc>
      </w:tr>
      <w:tr w:rsidR="000D4D1E" w:rsidRPr="00BB5BFC" w14:paraId="63D4A5FF"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758AAB25" w14:textId="77777777" w:rsidR="000D4D1E" w:rsidRPr="00BB5BFC" w:rsidRDefault="000D4D1E">
            <w:pPr>
              <w:pStyle w:val="TableParagraph"/>
              <w:ind w:left="102"/>
              <w:rPr>
                <w:rFonts w:ascii="Times New Roman" w:eastAsia="Times New Roman" w:hAnsi="Times New Roman" w:cs="Times New Roman"/>
                <w:b/>
                <w:i/>
                <w:sz w:val="24"/>
                <w:szCs w:val="24"/>
                <w:lang w:val="en-GB"/>
              </w:rPr>
            </w:pPr>
            <w:r w:rsidRPr="00BB5BFC">
              <w:rPr>
                <w:rFonts w:ascii="Times New Roman" w:eastAsia="Times New Roman" w:hAnsi="Times New Roman" w:cs="Times New Roman"/>
                <w:b/>
                <w:i/>
                <w:sz w:val="24"/>
                <w:szCs w:val="24"/>
                <w:lang w:val="en-GB"/>
              </w:rPr>
              <w:t>Other microorganisms</w:t>
            </w:r>
          </w:p>
        </w:tc>
      </w:tr>
      <w:tr w:rsidR="000D4D1E" w:rsidRPr="00BB5BFC" w14:paraId="0EDA9414"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6FF115B4"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Chlamydia trachomatis°</w:t>
            </w:r>
          </w:p>
        </w:tc>
      </w:tr>
      <w:tr w:rsidR="000D4D1E" w:rsidRPr="00BB5BFC" w14:paraId="391429BB"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726F7624"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Chlamydia pneumoniae°</w:t>
            </w:r>
          </w:p>
        </w:tc>
      </w:tr>
      <w:tr w:rsidR="000D4D1E" w:rsidRPr="00BB5BFC" w14:paraId="535C3B6E"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5591BF14"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Gardnerella vaginalis°</w:t>
            </w:r>
          </w:p>
        </w:tc>
      </w:tr>
      <w:tr w:rsidR="000D4D1E" w:rsidRPr="00BB5BFC" w14:paraId="604AF40E"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1460CAA6"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Mycoplasma hominis°</w:t>
            </w:r>
          </w:p>
        </w:tc>
      </w:tr>
      <w:tr w:rsidR="000D4D1E" w:rsidRPr="00BB5BFC" w14:paraId="2808AB6C"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3681AE4E" w14:textId="77777777" w:rsidR="000D4D1E" w:rsidRPr="00BB5BFC" w:rsidRDefault="000D4D1E">
            <w:pPr>
              <w:pStyle w:val="TableParagraph"/>
              <w:ind w:left="102"/>
              <w:rPr>
                <w:rFonts w:ascii="Times New Roman" w:eastAsia="Times New Roman" w:hAnsi="Times New Roman" w:cs="Times New Roman"/>
                <w:i/>
                <w:sz w:val="24"/>
                <w:szCs w:val="24"/>
              </w:rPr>
            </w:pPr>
            <w:r w:rsidRPr="00BB5BFC">
              <w:rPr>
                <w:rFonts w:ascii="Times New Roman" w:eastAsia="Times New Roman" w:hAnsi="Times New Roman" w:cs="Times New Roman"/>
                <w:i/>
                <w:sz w:val="24"/>
                <w:szCs w:val="24"/>
                <w:lang w:val="en-GB"/>
              </w:rPr>
              <w:t xml:space="preserve">Pneumocystis </w:t>
            </w:r>
            <w:proofErr w:type="spellStart"/>
            <w:r w:rsidRPr="00BB5BFC">
              <w:rPr>
                <w:rFonts w:ascii="Times New Roman" w:eastAsia="Times New Roman" w:hAnsi="Times New Roman" w:cs="Times New Roman"/>
                <w:i/>
                <w:sz w:val="24"/>
                <w:szCs w:val="24"/>
                <w:lang w:val="en-GB"/>
              </w:rPr>
              <w:t>jirovecii</w:t>
            </w:r>
            <w:proofErr w:type="spellEnd"/>
          </w:p>
        </w:tc>
      </w:tr>
      <w:tr w:rsidR="000D4D1E" w:rsidRPr="00BB5BFC" w14:paraId="2AF7157E" w14:textId="77777777" w:rsidTr="00BB5BFC">
        <w:trPr>
          <w:trHeight w:val="284"/>
        </w:trPr>
        <w:tc>
          <w:tcPr>
            <w:tcW w:w="5528" w:type="dxa"/>
            <w:tcBorders>
              <w:top w:val="single" w:sz="6" w:space="0" w:color="000000"/>
              <w:left w:val="single" w:sz="6" w:space="0" w:color="000000"/>
              <w:bottom w:val="single" w:sz="6" w:space="0" w:color="000000"/>
              <w:right w:val="single" w:sz="6" w:space="0" w:color="000000"/>
            </w:tcBorders>
            <w:hideMark/>
          </w:tcPr>
          <w:p w14:paraId="6FA513D7" w14:textId="77777777" w:rsidR="000D4D1E" w:rsidRPr="00BB5BFC" w:rsidRDefault="000D4D1E">
            <w:pPr>
              <w:pStyle w:val="TableParagraph"/>
              <w:ind w:left="102"/>
              <w:rPr>
                <w:rFonts w:ascii="Times New Roman" w:eastAsia="Times New Roman" w:hAnsi="Times New Roman" w:cs="Times New Roman"/>
                <w:i/>
                <w:sz w:val="24"/>
                <w:szCs w:val="24"/>
                <w:lang w:val="en-GB"/>
              </w:rPr>
            </w:pPr>
            <w:r w:rsidRPr="00BB5BFC">
              <w:rPr>
                <w:rFonts w:ascii="Times New Roman" w:eastAsia="Times New Roman" w:hAnsi="Times New Roman" w:cs="Times New Roman"/>
                <w:i/>
                <w:sz w:val="24"/>
                <w:szCs w:val="24"/>
                <w:lang w:val="en-GB"/>
              </w:rPr>
              <w:t>Toxoplasma gondii</w:t>
            </w:r>
          </w:p>
        </w:tc>
      </w:tr>
    </w:tbl>
    <w:p w14:paraId="64005C50" w14:textId="77777777" w:rsidR="000D4D1E" w:rsidRPr="00BB5BFC" w:rsidRDefault="000D4D1E" w:rsidP="000D4D1E">
      <w:pPr>
        <w:autoSpaceDE w:val="0"/>
        <w:autoSpaceDN w:val="0"/>
        <w:adjustRightInd w:val="0"/>
        <w:rPr>
          <w:sz w:val="24"/>
          <w:szCs w:val="24"/>
          <w:lang w:val="el-GR" w:eastAsia="en-US"/>
        </w:rPr>
      </w:pPr>
    </w:p>
    <w:tbl>
      <w:tblPr>
        <w:tblW w:w="0" w:type="auto"/>
        <w:tblInd w:w="843" w:type="dxa"/>
        <w:tblLayout w:type="fixed"/>
        <w:tblCellMar>
          <w:left w:w="0" w:type="dxa"/>
          <w:right w:w="0" w:type="dxa"/>
        </w:tblCellMar>
        <w:tblLook w:val="01E0" w:firstRow="1" w:lastRow="1" w:firstColumn="1" w:lastColumn="1" w:noHBand="0" w:noVBand="0"/>
      </w:tblPr>
      <w:tblGrid>
        <w:gridCol w:w="5465"/>
      </w:tblGrid>
      <w:tr w:rsidR="000D4D1E" w:rsidRPr="00433E36" w14:paraId="0F868596"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7CE24539"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sz w:val="24"/>
                <w:szCs w:val="24"/>
              </w:rPr>
              <w:t>Species</w:t>
            </w:r>
            <w:r w:rsidRPr="00BB5BFC">
              <w:rPr>
                <w:rFonts w:ascii="Times New Roman" w:hAnsi="Times New Roman" w:cs="Times New Roman"/>
                <w:b/>
                <w:spacing w:val="-7"/>
                <w:sz w:val="24"/>
                <w:szCs w:val="24"/>
              </w:rPr>
              <w:t xml:space="preserve"> </w:t>
            </w:r>
            <w:r w:rsidRPr="00BB5BFC">
              <w:rPr>
                <w:rFonts w:ascii="Times New Roman" w:hAnsi="Times New Roman" w:cs="Times New Roman"/>
                <w:b/>
                <w:sz w:val="24"/>
                <w:szCs w:val="24"/>
              </w:rPr>
              <w:t>for</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which</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acquired</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resistance</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may</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be</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a</w:t>
            </w:r>
            <w:r w:rsidRPr="00BB5BFC">
              <w:rPr>
                <w:rFonts w:ascii="Times New Roman" w:hAnsi="Times New Roman" w:cs="Times New Roman"/>
                <w:b/>
                <w:spacing w:val="-6"/>
                <w:sz w:val="24"/>
                <w:szCs w:val="24"/>
              </w:rPr>
              <w:t xml:space="preserve"> </w:t>
            </w:r>
            <w:r w:rsidRPr="00BB5BFC">
              <w:rPr>
                <w:rFonts w:ascii="Times New Roman" w:hAnsi="Times New Roman" w:cs="Times New Roman"/>
                <w:b/>
                <w:sz w:val="24"/>
                <w:szCs w:val="24"/>
              </w:rPr>
              <w:t>problem</w:t>
            </w:r>
          </w:p>
        </w:tc>
      </w:tr>
      <w:tr w:rsidR="000D4D1E" w:rsidRPr="00BB5BFC" w14:paraId="69829844"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36BF71EE"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Aerobic</w:t>
            </w:r>
            <w:r w:rsidRPr="00BB5BFC">
              <w:rPr>
                <w:rFonts w:ascii="Times New Roman" w:hAnsi="Times New Roman" w:cs="Times New Roman"/>
                <w:b/>
                <w:i/>
                <w:spacing w:val="-19"/>
                <w:sz w:val="24"/>
                <w:szCs w:val="24"/>
              </w:rPr>
              <w:t xml:space="preserve"> </w:t>
            </w:r>
            <w:r w:rsidRPr="00BB5BFC">
              <w:rPr>
                <w:rFonts w:ascii="Times New Roman" w:hAnsi="Times New Roman" w:cs="Times New Roman"/>
                <w:b/>
                <w:i/>
                <w:sz w:val="24"/>
                <w:szCs w:val="24"/>
              </w:rPr>
              <w:t>Gram-positive</w:t>
            </w:r>
            <w:r w:rsidRPr="00BB5BFC">
              <w:rPr>
                <w:rFonts w:ascii="Times New Roman" w:hAnsi="Times New Roman" w:cs="Times New Roman"/>
                <w:b/>
                <w:i/>
                <w:spacing w:val="-19"/>
                <w:sz w:val="24"/>
                <w:szCs w:val="24"/>
              </w:rPr>
              <w:t xml:space="preserve"> </w:t>
            </w:r>
            <w:r w:rsidRPr="00BB5BFC">
              <w:rPr>
                <w:rFonts w:ascii="Times New Roman" w:hAnsi="Times New Roman" w:cs="Times New Roman"/>
                <w:b/>
                <w:i/>
                <w:sz w:val="24"/>
                <w:szCs w:val="24"/>
              </w:rPr>
              <w:t>microorganisms</w:t>
            </w:r>
          </w:p>
        </w:tc>
      </w:tr>
      <w:tr w:rsidR="000D4D1E" w:rsidRPr="00BB5BFC" w14:paraId="0BA5F32B"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52185C9E"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Staphylococcus</w:t>
            </w:r>
            <w:r w:rsidRPr="00BB5BFC">
              <w:rPr>
                <w:rFonts w:ascii="Times New Roman" w:hAnsi="Times New Roman" w:cs="Times New Roman"/>
                <w:i/>
                <w:spacing w:val="-20"/>
                <w:sz w:val="24"/>
                <w:szCs w:val="24"/>
              </w:rPr>
              <w:t xml:space="preserve"> </w:t>
            </w:r>
            <w:r w:rsidRPr="00BB5BFC">
              <w:rPr>
                <w:rFonts w:ascii="Times New Roman" w:hAnsi="Times New Roman" w:cs="Times New Roman"/>
                <w:i/>
                <w:sz w:val="24"/>
                <w:szCs w:val="24"/>
              </w:rPr>
              <w:t>aureus</w:t>
            </w:r>
          </w:p>
        </w:tc>
      </w:tr>
      <w:tr w:rsidR="000D4D1E" w:rsidRPr="00BB5BFC" w14:paraId="3CF126E1"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786E5CF5" w14:textId="77777777" w:rsidR="000D4D1E" w:rsidRPr="00BB5BFC" w:rsidRDefault="000D4D1E">
            <w:pPr>
              <w:pStyle w:val="TableParagraph"/>
              <w:spacing w:line="266" w:lineRule="exact"/>
              <w:ind w:left="100"/>
              <w:rPr>
                <w:rFonts w:ascii="Times New Roman" w:eastAsia="Segoe UI" w:hAnsi="Times New Roman" w:cs="Times New Roman"/>
                <w:sz w:val="24"/>
                <w:szCs w:val="24"/>
              </w:rPr>
            </w:pPr>
            <w:r w:rsidRPr="00BB5BFC">
              <w:rPr>
                <w:rFonts w:ascii="Times New Roman" w:hAnsi="Times New Roman" w:cs="Times New Roman"/>
                <w:i/>
                <w:sz w:val="24"/>
                <w:szCs w:val="24"/>
              </w:rPr>
              <w:t>Staphylococcus</w:t>
            </w:r>
            <w:r w:rsidRPr="00BB5BFC">
              <w:rPr>
                <w:rFonts w:ascii="Times New Roman" w:hAnsi="Times New Roman" w:cs="Times New Roman"/>
                <w:i/>
                <w:spacing w:val="-19"/>
                <w:sz w:val="24"/>
                <w:szCs w:val="24"/>
              </w:rPr>
              <w:t xml:space="preserve"> </w:t>
            </w:r>
            <w:r w:rsidRPr="00BB5BFC">
              <w:rPr>
                <w:rFonts w:ascii="Times New Roman" w:hAnsi="Times New Roman" w:cs="Times New Roman"/>
                <w:i/>
                <w:sz w:val="24"/>
                <w:szCs w:val="24"/>
              </w:rPr>
              <w:t>aureus</w:t>
            </w:r>
            <w:r w:rsidRPr="00BB5BFC">
              <w:rPr>
                <w:rFonts w:ascii="Times New Roman" w:hAnsi="Times New Roman" w:cs="Times New Roman"/>
                <w:i/>
                <w:spacing w:val="-17"/>
                <w:sz w:val="24"/>
                <w:szCs w:val="24"/>
              </w:rPr>
              <w:t xml:space="preserve"> </w:t>
            </w:r>
            <w:r w:rsidRPr="00BB5BFC">
              <w:rPr>
                <w:rFonts w:ascii="Times New Roman" w:hAnsi="Times New Roman" w:cs="Times New Roman"/>
                <w:sz w:val="24"/>
                <w:szCs w:val="24"/>
              </w:rPr>
              <w:t>(Methicillin-</w:t>
            </w:r>
            <w:proofErr w:type="gramStart"/>
            <w:r w:rsidRPr="00BB5BFC">
              <w:rPr>
                <w:rFonts w:ascii="Times New Roman" w:hAnsi="Times New Roman" w:cs="Times New Roman"/>
                <w:sz w:val="24"/>
                <w:szCs w:val="24"/>
              </w:rPr>
              <w:t>resistant)</w:t>
            </w:r>
            <w:r w:rsidRPr="00BB5BFC">
              <w:rPr>
                <w:rFonts w:ascii="Times New Roman" w:hAnsi="Times New Roman" w:cs="Times New Roman"/>
                <w:position w:val="9"/>
                <w:sz w:val="24"/>
                <w:szCs w:val="24"/>
              </w:rPr>
              <w:t>+</w:t>
            </w:r>
            <w:proofErr w:type="gramEnd"/>
          </w:p>
        </w:tc>
      </w:tr>
      <w:tr w:rsidR="000D4D1E" w:rsidRPr="00BB5BFC" w14:paraId="1F2C9722"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0A6D5398" w14:textId="77777777" w:rsidR="000D4D1E" w:rsidRPr="00BB5BFC" w:rsidRDefault="000D4D1E">
            <w:pPr>
              <w:pStyle w:val="TableParagraph"/>
              <w:spacing w:line="266" w:lineRule="exact"/>
              <w:ind w:left="100"/>
              <w:rPr>
                <w:rFonts w:ascii="Times New Roman" w:eastAsia="Segoe UI" w:hAnsi="Times New Roman" w:cs="Times New Roman"/>
                <w:sz w:val="24"/>
                <w:szCs w:val="24"/>
              </w:rPr>
            </w:pPr>
            <w:r w:rsidRPr="00BB5BFC">
              <w:rPr>
                <w:rFonts w:ascii="Times New Roman" w:hAnsi="Times New Roman" w:cs="Times New Roman"/>
                <w:i/>
                <w:sz w:val="24"/>
                <w:szCs w:val="24"/>
              </w:rPr>
              <w:t>Staphylococcus</w:t>
            </w:r>
            <w:r w:rsidRPr="00BB5BFC">
              <w:rPr>
                <w:rFonts w:ascii="Times New Roman" w:hAnsi="Times New Roman" w:cs="Times New Roman"/>
                <w:i/>
                <w:spacing w:val="-23"/>
                <w:sz w:val="24"/>
                <w:szCs w:val="24"/>
              </w:rPr>
              <w:t xml:space="preserve"> </w:t>
            </w:r>
            <w:r w:rsidRPr="00BB5BFC">
              <w:rPr>
                <w:rFonts w:ascii="Times New Roman" w:hAnsi="Times New Roman" w:cs="Times New Roman"/>
                <w:i/>
                <w:sz w:val="24"/>
                <w:szCs w:val="24"/>
              </w:rPr>
              <w:t>epidermidis</w:t>
            </w:r>
            <w:r w:rsidRPr="00BB5BFC">
              <w:rPr>
                <w:rFonts w:ascii="Times New Roman" w:hAnsi="Times New Roman" w:cs="Times New Roman"/>
                <w:position w:val="9"/>
                <w:sz w:val="24"/>
                <w:szCs w:val="24"/>
              </w:rPr>
              <w:t>+</w:t>
            </w:r>
          </w:p>
        </w:tc>
      </w:tr>
      <w:tr w:rsidR="000D4D1E" w:rsidRPr="00BB5BFC" w14:paraId="2445990D"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0CAEAD93"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Staphylococcus</w:t>
            </w:r>
            <w:r w:rsidRPr="00BB5BFC">
              <w:rPr>
                <w:rFonts w:ascii="Times New Roman" w:hAnsi="Times New Roman" w:cs="Times New Roman"/>
                <w:i/>
                <w:spacing w:val="-26"/>
                <w:sz w:val="24"/>
                <w:szCs w:val="24"/>
              </w:rPr>
              <w:t xml:space="preserve"> </w:t>
            </w:r>
            <w:proofErr w:type="spellStart"/>
            <w:r w:rsidRPr="00BB5BFC">
              <w:rPr>
                <w:rFonts w:ascii="Times New Roman" w:hAnsi="Times New Roman" w:cs="Times New Roman"/>
                <w:i/>
                <w:sz w:val="24"/>
                <w:szCs w:val="24"/>
              </w:rPr>
              <w:t>haemolyticus</w:t>
            </w:r>
            <w:proofErr w:type="spellEnd"/>
          </w:p>
        </w:tc>
      </w:tr>
      <w:tr w:rsidR="000D4D1E" w:rsidRPr="00BB5BFC" w14:paraId="217C4FFE"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1D0D477D"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Staphylococcus</w:t>
            </w:r>
            <w:r w:rsidRPr="00BB5BFC">
              <w:rPr>
                <w:rFonts w:ascii="Times New Roman" w:hAnsi="Times New Roman" w:cs="Times New Roman"/>
                <w:i/>
                <w:spacing w:val="-21"/>
                <w:sz w:val="24"/>
                <w:szCs w:val="24"/>
              </w:rPr>
              <w:t xml:space="preserve"> </w:t>
            </w:r>
            <w:r w:rsidRPr="00BB5BFC">
              <w:rPr>
                <w:rFonts w:ascii="Times New Roman" w:hAnsi="Times New Roman" w:cs="Times New Roman"/>
                <w:i/>
                <w:sz w:val="24"/>
                <w:szCs w:val="24"/>
              </w:rPr>
              <w:t>hominis</w:t>
            </w:r>
          </w:p>
        </w:tc>
      </w:tr>
      <w:tr w:rsidR="000D4D1E" w:rsidRPr="00BB5BFC" w14:paraId="099B9CDB"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391584FC"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Streptococcus</w:t>
            </w:r>
            <w:r w:rsidRPr="00BB5BFC">
              <w:rPr>
                <w:rFonts w:ascii="Times New Roman" w:hAnsi="Times New Roman" w:cs="Times New Roman"/>
                <w:i/>
                <w:spacing w:val="-22"/>
                <w:sz w:val="24"/>
                <w:szCs w:val="24"/>
              </w:rPr>
              <w:t xml:space="preserve"> </w:t>
            </w:r>
            <w:r w:rsidRPr="00BB5BFC">
              <w:rPr>
                <w:rFonts w:ascii="Times New Roman" w:hAnsi="Times New Roman" w:cs="Times New Roman"/>
                <w:i/>
                <w:sz w:val="24"/>
                <w:szCs w:val="24"/>
              </w:rPr>
              <w:t>agalactiae</w:t>
            </w:r>
          </w:p>
        </w:tc>
      </w:tr>
      <w:tr w:rsidR="000D4D1E" w:rsidRPr="00BB5BFC" w14:paraId="0B4213E1"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31DD20DA"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Aerobic</w:t>
            </w:r>
            <w:r w:rsidRPr="00BB5BFC">
              <w:rPr>
                <w:rFonts w:ascii="Times New Roman" w:hAnsi="Times New Roman" w:cs="Times New Roman"/>
                <w:b/>
                <w:i/>
                <w:spacing w:val="-20"/>
                <w:sz w:val="24"/>
                <w:szCs w:val="24"/>
              </w:rPr>
              <w:t xml:space="preserve"> </w:t>
            </w:r>
            <w:r w:rsidRPr="00BB5BFC">
              <w:rPr>
                <w:rFonts w:ascii="Times New Roman" w:hAnsi="Times New Roman" w:cs="Times New Roman"/>
                <w:b/>
                <w:i/>
                <w:sz w:val="24"/>
                <w:szCs w:val="24"/>
              </w:rPr>
              <w:t>Gram-negative</w:t>
            </w:r>
            <w:r w:rsidRPr="00BB5BFC">
              <w:rPr>
                <w:rFonts w:ascii="Times New Roman" w:hAnsi="Times New Roman" w:cs="Times New Roman"/>
                <w:b/>
                <w:i/>
                <w:spacing w:val="-19"/>
                <w:sz w:val="24"/>
                <w:szCs w:val="24"/>
              </w:rPr>
              <w:t xml:space="preserve"> </w:t>
            </w:r>
            <w:r w:rsidRPr="00BB5BFC">
              <w:rPr>
                <w:rFonts w:ascii="Times New Roman" w:hAnsi="Times New Roman" w:cs="Times New Roman"/>
                <w:b/>
                <w:i/>
                <w:sz w:val="24"/>
                <w:szCs w:val="24"/>
              </w:rPr>
              <w:t>microorganisms</w:t>
            </w:r>
          </w:p>
        </w:tc>
      </w:tr>
      <w:tr w:rsidR="000D4D1E" w:rsidRPr="00BB5BFC" w14:paraId="2BD58CFB"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01015990" w14:textId="77777777" w:rsidR="000D4D1E" w:rsidRPr="00BB5BFC" w:rsidRDefault="000D4D1E">
            <w:pPr>
              <w:pStyle w:val="TableParagraph"/>
              <w:spacing w:line="266" w:lineRule="exact"/>
              <w:ind w:left="100"/>
              <w:rPr>
                <w:rFonts w:ascii="Times New Roman" w:eastAsia="Segoe UI" w:hAnsi="Times New Roman" w:cs="Times New Roman"/>
                <w:sz w:val="24"/>
                <w:szCs w:val="24"/>
              </w:rPr>
            </w:pPr>
            <w:r w:rsidRPr="00BB5BFC">
              <w:rPr>
                <w:rFonts w:ascii="Times New Roman" w:hAnsi="Times New Roman" w:cs="Times New Roman"/>
                <w:i/>
                <w:sz w:val="24"/>
                <w:szCs w:val="24"/>
              </w:rPr>
              <w:t>Moraxella</w:t>
            </w:r>
            <w:r w:rsidRPr="00BB5BFC">
              <w:rPr>
                <w:rFonts w:ascii="Times New Roman" w:hAnsi="Times New Roman" w:cs="Times New Roman"/>
                <w:i/>
                <w:spacing w:val="-18"/>
                <w:sz w:val="24"/>
                <w:szCs w:val="24"/>
              </w:rPr>
              <w:t xml:space="preserve"> </w:t>
            </w:r>
            <w:r w:rsidRPr="00BB5BFC">
              <w:rPr>
                <w:rFonts w:ascii="Times New Roman" w:hAnsi="Times New Roman" w:cs="Times New Roman"/>
                <w:i/>
                <w:sz w:val="24"/>
                <w:szCs w:val="24"/>
              </w:rPr>
              <w:t>catarrhalis</w:t>
            </w:r>
            <w:r w:rsidRPr="00BB5BFC">
              <w:rPr>
                <w:rFonts w:ascii="Times New Roman" w:hAnsi="Times New Roman" w:cs="Times New Roman"/>
                <w:position w:val="9"/>
                <w:sz w:val="24"/>
                <w:szCs w:val="24"/>
                <w:vertAlign w:val="superscript"/>
              </w:rPr>
              <w:t>$</w:t>
            </w:r>
          </w:p>
        </w:tc>
      </w:tr>
      <w:tr w:rsidR="000D4D1E" w:rsidRPr="00BB5BFC" w14:paraId="7DFA8E0B"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3A8E3E58"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Anaerobic</w:t>
            </w:r>
            <w:r w:rsidRPr="00BB5BFC">
              <w:rPr>
                <w:rFonts w:ascii="Times New Roman" w:hAnsi="Times New Roman" w:cs="Times New Roman"/>
                <w:b/>
                <w:i/>
                <w:spacing w:val="-26"/>
                <w:sz w:val="24"/>
                <w:szCs w:val="24"/>
              </w:rPr>
              <w:t xml:space="preserve"> </w:t>
            </w:r>
            <w:r w:rsidRPr="00BB5BFC">
              <w:rPr>
                <w:rFonts w:ascii="Times New Roman" w:hAnsi="Times New Roman" w:cs="Times New Roman"/>
                <w:b/>
                <w:i/>
                <w:sz w:val="24"/>
                <w:szCs w:val="24"/>
              </w:rPr>
              <w:t>microorganisms</w:t>
            </w:r>
          </w:p>
        </w:tc>
      </w:tr>
      <w:tr w:rsidR="000D4D1E" w:rsidRPr="00BB5BFC" w14:paraId="72B42108" w14:textId="77777777" w:rsidTr="00BB5BFC">
        <w:trPr>
          <w:trHeight w:val="284"/>
        </w:trPr>
        <w:tc>
          <w:tcPr>
            <w:tcW w:w="5465" w:type="dxa"/>
            <w:tcBorders>
              <w:top w:val="single" w:sz="6" w:space="0" w:color="000000"/>
              <w:left w:val="single" w:sz="6" w:space="0" w:color="000000"/>
              <w:bottom w:val="single" w:sz="6" w:space="0" w:color="000000"/>
              <w:right w:val="single" w:sz="6" w:space="0" w:color="000000"/>
            </w:tcBorders>
            <w:hideMark/>
          </w:tcPr>
          <w:p w14:paraId="10283CE0"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Bacteroides</w:t>
            </w:r>
            <w:r w:rsidRPr="00BB5BFC">
              <w:rPr>
                <w:rFonts w:ascii="Times New Roman" w:hAnsi="Times New Roman" w:cs="Times New Roman"/>
                <w:i/>
                <w:spacing w:val="-17"/>
                <w:sz w:val="24"/>
                <w:szCs w:val="24"/>
              </w:rPr>
              <w:t xml:space="preserve"> </w:t>
            </w:r>
            <w:r w:rsidRPr="00BB5BFC">
              <w:rPr>
                <w:rFonts w:ascii="Times New Roman" w:hAnsi="Times New Roman" w:cs="Times New Roman"/>
                <w:i/>
                <w:sz w:val="24"/>
                <w:szCs w:val="24"/>
              </w:rPr>
              <w:t>fragilis</w:t>
            </w:r>
          </w:p>
        </w:tc>
      </w:tr>
    </w:tbl>
    <w:p w14:paraId="036430F0" w14:textId="77777777" w:rsidR="000D4D1E" w:rsidRPr="00BB5BFC" w:rsidRDefault="000D4D1E" w:rsidP="000D4D1E">
      <w:pPr>
        <w:autoSpaceDE w:val="0"/>
        <w:autoSpaceDN w:val="0"/>
        <w:adjustRightInd w:val="0"/>
        <w:rPr>
          <w:sz w:val="24"/>
          <w:szCs w:val="24"/>
          <w:lang w:val="en-GB" w:eastAsia="en-US"/>
        </w:rPr>
      </w:pPr>
    </w:p>
    <w:tbl>
      <w:tblPr>
        <w:tblW w:w="0" w:type="auto"/>
        <w:tblInd w:w="843" w:type="dxa"/>
        <w:tblLayout w:type="fixed"/>
        <w:tblCellMar>
          <w:left w:w="0" w:type="dxa"/>
          <w:right w:w="0" w:type="dxa"/>
        </w:tblCellMar>
        <w:tblLook w:val="01E0" w:firstRow="1" w:lastRow="1" w:firstColumn="1" w:lastColumn="1" w:noHBand="0" w:noVBand="0"/>
      </w:tblPr>
      <w:tblGrid>
        <w:gridCol w:w="5386"/>
      </w:tblGrid>
      <w:tr w:rsidR="000D4D1E" w:rsidRPr="00BB5BFC" w14:paraId="24F34B66"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35B61292"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sz w:val="24"/>
                <w:szCs w:val="24"/>
              </w:rPr>
              <w:t>Inherently</w:t>
            </w:r>
            <w:r w:rsidRPr="00BB5BFC">
              <w:rPr>
                <w:rFonts w:ascii="Times New Roman" w:hAnsi="Times New Roman" w:cs="Times New Roman"/>
                <w:b/>
                <w:spacing w:val="-15"/>
                <w:sz w:val="24"/>
                <w:szCs w:val="24"/>
              </w:rPr>
              <w:t xml:space="preserve"> </w:t>
            </w:r>
            <w:r w:rsidRPr="00BB5BFC">
              <w:rPr>
                <w:rFonts w:ascii="Times New Roman" w:hAnsi="Times New Roman" w:cs="Times New Roman"/>
                <w:b/>
                <w:sz w:val="24"/>
                <w:szCs w:val="24"/>
              </w:rPr>
              <w:t>resistant</w:t>
            </w:r>
            <w:r w:rsidRPr="00BB5BFC">
              <w:rPr>
                <w:rFonts w:ascii="Times New Roman" w:hAnsi="Times New Roman" w:cs="Times New Roman"/>
                <w:b/>
                <w:spacing w:val="-15"/>
                <w:sz w:val="24"/>
                <w:szCs w:val="24"/>
              </w:rPr>
              <w:t xml:space="preserve"> </w:t>
            </w:r>
            <w:r w:rsidRPr="00BB5BFC">
              <w:rPr>
                <w:rFonts w:ascii="Times New Roman" w:hAnsi="Times New Roman" w:cs="Times New Roman"/>
                <w:b/>
                <w:sz w:val="24"/>
                <w:szCs w:val="24"/>
              </w:rPr>
              <w:t>organisms</w:t>
            </w:r>
          </w:p>
        </w:tc>
      </w:tr>
      <w:tr w:rsidR="000D4D1E" w:rsidRPr="00BB5BFC" w14:paraId="357CBB06"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24A05229"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Aerobic</w:t>
            </w:r>
            <w:r w:rsidRPr="00BB5BFC">
              <w:rPr>
                <w:rFonts w:ascii="Times New Roman" w:hAnsi="Times New Roman" w:cs="Times New Roman"/>
                <w:b/>
                <w:i/>
                <w:spacing w:val="-19"/>
                <w:sz w:val="24"/>
                <w:szCs w:val="24"/>
              </w:rPr>
              <w:t xml:space="preserve"> </w:t>
            </w:r>
            <w:r w:rsidRPr="00BB5BFC">
              <w:rPr>
                <w:rFonts w:ascii="Times New Roman" w:hAnsi="Times New Roman" w:cs="Times New Roman"/>
                <w:b/>
                <w:i/>
                <w:sz w:val="24"/>
                <w:szCs w:val="24"/>
              </w:rPr>
              <w:t>Gram-positive</w:t>
            </w:r>
            <w:r w:rsidRPr="00BB5BFC">
              <w:rPr>
                <w:rFonts w:ascii="Times New Roman" w:hAnsi="Times New Roman" w:cs="Times New Roman"/>
                <w:b/>
                <w:i/>
                <w:spacing w:val="-19"/>
                <w:sz w:val="24"/>
                <w:szCs w:val="24"/>
              </w:rPr>
              <w:t xml:space="preserve"> </w:t>
            </w:r>
            <w:r w:rsidRPr="00BB5BFC">
              <w:rPr>
                <w:rFonts w:ascii="Times New Roman" w:hAnsi="Times New Roman" w:cs="Times New Roman"/>
                <w:b/>
                <w:i/>
                <w:sz w:val="24"/>
                <w:szCs w:val="24"/>
              </w:rPr>
              <w:t>microorganisms</w:t>
            </w:r>
          </w:p>
        </w:tc>
      </w:tr>
      <w:tr w:rsidR="000D4D1E" w:rsidRPr="00BB5BFC" w14:paraId="10EF427F"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0D1F9DA4"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Enterococcus</w:t>
            </w:r>
            <w:r w:rsidRPr="00BB5BFC">
              <w:rPr>
                <w:rFonts w:ascii="Times New Roman" w:hAnsi="Times New Roman" w:cs="Times New Roman"/>
                <w:i/>
                <w:spacing w:val="-15"/>
                <w:sz w:val="24"/>
                <w:szCs w:val="24"/>
              </w:rPr>
              <w:t xml:space="preserve"> </w:t>
            </w:r>
            <w:r w:rsidRPr="00BB5BFC">
              <w:rPr>
                <w:rFonts w:ascii="Times New Roman" w:hAnsi="Times New Roman" w:cs="Times New Roman"/>
                <w:sz w:val="24"/>
                <w:szCs w:val="24"/>
              </w:rPr>
              <w:t>spp.</w:t>
            </w:r>
          </w:p>
        </w:tc>
      </w:tr>
      <w:tr w:rsidR="000D4D1E" w:rsidRPr="00BB5BFC" w14:paraId="587DDFA8"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45D6B22A"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Listeria</w:t>
            </w:r>
            <w:r w:rsidRPr="00BB5BFC">
              <w:rPr>
                <w:rFonts w:ascii="Times New Roman" w:hAnsi="Times New Roman" w:cs="Times New Roman"/>
                <w:i/>
                <w:spacing w:val="-21"/>
                <w:sz w:val="24"/>
                <w:szCs w:val="24"/>
              </w:rPr>
              <w:t xml:space="preserve"> </w:t>
            </w:r>
            <w:r w:rsidRPr="00BB5BFC">
              <w:rPr>
                <w:rFonts w:ascii="Times New Roman" w:hAnsi="Times New Roman" w:cs="Times New Roman"/>
                <w:i/>
                <w:sz w:val="24"/>
                <w:szCs w:val="24"/>
              </w:rPr>
              <w:t>monocytogenes</w:t>
            </w:r>
          </w:p>
        </w:tc>
      </w:tr>
      <w:tr w:rsidR="000D4D1E" w:rsidRPr="00BB5BFC" w14:paraId="65F20656"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6FFA072C"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Aerobic</w:t>
            </w:r>
            <w:r w:rsidRPr="00BB5BFC">
              <w:rPr>
                <w:rFonts w:ascii="Times New Roman" w:hAnsi="Times New Roman" w:cs="Times New Roman"/>
                <w:b/>
                <w:i/>
                <w:spacing w:val="-20"/>
                <w:sz w:val="24"/>
                <w:szCs w:val="24"/>
              </w:rPr>
              <w:t xml:space="preserve"> </w:t>
            </w:r>
            <w:r w:rsidRPr="00BB5BFC">
              <w:rPr>
                <w:rFonts w:ascii="Times New Roman" w:hAnsi="Times New Roman" w:cs="Times New Roman"/>
                <w:b/>
                <w:i/>
                <w:sz w:val="24"/>
                <w:szCs w:val="24"/>
              </w:rPr>
              <w:t>Gram-negative</w:t>
            </w:r>
            <w:r w:rsidRPr="00BB5BFC">
              <w:rPr>
                <w:rFonts w:ascii="Times New Roman" w:hAnsi="Times New Roman" w:cs="Times New Roman"/>
                <w:b/>
                <w:i/>
                <w:spacing w:val="-19"/>
                <w:sz w:val="24"/>
                <w:szCs w:val="24"/>
              </w:rPr>
              <w:t xml:space="preserve"> </w:t>
            </w:r>
            <w:r w:rsidRPr="00BB5BFC">
              <w:rPr>
                <w:rFonts w:ascii="Times New Roman" w:hAnsi="Times New Roman" w:cs="Times New Roman"/>
                <w:b/>
                <w:i/>
                <w:sz w:val="24"/>
                <w:szCs w:val="24"/>
              </w:rPr>
              <w:t>microorganisms</w:t>
            </w:r>
          </w:p>
        </w:tc>
      </w:tr>
      <w:tr w:rsidR="000D4D1E" w:rsidRPr="00BB5BFC" w14:paraId="7DDD1D65"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10EA0C0E"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Escherichia</w:t>
            </w:r>
            <w:r w:rsidRPr="00BB5BFC">
              <w:rPr>
                <w:rFonts w:ascii="Times New Roman" w:hAnsi="Times New Roman" w:cs="Times New Roman"/>
                <w:i/>
                <w:spacing w:val="-14"/>
                <w:sz w:val="24"/>
                <w:szCs w:val="24"/>
              </w:rPr>
              <w:t xml:space="preserve"> </w:t>
            </w:r>
            <w:r w:rsidRPr="00BB5BFC">
              <w:rPr>
                <w:rFonts w:ascii="Times New Roman" w:hAnsi="Times New Roman" w:cs="Times New Roman"/>
                <w:i/>
                <w:sz w:val="24"/>
                <w:szCs w:val="24"/>
              </w:rPr>
              <w:t>coli</w:t>
            </w:r>
          </w:p>
        </w:tc>
      </w:tr>
      <w:tr w:rsidR="000D4D1E" w:rsidRPr="00BB5BFC" w14:paraId="53E0144D"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26BDA141" w14:textId="77777777" w:rsidR="000D4D1E" w:rsidRPr="00BB5BFC" w:rsidRDefault="000D4D1E">
            <w:pPr>
              <w:pStyle w:val="TableParagraph"/>
              <w:ind w:left="100"/>
              <w:rPr>
                <w:rFonts w:ascii="Times New Roman" w:eastAsia="Segoe UI" w:hAnsi="Times New Roman" w:cs="Times New Roman"/>
                <w:sz w:val="24"/>
                <w:szCs w:val="24"/>
              </w:rPr>
            </w:pPr>
            <w:proofErr w:type="spellStart"/>
            <w:r w:rsidRPr="00BB5BFC">
              <w:rPr>
                <w:rFonts w:ascii="Times New Roman" w:hAnsi="Times New Roman" w:cs="Times New Roman"/>
                <w:i/>
                <w:sz w:val="24"/>
                <w:szCs w:val="24"/>
              </w:rPr>
              <w:t>Haemophilus</w:t>
            </w:r>
            <w:proofErr w:type="spellEnd"/>
            <w:r w:rsidRPr="00BB5BFC">
              <w:rPr>
                <w:rFonts w:ascii="Times New Roman" w:hAnsi="Times New Roman" w:cs="Times New Roman"/>
                <w:i/>
                <w:spacing w:val="-22"/>
                <w:sz w:val="24"/>
                <w:szCs w:val="24"/>
              </w:rPr>
              <w:t xml:space="preserve"> </w:t>
            </w:r>
            <w:r w:rsidRPr="00BB5BFC">
              <w:rPr>
                <w:rFonts w:ascii="Times New Roman" w:hAnsi="Times New Roman" w:cs="Times New Roman"/>
                <w:i/>
                <w:sz w:val="24"/>
                <w:szCs w:val="24"/>
              </w:rPr>
              <w:t>influenzae</w:t>
            </w:r>
          </w:p>
        </w:tc>
      </w:tr>
      <w:tr w:rsidR="000D4D1E" w:rsidRPr="00BB5BFC" w14:paraId="49DD6C2C"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5677B812"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Klebsiella</w:t>
            </w:r>
            <w:r w:rsidRPr="00BB5BFC">
              <w:rPr>
                <w:rFonts w:ascii="Times New Roman" w:hAnsi="Times New Roman" w:cs="Times New Roman"/>
                <w:i/>
                <w:spacing w:val="-11"/>
                <w:sz w:val="24"/>
                <w:szCs w:val="24"/>
              </w:rPr>
              <w:t xml:space="preserve"> </w:t>
            </w:r>
            <w:r w:rsidRPr="00BB5BFC">
              <w:rPr>
                <w:rFonts w:ascii="Times New Roman" w:hAnsi="Times New Roman" w:cs="Times New Roman"/>
                <w:sz w:val="24"/>
                <w:szCs w:val="24"/>
              </w:rPr>
              <w:t>spp</w:t>
            </w:r>
            <w:r w:rsidRPr="00BB5BFC">
              <w:rPr>
                <w:rFonts w:ascii="Times New Roman" w:hAnsi="Times New Roman" w:cs="Times New Roman"/>
                <w:i/>
                <w:sz w:val="24"/>
                <w:szCs w:val="24"/>
              </w:rPr>
              <w:t>.</w:t>
            </w:r>
          </w:p>
        </w:tc>
      </w:tr>
      <w:tr w:rsidR="000D4D1E" w:rsidRPr="00BB5BFC" w14:paraId="5DBDFEA9"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4E8BA176"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Pseudomonas</w:t>
            </w:r>
            <w:r w:rsidRPr="00BB5BFC">
              <w:rPr>
                <w:rFonts w:ascii="Times New Roman" w:hAnsi="Times New Roman" w:cs="Times New Roman"/>
                <w:i/>
                <w:spacing w:val="-23"/>
                <w:sz w:val="24"/>
                <w:szCs w:val="24"/>
              </w:rPr>
              <w:t xml:space="preserve"> </w:t>
            </w:r>
            <w:r w:rsidRPr="00BB5BFC">
              <w:rPr>
                <w:rFonts w:ascii="Times New Roman" w:hAnsi="Times New Roman" w:cs="Times New Roman"/>
                <w:i/>
                <w:sz w:val="24"/>
                <w:szCs w:val="24"/>
              </w:rPr>
              <w:t>aeruginosa</w:t>
            </w:r>
          </w:p>
        </w:tc>
      </w:tr>
      <w:tr w:rsidR="000D4D1E" w:rsidRPr="00BB5BFC" w14:paraId="076DC745"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5CDF8E95"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Anaerobic</w:t>
            </w:r>
            <w:r w:rsidRPr="00BB5BFC">
              <w:rPr>
                <w:rFonts w:ascii="Times New Roman" w:hAnsi="Times New Roman" w:cs="Times New Roman"/>
                <w:b/>
                <w:i/>
                <w:spacing w:val="-26"/>
                <w:sz w:val="24"/>
                <w:szCs w:val="24"/>
              </w:rPr>
              <w:t xml:space="preserve"> </w:t>
            </w:r>
            <w:r w:rsidRPr="00BB5BFC">
              <w:rPr>
                <w:rFonts w:ascii="Times New Roman" w:hAnsi="Times New Roman" w:cs="Times New Roman"/>
                <w:b/>
                <w:i/>
                <w:sz w:val="24"/>
                <w:szCs w:val="24"/>
              </w:rPr>
              <w:t>microorganisms</w:t>
            </w:r>
          </w:p>
        </w:tc>
      </w:tr>
      <w:tr w:rsidR="000D4D1E" w:rsidRPr="00BB5BFC" w14:paraId="36D3B5C8"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19824D14"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Clostridioides</w:t>
            </w:r>
            <w:r w:rsidRPr="00BB5BFC">
              <w:rPr>
                <w:rFonts w:ascii="Times New Roman" w:hAnsi="Times New Roman" w:cs="Times New Roman"/>
                <w:i/>
                <w:spacing w:val="-18"/>
                <w:sz w:val="24"/>
                <w:szCs w:val="24"/>
              </w:rPr>
              <w:t xml:space="preserve"> </w:t>
            </w:r>
            <w:r w:rsidRPr="00BB5BFC">
              <w:rPr>
                <w:rFonts w:ascii="Times New Roman" w:hAnsi="Times New Roman" w:cs="Times New Roman"/>
                <w:i/>
                <w:sz w:val="24"/>
                <w:szCs w:val="24"/>
              </w:rPr>
              <w:t>difficile</w:t>
            </w:r>
          </w:p>
        </w:tc>
      </w:tr>
      <w:tr w:rsidR="000D4D1E" w:rsidRPr="00BB5BFC" w14:paraId="396F1867"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72F1985D"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b/>
                <w:i/>
                <w:sz w:val="24"/>
                <w:szCs w:val="24"/>
              </w:rPr>
              <w:t>Other</w:t>
            </w:r>
            <w:r w:rsidRPr="00BB5BFC">
              <w:rPr>
                <w:rFonts w:ascii="Times New Roman" w:hAnsi="Times New Roman" w:cs="Times New Roman"/>
                <w:b/>
                <w:i/>
                <w:spacing w:val="-22"/>
                <w:sz w:val="24"/>
                <w:szCs w:val="24"/>
              </w:rPr>
              <w:t xml:space="preserve"> </w:t>
            </w:r>
            <w:r w:rsidRPr="00BB5BFC">
              <w:rPr>
                <w:rFonts w:ascii="Times New Roman" w:hAnsi="Times New Roman" w:cs="Times New Roman"/>
                <w:b/>
                <w:i/>
                <w:sz w:val="24"/>
                <w:szCs w:val="24"/>
              </w:rPr>
              <w:t>microorganisms</w:t>
            </w:r>
          </w:p>
        </w:tc>
      </w:tr>
      <w:tr w:rsidR="000D4D1E" w:rsidRPr="00BB5BFC" w14:paraId="2C309222"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7608018E" w14:textId="77777777" w:rsidR="000D4D1E" w:rsidRPr="00BB5BFC" w:rsidRDefault="000D4D1E">
            <w:pPr>
              <w:pStyle w:val="TableParagraph"/>
              <w:ind w:left="100"/>
              <w:rPr>
                <w:rFonts w:ascii="Times New Roman" w:eastAsia="Segoe UI" w:hAnsi="Times New Roman" w:cs="Times New Roman"/>
                <w:sz w:val="24"/>
                <w:szCs w:val="24"/>
              </w:rPr>
            </w:pPr>
            <w:r w:rsidRPr="00BB5BFC">
              <w:rPr>
                <w:rFonts w:ascii="Times New Roman" w:hAnsi="Times New Roman" w:cs="Times New Roman"/>
                <w:i/>
                <w:sz w:val="24"/>
                <w:szCs w:val="24"/>
              </w:rPr>
              <w:t>Mycoplasma</w:t>
            </w:r>
            <w:r w:rsidRPr="00BB5BFC">
              <w:rPr>
                <w:rFonts w:ascii="Times New Roman" w:hAnsi="Times New Roman" w:cs="Times New Roman"/>
                <w:i/>
                <w:spacing w:val="-23"/>
                <w:sz w:val="24"/>
                <w:szCs w:val="24"/>
              </w:rPr>
              <w:t xml:space="preserve"> </w:t>
            </w:r>
            <w:r w:rsidRPr="00BB5BFC">
              <w:rPr>
                <w:rFonts w:ascii="Times New Roman" w:hAnsi="Times New Roman" w:cs="Times New Roman"/>
                <w:i/>
                <w:sz w:val="24"/>
                <w:szCs w:val="24"/>
              </w:rPr>
              <w:t>pneumoniae</w:t>
            </w:r>
          </w:p>
        </w:tc>
      </w:tr>
      <w:tr w:rsidR="000D4D1E" w:rsidRPr="00BB5BFC" w14:paraId="13EDD272" w14:textId="77777777" w:rsidTr="00BB5BFC">
        <w:trPr>
          <w:trHeight w:val="284"/>
        </w:trPr>
        <w:tc>
          <w:tcPr>
            <w:tcW w:w="5386" w:type="dxa"/>
            <w:tcBorders>
              <w:top w:val="single" w:sz="6" w:space="0" w:color="000000"/>
              <w:left w:val="single" w:sz="6" w:space="0" w:color="000000"/>
              <w:bottom w:val="single" w:sz="6" w:space="0" w:color="000000"/>
              <w:right w:val="single" w:sz="6" w:space="0" w:color="000000"/>
            </w:tcBorders>
            <w:hideMark/>
          </w:tcPr>
          <w:p w14:paraId="5E62EB68" w14:textId="77777777" w:rsidR="000D4D1E" w:rsidRPr="00BB5BFC" w:rsidRDefault="000D4D1E">
            <w:pPr>
              <w:pStyle w:val="TableParagraph"/>
              <w:ind w:left="100"/>
              <w:rPr>
                <w:rFonts w:ascii="Times New Roman" w:eastAsia="Segoe UI" w:hAnsi="Times New Roman" w:cs="Times New Roman"/>
                <w:sz w:val="24"/>
                <w:szCs w:val="24"/>
              </w:rPr>
            </w:pPr>
            <w:proofErr w:type="spellStart"/>
            <w:r w:rsidRPr="00BB5BFC">
              <w:rPr>
                <w:rFonts w:ascii="Times New Roman" w:hAnsi="Times New Roman" w:cs="Times New Roman"/>
                <w:i/>
                <w:sz w:val="24"/>
                <w:szCs w:val="24"/>
              </w:rPr>
              <w:t>Ureaplasma</w:t>
            </w:r>
            <w:proofErr w:type="spellEnd"/>
            <w:r w:rsidRPr="00BB5BFC">
              <w:rPr>
                <w:rFonts w:ascii="Times New Roman" w:hAnsi="Times New Roman" w:cs="Times New Roman"/>
                <w:i/>
                <w:spacing w:val="-22"/>
                <w:sz w:val="24"/>
                <w:szCs w:val="24"/>
              </w:rPr>
              <w:t xml:space="preserve"> </w:t>
            </w:r>
            <w:proofErr w:type="spellStart"/>
            <w:r w:rsidRPr="00BB5BFC">
              <w:rPr>
                <w:rFonts w:ascii="Times New Roman" w:hAnsi="Times New Roman" w:cs="Times New Roman"/>
                <w:i/>
                <w:sz w:val="24"/>
                <w:szCs w:val="24"/>
              </w:rPr>
              <w:t>urealyticum</w:t>
            </w:r>
            <w:proofErr w:type="spellEnd"/>
          </w:p>
        </w:tc>
      </w:tr>
    </w:tbl>
    <w:p w14:paraId="48BF4323" w14:textId="15AEC50D" w:rsidR="000D4D1E" w:rsidRPr="00BB5BFC" w:rsidRDefault="000D4D1E" w:rsidP="004F3E05">
      <w:pPr>
        <w:tabs>
          <w:tab w:val="left" w:pos="1134"/>
        </w:tabs>
        <w:ind w:left="1127" w:hanging="276"/>
        <w:rPr>
          <w:sz w:val="24"/>
          <w:szCs w:val="24"/>
          <w:lang w:val="en-US"/>
        </w:rPr>
      </w:pPr>
      <w:r w:rsidRPr="00BB5BFC">
        <w:rPr>
          <w:sz w:val="24"/>
          <w:szCs w:val="24"/>
          <w:lang w:val="en-US"/>
        </w:rPr>
        <w:t xml:space="preserve">° </w:t>
      </w:r>
      <w:r w:rsidR="004F3E05">
        <w:rPr>
          <w:sz w:val="24"/>
          <w:szCs w:val="24"/>
          <w:lang w:val="en-US"/>
        </w:rPr>
        <w:tab/>
      </w:r>
      <w:r w:rsidRPr="00BB5BFC">
        <w:rPr>
          <w:sz w:val="24"/>
          <w:szCs w:val="24"/>
          <w:lang w:val="en-US"/>
        </w:rPr>
        <w:t>No updated data were available at release of tables. Primary literature, scientific standard literature and therapeutic recommendations assume susceptibility.</w:t>
      </w:r>
    </w:p>
    <w:p w14:paraId="6C7F770B" w14:textId="6CCA4F9F" w:rsidR="000D4D1E" w:rsidRPr="00BB5BFC" w:rsidRDefault="000D4D1E" w:rsidP="004F3E05">
      <w:pPr>
        <w:tabs>
          <w:tab w:val="left" w:pos="1134"/>
        </w:tabs>
        <w:ind w:left="851"/>
        <w:rPr>
          <w:sz w:val="24"/>
          <w:szCs w:val="24"/>
          <w:lang w:val="en-US"/>
        </w:rPr>
      </w:pPr>
      <w:r w:rsidRPr="00BB5BFC">
        <w:rPr>
          <w:sz w:val="24"/>
          <w:szCs w:val="24"/>
          <w:lang w:val="en-US"/>
        </w:rPr>
        <w:t xml:space="preserve">$ </w:t>
      </w:r>
      <w:r w:rsidR="004F3E05">
        <w:rPr>
          <w:sz w:val="24"/>
          <w:szCs w:val="24"/>
          <w:lang w:val="en-US"/>
        </w:rPr>
        <w:tab/>
      </w:r>
      <w:r w:rsidRPr="00BB5BFC">
        <w:rPr>
          <w:sz w:val="24"/>
          <w:szCs w:val="24"/>
          <w:lang w:val="en-US"/>
        </w:rPr>
        <w:t>Inherent susceptibility of most of the isolates shows intermediate resistance.</w:t>
      </w:r>
    </w:p>
    <w:p w14:paraId="7106DF53" w14:textId="285D870A" w:rsidR="000D4D1E" w:rsidRPr="00BB5BFC" w:rsidRDefault="000D4D1E" w:rsidP="004F3E05">
      <w:pPr>
        <w:tabs>
          <w:tab w:val="left" w:pos="1134"/>
        </w:tabs>
        <w:ind w:left="851"/>
        <w:rPr>
          <w:sz w:val="24"/>
          <w:szCs w:val="24"/>
          <w:lang w:val="en-US"/>
        </w:rPr>
      </w:pPr>
      <w:r w:rsidRPr="00BB5BFC">
        <w:rPr>
          <w:sz w:val="24"/>
          <w:szCs w:val="24"/>
          <w:lang w:val="en-US"/>
        </w:rPr>
        <w:t xml:space="preserve">+ </w:t>
      </w:r>
      <w:r w:rsidR="004F3E05">
        <w:rPr>
          <w:sz w:val="24"/>
          <w:szCs w:val="24"/>
          <w:lang w:val="en-US"/>
        </w:rPr>
        <w:tab/>
      </w:r>
      <w:r w:rsidRPr="00BB5BFC">
        <w:rPr>
          <w:sz w:val="24"/>
          <w:szCs w:val="24"/>
          <w:lang w:val="en-US"/>
        </w:rPr>
        <w:t>At least on region shows resistance rates higher than 50%.</w:t>
      </w:r>
    </w:p>
    <w:p w14:paraId="2FB25695" w14:textId="27126346" w:rsidR="000D4D1E" w:rsidRPr="00BB5BFC" w:rsidRDefault="000D4D1E" w:rsidP="004F3E05">
      <w:pPr>
        <w:tabs>
          <w:tab w:val="left" w:pos="1134"/>
        </w:tabs>
        <w:ind w:left="1127" w:hanging="276"/>
        <w:rPr>
          <w:sz w:val="24"/>
          <w:szCs w:val="24"/>
          <w:lang w:val="en-US"/>
        </w:rPr>
      </w:pPr>
      <w:r w:rsidRPr="00BB5BFC">
        <w:rPr>
          <w:sz w:val="24"/>
          <w:szCs w:val="24"/>
          <w:lang w:val="en-US"/>
        </w:rPr>
        <w:lastRenderedPageBreak/>
        <w:t xml:space="preserve">^ </w:t>
      </w:r>
      <w:r w:rsidR="004F3E05">
        <w:rPr>
          <w:sz w:val="24"/>
          <w:szCs w:val="24"/>
          <w:lang w:val="en-US"/>
        </w:rPr>
        <w:tab/>
      </w:r>
      <w:r w:rsidRPr="00BB5BFC">
        <w:rPr>
          <w:sz w:val="24"/>
          <w:szCs w:val="24"/>
          <w:lang w:val="en-US"/>
        </w:rPr>
        <w:t>Collective name for a heterogeneous group of streptococci species. Resistance rate may vary according to the streptococci species present.</w:t>
      </w:r>
    </w:p>
    <w:p w14:paraId="76AE9B95" w14:textId="77777777" w:rsidR="007C5D2A" w:rsidRPr="00BB5BFC" w:rsidRDefault="007C5D2A" w:rsidP="003E0341">
      <w:pPr>
        <w:tabs>
          <w:tab w:val="left" w:pos="851"/>
        </w:tabs>
        <w:ind w:left="851"/>
        <w:rPr>
          <w:sz w:val="24"/>
          <w:szCs w:val="24"/>
          <w:lang w:val="en-GB"/>
        </w:rPr>
      </w:pPr>
    </w:p>
    <w:p w14:paraId="239396F8" w14:textId="1CB36A5B" w:rsidR="007C5D2A" w:rsidRPr="00BB5BFC" w:rsidRDefault="007C5D2A" w:rsidP="007C5D2A">
      <w:pPr>
        <w:tabs>
          <w:tab w:val="left" w:pos="851"/>
        </w:tabs>
        <w:ind w:left="851" w:hanging="851"/>
        <w:rPr>
          <w:b/>
          <w:sz w:val="24"/>
          <w:szCs w:val="24"/>
          <w:lang w:val="en-GB"/>
        </w:rPr>
      </w:pPr>
      <w:r w:rsidRPr="00BB5BFC">
        <w:rPr>
          <w:b/>
          <w:sz w:val="24"/>
          <w:szCs w:val="24"/>
          <w:lang w:val="en-GB"/>
        </w:rPr>
        <w:t>5.2</w:t>
      </w:r>
      <w:r w:rsidRPr="00BB5BFC">
        <w:rPr>
          <w:b/>
          <w:sz w:val="24"/>
          <w:szCs w:val="24"/>
          <w:lang w:val="en-GB"/>
        </w:rPr>
        <w:tab/>
        <w:t>Pharmacokinetic properties</w:t>
      </w:r>
    </w:p>
    <w:p w14:paraId="5BD22597" w14:textId="77777777" w:rsidR="00FD2657" w:rsidRDefault="00FD2657" w:rsidP="00BB5BFC">
      <w:pPr>
        <w:ind w:left="851"/>
        <w:rPr>
          <w:sz w:val="24"/>
          <w:szCs w:val="24"/>
          <w:lang w:val="en-US"/>
        </w:rPr>
      </w:pPr>
    </w:p>
    <w:p w14:paraId="66E776E1" w14:textId="0805A686" w:rsidR="000D4D1E" w:rsidRPr="00FD2657" w:rsidRDefault="000D4D1E" w:rsidP="00BB5BFC">
      <w:pPr>
        <w:ind w:left="851"/>
        <w:rPr>
          <w:sz w:val="24"/>
          <w:szCs w:val="24"/>
          <w:u w:val="single"/>
          <w:lang w:val="en-US"/>
        </w:rPr>
      </w:pPr>
      <w:r w:rsidRPr="00FD2657">
        <w:rPr>
          <w:sz w:val="24"/>
          <w:szCs w:val="24"/>
          <w:u w:val="single"/>
          <w:lang w:val="en-US"/>
        </w:rPr>
        <w:t>Absorption</w:t>
      </w:r>
    </w:p>
    <w:p w14:paraId="58C8811C" w14:textId="77777777" w:rsidR="000D4D1E" w:rsidRPr="00BB5BFC" w:rsidRDefault="000D4D1E" w:rsidP="00BB5BFC">
      <w:pPr>
        <w:ind w:left="851"/>
        <w:rPr>
          <w:sz w:val="24"/>
          <w:szCs w:val="24"/>
          <w:lang w:val="en-US"/>
        </w:rPr>
      </w:pPr>
      <w:r w:rsidRPr="00BB5BFC">
        <w:rPr>
          <w:sz w:val="24"/>
          <w:szCs w:val="24"/>
          <w:lang w:val="en-US"/>
        </w:rPr>
        <w:t>A difference only has to be made between the clindamycin derivatives used up until the time of absorption and splitting of the esters. Afterwards clindamycin exists in the body as a free base (active form). The esters should be considered being prodrugs. Clindamycin phosphate is a water-soluble ester for parenteral application. After intramuscular injection of 300 mg, peak serum levels after 3 hours are approx. 6 microgram/ml, following intravenous application of 300 mg the mean serum concentrations after one hour are approx. 4 to 6 microgram/ml.</w:t>
      </w:r>
    </w:p>
    <w:p w14:paraId="1F0DF42D" w14:textId="77777777" w:rsidR="000D4D1E" w:rsidRPr="00BB5BFC" w:rsidRDefault="000D4D1E" w:rsidP="00BB5BFC">
      <w:pPr>
        <w:ind w:left="851"/>
        <w:rPr>
          <w:sz w:val="24"/>
          <w:szCs w:val="24"/>
          <w:lang w:val="en-US"/>
        </w:rPr>
      </w:pPr>
    </w:p>
    <w:p w14:paraId="755D367D" w14:textId="77777777" w:rsidR="000D4D1E" w:rsidRPr="00FD2657" w:rsidRDefault="000D4D1E" w:rsidP="00BB5BFC">
      <w:pPr>
        <w:ind w:left="851"/>
        <w:rPr>
          <w:sz w:val="24"/>
          <w:szCs w:val="24"/>
          <w:u w:val="single"/>
          <w:lang w:val="en-US"/>
        </w:rPr>
      </w:pPr>
      <w:r w:rsidRPr="00FD2657">
        <w:rPr>
          <w:sz w:val="24"/>
          <w:szCs w:val="24"/>
          <w:u w:val="single"/>
          <w:lang w:val="en-US"/>
        </w:rPr>
        <w:t>Distribution</w:t>
      </w:r>
    </w:p>
    <w:p w14:paraId="140058F1" w14:textId="77777777" w:rsidR="000D4D1E" w:rsidRPr="00BB5BFC" w:rsidRDefault="000D4D1E" w:rsidP="00BB5BFC">
      <w:pPr>
        <w:ind w:left="851"/>
        <w:rPr>
          <w:sz w:val="24"/>
          <w:szCs w:val="24"/>
          <w:lang w:val="en-US"/>
        </w:rPr>
      </w:pPr>
      <w:r w:rsidRPr="00BB5BFC">
        <w:rPr>
          <w:sz w:val="24"/>
          <w:szCs w:val="24"/>
          <w:lang w:val="en-US"/>
        </w:rPr>
        <w:t>The degree of binding of clindamycin to plasma proteins is concentration-dependent and lies within the therapeutic range of between40 and 94 %.</w:t>
      </w:r>
    </w:p>
    <w:p w14:paraId="6C60CF05" w14:textId="77777777" w:rsidR="000D4D1E" w:rsidRPr="00BB5BFC" w:rsidRDefault="000D4D1E" w:rsidP="00BB5BFC">
      <w:pPr>
        <w:ind w:left="851"/>
        <w:rPr>
          <w:sz w:val="24"/>
          <w:szCs w:val="24"/>
          <w:lang w:val="en-US"/>
        </w:rPr>
      </w:pPr>
    </w:p>
    <w:p w14:paraId="58F2D8DE" w14:textId="77777777" w:rsidR="000D4D1E" w:rsidRPr="00BB5BFC" w:rsidRDefault="000D4D1E" w:rsidP="00BB5BFC">
      <w:pPr>
        <w:ind w:left="851"/>
        <w:rPr>
          <w:sz w:val="24"/>
          <w:szCs w:val="24"/>
          <w:lang w:val="en-US"/>
        </w:rPr>
      </w:pPr>
      <w:r w:rsidRPr="00BB5BFC">
        <w:rPr>
          <w:sz w:val="24"/>
          <w:szCs w:val="24"/>
          <w:lang w:val="en-US"/>
        </w:rPr>
        <w:t xml:space="preserve">Clindamycin readily distributes into the tissues, passes through the placental barrier and distributes into breast milk. Even if the meninges are inflamed, diffusion into the subarachnoid space is inadequate. High concentrations are achieved in bone tissue, synovial fluid, peritoneal fluid, pleural fluid, expectorations and pus. The following concurrent serum concentrations of the active substance are reported: </w:t>
      </w:r>
      <w:proofErr w:type="spellStart"/>
      <w:r w:rsidRPr="00BB5BFC">
        <w:rPr>
          <w:sz w:val="24"/>
          <w:szCs w:val="24"/>
          <w:lang w:val="en-US"/>
        </w:rPr>
        <w:t>inbone</w:t>
      </w:r>
      <w:proofErr w:type="spellEnd"/>
      <w:r w:rsidRPr="00BB5BFC">
        <w:rPr>
          <w:sz w:val="24"/>
          <w:szCs w:val="24"/>
          <w:lang w:val="en-US"/>
        </w:rPr>
        <w:t xml:space="preserve"> tissue 40 % (20 – 75 %), in synovial fluid 50 %, in peritoneal fluid 50 %, in pleural fluid 50 – 90 %, in expectorations 30 – 75 % and in pus 30 %.</w:t>
      </w:r>
    </w:p>
    <w:p w14:paraId="7776A5C5" w14:textId="77777777" w:rsidR="000D4D1E" w:rsidRPr="00BB5BFC" w:rsidRDefault="000D4D1E" w:rsidP="00BB5BFC">
      <w:pPr>
        <w:ind w:left="851"/>
        <w:rPr>
          <w:sz w:val="24"/>
          <w:szCs w:val="24"/>
          <w:lang w:val="en-US"/>
        </w:rPr>
      </w:pPr>
    </w:p>
    <w:p w14:paraId="1DC270B4" w14:textId="77777777" w:rsidR="000D4D1E" w:rsidRPr="00FD2657" w:rsidRDefault="000D4D1E" w:rsidP="00BB5BFC">
      <w:pPr>
        <w:ind w:left="851"/>
        <w:rPr>
          <w:sz w:val="24"/>
          <w:szCs w:val="24"/>
          <w:u w:val="single"/>
          <w:lang w:val="en-US"/>
        </w:rPr>
      </w:pPr>
      <w:r w:rsidRPr="00FD2657">
        <w:rPr>
          <w:sz w:val="24"/>
          <w:szCs w:val="24"/>
          <w:u w:val="single"/>
          <w:lang w:val="en-US"/>
        </w:rPr>
        <w:t>Metabolism</w:t>
      </w:r>
    </w:p>
    <w:p w14:paraId="476A5FDD" w14:textId="77777777" w:rsidR="000D4D1E" w:rsidRPr="00BB5BFC" w:rsidRDefault="000D4D1E" w:rsidP="00BB5BFC">
      <w:pPr>
        <w:ind w:left="851"/>
        <w:rPr>
          <w:sz w:val="24"/>
          <w:szCs w:val="24"/>
          <w:lang w:val="en-US"/>
        </w:rPr>
      </w:pPr>
      <w:r w:rsidRPr="00BB5BFC">
        <w:rPr>
          <w:sz w:val="24"/>
          <w:szCs w:val="24"/>
          <w:lang w:val="en-US"/>
        </w:rPr>
        <w:t xml:space="preserve">Clindamycin is </w:t>
      </w:r>
      <w:proofErr w:type="spellStart"/>
      <w:r w:rsidRPr="00BB5BFC">
        <w:rPr>
          <w:sz w:val="24"/>
          <w:szCs w:val="24"/>
          <w:lang w:val="en-US"/>
        </w:rPr>
        <w:t>metabolised</w:t>
      </w:r>
      <w:proofErr w:type="spellEnd"/>
      <w:r w:rsidRPr="00BB5BFC">
        <w:rPr>
          <w:sz w:val="24"/>
          <w:szCs w:val="24"/>
          <w:lang w:val="en-US"/>
        </w:rPr>
        <w:t xml:space="preserve"> primarily in the liver.</w:t>
      </w:r>
    </w:p>
    <w:p w14:paraId="56EC7D25" w14:textId="77777777" w:rsidR="000D4D1E" w:rsidRPr="00BB5BFC" w:rsidRDefault="000D4D1E" w:rsidP="00BB5BFC">
      <w:pPr>
        <w:ind w:left="851"/>
        <w:rPr>
          <w:sz w:val="24"/>
          <w:szCs w:val="24"/>
          <w:lang w:val="en-US"/>
        </w:rPr>
      </w:pPr>
      <w:r w:rsidRPr="00BB5BFC">
        <w:rPr>
          <w:sz w:val="24"/>
          <w:szCs w:val="24"/>
          <w:lang w:val="en-US"/>
        </w:rPr>
        <w:t>In vitro studies in human liver and intestinal microsomes indicated that clindamycin is predominantly oxidized by CYP3A4, with minor contribution from CYP3A5, to form clindamycin sulfoxide and a minor metabolite, N-</w:t>
      </w:r>
      <w:proofErr w:type="spellStart"/>
      <w:r w:rsidRPr="00BB5BFC">
        <w:rPr>
          <w:sz w:val="24"/>
          <w:szCs w:val="24"/>
          <w:lang w:val="en-US"/>
        </w:rPr>
        <w:t>desmethylclindamycin</w:t>
      </w:r>
      <w:proofErr w:type="spellEnd"/>
      <w:r w:rsidRPr="00BB5BFC">
        <w:rPr>
          <w:sz w:val="24"/>
          <w:szCs w:val="24"/>
          <w:lang w:val="en-US"/>
        </w:rPr>
        <w:t>.</w:t>
      </w:r>
    </w:p>
    <w:p w14:paraId="4989E8CE" w14:textId="77777777" w:rsidR="000D4D1E" w:rsidRPr="00BB5BFC" w:rsidRDefault="000D4D1E" w:rsidP="00BB5BFC">
      <w:pPr>
        <w:ind w:left="851"/>
        <w:rPr>
          <w:sz w:val="24"/>
          <w:szCs w:val="24"/>
          <w:lang w:val="en-US"/>
        </w:rPr>
      </w:pPr>
      <w:r w:rsidRPr="00BB5BFC">
        <w:rPr>
          <w:sz w:val="24"/>
          <w:szCs w:val="24"/>
          <w:lang w:val="en-US"/>
        </w:rPr>
        <w:t>The serum half-life of clindamycin is approx. 3 hours in adults and approx. 2 hours in children. In the presence of renal insufficiency and moderate to severe hepatic insufficiency, the half-life is prolonged.</w:t>
      </w:r>
    </w:p>
    <w:p w14:paraId="4AB5040C" w14:textId="77777777" w:rsidR="000D4D1E" w:rsidRPr="00BB5BFC" w:rsidRDefault="000D4D1E" w:rsidP="00BB5BFC">
      <w:pPr>
        <w:ind w:left="851"/>
        <w:rPr>
          <w:sz w:val="24"/>
          <w:szCs w:val="24"/>
          <w:lang w:val="en-US"/>
        </w:rPr>
      </w:pPr>
      <w:r w:rsidRPr="00BB5BFC">
        <w:rPr>
          <w:sz w:val="24"/>
          <w:szCs w:val="24"/>
          <w:lang w:val="en-US"/>
        </w:rPr>
        <w:t>Some metabolites are microbiologically active (N-</w:t>
      </w:r>
      <w:proofErr w:type="spellStart"/>
      <w:r w:rsidRPr="00BB5BFC">
        <w:rPr>
          <w:sz w:val="24"/>
          <w:szCs w:val="24"/>
          <w:lang w:val="en-US"/>
        </w:rPr>
        <w:t>demethyl</w:t>
      </w:r>
      <w:proofErr w:type="spellEnd"/>
      <w:r w:rsidRPr="00BB5BFC">
        <w:rPr>
          <w:sz w:val="24"/>
          <w:szCs w:val="24"/>
          <w:lang w:val="en-US"/>
        </w:rPr>
        <w:t xml:space="preserve"> and </w:t>
      </w:r>
      <w:proofErr w:type="spellStart"/>
      <w:r w:rsidRPr="00BB5BFC">
        <w:rPr>
          <w:sz w:val="24"/>
          <w:szCs w:val="24"/>
          <w:lang w:val="en-US"/>
        </w:rPr>
        <w:t>sulphoxide</w:t>
      </w:r>
      <w:proofErr w:type="spellEnd"/>
      <w:r w:rsidRPr="00BB5BFC">
        <w:rPr>
          <w:sz w:val="24"/>
          <w:szCs w:val="24"/>
          <w:lang w:val="en-US"/>
        </w:rPr>
        <w:t>). Medicinal products that act as enzyme inducers in the liver shorten the mean retention time of clindamycin in the body.</w:t>
      </w:r>
    </w:p>
    <w:p w14:paraId="1D6918B4" w14:textId="77777777" w:rsidR="000D4D1E" w:rsidRPr="00BB5BFC" w:rsidRDefault="000D4D1E" w:rsidP="00BB5BFC">
      <w:pPr>
        <w:ind w:left="851"/>
        <w:rPr>
          <w:sz w:val="24"/>
          <w:szCs w:val="24"/>
          <w:lang w:val="en-US"/>
        </w:rPr>
      </w:pPr>
    </w:p>
    <w:p w14:paraId="63E56AC9" w14:textId="77777777" w:rsidR="000D4D1E" w:rsidRPr="00FD2657" w:rsidRDefault="000D4D1E" w:rsidP="00BB5BFC">
      <w:pPr>
        <w:ind w:left="851"/>
        <w:rPr>
          <w:sz w:val="24"/>
          <w:szCs w:val="24"/>
          <w:u w:val="single"/>
          <w:lang w:val="en-US"/>
        </w:rPr>
      </w:pPr>
      <w:r w:rsidRPr="00FD2657">
        <w:rPr>
          <w:sz w:val="24"/>
          <w:szCs w:val="24"/>
          <w:u w:val="single"/>
          <w:lang w:val="en-US"/>
        </w:rPr>
        <w:t>Elimination</w:t>
      </w:r>
    </w:p>
    <w:p w14:paraId="733E801A" w14:textId="77777777" w:rsidR="000D4D1E" w:rsidRPr="00BB5BFC" w:rsidRDefault="000D4D1E" w:rsidP="00BB5BFC">
      <w:pPr>
        <w:ind w:left="851"/>
        <w:rPr>
          <w:sz w:val="24"/>
          <w:szCs w:val="24"/>
          <w:lang w:val="en-US"/>
        </w:rPr>
      </w:pPr>
      <w:r w:rsidRPr="00BB5BFC">
        <w:rPr>
          <w:sz w:val="24"/>
          <w:szCs w:val="24"/>
          <w:lang w:val="en-US"/>
        </w:rPr>
        <w:t xml:space="preserve">Clindamycin is eliminated via the </w:t>
      </w:r>
      <w:proofErr w:type="spellStart"/>
      <w:r w:rsidRPr="00BB5BFC">
        <w:rPr>
          <w:sz w:val="24"/>
          <w:szCs w:val="24"/>
          <w:lang w:val="en-US"/>
        </w:rPr>
        <w:t>faeces</w:t>
      </w:r>
      <w:proofErr w:type="spellEnd"/>
      <w:r w:rsidRPr="00BB5BFC">
        <w:rPr>
          <w:sz w:val="24"/>
          <w:szCs w:val="24"/>
          <w:lang w:val="en-US"/>
        </w:rPr>
        <w:t xml:space="preserve"> at 2/3 and via the urine at 1/3 of the dose. Less than 10% of the dose is excreted unchanged in the urine.</w:t>
      </w:r>
    </w:p>
    <w:p w14:paraId="3FC5528B" w14:textId="77777777" w:rsidR="000D4D1E" w:rsidRPr="00BB5BFC" w:rsidRDefault="000D4D1E" w:rsidP="00BB5BFC">
      <w:pPr>
        <w:ind w:left="851"/>
        <w:rPr>
          <w:sz w:val="24"/>
          <w:szCs w:val="24"/>
          <w:lang w:val="en-US"/>
        </w:rPr>
      </w:pPr>
      <w:r w:rsidRPr="00BB5BFC">
        <w:rPr>
          <w:sz w:val="24"/>
          <w:szCs w:val="24"/>
          <w:lang w:val="en-US"/>
        </w:rPr>
        <w:t xml:space="preserve">Clindamycin cannot be </w:t>
      </w:r>
      <w:proofErr w:type="spellStart"/>
      <w:r w:rsidRPr="00BB5BFC">
        <w:rPr>
          <w:sz w:val="24"/>
          <w:szCs w:val="24"/>
          <w:lang w:val="en-US"/>
        </w:rPr>
        <w:t>dialysed</w:t>
      </w:r>
      <w:proofErr w:type="spellEnd"/>
      <w:r w:rsidRPr="00BB5BFC">
        <w:rPr>
          <w:sz w:val="24"/>
          <w:szCs w:val="24"/>
          <w:lang w:val="en-US"/>
        </w:rPr>
        <w:t>.</w:t>
      </w:r>
    </w:p>
    <w:p w14:paraId="0FFC63F5" w14:textId="77777777" w:rsidR="000D4D1E" w:rsidRPr="00BB5BFC" w:rsidRDefault="000D4D1E" w:rsidP="00BB5BFC">
      <w:pPr>
        <w:ind w:left="851"/>
        <w:rPr>
          <w:sz w:val="24"/>
          <w:szCs w:val="24"/>
          <w:lang w:val="en-US"/>
        </w:rPr>
      </w:pPr>
    </w:p>
    <w:p w14:paraId="60937017" w14:textId="77777777" w:rsidR="000D4D1E" w:rsidRPr="00BB5BFC" w:rsidRDefault="000D4D1E" w:rsidP="00BB5BFC">
      <w:pPr>
        <w:ind w:left="851"/>
        <w:rPr>
          <w:i/>
          <w:sz w:val="24"/>
          <w:szCs w:val="24"/>
          <w:lang w:val="en-US"/>
        </w:rPr>
      </w:pPr>
      <w:r w:rsidRPr="00433E36">
        <w:rPr>
          <w:i/>
          <w:sz w:val="24"/>
          <w:szCs w:val="24"/>
          <w:lang w:val="en-US"/>
        </w:rPr>
        <w:t>Obese paediatric patients aged 2 to under 18 years and obese adults aged 18 to 20 years:</w:t>
      </w:r>
    </w:p>
    <w:p w14:paraId="13400424" w14:textId="77777777" w:rsidR="000D4D1E" w:rsidRPr="00433E36" w:rsidRDefault="000D4D1E" w:rsidP="00BB5BFC">
      <w:pPr>
        <w:ind w:left="851"/>
        <w:rPr>
          <w:sz w:val="24"/>
          <w:szCs w:val="24"/>
          <w:lang w:val="en-US"/>
        </w:rPr>
      </w:pPr>
      <w:r w:rsidRPr="00433E36">
        <w:rPr>
          <w:sz w:val="24"/>
          <w:szCs w:val="24"/>
          <w:lang w:val="en-US"/>
        </w:rPr>
        <w:t xml:space="preserve">Analysis of pharmacokinetic data in obese paediatric patients aged 2 to under 18 years and obese adults aged 18 to 20 years showed that clindamycin clearance and volume of distribution </w:t>
      </w:r>
      <w:proofErr w:type="spellStart"/>
      <w:r w:rsidRPr="00433E36">
        <w:rPr>
          <w:sz w:val="24"/>
          <w:szCs w:val="24"/>
          <w:lang w:val="en-US"/>
        </w:rPr>
        <w:t>normalised</w:t>
      </w:r>
      <w:proofErr w:type="spellEnd"/>
      <w:r w:rsidRPr="00433E36">
        <w:rPr>
          <w:sz w:val="24"/>
          <w:szCs w:val="24"/>
          <w:lang w:val="en-US"/>
        </w:rPr>
        <w:t xml:space="preserve"> to total body weight were comparable to normal weight subjects.</w:t>
      </w:r>
    </w:p>
    <w:p w14:paraId="36640B65" w14:textId="77777777" w:rsidR="007C5D2A" w:rsidRPr="00BB5BFC" w:rsidRDefault="007C5D2A" w:rsidP="003E0341">
      <w:pPr>
        <w:tabs>
          <w:tab w:val="left" w:pos="851"/>
        </w:tabs>
        <w:ind w:left="851"/>
        <w:rPr>
          <w:sz w:val="24"/>
          <w:szCs w:val="24"/>
          <w:lang w:val="en-GB"/>
        </w:rPr>
      </w:pPr>
    </w:p>
    <w:p w14:paraId="3715F6BC" w14:textId="77777777" w:rsidR="007C5D2A" w:rsidRPr="00BB5BFC" w:rsidRDefault="00180A12" w:rsidP="007C5D2A">
      <w:pPr>
        <w:tabs>
          <w:tab w:val="left" w:pos="851"/>
        </w:tabs>
        <w:ind w:left="851" w:hanging="851"/>
        <w:rPr>
          <w:b/>
          <w:sz w:val="24"/>
          <w:szCs w:val="24"/>
          <w:lang w:val="en-GB"/>
        </w:rPr>
      </w:pPr>
      <w:r w:rsidRPr="00BB5BFC">
        <w:rPr>
          <w:b/>
          <w:sz w:val="24"/>
          <w:szCs w:val="24"/>
          <w:lang w:val="en-GB"/>
        </w:rPr>
        <w:t>5.3</w:t>
      </w:r>
      <w:r w:rsidRPr="00BB5BFC">
        <w:rPr>
          <w:b/>
          <w:sz w:val="24"/>
          <w:szCs w:val="24"/>
          <w:lang w:val="en-GB"/>
        </w:rPr>
        <w:tab/>
        <w:t>Preclinical safety data</w:t>
      </w:r>
    </w:p>
    <w:p w14:paraId="0020537D" w14:textId="77777777" w:rsidR="000D4D1E" w:rsidRPr="00BB5BFC" w:rsidRDefault="000D4D1E" w:rsidP="00BB5BFC">
      <w:pPr>
        <w:ind w:left="851"/>
        <w:rPr>
          <w:noProof/>
          <w:sz w:val="24"/>
          <w:szCs w:val="24"/>
          <w:lang w:val="en-US"/>
        </w:rPr>
      </w:pPr>
      <w:r w:rsidRPr="00BB5BFC">
        <w:rPr>
          <w:noProof/>
          <w:sz w:val="24"/>
          <w:szCs w:val="24"/>
          <w:lang w:val="en-US"/>
        </w:rPr>
        <w:t>Symptoms of intoxication are decreased activity of the animals and convulsions.</w:t>
      </w:r>
    </w:p>
    <w:p w14:paraId="732F8254" w14:textId="77777777" w:rsidR="000D4D1E" w:rsidRPr="00BB5BFC" w:rsidRDefault="000D4D1E" w:rsidP="00BB5BFC">
      <w:pPr>
        <w:ind w:left="851"/>
        <w:rPr>
          <w:noProof/>
          <w:sz w:val="24"/>
          <w:szCs w:val="24"/>
          <w:lang w:val="en-US"/>
        </w:rPr>
      </w:pPr>
      <w:r w:rsidRPr="00BB5BFC">
        <w:rPr>
          <w:noProof/>
          <w:sz w:val="24"/>
          <w:szCs w:val="24"/>
          <w:lang w:val="en-US"/>
        </w:rPr>
        <w:lastRenderedPageBreak/>
        <w:t>After repeated doses (i.m.) of clindamycin to dogs an increase of the SGOT and SGPT was reported and also a slight increase of the liver-weight without morphologic changes were documented. Long-term administration of clindamycin to dogs induced damages to the gastric mucosa and to the gall bladder.</w:t>
      </w:r>
    </w:p>
    <w:p w14:paraId="00A7B8E5" w14:textId="77777777" w:rsidR="000D4D1E" w:rsidRPr="00BB5BFC" w:rsidRDefault="000D4D1E" w:rsidP="00BB5BFC">
      <w:pPr>
        <w:ind w:left="851"/>
        <w:rPr>
          <w:noProof/>
          <w:sz w:val="24"/>
          <w:szCs w:val="24"/>
          <w:lang w:val="en-US"/>
        </w:rPr>
      </w:pPr>
    </w:p>
    <w:p w14:paraId="3D6CEC1A" w14:textId="77777777" w:rsidR="000D4D1E" w:rsidRPr="00BB5BFC" w:rsidRDefault="000D4D1E" w:rsidP="00BB5BFC">
      <w:pPr>
        <w:ind w:left="851"/>
        <w:rPr>
          <w:noProof/>
          <w:sz w:val="24"/>
          <w:szCs w:val="24"/>
          <w:lang w:val="en-US"/>
        </w:rPr>
      </w:pPr>
      <w:r w:rsidRPr="00BB5BFC">
        <w:rPr>
          <w:noProof/>
          <w:sz w:val="24"/>
          <w:szCs w:val="24"/>
          <w:lang w:val="en-US"/>
        </w:rPr>
        <w:t>Local reactions at the injection site (inflammations, haemorrhagias and tissue damage) were observed following intramuscular and subcutaneous application, however, the concentration of the solution applied far exceeded the maximum therapeutic concentration.</w:t>
      </w:r>
    </w:p>
    <w:p w14:paraId="16AA8328" w14:textId="77777777" w:rsidR="000D4D1E" w:rsidRPr="00BB5BFC" w:rsidRDefault="000D4D1E" w:rsidP="00BB5BFC">
      <w:pPr>
        <w:ind w:left="851"/>
        <w:rPr>
          <w:noProof/>
          <w:sz w:val="24"/>
          <w:szCs w:val="24"/>
          <w:lang w:val="en-US"/>
        </w:rPr>
      </w:pPr>
    </w:p>
    <w:p w14:paraId="26764F14" w14:textId="77777777" w:rsidR="000D4D1E" w:rsidRPr="00BB5BFC" w:rsidRDefault="000D4D1E" w:rsidP="00BB5BFC">
      <w:pPr>
        <w:ind w:left="851"/>
        <w:rPr>
          <w:sz w:val="24"/>
          <w:szCs w:val="24"/>
          <w:lang w:val="en-US"/>
        </w:rPr>
      </w:pPr>
      <w:r w:rsidRPr="00BB5BFC">
        <w:rPr>
          <w:sz w:val="24"/>
          <w:szCs w:val="24"/>
          <w:u w:val="single"/>
          <w:lang w:val="en-US"/>
        </w:rPr>
        <w:t>Carcinogenicity</w:t>
      </w:r>
    </w:p>
    <w:p w14:paraId="23C478ED" w14:textId="77777777" w:rsidR="000D4D1E" w:rsidRPr="00BB5BFC" w:rsidRDefault="000D4D1E" w:rsidP="00BB5BFC">
      <w:pPr>
        <w:ind w:left="851"/>
        <w:rPr>
          <w:sz w:val="24"/>
          <w:szCs w:val="24"/>
          <w:lang w:val="en-US"/>
        </w:rPr>
      </w:pPr>
      <w:r w:rsidRPr="00BB5BFC">
        <w:rPr>
          <w:sz w:val="24"/>
          <w:szCs w:val="24"/>
          <w:lang w:val="en-US"/>
        </w:rPr>
        <w:t>Long-term animal studies to evaluate the carcinogenic potential of clindamycin have not been performed.</w:t>
      </w:r>
    </w:p>
    <w:p w14:paraId="435FDA97" w14:textId="77777777" w:rsidR="000D4D1E" w:rsidRPr="00BB5BFC" w:rsidRDefault="000D4D1E" w:rsidP="00BB5BFC">
      <w:pPr>
        <w:ind w:left="851"/>
        <w:rPr>
          <w:sz w:val="24"/>
          <w:szCs w:val="24"/>
          <w:lang w:val="en-US"/>
        </w:rPr>
      </w:pPr>
    </w:p>
    <w:p w14:paraId="4F519910" w14:textId="77777777" w:rsidR="000D4D1E" w:rsidRPr="00BB5BFC" w:rsidRDefault="000D4D1E" w:rsidP="00BB5BFC">
      <w:pPr>
        <w:ind w:left="851"/>
        <w:rPr>
          <w:sz w:val="24"/>
          <w:szCs w:val="24"/>
          <w:u w:val="single"/>
          <w:lang w:val="en-US"/>
        </w:rPr>
      </w:pPr>
      <w:r w:rsidRPr="00BB5BFC">
        <w:rPr>
          <w:sz w:val="24"/>
          <w:szCs w:val="24"/>
          <w:u w:val="single"/>
          <w:lang w:val="en-US"/>
        </w:rPr>
        <w:t>Mutagenesis</w:t>
      </w:r>
    </w:p>
    <w:p w14:paraId="0869DC39" w14:textId="77777777" w:rsidR="000D4D1E" w:rsidRPr="00BB5BFC" w:rsidRDefault="000D4D1E" w:rsidP="00BB5BFC">
      <w:pPr>
        <w:ind w:left="851"/>
        <w:rPr>
          <w:sz w:val="24"/>
          <w:szCs w:val="24"/>
          <w:lang w:val="en-US"/>
        </w:rPr>
      </w:pPr>
      <w:r w:rsidRPr="00BB5BFC">
        <w:rPr>
          <w:sz w:val="24"/>
          <w:szCs w:val="24"/>
          <w:lang w:val="en-US"/>
        </w:rPr>
        <w:t>Performed genotoxic tests include a micronucleus test in rats and an Ames Salmonella Reversion test. Results from both tests were negative.</w:t>
      </w:r>
    </w:p>
    <w:p w14:paraId="60322F47" w14:textId="77777777" w:rsidR="000D4D1E" w:rsidRPr="00BB5BFC" w:rsidRDefault="000D4D1E" w:rsidP="00BB5BFC">
      <w:pPr>
        <w:ind w:left="851"/>
        <w:rPr>
          <w:sz w:val="24"/>
          <w:szCs w:val="24"/>
          <w:lang w:val="en-US"/>
        </w:rPr>
      </w:pPr>
    </w:p>
    <w:p w14:paraId="004C95F5" w14:textId="77777777" w:rsidR="000D4D1E" w:rsidRPr="00BB5BFC" w:rsidRDefault="000D4D1E" w:rsidP="00BB5BFC">
      <w:pPr>
        <w:ind w:left="851"/>
        <w:rPr>
          <w:sz w:val="24"/>
          <w:szCs w:val="24"/>
          <w:u w:val="single"/>
          <w:lang w:val="en-US"/>
        </w:rPr>
      </w:pPr>
      <w:r w:rsidRPr="00BB5BFC">
        <w:rPr>
          <w:sz w:val="24"/>
          <w:szCs w:val="24"/>
          <w:u w:val="single"/>
          <w:lang w:val="en-US"/>
        </w:rPr>
        <w:t>Reproductive toxicity</w:t>
      </w:r>
    </w:p>
    <w:p w14:paraId="15217F58" w14:textId="77777777" w:rsidR="000D4D1E" w:rsidRPr="00BB5BFC" w:rsidRDefault="000D4D1E" w:rsidP="00BB5BFC">
      <w:pPr>
        <w:ind w:left="851"/>
        <w:rPr>
          <w:sz w:val="24"/>
          <w:szCs w:val="24"/>
          <w:lang w:val="en-US"/>
        </w:rPr>
      </w:pPr>
      <w:r w:rsidRPr="00BB5BFC">
        <w:rPr>
          <w:sz w:val="24"/>
          <w:szCs w:val="24"/>
          <w:lang w:val="en-US"/>
        </w:rPr>
        <w:t xml:space="preserve">In embryo studies </w:t>
      </w:r>
      <w:proofErr w:type="spellStart"/>
      <w:r w:rsidRPr="00BB5BFC">
        <w:rPr>
          <w:sz w:val="24"/>
          <w:szCs w:val="24"/>
          <w:lang w:val="en-US"/>
        </w:rPr>
        <w:t>foetal</w:t>
      </w:r>
      <w:proofErr w:type="spellEnd"/>
      <w:r w:rsidRPr="00BB5BFC">
        <w:rPr>
          <w:sz w:val="24"/>
          <w:szCs w:val="24"/>
          <w:lang w:val="en-US"/>
        </w:rPr>
        <w:t xml:space="preserve"> development in rats following oral administration and embryo </w:t>
      </w:r>
      <w:proofErr w:type="spellStart"/>
      <w:r w:rsidRPr="00BB5BFC">
        <w:rPr>
          <w:sz w:val="24"/>
          <w:szCs w:val="24"/>
          <w:lang w:val="en-US"/>
        </w:rPr>
        <w:t>foetal</w:t>
      </w:r>
      <w:proofErr w:type="spellEnd"/>
      <w:r w:rsidRPr="00BB5BFC">
        <w:rPr>
          <w:sz w:val="24"/>
          <w:szCs w:val="24"/>
          <w:lang w:val="en-US"/>
        </w:rPr>
        <w:t xml:space="preserve"> development studies in rats and rabbits following subcutaneous administration with clindamycin, developmental toxicity was observed only at doses which resulted in maternal toxicity.</w:t>
      </w:r>
    </w:p>
    <w:p w14:paraId="411F144F" w14:textId="77777777" w:rsidR="000D4D1E" w:rsidRPr="00BB5BFC" w:rsidRDefault="000D4D1E" w:rsidP="00BB5BFC">
      <w:pPr>
        <w:ind w:left="851"/>
        <w:rPr>
          <w:sz w:val="24"/>
          <w:szCs w:val="24"/>
          <w:lang w:val="en-US"/>
        </w:rPr>
      </w:pPr>
    </w:p>
    <w:p w14:paraId="605AEB87" w14:textId="77777777" w:rsidR="000D4D1E" w:rsidRPr="00BB5BFC" w:rsidRDefault="000D4D1E" w:rsidP="00BB5BFC">
      <w:pPr>
        <w:ind w:left="851"/>
        <w:rPr>
          <w:noProof/>
          <w:sz w:val="24"/>
          <w:szCs w:val="24"/>
          <w:lang w:val="en-US"/>
        </w:rPr>
      </w:pPr>
      <w:r w:rsidRPr="00BB5BFC">
        <w:rPr>
          <w:sz w:val="24"/>
          <w:szCs w:val="24"/>
          <w:lang w:val="en-US"/>
        </w:rPr>
        <w:t xml:space="preserve">Reproductive toxicity studies in rats and rabbits administered clindamycin orally (rats only) and subcutaneously showed no evidence of fertility or </w:t>
      </w:r>
      <w:proofErr w:type="spellStart"/>
      <w:r w:rsidRPr="00BB5BFC">
        <w:rPr>
          <w:sz w:val="24"/>
          <w:szCs w:val="24"/>
          <w:lang w:val="en-US"/>
        </w:rPr>
        <w:t>foetal</w:t>
      </w:r>
      <w:proofErr w:type="spellEnd"/>
      <w:r w:rsidRPr="00BB5BFC">
        <w:rPr>
          <w:sz w:val="24"/>
          <w:szCs w:val="24"/>
          <w:lang w:val="en-US"/>
        </w:rPr>
        <w:t xml:space="preserve"> injury, except for doses that resulted in maternal toxicity.</w:t>
      </w:r>
    </w:p>
    <w:p w14:paraId="11A7F9A8" w14:textId="77777777" w:rsidR="007C5D2A" w:rsidRPr="00BB5BFC" w:rsidRDefault="007C5D2A" w:rsidP="003E0341">
      <w:pPr>
        <w:tabs>
          <w:tab w:val="left" w:pos="851"/>
        </w:tabs>
        <w:ind w:left="851"/>
        <w:rPr>
          <w:sz w:val="24"/>
          <w:szCs w:val="24"/>
          <w:lang w:val="en-GB"/>
        </w:rPr>
      </w:pPr>
    </w:p>
    <w:p w14:paraId="74215847" w14:textId="77777777" w:rsidR="007C5D2A" w:rsidRPr="00BB5BFC" w:rsidRDefault="007C5D2A" w:rsidP="003E0341">
      <w:pPr>
        <w:tabs>
          <w:tab w:val="left" w:pos="851"/>
        </w:tabs>
        <w:ind w:left="851"/>
        <w:rPr>
          <w:sz w:val="24"/>
          <w:szCs w:val="24"/>
          <w:lang w:val="en-GB"/>
        </w:rPr>
      </w:pPr>
    </w:p>
    <w:p w14:paraId="3E44891D" w14:textId="77777777" w:rsidR="007C5D2A" w:rsidRPr="00BB5BFC" w:rsidRDefault="009925C9" w:rsidP="007C5D2A">
      <w:pPr>
        <w:ind w:left="851" w:hanging="851"/>
        <w:rPr>
          <w:b/>
          <w:sz w:val="24"/>
          <w:szCs w:val="24"/>
          <w:lang w:val="en-GB"/>
        </w:rPr>
      </w:pPr>
      <w:r w:rsidRPr="00BB5BFC">
        <w:rPr>
          <w:b/>
          <w:sz w:val="24"/>
          <w:szCs w:val="24"/>
          <w:lang w:val="en-GB"/>
        </w:rPr>
        <w:t>6.</w:t>
      </w:r>
      <w:r w:rsidR="007C5D2A" w:rsidRPr="00BB5BFC">
        <w:rPr>
          <w:b/>
          <w:sz w:val="24"/>
          <w:szCs w:val="24"/>
          <w:lang w:val="en-GB"/>
        </w:rPr>
        <w:tab/>
        <w:t>PHARMACEUTICAL PARTICULARS</w:t>
      </w:r>
    </w:p>
    <w:p w14:paraId="664CF7F9" w14:textId="77777777" w:rsidR="007C5D2A" w:rsidRPr="00BB5BFC" w:rsidRDefault="007C5D2A" w:rsidP="003E0341">
      <w:pPr>
        <w:tabs>
          <w:tab w:val="left" w:pos="851"/>
        </w:tabs>
        <w:ind w:left="851"/>
        <w:rPr>
          <w:sz w:val="24"/>
          <w:szCs w:val="24"/>
          <w:lang w:val="en-GB"/>
        </w:rPr>
      </w:pPr>
    </w:p>
    <w:p w14:paraId="31D1EE83" w14:textId="77777777" w:rsidR="007C5D2A" w:rsidRPr="00BB5BFC" w:rsidRDefault="007C5D2A" w:rsidP="007C5D2A">
      <w:pPr>
        <w:ind w:left="851" w:hanging="851"/>
        <w:rPr>
          <w:b/>
          <w:sz w:val="24"/>
          <w:szCs w:val="24"/>
          <w:lang w:val="en-GB"/>
        </w:rPr>
      </w:pPr>
      <w:r w:rsidRPr="00BB5BFC">
        <w:rPr>
          <w:b/>
          <w:sz w:val="24"/>
          <w:szCs w:val="24"/>
          <w:lang w:val="en-GB"/>
        </w:rPr>
        <w:t>6.1</w:t>
      </w:r>
      <w:r w:rsidRPr="00BB5BFC">
        <w:rPr>
          <w:b/>
          <w:sz w:val="24"/>
          <w:szCs w:val="24"/>
          <w:lang w:val="en-GB"/>
        </w:rPr>
        <w:tab/>
        <w:t>List of excipients</w:t>
      </w:r>
    </w:p>
    <w:p w14:paraId="26BA8D82" w14:textId="77777777" w:rsidR="000D4D1E" w:rsidRPr="00BB5BFC" w:rsidRDefault="000D4D1E" w:rsidP="00BB5BFC">
      <w:pPr>
        <w:ind w:left="851"/>
        <w:rPr>
          <w:noProof/>
          <w:sz w:val="24"/>
          <w:szCs w:val="24"/>
          <w:lang w:val="en-US"/>
        </w:rPr>
      </w:pPr>
      <w:r w:rsidRPr="00BB5BFC">
        <w:rPr>
          <w:noProof/>
          <w:sz w:val="24"/>
          <w:szCs w:val="24"/>
          <w:lang w:val="en-US"/>
        </w:rPr>
        <w:t>Disodium edetate</w:t>
      </w:r>
    </w:p>
    <w:p w14:paraId="5DD36A79" w14:textId="77777777" w:rsidR="000D4D1E" w:rsidRPr="00BB5BFC" w:rsidRDefault="000D4D1E" w:rsidP="00BB5BFC">
      <w:pPr>
        <w:ind w:left="851"/>
        <w:rPr>
          <w:noProof/>
          <w:sz w:val="24"/>
          <w:szCs w:val="24"/>
          <w:lang w:val="en-US"/>
        </w:rPr>
      </w:pPr>
      <w:r w:rsidRPr="00BB5BFC">
        <w:rPr>
          <w:noProof/>
          <w:sz w:val="24"/>
          <w:szCs w:val="24"/>
          <w:lang w:val="en-US"/>
        </w:rPr>
        <w:t>Sodium hydroxide 5N (for pH adjustment)</w:t>
      </w:r>
    </w:p>
    <w:p w14:paraId="12A89148" w14:textId="77777777" w:rsidR="000D4D1E" w:rsidRPr="00BB5BFC" w:rsidRDefault="000D4D1E" w:rsidP="00BB5BFC">
      <w:pPr>
        <w:ind w:left="851"/>
        <w:rPr>
          <w:noProof/>
          <w:sz w:val="24"/>
          <w:szCs w:val="24"/>
          <w:lang w:val="en-US"/>
        </w:rPr>
      </w:pPr>
      <w:r w:rsidRPr="00BB5BFC">
        <w:rPr>
          <w:noProof/>
          <w:sz w:val="24"/>
          <w:szCs w:val="24"/>
          <w:lang w:val="en-US"/>
        </w:rPr>
        <w:t>Hydrochloric Acid 5N (for pH adjustment)</w:t>
      </w:r>
    </w:p>
    <w:p w14:paraId="67DA2B28" w14:textId="77777777" w:rsidR="000D4D1E" w:rsidRPr="00BB5BFC" w:rsidRDefault="000D4D1E" w:rsidP="00BB5BFC">
      <w:pPr>
        <w:ind w:left="851"/>
        <w:rPr>
          <w:noProof/>
          <w:sz w:val="24"/>
          <w:szCs w:val="24"/>
          <w:lang w:val="en-US"/>
        </w:rPr>
      </w:pPr>
      <w:r w:rsidRPr="00BB5BFC">
        <w:rPr>
          <w:noProof/>
          <w:sz w:val="24"/>
          <w:szCs w:val="24"/>
          <w:lang w:val="en-US"/>
        </w:rPr>
        <w:t>Water for injections</w:t>
      </w:r>
    </w:p>
    <w:p w14:paraId="75739218" w14:textId="77777777" w:rsidR="007C5D2A" w:rsidRPr="00BB5BFC" w:rsidRDefault="007C5D2A" w:rsidP="003D727E">
      <w:pPr>
        <w:tabs>
          <w:tab w:val="left" w:pos="851"/>
        </w:tabs>
        <w:ind w:left="851"/>
        <w:rPr>
          <w:sz w:val="24"/>
          <w:szCs w:val="24"/>
          <w:lang w:val="en-GB"/>
        </w:rPr>
      </w:pPr>
    </w:p>
    <w:p w14:paraId="6DB89F06" w14:textId="77777777" w:rsidR="007C5D2A" w:rsidRPr="00BB5BFC" w:rsidRDefault="007C5D2A" w:rsidP="007C5D2A">
      <w:pPr>
        <w:ind w:left="851" w:hanging="851"/>
        <w:rPr>
          <w:b/>
          <w:sz w:val="24"/>
          <w:szCs w:val="24"/>
          <w:lang w:val="en-GB"/>
        </w:rPr>
      </w:pPr>
      <w:r w:rsidRPr="00BB5BFC">
        <w:rPr>
          <w:b/>
          <w:sz w:val="24"/>
          <w:szCs w:val="24"/>
          <w:lang w:val="en-GB"/>
        </w:rPr>
        <w:t>6.2</w:t>
      </w:r>
      <w:r w:rsidRPr="00BB5BFC">
        <w:rPr>
          <w:b/>
          <w:sz w:val="24"/>
          <w:szCs w:val="24"/>
          <w:lang w:val="en-GB"/>
        </w:rPr>
        <w:tab/>
        <w:t>Incompatibilities</w:t>
      </w:r>
    </w:p>
    <w:p w14:paraId="3742BCA1" w14:textId="77777777" w:rsidR="000D4D1E" w:rsidRPr="00BB5BFC" w:rsidRDefault="000D4D1E" w:rsidP="00BB5BFC">
      <w:pPr>
        <w:ind w:left="851"/>
        <w:rPr>
          <w:noProof/>
          <w:sz w:val="24"/>
          <w:szCs w:val="24"/>
          <w:lang w:val="en-US"/>
        </w:rPr>
      </w:pPr>
      <w:r w:rsidRPr="00BB5BFC">
        <w:rPr>
          <w:noProof/>
          <w:sz w:val="24"/>
          <w:szCs w:val="24"/>
          <w:lang w:val="en-US"/>
        </w:rPr>
        <w:t xml:space="preserve">The following active substances are physically incompatible with clindamycin: </w:t>
      </w:r>
    </w:p>
    <w:p w14:paraId="164B48A7" w14:textId="77777777" w:rsidR="000D4D1E" w:rsidRPr="00BB5BFC" w:rsidRDefault="000D4D1E" w:rsidP="00BB5BFC">
      <w:pPr>
        <w:ind w:left="851"/>
        <w:rPr>
          <w:noProof/>
          <w:sz w:val="24"/>
          <w:szCs w:val="24"/>
          <w:lang w:val="en-US"/>
        </w:rPr>
      </w:pPr>
      <w:r w:rsidRPr="00BB5BFC">
        <w:rPr>
          <w:noProof/>
          <w:sz w:val="24"/>
          <w:szCs w:val="24"/>
          <w:lang w:val="en-US"/>
        </w:rPr>
        <w:t>ampicillin, aminophylline, barbiturates, calcium gluconate, ceftriaxone sodium, ciprofloxacin, diphenylhydantoin, idarubicin hydrochloride, magnesium sulphate, phenytoin sodium, and ranitidine hydrochloride. Solutions of clindamycin salts have a low pH and incompatibility may reasonably be expected with alkaline preparations or with medicinal products unstable at low pH.</w:t>
      </w:r>
    </w:p>
    <w:p w14:paraId="612EF22D" w14:textId="77777777" w:rsidR="000D4D1E" w:rsidRPr="00BB5BFC" w:rsidRDefault="000D4D1E" w:rsidP="00BB5BFC">
      <w:pPr>
        <w:ind w:left="851"/>
        <w:rPr>
          <w:noProof/>
          <w:sz w:val="24"/>
          <w:szCs w:val="24"/>
          <w:lang w:val="en-US"/>
        </w:rPr>
      </w:pPr>
    </w:p>
    <w:p w14:paraId="610D9B70" w14:textId="77777777" w:rsidR="000D4D1E" w:rsidRPr="00BB5BFC" w:rsidRDefault="000D4D1E" w:rsidP="00BB5BFC">
      <w:pPr>
        <w:ind w:left="851"/>
        <w:rPr>
          <w:noProof/>
          <w:sz w:val="24"/>
          <w:szCs w:val="24"/>
          <w:lang w:val="en-US"/>
        </w:rPr>
      </w:pPr>
      <w:r w:rsidRPr="00BB5BFC">
        <w:rPr>
          <w:noProof/>
          <w:sz w:val="24"/>
          <w:szCs w:val="24"/>
          <w:lang w:val="en-US"/>
        </w:rPr>
        <w:t xml:space="preserve">This medicinal product must not be mixed with other medicinal products except those mentioned in section 6.6. </w:t>
      </w:r>
    </w:p>
    <w:p w14:paraId="0FDE11CE" w14:textId="77777777" w:rsidR="007C5D2A" w:rsidRPr="00BB5BFC" w:rsidRDefault="007C5D2A" w:rsidP="003E0341">
      <w:pPr>
        <w:tabs>
          <w:tab w:val="left" w:pos="851"/>
        </w:tabs>
        <w:ind w:left="851"/>
        <w:rPr>
          <w:sz w:val="24"/>
          <w:szCs w:val="24"/>
          <w:lang w:val="en-GB"/>
        </w:rPr>
      </w:pPr>
    </w:p>
    <w:p w14:paraId="555DC96D" w14:textId="77777777" w:rsidR="007C5D2A" w:rsidRPr="00BB5BFC" w:rsidRDefault="007C5D2A" w:rsidP="007C5D2A">
      <w:pPr>
        <w:ind w:left="851" w:hanging="851"/>
        <w:rPr>
          <w:b/>
          <w:sz w:val="24"/>
          <w:szCs w:val="24"/>
          <w:lang w:val="en-GB"/>
        </w:rPr>
      </w:pPr>
      <w:r w:rsidRPr="00BB5BFC">
        <w:rPr>
          <w:b/>
          <w:sz w:val="24"/>
          <w:szCs w:val="24"/>
          <w:lang w:val="en-GB"/>
        </w:rPr>
        <w:t>6.3</w:t>
      </w:r>
      <w:r w:rsidRPr="00BB5BFC">
        <w:rPr>
          <w:b/>
          <w:sz w:val="24"/>
          <w:szCs w:val="24"/>
          <w:lang w:val="en-GB"/>
        </w:rPr>
        <w:tab/>
        <w:t>Shelf</w:t>
      </w:r>
      <w:r w:rsidR="00B45DC5" w:rsidRPr="00BB5BFC">
        <w:rPr>
          <w:b/>
          <w:sz w:val="24"/>
          <w:szCs w:val="24"/>
          <w:lang w:val="en-GB"/>
        </w:rPr>
        <w:t xml:space="preserve"> </w:t>
      </w:r>
      <w:r w:rsidRPr="00BB5BFC">
        <w:rPr>
          <w:b/>
          <w:sz w:val="24"/>
          <w:szCs w:val="24"/>
          <w:lang w:val="en-GB"/>
        </w:rPr>
        <w:t>life</w:t>
      </w:r>
    </w:p>
    <w:p w14:paraId="17BBFBDE" w14:textId="77777777" w:rsidR="000D4D1E" w:rsidRPr="00BB5BFC" w:rsidRDefault="000D4D1E" w:rsidP="00BB5BFC">
      <w:pPr>
        <w:ind w:left="851"/>
        <w:rPr>
          <w:noProof/>
          <w:sz w:val="24"/>
          <w:szCs w:val="24"/>
          <w:lang w:val="en-US"/>
        </w:rPr>
      </w:pPr>
      <w:r w:rsidRPr="00BB5BFC">
        <w:rPr>
          <w:rFonts w:eastAsia="SimSun"/>
          <w:sz w:val="24"/>
          <w:szCs w:val="24"/>
          <w:lang w:val="en-US" w:eastAsia="en-GB" w:bidi="he-IL"/>
        </w:rPr>
        <w:t>2 years</w:t>
      </w:r>
    </w:p>
    <w:p w14:paraId="21BA428D" w14:textId="060EC4AD" w:rsidR="009942D1" w:rsidRDefault="009942D1">
      <w:pPr>
        <w:rPr>
          <w:noProof/>
          <w:sz w:val="24"/>
          <w:szCs w:val="24"/>
          <w:highlight w:val="yellow"/>
          <w:lang w:val="en-US"/>
        </w:rPr>
      </w:pPr>
      <w:r>
        <w:rPr>
          <w:noProof/>
          <w:sz w:val="24"/>
          <w:szCs w:val="24"/>
          <w:highlight w:val="yellow"/>
          <w:lang w:val="en-US"/>
        </w:rPr>
        <w:br w:type="page"/>
      </w:r>
    </w:p>
    <w:p w14:paraId="7F9BD957" w14:textId="77777777" w:rsidR="000D4D1E" w:rsidRPr="00BB5BFC" w:rsidRDefault="000D4D1E" w:rsidP="00BB5BFC">
      <w:pPr>
        <w:ind w:left="851"/>
        <w:rPr>
          <w:noProof/>
          <w:sz w:val="24"/>
          <w:szCs w:val="24"/>
          <w:highlight w:val="yellow"/>
          <w:lang w:val="en-US"/>
        </w:rPr>
      </w:pPr>
    </w:p>
    <w:p w14:paraId="0197D8F8" w14:textId="77777777" w:rsidR="000D4D1E" w:rsidRPr="00BB5BFC" w:rsidRDefault="000D4D1E" w:rsidP="00BB5BFC">
      <w:pPr>
        <w:ind w:left="851"/>
        <w:rPr>
          <w:noProof/>
          <w:sz w:val="24"/>
          <w:szCs w:val="24"/>
          <w:u w:val="single"/>
          <w:lang w:val="en-US"/>
        </w:rPr>
      </w:pPr>
      <w:r w:rsidRPr="00BB5BFC">
        <w:rPr>
          <w:noProof/>
          <w:sz w:val="24"/>
          <w:szCs w:val="24"/>
          <w:u w:val="single"/>
          <w:lang w:val="en-US"/>
        </w:rPr>
        <w:t>After dilution:</w:t>
      </w:r>
    </w:p>
    <w:p w14:paraId="396B48FB" w14:textId="14A4AFC2" w:rsidR="000D4D1E" w:rsidRPr="00BB5BFC" w:rsidRDefault="000D4D1E" w:rsidP="00BB5BFC">
      <w:pPr>
        <w:ind w:left="851"/>
        <w:rPr>
          <w:noProof/>
          <w:sz w:val="24"/>
          <w:szCs w:val="24"/>
          <w:lang w:val="en-US"/>
        </w:rPr>
      </w:pPr>
      <w:r w:rsidRPr="00BB5BFC">
        <w:rPr>
          <w:noProof/>
          <w:sz w:val="24"/>
          <w:szCs w:val="24"/>
          <w:lang w:val="en-US"/>
        </w:rPr>
        <w:t>Chemical and physical in-use stability has been demonstrated for 24 hours at 25 °C and 2-8</w:t>
      </w:r>
      <w:r w:rsidR="00FD2657">
        <w:rPr>
          <w:noProof/>
          <w:sz w:val="24"/>
          <w:szCs w:val="24"/>
          <w:lang w:val="en-US"/>
        </w:rPr>
        <w:t> </w:t>
      </w:r>
      <w:r w:rsidRPr="00BB5BFC">
        <w:rPr>
          <w:noProof/>
          <w:sz w:val="24"/>
          <w:szCs w:val="24"/>
          <w:lang w:val="en-US"/>
        </w:rPr>
        <w:t xml:space="preserve">°C with sodium chloride 9 mg/ml (0.9 %) and glucose 50 mg/ml (5 %) solutions, </w:t>
      </w:r>
      <w:r w:rsidRPr="00BB5BFC">
        <w:rPr>
          <w:rFonts w:eastAsia="Calibri"/>
          <w:sz w:val="24"/>
          <w:szCs w:val="24"/>
          <w:lang w:val="en-US"/>
        </w:rPr>
        <w:t xml:space="preserve">at a concentration of </w:t>
      </w:r>
      <w:r w:rsidRPr="00BB5BFC">
        <w:rPr>
          <w:rFonts w:eastAsia="Calibri"/>
          <w:iCs/>
          <w:sz w:val="24"/>
          <w:szCs w:val="24"/>
          <w:lang w:val="en-US"/>
        </w:rPr>
        <w:t>clindamycin</w:t>
      </w:r>
      <w:r w:rsidRPr="00BB5BFC">
        <w:rPr>
          <w:rFonts w:eastAsia="Calibri"/>
          <w:i/>
          <w:iCs/>
          <w:sz w:val="24"/>
          <w:szCs w:val="24"/>
          <w:lang w:val="en-US"/>
        </w:rPr>
        <w:t xml:space="preserve"> </w:t>
      </w:r>
      <w:r w:rsidRPr="00BB5BFC">
        <w:rPr>
          <w:rFonts w:eastAsia="Calibri"/>
          <w:sz w:val="24"/>
          <w:szCs w:val="24"/>
          <w:lang w:val="en-US"/>
        </w:rPr>
        <w:t>6 and 18 mg/ml</w:t>
      </w:r>
      <w:bookmarkStart w:id="2" w:name="_Hlk110411433"/>
      <w:r w:rsidRPr="00BB5BFC">
        <w:rPr>
          <w:noProof/>
          <w:sz w:val="24"/>
          <w:szCs w:val="24"/>
          <w:lang w:val="en-US"/>
        </w:rPr>
        <w:t xml:space="preserve"> in polypropylene infusion bags. </w:t>
      </w:r>
    </w:p>
    <w:p w14:paraId="63DBA970" w14:textId="77777777" w:rsidR="000D4D1E" w:rsidRPr="00BB5BFC" w:rsidRDefault="000D4D1E" w:rsidP="00BB5BFC">
      <w:pPr>
        <w:ind w:left="851"/>
        <w:rPr>
          <w:noProof/>
          <w:sz w:val="24"/>
          <w:szCs w:val="24"/>
          <w:lang w:val="en-US"/>
        </w:rPr>
      </w:pPr>
    </w:p>
    <w:bookmarkEnd w:id="2"/>
    <w:p w14:paraId="7D001456" w14:textId="77777777" w:rsidR="000D4D1E" w:rsidRPr="00BB5BFC" w:rsidRDefault="000D4D1E" w:rsidP="00BB5BFC">
      <w:pPr>
        <w:ind w:left="851"/>
        <w:rPr>
          <w:noProof/>
          <w:sz w:val="24"/>
          <w:szCs w:val="24"/>
          <w:lang w:val="en-US"/>
        </w:rPr>
      </w:pPr>
      <w:r w:rsidRPr="00BB5BFC">
        <w:rPr>
          <w:noProof/>
          <w:sz w:val="24"/>
          <w:szCs w:val="24"/>
          <w:lang w:val="en-US"/>
        </w:rPr>
        <w:t>From a microbiological point of view, unless the method of dilution precludes the risk of microbial contamination, the product should be used immediately. If not used immediately, in-use storage times and conditions are the responsibility of the user.</w:t>
      </w:r>
    </w:p>
    <w:p w14:paraId="067FA9EE" w14:textId="77777777" w:rsidR="007C5D2A" w:rsidRPr="00BB5BFC" w:rsidRDefault="007C5D2A" w:rsidP="003E0341">
      <w:pPr>
        <w:tabs>
          <w:tab w:val="left" w:pos="851"/>
        </w:tabs>
        <w:ind w:left="851"/>
        <w:rPr>
          <w:sz w:val="24"/>
          <w:szCs w:val="24"/>
          <w:lang w:val="en-GB"/>
        </w:rPr>
      </w:pPr>
    </w:p>
    <w:p w14:paraId="6AA6C389" w14:textId="77777777" w:rsidR="007C5D2A" w:rsidRPr="00BB5BFC" w:rsidRDefault="007C5D2A" w:rsidP="007C5D2A">
      <w:pPr>
        <w:ind w:left="851" w:hanging="851"/>
        <w:rPr>
          <w:b/>
          <w:sz w:val="24"/>
          <w:szCs w:val="24"/>
          <w:lang w:val="en-GB"/>
        </w:rPr>
      </w:pPr>
      <w:r w:rsidRPr="00BB5BFC">
        <w:rPr>
          <w:b/>
          <w:sz w:val="24"/>
          <w:szCs w:val="24"/>
          <w:lang w:val="en-GB"/>
        </w:rPr>
        <w:t>6.4</w:t>
      </w:r>
      <w:r w:rsidRPr="00BB5BFC">
        <w:rPr>
          <w:b/>
          <w:sz w:val="24"/>
          <w:szCs w:val="24"/>
          <w:lang w:val="en-GB"/>
        </w:rPr>
        <w:tab/>
        <w:t>Special precautions for storage</w:t>
      </w:r>
    </w:p>
    <w:p w14:paraId="3092C67C" w14:textId="77777777" w:rsidR="000D4D1E" w:rsidRPr="00BB5BFC" w:rsidRDefault="000D4D1E" w:rsidP="00BB5BFC">
      <w:pPr>
        <w:ind w:left="851"/>
        <w:rPr>
          <w:noProof/>
          <w:sz w:val="24"/>
          <w:szCs w:val="24"/>
          <w:lang w:val="en-US"/>
        </w:rPr>
      </w:pPr>
      <w:r w:rsidRPr="00BB5BFC">
        <w:rPr>
          <w:noProof/>
          <w:sz w:val="24"/>
          <w:szCs w:val="24"/>
          <w:lang w:val="en-US"/>
        </w:rPr>
        <w:t>Store below 25 °C.</w:t>
      </w:r>
    </w:p>
    <w:p w14:paraId="09D54AC2" w14:textId="77777777" w:rsidR="000D4D1E" w:rsidRPr="00BB5BFC" w:rsidRDefault="000D4D1E" w:rsidP="00BB5BFC">
      <w:pPr>
        <w:ind w:left="851"/>
        <w:rPr>
          <w:noProof/>
          <w:sz w:val="24"/>
          <w:szCs w:val="24"/>
          <w:highlight w:val="yellow"/>
          <w:lang w:val="en-US"/>
        </w:rPr>
      </w:pPr>
    </w:p>
    <w:p w14:paraId="56A1A16F" w14:textId="77777777" w:rsidR="000D4D1E" w:rsidRPr="00BB5BFC" w:rsidRDefault="000D4D1E" w:rsidP="00BB5BFC">
      <w:pPr>
        <w:ind w:left="851"/>
        <w:rPr>
          <w:i/>
          <w:noProof/>
          <w:sz w:val="24"/>
          <w:szCs w:val="24"/>
          <w:lang w:val="en-US"/>
        </w:rPr>
      </w:pPr>
      <w:r w:rsidRPr="00BB5BFC">
        <w:rPr>
          <w:noProof/>
          <w:sz w:val="24"/>
          <w:szCs w:val="24"/>
          <w:lang w:val="en-US"/>
        </w:rPr>
        <w:t>For storage conditions after dilution of the medicinal product, see section 6.3.</w:t>
      </w:r>
    </w:p>
    <w:p w14:paraId="43F21A70" w14:textId="77777777" w:rsidR="007C5D2A" w:rsidRPr="00BB5BFC" w:rsidRDefault="007C5D2A" w:rsidP="003E0341">
      <w:pPr>
        <w:tabs>
          <w:tab w:val="left" w:pos="851"/>
        </w:tabs>
        <w:ind w:left="851"/>
        <w:rPr>
          <w:sz w:val="24"/>
          <w:szCs w:val="24"/>
          <w:lang w:val="en-GB"/>
        </w:rPr>
      </w:pPr>
    </w:p>
    <w:p w14:paraId="39ED0BE9" w14:textId="77777777" w:rsidR="007C5D2A" w:rsidRPr="00BB5BFC" w:rsidRDefault="007C5D2A" w:rsidP="007C5D2A">
      <w:pPr>
        <w:ind w:left="851" w:hanging="851"/>
        <w:rPr>
          <w:b/>
          <w:sz w:val="24"/>
          <w:szCs w:val="24"/>
          <w:lang w:val="en-GB"/>
        </w:rPr>
      </w:pPr>
      <w:r w:rsidRPr="00BB5BFC">
        <w:rPr>
          <w:b/>
          <w:sz w:val="24"/>
          <w:szCs w:val="24"/>
          <w:lang w:val="en-GB"/>
        </w:rPr>
        <w:t>6.5</w:t>
      </w:r>
      <w:r w:rsidRPr="00BB5BFC">
        <w:rPr>
          <w:b/>
          <w:sz w:val="24"/>
          <w:szCs w:val="24"/>
          <w:lang w:val="en-GB"/>
        </w:rPr>
        <w:tab/>
        <w:t>Nature and contents of container</w:t>
      </w:r>
    </w:p>
    <w:p w14:paraId="306B61C0" w14:textId="77777777" w:rsidR="000D4D1E" w:rsidRPr="00BB5BFC" w:rsidRDefault="000D4D1E" w:rsidP="00BB5BFC">
      <w:pPr>
        <w:ind w:left="851"/>
        <w:rPr>
          <w:noProof/>
          <w:sz w:val="24"/>
          <w:szCs w:val="24"/>
          <w:lang w:val="en-US" w:bidi="en-US"/>
        </w:rPr>
      </w:pPr>
      <w:r w:rsidRPr="00BB5BFC">
        <w:rPr>
          <w:noProof/>
          <w:sz w:val="24"/>
          <w:szCs w:val="24"/>
          <w:lang w:val="en-US" w:bidi="en-US"/>
        </w:rPr>
        <w:t xml:space="preserve">Type I, clear glass ampoules containing 2 ml, 4 ml or 6 ml of solution, packed in carton boxes of </w:t>
      </w:r>
      <w:r w:rsidRPr="00BB5BFC">
        <w:rPr>
          <w:noProof/>
          <w:sz w:val="24"/>
          <w:szCs w:val="24"/>
          <w:lang w:val="en-US"/>
        </w:rPr>
        <w:t>1, 5, 10 or 25 ampoules</w:t>
      </w:r>
      <w:r w:rsidRPr="00BB5BFC">
        <w:rPr>
          <w:noProof/>
          <w:sz w:val="24"/>
          <w:szCs w:val="24"/>
          <w:lang w:val="en-US" w:bidi="en-US"/>
        </w:rPr>
        <w:t>.</w:t>
      </w:r>
    </w:p>
    <w:p w14:paraId="2291D5EC" w14:textId="77777777" w:rsidR="000D4D1E" w:rsidRPr="00BB5BFC" w:rsidRDefault="000D4D1E" w:rsidP="00BB5BFC">
      <w:pPr>
        <w:ind w:left="851"/>
        <w:rPr>
          <w:noProof/>
          <w:sz w:val="24"/>
          <w:szCs w:val="24"/>
          <w:lang w:val="en-US" w:bidi="en-US"/>
        </w:rPr>
      </w:pPr>
    </w:p>
    <w:p w14:paraId="4FC88A09" w14:textId="77777777" w:rsidR="000D4D1E" w:rsidRPr="00BB5BFC" w:rsidRDefault="000D4D1E" w:rsidP="00BB5BFC">
      <w:pPr>
        <w:ind w:left="851"/>
        <w:rPr>
          <w:noProof/>
          <w:sz w:val="24"/>
          <w:szCs w:val="24"/>
          <w:lang w:val="en-US"/>
        </w:rPr>
      </w:pPr>
      <w:r w:rsidRPr="00BB5BFC">
        <w:rPr>
          <w:noProof/>
          <w:sz w:val="24"/>
          <w:szCs w:val="24"/>
          <w:lang w:val="en-US"/>
        </w:rPr>
        <w:t>Not all pack sizes may be marketed.</w:t>
      </w:r>
    </w:p>
    <w:p w14:paraId="4338C472" w14:textId="77777777" w:rsidR="007C5D2A" w:rsidRPr="00BB5BFC" w:rsidRDefault="007C5D2A" w:rsidP="003E0341">
      <w:pPr>
        <w:tabs>
          <w:tab w:val="left" w:pos="851"/>
        </w:tabs>
        <w:ind w:left="851"/>
        <w:rPr>
          <w:sz w:val="24"/>
          <w:szCs w:val="24"/>
          <w:lang w:val="en-GB"/>
        </w:rPr>
      </w:pPr>
    </w:p>
    <w:p w14:paraId="73D512EA" w14:textId="77777777" w:rsidR="007C5D2A" w:rsidRPr="00BB5BFC" w:rsidRDefault="007C5D2A" w:rsidP="007C5D2A">
      <w:pPr>
        <w:ind w:left="851" w:hanging="851"/>
        <w:rPr>
          <w:b/>
          <w:sz w:val="24"/>
          <w:szCs w:val="24"/>
          <w:lang w:val="en-GB"/>
        </w:rPr>
      </w:pPr>
      <w:r w:rsidRPr="00BB5BFC">
        <w:rPr>
          <w:b/>
          <w:sz w:val="24"/>
          <w:szCs w:val="24"/>
          <w:lang w:val="en-GB"/>
        </w:rPr>
        <w:t>6.6</w:t>
      </w:r>
      <w:r w:rsidRPr="00BB5BFC">
        <w:rPr>
          <w:b/>
          <w:sz w:val="24"/>
          <w:szCs w:val="24"/>
          <w:lang w:val="en-GB"/>
        </w:rPr>
        <w:tab/>
        <w:t>Special precautions for disposal and other handling</w:t>
      </w:r>
    </w:p>
    <w:p w14:paraId="11EEF4E2" w14:textId="7017D57A" w:rsidR="000D4D1E" w:rsidRPr="00BB5BFC" w:rsidRDefault="00BB5BFC" w:rsidP="00BB5BFC">
      <w:pPr>
        <w:ind w:left="851"/>
        <w:rPr>
          <w:noProof/>
          <w:sz w:val="24"/>
          <w:szCs w:val="24"/>
          <w:lang w:val="en-US"/>
        </w:rPr>
      </w:pPr>
      <w:r>
        <w:rPr>
          <w:noProof/>
          <w:sz w:val="24"/>
          <w:szCs w:val="24"/>
          <w:lang w:val="en-US"/>
        </w:rPr>
        <w:t>Clindamycin "Noridem"</w:t>
      </w:r>
      <w:r w:rsidR="000D4D1E" w:rsidRPr="00BB5BFC">
        <w:rPr>
          <w:noProof/>
          <w:sz w:val="24"/>
          <w:szCs w:val="24"/>
          <w:lang w:val="en-US"/>
        </w:rPr>
        <w:t xml:space="preserve"> must be diluted prior to intravenous administration (not exceeding 18 mg clindamycin per ml) and should be infused over at least 10 - 60 minutes (not exceeding 30 mg/min). It can never be injected as an intravenous bolus.</w:t>
      </w:r>
    </w:p>
    <w:p w14:paraId="17353A60" w14:textId="77777777" w:rsidR="000D4D1E" w:rsidRPr="00BB5BFC" w:rsidRDefault="000D4D1E" w:rsidP="000D4D1E">
      <w:pPr>
        <w:rPr>
          <w:noProof/>
          <w:sz w:val="24"/>
          <w:szCs w:val="24"/>
          <w:lang w:val="en-US"/>
        </w:rPr>
      </w:pPr>
    </w:p>
    <w:tbl>
      <w:tblPr>
        <w:tblStyle w:val="Tabel-Gitter"/>
        <w:tblW w:w="0" w:type="auto"/>
        <w:tblInd w:w="846" w:type="dxa"/>
        <w:tblLook w:val="04A0" w:firstRow="1" w:lastRow="0" w:firstColumn="1" w:lastColumn="0" w:noHBand="0" w:noVBand="1"/>
      </w:tblPr>
      <w:tblGrid>
        <w:gridCol w:w="1470"/>
        <w:gridCol w:w="2806"/>
        <w:gridCol w:w="2126"/>
      </w:tblGrid>
      <w:tr w:rsidR="000D4D1E" w:rsidRPr="00BB5BFC" w14:paraId="000C5004" w14:textId="77777777" w:rsidTr="00BB5BFC">
        <w:tc>
          <w:tcPr>
            <w:tcW w:w="1418" w:type="dxa"/>
            <w:tcBorders>
              <w:top w:val="single" w:sz="4" w:space="0" w:color="auto"/>
              <w:left w:val="single" w:sz="4" w:space="0" w:color="auto"/>
              <w:bottom w:val="single" w:sz="4" w:space="0" w:color="auto"/>
              <w:right w:val="single" w:sz="4" w:space="0" w:color="auto"/>
            </w:tcBorders>
            <w:hideMark/>
          </w:tcPr>
          <w:p w14:paraId="700D3828" w14:textId="77777777" w:rsidR="000D4D1E" w:rsidRPr="00BB5BFC" w:rsidRDefault="000D4D1E">
            <w:pPr>
              <w:rPr>
                <w:b/>
                <w:noProof/>
                <w:sz w:val="24"/>
                <w:szCs w:val="24"/>
              </w:rPr>
            </w:pPr>
            <w:r w:rsidRPr="00BB5BFC">
              <w:rPr>
                <w:b/>
                <w:noProof/>
                <w:sz w:val="24"/>
                <w:szCs w:val="24"/>
              </w:rPr>
              <w:t>Dose of clindamycin</w:t>
            </w:r>
          </w:p>
        </w:tc>
        <w:tc>
          <w:tcPr>
            <w:tcW w:w="2806" w:type="dxa"/>
            <w:tcBorders>
              <w:top w:val="single" w:sz="4" w:space="0" w:color="auto"/>
              <w:left w:val="single" w:sz="4" w:space="0" w:color="auto"/>
              <w:bottom w:val="single" w:sz="4" w:space="0" w:color="auto"/>
              <w:right w:val="single" w:sz="4" w:space="0" w:color="auto"/>
            </w:tcBorders>
            <w:hideMark/>
          </w:tcPr>
          <w:p w14:paraId="46305B14" w14:textId="77777777" w:rsidR="000D4D1E" w:rsidRPr="00BB5BFC" w:rsidRDefault="000D4D1E">
            <w:pPr>
              <w:rPr>
                <w:b/>
                <w:noProof/>
                <w:sz w:val="24"/>
                <w:szCs w:val="24"/>
              </w:rPr>
            </w:pPr>
            <w:r w:rsidRPr="00BB5BFC">
              <w:rPr>
                <w:b/>
                <w:noProof/>
                <w:sz w:val="24"/>
                <w:szCs w:val="24"/>
              </w:rPr>
              <w:t>Quantity of Diluent</w:t>
            </w:r>
          </w:p>
        </w:tc>
        <w:tc>
          <w:tcPr>
            <w:tcW w:w="2126" w:type="dxa"/>
            <w:tcBorders>
              <w:top w:val="single" w:sz="4" w:space="0" w:color="auto"/>
              <w:left w:val="single" w:sz="4" w:space="0" w:color="auto"/>
              <w:bottom w:val="single" w:sz="4" w:space="0" w:color="auto"/>
              <w:right w:val="single" w:sz="4" w:space="0" w:color="auto"/>
            </w:tcBorders>
            <w:hideMark/>
          </w:tcPr>
          <w:p w14:paraId="4822F48B" w14:textId="77777777" w:rsidR="000D4D1E" w:rsidRPr="00BB5BFC" w:rsidRDefault="000D4D1E">
            <w:pPr>
              <w:rPr>
                <w:b/>
                <w:noProof/>
                <w:sz w:val="24"/>
                <w:szCs w:val="24"/>
              </w:rPr>
            </w:pPr>
            <w:r w:rsidRPr="00BB5BFC">
              <w:rPr>
                <w:b/>
                <w:noProof/>
                <w:sz w:val="24"/>
                <w:szCs w:val="24"/>
              </w:rPr>
              <w:t>Minimum infusion-time</w:t>
            </w:r>
          </w:p>
        </w:tc>
      </w:tr>
      <w:tr w:rsidR="000D4D1E" w:rsidRPr="00BB5BFC" w14:paraId="59DAF4AC" w14:textId="77777777" w:rsidTr="00BB5BFC">
        <w:tc>
          <w:tcPr>
            <w:tcW w:w="1418" w:type="dxa"/>
            <w:tcBorders>
              <w:top w:val="single" w:sz="4" w:space="0" w:color="auto"/>
              <w:left w:val="single" w:sz="4" w:space="0" w:color="auto"/>
              <w:bottom w:val="single" w:sz="4" w:space="0" w:color="auto"/>
              <w:right w:val="single" w:sz="4" w:space="0" w:color="auto"/>
            </w:tcBorders>
            <w:hideMark/>
          </w:tcPr>
          <w:p w14:paraId="736662EC" w14:textId="77777777" w:rsidR="000D4D1E" w:rsidRPr="00BB5BFC" w:rsidRDefault="000D4D1E">
            <w:pPr>
              <w:rPr>
                <w:noProof/>
                <w:sz w:val="24"/>
                <w:szCs w:val="24"/>
              </w:rPr>
            </w:pPr>
            <w:r w:rsidRPr="00BB5BFC">
              <w:rPr>
                <w:noProof/>
                <w:sz w:val="24"/>
                <w:szCs w:val="24"/>
              </w:rPr>
              <w:t>300 mg</w:t>
            </w:r>
          </w:p>
        </w:tc>
        <w:tc>
          <w:tcPr>
            <w:tcW w:w="2806" w:type="dxa"/>
            <w:tcBorders>
              <w:top w:val="single" w:sz="4" w:space="0" w:color="auto"/>
              <w:left w:val="single" w:sz="4" w:space="0" w:color="auto"/>
              <w:bottom w:val="single" w:sz="4" w:space="0" w:color="auto"/>
              <w:right w:val="single" w:sz="4" w:space="0" w:color="auto"/>
            </w:tcBorders>
            <w:hideMark/>
          </w:tcPr>
          <w:p w14:paraId="39EDDDCA" w14:textId="77777777" w:rsidR="000D4D1E" w:rsidRPr="00BB5BFC" w:rsidRDefault="000D4D1E">
            <w:pPr>
              <w:rPr>
                <w:noProof/>
                <w:sz w:val="24"/>
                <w:szCs w:val="24"/>
              </w:rPr>
            </w:pPr>
            <w:r w:rsidRPr="00BB5BFC">
              <w:rPr>
                <w:noProof/>
                <w:sz w:val="24"/>
                <w:szCs w:val="24"/>
              </w:rPr>
              <w:t>50 ml</w:t>
            </w:r>
          </w:p>
        </w:tc>
        <w:tc>
          <w:tcPr>
            <w:tcW w:w="2126" w:type="dxa"/>
            <w:tcBorders>
              <w:top w:val="single" w:sz="4" w:space="0" w:color="auto"/>
              <w:left w:val="single" w:sz="4" w:space="0" w:color="auto"/>
              <w:bottom w:val="single" w:sz="4" w:space="0" w:color="auto"/>
              <w:right w:val="single" w:sz="4" w:space="0" w:color="auto"/>
            </w:tcBorders>
            <w:hideMark/>
          </w:tcPr>
          <w:p w14:paraId="75625EC7" w14:textId="77777777" w:rsidR="000D4D1E" w:rsidRPr="00BB5BFC" w:rsidRDefault="000D4D1E">
            <w:pPr>
              <w:rPr>
                <w:noProof/>
                <w:sz w:val="24"/>
                <w:szCs w:val="24"/>
              </w:rPr>
            </w:pPr>
            <w:r w:rsidRPr="00BB5BFC">
              <w:rPr>
                <w:noProof/>
                <w:sz w:val="24"/>
                <w:szCs w:val="24"/>
              </w:rPr>
              <w:t>10 minutes</w:t>
            </w:r>
          </w:p>
        </w:tc>
      </w:tr>
      <w:tr w:rsidR="000D4D1E" w:rsidRPr="00BB5BFC" w14:paraId="7B695FA2" w14:textId="77777777" w:rsidTr="00BB5BFC">
        <w:tc>
          <w:tcPr>
            <w:tcW w:w="1418" w:type="dxa"/>
            <w:tcBorders>
              <w:top w:val="single" w:sz="4" w:space="0" w:color="auto"/>
              <w:left w:val="single" w:sz="4" w:space="0" w:color="auto"/>
              <w:bottom w:val="single" w:sz="4" w:space="0" w:color="auto"/>
              <w:right w:val="single" w:sz="4" w:space="0" w:color="auto"/>
            </w:tcBorders>
            <w:hideMark/>
          </w:tcPr>
          <w:p w14:paraId="3FE95868" w14:textId="77777777" w:rsidR="000D4D1E" w:rsidRPr="00BB5BFC" w:rsidRDefault="000D4D1E">
            <w:pPr>
              <w:rPr>
                <w:noProof/>
                <w:sz w:val="24"/>
                <w:szCs w:val="24"/>
              </w:rPr>
            </w:pPr>
            <w:r w:rsidRPr="00BB5BFC">
              <w:rPr>
                <w:noProof/>
                <w:sz w:val="24"/>
                <w:szCs w:val="24"/>
              </w:rPr>
              <w:t>600 mg</w:t>
            </w:r>
          </w:p>
        </w:tc>
        <w:tc>
          <w:tcPr>
            <w:tcW w:w="2806" w:type="dxa"/>
            <w:tcBorders>
              <w:top w:val="single" w:sz="4" w:space="0" w:color="auto"/>
              <w:left w:val="single" w:sz="4" w:space="0" w:color="auto"/>
              <w:bottom w:val="single" w:sz="4" w:space="0" w:color="auto"/>
              <w:right w:val="single" w:sz="4" w:space="0" w:color="auto"/>
            </w:tcBorders>
            <w:hideMark/>
          </w:tcPr>
          <w:p w14:paraId="75F15329" w14:textId="77777777" w:rsidR="000D4D1E" w:rsidRPr="00BB5BFC" w:rsidRDefault="000D4D1E">
            <w:pPr>
              <w:rPr>
                <w:noProof/>
                <w:sz w:val="24"/>
                <w:szCs w:val="24"/>
              </w:rPr>
            </w:pPr>
            <w:r w:rsidRPr="00BB5BFC">
              <w:rPr>
                <w:noProof/>
                <w:sz w:val="24"/>
                <w:szCs w:val="24"/>
              </w:rPr>
              <w:t>50 ml</w:t>
            </w:r>
          </w:p>
        </w:tc>
        <w:tc>
          <w:tcPr>
            <w:tcW w:w="2126" w:type="dxa"/>
            <w:tcBorders>
              <w:top w:val="single" w:sz="4" w:space="0" w:color="auto"/>
              <w:left w:val="single" w:sz="4" w:space="0" w:color="auto"/>
              <w:bottom w:val="single" w:sz="4" w:space="0" w:color="auto"/>
              <w:right w:val="single" w:sz="4" w:space="0" w:color="auto"/>
            </w:tcBorders>
            <w:hideMark/>
          </w:tcPr>
          <w:p w14:paraId="461053BD" w14:textId="77777777" w:rsidR="000D4D1E" w:rsidRPr="00BB5BFC" w:rsidRDefault="000D4D1E">
            <w:pPr>
              <w:rPr>
                <w:noProof/>
                <w:sz w:val="24"/>
                <w:szCs w:val="24"/>
              </w:rPr>
            </w:pPr>
            <w:r w:rsidRPr="00BB5BFC">
              <w:rPr>
                <w:noProof/>
                <w:sz w:val="24"/>
                <w:szCs w:val="24"/>
              </w:rPr>
              <w:t>20 minutes</w:t>
            </w:r>
          </w:p>
        </w:tc>
      </w:tr>
      <w:tr w:rsidR="000D4D1E" w:rsidRPr="00BB5BFC" w14:paraId="23B243FA" w14:textId="77777777" w:rsidTr="00BB5BFC">
        <w:tc>
          <w:tcPr>
            <w:tcW w:w="1418" w:type="dxa"/>
            <w:tcBorders>
              <w:top w:val="single" w:sz="4" w:space="0" w:color="auto"/>
              <w:left w:val="single" w:sz="4" w:space="0" w:color="auto"/>
              <w:bottom w:val="single" w:sz="4" w:space="0" w:color="auto"/>
              <w:right w:val="single" w:sz="4" w:space="0" w:color="auto"/>
            </w:tcBorders>
            <w:hideMark/>
          </w:tcPr>
          <w:p w14:paraId="1486D239" w14:textId="77777777" w:rsidR="000D4D1E" w:rsidRPr="00BB5BFC" w:rsidRDefault="000D4D1E">
            <w:pPr>
              <w:rPr>
                <w:noProof/>
                <w:sz w:val="24"/>
                <w:szCs w:val="24"/>
              </w:rPr>
            </w:pPr>
            <w:r w:rsidRPr="00BB5BFC">
              <w:rPr>
                <w:noProof/>
                <w:sz w:val="24"/>
                <w:szCs w:val="24"/>
              </w:rPr>
              <w:t>900 mg</w:t>
            </w:r>
          </w:p>
        </w:tc>
        <w:tc>
          <w:tcPr>
            <w:tcW w:w="2806" w:type="dxa"/>
            <w:tcBorders>
              <w:top w:val="single" w:sz="4" w:space="0" w:color="auto"/>
              <w:left w:val="single" w:sz="4" w:space="0" w:color="auto"/>
              <w:bottom w:val="single" w:sz="4" w:space="0" w:color="auto"/>
              <w:right w:val="single" w:sz="4" w:space="0" w:color="auto"/>
            </w:tcBorders>
            <w:hideMark/>
          </w:tcPr>
          <w:p w14:paraId="133B9EAA" w14:textId="77777777" w:rsidR="000D4D1E" w:rsidRPr="00BB5BFC" w:rsidRDefault="000D4D1E">
            <w:pPr>
              <w:rPr>
                <w:noProof/>
                <w:sz w:val="24"/>
                <w:szCs w:val="24"/>
              </w:rPr>
            </w:pPr>
            <w:r w:rsidRPr="00BB5BFC">
              <w:rPr>
                <w:noProof/>
                <w:sz w:val="24"/>
                <w:szCs w:val="24"/>
              </w:rPr>
              <w:t>50 -100 ml</w:t>
            </w:r>
          </w:p>
        </w:tc>
        <w:tc>
          <w:tcPr>
            <w:tcW w:w="2126" w:type="dxa"/>
            <w:tcBorders>
              <w:top w:val="single" w:sz="4" w:space="0" w:color="auto"/>
              <w:left w:val="single" w:sz="4" w:space="0" w:color="auto"/>
              <w:bottom w:val="single" w:sz="4" w:space="0" w:color="auto"/>
              <w:right w:val="single" w:sz="4" w:space="0" w:color="auto"/>
            </w:tcBorders>
            <w:hideMark/>
          </w:tcPr>
          <w:p w14:paraId="71429DF2" w14:textId="77777777" w:rsidR="000D4D1E" w:rsidRPr="00BB5BFC" w:rsidRDefault="000D4D1E">
            <w:pPr>
              <w:rPr>
                <w:noProof/>
                <w:sz w:val="24"/>
                <w:szCs w:val="24"/>
              </w:rPr>
            </w:pPr>
            <w:r w:rsidRPr="00BB5BFC">
              <w:rPr>
                <w:noProof/>
                <w:sz w:val="24"/>
                <w:szCs w:val="24"/>
              </w:rPr>
              <w:t>30 minutes</w:t>
            </w:r>
          </w:p>
        </w:tc>
      </w:tr>
      <w:tr w:rsidR="000D4D1E" w:rsidRPr="00BB5BFC" w14:paraId="5F520360" w14:textId="77777777" w:rsidTr="00BB5BFC">
        <w:tc>
          <w:tcPr>
            <w:tcW w:w="1418" w:type="dxa"/>
            <w:tcBorders>
              <w:top w:val="single" w:sz="4" w:space="0" w:color="auto"/>
              <w:left w:val="single" w:sz="4" w:space="0" w:color="auto"/>
              <w:bottom w:val="single" w:sz="4" w:space="0" w:color="auto"/>
              <w:right w:val="single" w:sz="4" w:space="0" w:color="auto"/>
            </w:tcBorders>
            <w:hideMark/>
          </w:tcPr>
          <w:p w14:paraId="08E6996D" w14:textId="77777777" w:rsidR="000D4D1E" w:rsidRPr="00BB5BFC" w:rsidRDefault="000D4D1E">
            <w:pPr>
              <w:rPr>
                <w:noProof/>
                <w:sz w:val="24"/>
                <w:szCs w:val="24"/>
              </w:rPr>
            </w:pPr>
            <w:r w:rsidRPr="00BB5BFC">
              <w:rPr>
                <w:noProof/>
                <w:sz w:val="24"/>
                <w:szCs w:val="24"/>
              </w:rPr>
              <w:t>1200 mg</w:t>
            </w:r>
          </w:p>
        </w:tc>
        <w:tc>
          <w:tcPr>
            <w:tcW w:w="2806" w:type="dxa"/>
            <w:tcBorders>
              <w:top w:val="single" w:sz="4" w:space="0" w:color="auto"/>
              <w:left w:val="single" w:sz="4" w:space="0" w:color="auto"/>
              <w:bottom w:val="single" w:sz="4" w:space="0" w:color="auto"/>
              <w:right w:val="single" w:sz="4" w:space="0" w:color="auto"/>
            </w:tcBorders>
            <w:hideMark/>
          </w:tcPr>
          <w:p w14:paraId="1198A8A4" w14:textId="77777777" w:rsidR="000D4D1E" w:rsidRPr="00BB5BFC" w:rsidRDefault="000D4D1E">
            <w:pPr>
              <w:rPr>
                <w:noProof/>
                <w:sz w:val="24"/>
                <w:szCs w:val="24"/>
              </w:rPr>
            </w:pPr>
            <w:r w:rsidRPr="00BB5BFC">
              <w:rPr>
                <w:noProof/>
                <w:sz w:val="24"/>
                <w:szCs w:val="24"/>
              </w:rPr>
              <w:t>100 ml</w:t>
            </w:r>
          </w:p>
        </w:tc>
        <w:tc>
          <w:tcPr>
            <w:tcW w:w="2126" w:type="dxa"/>
            <w:tcBorders>
              <w:top w:val="single" w:sz="4" w:space="0" w:color="auto"/>
              <w:left w:val="single" w:sz="4" w:space="0" w:color="auto"/>
              <w:bottom w:val="single" w:sz="4" w:space="0" w:color="auto"/>
              <w:right w:val="single" w:sz="4" w:space="0" w:color="auto"/>
            </w:tcBorders>
            <w:hideMark/>
          </w:tcPr>
          <w:p w14:paraId="288A5E57" w14:textId="77777777" w:rsidR="000D4D1E" w:rsidRPr="00BB5BFC" w:rsidRDefault="000D4D1E">
            <w:pPr>
              <w:rPr>
                <w:noProof/>
                <w:sz w:val="24"/>
                <w:szCs w:val="24"/>
              </w:rPr>
            </w:pPr>
            <w:r w:rsidRPr="00BB5BFC">
              <w:rPr>
                <w:noProof/>
                <w:sz w:val="24"/>
                <w:szCs w:val="24"/>
              </w:rPr>
              <w:t>60 minutes</w:t>
            </w:r>
          </w:p>
        </w:tc>
      </w:tr>
    </w:tbl>
    <w:p w14:paraId="6858568F" w14:textId="77777777" w:rsidR="000D4D1E" w:rsidRPr="00BB5BFC" w:rsidRDefault="000D4D1E" w:rsidP="00BB5BFC">
      <w:pPr>
        <w:ind w:left="851"/>
        <w:rPr>
          <w:noProof/>
          <w:sz w:val="24"/>
          <w:szCs w:val="24"/>
          <w:lang w:val="en-GB" w:eastAsia="en-US"/>
        </w:rPr>
      </w:pPr>
    </w:p>
    <w:p w14:paraId="1FFDA03D" w14:textId="1C51179B" w:rsidR="000D4D1E" w:rsidRPr="00BB5BFC" w:rsidRDefault="00BB5BFC" w:rsidP="00BB5BFC">
      <w:pPr>
        <w:ind w:left="851"/>
        <w:rPr>
          <w:noProof/>
          <w:sz w:val="24"/>
          <w:szCs w:val="24"/>
          <w:lang w:val="en-US"/>
        </w:rPr>
      </w:pPr>
      <w:r>
        <w:rPr>
          <w:noProof/>
          <w:sz w:val="24"/>
          <w:szCs w:val="24"/>
          <w:lang w:val="en-US"/>
        </w:rPr>
        <w:t>Clindamycin "Noridem"</w:t>
      </w:r>
      <w:r w:rsidR="000D4D1E" w:rsidRPr="00BB5BFC">
        <w:rPr>
          <w:noProof/>
          <w:sz w:val="24"/>
          <w:szCs w:val="24"/>
          <w:lang w:val="en-US"/>
        </w:rPr>
        <w:t xml:space="preserve"> may be diluted with sodium chloride 9 mg/ml (0.9 %) solution or  </w:t>
      </w:r>
    </w:p>
    <w:p w14:paraId="5FF91A67" w14:textId="77777777" w:rsidR="000D4D1E" w:rsidRPr="00BB5BFC" w:rsidRDefault="000D4D1E" w:rsidP="00BB5BFC">
      <w:pPr>
        <w:ind w:left="851"/>
        <w:rPr>
          <w:noProof/>
          <w:sz w:val="24"/>
          <w:szCs w:val="24"/>
          <w:lang w:val="en-US"/>
        </w:rPr>
      </w:pPr>
      <w:r w:rsidRPr="00BB5BFC">
        <w:rPr>
          <w:noProof/>
          <w:sz w:val="24"/>
          <w:szCs w:val="24"/>
          <w:lang w:val="en-US"/>
        </w:rPr>
        <w:t>glucose 50 mg/ml (5 %) solution.</w:t>
      </w:r>
    </w:p>
    <w:p w14:paraId="7276BDE0" w14:textId="77777777" w:rsidR="000D4D1E" w:rsidRPr="00BB5BFC" w:rsidRDefault="000D4D1E" w:rsidP="00BB5BFC">
      <w:pPr>
        <w:ind w:left="851"/>
        <w:rPr>
          <w:noProof/>
          <w:sz w:val="24"/>
          <w:szCs w:val="24"/>
          <w:lang w:val="en-US"/>
        </w:rPr>
      </w:pPr>
    </w:p>
    <w:p w14:paraId="505F401F" w14:textId="77777777" w:rsidR="000D4D1E" w:rsidRPr="00BB5BFC" w:rsidRDefault="000D4D1E" w:rsidP="00BB5BFC">
      <w:pPr>
        <w:ind w:left="851"/>
        <w:rPr>
          <w:noProof/>
          <w:sz w:val="24"/>
          <w:szCs w:val="24"/>
          <w:lang w:val="en-US"/>
        </w:rPr>
      </w:pPr>
      <w:r w:rsidRPr="00BB5BFC">
        <w:rPr>
          <w:noProof/>
          <w:sz w:val="24"/>
          <w:szCs w:val="24"/>
          <w:lang w:val="en-US"/>
        </w:rPr>
        <w:t>Intramuscular administration is indicated when intravenous infusion is not possible for any reasons.</w:t>
      </w:r>
    </w:p>
    <w:p w14:paraId="712BC7F1" w14:textId="77777777" w:rsidR="000D4D1E" w:rsidRPr="00BB5BFC" w:rsidRDefault="000D4D1E" w:rsidP="00BB5BFC">
      <w:pPr>
        <w:ind w:left="851"/>
        <w:rPr>
          <w:noProof/>
          <w:sz w:val="24"/>
          <w:szCs w:val="24"/>
          <w:lang w:val="en-US"/>
        </w:rPr>
      </w:pPr>
    </w:p>
    <w:p w14:paraId="37A24ADC" w14:textId="77777777" w:rsidR="000D4D1E" w:rsidRPr="00BB5BFC" w:rsidRDefault="000D4D1E" w:rsidP="00BB5BFC">
      <w:pPr>
        <w:ind w:left="851"/>
        <w:rPr>
          <w:noProof/>
          <w:sz w:val="24"/>
          <w:szCs w:val="24"/>
          <w:lang w:val="en-US"/>
        </w:rPr>
      </w:pPr>
      <w:r w:rsidRPr="00BB5BFC">
        <w:rPr>
          <w:noProof/>
          <w:sz w:val="24"/>
          <w:szCs w:val="24"/>
          <w:lang w:val="en-US"/>
        </w:rPr>
        <w:t>For single use only.</w:t>
      </w:r>
    </w:p>
    <w:p w14:paraId="681E9962" w14:textId="77777777" w:rsidR="000D4D1E" w:rsidRPr="00BB5BFC" w:rsidRDefault="000D4D1E" w:rsidP="00BB5BFC">
      <w:pPr>
        <w:ind w:left="851"/>
        <w:rPr>
          <w:noProof/>
          <w:sz w:val="24"/>
          <w:szCs w:val="24"/>
          <w:lang w:val="en-US"/>
        </w:rPr>
      </w:pPr>
    </w:p>
    <w:p w14:paraId="78EF3F08" w14:textId="77777777" w:rsidR="000D4D1E" w:rsidRPr="00BB5BFC" w:rsidRDefault="000D4D1E" w:rsidP="00BB5BFC">
      <w:pPr>
        <w:ind w:left="851"/>
        <w:rPr>
          <w:noProof/>
          <w:sz w:val="24"/>
          <w:szCs w:val="24"/>
          <w:lang w:val="en-US"/>
        </w:rPr>
      </w:pPr>
      <w:r w:rsidRPr="00BB5BFC">
        <w:rPr>
          <w:noProof/>
          <w:sz w:val="24"/>
          <w:szCs w:val="24"/>
          <w:lang w:val="en-US"/>
        </w:rPr>
        <w:t xml:space="preserve">The medicinal product is to be visually inspected prior to use and also after dilution. </w:t>
      </w:r>
    </w:p>
    <w:p w14:paraId="0D520E78" w14:textId="77777777" w:rsidR="000D4D1E" w:rsidRPr="00BB5BFC" w:rsidRDefault="000D4D1E" w:rsidP="00BB5BFC">
      <w:pPr>
        <w:ind w:left="851"/>
        <w:rPr>
          <w:noProof/>
          <w:sz w:val="24"/>
          <w:szCs w:val="24"/>
          <w:lang w:val="en-US"/>
        </w:rPr>
      </w:pPr>
      <w:r w:rsidRPr="00BB5BFC">
        <w:rPr>
          <w:noProof/>
          <w:sz w:val="24"/>
          <w:szCs w:val="24"/>
          <w:lang w:val="en-US"/>
        </w:rPr>
        <w:t>Only clear solutions free of visible particles should be used.</w:t>
      </w:r>
    </w:p>
    <w:p w14:paraId="2001CF1D" w14:textId="77777777" w:rsidR="000D4D1E" w:rsidRPr="00BB5BFC" w:rsidRDefault="000D4D1E" w:rsidP="00BB5BFC">
      <w:pPr>
        <w:ind w:left="851"/>
        <w:rPr>
          <w:noProof/>
          <w:sz w:val="24"/>
          <w:szCs w:val="24"/>
          <w:lang w:val="en-US"/>
        </w:rPr>
      </w:pPr>
    </w:p>
    <w:p w14:paraId="007343E3" w14:textId="77777777" w:rsidR="000D4D1E" w:rsidRPr="00BB5BFC" w:rsidRDefault="000D4D1E" w:rsidP="00BB5BFC">
      <w:pPr>
        <w:ind w:left="851"/>
        <w:rPr>
          <w:noProof/>
          <w:sz w:val="24"/>
          <w:szCs w:val="24"/>
          <w:lang w:val="en-US"/>
        </w:rPr>
      </w:pPr>
      <w:r w:rsidRPr="00BB5BFC">
        <w:rPr>
          <w:noProof/>
          <w:sz w:val="24"/>
          <w:szCs w:val="24"/>
          <w:lang w:val="en-US"/>
        </w:rPr>
        <w:t>Any unused medicinal product or waste material should be disposed of in accordance with local requirements.</w:t>
      </w:r>
    </w:p>
    <w:p w14:paraId="4DBD0BBE" w14:textId="18EDDD29" w:rsidR="009942D1" w:rsidRDefault="009942D1">
      <w:pPr>
        <w:rPr>
          <w:sz w:val="24"/>
          <w:szCs w:val="24"/>
          <w:lang w:val="en-GB"/>
        </w:rPr>
      </w:pPr>
      <w:r>
        <w:rPr>
          <w:sz w:val="24"/>
          <w:szCs w:val="24"/>
          <w:lang w:val="en-GB"/>
        </w:rPr>
        <w:br w:type="page"/>
      </w:r>
    </w:p>
    <w:p w14:paraId="784A3FCA" w14:textId="77777777" w:rsidR="007C5D2A" w:rsidRPr="00BB5BFC" w:rsidRDefault="007C5D2A" w:rsidP="00AB4376">
      <w:pPr>
        <w:tabs>
          <w:tab w:val="left" w:pos="851"/>
        </w:tabs>
        <w:ind w:left="851"/>
        <w:rPr>
          <w:sz w:val="24"/>
          <w:szCs w:val="24"/>
          <w:lang w:val="en-GB"/>
        </w:rPr>
      </w:pPr>
    </w:p>
    <w:p w14:paraId="687867AA" w14:textId="77777777" w:rsidR="007C5D2A" w:rsidRPr="00BB5BFC" w:rsidRDefault="007C5D2A" w:rsidP="007C5D2A">
      <w:pPr>
        <w:tabs>
          <w:tab w:val="left" w:pos="851"/>
        </w:tabs>
        <w:ind w:left="851" w:hanging="851"/>
        <w:jc w:val="both"/>
        <w:rPr>
          <w:b/>
          <w:sz w:val="24"/>
          <w:szCs w:val="24"/>
          <w:lang w:val="en-GB"/>
        </w:rPr>
      </w:pPr>
      <w:r w:rsidRPr="00BB5BFC">
        <w:rPr>
          <w:b/>
          <w:sz w:val="24"/>
          <w:szCs w:val="24"/>
          <w:lang w:val="en-GB"/>
        </w:rPr>
        <w:t>7.</w:t>
      </w:r>
      <w:r w:rsidRPr="00BB5BFC">
        <w:rPr>
          <w:b/>
          <w:sz w:val="24"/>
          <w:szCs w:val="24"/>
          <w:lang w:val="en-GB"/>
        </w:rPr>
        <w:tab/>
        <w:t>MARKETING AUTHORISATION HOLDER</w:t>
      </w:r>
    </w:p>
    <w:p w14:paraId="6E2DD752" w14:textId="4FEACE92" w:rsidR="007C5D2A" w:rsidRPr="00BB5BFC" w:rsidRDefault="006933B5" w:rsidP="00BB5BFC">
      <w:pPr>
        <w:ind w:left="851"/>
        <w:rPr>
          <w:sz w:val="24"/>
          <w:szCs w:val="24"/>
          <w:lang w:val="en-GB"/>
        </w:rPr>
      </w:pPr>
      <w:r w:rsidRPr="00BB5BFC">
        <w:rPr>
          <w:sz w:val="24"/>
          <w:szCs w:val="24"/>
          <w:lang w:val="en-GB"/>
        </w:rPr>
        <w:t>Noridem Enterprises Limited</w:t>
      </w:r>
    </w:p>
    <w:p w14:paraId="7E039E5D" w14:textId="7A3382D9" w:rsidR="006933B5" w:rsidRPr="00BB5BFC" w:rsidRDefault="006933B5" w:rsidP="00BB5BFC">
      <w:pPr>
        <w:ind w:left="851"/>
        <w:rPr>
          <w:sz w:val="24"/>
          <w:szCs w:val="24"/>
          <w:lang w:val="en-GB"/>
        </w:rPr>
      </w:pPr>
      <w:proofErr w:type="spellStart"/>
      <w:r w:rsidRPr="00BB5BFC">
        <w:rPr>
          <w:sz w:val="24"/>
          <w:szCs w:val="24"/>
          <w:lang w:val="en-GB"/>
        </w:rPr>
        <w:t>Evagorou</w:t>
      </w:r>
      <w:proofErr w:type="spellEnd"/>
      <w:r w:rsidRPr="00BB5BFC">
        <w:rPr>
          <w:sz w:val="24"/>
          <w:szCs w:val="24"/>
          <w:lang w:val="en-GB"/>
        </w:rPr>
        <w:t xml:space="preserve"> And </w:t>
      </w:r>
      <w:proofErr w:type="spellStart"/>
      <w:r w:rsidRPr="00BB5BFC">
        <w:rPr>
          <w:sz w:val="24"/>
          <w:szCs w:val="24"/>
          <w:lang w:val="en-GB"/>
        </w:rPr>
        <w:t>Makariou</w:t>
      </w:r>
      <w:proofErr w:type="spellEnd"/>
    </w:p>
    <w:p w14:paraId="252FC268" w14:textId="1A11BFA7" w:rsidR="006933B5" w:rsidRPr="00BB5BFC" w:rsidRDefault="006933B5" w:rsidP="00BB5BFC">
      <w:pPr>
        <w:ind w:left="851"/>
        <w:rPr>
          <w:sz w:val="24"/>
          <w:szCs w:val="24"/>
          <w:lang w:val="en-GB"/>
        </w:rPr>
      </w:pPr>
      <w:r w:rsidRPr="00BB5BFC">
        <w:rPr>
          <w:sz w:val="24"/>
          <w:szCs w:val="24"/>
          <w:lang w:val="en-GB"/>
        </w:rPr>
        <w:t>Mitsi Building 3 Office 115</w:t>
      </w:r>
    </w:p>
    <w:p w14:paraId="35F22F21" w14:textId="746793F3" w:rsidR="006933B5" w:rsidRPr="00BB5BFC" w:rsidRDefault="006933B5" w:rsidP="00BB5BFC">
      <w:pPr>
        <w:ind w:left="851"/>
        <w:rPr>
          <w:sz w:val="24"/>
          <w:szCs w:val="24"/>
          <w:lang w:val="en-GB"/>
        </w:rPr>
      </w:pPr>
      <w:r w:rsidRPr="00BB5BFC">
        <w:rPr>
          <w:sz w:val="24"/>
          <w:szCs w:val="24"/>
          <w:lang w:val="en-GB"/>
        </w:rPr>
        <w:t>1065 Nicosia</w:t>
      </w:r>
    </w:p>
    <w:p w14:paraId="44A3DA3F" w14:textId="174A12BB" w:rsidR="006933B5" w:rsidRPr="00BB5BFC" w:rsidRDefault="006933B5" w:rsidP="00BB5BFC">
      <w:pPr>
        <w:ind w:left="851"/>
        <w:rPr>
          <w:sz w:val="24"/>
          <w:szCs w:val="24"/>
          <w:lang w:val="en-GB"/>
        </w:rPr>
      </w:pPr>
      <w:r w:rsidRPr="00BB5BFC">
        <w:rPr>
          <w:sz w:val="24"/>
          <w:szCs w:val="24"/>
          <w:lang w:val="en-GB"/>
        </w:rPr>
        <w:t>Cyprus</w:t>
      </w:r>
    </w:p>
    <w:p w14:paraId="6FAA5A93" w14:textId="77777777" w:rsidR="007C5D2A" w:rsidRPr="00BB5BFC" w:rsidRDefault="007C5D2A" w:rsidP="00BB5BFC">
      <w:pPr>
        <w:ind w:left="851"/>
        <w:rPr>
          <w:sz w:val="24"/>
          <w:szCs w:val="24"/>
          <w:lang w:val="en-GB"/>
        </w:rPr>
      </w:pPr>
    </w:p>
    <w:p w14:paraId="7561A7EB" w14:textId="77777777" w:rsidR="008A24F6" w:rsidRPr="00BB5BFC" w:rsidRDefault="005A498B" w:rsidP="00BB5BFC">
      <w:pPr>
        <w:ind w:left="851"/>
        <w:rPr>
          <w:b/>
          <w:sz w:val="24"/>
          <w:szCs w:val="24"/>
          <w:lang w:val="en-GB"/>
        </w:rPr>
      </w:pPr>
      <w:r w:rsidRPr="00BB5BFC">
        <w:rPr>
          <w:b/>
          <w:sz w:val="24"/>
          <w:szCs w:val="24"/>
          <w:lang w:val="en-GB"/>
        </w:rPr>
        <w:t>Representative</w:t>
      </w:r>
    </w:p>
    <w:p w14:paraId="21907CA4" w14:textId="77777777" w:rsidR="006933B5" w:rsidRPr="00BB5BFC" w:rsidRDefault="006933B5" w:rsidP="00BB5BFC">
      <w:pPr>
        <w:ind w:left="851"/>
        <w:rPr>
          <w:sz w:val="24"/>
          <w:szCs w:val="24"/>
          <w:lang w:val="en-US"/>
        </w:rPr>
      </w:pPr>
      <w:r w:rsidRPr="00BB5BFC">
        <w:rPr>
          <w:sz w:val="24"/>
          <w:szCs w:val="24"/>
          <w:lang w:val="en-US"/>
        </w:rPr>
        <w:t xml:space="preserve">FrostPharma AB </w:t>
      </w:r>
    </w:p>
    <w:p w14:paraId="3F0A73F3" w14:textId="77777777" w:rsidR="006933B5" w:rsidRPr="00BB5BFC" w:rsidRDefault="006933B5" w:rsidP="00BB5BFC">
      <w:pPr>
        <w:ind w:left="851"/>
        <w:rPr>
          <w:sz w:val="24"/>
          <w:szCs w:val="24"/>
          <w:lang w:val="en-US"/>
        </w:rPr>
      </w:pPr>
      <w:proofErr w:type="spellStart"/>
      <w:r w:rsidRPr="00BB5BFC">
        <w:rPr>
          <w:sz w:val="24"/>
          <w:szCs w:val="24"/>
          <w:lang w:val="en-US"/>
        </w:rPr>
        <w:t>Berga</w:t>
      </w:r>
      <w:proofErr w:type="spellEnd"/>
      <w:r w:rsidRPr="00BB5BFC">
        <w:rPr>
          <w:sz w:val="24"/>
          <w:szCs w:val="24"/>
          <w:lang w:val="en-US"/>
        </w:rPr>
        <w:t xml:space="preserve"> </w:t>
      </w:r>
      <w:proofErr w:type="spellStart"/>
      <w:r w:rsidRPr="00BB5BFC">
        <w:rPr>
          <w:sz w:val="24"/>
          <w:szCs w:val="24"/>
          <w:lang w:val="en-US"/>
        </w:rPr>
        <w:t>Backe</w:t>
      </w:r>
      <w:proofErr w:type="spellEnd"/>
      <w:r w:rsidRPr="00BB5BFC">
        <w:rPr>
          <w:sz w:val="24"/>
          <w:szCs w:val="24"/>
          <w:lang w:val="en-US"/>
        </w:rPr>
        <w:t xml:space="preserve"> 2</w:t>
      </w:r>
    </w:p>
    <w:p w14:paraId="0F0EF8FD" w14:textId="77777777" w:rsidR="006933B5" w:rsidRPr="00BB5BFC" w:rsidRDefault="006933B5" w:rsidP="00BB5BFC">
      <w:pPr>
        <w:ind w:left="851"/>
        <w:rPr>
          <w:sz w:val="24"/>
          <w:szCs w:val="24"/>
          <w:lang w:val="en-US"/>
        </w:rPr>
      </w:pPr>
      <w:proofErr w:type="spellStart"/>
      <w:r w:rsidRPr="00BB5BFC">
        <w:rPr>
          <w:sz w:val="24"/>
          <w:szCs w:val="24"/>
          <w:lang w:val="en-US"/>
        </w:rPr>
        <w:t>Danderyd</w:t>
      </w:r>
      <w:proofErr w:type="spellEnd"/>
    </w:p>
    <w:p w14:paraId="4C72AEDE" w14:textId="77777777" w:rsidR="006933B5" w:rsidRPr="00BB5BFC" w:rsidRDefault="006933B5" w:rsidP="00BB5BFC">
      <w:pPr>
        <w:ind w:left="851"/>
        <w:rPr>
          <w:sz w:val="24"/>
          <w:szCs w:val="24"/>
          <w:lang w:val="en-US"/>
        </w:rPr>
      </w:pPr>
      <w:r w:rsidRPr="00BB5BFC">
        <w:rPr>
          <w:sz w:val="24"/>
          <w:szCs w:val="24"/>
          <w:lang w:val="en-US"/>
        </w:rPr>
        <w:t xml:space="preserve">182 53 </w:t>
      </w:r>
      <w:proofErr w:type="spellStart"/>
      <w:r w:rsidRPr="00BB5BFC">
        <w:rPr>
          <w:sz w:val="24"/>
          <w:szCs w:val="24"/>
          <w:lang w:val="en-US"/>
        </w:rPr>
        <w:t>Stockholms</w:t>
      </w:r>
      <w:proofErr w:type="spellEnd"/>
      <w:r w:rsidRPr="00BB5BFC">
        <w:rPr>
          <w:sz w:val="24"/>
          <w:szCs w:val="24"/>
          <w:lang w:val="en-US"/>
        </w:rPr>
        <w:t xml:space="preserve"> Lan</w:t>
      </w:r>
    </w:p>
    <w:p w14:paraId="66AB53E3" w14:textId="77777777" w:rsidR="006933B5" w:rsidRPr="00BB5BFC" w:rsidRDefault="006933B5" w:rsidP="00BB5BFC">
      <w:pPr>
        <w:ind w:left="851"/>
        <w:rPr>
          <w:sz w:val="24"/>
          <w:szCs w:val="24"/>
          <w:lang w:val="en-US"/>
        </w:rPr>
      </w:pPr>
      <w:r w:rsidRPr="00BB5BFC">
        <w:rPr>
          <w:sz w:val="24"/>
          <w:szCs w:val="24"/>
          <w:lang w:val="en-US"/>
        </w:rPr>
        <w:t>Sweden</w:t>
      </w:r>
    </w:p>
    <w:p w14:paraId="7E54F852" w14:textId="77777777" w:rsidR="008A24F6" w:rsidRPr="00BB5BFC" w:rsidRDefault="008A24F6" w:rsidP="003E0341">
      <w:pPr>
        <w:tabs>
          <w:tab w:val="left" w:pos="851"/>
        </w:tabs>
        <w:ind w:left="851"/>
        <w:jc w:val="both"/>
        <w:rPr>
          <w:sz w:val="24"/>
          <w:szCs w:val="24"/>
          <w:lang w:val="en-GB"/>
        </w:rPr>
      </w:pPr>
    </w:p>
    <w:p w14:paraId="1CC74D8A" w14:textId="77777777" w:rsidR="007C5D2A" w:rsidRPr="00BB5BFC" w:rsidRDefault="007C5D2A" w:rsidP="007C5D2A">
      <w:pPr>
        <w:ind w:left="851" w:hanging="851"/>
        <w:jc w:val="both"/>
        <w:rPr>
          <w:b/>
          <w:sz w:val="24"/>
          <w:szCs w:val="24"/>
          <w:lang w:val="en-GB"/>
        </w:rPr>
      </w:pPr>
      <w:r w:rsidRPr="00BB5BFC">
        <w:rPr>
          <w:b/>
          <w:sz w:val="24"/>
          <w:szCs w:val="24"/>
          <w:lang w:val="en-GB"/>
        </w:rPr>
        <w:t>8.</w:t>
      </w:r>
      <w:r w:rsidRPr="00BB5BFC">
        <w:rPr>
          <w:b/>
          <w:sz w:val="24"/>
          <w:szCs w:val="24"/>
          <w:lang w:val="en-GB"/>
        </w:rPr>
        <w:tab/>
        <w:t>MARKETING AUTHORISATION NUMBER(S)</w:t>
      </w:r>
    </w:p>
    <w:p w14:paraId="24F66267" w14:textId="0F7ED738" w:rsidR="007C5D2A" w:rsidRPr="00BB5BFC" w:rsidRDefault="006933B5" w:rsidP="00A85D26">
      <w:pPr>
        <w:tabs>
          <w:tab w:val="left" w:pos="851"/>
        </w:tabs>
        <w:ind w:left="851"/>
        <w:jc w:val="both"/>
        <w:rPr>
          <w:sz w:val="24"/>
          <w:szCs w:val="24"/>
          <w:lang w:val="en-GB"/>
        </w:rPr>
      </w:pPr>
      <w:r w:rsidRPr="00BB5BFC">
        <w:rPr>
          <w:sz w:val="24"/>
          <w:szCs w:val="24"/>
          <w:lang w:val="en-GB"/>
        </w:rPr>
        <w:t>73542</w:t>
      </w:r>
    </w:p>
    <w:p w14:paraId="1B29D6E5" w14:textId="77777777" w:rsidR="007C5D2A" w:rsidRPr="00BB5BFC" w:rsidRDefault="007C5D2A" w:rsidP="00180A12">
      <w:pPr>
        <w:tabs>
          <w:tab w:val="left" w:pos="851"/>
        </w:tabs>
        <w:ind w:left="851"/>
        <w:jc w:val="both"/>
        <w:rPr>
          <w:sz w:val="24"/>
          <w:szCs w:val="24"/>
          <w:lang w:val="en-GB"/>
        </w:rPr>
      </w:pPr>
    </w:p>
    <w:p w14:paraId="2F25E1FD" w14:textId="77777777" w:rsidR="007C5D2A" w:rsidRPr="00BB5BFC" w:rsidRDefault="007C5D2A" w:rsidP="007C5D2A">
      <w:pPr>
        <w:tabs>
          <w:tab w:val="left" w:pos="851"/>
        </w:tabs>
        <w:jc w:val="both"/>
        <w:rPr>
          <w:sz w:val="24"/>
          <w:szCs w:val="24"/>
          <w:lang w:val="en-GB"/>
        </w:rPr>
      </w:pPr>
      <w:r w:rsidRPr="00BB5BFC">
        <w:rPr>
          <w:b/>
          <w:sz w:val="24"/>
          <w:szCs w:val="24"/>
          <w:lang w:val="en-GB"/>
        </w:rPr>
        <w:t>9.</w:t>
      </w:r>
      <w:r w:rsidRPr="00BB5BFC">
        <w:rPr>
          <w:b/>
          <w:sz w:val="24"/>
          <w:szCs w:val="24"/>
          <w:lang w:val="en-GB"/>
        </w:rPr>
        <w:tab/>
        <w:t>DATE OF FIRST AUTHORISATION</w:t>
      </w:r>
    </w:p>
    <w:p w14:paraId="5B5B75BC" w14:textId="6B9FC71E" w:rsidR="007C5D2A" w:rsidRPr="00BB5BFC" w:rsidRDefault="00805A28" w:rsidP="00A85D26">
      <w:pPr>
        <w:ind w:left="851"/>
        <w:jc w:val="both"/>
        <w:rPr>
          <w:sz w:val="24"/>
          <w:szCs w:val="24"/>
          <w:lang w:val="en-GB"/>
        </w:rPr>
      </w:pPr>
      <w:r>
        <w:rPr>
          <w:sz w:val="24"/>
          <w:szCs w:val="24"/>
          <w:lang w:val="en-GB"/>
        </w:rPr>
        <w:t>11 December 2025</w:t>
      </w:r>
    </w:p>
    <w:p w14:paraId="5EC08A6E" w14:textId="77777777" w:rsidR="007C5D2A" w:rsidRPr="00BB5BFC" w:rsidRDefault="007C5D2A" w:rsidP="003E0341">
      <w:pPr>
        <w:tabs>
          <w:tab w:val="left" w:pos="851"/>
        </w:tabs>
        <w:ind w:left="851"/>
        <w:jc w:val="both"/>
        <w:rPr>
          <w:sz w:val="24"/>
          <w:szCs w:val="24"/>
          <w:lang w:val="en-GB"/>
        </w:rPr>
      </w:pPr>
    </w:p>
    <w:p w14:paraId="1B8B95B3" w14:textId="77777777" w:rsidR="007C5D2A" w:rsidRPr="00BB5BFC" w:rsidRDefault="007C5D2A" w:rsidP="007C5D2A">
      <w:pPr>
        <w:tabs>
          <w:tab w:val="left" w:pos="851"/>
        </w:tabs>
        <w:jc w:val="both"/>
        <w:rPr>
          <w:sz w:val="24"/>
          <w:szCs w:val="24"/>
          <w:lang w:val="en-GB"/>
        </w:rPr>
      </w:pPr>
      <w:r w:rsidRPr="00BB5BFC">
        <w:rPr>
          <w:b/>
          <w:sz w:val="24"/>
          <w:szCs w:val="24"/>
          <w:lang w:val="en-GB"/>
        </w:rPr>
        <w:t>10.</w:t>
      </w:r>
      <w:r w:rsidRPr="00BB5BFC">
        <w:rPr>
          <w:b/>
          <w:sz w:val="24"/>
          <w:szCs w:val="24"/>
          <w:lang w:val="en-GB"/>
        </w:rPr>
        <w:tab/>
        <w:t>DATE OF REVISION OF THE TEXT</w:t>
      </w:r>
    </w:p>
    <w:p w14:paraId="54FAB18B" w14:textId="7E38F5E0" w:rsidR="007C5D2A" w:rsidRPr="00BB5BFC" w:rsidRDefault="006933B5" w:rsidP="003E0341">
      <w:pPr>
        <w:tabs>
          <w:tab w:val="left" w:pos="851"/>
        </w:tabs>
        <w:ind w:left="851"/>
        <w:jc w:val="both"/>
        <w:rPr>
          <w:sz w:val="24"/>
          <w:szCs w:val="24"/>
          <w:lang w:val="en-GB"/>
        </w:rPr>
      </w:pPr>
      <w:r w:rsidRPr="00BB5BFC">
        <w:rPr>
          <w:sz w:val="24"/>
          <w:szCs w:val="24"/>
          <w:lang w:val="en-GB"/>
        </w:rPr>
        <w:t>-</w:t>
      </w:r>
    </w:p>
    <w:sectPr w:rsidR="007C5D2A" w:rsidRPr="00BB5BFC"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163D5" w14:textId="77777777" w:rsidR="006933B5" w:rsidRDefault="006933B5">
      <w:r>
        <w:separator/>
      </w:r>
    </w:p>
  </w:endnote>
  <w:endnote w:type="continuationSeparator" w:id="0">
    <w:p w14:paraId="5CA14D06" w14:textId="77777777" w:rsidR="006933B5" w:rsidRDefault="0069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A469" w14:textId="77777777" w:rsidR="006933B5" w:rsidRDefault="006933B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9221" w14:textId="77777777" w:rsidR="006933B5" w:rsidRDefault="006933B5">
    <w:pPr>
      <w:pStyle w:val="Sidefod"/>
      <w:pBdr>
        <w:bottom w:val="single" w:sz="6" w:space="1" w:color="auto"/>
      </w:pBdr>
    </w:pPr>
  </w:p>
  <w:p w14:paraId="6F14C9D6" w14:textId="77777777" w:rsidR="006933B5" w:rsidRDefault="006933B5">
    <w:pPr>
      <w:pStyle w:val="Sidefod"/>
      <w:tabs>
        <w:tab w:val="clear" w:pos="4819"/>
        <w:tab w:val="left" w:pos="8647"/>
      </w:tabs>
      <w:rPr>
        <w:i/>
        <w:snapToGrid w:val="0"/>
        <w:sz w:val="18"/>
      </w:rPr>
    </w:pPr>
  </w:p>
  <w:p w14:paraId="0B900C62" w14:textId="055D7211" w:rsidR="006933B5" w:rsidRDefault="006933B5"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874FCD">
      <w:rPr>
        <w:i/>
        <w:noProof/>
        <w:snapToGrid w:val="0"/>
        <w:sz w:val="18"/>
      </w:rPr>
      <w:t>Clindamycin Noridem, injektions--infusionsvæske, opløsning 150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69A5" w14:textId="77777777" w:rsidR="006933B5" w:rsidRDefault="006933B5">
    <w:pPr>
      <w:pStyle w:val="Sidefod"/>
      <w:pBdr>
        <w:bottom w:val="single" w:sz="6" w:space="1" w:color="auto"/>
      </w:pBdr>
      <w:tabs>
        <w:tab w:val="clear" w:pos="4819"/>
        <w:tab w:val="left" w:pos="8789"/>
      </w:tabs>
      <w:rPr>
        <w:i/>
        <w:snapToGrid w:val="0"/>
        <w:sz w:val="18"/>
      </w:rPr>
    </w:pPr>
  </w:p>
  <w:p w14:paraId="1A05BFFA" w14:textId="77777777" w:rsidR="006933B5" w:rsidRDefault="006933B5">
    <w:pPr>
      <w:pStyle w:val="Sidefod"/>
      <w:tabs>
        <w:tab w:val="clear" w:pos="4819"/>
        <w:tab w:val="left" w:pos="8789"/>
      </w:tabs>
      <w:rPr>
        <w:i/>
        <w:snapToGrid w:val="0"/>
        <w:sz w:val="18"/>
      </w:rPr>
    </w:pPr>
  </w:p>
  <w:p w14:paraId="69A295FC" w14:textId="754FF4CD" w:rsidR="006933B5" w:rsidRDefault="006933B5">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874FCD">
      <w:rPr>
        <w:i/>
        <w:noProof/>
        <w:snapToGrid w:val="0"/>
        <w:sz w:val="18"/>
      </w:rPr>
      <w:t>Clindamycin Noridem, injektions--infusionsvæske, opløsning 150 mg-ml.docx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EBE5E" w14:textId="77777777" w:rsidR="006933B5" w:rsidRDefault="006933B5">
      <w:r>
        <w:separator/>
      </w:r>
    </w:p>
  </w:footnote>
  <w:footnote w:type="continuationSeparator" w:id="0">
    <w:p w14:paraId="31579C83" w14:textId="77777777" w:rsidR="006933B5" w:rsidRDefault="0069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B2D5" w14:textId="77777777" w:rsidR="006933B5" w:rsidRDefault="006933B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F5F85" w14:textId="77777777" w:rsidR="006933B5" w:rsidRDefault="006933B5">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A80A" w14:textId="77777777" w:rsidR="006933B5" w:rsidRDefault="006933B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4E031C"/>
    <w:multiLevelType w:val="hybridMultilevel"/>
    <w:tmpl w:val="FF8AF9D8"/>
    <w:lvl w:ilvl="0" w:tplc="2354A06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52C1944"/>
    <w:multiLevelType w:val="hybridMultilevel"/>
    <w:tmpl w:val="98CC34A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5" w15:restartNumberingAfterBreak="0">
    <w:nsid w:val="359C4D42"/>
    <w:multiLevelType w:val="hybridMultilevel"/>
    <w:tmpl w:val="2E2214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3E9A5708"/>
    <w:multiLevelType w:val="hybridMultilevel"/>
    <w:tmpl w:val="E722933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438B5F3A"/>
    <w:multiLevelType w:val="hybridMultilevel"/>
    <w:tmpl w:val="0EA078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CE824A6"/>
    <w:multiLevelType w:val="hybridMultilevel"/>
    <w:tmpl w:val="B8645C94"/>
    <w:lvl w:ilvl="0" w:tplc="2214B962">
      <w:start w:val="1"/>
      <w:numFmt w:val="decimal"/>
      <w:lvlText w:val="%1."/>
      <w:lvlJc w:val="left"/>
      <w:pPr>
        <w:ind w:left="720" w:hanging="360"/>
      </w:pPr>
      <w:rPr>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BED6055"/>
    <w:multiLevelType w:val="hybridMultilevel"/>
    <w:tmpl w:val="5D88A27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0"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1" w15:restartNumberingAfterBreak="0">
    <w:nsid w:val="6A90646E"/>
    <w:multiLevelType w:val="hybridMultilevel"/>
    <w:tmpl w:val="5A04BC9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75F335BA"/>
    <w:multiLevelType w:val="hybridMultilevel"/>
    <w:tmpl w:val="E0F6D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
  </w:num>
  <w:num w:numId="5">
    <w:abstractNumId w:val="4"/>
  </w:num>
  <w:num w:numId="6">
    <w:abstractNumId w:val="9"/>
  </w:num>
  <w:num w:numId="7">
    <w:abstractNumId w:val="5"/>
  </w:num>
  <w:num w:numId="8">
    <w:abstractNumId w:val="7"/>
  </w:num>
  <w:num w:numId="9">
    <w:abstractNumId w:val="12"/>
  </w:num>
  <w:num w:numId="10">
    <w:abstractNumId w:val="6"/>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7B"/>
    <w:rsid w:val="00056601"/>
    <w:rsid w:val="00081C6D"/>
    <w:rsid w:val="000C3846"/>
    <w:rsid w:val="000C6218"/>
    <w:rsid w:val="000D3C9D"/>
    <w:rsid w:val="000D4D1E"/>
    <w:rsid w:val="000F0D47"/>
    <w:rsid w:val="001242DE"/>
    <w:rsid w:val="00180A12"/>
    <w:rsid w:val="00214331"/>
    <w:rsid w:val="00214CF4"/>
    <w:rsid w:val="00281F03"/>
    <w:rsid w:val="0029458A"/>
    <w:rsid w:val="002A1587"/>
    <w:rsid w:val="002B27C5"/>
    <w:rsid w:val="002F6D9C"/>
    <w:rsid w:val="00303008"/>
    <w:rsid w:val="00373B55"/>
    <w:rsid w:val="003C0EAB"/>
    <w:rsid w:val="003D727E"/>
    <w:rsid w:val="003E0341"/>
    <w:rsid w:val="003E3402"/>
    <w:rsid w:val="003F4736"/>
    <w:rsid w:val="00401B49"/>
    <w:rsid w:val="0042292D"/>
    <w:rsid w:val="00433E36"/>
    <w:rsid w:val="00437D5B"/>
    <w:rsid w:val="00440254"/>
    <w:rsid w:val="004860D3"/>
    <w:rsid w:val="004A3BF4"/>
    <w:rsid w:val="004A5DB3"/>
    <w:rsid w:val="004F3E05"/>
    <w:rsid w:val="005152D9"/>
    <w:rsid w:val="00533AD4"/>
    <w:rsid w:val="00534849"/>
    <w:rsid w:val="00560102"/>
    <w:rsid w:val="00562EA1"/>
    <w:rsid w:val="005A498B"/>
    <w:rsid w:val="00617BB8"/>
    <w:rsid w:val="006207FF"/>
    <w:rsid w:val="00680052"/>
    <w:rsid w:val="00683267"/>
    <w:rsid w:val="006844E9"/>
    <w:rsid w:val="006933B5"/>
    <w:rsid w:val="006B3847"/>
    <w:rsid w:val="0075453D"/>
    <w:rsid w:val="007A4CC6"/>
    <w:rsid w:val="007C3623"/>
    <w:rsid w:val="007C5D2A"/>
    <w:rsid w:val="007F1E00"/>
    <w:rsid w:val="007F657B"/>
    <w:rsid w:val="00805A28"/>
    <w:rsid w:val="00827444"/>
    <w:rsid w:val="008400E3"/>
    <w:rsid w:val="00864538"/>
    <w:rsid w:val="00873B4F"/>
    <w:rsid w:val="00874FCD"/>
    <w:rsid w:val="008A24F6"/>
    <w:rsid w:val="008A4090"/>
    <w:rsid w:val="008E51AE"/>
    <w:rsid w:val="008F2F8C"/>
    <w:rsid w:val="009925C9"/>
    <w:rsid w:val="009942D1"/>
    <w:rsid w:val="00A179D0"/>
    <w:rsid w:val="00A358A3"/>
    <w:rsid w:val="00A46747"/>
    <w:rsid w:val="00A80446"/>
    <w:rsid w:val="00A85D26"/>
    <w:rsid w:val="00A9153A"/>
    <w:rsid w:val="00AB4376"/>
    <w:rsid w:val="00AC033C"/>
    <w:rsid w:val="00AD2E36"/>
    <w:rsid w:val="00B45DC5"/>
    <w:rsid w:val="00BB5BFC"/>
    <w:rsid w:val="00BD3490"/>
    <w:rsid w:val="00C26226"/>
    <w:rsid w:val="00C3571D"/>
    <w:rsid w:val="00C54F0B"/>
    <w:rsid w:val="00C82621"/>
    <w:rsid w:val="00CB1423"/>
    <w:rsid w:val="00D02508"/>
    <w:rsid w:val="00D778CC"/>
    <w:rsid w:val="00D82FE9"/>
    <w:rsid w:val="00D97B77"/>
    <w:rsid w:val="00DB6A85"/>
    <w:rsid w:val="00E06B32"/>
    <w:rsid w:val="00E1290F"/>
    <w:rsid w:val="00E36A80"/>
    <w:rsid w:val="00EB21D7"/>
    <w:rsid w:val="00EE3EB7"/>
    <w:rsid w:val="00F57E16"/>
    <w:rsid w:val="00F60336"/>
    <w:rsid w:val="00FA6201"/>
    <w:rsid w:val="00FD2657"/>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D48D"/>
  <w15:chartTrackingRefBased/>
  <w15:docId w15:val="{B2355186-1652-4FA5-82B7-76E2D833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customStyle="1" w:styleId="EMEAEnBodyText">
    <w:name w:val="EMEA En Body Text"/>
    <w:basedOn w:val="Normal"/>
    <w:rsid w:val="000D4D1E"/>
    <w:pPr>
      <w:spacing w:before="120" w:after="120"/>
      <w:jc w:val="both"/>
    </w:pPr>
    <w:rPr>
      <w:sz w:val="22"/>
      <w:lang w:val="en-US" w:eastAsia="en-US"/>
    </w:rPr>
  </w:style>
  <w:style w:type="paragraph" w:styleId="Listeafsnit">
    <w:name w:val="List Paragraph"/>
    <w:basedOn w:val="Normal"/>
    <w:uiPriority w:val="34"/>
    <w:qFormat/>
    <w:rsid w:val="000D4D1E"/>
    <w:pPr>
      <w:tabs>
        <w:tab w:val="left" w:pos="567"/>
      </w:tabs>
      <w:spacing w:line="260" w:lineRule="exact"/>
      <w:ind w:left="720"/>
      <w:contextualSpacing/>
    </w:pPr>
    <w:rPr>
      <w:sz w:val="22"/>
      <w:lang w:val="en-GB" w:eastAsia="en-US"/>
    </w:rPr>
  </w:style>
  <w:style w:type="character" w:customStyle="1" w:styleId="y2iqfc">
    <w:name w:val="y2iqfc"/>
    <w:basedOn w:val="Standardskrifttypeiafsnit"/>
    <w:rsid w:val="000D4D1E"/>
  </w:style>
  <w:style w:type="paragraph" w:customStyle="1" w:styleId="Default">
    <w:name w:val="Default"/>
    <w:rsid w:val="000D4D1E"/>
    <w:pPr>
      <w:autoSpaceDE w:val="0"/>
      <w:autoSpaceDN w:val="0"/>
      <w:adjustRightInd w:val="0"/>
    </w:pPr>
    <w:rPr>
      <w:rFonts w:eastAsia="SimSun"/>
      <w:color w:val="000000"/>
      <w:sz w:val="24"/>
      <w:szCs w:val="24"/>
      <w:lang w:val="en-US" w:eastAsia="zh-CN"/>
    </w:rPr>
  </w:style>
  <w:style w:type="character" w:styleId="Hyperlink">
    <w:name w:val="Hyperlink"/>
    <w:semiHidden/>
    <w:unhideWhenUsed/>
    <w:rsid w:val="000D4D1E"/>
    <w:rPr>
      <w:color w:val="0000FF"/>
      <w:u w:val="single"/>
    </w:rPr>
  </w:style>
  <w:style w:type="table" w:styleId="Tabel-Gitter">
    <w:name w:val="Table Grid"/>
    <w:basedOn w:val="Tabel-Normal"/>
    <w:rsid w:val="000D4D1E"/>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4D1E"/>
    <w:pPr>
      <w:widowControl w:val="0"/>
    </w:pPr>
    <w:rPr>
      <w:rFonts w:asciiTheme="minorHAnsi" w:eastAsiaTheme="minorHAnsi" w:hAnsiTheme="minorHAnsi" w:cstheme="minorBidi"/>
      <w:sz w:val="22"/>
      <w:szCs w:val="22"/>
      <w:lang w:val="en-US" w:eastAsia="en-US"/>
    </w:rPr>
  </w:style>
  <w:style w:type="paragraph" w:styleId="Brdtekstindrykning">
    <w:name w:val="Body Text Indent"/>
    <w:basedOn w:val="Normal"/>
    <w:link w:val="BrdtekstindrykningTegn"/>
    <w:semiHidden/>
    <w:unhideWhenUsed/>
    <w:rsid w:val="000D4D1E"/>
    <w:pPr>
      <w:tabs>
        <w:tab w:val="left" w:pos="567"/>
      </w:tabs>
      <w:spacing w:after="120" w:line="260" w:lineRule="exact"/>
      <w:ind w:left="283"/>
    </w:pPr>
    <w:rPr>
      <w:sz w:val="22"/>
      <w:lang w:val="en-GB" w:eastAsia="en-US"/>
    </w:rPr>
  </w:style>
  <w:style w:type="character" w:customStyle="1" w:styleId="BrdtekstindrykningTegn">
    <w:name w:val="Brødtekstindrykning Tegn"/>
    <w:basedOn w:val="Standardskrifttypeiafsnit"/>
    <w:link w:val="Brdtekstindrykning"/>
    <w:semiHidden/>
    <w:rsid w:val="000D4D1E"/>
    <w:rPr>
      <w:sz w:val="22"/>
      <w:lang w:val="en-GB" w:eastAsia="en-US"/>
    </w:rPr>
  </w:style>
  <w:style w:type="paragraph" w:styleId="Brdtekstindrykning3">
    <w:name w:val="Body Text Indent 3"/>
    <w:basedOn w:val="Normal"/>
    <w:link w:val="Brdtekstindrykning3Tegn"/>
    <w:semiHidden/>
    <w:unhideWhenUsed/>
    <w:rsid w:val="000D4D1E"/>
    <w:pPr>
      <w:tabs>
        <w:tab w:val="left" w:pos="567"/>
      </w:tabs>
      <w:spacing w:after="120" w:line="260" w:lineRule="exact"/>
      <w:ind w:left="283"/>
    </w:pPr>
    <w:rPr>
      <w:sz w:val="16"/>
      <w:szCs w:val="16"/>
      <w:lang w:val="en-GB" w:eastAsia="en-US"/>
    </w:rPr>
  </w:style>
  <w:style w:type="character" w:customStyle="1" w:styleId="Brdtekstindrykning3Tegn">
    <w:name w:val="Brødtekstindrykning 3 Tegn"/>
    <w:basedOn w:val="Standardskrifttypeiafsnit"/>
    <w:link w:val="Brdtekstindrykning3"/>
    <w:semiHidden/>
    <w:rsid w:val="000D4D1E"/>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9416">
      <w:bodyDiv w:val="1"/>
      <w:marLeft w:val="0"/>
      <w:marRight w:val="0"/>
      <w:marTop w:val="0"/>
      <w:marBottom w:val="0"/>
      <w:divBdr>
        <w:top w:val="none" w:sz="0" w:space="0" w:color="auto"/>
        <w:left w:val="none" w:sz="0" w:space="0" w:color="auto"/>
        <w:bottom w:val="none" w:sz="0" w:space="0" w:color="auto"/>
        <w:right w:val="none" w:sz="0" w:space="0" w:color="auto"/>
      </w:divBdr>
    </w:div>
    <w:div w:id="140660047">
      <w:bodyDiv w:val="1"/>
      <w:marLeft w:val="0"/>
      <w:marRight w:val="0"/>
      <w:marTop w:val="0"/>
      <w:marBottom w:val="0"/>
      <w:divBdr>
        <w:top w:val="none" w:sz="0" w:space="0" w:color="auto"/>
        <w:left w:val="none" w:sz="0" w:space="0" w:color="auto"/>
        <w:bottom w:val="none" w:sz="0" w:space="0" w:color="auto"/>
        <w:right w:val="none" w:sz="0" w:space="0" w:color="auto"/>
      </w:divBdr>
    </w:div>
    <w:div w:id="156384552">
      <w:bodyDiv w:val="1"/>
      <w:marLeft w:val="0"/>
      <w:marRight w:val="0"/>
      <w:marTop w:val="0"/>
      <w:marBottom w:val="0"/>
      <w:divBdr>
        <w:top w:val="none" w:sz="0" w:space="0" w:color="auto"/>
        <w:left w:val="none" w:sz="0" w:space="0" w:color="auto"/>
        <w:bottom w:val="none" w:sz="0" w:space="0" w:color="auto"/>
        <w:right w:val="none" w:sz="0" w:space="0" w:color="auto"/>
      </w:divBdr>
    </w:div>
    <w:div w:id="274137697">
      <w:bodyDiv w:val="1"/>
      <w:marLeft w:val="0"/>
      <w:marRight w:val="0"/>
      <w:marTop w:val="0"/>
      <w:marBottom w:val="0"/>
      <w:divBdr>
        <w:top w:val="none" w:sz="0" w:space="0" w:color="auto"/>
        <w:left w:val="none" w:sz="0" w:space="0" w:color="auto"/>
        <w:bottom w:val="none" w:sz="0" w:space="0" w:color="auto"/>
        <w:right w:val="none" w:sz="0" w:space="0" w:color="auto"/>
      </w:divBdr>
    </w:div>
    <w:div w:id="290521803">
      <w:bodyDiv w:val="1"/>
      <w:marLeft w:val="0"/>
      <w:marRight w:val="0"/>
      <w:marTop w:val="0"/>
      <w:marBottom w:val="0"/>
      <w:divBdr>
        <w:top w:val="none" w:sz="0" w:space="0" w:color="auto"/>
        <w:left w:val="none" w:sz="0" w:space="0" w:color="auto"/>
        <w:bottom w:val="none" w:sz="0" w:space="0" w:color="auto"/>
        <w:right w:val="none" w:sz="0" w:space="0" w:color="auto"/>
      </w:divBdr>
    </w:div>
    <w:div w:id="325666735">
      <w:bodyDiv w:val="1"/>
      <w:marLeft w:val="0"/>
      <w:marRight w:val="0"/>
      <w:marTop w:val="0"/>
      <w:marBottom w:val="0"/>
      <w:divBdr>
        <w:top w:val="none" w:sz="0" w:space="0" w:color="auto"/>
        <w:left w:val="none" w:sz="0" w:space="0" w:color="auto"/>
        <w:bottom w:val="none" w:sz="0" w:space="0" w:color="auto"/>
        <w:right w:val="none" w:sz="0" w:space="0" w:color="auto"/>
      </w:divBdr>
    </w:div>
    <w:div w:id="502357933">
      <w:bodyDiv w:val="1"/>
      <w:marLeft w:val="0"/>
      <w:marRight w:val="0"/>
      <w:marTop w:val="0"/>
      <w:marBottom w:val="0"/>
      <w:divBdr>
        <w:top w:val="none" w:sz="0" w:space="0" w:color="auto"/>
        <w:left w:val="none" w:sz="0" w:space="0" w:color="auto"/>
        <w:bottom w:val="none" w:sz="0" w:space="0" w:color="auto"/>
        <w:right w:val="none" w:sz="0" w:space="0" w:color="auto"/>
      </w:divBdr>
    </w:div>
    <w:div w:id="559559742">
      <w:bodyDiv w:val="1"/>
      <w:marLeft w:val="0"/>
      <w:marRight w:val="0"/>
      <w:marTop w:val="0"/>
      <w:marBottom w:val="0"/>
      <w:divBdr>
        <w:top w:val="none" w:sz="0" w:space="0" w:color="auto"/>
        <w:left w:val="none" w:sz="0" w:space="0" w:color="auto"/>
        <w:bottom w:val="none" w:sz="0" w:space="0" w:color="auto"/>
        <w:right w:val="none" w:sz="0" w:space="0" w:color="auto"/>
      </w:divBdr>
    </w:div>
    <w:div w:id="595480159">
      <w:bodyDiv w:val="1"/>
      <w:marLeft w:val="0"/>
      <w:marRight w:val="0"/>
      <w:marTop w:val="0"/>
      <w:marBottom w:val="0"/>
      <w:divBdr>
        <w:top w:val="none" w:sz="0" w:space="0" w:color="auto"/>
        <w:left w:val="none" w:sz="0" w:space="0" w:color="auto"/>
        <w:bottom w:val="none" w:sz="0" w:space="0" w:color="auto"/>
        <w:right w:val="none" w:sz="0" w:space="0" w:color="auto"/>
      </w:divBdr>
    </w:div>
    <w:div w:id="602030887">
      <w:bodyDiv w:val="1"/>
      <w:marLeft w:val="0"/>
      <w:marRight w:val="0"/>
      <w:marTop w:val="0"/>
      <w:marBottom w:val="0"/>
      <w:divBdr>
        <w:top w:val="none" w:sz="0" w:space="0" w:color="auto"/>
        <w:left w:val="none" w:sz="0" w:space="0" w:color="auto"/>
        <w:bottom w:val="none" w:sz="0" w:space="0" w:color="auto"/>
        <w:right w:val="none" w:sz="0" w:space="0" w:color="auto"/>
      </w:divBdr>
    </w:div>
    <w:div w:id="774595448">
      <w:bodyDiv w:val="1"/>
      <w:marLeft w:val="0"/>
      <w:marRight w:val="0"/>
      <w:marTop w:val="0"/>
      <w:marBottom w:val="0"/>
      <w:divBdr>
        <w:top w:val="none" w:sz="0" w:space="0" w:color="auto"/>
        <w:left w:val="none" w:sz="0" w:space="0" w:color="auto"/>
        <w:bottom w:val="none" w:sz="0" w:space="0" w:color="auto"/>
        <w:right w:val="none" w:sz="0" w:space="0" w:color="auto"/>
      </w:divBdr>
    </w:div>
    <w:div w:id="868302404">
      <w:bodyDiv w:val="1"/>
      <w:marLeft w:val="0"/>
      <w:marRight w:val="0"/>
      <w:marTop w:val="0"/>
      <w:marBottom w:val="0"/>
      <w:divBdr>
        <w:top w:val="none" w:sz="0" w:space="0" w:color="auto"/>
        <w:left w:val="none" w:sz="0" w:space="0" w:color="auto"/>
        <w:bottom w:val="none" w:sz="0" w:space="0" w:color="auto"/>
        <w:right w:val="none" w:sz="0" w:space="0" w:color="auto"/>
      </w:divBdr>
    </w:div>
    <w:div w:id="1001811199">
      <w:bodyDiv w:val="1"/>
      <w:marLeft w:val="0"/>
      <w:marRight w:val="0"/>
      <w:marTop w:val="0"/>
      <w:marBottom w:val="0"/>
      <w:divBdr>
        <w:top w:val="none" w:sz="0" w:space="0" w:color="auto"/>
        <w:left w:val="none" w:sz="0" w:space="0" w:color="auto"/>
        <w:bottom w:val="none" w:sz="0" w:space="0" w:color="auto"/>
        <w:right w:val="none" w:sz="0" w:space="0" w:color="auto"/>
      </w:divBdr>
    </w:div>
    <w:div w:id="1021398227">
      <w:bodyDiv w:val="1"/>
      <w:marLeft w:val="0"/>
      <w:marRight w:val="0"/>
      <w:marTop w:val="0"/>
      <w:marBottom w:val="0"/>
      <w:divBdr>
        <w:top w:val="none" w:sz="0" w:space="0" w:color="auto"/>
        <w:left w:val="none" w:sz="0" w:space="0" w:color="auto"/>
        <w:bottom w:val="none" w:sz="0" w:space="0" w:color="auto"/>
        <w:right w:val="none" w:sz="0" w:space="0" w:color="auto"/>
      </w:divBdr>
    </w:div>
    <w:div w:id="1034111144">
      <w:bodyDiv w:val="1"/>
      <w:marLeft w:val="0"/>
      <w:marRight w:val="0"/>
      <w:marTop w:val="0"/>
      <w:marBottom w:val="0"/>
      <w:divBdr>
        <w:top w:val="none" w:sz="0" w:space="0" w:color="auto"/>
        <w:left w:val="none" w:sz="0" w:space="0" w:color="auto"/>
        <w:bottom w:val="none" w:sz="0" w:space="0" w:color="auto"/>
        <w:right w:val="none" w:sz="0" w:space="0" w:color="auto"/>
      </w:divBdr>
    </w:div>
    <w:div w:id="1212382549">
      <w:bodyDiv w:val="1"/>
      <w:marLeft w:val="0"/>
      <w:marRight w:val="0"/>
      <w:marTop w:val="0"/>
      <w:marBottom w:val="0"/>
      <w:divBdr>
        <w:top w:val="none" w:sz="0" w:space="0" w:color="auto"/>
        <w:left w:val="none" w:sz="0" w:space="0" w:color="auto"/>
        <w:bottom w:val="none" w:sz="0" w:space="0" w:color="auto"/>
        <w:right w:val="none" w:sz="0" w:space="0" w:color="auto"/>
      </w:divBdr>
    </w:div>
    <w:div w:id="1366979567">
      <w:bodyDiv w:val="1"/>
      <w:marLeft w:val="0"/>
      <w:marRight w:val="0"/>
      <w:marTop w:val="0"/>
      <w:marBottom w:val="0"/>
      <w:divBdr>
        <w:top w:val="none" w:sz="0" w:space="0" w:color="auto"/>
        <w:left w:val="none" w:sz="0" w:space="0" w:color="auto"/>
        <w:bottom w:val="none" w:sz="0" w:space="0" w:color="auto"/>
        <w:right w:val="none" w:sz="0" w:space="0" w:color="auto"/>
      </w:divBdr>
    </w:div>
    <w:div w:id="1392119127">
      <w:bodyDiv w:val="1"/>
      <w:marLeft w:val="0"/>
      <w:marRight w:val="0"/>
      <w:marTop w:val="0"/>
      <w:marBottom w:val="0"/>
      <w:divBdr>
        <w:top w:val="none" w:sz="0" w:space="0" w:color="auto"/>
        <w:left w:val="none" w:sz="0" w:space="0" w:color="auto"/>
        <w:bottom w:val="none" w:sz="0" w:space="0" w:color="auto"/>
        <w:right w:val="none" w:sz="0" w:space="0" w:color="auto"/>
      </w:divBdr>
    </w:div>
    <w:div w:id="1752653895">
      <w:bodyDiv w:val="1"/>
      <w:marLeft w:val="0"/>
      <w:marRight w:val="0"/>
      <w:marTop w:val="0"/>
      <w:marBottom w:val="0"/>
      <w:divBdr>
        <w:top w:val="none" w:sz="0" w:space="0" w:color="auto"/>
        <w:left w:val="none" w:sz="0" w:space="0" w:color="auto"/>
        <w:bottom w:val="none" w:sz="0" w:space="0" w:color="auto"/>
        <w:right w:val="none" w:sz="0" w:space="0" w:color="auto"/>
      </w:divBdr>
    </w:div>
    <w:div w:id="1875145833">
      <w:bodyDiv w:val="1"/>
      <w:marLeft w:val="0"/>
      <w:marRight w:val="0"/>
      <w:marTop w:val="0"/>
      <w:marBottom w:val="0"/>
      <w:divBdr>
        <w:top w:val="none" w:sz="0" w:space="0" w:color="auto"/>
        <w:left w:val="none" w:sz="0" w:space="0" w:color="auto"/>
        <w:bottom w:val="none" w:sz="0" w:space="0" w:color="auto"/>
        <w:right w:val="none" w:sz="0" w:space="0" w:color="auto"/>
      </w:divBdr>
    </w:div>
    <w:div w:id="1984195036">
      <w:bodyDiv w:val="1"/>
      <w:marLeft w:val="0"/>
      <w:marRight w:val="0"/>
      <w:marTop w:val="0"/>
      <w:marBottom w:val="0"/>
      <w:divBdr>
        <w:top w:val="none" w:sz="0" w:space="0" w:color="auto"/>
        <w:left w:val="none" w:sz="0" w:space="0" w:color="auto"/>
        <w:bottom w:val="none" w:sz="0" w:space="0" w:color="auto"/>
        <w:right w:val="none" w:sz="0" w:space="0" w:color="auto"/>
      </w:divBdr>
    </w:div>
    <w:div w:id="20923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47</TotalTime>
  <Pages>15</Pages>
  <Words>4294</Words>
  <Characters>26574</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2025031408, MT</dc:description>
  <cp:lastModifiedBy>Gitte Jørgensen</cp:lastModifiedBy>
  <cp:revision>11</cp:revision>
  <cp:lastPrinted>2006-02-24T09:31:00Z</cp:lastPrinted>
  <dcterms:created xsi:type="dcterms:W3CDTF">2025-12-11T09:41:00Z</dcterms:created>
  <dcterms:modified xsi:type="dcterms:W3CDTF">2025-12-11T12:22:00Z</dcterms:modified>
</cp:coreProperties>
</file>