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BF7C31" w:rsidRDefault="006B3847" w:rsidP="006B3847">
      <w:pPr>
        <w:tabs>
          <w:tab w:val="right" w:pos="9356"/>
        </w:tabs>
        <w:rPr>
          <w:b/>
          <w:sz w:val="24"/>
          <w:szCs w:val="24"/>
        </w:rPr>
      </w:pPr>
      <w:r w:rsidRPr="00BF7C31">
        <w:rPr>
          <w:b/>
          <w:sz w:val="24"/>
          <w:szCs w:val="24"/>
        </w:rPr>
        <w:tab/>
      </w:r>
      <w:r w:rsidR="00BF7C31">
        <w:rPr>
          <w:b/>
          <w:sz w:val="24"/>
          <w:szCs w:val="24"/>
        </w:rPr>
        <w:t xml:space="preserve">7 </w:t>
      </w:r>
      <w:proofErr w:type="gramStart"/>
      <w:r w:rsidR="00BF7C31">
        <w:rPr>
          <w:b/>
          <w:sz w:val="24"/>
          <w:szCs w:val="24"/>
        </w:rPr>
        <w:t>A</w:t>
      </w:r>
      <w:r w:rsidR="00755007">
        <w:rPr>
          <w:b/>
          <w:sz w:val="24"/>
          <w:szCs w:val="24"/>
        </w:rPr>
        <w:t>p</w:t>
      </w:r>
      <w:r w:rsidR="00BF7C31">
        <w:rPr>
          <w:b/>
          <w:sz w:val="24"/>
          <w:szCs w:val="24"/>
        </w:rPr>
        <w:t>ril</w:t>
      </w:r>
      <w:proofErr w:type="gramEnd"/>
      <w:r w:rsidR="00CB78BE" w:rsidRPr="00BF7C31">
        <w:rPr>
          <w:b/>
          <w:sz w:val="24"/>
          <w:szCs w:val="24"/>
        </w:rPr>
        <w:t xml:space="preserve"> 2021</w:t>
      </w:r>
    </w:p>
    <w:p w:rsidR="006B3847" w:rsidRPr="00BF7C31" w:rsidRDefault="006B3847" w:rsidP="006B3847">
      <w:pPr>
        <w:rPr>
          <w:sz w:val="24"/>
          <w:szCs w:val="24"/>
        </w:rPr>
      </w:pPr>
    </w:p>
    <w:p w:rsidR="007C5D2A" w:rsidRPr="00BF7C31" w:rsidRDefault="007C5D2A" w:rsidP="007C5D2A">
      <w:pPr>
        <w:rPr>
          <w:sz w:val="24"/>
          <w:szCs w:val="24"/>
        </w:rPr>
      </w:pPr>
    </w:p>
    <w:p w:rsidR="00CB78BE" w:rsidRPr="00BF7C31" w:rsidRDefault="00CB78BE" w:rsidP="007C5D2A">
      <w:pPr>
        <w:jc w:val="center"/>
        <w:rPr>
          <w:sz w:val="24"/>
          <w:szCs w:val="24"/>
        </w:rPr>
      </w:pPr>
      <w:bookmarkStart w:id="1" w:name="_Hlk49158549"/>
    </w:p>
    <w:p w:rsidR="007C5D2A" w:rsidRPr="00303008" w:rsidRDefault="007C5D2A" w:rsidP="007C5D2A">
      <w:pPr>
        <w:jc w:val="center"/>
        <w:rPr>
          <w:b/>
          <w:sz w:val="24"/>
          <w:szCs w:val="24"/>
          <w:lang w:val="en-GB"/>
        </w:rPr>
      </w:pPr>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7C7751" w:rsidP="007C5D2A">
      <w:pPr>
        <w:jc w:val="center"/>
        <w:rPr>
          <w:b/>
          <w:sz w:val="24"/>
          <w:szCs w:val="24"/>
          <w:lang w:val="en-GB"/>
        </w:rPr>
      </w:pPr>
      <w:r>
        <w:rPr>
          <w:b/>
          <w:sz w:val="24"/>
          <w:szCs w:val="24"/>
          <w:lang w:val="en-GB"/>
        </w:rPr>
        <w:t>Clindamycin "</w:t>
      </w:r>
      <w:proofErr w:type="spellStart"/>
      <w:r>
        <w:rPr>
          <w:b/>
          <w:sz w:val="24"/>
          <w:szCs w:val="24"/>
          <w:lang w:val="en-GB"/>
        </w:rPr>
        <w:t>Terix</w:t>
      </w:r>
      <w:proofErr w:type="spellEnd"/>
      <w:r>
        <w:rPr>
          <w:b/>
          <w:sz w:val="24"/>
          <w:szCs w:val="24"/>
          <w:lang w:val="en-GB"/>
        </w:rPr>
        <w:t xml:space="preserve">", </w:t>
      </w:r>
      <w:r w:rsidR="00DA2BA3">
        <w:rPr>
          <w:b/>
          <w:sz w:val="24"/>
          <w:szCs w:val="24"/>
          <w:lang w:val="en-GB"/>
        </w:rPr>
        <w:t>pessaries</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BF293A" w:rsidP="008F2F8C">
      <w:pPr>
        <w:tabs>
          <w:tab w:val="left" w:pos="8222"/>
        </w:tabs>
        <w:ind w:left="851"/>
        <w:rPr>
          <w:sz w:val="24"/>
          <w:szCs w:val="24"/>
          <w:lang w:val="en-GB"/>
        </w:rPr>
      </w:pPr>
      <w:r>
        <w:rPr>
          <w:sz w:val="24"/>
          <w:szCs w:val="24"/>
          <w:lang w:val="en-GB"/>
        </w:rPr>
        <w:t>31433</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BF293A" w:rsidP="004A3BF4">
      <w:pPr>
        <w:tabs>
          <w:tab w:val="left" w:pos="851"/>
        </w:tabs>
        <w:ind w:left="851"/>
        <w:rPr>
          <w:sz w:val="24"/>
          <w:szCs w:val="24"/>
          <w:lang w:val="en-GB"/>
        </w:rPr>
      </w:pPr>
      <w:r>
        <w:rPr>
          <w:sz w:val="24"/>
          <w:szCs w:val="24"/>
          <w:lang w:val="en-GB"/>
        </w:rPr>
        <w:t>Clindamycin "</w:t>
      </w:r>
      <w:proofErr w:type="spellStart"/>
      <w:r>
        <w:rPr>
          <w:sz w:val="24"/>
          <w:szCs w:val="24"/>
          <w:lang w:val="en-GB"/>
        </w:rPr>
        <w:t>Terix</w:t>
      </w:r>
      <w:proofErr w:type="spellEnd"/>
      <w:r>
        <w:rPr>
          <w:sz w:val="24"/>
          <w:szCs w:val="24"/>
          <w:lang w:val="en-GB"/>
        </w:rPr>
        <w:t>"</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DA2BA3" w:rsidRPr="00DA2BA3" w:rsidRDefault="00DA2BA3" w:rsidP="00DA2BA3">
      <w:pPr>
        <w:tabs>
          <w:tab w:val="left" w:pos="851"/>
        </w:tabs>
        <w:ind w:left="851"/>
        <w:rPr>
          <w:bCs/>
          <w:sz w:val="24"/>
          <w:szCs w:val="24"/>
          <w:lang w:val="en-US"/>
        </w:rPr>
      </w:pPr>
      <w:r w:rsidRPr="00DA2BA3">
        <w:rPr>
          <w:bCs/>
          <w:sz w:val="24"/>
          <w:szCs w:val="24"/>
          <w:lang w:val="en-US"/>
        </w:rPr>
        <w:t>Each pessary contains clindamycin phosphate equivalent to 100mg clindamycin.</w:t>
      </w:r>
    </w:p>
    <w:p w:rsidR="00DA2BA3" w:rsidRPr="00DA2BA3" w:rsidRDefault="00DA2BA3" w:rsidP="00DA2BA3">
      <w:pPr>
        <w:tabs>
          <w:tab w:val="left" w:pos="851"/>
        </w:tabs>
        <w:ind w:left="851"/>
        <w:rPr>
          <w:bCs/>
          <w:sz w:val="24"/>
          <w:szCs w:val="24"/>
          <w:lang w:val="en-US"/>
        </w:rPr>
      </w:pPr>
      <w:r w:rsidRPr="00DA2BA3">
        <w:rPr>
          <w:bCs/>
          <w:sz w:val="24"/>
          <w:szCs w:val="24"/>
          <w:lang w:val="en-US"/>
        </w:rPr>
        <w:t>For the full list of excipients, see section 6.1.</w:t>
      </w:r>
    </w:p>
    <w:p w:rsidR="007C5D2A" w:rsidRPr="00DA2BA3" w:rsidRDefault="007C5D2A" w:rsidP="004A3BF4">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DA2BA3" w:rsidRDefault="00DA2BA3" w:rsidP="00DA2BA3">
      <w:pPr>
        <w:tabs>
          <w:tab w:val="left" w:pos="851"/>
        </w:tabs>
        <w:ind w:left="851"/>
        <w:rPr>
          <w:bCs/>
          <w:sz w:val="24"/>
          <w:szCs w:val="24"/>
          <w:lang w:val="en-US"/>
        </w:rPr>
      </w:pPr>
      <w:r w:rsidRPr="00DA2BA3">
        <w:rPr>
          <w:bCs/>
          <w:sz w:val="24"/>
          <w:szCs w:val="24"/>
          <w:lang w:val="en-US"/>
        </w:rPr>
        <w:t>Pessar</w:t>
      </w:r>
      <w:r>
        <w:rPr>
          <w:bCs/>
          <w:sz w:val="24"/>
          <w:szCs w:val="24"/>
          <w:lang w:val="en-US"/>
        </w:rPr>
        <w:t>ies</w:t>
      </w:r>
    </w:p>
    <w:p w:rsidR="00DA2BA3" w:rsidRPr="00DA2BA3" w:rsidRDefault="00DA2BA3" w:rsidP="00DA2BA3">
      <w:pPr>
        <w:tabs>
          <w:tab w:val="left" w:pos="851"/>
        </w:tabs>
        <w:ind w:left="851"/>
        <w:rPr>
          <w:bCs/>
          <w:sz w:val="24"/>
          <w:szCs w:val="24"/>
          <w:lang w:val="en-US"/>
        </w:rPr>
      </w:pPr>
    </w:p>
    <w:p w:rsidR="00DA2BA3" w:rsidRPr="00DA2BA3" w:rsidRDefault="00DA2BA3" w:rsidP="00DA2BA3">
      <w:pPr>
        <w:tabs>
          <w:tab w:val="left" w:pos="851"/>
        </w:tabs>
        <w:ind w:left="851"/>
        <w:rPr>
          <w:bCs/>
          <w:sz w:val="24"/>
          <w:szCs w:val="24"/>
          <w:lang w:val="en-US"/>
        </w:rPr>
      </w:pPr>
      <w:r w:rsidRPr="00DA2BA3">
        <w:rPr>
          <w:bCs/>
          <w:sz w:val="24"/>
          <w:szCs w:val="24"/>
          <w:lang w:val="en-US"/>
        </w:rPr>
        <w:t>Semisolid, off-white to yellowish pessaries (approximately 21 mm</w:t>
      </w:r>
      <w:r w:rsidR="00C4242A">
        <w:rPr>
          <w:bCs/>
          <w:sz w:val="24"/>
          <w:szCs w:val="24"/>
          <w:lang w:val="en-US"/>
        </w:rPr>
        <w:t>×</w:t>
      </w:r>
      <w:r w:rsidRPr="00DA2BA3">
        <w:rPr>
          <w:bCs/>
          <w:sz w:val="24"/>
          <w:szCs w:val="24"/>
          <w:lang w:val="en-US"/>
        </w:rPr>
        <w:t>13 mm).</w:t>
      </w:r>
    </w:p>
    <w:p w:rsidR="007C5D2A" w:rsidRPr="00DA2BA3"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1D1E9A" w:rsidRPr="001D1E9A" w:rsidRDefault="001D1E9A" w:rsidP="001D1E9A">
      <w:pPr>
        <w:tabs>
          <w:tab w:val="left" w:pos="851"/>
        </w:tabs>
        <w:ind w:left="851"/>
        <w:rPr>
          <w:bCs/>
          <w:sz w:val="24"/>
          <w:szCs w:val="24"/>
          <w:lang w:val="en-US"/>
        </w:rPr>
      </w:pPr>
      <w:r w:rsidRPr="001D1E9A">
        <w:rPr>
          <w:bCs/>
          <w:sz w:val="24"/>
          <w:szCs w:val="24"/>
          <w:lang w:val="en-US"/>
        </w:rPr>
        <w:t>Clindamycin "</w:t>
      </w:r>
      <w:proofErr w:type="spellStart"/>
      <w:r w:rsidRPr="001D1E9A">
        <w:rPr>
          <w:bCs/>
          <w:sz w:val="24"/>
          <w:szCs w:val="24"/>
          <w:lang w:val="en-US"/>
        </w:rPr>
        <w:t>Terix</w:t>
      </w:r>
      <w:proofErr w:type="spellEnd"/>
      <w:r w:rsidRPr="001D1E9A">
        <w:rPr>
          <w:bCs/>
          <w:sz w:val="24"/>
          <w:szCs w:val="24"/>
          <w:lang w:val="en-US"/>
        </w:rPr>
        <w:t xml:space="preserve">" is indicated for the treatment of bacterial vaginosis (formerly referred to as </w:t>
      </w:r>
      <w:proofErr w:type="spellStart"/>
      <w:r w:rsidRPr="001D1E9A">
        <w:rPr>
          <w:bCs/>
          <w:i/>
          <w:iCs/>
          <w:sz w:val="24"/>
          <w:szCs w:val="24"/>
          <w:lang w:val="en-US"/>
        </w:rPr>
        <w:t>Haemophilus</w:t>
      </w:r>
      <w:proofErr w:type="spellEnd"/>
      <w:r w:rsidRPr="001D1E9A">
        <w:rPr>
          <w:bCs/>
          <w:i/>
          <w:iCs/>
          <w:sz w:val="24"/>
          <w:szCs w:val="24"/>
          <w:lang w:val="en-US"/>
        </w:rPr>
        <w:t xml:space="preserve"> </w:t>
      </w:r>
      <w:r w:rsidRPr="001D1E9A">
        <w:rPr>
          <w:bCs/>
          <w:sz w:val="24"/>
          <w:szCs w:val="24"/>
          <w:lang w:val="en-US"/>
        </w:rPr>
        <w:t xml:space="preserve">vaginitis, </w:t>
      </w:r>
      <w:r w:rsidRPr="001D1E9A">
        <w:rPr>
          <w:bCs/>
          <w:i/>
          <w:iCs/>
          <w:sz w:val="24"/>
          <w:szCs w:val="24"/>
          <w:lang w:val="en-US"/>
        </w:rPr>
        <w:t xml:space="preserve">Gardnerella </w:t>
      </w:r>
      <w:r w:rsidRPr="001D1E9A">
        <w:rPr>
          <w:bCs/>
          <w:sz w:val="24"/>
          <w:szCs w:val="24"/>
          <w:lang w:val="en-US"/>
        </w:rPr>
        <w:t xml:space="preserve">vaginitis, nonspecific vaginitis, </w:t>
      </w:r>
      <w:r w:rsidRPr="001D1E9A">
        <w:rPr>
          <w:bCs/>
          <w:i/>
          <w:iCs/>
          <w:sz w:val="24"/>
          <w:szCs w:val="24"/>
          <w:lang w:val="en-US"/>
        </w:rPr>
        <w:t xml:space="preserve">Corynebacterium </w:t>
      </w:r>
      <w:r w:rsidRPr="001D1E9A">
        <w:rPr>
          <w:bCs/>
          <w:sz w:val="24"/>
          <w:szCs w:val="24"/>
          <w:lang w:val="en-US"/>
        </w:rPr>
        <w:t>vaginitis, or anaerobic vaginosis).</w:t>
      </w:r>
    </w:p>
    <w:p w:rsidR="001D1E9A" w:rsidRPr="001D1E9A" w:rsidRDefault="001D1E9A" w:rsidP="001D1E9A">
      <w:pPr>
        <w:tabs>
          <w:tab w:val="left" w:pos="851"/>
        </w:tabs>
        <w:ind w:left="851"/>
        <w:rPr>
          <w:bCs/>
          <w:sz w:val="24"/>
          <w:szCs w:val="24"/>
          <w:lang w:val="en-US"/>
        </w:rPr>
      </w:pPr>
    </w:p>
    <w:p w:rsidR="001D1E9A" w:rsidRPr="001D1E9A" w:rsidRDefault="001D1E9A" w:rsidP="001D1E9A">
      <w:pPr>
        <w:tabs>
          <w:tab w:val="left" w:pos="851"/>
        </w:tabs>
        <w:ind w:left="851"/>
        <w:rPr>
          <w:bCs/>
          <w:sz w:val="24"/>
          <w:szCs w:val="24"/>
          <w:lang w:val="en-US"/>
        </w:rPr>
      </w:pPr>
      <w:r w:rsidRPr="001D1E9A">
        <w:rPr>
          <w:bCs/>
          <w:sz w:val="24"/>
          <w:szCs w:val="24"/>
          <w:lang w:val="en-US"/>
        </w:rPr>
        <w:t>Consideration should be given to official guidance on the appropriate use of antibacterial agents.</w:t>
      </w:r>
    </w:p>
    <w:p w:rsidR="007C5D2A" w:rsidRPr="00C4242A" w:rsidRDefault="007C5D2A" w:rsidP="00A85D26">
      <w:pPr>
        <w:tabs>
          <w:tab w:val="left" w:pos="851"/>
        </w:tabs>
        <w:ind w:left="851"/>
        <w:rPr>
          <w:sz w:val="24"/>
          <w:szCs w:val="24"/>
          <w:lang w:val="en-US"/>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3777D1" w:rsidRPr="003777D1" w:rsidRDefault="003777D1" w:rsidP="003777D1">
      <w:pPr>
        <w:tabs>
          <w:tab w:val="left" w:pos="851"/>
        </w:tabs>
        <w:ind w:left="851"/>
        <w:rPr>
          <w:bCs/>
          <w:sz w:val="24"/>
          <w:szCs w:val="24"/>
          <w:u w:val="single"/>
          <w:lang w:val="en-US"/>
        </w:rPr>
      </w:pPr>
    </w:p>
    <w:p w:rsidR="003777D1" w:rsidRPr="003777D1" w:rsidRDefault="003777D1" w:rsidP="003777D1">
      <w:pPr>
        <w:tabs>
          <w:tab w:val="left" w:pos="851"/>
        </w:tabs>
        <w:ind w:left="851"/>
        <w:rPr>
          <w:bCs/>
          <w:sz w:val="24"/>
          <w:szCs w:val="24"/>
          <w:u w:val="single"/>
          <w:lang w:val="en-US"/>
        </w:rPr>
      </w:pPr>
      <w:r w:rsidRPr="003777D1">
        <w:rPr>
          <w:bCs/>
          <w:sz w:val="24"/>
          <w:szCs w:val="24"/>
          <w:u w:val="single"/>
          <w:lang w:val="en-US"/>
        </w:rPr>
        <w:t>Posology</w:t>
      </w:r>
    </w:p>
    <w:p w:rsidR="003777D1" w:rsidRPr="003777D1" w:rsidRDefault="003777D1" w:rsidP="003777D1">
      <w:pPr>
        <w:tabs>
          <w:tab w:val="left" w:pos="851"/>
        </w:tabs>
        <w:ind w:left="851"/>
        <w:rPr>
          <w:bCs/>
          <w:sz w:val="24"/>
          <w:szCs w:val="24"/>
          <w:lang w:val="en-US"/>
        </w:rPr>
      </w:pPr>
      <w:r w:rsidRPr="003777D1">
        <w:rPr>
          <w:bCs/>
          <w:sz w:val="24"/>
          <w:szCs w:val="24"/>
          <w:lang w:val="en-US"/>
        </w:rPr>
        <w:t>The recommended dose is one pessary intravaginally at bedtime, for three consecutive days (see section 6.6).</w:t>
      </w:r>
    </w:p>
    <w:p w:rsidR="003777D1" w:rsidRPr="003777D1" w:rsidRDefault="003777D1" w:rsidP="003777D1">
      <w:pPr>
        <w:tabs>
          <w:tab w:val="left" w:pos="851"/>
        </w:tabs>
        <w:ind w:left="851"/>
        <w:rPr>
          <w:bCs/>
          <w:i/>
          <w:sz w:val="24"/>
          <w:szCs w:val="24"/>
          <w:lang w:val="en-US"/>
        </w:rPr>
      </w:pPr>
    </w:p>
    <w:p w:rsidR="003777D1" w:rsidRPr="003777D1" w:rsidRDefault="003777D1" w:rsidP="003777D1">
      <w:pPr>
        <w:tabs>
          <w:tab w:val="left" w:pos="851"/>
        </w:tabs>
        <w:ind w:left="851"/>
        <w:rPr>
          <w:bCs/>
          <w:i/>
          <w:sz w:val="24"/>
          <w:szCs w:val="24"/>
          <w:lang w:val="en-US"/>
        </w:rPr>
      </w:pPr>
      <w:r w:rsidRPr="003777D1">
        <w:rPr>
          <w:bCs/>
          <w:i/>
          <w:sz w:val="24"/>
          <w:szCs w:val="24"/>
          <w:lang w:val="en-US"/>
        </w:rPr>
        <w:t>Older people</w:t>
      </w:r>
    </w:p>
    <w:p w:rsidR="003777D1" w:rsidRPr="003777D1" w:rsidRDefault="003777D1" w:rsidP="003777D1">
      <w:pPr>
        <w:tabs>
          <w:tab w:val="left" w:pos="851"/>
        </w:tabs>
        <w:ind w:left="851"/>
        <w:rPr>
          <w:bCs/>
          <w:sz w:val="24"/>
          <w:szCs w:val="24"/>
          <w:lang w:val="en-US"/>
        </w:rPr>
      </w:pPr>
      <w:r w:rsidRPr="003777D1">
        <w:rPr>
          <w:bCs/>
          <w:sz w:val="24"/>
          <w:szCs w:val="24"/>
          <w:lang w:val="en-US"/>
        </w:rPr>
        <w:t>The use of Clindamycin "</w:t>
      </w:r>
      <w:proofErr w:type="spellStart"/>
      <w:r w:rsidRPr="003777D1">
        <w:rPr>
          <w:bCs/>
          <w:sz w:val="24"/>
          <w:szCs w:val="24"/>
          <w:lang w:val="en-US"/>
        </w:rPr>
        <w:t>Terix</w:t>
      </w:r>
      <w:proofErr w:type="spellEnd"/>
      <w:r w:rsidRPr="003777D1">
        <w:rPr>
          <w:bCs/>
          <w:sz w:val="24"/>
          <w:szCs w:val="24"/>
          <w:lang w:val="en-US"/>
        </w:rPr>
        <w:t>" has not been studied in patients over 65 years of age.</w:t>
      </w:r>
    </w:p>
    <w:p w:rsidR="003777D1" w:rsidRPr="003777D1" w:rsidRDefault="003777D1" w:rsidP="003777D1">
      <w:pPr>
        <w:tabs>
          <w:tab w:val="left" w:pos="851"/>
        </w:tabs>
        <w:ind w:left="851"/>
        <w:rPr>
          <w:bCs/>
          <w:i/>
          <w:sz w:val="24"/>
          <w:szCs w:val="24"/>
          <w:lang w:val="en-US"/>
        </w:rPr>
      </w:pPr>
    </w:p>
    <w:p w:rsidR="003777D1" w:rsidRPr="003777D1" w:rsidRDefault="003777D1" w:rsidP="003777D1">
      <w:pPr>
        <w:tabs>
          <w:tab w:val="left" w:pos="851"/>
        </w:tabs>
        <w:ind w:left="851"/>
        <w:rPr>
          <w:bCs/>
          <w:i/>
          <w:sz w:val="24"/>
          <w:szCs w:val="24"/>
          <w:lang w:val="en-US"/>
        </w:rPr>
      </w:pPr>
      <w:r w:rsidRPr="003777D1">
        <w:rPr>
          <w:bCs/>
          <w:i/>
          <w:sz w:val="24"/>
          <w:szCs w:val="24"/>
          <w:lang w:val="en-US"/>
        </w:rPr>
        <w:lastRenderedPageBreak/>
        <w:t>Patients with renal impairment</w:t>
      </w:r>
    </w:p>
    <w:p w:rsidR="003777D1" w:rsidRPr="003777D1" w:rsidRDefault="003777D1" w:rsidP="003777D1">
      <w:pPr>
        <w:tabs>
          <w:tab w:val="left" w:pos="851"/>
        </w:tabs>
        <w:ind w:left="851"/>
        <w:rPr>
          <w:bCs/>
          <w:sz w:val="24"/>
          <w:szCs w:val="24"/>
          <w:lang w:val="en-US"/>
        </w:rPr>
      </w:pPr>
      <w:r w:rsidRPr="003777D1">
        <w:rPr>
          <w:bCs/>
          <w:sz w:val="24"/>
          <w:szCs w:val="24"/>
          <w:lang w:val="en-US"/>
        </w:rPr>
        <w:t>The use of Clindamycin "</w:t>
      </w:r>
      <w:proofErr w:type="spellStart"/>
      <w:r w:rsidRPr="003777D1">
        <w:rPr>
          <w:bCs/>
          <w:sz w:val="24"/>
          <w:szCs w:val="24"/>
          <w:lang w:val="en-US"/>
        </w:rPr>
        <w:t>Terix</w:t>
      </w:r>
      <w:proofErr w:type="spellEnd"/>
      <w:r w:rsidRPr="003777D1">
        <w:rPr>
          <w:bCs/>
          <w:sz w:val="24"/>
          <w:szCs w:val="24"/>
          <w:lang w:val="en-US"/>
        </w:rPr>
        <w:t>" has not been studied in patients with impaired renal function.</w:t>
      </w:r>
    </w:p>
    <w:p w:rsidR="003777D1" w:rsidRPr="003777D1" w:rsidRDefault="003777D1" w:rsidP="003777D1">
      <w:pPr>
        <w:tabs>
          <w:tab w:val="left" w:pos="851"/>
        </w:tabs>
        <w:ind w:left="851"/>
        <w:rPr>
          <w:bCs/>
          <w:i/>
          <w:sz w:val="24"/>
          <w:szCs w:val="24"/>
          <w:lang w:val="en-US"/>
        </w:rPr>
      </w:pPr>
    </w:p>
    <w:p w:rsidR="003777D1" w:rsidRPr="003777D1" w:rsidRDefault="003777D1" w:rsidP="003777D1">
      <w:pPr>
        <w:tabs>
          <w:tab w:val="left" w:pos="851"/>
        </w:tabs>
        <w:ind w:left="851"/>
        <w:rPr>
          <w:bCs/>
          <w:i/>
          <w:sz w:val="24"/>
          <w:szCs w:val="24"/>
          <w:lang w:val="en-US"/>
        </w:rPr>
      </w:pPr>
      <w:proofErr w:type="spellStart"/>
      <w:r w:rsidRPr="003777D1">
        <w:rPr>
          <w:bCs/>
          <w:i/>
          <w:sz w:val="24"/>
          <w:szCs w:val="24"/>
          <w:lang w:val="en-US"/>
        </w:rPr>
        <w:t>Paediatric</w:t>
      </w:r>
      <w:proofErr w:type="spellEnd"/>
      <w:r w:rsidRPr="003777D1">
        <w:rPr>
          <w:bCs/>
          <w:i/>
          <w:sz w:val="24"/>
          <w:szCs w:val="24"/>
          <w:lang w:val="en-US"/>
        </w:rPr>
        <w:t xml:space="preserve"> population</w:t>
      </w:r>
    </w:p>
    <w:p w:rsidR="003777D1" w:rsidRPr="003777D1" w:rsidRDefault="003777D1" w:rsidP="003777D1">
      <w:pPr>
        <w:tabs>
          <w:tab w:val="left" w:pos="851"/>
        </w:tabs>
        <w:ind w:left="851"/>
        <w:rPr>
          <w:bCs/>
          <w:sz w:val="24"/>
          <w:szCs w:val="24"/>
          <w:lang w:val="en-US"/>
        </w:rPr>
      </w:pPr>
      <w:r w:rsidRPr="003777D1">
        <w:rPr>
          <w:bCs/>
          <w:sz w:val="24"/>
          <w:szCs w:val="24"/>
          <w:lang w:val="en-US"/>
        </w:rPr>
        <w:t>The safety and efficacy of Clindamycin "</w:t>
      </w:r>
      <w:proofErr w:type="spellStart"/>
      <w:r w:rsidRPr="003777D1">
        <w:rPr>
          <w:bCs/>
          <w:sz w:val="24"/>
          <w:szCs w:val="24"/>
          <w:lang w:val="en-US"/>
        </w:rPr>
        <w:t>Terix</w:t>
      </w:r>
      <w:proofErr w:type="spellEnd"/>
      <w:r w:rsidRPr="003777D1">
        <w:rPr>
          <w:bCs/>
          <w:sz w:val="24"/>
          <w:szCs w:val="24"/>
          <w:lang w:val="en-US"/>
        </w:rPr>
        <w:t>" in children under 16 years of age has not been established.</w:t>
      </w:r>
    </w:p>
    <w:p w:rsidR="003777D1" w:rsidRPr="003777D1" w:rsidRDefault="003777D1" w:rsidP="003777D1">
      <w:pPr>
        <w:tabs>
          <w:tab w:val="left" w:pos="851"/>
        </w:tabs>
        <w:ind w:left="851"/>
        <w:rPr>
          <w:bCs/>
          <w:sz w:val="24"/>
          <w:szCs w:val="24"/>
          <w:u w:val="single"/>
          <w:lang w:val="en-US"/>
        </w:rPr>
      </w:pPr>
    </w:p>
    <w:p w:rsidR="003777D1" w:rsidRPr="003777D1" w:rsidRDefault="003777D1" w:rsidP="003777D1">
      <w:pPr>
        <w:tabs>
          <w:tab w:val="left" w:pos="851"/>
        </w:tabs>
        <w:ind w:left="851"/>
        <w:rPr>
          <w:bCs/>
          <w:sz w:val="24"/>
          <w:szCs w:val="24"/>
          <w:u w:val="single"/>
          <w:lang w:val="en-US"/>
        </w:rPr>
      </w:pPr>
      <w:r w:rsidRPr="003777D1">
        <w:rPr>
          <w:bCs/>
          <w:sz w:val="24"/>
          <w:szCs w:val="24"/>
          <w:u w:val="single"/>
          <w:lang w:val="en-US"/>
        </w:rPr>
        <w:t>Method of administration</w:t>
      </w:r>
    </w:p>
    <w:p w:rsidR="003777D1" w:rsidRPr="003777D1" w:rsidRDefault="003777D1" w:rsidP="003777D1">
      <w:pPr>
        <w:tabs>
          <w:tab w:val="left" w:pos="851"/>
        </w:tabs>
        <w:ind w:left="851"/>
        <w:rPr>
          <w:bCs/>
          <w:sz w:val="24"/>
          <w:szCs w:val="24"/>
          <w:lang w:val="en-GB"/>
        </w:rPr>
      </w:pPr>
      <w:r w:rsidRPr="003777D1">
        <w:rPr>
          <w:bCs/>
          <w:sz w:val="24"/>
          <w:szCs w:val="24"/>
          <w:lang w:val="en-US"/>
        </w:rPr>
        <w:t>Clindamycin "</w:t>
      </w:r>
      <w:proofErr w:type="spellStart"/>
      <w:r w:rsidRPr="003777D1">
        <w:rPr>
          <w:bCs/>
          <w:sz w:val="24"/>
          <w:szCs w:val="24"/>
          <w:lang w:val="en-US"/>
        </w:rPr>
        <w:t>Terix</w:t>
      </w:r>
      <w:proofErr w:type="spellEnd"/>
      <w:r w:rsidRPr="003777D1">
        <w:rPr>
          <w:bCs/>
          <w:sz w:val="24"/>
          <w:szCs w:val="24"/>
          <w:lang w:val="en-US"/>
        </w:rPr>
        <w:t>" should be administered intravaginally (see section 6.6).</w:t>
      </w:r>
    </w:p>
    <w:p w:rsidR="007C5D2A" w:rsidRPr="00303008" w:rsidRDefault="007C5D2A" w:rsidP="00A85D2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3777D1" w:rsidRPr="003777D1" w:rsidRDefault="003777D1" w:rsidP="003777D1">
      <w:pPr>
        <w:tabs>
          <w:tab w:val="left" w:pos="851"/>
        </w:tabs>
        <w:ind w:left="851"/>
        <w:rPr>
          <w:bCs/>
          <w:sz w:val="24"/>
          <w:szCs w:val="24"/>
          <w:lang w:val="en-US"/>
        </w:rPr>
      </w:pPr>
      <w:r w:rsidRPr="003777D1">
        <w:rPr>
          <w:bCs/>
          <w:sz w:val="24"/>
          <w:szCs w:val="24"/>
          <w:lang w:val="en-US"/>
        </w:rPr>
        <w:t xml:space="preserve">Hypersensitivity to the active substance, to lincomycin, or to any of the excipients listed in section 6.1. </w:t>
      </w:r>
    </w:p>
    <w:p w:rsidR="003777D1" w:rsidRPr="003777D1" w:rsidRDefault="003777D1" w:rsidP="003777D1">
      <w:pPr>
        <w:tabs>
          <w:tab w:val="left" w:pos="851"/>
        </w:tabs>
        <w:ind w:left="851"/>
        <w:rPr>
          <w:bCs/>
          <w:sz w:val="24"/>
          <w:szCs w:val="24"/>
          <w:lang w:val="en-US"/>
        </w:rPr>
      </w:pPr>
    </w:p>
    <w:p w:rsidR="003777D1" w:rsidRPr="003777D1" w:rsidRDefault="003777D1" w:rsidP="003777D1">
      <w:pPr>
        <w:tabs>
          <w:tab w:val="left" w:pos="851"/>
        </w:tabs>
        <w:ind w:left="851"/>
        <w:rPr>
          <w:bCs/>
          <w:sz w:val="24"/>
          <w:szCs w:val="24"/>
          <w:lang w:val="en-US"/>
        </w:rPr>
      </w:pPr>
      <w:r w:rsidRPr="003777D1">
        <w:rPr>
          <w:bCs/>
          <w:sz w:val="24"/>
          <w:szCs w:val="24"/>
          <w:lang w:val="en-US"/>
        </w:rPr>
        <w:t>Clindamycin "</w:t>
      </w:r>
      <w:proofErr w:type="spellStart"/>
      <w:r w:rsidRPr="003777D1">
        <w:rPr>
          <w:bCs/>
          <w:sz w:val="24"/>
          <w:szCs w:val="24"/>
          <w:lang w:val="en-US"/>
        </w:rPr>
        <w:t>Terix</w:t>
      </w:r>
      <w:proofErr w:type="spellEnd"/>
      <w:r w:rsidRPr="003777D1">
        <w:rPr>
          <w:bCs/>
          <w:sz w:val="24"/>
          <w:szCs w:val="24"/>
          <w:lang w:val="en-US"/>
        </w:rPr>
        <w:t>" is also contraindicated in individuals with a history of antibiotic-associated colitis.</w:t>
      </w:r>
    </w:p>
    <w:p w:rsidR="007C5D2A" w:rsidRPr="003777D1" w:rsidRDefault="007C5D2A" w:rsidP="003E0341">
      <w:pPr>
        <w:tabs>
          <w:tab w:val="left" w:pos="851"/>
        </w:tabs>
        <w:ind w:left="851"/>
        <w:rPr>
          <w:sz w:val="24"/>
          <w:szCs w:val="24"/>
          <w:lang w:val="en-US"/>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3777D1" w:rsidRPr="003777D1" w:rsidRDefault="003777D1" w:rsidP="003777D1">
      <w:pPr>
        <w:tabs>
          <w:tab w:val="left" w:pos="851"/>
        </w:tabs>
        <w:ind w:left="851"/>
        <w:rPr>
          <w:bCs/>
          <w:sz w:val="24"/>
          <w:szCs w:val="24"/>
          <w:lang w:val="en-US"/>
        </w:rPr>
      </w:pPr>
      <w:r w:rsidRPr="003777D1">
        <w:rPr>
          <w:bCs/>
          <w:sz w:val="24"/>
          <w:szCs w:val="24"/>
          <w:lang w:val="en-US"/>
        </w:rPr>
        <w:t>Before or after initiation of therapy with Clindamycin "</w:t>
      </w:r>
      <w:proofErr w:type="spellStart"/>
      <w:r w:rsidRPr="003777D1">
        <w:rPr>
          <w:bCs/>
          <w:sz w:val="24"/>
          <w:szCs w:val="24"/>
          <w:lang w:val="en-US"/>
        </w:rPr>
        <w:t>Terix</w:t>
      </w:r>
      <w:proofErr w:type="spellEnd"/>
      <w:r w:rsidRPr="003777D1">
        <w:rPr>
          <w:bCs/>
          <w:sz w:val="24"/>
          <w:szCs w:val="24"/>
          <w:lang w:val="en-US"/>
        </w:rPr>
        <w:t xml:space="preserve">", other infections including </w:t>
      </w:r>
      <w:r w:rsidRPr="003777D1">
        <w:rPr>
          <w:bCs/>
          <w:i/>
          <w:sz w:val="24"/>
          <w:szCs w:val="24"/>
          <w:lang w:val="en-US"/>
        </w:rPr>
        <w:t>Trichomonas vaginalis</w:t>
      </w:r>
      <w:r w:rsidRPr="003777D1">
        <w:rPr>
          <w:bCs/>
          <w:sz w:val="24"/>
          <w:szCs w:val="24"/>
          <w:lang w:val="en-US"/>
        </w:rPr>
        <w:t xml:space="preserve">, </w:t>
      </w:r>
      <w:r w:rsidRPr="003777D1">
        <w:rPr>
          <w:bCs/>
          <w:i/>
          <w:sz w:val="24"/>
          <w:szCs w:val="24"/>
          <w:lang w:val="en-US"/>
        </w:rPr>
        <w:t>Candida albicans</w:t>
      </w:r>
      <w:r w:rsidRPr="003777D1">
        <w:rPr>
          <w:bCs/>
          <w:sz w:val="24"/>
          <w:szCs w:val="24"/>
          <w:lang w:val="en-US"/>
        </w:rPr>
        <w:t xml:space="preserve">, </w:t>
      </w:r>
      <w:r w:rsidRPr="003777D1">
        <w:rPr>
          <w:bCs/>
          <w:i/>
          <w:sz w:val="24"/>
          <w:szCs w:val="24"/>
          <w:lang w:val="en-US"/>
        </w:rPr>
        <w:t>Chlamydia trachomatis</w:t>
      </w:r>
      <w:r w:rsidRPr="003777D1">
        <w:rPr>
          <w:bCs/>
          <w:sz w:val="24"/>
          <w:szCs w:val="24"/>
          <w:lang w:val="en-US"/>
        </w:rPr>
        <w:t xml:space="preserve"> and gonococcal infections may need to be investigated by adequate laboratory tests.</w:t>
      </w:r>
    </w:p>
    <w:p w:rsidR="003777D1" w:rsidRPr="003777D1" w:rsidRDefault="003777D1" w:rsidP="003777D1">
      <w:pPr>
        <w:tabs>
          <w:tab w:val="left" w:pos="851"/>
        </w:tabs>
        <w:ind w:left="851"/>
        <w:rPr>
          <w:bCs/>
          <w:sz w:val="24"/>
          <w:szCs w:val="24"/>
          <w:lang w:val="en-US"/>
        </w:rPr>
      </w:pPr>
    </w:p>
    <w:p w:rsidR="003777D1" w:rsidRPr="003777D1" w:rsidRDefault="003777D1" w:rsidP="003777D1">
      <w:pPr>
        <w:tabs>
          <w:tab w:val="left" w:pos="851"/>
        </w:tabs>
        <w:ind w:left="851"/>
        <w:rPr>
          <w:bCs/>
          <w:sz w:val="24"/>
          <w:szCs w:val="24"/>
          <w:lang w:val="en-US"/>
        </w:rPr>
      </w:pPr>
      <w:r w:rsidRPr="003777D1">
        <w:rPr>
          <w:bCs/>
          <w:sz w:val="24"/>
          <w:szCs w:val="24"/>
          <w:lang w:val="en-US"/>
        </w:rPr>
        <w:t>The use of Clindamycin "</w:t>
      </w:r>
      <w:proofErr w:type="spellStart"/>
      <w:r w:rsidRPr="003777D1">
        <w:rPr>
          <w:bCs/>
          <w:sz w:val="24"/>
          <w:szCs w:val="24"/>
          <w:lang w:val="en-US"/>
        </w:rPr>
        <w:t>Terix</w:t>
      </w:r>
      <w:proofErr w:type="spellEnd"/>
      <w:r w:rsidRPr="003777D1">
        <w:rPr>
          <w:bCs/>
          <w:sz w:val="24"/>
          <w:szCs w:val="24"/>
          <w:lang w:val="en-US"/>
        </w:rPr>
        <w:t>" may result in the overgrowth of non-susceptible organisms, particularly yeasts.</w:t>
      </w:r>
    </w:p>
    <w:p w:rsidR="003777D1" w:rsidRPr="003777D1" w:rsidRDefault="003777D1" w:rsidP="003777D1">
      <w:pPr>
        <w:tabs>
          <w:tab w:val="left" w:pos="851"/>
        </w:tabs>
        <w:ind w:left="851"/>
        <w:rPr>
          <w:bCs/>
          <w:sz w:val="24"/>
          <w:szCs w:val="24"/>
          <w:lang w:val="en-US"/>
        </w:rPr>
      </w:pPr>
      <w:r w:rsidRPr="003777D1">
        <w:rPr>
          <w:bCs/>
          <w:sz w:val="24"/>
          <w:szCs w:val="24"/>
          <w:lang w:val="en-US"/>
        </w:rPr>
        <w:t xml:space="preserve">Onset of symptoms suggestive of pseudomembranous colitis may occur during or after antimicrobial treatment (see section 4.8). Pseudomembranous colitis has been reported with nearly all antibacterial agents, including clindamycin, and may range in severity from mild to life-threatening. Therefore, it is important that this is considered in patients who present with </w:t>
      </w:r>
      <w:proofErr w:type="spellStart"/>
      <w:r w:rsidRPr="003777D1">
        <w:rPr>
          <w:bCs/>
          <w:sz w:val="24"/>
          <w:szCs w:val="24"/>
          <w:lang w:val="en-US"/>
        </w:rPr>
        <w:t>diarrhoea</w:t>
      </w:r>
      <w:proofErr w:type="spellEnd"/>
      <w:r w:rsidRPr="003777D1">
        <w:rPr>
          <w:bCs/>
          <w:sz w:val="24"/>
          <w:szCs w:val="24"/>
          <w:lang w:val="en-US"/>
        </w:rPr>
        <w:t xml:space="preserve"> subsequent to the administration of antibacterial agents. Moderate cases may improve following withdrawal of the drug.</w:t>
      </w:r>
    </w:p>
    <w:p w:rsidR="003777D1" w:rsidRPr="003777D1" w:rsidRDefault="003777D1" w:rsidP="003777D1">
      <w:pPr>
        <w:tabs>
          <w:tab w:val="left" w:pos="851"/>
        </w:tabs>
        <w:ind w:left="851"/>
        <w:rPr>
          <w:bCs/>
          <w:sz w:val="24"/>
          <w:szCs w:val="24"/>
          <w:lang w:val="en-US"/>
        </w:rPr>
      </w:pPr>
    </w:p>
    <w:p w:rsidR="003777D1" w:rsidRPr="003777D1" w:rsidRDefault="003777D1" w:rsidP="003777D1">
      <w:pPr>
        <w:tabs>
          <w:tab w:val="left" w:pos="851"/>
        </w:tabs>
        <w:ind w:left="851"/>
        <w:rPr>
          <w:bCs/>
          <w:sz w:val="24"/>
          <w:szCs w:val="24"/>
          <w:lang w:val="en-US"/>
        </w:rPr>
      </w:pPr>
      <w:r w:rsidRPr="003777D1">
        <w:rPr>
          <w:bCs/>
          <w:sz w:val="24"/>
          <w:szCs w:val="24"/>
          <w:lang w:val="en-US"/>
        </w:rPr>
        <w:t xml:space="preserve">Clindamycin treatment must be stopped if pseudomembranous </w:t>
      </w:r>
      <w:proofErr w:type="spellStart"/>
      <w:r w:rsidRPr="003777D1">
        <w:rPr>
          <w:bCs/>
          <w:sz w:val="24"/>
          <w:szCs w:val="24"/>
          <w:lang w:val="en-US"/>
        </w:rPr>
        <w:t>diarrhoea</w:t>
      </w:r>
      <w:proofErr w:type="spellEnd"/>
      <w:r w:rsidRPr="003777D1">
        <w:rPr>
          <w:bCs/>
          <w:sz w:val="24"/>
          <w:szCs w:val="24"/>
          <w:lang w:val="en-US"/>
        </w:rPr>
        <w:t xml:space="preserve"> occurs. An adequate antibacterial therapy should be prescribed. Drugs inhibiting peristalsis are contra-indicated in this situation.</w:t>
      </w:r>
    </w:p>
    <w:p w:rsidR="003777D1" w:rsidRPr="003777D1" w:rsidRDefault="003777D1" w:rsidP="003777D1">
      <w:pPr>
        <w:tabs>
          <w:tab w:val="left" w:pos="851"/>
        </w:tabs>
        <w:ind w:left="851"/>
        <w:rPr>
          <w:bCs/>
          <w:sz w:val="24"/>
          <w:szCs w:val="24"/>
          <w:lang w:val="en-US"/>
        </w:rPr>
      </w:pPr>
    </w:p>
    <w:p w:rsidR="003777D1" w:rsidRPr="003777D1" w:rsidRDefault="003777D1" w:rsidP="003777D1">
      <w:pPr>
        <w:tabs>
          <w:tab w:val="left" w:pos="851"/>
        </w:tabs>
        <w:ind w:left="851"/>
        <w:rPr>
          <w:bCs/>
          <w:sz w:val="24"/>
          <w:szCs w:val="24"/>
          <w:lang w:val="en-US"/>
        </w:rPr>
      </w:pPr>
      <w:r w:rsidRPr="003777D1">
        <w:rPr>
          <w:bCs/>
          <w:sz w:val="24"/>
          <w:szCs w:val="24"/>
          <w:lang w:val="en-US"/>
        </w:rPr>
        <w:t>Caution is advised in patients when prescribing Clindamycin "</w:t>
      </w:r>
      <w:proofErr w:type="spellStart"/>
      <w:r w:rsidRPr="003777D1">
        <w:rPr>
          <w:bCs/>
          <w:sz w:val="24"/>
          <w:szCs w:val="24"/>
          <w:lang w:val="en-US"/>
        </w:rPr>
        <w:t>Terix</w:t>
      </w:r>
      <w:proofErr w:type="spellEnd"/>
      <w:r w:rsidRPr="003777D1">
        <w:rPr>
          <w:bCs/>
          <w:sz w:val="24"/>
          <w:szCs w:val="24"/>
          <w:lang w:val="en-US"/>
        </w:rPr>
        <w:t>" to individuals with Inflammatory Bowel Disease such as Crohn’s Disease or Ulcerative Colitis.</w:t>
      </w:r>
    </w:p>
    <w:p w:rsidR="003777D1" w:rsidRPr="003777D1" w:rsidRDefault="003777D1" w:rsidP="003777D1">
      <w:pPr>
        <w:tabs>
          <w:tab w:val="left" w:pos="851"/>
        </w:tabs>
        <w:ind w:left="851"/>
        <w:rPr>
          <w:bCs/>
          <w:sz w:val="24"/>
          <w:szCs w:val="24"/>
          <w:lang w:val="en-US"/>
        </w:rPr>
      </w:pPr>
    </w:p>
    <w:p w:rsidR="003777D1" w:rsidRPr="003777D1" w:rsidRDefault="003777D1" w:rsidP="003777D1">
      <w:pPr>
        <w:tabs>
          <w:tab w:val="left" w:pos="851"/>
        </w:tabs>
        <w:ind w:left="851"/>
        <w:rPr>
          <w:bCs/>
          <w:sz w:val="24"/>
          <w:szCs w:val="24"/>
          <w:lang w:val="en-US"/>
        </w:rPr>
      </w:pPr>
      <w:r w:rsidRPr="003777D1">
        <w:rPr>
          <w:bCs/>
          <w:sz w:val="24"/>
          <w:szCs w:val="24"/>
          <w:lang w:val="en-US"/>
        </w:rPr>
        <w:t>As with all vaginal infections, sexual intercourse during treatment with Clindamycin "</w:t>
      </w:r>
      <w:proofErr w:type="spellStart"/>
      <w:r w:rsidRPr="003777D1">
        <w:rPr>
          <w:bCs/>
          <w:sz w:val="24"/>
          <w:szCs w:val="24"/>
          <w:lang w:val="en-US"/>
        </w:rPr>
        <w:t>Terix</w:t>
      </w:r>
      <w:proofErr w:type="spellEnd"/>
      <w:r w:rsidRPr="003777D1">
        <w:rPr>
          <w:bCs/>
          <w:sz w:val="24"/>
          <w:szCs w:val="24"/>
          <w:lang w:val="en-US"/>
        </w:rPr>
        <w:t>" is not recommended. Latex condoms and diaphragms may be weakened if exposed to the suppository base used in Clindamycin "</w:t>
      </w:r>
      <w:proofErr w:type="spellStart"/>
      <w:r w:rsidRPr="003777D1">
        <w:rPr>
          <w:bCs/>
          <w:sz w:val="24"/>
          <w:szCs w:val="24"/>
          <w:lang w:val="en-US"/>
        </w:rPr>
        <w:t>Terix</w:t>
      </w:r>
      <w:proofErr w:type="spellEnd"/>
      <w:r w:rsidRPr="003777D1">
        <w:rPr>
          <w:bCs/>
          <w:sz w:val="24"/>
          <w:szCs w:val="24"/>
          <w:lang w:val="en-US"/>
        </w:rPr>
        <w:t>" (see section 6.2). The use of such products within 72 hours following treatment with Clindamycin "</w:t>
      </w:r>
      <w:proofErr w:type="spellStart"/>
      <w:r w:rsidRPr="003777D1">
        <w:rPr>
          <w:bCs/>
          <w:sz w:val="24"/>
          <w:szCs w:val="24"/>
          <w:lang w:val="en-US"/>
        </w:rPr>
        <w:t>Terix</w:t>
      </w:r>
      <w:proofErr w:type="spellEnd"/>
      <w:r w:rsidRPr="003777D1">
        <w:rPr>
          <w:bCs/>
          <w:sz w:val="24"/>
          <w:szCs w:val="24"/>
          <w:lang w:val="en-US"/>
        </w:rPr>
        <w:t>" is not recommended as such use could be associated with diminished contraceptive efficacy or protection against sexually transmitted disease.</w:t>
      </w:r>
    </w:p>
    <w:p w:rsidR="003777D1" w:rsidRPr="003777D1" w:rsidRDefault="003777D1" w:rsidP="003777D1">
      <w:pPr>
        <w:tabs>
          <w:tab w:val="left" w:pos="851"/>
        </w:tabs>
        <w:ind w:left="851"/>
        <w:rPr>
          <w:bCs/>
          <w:sz w:val="24"/>
          <w:szCs w:val="24"/>
          <w:lang w:val="en-US"/>
        </w:rPr>
      </w:pPr>
    </w:p>
    <w:p w:rsidR="003777D1" w:rsidRPr="003777D1" w:rsidRDefault="003777D1" w:rsidP="003777D1">
      <w:pPr>
        <w:tabs>
          <w:tab w:val="left" w:pos="851"/>
        </w:tabs>
        <w:ind w:left="851"/>
        <w:rPr>
          <w:bCs/>
          <w:sz w:val="24"/>
          <w:szCs w:val="24"/>
          <w:lang w:val="en-US"/>
        </w:rPr>
      </w:pPr>
      <w:r w:rsidRPr="003777D1">
        <w:rPr>
          <w:bCs/>
          <w:sz w:val="24"/>
          <w:szCs w:val="24"/>
          <w:lang w:val="en-US"/>
        </w:rPr>
        <w:t>The use of other vaginal products (such as tampons and douches) during the treatment with Clindamycin "</w:t>
      </w:r>
      <w:proofErr w:type="spellStart"/>
      <w:r w:rsidRPr="003777D1">
        <w:rPr>
          <w:bCs/>
          <w:sz w:val="24"/>
          <w:szCs w:val="24"/>
          <w:lang w:val="en-US"/>
        </w:rPr>
        <w:t>Terix</w:t>
      </w:r>
      <w:proofErr w:type="spellEnd"/>
      <w:r w:rsidRPr="003777D1">
        <w:rPr>
          <w:bCs/>
          <w:sz w:val="24"/>
          <w:szCs w:val="24"/>
          <w:lang w:val="en-US"/>
        </w:rPr>
        <w:t>" is not recommended.</w:t>
      </w:r>
    </w:p>
    <w:p w:rsidR="003777D1" w:rsidRPr="003777D1" w:rsidRDefault="003777D1" w:rsidP="003777D1">
      <w:pPr>
        <w:tabs>
          <w:tab w:val="left" w:pos="851"/>
        </w:tabs>
        <w:ind w:left="851"/>
        <w:rPr>
          <w:bCs/>
          <w:sz w:val="24"/>
          <w:szCs w:val="24"/>
          <w:lang w:val="en-US"/>
        </w:rPr>
      </w:pPr>
    </w:p>
    <w:p w:rsidR="003777D1" w:rsidRPr="003777D1" w:rsidRDefault="003777D1" w:rsidP="003777D1">
      <w:pPr>
        <w:tabs>
          <w:tab w:val="left" w:pos="851"/>
        </w:tabs>
        <w:ind w:left="851"/>
        <w:rPr>
          <w:bCs/>
          <w:sz w:val="24"/>
          <w:szCs w:val="24"/>
          <w:lang w:val="en-US"/>
        </w:rPr>
      </w:pPr>
      <w:r w:rsidRPr="003777D1">
        <w:rPr>
          <w:bCs/>
          <w:sz w:val="24"/>
          <w:szCs w:val="24"/>
          <w:lang w:val="en-US"/>
        </w:rPr>
        <w:lastRenderedPageBreak/>
        <w:t>Safety and efficacy studies have not been performed with Clindamycin "</w:t>
      </w:r>
      <w:proofErr w:type="spellStart"/>
      <w:r w:rsidRPr="003777D1">
        <w:rPr>
          <w:bCs/>
          <w:sz w:val="24"/>
          <w:szCs w:val="24"/>
          <w:lang w:val="en-US"/>
        </w:rPr>
        <w:t>Terix</w:t>
      </w:r>
      <w:proofErr w:type="spellEnd"/>
      <w:r w:rsidRPr="003777D1">
        <w:rPr>
          <w:bCs/>
          <w:sz w:val="24"/>
          <w:szCs w:val="24"/>
          <w:lang w:val="en-US"/>
        </w:rPr>
        <w:t xml:space="preserve">" in the following populations: pregnant, lactating women, patients with impaired hepatic function, </w:t>
      </w:r>
      <w:proofErr w:type="spellStart"/>
      <w:r w:rsidRPr="003777D1">
        <w:rPr>
          <w:bCs/>
          <w:sz w:val="24"/>
          <w:szCs w:val="24"/>
          <w:lang w:val="en-US"/>
        </w:rPr>
        <w:t>immunodeficency</w:t>
      </w:r>
      <w:proofErr w:type="spellEnd"/>
      <w:r w:rsidRPr="003777D1">
        <w:rPr>
          <w:bCs/>
          <w:sz w:val="24"/>
          <w:szCs w:val="24"/>
          <w:lang w:val="en-US"/>
        </w:rPr>
        <w:t xml:space="preserve"> or colitis.</w:t>
      </w:r>
    </w:p>
    <w:p w:rsidR="003777D1" w:rsidRPr="003777D1" w:rsidRDefault="003777D1" w:rsidP="003777D1">
      <w:pPr>
        <w:tabs>
          <w:tab w:val="left" w:pos="851"/>
        </w:tabs>
        <w:ind w:left="851"/>
        <w:rPr>
          <w:bCs/>
          <w:sz w:val="24"/>
          <w:szCs w:val="24"/>
          <w:lang w:val="en-US"/>
        </w:rPr>
      </w:pPr>
    </w:p>
    <w:p w:rsidR="003777D1" w:rsidRPr="000D7584" w:rsidRDefault="003777D1" w:rsidP="003777D1">
      <w:pPr>
        <w:tabs>
          <w:tab w:val="left" w:pos="851"/>
        </w:tabs>
        <w:ind w:left="851"/>
        <w:rPr>
          <w:bCs/>
          <w:sz w:val="24"/>
          <w:szCs w:val="24"/>
          <w:u w:val="single"/>
          <w:lang w:val="en-US"/>
        </w:rPr>
      </w:pPr>
      <w:proofErr w:type="spellStart"/>
      <w:r w:rsidRPr="000D7584">
        <w:rPr>
          <w:bCs/>
          <w:sz w:val="24"/>
          <w:szCs w:val="24"/>
          <w:u w:val="single"/>
          <w:lang w:val="en-US"/>
        </w:rPr>
        <w:t>Paediatric</w:t>
      </w:r>
      <w:proofErr w:type="spellEnd"/>
      <w:r w:rsidRPr="000D7584">
        <w:rPr>
          <w:bCs/>
          <w:sz w:val="24"/>
          <w:szCs w:val="24"/>
          <w:u w:val="single"/>
          <w:lang w:val="en-US"/>
        </w:rPr>
        <w:t xml:space="preserve"> population</w:t>
      </w:r>
    </w:p>
    <w:p w:rsidR="003777D1" w:rsidRPr="003777D1" w:rsidRDefault="003777D1" w:rsidP="003777D1">
      <w:pPr>
        <w:tabs>
          <w:tab w:val="left" w:pos="851"/>
        </w:tabs>
        <w:ind w:left="851"/>
        <w:rPr>
          <w:bCs/>
          <w:sz w:val="24"/>
          <w:szCs w:val="24"/>
          <w:lang w:val="en-US"/>
        </w:rPr>
      </w:pPr>
      <w:r w:rsidRPr="003777D1">
        <w:rPr>
          <w:bCs/>
          <w:sz w:val="24"/>
          <w:szCs w:val="24"/>
          <w:lang w:val="en-US"/>
        </w:rPr>
        <w:t>Safety and efficacy of Clindamycin "</w:t>
      </w:r>
      <w:proofErr w:type="spellStart"/>
      <w:r w:rsidRPr="003777D1">
        <w:rPr>
          <w:bCs/>
          <w:sz w:val="24"/>
          <w:szCs w:val="24"/>
          <w:lang w:val="en-US"/>
        </w:rPr>
        <w:t>Terix</w:t>
      </w:r>
      <w:proofErr w:type="spellEnd"/>
      <w:r w:rsidRPr="003777D1">
        <w:rPr>
          <w:bCs/>
          <w:sz w:val="24"/>
          <w:szCs w:val="24"/>
          <w:lang w:val="en-US"/>
        </w:rPr>
        <w:t xml:space="preserve">" in </w:t>
      </w:r>
      <w:proofErr w:type="spellStart"/>
      <w:r w:rsidRPr="003777D1">
        <w:rPr>
          <w:bCs/>
          <w:sz w:val="24"/>
          <w:szCs w:val="24"/>
          <w:lang w:val="en-US"/>
        </w:rPr>
        <w:t>paediatric</w:t>
      </w:r>
      <w:proofErr w:type="spellEnd"/>
      <w:r w:rsidRPr="003777D1">
        <w:rPr>
          <w:bCs/>
          <w:sz w:val="24"/>
          <w:szCs w:val="24"/>
          <w:lang w:val="en-US"/>
        </w:rPr>
        <w:t xml:space="preserve"> patients has not been established (see section 4.2).</w:t>
      </w:r>
    </w:p>
    <w:p w:rsidR="007C5D2A" w:rsidRPr="003777D1"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8C02F8" w:rsidRPr="008C02F8" w:rsidRDefault="008C02F8" w:rsidP="008C02F8">
      <w:pPr>
        <w:tabs>
          <w:tab w:val="left" w:pos="851"/>
        </w:tabs>
        <w:ind w:left="851"/>
        <w:rPr>
          <w:bCs/>
          <w:sz w:val="24"/>
          <w:szCs w:val="24"/>
          <w:lang w:val="en-US"/>
        </w:rPr>
      </w:pPr>
      <w:r w:rsidRPr="008C02F8">
        <w:rPr>
          <w:bCs/>
          <w:sz w:val="24"/>
          <w:szCs w:val="24"/>
          <w:lang w:val="en-US"/>
        </w:rPr>
        <w:t>No information is available on the concomitant use of other vaginal medications with Clindamycin "</w:t>
      </w:r>
      <w:proofErr w:type="spellStart"/>
      <w:r w:rsidRPr="008C02F8">
        <w:rPr>
          <w:bCs/>
          <w:sz w:val="24"/>
          <w:szCs w:val="24"/>
          <w:lang w:val="en-US"/>
        </w:rPr>
        <w:t>Terix</w:t>
      </w:r>
      <w:proofErr w:type="spellEnd"/>
      <w:r w:rsidRPr="008C02F8">
        <w:rPr>
          <w:bCs/>
          <w:sz w:val="24"/>
          <w:szCs w:val="24"/>
          <w:lang w:val="en-US"/>
        </w:rPr>
        <w:t>".</w:t>
      </w:r>
    </w:p>
    <w:p w:rsidR="008C02F8" w:rsidRPr="008C02F8" w:rsidRDefault="008C02F8" w:rsidP="008C02F8">
      <w:pPr>
        <w:tabs>
          <w:tab w:val="left" w:pos="851"/>
        </w:tabs>
        <w:ind w:left="851"/>
        <w:rPr>
          <w:bCs/>
          <w:sz w:val="24"/>
          <w:szCs w:val="24"/>
          <w:lang w:val="en-US"/>
        </w:rPr>
      </w:pPr>
    </w:p>
    <w:p w:rsidR="008C02F8" w:rsidRPr="008C02F8" w:rsidRDefault="008C02F8" w:rsidP="008C02F8">
      <w:pPr>
        <w:tabs>
          <w:tab w:val="left" w:pos="851"/>
        </w:tabs>
        <w:ind w:left="851"/>
        <w:rPr>
          <w:bCs/>
          <w:sz w:val="24"/>
          <w:szCs w:val="24"/>
          <w:lang w:val="en-US"/>
        </w:rPr>
      </w:pPr>
      <w:r w:rsidRPr="008C02F8">
        <w:rPr>
          <w:bCs/>
          <w:sz w:val="24"/>
          <w:szCs w:val="24"/>
          <w:lang w:val="en-US"/>
        </w:rPr>
        <w:t>Systemic clindamycin phosphate has been shown to have neuromuscular blocking properties that may enhance the action of other neuromuscular blocking agents. Therefore, it should be used with caution in patients receiving such agents (see sections 4.9 and 5.2).</w:t>
      </w:r>
    </w:p>
    <w:p w:rsidR="007C5D2A" w:rsidRPr="008C02F8"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8C02F8" w:rsidRPr="008C02F8" w:rsidRDefault="008C02F8" w:rsidP="008C02F8">
      <w:pPr>
        <w:tabs>
          <w:tab w:val="left" w:pos="851"/>
        </w:tabs>
        <w:ind w:left="851"/>
        <w:rPr>
          <w:bCs/>
          <w:sz w:val="24"/>
          <w:szCs w:val="24"/>
          <w:u w:val="single"/>
          <w:lang w:val="en-US"/>
        </w:rPr>
      </w:pPr>
    </w:p>
    <w:p w:rsidR="008C02F8" w:rsidRPr="008C02F8" w:rsidRDefault="008C02F8" w:rsidP="008C02F8">
      <w:pPr>
        <w:tabs>
          <w:tab w:val="left" w:pos="851"/>
        </w:tabs>
        <w:ind w:left="851"/>
        <w:rPr>
          <w:bCs/>
          <w:sz w:val="24"/>
          <w:szCs w:val="24"/>
          <w:u w:val="single"/>
          <w:lang w:val="en-US"/>
        </w:rPr>
      </w:pPr>
      <w:r w:rsidRPr="008C02F8">
        <w:rPr>
          <w:bCs/>
          <w:sz w:val="24"/>
          <w:szCs w:val="24"/>
          <w:u w:val="single"/>
          <w:lang w:val="en-US"/>
        </w:rPr>
        <w:t>Pregnancy</w:t>
      </w:r>
    </w:p>
    <w:p w:rsidR="008C02F8" w:rsidRPr="008C02F8" w:rsidRDefault="008C02F8" w:rsidP="008C02F8">
      <w:pPr>
        <w:tabs>
          <w:tab w:val="left" w:pos="851"/>
        </w:tabs>
        <w:ind w:left="851"/>
        <w:rPr>
          <w:bCs/>
          <w:sz w:val="24"/>
          <w:szCs w:val="24"/>
          <w:lang w:val="en-US"/>
        </w:rPr>
      </w:pPr>
      <w:r w:rsidRPr="008C02F8">
        <w:rPr>
          <w:bCs/>
          <w:sz w:val="24"/>
          <w:szCs w:val="24"/>
          <w:lang w:val="en-US"/>
        </w:rPr>
        <w:t>Studies in animals have shown reproductive toxicity (see section 5.3).</w:t>
      </w:r>
    </w:p>
    <w:p w:rsidR="008C02F8" w:rsidRPr="008C02F8" w:rsidRDefault="008C02F8" w:rsidP="008C02F8">
      <w:pPr>
        <w:tabs>
          <w:tab w:val="left" w:pos="851"/>
        </w:tabs>
        <w:ind w:left="851"/>
        <w:rPr>
          <w:bCs/>
          <w:sz w:val="24"/>
          <w:szCs w:val="24"/>
          <w:lang w:val="en-US"/>
        </w:rPr>
      </w:pPr>
    </w:p>
    <w:p w:rsidR="008C02F8" w:rsidRPr="008C02F8" w:rsidRDefault="008C02F8" w:rsidP="008C02F8">
      <w:pPr>
        <w:tabs>
          <w:tab w:val="left" w:pos="851"/>
        </w:tabs>
        <w:ind w:left="851"/>
        <w:rPr>
          <w:bCs/>
          <w:sz w:val="24"/>
          <w:szCs w:val="24"/>
          <w:lang w:val="en-US"/>
        </w:rPr>
      </w:pPr>
      <w:r w:rsidRPr="008C02F8">
        <w:rPr>
          <w:bCs/>
          <w:sz w:val="24"/>
          <w:szCs w:val="24"/>
          <w:lang w:val="en-US"/>
        </w:rPr>
        <w:t>Use of Clindamycin "</w:t>
      </w:r>
      <w:proofErr w:type="spellStart"/>
      <w:r w:rsidRPr="008C02F8">
        <w:rPr>
          <w:bCs/>
          <w:sz w:val="24"/>
          <w:szCs w:val="24"/>
          <w:lang w:val="en-US"/>
        </w:rPr>
        <w:t>Terix</w:t>
      </w:r>
      <w:proofErr w:type="spellEnd"/>
      <w:r w:rsidRPr="008C02F8">
        <w:rPr>
          <w:bCs/>
          <w:sz w:val="24"/>
          <w:szCs w:val="24"/>
          <w:lang w:val="en-US"/>
        </w:rPr>
        <w:t>" is not recommended during the first trimester, as there are no adequate and well-controlled studies in pregnant women over this period.</w:t>
      </w:r>
    </w:p>
    <w:p w:rsidR="008C02F8" w:rsidRPr="008C02F8" w:rsidRDefault="008C02F8" w:rsidP="008C02F8">
      <w:pPr>
        <w:tabs>
          <w:tab w:val="left" w:pos="851"/>
        </w:tabs>
        <w:ind w:left="851"/>
        <w:rPr>
          <w:bCs/>
          <w:sz w:val="24"/>
          <w:szCs w:val="24"/>
          <w:lang w:val="en-US"/>
        </w:rPr>
      </w:pPr>
    </w:p>
    <w:p w:rsidR="008C02F8" w:rsidRPr="008C02F8" w:rsidRDefault="008C02F8" w:rsidP="008C02F8">
      <w:pPr>
        <w:tabs>
          <w:tab w:val="left" w:pos="851"/>
        </w:tabs>
        <w:ind w:left="851"/>
        <w:rPr>
          <w:bCs/>
          <w:sz w:val="24"/>
          <w:szCs w:val="24"/>
          <w:lang w:val="en-US"/>
        </w:rPr>
      </w:pPr>
      <w:r w:rsidRPr="008C02F8">
        <w:rPr>
          <w:bCs/>
          <w:sz w:val="24"/>
          <w:szCs w:val="24"/>
          <w:lang w:val="en-US"/>
        </w:rPr>
        <w:t>In clinical trials, intravaginal use of Clindamycin vaginal products in pregnant women during second trimester and systemic use of clindamycin phosphate during the second and third trimester has not been associated with congenital abnormalities.</w:t>
      </w:r>
    </w:p>
    <w:p w:rsidR="008C02F8" w:rsidRPr="008C02F8" w:rsidRDefault="008C02F8" w:rsidP="008C02F8">
      <w:pPr>
        <w:tabs>
          <w:tab w:val="left" w:pos="851"/>
        </w:tabs>
        <w:ind w:left="851"/>
        <w:rPr>
          <w:bCs/>
          <w:sz w:val="24"/>
          <w:szCs w:val="24"/>
          <w:lang w:val="en-US"/>
        </w:rPr>
      </w:pPr>
    </w:p>
    <w:p w:rsidR="008C02F8" w:rsidRPr="008C02F8" w:rsidRDefault="008C02F8" w:rsidP="008C02F8">
      <w:pPr>
        <w:tabs>
          <w:tab w:val="left" w:pos="851"/>
        </w:tabs>
        <w:ind w:left="851"/>
        <w:rPr>
          <w:bCs/>
          <w:sz w:val="24"/>
          <w:szCs w:val="24"/>
          <w:lang w:val="en-US"/>
        </w:rPr>
      </w:pPr>
      <w:r w:rsidRPr="008C02F8">
        <w:rPr>
          <w:bCs/>
          <w:sz w:val="24"/>
          <w:szCs w:val="24"/>
          <w:lang w:val="en-US"/>
        </w:rPr>
        <w:t>Clindamycin "</w:t>
      </w:r>
      <w:proofErr w:type="spellStart"/>
      <w:r w:rsidRPr="008C02F8">
        <w:rPr>
          <w:bCs/>
          <w:sz w:val="24"/>
          <w:szCs w:val="24"/>
          <w:lang w:val="en-US"/>
        </w:rPr>
        <w:t>Terix</w:t>
      </w:r>
      <w:proofErr w:type="spellEnd"/>
      <w:r w:rsidRPr="008C02F8">
        <w:rPr>
          <w:bCs/>
          <w:sz w:val="24"/>
          <w:szCs w:val="24"/>
          <w:lang w:val="en-US"/>
        </w:rPr>
        <w:t>" may be used to treat pregnant women if clearly necessary during the second and third trimester of pregnancy. Digital application of the pessary is recommended during pregnancy.</w:t>
      </w:r>
    </w:p>
    <w:p w:rsidR="008C02F8" w:rsidRPr="008C02F8" w:rsidRDefault="008C02F8" w:rsidP="008C02F8">
      <w:pPr>
        <w:tabs>
          <w:tab w:val="left" w:pos="851"/>
        </w:tabs>
        <w:ind w:left="851"/>
        <w:rPr>
          <w:bCs/>
          <w:sz w:val="24"/>
          <w:szCs w:val="24"/>
          <w:u w:val="single"/>
          <w:lang w:val="en-US"/>
        </w:rPr>
      </w:pPr>
    </w:p>
    <w:p w:rsidR="008C02F8" w:rsidRPr="008C02F8" w:rsidRDefault="008C02F8" w:rsidP="008C02F8">
      <w:pPr>
        <w:tabs>
          <w:tab w:val="left" w:pos="851"/>
        </w:tabs>
        <w:ind w:left="851"/>
        <w:rPr>
          <w:bCs/>
          <w:sz w:val="24"/>
          <w:szCs w:val="24"/>
          <w:u w:val="single"/>
          <w:lang w:val="en-US"/>
        </w:rPr>
      </w:pPr>
      <w:r w:rsidRPr="008C02F8">
        <w:rPr>
          <w:bCs/>
          <w:sz w:val="24"/>
          <w:szCs w:val="24"/>
          <w:u w:val="single"/>
          <w:lang w:val="en-US"/>
        </w:rPr>
        <w:t>Breastfeeding</w:t>
      </w:r>
    </w:p>
    <w:p w:rsidR="008C02F8" w:rsidRPr="008C02F8" w:rsidRDefault="008C02F8" w:rsidP="008C02F8">
      <w:pPr>
        <w:tabs>
          <w:tab w:val="left" w:pos="851"/>
        </w:tabs>
        <w:ind w:left="851"/>
        <w:rPr>
          <w:bCs/>
          <w:sz w:val="24"/>
          <w:szCs w:val="24"/>
          <w:lang w:val="en-US"/>
        </w:rPr>
      </w:pPr>
      <w:r w:rsidRPr="008C02F8">
        <w:rPr>
          <w:bCs/>
          <w:sz w:val="24"/>
          <w:szCs w:val="24"/>
          <w:lang w:val="en-US"/>
        </w:rPr>
        <w:t xml:space="preserve">It is unknown whether clindamycin is excreted in human breast milk following vaginal administration, but it is used in much lower doses than systemic clindamycin, and approximately 30% (range 6%-70%) is systemically absorbed. Following systemic use, clindamycin has been reported to appear in human breast milk in ranges from &lt;0.5 to 3.8 </w:t>
      </w:r>
      <w:r w:rsidRPr="008C02F8">
        <w:rPr>
          <w:bCs/>
          <w:sz w:val="24"/>
          <w:szCs w:val="24"/>
          <w:lang w:val="el-GR"/>
        </w:rPr>
        <w:t>μ</w:t>
      </w:r>
      <w:r w:rsidRPr="008C02F8">
        <w:rPr>
          <w:bCs/>
          <w:sz w:val="24"/>
          <w:szCs w:val="24"/>
          <w:lang w:val="en-US"/>
        </w:rPr>
        <w:t>g/</w:t>
      </w:r>
      <w:proofErr w:type="spellStart"/>
      <w:r w:rsidRPr="008C02F8">
        <w:rPr>
          <w:bCs/>
          <w:sz w:val="24"/>
          <w:szCs w:val="24"/>
          <w:lang w:val="en-US"/>
        </w:rPr>
        <w:t>mL.</w:t>
      </w:r>
      <w:proofErr w:type="spellEnd"/>
      <w:r w:rsidRPr="008C02F8">
        <w:rPr>
          <w:bCs/>
          <w:sz w:val="24"/>
          <w:szCs w:val="24"/>
          <w:lang w:val="en-US"/>
        </w:rPr>
        <w:t xml:space="preserve"> If clindamycin is administered systemically to a breastfeeding mother, there is a risk for adverse effects on the breastfed infant’s gastrointestinal flora such as diarrhea or blood in the stool, or rash. Use of Clindamycin "</w:t>
      </w:r>
      <w:proofErr w:type="spellStart"/>
      <w:r w:rsidRPr="008C02F8">
        <w:rPr>
          <w:bCs/>
          <w:sz w:val="24"/>
          <w:szCs w:val="24"/>
          <w:lang w:val="en-US"/>
        </w:rPr>
        <w:t>Terix</w:t>
      </w:r>
      <w:proofErr w:type="spellEnd"/>
      <w:r w:rsidRPr="008C02F8">
        <w:rPr>
          <w:bCs/>
          <w:sz w:val="24"/>
          <w:szCs w:val="24"/>
          <w:lang w:val="en-US"/>
        </w:rPr>
        <w:t>" in a breastfeeding woman can be considered if the expected benefit to the mother outweighs the risks for the child.</w:t>
      </w:r>
    </w:p>
    <w:p w:rsidR="008C02F8" w:rsidRPr="008C02F8" w:rsidRDefault="008C02F8" w:rsidP="008C02F8">
      <w:pPr>
        <w:tabs>
          <w:tab w:val="left" w:pos="851"/>
        </w:tabs>
        <w:ind w:left="851"/>
        <w:rPr>
          <w:bCs/>
          <w:sz w:val="24"/>
          <w:szCs w:val="24"/>
          <w:lang w:val="en-US"/>
        </w:rPr>
      </w:pPr>
    </w:p>
    <w:p w:rsidR="008C02F8" w:rsidRPr="008C02F8" w:rsidRDefault="008C02F8" w:rsidP="008C02F8">
      <w:pPr>
        <w:tabs>
          <w:tab w:val="left" w:pos="851"/>
        </w:tabs>
        <w:ind w:left="851"/>
        <w:rPr>
          <w:bCs/>
          <w:sz w:val="24"/>
          <w:szCs w:val="24"/>
          <w:u w:val="single"/>
          <w:lang w:val="en-US"/>
        </w:rPr>
      </w:pPr>
      <w:r w:rsidRPr="008C02F8">
        <w:rPr>
          <w:bCs/>
          <w:sz w:val="24"/>
          <w:szCs w:val="24"/>
          <w:u w:val="single"/>
          <w:lang w:val="en-US"/>
        </w:rPr>
        <w:t>Fertility</w:t>
      </w:r>
    </w:p>
    <w:p w:rsidR="008C02F8" w:rsidRPr="008C02F8" w:rsidRDefault="008C02F8" w:rsidP="008C02F8">
      <w:pPr>
        <w:tabs>
          <w:tab w:val="left" w:pos="851"/>
        </w:tabs>
        <w:ind w:left="851"/>
        <w:rPr>
          <w:bCs/>
          <w:sz w:val="24"/>
          <w:szCs w:val="24"/>
          <w:lang w:val="en-US"/>
        </w:rPr>
      </w:pPr>
      <w:r w:rsidRPr="008C02F8">
        <w:rPr>
          <w:bCs/>
          <w:sz w:val="24"/>
          <w:szCs w:val="24"/>
          <w:lang w:val="en-US"/>
        </w:rPr>
        <w:t>Studies in animals revealed no effect on fertility.</w:t>
      </w:r>
    </w:p>
    <w:p w:rsidR="007C5D2A" w:rsidRPr="008C02F8"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4469F8" w:rsidRDefault="004469F8" w:rsidP="004469F8">
      <w:pPr>
        <w:tabs>
          <w:tab w:val="left" w:pos="851"/>
        </w:tabs>
        <w:ind w:left="851"/>
        <w:rPr>
          <w:bCs/>
          <w:sz w:val="24"/>
          <w:szCs w:val="24"/>
          <w:lang w:val="en-US"/>
        </w:rPr>
      </w:pPr>
      <w:r>
        <w:rPr>
          <w:bCs/>
          <w:sz w:val="24"/>
          <w:szCs w:val="24"/>
          <w:lang w:val="en-US"/>
        </w:rPr>
        <w:t>No traffic warning.</w:t>
      </w:r>
    </w:p>
    <w:p w:rsidR="004469F8" w:rsidRPr="004469F8" w:rsidRDefault="004469F8" w:rsidP="004469F8">
      <w:pPr>
        <w:tabs>
          <w:tab w:val="left" w:pos="851"/>
        </w:tabs>
        <w:ind w:left="851"/>
        <w:rPr>
          <w:bCs/>
          <w:sz w:val="24"/>
          <w:szCs w:val="24"/>
          <w:lang w:val="en-US"/>
        </w:rPr>
      </w:pPr>
      <w:r w:rsidRPr="004469F8">
        <w:rPr>
          <w:bCs/>
          <w:sz w:val="24"/>
          <w:szCs w:val="24"/>
          <w:lang w:val="en-US"/>
        </w:rPr>
        <w:t>Clindamycin "</w:t>
      </w:r>
      <w:proofErr w:type="spellStart"/>
      <w:r w:rsidRPr="004469F8">
        <w:rPr>
          <w:bCs/>
          <w:sz w:val="24"/>
          <w:szCs w:val="24"/>
          <w:lang w:val="en-US"/>
        </w:rPr>
        <w:t>Terix</w:t>
      </w:r>
      <w:proofErr w:type="spellEnd"/>
      <w:r w:rsidRPr="004469F8">
        <w:rPr>
          <w:bCs/>
          <w:sz w:val="24"/>
          <w:szCs w:val="24"/>
          <w:lang w:val="en-US"/>
        </w:rPr>
        <w:t>" has no or negligible influence on the ability to drive and use machines.</w:t>
      </w:r>
    </w:p>
    <w:p w:rsidR="006964DD" w:rsidRDefault="006964DD">
      <w:pPr>
        <w:rPr>
          <w:sz w:val="24"/>
          <w:szCs w:val="24"/>
          <w:lang w:val="en-US"/>
        </w:rPr>
      </w:pPr>
      <w:r>
        <w:rPr>
          <w:sz w:val="24"/>
          <w:szCs w:val="24"/>
          <w:lang w:val="en-US"/>
        </w:rPr>
        <w:br w:type="page"/>
      </w:r>
    </w:p>
    <w:p w:rsidR="007C5D2A" w:rsidRPr="004469F8"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6964DD" w:rsidRPr="006964DD" w:rsidRDefault="006964DD" w:rsidP="006964DD">
      <w:pPr>
        <w:pStyle w:val="Sidehoved"/>
        <w:tabs>
          <w:tab w:val="left" w:pos="851"/>
        </w:tabs>
        <w:ind w:left="851"/>
        <w:rPr>
          <w:bCs/>
          <w:szCs w:val="24"/>
          <w:lang w:val="en-US"/>
        </w:rPr>
      </w:pPr>
      <w:r w:rsidRPr="006964DD">
        <w:rPr>
          <w:bCs/>
          <w:szCs w:val="24"/>
          <w:lang w:val="en-US"/>
        </w:rPr>
        <w:t>The safety of Clindamycin pessaries was evaluated in non-pregnant patients in clinical trials. Frequencies reported are as follows:</w:t>
      </w:r>
    </w:p>
    <w:p w:rsidR="006964DD" w:rsidRPr="006964DD" w:rsidRDefault="006964DD" w:rsidP="006964DD">
      <w:pPr>
        <w:pStyle w:val="Sidehoved"/>
        <w:tabs>
          <w:tab w:val="left" w:pos="851"/>
        </w:tabs>
        <w:ind w:left="851"/>
        <w:rPr>
          <w:bCs/>
          <w:szCs w:val="24"/>
          <w:lang w:val="el-GR"/>
        </w:rPr>
      </w:pPr>
      <w:r w:rsidRPr="006964DD">
        <w:rPr>
          <w:bCs/>
          <w:szCs w:val="24"/>
          <w:lang w:val="en-US"/>
        </w:rPr>
        <w:t>C</w:t>
      </w:r>
      <w:r w:rsidRPr="006964DD">
        <w:rPr>
          <w:bCs/>
          <w:szCs w:val="24"/>
          <w:lang w:val="el-GR"/>
        </w:rPr>
        <w:t>ommon (≥</w:t>
      </w:r>
      <w:r w:rsidRPr="006964DD">
        <w:rPr>
          <w:bCs/>
          <w:szCs w:val="24"/>
          <w:lang w:val="en-US"/>
        </w:rPr>
        <w:t xml:space="preserve"> </w:t>
      </w:r>
      <w:r w:rsidRPr="006964DD">
        <w:rPr>
          <w:bCs/>
          <w:szCs w:val="24"/>
          <w:lang w:val="el-GR"/>
        </w:rPr>
        <w:t>1/100 to &lt; 1/10); Uncommon (≥</w:t>
      </w:r>
      <w:r w:rsidRPr="006964DD">
        <w:rPr>
          <w:bCs/>
          <w:szCs w:val="24"/>
          <w:lang w:val="en-US"/>
        </w:rPr>
        <w:t xml:space="preserve"> </w:t>
      </w:r>
      <w:r w:rsidRPr="006964DD">
        <w:rPr>
          <w:bCs/>
          <w:szCs w:val="24"/>
          <w:lang w:val="el-GR"/>
        </w:rPr>
        <w:t>1/1,000 to &lt;</w:t>
      </w:r>
      <w:r w:rsidRPr="006964DD">
        <w:rPr>
          <w:bCs/>
          <w:szCs w:val="24"/>
          <w:lang w:val="en-US"/>
        </w:rPr>
        <w:t xml:space="preserve"> </w:t>
      </w:r>
      <w:r w:rsidRPr="006964DD">
        <w:rPr>
          <w:bCs/>
          <w:szCs w:val="24"/>
          <w:lang w:val="el-GR"/>
        </w:rPr>
        <w:t>1/100).</w:t>
      </w:r>
    </w:p>
    <w:p w:rsidR="006964DD" w:rsidRPr="006964DD" w:rsidRDefault="006964DD" w:rsidP="006964DD">
      <w:pPr>
        <w:pStyle w:val="Sidehoved"/>
        <w:tabs>
          <w:tab w:val="left" w:pos="851"/>
        </w:tabs>
        <w:ind w:left="851"/>
        <w:rPr>
          <w:bCs/>
          <w:szCs w:val="24"/>
          <w:lang w:val="en-US"/>
        </w:rPr>
      </w:pPr>
    </w:p>
    <w:tbl>
      <w:tblPr>
        <w:tblStyle w:val="Tabel-Gitter"/>
        <w:tblW w:w="8758" w:type="dxa"/>
        <w:tblInd w:w="846" w:type="dxa"/>
        <w:tblLook w:val="04A0" w:firstRow="1" w:lastRow="0" w:firstColumn="1" w:lastColumn="0" w:noHBand="0" w:noVBand="1"/>
      </w:tblPr>
      <w:tblGrid>
        <w:gridCol w:w="2840"/>
        <w:gridCol w:w="2841"/>
        <w:gridCol w:w="3077"/>
      </w:tblGrid>
      <w:tr w:rsidR="006964DD" w:rsidRPr="006964DD" w:rsidTr="00354EDF">
        <w:tc>
          <w:tcPr>
            <w:tcW w:w="2840"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33"/>
              <w:rPr>
                <w:b/>
                <w:bCs/>
                <w:szCs w:val="24"/>
                <w:lang w:val="en-US"/>
              </w:rPr>
            </w:pPr>
            <w:r w:rsidRPr="006964DD">
              <w:rPr>
                <w:b/>
                <w:bCs/>
                <w:szCs w:val="24"/>
                <w:lang w:val="en-US"/>
              </w:rPr>
              <w:t>System Organ Class</w:t>
            </w:r>
          </w:p>
        </w:tc>
        <w:tc>
          <w:tcPr>
            <w:tcW w:w="2841"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8"/>
              <w:rPr>
                <w:b/>
                <w:bCs/>
                <w:szCs w:val="24"/>
                <w:lang w:val="en-US"/>
              </w:rPr>
            </w:pPr>
            <w:r w:rsidRPr="006964DD">
              <w:rPr>
                <w:b/>
                <w:bCs/>
                <w:szCs w:val="24"/>
                <w:lang w:val="en-US"/>
              </w:rPr>
              <w:t>C</w:t>
            </w:r>
            <w:r w:rsidRPr="006964DD">
              <w:rPr>
                <w:b/>
                <w:bCs/>
                <w:szCs w:val="24"/>
                <w:lang w:val="el-GR"/>
              </w:rPr>
              <w:t xml:space="preserve">ommon </w:t>
            </w:r>
          </w:p>
          <w:p w:rsidR="006964DD" w:rsidRPr="006964DD" w:rsidRDefault="006964DD" w:rsidP="00354EDF">
            <w:pPr>
              <w:pStyle w:val="Sidehoved"/>
              <w:ind w:left="28"/>
              <w:rPr>
                <w:b/>
                <w:bCs/>
                <w:szCs w:val="24"/>
                <w:lang w:val="en-US"/>
              </w:rPr>
            </w:pPr>
            <w:r w:rsidRPr="006964DD">
              <w:rPr>
                <w:b/>
                <w:bCs/>
                <w:szCs w:val="24"/>
                <w:lang w:val="el-GR"/>
              </w:rPr>
              <w:t>≥</w:t>
            </w:r>
            <w:r w:rsidRPr="006964DD">
              <w:rPr>
                <w:b/>
                <w:bCs/>
                <w:szCs w:val="24"/>
                <w:lang w:val="en-US"/>
              </w:rPr>
              <w:t xml:space="preserve"> </w:t>
            </w:r>
            <w:r w:rsidRPr="006964DD">
              <w:rPr>
                <w:b/>
                <w:bCs/>
                <w:szCs w:val="24"/>
                <w:lang w:val="el-GR"/>
              </w:rPr>
              <w:t>1/100 to &lt; 1/10</w:t>
            </w:r>
          </w:p>
        </w:tc>
        <w:tc>
          <w:tcPr>
            <w:tcW w:w="3077"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3"/>
              <w:rPr>
                <w:b/>
                <w:bCs/>
                <w:szCs w:val="24"/>
                <w:lang w:val="en-US"/>
              </w:rPr>
            </w:pPr>
            <w:r w:rsidRPr="006964DD">
              <w:rPr>
                <w:b/>
                <w:bCs/>
                <w:szCs w:val="24"/>
                <w:lang w:val="el-GR"/>
              </w:rPr>
              <w:t xml:space="preserve">Uncommon </w:t>
            </w:r>
          </w:p>
          <w:p w:rsidR="006964DD" w:rsidRPr="006964DD" w:rsidRDefault="006964DD" w:rsidP="00354EDF">
            <w:pPr>
              <w:pStyle w:val="Sidehoved"/>
              <w:ind w:left="23"/>
              <w:rPr>
                <w:b/>
                <w:bCs/>
                <w:szCs w:val="24"/>
                <w:lang w:val="en-US"/>
              </w:rPr>
            </w:pPr>
            <w:r w:rsidRPr="006964DD">
              <w:rPr>
                <w:b/>
                <w:bCs/>
                <w:szCs w:val="24"/>
                <w:lang w:val="el-GR"/>
              </w:rPr>
              <w:t>≥</w:t>
            </w:r>
            <w:r w:rsidRPr="006964DD">
              <w:rPr>
                <w:b/>
                <w:bCs/>
                <w:szCs w:val="24"/>
                <w:lang w:val="en-US"/>
              </w:rPr>
              <w:t xml:space="preserve"> </w:t>
            </w:r>
            <w:r w:rsidRPr="006964DD">
              <w:rPr>
                <w:b/>
                <w:bCs/>
                <w:szCs w:val="24"/>
                <w:lang w:val="el-GR"/>
              </w:rPr>
              <w:t>1/1,000 to &lt;</w:t>
            </w:r>
            <w:r w:rsidRPr="006964DD">
              <w:rPr>
                <w:b/>
                <w:bCs/>
                <w:szCs w:val="24"/>
                <w:lang w:val="en-US"/>
              </w:rPr>
              <w:t xml:space="preserve"> </w:t>
            </w:r>
            <w:r w:rsidRPr="006964DD">
              <w:rPr>
                <w:b/>
                <w:bCs/>
                <w:szCs w:val="24"/>
                <w:lang w:val="el-GR"/>
              </w:rPr>
              <w:t>1/100</w:t>
            </w:r>
          </w:p>
        </w:tc>
      </w:tr>
      <w:tr w:rsidR="006964DD" w:rsidRPr="006964DD" w:rsidTr="00354EDF">
        <w:tc>
          <w:tcPr>
            <w:tcW w:w="2840"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33"/>
              <w:rPr>
                <w:b/>
                <w:bCs/>
                <w:szCs w:val="24"/>
                <w:lang w:val="en-US"/>
              </w:rPr>
            </w:pPr>
            <w:r w:rsidRPr="006964DD">
              <w:rPr>
                <w:b/>
                <w:bCs/>
                <w:szCs w:val="24"/>
                <w:lang w:val="en-US"/>
              </w:rPr>
              <w:t>Infections and infestations</w:t>
            </w:r>
          </w:p>
        </w:tc>
        <w:tc>
          <w:tcPr>
            <w:tcW w:w="2841"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8"/>
              <w:rPr>
                <w:bCs/>
                <w:szCs w:val="24"/>
                <w:lang w:val="en-US"/>
              </w:rPr>
            </w:pPr>
            <w:r w:rsidRPr="006964DD">
              <w:rPr>
                <w:bCs/>
                <w:szCs w:val="24"/>
                <w:lang w:val="en-US"/>
              </w:rPr>
              <w:t xml:space="preserve">Fungal infection, </w:t>
            </w:r>
          </w:p>
          <w:p w:rsidR="006964DD" w:rsidRPr="006964DD" w:rsidRDefault="006964DD" w:rsidP="00354EDF">
            <w:pPr>
              <w:pStyle w:val="Sidehoved"/>
              <w:ind w:left="28"/>
              <w:rPr>
                <w:bCs/>
                <w:szCs w:val="24"/>
                <w:lang w:val="en-US"/>
              </w:rPr>
            </w:pPr>
            <w:r w:rsidRPr="006964DD">
              <w:rPr>
                <w:bCs/>
                <w:szCs w:val="24"/>
                <w:lang w:val="en-US"/>
              </w:rPr>
              <w:t>candida infection</w:t>
            </w:r>
          </w:p>
        </w:tc>
        <w:tc>
          <w:tcPr>
            <w:tcW w:w="3077" w:type="dxa"/>
            <w:tcBorders>
              <w:top w:val="single" w:sz="4" w:space="0" w:color="auto"/>
              <w:left w:val="single" w:sz="4" w:space="0" w:color="auto"/>
              <w:bottom w:val="single" w:sz="4" w:space="0" w:color="auto"/>
              <w:right w:val="single" w:sz="4" w:space="0" w:color="auto"/>
            </w:tcBorders>
            <w:vAlign w:val="center"/>
          </w:tcPr>
          <w:p w:rsidR="006964DD" w:rsidRPr="006964DD" w:rsidRDefault="006964DD" w:rsidP="00354EDF">
            <w:pPr>
              <w:pStyle w:val="Sidehoved"/>
              <w:ind w:left="23"/>
              <w:rPr>
                <w:bCs/>
                <w:szCs w:val="24"/>
                <w:lang w:val="en-US"/>
              </w:rPr>
            </w:pPr>
          </w:p>
        </w:tc>
      </w:tr>
      <w:tr w:rsidR="006964DD" w:rsidRPr="006964DD" w:rsidTr="00354EDF">
        <w:tc>
          <w:tcPr>
            <w:tcW w:w="2840"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33"/>
              <w:rPr>
                <w:b/>
                <w:bCs/>
                <w:szCs w:val="24"/>
                <w:lang w:val="en-US"/>
              </w:rPr>
            </w:pPr>
            <w:r w:rsidRPr="006964DD">
              <w:rPr>
                <w:b/>
                <w:bCs/>
                <w:szCs w:val="24"/>
                <w:lang w:val="en-US"/>
              </w:rPr>
              <w:t>Nervous system disorders</w:t>
            </w:r>
          </w:p>
        </w:tc>
        <w:tc>
          <w:tcPr>
            <w:tcW w:w="2841"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8"/>
              <w:rPr>
                <w:bCs/>
                <w:szCs w:val="24"/>
                <w:lang w:val="en-US"/>
              </w:rPr>
            </w:pPr>
            <w:r w:rsidRPr="006964DD">
              <w:rPr>
                <w:bCs/>
                <w:szCs w:val="24"/>
                <w:lang w:val="en-US"/>
              </w:rPr>
              <w:t>Headache</w:t>
            </w:r>
          </w:p>
        </w:tc>
        <w:tc>
          <w:tcPr>
            <w:tcW w:w="3077" w:type="dxa"/>
            <w:tcBorders>
              <w:top w:val="single" w:sz="4" w:space="0" w:color="auto"/>
              <w:left w:val="single" w:sz="4" w:space="0" w:color="auto"/>
              <w:bottom w:val="single" w:sz="4" w:space="0" w:color="auto"/>
              <w:right w:val="single" w:sz="4" w:space="0" w:color="auto"/>
            </w:tcBorders>
            <w:vAlign w:val="center"/>
          </w:tcPr>
          <w:p w:rsidR="006964DD" w:rsidRPr="006964DD" w:rsidRDefault="006964DD" w:rsidP="00354EDF">
            <w:pPr>
              <w:pStyle w:val="Sidehoved"/>
              <w:ind w:left="23"/>
              <w:rPr>
                <w:bCs/>
                <w:szCs w:val="24"/>
                <w:lang w:val="en-US"/>
              </w:rPr>
            </w:pPr>
          </w:p>
        </w:tc>
      </w:tr>
      <w:tr w:rsidR="006964DD" w:rsidRPr="006964DD" w:rsidTr="00354EDF">
        <w:tc>
          <w:tcPr>
            <w:tcW w:w="2840"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33"/>
              <w:rPr>
                <w:b/>
                <w:bCs/>
                <w:szCs w:val="24"/>
                <w:lang w:val="en-US"/>
              </w:rPr>
            </w:pPr>
            <w:r w:rsidRPr="006964DD">
              <w:rPr>
                <w:b/>
                <w:bCs/>
                <w:szCs w:val="24"/>
                <w:lang w:val="en-US"/>
              </w:rPr>
              <w:t>Gastrointestinal disorders</w:t>
            </w:r>
          </w:p>
        </w:tc>
        <w:tc>
          <w:tcPr>
            <w:tcW w:w="2841"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8"/>
              <w:rPr>
                <w:bCs/>
                <w:szCs w:val="24"/>
                <w:lang w:val="en-US"/>
              </w:rPr>
            </w:pPr>
            <w:r w:rsidRPr="006964DD">
              <w:rPr>
                <w:bCs/>
                <w:szCs w:val="24"/>
                <w:lang w:val="en-US"/>
              </w:rPr>
              <w:t xml:space="preserve">Abdominal pain, </w:t>
            </w:r>
          </w:p>
          <w:p w:rsidR="006964DD" w:rsidRPr="006964DD" w:rsidRDefault="006964DD" w:rsidP="00354EDF">
            <w:pPr>
              <w:pStyle w:val="Sidehoved"/>
              <w:ind w:left="28"/>
              <w:rPr>
                <w:bCs/>
                <w:szCs w:val="24"/>
                <w:lang w:val="en-US"/>
              </w:rPr>
            </w:pPr>
            <w:proofErr w:type="spellStart"/>
            <w:r w:rsidRPr="006964DD">
              <w:rPr>
                <w:bCs/>
                <w:szCs w:val="24"/>
                <w:lang w:val="en-US"/>
              </w:rPr>
              <w:t>diarrhoea</w:t>
            </w:r>
            <w:proofErr w:type="spellEnd"/>
            <w:r w:rsidRPr="006964DD">
              <w:rPr>
                <w:bCs/>
                <w:szCs w:val="24"/>
                <w:lang w:val="en-US"/>
              </w:rPr>
              <w:t xml:space="preserve">, nausea  </w:t>
            </w:r>
          </w:p>
        </w:tc>
        <w:tc>
          <w:tcPr>
            <w:tcW w:w="3077"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3"/>
              <w:rPr>
                <w:bCs/>
                <w:szCs w:val="24"/>
                <w:lang w:val="en-US"/>
              </w:rPr>
            </w:pPr>
            <w:r w:rsidRPr="006964DD">
              <w:rPr>
                <w:bCs/>
                <w:szCs w:val="24"/>
                <w:lang w:val="en-US"/>
              </w:rPr>
              <w:t>Vomiting</w:t>
            </w:r>
          </w:p>
        </w:tc>
      </w:tr>
      <w:tr w:rsidR="006964DD" w:rsidRPr="006964DD" w:rsidTr="00354EDF">
        <w:tc>
          <w:tcPr>
            <w:tcW w:w="2840"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33"/>
              <w:rPr>
                <w:b/>
                <w:bCs/>
                <w:szCs w:val="24"/>
                <w:lang w:val="en-US"/>
              </w:rPr>
            </w:pPr>
            <w:r w:rsidRPr="006964DD">
              <w:rPr>
                <w:b/>
                <w:bCs/>
                <w:szCs w:val="24"/>
                <w:lang w:val="en-US"/>
              </w:rPr>
              <w:t>Skin and subcutaneous tissue disorders</w:t>
            </w:r>
          </w:p>
        </w:tc>
        <w:tc>
          <w:tcPr>
            <w:tcW w:w="2841"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8"/>
              <w:rPr>
                <w:bCs/>
                <w:szCs w:val="24"/>
                <w:lang w:val="en-US"/>
              </w:rPr>
            </w:pPr>
            <w:r w:rsidRPr="006964DD">
              <w:rPr>
                <w:bCs/>
                <w:szCs w:val="24"/>
                <w:lang w:val="en-US"/>
              </w:rPr>
              <w:t>Pruritus (non-applicable site)</w:t>
            </w:r>
          </w:p>
        </w:tc>
        <w:tc>
          <w:tcPr>
            <w:tcW w:w="3077"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3"/>
              <w:rPr>
                <w:bCs/>
                <w:szCs w:val="24"/>
                <w:lang w:val="en-US"/>
              </w:rPr>
            </w:pPr>
            <w:r w:rsidRPr="006964DD">
              <w:rPr>
                <w:bCs/>
                <w:szCs w:val="24"/>
                <w:lang w:val="en-US"/>
              </w:rPr>
              <w:t>Rash</w:t>
            </w:r>
          </w:p>
        </w:tc>
      </w:tr>
      <w:tr w:rsidR="006964DD" w:rsidRPr="006964DD" w:rsidTr="00354EDF">
        <w:tc>
          <w:tcPr>
            <w:tcW w:w="2840"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33"/>
              <w:rPr>
                <w:b/>
                <w:bCs/>
                <w:szCs w:val="24"/>
                <w:lang w:val="en-US"/>
              </w:rPr>
            </w:pPr>
            <w:r w:rsidRPr="006964DD">
              <w:rPr>
                <w:b/>
                <w:bCs/>
                <w:szCs w:val="24"/>
                <w:lang w:val="en-US"/>
              </w:rPr>
              <w:t>Musculoskeletal and connective tissue disorders</w:t>
            </w:r>
          </w:p>
        </w:tc>
        <w:tc>
          <w:tcPr>
            <w:tcW w:w="2841" w:type="dxa"/>
            <w:tcBorders>
              <w:top w:val="single" w:sz="4" w:space="0" w:color="auto"/>
              <w:left w:val="single" w:sz="4" w:space="0" w:color="auto"/>
              <w:bottom w:val="single" w:sz="4" w:space="0" w:color="auto"/>
              <w:right w:val="single" w:sz="4" w:space="0" w:color="auto"/>
            </w:tcBorders>
            <w:vAlign w:val="center"/>
          </w:tcPr>
          <w:p w:rsidR="006964DD" w:rsidRPr="006964DD" w:rsidRDefault="006964DD" w:rsidP="00354EDF">
            <w:pPr>
              <w:pStyle w:val="Sidehoved"/>
              <w:ind w:left="28"/>
              <w:rPr>
                <w:bCs/>
                <w:szCs w:val="24"/>
                <w:lang w:val="en-US"/>
              </w:rPr>
            </w:pPr>
          </w:p>
        </w:tc>
        <w:tc>
          <w:tcPr>
            <w:tcW w:w="3077"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3"/>
              <w:rPr>
                <w:bCs/>
                <w:szCs w:val="24"/>
                <w:lang w:val="en-US"/>
              </w:rPr>
            </w:pPr>
            <w:r w:rsidRPr="006964DD">
              <w:rPr>
                <w:bCs/>
                <w:szCs w:val="24"/>
                <w:lang w:val="en-US"/>
              </w:rPr>
              <w:t>Flank pain</w:t>
            </w:r>
          </w:p>
        </w:tc>
      </w:tr>
      <w:tr w:rsidR="006964DD" w:rsidRPr="006964DD" w:rsidTr="00354EDF">
        <w:tc>
          <w:tcPr>
            <w:tcW w:w="2840"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33"/>
              <w:rPr>
                <w:b/>
                <w:bCs/>
                <w:szCs w:val="24"/>
                <w:lang w:val="en-US"/>
              </w:rPr>
            </w:pPr>
            <w:r w:rsidRPr="006964DD">
              <w:rPr>
                <w:b/>
                <w:bCs/>
                <w:szCs w:val="24"/>
                <w:lang w:val="en-US"/>
              </w:rPr>
              <w:t>Renal and urinary disorders</w:t>
            </w:r>
          </w:p>
        </w:tc>
        <w:tc>
          <w:tcPr>
            <w:tcW w:w="2841" w:type="dxa"/>
            <w:tcBorders>
              <w:top w:val="single" w:sz="4" w:space="0" w:color="auto"/>
              <w:left w:val="single" w:sz="4" w:space="0" w:color="auto"/>
              <w:bottom w:val="single" w:sz="4" w:space="0" w:color="auto"/>
              <w:right w:val="single" w:sz="4" w:space="0" w:color="auto"/>
            </w:tcBorders>
            <w:vAlign w:val="center"/>
          </w:tcPr>
          <w:p w:rsidR="006964DD" w:rsidRPr="006964DD" w:rsidRDefault="006964DD" w:rsidP="00354EDF">
            <w:pPr>
              <w:pStyle w:val="Sidehoved"/>
              <w:ind w:left="28"/>
              <w:rPr>
                <w:bCs/>
                <w:szCs w:val="24"/>
                <w:lang w:val="en-US"/>
              </w:rPr>
            </w:pPr>
          </w:p>
        </w:tc>
        <w:tc>
          <w:tcPr>
            <w:tcW w:w="3077"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3"/>
              <w:rPr>
                <w:bCs/>
                <w:szCs w:val="24"/>
                <w:lang w:val="en-US"/>
              </w:rPr>
            </w:pPr>
            <w:r w:rsidRPr="006964DD">
              <w:rPr>
                <w:bCs/>
                <w:szCs w:val="24"/>
                <w:lang w:val="en-US"/>
              </w:rPr>
              <w:t>Pyelonephritis, dysuria</w:t>
            </w:r>
          </w:p>
        </w:tc>
      </w:tr>
      <w:tr w:rsidR="006964DD" w:rsidRPr="005A5E9B" w:rsidTr="00354EDF">
        <w:tc>
          <w:tcPr>
            <w:tcW w:w="2840"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33"/>
              <w:rPr>
                <w:b/>
                <w:bCs/>
                <w:szCs w:val="24"/>
                <w:lang w:val="en-US"/>
              </w:rPr>
            </w:pPr>
            <w:r w:rsidRPr="006964DD">
              <w:rPr>
                <w:b/>
                <w:bCs/>
                <w:szCs w:val="24"/>
                <w:lang w:val="en-US"/>
              </w:rPr>
              <w:t>Reproductive system and breast disorders</w:t>
            </w:r>
          </w:p>
        </w:tc>
        <w:tc>
          <w:tcPr>
            <w:tcW w:w="2841"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8"/>
              <w:rPr>
                <w:bCs/>
                <w:szCs w:val="24"/>
                <w:lang w:val="en-US"/>
              </w:rPr>
            </w:pPr>
            <w:r w:rsidRPr="006964DD">
              <w:rPr>
                <w:bCs/>
                <w:szCs w:val="24"/>
                <w:lang w:val="en-US"/>
              </w:rPr>
              <w:t>Vulvovaginal candidiasis, vulvovaginal pain, vulvovaginal disorder</w:t>
            </w:r>
          </w:p>
        </w:tc>
        <w:tc>
          <w:tcPr>
            <w:tcW w:w="3077"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3"/>
              <w:rPr>
                <w:bCs/>
                <w:szCs w:val="24"/>
                <w:lang w:val="en-US"/>
              </w:rPr>
            </w:pPr>
            <w:r w:rsidRPr="006964DD">
              <w:rPr>
                <w:bCs/>
                <w:szCs w:val="24"/>
                <w:lang w:val="en-US"/>
              </w:rPr>
              <w:t>Vaginal infection,</w:t>
            </w:r>
          </w:p>
          <w:p w:rsidR="006964DD" w:rsidRPr="006964DD" w:rsidRDefault="006964DD" w:rsidP="00354EDF">
            <w:pPr>
              <w:pStyle w:val="Sidehoved"/>
              <w:ind w:left="23"/>
              <w:rPr>
                <w:bCs/>
                <w:szCs w:val="24"/>
                <w:lang w:val="en-US"/>
              </w:rPr>
            </w:pPr>
            <w:r w:rsidRPr="006964DD">
              <w:rPr>
                <w:bCs/>
                <w:szCs w:val="24"/>
                <w:lang w:val="en-US"/>
              </w:rPr>
              <w:t>vaginal discharge,</w:t>
            </w:r>
          </w:p>
          <w:p w:rsidR="006964DD" w:rsidRPr="006964DD" w:rsidRDefault="006964DD" w:rsidP="00354EDF">
            <w:pPr>
              <w:pStyle w:val="Sidehoved"/>
              <w:ind w:left="23"/>
              <w:rPr>
                <w:bCs/>
                <w:szCs w:val="24"/>
                <w:lang w:val="en-US"/>
              </w:rPr>
            </w:pPr>
            <w:r w:rsidRPr="006964DD">
              <w:rPr>
                <w:bCs/>
                <w:szCs w:val="24"/>
                <w:lang w:val="en-US"/>
              </w:rPr>
              <w:t>menstrual disorder</w:t>
            </w:r>
          </w:p>
        </w:tc>
      </w:tr>
      <w:tr w:rsidR="006964DD" w:rsidRPr="005A5E9B" w:rsidTr="00354EDF">
        <w:tc>
          <w:tcPr>
            <w:tcW w:w="2840"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33"/>
              <w:rPr>
                <w:b/>
                <w:bCs/>
                <w:szCs w:val="24"/>
                <w:lang w:val="en-US"/>
              </w:rPr>
            </w:pPr>
            <w:r w:rsidRPr="006964DD">
              <w:rPr>
                <w:b/>
                <w:bCs/>
                <w:szCs w:val="24"/>
                <w:lang w:val="en-US"/>
              </w:rPr>
              <w:t>General disorders and administration site conditions</w:t>
            </w:r>
          </w:p>
        </w:tc>
        <w:tc>
          <w:tcPr>
            <w:tcW w:w="2841" w:type="dxa"/>
            <w:tcBorders>
              <w:top w:val="single" w:sz="4" w:space="0" w:color="auto"/>
              <w:left w:val="single" w:sz="4" w:space="0" w:color="auto"/>
              <w:bottom w:val="single" w:sz="4" w:space="0" w:color="auto"/>
              <w:right w:val="single" w:sz="4" w:space="0" w:color="auto"/>
            </w:tcBorders>
            <w:vAlign w:val="center"/>
          </w:tcPr>
          <w:p w:rsidR="006964DD" w:rsidRPr="006964DD" w:rsidRDefault="006964DD" w:rsidP="00354EDF">
            <w:pPr>
              <w:pStyle w:val="Sidehoved"/>
              <w:ind w:left="28"/>
              <w:rPr>
                <w:bCs/>
                <w:szCs w:val="24"/>
                <w:lang w:val="en-US"/>
              </w:rPr>
            </w:pPr>
          </w:p>
        </w:tc>
        <w:tc>
          <w:tcPr>
            <w:tcW w:w="3077" w:type="dxa"/>
            <w:tcBorders>
              <w:top w:val="single" w:sz="4" w:space="0" w:color="auto"/>
              <w:left w:val="single" w:sz="4" w:space="0" w:color="auto"/>
              <w:bottom w:val="single" w:sz="4" w:space="0" w:color="auto"/>
              <w:right w:val="single" w:sz="4" w:space="0" w:color="auto"/>
            </w:tcBorders>
            <w:vAlign w:val="center"/>
            <w:hideMark/>
          </w:tcPr>
          <w:p w:rsidR="006964DD" w:rsidRPr="006964DD" w:rsidRDefault="006964DD" w:rsidP="00354EDF">
            <w:pPr>
              <w:pStyle w:val="Sidehoved"/>
              <w:ind w:left="23"/>
              <w:rPr>
                <w:bCs/>
                <w:szCs w:val="24"/>
                <w:lang w:val="en-US"/>
              </w:rPr>
            </w:pPr>
            <w:r w:rsidRPr="006964DD">
              <w:rPr>
                <w:bCs/>
                <w:szCs w:val="24"/>
                <w:lang w:val="en-US"/>
              </w:rPr>
              <w:t xml:space="preserve">Application site pain, pruritus (topical applicable site), localized </w:t>
            </w:r>
            <w:proofErr w:type="spellStart"/>
            <w:r w:rsidRPr="006964DD">
              <w:rPr>
                <w:bCs/>
                <w:szCs w:val="24"/>
                <w:lang w:val="en-US"/>
              </w:rPr>
              <w:t>oedema</w:t>
            </w:r>
            <w:proofErr w:type="spellEnd"/>
            <w:r w:rsidRPr="006964DD">
              <w:rPr>
                <w:bCs/>
                <w:szCs w:val="24"/>
                <w:lang w:val="en-US"/>
              </w:rPr>
              <w:t xml:space="preserve">, pain, pyrexia </w:t>
            </w:r>
          </w:p>
        </w:tc>
      </w:tr>
    </w:tbl>
    <w:p w:rsidR="006964DD" w:rsidRPr="006964DD" w:rsidRDefault="006964DD" w:rsidP="006964DD">
      <w:pPr>
        <w:pStyle w:val="Sidehoved"/>
        <w:tabs>
          <w:tab w:val="left" w:pos="851"/>
        </w:tabs>
        <w:ind w:left="851"/>
        <w:rPr>
          <w:bCs/>
          <w:szCs w:val="24"/>
          <w:lang w:val="en-US"/>
        </w:rPr>
      </w:pPr>
    </w:p>
    <w:p w:rsidR="006964DD" w:rsidRPr="006964DD" w:rsidRDefault="006964DD" w:rsidP="006964DD">
      <w:pPr>
        <w:pStyle w:val="Sidehoved"/>
        <w:tabs>
          <w:tab w:val="left" w:pos="851"/>
        </w:tabs>
        <w:ind w:left="851"/>
        <w:rPr>
          <w:bCs/>
          <w:szCs w:val="24"/>
          <w:lang w:val="en-US"/>
        </w:rPr>
      </w:pPr>
      <w:r w:rsidRPr="006964DD">
        <w:rPr>
          <w:bCs/>
          <w:szCs w:val="24"/>
          <w:lang w:val="en-US"/>
        </w:rPr>
        <w:t xml:space="preserve">Pseudomembranous colitis is a class event for </w:t>
      </w:r>
      <w:proofErr w:type="spellStart"/>
      <w:r w:rsidRPr="006964DD">
        <w:rPr>
          <w:bCs/>
          <w:szCs w:val="24"/>
          <w:lang w:val="en-US"/>
        </w:rPr>
        <w:t>antibacterials</w:t>
      </w:r>
      <w:proofErr w:type="spellEnd"/>
      <w:r w:rsidRPr="006964DD">
        <w:rPr>
          <w:bCs/>
          <w:szCs w:val="24"/>
          <w:lang w:val="en-US"/>
        </w:rPr>
        <w:t>.</w:t>
      </w:r>
    </w:p>
    <w:p w:rsidR="006964DD" w:rsidRPr="006964DD" w:rsidRDefault="006964DD" w:rsidP="006964DD">
      <w:pPr>
        <w:pStyle w:val="Sidehoved"/>
        <w:tabs>
          <w:tab w:val="left" w:pos="851"/>
        </w:tabs>
        <w:ind w:left="851"/>
        <w:rPr>
          <w:b/>
          <w:bCs/>
          <w:szCs w:val="24"/>
          <w:u w:val="single"/>
          <w:lang w:val="en-US"/>
        </w:rPr>
      </w:pPr>
    </w:p>
    <w:p w:rsidR="006964DD" w:rsidRPr="00354EDF" w:rsidRDefault="006964DD" w:rsidP="006964DD">
      <w:pPr>
        <w:pStyle w:val="Sidehoved"/>
        <w:tabs>
          <w:tab w:val="left" w:pos="851"/>
        </w:tabs>
        <w:ind w:left="851"/>
        <w:rPr>
          <w:bCs/>
          <w:szCs w:val="24"/>
          <w:u w:val="single"/>
          <w:lang w:val="en-US"/>
        </w:rPr>
      </w:pPr>
      <w:r w:rsidRPr="00354EDF">
        <w:rPr>
          <w:bCs/>
          <w:szCs w:val="24"/>
          <w:u w:val="single"/>
          <w:lang w:val="en-US"/>
        </w:rPr>
        <w:t>Reporting of suspected adverse reactions</w:t>
      </w:r>
    </w:p>
    <w:p w:rsidR="006964DD" w:rsidRDefault="006964DD" w:rsidP="006964DD">
      <w:pPr>
        <w:pStyle w:val="Sidehoved"/>
        <w:tabs>
          <w:tab w:val="left" w:pos="851"/>
        </w:tabs>
        <w:ind w:left="851"/>
        <w:rPr>
          <w:szCs w:val="24"/>
          <w:lang w:val="en-US"/>
        </w:rPr>
      </w:pPr>
      <w:r w:rsidRPr="006964DD">
        <w:rPr>
          <w:szCs w:val="24"/>
          <w:lang w:val="en-US"/>
        </w:rPr>
        <w:t xml:space="preserve">Reporting suspected adverse reactions after </w:t>
      </w:r>
      <w:proofErr w:type="spellStart"/>
      <w:r w:rsidRPr="006964DD">
        <w:rPr>
          <w:szCs w:val="24"/>
          <w:lang w:val="en-US"/>
        </w:rPr>
        <w:t>authorisation</w:t>
      </w:r>
      <w:proofErr w:type="spellEnd"/>
      <w:r w:rsidRPr="006964DD">
        <w:rPr>
          <w:szCs w:val="24"/>
          <w:lang w:val="en-US"/>
        </w:rPr>
        <w:t xml:space="preserve"> of the medicinal product is important. It allows continued monitoring of the benefit/risk balance of the medicinal product. Healthcare professionals are asked to report any suspected adverse reactions via</w:t>
      </w:r>
      <w:r w:rsidR="00354EDF">
        <w:rPr>
          <w:szCs w:val="24"/>
          <w:lang w:val="en-US"/>
        </w:rPr>
        <w:t>:</w:t>
      </w:r>
    </w:p>
    <w:p w:rsidR="006964DD" w:rsidRPr="00354EDF" w:rsidRDefault="006964DD" w:rsidP="006964DD">
      <w:pPr>
        <w:ind w:left="851"/>
        <w:rPr>
          <w:sz w:val="24"/>
          <w:szCs w:val="24"/>
          <w:lang w:val="en-US"/>
        </w:rPr>
      </w:pPr>
    </w:p>
    <w:p w:rsidR="006964DD" w:rsidRDefault="006964DD" w:rsidP="006964DD">
      <w:pPr>
        <w:ind w:left="851"/>
        <w:rPr>
          <w:sz w:val="24"/>
          <w:szCs w:val="24"/>
        </w:rPr>
      </w:pPr>
      <w:r>
        <w:rPr>
          <w:sz w:val="24"/>
          <w:szCs w:val="24"/>
        </w:rPr>
        <w:t>Lægemiddelstyrelsen</w:t>
      </w:r>
    </w:p>
    <w:p w:rsidR="006964DD" w:rsidRDefault="006964DD" w:rsidP="006964DD">
      <w:pPr>
        <w:ind w:left="851"/>
        <w:rPr>
          <w:sz w:val="24"/>
          <w:szCs w:val="24"/>
        </w:rPr>
      </w:pPr>
      <w:r>
        <w:rPr>
          <w:sz w:val="24"/>
          <w:szCs w:val="24"/>
        </w:rPr>
        <w:t>Axel Heides Gade 1</w:t>
      </w:r>
    </w:p>
    <w:p w:rsidR="006964DD" w:rsidRDefault="006964DD" w:rsidP="006964DD">
      <w:pPr>
        <w:ind w:left="851"/>
        <w:rPr>
          <w:sz w:val="24"/>
          <w:szCs w:val="24"/>
        </w:rPr>
      </w:pPr>
      <w:r>
        <w:rPr>
          <w:sz w:val="24"/>
          <w:szCs w:val="24"/>
        </w:rPr>
        <w:t>DK-2300 København S</w:t>
      </w:r>
    </w:p>
    <w:p w:rsidR="006964DD" w:rsidRPr="007C4649" w:rsidRDefault="006964DD" w:rsidP="006964DD">
      <w:pPr>
        <w:ind w:left="851"/>
        <w:rPr>
          <w:sz w:val="24"/>
          <w:szCs w:val="24"/>
          <w:lang w:val="en-US"/>
        </w:rPr>
      </w:pPr>
      <w:proofErr w:type="spellStart"/>
      <w:r w:rsidRPr="007C4649">
        <w:rPr>
          <w:sz w:val="24"/>
          <w:szCs w:val="24"/>
          <w:lang w:val="en-US"/>
        </w:rPr>
        <w:t>Websted</w:t>
      </w:r>
      <w:proofErr w:type="spellEnd"/>
      <w:r w:rsidRPr="007C4649">
        <w:rPr>
          <w:sz w:val="24"/>
          <w:szCs w:val="24"/>
          <w:lang w:val="en-US"/>
        </w:rPr>
        <w:t xml:space="preserve">: </w:t>
      </w:r>
      <w:r w:rsidRPr="007C4649">
        <w:rPr>
          <w:sz w:val="24"/>
          <w:lang w:val="en-US"/>
        </w:rPr>
        <w:t>www.meldenbivirkning.dk</w:t>
      </w:r>
    </w:p>
    <w:p w:rsidR="007C5D2A" w:rsidRPr="006964DD" w:rsidRDefault="007C5D2A" w:rsidP="003E0341">
      <w:pPr>
        <w:pStyle w:val="Sidehoved"/>
        <w:tabs>
          <w:tab w:val="clear" w:pos="4819"/>
          <w:tab w:val="clear" w:pos="9638"/>
          <w:tab w:val="left" w:pos="851"/>
        </w:tabs>
        <w:ind w:left="851"/>
        <w:rPr>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354EDF" w:rsidRPr="00354EDF" w:rsidRDefault="00354EDF" w:rsidP="00354EDF">
      <w:pPr>
        <w:tabs>
          <w:tab w:val="left" w:pos="851"/>
        </w:tabs>
        <w:ind w:left="851"/>
        <w:rPr>
          <w:bCs/>
          <w:sz w:val="24"/>
          <w:szCs w:val="24"/>
          <w:lang w:val="en-US"/>
        </w:rPr>
      </w:pPr>
      <w:r w:rsidRPr="00354EDF">
        <w:rPr>
          <w:bCs/>
          <w:sz w:val="24"/>
          <w:szCs w:val="24"/>
          <w:lang w:val="en-US"/>
        </w:rPr>
        <w:t>There are no reports of overdose with Clindamycin "</w:t>
      </w:r>
      <w:proofErr w:type="spellStart"/>
      <w:r w:rsidRPr="00354EDF">
        <w:rPr>
          <w:bCs/>
          <w:sz w:val="24"/>
          <w:szCs w:val="24"/>
          <w:lang w:val="en-US"/>
        </w:rPr>
        <w:t>Terix</w:t>
      </w:r>
      <w:proofErr w:type="spellEnd"/>
      <w:r w:rsidRPr="00354EDF">
        <w:rPr>
          <w:bCs/>
          <w:sz w:val="24"/>
          <w:szCs w:val="24"/>
          <w:lang w:val="en-US"/>
        </w:rPr>
        <w:t>" pessaries.</w:t>
      </w:r>
    </w:p>
    <w:p w:rsidR="00354EDF" w:rsidRPr="00354EDF" w:rsidRDefault="00354EDF" w:rsidP="00354EDF">
      <w:pPr>
        <w:tabs>
          <w:tab w:val="left" w:pos="851"/>
        </w:tabs>
        <w:ind w:left="851"/>
        <w:rPr>
          <w:bCs/>
          <w:sz w:val="24"/>
          <w:szCs w:val="24"/>
          <w:lang w:val="en-US"/>
        </w:rPr>
      </w:pPr>
    </w:p>
    <w:p w:rsidR="00354EDF" w:rsidRPr="00354EDF" w:rsidRDefault="00354EDF" w:rsidP="00354EDF">
      <w:pPr>
        <w:tabs>
          <w:tab w:val="left" w:pos="851"/>
        </w:tabs>
        <w:ind w:left="851"/>
        <w:rPr>
          <w:bCs/>
          <w:sz w:val="24"/>
          <w:szCs w:val="24"/>
          <w:lang w:val="en-US"/>
        </w:rPr>
      </w:pPr>
      <w:r w:rsidRPr="00354EDF">
        <w:rPr>
          <w:bCs/>
          <w:sz w:val="24"/>
          <w:szCs w:val="24"/>
          <w:lang w:val="en-US"/>
        </w:rPr>
        <w:t>Vaginally applied clindamycin phosphate contained in Clindamycin "</w:t>
      </w:r>
      <w:proofErr w:type="spellStart"/>
      <w:r w:rsidRPr="00354EDF">
        <w:rPr>
          <w:bCs/>
          <w:sz w:val="24"/>
          <w:szCs w:val="24"/>
          <w:lang w:val="en-US"/>
        </w:rPr>
        <w:t>Terix</w:t>
      </w:r>
      <w:proofErr w:type="spellEnd"/>
      <w:r w:rsidRPr="00354EDF">
        <w:rPr>
          <w:bCs/>
          <w:sz w:val="24"/>
          <w:szCs w:val="24"/>
          <w:lang w:val="en-US"/>
        </w:rPr>
        <w:t xml:space="preserve">" can be absorbed in sufficient amounts to produce systemic effects. </w:t>
      </w:r>
    </w:p>
    <w:p w:rsidR="00354EDF" w:rsidRPr="00354EDF" w:rsidRDefault="00354EDF" w:rsidP="00354EDF">
      <w:pPr>
        <w:tabs>
          <w:tab w:val="left" w:pos="851"/>
        </w:tabs>
        <w:ind w:left="851"/>
        <w:rPr>
          <w:bCs/>
          <w:sz w:val="24"/>
          <w:szCs w:val="24"/>
          <w:lang w:val="en-US"/>
        </w:rPr>
      </w:pPr>
    </w:p>
    <w:p w:rsidR="00354EDF" w:rsidRPr="00354EDF" w:rsidRDefault="00354EDF" w:rsidP="00354EDF">
      <w:pPr>
        <w:tabs>
          <w:tab w:val="left" w:pos="851"/>
        </w:tabs>
        <w:ind w:left="851"/>
        <w:rPr>
          <w:bCs/>
          <w:sz w:val="24"/>
          <w:szCs w:val="24"/>
          <w:lang w:val="en-US"/>
        </w:rPr>
      </w:pPr>
      <w:r w:rsidRPr="00354EDF">
        <w:rPr>
          <w:bCs/>
          <w:sz w:val="24"/>
          <w:szCs w:val="24"/>
          <w:lang w:val="en-US"/>
        </w:rPr>
        <w:t>In the event of overdosage, general symptomatic and supportive measures are indicated as required.</w:t>
      </w:r>
    </w:p>
    <w:p w:rsidR="00354EDF" w:rsidRPr="00354EDF" w:rsidRDefault="00354EDF" w:rsidP="00354EDF">
      <w:pPr>
        <w:tabs>
          <w:tab w:val="left" w:pos="851"/>
        </w:tabs>
        <w:ind w:left="851"/>
        <w:rPr>
          <w:bCs/>
          <w:sz w:val="24"/>
          <w:szCs w:val="24"/>
          <w:lang w:val="en-US"/>
        </w:rPr>
      </w:pPr>
    </w:p>
    <w:p w:rsidR="00354EDF" w:rsidRPr="00354EDF" w:rsidRDefault="00354EDF" w:rsidP="00354EDF">
      <w:pPr>
        <w:tabs>
          <w:tab w:val="left" w:pos="851"/>
        </w:tabs>
        <w:ind w:left="851"/>
        <w:rPr>
          <w:bCs/>
          <w:sz w:val="24"/>
          <w:szCs w:val="24"/>
          <w:lang w:val="en-US"/>
        </w:rPr>
      </w:pPr>
      <w:r w:rsidRPr="00354EDF">
        <w:rPr>
          <w:bCs/>
          <w:sz w:val="24"/>
          <w:szCs w:val="24"/>
          <w:lang w:val="en-US"/>
        </w:rPr>
        <w:lastRenderedPageBreak/>
        <w:t>Accidental oral intake can lead to effects comparable with those of therapeutic concentrations of orally administered clindamycin.</w:t>
      </w:r>
    </w:p>
    <w:p w:rsidR="007C5D2A" w:rsidRPr="00354EDF" w:rsidRDefault="007C5D2A" w:rsidP="003E0341">
      <w:pPr>
        <w:tabs>
          <w:tab w:val="left" w:pos="851"/>
        </w:tabs>
        <w:ind w:left="851"/>
        <w:rPr>
          <w:sz w:val="24"/>
          <w:szCs w:val="24"/>
          <w:lang w:val="en-US"/>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982093"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rsidR="00FA0D5C" w:rsidRPr="00FA0D5C" w:rsidRDefault="00FA0D5C" w:rsidP="00FA0D5C">
      <w:pPr>
        <w:tabs>
          <w:tab w:val="left" w:pos="851"/>
        </w:tabs>
        <w:ind w:left="851"/>
        <w:rPr>
          <w:bCs/>
          <w:sz w:val="24"/>
          <w:szCs w:val="24"/>
          <w:lang w:val="en-US"/>
        </w:rPr>
      </w:pPr>
      <w:r w:rsidRPr="00FA0D5C">
        <w:rPr>
          <w:bCs/>
          <w:sz w:val="24"/>
          <w:szCs w:val="24"/>
          <w:lang w:val="en-US"/>
        </w:rPr>
        <w:t>ATC code: G</w:t>
      </w:r>
      <w:r>
        <w:rPr>
          <w:bCs/>
          <w:sz w:val="24"/>
          <w:szCs w:val="24"/>
          <w:lang w:val="en-US"/>
        </w:rPr>
        <w:t xml:space="preserve"> </w:t>
      </w:r>
      <w:r w:rsidRPr="00FA0D5C">
        <w:rPr>
          <w:bCs/>
          <w:sz w:val="24"/>
          <w:szCs w:val="24"/>
          <w:lang w:val="en-US"/>
        </w:rPr>
        <w:t>01</w:t>
      </w:r>
      <w:r>
        <w:rPr>
          <w:bCs/>
          <w:sz w:val="24"/>
          <w:szCs w:val="24"/>
          <w:lang w:val="en-US"/>
        </w:rPr>
        <w:t xml:space="preserve"> </w:t>
      </w:r>
      <w:r w:rsidRPr="00FA0D5C">
        <w:rPr>
          <w:bCs/>
          <w:sz w:val="24"/>
          <w:szCs w:val="24"/>
          <w:lang w:val="en-US"/>
        </w:rPr>
        <w:t>AA</w:t>
      </w:r>
      <w:r>
        <w:rPr>
          <w:bCs/>
          <w:sz w:val="24"/>
          <w:szCs w:val="24"/>
          <w:lang w:val="en-US"/>
        </w:rPr>
        <w:t xml:space="preserve"> </w:t>
      </w:r>
      <w:r w:rsidRPr="00FA0D5C">
        <w:rPr>
          <w:bCs/>
          <w:sz w:val="24"/>
          <w:szCs w:val="24"/>
          <w:lang w:val="en-US"/>
        </w:rPr>
        <w:t>10</w:t>
      </w:r>
      <w:r>
        <w:rPr>
          <w:bCs/>
          <w:sz w:val="24"/>
          <w:szCs w:val="24"/>
          <w:lang w:val="en-US"/>
        </w:rPr>
        <w:t xml:space="preserve">. </w:t>
      </w:r>
      <w:r w:rsidRPr="00FA0D5C">
        <w:rPr>
          <w:bCs/>
          <w:sz w:val="24"/>
          <w:szCs w:val="24"/>
          <w:lang w:val="en-US"/>
        </w:rPr>
        <w:t>Anti-infectives and antiseptics, excl. combinations with corticosteroids, antibiotics</w:t>
      </w:r>
      <w:r>
        <w:rPr>
          <w:bCs/>
          <w:sz w:val="24"/>
          <w:szCs w:val="24"/>
          <w:lang w:val="en-US"/>
        </w:rPr>
        <w:t>.</w:t>
      </w:r>
    </w:p>
    <w:p w:rsidR="004860D3" w:rsidRPr="00FA0D5C" w:rsidRDefault="004860D3"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717491" w:rsidRPr="00717491" w:rsidRDefault="00717491" w:rsidP="00717491">
      <w:pPr>
        <w:tabs>
          <w:tab w:val="left" w:pos="851"/>
        </w:tabs>
        <w:ind w:left="851"/>
        <w:rPr>
          <w:bCs/>
          <w:sz w:val="24"/>
          <w:szCs w:val="24"/>
          <w:u w:val="single"/>
          <w:lang w:val="en-US"/>
        </w:rPr>
      </w:pPr>
    </w:p>
    <w:p w:rsidR="00717491" w:rsidRPr="00717491" w:rsidRDefault="00717491" w:rsidP="00717491">
      <w:pPr>
        <w:tabs>
          <w:tab w:val="left" w:pos="851"/>
        </w:tabs>
        <w:ind w:left="851"/>
        <w:rPr>
          <w:bCs/>
          <w:sz w:val="24"/>
          <w:szCs w:val="24"/>
          <w:u w:val="single"/>
          <w:lang w:val="en-US"/>
        </w:rPr>
      </w:pPr>
      <w:r w:rsidRPr="00717491">
        <w:rPr>
          <w:bCs/>
          <w:sz w:val="24"/>
          <w:szCs w:val="24"/>
          <w:u w:val="single"/>
          <w:lang w:val="en-US"/>
        </w:rPr>
        <w:t>Mechanism of action</w:t>
      </w:r>
    </w:p>
    <w:p w:rsidR="00717491" w:rsidRPr="00717491" w:rsidRDefault="00717491" w:rsidP="00717491">
      <w:pPr>
        <w:tabs>
          <w:tab w:val="left" w:pos="851"/>
        </w:tabs>
        <w:ind w:left="851"/>
        <w:rPr>
          <w:bCs/>
          <w:sz w:val="24"/>
          <w:szCs w:val="24"/>
          <w:lang w:val="en-US"/>
        </w:rPr>
      </w:pPr>
      <w:r w:rsidRPr="00717491">
        <w:rPr>
          <w:bCs/>
          <w:sz w:val="24"/>
          <w:szCs w:val="24"/>
          <w:lang w:val="en-US"/>
        </w:rPr>
        <w:t xml:space="preserve">Clindamycin is a </w:t>
      </w:r>
      <w:proofErr w:type="spellStart"/>
      <w:r w:rsidRPr="00717491">
        <w:rPr>
          <w:bCs/>
          <w:sz w:val="24"/>
          <w:szCs w:val="24"/>
          <w:lang w:val="en-US"/>
        </w:rPr>
        <w:t>lincosamide</w:t>
      </w:r>
      <w:proofErr w:type="spellEnd"/>
      <w:r w:rsidRPr="00717491">
        <w:rPr>
          <w:bCs/>
          <w:sz w:val="24"/>
          <w:szCs w:val="24"/>
          <w:lang w:val="en-US"/>
        </w:rPr>
        <w:t xml:space="preserve"> antibiotic that inhibits bacterial protein synthesis at the level of the bacterial ribosome. The antibiotic binds preferentially to the 50S ribosomal subunit and affects the translation process. Although clindamycin phosphate is inactive </w:t>
      </w:r>
      <w:r w:rsidRPr="00717491">
        <w:rPr>
          <w:bCs/>
          <w:i/>
          <w:iCs/>
          <w:sz w:val="24"/>
          <w:szCs w:val="24"/>
          <w:lang w:val="en-US"/>
        </w:rPr>
        <w:t>in vitro</w:t>
      </w:r>
      <w:r w:rsidRPr="00717491">
        <w:rPr>
          <w:bCs/>
          <w:sz w:val="24"/>
          <w:szCs w:val="24"/>
          <w:lang w:val="en-US"/>
        </w:rPr>
        <w:t xml:space="preserve">, rapid </w:t>
      </w:r>
      <w:r w:rsidRPr="00717491">
        <w:rPr>
          <w:bCs/>
          <w:i/>
          <w:iCs/>
          <w:sz w:val="24"/>
          <w:szCs w:val="24"/>
          <w:lang w:val="en-US"/>
        </w:rPr>
        <w:t xml:space="preserve">in vivo </w:t>
      </w:r>
      <w:r w:rsidRPr="00717491">
        <w:rPr>
          <w:bCs/>
          <w:sz w:val="24"/>
          <w:szCs w:val="24"/>
          <w:lang w:val="en-US"/>
        </w:rPr>
        <w:t xml:space="preserve">hydrolysis converts this compound to the </w:t>
      </w:r>
      <w:proofErr w:type="spellStart"/>
      <w:r w:rsidRPr="00717491">
        <w:rPr>
          <w:bCs/>
          <w:sz w:val="24"/>
          <w:szCs w:val="24"/>
          <w:lang w:val="en-US"/>
        </w:rPr>
        <w:t>antibacterially</w:t>
      </w:r>
      <w:proofErr w:type="spellEnd"/>
      <w:r w:rsidRPr="00717491">
        <w:rPr>
          <w:bCs/>
          <w:sz w:val="24"/>
          <w:szCs w:val="24"/>
          <w:lang w:val="en-US"/>
        </w:rPr>
        <w:t xml:space="preserve"> active clindamycin.</w:t>
      </w:r>
    </w:p>
    <w:p w:rsidR="00717491" w:rsidRPr="00717491" w:rsidRDefault="00717491" w:rsidP="00717491">
      <w:pPr>
        <w:tabs>
          <w:tab w:val="left" w:pos="851"/>
        </w:tabs>
        <w:ind w:left="851"/>
        <w:rPr>
          <w:bCs/>
          <w:sz w:val="24"/>
          <w:szCs w:val="24"/>
          <w:lang w:val="en-US"/>
        </w:rPr>
      </w:pPr>
    </w:p>
    <w:p w:rsidR="00717491" w:rsidRPr="00717491" w:rsidRDefault="00717491" w:rsidP="00717491">
      <w:pPr>
        <w:tabs>
          <w:tab w:val="left" w:pos="851"/>
        </w:tabs>
        <w:ind w:left="851"/>
        <w:rPr>
          <w:bCs/>
          <w:sz w:val="24"/>
          <w:szCs w:val="24"/>
          <w:lang w:val="en-US"/>
        </w:rPr>
      </w:pPr>
      <w:r w:rsidRPr="00717491">
        <w:rPr>
          <w:bCs/>
          <w:sz w:val="24"/>
          <w:szCs w:val="24"/>
          <w:lang w:val="en-US"/>
        </w:rPr>
        <w:t>Clindamycin, like most protein synthesis inhibitors, is predominantly bacteriostatic and efficacy is associated with the length of time the concentration of active ingredient remains above the MIC of the infecting organism.</w:t>
      </w:r>
    </w:p>
    <w:p w:rsidR="00717491" w:rsidRPr="00717491" w:rsidRDefault="00717491" w:rsidP="00717491">
      <w:pPr>
        <w:tabs>
          <w:tab w:val="left" w:pos="851"/>
        </w:tabs>
        <w:ind w:left="851"/>
        <w:rPr>
          <w:bCs/>
          <w:sz w:val="24"/>
          <w:szCs w:val="24"/>
          <w:lang w:val="en-US"/>
        </w:rPr>
      </w:pPr>
    </w:p>
    <w:p w:rsidR="00717491" w:rsidRPr="00717491" w:rsidRDefault="00717491" w:rsidP="00717491">
      <w:pPr>
        <w:tabs>
          <w:tab w:val="left" w:pos="851"/>
        </w:tabs>
        <w:ind w:left="851"/>
        <w:rPr>
          <w:bCs/>
          <w:sz w:val="24"/>
          <w:szCs w:val="24"/>
          <w:u w:val="single"/>
          <w:lang w:val="en-US"/>
        </w:rPr>
      </w:pPr>
      <w:r w:rsidRPr="00717491">
        <w:rPr>
          <w:bCs/>
          <w:sz w:val="24"/>
          <w:szCs w:val="24"/>
          <w:u w:val="single"/>
          <w:lang w:val="en-US"/>
        </w:rPr>
        <w:t>Resistance</w:t>
      </w:r>
    </w:p>
    <w:p w:rsidR="00717491" w:rsidRPr="00717491" w:rsidRDefault="00717491" w:rsidP="00717491">
      <w:pPr>
        <w:tabs>
          <w:tab w:val="left" w:pos="851"/>
        </w:tabs>
        <w:ind w:left="851"/>
        <w:rPr>
          <w:sz w:val="24"/>
          <w:szCs w:val="24"/>
          <w:lang w:val="en-US"/>
        </w:rPr>
      </w:pPr>
      <w:r w:rsidRPr="00717491">
        <w:rPr>
          <w:sz w:val="24"/>
          <w:szCs w:val="24"/>
          <w:lang w:val="en-US"/>
        </w:rPr>
        <w:t>Clindamycin resistance in vaginal bacteria may develop during topical therapy.</w:t>
      </w:r>
    </w:p>
    <w:p w:rsidR="00717491" w:rsidRPr="00717491" w:rsidRDefault="00717491" w:rsidP="00717491">
      <w:pPr>
        <w:tabs>
          <w:tab w:val="left" w:pos="851"/>
        </w:tabs>
        <w:ind w:left="851"/>
        <w:rPr>
          <w:bCs/>
          <w:sz w:val="24"/>
          <w:szCs w:val="24"/>
          <w:lang w:val="en-US"/>
        </w:rPr>
      </w:pPr>
      <w:r w:rsidRPr="00717491">
        <w:rPr>
          <w:bCs/>
          <w:sz w:val="24"/>
          <w:szCs w:val="24"/>
          <w:lang w:val="en-US"/>
        </w:rPr>
        <w:t xml:space="preserve">Resistance to clindamycin is mostly due to modifications of the target site on the ribosome, usually by chemical modification of RNA bases or by point mutations in RNA or occasionally in proteins. Cross-resistance has been demonstrated </w:t>
      </w:r>
      <w:r w:rsidRPr="00717491">
        <w:rPr>
          <w:bCs/>
          <w:i/>
          <w:sz w:val="24"/>
          <w:szCs w:val="24"/>
          <w:lang w:val="en-US"/>
        </w:rPr>
        <w:t>in vitro</w:t>
      </w:r>
      <w:r w:rsidRPr="00717491">
        <w:rPr>
          <w:bCs/>
          <w:sz w:val="24"/>
          <w:szCs w:val="24"/>
          <w:lang w:val="en-US"/>
        </w:rPr>
        <w:t xml:space="preserve"> between </w:t>
      </w:r>
      <w:proofErr w:type="spellStart"/>
      <w:r w:rsidRPr="00717491">
        <w:rPr>
          <w:bCs/>
          <w:sz w:val="24"/>
          <w:szCs w:val="24"/>
          <w:lang w:val="en-US"/>
        </w:rPr>
        <w:t>lincosamides</w:t>
      </w:r>
      <w:proofErr w:type="spellEnd"/>
      <w:r w:rsidRPr="00717491">
        <w:rPr>
          <w:bCs/>
          <w:sz w:val="24"/>
          <w:szCs w:val="24"/>
          <w:lang w:val="en-US"/>
        </w:rPr>
        <w:t>, macrolides and streptogramins B in some organisms. Cross resistance has been demonstrated between clindamycin and lincomycin.</w:t>
      </w:r>
    </w:p>
    <w:p w:rsidR="00717491" w:rsidRPr="00717491" w:rsidRDefault="00717491" w:rsidP="00717491">
      <w:pPr>
        <w:tabs>
          <w:tab w:val="left" w:pos="851"/>
        </w:tabs>
        <w:ind w:left="851"/>
        <w:rPr>
          <w:bCs/>
          <w:sz w:val="24"/>
          <w:szCs w:val="24"/>
          <w:lang w:val="en-US"/>
        </w:rPr>
      </w:pPr>
    </w:p>
    <w:p w:rsidR="00717491" w:rsidRPr="00717491" w:rsidRDefault="00717491" w:rsidP="00717491">
      <w:pPr>
        <w:tabs>
          <w:tab w:val="left" w:pos="851"/>
        </w:tabs>
        <w:ind w:left="851"/>
        <w:rPr>
          <w:bCs/>
          <w:sz w:val="24"/>
          <w:szCs w:val="24"/>
          <w:u w:val="single"/>
          <w:lang w:val="en-US"/>
        </w:rPr>
      </w:pPr>
      <w:r w:rsidRPr="00717491">
        <w:rPr>
          <w:bCs/>
          <w:sz w:val="24"/>
          <w:szCs w:val="24"/>
          <w:u w:val="single"/>
          <w:lang w:val="en-US"/>
        </w:rPr>
        <w:t xml:space="preserve">Susceptibility </w:t>
      </w:r>
      <w:r w:rsidRPr="00717491">
        <w:rPr>
          <w:bCs/>
          <w:i/>
          <w:iCs/>
          <w:sz w:val="24"/>
          <w:szCs w:val="24"/>
          <w:u w:val="single"/>
          <w:lang w:val="en-US"/>
        </w:rPr>
        <w:t>in vitro</w:t>
      </w:r>
    </w:p>
    <w:p w:rsidR="00717491" w:rsidRPr="00717491" w:rsidRDefault="00717491" w:rsidP="00717491">
      <w:pPr>
        <w:tabs>
          <w:tab w:val="left" w:pos="851"/>
        </w:tabs>
        <w:ind w:left="851"/>
        <w:rPr>
          <w:bCs/>
          <w:iCs/>
          <w:sz w:val="24"/>
          <w:szCs w:val="24"/>
          <w:lang w:val="en-US"/>
        </w:rPr>
      </w:pPr>
      <w:r w:rsidRPr="00717491">
        <w:rPr>
          <w:bCs/>
          <w:iCs/>
          <w:sz w:val="24"/>
          <w:szCs w:val="24"/>
          <w:lang w:val="en-US"/>
        </w:rPr>
        <w:t xml:space="preserve">Clindamycin is active </w:t>
      </w:r>
      <w:r w:rsidRPr="00717491">
        <w:rPr>
          <w:bCs/>
          <w:i/>
          <w:iCs/>
          <w:sz w:val="24"/>
          <w:szCs w:val="24"/>
          <w:lang w:val="en-US"/>
        </w:rPr>
        <w:t>in vitro</w:t>
      </w:r>
      <w:r w:rsidRPr="00717491">
        <w:rPr>
          <w:bCs/>
          <w:iCs/>
          <w:sz w:val="24"/>
          <w:szCs w:val="24"/>
          <w:lang w:val="en-US"/>
        </w:rPr>
        <w:t xml:space="preserve"> against most strains of the following organisms that have been reported to be associated with bacterial vaginosis:</w:t>
      </w:r>
    </w:p>
    <w:p w:rsidR="00717491" w:rsidRPr="00717491" w:rsidRDefault="00717491" w:rsidP="00717491">
      <w:pPr>
        <w:tabs>
          <w:tab w:val="left" w:pos="851"/>
        </w:tabs>
        <w:ind w:left="851"/>
        <w:rPr>
          <w:bCs/>
          <w:iCs/>
          <w:sz w:val="24"/>
          <w:szCs w:val="24"/>
          <w:lang w:val="en-US"/>
        </w:rPr>
      </w:pPr>
    </w:p>
    <w:p w:rsidR="00717491" w:rsidRPr="00717491" w:rsidRDefault="00717491" w:rsidP="00717491">
      <w:pPr>
        <w:tabs>
          <w:tab w:val="left" w:pos="851"/>
        </w:tabs>
        <w:ind w:left="851"/>
        <w:rPr>
          <w:bCs/>
          <w:i/>
          <w:iCs/>
          <w:sz w:val="24"/>
          <w:szCs w:val="24"/>
          <w:lang w:val="en-US"/>
        </w:rPr>
      </w:pPr>
      <w:r w:rsidRPr="00717491">
        <w:rPr>
          <w:bCs/>
          <w:i/>
          <w:iCs/>
          <w:sz w:val="24"/>
          <w:szCs w:val="24"/>
          <w:lang w:val="en-US"/>
        </w:rPr>
        <w:t>Bacteroides spp.</w:t>
      </w:r>
    </w:p>
    <w:p w:rsidR="00717491" w:rsidRPr="00717491" w:rsidRDefault="00717491" w:rsidP="00717491">
      <w:pPr>
        <w:tabs>
          <w:tab w:val="left" w:pos="851"/>
        </w:tabs>
        <w:ind w:left="851"/>
        <w:rPr>
          <w:bCs/>
          <w:i/>
          <w:iCs/>
          <w:sz w:val="24"/>
          <w:szCs w:val="24"/>
          <w:lang w:val="en-US"/>
        </w:rPr>
      </w:pPr>
      <w:r w:rsidRPr="00717491">
        <w:rPr>
          <w:bCs/>
          <w:i/>
          <w:iCs/>
          <w:sz w:val="24"/>
          <w:szCs w:val="24"/>
          <w:lang w:val="en-US"/>
        </w:rPr>
        <w:t>Gardnerella vaginalis</w:t>
      </w:r>
    </w:p>
    <w:p w:rsidR="00717491" w:rsidRPr="00717491" w:rsidRDefault="00717491" w:rsidP="00717491">
      <w:pPr>
        <w:tabs>
          <w:tab w:val="left" w:pos="851"/>
        </w:tabs>
        <w:ind w:left="851"/>
        <w:rPr>
          <w:bCs/>
          <w:i/>
          <w:iCs/>
          <w:sz w:val="24"/>
          <w:szCs w:val="24"/>
          <w:lang w:val="en-US"/>
        </w:rPr>
      </w:pPr>
      <w:proofErr w:type="spellStart"/>
      <w:r w:rsidRPr="00717491">
        <w:rPr>
          <w:bCs/>
          <w:i/>
          <w:iCs/>
          <w:sz w:val="24"/>
          <w:szCs w:val="24"/>
          <w:lang w:val="en-US"/>
        </w:rPr>
        <w:t>Mobiluncus</w:t>
      </w:r>
      <w:proofErr w:type="spellEnd"/>
      <w:r w:rsidRPr="00717491">
        <w:rPr>
          <w:bCs/>
          <w:i/>
          <w:iCs/>
          <w:sz w:val="24"/>
          <w:szCs w:val="24"/>
          <w:lang w:val="en-US"/>
        </w:rPr>
        <w:t xml:space="preserve"> spp.</w:t>
      </w:r>
    </w:p>
    <w:p w:rsidR="00717491" w:rsidRPr="00717491" w:rsidRDefault="00717491" w:rsidP="00717491">
      <w:pPr>
        <w:tabs>
          <w:tab w:val="left" w:pos="851"/>
        </w:tabs>
        <w:ind w:left="851"/>
        <w:rPr>
          <w:bCs/>
          <w:i/>
          <w:iCs/>
          <w:sz w:val="24"/>
          <w:szCs w:val="24"/>
          <w:lang w:val="en-US"/>
        </w:rPr>
      </w:pPr>
      <w:r w:rsidRPr="00717491">
        <w:rPr>
          <w:bCs/>
          <w:i/>
          <w:iCs/>
          <w:sz w:val="24"/>
          <w:szCs w:val="24"/>
          <w:lang w:val="en-US"/>
        </w:rPr>
        <w:t>Mycoplasma hominis</w:t>
      </w:r>
    </w:p>
    <w:p w:rsidR="00717491" w:rsidRPr="00717491" w:rsidRDefault="00717491" w:rsidP="00717491">
      <w:pPr>
        <w:tabs>
          <w:tab w:val="left" w:pos="851"/>
        </w:tabs>
        <w:ind w:left="851"/>
        <w:rPr>
          <w:bCs/>
          <w:i/>
          <w:iCs/>
          <w:sz w:val="24"/>
          <w:szCs w:val="24"/>
          <w:lang w:val="en-US"/>
        </w:rPr>
      </w:pPr>
      <w:proofErr w:type="spellStart"/>
      <w:r w:rsidRPr="00717491">
        <w:rPr>
          <w:bCs/>
          <w:i/>
          <w:iCs/>
          <w:sz w:val="24"/>
          <w:szCs w:val="24"/>
          <w:lang w:val="en-US"/>
        </w:rPr>
        <w:t>Peptostreptococcus</w:t>
      </w:r>
      <w:proofErr w:type="spellEnd"/>
      <w:r w:rsidRPr="00717491">
        <w:rPr>
          <w:bCs/>
          <w:i/>
          <w:iCs/>
          <w:sz w:val="24"/>
          <w:szCs w:val="24"/>
          <w:lang w:val="en-US"/>
        </w:rPr>
        <w:t xml:space="preserve"> spp.</w:t>
      </w:r>
    </w:p>
    <w:p w:rsidR="00717491" w:rsidRPr="00717491" w:rsidRDefault="00717491" w:rsidP="00717491">
      <w:pPr>
        <w:tabs>
          <w:tab w:val="left" w:pos="851"/>
        </w:tabs>
        <w:ind w:left="851"/>
        <w:rPr>
          <w:bCs/>
          <w:i/>
          <w:iCs/>
          <w:sz w:val="24"/>
          <w:szCs w:val="24"/>
          <w:lang w:val="en-US"/>
        </w:rPr>
      </w:pPr>
    </w:p>
    <w:p w:rsidR="00717491" w:rsidRPr="00717491" w:rsidRDefault="00717491" w:rsidP="00717491">
      <w:pPr>
        <w:tabs>
          <w:tab w:val="left" w:pos="851"/>
        </w:tabs>
        <w:ind w:left="851"/>
        <w:rPr>
          <w:bCs/>
          <w:iCs/>
          <w:sz w:val="24"/>
          <w:szCs w:val="24"/>
          <w:lang w:val="en-US"/>
        </w:rPr>
      </w:pPr>
      <w:r w:rsidRPr="00717491">
        <w:rPr>
          <w:bCs/>
          <w:sz w:val="24"/>
          <w:szCs w:val="24"/>
          <w:lang w:val="en-US"/>
        </w:rPr>
        <w:t xml:space="preserve">Standard methodology for the susceptibility testing of the potential bacterial vaginosis pathogens, </w:t>
      </w:r>
      <w:r w:rsidRPr="00717491">
        <w:rPr>
          <w:bCs/>
          <w:i/>
          <w:iCs/>
          <w:sz w:val="24"/>
          <w:szCs w:val="24"/>
          <w:lang w:val="en-US"/>
        </w:rPr>
        <w:t>Gardnerella</w:t>
      </w:r>
      <w:r w:rsidRPr="00717491">
        <w:rPr>
          <w:i/>
          <w:iCs/>
          <w:sz w:val="24"/>
          <w:szCs w:val="24"/>
          <w:lang w:val="en-US"/>
        </w:rPr>
        <w:t xml:space="preserve"> </w:t>
      </w:r>
      <w:r w:rsidRPr="00717491">
        <w:rPr>
          <w:bCs/>
          <w:i/>
          <w:iCs/>
          <w:sz w:val="24"/>
          <w:szCs w:val="24"/>
          <w:lang w:val="en-US"/>
        </w:rPr>
        <w:t xml:space="preserve">vaginalis, </w:t>
      </w:r>
      <w:proofErr w:type="spellStart"/>
      <w:r w:rsidRPr="00717491">
        <w:rPr>
          <w:bCs/>
          <w:i/>
          <w:iCs/>
          <w:sz w:val="24"/>
          <w:szCs w:val="24"/>
          <w:lang w:val="en-US"/>
        </w:rPr>
        <w:t>Mobiluncus</w:t>
      </w:r>
      <w:proofErr w:type="spellEnd"/>
      <w:r w:rsidRPr="00717491">
        <w:rPr>
          <w:bCs/>
          <w:i/>
          <w:iCs/>
          <w:sz w:val="24"/>
          <w:szCs w:val="24"/>
          <w:lang w:val="en-US"/>
        </w:rPr>
        <w:t xml:space="preserve"> spp., </w:t>
      </w:r>
      <w:r w:rsidRPr="00717491">
        <w:rPr>
          <w:bCs/>
          <w:iCs/>
          <w:sz w:val="24"/>
          <w:szCs w:val="24"/>
          <w:lang w:val="en-US"/>
        </w:rPr>
        <w:t>or</w:t>
      </w:r>
      <w:r w:rsidRPr="00717491">
        <w:rPr>
          <w:bCs/>
          <w:i/>
          <w:iCs/>
          <w:sz w:val="24"/>
          <w:szCs w:val="24"/>
          <w:lang w:val="en-US"/>
        </w:rPr>
        <w:t xml:space="preserve"> Mycoplasma hominis, </w:t>
      </w:r>
      <w:r w:rsidRPr="00717491">
        <w:rPr>
          <w:bCs/>
          <w:iCs/>
          <w:sz w:val="24"/>
          <w:szCs w:val="24"/>
          <w:lang w:val="en-US"/>
        </w:rPr>
        <w:t xml:space="preserve">has not been defined. </w:t>
      </w:r>
    </w:p>
    <w:p w:rsidR="00717491" w:rsidRPr="00717491" w:rsidRDefault="00717491" w:rsidP="00717491">
      <w:pPr>
        <w:tabs>
          <w:tab w:val="left" w:pos="851"/>
        </w:tabs>
        <w:ind w:left="851"/>
        <w:rPr>
          <w:sz w:val="24"/>
          <w:szCs w:val="24"/>
          <w:lang w:val="en-US"/>
        </w:rPr>
      </w:pPr>
      <w:r w:rsidRPr="00717491">
        <w:rPr>
          <w:sz w:val="24"/>
          <w:szCs w:val="24"/>
          <w:lang w:val="en-US"/>
        </w:rPr>
        <w:t>Break-points of relevant organism have not been determined for topical agents.</w:t>
      </w:r>
    </w:p>
    <w:p w:rsidR="00C0391C" w:rsidRDefault="00C0391C">
      <w:pPr>
        <w:rPr>
          <w:sz w:val="24"/>
          <w:szCs w:val="24"/>
          <w:lang w:val="en-US"/>
        </w:rPr>
      </w:pPr>
      <w:r>
        <w:rPr>
          <w:sz w:val="24"/>
          <w:szCs w:val="24"/>
          <w:lang w:val="en-US"/>
        </w:rPr>
        <w:br w:type="page"/>
      </w:r>
    </w:p>
    <w:p w:rsidR="007C5D2A" w:rsidRPr="00717491"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C0391C" w:rsidRPr="00C0391C" w:rsidRDefault="00C0391C" w:rsidP="00C0391C">
      <w:pPr>
        <w:tabs>
          <w:tab w:val="left" w:pos="851"/>
        </w:tabs>
        <w:ind w:left="851"/>
        <w:rPr>
          <w:bCs/>
          <w:sz w:val="24"/>
          <w:szCs w:val="24"/>
          <w:u w:val="single"/>
          <w:lang w:val="en-US"/>
        </w:rPr>
      </w:pPr>
    </w:p>
    <w:p w:rsidR="00C0391C" w:rsidRPr="00C0391C" w:rsidRDefault="00C0391C" w:rsidP="00C0391C">
      <w:pPr>
        <w:tabs>
          <w:tab w:val="left" w:pos="851"/>
        </w:tabs>
        <w:ind w:left="851"/>
        <w:rPr>
          <w:bCs/>
          <w:sz w:val="24"/>
          <w:szCs w:val="24"/>
          <w:u w:val="single"/>
          <w:lang w:val="en-US"/>
        </w:rPr>
      </w:pPr>
      <w:r w:rsidRPr="00C0391C">
        <w:rPr>
          <w:bCs/>
          <w:sz w:val="24"/>
          <w:szCs w:val="24"/>
          <w:u w:val="single"/>
          <w:lang w:val="en-US"/>
        </w:rPr>
        <w:t>Absorption</w:t>
      </w:r>
    </w:p>
    <w:p w:rsidR="00C0391C" w:rsidRPr="00C0391C" w:rsidRDefault="00C0391C" w:rsidP="00C0391C">
      <w:pPr>
        <w:tabs>
          <w:tab w:val="left" w:pos="851"/>
        </w:tabs>
        <w:ind w:left="851"/>
        <w:rPr>
          <w:bCs/>
          <w:sz w:val="24"/>
          <w:szCs w:val="24"/>
          <w:lang w:val="en-US"/>
        </w:rPr>
      </w:pPr>
      <w:r w:rsidRPr="00C0391C">
        <w:rPr>
          <w:bCs/>
          <w:sz w:val="24"/>
          <w:szCs w:val="24"/>
          <w:lang w:val="en-US"/>
        </w:rPr>
        <w:t>Systemic absorption of clindamycin was estimated following a once-a-day intravaginal dose of one clindamycin phosphate vaginal suppository (equivalent to 100 mg clindamycin) administered to 11 healthy female volunteers for 3 days. Approximately 30% (range 6% to 70%) of the administered dose was absorbed systemically on day 3 of dosing based on area under the concentration-time curve (AUC). Systemic absorption was estimated using a sub-therapeutic 100 mg intravenous dose of clindamycin phosphate as a comparator in the same volunteers as well as a 100 mg dose of clindamycin phosphate vaginal cream. The mean AUC following day 3 of dosing with the suppository was 3.2 µ</w:t>
      </w:r>
      <w:proofErr w:type="spellStart"/>
      <w:r w:rsidRPr="00C0391C">
        <w:rPr>
          <w:bCs/>
          <w:sz w:val="24"/>
          <w:szCs w:val="24"/>
          <w:lang w:val="en-US"/>
        </w:rPr>
        <w:t>g•hr</w:t>
      </w:r>
      <w:proofErr w:type="spellEnd"/>
      <w:r w:rsidRPr="00C0391C">
        <w:rPr>
          <w:bCs/>
          <w:sz w:val="24"/>
          <w:szCs w:val="24"/>
          <w:lang w:val="en-US"/>
        </w:rPr>
        <w:t>/mL (range 0.42 to 11 µ</w:t>
      </w:r>
      <w:proofErr w:type="spellStart"/>
      <w:r w:rsidRPr="00C0391C">
        <w:rPr>
          <w:bCs/>
          <w:sz w:val="24"/>
          <w:szCs w:val="24"/>
          <w:lang w:val="en-US"/>
        </w:rPr>
        <w:t>g•hr</w:t>
      </w:r>
      <w:proofErr w:type="spellEnd"/>
      <w:r w:rsidRPr="00C0391C">
        <w:rPr>
          <w:bCs/>
          <w:sz w:val="24"/>
          <w:szCs w:val="24"/>
          <w:lang w:val="en-US"/>
        </w:rPr>
        <w:t xml:space="preserve">/mL). The </w:t>
      </w:r>
      <w:proofErr w:type="spellStart"/>
      <w:r w:rsidRPr="00C0391C">
        <w:rPr>
          <w:bCs/>
          <w:sz w:val="24"/>
          <w:szCs w:val="24"/>
          <w:lang w:val="en-US"/>
        </w:rPr>
        <w:t>Cmax</w:t>
      </w:r>
      <w:proofErr w:type="spellEnd"/>
      <w:r w:rsidRPr="00C0391C">
        <w:rPr>
          <w:bCs/>
          <w:sz w:val="24"/>
          <w:szCs w:val="24"/>
          <w:lang w:val="en-US"/>
        </w:rPr>
        <w:t xml:space="preserve"> observed on day 3 of dosing with the suppository averaged 0.27 µg/mL (range 0.03 to 0.67 µg/mL) and was observed about 5 hours after dosing (range 1 to 10 hours). In contrast, the AUC and </w:t>
      </w:r>
      <w:proofErr w:type="spellStart"/>
      <w:r w:rsidRPr="00C0391C">
        <w:rPr>
          <w:bCs/>
          <w:sz w:val="24"/>
          <w:szCs w:val="24"/>
          <w:lang w:val="en-US"/>
        </w:rPr>
        <w:t>Cmax</w:t>
      </w:r>
      <w:proofErr w:type="spellEnd"/>
      <w:r w:rsidRPr="00C0391C">
        <w:rPr>
          <w:bCs/>
          <w:sz w:val="24"/>
          <w:szCs w:val="24"/>
          <w:lang w:val="en-US"/>
        </w:rPr>
        <w:t xml:space="preserve"> after the single intravenous dose averaged 11 µ</w:t>
      </w:r>
      <w:proofErr w:type="spellStart"/>
      <w:r w:rsidRPr="00C0391C">
        <w:rPr>
          <w:bCs/>
          <w:sz w:val="24"/>
          <w:szCs w:val="24"/>
          <w:lang w:val="en-US"/>
        </w:rPr>
        <w:t>g•hr</w:t>
      </w:r>
      <w:proofErr w:type="spellEnd"/>
      <w:r w:rsidRPr="00C0391C">
        <w:rPr>
          <w:bCs/>
          <w:sz w:val="24"/>
          <w:szCs w:val="24"/>
          <w:lang w:val="en-US"/>
        </w:rPr>
        <w:t>/mL (range 5.1 to 26 µ</w:t>
      </w:r>
      <w:proofErr w:type="spellStart"/>
      <w:r w:rsidRPr="00C0391C">
        <w:rPr>
          <w:bCs/>
          <w:sz w:val="24"/>
          <w:szCs w:val="24"/>
          <w:lang w:val="en-US"/>
        </w:rPr>
        <w:t>g•hr</w:t>
      </w:r>
      <w:proofErr w:type="spellEnd"/>
      <w:r w:rsidRPr="00C0391C">
        <w:rPr>
          <w:bCs/>
          <w:sz w:val="24"/>
          <w:szCs w:val="24"/>
          <w:lang w:val="en-US"/>
        </w:rPr>
        <w:t>/mL) and 3.7 µg/mL (range 2.4 to 5.0 µg/mL), respectively. The mean apparent elimination half-life after dosing with the suppository was 11 hours (range 4 to 35 hours) and is considered to be limited by the absorption rate.</w:t>
      </w:r>
    </w:p>
    <w:p w:rsidR="00C0391C" w:rsidRPr="00C0391C" w:rsidRDefault="00C0391C" w:rsidP="00C0391C">
      <w:pPr>
        <w:tabs>
          <w:tab w:val="left" w:pos="851"/>
        </w:tabs>
        <w:ind w:left="851"/>
        <w:rPr>
          <w:bCs/>
          <w:sz w:val="24"/>
          <w:szCs w:val="24"/>
          <w:lang w:val="en-US"/>
        </w:rPr>
      </w:pPr>
    </w:p>
    <w:p w:rsidR="00C0391C" w:rsidRPr="00C0391C" w:rsidRDefault="00C0391C" w:rsidP="00C0391C">
      <w:pPr>
        <w:tabs>
          <w:tab w:val="left" w:pos="851"/>
        </w:tabs>
        <w:ind w:left="851"/>
        <w:rPr>
          <w:bCs/>
          <w:sz w:val="24"/>
          <w:szCs w:val="24"/>
          <w:lang w:val="en-US"/>
        </w:rPr>
      </w:pPr>
      <w:r w:rsidRPr="00C0391C">
        <w:rPr>
          <w:bCs/>
          <w:sz w:val="24"/>
          <w:szCs w:val="24"/>
          <w:lang w:val="en-US"/>
        </w:rPr>
        <w:t xml:space="preserve">The results from this study showed that systemic exposure to clindamycin (based on AUC) from the suppository was, on average, three-fold lower than that from a single sub-therapeutic 100 mg intravenous dose of clindamycin. Relative to a comparable dose of clindamycin vaginal cream, systemic absorption of the suppository was approximately 7-fold greater than that following dosing of the vaginal cream with average values of AUC and </w:t>
      </w:r>
      <w:proofErr w:type="spellStart"/>
      <w:r w:rsidRPr="00C0391C">
        <w:rPr>
          <w:bCs/>
          <w:sz w:val="24"/>
          <w:szCs w:val="24"/>
          <w:lang w:val="en-US"/>
        </w:rPr>
        <w:t>Cmax</w:t>
      </w:r>
      <w:proofErr w:type="spellEnd"/>
      <w:r w:rsidRPr="00C0391C">
        <w:rPr>
          <w:bCs/>
          <w:sz w:val="24"/>
          <w:szCs w:val="24"/>
          <w:lang w:val="en-US"/>
        </w:rPr>
        <w:t xml:space="preserve"> of 0.4 µg.hr/mL (range 0.13 to </w:t>
      </w:r>
      <w:proofErr w:type="gramStart"/>
      <w:r w:rsidRPr="00C0391C">
        <w:rPr>
          <w:bCs/>
          <w:sz w:val="24"/>
          <w:szCs w:val="24"/>
          <w:lang w:val="en-US"/>
        </w:rPr>
        <w:t>1.16µg.hr</w:t>
      </w:r>
      <w:proofErr w:type="gramEnd"/>
      <w:r w:rsidRPr="00C0391C">
        <w:rPr>
          <w:bCs/>
          <w:sz w:val="24"/>
          <w:szCs w:val="24"/>
          <w:lang w:val="en-US"/>
        </w:rPr>
        <w:t>/mL) and 0.02µg/mL (range 0.01 to 0.07µg/mL) respectively for the clindamycin vaginal cream. In addition, the recommended daily and total doses of intravaginal clindamycin suppository are far lower than those typically administered in oral or parenteral clindamycin therapy (100 mg of clindamycin per day for 3 days equivalent to about 30 mg absorbed per day from the suppository relative to 600 to 2700 mg/day for up to 10 days or more, orally or parenterally). The overall systemic exposure to clindamycin from clindamycin vaginal suppositories is substantially lower than the systemic exposure from therapeutic doses of oral clindamycin hydrochloride (two-fold to 20-fold lower) or parenteral clindamycin phosphate (40-fold to 50-fold lower).</w:t>
      </w:r>
    </w:p>
    <w:p w:rsidR="00C0391C" w:rsidRPr="00C0391C" w:rsidRDefault="00C0391C" w:rsidP="00C0391C">
      <w:pPr>
        <w:tabs>
          <w:tab w:val="left" w:pos="851"/>
        </w:tabs>
        <w:ind w:left="851"/>
        <w:rPr>
          <w:bCs/>
          <w:sz w:val="24"/>
          <w:szCs w:val="24"/>
          <w:lang w:val="en-US"/>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C0391C" w:rsidRPr="00C0391C" w:rsidRDefault="00C0391C" w:rsidP="00C0391C">
      <w:pPr>
        <w:tabs>
          <w:tab w:val="left" w:pos="851"/>
        </w:tabs>
        <w:ind w:left="851"/>
        <w:rPr>
          <w:bCs/>
          <w:sz w:val="24"/>
          <w:szCs w:val="24"/>
          <w:u w:val="single"/>
          <w:lang w:val="en-US"/>
        </w:rPr>
      </w:pPr>
    </w:p>
    <w:p w:rsidR="00C0391C" w:rsidRPr="00C0391C" w:rsidRDefault="00C0391C" w:rsidP="00C0391C">
      <w:pPr>
        <w:tabs>
          <w:tab w:val="left" w:pos="851"/>
        </w:tabs>
        <w:ind w:left="851"/>
        <w:rPr>
          <w:bCs/>
          <w:sz w:val="24"/>
          <w:szCs w:val="24"/>
          <w:u w:val="single"/>
          <w:lang w:val="en-US"/>
        </w:rPr>
      </w:pPr>
      <w:r w:rsidRPr="00C0391C">
        <w:rPr>
          <w:bCs/>
          <w:sz w:val="24"/>
          <w:szCs w:val="24"/>
          <w:u w:val="single"/>
          <w:lang w:val="en-US"/>
        </w:rPr>
        <w:t>Toxicology</w:t>
      </w:r>
    </w:p>
    <w:p w:rsidR="00C0391C" w:rsidRPr="00C0391C" w:rsidRDefault="00C0391C" w:rsidP="00C0391C">
      <w:pPr>
        <w:tabs>
          <w:tab w:val="left" w:pos="851"/>
        </w:tabs>
        <w:ind w:left="851"/>
        <w:rPr>
          <w:bCs/>
          <w:sz w:val="24"/>
          <w:szCs w:val="24"/>
          <w:lang w:val="en-US"/>
        </w:rPr>
      </w:pPr>
      <w:r w:rsidRPr="00C0391C">
        <w:rPr>
          <w:bCs/>
          <w:sz w:val="24"/>
          <w:szCs w:val="24"/>
          <w:lang w:val="en-US"/>
        </w:rPr>
        <w:t>Clindamycin phosphate (5 mg) suspended in a hard fat (a suppository base consisting of a mixture of glycerides of saturated fatty acids) suppository was tested in the ovariectomized rat model. The results indicated that the formulation caused mild vaginal irritation during treatment that quickly reversed after treatment was stopped.</w:t>
      </w:r>
    </w:p>
    <w:p w:rsidR="00C0391C" w:rsidRPr="00C0391C" w:rsidRDefault="00C0391C" w:rsidP="00C0391C">
      <w:pPr>
        <w:tabs>
          <w:tab w:val="left" w:pos="851"/>
        </w:tabs>
        <w:ind w:left="851"/>
        <w:rPr>
          <w:bCs/>
          <w:sz w:val="24"/>
          <w:szCs w:val="24"/>
          <w:u w:val="single"/>
          <w:lang w:val="en-US"/>
        </w:rPr>
      </w:pPr>
    </w:p>
    <w:p w:rsidR="00C0391C" w:rsidRPr="00C0391C" w:rsidRDefault="00C0391C" w:rsidP="00C0391C">
      <w:pPr>
        <w:tabs>
          <w:tab w:val="left" w:pos="851"/>
        </w:tabs>
        <w:ind w:left="851"/>
        <w:rPr>
          <w:bCs/>
          <w:sz w:val="24"/>
          <w:szCs w:val="24"/>
          <w:lang w:val="en-US"/>
        </w:rPr>
      </w:pPr>
      <w:r w:rsidRPr="00C0391C">
        <w:rPr>
          <w:bCs/>
          <w:sz w:val="24"/>
          <w:szCs w:val="24"/>
          <w:u w:val="single"/>
          <w:lang w:val="en-US"/>
        </w:rPr>
        <w:t>Carcinogenicity/</w:t>
      </w:r>
      <w:r>
        <w:rPr>
          <w:bCs/>
          <w:sz w:val="24"/>
          <w:szCs w:val="24"/>
          <w:u w:val="single"/>
          <w:lang w:val="en-US"/>
        </w:rPr>
        <w:t>m</w:t>
      </w:r>
      <w:r w:rsidRPr="00C0391C">
        <w:rPr>
          <w:bCs/>
          <w:sz w:val="24"/>
          <w:szCs w:val="24"/>
          <w:u w:val="single"/>
          <w:lang w:val="en-US"/>
        </w:rPr>
        <w:t>utagenicity</w:t>
      </w:r>
    </w:p>
    <w:p w:rsidR="00C0391C" w:rsidRPr="00C0391C" w:rsidRDefault="00C0391C" w:rsidP="00C0391C">
      <w:pPr>
        <w:tabs>
          <w:tab w:val="left" w:pos="851"/>
        </w:tabs>
        <w:ind w:left="851"/>
        <w:rPr>
          <w:bCs/>
          <w:sz w:val="24"/>
          <w:szCs w:val="24"/>
          <w:lang w:val="en-US"/>
        </w:rPr>
      </w:pPr>
      <w:r w:rsidRPr="00C0391C">
        <w:rPr>
          <w:bCs/>
          <w:sz w:val="24"/>
          <w:szCs w:val="24"/>
          <w:lang w:val="en-US"/>
        </w:rPr>
        <w:t>Long-term studies have not been performed in animals with clindamycin to evaluate carcinogenic potential. A rat micronucleus and an Ames genotoxicity test were negative.</w:t>
      </w:r>
    </w:p>
    <w:p w:rsidR="00C0391C" w:rsidRDefault="00C0391C">
      <w:pPr>
        <w:rPr>
          <w:bCs/>
          <w:sz w:val="24"/>
          <w:szCs w:val="24"/>
          <w:u w:val="single"/>
          <w:lang w:val="en-US"/>
        </w:rPr>
      </w:pPr>
      <w:r>
        <w:rPr>
          <w:bCs/>
          <w:sz w:val="24"/>
          <w:szCs w:val="24"/>
          <w:u w:val="single"/>
          <w:lang w:val="en-US"/>
        </w:rPr>
        <w:br w:type="page"/>
      </w:r>
    </w:p>
    <w:p w:rsidR="00C0391C" w:rsidRPr="00C0391C" w:rsidRDefault="00C0391C" w:rsidP="00C0391C">
      <w:pPr>
        <w:tabs>
          <w:tab w:val="left" w:pos="851"/>
        </w:tabs>
        <w:ind w:left="851"/>
        <w:rPr>
          <w:bCs/>
          <w:sz w:val="24"/>
          <w:szCs w:val="24"/>
          <w:u w:val="single"/>
          <w:lang w:val="en-US"/>
        </w:rPr>
      </w:pPr>
    </w:p>
    <w:p w:rsidR="00C0391C" w:rsidRPr="00C0391C" w:rsidRDefault="00C0391C" w:rsidP="00C0391C">
      <w:pPr>
        <w:tabs>
          <w:tab w:val="left" w:pos="851"/>
        </w:tabs>
        <w:ind w:left="851"/>
        <w:rPr>
          <w:bCs/>
          <w:sz w:val="24"/>
          <w:szCs w:val="24"/>
          <w:u w:val="single"/>
          <w:lang w:val="en-US"/>
        </w:rPr>
      </w:pPr>
      <w:r w:rsidRPr="00C0391C">
        <w:rPr>
          <w:bCs/>
          <w:sz w:val="24"/>
          <w:szCs w:val="24"/>
          <w:u w:val="single"/>
          <w:lang w:val="en-US"/>
        </w:rPr>
        <w:t>Toxicity to reproduction</w:t>
      </w:r>
    </w:p>
    <w:p w:rsidR="00C0391C" w:rsidRPr="00C0391C" w:rsidRDefault="00C0391C" w:rsidP="00C0391C">
      <w:pPr>
        <w:tabs>
          <w:tab w:val="left" w:pos="851"/>
        </w:tabs>
        <w:ind w:left="851"/>
        <w:rPr>
          <w:bCs/>
          <w:sz w:val="24"/>
          <w:szCs w:val="24"/>
          <w:lang w:val="en-US"/>
        </w:rPr>
      </w:pPr>
      <w:r w:rsidRPr="00C0391C">
        <w:rPr>
          <w:bCs/>
          <w:sz w:val="24"/>
          <w:szCs w:val="24"/>
          <w:lang w:val="en-US"/>
        </w:rPr>
        <w:t>Fertility studies in rats treated orally with up to 300mg/kg/day of clindamycin revealed no effects on fertility or mating ability. No animal fertility studies have been performed using the vaginal route of administration.</w:t>
      </w:r>
    </w:p>
    <w:p w:rsidR="00C0391C" w:rsidRPr="00C0391C" w:rsidRDefault="00C0391C" w:rsidP="00C0391C">
      <w:pPr>
        <w:tabs>
          <w:tab w:val="left" w:pos="851"/>
        </w:tabs>
        <w:ind w:left="851"/>
        <w:rPr>
          <w:bCs/>
          <w:sz w:val="24"/>
          <w:szCs w:val="24"/>
          <w:lang w:val="en-US"/>
        </w:rPr>
      </w:pPr>
    </w:p>
    <w:p w:rsidR="00C0391C" w:rsidRPr="00C0391C" w:rsidRDefault="00C0391C" w:rsidP="00C0391C">
      <w:pPr>
        <w:tabs>
          <w:tab w:val="left" w:pos="851"/>
        </w:tabs>
        <w:ind w:left="851"/>
        <w:rPr>
          <w:bCs/>
          <w:sz w:val="24"/>
          <w:szCs w:val="24"/>
          <w:lang w:val="en-US"/>
        </w:rPr>
      </w:pPr>
      <w:r w:rsidRPr="00C0391C">
        <w:rPr>
          <w:bCs/>
          <w:sz w:val="24"/>
          <w:szCs w:val="24"/>
          <w:lang w:val="en-US"/>
        </w:rPr>
        <w:t>In oral embryo-fetal development studies in rats and subcutaneous embryo-fetal development studies in rats and rabbits, embryo-fetal toxicity was observed at doses that produced maternal toxicity. In rats, maternal death occurred with exposure margins of approximately 400-fold relative to patient exposure. In rabbits, maternal toxicity, including abortions, occurred at exposure margins of 50-fold relative to patient exposure. Embryo-fetal toxicity, including post-implantation loss and decreased viability, occurred in rabbits at exposure margins of 120-fold. Clindamycin was not teratogenic in rats and rabbits.</w:t>
      </w:r>
    </w:p>
    <w:p w:rsidR="00C0391C" w:rsidRPr="00C0391C" w:rsidRDefault="00C0391C" w:rsidP="00C0391C">
      <w:pPr>
        <w:tabs>
          <w:tab w:val="left" w:pos="851"/>
        </w:tabs>
        <w:ind w:left="851"/>
        <w:rPr>
          <w:sz w:val="24"/>
          <w:szCs w:val="24"/>
          <w:lang w:val="en-US"/>
        </w:rPr>
      </w:pPr>
      <w:r w:rsidRPr="00C0391C">
        <w:rPr>
          <w:bCs/>
          <w:sz w:val="24"/>
          <w:szCs w:val="24"/>
          <w:lang w:val="en-US"/>
        </w:rPr>
        <w:t xml:space="preserve">Exposure margins from rat and rabbit developmental NOAELs (250 and 5 mg/kg/day, respectively) were 39 times and 5 times the mean AUC (3.2 </w:t>
      </w:r>
      <w:r w:rsidRPr="00C0391C">
        <w:rPr>
          <w:bCs/>
          <w:sz w:val="24"/>
          <w:szCs w:val="24"/>
          <w:lang w:val="el-GR"/>
        </w:rPr>
        <w:t>μ</w:t>
      </w:r>
      <w:proofErr w:type="spellStart"/>
      <w:r w:rsidRPr="00C0391C">
        <w:rPr>
          <w:bCs/>
          <w:sz w:val="24"/>
          <w:szCs w:val="24"/>
          <w:lang w:val="en-US"/>
        </w:rPr>
        <w:t>g•h</w:t>
      </w:r>
      <w:proofErr w:type="spellEnd"/>
      <w:r w:rsidRPr="00C0391C">
        <w:rPr>
          <w:bCs/>
          <w:sz w:val="24"/>
          <w:szCs w:val="24"/>
          <w:lang w:val="en-US"/>
        </w:rPr>
        <w:t>/mL) of clindamycin in healthy female volunteers administered clindamycin phosphate vaginal suppository (equivalent to 100 mg clindamycin) once daily for 3 days.</w:t>
      </w:r>
      <w:r w:rsidRPr="00C0391C">
        <w:rPr>
          <w:sz w:val="24"/>
          <w:szCs w:val="24"/>
          <w:lang w:val="en-US"/>
        </w:rPr>
        <w:t xml:space="preserve">  </w:t>
      </w:r>
    </w:p>
    <w:p w:rsidR="00C0391C" w:rsidRPr="00C0391C" w:rsidRDefault="00C0391C" w:rsidP="00C0391C">
      <w:pPr>
        <w:tabs>
          <w:tab w:val="left" w:pos="851"/>
        </w:tabs>
        <w:ind w:left="851"/>
        <w:rPr>
          <w:bCs/>
          <w:sz w:val="24"/>
          <w:szCs w:val="24"/>
          <w:lang w:val="en-US"/>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562C31" w:rsidRPr="00562C31" w:rsidRDefault="00562C31" w:rsidP="00562C31">
      <w:pPr>
        <w:tabs>
          <w:tab w:val="left" w:pos="851"/>
        </w:tabs>
        <w:ind w:left="851"/>
        <w:rPr>
          <w:bCs/>
          <w:sz w:val="24"/>
          <w:szCs w:val="24"/>
          <w:lang w:val="en-US"/>
        </w:rPr>
      </w:pPr>
      <w:r w:rsidRPr="00562C31">
        <w:rPr>
          <w:bCs/>
          <w:sz w:val="24"/>
          <w:szCs w:val="24"/>
          <w:lang w:val="en-US"/>
        </w:rPr>
        <w:t>Hard Fat</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562C31" w:rsidRPr="00562C31" w:rsidRDefault="00562C31" w:rsidP="00562C31">
      <w:pPr>
        <w:tabs>
          <w:tab w:val="left" w:pos="851"/>
        </w:tabs>
        <w:ind w:left="851"/>
        <w:rPr>
          <w:bCs/>
          <w:sz w:val="24"/>
          <w:szCs w:val="24"/>
          <w:lang w:val="en-US"/>
        </w:rPr>
      </w:pPr>
      <w:r w:rsidRPr="00562C31">
        <w:rPr>
          <w:bCs/>
          <w:sz w:val="24"/>
          <w:szCs w:val="24"/>
          <w:lang w:val="en-US"/>
        </w:rPr>
        <w:t>No information is available on concomitant use with other intravaginal products. The use of latex condoms is not recommended during therapy with Clindamycin "</w:t>
      </w:r>
      <w:proofErr w:type="spellStart"/>
      <w:r w:rsidRPr="00562C31">
        <w:rPr>
          <w:bCs/>
          <w:sz w:val="24"/>
          <w:szCs w:val="24"/>
          <w:lang w:val="en-US"/>
        </w:rPr>
        <w:t>Terix</w:t>
      </w:r>
      <w:proofErr w:type="spellEnd"/>
      <w:r w:rsidRPr="00562C31">
        <w:rPr>
          <w:bCs/>
          <w:sz w:val="24"/>
          <w:szCs w:val="24"/>
          <w:lang w:val="en-US"/>
        </w:rPr>
        <w:t>". There are no data available regarding the effect of Clindamycin "</w:t>
      </w:r>
      <w:proofErr w:type="spellStart"/>
      <w:r w:rsidRPr="00562C31">
        <w:rPr>
          <w:bCs/>
          <w:sz w:val="24"/>
          <w:szCs w:val="24"/>
          <w:lang w:val="en-US"/>
        </w:rPr>
        <w:t>Terix</w:t>
      </w:r>
      <w:proofErr w:type="spellEnd"/>
      <w:r w:rsidRPr="00562C31">
        <w:rPr>
          <w:bCs/>
          <w:sz w:val="24"/>
          <w:szCs w:val="24"/>
          <w:lang w:val="en-US"/>
        </w:rPr>
        <w:t>" on latex diaphragms.</w:t>
      </w:r>
    </w:p>
    <w:p w:rsidR="007C5D2A" w:rsidRPr="00562C31"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562C31" w:rsidRPr="00562C31" w:rsidRDefault="00AB7C5B" w:rsidP="00562C31">
      <w:pPr>
        <w:tabs>
          <w:tab w:val="left" w:pos="851"/>
        </w:tabs>
        <w:ind w:left="851"/>
        <w:rPr>
          <w:bCs/>
          <w:sz w:val="24"/>
          <w:szCs w:val="24"/>
          <w:lang w:val="en-US"/>
        </w:rPr>
      </w:pPr>
      <w:r>
        <w:rPr>
          <w:bCs/>
          <w:sz w:val="24"/>
          <w:szCs w:val="24"/>
          <w:lang w:val="en-US"/>
        </w:rPr>
        <w:t>36</w:t>
      </w:r>
      <w:r w:rsidR="00562C31" w:rsidRPr="00562C31">
        <w:rPr>
          <w:bCs/>
          <w:sz w:val="24"/>
          <w:szCs w:val="24"/>
          <w:lang w:val="en-US"/>
        </w:rPr>
        <w:t xml:space="preserve"> months</w:t>
      </w:r>
      <w:r w:rsidR="00562C31">
        <w:rPr>
          <w:bCs/>
          <w:sz w:val="24"/>
          <w:szCs w:val="24"/>
          <w:lang w:val="en-US"/>
        </w:rPr>
        <w:t>.</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562C31" w:rsidRPr="00562C31" w:rsidRDefault="00562C31" w:rsidP="00562C31">
      <w:pPr>
        <w:tabs>
          <w:tab w:val="left" w:pos="851"/>
        </w:tabs>
        <w:ind w:left="851"/>
        <w:rPr>
          <w:bCs/>
          <w:sz w:val="24"/>
          <w:szCs w:val="24"/>
          <w:lang w:val="en-US"/>
        </w:rPr>
      </w:pPr>
      <w:r w:rsidRPr="00562C31">
        <w:rPr>
          <w:bCs/>
          <w:sz w:val="24"/>
          <w:szCs w:val="24"/>
          <w:lang w:val="en-US"/>
        </w:rPr>
        <w:t>Store below 30</w:t>
      </w:r>
      <w:r>
        <w:rPr>
          <w:bCs/>
          <w:sz w:val="24"/>
          <w:szCs w:val="24"/>
          <w:lang w:val="en-US"/>
        </w:rPr>
        <w:t xml:space="preserve"> </w:t>
      </w:r>
      <w:r w:rsidRPr="00562C31">
        <w:rPr>
          <w:bCs/>
          <w:sz w:val="24"/>
          <w:szCs w:val="24"/>
          <w:lang w:val="en-US"/>
        </w:rPr>
        <w:t xml:space="preserve">°C. </w:t>
      </w:r>
    </w:p>
    <w:p w:rsidR="007C5D2A" w:rsidRPr="00562C31"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562C31" w:rsidRDefault="00FD71B9" w:rsidP="00562C31">
      <w:pPr>
        <w:tabs>
          <w:tab w:val="left" w:pos="851"/>
        </w:tabs>
        <w:ind w:left="851"/>
        <w:rPr>
          <w:bCs/>
          <w:sz w:val="24"/>
          <w:szCs w:val="24"/>
          <w:lang w:val="en-US"/>
        </w:rPr>
      </w:pPr>
      <w:r>
        <w:rPr>
          <w:bCs/>
          <w:sz w:val="24"/>
          <w:szCs w:val="24"/>
          <w:lang w:val="en-US"/>
        </w:rPr>
        <w:t>Wh</w:t>
      </w:r>
      <w:r w:rsidR="00562C31" w:rsidRPr="00562C31">
        <w:rPr>
          <w:bCs/>
          <w:sz w:val="24"/>
          <w:szCs w:val="24"/>
          <w:lang w:val="en-US"/>
        </w:rPr>
        <w:t>ite PVC-PE strips packed in a carton box.</w:t>
      </w:r>
    </w:p>
    <w:p w:rsidR="00FD71B9" w:rsidRDefault="00FD71B9" w:rsidP="00562C31">
      <w:pPr>
        <w:tabs>
          <w:tab w:val="left" w:pos="851"/>
        </w:tabs>
        <w:ind w:left="851"/>
        <w:rPr>
          <w:bCs/>
          <w:sz w:val="24"/>
          <w:szCs w:val="24"/>
          <w:lang w:val="en-US"/>
        </w:rPr>
      </w:pPr>
    </w:p>
    <w:p w:rsidR="00FD71B9" w:rsidRDefault="00FD71B9" w:rsidP="00562C31">
      <w:pPr>
        <w:tabs>
          <w:tab w:val="left" w:pos="851"/>
        </w:tabs>
        <w:ind w:left="851"/>
        <w:rPr>
          <w:bCs/>
          <w:sz w:val="24"/>
          <w:szCs w:val="24"/>
          <w:lang w:val="en-US"/>
        </w:rPr>
      </w:pPr>
      <w:r>
        <w:rPr>
          <w:bCs/>
          <w:sz w:val="24"/>
          <w:szCs w:val="24"/>
          <w:lang w:val="en-US"/>
        </w:rPr>
        <w:t>Pack sizes: 3</w:t>
      </w:r>
      <w:r w:rsidRPr="00562C31">
        <w:rPr>
          <w:bCs/>
          <w:sz w:val="24"/>
          <w:szCs w:val="24"/>
          <w:lang w:val="en-US"/>
        </w:rPr>
        <w:t xml:space="preserve"> pessaries</w:t>
      </w:r>
      <w:r>
        <w:rPr>
          <w:bCs/>
          <w:sz w:val="24"/>
          <w:szCs w:val="24"/>
          <w:lang w:val="en-US"/>
        </w:rPr>
        <w:t>.</w:t>
      </w:r>
    </w:p>
    <w:p w:rsidR="00FD71B9" w:rsidRPr="00562C31" w:rsidRDefault="00FD71B9" w:rsidP="00562C31">
      <w:pPr>
        <w:tabs>
          <w:tab w:val="left" w:pos="851"/>
        </w:tabs>
        <w:ind w:left="851"/>
        <w:rPr>
          <w:bCs/>
          <w:sz w:val="24"/>
          <w:szCs w:val="24"/>
          <w:lang w:val="en-US"/>
        </w:rPr>
      </w:pPr>
      <w:r>
        <w:rPr>
          <w:bCs/>
          <w:sz w:val="24"/>
          <w:szCs w:val="24"/>
          <w:lang w:val="en-US"/>
        </w:rPr>
        <w:t>Not all pack sizes may be marketed.</w:t>
      </w:r>
    </w:p>
    <w:p w:rsidR="007C5D2A" w:rsidRPr="00562C31"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FD71B9" w:rsidRDefault="00FD71B9" w:rsidP="00822322">
      <w:pPr>
        <w:tabs>
          <w:tab w:val="left" w:pos="851"/>
        </w:tabs>
        <w:ind w:left="851"/>
        <w:rPr>
          <w:bCs/>
          <w:sz w:val="24"/>
          <w:szCs w:val="24"/>
          <w:lang w:val="en-US"/>
        </w:rPr>
      </w:pPr>
      <w:r w:rsidRPr="00FD71B9">
        <w:rPr>
          <w:bCs/>
          <w:sz w:val="24"/>
          <w:szCs w:val="24"/>
          <w:lang w:val="en-US"/>
        </w:rPr>
        <w:t>Do not use this product if the strips containing pessaries are torn, opened, or incompletely sealed.</w:t>
      </w:r>
    </w:p>
    <w:p w:rsidR="00822322" w:rsidRPr="00FD71B9" w:rsidRDefault="00822322" w:rsidP="00822322">
      <w:pPr>
        <w:tabs>
          <w:tab w:val="left" w:pos="851"/>
        </w:tabs>
        <w:ind w:left="851"/>
        <w:rPr>
          <w:bCs/>
          <w:sz w:val="24"/>
          <w:szCs w:val="24"/>
          <w:lang w:val="en-US"/>
        </w:rPr>
      </w:pPr>
    </w:p>
    <w:p w:rsidR="00FD71B9" w:rsidRPr="00822322" w:rsidRDefault="00FD71B9" w:rsidP="00822322">
      <w:pPr>
        <w:tabs>
          <w:tab w:val="left" w:pos="851"/>
        </w:tabs>
        <w:ind w:left="851"/>
        <w:rPr>
          <w:bCs/>
          <w:sz w:val="24"/>
          <w:szCs w:val="24"/>
          <w:u w:val="single"/>
          <w:lang w:val="en-US"/>
        </w:rPr>
      </w:pPr>
      <w:r w:rsidRPr="00822322">
        <w:rPr>
          <w:bCs/>
          <w:sz w:val="24"/>
          <w:szCs w:val="24"/>
          <w:u w:val="single"/>
          <w:lang w:val="en-US"/>
        </w:rPr>
        <w:t>Insertion</w:t>
      </w:r>
    </w:p>
    <w:p w:rsidR="00FD71B9" w:rsidRPr="00FD71B9" w:rsidRDefault="00FD71B9" w:rsidP="00822322">
      <w:pPr>
        <w:numPr>
          <w:ilvl w:val="0"/>
          <w:numId w:val="5"/>
        </w:numPr>
        <w:tabs>
          <w:tab w:val="left" w:pos="851"/>
        </w:tabs>
        <w:ind w:left="1134" w:hanging="283"/>
        <w:rPr>
          <w:bCs/>
          <w:sz w:val="24"/>
          <w:szCs w:val="24"/>
          <w:lang w:val="en-US"/>
        </w:rPr>
      </w:pPr>
      <w:r w:rsidRPr="00FD71B9">
        <w:rPr>
          <w:bCs/>
          <w:sz w:val="24"/>
          <w:szCs w:val="24"/>
          <w:lang w:val="en-US"/>
        </w:rPr>
        <w:t>Remove the pessary from the strip.</w:t>
      </w:r>
    </w:p>
    <w:p w:rsidR="00FD71B9" w:rsidRPr="00FD71B9" w:rsidRDefault="00FD71B9" w:rsidP="00822322">
      <w:pPr>
        <w:numPr>
          <w:ilvl w:val="0"/>
          <w:numId w:val="5"/>
        </w:numPr>
        <w:tabs>
          <w:tab w:val="left" w:pos="851"/>
        </w:tabs>
        <w:ind w:left="1134" w:hanging="283"/>
        <w:rPr>
          <w:bCs/>
          <w:sz w:val="24"/>
          <w:szCs w:val="24"/>
          <w:lang w:val="en-US"/>
        </w:rPr>
      </w:pPr>
      <w:r w:rsidRPr="00FD71B9">
        <w:rPr>
          <w:bCs/>
          <w:sz w:val="24"/>
          <w:szCs w:val="24"/>
          <w:lang w:val="en-US"/>
        </w:rPr>
        <w:t>Lie on your back with your knees drawn up to your chest.</w:t>
      </w:r>
    </w:p>
    <w:p w:rsidR="00FD71B9" w:rsidRPr="00FD71B9" w:rsidRDefault="00FD71B9" w:rsidP="00822322">
      <w:pPr>
        <w:numPr>
          <w:ilvl w:val="0"/>
          <w:numId w:val="5"/>
        </w:numPr>
        <w:tabs>
          <w:tab w:val="left" w:pos="851"/>
        </w:tabs>
        <w:ind w:left="1134" w:hanging="283"/>
        <w:rPr>
          <w:bCs/>
          <w:sz w:val="24"/>
          <w:szCs w:val="24"/>
          <w:lang w:val="en-US"/>
        </w:rPr>
      </w:pPr>
      <w:r w:rsidRPr="00FD71B9">
        <w:rPr>
          <w:bCs/>
          <w:sz w:val="24"/>
          <w:szCs w:val="24"/>
          <w:lang w:val="en-US"/>
        </w:rPr>
        <w:t>Insert the pessary into the vagina with the tip of your third (middle) finger as far as possible without causing discomfort.</w:t>
      </w:r>
    </w:p>
    <w:p w:rsidR="00FD71B9" w:rsidRPr="00FD71B9" w:rsidRDefault="00FD71B9" w:rsidP="00822322">
      <w:pPr>
        <w:tabs>
          <w:tab w:val="left" w:pos="851"/>
        </w:tabs>
        <w:ind w:left="851"/>
        <w:rPr>
          <w:bCs/>
          <w:sz w:val="24"/>
          <w:szCs w:val="24"/>
          <w:lang w:val="en-US"/>
        </w:rPr>
      </w:pPr>
    </w:p>
    <w:p w:rsidR="00FD71B9" w:rsidRPr="00FD71B9" w:rsidRDefault="00FD71B9" w:rsidP="00822322">
      <w:pPr>
        <w:tabs>
          <w:tab w:val="left" w:pos="851"/>
        </w:tabs>
        <w:ind w:left="851"/>
        <w:rPr>
          <w:bCs/>
          <w:sz w:val="24"/>
          <w:szCs w:val="24"/>
          <w:lang w:val="en-US"/>
        </w:rPr>
      </w:pPr>
      <w:r w:rsidRPr="00FD71B9">
        <w:rPr>
          <w:bCs/>
          <w:sz w:val="24"/>
          <w:szCs w:val="24"/>
          <w:lang w:val="en-US"/>
        </w:rPr>
        <w:lastRenderedPageBreak/>
        <w:t>Any unused medicinal product or waste material should be disposed of in accordance with local requirements</w:t>
      </w:r>
    </w:p>
    <w:p w:rsidR="007C5D2A" w:rsidRPr="00FD71B9" w:rsidRDefault="007C5D2A" w:rsidP="00822322">
      <w:pPr>
        <w:tabs>
          <w:tab w:val="left" w:pos="851"/>
        </w:tabs>
        <w:ind w:left="851"/>
        <w:rPr>
          <w:sz w:val="24"/>
          <w:szCs w:val="24"/>
          <w:lang w:val="en-US"/>
        </w:rPr>
      </w:pPr>
    </w:p>
    <w:p w:rsidR="007C5D2A" w:rsidRPr="00303008" w:rsidRDefault="007C5D2A" w:rsidP="00822322">
      <w:pPr>
        <w:tabs>
          <w:tab w:val="left" w:pos="851"/>
        </w:tabs>
        <w:ind w:left="851" w:hanging="851"/>
        <w:rPr>
          <w:b/>
          <w:sz w:val="24"/>
          <w:szCs w:val="24"/>
          <w:lang w:val="en-GB"/>
        </w:rPr>
      </w:pPr>
      <w:r w:rsidRPr="00303008">
        <w:rPr>
          <w:b/>
          <w:sz w:val="24"/>
          <w:szCs w:val="24"/>
          <w:lang w:val="en-GB"/>
        </w:rPr>
        <w:t>7.</w:t>
      </w:r>
      <w:r w:rsidRPr="00303008">
        <w:rPr>
          <w:b/>
          <w:sz w:val="24"/>
          <w:szCs w:val="24"/>
          <w:lang w:val="en-GB"/>
        </w:rPr>
        <w:tab/>
        <w:t>MARKETING AUTHORISATION HOLDER</w:t>
      </w:r>
    </w:p>
    <w:p w:rsidR="007C5D2A" w:rsidRDefault="005124A6" w:rsidP="00822322">
      <w:pPr>
        <w:tabs>
          <w:tab w:val="left" w:pos="851"/>
        </w:tabs>
        <w:ind w:left="851"/>
        <w:rPr>
          <w:sz w:val="24"/>
          <w:szCs w:val="24"/>
          <w:lang w:val="en-GB"/>
        </w:rPr>
      </w:pPr>
      <w:proofErr w:type="spellStart"/>
      <w:r w:rsidRPr="005124A6">
        <w:rPr>
          <w:sz w:val="24"/>
          <w:szCs w:val="24"/>
          <w:lang w:val="en-GB"/>
        </w:rPr>
        <w:t>Terix</w:t>
      </w:r>
      <w:proofErr w:type="spellEnd"/>
      <w:r w:rsidRPr="005124A6">
        <w:rPr>
          <w:sz w:val="24"/>
          <w:szCs w:val="24"/>
          <w:lang w:val="en-GB"/>
        </w:rPr>
        <w:t xml:space="preserve"> Labs Ltd.</w:t>
      </w:r>
    </w:p>
    <w:p w:rsidR="00BF7C31" w:rsidRPr="00BF7C31" w:rsidRDefault="00BF7C31" w:rsidP="00BF7C31">
      <w:pPr>
        <w:tabs>
          <w:tab w:val="left" w:pos="851"/>
        </w:tabs>
        <w:ind w:left="851"/>
        <w:rPr>
          <w:sz w:val="24"/>
          <w:szCs w:val="24"/>
          <w:lang w:val="en-GB"/>
        </w:rPr>
      </w:pPr>
      <w:r w:rsidRPr="00BF7C31">
        <w:rPr>
          <w:sz w:val="24"/>
          <w:szCs w:val="24"/>
          <w:lang w:val="en-GB"/>
        </w:rPr>
        <w:t xml:space="preserve">1 </w:t>
      </w:r>
      <w:proofErr w:type="spellStart"/>
      <w:r w:rsidRPr="00BF7C31">
        <w:rPr>
          <w:sz w:val="24"/>
          <w:szCs w:val="24"/>
          <w:lang w:val="en-GB"/>
        </w:rPr>
        <w:t>Menandrou</w:t>
      </w:r>
      <w:proofErr w:type="spellEnd"/>
      <w:r w:rsidRPr="00BF7C31">
        <w:rPr>
          <w:sz w:val="24"/>
          <w:szCs w:val="24"/>
          <w:lang w:val="en-GB"/>
        </w:rPr>
        <w:t xml:space="preserve"> Street</w:t>
      </w:r>
    </w:p>
    <w:p w:rsidR="00BF7C31" w:rsidRPr="00BF7C31" w:rsidRDefault="00BF7C31" w:rsidP="00BF7C31">
      <w:pPr>
        <w:tabs>
          <w:tab w:val="left" w:pos="851"/>
        </w:tabs>
        <w:ind w:left="851"/>
        <w:rPr>
          <w:sz w:val="24"/>
          <w:szCs w:val="24"/>
          <w:lang w:val="en-GB"/>
        </w:rPr>
      </w:pPr>
      <w:r w:rsidRPr="00BF7C31">
        <w:rPr>
          <w:sz w:val="24"/>
          <w:szCs w:val="24"/>
          <w:lang w:val="en-GB"/>
        </w:rPr>
        <w:t>FROSIA Building, 5th floor, Flat/Office 502</w:t>
      </w:r>
    </w:p>
    <w:p w:rsidR="00BF7C31" w:rsidRDefault="00BF7C31" w:rsidP="00BF7C31">
      <w:pPr>
        <w:tabs>
          <w:tab w:val="left" w:pos="851"/>
        </w:tabs>
        <w:ind w:left="851"/>
        <w:rPr>
          <w:sz w:val="24"/>
          <w:szCs w:val="24"/>
          <w:lang w:val="en-GB"/>
        </w:rPr>
      </w:pPr>
      <w:r w:rsidRPr="00BF7C31">
        <w:rPr>
          <w:sz w:val="24"/>
          <w:szCs w:val="24"/>
          <w:lang w:val="en-GB"/>
        </w:rPr>
        <w:t>1066 Nicosia</w:t>
      </w:r>
    </w:p>
    <w:p w:rsidR="005124A6" w:rsidRPr="00303008" w:rsidRDefault="00BF7C31" w:rsidP="00BF7C31">
      <w:pPr>
        <w:tabs>
          <w:tab w:val="left" w:pos="851"/>
        </w:tabs>
        <w:ind w:left="851"/>
        <w:rPr>
          <w:sz w:val="24"/>
          <w:szCs w:val="24"/>
          <w:lang w:val="en-GB"/>
        </w:rPr>
      </w:pPr>
      <w:r w:rsidRPr="00BF7C31">
        <w:rPr>
          <w:sz w:val="24"/>
          <w:szCs w:val="24"/>
          <w:lang w:val="en-GB"/>
        </w:rPr>
        <w:t>Cyprus</w:t>
      </w:r>
    </w:p>
    <w:p w:rsidR="007C5D2A" w:rsidRPr="00303008" w:rsidRDefault="007C5D2A" w:rsidP="00822322">
      <w:pPr>
        <w:tabs>
          <w:tab w:val="left" w:pos="851"/>
        </w:tabs>
        <w:ind w:left="851"/>
        <w:rPr>
          <w:sz w:val="24"/>
          <w:szCs w:val="24"/>
          <w:lang w:val="en-GB"/>
        </w:rPr>
      </w:pPr>
    </w:p>
    <w:p w:rsidR="007C5D2A" w:rsidRPr="00303008" w:rsidRDefault="007C5D2A" w:rsidP="00822322">
      <w:pPr>
        <w:ind w:left="851" w:hanging="851"/>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0F5820" w:rsidP="00822322">
      <w:pPr>
        <w:tabs>
          <w:tab w:val="left" w:pos="851"/>
        </w:tabs>
        <w:ind w:left="851"/>
        <w:rPr>
          <w:sz w:val="24"/>
          <w:szCs w:val="24"/>
          <w:lang w:val="en-GB"/>
        </w:rPr>
      </w:pPr>
      <w:r>
        <w:rPr>
          <w:sz w:val="24"/>
          <w:szCs w:val="24"/>
          <w:lang w:val="en-GB"/>
        </w:rPr>
        <w:t>62057</w:t>
      </w:r>
    </w:p>
    <w:p w:rsidR="007C5D2A" w:rsidRPr="00303008" w:rsidRDefault="007C5D2A" w:rsidP="00822322">
      <w:pPr>
        <w:tabs>
          <w:tab w:val="left" w:pos="851"/>
        </w:tabs>
        <w:ind w:left="851"/>
        <w:rPr>
          <w:sz w:val="24"/>
          <w:szCs w:val="24"/>
          <w:lang w:val="en-GB"/>
        </w:rPr>
      </w:pPr>
    </w:p>
    <w:p w:rsidR="007C5D2A" w:rsidRPr="00303008" w:rsidRDefault="007C5D2A" w:rsidP="00822322">
      <w:pPr>
        <w:tabs>
          <w:tab w:val="left" w:pos="851"/>
        </w:tabs>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7C4649" w:rsidP="00822322">
      <w:pPr>
        <w:ind w:left="851"/>
        <w:rPr>
          <w:sz w:val="24"/>
          <w:szCs w:val="24"/>
          <w:lang w:val="en-GB"/>
        </w:rPr>
      </w:pPr>
      <w:r>
        <w:rPr>
          <w:sz w:val="24"/>
          <w:szCs w:val="24"/>
          <w:lang w:val="en-GB"/>
        </w:rPr>
        <w:t>29 October 2020</w:t>
      </w:r>
    </w:p>
    <w:p w:rsidR="007C5D2A" w:rsidRPr="00303008" w:rsidRDefault="007C5D2A" w:rsidP="00822322">
      <w:pPr>
        <w:tabs>
          <w:tab w:val="left" w:pos="851"/>
        </w:tabs>
        <w:ind w:left="851"/>
        <w:rPr>
          <w:sz w:val="24"/>
          <w:szCs w:val="24"/>
          <w:lang w:val="en-GB"/>
        </w:rPr>
      </w:pPr>
    </w:p>
    <w:p w:rsidR="007C5D2A" w:rsidRPr="00303008" w:rsidRDefault="007C5D2A" w:rsidP="00822322">
      <w:pPr>
        <w:tabs>
          <w:tab w:val="left" w:pos="851"/>
        </w:tabs>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BF7C31" w:rsidP="003E0341">
      <w:pPr>
        <w:tabs>
          <w:tab w:val="left" w:pos="851"/>
        </w:tabs>
        <w:ind w:left="851"/>
        <w:jc w:val="both"/>
        <w:rPr>
          <w:sz w:val="24"/>
          <w:szCs w:val="24"/>
          <w:lang w:val="en-GB"/>
        </w:rPr>
      </w:pPr>
      <w:r>
        <w:rPr>
          <w:sz w:val="24"/>
          <w:szCs w:val="24"/>
          <w:lang w:val="en-GB"/>
        </w:rPr>
        <w:t>7 April</w:t>
      </w:r>
      <w:r w:rsidR="00CB78BE">
        <w:rPr>
          <w:sz w:val="24"/>
          <w:szCs w:val="24"/>
          <w:lang w:val="en-GB"/>
        </w:rPr>
        <w:t xml:space="preserve"> 2021</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949" w:rsidRDefault="00CC5949">
      <w:r>
        <w:separator/>
      </w:r>
    </w:p>
  </w:endnote>
  <w:endnote w:type="continuationSeparator" w:id="0">
    <w:p w:rsidR="00CC5949" w:rsidRDefault="00CC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pPr>
  </w:p>
  <w:p w:rsidR="00864538" w:rsidRDefault="00864538">
    <w:pPr>
      <w:pStyle w:val="Sidefod"/>
      <w:tabs>
        <w:tab w:val="clear" w:pos="4819"/>
        <w:tab w:val="left" w:pos="8647"/>
      </w:tabs>
      <w:rPr>
        <w:i/>
        <w:snapToGrid w:val="0"/>
        <w:sz w:val="18"/>
      </w:rPr>
    </w:pPr>
  </w:p>
  <w:p w:rsidR="00864538" w:rsidRPr="003777D1" w:rsidRDefault="00E36A80" w:rsidP="00AC033C">
    <w:pPr>
      <w:pStyle w:val="Sidefod"/>
      <w:tabs>
        <w:tab w:val="clear" w:pos="4819"/>
        <w:tab w:val="left" w:pos="8364"/>
      </w:tabs>
      <w:rPr>
        <w:i/>
        <w:sz w:val="18"/>
        <w:lang w:val="en-US"/>
      </w:rPr>
    </w:pPr>
    <w:r>
      <w:rPr>
        <w:i/>
        <w:snapToGrid w:val="0"/>
        <w:sz w:val="18"/>
      </w:rPr>
      <w:fldChar w:fldCharType="begin"/>
    </w:r>
    <w:r w:rsidR="00864538" w:rsidRPr="003777D1">
      <w:rPr>
        <w:i/>
        <w:snapToGrid w:val="0"/>
        <w:sz w:val="18"/>
        <w:lang w:val="en-US"/>
      </w:rPr>
      <w:instrText xml:space="preserve"> FILENAME </w:instrText>
    </w:r>
    <w:r>
      <w:rPr>
        <w:i/>
        <w:snapToGrid w:val="0"/>
        <w:sz w:val="18"/>
      </w:rPr>
      <w:fldChar w:fldCharType="separate"/>
    </w:r>
    <w:r w:rsidR="0035513F">
      <w:rPr>
        <w:i/>
        <w:noProof/>
        <w:snapToGrid w:val="0"/>
        <w:sz w:val="18"/>
        <w:lang w:val="en-US"/>
      </w:rPr>
      <w:t>Clindamycin Terix, vagitorier 100 mg</w:t>
    </w:r>
    <w:r>
      <w:rPr>
        <w:i/>
        <w:snapToGrid w:val="0"/>
        <w:sz w:val="18"/>
      </w:rPr>
      <w:fldChar w:fldCharType="end"/>
    </w:r>
    <w:r w:rsidR="00864538" w:rsidRPr="003777D1">
      <w:rPr>
        <w:i/>
        <w:snapToGrid w:val="0"/>
        <w:sz w:val="18"/>
        <w:lang w:val="en-US"/>
      </w:rPr>
      <w:tab/>
      <w:t xml:space="preserve">Page </w:t>
    </w:r>
    <w:r>
      <w:rPr>
        <w:i/>
        <w:snapToGrid w:val="0"/>
        <w:sz w:val="18"/>
      </w:rPr>
      <w:fldChar w:fldCharType="begin"/>
    </w:r>
    <w:r w:rsidR="00864538" w:rsidRPr="003777D1">
      <w:rPr>
        <w:i/>
        <w:snapToGrid w:val="0"/>
        <w:sz w:val="18"/>
        <w:lang w:val="en-US"/>
      </w:rPr>
      <w:instrText xml:space="preserve"> PAGE </w:instrText>
    </w:r>
    <w:r>
      <w:rPr>
        <w:i/>
        <w:snapToGrid w:val="0"/>
        <w:sz w:val="18"/>
      </w:rPr>
      <w:fldChar w:fldCharType="separate"/>
    </w:r>
    <w:r w:rsidR="00AC033C" w:rsidRPr="003777D1">
      <w:rPr>
        <w:i/>
        <w:noProof/>
        <w:snapToGrid w:val="0"/>
        <w:sz w:val="18"/>
        <w:lang w:val="en-US"/>
      </w:rPr>
      <w:t>1</w:t>
    </w:r>
    <w:r>
      <w:rPr>
        <w:i/>
        <w:snapToGrid w:val="0"/>
        <w:sz w:val="18"/>
      </w:rPr>
      <w:fldChar w:fldCharType="end"/>
    </w:r>
    <w:r w:rsidR="00864538" w:rsidRPr="003777D1">
      <w:rPr>
        <w:i/>
        <w:snapToGrid w:val="0"/>
        <w:sz w:val="18"/>
        <w:lang w:val="en-US"/>
      </w:rPr>
      <w:t xml:space="preserve"> of </w:t>
    </w:r>
    <w:r>
      <w:rPr>
        <w:i/>
        <w:snapToGrid w:val="0"/>
        <w:sz w:val="18"/>
      </w:rPr>
      <w:fldChar w:fldCharType="begin"/>
    </w:r>
    <w:r w:rsidR="00864538" w:rsidRPr="003777D1">
      <w:rPr>
        <w:i/>
        <w:snapToGrid w:val="0"/>
        <w:sz w:val="18"/>
        <w:lang w:val="en-US"/>
      </w:rPr>
      <w:instrText xml:space="preserve"> NUMPAGES </w:instrText>
    </w:r>
    <w:r>
      <w:rPr>
        <w:i/>
        <w:snapToGrid w:val="0"/>
        <w:sz w:val="18"/>
      </w:rPr>
      <w:fldChar w:fldCharType="separate"/>
    </w:r>
    <w:r w:rsidR="00AC033C" w:rsidRPr="003777D1">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tabs>
        <w:tab w:val="clear" w:pos="4819"/>
        <w:tab w:val="left" w:pos="8789"/>
      </w:tabs>
      <w:rPr>
        <w:i/>
        <w:snapToGrid w:val="0"/>
        <w:sz w:val="18"/>
      </w:rPr>
    </w:pPr>
  </w:p>
  <w:p w:rsidR="00864538" w:rsidRDefault="00864538">
    <w:pPr>
      <w:pStyle w:val="Sidefod"/>
      <w:tabs>
        <w:tab w:val="clear" w:pos="4819"/>
        <w:tab w:val="left" w:pos="8789"/>
      </w:tabs>
      <w:rPr>
        <w:i/>
        <w:snapToGrid w:val="0"/>
        <w:sz w:val="18"/>
      </w:rPr>
    </w:pPr>
  </w:p>
  <w:p w:rsidR="00864538" w:rsidRPr="003777D1" w:rsidRDefault="00E36A80">
    <w:pPr>
      <w:pStyle w:val="Sidefod"/>
      <w:tabs>
        <w:tab w:val="clear" w:pos="4819"/>
        <w:tab w:val="left" w:pos="8647"/>
      </w:tabs>
      <w:rPr>
        <w:i/>
        <w:sz w:val="18"/>
        <w:lang w:val="en-US"/>
      </w:rPr>
    </w:pPr>
    <w:r>
      <w:rPr>
        <w:i/>
        <w:snapToGrid w:val="0"/>
        <w:sz w:val="18"/>
      </w:rPr>
      <w:fldChar w:fldCharType="begin"/>
    </w:r>
    <w:r w:rsidR="00864538" w:rsidRPr="003777D1">
      <w:rPr>
        <w:i/>
        <w:snapToGrid w:val="0"/>
        <w:sz w:val="18"/>
        <w:lang w:val="en-US"/>
      </w:rPr>
      <w:instrText xml:space="preserve"> FILENAME </w:instrText>
    </w:r>
    <w:r>
      <w:rPr>
        <w:i/>
        <w:snapToGrid w:val="0"/>
        <w:sz w:val="18"/>
      </w:rPr>
      <w:fldChar w:fldCharType="separate"/>
    </w:r>
    <w:r w:rsidR="0035513F">
      <w:rPr>
        <w:i/>
        <w:noProof/>
        <w:snapToGrid w:val="0"/>
        <w:sz w:val="18"/>
        <w:lang w:val="en-US"/>
      </w:rPr>
      <w:t>Clindamycin Terix, vagitorier 100 mg</w:t>
    </w:r>
    <w:r>
      <w:rPr>
        <w:i/>
        <w:snapToGrid w:val="0"/>
        <w:sz w:val="18"/>
      </w:rPr>
      <w:fldChar w:fldCharType="end"/>
    </w:r>
    <w:r w:rsidR="00864538" w:rsidRPr="003777D1">
      <w:rPr>
        <w:i/>
        <w:snapToGrid w:val="0"/>
        <w:sz w:val="18"/>
        <w:lang w:val="en-US"/>
      </w:rPr>
      <w:tab/>
      <w:t xml:space="preserve">Page </w:t>
    </w:r>
    <w:r>
      <w:rPr>
        <w:i/>
        <w:snapToGrid w:val="0"/>
        <w:sz w:val="18"/>
      </w:rPr>
      <w:fldChar w:fldCharType="begin"/>
    </w:r>
    <w:r w:rsidR="00864538" w:rsidRPr="003777D1">
      <w:rPr>
        <w:i/>
        <w:snapToGrid w:val="0"/>
        <w:sz w:val="18"/>
        <w:lang w:val="en-US"/>
      </w:rPr>
      <w:instrText xml:space="preserve"> PAGE </w:instrText>
    </w:r>
    <w:r>
      <w:rPr>
        <w:i/>
        <w:snapToGrid w:val="0"/>
        <w:sz w:val="18"/>
      </w:rPr>
      <w:fldChar w:fldCharType="separate"/>
    </w:r>
    <w:r w:rsidR="00D97B77" w:rsidRPr="003777D1">
      <w:rPr>
        <w:i/>
        <w:noProof/>
        <w:snapToGrid w:val="0"/>
        <w:sz w:val="18"/>
        <w:lang w:val="en-US"/>
      </w:rPr>
      <w:t>1</w:t>
    </w:r>
    <w:r>
      <w:rPr>
        <w:i/>
        <w:snapToGrid w:val="0"/>
        <w:sz w:val="18"/>
      </w:rPr>
      <w:fldChar w:fldCharType="end"/>
    </w:r>
    <w:r w:rsidR="00864538" w:rsidRPr="003777D1">
      <w:rPr>
        <w:i/>
        <w:snapToGrid w:val="0"/>
        <w:sz w:val="18"/>
        <w:lang w:val="en-US"/>
      </w:rPr>
      <w:t xml:space="preserve"> of </w:t>
    </w:r>
    <w:r>
      <w:rPr>
        <w:i/>
        <w:snapToGrid w:val="0"/>
        <w:sz w:val="18"/>
      </w:rPr>
      <w:fldChar w:fldCharType="begin"/>
    </w:r>
    <w:r w:rsidR="00864538" w:rsidRPr="003777D1">
      <w:rPr>
        <w:i/>
        <w:snapToGrid w:val="0"/>
        <w:sz w:val="18"/>
        <w:lang w:val="en-US"/>
      </w:rPr>
      <w:instrText xml:space="preserve"> NUMPAGES </w:instrText>
    </w:r>
    <w:r>
      <w:rPr>
        <w:i/>
        <w:snapToGrid w:val="0"/>
        <w:sz w:val="18"/>
      </w:rPr>
      <w:fldChar w:fldCharType="separate"/>
    </w:r>
    <w:r w:rsidR="00E1290F" w:rsidRPr="003777D1">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949" w:rsidRDefault="00CC5949">
      <w:r>
        <w:separator/>
      </w:r>
    </w:p>
  </w:footnote>
  <w:footnote w:type="continuationSeparator" w:id="0">
    <w:p w:rsidR="00CC5949" w:rsidRDefault="00CC5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855742B"/>
    <w:multiLevelType w:val="hybridMultilevel"/>
    <w:tmpl w:val="F0D01D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49"/>
    <w:rsid w:val="00056601"/>
    <w:rsid w:val="000C3846"/>
    <w:rsid w:val="000C6218"/>
    <w:rsid w:val="000D3C9D"/>
    <w:rsid w:val="000D7584"/>
    <w:rsid w:val="000F0D47"/>
    <w:rsid w:val="000F5820"/>
    <w:rsid w:val="001242DE"/>
    <w:rsid w:val="00180A12"/>
    <w:rsid w:val="001A58DF"/>
    <w:rsid w:val="001D1E9A"/>
    <w:rsid w:val="00214331"/>
    <w:rsid w:val="00214CF4"/>
    <w:rsid w:val="00281F03"/>
    <w:rsid w:val="0029458A"/>
    <w:rsid w:val="002A1587"/>
    <w:rsid w:val="002B27C5"/>
    <w:rsid w:val="00303008"/>
    <w:rsid w:val="00354EDF"/>
    <w:rsid w:val="0035513F"/>
    <w:rsid w:val="00373B55"/>
    <w:rsid w:val="003777D1"/>
    <w:rsid w:val="003D727E"/>
    <w:rsid w:val="003E0341"/>
    <w:rsid w:val="003E3402"/>
    <w:rsid w:val="003F4736"/>
    <w:rsid w:val="00401B49"/>
    <w:rsid w:val="0042292D"/>
    <w:rsid w:val="00440254"/>
    <w:rsid w:val="004469F8"/>
    <w:rsid w:val="004860D3"/>
    <w:rsid w:val="004A3BF4"/>
    <w:rsid w:val="004A5DB3"/>
    <w:rsid w:val="005124A6"/>
    <w:rsid w:val="005152D9"/>
    <w:rsid w:val="00533AD4"/>
    <w:rsid w:val="00534849"/>
    <w:rsid w:val="00560102"/>
    <w:rsid w:val="00562C31"/>
    <w:rsid w:val="00562EA1"/>
    <w:rsid w:val="005A5E9B"/>
    <w:rsid w:val="00614C9A"/>
    <w:rsid w:val="00617BB8"/>
    <w:rsid w:val="00680052"/>
    <w:rsid w:val="00683267"/>
    <w:rsid w:val="006844E9"/>
    <w:rsid w:val="006964DD"/>
    <w:rsid w:val="006B3847"/>
    <w:rsid w:val="00717491"/>
    <w:rsid w:val="00735CA4"/>
    <w:rsid w:val="0075453D"/>
    <w:rsid w:val="00755007"/>
    <w:rsid w:val="007C3623"/>
    <w:rsid w:val="007C4649"/>
    <w:rsid w:val="007C5D2A"/>
    <w:rsid w:val="007C7751"/>
    <w:rsid w:val="007D47D8"/>
    <w:rsid w:val="007F1E00"/>
    <w:rsid w:val="00822322"/>
    <w:rsid w:val="008400E3"/>
    <w:rsid w:val="00864538"/>
    <w:rsid w:val="00873B4F"/>
    <w:rsid w:val="008C02F8"/>
    <w:rsid w:val="008E51AE"/>
    <w:rsid w:val="008F2F8C"/>
    <w:rsid w:val="00982093"/>
    <w:rsid w:val="009925C9"/>
    <w:rsid w:val="00A179D0"/>
    <w:rsid w:val="00A358A3"/>
    <w:rsid w:val="00A46747"/>
    <w:rsid w:val="00A80446"/>
    <w:rsid w:val="00A85D26"/>
    <w:rsid w:val="00A9153A"/>
    <w:rsid w:val="00AB5536"/>
    <w:rsid w:val="00AB7C5B"/>
    <w:rsid w:val="00AC033C"/>
    <w:rsid w:val="00AD2E36"/>
    <w:rsid w:val="00B15178"/>
    <w:rsid w:val="00BD3490"/>
    <w:rsid w:val="00BF293A"/>
    <w:rsid w:val="00BF7C31"/>
    <w:rsid w:val="00C0391C"/>
    <w:rsid w:val="00C26226"/>
    <w:rsid w:val="00C3571D"/>
    <w:rsid w:val="00C4242A"/>
    <w:rsid w:val="00C54F0B"/>
    <w:rsid w:val="00C82621"/>
    <w:rsid w:val="00CB1423"/>
    <w:rsid w:val="00CB78BE"/>
    <w:rsid w:val="00CC5949"/>
    <w:rsid w:val="00D02508"/>
    <w:rsid w:val="00D15AFC"/>
    <w:rsid w:val="00D778CC"/>
    <w:rsid w:val="00D82FE9"/>
    <w:rsid w:val="00D97B77"/>
    <w:rsid w:val="00DA2BA3"/>
    <w:rsid w:val="00DB6A85"/>
    <w:rsid w:val="00E051F6"/>
    <w:rsid w:val="00E06B32"/>
    <w:rsid w:val="00E1290F"/>
    <w:rsid w:val="00E36A80"/>
    <w:rsid w:val="00EB21D7"/>
    <w:rsid w:val="00EE3EB7"/>
    <w:rsid w:val="00F57E16"/>
    <w:rsid w:val="00F60336"/>
    <w:rsid w:val="00FA0D5C"/>
    <w:rsid w:val="00FD652E"/>
    <w:rsid w:val="00FD71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DD0BC"/>
  <w15:chartTrackingRefBased/>
  <w15:docId w15:val="{0588A2B8-349F-409C-971B-1789FCD2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696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2206">
      <w:bodyDiv w:val="1"/>
      <w:marLeft w:val="0"/>
      <w:marRight w:val="0"/>
      <w:marTop w:val="0"/>
      <w:marBottom w:val="0"/>
      <w:divBdr>
        <w:top w:val="none" w:sz="0" w:space="0" w:color="auto"/>
        <w:left w:val="none" w:sz="0" w:space="0" w:color="auto"/>
        <w:bottom w:val="none" w:sz="0" w:space="0" w:color="auto"/>
        <w:right w:val="none" w:sz="0" w:space="0" w:color="auto"/>
      </w:divBdr>
    </w:div>
    <w:div w:id="106241390">
      <w:bodyDiv w:val="1"/>
      <w:marLeft w:val="0"/>
      <w:marRight w:val="0"/>
      <w:marTop w:val="0"/>
      <w:marBottom w:val="0"/>
      <w:divBdr>
        <w:top w:val="none" w:sz="0" w:space="0" w:color="auto"/>
        <w:left w:val="none" w:sz="0" w:space="0" w:color="auto"/>
        <w:bottom w:val="none" w:sz="0" w:space="0" w:color="auto"/>
        <w:right w:val="none" w:sz="0" w:space="0" w:color="auto"/>
      </w:divBdr>
    </w:div>
    <w:div w:id="109127795">
      <w:bodyDiv w:val="1"/>
      <w:marLeft w:val="0"/>
      <w:marRight w:val="0"/>
      <w:marTop w:val="0"/>
      <w:marBottom w:val="0"/>
      <w:divBdr>
        <w:top w:val="none" w:sz="0" w:space="0" w:color="auto"/>
        <w:left w:val="none" w:sz="0" w:space="0" w:color="auto"/>
        <w:bottom w:val="none" w:sz="0" w:space="0" w:color="auto"/>
        <w:right w:val="none" w:sz="0" w:space="0" w:color="auto"/>
      </w:divBdr>
    </w:div>
    <w:div w:id="223217858">
      <w:bodyDiv w:val="1"/>
      <w:marLeft w:val="0"/>
      <w:marRight w:val="0"/>
      <w:marTop w:val="0"/>
      <w:marBottom w:val="0"/>
      <w:divBdr>
        <w:top w:val="none" w:sz="0" w:space="0" w:color="auto"/>
        <w:left w:val="none" w:sz="0" w:space="0" w:color="auto"/>
        <w:bottom w:val="none" w:sz="0" w:space="0" w:color="auto"/>
        <w:right w:val="none" w:sz="0" w:space="0" w:color="auto"/>
      </w:divBdr>
    </w:div>
    <w:div w:id="248002573">
      <w:bodyDiv w:val="1"/>
      <w:marLeft w:val="0"/>
      <w:marRight w:val="0"/>
      <w:marTop w:val="0"/>
      <w:marBottom w:val="0"/>
      <w:divBdr>
        <w:top w:val="none" w:sz="0" w:space="0" w:color="auto"/>
        <w:left w:val="none" w:sz="0" w:space="0" w:color="auto"/>
        <w:bottom w:val="none" w:sz="0" w:space="0" w:color="auto"/>
        <w:right w:val="none" w:sz="0" w:space="0" w:color="auto"/>
      </w:divBdr>
    </w:div>
    <w:div w:id="332993394">
      <w:bodyDiv w:val="1"/>
      <w:marLeft w:val="0"/>
      <w:marRight w:val="0"/>
      <w:marTop w:val="0"/>
      <w:marBottom w:val="0"/>
      <w:divBdr>
        <w:top w:val="none" w:sz="0" w:space="0" w:color="auto"/>
        <w:left w:val="none" w:sz="0" w:space="0" w:color="auto"/>
        <w:bottom w:val="none" w:sz="0" w:space="0" w:color="auto"/>
        <w:right w:val="none" w:sz="0" w:space="0" w:color="auto"/>
      </w:divBdr>
    </w:div>
    <w:div w:id="370571459">
      <w:bodyDiv w:val="1"/>
      <w:marLeft w:val="0"/>
      <w:marRight w:val="0"/>
      <w:marTop w:val="0"/>
      <w:marBottom w:val="0"/>
      <w:divBdr>
        <w:top w:val="none" w:sz="0" w:space="0" w:color="auto"/>
        <w:left w:val="none" w:sz="0" w:space="0" w:color="auto"/>
        <w:bottom w:val="none" w:sz="0" w:space="0" w:color="auto"/>
        <w:right w:val="none" w:sz="0" w:space="0" w:color="auto"/>
      </w:divBdr>
    </w:div>
    <w:div w:id="382600226">
      <w:bodyDiv w:val="1"/>
      <w:marLeft w:val="0"/>
      <w:marRight w:val="0"/>
      <w:marTop w:val="0"/>
      <w:marBottom w:val="0"/>
      <w:divBdr>
        <w:top w:val="none" w:sz="0" w:space="0" w:color="auto"/>
        <w:left w:val="none" w:sz="0" w:space="0" w:color="auto"/>
        <w:bottom w:val="none" w:sz="0" w:space="0" w:color="auto"/>
        <w:right w:val="none" w:sz="0" w:space="0" w:color="auto"/>
      </w:divBdr>
    </w:div>
    <w:div w:id="453719979">
      <w:bodyDiv w:val="1"/>
      <w:marLeft w:val="0"/>
      <w:marRight w:val="0"/>
      <w:marTop w:val="0"/>
      <w:marBottom w:val="0"/>
      <w:divBdr>
        <w:top w:val="none" w:sz="0" w:space="0" w:color="auto"/>
        <w:left w:val="none" w:sz="0" w:space="0" w:color="auto"/>
        <w:bottom w:val="none" w:sz="0" w:space="0" w:color="auto"/>
        <w:right w:val="none" w:sz="0" w:space="0" w:color="auto"/>
      </w:divBdr>
    </w:div>
    <w:div w:id="467168571">
      <w:bodyDiv w:val="1"/>
      <w:marLeft w:val="0"/>
      <w:marRight w:val="0"/>
      <w:marTop w:val="0"/>
      <w:marBottom w:val="0"/>
      <w:divBdr>
        <w:top w:val="none" w:sz="0" w:space="0" w:color="auto"/>
        <w:left w:val="none" w:sz="0" w:space="0" w:color="auto"/>
        <w:bottom w:val="none" w:sz="0" w:space="0" w:color="auto"/>
        <w:right w:val="none" w:sz="0" w:space="0" w:color="auto"/>
      </w:divBdr>
    </w:div>
    <w:div w:id="473832085">
      <w:bodyDiv w:val="1"/>
      <w:marLeft w:val="0"/>
      <w:marRight w:val="0"/>
      <w:marTop w:val="0"/>
      <w:marBottom w:val="0"/>
      <w:divBdr>
        <w:top w:val="none" w:sz="0" w:space="0" w:color="auto"/>
        <w:left w:val="none" w:sz="0" w:space="0" w:color="auto"/>
        <w:bottom w:val="none" w:sz="0" w:space="0" w:color="auto"/>
        <w:right w:val="none" w:sz="0" w:space="0" w:color="auto"/>
      </w:divBdr>
    </w:div>
    <w:div w:id="497231398">
      <w:bodyDiv w:val="1"/>
      <w:marLeft w:val="0"/>
      <w:marRight w:val="0"/>
      <w:marTop w:val="0"/>
      <w:marBottom w:val="0"/>
      <w:divBdr>
        <w:top w:val="none" w:sz="0" w:space="0" w:color="auto"/>
        <w:left w:val="none" w:sz="0" w:space="0" w:color="auto"/>
        <w:bottom w:val="none" w:sz="0" w:space="0" w:color="auto"/>
        <w:right w:val="none" w:sz="0" w:space="0" w:color="auto"/>
      </w:divBdr>
    </w:div>
    <w:div w:id="540168617">
      <w:bodyDiv w:val="1"/>
      <w:marLeft w:val="0"/>
      <w:marRight w:val="0"/>
      <w:marTop w:val="0"/>
      <w:marBottom w:val="0"/>
      <w:divBdr>
        <w:top w:val="none" w:sz="0" w:space="0" w:color="auto"/>
        <w:left w:val="none" w:sz="0" w:space="0" w:color="auto"/>
        <w:bottom w:val="none" w:sz="0" w:space="0" w:color="auto"/>
        <w:right w:val="none" w:sz="0" w:space="0" w:color="auto"/>
      </w:divBdr>
    </w:div>
    <w:div w:id="619455715">
      <w:bodyDiv w:val="1"/>
      <w:marLeft w:val="0"/>
      <w:marRight w:val="0"/>
      <w:marTop w:val="0"/>
      <w:marBottom w:val="0"/>
      <w:divBdr>
        <w:top w:val="none" w:sz="0" w:space="0" w:color="auto"/>
        <w:left w:val="none" w:sz="0" w:space="0" w:color="auto"/>
        <w:bottom w:val="none" w:sz="0" w:space="0" w:color="auto"/>
        <w:right w:val="none" w:sz="0" w:space="0" w:color="auto"/>
      </w:divBdr>
    </w:div>
    <w:div w:id="756707137">
      <w:bodyDiv w:val="1"/>
      <w:marLeft w:val="0"/>
      <w:marRight w:val="0"/>
      <w:marTop w:val="0"/>
      <w:marBottom w:val="0"/>
      <w:divBdr>
        <w:top w:val="none" w:sz="0" w:space="0" w:color="auto"/>
        <w:left w:val="none" w:sz="0" w:space="0" w:color="auto"/>
        <w:bottom w:val="none" w:sz="0" w:space="0" w:color="auto"/>
        <w:right w:val="none" w:sz="0" w:space="0" w:color="auto"/>
      </w:divBdr>
    </w:div>
    <w:div w:id="781996646">
      <w:bodyDiv w:val="1"/>
      <w:marLeft w:val="0"/>
      <w:marRight w:val="0"/>
      <w:marTop w:val="0"/>
      <w:marBottom w:val="0"/>
      <w:divBdr>
        <w:top w:val="none" w:sz="0" w:space="0" w:color="auto"/>
        <w:left w:val="none" w:sz="0" w:space="0" w:color="auto"/>
        <w:bottom w:val="none" w:sz="0" w:space="0" w:color="auto"/>
        <w:right w:val="none" w:sz="0" w:space="0" w:color="auto"/>
      </w:divBdr>
    </w:div>
    <w:div w:id="873201748">
      <w:bodyDiv w:val="1"/>
      <w:marLeft w:val="0"/>
      <w:marRight w:val="0"/>
      <w:marTop w:val="0"/>
      <w:marBottom w:val="0"/>
      <w:divBdr>
        <w:top w:val="none" w:sz="0" w:space="0" w:color="auto"/>
        <w:left w:val="none" w:sz="0" w:space="0" w:color="auto"/>
        <w:bottom w:val="none" w:sz="0" w:space="0" w:color="auto"/>
        <w:right w:val="none" w:sz="0" w:space="0" w:color="auto"/>
      </w:divBdr>
    </w:div>
    <w:div w:id="925460212">
      <w:bodyDiv w:val="1"/>
      <w:marLeft w:val="0"/>
      <w:marRight w:val="0"/>
      <w:marTop w:val="0"/>
      <w:marBottom w:val="0"/>
      <w:divBdr>
        <w:top w:val="none" w:sz="0" w:space="0" w:color="auto"/>
        <w:left w:val="none" w:sz="0" w:space="0" w:color="auto"/>
        <w:bottom w:val="none" w:sz="0" w:space="0" w:color="auto"/>
        <w:right w:val="none" w:sz="0" w:space="0" w:color="auto"/>
      </w:divBdr>
    </w:div>
    <w:div w:id="1002511521">
      <w:bodyDiv w:val="1"/>
      <w:marLeft w:val="0"/>
      <w:marRight w:val="0"/>
      <w:marTop w:val="0"/>
      <w:marBottom w:val="0"/>
      <w:divBdr>
        <w:top w:val="none" w:sz="0" w:space="0" w:color="auto"/>
        <w:left w:val="none" w:sz="0" w:space="0" w:color="auto"/>
        <w:bottom w:val="none" w:sz="0" w:space="0" w:color="auto"/>
        <w:right w:val="none" w:sz="0" w:space="0" w:color="auto"/>
      </w:divBdr>
    </w:div>
    <w:div w:id="1026448778">
      <w:bodyDiv w:val="1"/>
      <w:marLeft w:val="0"/>
      <w:marRight w:val="0"/>
      <w:marTop w:val="0"/>
      <w:marBottom w:val="0"/>
      <w:divBdr>
        <w:top w:val="none" w:sz="0" w:space="0" w:color="auto"/>
        <w:left w:val="none" w:sz="0" w:space="0" w:color="auto"/>
        <w:bottom w:val="none" w:sz="0" w:space="0" w:color="auto"/>
        <w:right w:val="none" w:sz="0" w:space="0" w:color="auto"/>
      </w:divBdr>
    </w:div>
    <w:div w:id="1040325111">
      <w:bodyDiv w:val="1"/>
      <w:marLeft w:val="0"/>
      <w:marRight w:val="0"/>
      <w:marTop w:val="0"/>
      <w:marBottom w:val="0"/>
      <w:divBdr>
        <w:top w:val="none" w:sz="0" w:space="0" w:color="auto"/>
        <w:left w:val="none" w:sz="0" w:space="0" w:color="auto"/>
        <w:bottom w:val="none" w:sz="0" w:space="0" w:color="auto"/>
        <w:right w:val="none" w:sz="0" w:space="0" w:color="auto"/>
      </w:divBdr>
    </w:div>
    <w:div w:id="1064840525">
      <w:bodyDiv w:val="1"/>
      <w:marLeft w:val="0"/>
      <w:marRight w:val="0"/>
      <w:marTop w:val="0"/>
      <w:marBottom w:val="0"/>
      <w:divBdr>
        <w:top w:val="none" w:sz="0" w:space="0" w:color="auto"/>
        <w:left w:val="none" w:sz="0" w:space="0" w:color="auto"/>
        <w:bottom w:val="none" w:sz="0" w:space="0" w:color="auto"/>
        <w:right w:val="none" w:sz="0" w:space="0" w:color="auto"/>
      </w:divBdr>
    </w:div>
    <w:div w:id="1079667478">
      <w:bodyDiv w:val="1"/>
      <w:marLeft w:val="0"/>
      <w:marRight w:val="0"/>
      <w:marTop w:val="0"/>
      <w:marBottom w:val="0"/>
      <w:divBdr>
        <w:top w:val="none" w:sz="0" w:space="0" w:color="auto"/>
        <w:left w:val="none" w:sz="0" w:space="0" w:color="auto"/>
        <w:bottom w:val="none" w:sz="0" w:space="0" w:color="auto"/>
        <w:right w:val="none" w:sz="0" w:space="0" w:color="auto"/>
      </w:divBdr>
    </w:div>
    <w:div w:id="1222713903">
      <w:bodyDiv w:val="1"/>
      <w:marLeft w:val="0"/>
      <w:marRight w:val="0"/>
      <w:marTop w:val="0"/>
      <w:marBottom w:val="0"/>
      <w:divBdr>
        <w:top w:val="none" w:sz="0" w:space="0" w:color="auto"/>
        <w:left w:val="none" w:sz="0" w:space="0" w:color="auto"/>
        <w:bottom w:val="none" w:sz="0" w:space="0" w:color="auto"/>
        <w:right w:val="none" w:sz="0" w:space="0" w:color="auto"/>
      </w:divBdr>
    </w:div>
    <w:div w:id="1241867061">
      <w:bodyDiv w:val="1"/>
      <w:marLeft w:val="0"/>
      <w:marRight w:val="0"/>
      <w:marTop w:val="0"/>
      <w:marBottom w:val="0"/>
      <w:divBdr>
        <w:top w:val="none" w:sz="0" w:space="0" w:color="auto"/>
        <w:left w:val="none" w:sz="0" w:space="0" w:color="auto"/>
        <w:bottom w:val="none" w:sz="0" w:space="0" w:color="auto"/>
        <w:right w:val="none" w:sz="0" w:space="0" w:color="auto"/>
      </w:divBdr>
    </w:div>
    <w:div w:id="1243367368">
      <w:bodyDiv w:val="1"/>
      <w:marLeft w:val="0"/>
      <w:marRight w:val="0"/>
      <w:marTop w:val="0"/>
      <w:marBottom w:val="0"/>
      <w:divBdr>
        <w:top w:val="none" w:sz="0" w:space="0" w:color="auto"/>
        <w:left w:val="none" w:sz="0" w:space="0" w:color="auto"/>
        <w:bottom w:val="none" w:sz="0" w:space="0" w:color="auto"/>
        <w:right w:val="none" w:sz="0" w:space="0" w:color="auto"/>
      </w:divBdr>
    </w:div>
    <w:div w:id="1283537454">
      <w:bodyDiv w:val="1"/>
      <w:marLeft w:val="0"/>
      <w:marRight w:val="0"/>
      <w:marTop w:val="0"/>
      <w:marBottom w:val="0"/>
      <w:divBdr>
        <w:top w:val="none" w:sz="0" w:space="0" w:color="auto"/>
        <w:left w:val="none" w:sz="0" w:space="0" w:color="auto"/>
        <w:bottom w:val="none" w:sz="0" w:space="0" w:color="auto"/>
        <w:right w:val="none" w:sz="0" w:space="0" w:color="auto"/>
      </w:divBdr>
    </w:div>
    <w:div w:id="1310403747">
      <w:bodyDiv w:val="1"/>
      <w:marLeft w:val="0"/>
      <w:marRight w:val="0"/>
      <w:marTop w:val="0"/>
      <w:marBottom w:val="0"/>
      <w:divBdr>
        <w:top w:val="none" w:sz="0" w:space="0" w:color="auto"/>
        <w:left w:val="none" w:sz="0" w:space="0" w:color="auto"/>
        <w:bottom w:val="none" w:sz="0" w:space="0" w:color="auto"/>
        <w:right w:val="none" w:sz="0" w:space="0" w:color="auto"/>
      </w:divBdr>
    </w:div>
    <w:div w:id="1368482565">
      <w:bodyDiv w:val="1"/>
      <w:marLeft w:val="0"/>
      <w:marRight w:val="0"/>
      <w:marTop w:val="0"/>
      <w:marBottom w:val="0"/>
      <w:divBdr>
        <w:top w:val="none" w:sz="0" w:space="0" w:color="auto"/>
        <w:left w:val="none" w:sz="0" w:space="0" w:color="auto"/>
        <w:bottom w:val="none" w:sz="0" w:space="0" w:color="auto"/>
        <w:right w:val="none" w:sz="0" w:space="0" w:color="auto"/>
      </w:divBdr>
    </w:div>
    <w:div w:id="1419407232">
      <w:bodyDiv w:val="1"/>
      <w:marLeft w:val="0"/>
      <w:marRight w:val="0"/>
      <w:marTop w:val="0"/>
      <w:marBottom w:val="0"/>
      <w:divBdr>
        <w:top w:val="none" w:sz="0" w:space="0" w:color="auto"/>
        <w:left w:val="none" w:sz="0" w:space="0" w:color="auto"/>
        <w:bottom w:val="none" w:sz="0" w:space="0" w:color="auto"/>
        <w:right w:val="none" w:sz="0" w:space="0" w:color="auto"/>
      </w:divBdr>
    </w:div>
    <w:div w:id="1464153451">
      <w:bodyDiv w:val="1"/>
      <w:marLeft w:val="0"/>
      <w:marRight w:val="0"/>
      <w:marTop w:val="0"/>
      <w:marBottom w:val="0"/>
      <w:divBdr>
        <w:top w:val="none" w:sz="0" w:space="0" w:color="auto"/>
        <w:left w:val="none" w:sz="0" w:space="0" w:color="auto"/>
        <w:bottom w:val="none" w:sz="0" w:space="0" w:color="auto"/>
        <w:right w:val="none" w:sz="0" w:space="0" w:color="auto"/>
      </w:divBdr>
    </w:div>
    <w:div w:id="1474176069">
      <w:bodyDiv w:val="1"/>
      <w:marLeft w:val="0"/>
      <w:marRight w:val="0"/>
      <w:marTop w:val="0"/>
      <w:marBottom w:val="0"/>
      <w:divBdr>
        <w:top w:val="none" w:sz="0" w:space="0" w:color="auto"/>
        <w:left w:val="none" w:sz="0" w:space="0" w:color="auto"/>
        <w:bottom w:val="none" w:sz="0" w:space="0" w:color="auto"/>
        <w:right w:val="none" w:sz="0" w:space="0" w:color="auto"/>
      </w:divBdr>
    </w:div>
    <w:div w:id="1482306270">
      <w:bodyDiv w:val="1"/>
      <w:marLeft w:val="0"/>
      <w:marRight w:val="0"/>
      <w:marTop w:val="0"/>
      <w:marBottom w:val="0"/>
      <w:divBdr>
        <w:top w:val="none" w:sz="0" w:space="0" w:color="auto"/>
        <w:left w:val="none" w:sz="0" w:space="0" w:color="auto"/>
        <w:bottom w:val="none" w:sz="0" w:space="0" w:color="auto"/>
        <w:right w:val="none" w:sz="0" w:space="0" w:color="auto"/>
      </w:divBdr>
    </w:div>
    <w:div w:id="1482506796">
      <w:bodyDiv w:val="1"/>
      <w:marLeft w:val="0"/>
      <w:marRight w:val="0"/>
      <w:marTop w:val="0"/>
      <w:marBottom w:val="0"/>
      <w:divBdr>
        <w:top w:val="none" w:sz="0" w:space="0" w:color="auto"/>
        <w:left w:val="none" w:sz="0" w:space="0" w:color="auto"/>
        <w:bottom w:val="none" w:sz="0" w:space="0" w:color="auto"/>
        <w:right w:val="none" w:sz="0" w:space="0" w:color="auto"/>
      </w:divBdr>
    </w:div>
    <w:div w:id="1596595684">
      <w:bodyDiv w:val="1"/>
      <w:marLeft w:val="0"/>
      <w:marRight w:val="0"/>
      <w:marTop w:val="0"/>
      <w:marBottom w:val="0"/>
      <w:divBdr>
        <w:top w:val="none" w:sz="0" w:space="0" w:color="auto"/>
        <w:left w:val="none" w:sz="0" w:space="0" w:color="auto"/>
        <w:bottom w:val="none" w:sz="0" w:space="0" w:color="auto"/>
        <w:right w:val="none" w:sz="0" w:space="0" w:color="auto"/>
      </w:divBdr>
    </w:div>
    <w:div w:id="1608200038">
      <w:bodyDiv w:val="1"/>
      <w:marLeft w:val="0"/>
      <w:marRight w:val="0"/>
      <w:marTop w:val="0"/>
      <w:marBottom w:val="0"/>
      <w:divBdr>
        <w:top w:val="none" w:sz="0" w:space="0" w:color="auto"/>
        <w:left w:val="none" w:sz="0" w:space="0" w:color="auto"/>
        <w:bottom w:val="none" w:sz="0" w:space="0" w:color="auto"/>
        <w:right w:val="none" w:sz="0" w:space="0" w:color="auto"/>
      </w:divBdr>
    </w:div>
    <w:div w:id="1677076669">
      <w:bodyDiv w:val="1"/>
      <w:marLeft w:val="0"/>
      <w:marRight w:val="0"/>
      <w:marTop w:val="0"/>
      <w:marBottom w:val="0"/>
      <w:divBdr>
        <w:top w:val="none" w:sz="0" w:space="0" w:color="auto"/>
        <w:left w:val="none" w:sz="0" w:space="0" w:color="auto"/>
        <w:bottom w:val="none" w:sz="0" w:space="0" w:color="auto"/>
        <w:right w:val="none" w:sz="0" w:space="0" w:color="auto"/>
      </w:divBdr>
    </w:div>
    <w:div w:id="1715348095">
      <w:bodyDiv w:val="1"/>
      <w:marLeft w:val="0"/>
      <w:marRight w:val="0"/>
      <w:marTop w:val="0"/>
      <w:marBottom w:val="0"/>
      <w:divBdr>
        <w:top w:val="none" w:sz="0" w:space="0" w:color="auto"/>
        <w:left w:val="none" w:sz="0" w:space="0" w:color="auto"/>
        <w:bottom w:val="none" w:sz="0" w:space="0" w:color="auto"/>
        <w:right w:val="none" w:sz="0" w:space="0" w:color="auto"/>
      </w:divBdr>
    </w:div>
    <w:div w:id="1716539327">
      <w:bodyDiv w:val="1"/>
      <w:marLeft w:val="0"/>
      <w:marRight w:val="0"/>
      <w:marTop w:val="0"/>
      <w:marBottom w:val="0"/>
      <w:divBdr>
        <w:top w:val="none" w:sz="0" w:space="0" w:color="auto"/>
        <w:left w:val="none" w:sz="0" w:space="0" w:color="auto"/>
        <w:bottom w:val="none" w:sz="0" w:space="0" w:color="auto"/>
        <w:right w:val="none" w:sz="0" w:space="0" w:color="auto"/>
      </w:divBdr>
    </w:div>
    <w:div w:id="1770465092">
      <w:bodyDiv w:val="1"/>
      <w:marLeft w:val="0"/>
      <w:marRight w:val="0"/>
      <w:marTop w:val="0"/>
      <w:marBottom w:val="0"/>
      <w:divBdr>
        <w:top w:val="none" w:sz="0" w:space="0" w:color="auto"/>
        <w:left w:val="none" w:sz="0" w:space="0" w:color="auto"/>
        <w:bottom w:val="none" w:sz="0" w:space="0" w:color="auto"/>
        <w:right w:val="none" w:sz="0" w:space="0" w:color="auto"/>
      </w:divBdr>
    </w:div>
    <w:div w:id="1821192652">
      <w:bodyDiv w:val="1"/>
      <w:marLeft w:val="0"/>
      <w:marRight w:val="0"/>
      <w:marTop w:val="0"/>
      <w:marBottom w:val="0"/>
      <w:divBdr>
        <w:top w:val="none" w:sz="0" w:space="0" w:color="auto"/>
        <w:left w:val="none" w:sz="0" w:space="0" w:color="auto"/>
        <w:bottom w:val="none" w:sz="0" w:space="0" w:color="auto"/>
        <w:right w:val="none" w:sz="0" w:space="0" w:color="auto"/>
      </w:divBdr>
    </w:div>
    <w:div w:id="1875145274">
      <w:bodyDiv w:val="1"/>
      <w:marLeft w:val="0"/>
      <w:marRight w:val="0"/>
      <w:marTop w:val="0"/>
      <w:marBottom w:val="0"/>
      <w:divBdr>
        <w:top w:val="none" w:sz="0" w:space="0" w:color="auto"/>
        <w:left w:val="none" w:sz="0" w:space="0" w:color="auto"/>
        <w:bottom w:val="none" w:sz="0" w:space="0" w:color="auto"/>
        <w:right w:val="none" w:sz="0" w:space="0" w:color="auto"/>
      </w:divBdr>
    </w:div>
    <w:div w:id="1892889027">
      <w:bodyDiv w:val="1"/>
      <w:marLeft w:val="0"/>
      <w:marRight w:val="0"/>
      <w:marTop w:val="0"/>
      <w:marBottom w:val="0"/>
      <w:divBdr>
        <w:top w:val="none" w:sz="0" w:space="0" w:color="auto"/>
        <w:left w:val="none" w:sz="0" w:space="0" w:color="auto"/>
        <w:bottom w:val="none" w:sz="0" w:space="0" w:color="auto"/>
        <w:right w:val="none" w:sz="0" w:space="0" w:color="auto"/>
      </w:divBdr>
    </w:div>
    <w:div w:id="1954745827">
      <w:bodyDiv w:val="1"/>
      <w:marLeft w:val="0"/>
      <w:marRight w:val="0"/>
      <w:marTop w:val="0"/>
      <w:marBottom w:val="0"/>
      <w:divBdr>
        <w:top w:val="none" w:sz="0" w:space="0" w:color="auto"/>
        <w:left w:val="none" w:sz="0" w:space="0" w:color="auto"/>
        <w:bottom w:val="none" w:sz="0" w:space="0" w:color="auto"/>
        <w:right w:val="none" w:sz="0" w:space="0" w:color="auto"/>
      </w:divBdr>
    </w:div>
    <w:div w:id="20364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4</TotalTime>
  <Pages>8</Pages>
  <Words>2165</Words>
  <Characters>13161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Pia Lynge</dc:creator>
  <cp:keywords/>
  <dc:description>2021023015 var 2 - _x000d_
Ændring i MAH adresse i DK fra:_x000d_
6 Agias Elenis Street, _x000d_
Agias Elenis Building, Office 43,_x000d_
1060 Nicosia_x000d_
Cyprus</dc:description>
  <cp:lastModifiedBy>Pia Lynge</cp:lastModifiedBy>
  <cp:revision>6</cp:revision>
  <cp:lastPrinted>2021-01-19T13:19:00Z</cp:lastPrinted>
  <dcterms:created xsi:type="dcterms:W3CDTF">2021-04-15T08:14:00Z</dcterms:created>
  <dcterms:modified xsi:type="dcterms:W3CDTF">2021-04-15T08:18:00Z</dcterms:modified>
</cp:coreProperties>
</file>