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97FE2">
        <w:rPr>
          <w:szCs w:val="24"/>
        </w:rPr>
        <w:t>12. december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A97FE2" w:rsidRDefault="009260DE" w:rsidP="009260DE">
      <w:pPr>
        <w:jc w:val="center"/>
        <w:rPr>
          <w:b/>
          <w:sz w:val="24"/>
          <w:szCs w:val="24"/>
        </w:rPr>
      </w:pPr>
      <w:r w:rsidRPr="00A97FE2">
        <w:rPr>
          <w:b/>
          <w:sz w:val="24"/>
          <w:szCs w:val="24"/>
        </w:rPr>
        <w:t>PRODUKTRESUMÉ</w:t>
      </w:r>
    </w:p>
    <w:p w:rsidR="009260DE" w:rsidRPr="00A97FE2" w:rsidRDefault="009260DE" w:rsidP="009260DE">
      <w:pPr>
        <w:jc w:val="center"/>
        <w:rPr>
          <w:b/>
          <w:sz w:val="24"/>
          <w:szCs w:val="24"/>
        </w:rPr>
      </w:pPr>
    </w:p>
    <w:p w:rsidR="009260DE" w:rsidRPr="00A97FE2" w:rsidRDefault="009260DE" w:rsidP="009260DE">
      <w:pPr>
        <w:jc w:val="center"/>
        <w:rPr>
          <w:b/>
          <w:sz w:val="24"/>
          <w:szCs w:val="24"/>
        </w:rPr>
      </w:pPr>
      <w:r w:rsidRPr="00A97FE2">
        <w:rPr>
          <w:b/>
          <w:sz w:val="24"/>
          <w:szCs w:val="24"/>
        </w:rPr>
        <w:t>for</w:t>
      </w:r>
    </w:p>
    <w:p w:rsidR="000B058C" w:rsidRPr="00A97FE2" w:rsidRDefault="000B058C" w:rsidP="009260DE">
      <w:pPr>
        <w:jc w:val="center"/>
        <w:rPr>
          <w:b/>
          <w:sz w:val="24"/>
          <w:szCs w:val="24"/>
        </w:rPr>
      </w:pPr>
    </w:p>
    <w:p w:rsidR="009260DE" w:rsidRPr="00A97FE2" w:rsidRDefault="00385943" w:rsidP="009260DE">
      <w:pPr>
        <w:jc w:val="center"/>
        <w:rPr>
          <w:b/>
          <w:sz w:val="24"/>
          <w:szCs w:val="24"/>
        </w:rPr>
      </w:pPr>
      <w:r w:rsidRPr="00A97FE2">
        <w:rPr>
          <w:b/>
          <w:sz w:val="24"/>
          <w:szCs w:val="24"/>
        </w:rPr>
        <w:t>Clindonix, gel</w:t>
      </w:r>
    </w:p>
    <w:p w:rsidR="009260DE" w:rsidRPr="00A97FE2" w:rsidRDefault="009260DE" w:rsidP="009260DE">
      <w:pPr>
        <w:jc w:val="both"/>
        <w:rPr>
          <w:sz w:val="24"/>
          <w:szCs w:val="24"/>
        </w:rPr>
      </w:pPr>
    </w:p>
    <w:p w:rsidR="009260DE" w:rsidRPr="00A97FE2" w:rsidRDefault="009260DE" w:rsidP="009260DE">
      <w:pPr>
        <w:jc w:val="both"/>
        <w:rPr>
          <w:sz w:val="24"/>
          <w:szCs w:val="24"/>
        </w:rPr>
      </w:pPr>
    </w:p>
    <w:p w:rsidR="009260DE" w:rsidRPr="00A97FE2" w:rsidRDefault="009260DE" w:rsidP="009260DE">
      <w:pPr>
        <w:tabs>
          <w:tab w:val="left" w:pos="851"/>
        </w:tabs>
        <w:ind w:left="851" w:hanging="851"/>
        <w:rPr>
          <w:b/>
          <w:sz w:val="24"/>
          <w:szCs w:val="24"/>
        </w:rPr>
      </w:pPr>
      <w:r w:rsidRPr="00A97FE2">
        <w:rPr>
          <w:b/>
          <w:sz w:val="24"/>
          <w:szCs w:val="24"/>
        </w:rPr>
        <w:t>0.</w:t>
      </w:r>
      <w:r w:rsidRPr="00A97FE2">
        <w:rPr>
          <w:b/>
          <w:sz w:val="24"/>
          <w:szCs w:val="24"/>
        </w:rPr>
        <w:tab/>
        <w:t>D.SP.NR.</w:t>
      </w:r>
    </w:p>
    <w:p w:rsidR="009260DE" w:rsidRPr="00C84483" w:rsidRDefault="00AF64F1" w:rsidP="009260DE">
      <w:pPr>
        <w:tabs>
          <w:tab w:val="left" w:pos="851"/>
        </w:tabs>
        <w:ind w:left="851"/>
        <w:rPr>
          <w:sz w:val="24"/>
          <w:szCs w:val="24"/>
        </w:rPr>
      </w:pPr>
      <w:r>
        <w:rPr>
          <w:sz w:val="24"/>
          <w:szCs w:val="24"/>
        </w:rPr>
        <w:t>33217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A2136" w:rsidP="009260DE">
      <w:pPr>
        <w:tabs>
          <w:tab w:val="left" w:pos="851"/>
        </w:tabs>
        <w:ind w:left="851"/>
        <w:rPr>
          <w:sz w:val="24"/>
          <w:szCs w:val="24"/>
        </w:rPr>
      </w:pPr>
      <w:r>
        <w:rPr>
          <w:sz w:val="24"/>
          <w:szCs w:val="24"/>
        </w:rPr>
        <w:t>Clindonix</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A2136" w:rsidRDefault="009A2136" w:rsidP="009A2136">
      <w:pPr>
        <w:tabs>
          <w:tab w:val="left" w:pos="851"/>
        </w:tabs>
        <w:ind w:left="851"/>
        <w:rPr>
          <w:sz w:val="24"/>
          <w:szCs w:val="24"/>
        </w:rPr>
      </w:pPr>
    </w:p>
    <w:p w:rsidR="009A2136" w:rsidRPr="009A2136" w:rsidRDefault="009A2136" w:rsidP="009A2136">
      <w:pPr>
        <w:tabs>
          <w:tab w:val="left" w:pos="851"/>
        </w:tabs>
        <w:ind w:left="851"/>
        <w:rPr>
          <w:sz w:val="24"/>
          <w:szCs w:val="24"/>
          <w:u w:val="single"/>
        </w:rPr>
      </w:pPr>
      <w:r w:rsidRPr="009A2136">
        <w:rPr>
          <w:sz w:val="24"/>
          <w:szCs w:val="24"/>
          <w:u w:val="single"/>
        </w:rPr>
        <w:t>1 g gel indeholder</w:t>
      </w:r>
    </w:p>
    <w:p w:rsidR="009A2136" w:rsidRPr="009A2136" w:rsidRDefault="009A2136" w:rsidP="009A2136">
      <w:pPr>
        <w:tabs>
          <w:tab w:val="left" w:pos="851"/>
        </w:tabs>
        <w:ind w:left="851"/>
        <w:rPr>
          <w:sz w:val="24"/>
          <w:szCs w:val="24"/>
        </w:rPr>
      </w:pPr>
      <w:r w:rsidRPr="009A2136">
        <w:rPr>
          <w:sz w:val="24"/>
          <w:szCs w:val="24"/>
        </w:rPr>
        <w:t>10 mg clindamycin som clindamycinphosphat</w:t>
      </w:r>
    </w:p>
    <w:p w:rsidR="009A2136" w:rsidRPr="009A2136" w:rsidRDefault="009A2136" w:rsidP="009A2136">
      <w:pPr>
        <w:tabs>
          <w:tab w:val="left" w:pos="851"/>
        </w:tabs>
        <w:ind w:left="851"/>
        <w:rPr>
          <w:sz w:val="24"/>
          <w:szCs w:val="24"/>
        </w:rPr>
      </w:pPr>
      <w:r w:rsidRPr="009A2136">
        <w:rPr>
          <w:sz w:val="24"/>
          <w:szCs w:val="24"/>
        </w:rPr>
        <w:t>50 mg vandfri benzoylper</w:t>
      </w:r>
      <w:r w:rsidRPr="009A2136">
        <w:rPr>
          <w:sz w:val="24"/>
          <w:szCs w:val="24"/>
        </w:rPr>
        <w:softHyphen/>
        <w:t>oxid (som benzoylperoxid, vandig)</w:t>
      </w:r>
    </w:p>
    <w:p w:rsidR="009A2136" w:rsidRPr="009A2136" w:rsidRDefault="009A2136" w:rsidP="009A2136">
      <w:pPr>
        <w:tabs>
          <w:tab w:val="left" w:pos="851"/>
        </w:tabs>
        <w:ind w:left="851"/>
        <w:rPr>
          <w:sz w:val="24"/>
          <w:szCs w:val="24"/>
        </w:rPr>
      </w:pPr>
    </w:p>
    <w:p w:rsidR="009A2136" w:rsidRPr="009A2136" w:rsidRDefault="009A2136" w:rsidP="009A2136">
      <w:pPr>
        <w:tabs>
          <w:tab w:val="left" w:pos="851"/>
        </w:tabs>
        <w:ind w:left="851"/>
        <w:rPr>
          <w:sz w:val="24"/>
          <w:szCs w:val="24"/>
        </w:rPr>
      </w:pPr>
      <w:r w:rsidRPr="009A2136">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A2136" w:rsidRDefault="009A2136" w:rsidP="009A2136">
      <w:pPr>
        <w:tabs>
          <w:tab w:val="left" w:pos="851"/>
        </w:tabs>
        <w:ind w:left="851"/>
        <w:rPr>
          <w:sz w:val="24"/>
          <w:szCs w:val="24"/>
        </w:rPr>
      </w:pPr>
      <w:r w:rsidRPr="009A2136">
        <w:rPr>
          <w:sz w:val="24"/>
          <w:szCs w:val="24"/>
        </w:rPr>
        <w:t>Gel</w:t>
      </w:r>
    </w:p>
    <w:p w:rsidR="009A2136" w:rsidRPr="009A2136" w:rsidRDefault="009A2136" w:rsidP="009A2136">
      <w:pPr>
        <w:tabs>
          <w:tab w:val="left" w:pos="851"/>
        </w:tabs>
        <w:ind w:left="851"/>
        <w:rPr>
          <w:sz w:val="24"/>
          <w:szCs w:val="24"/>
        </w:rPr>
      </w:pPr>
    </w:p>
    <w:p w:rsidR="009A2136" w:rsidRPr="009A2136" w:rsidRDefault="009A2136" w:rsidP="009A2136">
      <w:pPr>
        <w:tabs>
          <w:tab w:val="left" w:pos="851"/>
        </w:tabs>
        <w:ind w:left="851"/>
        <w:rPr>
          <w:sz w:val="24"/>
          <w:szCs w:val="24"/>
        </w:rPr>
      </w:pPr>
      <w:r w:rsidRPr="009A2136">
        <w:rPr>
          <w:sz w:val="24"/>
          <w:szCs w:val="24"/>
        </w:rPr>
        <w:t>Hvid til svagt gul, homogen gel med små synlige partikler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F7E80" w:rsidRPr="00BF7E80" w:rsidRDefault="00BF7E80" w:rsidP="00BF7E80">
      <w:pPr>
        <w:tabs>
          <w:tab w:val="left" w:pos="851"/>
        </w:tabs>
        <w:ind w:left="851"/>
        <w:rPr>
          <w:sz w:val="24"/>
          <w:szCs w:val="24"/>
        </w:rPr>
      </w:pPr>
      <w:r w:rsidRPr="00BF7E80">
        <w:rPr>
          <w:sz w:val="24"/>
          <w:szCs w:val="24"/>
        </w:rPr>
        <w:t>Clindonix er indiceret til topikal behandling af let til moderat acne vulgaris, især inflammerede læsioner, hos voksne og unge i alderen 12 år og derover (se pkt. 4.4 og 5.1).</w:t>
      </w:r>
    </w:p>
    <w:p w:rsidR="00BF7E80" w:rsidRPr="00BF7E80" w:rsidRDefault="00BF7E80" w:rsidP="00BF7E80">
      <w:pPr>
        <w:tabs>
          <w:tab w:val="left" w:pos="851"/>
        </w:tabs>
        <w:ind w:left="851"/>
        <w:rPr>
          <w:sz w:val="24"/>
          <w:szCs w:val="24"/>
        </w:rPr>
      </w:pPr>
    </w:p>
    <w:p w:rsidR="00BF7E80" w:rsidRPr="00BF7E80" w:rsidRDefault="00BF7E80" w:rsidP="00BF7E80">
      <w:pPr>
        <w:tabs>
          <w:tab w:val="left" w:pos="851"/>
        </w:tabs>
        <w:ind w:left="851"/>
        <w:rPr>
          <w:sz w:val="24"/>
          <w:szCs w:val="24"/>
        </w:rPr>
      </w:pPr>
      <w:r w:rsidRPr="00BF7E80">
        <w:rPr>
          <w:sz w:val="24"/>
          <w:szCs w:val="24"/>
        </w:rPr>
        <w:t>Officielle retningslinjer og anbefalinger vedrørende brug af antibiotika bør tages i betragtning.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392938" w:rsidRPr="00392938" w:rsidRDefault="00392938" w:rsidP="00392938">
      <w:pPr>
        <w:tabs>
          <w:tab w:val="left" w:pos="851"/>
        </w:tabs>
        <w:ind w:left="851"/>
        <w:rPr>
          <w:sz w:val="24"/>
          <w:szCs w:val="24"/>
        </w:rPr>
      </w:pPr>
      <w:r w:rsidRPr="00392938">
        <w:rPr>
          <w:sz w:val="24"/>
          <w:szCs w:val="24"/>
        </w:rPr>
        <w:t>Kun til kutan anvendelse.</w:t>
      </w:r>
    </w:p>
    <w:p w:rsidR="00392938" w:rsidRPr="00392938" w:rsidRDefault="00392938" w:rsidP="00392938">
      <w:pPr>
        <w:tabs>
          <w:tab w:val="left" w:pos="851"/>
        </w:tabs>
        <w:ind w:left="851"/>
        <w:rPr>
          <w:sz w:val="24"/>
          <w:szCs w:val="24"/>
        </w:rPr>
      </w:pPr>
    </w:p>
    <w:p w:rsidR="00392938" w:rsidRPr="00392938" w:rsidRDefault="00392938" w:rsidP="00392938">
      <w:pPr>
        <w:tabs>
          <w:tab w:val="left" w:pos="851"/>
        </w:tabs>
        <w:ind w:left="851"/>
        <w:rPr>
          <w:sz w:val="24"/>
          <w:szCs w:val="24"/>
          <w:u w:val="single"/>
        </w:rPr>
      </w:pPr>
      <w:r w:rsidRPr="00392938">
        <w:rPr>
          <w:sz w:val="24"/>
          <w:szCs w:val="24"/>
          <w:u w:val="single"/>
        </w:rPr>
        <w:t>Dosering</w:t>
      </w:r>
    </w:p>
    <w:p w:rsidR="00392938" w:rsidRPr="00392938" w:rsidRDefault="00392938" w:rsidP="00392938">
      <w:pPr>
        <w:tabs>
          <w:tab w:val="left" w:pos="851"/>
        </w:tabs>
        <w:ind w:left="851"/>
        <w:rPr>
          <w:sz w:val="24"/>
          <w:szCs w:val="24"/>
          <w:u w:val="single"/>
        </w:rPr>
      </w:pPr>
    </w:p>
    <w:p w:rsidR="00392938" w:rsidRPr="00392938" w:rsidRDefault="00392938" w:rsidP="00392938">
      <w:pPr>
        <w:tabs>
          <w:tab w:val="left" w:pos="851"/>
        </w:tabs>
        <w:ind w:left="851"/>
        <w:rPr>
          <w:i/>
          <w:sz w:val="24"/>
          <w:szCs w:val="24"/>
        </w:rPr>
      </w:pPr>
      <w:r w:rsidRPr="00392938">
        <w:rPr>
          <w:i/>
          <w:sz w:val="24"/>
          <w:szCs w:val="24"/>
        </w:rPr>
        <w:t>Voksne og unge (12 år og derover)</w:t>
      </w:r>
    </w:p>
    <w:p w:rsidR="00392938" w:rsidRPr="00392938" w:rsidRDefault="00392938" w:rsidP="00392938">
      <w:pPr>
        <w:tabs>
          <w:tab w:val="left" w:pos="851"/>
        </w:tabs>
        <w:ind w:left="851"/>
        <w:rPr>
          <w:sz w:val="24"/>
          <w:szCs w:val="24"/>
        </w:rPr>
      </w:pPr>
      <w:r w:rsidRPr="00392938">
        <w:rPr>
          <w:sz w:val="24"/>
          <w:szCs w:val="24"/>
        </w:rPr>
        <w:t>Clindonix bør påføres en gang daglig, om aftenen, på hele det berørte område.</w:t>
      </w:r>
    </w:p>
    <w:p w:rsidR="00392938" w:rsidRPr="00392938" w:rsidRDefault="00392938" w:rsidP="00392938">
      <w:pPr>
        <w:tabs>
          <w:tab w:val="left" w:pos="851"/>
        </w:tabs>
        <w:ind w:left="851"/>
        <w:rPr>
          <w:sz w:val="24"/>
          <w:szCs w:val="24"/>
        </w:rPr>
      </w:pPr>
    </w:p>
    <w:p w:rsidR="00392938" w:rsidRPr="00392938" w:rsidRDefault="00392938" w:rsidP="00392938">
      <w:pPr>
        <w:tabs>
          <w:tab w:val="left" w:pos="851"/>
        </w:tabs>
        <w:ind w:left="851"/>
        <w:rPr>
          <w:sz w:val="24"/>
          <w:szCs w:val="24"/>
        </w:rPr>
      </w:pPr>
      <w:r w:rsidRPr="00392938">
        <w:rPr>
          <w:sz w:val="24"/>
          <w:szCs w:val="24"/>
        </w:rPr>
        <w:t>Patienter bør informeres om, at overdreven anvendelse ikke vil forbedre effektiviteten, men kan øge risikoen for hudirritation.</w:t>
      </w:r>
    </w:p>
    <w:p w:rsidR="00392938" w:rsidRPr="00392938" w:rsidRDefault="00392938" w:rsidP="00392938">
      <w:pPr>
        <w:tabs>
          <w:tab w:val="left" w:pos="851"/>
        </w:tabs>
        <w:ind w:left="851"/>
        <w:rPr>
          <w:sz w:val="24"/>
          <w:szCs w:val="24"/>
        </w:rPr>
      </w:pPr>
      <w:r w:rsidRPr="00392938">
        <w:rPr>
          <w:sz w:val="24"/>
          <w:szCs w:val="24"/>
        </w:rPr>
        <w:t>Hvis overdreven tørhed og afskalning forekommer, bør påføringsfrekvensen reduceres eller påføringen midlertidigt afbrydes (se pkt. 4.4).</w:t>
      </w:r>
    </w:p>
    <w:p w:rsidR="00392938" w:rsidRPr="00392938" w:rsidRDefault="00392938" w:rsidP="00392938">
      <w:pPr>
        <w:tabs>
          <w:tab w:val="left" w:pos="851"/>
        </w:tabs>
        <w:ind w:left="851"/>
        <w:rPr>
          <w:sz w:val="24"/>
          <w:szCs w:val="24"/>
        </w:rPr>
      </w:pPr>
    </w:p>
    <w:p w:rsidR="00392938" w:rsidRPr="00392938" w:rsidRDefault="00392938" w:rsidP="00392938">
      <w:pPr>
        <w:tabs>
          <w:tab w:val="left" w:pos="851"/>
        </w:tabs>
        <w:ind w:left="851"/>
        <w:rPr>
          <w:sz w:val="24"/>
          <w:szCs w:val="24"/>
        </w:rPr>
      </w:pPr>
      <w:r w:rsidRPr="00392938">
        <w:rPr>
          <w:sz w:val="24"/>
          <w:szCs w:val="24"/>
        </w:rPr>
        <w:t>En effekt på inflammatoriske og ikke-inflammatoriske læsioner kan ses så tidligt som i uge 2</w:t>
      </w:r>
      <w:r w:rsidRPr="00392938">
        <w:rPr>
          <w:sz w:val="24"/>
          <w:szCs w:val="24"/>
        </w:rPr>
        <w:noBreakHyphen/>
        <w:t>5 af behandlingen. (se pkt. 5.1).</w:t>
      </w:r>
    </w:p>
    <w:p w:rsidR="00392938" w:rsidRPr="00392938" w:rsidRDefault="00392938" w:rsidP="00392938">
      <w:pPr>
        <w:tabs>
          <w:tab w:val="left" w:pos="851"/>
        </w:tabs>
        <w:ind w:left="851"/>
        <w:rPr>
          <w:sz w:val="24"/>
          <w:szCs w:val="24"/>
        </w:rPr>
      </w:pPr>
    </w:p>
    <w:p w:rsidR="00392938" w:rsidRPr="00392938" w:rsidRDefault="00392938" w:rsidP="00392938">
      <w:pPr>
        <w:tabs>
          <w:tab w:val="left" w:pos="851"/>
        </w:tabs>
        <w:ind w:left="851"/>
        <w:rPr>
          <w:sz w:val="24"/>
          <w:szCs w:val="24"/>
        </w:rPr>
      </w:pPr>
      <w:r w:rsidRPr="00392938">
        <w:rPr>
          <w:sz w:val="24"/>
          <w:szCs w:val="24"/>
        </w:rPr>
        <w:t>Sikkerheden og virkningen af clindamycin 10 mg/g + vandfri benzoylper</w:t>
      </w:r>
      <w:r w:rsidRPr="00392938">
        <w:rPr>
          <w:sz w:val="24"/>
          <w:szCs w:val="24"/>
        </w:rPr>
        <w:softHyphen/>
        <w:t>oxid 50 mg/g gel er ikke undersøgt i kliniske studier i længere tid end 12 uger for acne vulgaris.</w:t>
      </w:r>
    </w:p>
    <w:p w:rsidR="00392938" w:rsidRPr="00392938" w:rsidRDefault="00392938" w:rsidP="00392938">
      <w:pPr>
        <w:tabs>
          <w:tab w:val="left" w:pos="851"/>
        </w:tabs>
        <w:ind w:left="851"/>
        <w:rPr>
          <w:sz w:val="24"/>
          <w:szCs w:val="24"/>
        </w:rPr>
      </w:pPr>
      <w:r w:rsidRPr="00392938">
        <w:rPr>
          <w:sz w:val="24"/>
          <w:szCs w:val="24"/>
        </w:rPr>
        <w:t>Behandling med Clindonix bør ikke overstige 12 ugers uafbrudt anvendelse.</w:t>
      </w:r>
    </w:p>
    <w:p w:rsidR="00392938" w:rsidRPr="00392938" w:rsidRDefault="00392938" w:rsidP="00392938">
      <w:pPr>
        <w:tabs>
          <w:tab w:val="left" w:pos="851"/>
        </w:tabs>
        <w:ind w:left="851"/>
        <w:rPr>
          <w:sz w:val="24"/>
          <w:szCs w:val="24"/>
        </w:rPr>
      </w:pPr>
    </w:p>
    <w:p w:rsidR="00392938" w:rsidRPr="00392938" w:rsidRDefault="00392938" w:rsidP="00392938">
      <w:pPr>
        <w:tabs>
          <w:tab w:val="left" w:pos="851"/>
        </w:tabs>
        <w:ind w:left="851"/>
        <w:rPr>
          <w:sz w:val="24"/>
          <w:szCs w:val="24"/>
        </w:rPr>
      </w:pPr>
      <w:r w:rsidRPr="00392938">
        <w:rPr>
          <w:i/>
          <w:sz w:val="24"/>
          <w:szCs w:val="24"/>
        </w:rPr>
        <w:t>Pædiatrisk population</w:t>
      </w:r>
      <w:r w:rsidRPr="00392938">
        <w:rPr>
          <w:sz w:val="24"/>
          <w:szCs w:val="24"/>
        </w:rPr>
        <w:t xml:space="preserve"> </w:t>
      </w:r>
    </w:p>
    <w:p w:rsidR="00392938" w:rsidRPr="00392938" w:rsidRDefault="00392938" w:rsidP="00392938">
      <w:pPr>
        <w:tabs>
          <w:tab w:val="left" w:pos="851"/>
        </w:tabs>
        <w:ind w:left="851"/>
        <w:rPr>
          <w:sz w:val="24"/>
          <w:szCs w:val="24"/>
        </w:rPr>
      </w:pPr>
      <w:r w:rsidRPr="00392938">
        <w:rPr>
          <w:sz w:val="24"/>
          <w:szCs w:val="24"/>
        </w:rPr>
        <w:t>Sikkerheden og effekten af clindamycin 10 mg/g + vandfri benzoylper</w:t>
      </w:r>
      <w:r w:rsidRPr="00392938">
        <w:rPr>
          <w:sz w:val="24"/>
          <w:szCs w:val="24"/>
        </w:rPr>
        <w:softHyphen/>
        <w:t>oxid 50 mg/g gel er ikke fastslået hos børn under 12 år og derfor anbefales Clindonix ikke til brug til denne population</w:t>
      </w:r>
    </w:p>
    <w:p w:rsidR="00392938" w:rsidRPr="00392938" w:rsidRDefault="00392938" w:rsidP="00392938">
      <w:pPr>
        <w:tabs>
          <w:tab w:val="left" w:pos="851"/>
        </w:tabs>
        <w:ind w:left="851"/>
        <w:rPr>
          <w:sz w:val="24"/>
          <w:szCs w:val="24"/>
        </w:rPr>
      </w:pPr>
    </w:p>
    <w:p w:rsidR="00392938" w:rsidRPr="00392938" w:rsidRDefault="00392938" w:rsidP="00392938">
      <w:pPr>
        <w:tabs>
          <w:tab w:val="left" w:pos="851"/>
        </w:tabs>
        <w:ind w:left="851"/>
        <w:rPr>
          <w:i/>
          <w:sz w:val="24"/>
          <w:szCs w:val="24"/>
        </w:rPr>
      </w:pPr>
      <w:r w:rsidRPr="00392938">
        <w:rPr>
          <w:i/>
          <w:sz w:val="24"/>
          <w:szCs w:val="24"/>
        </w:rPr>
        <w:t xml:space="preserve">Anvendelse til ældre </w:t>
      </w:r>
    </w:p>
    <w:p w:rsidR="00392938" w:rsidRPr="00392938" w:rsidRDefault="00392938" w:rsidP="00392938">
      <w:pPr>
        <w:tabs>
          <w:tab w:val="left" w:pos="851"/>
        </w:tabs>
        <w:ind w:left="851"/>
        <w:rPr>
          <w:sz w:val="24"/>
          <w:szCs w:val="24"/>
        </w:rPr>
      </w:pPr>
      <w:r w:rsidRPr="00392938">
        <w:rPr>
          <w:sz w:val="24"/>
          <w:szCs w:val="24"/>
        </w:rPr>
        <w:t>Ingen særlige anvisninger.</w:t>
      </w:r>
    </w:p>
    <w:p w:rsidR="00392938" w:rsidRPr="00392938" w:rsidRDefault="00392938" w:rsidP="00392938">
      <w:pPr>
        <w:tabs>
          <w:tab w:val="left" w:pos="851"/>
        </w:tabs>
        <w:ind w:left="851"/>
        <w:rPr>
          <w:i/>
          <w:sz w:val="24"/>
          <w:szCs w:val="24"/>
        </w:rPr>
      </w:pPr>
    </w:p>
    <w:p w:rsidR="00392938" w:rsidRPr="00392938" w:rsidRDefault="00392938" w:rsidP="00392938">
      <w:pPr>
        <w:tabs>
          <w:tab w:val="left" w:pos="851"/>
        </w:tabs>
        <w:ind w:left="851"/>
        <w:rPr>
          <w:sz w:val="24"/>
          <w:szCs w:val="24"/>
          <w:u w:val="single"/>
        </w:rPr>
      </w:pPr>
      <w:r w:rsidRPr="00392938">
        <w:rPr>
          <w:sz w:val="24"/>
          <w:szCs w:val="24"/>
          <w:u w:val="single"/>
        </w:rPr>
        <w:t>Administration</w:t>
      </w:r>
    </w:p>
    <w:p w:rsidR="00392938" w:rsidRPr="00392938" w:rsidRDefault="00392938" w:rsidP="00392938">
      <w:pPr>
        <w:tabs>
          <w:tab w:val="left" w:pos="851"/>
        </w:tabs>
        <w:ind w:left="851"/>
        <w:rPr>
          <w:sz w:val="24"/>
          <w:szCs w:val="24"/>
        </w:rPr>
      </w:pPr>
      <w:r w:rsidRPr="00392938">
        <w:rPr>
          <w:sz w:val="24"/>
          <w:szCs w:val="24"/>
        </w:rPr>
        <w:t>Clindonix bør påføres i et tyndt lag efter at huden er vasket forsigtigt med en mild sæbe og dubbet tør. Hvis gelen ikke hurtigt absorberes i huden, er der påført for meget.</w:t>
      </w:r>
    </w:p>
    <w:p w:rsidR="00392938" w:rsidRPr="00392938" w:rsidRDefault="00392938" w:rsidP="00392938">
      <w:pPr>
        <w:tabs>
          <w:tab w:val="left" w:pos="851"/>
        </w:tabs>
        <w:ind w:left="851"/>
        <w:rPr>
          <w:sz w:val="24"/>
          <w:szCs w:val="24"/>
        </w:rPr>
      </w:pPr>
    </w:p>
    <w:p w:rsidR="00392938" w:rsidRPr="00392938" w:rsidRDefault="00392938" w:rsidP="00392938">
      <w:pPr>
        <w:tabs>
          <w:tab w:val="left" w:pos="851"/>
        </w:tabs>
        <w:ind w:left="851"/>
        <w:rPr>
          <w:sz w:val="24"/>
          <w:szCs w:val="24"/>
        </w:rPr>
      </w:pPr>
      <w:r w:rsidRPr="00392938">
        <w:rPr>
          <w:sz w:val="24"/>
          <w:szCs w:val="24"/>
        </w:rPr>
        <w:t>Hænderne skal vaskes efter påføring.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703486" w:rsidRPr="00703486" w:rsidRDefault="00703486" w:rsidP="00703486">
      <w:pPr>
        <w:tabs>
          <w:tab w:val="left" w:pos="851"/>
        </w:tabs>
        <w:ind w:left="851"/>
        <w:rPr>
          <w:bCs/>
          <w:sz w:val="24"/>
          <w:szCs w:val="24"/>
        </w:rPr>
      </w:pPr>
      <w:r w:rsidRPr="00703486">
        <w:rPr>
          <w:bCs/>
          <w:sz w:val="24"/>
          <w:szCs w:val="24"/>
        </w:rPr>
        <w:t>Overfølsomhed over for de aktive stoffer eller over for et eller flere af hjælpestofferne anført i pkt. 6.1.</w:t>
      </w:r>
    </w:p>
    <w:p w:rsidR="00703486" w:rsidRPr="00703486" w:rsidRDefault="00703486" w:rsidP="00703486">
      <w:pPr>
        <w:tabs>
          <w:tab w:val="left" w:pos="851"/>
        </w:tabs>
        <w:ind w:left="851"/>
        <w:rPr>
          <w:bCs/>
          <w:sz w:val="24"/>
          <w:szCs w:val="24"/>
        </w:rPr>
      </w:pPr>
      <w:r w:rsidRPr="00703486">
        <w:rPr>
          <w:bCs/>
          <w:sz w:val="24"/>
          <w:szCs w:val="24"/>
        </w:rPr>
        <w:t>Overfølsomhed over for lincomycin.</w:t>
      </w:r>
    </w:p>
    <w:p w:rsidR="00703486" w:rsidRPr="00703486" w:rsidRDefault="00703486" w:rsidP="0070348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230C5" w:rsidRPr="00D230C5" w:rsidRDefault="00D230C5" w:rsidP="00D230C5">
      <w:pPr>
        <w:tabs>
          <w:tab w:val="left" w:pos="851"/>
        </w:tabs>
        <w:ind w:left="851"/>
        <w:rPr>
          <w:sz w:val="24"/>
          <w:szCs w:val="24"/>
        </w:rPr>
      </w:pPr>
      <w:r w:rsidRPr="00D230C5">
        <w:rPr>
          <w:sz w:val="24"/>
          <w:szCs w:val="24"/>
        </w:rPr>
        <w:t xml:space="preserve">Kontakt med øjne, mund, læber, andre slimhinder eller områder med irriteret hud eller hud med læsioner bør undgås. Påføring på følsomme hudområder bør foretages med forsigtighed. Ved utilsigtet kontakt renses med rigelige mængder af vand. </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rPr>
      </w:pPr>
      <w:r w:rsidRPr="00D230C5">
        <w:rPr>
          <w:sz w:val="24"/>
          <w:szCs w:val="24"/>
        </w:rPr>
        <w:t>Clindonix bør anvendes med forsigtighed til patienter med regional enteritis eller colitis ul</w:t>
      </w:r>
      <w:r w:rsidRPr="00D230C5">
        <w:rPr>
          <w:sz w:val="24"/>
          <w:szCs w:val="24"/>
        </w:rPr>
        <w:softHyphen/>
        <w:t>cerosa i anamnesen eller med antibiotika-relateret colitis i anamnesen.</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rPr>
      </w:pPr>
      <w:r w:rsidRPr="00D230C5">
        <w:rPr>
          <w:sz w:val="24"/>
          <w:szCs w:val="24"/>
        </w:rPr>
        <w:t>Clindonix bør anvendes med forsigtighed til atopiske patienter, hos hvilke yderligere udtørring af huden kan forekomme.</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rPr>
      </w:pPr>
      <w:r w:rsidRPr="00D230C5">
        <w:rPr>
          <w:sz w:val="24"/>
          <w:szCs w:val="24"/>
        </w:rPr>
        <w:t>Under de første uger af behandlingen kan der forekomme en øget afskalning og rødme hos de fleste patienter. Afhængig af sværhedsgraden af disse bivirkninger kan patienten bruge en ikke-komedogen fugtighedscreme, midlertidig reducere påføringsfrekvensen af Clindonix eller midlertidig stoppe brugen, men virkningen er ikke fastslået for påføringsfrekvenser lavere end en gang daglig.</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rPr>
      </w:pPr>
      <w:r w:rsidRPr="00D230C5">
        <w:rPr>
          <w:sz w:val="24"/>
          <w:szCs w:val="24"/>
        </w:rPr>
        <w:t xml:space="preserve">Samtidig topikal akne behandling bør anvendes med forsigtighed, da en mulig kumulativ irritation kan forekomme, hvilket undertiden kan være alvorlig, især ved brug af peeling-, desquamating eller exfolierende-cremer. </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rPr>
      </w:pPr>
      <w:r w:rsidRPr="00D230C5">
        <w:rPr>
          <w:sz w:val="24"/>
          <w:szCs w:val="24"/>
        </w:rPr>
        <w:t>Hvis der opstår svær lokal irritation (fx svær erythem, svær tørhed og kløe, svær svie/brænding) skal Clindonix seponeres.</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rPr>
      </w:pPr>
      <w:r w:rsidRPr="00D230C5">
        <w:rPr>
          <w:sz w:val="24"/>
          <w:szCs w:val="24"/>
        </w:rPr>
        <w:t>Da benzoylperoxid kan forårsage øget følsomhed over for sollys bør solarier ikke bruges og bevist eller langvarig eksponering for solen bør undgås eller minimeres. Når eksponering for stærkt sollys ikke kan undgås, bør patienten rådes til at bruge solbeskyttelsesmidler og bære beskyttende klæder.</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rPr>
      </w:pPr>
      <w:r w:rsidRPr="00D230C5">
        <w:rPr>
          <w:sz w:val="24"/>
          <w:szCs w:val="24"/>
        </w:rPr>
        <w:t>Hvis patienten har solskoldning, bør dette hele før Clindonix anvendes.</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rPr>
      </w:pPr>
      <w:r w:rsidRPr="00D230C5">
        <w:rPr>
          <w:sz w:val="24"/>
          <w:szCs w:val="24"/>
        </w:rPr>
        <w:t xml:space="preserve">Hvis langvarig eller betydelig diarré forekommer eller hvis patienten får abdominal kramper bør behandlingen med Clindonix seponeres øjeblikkeligt, da symptomerne kan være tegn på antibiotika-relateret colitis. Der bør anvendes passende diagnostiske metoder, som f.eks. bestemmelse af </w:t>
      </w:r>
      <w:r w:rsidRPr="00D230C5">
        <w:rPr>
          <w:i/>
          <w:sz w:val="24"/>
          <w:szCs w:val="24"/>
        </w:rPr>
        <w:t>Clostridium difficile</w:t>
      </w:r>
      <w:r w:rsidRPr="00D230C5">
        <w:rPr>
          <w:sz w:val="24"/>
          <w:szCs w:val="24"/>
        </w:rPr>
        <w:t xml:space="preserve"> og toksin samt, om nødvendigt, koloskopi. Endvi</w:t>
      </w:r>
      <w:r w:rsidRPr="00D230C5">
        <w:rPr>
          <w:sz w:val="24"/>
          <w:szCs w:val="24"/>
        </w:rPr>
        <w:softHyphen/>
        <w:t>dere bør be</w:t>
      </w:r>
      <w:r w:rsidRPr="00D230C5">
        <w:rPr>
          <w:sz w:val="24"/>
          <w:szCs w:val="24"/>
        </w:rPr>
        <w:softHyphen/>
        <w:t xml:space="preserve">handlingsmuligheder for colitis overvejes. </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rPr>
      </w:pPr>
      <w:r w:rsidRPr="00D230C5">
        <w:rPr>
          <w:sz w:val="24"/>
          <w:szCs w:val="24"/>
        </w:rPr>
        <w:t>Præparatet kan blege hår eller farvede tekstiler. Kontakt med hår, klæder, møbler eller tæpper bør undgås.</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u w:val="single"/>
        </w:rPr>
      </w:pPr>
      <w:r w:rsidRPr="00D230C5">
        <w:rPr>
          <w:sz w:val="24"/>
          <w:szCs w:val="24"/>
          <w:u w:val="single"/>
        </w:rPr>
        <w:t>Resistens mod clindamycin</w:t>
      </w:r>
    </w:p>
    <w:p w:rsidR="00D230C5" w:rsidRPr="00D230C5" w:rsidRDefault="00D230C5" w:rsidP="00D230C5">
      <w:pPr>
        <w:tabs>
          <w:tab w:val="left" w:pos="851"/>
        </w:tabs>
        <w:ind w:left="851"/>
        <w:rPr>
          <w:sz w:val="24"/>
          <w:szCs w:val="24"/>
        </w:rPr>
      </w:pPr>
      <w:r w:rsidRPr="00D230C5">
        <w:rPr>
          <w:sz w:val="24"/>
          <w:szCs w:val="24"/>
        </w:rPr>
        <w:t xml:space="preserve">Patienter der nyligt har brugt systemisk eller topisk clindamycin eller erythromycin, er mere tilbøjelige til at have allerede eksisterende antimikrobiel resistente </w:t>
      </w:r>
      <w:r w:rsidRPr="00D230C5">
        <w:rPr>
          <w:i/>
          <w:sz w:val="24"/>
          <w:szCs w:val="24"/>
        </w:rPr>
        <w:t>Propionibacterium acnes</w:t>
      </w:r>
      <w:r w:rsidRPr="00D230C5">
        <w:rPr>
          <w:sz w:val="24"/>
          <w:szCs w:val="24"/>
        </w:rPr>
        <w:t xml:space="preserve"> og kommensal flora (se pkt. 5.1).</w:t>
      </w:r>
    </w:p>
    <w:p w:rsidR="00D230C5" w:rsidRPr="00D230C5" w:rsidRDefault="00D230C5" w:rsidP="00D230C5">
      <w:pPr>
        <w:tabs>
          <w:tab w:val="left" w:pos="851"/>
        </w:tabs>
        <w:ind w:left="851"/>
        <w:rPr>
          <w:sz w:val="24"/>
          <w:szCs w:val="24"/>
        </w:rPr>
      </w:pPr>
    </w:p>
    <w:p w:rsidR="00D230C5" w:rsidRPr="00D230C5" w:rsidRDefault="00D230C5" w:rsidP="00D230C5">
      <w:pPr>
        <w:tabs>
          <w:tab w:val="left" w:pos="851"/>
        </w:tabs>
        <w:ind w:left="851"/>
        <w:rPr>
          <w:sz w:val="24"/>
          <w:szCs w:val="24"/>
          <w:u w:val="single"/>
        </w:rPr>
      </w:pPr>
      <w:r w:rsidRPr="00D230C5">
        <w:rPr>
          <w:sz w:val="24"/>
          <w:szCs w:val="24"/>
          <w:u w:val="single"/>
        </w:rPr>
        <w:t>Krydsresistens</w:t>
      </w:r>
    </w:p>
    <w:p w:rsidR="00D230C5" w:rsidRPr="00D230C5" w:rsidRDefault="00D230C5" w:rsidP="00D230C5">
      <w:pPr>
        <w:tabs>
          <w:tab w:val="left" w:pos="851"/>
        </w:tabs>
        <w:ind w:left="851"/>
        <w:rPr>
          <w:sz w:val="24"/>
          <w:szCs w:val="24"/>
        </w:rPr>
      </w:pPr>
      <w:r w:rsidRPr="00D230C5">
        <w:rPr>
          <w:sz w:val="24"/>
          <w:szCs w:val="24"/>
        </w:rPr>
        <w:t>Der kan opstå krydsresistens med andre antibiotika, som f.eks. lincomycin og erythromy</w:t>
      </w:r>
      <w:r w:rsidRPr="00D230C5">
        <w:rPr>
          <w:sz w:val="24"/>
          <w:szCs w:val="24"/>
        </w:rPr>
        <w:softHyphen/>
        <w:t xml:space="preserve">cin, ved antibiotika monoterapi. (se pkt. 4.5).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B4006" w:rsidRPr="002B4006" w:rsidRDefault="002B4006" w:rsidP="002B4006">
      <w:pPr>
        <w:tabs>
          <w:tab w:val="left" w:pos="851"/>
        </w:tabs>
        <w:ind w:left="851"/>
        <w:rPr>
          <w:sz w:val="24"/>
          <w:szCs w:val="24"/>
        </w:rPr>
      </w:pPr>
      <w:r w:rsidRPr="002B4006">
        <w:rPr>
          <w:sz w:val="24"/>
          <w:szCs w:val="24"/>
        </w:rPr>
        <w:t>Der er ikke udført interaktionsstudier med clindamycin 10 mg/g + vandfri benzoylper</w:t>
      </w:r>
      <w:r w:rsidRPr="002B4006">
        <w:rPr>
          <w:sz w:val="24"/>
          <w:szCs w:val="24"/>
        </w:rPr>
        <w:softHyphen/>
        <w:t>oxid 50 mg/g gel.</w:t>
      </w:r>
    </w:p>
    <w:p w:rsidR="002B4006" w:rsidRPr="002B4006" w:rsidRDefault="002B4006" w:rsidP="002B4006">
      <w:pPr>
        <w:tabs>
          <w:tab w:val="left" w:pos="851"/>
        </w:tabs>
        <w:ind w:left="851"/>
        <w:rPr>
          <w:sz w:val="24"/>
          <w:szCs w:val="24"/>
        </w:rPr>
      </w:pPr>
    </w:p>
    <w:p w:rsidR="002B4006" w:rsidRPr="002B4006" w:rsidRDefault="002B4006" w:rsidP="002B4006">
      <w:pPr>
        <w:tabs>
          <w:tab w:val="left" w:pos="851"/>
        </w:tabs>
        <w:ind w:left="851"/>
        <w:rPr>
          <w:sz w:val="24"/>
          <w:szCs w:val="24"/>
        </w:rPr>
      </w:pPr>
      <w:r w:rsidRPr="002B4006">
        <w:rPr>
          <w:sz w:val="24"/>
          <w:szCs w:val="24"/>
        </w:rPr>
        <w:t>Samtidig anvendelse af topikal antibiotika, medicinske eller eksfolierende sæber og rensemidler, sæber og kosmetik der har en kraftig udtørrende effekt samt produkter der har en høj koncentration af alkohol og/eller adstringentia, bør foregå med forsigtighed da en kumulativ irriterende effekt kan forekomme.</w:t>
      </w:r>
    </w:p>
    <w:p w:rsidR="002B4006" w:rsidRPr="002B4006" w:rsidRDefault="002B4006" w:rsidP="002B4006">
      <w:pPr>
        <w:tabs>
          <w:tab w:val="left" w:pos="851"/>
        </w:tabs>
        <w:ind w:left="851"/>
        <w:rPr>
          <w:sz w:val="24"/>
          <w:szCs w:val="24"/>
        </w:rPr>
      </w:pPr>
    </w:p>
    <w:p w:rsidR="002B4006" w:rsidRPr="002B4006" w:rsidRDefault="002B4006" w:rsidP="002B4006">
      <w:pPr>
        <w:tabs>
          <w:tab w:val="left" w:pos="851"/>
        </w:tabs>
        <w:ind w:left="851"/>
        <w:rPr>
          <w:sz w:val="24"/>
          <w:szCs w:val="24"/>
        </w:rPr>
      </w:pPr>
      <w:r w:rsidRPr="002B4006">
        <w:rPr>
          <w:sz w:val="24"/>
          <w:szCs w:val="24"/>
        </w:rPr>
        <w:t>Clindonix bør ikke anvendes i kombination med produkter der indeholder erythromycin</w:t>
      </w:r>
    </w:p>
    <w:p w:rsidR="002B4006" w:rsidRPr="002B4006" w:rsidRDefault="002B4006" w:rsidP="002B4006">
      <w:pPr>
        <w:tabs>
          <w:tab w:val="left" w:pos="851"/>
        </w:tabs>
        <w:ind w:left="851"/>
        <w:rPr>
          <w:sz w:val="24"/>
          <w:szCs w:val="24"/>
        </w:rPr>
      </w:pPr>
      <w:r w:rsidRPr="002B4006">
        <w:rPr>
          <w:sz w:val="24"/>
          <w:szCs w:val="24"/>
        </w:rPr>
        <w:t>på grund af mulig antagonisme mod clindamycin komponenten.</w:t>
      </w:r>
    </w:p>
    <w:p w:rsidR="002B4006" w:rsidRPr="002B4006" w:rsidRDefault="002B4006" w:rsidP="002B4006">
      <w:pPr>
        <w:tabs>
          <w:tab w:val="left" w:pos="851"/>
        </w:tabs>
        <w:ind w:left="851"/>
        <w:rPr>
          <w:sz w:val="24"/>
          <w:szCs w:val="24"/>
        </w:rPr>
      </w:pPr>
    </w:p>
    <w:p w:rsidR="002B4006" w:rsidRPr="002B4006" w:rsidRDefault="002B4006" w:rsidP="002B4006">
      <w:pPr>
        <w:tabs>
          <w:tab w:val="left" w:pos="851"/>
        </w:tabs>
        <w:ind w:left="851"/>
        <w:rPr>
          <w:sz w:val="24"/>
          <w:szCs w:val="24"/>
        </w:rPr>
      </w:pPr>
      <w:r w:rsidRPr="002B4006">
        <w:rPr>
          <w:sz w:val="24"/>
          <w:szCs w:val="24"/>
        </w:rPr>
        <w:t>Det er vist at clindamycin har neuromuskulært hæmmende egenskaber der kan forstærke virkningen af andre neuromuskulære hæmmende midler. Derfor bør der udvises forsigtighed ved samtidig brug.</w:t>
      </w:r>
    </w:p>
    <w:p w:rsidR="002B4006" w:rsidRPr="002B4006" w:rsidRDefault="002B4006" w:rsidP="002B4006">
      <w:pPr>
        <w:tabs>
          <w:tab w:val="left" w:pos="851"/>
        </w:tabs>
        <w:ind w:left="851"/>
        <w:rPr>
          <w:sz w:val="24"/>
          <w:szCs w:val="24"/>
        </w:rPr>
      </w:pPr>
    </w:p>
    <w:p w:rsidR="002B4006" w:rsidRPr="002B4006" w:rsidRDefault="002B4006" w:rsidP="002B4006">
      <w:pPr>
        <w:tabs>
          <w:tab w:val="left" w:pos="851"/>
        </w:tabs>
        <w:ind w:left="851"/>
        <w:rPr>
          <w:sz w:val="24"/>
          <w:szCs w:val="24"/>
        </w:rPr>
      </w:pPr>
      <w:r w:rsidRPr="002B4006">
        <w:rPr>
          <w:sz w:val="24"/>
          <w:szCs w:val="24"/>
        </w:rPr>
        <w:t>Samtidig anvendelse af Clindonix med tretinoin, isotretinoin og tazaroten bør undgås da benzoylperoxid kan mindske deres virkning og øge irritation. Hvis kombinationsbehandling er nødvendig, bør produkterne påføres på forskellige tidspunkter af dagen. (fx en om morgenen og den anden om aftenen.</w:t>
      </w:r>
    </w:p>
    <w:p w:rsidR="002B4006" w:rsidRPr="002B4006" w:rsidRDefault="002B4006" w:rsidP="002B4006">
      <w:pPr>
        <w:tabs>
          <w:tab w:val="left" w:pos="851"/>
        </w:tabs>
        <w:ind w:left="851"/>
        <w:rPr>
          <w:sz w:val="24"/>
          <w:szCs w:val="24"/>
        </w:rPr>
      </w:pPr>
    </w:p>
    <w:p w:rsidR="002B4006" w:rsidRPr="002B4006" w:rsidRDefault="002B4006" w:rsidP="002B4006">
      <w:pPr>
        <w:tabs>
          <w:tab w:val="left" w:pos="851"/>
        </w:tabs>
        <w:ind w:left="851"/>
        <w:rPr>
          <w:sz w:val="24"/>
          <w:szCs w:val="24"/>
        </w:rPr>
      </w:pPr>
      <w:r w:rsidRPr="002B4006">
        <w:rPr>
          <w:sz w:val="24"/>
          <w:szCs w:val="24"/>
        </w:rPr>
        <w:t>Anvendelse af topikale benzoylperoxidholdige produkter samtidig med topikale sulfonamidholdige produkter kan forårsage at hud og ansigtshår midlertidigt skifter farve (gul/orange).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2B4006" w:rsidRPr="002B4006" w:rsidRDefault="002B4006" w:rsidP="002B4006">
      <w:pPr>
        <w:tabs>
          <w:tab w:val="left" w:pos="851"/>
        </w:tabs>
        <w:ind w:left="851"/>
        <w:rPr>
          <w:i/>
          <w:sz w:val="24"/>
          <w:szCs w:val="24"/>
        </w:rPr>
      </w:pPr>
    </w:p>
    <w:p w:rsidR="002B4006" w:rsidRPr="002B4006" w:rsidRDefault="002B4006" w:rsidP="002B4006">
      <w:pPr>
        <w:tabs>
          <w:tab w:val="left" w:pos="851"/>
        </w:tabs>
        <w:ind w:left="851"/>
        <w:rPr>
          <w:sz w:val="24"/>
          <w:szCs w:val="24"/>
          <w:u w:val="single"/>
        </w:rPr>
      </w:pPr>
      <w:r w:rsidRPr="002B4006">
        <w:rPr>
          <w:sz w:val="24"/>
          <w:szCs w:val="24"/>
          <w:u w:val="single"/>
        </w:rPr>
        <w:t>Fertilitet</w:t>
      </w:r>
    </w:p>
    <w:p w:rsidR="002B4006" w:rsidRPr="002B4006" w:rsidRDefault="002B4006" w:rsidP="002B4006">
      <w:pPr>
        <w:tabs>
          <w:tab w:val="left" w:pos="851"/>
        </w:tabs>
        <w:ind w:left="851"/>
        <w:rPr>
          <w:sz w:val="24"/>
          <w:szCs w:val="24"/>
        </w:rPr>
      </w:pPr>
      <w:r w:rsidRPr="002B4006">
        <w:rPr>
          <w:sz w:val="24"/>
          <w:szCs w:val="24"/>
        </w:rPr>
        <w:t>Der er ingen data på clindamycin + vandfri benzoylper</w:t>
      </w:r>
      <w:r w:rsidRPr="002B4006">
        <w:rPr>
          <w:sz w:val="24"/>
          <w:szCs w:val="24"/>
        </w:rPr>
        <w:softHyphen/>
        <w:t>oxids virking på fertilitet hos mennesker.</w:t>
      </w:r>
    </w:p>
    <w:p w:rsidR="002B4006" w:rsidRPr="002B4006" w:rsidRDefault="002B4006" w:rsidP="002B4006">
      <w:pPr>
        <w:tabs>
          <w:tab w:val="left" w:pos="851"/>
        </w:tabs>
        <w:ind w:left="851"/>
        <w:rPr>
          <w:sz w:val="24"/>
          <w:szCs w:val="24"/>
          <w:u w:val="single"/>
        </w:rPr>
      </w:pPr>
    </w:p>
    <w:p w:rsidR="002B4006" w:rsidRPr="002B4006" w:rsidRDefault="002B4006" w:rsidP="002B4006">
      <w:pPr>
        <w:tabs>
          <w:tab w:val="left" w:pos="851"/>
        </w:tabs>
        <w:ind w:left="851"/>
        <w:rPr>
          <w:sz w:val="24"/>
          <w:szCs w:val="24"/>
          <w:u w:val="single"/>
        </w:rPr>
      </w:pPr>
      <w:r w:rsidRPr="002B4006">
        <w:rPr>
          <w:sz w:val="24"/>
          <w:szCs w:val="24"/>
          <w:u w:val="single"/>
        </w:rPr>
        <w:t>Graviditet</w:t>
      </w:r>
    </w:p>
    <w:p w:rsidR="002B4006" w:rsidRPr="002B4006" w:rsidRDefault="002B4006" w:rsidP="002B4006">
      <w:pPr>
        <w:tabs>
          <w:tab w:val="left" w:pos="851"/>
        </w:tabs>
        <w:ind w:left="851"/>
        <w:rPr>
          <w:sz w:val="24"/>
          <w:szCs w:val="24"/>
        </w:rPr>
      </w:pPr>
      <w:r w:rsidRPr="002B4006">
        <w:rPr>
          <w:sz w:val="24"/>
          <w:szCs w:val="24"/>
        </w:rPr>
        <w:t>Der er utilstrækkelige data vedrørende brugen af clindamycin + vandfri benzoylper</w:t>
      </w:r>
      <w:r w:rsidRPr="002B4006">
        <w:rPr>
          <w:sz w:val="24"/>
          <w:szCs w:val="24"/>
        </w:rPr>
        <w:softHyphen/>
        <w:t>oxids til gravide kvinder. Der er ikke udført dyreforsøg vedrørende reproduktion/udvikling med clindamycin + vandfri benzoylper</w:t>
      </w:r>
      <w:r w:rsidRPr="002B4006">
        <w:rPr>
          <w:sz w:val="24"/>
          <w:szCs w:val="24"/>
        </w:rPr>
        <w:softHyphen/>
        <w:t>oxid eller med benzoylper</w:t>
      </w:r>
      <w:r w:rsidRPr="002B4006">
        <w:rPr>
          <w:sz w:val="24"/>
          <w:szCs w:val="24"/>
        </w:rPr>
        <w:softHyphen/>
        <w:t xml:space="preserve">oxid. </w:t>
      </w:r>
    </w:p>
    <w:p w:rsidR="002B4006" w:rsidRPr="002B4006" w:rsidRDefault="002B4006" w:rsidP="002B4006">
      <w:pPr>
        <w:tabs>
          <w:tab w:val="left" w:pos="851"/>
        </w:tabs>
        <w:ind w:left="851"/>
        <w:rPr>
          <w:sz w:val="24"/>
          <w:szCs w:val="24"/>
        </w:rPr>
      </w:pPr>
      <w:r w:rsidRPr="002B4006">
        <w:rPr>
          <w:sz w:val="24"/>
          <w:szCs w:val="24"/>
        </w:rPr>
        <w:t>Der er begrænset data på brugen af clindamycin og benzoylper</w:t>
      </w:r>
      <w:r w:rsidRPr="002B4006">
        <w:rPr>
          <w:sz w:val="24"/>
          <w:szCs w:val="24"/>
        </w:rPr>
        <w:softHyphen/>
        <w:t>oxid alene hos gravide kvinder. Data fra et begrænset antal graviditeter eksponeret for clindamycin i første trimester viser ingen skadelige virkninger af clindamycin på graviditet, fostret eller det nyfødte barns sundhedstilstand.</w:t>
      </w:r>
    </w:p>
    <w:p w:rsidR="002B4006" w:rsidRPr="002B4006" w:rsidRDefault="002B4006" w:rsidP="002B4006">
      <w:pPr>
        <w:tabs>
          <w:tab w:val="left" w:pos="851"/>
        </w:tabs>
        <w:ind w:left="851"/>
        <w:rPr>
          <w:sz w:val="24"/>
          <w:szCs w:val="24"/>
        </w:rPr>
      </w:pPr>
    </w:p>
    <w:p w:rsidR="002B4006" w:rsidRPr="002B4006" w:rsidRDefault="002B4006" w:rsidP="002B4006">
      <w:pPr>
        <w:tabs>
          <w:tab w:val="left" w:pos="851"/>
        </w:tabs>
        <w:ind w:left="851"/>
        <w:rPr>
          <w:sz w:val="24"/>
          <w:szCs w:val="24"/>
        </w:rPr>
      </w:pPr>
      <w:bookmarkStart w:id="0" w:name="_Hlk57110717"/>
      <w:r w:rsidRPr="002B4006">
        <w:rPr>
          <w:sz w:val="24"/>
          <w:szCs w:val="24"/>
        </w:rPr>
        <w:t>Reproduktionsstudier hos rotter og mus med subkutane eller orale doser clindamycin viste ingen tegn på nedsat fertilitet eller skade på fostret forårsaget af clindamycin.</w:t>
      </w:r>
    </w:p>
    <w:bookmarkEnd w:id="0"/>
    <w:p w:rsidR="002B4006" w:rsidRPr="002B4006" w:rsidRDefault="002B4006" w:rsidP="002B4006">
      <w:pPr>
        <w:tabs>
          <w:tab w:val="left" w:pos="851"/>
        </w:tabs>
        <w:ind w:left="851"/>
        <w:rPr>
          <w:sz w:val="24"/>
          <w:szCs w:val="24"/>
        </w:rPr>
      </w:pPr>
    </w:p>
    <w:p w:rsidR="002B4006" w:rsidRPr="002B4006" w:rsidRDefault="002B4006" w:rsidP="002B4006">
      <w:pPr>
        <w:tabs>
          <w:tab w:val="left" w:pos="851"/>
        </w:tabs>
        <w:ind w:left="851"/>
        <w:rPr>
          <w:sz w:val="24"/>
          <w:szCs w:val="24"/>
        </w:rPr>
      </w:pPr>
      <w:r w:rsidRPr="002B4006">
        <w:rPr>
          <w:sz w:val="24"/>
          <w:szCs w:val="24"/>
        </w:rPr>
        <w:t>Sikkerheden af clindamycin + vandfri benzoylper</w:t>
      </w:r>
      <w:r w:rsidRPr="002B4006">
        <w:rPr>
          <w:sz w:val="24"/>
          <w:szCs w:val="24"/>
        </w:rPr>
        <w:softHyphen/>
        <w:t>oxid ved graviditet hos mennesker er ikke fastslået. Derfor bør Clindonix kun ordineres til gravide efter lægens omhyggelig vurdering af risici og fordele.</w:t>
      </w:r>
    </w:p>
    <w:p w:rsidR="002B4006" w:rsidRPr="002B4006" w:rsidRDefault="002B4006" w:rsidP="002B4006">
      <w:pPr>
        <w:tabs>
          <w:tab w:val="left" w:pos="851"/>
        </w:tabs>
        <w:ind w:left="851"/>
        <w:rPr>
          <w:sz w:val="24"/>
          <w:szCs w:val="24"/>
          <w:u w:val="single"/>
        </w:rPr>
      </w:pPr>
    </w:p>
    <w:p w:rsidR="002B4006" w:rsidRPr="002B4006" w:rsidRDefault="002B4006" w:rsidP="002B4006">
      <w:pPr>
        <w:tabs>
          <w:tab w:val="left" w:pos="851"/>
        </w:tabs>
        <w:ind w:left="851"/>
        <w:rPr>
          <w:sz w:val="24"/>
          <w:szCs w:val="24"/>
          <w:u w:val="single"/>
        </w:rPr>
      </w:pPr>
      <w:r w:rsidRPr="002B4006">
        <w:rPr>
          <w:sz w:val="24"/>
          <w:szCs w:val="24"/>
          <w:u w:val="single"/>
        </w:rPr>
        <w:t>Amning</w:t>
      </w:r>
    </w:p>
    <w:p w:rsidR="002B4006" w:rsidRPr="002B4006" w:rsidRDefault="002B4006" w:rsidP="002B4006">
      <w:pPr>
        <w:tabs>
          <w:tab w:val="left" w:pos="851"/>
        </w:tabs>
        <w:ind w:left="851"/>
        <w:rPr>
          <w:sz w:val="24"/>
          <w:szCs w:val="24"/>
        </w:rPr>
      </w:pPr>
      <w:r w:rsidRPr="002B4006">
        <w:rPr>
          <w:sz w:val="24"/>
          <w:szCs w:val="24"/>
        </w:rPr>
        <w:t>Brugen af clindamycin + vandfri benzoylper</w:t>
      </w:r>
      <w:r w:rsidRPr="002B4006">
        <w:rPr>
          <w:sz w:val="24"/>
          <w:szCs w:val="24"/>
        </w:rPr>
        <w:softHyphen/>
        <w:t>oxid er ikke studeret under amning. Perkutan absorption af clindamycin og benzoylper</w:t>
      </w:r>
      <w:r w:rsidRPr="002B4006">
        <w:rPr>
          <w:sz w:val="24"/>
          <w:szCs w:val="24"/>
        </w:rPr>
        <w:softHyphen/>
        <w:t>oxid er lav, men det er ikke kendt hvorvidt clindamycin og benzoylper</w:t>
      </w:r>
      <w:r w:rsidRPr="002B4006">
        <w:rPr>
          <w:sz w:val="24"/>
          <w:szCs w:val="24"/>
        </w:rPr>
        <w:softHyphen/>
        <w:t>oxid udskilles i modermælk efter brug af Clindonix.</w:t>
      </w:r>
    </w:p>
    <w:p w:rsidR="002B4006" w:rsidRPr="002B4006" w:rsidRDefault="002B4006" w:rsidP="002B4006">
      <w:pPr>
        <w:tabs>
          <w:tab w:val="left" w:pos="851"/>
        </w:tabs>
        <w:ind w:left="851"/>
        <w:rPr>
          <w:sz w:val="24"/>
          <w:szCs w:val="24"/>
        </w:rPr>
      </w:pPr>
      <w:r w:rsidRPr="002B4006">
        <w:rPr>
          <w:sz w:val="24"/>
          <w:szCs w:val="24"/>
        </w:rPr>
        <w:t>Det er rapporteret at oral og parenteral indgift af clindamycin har resulteret i clindamycin i modermælk. Derfor bør Clindonix kun anvendes under ammeperioden hvis den forventede fordel retfærdiggør den potentielle risiko for spædbarnet.</w:t>
      </w:r>
    </w:p>
    <w:p w:rsidR="002B4006" w:rsidRPr="002B4006" w:rsidRDefault="002B4006" w:rsidP="002B4006">
      <w:pPr>
        <w:tabs>
          <w:tab w:val="left" w:pos="851"/>
        </w:tabs>
        <w:ind w:left="851"/>
        <w:rPr>
          <w:sz w:val="24"/>
          <w:szCs w:val="24"/>
        </w:rPr>
      </w:pPr>
    </w:p>
    <w:p w:rsidR="002B4006" w:rsidRPr="002B4006" w:rsidRDefault="002B4006" w:rsidP="002B4006">
      <w:pPr>
        <w:tabs>
          <w:tab w:val="left" w:pos="851"/>
        </w:tabs>
        <w:ind w:left="851"/>
        <w:rPr>
          <w:sz w:val="24"/>
          <w:szCs w:val="24"/>
        </w:rPr>
      </w:pPr>
      <w:r w:rsidRPr="002B4006">
        <w:rPr>
          <w:sz w:val="24"/>
          <w:szCs w:val="24"/>
        </w:rPr>
        <w:t>Hvis Clindonix anvendes under amning bør det ikke påføres brystområdet for at undgå at spædbarnet utilsigtet indtager det.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2B4006" w:rsidRPr="002B4006" w:rsidRDefault="002B4006" w:rsidP="002B4006">
      <w:pPr>
        <w:tabs>
          <w:tab w:val="left" w:pos="851"/>
        </w:tabs>
        <w:ind w:left="851"/>
        <w:rPr>
          <w:sz w:val="24"/>
          <w:szCs w:val="24"/>
        </w:rPr>
      </w:pPr>
      <w:r w:rsidRPr="002B4006">
        <w:rPr>
          <w:sz w:val="24"/>
          <w:szCs w:val="24"/>
        </w:rPr>
        <w:t>Ikke mærkning</w:t>
      </w:r>
      <w:r>
        <w:rPr>
          <w:sz w:val="24"/>
          <w:szCs w:val="24"/>
        </w:rPr>
        <w:t>.</w:t>
      </w:r>
    </w:p>
    <w:p w:rsidR="002B4006" w:rsidRPr="002B4006" w:rsidRDefault="002B4006" w:rsidP="002B4006">
      <w:pPr>
        <w:tabs>
          <w:tab w:val="left" w:pos="851"/>
        </w:tabs>
        <w:ind w:left="851"/>
        <w:rPr>
          <w:sz w:val="24"/>
          <w:szCs w:val="24"/>
        </w:rPr>
      </w:pPr>
      <w:r w:rsidRPr="002B4006">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C39FE" w:rsidRPr="008C39FE" w:rsidRDefault="008C39FE" w:rsidP="008C39FE">
      <w:pPr>
        <w:tabs>
          <w:tab w:val="left" w:pos="851"/>
        </w:tabs>
        <w:ind w:left="851"/>
        <w:rPr>
          <w:sz w:val="24"/>
          <w:szCs w:val="24"/>
        </w:rPr>
      </w:pPr>
      <w:r w:rsidRPr="008C39FE">
        <w:rPr>
          <w:sz w:val="24"/>
          <w:szCs w:val="24"/>
        </w:rPr>
        <w:t>Bivirkninger er sammenfattet nedenfor for clindamycin 10 mg/g + vandfri benzoylper</w:t>
      </w:r>
      <w:r w:rsidRPr="008C39FE">
        <w:rPr>
          <w:sz w:val="24"/>
          <w:szCs w:val="24"/>
        </w:rPr>
        <w:softHyphen/>
        <w:t>oxid 50 mg/g gel som kombination herunder eventuelle bivirkninger der er blevet rapporteret for de enkelte topikale aktive ingredienser, benzoylper</w:t>
      </w:r>
      <w:r w:rsidRPr="008C39FE">
        <w:rPr>
          <w:sz w:val="24"/>
          <w:szCs w:val="24"/>
        </w:rPr>
        <w:softHyphen/>
        <w:t>oxid eller clindamycin.</w:t>
      </w:r>
    </w:p>
    <w:p w:rsidR="008C39FE" w:rsidRPr="008C39FE" w:rsidRDefault="008C39FE" w:rsidP="008C39FE">
      <w:pPr>
        <w:tabs>
          <w:tab w:val="left" w:pos="851"/>
        </w:tabs>
        <w:ind w:left="851"/>
        <w:rPr>
          <w:sz w:val="24"/>
          <w:szCs w:val="24"/>
        </w:rPr>
      </w:pPr>
      <w:r w:rsidRPr="008C39FE">
        <w:rPr>
          <w:sz w:val="24"/>
          <w:szCs w:val="24"/>
        </w:rPr>
        <w:t>Bivirkninger er listet efter MedDRA systemorganklasse og hyppighed. Frekvenserne der defineret som: Meget almindelig (≥1/10); Almindelig (≥1/100 to &lt;1/10); Ikke almindelig (≥1/1,000 to &lt;1/100); Sjælden (≥1/10,000 to &lt;1/1,000); Meget sjælden (&lt;1/10,000) og ikke kendt (kan ikke estimeres ud fra forhåndenværende data).</w:t>
      </w:r>
    </w:p>
    <w:p w:rsidR="009260DE" w:rsidRDefault="009260DE" w:rsidP="00A10294">
      <w:pPr>
        <w:tabs>
          <w:tab w:val="left" w:pos="851"/>
        </w:tabs>
        <w:ind w:left="851"/>
        <w:rPr>
          <w:sz w:val="24"/>
          <w:szCs w:val="24"/>
        </w:rPr>
      </w:pPr>
    </w:p>
    <w:tbl>
      <w:tblPr>
        <w:tblStyle w:val="Tabel-Gitter"/>
        <w:tblW w:w="0" w:type="auto"/>
        <w:tblInd w:w="0" w:type="dxa"/>
        <w:tblLook w:val="04A0" w:firstRow="1" w:lastRow="0" w:firstColumn="1" w:lastColumn="0" w:noHBand="0" w:noVBand="1"/>
      </w:tblPr>
      <w:tblGrid>
        <w:gridCol w:w="2338"/>
        <w:gridCol w:w="1789"/>
        <w:gridCol w:w="1766"/>
        <w:gridCol w:w="1763"/>
        <w:gridCol w:w="1972"/>
      </w:tblGrid>
      <w:tr w:rsidR="009009AB" w:rsidTr="009009AB">
        <w:tc>
          <w:tcPr>
            <w:tcW w:w="2338"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b/>
                <w:color w:val="000000" w:themeColor="text1"/>
                <w:sz w:val="22"/>
              </w:rPr>
            </w:pPr>
            <w:r>
              <w:rPr>
                <w:b/>
                <w:color w:val="000000" w:themeColor="text1"/>
              </w:rPr>
              <w:t>MedDRA Systemorganklasse</w:t>
            </w:r>
          </w:p>
        </w:tc>
        <w:tc>
          <w:tcPr>
            <w:tcW w:w="1789"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b/>
                <w:color w:val="000000" w:themeColor="text1"/>
              </w:rPr>
            </w:pPr>
            <w:r>
              <w:rPr>
                <w:b/>
                <w:color w:val="000000" w:themeColor="text1"/>
              </w:rPr>
              <w:t>Meget almindelig</w:t>
            </w:r>
          </w:p>
        </w:tc>
        <w:tc>
          <w:tcPr>
            <w:tcW w:w="1766"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b/>
                <w:color w:val="000000" w:themeColor="text1"/>
              </w:rPr>
            </w:pPr>
            <w:r>
              <w:rPr>
                <w:b/>
                <w:color w:val="000000" w:themeColor="text1"/>
              </w:rPr>
              <w:t>Almindelig</w:t>
            </w:r>
          </w:p>
        </w:tc>
        <w:tc>
          <w:tcPr>
            <w:tcW w:w="1763"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b/>
                <w:color w:val="000000" w:themeColor="text1"/>
              </w:rPr>
            </w:pPr>
            <w:r>
              <w:rPr>
                <w:b/>
                <w:color w:val="000000" w:themeColor="text1"/>
              </w:rPr>
              <w:t>Ikke almindelig</w:t>
            </w:r>
          </w:p>
        </w:tc>
        <w:tc>
          <w:tcPr>
            <w:tcW w:w="1972"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b/>
                <w:color w:val="000000" w:themeColor="text1"/>
              </w:rPr>
            </w:pPr>
            <w:r>
              <w:rPr>
                <w:b/>
                <w:color w:val="000000" w:themeColor="text1"/>
              </w:rPr>
              <w:t>Ikke kendt**</w:t>
            </w:r>
          </w:p>
        </w:tc>
      </w:tr>
      <w:tr w:rsidR="009009AB" w:rsidTr="009009AB">
        <w:tc>
          <w:tcPr>
            <w:tcW w:w="2338"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b/>
                <w:bCs/>
                <w:color w:val="000000" w:themeColor="text1"/>
              </w:rPr>
            </w:pPr>
            <w:r>
              <w:rPr>
                <w:b/>
                <w:bCs/>
                <w:color w:val="000000" w:themeColor="text1"/>
              </w:rPr>
              <w:t>Immunsystemet</w:t>
            </w:r>
          </w:p>
        </w:tc>
        <w:tc>
          <w:tcPr>
            <w:tcW w:w="1789"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766"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763"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972"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color w:val="000000" w:themeColor="text1"/>
                <w:lang w:eastAsia="en-GB"/>
              </w:rPr>
              <w:t>Allergiske reaktioner inklusive hypersensibilitet og anafylaksi</w:t>
            </w:r>
          </w:p>
        </w:tc>
      </w:tr>
      <w:tr w:rsidR="009009AB" w:rsidTr="009009AB">
        <w:trPr>
          <w:trHeight w:val="535"/>
        </w:trPr>
        <w:tc>
          <w:tcPr>
            <w:tcW w:w="2338"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b/>
                <w:color w:val="000000" w:themeColor="text1"/>
              </w:rPr>
              <w:t>Nervesystemet*</w:t>
            </w:r>
          </w:p>
        </w:tc>
        <w:tc>
          <w:tcPr>
            <w:tcW w:w="1789"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766"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763"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color w:val="000000" w:themeColor="text1"/>
                <w:lang w:eastAsia="en-GB"/>
              </w:rPr>
              <w:t>Paræstesi</w:t>
            </w:r>
          </w:p>
        </w:tc>
        <w:tc>
          <w:tcPr>
            <w:tcW w:w="1972"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r>
      <w:tr w:rsidR="009009AB" w:rsidTr="009009AB">
        <w:tc>
          <w:tcPr>
            <w:tcW w:w="2338"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b/>
                <w:color w:val="000000" w:themeColor="text1"/>
              </w:rPr>
              <w:t xml:space="preserve">Mave-tarm-kanalen   </w:t>
            </w:r>
          </w:p>
        </w:tc>
        <w:tc>
          <w:tcPr>
            <w:tcW w:w="1789"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766"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763"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972"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color w:val="000000" w:themeColor="text1"/>
                <w:lang w:eastAsia="en-GB"/>
              </w:rPr>
              <w:t>Colitis (inklusive pseudomembranøs colitis), hæmoragisk diarré, diarré, abdominal smerte</w:t>
            </w:r>
          </w:p>
        </w:tc>
      </w:tr>
      <w:tr w:rsidR="009009AB" w:rsidTr="009009AB">
        <w:tc>
          <w:tcPr>
            <w:tcW w:w="2338"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b/>
                <w:color w:val="000000" w:themeColor="text1"/>
              </w:rPr>
            </w:pPr>
            <w:r>
              <w:rPr>
                <w:b/>
                <w:color w:val="000000" w:themeColor="text1"/>
              </w:rPr>
              <w:t>Hud og subkutane væv *</w:t>
            </w:r>
          </w:p>
        </w:tc>
        <w:tc>
          <w:tcPr>
            <w:tcW w:w="1789"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color w:val="000000" w:themeColor="text1"/>
              </w:rPr>
              <w:t>Erytem, afskalning, tørhed</w:t>
            </w:r>
          </w:p>
          <w:p w:rsidR="009009AB" w:rsidRDefault="009009AB">
            <w:pPr>
              <w:autoSpaceDE w:val="0"/>
              <w:autoSpaceDN w:val="0"/>
              <w:adjustRightInd w:val="0"/>
              <w:rPr>
                <w:color w:val="000000" w:themeColor="text1"/>
              </w:rPr>
            </w:pPr>
            <w:r>
              <w:rPr>
                <w:i/>
                <w:iCs/>
                <w:color w:val="000000" w:themeColor="text1"/>
              </w:rPr>
              <w:t>(Almindeligvis rapporteret som ‘mild’ af sværhedsgrad)</w:t>
            </w:r>
          </w:p>
        </w:tc>
        <w:tc>
          <w:tcPr>
            <w:tcW w:w="1766"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color w:val="000000" w:themeColor="text1"/>
              </w:rPr>
              <w:t>Brændende fornemmelse</w:t>
            </w:r>
          </w:p>
        </w:tc>
        <w:tc>
          <w:tcPr>
            <w:tcW w:w="1763"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color w:val="000000" w:themeColor="text1"/>
              </w:rPr>
              <w:t>Dermatitis, pruritus, erytematøs udslæt, forværring af akne</w:t>
            </w:r>
          </w:p>
        </w:tc>
        <w:tc>
          <w:tcPr>
            <w:tcW w:w="1972"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color w:val="000000" w:themeColor="text1"/>
              </w:rPr>
              <w:t>Urticaria</w:t>
            </w:r>
          </w:p>
        </w:tc>
      </w:tr>
      <w:tr w:rsidR="009009AB" w:rsidTr="009009AB">
        <w:tc>
          <w:tcPr>
            <w:tcW w:w="2338"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b/>
                <w:color w:val="000000" w:themeColor="text1"/>
              </w:rPr>
              <w:t>Almene symptomer og reaktioner på administrationsstedet</w:t>
            </w:r>
          </w:p>
        </w:tc>
        <w:tc>
          <w:tcPr>
            <w:tcW w:w="1789"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766"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763"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rPr>
                <w:color w:val="000000" w:themeColor="text1"/>
              </w:rPr>
            </w:pPr>
          </w:p>
        </w:tc>
        <w:tc>
          <w:tcPr>
            <w:tcW w:w="1972"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rPr>
                <w:color w:val="000000" w:themeColor="text1"/>
              </w:rPr>
            </w:pPr>
            <w:r>
              <w:rPr>
                <w:color w:val="000000" w:themeColor="text1"/>
                <w:lang w:eastAsia="en-GB"/>
              </w:rPr>
              <w:t>Reaktioner på påføringsstedet (inklusive misfarvning af huden)</w:t>
            </w:r>
          </w:p>
        </w:tc>
      </w:tr>
    </w:tbl>
    <w:p w:rsidR="009009AB" w:rsidRPr="009009AB" w:rsidRDefault="009009AB" w:rsidP="009009AB">
      <w:pPr>
        <w:autoSpaceDE w:val="0"/>
        <w:autoSpaceDN w:val="0"/>
        <w:adjustRightInd w:val="0"/>
        <w:rPr>
          <w:color w:val="000000" w:themeColor="text1"/>
          <w:sz w:val="20"/>
        </w:rPr>
      </w:pPr>
      <w:r w:rsidRPr="009009AB">
        <w:rPr>
          <w:color w:val="000000" w:themeColor="text1"/>
          <w:sz w:val="20"/>
        </w:rPr>
        <w:t xml:space="preserve">* På påføringsstedet. </w:t>
      </w:r>
    </w:p>
    <w:p w:rsidR="009009AB" w:rsidRPr="009009AB" w:rsidRDefault="009009AB" w:rsidP="009009AB">
      <w:pPr>
        <w:autoSpaceDE w:val="0"/>
        <w:autoSpaceDN w:val="0"/>
        <w:adjustRightInd w:val="0"/>
        <w:rPr>
          <w:color w:val="000000" w:themeColor="text1"/>
          <w:sz w:val="20"/>
        </w:rPr>
      </w:pPr>
      <w:r w:rsidRPr="009009AB">
        <w:rPr>
          <w:color w:val="000000" w:themeColor="text1"/>
          <w:sz w:val="20"/>
        </w:rPr>
        <w:t>** Baseret på post-marketing rapporter. Da disse rapporter er fra en population af ukendt størrelse, og er underlagt konfunderende faktorer, er det ikke muligt at beregne en frekvens, men systemiske reaktioner ses sjældent.</w:t>
      </w:r>
    </w:p>
    <w:p w:rsidR="009009AB" w:rsidRPr="009009AB" w:rsidRDefault="009009AB" w:rsidP="009009AB">
      <w:pPr>
        <w:autoSpaceDE w:val="0"/>
        <w:autoSpaceDN w:val="0"/>
        <w:adjustRightInd w:val="0"/>
        <w:ind w:left="851"/>
        <w:rPr>
          <w:color w:val="000000" w:themeColor="text1"/>
          <w:sz w:val="24"/>
          <w:szCs w:val="24"/>
        </w:rPr>
      </w:pPr>
    </w:p>
    <w:p w:rsidR="009009AB" w:rsidRPr="009009AB" w:rsidRDefault="009009AB" w:rsidP="009009AB">
      <w:pPr>
        <w:autoSpaceDE w:val="0"/>
        <w:autoSpaceDN w:val="0"/>
        <w:adjustRightInd w:val="0"/>
        <w:ind w:left="851"/>
        <w:rPr>
          <w:color w:val="000000" w:themeColor="text1"/>
          <w:sz w:val="24"/>
          <w:szCs w:val="24"/>
        </w:rPr>
      </w:pPr>
      <w:r w:rsidRPr="009009AB">
        <w:rPr>
          <w:color w:val="000000" w:themeColor="text1"/>
          <w:sz w:val="24"/>
          <w:szCs w:val="24"/>
        </w:rPr>
        <w:t>Ud over bivirkningerne rapporteret i tabellen ovenfor, blev lysfølsomhedsreaktion på applikationsstedet også rapporteret som almindelig i det pivotale studier udført med topikal clindamycin 1</w:t>
      </w:r>
      <w:r w:rsidR="00FB0E3D">
        <w:rPr>
          <w:color w:val="000000" w:themeColor="text1"/>
          <w:sz w:val="24"/>
          <w:szCs w:val="24"/>
        </w:rPr>
        <w:t xml:space="preserve"> %</w:t>
      </w:r>
      <w:r w:rsidRPr="009009AB">
        <w:rPr>
          <w:color w:val="000000" w:themeColor="text1"/>
          <w:sz w:val="24"/>
          <w:szCs w:val="24"/>
        </w:rPr>
        <w:t xml:space="preserve"> / benzoylperoxid 3</w:t>
      </w:r>
      <w:r w:rsidR="00FB0E3D">
        <w:rPr>
          <w:color w:val="000000" w:themeColor="text1"/>
          <w:sz w:val="24"/>
          <w:szCs w:val="24"/>
        </w:rPr>
        <w:t xml:space="preserve"> %</w:t>
      </w:r>
      <w:r w:rsidRPr="009009AB">
        <w:rPr>
          <w:color w:val="000000" w:themeColor="text1"/>
          <w:sz w:val="24"/>
          <w:szCs w:val="24"/>
        </w:rPr>
        <w:t> gel</w:t>
      </w:r>
    </w:p>
    <w:p w:rsidR="009009AB" w:rsidRPr="009009AB" w:rsidRDefault="009009AB" w:rsidP="009009AB">
      <w:pPr>
        <w:autoSpaceDE w:val="0"/>
        <w:autoSpaceDN w:val="0"/>
        <w:adjustRightInd w:val="0"/>
        <w:ind w:left="851"/>
        <w:rPr>
          <w:color w:val="000000" w:themeColor="text1"/>
          <w:sz w:val="24"/>
          <w:szCs w:val="24"/>
        </w:rPr>
      </w:pPr>
    </w:p>
    <w:p w:rsidR="009009AB" w:rsidRPr="009009AB" w:rsidRDefault="009009AB" w:rsidP="009009AB">
      <w:pPr>
        <w:autoSpaceDE w:val="0"/>
        <w:autoSpaceDN w:val="0"/>
        <w:adjustRightInd w:val="0"/>
        <w:ind w:left="851"/>
        <w:rPr>
          <w:color w:val="000000" w:themeColor="text1"/>
          <w:sz w:val="24"/>
          <w:szCs w:val="24"/>
        </w:rPr>
      </w:pPr>
      <w:r w:rsidRPr="009009AB">
        <w:rPr>
          <w:color w:val="000000" w:themeColor="text1"/>
          <w:sz w:val="24"/>
          <w:szCs w:val="24"/>
        </w:rPr>
        <w:t>Endvidere, ud over bivirkningerne rapporteret ovenfor, blev hovedpine og smerter på applikationsstedet rapporteret som almindelig i studier med topikal clindamycin alene.</w:t>
      </w:r>
    </w:p>
    <w:p w:rsidR="009009AB" w:rsidRPr="009009AB" w:rsidRDefault="009009AB" w:rsidP="009009AB">
      <w:pPr>
        <w:autoSpaceDE w:val="0"/>
        <w:autoSpaceDN w:val="0"/>
        <w:adjustRightInd w:val="0"/>
        <w:ind w:left="851"/>
        <w:rPr>
          <w:color w:val="000000" w:themeColor="text1"/>
          <w:sz w:val="24"/>
          <w:szCs w:val="24"/>
          <w:u w:val="single"/>
        </w:rPr>
      </w:pPr>
    </w:p>
    <w:p w:rsidR="009009AB" w:rsidRPr="009009AB" w:rsidRDefault="009009AB" w:rsidP="009009AB">
      <w:pPr>
        <w:autoSpaceDE w:val="0"/>
        <w:autoSpaceDN w:val="0"/>
        <w:adjustRightInd w:val="0"/>
        <w:ind w:left="851"/>
        <w:rPr>
          <w:color w:val="000000" w:themeColor="text1"/>
          <w:sz w:val="24"/>
          <w:szCs w:val="24"/>
          <w:u w:val="single"/>
        </w:rPr>
      </w:pPr>
      <w:r w:rsidRPr="009009AB">
        <w:rPr>
          <w:color w:val="000000" w:themeColor="text1"/>
          <w:sz w:val="24"/>
          <w:szCs w:val="24"/>
          <w:u w:val="single"/>
        </w:rPr>
        <w:t>Lokal tolerabilitet</w:t>
      </w:r>
    </w:p>
    <w:p w:rsidR="009009AB" w:rsidRPr="009009AB" w:rsidRDefault="009009AB" w:rsidP="009009AB">
      <w:pPr>
        <w:autoSpaceDE w:val="0"/>
        <w:autoSpaceDN w:val="0"/>
        <w:adjustRightInd w:val="0"/>
        <w:ind w:left="851"/>
        <w:rPr>
          <w:color w:val="000000" w:themeColor="text1"/>
          <w:sz w:val="24"/>
          <w:szCs w:val="24"/>
        </w:rPr>
      </w:pPr>
      <w:r w:rsidRPr="009009AB">
        <w:rPr>
          <w:color w:val="000000" w:themeColor="text1"/>
          <w:sz w:val="24"/>
          <w:szCs w:val="24"/>
        </w:rPr>
        <w:t>I de fem kliniske studier med clindamycin 10 mg/g + vandfri benzoylper</w:t>
      </w:r>
      <w:r w:rsidRPr="009009AB">
        <w:rPr>
          <w:color w:val="000000" w:themeColor="text1"/>
          <w:sz w:val="24"/>
          <w:szCs w:val="24"/>
        </w:rPr>
        <w:softHyphen/>
        <w:t>oxid 50 mg/g gel blev alle patienter klassificeret for ansigts erytem, afskalning, brændende fornemmelse og tørhed efter følgende skala: 0 = fraværende, 1 = mild, 2 = moderat og 3 = svær. Procentdelen af patienter, der havde symptomer før behandling (ved baseline) og under behandlingen var som følger:</w:t>
      </w:r>
    </w:p>
    <w:p w:rsidR="009009AB" w:rsidRDefault="009009AB">
      <w:pPr>
        <w:rPr>
          <w:color w:val="000000" w:themeColor="text1"/>
          <w:sz w:val="24"/>
          <w:szCs w:val="24"/>
        </w:rPr>
      </w:pPr>
      <w:r>
        <w:rPr>
          <w:color w:val="000000" w:themeColor="text1"/>
          <w:sz w:val="24"/>
          <w:szCs w:val="24"/>
        </w:rPr>
        <w:br w:type="page"/>
      </w:r>
    </w:p>
    <w:p w:rsidR="009009AB" w:rsidRPr="009009AB" w:rsidRDefault="009009AB" w:rsidP="009009AB">
      <w:pPr>
        <w:autoSpaceDE w:val="0"/>
        <w:autoSpaceDN w:val="0"/>
        <w:adjustRightInd w:val="0"/>
        <w:ind w:left="851"/>
        <w:rPr>
          <w:color w:val="000000" w:themeColor="text1"/>
          <w:sz w:val="24"/>
          <w:szCs w:val="24"/>
        </w:rPr>
      </w:pPr>
    </w:p>
    <w:p w:rsidR="009009AB" w:rsidRPr="009009AB" w:rsidRDefault="009009AB" w:rsidP="009009AB">
      <w:pPr>
        <w:autoSpaceDE w:val="0"/>
        <w:autoSpaceDN w:val="0"/>
        <w:adjustRightInd w:val="0"/>
        <w:ind w:left="851"/>
        <w:rPr>
          <w:b/>
          <w:color w:val="000000" w:themeColor="text1"/>
          <w:sz w:val="24"/>
          <w:szCs w:val="24"/>
        </w:rPr>
      </w:pPr>
      <w:r w:rsidRPr="009009AB">
        <w:rPr>
          <w:b/>
          <w:color w:val="000000" w:themeColor="text1"/>
          <w:sz w:val="24"/>
          <w:szCs w:val="24"/>
        </w:rPr>
        <w:t>Lokal tolerabilitetsvurdering for patienter (N=397) i clindamycin 10 mg/g + vandfri benzoylperoxid 50 mg/g gelgruppen i fase 3 studier.</w:t>
      </w:r>
    </w:p>
    <w:p w:rsidR="009009AB" w:rsidRDefault="009009AB" w:rsidP="00A10294">
      <w:pPr>
        <w:tabs>
          <w:tab w:val="left" w:pos="851"/>
        </w:tabs>
        <w:ind w:left="851"/>
        <w:rPr>
          <w:sz w:val="24"/>
          <w:szCs w:val="24"/>
        </w:rPr>
      </w:pPr>
    </w:p>
    <w:tbl>
      <w:tblPr>
        <w:tblStyle w:val="Tabel-Gitter"/>
        <w:tblW w:w="8930" w:type="dxa"/>
        <w:tblInd w:w="846" w:type="dxa"/>
        <w:tblLook w:val="04A0" w:firstRow="1" w:lastRow="0" w:firstColumn="1" w:lastColumn="0" w:noHBand="0" w:noVBand="1"/>
      </w:tblPr>
      <w:tblGrid>
        <w:gridCol w:w="1481"/>
        <w:gridCol w:w="1327"/>
        <w:gridCol w:w="1327"/>
        <w:gridCol w:w="1327"/>
        <w:gridCol w:w="1327"/>
        <w:gridCol w:w="1327"/>
        <w:gridCol w:w="814"/>
      </w:tblGrid>
      <w:tr w:rsidR="009009AB" w:rsidTr="00F80C6A">
        <w:tc>
          <w:tcPr>
            <w:tcW w:w="1481"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jc w:val="both"/>
              <w:rPr>
                <w:color w:val="000000" w:themeColor="text1"/>
                <w:sz w:val="22"/>
              </w:rPr>
            </w:pPr>
          </w:p>
        </w:tc>
        <w:tc>
          <w:tcPr>
            <w:tcW w:w="3981" w:type="dxa"/>
            <w:gridSpan w:val="3"/>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b/>
                <w:color w:val="000000" w:themeColor="text1"/>
              </w:rPr>
            </w:pPr>
            <w:r>
              <w:rPr>
                <w:b/>
                <w:color w:val="000000" w:themeColor="text1"/>
              </w:rPr>
              <w:t>Før behandling (Baseline)</w:t>
            </w:r>
          </w:p>
        </w:tc>
        <w:tc>
          <w:tcPr>
            <w:tcW w:w="3468" w:type="dxa"/>
            <w:gridSpan w:val="3"/>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b/>
                <w:color w:val="000000" w:themeColor="text1"/>
              </w:rPr>
            </w:pPr>
            <w:r>
              <w:rPr>
                <w:b/>
                <w:color w:val="000000" w:themeColor="text1"/>
              </w:rPr>
              <w:t>Under behandling</w:t>
            </w:r>
          </w:p>
        </w:tc>
      </w:tr>
      <w:tr w:rsidR="009009AB" w:rsidTr="00F80C6A">
        <w:tc>
          <w:tcPr>
            <w:tcW w:w="1481" w:type="dxa"/>
            <w:tcBorders>
              <w:top w:val="single" w:sz="4" w:space="0" w:color="auto"/>
              <w:left w:val="single" w:sz="4" w:space="0" w:color="auto"/>
              <w:bottom w:val="single" w:sz="4" w:space="0" w:color="auto"/>
              <w:right w:val="single" w:sz="4" w:space="0" w:color="auto"/>
            </w:tcBorders>
          </w:tcPr>
          <w:p w:rsidR="009009AB" w:rsidRDefault="009009AB">
            <w:pPr>
              <w:autoSpaceDE w:val="0"/>
              <w:autoSpaceDN w:val="0"/>
              <w:adjustRightInd w:val="0"/>
              <w:jc w:val="both"/>
              <w:rPr>
                <w:color w:val="000000" w:themeColor="text1"/>
              </w:rPr>
            </w:pP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b/>
                <w:color w:val="000000" w:themeColor="text1"/>
              </w:rPr>
            </w:pPr>
            <w:r>
              <w:rPr>
                <w:b/>
                <w:color w:val="000000" w:themeColor="text1"/>
              </w:rPr>
              <w:t>Mild</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b/>
                <w:color w:val="000000" w:themeColor="text1"/>
              </w:rPr>
            </w:pPr>
            <w:r>
              <w:rPr>
                <w:b/>
                <w:color w:val="000000" w:themeColor="text1"/>
              </w:rPr>
              <w:t>Moderat</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b/>
                <w:color w:val="000000" w:themeColor="text1"/>
              </w:rPr>
            </w:pPr>
            <w:r>
              <w:rPr>
                <w:b/>
                <w:color w:val="000000" w:themeColor="text1"/>
              </w:rPr>
              <w:t>Svær</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b/>
                <w:color w:val="000000" w:themeColor="text1"/>
              </w:rPr>
              <w:t>Mild</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b/>
                <w:color w:val="000000" w:themeColor="text1"/>
              </w:rPr>
              <w:t>Moderat</w:t>
            </w:r>
          </w:p>
        </w:tc>
        <w:tc>
          <w:tcPr>
            <w:tcW w:w="814"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b/>
                <w:color w:val="000000" w:themeColor="text1"/>
              </w:rPr>
              <w:t>Svær</w:t>
            </w:r>
          </w:p>
        </w:tc>
      </w:tr>
      <w:tr w:rsidR="009009AB" w:rsidTr="00F80C6A">
        <w:tc>
          <w:tcPr>
            <w:tcW w:w="1481"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b/>
                <w:color w:val="000000" w:themeColor="text1"/>
              </w:rPr>
            </w:pPr>
            <w:r>
              <w:rPr>
                <w:b/>
                <w:color w:val="000000" w:themeColor="text1"/>
              </w:rPr>
              <w:t>Erytem</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28</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3</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0</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26</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5</w:t>
            </w:r>
            <w:r w:rsidR="00FB0E3D">
              <w:rPr>
                <w:color w:val="000000" w:themeColor="text1"/>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0</w:t>
            </w:r>
          </w:p>
        </w:tc>
      </w:tr>
      <w:tr w:rsidR="009009AB" w:rsidTr="00F80C6A">
        <w:tc>
          <w:tcPr>
            <w:tcW w:w="1481"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b/>
                <w:color w:val="000000" w:themeColor="text1"/>
              </w:rPr>
            </w:pPr>
            <w:r>
              <w:rPr>
                <w:b/>
                <w:color w:val="000000" w:themeColor="text1"/>
              </w:rPr>
              <w:t>Afskalning</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6</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&lt;1</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0</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17</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2</w:t>
            </w:r>
            <w:r w:rsidR="00FB0E3D">
              <w:rPr>
                <w:color w:val="000000" w:themeColor="text1"/>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0</w:t>
            </w:r>
          </w:p>
        </w:tc>
      </w:tr>
      <w:tr w:rsidR="009009AB" w:rsidTr="00F80C6A">
        <w:tc>
          <w:tcPr>
            <w:tcW w:w="1481"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b/>
                <w:color w:val="000000" w:themeColor="text1"/>
              </w:rPr>
            </w:pPr>
            <w:r>
              <w:rPr>
                <w:b/>
                <w:color w:val="000000" w:themeColor="text1"/>
              </w:rPr>
              <w:t>Brændende fornemmelse</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3</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&lt;1</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0</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5</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&lt;1</w:t>
            </w:r>
            <w:r w:rsidR="00FB0E3D">
              <w:rPr>
                <w:color w:val="000000" w:themeColor="text1"/>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0</w:t>
            </w:r>
          </w:p>
        </w:tc>
      </w:tr>
      <w:tr w:rsidR="009009AB" w:rsidTr="00F80C6A">
        <w:tc>
          <w:tcPr>
            <w:tcW w:w="1481"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b/>
                <w:color w:val="000000" w:themeColor="text1"/>
              </w:rPr>
            </w:pPr>
            <w:r>
              <w:rPr>
                <w:b/>
                <w:color w:val="000000" w:themeColor="text1"/>
              </w:rPr>
              <w:t>Tørhed</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6</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&lt;1</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0</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15</w:t>
            </w:r>
            <w:r w:rsidR="00FB0E3D">
              <w:rPr>
                <w:color w:val="000000" w:themeColor="text1"/>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1</w:t>
            </w:r>
            <w:r w:rsidR="00FB0E3D">
              <w:rPr>
                <w:color w:val="000000" w:themeColor="text1"/>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9009AB" w:rsidRDefault="009009AB">
            <w:pPr>
              <w:autoSpaceDE w:val="0"/>
              <w:autoSpaceDN w:val="0"/>
              <w:adjustRightInd w:val="0"/>
              <w:jc w:val="both"/>
              <w:rPr>
                <w:color w:val="000000" w:themeColor="text1"/>
              </w:rPr>
            </w:pPr>
            <w:r>
              <w:rPr>
                <w:color w:val="000000" w:themeColor="text1"/>
              </w:rPr>
              <w:t>0</w:t>
            </w:r>
          </w:p>
        </w:tc>
      </w:tr>
    </w:tbl>
    <w:p w:rsidR="009009AB" w:rsidRDefault="009009AB" w:rsidP="00A10294">
      <w:pPr>
        <w:tabs>
          <w:tab w:val="left" w:pos="851"/>
        </w:tabs>
        <w:ind w:left="851"/>
        <w:rPr>
          <w:sz w:val="24"/>
          <w:szCs w:val="24"/>
        </w:rPr>
      </w:pPr>
    </w:p>
    <w:p w:rsidR="00F80C6A" w:rsidRPr="00F80C6A" w:rsidRDefault="00F80C6A" w:rsidP="00F80C6A">
      <w:pPr>
        <w:tabs>
          <w:tab w:val="left" w:pos="851"/>
        </w:tabs>
        <w:ind w:left="851"/>
        <w:rPr>
          <w:sz w:val="24"/>
          <w:szCs w:val="24"/>
          <w:u w:val="single"/>
        </w:rPr>
      </w:pPr>
      <w:r w:rsidRPr="00F80C6A">
        <w:rPr>
          <w:sz w:val="24"/>
          <w:szCs w:val="24"/>
          <w:u w:val="single"/>
        </w:rPr>
        <w:t>Indberetning af formodede bivirkninger</w:t>
      </w:r>
    </w:p>
    <w:p w:rsidR="00F80C6A" w:rsidRPr="00F80C6A" w:rsidRDefault="00F80C6A" w:rsidP="00F80C6A">
      <w:pPr>
        <w:tabs>
          <w:tab w:val="left" w:pos="851"/>
        </w:tabs>
        <w:ind w:left="851"/>
        <w:rPr>
          <w:sz w:val="24"/>
          <w:szCs w:val="24"/>
        </w:rPr>
      </w:pPr>
      <w:r w:rsidRPr="00F80C6A">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rsidR="00F80C6A" w:rsidRPr="00F80C6A" w:rsidRDefault="00F80C6A" w:rsidP="00F80C6A">
      <w:pPr>
        <w:tabs>
          <w:tab w:val="left" w:pos="851"/>
        </w:tabs>
        <w:ind w:left="851"/>
        <w:rPr>
          <w:sz w:val="24"/>
          <w:szCs w:val="24"/>
        </w:rPr>
      </w:pPr>
    </w:p>
    <w:p w:rsidR="00F80C6A" w:rsidRPr="00F80C6A" w:rsidRDefault="00F80C6A" w:rsidP="00F80C6A">
      <w:pPr>
        <w:tabs>
          <w:tab w:val="left" w:pos="851"/>
        </w:tabs>
        <w:ind w:left="851"/>
        <w:rPr>
          <w:sz w:val="24"/>
          <w:szCs w:val="24"/>
        </w:rPr>
      </w:pPr>
      <w:r w:rsidRPr="00F80C6A">
        <w:rPr>
          <w:sz w:val="24"/>
          <w:szCs w:val="24"/>
        </w:rPr>
        <w:t>Lægemiddelstyrelsen</w:t>
      </w:r>
    </w:p>
    <w:p w:rsidR="00F80C6A" w:rsidRPr="00F80C6A" w:rsidRDefault="00F80C6A" w:rsidP="00F80C6A">
      <w:pPr>
        <w:tabs>
          <w:tab w:val="left" w:pos="851"/>
        </w:tabs>
        <w:ind w:left="851"/>
        <w:rPr>
          <w:sz w:val="24"/>
          <w:szCs w:val="24"/>
        </w:rPr>
      </w:pPr>
      <w:r w:rsidRPr="00F80C6A">
        <w:rPr>
          <w:sz w:val="24"/>
          <w:szCs w:val="24"/>
        </w:rPr>
        <w:t>Axel Heides Gade 1</w:t>
      </w:r>
    </w:p>
    <w:p w:rsidR="00F80C6A" w:rsidRPr="00F80C6A" w:rsidRDefault="00F80C6A" w:rsidP="00F80C6A">
      <w:pPr>
        <w:tabs>
          <w:tab w:val="left" w:pos="851"/>
        </w:tabs>
        <w:ind w:left="851"/>
        <w:rPr>
          <w:sz w:val="24"/>
          <w:szCs w:val="24"/>
        </w:rPr>
      </w:pPr>
      <w:r w:rsidRPr="00F80C6A">
        <w:rPr>
          <w:sz w:val="24"/>
          <w:szCs w:val="24"/>
        </w:rPr>
        <w:t>DK-2300 København S</w:t>
      </w:r>
    </w:p>
    <w:p w:rsidR="00F80C6A" w:rsidRPr="00F80C6A" w:rsidRDefault="00F80C6A" w:rsidP="00F80C6A">
      <w:pPr>
        <w:tabs>
          <w:tab w:val="left" w:pos="851"/>
        </w:tabs>
        <w:ind w:left="851"/>
        <w:rPr>
          <w:sz w:val="24"/>
          <w:szCs w:val="24"/>
        </w:rPr>
      </w:pPr>
      <w:r w:rsidRPr="00F80C6A">
        <w:rPr>
          <w:sz w:val="24"/>
          <w:szCs w:val="24"/>
        </w:rPr>
        <w:t>Websted: www.meldenbivirkning.dk</w:t>
      </w:r>
    </w:p>
    <w:p w:rsidR="009009AB" w:rsidRPr="00A10294" w:rsidRDefault="009009AB"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8574B9" w:rsidRPr="008574B9" w:rsidRDefault="008574B9" w:rsidP="008574B9">
      <w:pPr>
        <w:tabs>
          <w:tab w:val="left" w:pos="851"/>
        </w:tabs>
        <w:ind w:left="851"/>
        <w:rPr>
          <w:sz w:val="24"/>
          <w:szCs w:val="24"/>
        </w:rPr>
      </w:pPr>
      <w:r w:rsidRPr="008574B9">
        <w:rPr>
          <w:sz w:val="24"/>
          <w:szCs w:val="24"/>
        </w:rPr>
        <w:t>Overdreven brug af Clindonix kan forårsage alvorlig irritation. I dette tilfælde bør brugen seponeres indtil huden er helet.</w:t>
      </w:r>
    </w:p>
    <w:p w:rsidR="008574B9" w:rsidRPr="008574B9" w:rsidRDefault="008574B9" w:rsidP="008574B9">
      <w:pPr>
        <w:tabs>
          <w:tab w:val="left" w:pos="851"/>
        </w:tabs>
        <w:ind w:left="851"/>
        <w:rPr>
          <w:sz w:val="24"/>
          <w:szCs w:val="24"/>
        </w:rPr>
      </w:pPr>
    </w:p>
    <w:p w:rsidR="008574B9" w:rsidRPr="008574B9" w:rsidRDefault="008574B9" w:rsidP="008574B9">
      <w:pPr>
        <w:tabs>
          <w:tab w:val="left" w:pos="851"/>
        </w:tabs>
        <w:ind w:left="851"/>
        <w:rPr>
          <w:sz w:val="24"/>
          <w:szCs w:val="24"/>
        </w:rPr>
      </w:pPr>
      <w:r w:rsidRPr="008574B9">
        <w:rPr>
          <w:sz w:val="24"/>
          <w:szCs w:val="24"/>
        </w:rPr>
        <w:t>Topikal påført benozylperoxid absorberes generelt ikke i tilstrækkelige mængder til at frembringe systemiske virkninger.</w:t>
      </w:r>
    </w:p>
    <w:p w:rsidR="008574B9" w:rsidRPr="008574B9" w:rsidRDefault="008574B9" w:rsidP="008574B9">
      <w:pPr>
        <w:tabs>
          <w:tab w:val="left" w:pos="851"/>
        </w:tabs>
        <w:ind w:left="851"/>
        <w:rPr>
          <w:sz w:val="24"/>
          <w:szCs w:val="24"/>
        </w:rPr>
      </w:pPr>
    </w:p>
    <w:p w:rsidR="008574B9" w:rsidRPr="008574B9" w:rsidRDefault="008574B9" w:rsidP="008574B9">
      <w:pPr>
        <w:tabs>
          <w:tab w:val="left" w:pos="851"/>
        </w:tabs>
        <w:ind w:left="851"/>
        <w:rPr>
          <w:sz w:val="24"/>
          <w:szCs w:val="24"/>
        </w:rPr>
      </w:pPr>
      <w:r w:rsidRPr="008574B9">
        <w:rPr>
          <w:sz w:val="24"/>
          <w:szCs w:val="24"/>
        </w:rPr>
        <w:t>Overdreven anvendelse af topisk påført clindamycin kan resultere i absorption af tilstrækkelige mængder til at frembringe systemiske effekter.</w:t>
      </w:r>
    </w:p>
    <w:p w:rsidR="008574B9" w:rsidRPr="008574B9" w:rsidRDefault="008574B9" w:rsidP="008574B9">
      <w:pPr>
        <w:tabs>
          <w:tab w:val="left" w:pos="851"/>
        </w:tabs>
        <w:ind w:left="851"/>
        <w:rPr>
          <w:sz w:val="24"/>
          <w:szCs w:val="24"/>
        </w:rPr>
      </w:pPr>
    </w:p>
    <w:p w:rsidR="008574B9" w:rsidRPr="008574B9" w:rsidRDefault="008574B9" w:rsidP="008574B9">
      <w:pPr>
        <w:tabs>
          <w:tab w:val="left" w:pos="851"/>
        </w:tabs>
        <w:ind w:left="851"/>
        <w:rPr>
          <w:sz w:val="24"/>
          <w:szCs w:val="24"/>
        </w:rPr>
      </w:pPr>
      <w:r w:rsidRPr="008574B9">
        <w:rPr>
          <w:sz w:val="24"/>
          <w:szCs w:val="24"/>
        </w:rPr>
        <w:t>I tilfælde af utilsigtet indtagelse af Clindonix kan der forekomme gastrointestinale bivirkninger, som ligner dem der ses ved systemisk administreret clindamycin.</w:t>
      </w:r>
    </w:p>
    <w:p w:rsidR="008574B9" w:rsidRPr="008574B9" w:rsidRDefault="008574B9" w:rsidP="008574B9">
      <w:pPr>
        <w:tabs>
          <w:tab w:val="left" w:pos="851"/>
        </w:tabs>
        <w:ind w:left="851"/>
        <w:rPr>
          <w:sz w:val="24"/>
          <w:szCs w:val="24"/>
        </w:rPr>
      </w:pPr>
    </w:p>
    <w:p w:rsidR="008574B9" w:rsidRPr="008574B9" w:rsidRDefault="008574B9" w:rsidP="008574B9">
      <w:pPr>
        <w:tabs>
          <w:tab w:val="left" w:pos="851"/>
        </w:tabs>
        <w:ind w:left="851"/>
        <w:rPr>
          <w:sz w:val="24"/>
          <w:szCs w:val="24"/>
        </w:rPr>
      </w:pPr>
      <w:r w:rsidRPr="008574B9">
        <w:rPr>
          <w:sz w:val="24"/>
          <w:szCs w:val="24"/>
        </w:rPr>
        <w:t>Passende symptomatisk behandling bør ydes for at lindre irritation på grund af overdreven anvendelse.</w:t>
      </w:r>
    </w:p>
    <w:p w:rsidR="008574B9" w:rsidRPr="008574B9" w:rsidRDefault="008574B9" w:rsidP="008574B9">
      <w:pPr>
        <w:tabs>
          <w:tab w:val="left" w:pos="851"/>
        </w:tabs>
        <w:ind w:left="851"/>
        <w:rPr>
          <w:sz w:val="24"/>
          <w:szCs w:val="24"/>
        </w:rPr>
      </w:pPr>
    </w:p>
    <w:p w:rsidR="008574B9" w:rsidRPr="008574B9" w:rsidRDefault="008574B9" w:rsidP="008574B9">
      <w:pPr>
        <w:tabs>
          <w:tab w:val="left" w:pos="851"/>
        </w:tabs>
        <w:ind w:left="851"/>
        <w:rPr>
          <w:sz w:val="24"/>
          <w:szCs w:val="24"/>
        </w:rPr>
      </w:pPr>
      <w:r w:rsidRPr="008574B9">
        <w:rPr>
          <w:sz w:val="24"/>
          <w:szCs w:val="24"/>
        </w:rPr>
        <w:t>Utilsigtet indtagelse bør behandles klinisk eller som anbefalet af det nationale giftcenter, hvor muligt.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8574B9"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E770C" w:rsidRPr="007E770C" w:rsidRDefault="007E770C" w:rsidP="007E770C">
      <w:pPr>
        <w:tabs>
          <w:tab w:val="left" w:pos="851"/>
        </w:tabs>
        <w:ind w:left="851"/>
        <w:rPr>
          <w:sz w:val="24"/>
          <w:szCs w:val="24"/>
        </w:rPr>
      </w:pPr>
      <w:r w:rsidRPr="007E770C">
        <w:rPr>
          <w:sz w:val="24"/>
          <w:szCs w:val="24"/>
        </w:rPr>
        <w:t>Farmakoterapeutisk klassifikation: Anti-akne præparationer; Antiinfektionsmidler til behandling af akne. ATC</w:t>
      </w:r>
      <w:r w:rsidR="00376789">
        <w:rPr>
          <w:sz w:val="24"/>
          <w:szCs w:val="24"/>
        </w:rPr>
        <w:t>-k</w:t>
      </w:r>
      <w:r w:rsidRPr="007E770C">
        <w:rPr>
          <w:sz w:val="24"/>
          <w:szCs w:val="24"/>
        </w:rPr>
        <w:t>ode: D10AF51.</w:t>
      </w:r>
    </w:p>
    <w:p w:rsidR="007E770C" w:rsidRPr="007E770C" w:rsidRDefault="007E770C" w:rsidP="007E770C">
      <w:pPr>
        <w:tabs>
          <w:tab w:val="left" w:pos="851"/>
        </w:tabs>
        <w:ind w:left="851"/>
        <w:rPr>
          <w:sz w:val="24"/>
          <w:szCs w:val="24"/>
        </w:rPr>
      </w:pPr>
    </w:p>
    <w:p w:rsidR="007E770C" w:rsidRPr="007E770C" w:rsidRDefault="007E770C" w:rsidP="007E770C">
      <w:pPr>
        <w:tabs>
          <w:tab w:val="left" w:pos="851"/>
        </w:tabs>
        <w:ind w:left="851"/>
        <w:rPr>
          <w:sz w:val="24"/>
          <w:szCs w:val="24"/>
        </w:rPr>
      </w:pPr>
      <w:r w:rsidRPr="007E770C">
        <w:rPr>
          <w:sz w:val="24"/>
          <w:szCs w:val="24"/>
        </w:rPr>
        <w:t>Clindamycin er et antibiotikum tilhørende lincosamidgruppen. Det har bakteriostatisk virking overfor grampositive aerobe bakterier og en lang række anaerobe bakterier.</w:t>
      </w:r>
    </w:p>
    <w:p w:rsidR="007E770C" w:rsidRPr="007E770C" w:rsidRDefault="007E770C" w:rsidP="007E770C">
      <w:pPr>
        <w:tabs>
          <w:tab w:val="left" w:pos="851"/>
        </w:tabs>
        <w:ind w:left="851"/>
        <w:rPr>
          <w:sz w:val="24"/>
          <w:szCs w:val="24"/>
        </w:rPr>
      </w:pPr>
      <w:r w:rsidRPr="007E770C">
        <w:rPr>
          <w:sz w:val="24"/>
          <w:szCs w:val="24"/>
        </w:rPr>
        <w:t>Lincosaminer såsom clindamycin binder sig til underenhed 23S på bakterieribosomet og hæmmer de tidlige stadier af proteinsyntese. Virkningen af clindamycin er hovedsageligt bakteriostatisk, selvom høje koncentrationer kan have en langsom bakteriecid effekt overfor følsomme stammer.</w:t>
      </w:r>
    </w:p>
    <w:p w:rsidR="007E770C" w:rsidRPr="007E770C" w:rsidRDefault="007E770C" w:rsidP="007E770C">
      <w:pPr>
        <w:tabs>
          <w:tab w:val="left" w:pos="851"/>
        </w:tabs>
        <w:ind w:left="851"/>
        <w:rPr>
          <w:sz w:val="24"/>
          <w:szCs w:val="24"/>
        </w:rPr>
      </w:pPr>
    </w:p>
    <w:p w:rsidR="007E770C" w:rsidRPr="007E770C" w:rsidRDefault="007E770C" w:rsidP="007E770C">
      <w:pPr>
        <w:tabs>
          <w:tab w:val="left" w:pos="851"/>
        </w:tabs>
        <w:ind w:left="851"/>
        <w:rPr>
          <w:sz w:val="24"/>
          <w:szCs w:val="24"/>
        </w:rPr>
      </w:pPr>
      <w:r w:rsidRPr="007E770C">
        <w:rPr>
          <w:sz w:val="24"/>
          <w:szCs w:val="24"/>
        </w:rPr>
        <w:t xml:space="preserve">Selvom clindamycinphosphat er inaktivt </w:t>
      </w:r>
      <w:r w:rsidRPr="007E770C">
        <w:rPr>
          <w:i/>
          <w:iCs/>
          <w:sz w:val="24"/>
          <w:szCs w:val="24"/>
        </w:rPr>
        <w:t>in-vitro</w:t>
      </w:r>
      <w:r w:rsidRPr="007E770C">
        <w:rPr>
          <w:sz w:val="24"/>
          <w:szCs w:val="24"/>
        </w:rPr>
        <w:t xml:space="preserve"> omdanner en hurtig </w:t>
      </w:r>
      <w:r w:rsidRPr="007E770C">
        <w:rPr>
          <w:i/>
          <w:iCs/>
          <w:sz w:val="24"/>
          <w:szCs w:val="24"/>
        </w:rPr>
        <w:t>in-vivo</w:t>
      </w:r>
      <w:r w:rsidRPr="007E770C">
        <w:rPr>
          <w:sz w:val="24"/>
          <w:szCs w:val="24"/>
        </w:rPr>
        <w:t xml:space="preserve"> hydrolyse denne forbindelse til det antibakterielt aktive clindamycin</w:t>
      </w:r>
    </w:p>
    <w:p w:rsidR="007E770C" w:rsidRPr="007E770C" w:rsidRDefault="007E770C" w:rsidP="007E770C">
      <w:pPr>
        <w:tabs>
          <w:tab w:val="left" w:pos="851"/>
        </w:tabs>
        <w:ind w:left="851"/>
        <w:rPr>
          <w:sz w:val="24"/>
          <w:szCs w:val="24"/>
        </w:rPr>
      </w:pPr>
      <w:r w:rsidRPr="007E770C">
        <w:rPr>
          <w:sz w:val="24"/>
          <w:szCs w:val="24"/>
        </w:rPr>
        <w:t xml:space="preserve">Clindamycin aktivitet er påvist klinisk i komedoner fra akne patienter på et tilstrækkeligt niveau til at være aktiv mod de fleste stammer af </w:t>
      </w:r>
      <w:r w:rsidRPr="007E770C">
        <w:rPr>
          <w:i/>
          <w:sz w:val="24"/>
          <w:szCs w:val="24"/>
        </w:rPr>
        <w:t>Propionibacterium acnes</w:t>
      </w:r>
      <w:r w:rsidRPr="007E770C">
        <w:rPr>
          <w:iCs/>
          <w:sz w:val="24"/>
          <w:szCs w:val="24"/>
        </w:rPr>
        <w:t xml:space="preserve">. Clindamycin </w:t>
      </w:r>
      <w:r w:rsidRPr="007E770C">
        <w:rPr>
          <w:i/>
          <w:sz w:val="24"/>
          <w:szCs w:val="24"/>
        </w:rPr>
        <w:t>in-vitro</w:t>
      </w:r>
      <w:r w:rsidRPr="007E770C">
        <w:rPr>
          <w:iCs/>
          <w:sz w:val="24"/>
          <w:szCs w:val="24"/>
        </w:rPr>
        <w:t xml:space="preserve"> hæmmer alle testede </w:t>
      </w:r>
      <w:r w:rsidRPr="007E770C">
        <w:rPr>
          <w:i/>
          <w:sz w:val="24"/>
          <w:szCs w:val="24"/>
        </w:rPr>
        <w:t>Propionibacterium acnes</w:t>
      </w:r>
      <w:r w:rsidRPr="007E770C">
        <w:rPr>
          <w:iCs/>
          <w:sz w:val="24"/>
          <w:szCs w:val="24"/>
        </w:rPr>
        <w:t xml:space="preserve"> kulturer </w:t>
      </w:r>
      <w:r w:rsidRPr="007E770C">
        <w:rPr>
          <w:sz w:val="24"/>
          <w:szCs w:val="24"/>
        </w:rPr>
        <w:t>(MIC 0.4mcg/ml). Frie fedtsyrer på hudens overflade blev reduceret fra ca. 14</w:t>
      </w:r>
      <w:r w:rsidR="00FB0E3D">
        <w:rPr>
          <w:sz w:val="24"/>
          <w:szCs w:val="24"/>
        </w:rPr>
        <w:t xml:space="preserve"> %</w:t>
      </w:r>
      <w:r w:rsidRPr="007E770C">
        <w:rPr>
          <w:sz w:val="24"/>
          <w:szCs w:val="24"/>
        </w:rPr>
        <w:t xml:space="preserve"> til 2</w:t>
      </w:r>
      <w:r w:rsidR="00FB0E3D">
        <w:rPr>
          <w:sz w:val="24"/>
          <w:szCs w:val="24"/>
        </w:rPr>
        <w:t xml:space="preserve"> %</w:t>
      </w:r>
      <w:r w:rsidRPr="007E770C">
        <w:rPr>
          <w:sz w:val="24"/>
          <w:szCs w:val="24"/>
        </w:rPr>
        <w:t xml:space="preserve"> efter anvendelse af clindamycin.</w:t>
      </w:r>
    </w:p>
    <w:p w:rsidR="007E770C" w:rsidRPr="007E770C" w:rsidRDefault="007E770C" w:rsidP="007E770C">
      <w:pPr>
        <w:tabs>
          <w:tab w:val="left" w:pos="851"/>
        </w:tabs>
        <w:ind w:left="851"/>
        <w:rPr>
          <w:sz w:val="24"/>
          <w:szCs w:val="24"/>
        </w:rPr>
      </w:pPr>
    </w:p>
    <w:p w:rsidR="007E770C" w:rsidRPr="007E770C" w:rsidRDefault="007E770C" w:rsidP="007E770C">
      <w:pPr>
        <w:tabs>
          <w:tab w:val="left" w:pos="851"/>
        </w:tabs>
        <w:ind w:left="851"/>
        <w:rPr>
          <w:sz w:val="24"/>
          <w:szCs w:val="24"/>
        </w:rPr>
      </w:pPr>
      <w:r w:rsidRPr="007E770C">
        <w:rPr>
          <w:sz w:val="24"/>
          <w:szCs w:val="24"/>
        </w:rPr>
        <w:t xml:space="preserve">Benzoylperoxid virker mildt keratolytisk over for komedomer i samtlige udviklingsstadier. Det er et oxiderende stof med bakteriecid virkning over for </w:t>
      </w:r>
      <w:r w:rsidRPr="007E770C">
        <w:rPr>
          <w:i/>
          <w:sz w:val="24"/>
          <w:szCs w:val="24"/>
        </w:rPr>
        <w:t>Propionibacterium acnes</w:t>
      </w:r>
      <w:r w:rsidRPr="007E770C">
        <w:rPr>
          <w:iCs/>
          <w:sz w:val="24"/>
          <w:szCs w:val="24"/>
        </w:rPr>
        <w:t>, organismen der er involveret i acne vulgaris. Ydermere er det sebostatisk, og modvirker dermed den øgede talgproduktion der er forbundet med akne.</w:t>
      </w:r>
    </w:p>
    <w:p w:rsidR="007E770C" w:rsidRPr="007E770C" w:rsidRDefault="007E770C" w:rsidP="007E770C">
      <w:pPr>
        <w:tabs>
          <w:tab w:val="left" w:pos="851"/>
        </w:tabs>
        <w:ind w:left="851"/>
        <w:rPr>
          <w:sz w:val="24"/>
          <w:szCs w:val="24"/>
        </w:rPr>
      </w:pPr>
    </w:p>
    <w:p w:rsidR="007E770C" w:rsidRPr="007E770C" w:rsidRDefault="007E770C" w:rsidP="007E770C">
      <w:pPr>
        <w:tabs>
          <w:tab w:val="left" w:pos="851"/>
        </w:tabs>
        <w:ind w:left="851"/>
        <w:rPr>
          <w:sz w:val="24"/>
          <w:szCs w:val="24"/>
        </w:rPr>
      </w:pPr>
      <w:r w:rsidRPr="007E770C">
        <w:rPr>
          <w:sz w:val="24"/>
          <w:szCs w:val="24"/>
        </w:rPr>
        <w:t>Clindonix har en kombination af mild keratolytisk og antibakterielle egenskaber, der gør det aktivt, specielt overfor inflammerede læsioner ved let til moderat acne vulgaris.</w:t>
      </w:r>
    </w:p>
    <w:p w:rsidR="007E770C" w:rsidRPr="007E770C" w:rsidRDefault="007E770C" w:rsidP="007E770C">
      <w:pPr>
        <w:tabs>
          <w:tab w:val="left" w:pos="851"/>
        </w:tabs>
        <w:ind w:left="851"/>
        <w:rPr>
          <w:sz w:val="24"/>
          <w:szCs w:val="24"/>
        </w:rPr>
      </w:pPr>
    </w:p>
    <w:p w:rsidR="007E770C" w:rsidRPr="007E770C" w:rsidRDefault="007E770C" w:rsidP="007E770C">
      <w:pPr>
        <w:tabs>
          <w:tab w:val="left" w:pos="851"/>
        </w:tabs>
        <w:ind w:left="851"/>
        <w:rPr>
          <w:sz w:val="24"/>
          <w:szCs w:val="24"/>
        </w:rPr>
      </w:pPr>
      <w:r w:rsidRPr="007E770C">
        <w:rPr>
          <w:sz w:val="24"/>
          <w:szCs w:val="24"/>
        </w:rPr>
        <w:t>Prævalensen af erhvervet resistens kan variere geografisk og over tid for udvalgte arter. Lokal information om resistens er ønskelig, især ved behandling af svære infektioner.</w:t>
      </w:r>
    </w:p>
    <w:p w:rsidR="007E770C" w:rsidRPr="007E770C" w:rsidRDefault="007E770C" w:rsidP="007E770C">
      <w:pPr>
        <w:tabs>
          <w:tab w:val="left" w:pos="851"/>
        </w:tabs>
        <w:ind w:left="851"/>
        <w:rPr>
          <w:sz w:val="24"/>
          <w:szCs w:val="24"/>
        </w:rPr>
      </w:pPr>
    </w:p>
    <w:p w:rsidR="007E770C" w:rsidRPr="007E770C" w:rsidRDefault="007E770C" w:rsidP="007E770C">
      <w:pPr>
        <w:tabs>
          <w:tab w:val="left" w:pos="851"/>
        </w:tabs>
        <w:ind w:left="851"/>
        <w:rPr>
          <w:sz w:val="24"/>
          <w:szCs w:val="24"/>
        </w:rPr>
      </w:pPr>
      <w:r w:rsidRPr="007E770C">
        <w:rPr>
          <w:sz w:val="24"/>
          <w:szCs w:val="24"/>
        </w:rPr>
        <w:t>Inklusionen af benzoylperoxid reducerer potentialet for udvikling af organismer der er resistente overfor clindamycin.</w:t>
      </w:r>
    </w:p>
    <w:p w:rsidR="007E770C" w:rsidRPr="007E770C" w:rsidRDefault="007E770C" w:rsidP="007E770C">
      <w:pPr>
        <w:tabs>
          <w:tab w:val="left" w:pos="851"/>
        </w:tabs>
        <w:ind w:left="851"/>
        <w:rPr>
          <w:sz w:val="24"/>
          <w:szCs w:val="24"/>
        </w:rPr>
      </w:pPr>
    </w:p>
    <w:p w:rsidR="007E770C" w:rsidRPr="007E770C" w:rsidRDefault="007E770C" w:rsidP="007E770C">
      <w:pPr>
        <w:tabs>
          <w:tab w:val="left" w:pos="851"/>
        </w:tabs>
        <w:ind w:left="851"/>
        <w:rPr>
          <w:sz w:val="24"/>
          <w:szCs w:val="24"/>
        </w:rPr>
      </w:pPr>
      <w:r w:rsidRPr="007E770C">
        <w:rPr>
          <w:sz w:val="24"/>
          <w:szCs w:val="24"/>
        </w:rPr>
        <w:t>At præparatet indeholder begge aktive stoffer i samme formulering, gør det mere praktisk for patienten at anvende og sikrer overholdelse af lægens anvisninger.</w:t>
      </w:r>
    </w:p>
    <w:p w:rsidR="007E770C" w:rsidRPr="007E770C" w:rsidRDefault="007E770C" w:rsidP="007E770C">
      <w:pPr>
        <w:tabs>
          <w:tab w:val="left" w:pos="851"/>
        </w:tabs>
        <w:ind w:left="851"/>
        <w:rPr>
          <w:sz w:val="24"/>
          <w:szCs w:val="24"/>
        </w:rPr>
      </w:pPr>
    </w:p>
    <w:p w:rsidR="007E770C" w:rsidRPr="007E770C" w:rsidRDefault="007E770C" w:rsidP="007E770C">
      <w:pPr>
        <w:tabs>
          <w:tab w:val="left" w:pos="851"/>
        </w:tabs>
        <w:ind w:left="851"/>
        <w:rPr>
          <w:sz w:val="24"/>
          <w:szCs w:val="24"/>
        </w:rPr>
      </w:pPr>
      <w:r w:rsidRPr="007E770C">
        <w:rPr>
          <w:sz w:val="24"/>
          <w:szCs w:val="24"/>
          <w:u w:val="single"/>
        </w:rPr>
        <w:t>Klinisk virkning og sikkerhed</w:t>
      </w:r>
    </w:p>
    <w:p w:rsidR="007E770C" w:rsidRPr="007E770C" w:rsidRDefault="007E770C" w:rsidP="007E770C">
      <w:pPr>
        <w:tabs>
          <w:tab w:val="left" w:pos="851"/>
        </w:tabs>
        <w:ind w:left="851"/>
        <w:rPr>
          <w:sz w:val="24"/>
          <w:szCs w:val="24"/>
        </w:rPr>
      </w:pPr>
      <w:r w:rsidRPr="007E770C">
        <w:rPr>
          <w:sz w:val="24"/>
          <w:szCs w:val="24"/>
        </w:rPr>
        <w:t>I fem randomiserde og dobbeltblindede kliniske undersøgelser omfattende 1318 patienter med facial acne vulgaris både med og uden inflammerede læsioner, brugte 396 clindamycin + vandfri benzoylper</w:t>
      </w:r>
      <w:r w:rsidRPr="007E770C">
        <w:rPr>
          <w:sz w:val="24"/>
          <w:szCs w:val="24"/>
        </w:rPr>
        <w:softHyphen/>
        <w:t>oxid gel, 396 brugte vandfri benzoylper</w:t>
      </w:r>
      <w:r w:rsidRPr="007E770C">
        <w:rPr>
          <w:sz w:val="24"/>
          <w:szCs w:val="24"/>
        </w:rPr>
        <w:softHyphen/>
        <w:t xml:space="preserve">oxid, 349 brugte clindamycin og 177 brugte vehiklet. </w:t>
      </w:r>
    </w:p>
    <w:p w:rsidR="007E770C" w:rsidRPr="007E770C" w:rsidRDefault="007E770C" w:rsidP="007E770C">
      <w:pPr>
        <w:tabs>
          <w:tab w:val="left" w:pos="851"/>
        </w:tabs>
        <w:ind w:left="851"/>
        <w:rPr>
          <w:sz w:val="24"/>
          <w:szCs w:val="24"/>
        </w:rPr>
      </w:pPr>
      <w:r w:rsidRPr="007E770C">
        <w:rPr>
          <w:sz w:val="24"/>
          <w:szCs w:val="24"/>
        </w:rPr>
        <w:t>Behandlingen blev påført en gang om dagen i 11 uger og patienter blev evalueret og læsioner talt ved 2, 5, 8 og 11 uger.</w:t>
      </w:r>
    </w:p>
    <w:p w:rsidR="007E770C" w:rsidRDefault="007E770C" w:rsidP="007E770C">
      <w:pPr>
        <w:tabs>
          <w:tab w:val="left" w:pos="851"/>
        </w:tabs>
        <w:ind w:left="851"/>
        <w:rPr>
          <w:sz w:val="24"/>
          <w:szCs w:val="24"/>
        </w:rPr>
      </w:pPr>
      <w:r w:rsidRPr="007E770C">
        <w:rPr>
          <w:sz w:val="24"/>
          <w:szCs w:val="24"/>
        </w:rPr>
        <w:br/>
        <w:t>Den middelprocentuelle reduktion i læsioner efter 11 uger er vist i tabellen herunder.</w:t>
      </w:r>
    </w:p>
    <w:p w:rsidR="00376789" w:rsidRDefault="00376789" w:rsidP="007E770C">
      <w:pPr>
        <w:tabs>
          <w:tab w:val="left" w:pos="851"/>
        </w:tabs>
        <w:ind w:left="851"/>
        <w:rPr>
          <w:sz w:val="24"/>
          <w:szCs w:val="24"/>
        </w:rPr>
      </w:pPr>
    </w:p>
    <w:p w:rsidR="00376789" w:rsidRPr="00376789" w:rsidRDefault="00376789" w:rsidP="00376789">
      <w:pPr>
        <w:keepNext/>
        <w:ind w:left="142"/>
        <w:jc w:val="both"/>
        <w:rPr>
          <w:b/>
          <w:bCs/>
          <w:color w:val="000000" w:themeColor="text1"/>
          <w:sz w:val="24"/>
          <w:szCs w:val="24"/>
        </w:rPr>
      </w:pPr>
      <w:r w:rsidRPr="00376789">
        <w:rPr>
          <w:b/>
          <w:bCs/>
          <w:color w:val="000000" w:themeColor="text1"/>
          <w:sz w:val="24"/>
          <w:szCs w:val="24"/>
        </w:rPr>
        <w:t>Middelprocentuel reduktion i læsioner efter 11 uger</w:t>
      </w:r>
    </w:p>
    <w:p w:rsidR="00376789" w:rsidRDefault="00376789" w:rsidP="007E770C">
      <w:pPr>
        <w:tabs>
          <w:tab w:val="left" w:pos="851"/>
        </w:tabs>
        <w:ind w:left="851"/>
        <w:rPr>
          <w:sz w:val="24"/>
          <w:szCs w:val="24"/>
        </w:rPr>
      </w:pPr>
    </w:p>
    <w:tbl>
      <w:tblPr>
        <w:tblStyle w:val="Tabel-Gitter"/>
        <w:tblW w:w="0" w:type="auto"/>
        <w:jc w:val="center"/>
        <w:tblInd w:w="0" w:type="dxa"/>
        <w:tblLook w:val="04A0" w:firstRow="1" w:lastRow="0" w:firstColumn="1" w:lastColumn="0" w:noHBand="0" w:noVBand="1"/>
      </w:tblPr>
      <w:tblGrid>
        <w:gridCol w:w="1686"/>
        <w:gridCol w:w="1540"/>
        <w:gridCol w:w="1540"/>
        <w:gridCol w:w="1541"/>
        <w:gridCol w:w="1541"/>
        <w:gridCol w:w="1541"/>
      </w:tblGrid>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tcPr>
          <w:p w:rsidR="00376789" w:rsidRDefault="00376789">
            <w:pPr>
              <w:keepNext/>
              <w:jc w:val="both"/>
              <w:rPr>
                <w:color w:val="000000" w:themeColor="text1"/>
                <w:sz w:val="22"/>
              </w:rPr>
            </w:pP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keepNext/>
              <w:jc w:val="both"/>
              <w:rPr>
                <w:b/>
                <w:color w:val="000000" w:themeColor="text1"/>
              </w:rPr>
            </w:pPr>
            <w:r>
              <w:rPr>
                <w:b/>
                <w:color w:val="000000" w:themeColor="text1"/>
              </w:rPr>
              <w:t>Studie 150</w:t>
            </w:r>
          </w:p>
          <w:p w:rsidR="00376789" w:rsidRDefault="00376789">
            <w:pPr>
              <w:keepNext/>
              <w:jc w:val="both"/>
              <w:rPr>
                <w:b/>
                <w:color w:val="000000" w:themeColor="text1"/>
              </w:rPr>
            </w:pPr>
            <w:r>
              <w:rPr>
                <w:b/>
                <w:color w:val="000000" w:themeColor="text1"/>
              </w:rPr>
              <w:t>(n = 120)</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keepNext/>
              <w:jc w:val="both"/>
              <w:rPr>
                <w:b/>
                <w:color w:val="000000" w:themeColor="text1"/>
              </w:rPr>
            </w:pPr>
            <w:r>
              <w:rPr>
                <w:b/>
                <w:color w:val="000000" w:themeColor="text1"/>
              </w:rPr>
              <w:t>Studie 151</w:t>
            </w:r>
          </w:p>
          <w:p w:rsidR="00376789" w:rsidRDefault="00376789">
            <w:pPr>
              <w:keepNext/>
              <w:jc w:val="both"/>
              <w:rPr>
                <w:b/>
                <w:color w:val="000000" w:themeColor="text1"/>
              </w:rPr>
            </w:pPr>
            <w:r>
              <w:rPr>
                <w:b/>
                <w:color w:val="000000" w:themeColor="text1"/>
              </w:rPr>
              <w:t>(n = 273)</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keepNext/>
              <w:jc w:val="both"/>
              <w:rPr>
                <w:b/>
                <w:color w:val="000000" w:themeColor="text1"/>
              </w:rPr>
            </w:pPr>
            <w:r>
              <w:rPr>
                <w:b/>
                <w:color w:val="000000" w:themeColor="text1"/>
              </w:rPr>
              <w:t>Studie 152</w:t>
            </w:r>
          </w:p>
          <w:p w:rsidR="00376789" w:rsidRDefault="00376789">
            <w:pPr>
              <w:keepNext/>
              <w:jc w:val="both"/>
              <w:rPr>
                <w:b/>
                <w:color w:val="000000" w:themeColor="text1"/>
              </w:rPr>
            </w:pPr>
            <w:r>
              <w:rPr>
                <w:b/>
                <w:color w:val="000000" w:themeColor="text1"/>
              </w:rPr>
              <w:t>(n = 280)</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keepNext/>
              <w:jc w:val="both"/>
              <w:rPr>
                <w:b/>
                <w:color w:val="000000" w:themeColor="text1"/>
              </w:rPr>
            </w:pPr>
            <w:r>
              <w:rPr>
                <w:b/>
                <w:color w:val="000000" w:themeColor="text1"/>
              </w:rPr>
              <w:t>Studie 156</w:t>
            </w:r>
          </w:p>
          <w:p w:rsidR="00376789" w:rsidRDefault="00376789">
            <w:pPr>
              <w:keepNext/>
              <w:jc w:val="both"/>
              <w:rPr>
                <w:b/>
                <w:color w:val="000000" w:themeColor="text1"/>
              </w:rPr>
            </w:pPr>
            <w:r>
              <w:rPr>
                <w:b/>
                <w:color w:val="000000" w:themeColor="text1"/>
              </w:rPr>
              <w:t>(n = 287)</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keepNext/>
              <w:jc w:val="both"/>
              <w:rPr>
                <w:b/>
                <w:color w:val="000000" w:themeColor="text1"/>
              </w:rPr>
            </w:pPr>
            <w:r>
              <w:rPr>
                <w:b/>
                <w:color w:val="000000" w:themeColor="text1"/>
              </w:rPr>
              <w:t>Studie 158* (n = 358)</w:t>
            </w:r>
          </w:p>
        </w:tc>
      </w:tr>
      <w:tr w:rsidR="00376789" w:rsidTr="00376789">
        <w:trPr>
          <w:jc w:val="center"/>
        </w:trPr>
        <w:tc>
          <w:tcPr>
            <w:tcW w:w="9389" w:type="dxa"/>
            <w:gridSpan w:val="6"/>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Inflammerede læsioner</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 xml:space="preserve">Clindamycin 10 mg/g + </w:t>
            </w:r>
            <w:r>
              <w:rPr>
                <w:color w:val="000000" w:themeColor="text1"/>
                <w:szCs w:val="24"/>
              </w:rPr>
              <w:t>vandfri benzoylper</w:t>
            </w:r>
            <w:r>
              <w:rPr>
                <w:color w:val="000000" w:themeColor="text1"/>
                <w:szCs w:val="24"/>
              </w:rPr>
              <w:softHyphen/>
              <w:t>oxid</w:t>
            </w:r>
            <w:r>
              <w:rPr>
                <w:color w:val="000000" w:themeColor="text1"/>
              </w:rPr>
              <w:t xml:space="preserve"> 50 mg/g gel</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65</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56</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42</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57</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52</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Benzoylperoxid</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36</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37</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32</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57</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41</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Clindamycin</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34</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30</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38</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49</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33</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szCs w:val="24"/>
              </w:rPr>
              <w:t>Vehikel</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19</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-0.4</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29</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w:t>
            </w:r>
          </w:p>
        </w:tc>
        <w:tc>
          <w:tcPr>
            <w:tcW w:w="1541" w:type="dxa"/>
            <w:tcBorders>
              <w:top w:val="single" w:sz="4" w:space="0" w:color="auto"/>
              <w:left w:val="single" w:sz="4" w:space="0" w:color="auto"/>
              <w:bottom w:val="single" w:sz="4" w:space="0" w:color="auto"/>
              <w:right w:val="single" w:sz="4" w:space="0" w:color="auto"/>
            </w:tcBorders>
          </w:tcPr>
          <w:p w:rsidR="00376789" w:rsidRDefault="00376789">
            <w:pPr>
              <w:rPr>
                <w:b/>
                <w:color w:val="000000" w:themeColor="text1"/>
              </w:rPr>
            </w:pPr>
            <w:r>
              <w:rPr>
                <w:b/>
                <w:color w:val="000000" w:themeColor="text1"/>
              </w:rPr>
              <w:t>29</w:t>
            </w:r>
          </w:p>
          <w:p w:rsidR="00376789" w:rsidRDefault="00376789">
            <w:pPr>
              <w:rPr>
                <w:b/>
                <w:color w:val="000000" w:themeColor="text1"/>
              </w:rPr>
            </w:pPr>
          </w:p>
        </w:tc>
      </w:tr>
      <w:tr w:rsidR="00376789" w:rsidTr="00376789">
        <w:trPr>
          <w:jc w:val="center"/>
        </w:trPr>
        <w:tc>
          <w:tcPr>
            <w:tcW w:w="9389" w:type="dxa"/>
            <w:gridSpan w:val="6"/>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Ikke-inflammerede læsioner</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 xml:space="preserve">Clindamycin 10 mg/g + </w:t>
            </w:r>
            <w:r>
              <w:rPr>
                <w:color w:val="000000" w:themeColor="text1"/>
                <w:szCs w:val="24"/>
              </w:rPr>
              <w:t>vandfri benzoylper</w:t>
            </w:r>
            <w:r>
              <w:rPr>
                <w:color w:val="000000" w:themeColor="text1"/>
                <w:szCs w:val="24"/>
              </w:rPr>
              <w:softHyphen/>
              <w:t>oxid</w:t>
            </w:r>
            <w:r>
              <w:rPr>
                <w:color w:val="000000" w:themeColor="text1"/>
              </w:rPr>
              <w:t xml:space="preserve"> 50 mg/g gel</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27</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37</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24</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39</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25</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Benzoylperoxid</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12</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30</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16</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29</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23</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Clindamycin</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-4</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13</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11</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18</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17</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Vehikel</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-9</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-5</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17</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-7</w:t>
            </w:r>
          </w:p>
        </w:tc>
      </w:tr>
      <w:tr w:rsidR="00376789" w:rsidTr="00376789">
        <w:trPr>
          <w:jc w:val="center"/>
        </w:trPr>
        <w:tc>
          <w:tcPr>
            <w:tcW w:w="9389" w:type="dxa"/>
            <w:gridSpan w:val="6"/>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b/>
                <w:color w:val="000000" w:themeColor="text1"/>
              </w:rPr>
              <w:t>Total antal læsioner (inflammerede og ikke inflammerede læsioner)</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 xml:space="preserve">Clindamycin 10 mg/g + </w:t>
            </w:r>
            <w:r>
              <w:rPr>
                <w:color w:val="000000" w:themeColor="text1"/>
                <w:szCs w:val="24"/>
              </w:rPr>
              <w:t>vandfri benzoylper</w:t>
            </w:r>
            <w:r>
              <w:rPr>
                <w:color w:val="000000" w:themeColor="text1"/>
                <w:szCs w:val="24"/>
              </w:rPr>
              <w:softHyphen/>
              <w:t>oxid</w:t>
            </w:r>
            <w:r>
              <w:rPr>
                <w:color w:val="000000" w:themeColor="text1"/>
              </w:rPr>
              <w:t xml:space="preserve"> 50 mg/g gel</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41</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45</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31</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50</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41</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Benzoylperoxid</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20</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35</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23</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43</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34</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Clindamycin</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11</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22</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22</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33</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26</w:t>
            </w:r>
          </w:p>
        </w:tc>
      </w:tr>
      <w:tr w:rsidR="00376789" w:rsidTr="00376789">
        <w:trPr>
          <w:jc w:val="center"/>
        </w:trPr>
        <w:tc>
          <w:tcPr>
            <w:tcW w:w="1686"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Vehicle</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1</w:t>
            </w:r>
          </w:p>
        </w:tc>
        <w:tc>
          <w:tcPr>
            <w:tcW w:w="1540"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-1</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22</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color w:val="000000" w:themeColor="text1"/>
              </w:rPr>
            </w:pPr>
            <w:r>
              <w:rPr>
                <w:color w:val="000000" w:themeColor="text1"/>
              </w:rPr>
              <w:t>-</w:t>
            </w:r>
          </w:p>
        </w:tc>
        <w:tc>
          <w:tcPr>
            <w:tcW w:w="1541" w:type="dxa"/>
            <w:tcBorders>
              <w:top w:val="single" w:sz="4" w:space="0" w:color="auto"/>
              <w:left w:val="single" w:sz="4" w:space="0" w:color="auto"/>
              <w:bottom w:val="single" w:sz="4" w:space="0" w:color="auto"/>
              <w:right w:val="single" w:sz="4" w:space="0" w:color="auto"/>
            </w:tcBorders>
            <w:hideMark/>
          </w:tcPr>
          <w:p w:rsidR="00376789" w:rsidRDefault="00376789">
            <w:pPr>
              <w:rPr>
                <w:b/>
                <w:color w:val="000000" w:themeColor="text1"/>
              </w:rPr>
            </w:pPr>
            <w:r>
              <w:rPr>
                <w:b/>
                <w:color w:val="000000" w:themeColor="text1"/>
              </w:rPr>
              <w:t>16</w:t>
            </w:r>
          </w:p>
        </w:tc>
      </w:tr>
    </w:tbl>
    <w:p w:rsidR="00376789" w:rsidRDefault="00376789" w:rsidP="000D1DE4">
      <w:pPr>
        <w:ind w:left="567" w:hanging="425"/>
        <w:rPr>
          <w:color w:val="000000" w:themeColor="text1"/>
          <w:sz w:val="22"/>
        </w:rPr>
      </w:pPr>
      <w:r>
        <w:rPr>
          <w:color w:val="000000" w:themeColor="text1"/>
        </w:rPr>
        <w:t xml:space="preserve">* </w:t>
      </w:r>
      <w:r>
        <w:rPr>
          <w:b/>
          <w:color w:val="000000" w:themeColor="text1"/>
        </w:rPr>
        <w:t>Pivotalt studie</w:t>
      </w:r>
      <w:r>
        <w:rPr>
          <w:color w:val="000000" w:themeColor="text1"/>
        </w:rPr>
        <w:t>. Fed skrift indikerer statistisk signifikant forskel</w:t>
      </w:r>
    </w:p>
    <w:p w:rsidR="00376789" w:rsidRDefault="00376789" w:rsidP="007E770C">
      <w:pPr>
        <w:tabs>
          <w:tab w:val="left" w:pos="851"/>
        </w:tabs>
        <w:ind w:left="851"/>
        <w:rPr>
          <w:sz w:val="24"/>
          <w:szCs w:val="24"/>
        </w:rPr>
      </w:pPr>
    </w:p>
    <w:p w:rsidR="000D1DE4" w:rsidRPr="000D1DE4" w:rsidRDefault="000D1DE4" w:rsidP="000D1DE4">
      <w:pPr>
        <w:tabs>
          <w:tab w:val="left" w:pos="851"/>
        </w:tabs>
        <w:ind w:left="851"/>
        <w:rPr>
          <w:iCs/>
          <w:sz w:val="24"/>
          <w:szCs w:val="24"/>
        </w:rPr>
      </w:pPr>
      <w:r w:rsidRPr="000D1DE4">
        <w:rPr>
          <w:iCs/>
          <w:sz w:val="24"/>
          <w:szCs w:val="24"/>
        </w:rPr>
        <w:t xml:space="preserve">Reduktionen i det totale antal læsioner var signifikant større med clindamycin 10 mg/g + </w:t>
      </w:r>
      <w:r w:rsidRPr="000D1DE4">
        <w:rPr>
          <w:sz w:val="24"/>
          <w:szCs w:val="24"/>
        </w:rPr>
        <w:t>vandfri benzoylper</w:t>
      </w:r>
      <w:r w:rsidRPr="000D1DE4">
        <w:rPr>
          <w:sz w:val="24"/>
          <w:szCs w:val="24"/>
        </w:rPr>
        <w:softHyphen/>
        <w:t xml:space="preserve">oxid </w:t>
      </w:r>
      <w:r w:rsidRPr="000D1DE4">
        <w:rPr>
          <w:iCs/>
          <w:sz w:val="24"/>
          <w:szCs w:val="24"/>
        </w:rPr>
        <w:t xml:space="preserve">50 mg/g gel end clindamycin eller vehikel i alle fem studier. Forbedringen var konsekvent større med clindamycin </w:t>
      </w:r>
      <w:r w:rsidRPr="000D1DE4">
        <w:rPr>
          <w:sz w:val="24"/>
          <w:szCs w:val="24"/>
        </w:rPr>
        <w:t>10 mg/g + vandfri benzoylper</w:t>
      </w:r>
      <w:r w:rsidRPr="000D1DE4">
        <w:rPr>
          <w:sz w:val="24"/>
          <w:szCs w:val="24"/>
        </w:rPr>
        <w:softHyphen/>
        <w:t>oxid 50 mg/g gel</w:t>
      </w:r>
      <w:r w:rsidRPr="000D1DE4">
        <w:rPr>
          <w:iCs/>
          <w:sz w:val="24"/>
          <w:szCs w:val="24"/>
        </w:rPr>
        <w:t xml:space="preserve"> end med benzoylperoxid, men forskellen nåede ikke statistisk signifikant i de enkelte undersøgelser.</w:t>
      </w:r>
    </w:p>
    <w:p w:rsidR="000D1DE4" w:rsidRPr="000D1DE4" w:rsidRDefault="000D1DE4" w:rsidP="000D1DE4">
      <w:pPr>
        <w:tabs>
          <w:tab w:val="left" w:pos="851"/>
        </w:tabs>
        <w:ind w:left="851"/>
        <w:rPr>
          <w:iCs/>
          <w:sz w:val="24"/>
          <w:szCs w:val="24"/>
        </w:rPr>
      </w:pPr>
    </w:p>
    <w:p w:rsidR="000D1DE4" w:rsidRPr="000D1DE4" w:rsidRDefault="000D1DE4" w:rsidP="000D1DE4">
      <w:pPr>
        <w:tabs>
          <w:tab w:val="left" w:pos="851"/>
        </w:tabs>
        <w:ind w:left="851"/>
        <w:rPr>
          <w:iCs/>
          <w:sz w:val="24"/>
          <w:szCs w:val="24"/>
        </w:rPr>
      </w:pPr>
      <w:r w:rsidRPr="000D1DE4">
        <w:rPr>
          <w:iCs/>
          <w:sz w:val="24"/>
          <w:szCs w:val="24"/>
        </w:rPr>
        <w:t>Clindamycin 10 mg/g + vandfri benzoylperoxid 50 mg/g gel var signifikant mere effektiv overfor inflammerede læsioner end clindamycin alene i fire ud af fem undersøgelser og over for benzoylperoxid alene i tre ud af fem undersøgelser.</w:t>
      </w:r>
    </w:p>
    <w:p w:rsidR="000D1DE4" w:rsidRPr="000D1DE4" w:rsidRDefault="000D1DE4" w:rsidP="000D1DE4">
      <w:pPr>
        <w:tabs>
          <w:tab w:val="left" w:pos="851"/>
        </w:tabs>
        <w:ind w:left="851"/>
        <w:rPr>
          <w:iCs/>
          <w:sz w:val="24"/>
          <w:szCs w:val="24"/>
        </w:rPr>
      </w:pPr>
      <w:r w:rsidRPr="000D1DE4">
        <w:rPr>
          <w:iCs/>
          <w:sz w:val="24"/>
          <w:szCs w:val="24"/>
        </w:rPr>
        <w:t>Clindamycin 10 mg/g + vandfri benzoylperoxid 50 mg/g gel var signifikant bedre overfor ikke-inflammerede læsioner end clindamycin alene i fire ud af fem undersøgelser og viste en tendens til at være bedre end benzoylperoxid.</w:t>
      </w:r>
    </w:p>
    <w:p w:rsidR="000D1DE4" w:rsidRPr="000D1DE4" w:rsidRDefault="000D1DE4" w:rsidP="000D1DE4">
      <w:pPr>
        <w:tabs>
          <w:tab w:val="left" w:pos="851"/>
        </w:tabs>
        <w:ind w:left="851"/>
        <w:rPr>
          <w:iCs/>
          <w:sz w:val="24"/>
          <w:szCs w:val="24"/>
        </w:rPr>
      </w:pPr>
    </w:p>
    <w:p w:rsidR="000D1DE4" w:rsidRPr="000D1DE4" w:rsidRDefault="000D1DE4" w:rsidP="000D1DE4">
      <w:pPr>
        <w:tabs>
          <w:tab w:val="left" w:pos="851"/>
        </w:tabs>
        <w:ind w:left="851"/>
        <w:rPr>
          <w:iCs/>
          <w:sz w:val="24"/>
          <w:szCs w:val="24"/>
        </w:rPr>
      </w:pPr>
      <w:r w:rsidRPr="000D1DE4">
        <w:rPr>
          <w:iCs/>
          <w:sz w:val="24"/>
          <w:szCs w:val="24"/>
        </w:rPr>
        <w:t>Den samlede forbedring blev vurderet af lægen og var signifikant bedre med clindamycin 10 mg/g + vandfri benzoylper¬oxid 50 mg/g gel end med enten benzoylperoxid eller clindamycin alene i tre af fem undersøgelser.</w:t>
      </w:r>
    </w:p>
    <w:p w:rsidR="000D1DE4" w:rsidRPr="000D1DE4" w:rsidRDefault="000D1DE4" w:rsidP="000D1DE4">
      <w:pPr>
        <w:tabs>
          <w:tab w:val="left" w:pos="851"/>
        </w:tabs>
        <w:ind w:left="851"/>
        <w:rPr>
          <w:iCs/>
          <w:sz w:val="24"/>
          <w:szCs w:val="24"/>
        </w:rPr>
      </w:pPr>
    </w:p>
    <w:p w:rsidR="000D1DE4" w:rsidRPr="000D1DE4" w:rsidRDefault="000D1DE4" w:rsidP="000D1DE4">
      <w:pPr>
        <w:tabs>
          <w:tab w:val="left" w:pos="851"/>
        </w:tabs>
        <w:ind w:left="851"/>
        <w:rPr>
          <w:sz w:val="24"/>
          <w:szCs w:val="24"/>
        </w:rPr>
      </w:pPr>
      <w:r w:rsidRPr="000D1DE4">
        <w:rPr>
          <w:iCs/>
          <w:sz w:val="24"/>
          <w:szCs w:val="24"/>
        </w:rPr>
        <w:t>En virkning på inflammerede læsioner var synlig fra uge 2 af behandlingen. Virkningen på ikke-inflammerede læsioner var mere variable, med en generel synlig effekt efter 2</w:t>
      </w:r>
      <w:r w:rsidRPr="000D1DE4">
        <w:rPr>
          <w:iCs/>
          <w:sz w:val="24"/>
          <w:szCs w:val="24"/>
        </w:rPr>
        <w:noBreakHyphen/>
        <w:t>5 ugers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085497" w:rsidRDefault="00085497" w:rsidP="00085497">
      <w:pPr>
        <w:tabs>
          <w:tab w:val="left" w:pos="851"/>
        </w:tabs>
        <w:ind w:left="851"/>
        <w:rPr>
          <w:sz w:val="24"/>
          <w:szCs w:val="24"/>
          <w:u w:val="single"/>
        </w:rPr>
      </w:pPr>
    </w:p>
    <w:p w:rsidR="00085497" w:rsidRPr="00085497" w:rsidRDefault="00085497" w:rsidP="00085497">
      <w:pPr>
        <w:tabs>
          <w:tab w:val="left" w:pos="851"/>
        </w:tabs>
        <w:ind w:left="851"/>
        <w:rPr>
          <w:sz w:val="24"/>
          <w:szCs w:val="24"/>
          <w:u w:val="single"/>
        </w:rPr>
      </w:pPr>
      <w:r w:rsidRPr="00085497">
        <w:rPr>
          <w:sz w:val="24"/>
          <w:szCs w:val="24"/>
          <w:u w:val="single"/>
        </w:rPr>
        <w:t>Absorption</w:t>
      </w:r>
    </w:p>
    <w:p w:rsidR="00085497" w:rsidRPr="00085497" w:rsidRDefault="00085497" w:rsidP="00085497">
      <w:pPr>
        <w:tabs>
          <w:tab w:val="left" w:pos="851"/>
        </w:tabs>
        <w:ind w:left="851"/>
        <w:rPr>
          <w:iCs/>
          <w:sz w:val="24"/>
          <w:szCs w:val="24"/>
        </w:rPr>
      </w:pPr>
      <w:r w:rsidRPr="00085497">
        <w:rPr>
          <w:iCs/>
          <w:sz w:val="24"/>
          <w:szCs w:val="24"/>
        </w:rPr>
        <w:t>I en undersøgelse af den maksimerede perkutane absorption var den gennemsnitlige plasmakoncentration af clindamycin gennem en 4 ugers behandlingsperiode med c</w:t>
      </w:r>
      <w:r w:rsidRPr="00085497">
        <w:rPr>
          <w:sz w:val="24"/>
          <w:szCs w:val="24"/>
        </w:rPr>
        <w:t>lindamycin 10 mg/g + vandfri benzoylper</w:t>
      </w:r>
      <w:r w:rsidRPr="00085497">
        <w:rPr>
          <w:sz w:val="24"/>
          <w:szCs w:val="24"/>
        </w:rPr>
        <w:softHyphen/>
        <w:t>oxid 50 mg/g ubetydelig (0,043</w:t>
      </w:r>
      <w:r w:rsidR="00FB0E3D">
        <w:rPr>
          <w:sz w:val="24"/>
          <w:szCs w:val="24"/>
        </w:rPr>
        <w:t xml:space="preserve"> %</w:t>
      </w:r>
      <w:r w:rsidRPr="00085497">
        <w:rPr>
          <w:sz w:val="24"/>
          <w:szCs w:val="24"/>
        </w:rPr>
        <w:t xml:space="preserve"> af den anvendte dosis)</w:t>
      </w:r>
    </w:p>
    <w:p w:rsidR="00085497" w:rsidRPr="00085497" w:rsidRDefault="00085497" w:rsidP="00085497">
      <w:pPr>
        <w:tabs>
          <w:tab w:val="left" w:pos="851"/>
        </w:tabs>
        <w:ind w:left="851"/>
        <w:rPr>
          <w:iCs/>
          <w:sz w:val="24"/>
          <w:szCs w:val="24"/>
        </w:rPr>
      </w:pPr>
    </w:p>
    <w:p w:rsidR="00085497" w:rsidRPr="00085497" w:rsidRDefault="00085497" w:rsidP="00085497">
      <w:pPr>
        <w:tabs>
          <w:tab w:val="left" w:pos="851"/>
        </w:tabs>
        <w:ind w:left="851"/>
        <w:rPr>
          <w:iCs/>
          <w:sz w:val="24"/>
          <w:szCs w:val="24"/>
        </w:rPr>
      </w:pPr>
      <w:r w:rsidRPr="00085497">
        <w:rPr>
          <w:iCs/>
          <w:sz w:val="24"/>
          <w:szCs w:val="24"/>
        </w:rPr>
        <w:t>Indholdet af benzoylperoxid i præparatet havde ingen indflydelse på den perkutane absorption af clindamycin.</w:t>
      </w:r>
    </w:p>
    <w:p w:rsidR="00085497" w:rsidRPr="00085497" w:rsidRDefault="00085497" w:rsidP="00085497">
      <w:pPr>
        <w:tabs>
          <w:tab w:val="left" w:pos="851"/>
        </w:tabs>
        <w:ind w:left="851"/>
        <w:rPr>
          <w:iCs/>
          <w:sz w:val="24"/>
          <w:szCs w:val="24"/>
        </w:rPr>
      </w:pPr>
      <w:r w:rsidRPr="00085497">
        <w:rPr>
          <w:iCs/>
          <w:sz w:val="24"/>
          <w:szCs w:val="24"/>
        </w:rPr>
        <w:t>Undersøgelser med radioaktivt mærket benzoylperoxid har vist at absorption gennem hud kun kan ske efter dets omdannelse til benzoesyre. Benzoesyre er fortrinsvis konjugeret under dannelse af hippursyre, som udskilles via nyrerne.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085497" w:rsidRDefault="00085497" w:rsidP="00085497">
      <w:pPr>
        <w:tabs>
          <w:tab w:val="left" w:pos="851"/>
        </w:tabs>
        <w:ind w:left="851"/>
        <w:rPr>
          <w:sz w:val="24"/>
          <w:szCs w:val="24"/>
          <w:u w:val="single"/>
        </w:rPr>
      </w:pPr>
    </w:p>
    <w:p w:rsidR="00085497" w:rsidRPr="00085497" w:rsidRDefault="00085497" w:rsidP="00085497">
      <w:pPr>
        <w:tabs>
          <w:tab w:val="left" w:pos="851"/>
        </w:tabs>
        <w:ind w:left="851"/>
        <w:rPr>
          <w:sz w:val="24"/>
          <w:szCs w:val="24"/>
          <w:u w:val="single"/>
        </w:rPr>
      </w:pPr>
      <w:r w:rsidRPr="00085497">
        <w:rPr>
          <w:sz w:val="24"/>
          <w:szCs w:val="24"/>
          <w:u w:val="single"/>
        </w:rPr>
        <w:t>Clindamycin and benzoylperoxid</w:t>
      </w:r>
    </w:p>
    <w:p w:rsidR="00085497" w:rsidRPr="00085497" w:rsidRDefault="00085497" w:rsidP="00085497">
      <w:pPr>
        <w:tabs>
          <w:tab w:val="left" w:pos="851"/>
        </w:tabs>
        <w:ind w:left="851"/>
        <w:rPr>
          <w:sz w:val="24"/>
          <w:szCs w:val="24"/>
        </w:rPr>
      </w:pPr>
      <w:r w:rsidRPr="00085497">
        <w:rPr>
          <w:sz w:val="24"/>
          <w:szCs w:val="24"/>
        </w:rPr>
        <w:t>I et toårigt karcinogenitetsstudie på mus, hvor clindamycin + vandfri benzoylperoxid gel blev påført kutant, blev der ikke vist tegn på øget karcinogen risiko sammenlignet med kontrolgruppen.</w:t>
      </w:r>
    </w:p>
    <w:p w:rsidR="00085497" w:rsidRPr="00085497" w:rsidRDefault="00085497" w:rsidP="00085497">
      <w:pPr>
        <w:tabs>
          <w:tab w:val="left" w:pos="851"/>
        </w:tabs>
        <w:ind w:left="851"/>
        <w:rPr>
          <w:sz w:val="24"/>
          <w:szCs w:val="24"/>
        </w:rPr>
      </w:pPr>
    </w:p>
    <w:p w:rsidR="00085497" w:rsidRPr="00085497" w:rsidRDefault="00085497" w:rsidP="00085497">
      <w:pPr>
        <w:tabs>
          <w:tab w:val="left" w:pos="851"/>
        </w:tabs>
        <w:ind w:left="851"/>
        <w:rPr>
          <w:sz w:val="24"/>
          <w:szCs w:val="24"/>
        </w:rPr>
      </w:pPr>
      <w:r w:rsidRPr="00085497">
        <w:rPr>
          <w:sz w:val="24"/>
          <w:szCs w:val="24"/>
        </w:rPr>
        <w:t>I en foto-co-karcinogenicitetsundersøgelse på mus, blev der observeret en let reduktion i den mediane tid til tumordannelse, sammenlignet med kontrolgruppen, efter samtidig eksponering for clindamycin + vandfri benzoylperoxid og simuleret sollys. Den kliniske relevans af resultaterne af dette studie er ukendt.</w:t>
      </w:r>
    </w:p>
    <w:p w:rsidR="00085497" w:rsidRPr="00085497" w:rsidRDefault="00085497" w:rsidP="00085497">
      <w:pPr>
        <w:tabs>
          <w:tab w:val="left" w:pos="851"/>
        </w:tabs>
        <w:ind w:left="851"/>
        <w:rPr>
          <w:sz w:val="24"/>
          <w:szCs w:val="24"/>
        </w:rPr>
      </w:pPr>
    </w:p>
    <w:p w:rsidR="00085497" w:rsidRPr="00085497" w:rsidRDefault="00085497" w:rsidP="00085497">
      <w:pPr>
        <w:tabs>
          <w:tab w:val="left" w:pos="851"/>
        </w:tabs>
        <w:ind w:left="851"/>
        <w:rPr>
          <w:sz w:val="24"/>
          <w:szCs w:val="24"/>
        </w:rPr>
      </w:pPr>
      <w:r w:rsidRPr="00085497">
        <w:rPr>
          <w:sz w:val="24"/>
          <w:szCs w:val="24"/>
        </w:rPr>
        <w:t>Dermal toksicitetsundersøgelse med gentagne doser clindamycin + vandfri benzoylperoxid gel i 2 dyrearter i op til 90 dage viste ingen toksiske virkninger, bortset fra mindre lokal irritation.</w:t>
      </w:r>
    </w:p>
    <w:p w:rsidR="00085497" w:rsidRPr="00085497" w:rsidRDefault="00085497" w:rsidP="00085497">
      <w:pPr>
        <w:tabs>
          <w:tab w:val="left" w:pos="851"/>
        </w:tabs>
        <w:ind w:left="851"/>
        <w:rPr>
          <w:sz w:val="24"/>
          <w:szCs w:val="24"/>
        </w:rPr>
      </w:pPr>
    </w:p>
    <w:p w:rsidR="00085497" w:rsidRPr="00085497" w:rsidRDefault="00085497" w:rsidP="00085497">
      <w:pPr>
        <w:tabs>
          <w:tab w:val="left" w:pos="851"/>
        </w:tabs>
        <w:ind w:left="851"/>
        <w:rPr>
          <w:sz w:val="24"/>
          <w:szCs w:val="24"/>
        </w:rPr>
      </w:pPr>
      <w:r w:rsidRPr="00085497">
        <w:rPr>
          <w:sz w:val="24"/>
          <w:szCs w:val="24"/>
        </w:rPr>
        <w:t>En undersøgelse af øjenirritation viste at clindamycin + vandfri benzoylperoxid gel</w:t>
      </w:r>
      <w:r w:rsidRPr="00085497">
        <w:rPr>
          <w:iCs/>
          <w:sz w:val="24"/>
          <w:szCs w:val="24"/>
        </w:rPr>
        <w:t xml:space="preserve"> kun har meget svag irriterende virkning.</w:t>
      </w:r>
    </w:p>
    <w:p w:rsidR="00085497" w:rsidRPr="00085497" w:rsidRDefault="00085497" w:rsidP="00085497">
      <w:pPr>
        <w:tabs>
          <w:tab w:val="left" w:pos="851"/>
        </w:tabs>
        <w:ind w:left="851"/>
        <w:rPr>
          <w:sz w:val="24"/>
          <w:szCs w:val="24"/>
          <w:u w:val="single"/>
        </w:rPr>
      </w:pPr>
    </w:p>
    <w:p w:rsidR="00085497" w:rsidRPr="00085497" w:rsidRDefault="00085497" w:rsidP="00085497">
      <w:pPr>
        <w:tabs>
          <w:tab w:val="left" w:pos="851"/>
        </w:tabs>
        <w:ind w:left="851"/>
        <w:rPr>
          <w:sz w:val="24"/>
          <w:szCs w:val="24"/>
          <w:u w:val="single"/>
        </w:rPr>
      </w:pPr>
      <w:r w:rsidRPr="00085497">
        <w:rPr>
          <w:sz w:val="24"/>
          <w:szCs w:val="24"/>
          <w:u w:val="single"/>
        </w:rPr>
        <w:t>Benzoylperoxid</w:t>
      </w:r>
    </w:p>
    <w:p w:rsidR="00085497" w:rsidRPr="00085497" w:rsidRDefault="00085497" w:rsidP="00085497">
      <w:pPr>
        <w:tabs>
          <w:tab w:val="left" w:pos="851"/>
        </w:tabs>
        <w:ind w:left="851"/>
        <w:rPr>
          <w:sz w:val="24"/>
          <w:szCs w:val="24"/>
        </w:rPr>
      </w:pPr>
      <w:r w:rsidRPr="00085497">
        <w:rPr>
          <w:sz w:val="24"/>
          <w:szCs w:val="24"/>
        </w:rPr>
        <w:t>I dyretoksicitetsundersøgelser har benzoylperoxid vist sig at være veltolereret ved kutan anvendelse</w:t>
      </w:r>
    </w:p>
    <w:p w:rsidR="00085497" w:rsidRPr="00085497" w:rsidRDefault="00085497" w:rsidP="00085497">
      <w:pPr>
        <w:tabs>
          <w:tab w:val="left" w:pos="851"/>
        </w:tabs>
        <w:ind w:left="851"/>
        <w:rPr>
          <w:sz w:val="24"/>
          <w:szCs w:val="24"/>
        </w:rPr>
      </w:pPr>
    </w:p>
    <w:p w:rsidR="00085497" w:rsidRPr="00085497" w:rsidRDefault="00085497" w:rsidP="00085497">
      <w:pPr>
        <w:tabs>
          <w:tab w:val="left" w:pos="851"/>
        </w:tabs>
        <w:ind w:left="851"/>
        <w:rPr>
          <w:sz w:val="24"/>
          <w:szCs w:val="24"/>
        </w:rPr>
      </w:pPr>
      <w:r w:rsidRPr="00085497">
        <w:rPr>
          <w:sz w:val="24"/>
          <w:szCs w:val="24"/>
        </w:rPr>
        <w:t>Selvom det er påvist at høje doser benzoylperoxid kan inducere brud i DNA-strengen, antyder tilgængelige data fra andre undersøgelser af mutagen og carcinogen effekt, samt et foto-co-karcinogenicitetsundersøgelse at benzoylperoxid ikke er et carcinogen eller et fotocarcinogen.</w:t>
      </w:r>
    </w:p>
    <w:p w:rsidR="00085497" w:rsidRPr="00085497" w:rsidRDefault="00085497" w:rsidP="00085497">
      <w:pPr>
        <w:tabs>
          <w:tab w:val="left" w:pos="851"/>
        </w:tabs>
        <w:ind w:left="851"/>
        <w:rPr>
          <w:sz w:val="24"/>
          <w:szCs w:val="24"/>
        </w:rPr>
      </w:pPr>
    </w:p>
    <w:p w:rsidR="00085497" w:rsidRPr="00085497" w:rsidRDefault="00085497" w:rsidP="00085497">
      <w:pPr>
        <w:tabs>
          <w:tab w:val="left" w:pos="851"/>
        </w:tabs>
        <w:ind w:left="851"/>
        <w:rPr>
          <w:sz w:val="24"/>
          <w:szCs w:val="24"/>
        </w:rPr>
      </w:pPr>
      <w:r w:rsidRPr="00085497">
        <w:rPr>
          <w:sz w:val="24"/>
          <w:szCs w:val="24"/>
        </w:rPr>
        <w:t>Der findes ingen reproduktionstoksicitets data.</w:t>
      </w:r>
      <w:bookmarkStart w:id="1" w:name="_Hlk57110856"/>
    </w:p>
    <w:bookmarkEnd w:id="1"/>
    <w:p w:rsidR="00085497" w:rsidRPr="00085497" w:rsidRDefault="00085497" w:rsidP="00085497">
      <w:pPr>
        <w:tabs>
          <w:tab w:val="left" w:pos="851"/>
        </w:tabs>
        <w:ind w:left="851"/>
        <w:rPr>
          <w:sz w:val="24"/>
          <w:szCs w:val="24"/>
          <w:u w:val="single"/>
        </w:rPr>
      </w:pPr>
    </w:p>
    <w:p w:rsidR="00085497" w:rsidRPr="00085497" w:rsidRDefault="00085497" w:rsidP="00085497">
      <w:pPr>
        <w:tabs>
          <w:tab w:val="left" w:pos="851"/>
        </w:tabs>
        <w:ind w:left="851"/>
        <w:rPr>
          <w:sz w:val="24"/>
          <w:szCs w:val="24"/>
          <w:u w:val="single"/>
        </w:rPr>
      </w:pPr>
      <w:r w:rsidRPr="00085497">
        <w:rPr>
          <w:sz w:val="24"/>
          <w:szCs w:val="24"/>
          <w:u w:val="single"/>
        </w:rPr>
        <w:t>Clindamycin</w:t>
      </w:r>
    </w:p>
    <w:p w:rsidR="00085497" w:rsidRPr="00085497" w:rsidRDefault="00085497" w:rsidP="00085497">
      <w:pPr>
        <w:tabs>
          <w:tab w:val="left" w:pos="851"/>
        </w:tabs>
        <w:ind w:left="851"/>
        <w:rPr>
          <w:sz w:val="24"/>
          <w:szCs w:val="24"/>
        </w:rPr>
      </w:pPr>
      <w:r w:rsidRPr="00085497">
        <w:rPr>
          <w:i/>
          <w:sz w:val="24"/>
          <w:szCs w:val="24"/>
        </w:rPr>
        <w:t>In-vitro</w:t>
      </w:r>
      <w:r w:rsidRPr="00085497">
        <w:rPr>
          <w:sz w:val="24"/>
          <w:szCs w:val="24"/>
        </w:rPr>
        <w:t xml:space="preserve"> og </w:t>
      </w:r>
      <w:r w:rsidRPr="00085497">
        <w:rPr>
          <w:i/>
          <w:iCs/>
          <w:sz w:val="24"/>
          <w:szCs w:val="24"/>
        </w:rPr>
        <w:t>in</w:t>
      </w:r>
      <w:r w:rsidRPr="00085497">
        <w:rPr>
          <w:i/>
          <w:sz w:val="24"/>
          <w:szCs w:val="24"/>
        </w:rPr>
        <w:t>-vivo</w:t>
      </w:r>
      <w:r w:rsidRPr="00085497">
        <w:rPr>
          <w:sz w:val="24"/>
          <w:szCs w:val="24"/>
        </w:rPr>
        <w:t xml:space="preserve"> undersøgelser viste at clindamycin ikke havde mutagent potentiale. Der er ikke udført langtidsundersøgelser i forsøgsdyr til påvisning af det tumorfremkaldende potentiale hos clindamycin.</w:t>
      </w:r>
    </w:p>
    <w:p w:rsidR="00085497" w:rsidRPr="00085497" w:rsidRDefault="00085497" w:rsidP="00085497">
      <w:pPr>
        <w:tabs>
          <w:tab w:val="left" w:pos="851"/>
        </w:tabs>
        <w:ind w:left="851"/>
        <w:rPr>
          <w:sz w:val="24"/>
          <w:szCs w:val="24"/>
        </w:rPr>
      </w:pPr>
      <w:r w:rsidRPr="00085497">
        <w:rPr>
          <w:sz w:val="24"/>
          <w:szCs w:val="24"/>
        </w:rPr>
        <w:t>I øvrigt viser prækliniske data ingen speciel risiko for mennesker, baseret på konventionelle undersøgelser af toksicitet ved enkelte eller gentagne doser eller ved reproduktionstoksicitets studier.</w:t>
      </w:r>
    </w:p>
    <w:p w:rsidR="00085497" w:rsidRPr="00085497" w:rsidRDefault="00085497" w:rsidP="00085497">
      <w:pPr>
        <w:tabs>
          <w:tab w:val="left" w:pos="851"/>
        </w:tabs>
        <w:ind w:left="851"/>
        <w:rPr>
          <w:sz w:val="24"/>
          <w:szCs w:val="24"/>
        </w:rPr>
      </w:pPr>
    </w:p>
    <w:p w:rsidR="00085497" w:rsidRDefault="00085497">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85497" w:rsidRPr="00085497" w:rsidRDefault="00085497" w:rsidP="00085497">
      <w:pPr>
        <w:ind w:left="851"/>
        <w:rPr>
          <w:sz w:val="24"/>
          <w:szCs w:val="24"/>
        </w:rPr>
      </w:pPr>
      <w:r w:rsidRPr="00085497">
        <w:rPr>
          <w:sz w:val="24"/>
          <w:szCs w:val="24"/>
        </w:rPr>
        <w:t xml:space="preserve">Carbomer 980 </w:t>
      </w:r>
    </w:p>
    <w:p w:rsidR="00085497" w:rsidRPr="00085497" w:rsidRDefault="00085497" w:rsidP="00085497">
      <w:pPr>
        <w:ind w:left="851"/>
        <w:rPr>
          <w:sz w:val="24"/>
          <w:szCs w:val="24"/>
        </w:rPr>
      </w:pPr>
      <w:r w:rsidRPr="00085497">
        <w:rPr>
          <w:sz w:val="24"/>
          <w:szCs w:val="24"/>
        </w:rPr>
        <w:t xml:space="preserve">Dimeticon </w:t>
      </w:r>
    </w:p>
    <w:p w:rsidR="00085497" w:rsidRPr="00085497" w:rsidRDefault="00085497" w:rsidP="00085497">
      <w:pPr>
        <w:ind w:left="851"/>
        <w:rPr>
          <w:sz w:val="24"/>
          <w:szCs w:val="24"/>
        </w:rPr>
      </w:pPr>
      <w:r w:rsidRPr="00085497">
        <w:rPr>
          <w:sz w:val="24"/>
          <w:szCs w:val="24"/>
        </w:rPr>
        <w:t>Dinatriumlaurylsulfosuccinat</w:t>
      </w:r>
    </w:p>
    <w:p w:rsidR="00085497" w:rsidRPr="00085497" w:rsidRDefault="00085497" w:rsidP="00085497">
      <w:pPr>
        <w:ind w:left="851"/>
        <w:rPr>
          <w:sz w:val="24"/>
          <w:szCs w:val="24"/>
        </w:rPr>
      </w:pPr>
      <w:r w:rsidRPr="00085497">
        <w:rPr>
          <w:sz w:val="24"/>
          <w:szCs w:val="24"/>
        </w:rPr>
        <w:t>Dinatriumedetat</w:t>
      </w:r>
    </w:p>
    <w:p w:rsidR="00085497" w:rsidRPr="00085497" w:rsidRDefault="00085497" w:rsidP="00085497">
      <w:pPr>
        <w:ind w:left="851"/>
        <w:rPr>
          <w:sz w:val="24"/>
          <w:szCs w:val="24"/>
        </w:rPr>
      </w:pPr>
      <w:r w:rsidRPr="00085497">
        <w:rPr>
          <w:sz w:val="24"/>
          <w:szCs w:val="24"/>
        </w:rPr>
        <w:t>Glycerol (E422)</w:t>
      </w:r>
    </w:p>
    <w:p w:rsidR="00085497" w:rsidRPr="00085497" w:rsidRDefault="00085497" w:rsidP="00085497">
      <w:pPr>
        <w:ind w:left="851"/>
        <w:rPr>
          <w:sz w:val="24"/>
          <w:szCs w:val="24"/>
        </w:rPr>
      </w:pPr>
      <w:r w:rsidRPr="00085497">
        <w:rPr>
          <w:sz w:val="24"/>
          <w:szCs w:val="24"/>
        </w:rPr>
        <w:t>Poloxamer (Poloxamer 182)</w:t>
      </w:r>
    </w:p>
    <w:p w:rsidR="00085497" w:rsidRPr="00085497" w:rsidRDefault="00085497" w:rsidP="00085497">
      <w:pPr>
        <w:ind w:left="851"/>
        <w:rPr>
          <w:sz w:val="24"/>
          <w:szCs w:val="24"/>
        </w:rPr>
      </w:pPr>
      <w:r w:rsidRPr="00085497">
        <w:rPr>
          <w:sz w:val="24"/>
          <w:szCs w:val="24"/>
        </w:rPr>
        <w:t>Silica, kolloid</w:t>
      </w:r>
    </w:p>
    <w:p w:rsidR="00085497" w:rsidRPr="00085497" w:rsidRDefault="00085497" w:rsidP="00085497">
      <w:pPr>
        <w:ind w:left="851"/>
        <w:rPr>
          <w:sz w:val="24"/>
          <w:szCs w:val="24"/>
        </w:rPr>
      </w:pPr>
      <w:r w:rsidRPr="00085497">
        <w:rPr>
          <w:sz w:val="24"/>
          <w:szCs w:val="24"/>
        </w:rPr>
        <w:t>Natriumhydroxid 2N</w:t>
      </w:r>
    </w:p>
    <w:p w:rsidR="00085497" w:rsidRPr="00085497" w:rsidRDefault="00085497" w:rsidP="00085497">
      <w:pPr>
        <w:ind w:left="851"/>
        <w:rPr>
          <w:sz w:val="24"/>
          <w:szCs w:val="24"/>
        </w:rPr>
      </w:pPr>
      <w:r w:rsidRPr="00085497">
        <w:rPr>
          <w:sz w:val="24"/>
          <w:szCs w:val="24"/>
        </w:rPr>
        <w:t>Renset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8631F" w:rsidRPr="00F8631F" w:rsidRDefault="00F8631F" w:rsidP="00F8631F">
      <w:pPr>
        <w:tabs>
          <w:tab w:val="left" w:pos="851"/>
        </w:tabs>
        <w:ind w:left="851"/>
        <w:rPr>
          <w:sz w:val="24"/>
          <w:szCs w:val="24"/>
        </w:rPr>
      </w:pPr>
      <w:r w:rsidRPr="00F8631F">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B7317A" w:rsidRPr="00B7317A" w:rsidRDefault="00B7317A" w:rsidP="00B7317A">
      <w:pPr>
        <w:tabs>
          <w:tab w:val="left" w:pos="851"/>
        </w:tabs>
        <w:ind w:left="851"/>
        <w:rPr>
          <w:sz w:val="24"/>
          <w:szCs w:val="24"/>
        </w:rPr>
      </w:pPr>
      <w:r w:rsidRPr="00B7317A">
        <w:rPr>
          <w:sz w:val="24"/>
          <w:szCs w:val="24"/>
        </w:rPr>
        <w:t>2 år</w:t>
      </w:r>
      <w:r>
        <w:rPr>
          <w:sz w:val="24"/>
          <w:szCs w:val="24"/>
        </w:rPr>
        <w:t>.</w:t>
      </w:r>
    </w:p>
    <w:p w:rsidR="00B7317A" w:rsidRPr="00B7317A" w:rsidRDefault="00B7317A" w:rsidP="00B7317A">
      <w:pPr>
        <w:tabs>
          <w:tab w:val="left" w:pos="851"/>
        </w:tabs>
        <w:ind w:left="851"/>
        <w:rPr>
          <w:sz w:val="24"/>
          <w:szCs w:val="24"/>
        </w:rPr>
      </w:pPr>
    </w:p>
    <w:p w:rsidR="00B7317A" w:rsidRPr="00B7317A" w:rsidRDefault="00162C04" w:rsidP="00B7317A">
      <w:pPr>
        <w:tabs>
          <w:tab w:val="left" w:pos="851"/>
        </w:tabs>
        <w:ind w:left="851"/>
        <w:rPr>
          <w:sz w:val="24"/>
          <w:szCs w:val="24"/>
          <w:u w:val="single"/>
        </w:rPr>
      </w:pPr>
      <w:r>
        <w:rPr>
          <w:sz w:val="24"/>
          <w:szCs w:val="24"/>
          <w:u w:val="single"/>
        </w:rPr>
        <w:t>E</w:t>
      </w:r>
      <w:r w:rsidR="00B7317A" w:rsidRPr="00B7317A">
        <w:rPr>
          <w:sz w:val="24"/>
          <w:szCs w:val="24"/>
          <w:u w:val="single"/>
        </w:rPr>
        <w:t>fter åbning</w:t>
      </w:r>
    </w:p>
    <w:p w:rsidR="00B7317A" w:rsidRPr="00B7317A" w:rsidRDefault="00B7317A" w:rsidP="00B7317A">
      <w:pPr>
        <w:tabs>
          <w:tab w:val="left" w:pos="851"/>
        </w:tabs>
        <w:ind w:left="851"/>
        <w:rPr>
          <w:sz w:val="24"/>
          <w:szCs w:val="24"/>
        </w:rPr>
      </w:pPr>
      <w:r w:rsidRPr="00B7317A">
        <w:rPr>
          <w:sz w:val="24"/>
          <w:szCs w:val="24"/>
        </w:rPr>
        <w:t>2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7317A" w:rsidRPr="00B7317A" w:rsidRDefault="00B7317A" w:rsidP="00B7317A">
      <w:pPr>
        <w:tabs>
          <w:tab w:val="left" w:pos="851"/>
        </w:tabs>
        <w:ind w:left="851"/>
        <w:rPr>
          <w:sz w:val="24"/>
          <w:szCs w:val="24"/>
        </w:rPr>
      </w:pPr>
      <w:r w:rsidRPr="00B7317A">
        <w:rPr>
          <w:sz w:val="24"/>
          <w:szCs w:val="24"/>
        </w:rPr>
        <w:t>Opbevares i køleskab (2</w:t>
      </w:r>
      <w:r>
        <w:rPr>
          <w:sz w:val="24"/>
          <w:szCs w:val="24"/>
        </w:rPr>
        <w:t xml:space="preserve"> </w:t>
      </w:r>
      <w:r w:rsidRPr="00B7317A">
        <w:rPr>
          <w:sz w:val="24"/>
          <w:szCs w:val="24"/>
        </w:rPr>
        <w:sym w:font="Symbol" w:char="F0B0"/>
      </w:r>
      <w:r w:rsidRPr="00B7317A">
        <w:rPr>
          <w:sz w:val="24"/>
          <w:szCs w:val="24"/>
        </w:rPr>
        <w:t>C</w:t>
      </w:r>
      <w:r>
        <w:rPr>
          <w:sz w:val="24"/>
          <w:szCs w:val="24"/>
        </w:rPr>
        <w:t>-</w:t>
      </w:r>
      <w:r w:rsidRPr="00B7317A">
        <w:rPr>
          <w:sz w:val="24"/>
          <w:szCs w:val="24"/>
        </w:rPr>
        <w:t>8</w:t>
      </w:r>
      <w:r>
        <w:rPr>
          <w:sz w:val="24"/>
          <w:szCs w:val="24"/>
        </w:rPr>
        <w:t xml:space="preserve"> </w:t>
      </w:r>
      <w:r w:rsidRPr="00B7317A">
        <w:rPr>
          <w:sz w:val="24"/>
          <w:szCs w:val="24"/>
        </w:rPr>
        <w:sym w:font="Symbol" w:char="F0B0"/>
      </w:r>
      <w:r w:rsidRPr="00B7317A">
        <w:rPr>
          <w:sz w:val="24"/>
          <w:szCs w:val="24"/>
        </w:rPr>
        <w:t>C).</w:t>
      </w:r>
    </w:p>
    <w:p w:rsidR="00B7317A" w:rsidRPr="00B7317A" w:rsidRDefault="00B7317A" w:rsidP="00B7317A">
      <w:pPr>
        <w:tabs>
          <w:tab w:val="left" w:pos="851"/>
        </w:tabs>
        <w:ind w:left="851"/>
        <w:rPr>
          <w:sz w:val="24"/>
          <w:szCs w:val="24"/>
        </w:rPr>
      </w:pPr>
    </w:p>
    <w:p w:rsidR="00B7317A" w:rsidRPr="00B7317A" w:rsidRDefault="00B7317A" w:rsidP="00B7317A">
      <w:pPr>
        <w:tabs>
          <w:tab w:val="left" w:pos="851"/>
        </w:tabs>
        <w:ind w:left="851"/>
        <w:rPr>
          <w:sz w:val="24"/>
          <w:szCs w:val="24"/>
          <w:u w:val="single"/>
        </w:rPr>
      </w:pPr>
      <w:r>
        <w:rPr>
          <w:sz w:val="24"/>
          <w:szCs w:val="24"/>
          <w:u w:val="single"/>
        </w:rPr>
        <w:t>E</w:t>
      </w:r>
      <w:r w:rsidRPr="00B7317A">
        <w:rPr>
          <w:sz w:val="24"/>
          <w:szCs w:val="24"/>
          <w:u w:val="single"/>
        </w:rPr>
        <w:t>fter åbning</w:t>
      </w:r>
    </w:p>
    <w:p w:rsidR="00B7317A" w:rsidRPr="00B7317A" w:rsidRDefault="00B7317A" w:rsidP="00B7317A">
      <w:pPr>
        <w:tabs>
          <w:tab w:val="left" w:pos="851"/>
        </w:tabs>
        <w:ind w:left="851"/>
        <w:rPr>
          <w:sz w:val="24"/>
          <w:szCs w:val="24"/>
        </w:rPr>
      </w:pPr>
      <w:r w:rsidRPr="00B7317A">
        <w:rPr>
          <w:sz w:val="24"/>
          <w:szCs w:val="24"/>
        </w:rPr>
        <w:t>Må ikke opbevares over 25</w:t>
      </w:r>
      <w:r>
        <w:rPr>
          <w:sz w:val="24"/>
          <w:szCs w:val="24"/>
        </w:rPr>
        <w:t xml:space="preserve"> </w:t>
      </w:r>
      <w:r w:rsidRPr="00B7317A">
        <w:rPr>
          <w:sz w:val="24"/>
          <w:szCs w:val="24"/>
        </w:rPr>
        <w:t>°C.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92E6A" w:rsidRDefault="004A785B" w:rsidP="00D92E6A">
      <w:pPr>
        <w:tabs>
          <w:tab w:val="left" w:pos="851"/>
        </w:tabs>
        <w:ind w:left="851"/>
        <w:rPr>
          <w:sz w:val="24"/>
          <w:szCs w:val="24"/>
        </w:rPr>
      </w:pPr>
      <w:r>
        <w:rPr>
          <w:sz w:val="24"/>
          <w:szCs w:val="24"/>
        </w:rPr>
        <w:t>A</w:t>
      </w:r>
      <w:r w:rsidR="00D92E6A" w:rsidRPr="00D92E6A">
        <w:rPr>
          <w:sz w:val="24"/>
          <w:szCs w:val="24"/>
        </w:rPr>
        <w:t>luminiumtube (med et indre beskyttende lag lak) forseglet med en aluminiumsmembran og lukket med et hvidt plastik (polyethylen, PE) skruelåg, i en papæske</w:t>
      </w:r>
      <w:r w:rsidR="00D92E6A">
        <w:rPr>
          <w:sz w:val="24"/>
          <w:szCs w:val="24"/>
        </w:rPr>
        <w:t>.</w:t>
      </w:r>
    </w:p>
    <w:p w:rsidR="00D92E6A" w:rsidRDefault="00D92E6A" w:rsidP="00D92E6A">
      <w:pPr>
        <w:tabs>
          <w:tab w:val="left" w:pos="851"/>
        </w:tabs>
        <w:ind w:left="851"/>
        <w:rPr>
          <w:sz w:val="24"/>
          <w:szCs w:val="24"/>
        </w:rPr>
      </w:pPr>
    </w:p>
    <w:p w:rsidR="00D92E6A" w:rsidRPr="004A785B" w:rsidRDefault="00D92E6A" w:rsidP="00D92E6A">
      <w:pPr>
        <w:tabs>
          <w:tab w:val="left" w:pos="851"/>
        </w:tabs>
        <w:ind w:left="851"/>
        <w:rPr>
          <w:sz w:val="24"/>
          <w:szCs w:val="24"/>
          <w:u w:val="single"/>
        </w:rPr>
      </w:pPr>
      <w:r w:rsidRPr="004A785B">
        <w:rPr>
          <w:sz w:val="24"/>
          <w:szCs w:val="24"/>
          <w:u w:val="single"/>
        </w:rPr>
        <w:t>Pakningsstørrelser</w:t>
      </w:r>
    </w:p>
    <w:p w:rsidR="004A785B" w:rsidRDefault="004A785B" w:rsidP="00D92E6A">
      <w:pPr>
        <w:tabs>
          <w:tab w:val="left" w:pos="851"/>
        </w:tabs>
        <w:ind w:left="851"/>
        <w:rPr>
          <w:sz w:val="24"/>
          <w:szCs w:val="24"/>
        </w:rPr>
      </w:pPr>
      <w:r w:rsidRPr="00D92E6A">
        <w:rPr>
          <w:sz w:val="24"/>
          <w:szCs w:val="24"/>
        </w:rPr>
        <w:t xml:space="preserve">25 g, 30 g, 50 g </w:t>
      </w:r>
      <w:r>
        <w:rPr>
          <w:sz w:val="24"/>
          <w:szCs w:val="24"/>
        </w:rPr>
        <w:t>og</w:t>
      </w:r>
      <w:r w:rsidRPr="00D92E6A">
        <w:rPr>
          <w:sz w:val="24"/>
          <w:szCs w:val="24"/>
        </w:rPr>
        <w:t xml:space="preserve"> 60 g</w:t>
      </w:r>
      <w:r>
        <w:rPr>
          <w:sz w:val="24"/>
          <w:szCs w:val="24"/>
        </w:rPr>
        <w:t>.</w:t>
      </w:r>
    </w:p>
    <w:p w:rsidR="004A785B" w:rsidRDefault="004A785B" w:rsidP="00D92E6A">
      <w:pPr>
        <w:tabs>
          <w:tab w:val="left" w:pos="851"/>
        </w:tabs>
        <w:ind w:left="851"/>
        <w:rPr>
          <w:sz w:val="24"/>
          <w:szCs w:val="24"/>
        </w:rPr>
      </w:pPr>
    </w:p>
    <w:p w:rsidR="00D92E6A" w:rsidRPr="00D92E6A" w:rsidRDefault="00D92E6A" w:rsidP="00D92E6A">
      <w:pPr>
        <w:tabs>
          <w:tab w:val="left" w:pos="851"/>
        </w:tabs>
        <w:ind w:left="851"/>
        <w:rPr>
          <w:sz w:val="24"/>
          <w:szCs w:val="24"/>
        </w:rPr>
      </w:pPr>
      <w:r w:rsidRPr="00D92E6A">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103D94" w:rsidRPr="00103D94" w:rsidRDefault="00103D94" w:rsidP="00103D94">
      <w:pPr>
        <w:tabs>
          <w:tab w:val="left" w:pos="851"/>
        </w:tabs>
        <w:ind w:left="851"/>
        <w:rPr>
          <w:sz w:val="24"/>
          <w:szCs w:val="24"/>
        </w:rPr>
      </w:pPr>
      <w:r w:rsidRPr="00103D94">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03D94" w:rsidRPr="00A97FE2" w:rsidRDefault="00103D94" w:rsidP="00103D94">
      <w:pPr>
        <w:tabs>
          <w:tab w:val="left" w:pos="851"/>
        </w:tabs>
        <w:ind w:left="851"/>
        <w:rPr>
          <w:sz w:val="24"/>
          <w:szCs w:val="24"/>
        </w:rPr>
      </w:pPr>
      <w:r w:rsidRPr="00A97FE2">
        <w:rPr>
          <w:sz w:val="24"/>
          <w:szCs w:val="24"/>
        </w:rPr>
        <w:t>Orifarm Healthcare A/S</w:t>
      </w:r>
    </w:p>
    <w:p w:rsidR="00103D94" w:rsidRPr="00A97FE2" w:rsidRDefault="00103D94" w:rsidP="00103D94">
      <w:pPr>
        <w:tabs>
          <w:tab w:val="left" w:pos="851"/>
        </w:tabs>
        <w:ind w:left="851"/>
        <w:rPr>
          <w:sz w:val="24"/>
          <w:szCs w:val="24"/>
        </w:rPr>
      </w:pPr>
      <w:r w:rsidRPr="00A97FE2">
        <w:rPr>
          <w:sz w:val="24"/>
          <w:szCs w:val="24"/>
        </w:rPr>
        <w:t>Energivej 15</w:t>
      </w:r>
    </w:p>
    <w:p w:rsidR="00103D94" w:rsidRPr="00103D94" w:rsidRDefault="00103D94" w:rsidP="00103D94">
      <w:pPr>
        <w:tabs>
          <w:tab w:val="left" w:pos="851"/>
        </w:tabs>
        <w:ind w:left="851"/>
        <w:rPr>
          <w:sz w:val="24"/>
          <w:szCs w:val="24"/>
        </w:rPr>
      </w:pPr>
      <w:r w:rsidRPr="00103D94">
        <w:rPr>
          <w:sz w:val="24"/>
          <w:szCs w:val="24"/>
        </w:rPr>
        <w:t>5260 Odense S</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182F55" w:rsidP="009260DE">
      <w:pPr>
        <w:tabs>
          <w:tab w:val="left" w:pos="851"/>
        </w:tabs>
        <w:ind w:left="851"/>
        <w:rPr>
          <w:sz w:val="24"/>
          <w:szCs w:val="24"/>
        </w:rPr>
      </w:pPr>
      <w:r>
        <w:rPr>
          <w:sz w:val="24"/>
          <w:szCs w:val="24"/>
        </w:rPr>
        <w:t>68668</w:t>
      </w:r>
    </w:p>
    <w:p w:rsidR="00182F55" w:rsidRDefault="00182F55">
      <w:pPr>
        <w:rPr>
          <w:sz w:val="24"/>
          <w:szCs w:val="24"/>
        </w:rPr>
      </w:pPr>
      <w:r>
        <w:rPr>
          <w:sz w:val="24"/>
          <w:szCs w:val="24"/>
        </w:rPr>
        <w:br w:type="page"/>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97FE2" w:rsidP="009260DE">
      <w:pPr>
        <w:tabs>
          <w:tab w:val="left" w:pos="851"/>
        </w:tabs>
        <w:ind w:left="851"/>
        <w:rPr>
          <w:sz w:val="24"/>
          <w:szCs w:val="24"/>
        </w:rPr>
      </w:pPr>
      <w:r>
        <w:rPr>
          <w:sz w:val="24"/>
          <w:szCs w:val="24"/>
        </w:rPr>
        <w:t>12. december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82F55" w:rsidP="009260DE">
      <w:pPr>
        <w:tabs>
          <w:tab w:val="left" w:pos="851"/>
        </w:tabs>
        <w:ind w:left="851"/>
        <w:rPr>
          <w:sz w:val="24"/>
          <w:szCs w:val="24"/>
        </w:rPr>
      </w:pPr>
      <w:r>
        <w:rPr>
          <w:sz w:val="24"/>
          <w:szCs w:val="24"/>
        </w:rPr>
        <w:t>-</w:t>
      </w:r>
      <w:bookmarkStart w:id="2" w:name="_GoBack"/>
      <w:bookmarkEnd w:id="2"/>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32D" w:rsidRDefault="0080232D">
      <w:r>
        <w:separator/>
      </w:r>
    </w:p>
  </w:endnote>
  <w:endnote w:type="continuationSeparator" w:id="0">
    <w:p w:rsidR="0080232D" w:rsidRDefault="0080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92938">
      <w:rPr>
        <w:i/>
        <w:noProof/>
        <w:sz w:val="18"/>
        <w:szCs w:val="18"/>
      </w:rPr>
      <w:t>Clindonix, gel 10+50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32D" w:rsidRDefault="0080232D">
      <w:r>
        <w:separator/>
      </w:r>
    </w:p>
  </w:footnote>
  <w:footnote w:type="continuationSeparator" w:id="0">
    <w:p w:rsidR="0080232D" w:rsidRDefault="0080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B87AF0"/>
    <w:multiLevelType w:val="hybridMultilevel"/>
    <w:tmpl w:val="8DAA1576"/>
    <w:lvl w:ilvl="0" w:tplc="D134608C">
      <w:start w:val="1"/>
      <w:numFmt w:val="bullet"/>
      <w:lvlText w:val=""/>
      <w:lvlJc w:val="left"/>
      <w:pPr>
        <w:ind w:left="567" w:hanging="207"/>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2D"/>
    <w:rsid w:val="000259B9"/>
    <w:rsid w:val="00041491"/>
    <w:rsid w:val="00050D16"/>
    <w:rsid w:val="000730BE"/>
    <w:rsid w:val="000730CA"/>
    <w:rsid w:val="00074F2A"/>
    <w:rsid w:val="00085497"/>
    <w:rsid w:val="000A1CA8"/>
    <w:rsid w:val="000A466B"/>
    <w:rsid w:val="000B058C"/>
    <w:rsid w:val="000D1DE4"/>
    <w:rsid w:val="000D68B0"/>
    <w:rsid w:val="000E4EE6"/>
    <w:rsid w:val="00103D94"/>
    <w:rsid w:val="001454E2"/>
    <w:rsid w:val="00162C04"/>
    <w:rsid w:val="00182F55"/>
    <w:rsid w:val="00206CE8"/>
    <w:rsid w:val="0021526C"/>
    <w:rsid w:val="00283A2B"/>
    <w:rsid w:val="002B30AD"/>
    <w:rsid w:val="002B4006"/>
    <w:rsid w:val="002C1EC0"/>
    <w:rsid w:val="002C2C01"/>
    <w:rsid w:val="00376789"/>
    <w:rsid w:val="00385943"/>
    <w:rsid w:val="00392938"/>
    <w:rsid w:val="003A29AE"/>
    <w:rsid w:val="003A32D7"/>
    <w:rsid w:val="003B4074"/>
    <w:rsid w:val="003C769A"/>
    <w:rsid w:val="003D3A90"/>
    <w:rsid w:val="003F1838"/>
    <w:rsid w:val="004251C1"/>
    <w:rsid w:val="0045746C"/>
    <w:rsid w:val="0049104B"/>
    <w:rsid w:val="004A785B"/>
    <w:rsid w:val="004E3B12"/>
    <w:rsid w:val="00532310"/>
    <w:rsid w:val="00565F0F"/>
    <w:rsid w:val="00594A86"/>
    <w:rsid w:val="00596D86"/>
    <w:rsid w:val="00637F5A"/>
    <w:rsid w:val="00641C65"/>
    <w:rsid w:val="006560B1"/>
    <w:rsid w:val="006756DD"/>
    <w:rsid w:val="00703486"/>
    <w:rsid w:val="0071241E"/>
    <w:rsid w:val="00737275"/>
    <w:rsid w:val="00740EEC"/>
    <w:rsid w:val="0078011A"/>
    <w:rsid w:val="00782AF4"/>
    <w:rsid w:val="00790EE7"/>
    <w:rsid w:val="007B6649"/>
    <w:rsid w:val="007E770C"/>
    <w:rsid w:val="0080232D"/>
    <w:rsid w:val="0082576E"/>
    <w:rsid w:val="008574B9"/>
    <w:rsid w:val="0089346F"/>
    <w:rsid w:val="008C39FE"/>
    <w:rsid w:val="009009AB"/>
    <w:rsid w:val="00907F75"/>
    <w:rsid w:val="009260DE"/>
    <w:rsid w:val="0093258A"/>
    <w:rsid w:val="00940A3A"/>
    <w:rsid w:val="009A2136"/>
    <w:rsid w:val="009C7BA3"/>
    <w:rsid w:val="009D1F5A"/>
    <w:rsid w:val="00A10294"/>
    <w:rsid w:val="00A97FE2"/>
    <w:rsid w:val="00AF64F1"/>
    <w:rsid w:val="00B003BF"/>
    <w:rsid w:val="00B373D7"/>
    <w:rsid w:val="00B55271"/>
    <w:rsid w:val="00B7317A"/>
    <w:rsid w:val="00BD7931"/>
    <w:rsid w:val="00BF6243"/>
    <w:rsid w:val="00BF7E80"/>
    <w:rsid w:val="00C36276"/>
    <w:rsid w:val="00C42586"/>
    <w:rsid w:val="00C45F6B"/>
    <w:rsid w:val="00C60CCD"/>
    <w:rsid w:val="00C84483"/>
    <w:rsid w:val="00C95551"/>
    <w:rsid w:val="00CB20D7"/>
    <w:rsid w:val="00D020B0"/>
    <w:rsid w:val="00D11748"/>
    <w:rsid w:val="00D230C5"/>
    <w:rsid w:val="00D237F6"/>
    <w:rsid w:val="00D34D98"/>
    <w:rsid w:val="00D366CF"/>
    <w:rsid w:val="00D92E6A"/>
    <w:rsid w:val="00D93992"/>
    <w:rsid w:val="00E108AA"/>
    <w:rsid w:val="00E3749A"/>
    <w:rsid w:val="00E7437F"/>
    <w:rsid w:val="00E865B8"/>
    <w:rsid w:val="00EC0B9B"/>
    <w:rsid w:val="00ED5E9F"/>
    <w:rsid w:val="00F66D4F"/>
    <w:rsid w:val="00F80C6A"/>
    <w:rsid w:val="00F8631F"/>
    <w:rsid w:val="00FB0E3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495F2"/>
  <w15:chartTrackingRefBased/>
  <w15:docId w15:val="{069B2285-A63A-4E44-A43F-C0D03CEA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9009AB"/>
    <w:rPr>
      <w:rFonts w:eastAsiaTheme="minorHAnsi"/>
      <w:sz w:val="22"/>
      <w:szCs w:val="22"/>
      <w:lang w:val="hr-H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80C6A"/>
    <w:rPr>
      <w:color w:val="0563C1" w:themeColor="hyperlink"/>
      <w:u w:val="single"/>
    </w:rPr>
  </w:style>
  <w:style w:type="character" w:styleId="Ulstomtale">
    <w:name w:val="Unresolved Mention"/>
    <w:basedOn w:val="Standardskrifttypeiafsnit"/>
    <w:uiPriority w:val="99"/>
    <w:semiHidden/>
    <w:unhideWhenUsed/>
    <w:rsid w:val="00F80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14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3204695">
      <w:bodyDiv w:val="1"/>
      <w:marLeft w:val="0"/>
      <w:marRight w:val="0"/>
      <w:marTop w:val="0"/>
      <w:marBottom w:val="0"/>
      <w:divBdr>
        <w:top w:val="none" w:sz="0" w:space="0" w:color="auto"/>
        <w:left w:val="none" w:sz="0" w:space="0" w:color="auto"/>
        <w:bottom w:val="none" w:sz="0" w:space="0" w:color="auto"/>
        <w:right w:val="none" w:sz="0" w:space="0" w:color="auto"/>
      </w:divBdr>
    </w:div>
    <w:div w:id="248198011">
      <w:bodyDiv w:val="1"/>
      <w:marLeft w:val="0"/>
      <w:marRight w:val="0"/>
      <w:marTop w:val="0"/>
      <w:marBottom w:val="0"/>
      <w:divBdr>
        <w:top w:val="none" w:sz="0" w:space="0" w:color="auto"/>
        <w:left w:val="none" w:sz="0" w:space="0" w:color="auto"/>
        <w:bottom w:val="none" w:sz="0" w:space="0" w:color="auto"/>
        <w:right w:val="none" w:sz="0" w:space="0" w:color="auto"/>
      </w:divBdr>
    </w:div>
    <w:div w:id="272368024">
      <w:bodyDiv w:val="1"/>
      <w:marLeft w:val="0"/>
      <w:marRight w:val="0"/>
      <w:marTop w:val="0"/>
      <w:marBottom w:val="0"/>
      <w:divBdr>
        <w:top w:val="none" w:sz="0" w:space="0" w:color="auto"/>
        <w:left w:val="none" w:sz="0" w:space="0" w:color="auto"/>
        <w:bottom w:val="none" w:sz="0" w:space="0" w:color="auto"/>
        <w:right w:val="none" w:sz="0" w:space="0" w:color="auto"/>
      </w:divBdr>
    </w:div>
    <w:div w:id="281572321">
      <w:bodyDiv w:val="1"/>
      <w:marLeft w:val="0"/>
      <w:marRight w:val="0"/>
      <w:marTop w:val="0"/>
      <w:marBottom w:val="0"/>
      <w:divBdr>
        <w:top w:val="none" w:sz="0" w:space="0" w:color="auto"/>
        <w:left w:val="none" w:sz="0" w:space="0" w:color="auto"/>
        <w:bottom w:val="none" w:sz="0" w:space="0" w:color="auto"/>
        <w:right w:val="none" w:sz="0" w:space="0" w:color="auto"/>
      </w:divBdr>
    </w:div>
    <w:div w:id="299847150">
      <w:bodyDiv w:val="1"/>
      <w:marLeft w:val="0"/>
      <w:marRight w:val="0"/>
      <w:marTop w:val="0"/>
      <w:marBottom w:val="0"/>
      <w:divBdr>
        <w:top w:val="none" w:sz="0" w:space="0" w:color="auto"/>
        <w:left w:val="none" w:sz="0" w:space="0" w:color="auto"/>
        <w:bottom w:val="none" w:sz="0" w:space="0" w:color="auto"/>
        <w:right w:val="none" w:sz="0" w:space="0" w:color="auto"/>
      </w:divBdr>
    </w:div>
    <w:div w:id="397366685">
      <w:bodyDiv w:val="1"/>
      <w:marLeft w:val="0"/>
      <w:marRight w:val="0"/>
      <w:marTop w:val="0"/>
      <w:marBottom w:val="0"/>
      <w:divBdr>
        <w:top w:val="none" w:sz="0" w:space="0" w:color="auto"/>
        <w:left w:val="none" w:sz="0" w:space="0" w:color="auto"/>
        <w:bottom w:val="none" w:sz="0" w:space="0" w:color="auto"/>
        <w:right w:val="none" w:sz="0" w:space="0" w:color="auto"/>
      </w:divBdr>
    </w:div>
    <w:div w:id="504175428">
      <w:bodyDiv w:val="1"/>
      <w:marLeft w:val="0"/>
      <w:marRight w:val="0"/>
      <w:marTop w:val="0"/>
      <w:marBottom w:val="0"/>
      <w:divBdr>
        <w:top w:val="none" w:sz="0" w:space="0" w:color="auto"/>
        <w:left w:val="none" w:sz="0" w:space="0" w:color="auto"/>
        <w:bottom w:val="none" w:sz="0" w:space="0" w:color="auto"/>
        <w:right w:val="none" w:sz="0" w:space="0" w:color="auto"/>
      </w:divBdr>
    </w:div>
    <w:div w:id="552809628">
      <w:bodyDiv w:val="1"/>
      <w:marLeft w:val="0"/>
      <w:marRight w:val="0"/>
      <w:marTop w:val="0"/>
      <w:marBottom w:val="0"/>
      <w:divBdr>
        <w:top w:val="none" w:sz="0" w:space="0" w:color="auto"/>
        <w:left w:val="none" w:sz="0" w:space="0" w:color="auto"/>
        <w:bottom w:val="none" w:sz="0" w:space="0" w:color="auto"/>
        <w:right w:val="none" w:sz="0" w:space="0" w:color="auto"/>
      </w:divBdr>
    </w:div>
    <w:div w:id="594558839">
      <w:bodyDiv w:val="1"/>
      <w:marLeft w:val="0"/>
      <w:marRight w:val="0"/>
      <w:marTop w:val="0"/>
      <w:marBottom w:val="0"/>
      <w:divBdr>
        <w:top w:val="none" w:sz="0" w:space="0" w:color="auto"/>
        <w:left w:val="none" w:sz="0" w:space="0" w:color="auto"/>
        <w:bottom w:val="none" w:sz="0" w:space="0" w:color="auto"/>
        <w:right w:val="none" w:sz="0" w:space="0" w:color="auto"/>
      </w:divBdr>
    </w:div>
    <w:div w:id="638653596">
      <w:bodyDiv w:val="1"/>
      <w:marLeft w:val="0"/>
      <w:marRight w:val="0"/>
      <w:marTop w:val="0"/>
      <w:marBottom w:val="0"/>
      <w:divBdr>
        <w:top w:val="none" w:sz="0" w:space="0" w:color="auto"/>
        <w:left w:val="none" w:sz="0" w:space="0" w:color="auto"/>
        <w:bottom w:val="none" w:sz="0" w:space="0" w:color="auto"/>
        <w:right w:val="none" w:sz="0" w:space="0" w:color="auto"/>
      </w:divBdr>
    </w:div>
    <w:div w:id="693382446">
      <w:bodyDiv w:val="1"/>
      <w:marLeft w:val="0"/>
      <w:marRight w:val="0"/>
      <w:marTop w:val="0"/>
      <w:marBottom w:val="0"/>
      <w:divBdr>
        <w:top w:val="none" w:sz="0" w:space="0" w:color="auto"/>
        <w:left w:val="none" w:sz="0" w:space="0" w:color="auto"/>
        <w:bottom w:val="none" w:sz="0" w:space="0" w:color="auto"/>
        <w:right w:val="none" w:sz="0" w:space="0" w:color="auto"/>
      </w:divBdr>
    </w:div>
    <w:div w:id="730807533">
      <w:bodyDiv w:val="1"/>
      <w:marLeft w:val="0"/>
      <w:marRight w:val="0"/>
      <w:marTop w:val="0"/>
      <w:marBottom w:val="0"/>
      <w:divBdr>
        <w:top w:val="none" w:sz="0" w:space="0" w:color="auto"/>
        <w:left w:val="none" w:sz="0" w:space="0" w:color="auto"/>
        <w:bottom w:val="none" w:sz="0" w:space="0" w:color="auto"/>
        <w:right w:val="none" w:sz="0" w:space="0" w:color="auto"/>
      </w:divBdr>
    </w:div>
    <w:div w:id="738552384">
      <w:bodyDiv w:val="1"/>
      <w:marLeft w:val="0"/>
      <w:marRight w:val="0"/>
      <w:marTop w:val="0"/>
      <w:marBottom w:val="0"/>
      <w:divBdr>
        <w:top w:val="none" w:sz="0" w:space="0" w:color="auto"/>
        <w:left w:val="none" w:sz="0" w:space="0" w:color="auto"/>
        <w:bottom w:val="none" w:sz="0" w:space="0" w:color="auto"/>
        <w:right w:val="none" w:sz="0" w:space="0" w:color="auto"/>
      </w:divBdr>
    </w:div>
    <w:div w:id="744229848">
      <w:bodyDiv w:val="1"/>
      <w:marLeft w:val="0"/>
      <w:marRight w:val="0"/>
      <w:marTop w:val="0"/>
      <w:marBottom w:val="0"/>
      <w:divBdr>
        <w:top w:val="none" w:sz="0" w:space="0" w:color="auto"/>
        <w:left w:val="none" w:sz="0" w:space="0" w:color="auto"/>
        <w:bottom w:val="none" w:sz="0" w:space="0" w:color="auto"/>
        <w:right w:val="none" w:sz="0" w:space="0" w:color="auto"/>
      </w:divBdr>
    </w:div>
    <w:div w:id="815269446">
      <w:bodyDiv w:val="1"/>
      <w:marLeft w:val="0"/>
      <w:marRight w:val="0"/>
      <w:marTop w:val="0"/>
      <w:marBottom w:val="0"/>
      <w:divBdr>
        <w:top w:val="none" w:sz="0" w:space="0" w:color="auto"/>
        <w:left w:val="none" w:sz="0" w:space="0" w:color="auto"/>
        <w:bottom w:val="none" w:sz="0" w:space="0" w:color="auto"/>
        <w:right w:val="none" w:sz="0" w:space="0" w:color="auto"/>
      </w:divBdr>
    </w:div>
    <w:div w:id="924462283">
      <w:bodyDiv w:val="1"/>
      <w:marLeft w:val="0"/>
      <w:marRight w:val="0"/>
      <w:marTop w:val="0"/>
      <w:marBottom w:val="0"/>
      <w:divBdr>
        <w:top w:val="none" w:sz="0" w:space="0" w:color="auto"/>
        <w:left w:val="none" w:sz="0" w:space="0" w:color="auto"/>
        <w:bottom w:val="none" w:sz="0" w:space="0" w:color="auto"/>
        <w:right w:val="none" w:sz="0" w:space="0" w:color="auto"/>
      </w:divBdr>
    </w:div>
    <w:div w:id="946738572">
      <w:bodyDiv w:val="1"/>
      <w:marLeft w:val="0"/>
      <w:marRight w:val="0"/>
      <w:marTop w:val="0"/>
      <w:marBottom w:val="0"/>
      <w:divBdr>
        <w:top w:val="none" w:sz="0" w:space="0" w:color="auto"/>
        <w:left w:val="none" w:sz="0" w:space="0" w:color="auto"/>
        <w:bottom w:val="none" w:sz="0" w:space="0" w:color="auto"/>
        <w:right w:val="none" w:sz="0" w:space="0" w:color="auto"/>
      </w:divBdr>
    </w:div>
    <w:div w:id="970668849">
      <w:bodyDiv w:val="1"/>
      <w:marLeft w:val="0"/>
      <w:marRight w:val="0"/>
      <w:marTop w:val="0"/>
      <w:marBottom w:val="0"/>
      <w:divBdr>
        <w:top w:val="none" w:sz="0" w:space="0" w:color="auto"/>
        <w:left w:val="none" w:sz="0" w:space="0" w:color="auto"/>
        <w:bottom w:val="none" w:sz="0" w:space="0" w:color="auto"/>
        <w:right w:val="none" w:sz="0" w:space="0" w:color="auto"/>
      </w:divBdr>
    </w:div>
    <w:div w:id="1007252987">
      <w:bodyDiv w:val="1"/>
      <w:marLeft w:val="0"/>
      <w:marRight w:val="0"/>
      <w:marTop w:val="0"/>
      <w:marBottom w:val="0"/>
      <w:divBdr>
        <w:top w:val="none" w:sz="0" w:space="0" w:color="auto"/>
        <w:left w:val="none" w:sz="0" w:space="0" w:color="auto"/>
        <w:bottom w:val="none" w:sz="0" w:space="0" w:color="auto"/>
        <w:right w:val="none" w:sz="0" w:space="0" w:color="auto"/>
      </w:divBdr>
    </w:div>
    <w:div w:id="1068960797">
      <w:bodyDiv w:val="1"/>
      <w:marLeft w:val="0"/>
      <w:marRight w:val="0"/>
      <w:marTop w:val="0"/>
      <w:marBottom w:val="0"/>
      <w:divBdr>
        <w:top w:val="none" w:sz="0" w:space="0" w:color="auto"/>
        <w:left w:val="none" w:sz="0" w:space="0" w:color="auto"/>
        <w:bottom w:val="none" w:sz="0" w:space="0" w:color="auto"/>
        <w:right w:val="none" w:sz="0" w:space="0" w:color="auto"/>
      </w:divBdr>
    </w:div>
    <w:div w:id="1128159902">
      <w:bodyDiv w:val="1"/>
      <w:marLeft w:val="0"/>
      <w:marRight w:val="0"/>
      <w:marTop w:val="0"/>
      <w:marBottom w:val="0"/>
      <w:divBdr>
        <w:top w:val="none" w:sz="0" w:space="0" w:color="auto"/>
        <w:left w:val="none" w:sz="0" w:space="0" w:color="auto"/>
        <w:bottom w:val="none" w:sz="0" w:space="0" w:color="auto"/>
        <w:right w:val="none" w:sz="0" w:space="0" w:color="auto"/>
      </w:divBdr>
    </w:div>
    <w:div w:id="1147043311">
      <w:bodyDiv w:val="1"/>
      <w:marLeft w:val="0"/>
      <w:marRight w:val="0"/>
      <w:marTop w:val="0"/>
      <w:marBottom w:val="0"/>
      <w:divBdr>
        <w:top w:val="none" w:sz="0" w:space="0" w:color="auto"/>
        <w:left w:val="none" w:sz="0" w:space="0" w:color="auto"/>
        <w:bottom w:val="none" w:sz="0" w:space="0" w:color="auto"/>
        <w:right w:val="none" w:sz="0" w:space="0" w:color="auto"/>
      </w:divBdr>
    </w:div>
    <w:div w:id="1185552793">
      <w:bodyDiv w:val="1"/>
      <w:marLeft w:val="0"/>
      <w:marRight w:val="0"/>
      <w:marTop w:val="0"/>
      <w:marBottom w:val="0"/>
      <w:divBdr>
        <w:top w:val="none" w:sz="0" w:space="0" w:color="auto"/>
        <w:left w:val="none" w:sz="0" w:space="0" w:color="auto"/>
        <w:bottom w:val="none" w:sz="0" w:space="0" w:color="auto"/>
        <w:right w:val="none" w:sz="0" w:space="0" w:color="auto"/>
      </w:divBdr>
    </w:div>
    <w:div w:id="1202204517">
      <w:bodyDiv w:val="1"/>
      <w:marLeft w:val="0"/>
      <w:marRight w:val="0"/>
      <w:marTop w:val="0"/>
      <w:marBottom w:val="0"/>
      <w:divBdr>
        <w:top w:val="none" w:sz="0" w:space="0" w:color="auto"/>
        <w:left w:val="none" w:sz="0" w:space="0" w:color="auto"/>
        <w:bottom w:val="none" w:sz="0" w:space="0" w:color="auto"/>
        <w:right w:val="none" w:sz="0" w:space="0" w:color="auto"/>
      </w:divBdr>
    </w:div>
    <w:div w:id="122815225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355493926">
      <w:bodyDiv w:val="1"/>
      <w:marLeft w:val="0"/>
      <w:marRight w:val="0"/>
      <w:marTop w:val="0"/>
      <w:marBottom w:val="0"/>
      <w:divBdr>
        <w:top w:val="none" w:sz="0" w:space="0" w:color="auto"/>
        <w:left w:val="none" w:sz="0" w:space="0" w:color="auto"/>
        <w:bottom w:val="none" w:sz="0" w:space="0" w:color="auto"/>
        <w:right w:val="none" w:sz="0" w:space="0" w:color="auto"/>
      </w:divBdr>
    </w:div>
    <w:div w:id="1359354854">
      <w:bodyDiv w:val="1"/>
      <w:marLeft w:val="0"/>
      <w:marRight w:val="0"/>
      <w:marTop w:val="0"/>
      <w:marBottom w:val="0"/>
      <w:divBdr>
        <w:top w:val="none" w:sz="0" w:space="0" w:color="auto"/>
        <w:left w:val="none" w:sz="0" w:space="0" w:color="auto"/>
        <w:bottom w:val="none" w:sz="0" w:space="0" w:color="auto"/>
        <w:right w:val="none" w:sz="0" w:space="0" w:color="auto"/>
      </w:divBdr>
    </w:div>
    <w:div w:id="1459571888">
      <w:bodyDiv w:val="1"/>
      <w:marLeft w:val="0"/>
      <w:marRight w:val="0"/>
      <w:marTop w:val="0"/>
      <w:marBottom w:val="0"/>
      <w:divBdr>
        <w:top w:val="none" w:sz="0" w:space="0" w:color="auto"/>
        <w:left w:val="none" w:sz="0" w:space="0" w:color="auto"/>
        <w:bottom w:val="none" w:sz="0" w:space="0" w:color="auto"/>
        <w:right w:val="none" w:sz="0" w:space="0" w:color="auto"/>
      </w:divBdr>
    </w:div>
    <w:div w:id="1522890417">
      <w:bodyDiv w:val="1"/>
      <w:marLeft w:val="0"/>
      <w:marRight w:val="0"/>
      <w:marTop w:val="0"/>
      <w:marBottom w:val="0"/>
      <w:divBdr>
        <w:top w:val="none" w:sz="0" w:space="0" w:color="auto"/>
        <w:left w:val="none" w:sz="0" w:space="0" w:color="auto"/>
        <w:bottom w:val="none" w:sz="0" w:space="0" w:color="auto"/>
        <w:right w:val="none" w:sz="0" w:space="0" w:color="auto"/>
      </w:divBdr>
    </w:div>
    <w:div w:id="1572083148">
      <w:bodyDiv w:val="1"/>
      <w:marLeft w:val="0"/>
      <w:marRight w:val="0"/>
      <w:marTop w:val="0"/>
      <w:marBottom w:val="0"/>
      <w:divBdr>
        <w:top w:val="none" w:sz="0" w:space="0" w:color="auto"/>
        <w:left w:val="none" w:sz="0" w:space="0" w:color="auto"/>
        <w:bottom w:val="none" w:sz="0" w:space="0" w:color="auto"/>
        <w:right w:val="none" w:sz="0" w:space="0" w:color="auto"/>
      </w:divBdr>
    </w:div>
    <w:div w:id="1577472786">
      <w:bodyDiv w:val="1"/>
      <w:marLeft w:val="0"/>
      <w:marRight w:val="0"/>
      <w:marTop w:val="0"/>
      <w:marBottom w:val="0"/>
      <w:divBdr>
        <w:top w:val="none" w:sz="0" w:space="0" w:color="auto"/>
        <w:left w:val="none" w:sz="0" w:space="0" w:color="auto"/>
        <w:bottom w:val="none" w:sz="0" w:space="0" w:color="auto"/>
        <w:right w:val="none" w:sz="0" w:space="0" w:color="auto"/>
      </w:divBdr>
    </w:div>
    <w:div w:id="1639148212">
      <w:bodyDiv w:val="1"/>
      <w:marLeft w:val="0"/>
      <w:marRight w:val="0"/>
      <w:marTop w:val="0"/>
      <w:marBottom w:val="0"/>
      <w:divBdr>
        <w:top w:val="none" w:sz="0" w:space="0" w:color="auto"/>
        <w:left w:val="none" w:sz="0" w:space="0" w:color="auto"/>
        <w:bottom w:val="none" w:sz="0" w:space="0" w:color="auto"/>
        <w:right w:val="none" w:sz="0" w:space="0" w:color="auto"/>
      </w:divBdr>
    </w:div>
    <w:div w:id="1652713902">
      <w:bodyDiv w:val="1"/>
      <w:marLeft w:val="0"/>
      <w:marRight w:val="0"/>
      <w:marTop w:val="0"/>
      <w:marBottom w:val="0"/>
      <w:divBdr>
        <w:top w:val="none" w:sz="0" w:space="0" w:color="auto"/>
        <w:left w:val="none" w:sz="0" w:space="0" w:color="auto"/>
        <w:bottom w:val="none" w:sz="0" w:space="0" w:color="auto"/>
        <w:right w:val="none" w:sz="0" w:space="0" w:color="auto"/>
      </w:divBdr>
    </w:div>
    <w:div w:id="1663047280">
      <w:bodyDiv w:val="1"/>
      <w:marLeft w:val="0"/>
      <w:marRight w:val="0"/>
      <w:marTop w:val="0"/>
      <w:marBottom w:val="0"/>
      <w:divBdr>
        <w:top w:val="none" w:sz="0" w:space="0" w:color="auto"/>
        <w:left w:val="none" w:sz="0" w:space="0" w:color="auto"/>
        <w:bottom w:val="none" w:sz="0" w:space="0" w:color="auto"/>
        <w:right w:val="none" w:sz="0" w:space="0" w:color="auto"/>
      </w:divBdr>
    </w:div>
    <w:div w:id="1694107496">
      <w:bodyDiv w:val="1"/>
      <w:marLeft w:val="0"/>
      <w:marRight w:val="0"/>
      <w:marTop w:val="0"/>
      <w:marBottom w:val="0"/>
      <w:divBdr>
        <w:top w:val="none" w:sz="0" w:space="0" w:color="auto"/>
        <w:left w:val="none" w:sz="0" w:space="0" w:color="auto"/>
        <w:bottom w:val="none" w:sz="0" w:space="0" w:color="auto"/>
        <w:right w:val="none" w:sz="0" w:space="0" w:color="auto"/>
      </w:divBdr>
    </w:div>
    <w:div w:id="1753310153">
      <w:bodyDiv w:val="1"/>
      <w:marLeft w:val="0"/>
      <w:marRight w:val="0"/>
      <w:marTop w:val="0"/>
      <w:marBottom w:val="0"/>
      <w:divBdr>
        <w:top w:val="none" w:sz="0" w:space="0" w:color="auto"/>
        <w:left w:val="none" w:sz="0" w:space="0" w:color="auto"/>
        <w:bottom w:val="none" w:sz="0" w:space="0" w:color="auto"/>
        <w:right w:val="none" w:sz="0" w:space="0" w:color="auto"/>
      </w:divBdr>
    </w:div>
    <w:div w:id="1771776376">
      <w:bodyDiv w:val="1"/>
      <w:marLeft w:val="0"/>
      <w:marRight w:val="0"/>
      <w:marTop w:val="0"/>
      <w:marBottom w:val="0"/>
      <w:divBdr>
        <w:top w:val="none" w:sz="0" w:space="0" w:color="auto"/>
        <w:left w:val="none" w:sz="0" w:space="0" w:color="auto"/>
        <w:bottom w:val="none" w:sz="0" w:space="0" w:color="auto"/>
        <w:right w:val="none" w:sz="0" w:space="0" w:color="auto"/>
      </w:divBdr>
    </w:div>
    <w:div w:id="1799639911">
      <w:bodyDiv w:val="1"/>
      <w:marLeft w:val="0"/>
      <w:marRight w:val="0"/>
      <w:marTop w:val="0"/>
      <w:marBottom w:val="0"/>
      <w:divBdr>
        <w:top w:val="none" w:sz="0" w:space="0" w:color="auto"/>
        <w:left w:val="none" w:sz="0" w:space="0" w:color="auto"/>
        <w:bottom w:val="none" w:sz="0" w:space="0" w:color="auto"/>
        <w:right w:val="none" w:sz="0" w:space="0" w:color="auto"/>
      </w:divBdr>
    </w:div>
    <w:div w:id="1823424184">
      <w:bodyDiv w:val="1"/>
      <w:marLeft w:val="0"/>
      <w:marRight w:val="0"/>
      <w:marTop w:val="0"/>
      <w:marBottom w:val="0"/>
      <w:divBdr>
        <w:top w:val="none" w:sz="0" w:space="0" w:color="auto"/>
        <w:left w:val="none" w:sz="0" w:space="0" w:color="auto"/>
        <w:bottom w:val="none" w:sz="0" w:space="0" w:color="auto"/>
        <w:right w:val="none" w:sz="0" w:space="0" w:color="auto"/>
      </w:divBdr>
    </w:div>
    <w:div w:id="1875728835">
      <w:bodyDiv w:val="1"/>
      <w:marLeft w:val="0"/>
      <w:marRight w:val="0"/>
      <w:marTop w:val="0"/>
      <w:marBottom w:val="0"/>
      <w:divBdr>
        <w:top w:val="none" w:sz="0" w:space="0" w:color="auto"/>
        <w:left w:val="none" w:sz="0" w:space="0" w:color="auto"/>
        <w:bottom w:val="none" w:sz="0" w:space="0" w:color="auto"/>
        <w:right w:val="none" w:sz="0" w:space="0" w:color="auto"/>
      </w:divBdr>
    </w:div>
    <w:div w:id="1904178861">
      <w:bodyDiv w:val="1"/>
      <w:marLeft w:val="0"/>
      <w:marRight w:val="0"/>
      <w:marTop w:val="0"/>
      <w:marBottom w:val="0"/>
      <w:divBdr>
        <w:top w:val="none" w:sz="0" w:space="0" w:color="auto"/>
        <w:left w:val="none" w:sz="0" w:space="0" w:color="auto"/>
        <w:bottom w:val="none" w:sz="0" w:space="0" w:color="auto"/>
        <w:right w:val="none" w:sz="0" w:space="0" w:color="auto"/>
      </w:divBdr>
    </w:div>
    <w:div w:id="1918006225">
      <w:bodyDiv w:val="1"/>
      <w:marLeft w:val="0"/>
      <w:marRight w:val="0"/>
      <w:marTop w:val="0"/>
      <w:marBottom w:val="0"/>
      <w:divBdr>
        <w:top w:val="none" w:sz="0" w:space="0" w:color="auto"/>
        <w:left w:val="none" w:sz="0" w:space="0" w:color="auto"/>
        <w:bottom w:val="none" w:sz="0" w:space="0" w:color="auto"/>
        <w:right w:val="none" w:sz="0" w:space="0" w:color="auto"/>
      </w:divBdr>
    </w:div>
    <w:div w:id="1957519372">
      <w:bodyDiv w:val="1"/>
      <w:marLeft w:val="0"/>
      <w:marRight w:val="0"/>
      <w:marTop w:val="0"/>
      <w:marBottom w:val="0"/>
      <w:divBdr>
        <w:top w:val="none" w:sz="0" w:space="0" w:color="auto"/>
        <w:left w:val="none" w:sz="0" w:space="0" w:color="auto"/>
        <w:bottom w:val="none" w:sz="0" w:space="0" w:color="auto"/>
        <w:right w:val="none" w:sz="0" w:space="0" w:color="auto"/>
      </w:divBdr>
    </w:div>
    <w:div w:id="2006473824">
      <w:bodyDiv w:val="1"/>
      <w:marLeft w:val="0"/>
      <w:marRight w:val="0"/>
      <w:marTop w:val="0"/>
      <w:marBottom w:val="0"/>
      <w:divBdr>
        <w:top w:val="none" w:sz="0" w:space="0" w:color="auto"/>
        <w:left w:val="none" w:sz="0" w:space="0" w:color="auto"/>
        <w:bottom w:val="none" w:sz="0" w:space="0" w:color="auto"/>
        <w:right w:val="none" w:sz="0" w:space="0" w:color="auto"/>
      </w:divBdr>
    </w:div>
    <w:div w:id="2014910396">
      <w:bodyDiv w:val="1"/>
      <w:marLeft w:val="0"/>
      <w:marRight w:val="0"/>
      <w:marTop w:val="0"/>
      <w:marBottom w:val="0"/>
      <w:divBdr>
        <w:top w:val="none" w:sz="0" w:space="0" w:color="auto"/>
        <w:left w:val="none" w:sz="0" w:space="0" w:color="auto"/>
        <w:bottom w:val="none" w:sz="0" w:space="0" w:color="auto"/>
        <w:right w:val="none" w:sz="0" w:space="0" w:color="auto"/>
      </w:divBdr>
    </w:div>
    <w:div w:id="2020888746">
      <w:bodyDiv w:val="1"/>
      <w:marLeft w:val="0"/>
      <w:marRight w:val="0"/>
      <w:marTop w:val="0"/>
      <w:marBottom w:val="0"/>
      <w:divBdr>
        <w:top w:val="none" w:sz="0" w:space="0" w:color="auto"/>
        <w:left w:val="none" w:sz="0" w:space="0" w:color="auto"/>
        <w:bottom w:val="none" w:sz="0" w:space="0" w:color="auto"/>
        <w:right w:val="none" w:sz="0" w:space="0" w:color="auto"/>
      </w:divBdr>
    </w:div>
    <w:div w:id="2024352859">
      <w:bodyDiv w:val="1"/>
      <w:marLeft w:val="0"/>
      <w:marRight w:val="0"/>
      <w:marTop w:val="0"/>
      <w:marBottom w:val="0"/>
      <w:divBdr>
        <w:top w:val="none" w:sz="0" w:space="0" w:color="auto"/>
        <w:left w:val="none" w:sz="0" w:space="0" w:color="auto"/>
        <w:bottom w:val="none" w:sz="0" w:space="0" w:color="auto"/>
        <w:right w:val="none" w:sz="0" w:space="0" w:color="auto"/>
      </w:divBdr>
    </w:div>
    <w:div w:id="2088265529">
      <w:bodyDiv w:val="1"/>
      <w:marLeft w:val="0"/>
      <w:marRight w:val="0"/>
      <w:marTop w:val="0"/>
      <w:marBottom w:val="0"/>
      <w:divBdr>
        <w:top w:val="none" w:sz="0" w:space="0" w:color="auto"/>
        <w:left w:val="none" w:sz="0" w:space="0" w:color="auto"/>
        <w:bottom w:val="none" w:sz="0" w:space="0" w:color="auto"/>
        <w:right w:val="none" w:sz="0" w:space="0" w:color="auto"/>
      </w:divBdr>
    </w:div>
    <w:div w:id="2098939414">
      <w:bodyDiv w:val="1"/>
      <w:marLeft w:val="0"/>
      <w:marRight w:val="0"/>
      <w:marTop w:val="0"/>
      <w:marBottom w:val="0"/>
      <w:divBdr>
        <w:top w:val="none" w:sz="0" w:space="0" w:color="auto"/>
        <w:left w:val="none" w:sz="0" w:space="0" w:color="auto"/>
        <w:bottom w:val="none" w:sz="0" w:space="0" w:color="auto"/>
        <w:right w:val="none" w:sz="0" w:space="0" w:color="auto"/>
      </w:divBdr>
    </w:div>
    <w:div w:id="21148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21</TotalTime>
  <Pages>11</Pages>
  <Words>2732</Words>
  <Characters>17154</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2022111290 mt</dc:description>
  <cp:lastModifiedBy>Hanne Thy Iversen</cp:lastModifiedBy>
  <cp:revision>16</cp:revision>
  <cp:lastPrinted>2012-08-22T08:53:00Z</cp:lastPrinted>
  <dcterms:created xsi:type="dcterms:W3CDTF">2023-12-11T14:56:00Z</dcterms:created>
  <dcterms:modified xsi:type="dcterms:W3CDTF">2023-12-12T08:53:00Z</dcterms:modified>
</cp:coreProperties>
</file>