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BB0373">
      <w:pPr>
        <w:pStyle w:val="Titel"/>
        <w:tabs>
          <w:tab w:val="right" w:pos="9356"/>
        </w:tabs>
        <w:jc w:val="left"/>
        <w:rPr>
          <w:b w:val="0"/>
          <w:szCs w:val="24"/>
          <w:lang w:eastAsia="en-US"/>
        </w:rPr>
      </w:pPr>
      <w:r w:rsidRPr="00C84483">
        <w:rPr>
          <w:b w:val="0"/>
          <w:szCs w:val="24"/>
          <w:lang w:eastAsia="en-US"/>
        </w:rPr>
        <w:tab/>
      </w:r>
      <w:r w:rsidR="00BB0373">
        <w:rPr>
          <w:szCs w:val="24"/>
        </w:rPr>
        <w:t>30</w:t>
      </w:r>
      <w:r w:rsidR="00135C9D">
        <w:rPr>
          <w:szCs w:val="24"/>
        </w:rPr>
        <w:t xml:space="preserve">. </w:t>
      </w:r>
      <w:r w:rsidR="00BB0373">
        <w:rPr>
          <w:szCs w:val="24"/>
        </w:rPr>
        <w:t>januar</w:t>
      </w:r>
      <w:r w:rsidR="00135C9D">
        <w:rPr>
          <w:szCs w:val="24"/>
        </w:rPr>
        <w:t xml:space="preserve"> 202</w:t>
      </w:r>
      <w:r w:rsidR="00BB0373">
        <w:rPr>
          <w:szCs w:val="24"/>
        </w:rPr>
        <w:t>5</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56170" w:rsidP="009260DE">
      <w:pPr>
        <w:jc w:val="center"/>
        <w:rPr>
          <w:b/>
          <w:sz w:val="24"/>
          <w:szCs w:val="24"/>
        </w:rPr>
      </w:pPr>
      <w:proofErr w:type="spellStart"/>
      <w:r>
        <w:rPr>
          <w:b/>
          <w:sz w:val="24"/>
          <w:szCs w:val="24"/>
        </w:rPr>
        <w:t>Clinzoyl</w:t>
      </w:r>
      <w:proofErr w:type="spellEnd"/>
      <w:r>
        <w:rPr>
          <w:b/>
          <w:sz w:val="24"/>
          <w:szCs w:val="24"/>
        </w:rPr>
        <w:t>, gel</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A5B35" w:rsidP="009260DE">
      <w:pPr>
        <w:tabs>
          <w:tab w:val="left" w:pos="851"/>
        </w:tabs>
        <w:ind w:left="851"/>
        <w:rPr>
          <w:sz w:val="24"/>
          <w:szCs w:val="24"/>
        </w:rPr>
      </w:pPr>
      <w:r>
        <w:rPr>
          <w:sz w:val="24"/>
          <w:szCs w:val="24"/>
        </w:rPr>
        <w:t>32081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A5B35" w:rsidP="009260DE">
      <w:pPr>
        <w:tabs>
          <w:tab w:val="left" w:pos="851"/>
        </w:tabs>
        <w:ind w:left="851"/>
        <w:rPr>
          <w:sz w:val="24"/>
          <w:szCs w:val="24"/>
        </w:rPr>
      </w:pPr>
      <w:proofErr w:type="spellStart"/>
      <w:r>
        <w:rPr>
          <w:sz w:val="24"/>
          <w:szCs w:val="24"/>
        </w:rPr>
        <w:t>Clinzoyl</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308E8" w:rsidRPr="002308E8" w:rsidRDefault="002308E8" w:rsidP="002308E8">
      <w:pPr>
        <w:tabs>
          <w:tab w:val="left" w:pos="851"/>
        </w:tabs>
        <w:ind w:left="851"/>
        <w:rPr>
          <w:sz w:val="24"/>
          <w:szCs w:val="24"/>
        </w:rPr>
      </w:pPr>
      <w:r w:rsidRPr="002308E8">
        <w:rPr>
          <w:sz w:val="24"/>
          <w:szCs w:val="24"/>
        </w:rPr>
        <w:t xml:space="preserve">1 g gel indeholder 10 mg </w:t>
      </w:r>
      <w:proofErr w:type="spellStart"/>
      <w:r w:rsidRPr="002308E8">
        <w:rPr>
          <w:sz w:val="24"/>
          <w:szCs w:val="24"/>
        </w:rPr>
        <w:t>clindamycin</w:t>
      </w:r>
      <w:proofErr w:type="spellEnd"/>
      <w:r w:rsidRPr="002308E8">
        <w:rPr>
          <w:sz w:val="24"/>
          <w:szCs w:val="24"/>
        </w:rPr>
        <w:t xml:space="preserve"> (som </w:t>
      </w:r>
      <w:proofErr w:type="spellStart"/>
      <w:r w:rsidRPr="002308E8">
        <w:rPr>
          <w:sz w:val="24"/>
          <w:szCs w:val="24"/>
        </w:rPr>
        <w:t>phosphat</w:t>
      </w:r>
      <w:proofErr w:type="spellEnd"/>
      <w:r w:rsidRPr="002308E8">
        <w:rPr>
          <w:sz w:val="24"/>
          <w:szCs w:val="24"/>
        </w:rPr>
        <w:t xml:space="preserve">) og 50 mg </w:t>
      </w:r>
      <w:proofErr w:type="spellStart"/>
      <w:r w:rsidRPr="002308E8">
        <w:rPr>
          <w:sz w:val="24"/>
          <w:szCs w:val="24"/>
        </w:rPr>
        <w:t>benzoylperoxid</w:t>
      </w:r>
      <w:proofErr w:type="spellEnd"/>
      <w:r w:rsidRPr="002308E8">
        <w:rPr>
          <w:sz w:val="24"/>
          <w:szCs w:val="24"/>
        </w:rPr>
        <w:t xml:space="preserve"> (vandig).</w:t>
      </w:r>
    </w:p>
    <w:p w:rsidR="002308E8" w:rsidRPr="002308E8" w:rsidRDefault="002308E8" w:rsidP="002308E8">
      <w:pPr>
        <w:tabs>
          <w:tab w:val="left" w:pos="851"/>
        </w:tabs>
        <w:ind w:left="851"/>
        <w:rPr>
          <w:sz w:val="24"/>
          <w:szCs w:val="24"/>
        </w:rPr>
      </w:pPr>
    </w:p>
    <w:p w:rsidR="002308E8" w:rsidRPr="002308E8" w:rsidRDefault="002308E8" w:rsidP="002308E8">
      <w:pPr>
        <w:tabs>
          <w:tab w:val="left" w:pos="851"/>
        </w:tabs>
        <w:ind w:left="851"/>
        <w:rPr>
          <w:sz w:val="24"/>
          <w:szCs w:val="24"/>
        </w:rPr>
      </w:pPr>
      <w:r w:rsidRPr="002308E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308E8" w:rsidRPr="002308E8" w:rsidRDefault="002308E8" w:rsidP="002308E8">
      <w:pPr>
        <w:tabs>
          <w:tab w:val="left" w:pos="851"/>
        </w:tabs>
        <w:ind w:left="851"/>
        <w:rPr>
          <w:sz w:val="24"/>
          <w:szCs w:val="24"/>
        </w:rPr>
      </w:pPr>
      <w:r w:rsidRPr="002308E8">
        <w:rPr>
          <w:sz w:val="24"/>
          <w:szCs w:val="24"/>
        </w:rPr>
        <w:t>Gel</w:t>
      </w:r>
    </w:p>
    <w:p w:rsidR="002308E8" w:rsidRPr="002308E8" w:rsidRDefault="002308E8" w:rsidP="002308E8">
      <w:pPr>
        <w:tabs>
          <w:tab w:val="left" w:pos="851"/>
        </w:tabs>
        <w:ind w:left="851"/>
        <w:rPr>
          <w:sz w:val="24"/>
          <w:szCs w:val="24"/>
        </w:rPr>
      </w:pPr>
    </w:p>
    <w:p w:rsidR="002308E8" w:rsidRPr="002308E8" w:rsidRDefault="002308E8" w:rsidP="002308E8">
      <w:pPr>
        <w:tabs>
          <w:tab w:val="left" w:pos="851"/>
        </w:tabs>
        <w:ind w:left="851"/>
        <w:rPr>
          <w:sz w:val="24"/>
          <w:szCs w:val="24"/>
        </w:rPr>
      </w:pPr>
      <w:r w:rsidRPr="002308E8">
        <w:rPr>
          <w:sz w:val="24"/>
          <w:szCs w:val="24"/>
        </w:rPr>
        <w:t>Hvid til råhvid gel uden klumper og fremmedpartikler.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24AE" w:rsidRPr="009224AE" w:rsidRDefault="009224AE" w:rsidP="009224AE">
      <w:pPr>
        <w:tabs>
          <w:tab w:val="left" w:pos="851"/>
        </w:tabs>
        <w:ind w:left="851"/>
        <w:rPr>
          <w:sz w:val="24"/>
          <w:szCs w:val="24"/>
        </w:rPr>
      </w:pPr>
      <w:proofErr w:type="spellStart"/>
      <w:r w:rsidRPr="009224AE">
        <w:rPr>
          <w:sz w:val="24"/>
          <w:szCs w:val="24"/>
        </w:rPr>
        <w:t>Clinzoyl</w:t>
      </w:r>
      <w:proofErr w:type="spellEnd"/>
      <w:r w:rsidRPr="009224AE">
        <w:rPr>
          <w:sz w:val="24"/>
          <w:szCs w:val="24"/>
        </w:rPr>
        <w:t xml:space="preserve"> er indiceret til topisk behandling af mild til moderat </w:t>
      </w:r>
      <w:proofErr w:type="spellStart"/>
      <w:r w:rsidRPr="009224AE">
        <w:rPr>
          <w:sz w:val="24"/>
          <w:szCs w:val="24"/>
        </w:rPr>
        <w:t>acne</w:t>
      </w:r>
      <w:proofErr w:type="spellEnd"/>
      <w:r w:rsidRPr="009224AE">
        <w:rPr>
          <w:sz w:val="24"/>
          <w:szCs w:val="24"/>
        </w:rPr>
        <w:t xml:space="preserve"> </w:t>
      </w:r>
      <w:proofErr w:type="spellStart"/>
      <w:r w:rsidRPr="009224AE">
        <w:rPr>
          <w:sz w:val="24"/>
          <w:szCs w:val="24"/>
        </w:rPr>
        <w:t>vulgaris</w:t>
      </w:r>
      <w:proofErr w:type="spellEnd"/>
      <w:r w:rsidRPr="009224AE">
        <w:rPr>
          <w:sz w:val="24"/>
          <w:szCs w:val="24"/>
        </w:rPr>
        <w:t>, særligt inflammatoriske læsioner, hos voksne og unger i alderen 12 år og derover (se pkt. 4.4 og 5.1).</w:t>
      </w:r>
    </w:p>
    <w:p w:rsidR="009224AE" w:rsidRPr="009224AE" w:rsidRDefault="009224AE" w:rsidP="009224AE">
      <w:pPr>
        <w:tabs>
          <w:tab w:val="left" w:pos="851"/>
        </w:tabs>
        <w:ind w:left="851"/>
        <w:rPr>
          <w:sz w:val="24"/>
          <w:szCs w:val="24"/>
        </w:rPr>
      </w:pPr>
    </w:p>
    <w:p w:rsidR="009224AE" w:rsidRPr="009224AE" w:rsidRDefault="009224AE" w:rsidP="009224AE">
      <w:pPr>
        <w:tabs>
          <w:tab w:val="left" w:pos="851"/>
        </w:tabs>
        <w:ind w:left="851"/>
        <w:rPr>
          <w:sz w:val="24"/>
          <w:szCs w:val="24"/>
        </w:rPr>
      </w:pPr>
      <w:r w:rsidRPr="009224AE">
        <w:rPr>
          <w:sz w:val="24"/>
          <w:szCs w:val="24"/>
        </w:rPr>
        <w:t>Der skal tages hensyn til de officielle retningslinjer vedrørende passende brug af antibiotika.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proofErr w:type="spellStart"/>
      <w:r w:rsidR="00BB0373">
        <w:rPr>
          <w:b/>
          <w:sz w:val="24"/>
          <w:szCs w:val="24"/>
        </w:rPr>
        <w:t>adminisstration</w:t>
      </w:r>
      <w:proofErr w:type="spellEnd"/>
    </w:p>
    <w:p w:rsidR="0042081E" w:rsidRPr="0042081E" w:rsidRDefault="0042081E" w:rsidP="0042081E">
      <w:pPr>
        <w:tabs>
          <w:tab w:val="left" w:pos="851"/>
        </w:tabs>
        <w:ind w:left="851"/>
        <w:rPr>
          <w:sz w:val="24"/>
          <w:szCs w:val="24"/>
        </w:rPr>
      </w:pPr>
    </w:p>
    <w:p w:rsidR="0042081E" w:rsidRPr="0042081E" w:rsidRDefault="0042081E" w:rsidP="0042081E">
      <w:pPr>
        <w:tabs>
          <w:tab w:val="left" w:pos="851"/>
        </w:tabs>
        <w:ind w:left="851"/>
        <w:rPr>
          <w:sz w:val="24"/>
          <w:szCs w:val="24"/>
          <w:u w:val="single"/>
        </w:rPr>
      </w:pPr>
      <w:r w:rsidRPr="0042081E">
        <w:rPr>
          <w:sz w:val="24"/>
          <w:szCs w:val="24"/>
          <w:u w:val="single"/>
        </w:rPr>
        <w:t>Dosering</w:t>
      </w:r>
    </w:p>
    <w:p w:rsidR="0042081E" w:rsidRPr="0042081E" w:rsidRDefault="0042081E" w:rsidP="0042081E">
      <w:pPr>
        <w:tabs>
          <w:tab w:val="left" w:pos="851"/>
        </w:tabs>
        <w:ind w:left="851"/>
        <w:rPr>
          <w:sz w:val="24"/>
          <w:szCs w:val="24"/>
        </w:rPr>
      </w:pPr>
    </w:p>
    <w:p w:rsidR="0042081E" w:rsidRPr="0042081E" w:rsidRDefault="0042081E" w:rsidP="0042081E">
      <w:pPr>
        <w:tabs>
          <w:tab w:val="left" w:pos="851"/>
        </w:tabs>
        <w:ind w:left="851"/>
        <w:rPr>
          <w:i/>
          <w:iCs/>
          <w:sz w:val="24"/>
          <w:szCs w:val="24"/>
        </w:rPr>
      </w:pPr>
      <w:r w:rsidRPr="0042081E">
        <w:rPr>
          <w:i/>
          <w:iCs/>
          <w:sz w:val="24"/>
          <w:szCs w:val="24"/>
        </w:rPr>
        <w:t>Voksne og unge (i alderen 12 år og derover)</w:t>
      </w:r>
    </w:p>
    <w:p w:rsidR="0042081E" w:rsidRPr="0042081E" w:rsidRDefault="0042081E" w:rsidP="0042081E">
      <w:pPr>
        <w:tabs>
          <w:tab w:val="left" w:pos="851"/>
        </w:tabs>
        <w:ind w:left="851"/>
        <w:rPr>
          <w:iCs/>
          <w:sz w:val="24"/>
          <w:szCs w:val="24"/>
        </w:rPr>
      </w:pPr>
      <w:proofErr w:type="spellStart"/>
      <w:r w:rsidRPr="0042081E">
        <w:rPr>
          <w:iCs/>
          <w:sz w:val="24"/>
          <w:szCs w:val="24"/>
        </w:rPr>
        <w:t>Clinzoyl</w:t>
      </w:r>
      <w:proofErr w:type="spellEnd"/>
      <w:r w:rsidRPr="0042081E">
        <w:rPr>
          <w:iCs/>
          <w:sz w:val="24"/>
          <w:szCs w:val="24"/>
        </w:rPr>
        <w:t xml:space="preserve"> bør påføres </w:t>
      </w:r>
      <w:r w:rsidR="001C7AAC">
        <w:rPr>
          <w:iCs/>
          <w:sz w:val="24"/>
          <w:szCs w:val="24"/>
        </w:rPr>
        <w:t>en</w:t>
      </w:r>
      <w:r w:rsidRPr="0042081E">
        <w:rPr>
          <w:iCs/>
          <w:sz w:val="24"/>
          <w:szCs w:val="24"/>
        </w:rPr>
        <w:t xml:space="preserve"> gang </w:t>
      </w:r>
      <w:r w:rsidR="001C7AAC">
        <w:rPr>
          <w:iCs/>
          <w:sz w:val="24"/>
          <w:szCs w:val="24"/>
        </w:rPr>
        <w:t>daglig</w:t>
      </w:r>
      <w:r w:rsidRPr="0042081E">
        <w:rPr>
          <w:iCs/>
          <w:sz w:val="24"/>
          <w:szCs w:val="24"/>
        </w:rPr>
        <w:t>, om aftenen, på hele det berørte område.</w:t>
      </w:r>
    </w:p>
    <w:p w:rsidR="0042081E" w:rsidRPr="0042081E" w:rsidRDefault="0042081E" w:rsidP="0042081E">
      <w:pPr>
        <w:tabs>
          <w:tab w:val="left" w:pos="851"/>
        </w:tabs>
        <w:ind w:left="851"/>
        <w:rPr>
          <w:iCs/>
          <w:sz w:val="24"/>
          <w:szCs w:val="24"/>
        </w:rPr>
      </w:pPr>
    </w:p>
    <w:p w:rsidR="0042081E" w:rsidRPr="0042081E" w:rsidRDefault="0042081E" w:rsidP="0042081E">
      <w:pPr>
        <w:tabs>
          <w:tab w:val="left" w:pos="851"/>
        </w:tabs>
        <w:ind w:left="851"/>
        <w:rPr>
          <w:iCs/>
          <w:sz w:val="24"/>
          <w:szCs w:val="24"/>
        </w:rPr>
      </w:pPr>
      <w:r w:rsidRPr="0042081E">
        <w:rPr>
          <w:iCs/>
          <w:sz w:val="24"/>
          <w:szCs w:val="24"/>
        </w:rPr>
        <w:lastRenderedPageBreak/>
        <w:t>Patienterne bør informeres om, at øget applicering ikke forbedrer virkningen, men derimod kan øge risikoen for hudirritation. I tilfælde af markant tørhed eller afskalning bør gelen påføres mindre hyppigt eller seponeres midlertidigt (se pkt. 4.4).</w:t>
      </w:r>
    </w:p>
    <w:p w:rsidR="0042081E" w:rsidRPr="0042081E" w:rsidRDefault="0042081E" w:rsidP="0042081E">
      <w:pPr>
        <w:tabs>
          <w:tab w:val="left" w:pos="851"/>
        </w:tabs>
        <w:ind w:left="851"/>
        <w:rPr>
          <w:iCs/>
          <w:sz w:val="24"/>
          <w:szCs w:val="24"/>
        </w:rPr>
      </w:pPr>
    </w:p>
    <w:p w:rsidR="0042081E" w:rsidRPr="0042081E" w:rsidRDefault="0042081E" w:rsidP="0042081E">
      <w:pPr>
        <w:tabs>
          <w:tab w:val="left" w:pos="851"/>
        </w:tabs>
        <w:ind w:left="851"/>
        <w:rPr>
          <w:iCs/>
          <w:sz w:val="24"/>
          <w:szCs w:val="24"/>
        </w:rPr>
      </w:pPr>
      <w:r w:rsidRPr="0042081E">
        <w:rPr>
          <w:iCs/>
          <w:sz w:val="24"/>
          <w:szCs w:val="24"/>
        </w:rPr>
        <w:t>Allerede efter 2-5 ugers behandling kan der ses en virkning på inflammatoriske og non-inflammatoriske læsioner (se pkt. 5.1).</w:t>
      </w:r>
    </w:p>
    <w:p w:rsidR="0042081E" w:rsidRPr="0042081E" w:rsidRDefault="0042081E" w:rsidP="0042081E">
      <w:pPr>
        <w:tabs>
          <w:tab w:val="left" w:pos="851"/>
        </w:tabs>
        <w:ind w:left="851"/>
        <w:rPr>
          <w:iCs/>
          <w:sz w:val="24"/>
          <w:szCs w:val="24"/>
        </w:rPr>
      </w:pPr>
    </w:p>
    <w:p w:rsidR="0042081E" w:rsidRPr="0042081E" w:rsidRDefault="0042081E" w:rsidP="0042081E">
      <w:pPr>
        <w:tabs>
          <w:tab w:val="left" w:pos="851"/>
        </w:tabs>
        <w:ind w:left="851"/>
        <w:rPr>
          <w:iCs/>
          <w:sz w:val="24"/>
          <w:szCs w:val="24"/>
        </w:rPr>
      </w:pPr>
      <w:proofErr w:type="spellStart"/>
      <w:r w:rsidRPr="0042081E">
        <w:rPr>
          <w:iCs/>
          <w:sz w:val="24"/>
          <w:szCs w:val="24"/>
        </w:rPr>
        <w:t>Clinzoyls</w:t>
      </w:r>
      <w:proofErr w:type="spellEnd"/>
      <w:r w:rsidRPr="0042081E">
        <w:rPr>
          <w:iCs/>
          <w:sz w:val="24"/>
          <w:szCs w:val="24"/>
        </w:rPr>
        <w:t xml:space="preserve"> sikkerhed og virkning er ikke blevet undersøgt ved </w:t>
      </w:r>
      <w:proofErr w:type="spellStart"/>
      <w:r w:rsidRPr="0042081E">
        <w:rPr>
          <w:iCs/>
          <w:sz w:val="24"/>
          <w:szCs w:val="24"/>
        </w:rPr>
        <w:t>acne</w:t>
      </w:r>
      <w:proofErr w:type="spellEnd"/>
      <w:r w:rsidRPr="0042081E">
        <w:rPr>
          <w:iCs/>
          <w:sz w:val="24"/>
          <w:szCs w:val="24"/>
        </w:rPr>
        <w:t xml:space="preserve"> </w:t>
      </w:r>
      <w:proofErr w:type="spellStart"/>
      <w:r w:rsidRPr="0042081E">
        <w:rPr>
          <w:iCs/>
          <w:sz w:val="24"/>
          <w:szCs w:val="24"/>
        </w:rPr>
        <w:t>vulgaris</w:t>
      </w:r>
      <w:proofErr w:type="spellEnd"/>
      <w:r w:rsidRPr="0042081E">
        <w:rPr>
          <w:iCs/>
          <w:sz w:val="24"/>
          <w:szCs w:val="24"/>
        </w:rPr>
        <w:t xml:space="preserve"> i mere end 12 uger i kliniske studier. Behandlingen med </w:t>
      </w:r>
      <w:proofErr w:type="spellStart"/>
      <w:r w:rsidRPr="0042081E">
        <w:rPr>
          <w:iCs/>
          <w:sz w:val="24"/>
          <w:szCs w:val="24"/>
        </w:rPr>
        <w:t>Clinzoyl</w:t>
      </w:r>
      <w:proofErr w:type="spellEnd"/>
      <w:r w:rsidRPr="0042081E">
        <w:rPr>
          <w:iCs/>
          <w:sz w:val="24"/>
          <w:szCs w:val="24"/>
        </w:rPr>
        <w:t xml:space="preserve"> bør ikke overskride12 ugers kontinuerlig brug.</w:t>
      </w:r>
    </w:p>
    <w:p w:rsidR="0042081E" w:rsidRPr="0042081E" w:rsidRDefault="0042081E" w:rsidP="0042081E">
      <w:pPr>
        <w:tabs>
          <w:tab w:val="left" w:pos="851"/>
        </w:tabs>
        <w:ind w:left="851"/>
        <w:rPr>
          <w:i/>
          <w:iCs/>
          <w:sz w:val="24"/>
          <w:szCs w:val="24"/>
        </w:rPr>
      </w:pPr>
    </w:p>
    <w:p w:rsidR="0042081E" w:rsidRPr="0042081E" w:rsidRDefault="0042081E" w:rsidP="0042081E">
      <w:pPr>
        <w:tabs>
          <w:tab w:val="left" w:pos="851"/>
        </w:tabs>
        <w:ind w:left="851"/>
        <w:rPr>
          <w:i/>
          <w:iCs/>
          <w:sz w:val="24"/>
          <w:szCs w:val="24"/>
        </w:rPr>
      </w:pPr>
      <w:r w:rsidRPr="0042081E">
        <w:rPr>
          <w:i/>
          <w:iCs/>
          <w:sz w:val="24"/>
          <w:szCs w:val="24"/>
        </w:rPr>
        <w:t>Pædiatrisk population</w:t>
      </w:r>
    </w:p>
    <w:p w:rsidR="0042081E" w:rsidRPr="0042081E" w:rsidRDefault="0042081E" w:rsidP="0042081E">
      <w:pPr>
        <w:tabs>
          <w:tab w:val="left" w:pos="851"/>
        </w:tabs>
        <w:ind w:left="851"/>
        <w:rPr>
          <w:iCs/>
          <w:sz w:val="24"/>
          <w:szCs w:val="24"/>
        </w:rPr>
      </w:pPr>
      <w:proofErr w:type="spellStart"/>
      <w:r w:rsidRPr="0042081E">
        <w:rPr>
          <w:iCs/>
          <w:sz w:val="24"/>
          <w:szCs w:val="24"/>
        </w:rPr>
        <w:t>Clinzoyls</w:t>
      </w:r>
      <w:proofErr w:type="spellEnd"/>
      <w:r w:rsidRPr="0042081E">
        <w:rPr>
          <w:iCs/>
          <w:sz w:val="24"/>
          <w:szCs w:val="24"/>
        </w:rPr>
        <w:t xml:space="preserve"> sikkerhed og virkning hos børn under 12 år ikke klarlagt, og det frarådes derfor at anvende </w:t>
      </w:r>
      <w:proofErr w:type="spellStart"/>
      <w:r w:rsidRPr="0042081E">
        <w:rPr>
          <w:iCs/>
          <w:sz w:val="24"/>
          <w:szCs w:val="24"/>
        </w:rPr>
        <w:t>Clinzoyl</w:t>
      </w:r>
      <w:proofErr w:type="spellEnd"/>
      <w:r w:rsidRPr="0042081E">
        <w:rPr>
          <w:iCs/>
          <w:sz w:val="24"/>
          <w:szCs w:val="24"/>
        </w:rPr>
        <w:t xml:space="preserve"> i denne population.</w:t>
      </w:r>
    </w:p>
    <w:p w:rsidR="0042081E" w:rsidRPr="0042081E" w:rsidRDefault="0042081E" w:rsidP="0042081E">
      <w:pPr>
        <w:tabs>
          <w:tab w:val="left" w:pos="851"/>
        </w:tabs>
        <w:ind w:left="851"/>
        <w:rPr>
          <w:i/>
          <w:iCs/>
          <w:sz w:val="24"/>
          <w:szCs w:val="24"/>
        </w:rPr>
      </w:pPr>
    </w:p>
    <w:p w:rsidR="0042081E" w:rsidRPr="0042081E" w:rsidRDefault="0042081E" w:rsidP="0042081E">
      <w:pPr>
        <w:tabs>
          <w:tab w:val="left" w:pos="851"/>
        </w:tabs>
        <w:ind w:left="851"/>
        <w:rPr>
          <w:i/>
          <w:iCs/>
          <w:sz w:val="24"/>
          <w:szCs w:val="24"/>
        </w:rPr>
      </w:pPr>
      <w:r w:rsidRPr="0042081E">
        <w:rPr>
          <w:i/>
          <w:iCs/>
          <w:sz w:val="24"/>
          <w:szCs w:val="24"/>
        </w:rPr>
        <w:t>Ældre patienter</w:t>
      </w:r>
    </w:p>
    <w:p w:rsidR="0042081E" w:rsidRPr="0042081E" w:rsidRDefault="0042081E" w:rsidP="0042081E">
      <w:pPr>
        <w:tabs>
          <w:tab w:val="left" w:pos="851"/>
        </w:tabs>
        <w:ind w:left="851"/>
        <w:rPr>
          <w:iCs/>
          <w:sz w:val="24"/>
          <w:szCs w:val="24"/>
        </w:rPr>
      </w:pPr>
      <w:r w:rsidRPr="0042081E">
        <w:rPr>
          <w:iCs/>
          <w:sz w:val="24"/>
          <w:szCs w:val="24"/>
        </w:rPr>
        <w:t>Ingen specifikke anbefalinger.</w:t>
      </w:r>
    </w:p>
    <w:p w:rsidR="0042081E" w:rsidRPr="0042081E" w:rsidRDefault="0042081E" w:rsidP="0042081E">
      <w:pPr>
        <w:tabs>
          <w:tab w:val="left" w:pos="851"/>
        </w:tabs>
        <w:ind w:left="851"/>
        <w:rPr>
          <w:i/>
          <w:sz w:val="24"/>
          <w:szCs w:val="24"/>
        </w:rPr>
      </w:pPr>
    </w:p>
    <w:p w:rsidR="0042081E" w:rsidRPr="0042081E" w:rsidRDefault="0042081E" w:rsidP="0042081E">
      <w:pPr>
        <w:tabs>
          <w:tab w:val="left" w:pos="851"/>
        </w:tabs>
        <w:ind w:left="851"/>
        <w:rPr>
          <w:iCs/>
          <w:sz w:val="24"/>
          <w:szCs w:val="24"/>
          <w:u w:val="single"/>
        </w:rPr>
      </w:pPr>
      <w:r w:rsidRPr="0042081E">
        <w:rPr>
          <w:iCs/>
          <w:sz w:val="24"/>
          <w:szCs w:val="24"/>
          <w:u w:val="single"/>
        </w:rPr>
        <w:t>Administration</w:t>
      </w:r>
    </w:p>
    <w:p w:rsidR="0042081E" w:rsidRPr="0042081E" w:rsidRDefault="0042081E" w:rsidP="0042081E">
      <w:pPr>
        <w:tabs>
          <w:tab w:val="left" w:pos="851"/>
        </w:tabs>
        <w:ind w:left="851"/>
        <w:rPr>
          <w:i/>
          <w:sz w:val="24"/>
          <w:szCs w:val="24"/>
        </w:rPr>
      </w:pPr>
      <w:r w:rsidRPr="0042081E">
        <w:rPr>
          <w:iCs/>
          <w:sz w:val="24"/>
          <w:szCs w:val="24"/>
        </w:rPr>
        <w:t xml:space="preserve">Udelukkende til </w:t>
      </w:r>
      <w:proofErr w:type="spellStart"/>
      <w:r w:rsidRPr="0042081E">
        <w:rPr>
          <w:iCs/>
          <w:sz w:val="24"/>
          <w:szCs w:val="24"/>
        </w:rPr>
        <w:t>kutan</w:t>
      </w:r>
      <w:proofErr w:type="spellEnd"/>
      <w:r w:rsidRPr="0042081E">
        <w:rPr>
          <w:iCs/>
          <w:sz w:val="24"/>
          <w:szCs w:val="24"/>
        </w:rPr>
        <w:t xml:space="preserve"> anvendelse.</w:t>
      </w:r>
    </w:p>
    <w:p w:rsidR="0042081E" w:rsidRPr="0042081E" w:rsidRDefault="0042081E" w:rsidP="0042081E">
      <w:pPr>
        <w:tabs>
          <w:tab w:val="left" w:pos="851"/>
        </w:tabs>
        <w:ind w:left="851"/>
        <w:rPr>
          <w:i/>
          <w:sz w:val="24"/>
          <w:szCs w:val="24"/>
        </w:rPr>
      </w:pPr>
    </w:p>
    <w:p w:rsidR="0042081E" w:rsidRPr="0042081E" w:rsidRDefault="0042081E" w:rsidP="0042081E">
      <w:pPr>
        <w:tabs>
          <w:tab w:val="left" w:pos="851"/>
        </w:tabs>
        <w:ind w:left="851"/>
        <w:rPr>
          <w:iCs/>
          <w:sz w:val="24"/>
          <w:szCs w:val="24"/>
        </w:rPr>
      </w:pPr>
      <w:proofErr w:type="spellStart"/>
      <w:r w:rsidRPr="0042081E">
        <w:rPr>
          <w:iCs/>
          <w:sz w:val="24"/>
          <w:szCs w:val="24"/>
        </w:rPr>
        <w:t>Clinzoyl</w:t>
      </w:r>
      <w:proofErr w:type="spellEnd"/>
      <w:r w:rsidRPr="0042081E">
        <w:rPr>
          <w:iCs/>
          <w:sz w:val="24"/>
          <w:szCs w:val="24"/>
        </w:rPr>
        <w:t xml:space="preserve"> bør påføres i et tyndt lag efter nænsom afvaskning med et mildt renseprodukt og fuldstændig tørring. Hvis gelen ikke kan gnides let ind i huden, bliver der anvendt for stor en mængde.</w:t>
      </w:r>
    </w:p>
    <w:p w:rsidR="0042081E" w:rsidRPr="0042081E" w:rsidRDefault="0042081E" w:rsidP="0042081E">
      <w:pPr>
        <w:tabs>
          <w:tab w:val="left" w:pos="851"/>
        </w:tabs>
        <w:ind w:left="851"/>
        <w:rPr>
          <w:iCs/>
          <w:sz w:val="24"/>
          <w:szCs w:val="24"/>
        </w:rPr>
      </w:pPr>
    </w:p>
    <w:p w:rsidR="0042081E" w:rsidRPr="0042081E" w:rsidRDefault="0042081E" w:rsidP="0042081E">
      <w:pPr>
        <w:tabs>
          <w:tab w:val="left" w:pos="851"/>
        </w:tabs>
        <w:ind w:left="851"/>
        <w:rPr>
          <w:iCs/>
          <w:sz w:val="24"/>
          <w:szCs w:val="24"/>
        </w:rPr>
      </w:pPr>
      <w:r w:rsidRPr="0042081E">
        <w:rPr>
          <w:iCs/>
          <w:sz w:val="24"/>
          <w:szCs w:val="24"/>
        </w:rPr>
        <w:t>Hænderne bør vaskes efter påføring.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2081E" w:rsidRPr="0042081E" w:rsidRDefault="0042081E" w:rsidP="0042081E">
      <w:pPr>
        <w:tabs>
          <w:tab w:val="left" w:pos="851"/>
        </w:tabs>
        <w:ind w:left="851"/>
        <w:rPr>
          <w:sz w:val="24"/>
          <w:szCs w:val="24"/>
        </w:rPr>
      </w:pPr>
    </w:p>
    <w:p w:rsidR="0042081E" w:rsidRPr="0042081E" w:rsidRDefault="0042081E" w:rsidP="0042081E">
      <w:pPr>
        <w:tabs>
          <w:tab w:val="left" w:pos="851"/>
        </w:tabs>
        <w:ind w:left="851"/>
        <w:rPr>
          <w:sz w:val="24"/>
          <w:szCs w:val="24"/>
        </w:rPr>
      </w:pPr>
      <w:proofErr w:type="spellStart"/>
      <w:r w:rsidRPr="0042081E">
        <w:rPr>
          <w:sz w:val="24"/>
          <w:szCs w:val="24"/>
        </w:rPr>
        <w:t>Clinzoyl</w:t>
      </w:r>
      <w:proofErr w:type="spellEnd"/>
      <w:r w:rsidRPr="0042081E">
        <w:rPr>
          <w:sz w:val="24"/>
          <w:szCs w:val="24"/>
        </w:rPr>
        <w:t xml:space="preserve"> må ikke administreres til patienter med kendt overfølsomhed over for:</w:t>
      </w:r>
    </w:p>
    <w:p w:rsidR="0042081E" w:rsidRPr="0042081E" w:rsidRDefault="0042081E" w:rsidP="0042081E">
      <w:pPr>
        <w:tabs>
          <w:tab w:val="left" w:pos="851"/>
        </w:tabs>
        <w:ind w:left="851"/>
        <w:rPr>
          <w:sz w:val="24"/>
          <w:szCs w:val="24"/>
        </w:rPr>
      </w:pPr>
      <w:r w:rsidRPr="0042081E">
        <w:rPr>
          <w:sz w:val="24"/>
          <w:szCs w:val="24"/>
        </w:rPr>
        <w:t xml:space="preserve">- </w:t>
      </w:r>
      <w:proofErr w:type="spellStart"/>
      <w:r w:rsidRPr="0042081E">
        <w:rPr>
          <w:sz w:val="24"/>
          <w:szCs w:val="24"/>
        </w:rPr>
        <w:t>clindamycin</w:t>
      </w:r>
      <w:proofErr w:type="spellEnd"/>
    </w:p>
    <w:p w:rsidR="0042081E" w:rsidRPr="0042081E" w:rsidRDefault="0042081E" w:rsidP="0042081E">
      <w:pPr>
        <w:tabs>
          <w:tab w:val="left" w:pos="851"/>
        </w:tabs>
        <w:ind w:left="851"/>
        <w:rPr>
          <w:sz w:val="24"/>
          <w:szCs w:val="24"/>
        </w:rPr>
      </w:pPr>
      <w:r w:rsidRPr="0042081E">
        <w:rPr>
          <w:sz w:val="24"/>
          <w:szCs w:val="24"/>
        </w:rPr>
        <w:t xml:space="preserve">- </w:t>
      </w:r>
      <w:proofErr w:type="spellStart"/>
      <w:r w:rsidRPr="0042081E">
        <w:rPr>
          <w:sz w:val="24"/>
          <w:szCs w:val="24"/>
        </w:rPr>
        <w:t>lincomycin</w:t>
      </w:r>
      <w:proofErr w:type="spellEnd"/>
    </w:p>
    <w:p w:rsidR="0042081E" w:rsidRPr="0042081E" w:rsidRDefault="0042081E" w:rsidP="0042081E">
      <w:pPr>
        <w:tabs>
          <w:tab w:val="left" w:pos="851"/>
        </w:tabs>
        <w:ind w:left="851"/>
        <w:rPr>
          <w:sz w:val="24"/>
          <w:szCs w:val="24"/>
        </w:rPr>
      </w:pPr>
      <w:r w:rsidRPr="0042081E">
        <w:rPr>
          <w:sz w:val="24"/>
          <w:szCs w:val="24"/>
        </w:rPr>
        <w:t xml:space="preserve">- </w:t>
      </w:r>
      <w:proofErr w:type="spellStart"/>
      <w:r w:rsidRPr="0042081E">
        <w:rPr>
          <w:sz w:val="24"/>
          <w:szCs w:val="24"/>
        </w:rPr>
        <w:t>benzoylperoxid</w:t>
      </w:r>
      <w:proofErr w:type="spellEnd"/>
    </w:p>
    <w:p w:rsidR="0042081E" w:rsidRPr="0042081E" w:rsidRDefault="0042081E" w:rsidP="0042081E">
      <w:pPr>
        <w:tabs>
          <w:tab w:val="left" w:pos="851"/>
        </w:tabs>
        <w:ind w:left="851"/>
        <w:rPr>
          <w:sz w:val="24"/>
          <w:szCs w:val="24"/>
        </w:rPr>
      </w:pPr>
      <w:r w:rsidRPr="0042081E">
        <w:rPr>
          <w:sz w:val="24"/>
          <w:szCs w:val="24"/>
        </w:rPr>
        <w:t>-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D15EE" w:rsidRPr="009D15EE" w:rsidRDefault="009D15EE" w:rsidP="009D15EE">
      <w:pPr>
        <w:tabs>
          <w:tab w:val="left" w:pos="851"/>
        </w:tabs>
        <w:ind w:left="851"/>
        <w:rPr>
          <w:sz w:val="24"/>
          <w:szCs w:val="24"/>
        </w:rPr>
      </w:pPr>
      <w:r w:rsidRPr="009D15EE">
        <w:rPr>
          <w:sz w:val="24"/>
          <w:szCs w:val="24"/>
        </w:rPr>
        <w:t>Kontakt med munden, øjnene, læberne, andre slimhinder eller områder med irriteret eller skadet hud bør undgås. Bør anvendes med forsigtighed på områder med sart hud. I tilfælde af utilsigtet kontakt skylles der grundigt med vand.</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proofErr w:type="spellStart"/>
      <w:r w:rsidRPr="009D15EE">
        <w:rPr>
          <w:sz w:val="24"/>
          <w:szCs w:val="24"/>
        </w:rPr>
        <w:t>Clinzoyl</w:t>
      </w:r>
      <w:proofErr w:type="spellEnd"/>
      <w:r w:rsidRPr="009D15EE">
        <w:rPr>
          <w:sz w:val="24"/>
          <w:szCs w:val="24"/>
        </w:rPr>
        <w:t xml:space="preserve"> bør anvendes med forsigtighed hos patienter med regional </w:t>
      </w:r>
      <w:proofErr w:type="spellStart"/>
      <w:r w:rsidRPr="009D15EE">
        <w:rPr>
          <w:sz w:val="24"/>
          <w:szCs w:val="24"/>
        </w:rPr>
        <w:t>enteritis</w:t>
      </w:r>
      <w:proofErr w:type="spellEnd"/>
      <w:r w:rsidRPr="009D15EE">
        <w:rPr>
          <w:sz w:val="24"/>
          <w:szCs w:val="24"/>
        </w:rPr>
        <w:t xml:space="preserve"> eller </w:t>
      </w:r>
      <w:proofErr w:type="gramStart"/>
      <w:r w:rsidRPr="009D15EE">
        <w:rPr>
          <w:sz w:val="24"/>
          <w:szCs w:val="24"/>
        </w:rPr>
        <w:t>ulcerøs colitis</w:t>
      </w:r>
      <w:proofErr w:type="gramEnd"/>
      <w:r w:rsidRPr="009D15EE">
        <w:rPr>
          <w:sz w:val="24"/>
          <w:szCs w:val="24"/>
        </w:rPr>
        <w:t xml:space="preserve"> i anamnesen eller med antibiotika-associeret colitis i anamnesen.</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proofErr w:type="spellStart"/>
      <w:r w:rsidRPr="009D15EE">
        <w:rPr>
          <w:sz w:val="24"/>
          <w:szCs w:val="24"/>
        </w:rPr>
        <w:t>Clinzoyl</w:t>
      </w:r>
      <w:proofErr w:type="spellEnd"/>
      <w:r w:rsidRPr="009D15EE">
        <w:rPr>
          <w:sz w:val="24"/>
          <w:szCs w:val="24"/>
        </w:rPr>
        <w:t xml:space="preserve"> bør anvendes med forsigtighed hos </w:t>
      </w:r>
      <w:proofErr w:type="spellStart"/>
      <w:r w:rsidRPr="009D15EE">
        <w:rPr>
          <w:sz w:val="24"/>
          <w:szCs w:val="24"/>
        </w:rPr>
        <w:t>atopiske</w:t>
      </w:r>
      <w:proofErr w:type="spellEnd"/>
      <w:r w:rsidRPr="009D15EE">
        <w:rPr>
          <w:sz w:val="24"/>
          <w:szCs w:val="24"/>
        </w:rPr>
        <w:t xml:space="preserve"> patienter, hos hvem der kan ske yderligere udtørring af huden.</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I de første uger af behandlingen vil de fleste patienter opleve øget hudafskalning og rødme. Afhængigt af sværhedsgraden af disse bivirkninger kan patienten anvende en ikke-</w:t>
      </w:r>
      <w:proofErr w:type="spellStart"/>
      <w:r w:rsidRPr="009D15EE">
        <w:rPr>
          <w:sz w:val="24"/>
          <w:szCs w:val="24"/>
        </w:rPr>
        <w:t>komedogen</w:t>
      </w:r>
      <w:proofErr w:type="spellEnd"/>
      <w:r w:rsidRPr="009D15EE">
        <w:rPr>
          <w:sz w:val="24"/>
          <w:szCs w:val="24"/>
        </w:rPr>
        <w:t xml:space="preserve"> fugtighedscreme, reducere appliceringshyppigheden midlertidigt eller seponere gelen midlertidigt. Der er imidlertid ikke dokumentation for virkning ved dosering mindre hyppigt en </w:t>
      </w:r>
      <w:proofErr w:type="spellStart"/>
      <w:r w:rsidR="001C7AAC">
        <w:rPr>
          <w:sz w:val="24"/>
          <w:szCs w:val="24"/>
        </w:rPr>
        <w:t>en</w:t>
      </w:r>
      <w:proofErr w:type="spellEnd"/>
      <w:r w:rsidRPr="009D15EE">
        <w:rPr>
          <w:sz w:val="24"/>
          <w:szCs w:val="24"/>
        </w:rPr>
        <w:t xml:space="preserve"> gang </w:t>
      </w:r>
      <w:r w:rsidR="001C7AAC">
        <w:rPr>
          <w:sz w:val="24"/>
          <w:szCs w:val="24"/>
        </w:rPr>
        <w:t>daglig</w:t>
      </w:r>
      <w:r w:rsidRPr="009D15EE">
        <w:rPr>
          <w:sz w:val="24"/>
          <w:szCs w:val="24"/>
        </w:rPr>
        <w:t>.</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 xml:space="preserve">Samtidig topisk </w:t>
      </w:r>
      <w:proofErr w:type="spellStart"/>
      <w:r w:rsidRPr="009D15EE">
        <w:rPr>
          <w:sz w:val="24"/>
          <w:szCs w:val="24"/>
        </w:rPr>
        <w:t>acne</w:t>
      </w:r>
      <w:proofErr w:type="spellEnd"/>
      <w:r w:rsidRPr="009D15EE">
        <w:rPr>
          <w:sz w:val="24"/>
          <w:szCs w:val="24"/>
        </w:rPr>
        <w:t xml:space="preserve">-behandling bør anvendes med forsigtighed, da der muligvis kan opstå kumulativ irritation, som undertiden kan optræde i svær grad, især ved brug af </w:t>
      </w:r>
      <w:proofErr w:type="spellStart"/>
      <w:r w:rsidRPr="009D15EE">
        <w:rPr>
          <w:sz w:val="24"/>
          <w:szCs w:val="24"/>
        </w:rPr>
        <w:t>peelende</w:t>
      </w:r>
      <w:proofErr w:type="spellEnd"/>
      <w:r w:rsidRPr="009D15EE">
        <w:rPr>
          <w:sz w:val="24"/>
          <w:szCs w:val="24"/>
        </w:rPr>
        <w:t xml:space="preserve">, </w:t>
      </w:r>
      <w:proofErr w:type="spellStart"/>
      <w:r w:rsidRPr="009D15EE">
        <w:rPr>
          <w:sz w:val="24"/>
          <w:szCs w:val="24"/>
        </w:rPr>
        <w:t>deskvamative</w:t>
      </w:r>
      <w:proofErr w:type="spellEnd"/>
      <w:r w:rsidRPr="009D15EE">
        <w:rPr>
          <w:sz w:val="24"/>
          <w:szCs w:val="24"/>
        </w:rPr>
        <w:t xml:space="preserve"> eller slibende midler.</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 xml:space="preserve">I tilfælde af svær lokal irritation (f.eks. svær </w:t>
      </w:r>
      <w:proofErr w:type="spellStart"/>
      <w:r w:rsidRPr="009D15EE">
        <w:rPr>
          <w:sz w:val="24"/>
          <w:szCs w:val="24"/>
        </w:rPr>
        <w:t>erytem</w:t>
      </w:r>
      <w:proofErr w:type="spellEnd"/>
      <w:r w:rsidRPr="009D15EE">
        <w:rPr>
          <w:sz w:val="24"/>
          <w:szCs w:val="24"/>
        </w:rPr>
        <w:t>, svær tørhed og kløe, svær svie/</w:t>
      </w:r>
      <w:proofErr w:type="spellStart"/>
      <w:r w:rsidRPr="009D15EE">
        <w:rPr>
          <w:sz w:val="24"/>
          <w:szCs w:val="24"/>
        </w:rPr>
        <w:t>brænden</w:t>
      </w:r>
      <w:proofErr w:type="spellEnd"/>
      <w:r w:rsidRPr="009D15EE">
        <w:rPr>
          <w:sz w:val="24"/>
          <w:szCs w:val="24"/>
        </w:rPr>
        <w:t xml:space="preserve">) bør </w:t>
      </w:r>
      <w:proofErr w:type="spellStart"/>
      <w:r w:rsidRPr="009D15EE">
        <w:rPr>
          <w:sz w:val="24"/>
          <w:szCs w:val="24"/>
        </w:rPr>
        <w:t>Clinzoyl</w:t>
      </w:r>
      <w:proofErr w:type="spellEnd"/>
      <w:r w:rsidRPr="009D15EE">
        <w:rPr>
          <w:sz w:val="24"/>
          <w:szCs w:val="24"/>
        </w:rPr>
        <w:t xml:space="preserve"> seponeres. </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 xml:space="preserve">Da </w:t>
      </w:r>
      <w:proofErr w:type="spellStart"/>
      <w:r w:rsidRPr="009D15EE">
        <w:rPr>
          <w:sz w:val="24"/>
          <w:szCs w:val="24"/>
        </w:rPr>
        <w:t>benzoylperoxid</w:t>
      </w:r>
      <w:proofErr w:type="spellEnd"/>
      <w:r w:rsidRPr="009D15EE">
        <w:rPr>
          <w:sz w:val="24"/>
          <w:szCs w:val="24"/>
        </w:rPr>
        <w:t xml:space="preserve"> kan forårsage øget følsomhed over for sollys, bør der ikke anvendes solarium, og bevidst eller længerevarende soleksponering bør undgås eller minimeres. Når eksponering for stærkt sollys ikke kan undgås, bør patienten rådes til at anvende solcreme og tøj, der beskytter mod solen.</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 xml:space="preserve">Hvis patienten er solskoldet, skal huden hele, før </w:t>
      </w:r>
      <w:proofErr w:type="spellStart"/>
      <w:r w:rsidRPr="009D15EE">
        <w:rPr>
          <w:sz w:val="24"/>
          <w:szCs w:val="24"/>
        </w:rPr>
        <w:t>Clinzoyl</w:t>
      </w:r>
      <w:proofErr w:type="spellEnd"/>
      <w:r w:rsidRPr="009D15EE">
        <w:rPr>
          <w:sz w:val="24"/>
          <w:szCs w:val="24"/>
        </w:rPr>
        <w:t xml:space="preserve"> anvendes.</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 xml:space="preserve">Hvis der opstår længerevarende eller signifikant diarré, eller hvis patienten lider af mavekramper, bør behandlingen med </w:t>
      </w:r>
      <w:proofErr w:type="spellStart"/>
      <w:r w:rsidRPr="009D15EE">
        <w:rPr>
          <w:sz w:val="24"/>
          <w:szCs w:val="24"/>
        </w:rPr>
        <w:t>Clinzoyl</w:t>
      </w:r>
      <w:proofErr w:type="spellEnd"/>
      <w:r w:rsidRPr="009D15EE">
        <w:rPr>
          <w:sz w:val="24"/>
          <w:szCs w:val="24"/>
        </w:rPr>
        <w:t xml:space="preserve"> straks seponeres, da symptomerne kan være tegn på antibiotika-associeret colitis. Der bør anvendes passende diagnostiske metoder, såsom bestemmelse af </w:t>
      </w:r>
      <w:proofErr w:type="spellStart"/>
      <w:r w:rsidRPr="009D15EE">
        <w:rPr>
          <w:i/>
          <w:iCs/>
          <w:sz w:val="24"/>
          <w:szCs w:val="24"/>
        </w:rPr>
        <w:t>Clostridium</w:t>
      </w:r>
      <w:proofErr w:type="spellEnd"/>
      <w:r w:rsidRPr="009D15EE">
        <w:rPr>
          <w:i/>
          <w:iCs/>
          <w:sz w:val="24"/>
          <w:szCs w:val="24"/>
        </w:rPr>
        <w:t xml:space="preserve"> difficile </w:t>
      </w:r>
      <w:r w:rsidRPr="009D15EE">
        <w:rPr>
          <w:sz w:val="24"/>
          <w:szCs w:val="24"/>
        </w:rPr>
        <w:t>og toksin, og om nødvendigt koloskopi, og behandlingsmulighederne for colitis overvejes.</w:t>
      </w:r>
    </w:p>
    <w:p w:rsidR="009D15EE" w:rsidRPr="009D15EE" w:rsidRDefault="009D15EE" w:rsidP="009D15EE">
      <w:pPr>
        <w:tabs>
          <w:tab w:val="left" w:pos="851"/>
        </w:tabs>
        <w:ind w:left="851"/>
        <w:rPr>
          <w:sz w:val="24"/>
          <w:szCs w:val="24"/>
        </w:rPr>
      </w:pPr>
    </w:p>
    <w:p w:rsidR="009D15EE" w:rsidRPr="009D15EE" w:rsidRDefault="009D15EE" w:rsidP="009D15EE">
      <w:pPr>
        <w:tabs>
          <w:tab w:val="left" w:pos="851"/>
        </w:tabs>
        <w:ind w:left="851"/>
        <w:rPr>
          <w:sz w:val="24"/>
          <w:szCs w:val="24"/>
        </w:rPr>
      </w:pPr>
      <w:r w:rsidRPr="009D15EE">
        <w:rPr>
          <w:sz w:val="24"/>
          <w:szCs w:val="24"/>
        </w:rPr>
        <w:t>Produktet kan blege håret eller farvede tekstiler. Undgå kontakt med hår, tekstiler, møbler og tæpper.</w:t>
      </w:r>
    </w:p>
    <w:p w:rsidR="009D15EE" w:rsidRPr="009D15EE" w:rsidRDefault="009D15EE" w:rsidP="009D15EE">
      <w:pPr>
        <w:tabs>
          <w:tab w:val="left" w:pos="851"/>
        </w:tabs>
        <w:ind w:left="851"/>
        <w:rPr>
          <w:i/>
          <w:iCs/>
          <w:sz w:val="24"/>
          <w:szCs w:val="24"/>
        </w:rPr>
      </w:pPr>
    </w:p>
    <w:p w:rsidR="009D15EE" w:rsidRPr="009D15EE" w:rsidRDefault="009D15EE" w:rsidP="009D15EE">
      <w:pPr>
        <w:tabs>
          <w:tab w:val="left" w:pos="851"/>
        </w:tabs>
        <w:ind w:left="851"/>
        <w:rPr>
          <w:iCs/>
          <w:sz w:val="24"/>
          <w:szCs w:val="24"/>
          <w:u w:val="single"/>
        </w:rPr>
      </w:pPr>
      <w:r w:rsidRPr="009D15EE">
        <w:rPr>
          <w:iCs/>
          <w:sz w:val="24"/>
          <w:szCs w:val="24"/>
          <w:u w:val="single"/>
        </w:rPr>
        <w:t xml:space="preserve">Resistens over for </w:t>
      </w:r>
      <w:proofErr w:type="spellStart"/>
      <w:r w:rsidRPr="009D15EE">
        <w:rPr>
          <w:iCs/>
          <w:sz w:val="24"/>
          <w:szCs w:val="24"/>
          <w:u w:val="single"/>
        </w:rPr>
        <w:t>clindamycin</w:t>
      </w:r>
      <w:proofErr w:type="spellEnd"/>
    </w:p>
    <w:p w:rsidR="009D15EE" w:rsidRPr="009D15EE" w:rsidRDefault="009D15EE" w:rsidP="009D15EE">
      <w:pPr>
        <w:tabs>
          <w:tab w:val="left" w:pos="851"/>
        </w:tabs>
        <w:ind w:left="851"/>
        <w:rPr>
          <w:sz w:val="24"/>
          <w:szCs w:val="24"/>
        </w:rPr>
      </w:pPr>
      <w:r w:rsidRPr="009D15EE">
        <w:rPr>
          <w:sz w:val="24"/>
          <w:szCs w:val="24"/>
        </w:rPr>
        <w:t xml:space="preserve">Patienter, der for nylig har fået systemisk eller topisk </w:t>
      </w:r>
      <w:proofErr w:type="spellStart"/>
      <w:r w:rsidRPr="009D15EE">
        <w:rPr>
          <w:sz w:val="24"/>
          <w:szCs w:val="24"/>
        </w:rPr>
        <w:t>clindamycin</w:t>
      </w:r>
      <w:proofErr w:type="spellEnd"/>
      <w:r w:rsidRPr="009D15EE">
        <w:rPr>
          <w:sz w:val="24"/>
          <w:szCs w:val="24"/>
        </w:rPr>
        <w:t xml:space="preserve"> eller </w:t>
      </w:r>
      <w:proofErr w:type="spellStart"/>
      <w:r w:rsidRPr="009D15EE">
        <w:rPr>
          <w:sz w:val="24"/>
          <w:szCs w:val="24"/>
        </w:rPr>
        <w:t>erythromycin</w:t>
      </w:r>
      <w:proofErr w:type="spellEnd"/>
      <w:r w:rsidRPr="009D15EE">
        <w:rPr>
          <w:sz w:val="24"/>
          <w:szCs w:val="24"/>
        </w:rPr>
        <w:t xml:space="preserve">, har større risiko for præeksisterende antibiotikaresistent </w:t>
      </w:r>
      <w:proofErr w:type="spellStart"/>
      <w:r w:rsidRPr="009D15EE">
        <w:rPr>
          <w:i/>
          <w:iCs/>
          <w:sz w:val="24"/>
          <w:szCs w:val="24"/>
        </w:rPr>
        <w:t>Propionibacterium</w:t>
      </w:r>
      <w:proofErr w:type="spellEnd"/>
      <w:r w:rsidRPr="009D15EE">
        <w:rPr>
          <w:i/>
          <w:iCs/>
          <w:sz w:val="24"/>
          <w:szCs w:val="24"/>
        </w:rPr>
        <w:t xml:space="preserve"> </w:t>
      </w:r>
      <w:proofErr w:type="spellStart"/>
      <w:r w:rsidRPr="009D15EE">
        <w:rPr>
          <w:i/>
          <w:iCs/>
          <w:sz w:val="24"/>
          <w:szCs w:val="24"/>
        </w:rPr>
        <w:t>acnes</w:t>
      </w:r>
      <w:proofErr w:type="spellEnd"/>
      <w:r w:rsidRPr="009D15EE">
        <w:rPr>
          <w:i/>
          <w:iCs/>
          <w:sz w:val="24"/>
          <w:szCs w:val="24"/>
        </w:rPr>
        <w:t xml:space="preserve"> </w:t>
      </w:r>
      <w:r w:rsidRPr="009D15EE">
        <w:rPr>
          <w:sz w:val="24"/>
          <w:szCs w:val="24"/>
        </w:rPr>
        <w:t>og kommensal flora (se pkt. 5.1).</w:t>
      </w:r>
    </w:p>
    <w:p w:rsidR="009D15EE" w:rsidRPr="009D15EE" w:rsidRDefault="009D15EE" w:rsidP="009D15EE">
      <w:pPr>
        <w:tabs>
          <w:tab w:val="left" w:pos="851"/>
        </w:tabs>
        <w:ind w:left="851"/>
        <w:rPr>
          <w:i/>
          <w:iCs/>
          <w:sz w:val="24"/>
          <w:szCs w:val="24"/>
        </w:rPr>
      </w:pPr>
    </w:p>
    <w:p w:rsidR="009D15EE" w:rsidRPr="009D15EE" w:rsidRDefault="009D15EE" w:rsidP="009D15EE">
      <w:pPr>
        <w:tabs>
          <w:tab w:val="left" w:pos="851"/>
        </w:tabs>
        <w:ind w:left="851"/>
        <w:rPr>
          <w:iCs/>
          <w:sz w:val="24"/>
          <w:szCs w:val="24"/>
          <w:u w:val="single"/>
        </w:rPr>
      </w:pPr>
      <w:r w:rsidRPr="009D15EE">
        <w:rPr>
          <w:iCs/>
          <w:sz w:val="24"/>
          <w:szCs w:val="24"/>
          <w:u w:val="single"/>
        </w:rPr>
        <w:t>Krydsresistens</w:t>
      </w:r>
    </w:p>
    <w:p w:rsidR="009D15EE" w:rsidRPr="009D15EE" w:rsidRDefault="009D15EE" w:rsidP="009D15EE">
      <w:pPr>
        <w:tabs>
          <w:tab w:val="left" w:pos="851"/>
        </w:tabs>
        <w:ind w:left="851"/>
        <w:rPr>
          <w:sz w:val="24"/>
          <w:szCs w:val="24"/>
        </w:rPr>
      </w:pPr>
      <w:r w:rsidRPr="009D15EE">
        <w:rPr>
          <w:sz w:val="24"/>
          <w:szCs w:val="24"/>
        </w:rPr>
        <w:t xml:space="preserve">Der kan opstå krydsresistens med andre antibiotika, såsom </w:t>
      </w:r>
      <w:proofErr w:type="spellStart"/>
      <w:r w:rsidRPr="009D15EE">
        <w:rPr>
          <w:sz w:val="24"/>
          <w:szCs w:val="24"/>
        </w:rPr>
        <w:t>lincomycin</w:t>
      </w:r>
      <w:proofErr w:type="spellEnd"/>
      <w:r w:rsidRPr="009D15EE">
        <w:rPr>
          <w:sz w:val="24"/>
          <w:szCs w:val="24"/>
        </w:rPr>
        <w:t xml:space="preserve"> og </w:t>
      </w:r>
      <w:proofErr w:type="spellStart"/>
      <w:r w:rsidRPr="009D15EE">
        <w:rPr>
          <w:sz w:val="24"/>
          <w:szCs w:val="24"/>
        </w:rPr>
        <w:t>erythromycin</w:t>
      </w:r>
      <w:proofErr w:type="spellEnd"/>
      <w:r w:rsidRPr="009D15EE">
        <w:rPr>
          <w:sz w:val="24"/>
          <w:szCs w:val="24"/>
        </w:rPr>
        <w:t>, ved brug af antibiotisk monoterapi (se pkt. 4.5).</w:t>
      </w:r>
    </w:p>
    <w:p w:rsidR="009D15EE" w:rsidRPr="009D15EE" w:rsidRDefault="009D15EE" w:rsidP="009D15E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5A58" w:rsidRPr="00965A58" w:rsidRDefault="00965A58" w:rsidP="00965A58">
      <w:pPr>
        <w:tabs>
          <w:tab w:val="left" w:pos="851"/>
        </w:tabs>
        <w:ind w:left="851"/>
        <w:rPr>
          <w:sz w:val="24"/>
          <w:szCs w:val="24"/>
        </w:rPr>
      </w:pPr>
      <w:r w:rsidRPr="00965A58">
        <w:rPr>
          <w:sz w:val="24"/>
          <w:szCs w:val="24"/>
        </w:rPr>
        <w:t xml:space="preserve">Der er ikke udført formelle interaktionsstudier med </w:t>
      </w:r>
      <w:proofErr w:type="spellStart"/>
      <w:r w:rsidRPr="00965A58">
        <w:rPr>
          <w:sz w:val="24"/>
          <w:szCs w:val="24"/>
        </w:rPr>
        <w:t>Clinzoyl</w:t>
      </w:r>
      <w:proofErr w:type="spellEnd"/>
      <w:r w:rsidRPr="00965A58">
        <w:rPr>
          <w:sz w:val="24"/>
          <w:szCs w:val="24"/>
        </w:rPr>
        <w:t xml:space="preserve">. </w:t>
      </w:r>
    </w:p>
    <w:p w:rsidR="00965A58" w:rsidRPr="00965A58" w:rsidRDefault="00965A58" w:rsidP="00965A58">
      <w:pPr>
        <w:tabs>
          <w:tab w:val="left" w:pos="851"/>
        </w:tabs>
        <w:ind w:left="851"/>
        <w:rPr>
          <w:sz w:val="24"/>
          <w:szCs w:val="24"/>
        </w:rPr>
      </w:pPr>
    </w:p>
    <w:p w:rsidR="00965A58" w:rsidRPr="00965A58" w:rsidRDefault="00965A58" w:rsidP="00965A58">
      <w:pPr>
        <w:tabs>
          <w:tab w:val="left" w:pos="851"/>
        </w:tabs>
        <w:ind w:left="851"/>
        <w:rPr>
          <w:sz w:val="24"/>
          <w:szCs w:val="24"/>
        </w:rPr>
      </w:pPr>
      <w:r w:rsidRPr="00965A58">
        <w:rPr>
          <w:sz w:val="24"/>
          <w:szCs w:val="24"/>
        </w:rPr>
        <w:t>Samtidig brug af topiske antibiotika, medicinske eller slibende sæber og renseprodukter, sæber og kosmetik med stærkt udtørrende virkning og produkter med en høj koncentration af alkohol og/eller astringerende midler bør anvendes med forsigtighed, da det kan medføre en kumulativ irriterende virkning.</w:t>
      </w:r>
    </w:p>
    <w:p w:rsidR="00965A58" w:rsidRPr="00965A58" w:rsidRDefault="00965A58" w:rsidP="00965A58">
      <w:pPr>
        <w:tabs>
          <w:tab w:val="left" w:pos="851"/>
        </w:tabs>
        <w:ind w:left="851"/>
        <w:rPr>
          <w:sz w:val="24"/>
          <w:szCs w:val="24"/>
        </w:rPr>
      </w:pPr>
    </w:p>
    <w:p w:rsidR="00965A58" w:rsidRPr="00965A58" w:rsidRDefault="00965A58" w:rsidP="00965A58">
      <w:pPr>
        <w:tabs>
          <w:tab w:val="left" w:pos="851"/>
        </w:tabs>
        <w:ind w:left="851"/>
        <w:rPr>
          <w:sz w:val="24"/>
          <w:szCs w:val="24"/>
        </w:rPr>
      </w:pPr>
      <w:proofErr w:type="spellStart"/>
      <w:r w:rsidRPr="00965A58">
        <w:rPr>
          <w:sz w:val="24"/>
          <w:szCs w:val="24"/>
        </w:rPr>
        <w:t>Clinzoyl</w:t>
      </w:r>
      <w:proofErr w:type="spellEnd"/>
      <w:r w:rsidRPr="00965A58">
        <w:rPr>
          <w:sz w:val="24"/>
          <w:szCs w:val="24"/>
        </w:rPr>
        <w:t xml:space="preserve"> bør ikke anvendes i kombination med </w:t>
      </w:r>
      <w:proofErr w:type="spellStart"/>
      <w:r w:rsidRPr="00965A58">
        <w:rPr>
          <w:sz w:val="24"/>
          <w:szCs w:val="24"/>
        </w:rPr>
        <w:t>erythromycin-holdige</w:t>
      </w:r>
      <w:proofErr w:type="spellEnd"/>
      <w:r w:rsidRPr="00965A58">
        <w:rPr>
          <w:sz w:val="24"/>
          <w:szCs w:val="24"/>
        </w:rPr>
        <w:t xml:space="preserve"> produkter på grund af potentiel antagonisme af </w:t>
      </w:r>
      <w:proofErr w:type="spellStart"/>
      <w:r w:rsidRPr="00965A58">
        <w:rPr>
          <w:sz w:val="24"/>
          <w:szCs w:val="24"/>
        </w:rPr>
        <w:t>clindamcyin</w:t>
      </w:r>
      <w:proofErr w:type="spellEnd"/>
      <w:r w:rsidRPr="00965A58">
        <w:rPr>
          <w:sz w:val="24"/>
          <w:szCs w:val="24"/>
        </w:rPr>
        <w:t>-komponenten.</w:t>
      </w:r>
    </w:p>
    <w:p w:rsidR="00965A58" w:rsidRPr="00965A58" w:rsidRDefault="00965A58" w:rsidP="00965A58">
      <w:pPr>
        <w:tabs>
          <w:tab w:val="left" w:pos="851"/>
        </w:tabs>
        <w:ind w:left="851"/>
        <w:rPr>
          <w:sz w:val="24"/>
          <w:szCs w:val="24"/>
        </w:rPr>
      </w:pPr>
    </w:p>
    <w:p w:rsidR="00965A58" w:rsidRPr="00965A58" w:rsidRDefault="00965A58" w:rsidP="00965A58">
      <w:pPr>
        <w:tabs>
          <w:tab w:val="left" w:pos="851"/>
        </w:tabs>
        <w:ind w:left="851"/>
        <w:rPr>
          <w:sz w:val="24"/>
          <w:szCs w:val="24"/>
        </w:rPr>
      </w:pPr>
      <w:r w:rsidRPr="00965A58">
        <w:rPr>
          <w:sz w:val="24"/>
          <w:szCs w:val="24"/>
        </w:rPr>
        <w:t xml:space="preserve">Det er påvist, at </w:t>
      </w:r>
      <w:proofErr w:type="spellStart"/>
      <w:r w:rsidRPr="00965A58">
        <w:rPr>
          <w:sz w:val="24"/>
          <w:szCs w:val="24"/>
        </w:rPr>
        <w:t>clindamycin</w:t>
      </w:r>
      <w:proofErr w:type="spellEnd"/>
      <w:r w:rsidRPr="00965A58">
        <w:rPr>
          <w:sz w:val="24"/>
          <w:szCs w:val="24"/>
        </w:rPr>
        <w:t xml:space="preserve"> har </w:t>
      </w:r>
      <w:proofErr w:type="spellStart"/>
      <w:r w:rsidRPr="00965A58">
        <w:rPr>
          <w:sz w:val="24"/>
          <w:szCs w:val="24"/>
        </w:rPr>
        <w:t>neuromuskulært</w:t>
      </w:r>
      <w:proofErr w:type="spellEnd"/>
      <w:r w:rsidRPr="00965A58">
        <w:rPr>
          <w:sz w:val="24"/>
          <w:szCs w:val="24"/>
        </w:rPr>
        <w:t xml:space="preserve"> blokerende egenskaber, som kan forstærke virkningen af andre </w:t>
      </w:r>
      <w:proofErr w:type="spellStart"/>
      <w:r w:rsidRPr="00965A58">
        <w:rPr>
          <w:sz w:val="24"/>
          <w:szCs w:val="24"/>
        </w:rPr>
        <w:t>neuromuskulære</w:t>
      </w:r>
      <w:proofErr w:type="spellEnd"/>
      <w:r w:rsidRPr="00965A58">
        <w:rPr>
          <w:sz w:val="24"/>
          <w:szCs w:val="24"/>
        </w:rPr>
        <w:t xml:space="preserve"> </w:t>
      </w:r>
      <w:proofErr w:type="spellStart"/>
      <w:r w:rsidRPr="00965A58">
        <w:rPr>
          <w:sz w:val="24"/>
          <w:szCs w:val="24"/>
        </w:rPr>
        <w:t>blokkkere</w:t>
      </w:r>
      <w:proofErr w:type="spellEnd"/>
      <w:r w:rsidRPr="00965A58">
        <w:rPr>
          <w:sz w:val="24"/>
          <w:szCs w:val="24"/>
        </w:rPr>
        <w:t>. Derfor bør der udvises forsigtighed ved samtidig brug.</w:t>
      </w:r>
    </w:p>
    <w:p w:rsidR="00965A58" w:rsidRPr="00965A58" w:rsidRDefault="00965A58" w:rsidP="00965A58">
      <w:pPr>
        <w:tabs>
          <w:tab w:val="left" w:pos="851"/>
        </w:tabs>
        <w:ind w:left="851"/>
        <w:rPr>
          <w:sz w:val="24"/>
          <w:szCs w:val="24"/>
        </w:rPr>
      </w:pPr>
    </w:p>
    <w:p w:rsidR="00965A58" w:rsidRPr="00965A58" w:rsidRDefault="00965A58" w:rsidP="00965A58">
      <w:pPr>
        <w:tabs>
          <w:tab w:val="left" w:pos="851"/>
        </w:tabs>
        <w:ind w:left="851"/>
        <w:rPr>
          <w:sz w:val="24"/>
          <w:szCs w:val="24"/>
        </w:rPr>
      </w:pPr>
      <w:r w:rsidRPr="00965A58">
        <w:rPr>
          <w:sz w:val="24"/>
          <w:szCs w:val="24"/>
        </w:rPr>
        <w:t xml:space="preserve">Samtidig applicering af </w:t>
      </w:r>
      <w:proofErr w:type="spellStart"/>
      <w:r w:rsidRPr="00965A58">
        <w:rPr>
          <w:sz w:val="24"/>
          <w:szCs w:val="24"/>
        </w:rPr>
        <w:t>Clinzoyl</w:t>
      </w:r>
      <w:proofErr w:type="spellEnd"/>
      <w:r w:rsidRPr="00965A58">
        <w:rPr>
          <w:sz w:val="24"/>
          <w:szCs w:val="24"/>
        </w:rPr>
        <w:t xml:space="preserve"> og </w:t>
      </w:r>
      <w:proofErr w:type="spellStart"/>
      <w:r w:rsidRPr="00965A58">
        <w:rPr>
          <w:sz w:val="24"/>
          <w:szCs w:val="24"/>
        </w:rPr>
        <w:t>tretinoin</w:t>
      </w:r>
      <w:proofErr w:type="spellEnd"/>
      <w:r w:rsidRPr="00965A58">
        <w:rPr>
          <w:sz w:val="24"/>
          <w:szCs w:val="24"/>
        </w:rPr>
        <w:t xml:space="preserve">, </w:t>
      </w:r>
      <w:proofErr w:type="spellStart"/>
      <w:r w:rsidRPr="00965A58">
        <w:rPr>
          <w:sz w:val="24"/>
          <w:szCs w:val="24"/>
        </w:rPr>
        <w:t>isotretinoin</w:t>
      </w:r>
      <w:proofErr w:type="spellEnd"/>
      <w:r w:rsidRPr="00965A58">
        <w:rPr>
          <w:sz w:val="24"/>
          <w:szCs w:val="24"/>
        </w:rPr>
        <w:t xml:space="preserve"> eller </w:t>
      </w:r>
      <w:proofErr w:type="spellStart"/>
      <w:r w:rsidRPr="00965A58">
        <w:rPr>
          <w:sz w:val="24"/>
          <w:szCs w:val="24"/>
        </w:rPr>
        <w:t>tazaroten</w:t>
      </w:r>
      <w:proofErr w:type="spellEnd"/>
      <w:r w:rsidRPr="00965A58">
        <w:rPr>
          <w:sz w:val="24"/>
          <w:szCs w:val="24"/>
        </w:rPr>
        <w:t xml:space="preserve"> bør undgås, eftersom </w:t>
      </w:r>
      <w:proofErr w:type="spellStart"/>
      <w:r w:rsidRPr="00965A58">
        <w:rPr>
          <w:sz w:val="24"/>
          <w:szCs w:val="24"/>
        </w:rPr>
        <w:t>benzoylperoxid</w:t>
      </w:r>
      <w:proofErr w:type="spellEnd"/>
      <w:r w:rsidRPr="00965A58">
        <w:rPr>
          <w:sz w:val="24"/>
          <w:szCs w:val="24"/>
        </w:rPr>
        <w:t xml:space="preserve"> kan reducere virkningen af disse lægemidler og medføre øget irritation. Hvis kombinationsbehandling er nødvendig, bør produkterne påføres på </w:t>
      </w:r>
      <w:r w:rsidRPr="00965A58">
        <w:rPr>
          <w:sz w:val="24"/>
          <w:szCs w:val="24"/>
        </w:rPr>
        <w:lastRenderedPageBreak/>
        <w:t xml:space="preserve">forskellige tidspunkter af dagen (f.eks. det ene om morgenen og det andet </w:t>
      </w:r>
      <w:proofErr w:type="spellStart"/>
      <w:r w:rsidRPr="00965A58">
        <w:rPr>
          <w:sz w:val="24"/>
          <w:szCs w:val="24"/>
        </w:rPr>
        <w:t>andet</w:t>
      </w:r>
      <w:proofErr w:type="spellEnd"/>
      <w:r w:rsidRPr="00965A58">
        <w:rPr>
          <w:sz w:val="24"/>
          <w:szCs w:val="24"/>
        </w:rPr>
        <w:t xml:space="preserve"> om aftenen).</w:t>
      </w:r>
    </w:p>
    <w:p w:rsidR="00965A58" w:rsidRPr="00965A58" w:rsidRDefault="00965A58" w:rsidP="00965A58">
      <w:pPr>
        <w:tabs>
          <w:tab w:val="left" w:pos="851"/>
        </w:tabs>
        <w:ind w:left="851"/>
        <w:rPr>
          <w:sz w:val="24"/>
          <w:szCs w:val="24"/>
        </w:rPr>
      </w:pPr>
    </w:p>
    <w:p w:rsidR="00965A58" w:rsidRPr="00965A58" w:rsidRDefault="00965A58" w:rsidP="00965A58">
      <w:pPr>
        <w:tabs>
          <w:tab w:val="left" w:pos="851"/>
        </w:tabs>
        <w:ind w:left="851"/>
        <w:rPr>
          <w:sz w:val="24"/>
          <w:szCs w:val="24"/>
        </w:rPr>
      </w:pPr>
      <w:r w:rsidRPr="00965A58">
        <w:rPr>
          <w:sz w:val="24"/>
          <w:szCs w:val="24"/>
        </w:rPr>
        <w:t xml:space="preserve">Samtidig brug af topiske </w:t>
      </w:r>
      <w:proofErr w:type="spellStart"/>
      <w:r w:rsidRPr="00965A58">
        <w:rPr>
          <w:sz w:val="24"/>
          <w:szCs w:val="24"/>
        </w:rPr>
        <w:t>bennzoylperoxid-holdige</w:t>
      </w:r>
      <w:proofErr w:type="spellEnd"/>
      <w:r w:rsidRPr="00965A58">
        <w:rPr>
          <w:sz w:val="24"/>
          <w:szCs w:val="24"/>
        </w:rPr>
        <w:t xml:space="preserve"> præparater og topiske </w:t>
      </w:r>
      <w:proofErr w:type="spellStart"/>
      <w:r w:rsidRPr="00965A58">
        <w:rPr>
          <w:sz w:val="24"/>
          <w:szCs w:val="24"/>
        </w:rPr>
        <w:t>sulfonamid-holdige</w:t>
      </w:r>
      <w:proofErr w:type="spellEnd"/>
      <w:r w:rsidRPr="00965A58">
        <w:rPr>
          <w:sz w:val="24"/>
          <w:szCs w:val="24"/>
        </w:rPr>
        <w:t xml:space="preserve"> produkter kan medføre, at hud og ansigtshår midlertidigt ændrer farve (gul/orange).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BB0373">
        <w:rPr>
          <w:b/>
          <w:sz w:val="24"/>
          <w:szCs w:val="24"/>
        </w:rPr>
        <w:t>Fertilitet, g</w:t>
      </w:r>
      <w:r w:rsidRPr="00C84483">
        <w:rPr>
          <w:b/>
          <w:sz w:val="24"/>
          <w:szCs w:val="24"/>
        </w:rPr>
        <w:t>raviditet og amning</w:t>
      </w:r>
    </w:p>
    <w:p w:rsidR="00965A58" w:rsidRPr="00965A58" w:rsidRDefault="00965A58" w:rsidP="00965A58">
      <w:pPr>
        <w:tabs>
          <w:tab w:val="left" w:pos="851"/>
        </w:tabs>
        <w:ind w:left="851"/>
        <w:rPr>
          <w:i/>
          <w:sz w:val="24"/>
          <w:szCs w:val="24"/>
        </w:rPr>
      </w:pPr>
    </w:p>
    <w:p w:rsidR="00965A58" w:rsidRPr="00965A58" w:rsidRDefault="00965A58" w:rsidP="00965A58">
      <w:pPr>
        <w:tabs>
          <w:tab w:val="left" w:pos="851"/>
        </w:tabs>
        <w:ind w:left="851"/>
        <w:rPr>
          <w:iCs/>
          <w:sz w:val="24"/>
          <w:szCs w:val="24"/>
          <w:u w:val="single"/>
        </w:rPr>
      </w:pPr>
      <w:r w:rsidRPr="00965A58">
        <w:rPr>
          <w:iCs/>
          <w:sz w:val="24"/>
          <w:szCs w:val="24"/>
          <w:u w:val="single"/>
        </w:rPr>
        <w:t>Graviditet</w:t>
      </w:r>
    </w:p>
    <w:p w:rsidR="00965A58" w:rsidRPr="00965A58" w:rsidRDefault="00965A58" w:rsidP="00965A58">
      <w:pPr>
        <w:tabs>
          <w:tab w:val="left" w:pos="851"/>
        </w:tabs>
        <w:ind w:left="851"/>
        <w:rPr>
          <w:iCs/>
          <w:sz w:val="24"/>
          <w:szCs w:val="24"/>
        </w:rPr>
      </w:pPr>
      <w:r w:rsidRPr="00965A58">
        <w:rPr>
          <w:iCs/>
          <w:sz w:val="24"/>
          <w:szCs w:val="24"/>
        </w:rPr>
        <w:t xml:space="preserve">Der er utilstrækkelige data fra anvendelse af </w:t>
      </w:r>
      <w:proofErr w:type="spellStart"/>
      <w:r w:rsidRPr="00965A58">
        <w:rPr>
          <w:iCs/>
          <w:sz w:val="24"/>
          <w:szCs w:val="24"/>
        </w:rPr>
        <w:t>Clinzoyl</w:t>
      </w:r>
      <w:proofErr w:type="spellEnd"/>
      <w:r w:rsidRPr="00965A58">
        <w:rPr>
          <w:iCs/>
          <w:sz w:val="24"/>
          <w:szCs w:val="24"/>
        </w:rPr>
        <w:t xml:space="preserve"> til gravide kvinder. Der er ikke udført reproduktions-/udviklingsstudier hos dyr med </w:t>
      </w:r>
      <w:proofErr w:type="spellStart"/>
      <w:r w:rsidRPr="00965A58">
        <w:rPr>
          <w:iCs/>
          <w:sz w:val="24"/>
          <w:szCs w:val="24"/>
        </w:rPr>
        <w:t>Clinzoyl</w:t>
      </w:r>
      <w:proofErr w:type="spellEnd"/>
      <w:r w:rsidRPr="00965A58">
        <w:rPr>
          <w:iCs/>
          <w:sz w:val="24"/>
          <w:szCs w:val="24"/>
        </w:rPr>
        <w:t xml:space="preserve">. Der er begrænsede data fra monoterapi med </w:t>
      </w:r>
      <w:proofErr w:type="spellStart"/>
      <w:r w:rsidRPr="00965A58">
        <w:rPr>
          <w:iCs/>
          <w:sz w:val="24"/>
          <w:szCs w:val="24"/>
        </w:rPr>
        <w:t>clindamycin</w:t>
      </w:r>
      <w:proofErr w:type="spellEnd"/>
      <w:r w:rsidRPr="00965A58">
        <w:rPr>
          <w:iCs/>
          <w:sz w:val="24"/>
          <w:szCs w:val="24"/>
        </w:rPr>
        <w:t xml:space="preserve"> og </w:t>
      </w:r>
      <w:proofErr w:type="spellStart"/>
      <w:r w:rsidRPr="00965A58">
        <w:rPr>
          <w:iCs/>
          <w:sz w:val="24"/>
          <w:szCs w:val="24"/>
        </w:rPr>
        <w:t>benzoylperoxid</w:t>
      </w:r>
      <w:proofErr w:type="spellEnd"/>
      <w:r w:rsidRPr="00965A58">
        <w:rPr>
          <w:iCs/>
          <w:sz w:val="24"/>
          <w:szCs w:val="24"/>
        </w:rPr>
        <w:t xml:space="preserve"> til gravide kvinder. Data fra anvendelse af </w:t>
      </w:r>
      <w:proofErr w:type="spellStart"/>
      <w:r w:rsidRPr="00965A58">
        <w:rPr>
          <w:iCs/>
          <w:sz w:val="24"/>
          <w:szCs w:val="24"/>
        </w:rPr>
        <w:t>clindamycin</w:t>
      </w:r>
      <w:proofErr w:type="spellEnd"/>
      <w:r w:rsidRPr="00965A58">
        <w:rPr>
          <w:iCs/>
          <w:sz w:val="24"/>
          <w:szCs w:val="24"/>
        </w:rPr>
        <w:t xml:space="preserve"> i første trimester hos et begrænset antal gravide kvinder indikerer ingen uønskede virkninger på graviditeten eller fostret/det nyfødte barns helbred.</w:t>
      </w:r>
    </w:p>
    <w:p w:rsidR="00965A58" w:rsidRPr="00965A58" w:rsidRDefault="00965A58" w:rsidP="00965A58">
      <w:pPr>
        <w:tabs>
          <w:tab w:val="left" w:pos="851"/>
        </w:tabs>
        <w:ind w:left="851"/>
        <w:rPr>
          <w:iCs/>
          <w:sz w:val="24"/>
          <w:szCs w:val="24"/>
        </w:rPr>
      </w:pPr>
    </w:p>
    <w:p w:rsidR="00965A58" w:rsidRPr="00965A58" w:rsidRDefault="00965A58" w:rsidP="00965A58">
      <w:pPr>
        <w:tabs>
          <w:tab w:val="left" w:pos="851"/>
        </w:tabs>
        <w:ind w:left="851"/>
        <w:rPr>
          <w:iCs/>
          <w:sz w:val="24"/>
          <w:szCs w:val="24"/>
        </w:rPr>
      </w:pPr>
      <w:r w:rsidRPr="00965A58">
        <w:rPr>
          <w:iCs/>
          <w:sz w:val="24"/>
          <w:szCs w:val="24"/>
        </w:rPr>
        <w:t xml:space="preserve">Reproduktionsstudier hos rotter og mus, hvor der blev anvendt subkutane og orale doser af </w:t>
      </w:r>
      <w:proofErr w:type="spellStart"/>
      <w:r w:rsidRPr="00965A58">
        <w:rPr>
          <w:iCs/>
          <w:sz w:val="24"/>
          <w:szCs w:val="24"/>
        </w:rPr>
        <w:t>clindamycin</w:t>
      </w:r>
      <w:proofErr w:type="spellEnd"/>
      <w:r w:rsidRPr="00965A58">
        <w:rPr>
          <w:iCs/>
          <w:sz w:val="24"/>
          <w:szCs w:val="24"/>
        </w:rPr>
        <w:t xml:space="preserve">, viste ingen evidens for nedsat fertilitet eller fosterskader på grund af </w:t>
      </w:r>
      <w:proofErr w:type="spellStart"/>
      <w:r w:rsidRPr="00965A58">
        <w:rPr>
          <w:iCs/>
          <w:sz w:val="24"/>
          <w:szCs w:val="24"/>
        </w:rPr>
        <w:t>clindamycin</w:t>
      </w:r>
      <w:proofErr w:type="spellEnd"/>
      <w:r w:rsidRPr="00965A58">
        <w:rPr>
          <w:iCs/>
          <w:sz w:val="24"/>
          <w:szCs w:val="24"/>
        </w:rPr>
        <w:t>.</w:t>
      </w:r>
    </w:p>
    <w:p w:rsidR="00965A58" w:rsidRPr="00965A58" w:rsidRDefault="00965A58" w:rsidP="00965A58">
      <w:pPr>
        <w:tabs>
          <w:tab w:val="left" w:pos="851"/>
        </w:tabs>
        <w:ind w:left="851"/>
        <w:rPr>
          <w:iCs/>
          <w:sz w:val="24"/>
          <w:szCs w:val="24"/>
        </w:rPr>
      </w:pPr>
    </w:p>
    <w:p w:rsidR="00965A58" w:rsidRPr="00965A58" w:rsidRDefault="00965A58" w:rsidP="00965A58">
      <w:pPr>
        <w:tabs>
          <w:tab w:val="left" w:pos="851"/>
        </w:tabs>
        <w:ind w:left="851"/>
        <w:rPr>
          <w:iCs/>
          <w:sz w:val="24"/>
          <w:szCs w:val="24"/>
        </w:rPr>
      </w:pPr>
      <w:proofErr w:type="spellStart"/>
      <w:r w:rsidRPr="00965A58">
        <w:rPr>
          <w:iCs/>
          <w:sz w:val="24"/>
          <w:szCs w:val="24"/>
        </w:rPr>
        <w:t>Clinzoyls</w:t>
      </w:r>
      <w:proofErr w:type="spellEnd"/>
      <w:r w:rsidRPr="00965A58">
        <w:rPr>
          <w:iCs/>
          <w:sz w:val="24"/>
          <w:szCs w:val="24"/>
        </w:rPr>
        <w:t xml:space="preserve"> sikkerhed hos gravide kvinder er ikke klarlagt. Derfor bør der kun ordineres </w:t>
      </w:r>
      <w:proofErr w:type="spellStart"/>
      <w:r w:rsidRPr="00965A58">
        <w:rPr>
          <w:iCs/>
          <w:sz w:val="24"/>
          <w:szCs w:val="24"/>
        </w:rPr>
        <w:t>Clinzoyl</w:t>
      </w:r>
      <w:proofErr w:type="spellEnd"/>
      <w:r w:rsidRPr="00965A58">
        <w:rPr>
          <w:iCs/>
          <w:sz w:val="24"/>
          <w:szCs w:val="24"/>
        </w:rPr>
        <w:t xml:space="preserve"> til gravide kvinder efter en nøje </w:t>
      </w:r>
      <w:proofErr w:type="spellStart"/>
      <w:r w:rsidRPr="00965A58">
        <w:rPr>
          <w:iCs/>
          <w:sz w:val="24"/>
          <w:szCs w:val="24"/>
        </w:rPr>
        <w:t>risk</w:t>
      </w:r>
      <w:proofErr w:type="spellEnd"/>
      <w:r w:rsidRPr="00965A58">
        <w:rPr>
          <w:iCs/>
          <w:sz w:val="24"/>
          <w:szCs w:val="24"/>
        </w:rPr>
        <w:t>/benefit-vurdering.</w:t>
      </w:r>
    </w:p>
    <w:p w:rsidR="00965A58" w:rsidRPr="00965A58" w:rsidRDefault="00965A58" w:rsidP="00965A58">
      <w:pPr>
        <w:tabs>
          <w:tab w:val="left" w:pos="851"/>
        </w:tabs>
        <w:ind w:left="851"/>
        <w:rPr>
          <w:iCs/>
          <w:sz w:val="24"/>
          <w:szCs w:val="24"/>
        </w:rPr>
      </w:pPr>
    </w:p>
    <w:p w:rsidR="00965A58" w:rsidRPr="00965A58" w:rsidRDefault="00965A58" w:rsidP="00965A58">
      <w:pPr>
        <w:tabs>
          <w:tab w:val="left" w:pos="851"/>
        </w:tabs>
        <w:ind w:left="851"/>
        <w:rPr>
          <w:iCs/>
          <w:sz w:val="24"/>
          <w:szCs w:val="24"/>
          <w:u w:val="single"/>
        </w:rPr>
      </w:pPr>
      <w:r w:rsidRPr="00965A58">
        <w:rPr>
          <w:iCs/>
          <w:sz w:val="24"/>
          <w:szCs w:val="24"/>
          <w:u w:val="single"/>
        </w:rPr>
        <w:t>Amning</w:t>
      </w:r>
    </w:p>
    <w:p w:rsidR="00965A58" w:rsidRPr="00965A58" w:rsidRDefault="00965A58" w:rsidP="00965A58">
      <w:pPr>
        <w:tabs>
          <w:tab w:val="left" w:pos="851"/>
        </w:tabs>
        <w:ind w:left="851"/>
        <w:rPr>
          <w:iCs/>
          <w:sz w:val="24"/>
          <w:szCs w:val="24"/>
        </w:rPr>
      </w:pPr>
      <w:r w:rsidRPr="00965A58">
        <w:rPr>
          <w:iCs/>
          <w:sz w:val="24"/>
          <w:szCs w:val="24"/>
        </w:rPr>
        <w:t xml:space="preserve">Der er ikke udført studier med brug af </w:t>
      </w:r>
      <w:proofErr w:type="spellStart"/>
      <w:r w:rsidRPr="00965A58">
        <w:rPr>
          <w:iCs/>
          <w:sz w:val="24"/>
          <w:szCs w:val="24"/>
        </w:rPr>
        <w:t>Clinzoyl</w:t>
      </w:r>
      <w:proofErr w:type="spellEnd"/>
      <w:r w:rsidRPr="00965A58">
        <w:rPr>
          <w:iCs/>
          <w:sz w:val="24"/>
          <w:szCs w:val="24"/>
        </w:rPr>
        <w:t xml:space="preserve"> i </w:t>
      </w:r>
      <w:proofErr w:type="spellStart"/>
      <w:r w:rsidRPr="00965A58">
        <w:rPr>
          <w:iCs/>
          <w:sz w:val="24"/>
          <w:szCs w:val="24"/>
        </w:rPr>
        <w:t>ammeperioden</w:t>
      </w:r>
      <w:proofErr w:type="spellEnd"/>
      <w:r w:rsidRPr="00965A58">
        <w:rPr>
          <w:iCs/>
          <w:sz w:val="24"/>
          <w:szCs w:val="24"/>
        </w:rPr>
        <w:t xml:space="preserve">. Den </w:t>
      </w:r>
      <w:proofErr w:type="spellStart"/>
      <w:r w:rsidRPr="00965A58">
        <w:rPr>
          <w:iCs/>
          <w:sz w:val="24"/>
          <w:szCs w:val="24"/>
        </w:rPr>
        <w:t>perkutane</w:t>
      </w:r>
      <w:proofErr w:type="spellEnd"/>
      <w:r w:rsidRPr="00965A58">
        <w:rPr>
          <w:iCs/>
          <w:sz w:val="24"/>
          <w:szCs w:val="24"/>
        </w:rPr>
        <w:t xml:space="preserve"> absorption af </w:t>
      </w:r>
      <w:proofErr w:type="spellStart"/>
      <w:r w:rsidRPr="00965A58">
        <w:rPr>
          <w:iCs/>
          <w:sz w:val="24"/>
          <w:szCs w:val="24"/>
        </w:rPr>
        <w:t>clindamycin</w:t>
      </w:r>
      <w:proofErr w:type="spellEnd"/>
      <w:r w:rsidRPr="00965A58">
        <w:rPr>
          <w:iCs/>
          <w:sz w:val="24"/>
          <w:szCs w:val="24"/>
        </w:rPr>
        <w:t xml:space="preserve"> og </w:t>
      </w:r>
      <w:proofErr w:type="spellStart"/>
      <w:r w:rsidRPr="00965A58">
        <w:rPr>
          <w:iCs/>
          <w:sz w:val="24"/>
          <w:szCs w:val="24"/>
        </w:rPr>
        <w:t>benzoylperoxid</w:t>
      </w:r>
      <w:proofErr w:type="spellEnd"/>
      <w:r w:rsidRPr="00965A58">
        <w:rPr>
          <w:iCs/>
          <w:sz w:val="24"/>
          <w:szCs w:val="24"/>
        </w:rPr>
        <w:t xml:space="preserve"> </w:t>
      </w:r>
      <w:proofErr w:type="gramStart"/>
      <w:r w:rsidRPr="00965A58">
        <w:rPr>
          <w:iCs/>
          <w:sz w:val="24"/>
          <w:szCs w:val="24"/>
        </w:rPr>
        <w:t>er  lav</w:t>
      </w:r>
      <w:proofErr w:type="gramEnd"/>
      <w:r w:rsidRPr="00965A58">
        <w:rPr>
          <w:iCs/>
          <w:sz w:val="24"/>
          <w:szCs w:val="24"/>
        </w:rPr>
        <w:t xml:space="preserve">. Det vides dog ikke, om </w:t>
      </w:r>
      <w:proofErr w:type="spellStart"/>
      <w:r w:rsidRPr="00965A58">
        <w:rPr>
          <w:iCs/>
          <w:sz w:val="24"/>
          <w:szCs w:val="24"/>
        </w:rPr>
        <w:t>clindamycin</w:t>
      </w:r>
      <w:proofErr w:type="spellEnd"/>
      <w:r w:rsidRPr="00965A58">
        <w:rPr>
          <w:iCs/>
          <w:sz w:val="24"/>
          <w:szCs w:val="24"/>
        </w:rPr>
        <w:t xml:space="preserve"> eller </w:t>
      </w:r>
      <w:proofErr w:type="spellStart"/>
      <w:r w:rsidRPr="00965A58">
        <w:rPr>
          <w:iCs/>
          <w:sz w:val="24"/>
          <w:szCs w:val="24"/>
        </w:rPr>
        <w:t>benzoylperoxid</w:t>
      </w:r>
      <w:proofErr w:type="spellEnd"/>
      <w:r w:rsidRPr="00965A58">
        <w:rPr>
          <w:iCs/>
          <w:sz w:val="24"/>
          <w:szCs w:val="24"/>
        </w:rPr>
        <w:t xml:space="preserve"> udskilles i human mælk efter brug af </w:t>
      </w:r>
      <w:proofErr w:type="spellStart"/>
      <w:r w:rsidRPr="00965A58">
        <w:rPr>
          <w:iCs/>
          <w:sz w:val="24"/>
          <w:szCs w:val="24"/>
        </w:rPr>
        <w:t>Clinzoyl</w:t>
      </w:r>
      <w:proofErr w:type="spellEnd"/>
      <w:r w:rsidRPr="00965A58">
        <w:rPr>
          <w:iCs/>
          <w:sz w:val="24"/>
          <w:szCs w:val="24"/>
        </w:rPr>
        <w:t xml:space="preserve">. Der er indberetninger om </w:t>
      </w:r>
      <w:proofErr w:type="spellStart"/>
      <w:r w:rsidRPr="00965A58">
        <w:rPr>
          <w:iCs/>
          <w:sz w:val="24"/>
          <w:szCs w:val="24"/>
        </w:rPr>
        <w:t>clindamycin</w:t>
      </w:r>
      <w:proofErr w:type="spellEnd"/>
      <w:r w:rsidRPr="00965A58">
        <w:rPr>
          <w:iCs/>
          <w:sz w:val="24"/>
          <w:szCs w:val="24"/>
        </w:rPr>
        <w:t xml:space="preserve"> i modermælken efter oral og parenteral administration af </w:t>
      </w:r>
      <w:proofErr w:type="spellStart"/>
      <w:r w:rsidRPr="00965A58">
        <w:rPr>
          <w:iCs/>
          <w:sz w:val="24"/>
          <w:szCs w:val="24"/>
        </w:rPr>
        <w:t>clindamycin</w:t>
      </w:r>
      <w:proofErr w:type="spellEnd"/>
      <w:r w:rsidRPr="00965A58">
        <w:rPr>
          <w:iCs/>
          <w:sz w:val="24"/>
          <w:szCs w:val="24"/>
        </w:rPr>
        <w:t xml:space="preserve">. Derfor bør </w:t>
      </w:r>
      <w:proofErr w:type="spellStart"/>
      <w:r w:rsidRPr="00965A58">
        <w:rPr>
          <w:iCs/>
          <w:sz w:val="24"/>
          <w:szCs w:val="24"/>
        </w:rPr>
        <w:t>Clinzoyl</w:t>
      </w:r>
      <w:proofErr w:type="spellEnd"/>
      <w:r w:rsidRPr="00965A58">
        <w:rPr>
          <w:iCs/>
          <w:sz w:val="24"/>
          <w:szCs w:val="24"/>
        </w:rPr>
        <w:t xml:space="preserve"> kun anvendes i </w:t>
      </w:r>
      <w:proofErr w:type="spellStart"/>
      <w:r w:rsidRPr="00965A58">
        <w:rPr>
          <w:iCs/>
          <w:sz w:val="24"/>
          <w:szCs w:val="24"/>
        </w:rPr>
        <w:t>ammeperioden</w:t>
      </w:r>
      <w:proofErr w:type="spellEnd"/>
      <w:r w:rsidRPr="00965A58">
        <w:rPr>
          <w:iCs/>
          <w:sz w:val="24"/>
          <w:szCs w:val="24"/>
        </w:rPr>
        <w:t>, hvis den forventede fordel opvejer den potentielle risiko for spædbarnet.</w:t>
      </w:r>
    </w:p>
    <w:p w:rsidR="00965A58" w:rsidRPr="00965A58" w:rsidRDefault="00965A58" w:rsidP="00965A58">
      <w:pPr>
        <w:tabs>
          <w:tab w:val="left" w:pos="851"/>
        </w:tabs>
        <w:ind w:left="851"/>
        <w:rPr>
          <w:iCs/>
          <w:sz w:val="24"/>
          <w:szCs w:val="24"/>
        </w:rPr>
      </w:pPr>
    </w:p>
    <w:p w:rsidR="00965A58" w:rsidRPr="00965A58" w:rsidRDefault="00965A58" w:rsidP="00965A58">
      <w:pPr>
        <w:tabs>
          <w:tab w:val="left" w:pos="851"/>
        </w:tabs>
        <w:ind w:left="851"/>
        <w:rPr>
          <w:iCs/>
          <w:sz w:val="24"/>
          <w:szCs w:val="24"/>
        </w:rPr>
      </w:pPr>
      <w:r w:rsidRPr="00965A58">
        <w:rPr>
          <w:iCs/>
          <w:sz w:val="24"/>
          <w:szCs w:val="24"/>
        </w:rPr>
        <w:t xml:space="preserve">For at undgå utilsigtet indtagelse hos spædbarnet bør gelen ikke påføres på brystområdet, hvis </w:t>
      </w:r>
      <w:proofErr w:type="spellStart"/>
      <w:r w:rsidRPr="00965A58">
        <w:rPr>
          <w:iCs/>
          <w:sz w:val="24"/>
          <w:szCs w:val="24"/>
        </w:rPr>
        <w:t>Clinzoyl</w:t>
      </w:r>
      <w:proofErr w:type="spellEnd"/>
      <w:r w:rsidRPr="00965A58">
        <w:rPr>
          <w:iCs/>
          <w:sz w:val="24"/>
          <w:szCs w:val="24"/>
        </w:rPr>
        <w:t xml:space="preserve"> anvendes i </w:t>
      </w:r>
      <w:proofErr w:type="spellStart"/>
      <w:r w:rsidRPr="00965A58">
        <w:rPr>
          <w:iCs/>
          <w:sz w:val="24"/>
          <w:szCs w:val="24"/>
        </w:rPr>
        <w:t>ammeperioden</w:t>
      </w:r>
      <w:proofErr w:type="spellEnd"/>
      <w:r w:rsidRPr="00965A58">
        <w:rPr>
          <w:iCs/>
          <w:sz w:val="24"/>
          <w:szCs w:val="24"/>
        </w:rPr>
        <w:t>.</w:t>
      </w:r>
    </w:p>
    <w:p w:rsidR="00965A58" w:rsidRPr="00965A58" w:rsidRDefault="00965A58" w:rsidP="00965A58">
      <w:pPr>
        <w:tabs>
          <w:tab w:val="left" w:pos="851"/>
        </w:tabs>
        <w:ind w:left="851"/>
        <w:rPr>
          <w:iCs/>
          <w:sz w:val="24"/>
          <w:szCs w:val="24"/>
        </w:rPr>
      </w:pPr>
    </w:p>
    <w:p w:rsidR="00965A58" w:rsidRPr="00965A58" w:rsidRDefault="00965A58" w:rsidP="00965A58">
      <w:pPr>
        <w:tabs>
          <w:tab w:val="left" w:pos="851"/>
        </w:tabs>
        <w:ind w:left="851"/>
        <w:rPr>
          <w:iCs/>
          <w:sz w:val="24"/>
          <w:szCs w:val="24"/>
          <w:u w:val="single"/>
        </w:rPr>
      </w:pPr>
      <w:r w:rsidRPr="00965A58">
        <w:rPr>
          <w:iCs/>
          <w:sz w:val="24"/>
          <w:szCs w:val="24"/>
          <w:u w:val="single"/>
        </w:rPr>
        <w:t>Fertilitet</w:t>
      </w:r>
    </w:p>
    <w:p w:rsidR="00965A58" w:rsidRPr="00965A58" w:rsidRDefault="00965A58" w:rsidP="00965A58">
      <w:pPr>
        <w:tabs>
          <w:tab w:val="left" w:pos="851"/>
        </w:tabs>
        <w:ind w:left="851"/>
        <w:rPr>
          <w:iCs/>
          <w:sz w:val="24"/>
          <w:szCs w:val="24"/>
        </w:rPr>
      </w:pPr>
      <w:r w:rsidRPr="00965A58">
        <w:rPr>
          <w:iCs/>
          <w:sz w:val="24"/>
          <w:szCs w:val="24"/>
        </w:rPr>
        <w:t xml:space="preserve">Der foreligger ingen data vedrørende </w:t>
      </w:r>
      <w:proofErr w:type="spellStart"/>
      <w:r w:rsidRPr="00965A58">
        <w:rPr>
          <w:iCs/>
          <w:sz w:val="24"/>
          <w:szCs w:val="24"/>
        </w:rPr>
        <w:t>Clinzoyls</w:t>
      </w:r>
      <w:proofErr w:type="spellEnd"/>
      <w:r w:rsidRPr="00965A58">
        <w:rPr>
          <w:iCs/>
          <w:sz w:val="24"/>
          <w:szCs w:val="24"/>
        </w:rPr>
        <w:t xml:space="preserve"> indvirkning på fertiliteten hos mennesker.</w:t>
      </w:r>
    </w:p>
    <w:p w:rsidR="00965A58" w:rsidRPr="00965A58" w:rsidRDefault="00965A58" w:rsidP="00965A58">
      <w:pPr>
        <w:tabs>
          <w:tab w:val="left" w:pos="851"/>
        </w:tabs>
        <w:ind w:left="851"/>
        <w:rPr>
          <w:iCs/>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B0373">
        <w:rPr>
          <w:b/>
          <w:sz w:val="24"/>
          <w:szCs w:val="24"/>
        </w:rPr>
        <w:t>og</w:t>
      </w:r>
      <w:r w:rsidRPr="00C84483">
        <w:rPr>
          <w:b/>
          <w:sz w:val="24"/>
          <w:szCs w:val="24"/>
        </w:rPr>
        <w:t xml:space="preserve"> betjene maskiner</w:t>
      </w:r>
    </w:p>
    <w:p w:rsidR="009260DE" w:rsidRDefault="00B94ACC" w:rsidP="009260DE">
      <w:pPr>
        <w:tabs>
          <w:tab w:val="left" w:pos="851"/>
        </w:tabs>
        <w:ind w:left="851"/>
        <w:rPr>
          <w:sz w:val="24"/>
          <w:szCs w:val="24"/>
        </w:rPr>
      </w:pPr>
      <w:r>
        <w:rPr>
          <w:sz w:val="24"/>
          <w:szCs w:val="24"/>
        </w:rPr>
        <w:t>Ikke mærkning.</w:t>
      </w:r>
    </w:p>
    <w:p w:rsidR="00B94ACC" w:rsidRPr="00C84483" w:rsidRDefault="00B94AC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E2239" w:rsidRPr="006E2239" w:rsidRDefault="006E2239" w:rsidP="006E2239">
      <w:pPr>
        <w:ind w:left="851"/>
        <w:rPr>
          <w:iCs/>
          <w:noProof/>
          <w:sz w:val="24"/>
          <w:szCs w:val="24"/>
        </w:rPr>
      </w:pPr>
      <w:r w:rsidRPr="006E2239">
        <w:rPr>
          <w:iCs/>
          <w:noProof/>
          <w:sz w:val="24"/>
          <w:szCs w:val="24"/>
        </w:rPr>
        <w:t xml:space="preserve">Bivirkninger ved Clinzoyl er opsummeret nedenfor i kombination med yderligere bivirkninger, der er indberettet for de aktive stoffer (benzoylperoxid og clindamycin) enkeltvis. Bivirkningerne er angivet efter systemorganklasse og hyppighed i henhold til MedDra. Hyppighederne er defineret som: </w:t>
      </w:r>
      <w:r w:rsidR="009E1292">
        <w:rPr>
          <w:iCs/>
          <w:noProof/>
          <w:sz w:val="24"/>
          <w:szCs w:val="24"/>
        </w:rPr>
        <w:t>M</w:t>
      </w:r>
      <w:r w:rsidRPr="006E2239">
        <w:rPr>
          <w:iCs/>
          <w:noProof/>
          <w:sz w:val="24"/>
          <w:szCs w:val="24"/>
        </w:rPr>
        <w:t>eget almindelig (≥1/10); almindelig (≥1/100 til &lt;1/10); ikke almindelig (≥1/1.000 til &lt;1/100); sjælden (≥1/10.000 til &lt;1/1.000) og ikke kendt (kan ikke estimeres ud fra forhåndenværende data).</w:t>
      </w:r>
    </w:p>
    <w:p w:rsidR="009E1292" w:rsidRDefault="009E1292">
      <w:pPr>
        <w:rPr>
          <w:iCs/>
          <w:noProof/>
          <w:sz w:val="24"/>
          <w:szCs w:val="24"/>
        </w:rPr>
      </w:pPr>
      <w:r>
        <w:rPr>
          <w:iCs/>
          <w:noProof/>
          <w:sz w:val="24"/>
          <w:szCs w:val="24"/>
        </w:rPr>
        <w:br w:type="page"/>
      </w:r>
    </w:p>
    <w:p w:rsidR="006E2239" w:rsidRPr="006E2239" w:rsidRDefault="006E2239" w:rsidP="006E2239">
      <w:pPr>
        <w:ind w:left="851"/>
        <w:rPr>
          <w:iCs/>
          <w:noProof/>
          <w:sz w:val="24"/>
          <w:szCs w:val="24"/>
        </w:rPr>
      </w:pPr>
    </w:p>
    <w:tbl>
      <w:tblPr>
        <w:tblStyle w:val="Tabel-Gitter"/>
        <w:tblW w:w="0" w:type="auto"/>
        <w:tblInd w:w="-5" w:type="dxa"/>
        <w:tblLook w:val="04A0" w:firstRow="1" w:lastRow="0" w:firstColumn="1" w:lastColumn="0" w:noHBand="0" w:noVBand="1"/>
      </w:tblPr>
      <w:tblGrid>
        <w:gridCol w:w="2338"/>
        <w:gridCol w:w="1801"/>
        <w:gridCol w:w="1417"/>
        <w:gridCol w:w="1289"/>
        <w:gridCol w:w="2229"/>
      </w:tblGrid>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MedDRA-systemorganklasse</w:t>
            </w:r>
          </w:p>
        </w:tc>
        <w:tc>
          <w:tcPr>
            <w:tcW w:w="1492"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Meget almindelig</w:t>
            </w:r>
          </w:p>
        </w:tc>
        <w:tc>
          <w:tcPr>
            <w:tcW w:w="1337"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Almindelig</w:t>
            </w:r>
          </w:p>
        </w:tc>
        <w:tc>
          <w:tcPr>
            <w:tcW w:w="1218"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Ikke almindelig</w:t>
            </w:r>
          </w:p>
        </w:tc>
        <w:tc>
          <w:tcPr>
            <w:tcW w:w="20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Ikke kendt**</w:t>
            </w:r>
          </w:p>
        </w:tc>
      </w:tr>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Immunsystemet</w:t>
            </w:r>
          </w:p>
        </w:tc>
        <w:tc>
          <w:tcPr>
            <w:tcW w:w="1492"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337"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218"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2094"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iCs/>
                <w:noProof/>
                <w:szCs w:val="22"/>
                <w:lang w:val="da-DK"/>
              </w:rPr>
              <w:t>Allergiske reaktioner, herunder overfølsomhed og anafylaksi</w:t>
            </w:r>
          </w:p>
        </w:tc>
      </w:tr>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Nervesystemet*</w:t>
            </w:r>
          </w:p>
        </w:tc>
        <w:tc>
          <w:tcPr>
            <w:tcW w:w="1492"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337"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218"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Paræstesi</w:t>
            </w:r>
          </w:p>
        </w:tc>
        <w:tc>
          <w:tcPr>
            <w:tcW w:w="2094"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r>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Mave-tarm-kanalen</w:t>
            </w:r>
          </w:p>
        </w:tc>
        <w:tc>
          <w:tcPr>
            <w:tcW w:w="1492"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337"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1218" w:type="dxa"/>
            <w:tcBorders>
              <w:top w:val="single" w:sz="4" w:space="0" w:color="auto"/>
              <w:left w:val="single" w:sz="4" w:space="0" w:color="auto"/>
              <w:bottom w:val="single" w:sz="4" w:space="0" w:color="auto"/>
              <w:right w:val="single" w:sz="4" w:space="0" w:color="auto"/>
            </w:tcBorders>
          </w:tcPr>
          <w:p w:rsidR="006E2239" w:rsidRDefault="006E2239">
            <w:pPr>
              <w:rPr>
                <w:iCs/>
                <w:noProof/>
                <w:szCs w:val="22"/>
              </w:rPr>
            </w:pPr>
          </w:p>
        </w:tc>
        <w:tc>
          <w:tcPr>
            <w:tcW w:w="2094"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iCs/>
                <w:noProof/>
                <w:szCs w:val="22"/>
                <w:lang w:val="da-DK"/>
              </w:rPr>
              <w:t>Colitis (inklusive pseudomembranøs colitis), hæmoragisk diarré, diarré, mavesmerter</w:t>
            </w:r>
          </w:p>
        </w:tc>
      </w:tr>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b/>
                <w:bCs/>
                <w:iCs/>
                <w:noProof/>
                <w:szCs w:val="22"/>
              </w:rPr>
              <w:t>Hud og subkutane væv*</w:t>
            </w:r>
          </w:p>
        </w:tc>
        <w:tc>
          <w:tcPr>
            <w:tcW w:w="1492"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iCs/>
                <w:noProof/>
                <w:szCs w:val="22"/>
                <w:lang w:val="da-DK"/>
              </w:rPr>
              <w:t xml:space="preserve">Erytem, afskalning, tørhed </w:t>
            </w:r>
            <w:r w:rsidRPr="006E2239">
              <w:rPr>
                <w:i/>
                <w:iCs/>
                <w:noProof/>
                <w:szCs w:val="22"/>
                <w:lang w:val="da-DK"/>
              </w:rPr>
              <w:t>(sværhedsgraden er generelt rapporteret som ’mild’)</w:t>
            </w:r>
          </w:p>
        </w:tc>
        <w:tc>
          <w:tcPr>
            <w:tcW w:w="1337"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Brændende fornemmelse</w:t>
            </w:r>
          </w:p>
        </w:tc>
        <w:tc>
          <w:tcPr>
            <w:tcW w:w="1218"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iCs/>
                <w:noProof/>
                <w:szCs w:val="22"/>
                <w:lang w:val="da-DK"/>
              </w:rPr>
              <w:t>Dermatitis, pruritus, erytematøst udslæt, forværring af acne</w:t>
            </w:r>
          </w:p>
        </w:tc>
        <w:tc>
          <w:tcPr>
            <w:tcW w:w="2094" w:type="dxa"/>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Urticaria</w:t>
            </w:r>
          </w:p>
        </w:tc>
      </w:tr>
      <w:tr w:rsidR="006E2239" w:rsidTr="006E2239">
        <w:tc>
          <w:tcPr>
            <w:tcW w:w="2194"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b/>
                <w:bCs/>
                <w:iCs/>
                <w:noProof/>
                <w:szCs w:val="22"/>
                <w:lang w:val="da-DK"/>
              </w:rPr>
              <w:t>Almene symptomer og reaktioner på administrationsstedet</w:t>
            </w:r>
          </w:p>
        </w:tc>
        <w:tc>
          <w:tcPr>
            <w:tcW w:w="1492" w:type="dxa"/>
            <w:tcBorders>
              <w:top w:val="single" w:sz="4" w:space="0" w:color="auto"/>
              <w:left w:val="single" w:sz="4" w:space="0" w:color="auto"/>
              <w:bottom w:val="single" w:sz="4" w:space="0" w:color="auto"/>
              <w:right w:val="single" w:sz="4" w:space="0" w:color="auto"/>
            </w:tcBorders>
          </w:tcPr>
          <w:p w:rsidR="006E2239" w:rsidRPr="006E2239" w:rsidRDefault="006E2239">
            <w:pPr>
              <w:rPr>
                <w:iCs/>
                <w:noProof/>
                <w:szCs w:val="22"/>
                <w:lang w:val="da-DK"/>
              </w:rPr>
            </w:pPr>
          </w:p>
        </w:tc>
        <w:tc>
          <w:tcPr>
            <w:tcW w:w="1337" w:type="dxa"/>
            <w:tcBorders>
              <w:top w:val="single" w:sz="4" w:space="0" w:color="auto"/>
              <w:left w:val="single" w:sz="4" w:space="0" w:color="auto"/>
              <w:bottom w:val="single" w:sz="4" w:space="0" w:color="auto"/>
              <w:right w:val="single" w:sz="4" w:space="0" w:color="auto"/>
            </w:tcBorders>
          </w:tcPr>
          <w:p w:rsidR="006E2239" w:rsidRPr="006E2239" w:rsidRDefault="006E2239">
            <w:pPr>
              <w:rPr>
                <w:iCs/>
                <w:noProof/>
                <w:szCs w:val="22"/>
                <w:lang w:val="da-DK"/>
              </w:rPr>
            </w:pPr>
          </w:p>
        </w:tc>
        <w:tc>
          <w:tcPr>
            <w:tcW w:w="1218" w:type="dxa"/>
            <w:tcBorders>
              <w:top w:val="single" w:sz="4" w:space="0" w:color="auto"/>
              <w:left w:val="single" w:sz="4" w:space="0" w:color="auto"/>
              <w:bottom w:val="single" w:sz="4" w:space="0" w:color="auto"/>
              <w:right w:val="single" w:sz="4" w:space="0" w:color="auto"/>
            </w:tcBorders>
          </w:tcPr>
          <w:p w:rsidR="006E2239" w:rsidRPr="006E2239" w:rsidRDefault="006E2239">
            <w:pPr>
              <w:rPr>
                <w:iCs/>
                <w:noProof/>
                <w:szCs w:val="22"/>
                <w:lang w:val="da-DK"/>
              </w:rPr>
            </w:pPr>
          </w:p>
        </w:tc>
        <w:tc>
          <w:tcPr>
            <w:tcW w:w="2094" w:type="dxa"/>
            <w:tcBorders>
              <w:top w:val="single" w:sz="4" w:space="0" w:color="auto"/>
              <w:left w:val="single" w:sz="4" w:space="0" w:color="auto"/>
              <w:bottom w:val="single" w:sz="4" w:space="0" w:color="auto"/>
              <w:right w:val="single" w:sz="4" w:space="0" w:color="auto"/>
            </w:tcBorders>
            <w:hideMark/>
          </w:tcPr>
          <w:p w:rsidR="006E2239" w:rsidRPr="006E2239" w:rsidRDefault="006E2239">
            <w:pPr>
              <w:rPr>
                <w:iCs/>
                <w:noProof/>
                <w:szCs w:val="22"/>
                <w:lang w:val="da-DK"/>
              </w:rPr>
            </w:pPr>
            <w:r w:rsidRPr="006E2239">
              <w:rPr>
                <w:iCs/>
                <w:noProof/>
                <w:szCs w:val="22"/>
                <w:lang w:val="da-DK"/>
              </w:rPr>
              <w:t>Reaktioner på administrationsstedet, herunder misfarvning af huden</w:t>
            </w:r>
          </w:p>
        </w:tc>
      </w:tr>
    </w:tbl>
    <w:p w:rsidR="006E2239" w:rsidRDefault="006E2239" w:rsidP="006E2239">
      <w:pPr>
        <w:rPr>
          <w:iCs/>
          <w:noProof/>
          <w:sz w:val="20"/>
        </w:rPr>
      </w:pPr>
      <w:r>
        <w:rPr>
          <w:iCs/>
          <w:noProof/>
          <w:sz w:val="20"/>
        </w:rPr>
        <w:t>*På administrationsstedet.. **Baseret på indberetninger efter markedsføringen. Eftersom disse indberetninger stammer fra en population af ukendt størrelse og er forbundet med konfunderende faktorer, er det ikke muligt at estimere hyppigheden på pålidelig vis, men systemiske reaktioner ses dog sjældent.</w:t>
      </w:r>
    </w:p>
    <w:p w:rsidR="006E2239" w:rsidRPr="006E2239" w:rsidRDefault="006E2239" w:rsidP="006E2239">
      <w:pPr>
        <w:ind w:left="851"/>
        <w:rPr>
          <w:iCs/>
          <w:noProof/>
          <w:sz w:val="24"/>
          <w:szCs w:val="24"/>
        </w:rPr>
      </w:pPr>
    </w:p>
    <w:p w:rsidR="006E2239" w:rsidRPr="006E2239" w:rsidRDefault="006E2239" w:rsidP="006E2239">
      <w:pPr>
        <w:ind w:left="851"/>
        <w:rPr>
          <w:iCs/>
          <w:noProof/>
          <w:sz w:val="24"/>
          <w:szCs w:val="24"/>
        </w:rPr>
      </w:pPr>
      <w:r w:rsidRPr="006E2239">
        <w:rPr>
          <w:iCs/>
          <w:noProof/>
          <w:sz w:val="24"/>
          <w:szCs w:val="24"/>
        </w:rPr>
        <w:t>Udover de bivirkninger, der er anført i tabellen ovenfor, blev der også rapporteret om lysfølsomhedsreaktioner på administrationsstedet med hyppigheden ’almindelig’ i de pivotale studier med topisk clindamycin 1 %/benzoylperoxid 3 % gel.</w:t>
      </w:r>
    </w:p>
    <w:p w:rsidR="006E2239" w:rsidRPr="006E2239" w:rsidRDefault="006E2239" w:rsidP="006E2239">
      <w:pPr>
        <w:ind w:left="851"/>
        <w:rPr>
          <w:iCs/>
          <w:noProof/>
          <w:sz w:val="24"/>
          <w:szCs w:val="24"/>
        </w:rPr>
      </w:pPr>
    </w:p>
    <w:p w:rsidR="006E2239" w:rsidRPr="006E2239" w:rsidRDefault="006E2239" w:rsidP="006E2239">
      <w:pPr>
        <w:ind w:left="851"/>
        <w:rPr>
          <w:iCs/>
          <w:noProof/>
          <w:sz w:val="24"/>
          <w:szCs w:val="24"/>
        </w:rPr>
      </w:pPr>
      <w:r w:rsidRPr="006E2239">
        <w:rPr>
          <w:iCs/>
          <w:noProof/>
          <w:sz w:val="24"/>
          <w:szCs w:val="24"/>
        </w:rPr>
        <w:t>Udover ovennævnte bivirkninger blev der også rapporteret om hovedpine og smerter på administrationsstedet med hyppigheden ’almindelig’ i studier med topisk clindamycin alene.</w:t>
      </w:r>
    </w:p>
    <w:p w:rsidR="006E2239" w:rsidRPr="006E2239" w:rsidRDefault="006E2239" w:rsidP="006E2239">
      <w:pPr>
        <w:ind w:left="851"/>
        <w:rPr>
          <w:i/>
          <w:iCs/>
          <w:noProof/>
          <w:sz w:val="24"/>
          <w:szCs w:val="24"/>
        </w:rPr>
      </w:pPr>
    </w:p>
    <w:p w:rsidR="006E2239" w:rsidRPr="006E2239" w:rsidRDefault="006E2239" w:rsidP="006E2239">
      <w:pPr>
        <w:ind w:left="851"/>
        <w:rPr>
          <w:i/>
          <w:iCs/>
          <w:noProof/>
          <w:sz w:val="24"/>
          <w:szCs w:val="24"/>
          <w:u w:val="single"/>
        </w:rPr>
      </w:pPr>
      <w:r w:rsidRPr="006E2239">
        <w:rPr>
          <w:i/>
          <w:iCs/>
          <w:noProof/>
          <w:sz w:val="24"/>
          <w:szCs w:val="24"/>
          <w:u w:val="single"/>
        </w:rPr>
        <w:t>Lokal tolerabilitet</w:t>
      </w:r>
    </w:p>
    <w:p w:rsidR="006E2239" w:rsidRPr="006E2239" w:rsidRDefault="006E2239" w:rsidP="006E2239">
      <w:pPr>
        <w:ind w:left="851"/>
        <w:rPr>
          <w:iCs/>
          <w:noProof/>
          <w:sz w:val="24"/>
          <w:szCs w:val="24"/>
        </w:rPr>
      </w:pPr>
      <w:r w:rsidRPr="006E2239">
        <w:rPr>
          <w:iCs/>
          <w:noProof/>
          <w:sz w:val="24"/>
          <w:szCs w:val="24"/>
        </w:rPr>
        <w:t>I de fem kliniske studier med en gel indeholdende 10 mg/g clindamycin og 50 mg/g benzoylperoxid blev alle patienter vurderet for ansigstserytem, afskalning, brænden og tørhed på følgende skala: 0 = ingen, 1 = mild, 2 = moderat og 3 = svær. Procentdelen af patienter med symptomer før behandlingen (ved baseline) og under behandlingen var, som følger:</w:t>
      </w:r>
    </w:p>
    <w:p w:rsidR="006E2239" w:rsidRPr="006E2239" w:rsidRDefault="006E2239" w:rsidP="006E2239">
      <w:pPr>
        <w:ind w:left="851"/>
        <w:rPr>
          <w:iCs/>
          <w:noProof/>
          <w:sz w:val="24"/>
          <w:szCs w:val="24"/>
        </w:rPr>
      </w:pPr>
    </w:p>
    <w:p w:rsidR="006E2239" w:rsidRDefault="006E2239" w:rsidP="006E2239">
      <w:pPr>
        <w:rPr>
          <w:b/>
          <w:bCs/>
          <w:iCs/>
          <w:noProof/>
          <w:szCs w:val="22"/>
        </w:rPr>
      </w:pPr>
      <w:r>
        <w:rPr>
          <w:b/>
          <w:bCs/>
          <w:iCs/>
          <w:noProof/>
          <w:szCs w:val="22"/>
        </w:rPr>
        <w:t>Vurdering af lokal tolerabilitet hos de forsøgspersoner (N=397), der fik en gel indeholdende 10 mg/g clindamycin og 50 mg/g benzoylperoxid, i fase 3-studierne:</w:t>
      </w:r>
    </w:p>
    <w:p w:rsidR="006E2239" w:rsidRDefault="006E2239" w:rsidP="006E2239">
      <w:pPr>
        <w:rPr>
          <w:b/>
          <w:bCs/>
          <w:iCs/>
          <w:noProof/>
          <w:szCs w:val="22"/>
        </w:rPr>
      </w:pPr>
    </w:p>
    <w:tbl>
      <w:tblPr>
        <w:tblStyle w:val="Tabel-Gitter"/>
        <w:tblW w:w="4920" w:type="pct"/>
        <w:jc w:val="right"/>
        <w:tblInd w:w="0" w:type="dxa"/>
        <w:tblLook w:val="04A0" w:firstRow="1" w:lastRow="0" w:firstColumn="1" w:lastColumn="0" w:noHBand="0" w:noVBand="1"/>
      </w:tblPr>
      <w:tblGrid>
        <w:gridCol w:w="1932"/>
        <w:gridCol w:w="1271"/>
        <w:gridCol w:w="1432"/>
        <w:gridCol w:w="1273"/>
        <w:gridCol w:w="1143"/>
        <w:gridCol w:w="1271"/>
        <w:gridCol w:w="1152"/>
      </w:tblGrid>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tcPr>
          <w:p w:rsidR="006E2239" w:rsidRPr="006E2239" w:rsidRDefault="006E2239">
            <w:pPr>
              <w:rPr>
                <w:b/>
                <w:bCs/>
                <w:iCs/>
                <w:noProof/>
                <w:szCs w:val="22"/>
                <w:lang w:val="da-DK"/>
              </w:rPr>
            </w:pPr>
          </w:p>
        </w:tc>
        <w:tc>
          <w:tcPr>
            <w:tcW w:w="2099" w:type="pct"/>
            <w:gridSpan w:val="3"/>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Før behandlingen (baseline)</w:t>
            </w:r>
          </w:p>
        </w:tc>
        <w:tc>
          <w:tcPr>
            <w:tcW w:w="1882" w:type="pct"/>
            <w:gridSpan w:val="3"/>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Under behandlingen</w:t>
            </w:r>
          </w:p>
        </w:tc>
      </w:tr>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tcPr>
          <w:p w:rsidR="006E2239" w:rsidRDefault="006E2239">
            <w:pPr>
              <w:rPr>
                <w:b/>
                <w:bCs/>
                <w:iCs/>
                <w:noProof/>
                <w:szCs w:val="22"/>
              </w:rPr>
            </w:pP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Mild</w:t>
            </w:r>
          </w:p>
        </w:tc>
        <w:tc>
          <w:tcPr>
            <w:tcW w:w="756"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Moderat</w:t>
            </w:r>
          </w:p>
        </w:tc>
        <w:tc>
          <w:tcPr>
            <w:tcW w:w="672"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Svær</w:t>
            </w:r>
          </w:p>
        </w:tc>
        <w:tc>
          <w:tcPr>
            <w:tcW w:w="603"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Mild</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Moderat</w:t>
            </w:r>
          </w:p>
        </w:tc>
        <w:tc>
          <w:tcPr>
            <w:tcW w:w="608"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Svær</w:t>
            </w:r>
          </w:p>
        </w:tc>
      </w:tr>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Erytem</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28 %</w:t>
            </w:r>
          </w:p>
        </w:tc>
        <w:tc>
          <w:tcPr>
            <w:tcW w:w="756" w:type="pct"/>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3 %</w:t>
            </w:r>
          </w:p>
        </w:tc>
        <w:tc>
          <w:tcPr>
            <w:tcW w:w="672" w:type="pct"/>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0</w:t>
            </w:r>
          </w:p>
        </w:tc>
        <w:tc>
          <w:tcPr>
            <w:tcW w:w="603"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26 %</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5 %</w:t>
            </w:r>
          </w:p>
        </w:tc>
        <w:tc>
          <w:tcPr>
            <w:tcW w:w="608" w:type="pct"/>
            <w:tcBorders>
              <w:top w:val="single" w:sz="4" w:space="0" w:color="auto"/>
              <w:left w:val="single" w:sz="4" w:space="0" w:color="auto"/>
              <w:bottom w:val="single" w:sz="4" w:space="0" w:color="auto"/>
              <w:right w:val="single" w:sz="4" w:space="0" w:color="auto"/>
            </w:tcBorders>
            <w:hideMark/>
          </w:tcPr>
          <w:p w:rsidR="006E2239" w:rsidRDefault="006E2239">
            <w:pPr>
              <w:rPr>
                <w:iCs/>
                <w:noProof/>
                <w:szCs w:val="22"/>
              </w:rPr>
            </w:pPr>
            <w:r>
              <w:rPr>
                <w:iCs/>
                <w:noProof/>
                <w:szCs w:val="22"/>
              </w:rPr>
              <w:t>0</w:t>
            </w:r>
          </w:p>
        </w:tc>
      </w:tr>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Afskalning</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6 %</w:t>
            </w:r>
          </w:p>
        </w:tc>
        <w:tc>
          <w:tcPr>
            <w:tcW w:w="756"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&lt;1 %</w:t>
            </w:r>
          </w:p>
        </w:tc>
        <w:tc>
          <w:tcPr>
            <w:tcW w:w="672"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c>
          <w:tcPr>
            <w:tcW w:w="603"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17 %</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2 %</w:t>
            </w:r>
          </w:p>
        </w:tc>
        <w:tc>
          <w:tcPr>
            <w:tcW w:w="608"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r>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Brænden</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3 %</w:t>
            </w:r>
          </w:p>
        </w:tc>
        <w:tc>
          <w:tcPr>
            <w:tcW w:w="756"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&lt;1 %</w:t>
            </w:r>
          </w:p>
        </w:tc>
        <w:tc>
          <w:tcPr>
            <w:tcW w:w="672"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c>
          <w:tcPr>
            <w:tcW w:w="603"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5 %</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&lt;1 %</w:t>
            </w:r>
          </w:p>
        </w:tc>
        <w:tc>
          <w:tcPr>
            <w:tcW w:w="608"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r>
      <w:tr w:rsidR="006E2239" w:rsidTr="006E2239">
        <w:trPr>
          <w:jc w:val="right"/>
        </w:trPr>
        <w:tc>
          <w:tcPr>
            <w:tcW w:w="1019"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b/>
                <w:bCs/>
                <w:iCs/>
                <w:noProof/>
                <w:szCs w:val="22"/>
              </w:rPr>
              <w:t>Tørhed</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6 %</w:t>
            </w:r>
          </w:p>
        </w:tc>
        <w:tc>
          <w:tcPr>
            <w:tcW w:w="756"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&lt;1 %</w:t>
            </w:r>
          </w:p>
        </w:tc>
        <w:tc>
          <w:tcPr>
            <w:tcW w:w="672"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c>
          <w:tcPr>
            <w:tcW w:w="603"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15 %</w:t>
            </w:r>
          </w:p>
        </w:tc>
        <w:tc>
          <w:tcPr>
            <w:tcW w:w="671" w:type="pct"/>
            <w:tcBorders>
              <w:top w:val="single" w:sz="4" w:space="0" w:color="auto"/>
              <w:left w:val="single" w:sz="4" w:space="0" w:color="auto"/>
              <w:bottom w:val="single" w:sz="4" w:space="0" w:color="auto"/>
              <w:right w:val="single" w:sz="4" w:space="0" w:color="auto"/>
            </w:tcBorders>
            <w:hideMark/>
          </w:tcPr>
          <w:p w:rsidR="006E2239" w:rsidRDefault="006E2239">
            <w:pPr>
              <w:rPr>
                <w:b/>
                <w:bCs/>
                <w:iCs/>
                <w:noProof/>
                <w:szCs w:val="22"/>
              </w:rPr>
            </w:pPr>
            <w:r>
              <w:rPr>
                <w:iCs/>
                <w:noProof/>
                <w:szCs w:val="22"/>
              </w:rPr>
              <w:t>1 %</w:t>
            </w:r>
          </w:p>
        </w:tc>
        <w:tc>
          <w:tcPr>
            <w:tcW w:w="608" w:type="pct"/>
            <w:tcBorders>
              <w:top w:val="single" w:sz="4" w:space="0" w:color="auto"/>
              <w:left w:val="single" w:sz="4" w:space="0" w:color="auto"/>
              <w:bottom w:val="single" w:sz="4" w:space="0" w:color="auto"/>
              <w:right w:val="single" w:sz="4" w:space="0" w:color="auto"/>
            </w:tcBorders>
            <w:hideMark/>
          </w:tcPr>
          <w:p w:rsidR="006E2239" w:rsidRDefault="006E2239">
            <w:pPr>
              <w:rPr>
                <w:bCs/>
                <w:iCs/>
                <w:noProof/>
                <w:szCs w:val="22"/>
              </w:rPr>
            </w:pPr>
            <w:r>
              <w:rPr>
                <w:bCs/>
                <w:iCs/>
                <w:noProof/>
                <w:szCs w:val="22"/>
              </w:rPr>
              <w:t>0</w:t>
            </w:r>
          </w:p>
        </w:tc>
      </w:tr>
    </w:tbl>
    <w:p w:rsidR="006E2239" w:rsidRDefault="006E2239" w:rsidP="006E2239">
      <w:pPr>
        <w:rPr>
          <w:b/>
          <w:bCs/>
          <w:iCs/>
          <w:noProof/>
          <w:sz w:val="22"/>
          <w:szCs w:val="22"/>
        </w:rPr>
      </w:pPr>
    </w:p>
    <w:p w:rsidR="006E2239" w:rsidRPr="006E2239" w:rsidRDefault="006E2239" w:rsidP="009E1292">
      <w:pPr>
        <w:ind w:left="851"/>
        <w:rPr>
          <w:i/>
          <w:noProof/>
          <w:sz w:val="24"/>
          <w:szCs w:val="24"/>
        </w:rPr>
      </w:pPr>
    </w:p>
    <w:p w:rsidR="006E2239" w:rsidRPr="006E2239" w:rsidRDefault="006E2239" w:rsidP="009E1292">
      <w:pPr>
        <w:autoSpaceDE w:val="0"/>
        <w:autoSpaceDN w:val="0"/>
        <w:adjustRightInd w:val="0"/>
        <w:ind w:left="851"/>
        <w:rPr>
          <w:sz w:val="24"/>
          <w:szCs w:val="24"/>
          <w:u w:val="single"/>
        </w:rPr>
      </w:pPr>
      <w:r w:rsidRPr="006E2239">
        <w:rPr>
          <w:noProof/>
          <w:sz w:val="24"/>
          <w:szCs w:val="24"/>
          <w:u w:val="single"/>
        </w:rPr>
        <w:t>Indberetning af formodede bivirkninger</w:t>
      </w:r>
    </w:p>
    <w:p w:rsidR="006E2239" w:rsidRPr="006E2239" w:rsidRDefault="006E2239" w:rsidP="009E1292">
      <w:pPr>
        <w:autoSpaceDE w:val="0"/>
        <w:autoSpaceDN w:val="0"/>
        <w:adjustRightInd w:val="0"/>
        <w:ind w:left="851"/>
        <w:rPr>
          <w:noProof/>
          <w:sz w:val="24"/>
          <w:szCs w:val="24"/>
        </w:rPr>
      </w:pPr>
      <w:r w:rsidRPr="006E2239">
        <w:rPr>
          <w:noProof/>
          <w:sz w:val="24"/>
          <w:szCs w:val="24"/>
        </w:rPr>
        <w:t>Når lægemidlet er godkendt, er indberetning af formodede bivirkninger vigtig.</w:t>
      </w:r>
      <w:r w:rsidRPr="006E2239">
        <w:rPr>
          <w:sz w:val="24"/>
          <w:szCs w:val="24"/>
        </w:rPr>
        <w:t xml:space="preserve"> </w:t>
      </w:r>
      <w:r w:rsidRPr="006E2239">
        <w:rPr>
          <w:noProof/>
          <w:sz w:val="24"/>
          <w:szCs w:val="24"/>
        </w:rPr>
        <w:t>Det muliggør løbende overvågning af benefit/risk-forholdet for lægemidlet.</w:t>
      </w:r>
      <w:r w:rsidRPr="006E2239">
        <w:rPr>
          <w:sz w:val="24"/>
          <w:szCs w:val="24"/>
        </w:rPr>
        <w:t xml:space="preserve"> </w:t>
      </w:r>
      <w:r w:rsidRPr="006E2239">
        <w:rPr>
          <w:noProof/>
          <w:sz w:val="24"/>
          <w:szCs w:val="24"/>
        </w:rPr>
        <w:t>Sundhedspersoner anmodes om at indberette alle formodede bivirkninger via:</w:t>
      </w:r>
    </w:p>
    <w:p w:rsidR="006E2239" w:rsidRPr="006E2239" w:rsidRDefault="006E2239" w:rsidP="009E1292">
      <w:pPr>
        <w:autoSpaceDE w:val="0"/>
        <w:autoSpaceDN w:val="0"/>
        <w:adjustRightInd w:val="0"/>
        <w:ind w:left="851"/>
        <w:rPr>
          <w:noProof/>
          <w:sz w:val="24"/>
          <w:szCs w:val="24"/>
        </w:rPr>
      </w:pPr>
    </w:p>
    <w:p w:rsidR="006E2239" w:rsidRPr="006E2239" w:rsidRDefault="006E2239" w:rsidP="009E1292">
      <w:pPr>
        <w:autoSpaceDE w:val="0"/>
        <w:autoSpaceDN w:val="0"/>
        <w:adjustRightInd w:val="0"/>
        <w:ind w:left="851"/>
        <w:rPr>
          <w:noProof/>
          <w:sz w:val="24"/>
          <w:szCs w:val="24"/>
        </w:rPr>
      </w:pPr>
      <w:r w:rsidRPr="006E2239">
        <w:rPr>
          <w:noProof/>
          <w:sz w:val="24"/>
          <w:szCs w:val="24"/>
        </w:rPr>
        <w:t>Lægemiddelstyrelsen</w:t>
      </w:r>
    </w:p>
    <w:p w:rsidR="006E2239" w:rsidRPr="006E2239" w:rsidRDefault="006E2239" w:rsidP="009E1292">
      <w:pPr>
        <w:autoSpaceDE w:val="0"/>
        <w:autoSpaceDN w:val="0"/>
        <w:adjustRightInd w:val="0"/>
        <w:ind w:left="851"/>
        <w:rPr>
          <w:noProof/>
          <w:sz w:val="24"/>
          <w:szCs w:val="24"/>
        </w:rPr>
      </w:pPr>
      <w:r w:rsidRPr="006E2239">
        <w:rPr>
          <w:noProof/>
          <w:sz w:val="24"/>
          <w:szCs w:val="24"/>
        </w:rPr>
        <w:t>Axel Heides Gade 1</w:t>
      </w:r>
    </w:p>
    <w:p w:rsidR="006E2239" w:rsidRPr="006E2239" w:rsidRDefault="006E2239" w:rsidP="009E1292">
      <w:pPr>
        <w:autoSpaceDE w:val="0"/>
        <w:autoSpaceDN w:val="0"/>
        <w:adjustRightInd w:val="0"/>
        <w:ind w:left="851"/>
        <w:rPr>
          <w:noProof/>
          <w:sz w:val="24"/>
          <w:szCs w:val="24"/>
        </w:rPr>
      </w:pPr>
      <w:r w:rsidRPr="006E2239">
        <w:rPr>
          <w:noProof/>
          <w:sz w:val="24"/>
          <w:szCs w:val="24"/>
        </w:rPr>
        <w:t>DK-2300 København S</w:t>
      </w:r>
    </w:p>
    <w:p w:rsidR="006E2239" w:rsidRPr="006E2239" w:rsidRDefault="006E2239" w:rsidP="009E1292">
      <w:pPr>
        <w:autoSpaceDE w:val="0"/>
        <w:autoSpaceDN w:val="0"/>
        <w:adjustRightInd w:val="0"/>
        <w:ind w:left="851"/>
        <w:rPr>
          <w:noProof/>
          <w:sz w:val="24"/>
          <w:szCs w:val="24"/>
        </w:rPr>
      </w:pPr>
      <w:r w:rsidRPr="006E2239">
        <w:rPr>
          <w:noProof/>
          <w:sz w:val="24"/>
          <w:szCs w:val="24"/>
        </w:rPr>
        <w:t xml:space="preserve">Websted: </w:t>
      </w:r>
      <w:hyperlink r:id="rId8" w:history="1">
        <w:r w:rsidR="00BB0373" w:rsidRPr="008039BC">
          <w:rPr>
            <w:rStyle w:val="Hyperlink"/>
            <w:noProof/>
            <w:sz w:val="24"/>
            <w:szCs w:val="24"/>
          </w:rPr>
          <w:t>www.meldenbivirkning.dk</w:t>
        </w:r>
      </w:hyperlink>
      <w:r w:rsidR="00BB0373">
        <w:rPr>
          <w:noProof/>
          <w:sz w:val="24"/>
          <w:szCs w:val="24"/>
        </w:rPr>
        <w:t xml:space="preserve"> </w:t>
      </w:r>
    </w:p>
    <w:p w:rsidR="009260DE" w:rsidRPr="006E2239" w:rsidRDefault="009260DE" w:rsidP="009E129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A0B44" w:rsidRPr="007A0B44" w:rsidRDefault="007A0B44" w:rsidP="007A0B44">
      <w:pPr>
        <w:tabs>
          <w:tab w:val="left" w:pos="851"/>
        </w:tabs>
        <w:ind w:left="851"/>
        <w:rPr>
          <w:sz w:val="24"/>
          <w:szCs w:val="24"/>
        </w:rPr>
      </w:pPr>
      <w:r w:rsidRPr="007A0B44">
        <w:rPr>
          <w:sz w:val="24"/>
          <w:szCs w:val="24"/>
        </w:rPr>
        <w:t xml:space="preserve">Overdreven påføring af </w:t>
      </w:r>
      <w:proofErr w:type="spellStart"/>
      <w:r w:rsidRPr="007A0B44">
        <w:rPr>
          <w:sz w:val="24"/>
          <w:szCs w:val="24"/>
        </w:rPr>
        <w:t>Clinzoyl</w:t>
      </w:r>
      <w:proofErr w:type="spellEnd"/>
      <w:r w:rsidRPr="007A0B44">
        <w:rPr>
          <w:sz w:val="24"/>
          <w:szCs w:val="24"/>
        </w:rPr>
        <w:t xml:space="preserve"> kan medføre svær irritation. I så tilfælde bør behandlingen afbrydes, indtil huden er helet.</w:t>
      </w:r>
    </w:p>
    <w:p w:rsidR="007A0B44" w:rsidRPr="007A0B44" w:rsidRDefault="007A0B44" w:rsidP="007A0B44">
      <w:pPr>
        <w:tabs>
          <w:tab w:val="left" w:pos="851"/>
        </w:tabs>
        <w:ind w:left="851"/>
        <w:rPr>
          <w:sz w:val="24"/>
          <w:szCs w:val="24"/>
        </w:rPr>
      </w:pPr>
    </w:p>
    <w:p w:rsidR="007A0B44" w:rsidRPr="007A0B44" w:rsidRDefault="007A0B44" w:rsidP="007A0B44">
      <w:pPr>
        <w:tabs>
          <w:tab w:val="left" w:pos="851"/>
        </w:tabs>
        <w:ind w:left="851"/>
        <w:rPr>
          <w:sz w:val="24"/>
          <w:szCs w:val="24"/>
        </w:rPr>
      </w:pPr>
      <w:r w:rsidRPr="007A0B44">
        <w:rPr>
          <w:sz w:val="24"/>
          <w:szCs w:val="24"/>
        </w:rPr>
        <w:t xml:space="preserve">Topisk påført </w:t>
      </w:r>
      <w:proofErr w:type="spellStart"/>
      <w:r w:rsidRPr="007A0B44">
        <w:rPr>
          <w:sz w:val="24"/>
          <w:szCs w:val="24"/>
        </w:rPr>
        <w:t>benzoylperoxid</w:t>
      </w:r>
      <w:proofErr w:type="spellEnd"/>
      <w:r w:rsidRPr="007A0B44">
        <w:rPr>
          <w:sz w:val="24"/>
          <w:szCs w:val="24"/>
        </w:rPr>
        <w:t xml:space="preserve"> absorberes normalt ikke i så store mængder, at det forårsager systemiske virkninger.</w:t>
      </w:r>
    </w:p>
    <w:p w:rsidR="007A0B44" w:rsidRPr="007A0B44" w:rsidRDefault="007A0B44" w:rsidP="007A0B44">
      <w:pPr>
        <w:tabs>
          <w:tab w:val="left" w:pos="851"/>
        </w:tabs>
        <w:ind w:left="851"/>
        <w:rPr>
          <w:sz w:val="24"/>
          <w:szCs w:val="24"/>
        </w:rPr>
      </w:pPr>
    </w:p>
    <w:p w:rsidR="007A0B44" w:rsidRPr="007A0B44" w:rsidRDefault="007A0B44" w:rsidP="007A0B44">
      <w:pPr>
        <w:tabs>
          <w:tab w:val="left" w:pos="851"/>
        </w:tabs>
        <w:ind w:left="851"/>
        <w:rPr>
          <w:sz w:val="24"/>
          <w:szCs w:val="24"/>
        </w:rPr>
      </w:pPr>
      <w:r w:rsidRPr="007A0B44">
        <w:rPr>
          <w:sz w:val="24"/>
          <w:szCs w:val="24"/>
        </w:rPr>
        <w:t xml:space="preserve">Overdreven topisk påføring af </w:t>
      </w:r>
      <w:proofErr w:type="spellStart"/>
      <w:r w:rsidRPr="007A0B44">
        <w:rPr>
          <w:sz w:val="24"/>
          <w:szCs w:val="24"/>
        </w:rPr>
        <w:t>clindamycin</w:t>
      </w:r>
      <w:proofErr w:type="spellEnd"/>
      <w:r w:rsidRPr="007A0B44">
        <w:rPr>
          <w:sz w:val="24"/>
          <w:szCs w:val="24"/>
        </w:rPr>
        <w:t xml:space="preserve"> kan resultere i absorption af så store mængder, at det medfører systemiske virkninger.</w:t>
      </w:r>
    </w:p>
    <w:p w:rsidR="007A0B44" w:rsidRPr="007A0B44" w:rsidRDefault="007A0B44" w:rsidP="007A0B44">
      <w:pPr>
        <w:tabs>
          <w:tab w:val="left" w:pos="851"/>
        </w:tabs>
        <w:ind w:left="851"/>
        <w:rPr>
          <w:sz w:val="24"/>
          <w:szCs w:val="24"/>
        </w:rPr>
      </w:pPr>
    </w:p>
    <w:p w:rsidR="007A0B44" w:rsidRPr="007A0B44" w:rsidRDefault="007A0B44" w:rsidP="007A0B44">
      <w:pPr>
        <w:tabs>
          <w:tab w:val="left" w:pos="851"/>
        </w:tabs>
        <w:ind w:left="851"/>
        <w:rPr>
          <w:sz w:val="24"/>
          <w:szCs w:val="24"/>
        </w:rPr>
      </w:pPr>
      <w:r w:rsidRPr="007A0B44">
        <w:rPr>
          <w:sz w:val="24"/>
          <w:szCs w:val="24"/>
        </w:rPr>
        <w:t xml:space="preserve">I tilfælde af utilsigtet indtagelse af </w:t>
      </w:r>
      <w:proofErr w:type="spellStart"/>
      <w:r w:rsidRPr="007A0B44">
        <w:rPr>
          <w:sz w:val="24"/>
          <w:szCs w:val="24"/>
        </w:rPr>
        <w:t>Clinzoyl</w:t>
      </w:r>
      <w:proofErr w:type="spellEnd"/>
      <w:r w:rsidRPr="007A0B44">
        <w:rPr>
          <w:sz w:val="24"/>
          <w:szCs w:val="24"/>
        </w:rPr>
        <w:t xml:space="preserve"> kan der ses de samme </w:t>
      </w:r>
      <w:proofErr w:type="spellStart"/>
      <w:r w:rsidRPr="007A0B44">
        <w:rPr>
          <w:sz w:val="24"/>
          <w:szCs w:val="24"/>
        </w:rPr>
        <w:t>gastrointestinale</w:t>
      </w:r>
      <w:proofErr w:type="spellEnd"/>
      <w:r w:rsidRPr="007A0B44">
        <w:rPr>
          <w:sz w:val="24"/>
          <w:szCs w:val="24"/>
        </w:rPr>
        <w:t xml:space="preserve"> bivirkninger som ved systemisk administreret </w:t>
      </w:r>
      <w:proofErr w:type="spellStart"/>
      <w:r w:rsidRPr="007A0B44">
        <w:rPr>
          <w:sz w:val="24"/>
          <w:szCs w:val="24"/>
        </w:rPr>
        <w:t>clindamycin</w:t>
      </w:r>
      <w:proofErr w:type="spellEnd"/>
      <w:r w:rsidRPr="007A0B44">
        <w:rPr>
          <w:sz w:val="24"/>
          <w:szCs w:val="24"/>
        </w:rPr>
        <w:t>.</w:t>
      </w:r>
    </w:p>
    <w:p w:rsidR="007A0B44" w:rsidRPr="007A0B44" w:rsidRDefault="007A0B44" w:rsidP="007A0B44">
      <w:pPr>
        <w:tabs>
          <w:tab w:val="left" w:pos="851"/>
        </w:tabs>
        <w:ind w:left="851"/>
        <w:rPr>
          <w:sz w:val="24"/>
          <w:szCs w:val="24"/>
        </w:rPr>
      </w:pPr>
    </w:p>
    <w:p w:rsidR="007A0B44" w:rsidRPr="007A0B44" w:rsidRDefault="007A0B44" w:rsidP="007A0B44">
      <w:pPr>
        <w:tabs>
          <w:tab w:val="left" w:pos="851"/>
        </w:tabs>
        <w:ind w:left="851"/>
        <w:rPr>
          <w:sz w:val="24"/>
          <w:szCs w:val="24"/>
        </w:rPr>
      </w:pPr>
      <w:r w:rsidRPr="007A0B44">
        <w:rPr>
          <w:sz w:val="24"/>
          <w:szCs w:val="24"/>
        </w:rPr>
        <w:t>Der bør træffes hensigtsmæssige symptomatiske foranstaltninger til lindring af irritation som følge af overdosering.</w:t>
      </w:r>
    </w:p>
    <w:p w:rsidR="007A0B44" w:rsidRPr="007A0B44" w:rsidRDefault="007A0B44" w:rsidP="007A0B44">
      <w:pPr>
        <w:tabs>
          <w:tab w:val="left" w:pos="851"/>
        </w:tabs>
        <w:ind w:left="851"/>
        <w:rPr>
          <w:sz w:val="24"/>
          <w:szCs w:val="24"/>
        </w:rPr>
      </w:pPr>
    </w:p>
    <w:p w:rsidR="007A0B44" w:rsidRPr="007A0B44" w:rsidRDefault="007A0B44" w:rsidP="007A0B44">
      <w:pPr>
        <w:tabs>
          <w:tab w:val="left" w:pos="851"/>
        </w:tabs>
        <w:ind w:left="851"/>
        <w:rPr>
          <w:sz w:val="24"/>
          <w:szCs w:val="24"/>
        </w:rPr>
      </w:pPr>
      <w:r w:rsidRPr="007A0B44">
        <w:rPr>
          <w:sz w:val="24"/>
          <w:szCs w:val="24"/>
        </w:rPr>
        <w:t>Utilsigtet indtagelse bør behandles klinisk eller i henhold til anbefalingerne fra det nationale forgiftningscenter, hvor en sådant findes.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C1D9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B0373" w:rsidRDefault="00BB0373" w:rsidP="00DB2DC9">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DB2DC9">
        <w:rPr>
          <w:sz w:val="24"/>
          <w:szCs w:val="24"/>
        </w:rPr>
        <w:t>Clindamycin</w:t>
      </w:r>
      <w:proofErr w:type="spellEnd"/>
      <w:r w:rsidRPr="00DB2DC9">
        <w:rPr>
          <w:sz w:val="24"/>
          <w:szCs w:val="24"/>
        </w:rPr>
        <w:t>, kombinationer.</w:t>
      </w:r>
      <w:r>
        <w:rPr>
          <w:sz w:val="24"/>
          <w:szCs w:val="24"/>
        </w:rPr>
        <w:t xml:space="preserve"> </w:t>
      </w:r>
      <w:r w:rsidRPr="00DB2DC9">
        <w:rPr>
          <w:sz w:val="24"/>
          <w:szCs w:val="24"/>
        </w:rPr>
        <w:t>ATC-kode: D</w:t>
      </w:r>
      <w:r>
        <w:rPr>
          <w:sz w:val="24"/>
          <w:szCs w:val="24"/>
        </w:rPr>
        <w:t xml:space="preserve"> </w:t>
      </w:r>
      <w:r w:rsidRPr="00DB2DC9">
        <w:rPr>
          <w:sz w:val="24"/>
          <w:szCs w:val="24"/>
        </w:rPr>
        <w:t>10</w:t>
      </w:r>
      <w:r>
        <w:rPr>
          <w:sz w:val="24"/>
          <w:szCs w:val="24"/>
        </w:rPr>
        <w:t xml:space="preserve"> </w:t>
      </w:r>
      <w:r w:rsidRPr="00DB2DC9">
        <w:rPr>
          <w:sz w:val="24"/>
          <w:szCs w:val="24"/>
        </w:rPr>
        <w:t>AF</w:t>
      </w:r>
      <w:r>
        <w:rPr>
          <w:sz w:val="24"/>
          <w:szCs w:val="24"/>
        </w:rPr>
        <w:t xml:space="preserve"> </w:t>
      </w:r>
      <w:r w:rsidRPr="00DB2DC9">
        <w:rPr>
          <w:sz w:val="24"/>
          <w:szCs w:val="24"/>
        </w:rPr>
        <w:t>51.</w:t>
      </w:r>
    </w:p>
    <w:p w:rsidR="00BB0373" w:rsidRDefault="00BB0373"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Clindamycin er et lincosamid-antibiotikum med bakteriostatisk virkning mod Gram-positive aerober og et bredt udvalg af anaerobe bakterier. Lincosamider, såsom clindamycin, binder til underenhed 23S i det bakterielle ribosom og hæmmer de tidlige stadier af proteinsyntese. Clindamycins virkning er primært bakteriostatisk, selvom høje koncentrationer kan have langsom baktericid virkning mod følsomme stammer.</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 xml:space="preserve">Clindamycinphosphat er inaktivt </w:t>
      </w:r>
      <w:r w:rsidRPr="00DB2DC9">
        <w:rPr>
          <w:bCs/>
          <w:i/>
          <w:iCs/>
          <w:noProof/>
          <w:sz w:val="24"/>
          <w:szCs w:val="24"/>
        </w:rPr>
        <w:t>in vitro</w:t>
      </w:r>
      <w:r w:rsidRPr="00DB2DC9">
        <w:rPr>
          <w:bCs/>
          <w:noProof/>
          <w:sz w:val="24"/>
          <w:szCs w:val="24"/>
        </w:rPr>
        <w:t xml:space="preserve">, men omdannes til antibakterielt aktivt clindamycin via hurtig </w:t>
      </w:r>
      <w:r w:rsidRPr="00DB2DC9">
        <w:rPr>
          <w:bCs/>
          <w:i/>
          <w:noProof/>
          <w:sz w:val="24"/>
          <w:szCs w:val="24"/>
        </w:rPr>
        <w:t>in vivo</w:t>
      </w:r>
      <w:r w:rsidRPr="00DB2DC9">
        <w:rPr>
          <w:bCs/>
          <w:noProof/>
          <w:sz w:val="24"/>
          <w:szCs w:val="24"/>
        </w:rPr>
        <w:t xml:space="preserve">-hydrolyse. Det er klinisk dokumenteret i komedoner fra acnepatienter, at clindamycin udøver tilstrækkelig virkning mod de fleste stammer af </w:t>
      </w:r>
      <w:r w:rsidRPr="00DB2DC9">
        <w:rPr>
          <w:bCs/>
          <w:i/>
          <w:iCs/>
          <w:noProof/>
          <w:sz w:val="24"/>
          <w:szCs w:val="24"/>
        </w:rPr>
        <w:t>Propionibacterium acnes.</w:t>
      </w:r>
      <w:r w:rsidRPr="00DB2DC9">
        <w:rPr>
          <w:bCs/>
          <w:noProof/>
          <w:sz w:val="24"/>
          <w:szCs w:val="24"/>
        </w:rPr>
        <w:t xml:space="preserve"> </w:t>
      </w:r>
      <w:r w:rsidRPr="00DB2DC9">
        <w:rPr>
          <w:bCs/>
          <w:i/>
          <w:iCs/>
          <w:noProof/>
          <w:sz w:val="24"/>
          <w:szCs w:val="24"/>
        </w:rPr>
        <w:t xml:space="preserve">In vitro </w:t>
      </w:r>
      <w:r w:rsidRPr="00DB2DC9">
        <w:rPr>
          <w:bCs/>
          <w:noProof/>
          <w:sz w:val="24"/>
          <w:szCs w:val="24"/>
        </w:rPr>
        <w:t xml:space="preserve">hæmmer clindamycin alle testede </w:t>
      </w:r>
      <w:r w:rsidRPr="00DB2DC9">
        <w:rPr>
          <w:bCs/>
          <w:i/>
          <w:iCs/>
          <w:noProof/>
          <w:sz w:val="24"/>
          <w:szCs w:val="24"/>
        </w:rPr>
        <w:t>Propionibacterium acnes-</w:t>
      </w:r>
      <w:r w:rsidRPr="00DB2DC9">
        <w:rPr>
          <w:bCs/>
          <w:noProof/>
          <w:sz w:val="24"/>
          <w:szCs w:val="24"/>
        </w:rPr>
        <w:t>kulturer (MIC 0,4 mikrogram/ml). Der er set en reduktion i frie fedtsyrer på hudoverfladen fra cirka 14 % til 2 % efter påføring af clindamycin.</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 xml:space="preserve">Benzoylperoxid har mild keratolytisk virkning mod komedoner på alle udviklingsstadier. Det er et oxyderende middel med baktericid virkning mod </w:t>
      </w:r>
      <w:r w:rsidRPr="00DB2DC9">
        <w:rPr>
          <w:bCs/>
          <w:i/>
          <w:iCs/>
          <w:noProof/>
          <w:sz w:val="24"/>
          <w:szCs w:val="24"/>
        </w:rPr>
        <w:t>Propionibacterium acnes</w:t>
      </w:r>
      <w:r w:rsidRPr="00DB2DC9">
        <w:rPr>
          <w:bCs/>
          <w:noProof/>
          <w:sz w:val="24"/>
          <w:szCs w:val="24"/>
        </w:rPr>
        <w:t>, som er den organisme, der er medvirkende til acne vulgaris. Det er desuden sebostatisk og modvirker derved den overproduktion af sebum, der ses i forbindelse med acne.</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Clinzoyl har en kombination af milde keratolytiske og antibakterielle egenskaber, der især giver virkning mod betændte læsioner ved mild til moderat acne vulgaris.</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Prævalensen af erhvervet resistens kan variere geografisk og over tid for udvalgte arter. Der bør indhentes lokale resistensoplysninger, særligt ved behandling af svære infektioner.</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 xml:space="preserve">Tilføjelsen af benzoylperoxid reducerer risikoen for udvikling af organismer, der er resistente over for clindamycin. </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Formuleringen med begge aktive stoffer i ét produkt er mere praktisk og med til at sikre compliance.</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u w:val="single"/>
        </w:rPr>
      </w:pPr>
      <w:r w:rsidRPr="00DB2DC9">
        <w:rPr>
          <w:bCs/>
          <w:noProof/>
          <w:sz w:val="24"/>
          <w:szCs w:val="24"/>
          <w:u w:val="single"/>
        </w:rPr>
        <w:t>Klinisk virkning og sikkerhed</w:t>
      </w:r>
    </w:p>
    <w:p w:rsidR="00DB2DC9" w:rsidRPr="00DB2DC9" w:rsidRDefault="00DB2DC9" w:rsidP="00DB2DC9">
      <w:pPr>
        <w:ind w:left="851"/>
        <w:rPr>
          <w:bCs/>
          <w:noProof/>
          <w:sz w:val="24"/>
          <w:szCs w:val="24"/>
        </w:rPr>
      </w:pPr>
      <w:r w:rsidRPr="00DB2DC9">
        <w:rPr>
          <w:bCs/>
          <w:noProof/>
          <w:sz w:val="24"/>
          <w:szCs w:val="24"/>
        </w:rPr>
        <w:t xml:space="preserve">I fem randomiserede dobbeltblinde kliniske studier med 1.318 patienter med facial acne vulgaris med både inflammatoriske og non-inflammatoriske læsioner anvendte 396 patienter </w:t>
      </w:r>
      <w:r w:rsidRPr="00DB2DC9">
        <w:rPr>
          <w:bCs/>
          <w:iCs/>
          <w:noProof/>
          <w:sz w:val="24"/>
          <w:szCs w:val="24"/>
        </w:rPr>
        <w:t>en gel indeholdende 10 mg/g clindamycin og 50 mg/g benzoylperoxid</w:t>
      </w:r>
      <w:r w:rsidRPr="00DB2DC9">
        <w:rPr>
          <w:bCs/>
          <w:noProof/>
          <w:sz w:val="24"/>
          <w:szCs w:val="24"/>
        </w:rPr>
        <w:t xml:space="preserve">, 396  patienter anvendte benzoylperoxid, 349 patienter anvendte clindamycin, og 177 patienter anvendte et vehikel. Behandlingen blev påført </w:t>
      </w:r>
      <w:r w:rsidR="001C7AAC">
        <w:rPr>
          <w:bCs/>
          <w:noProof/>
          <w:sz w:val="24"/>
          <w:szCs w:val="24"/>
        </w:rPr>
        <w:t>en</w:t>
      </w:r>
      <w:r w:rsidRPr="00DB2DC9">
        <w:rPr>
          <w:bCs/>
          <w:noProof/>
          <w:sz w:val="24"/>
          <w:szCs w:val="24"/>
        </w:rPr>
        <w:t xml:space="preserve"> gang </w:t>
      </w:r>
      <w:r w:rsidR="001C7AAC">
        <w:rPr>
          <w:bCs/>
          <w:noProof/>
          <w:sz w:val="24"/>
          <w:szCs w:val="24"/>
        </w:rPr>
        <w:t>daglig</w:t>
      </w:r>
      <w:r w:rsidRPr="00DB2DC9">
        <w:rPr>
          <w:bCs/>
          <w:noProof/>
          <w:sz w:val="24"/>
          <w:szCs w:val="24"/>
        </w:rPr>
        <w:t xml:space="preserve"> i 11 uger, og patienterne blev vurderet og læsionerne talt efter uge 2, 5, 8 og 11.</w:t>
      </w:r>
    </w:p>
    <w:p w:rsidR="00DB2DC9" w:rsidRPr="00DB2DC9" w:rsidRDefault="00DB2DC9" w:rsidP="00DB2DC9">
      <w:pPr>
        <w:ind w:left="851"/>
        <w:rPr>
          <w:bCs/>
          <w:noProof/>
          <w:sz w:val="24"/>
          <w:szCs w:val="24"/>
        </w:rPr>
      </w:pPr>
    </w:p>
    <w:p w:rsidR="00DB2DC9" w:rsidRDefault="00DB2DC9" w:rsidP="00DB2DC9">
      <w:pPr>
        <w:ind w:left="851"/>
        <w:rPr>
          <w:bCs/>
          <w:noProof/>
          <w:sz w:val="24"/>
          <w:szCs w:val="24"/>
        </w:rPr>
      </w:pPr>
      <w:r w:rsidRPr="00DB2DC9">
        <w:rPr>
          <w:bCs/>
          <w:noProof/>
          <w:sz w:val="24"/>
          <w:szCs w:val="24"/>
        </w:rPr>
        <w:t xml:space="preserve">Den gennemsnitlige procentvise reduktion i antallet af læsioner efter 11 uger er vist i nedenstående tabel. </w:t>
      </w:r>
    </w:p>
    <w:p w:rsidR="00DB2DC9" w:rsidRPr="00DB2DC9" w:rsidRDefault="00DB2DC9" w:rsidP="00DB2DC9">
      <w:pPr>
        <w:ind w:left="851"/>
        <w:rPr>
          <w:bCs/>
          <w:noProof/>
          <w:sz w:val="24"/>
          <w:szCs w:val="24"/>
        </w:rPr>
      </w:pPr>
    </w:p>
    <w:p w:rsidR="00DB2DC9" w:rsidRDefault="00DB2DC9" w:rsidP="00725189">
      <w:pPr>
        <w:ind w:left="284"/>
        <w:rPr>
          <w:b/>
          <w:bCs/>
          <w:noProof/>
          <w:szCs w:val="22"/>
        </w:rPr>
      </w:pPr>
      <w:r>
        <w:rPr>
          <w:b/>
          <w:bCs/>
          <w:noProof/>
          <w:szCs w:val="22"/>
        </w:rPr>
        <w:t>Gennemsnitlig procentvis reduktion i antallet af læsioner efter 11 uger i forhold til baseline</w:t>
      </w:r>
    </w:p>
    <w:p w:rsidR="00725189" w:rsidRDefault="00725189" w:rsidP="00725189">
      <w:pPr>
        <w:ind w:left="284"/>
        <w:rPr>
          <w:b/>
          <w:bCs/>
          <w:noProof/>
          <w:szCs w:val="22"/>
        </w:rPr>
      </w:pPr>
    </w:p>
    <w:tbl>
      <w:tblPr>
        <w:tblStyle w:val="Tabel-Gitter"/>
        <w:tblW w:w="0" w:type="auto"/>
        <w:tblInd w:w="279" w:type="dxa"/>
        <w:tblLook w:val="04A0" w:firstRow="1" w:lastRow="0" w:firstColumn="1" w:lastColumn="0" w:noHBand="0" w:noVBand="1"/>
      </w:tblPr>
      <w:tblGrid>
        <w:gridCol w:w="2551"/>
        <w:gridCol w:w="1245"/>
        <w:gridCol w:w="1245"/>
        <w:gridCol w:w="1245"/>
        <w:gridCol w:w="1245"/>
        <w:gridCol w:w="1204"/>
      </w:tblGrid>
      <w:tr w:rsidR="00DB2DC9" w:rsidTr="00725189">
        <w:tc>
          <w:tcPr>
            <w:tcW w:w="2551" w:type="dxa"/>
            <w:tcBorders>
              <w:top w:val="single" w:sz="4" w:space="0" w:color="auto"/>
              <w:left w:val="single" w:sz="4" w:space="0" w:color="auto"/>
              <w:bottom w:val="single" w:sz="4" w:space="0" w:color="auto"/>
              <w:right w:val="single" w:sz="4" w:space="0" w:color="auto"/>
            </w:tcBorders>
          </w:tcPr>
          <w:p w:rsidR="00DB2DC9" w:rsidRPr="00DB2DC9" w:rsidRDefault="00DB2DC9">
            <w:pPr>
              <w:rPr>
                <w:bCs/>
                <w:noProof/>
                <w:szCs w:val="22"/>
                <w:lang w:val="da-DK"/>
              </w:rPr>
            </w:pP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Studie 150</w:t>
            </w:r>
          </w:p>
          <w:p w:rsidR="00DB2DC9" w:rsidRDefault="00DB2DC9">
            <w:pPr>
              <w:rPr>
                <w:bCs/>
                <w:noProof/>
                <w:szCs w:val="22"/>
              </w:rPr>
            </w:pPr>
            <w:r>
              <w:rPr>
                <w:b/>
                <w:bCs/>
                <w:noProof/>
                <w:szCs w:val="22"/>
              </w:rPr>
              <w:t>(n = 120)</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Studie 151</w:t>
            </w:r>
          </w:p>
          <w:p w:rsidR="00DB2DC9" w:rsidRDefault="00DB2DC9">
            <w:pPr>
              <w:rPr>
                <w:bCs/>
                <w:noProof/>
                <w:szCs w:val="22"/>
              </w:rPr>
            </w:pPr>
            <w:r>
              <w:rPr>
                <w:b/>
                <w:bCs/>
                <w:noProof/>
                <w:szCs w:val="22"/>
              </w:rPr>
              <w:t>(n = 273)</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Studie 152</w:t>
            </w:r>
          </w:p>
          <w:p w:rsidR="00DB2DC9" w:rsidRDefault="00DB2DC9">
            <w:pPr>
              <w:rPr>
                <w:bCs/>
                <w:noProof/>
                <w:szCs w:val="22"/>
              </w:rPr>
            </w:pPr>
            <w:r>
              <w:rPr>
                <w:b/>
                <w:bCs/>
                <w:noProof/>
                <w:szCs w:val="22"/>
              </w:rPr>
              <w:t>(n = 280)</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Studie 156</w:t>
            </w:r>
          </w:p>
          <w:p w:rsidR="00DB2DC9" w:rsidRDefault="00DB2DC9">
            <w:pPr>
              <w:rPr>
                <w:bCs/>
                <w:noProof/>
                <w:szCs w:val="22"/>
              </w:rPr>
            </w:pPr>
            <w:r>
              <w:rPr>
                <w:b/>
                <w:bCs/>
                <w:noProof/>
                <w:szCs w:val="22"/>
              </w:rPr>
              <w:t>(n = 287)</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Studie 158*</w:t>
            </w:r>
          </w:p>
          <w:p w:rsidR="00DB2DC9" w:rsidRDefault="00DB2DC9">
            <w:pPr>
              <w:rPr>
                <w:bCs/>
                <w:noProof/>
                <w:szCs w:val="22"/>
              </w:rPr>
            </w:pPr>
            <w:r>
              <w:rPr>
                <w:b/>
                <w:bCs/>
                <w:noProof/>
                <w:szCs w:val="22"/>
              </w:rPr>
              <w:t>(n = 358)</w:t>
            </w:r>
          </w:p>
        </w:tc>
      </w:tr>
      <w:tr w:rsidR="00DB2DC9" w:rsidTr="00725189">
        <w:tc>
          <w:tcPr>
            <w:tcW w:w="8735" w:type="dxa"/>
            <w:gridSpan w:val="6"/>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Inflammatoriske læsioner</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Pr="00DB2DC9" w:rsidRDefault="00DB2DC9">
            <w:pPr>
              <w:rPr>
                <w:bCs/>
                <w:noProof/>
                <w:szCs w:val="22"/>
                <w:lang w:val="da-DK"/>
              </w:rPr>
            </w:pPr>
            <w:bookmarkStart w:id="1" w:name="_Hlk72242675"/>
            <w:r w:rsidRPr="00DB2DC9">
              <w:rPr>
                <w:bCs/>
                <w:iCs/>
                <w:noProof/>
                <w:szCs w:val="22"/>
                <w:lang w:val="da-DK"/>
              </w:rPr>
              <w:t>Gel indeholdende 10 mg/g clindamycin og 50 mg/g 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65</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56</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42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57</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52</w:t>
            </w:r>
          </w:p>
        </w:tc>
        <w:bookmarkEnd w:id="1"/>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36</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37</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57</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41</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Clindamycin</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34</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30</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38</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49</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33</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Vehikel</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19</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-0,4</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29</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29</w:t>
            </w:r>
          </w:p>
        </w:tc>
      </w:tr>
      <w:tr w:rsidR="00DB2DC9" w:rsidTr="00725189">
        <w:tc>
          <w:tcPr>
            <w:tcW w:w="8735" w:type="dxa"/>
            <w:gridSpan w:val="6"/>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Non-inflammatoriske læsioner</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725189" w:rsidRDefault="00DB2DC9">
            <w:pPr>
              <w:rPr>
                <w:bCs/>
                <w:noProof/>
                <w:szCs w:val="22"/>
                <w:lang w:val="da-DK"/>
              </w:rPr>
            </w:pPr>
            <w:r w:rsidRPr="00DB2DC9">
              <w:rPr>
                <w:bCs/>
                <w:noProof/>
                <w:szCs w:val="22"/>
                <w:lang w:val="da-DK"/>
              </w:rPr>
              <w:t>Gel indeholdende</w:t>
            </w:r>
          </w:p>
          <w:p w:rsidR="00DB2DC9" w:rsidRPr="00DB2DC9" w:rsidRDefault="00DB2DC9">
            <w:pPr>
              <w:rPr>
                <w:bCs/>
                <w:noProof/>
                <w:szCs w:val="22"/>
                <w:lang w:val="da-DK"/>
              </w:rPr>
            </w:pPr>
            <w:r w:rsidRPr="00DB2DC9">
              <w:rPr>
                <w:bCs/>
                <w:noProof/>
                <w:szCs w:val="22"/>
                <w:lang w:val="da-DK"/>
              </w:rPr>
              <w:t>10 mg/g clindamycin og 50 mg/g 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27</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37</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24</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39</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25</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12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30</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16</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29</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23</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Clindamycin</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-4</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13</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18</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17</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Vehikel</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-9</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-5</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17</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-7</w:t>
            </w:r>
          </w:p>
        </w:tc>
      </w:tr>
      <w:tr w:rsidR="00DB2DC9" w:rsidTr="00725189">
        <w:tc>
          <w:tcPr>
            <w:tcW w:w="8735" w:type="dxa"/>
            <w:gridSpan w:val="6"/>
            <w:tcBorders>
              <w:top w:val="single" w:sz="4" w:space="0" w:color="auto"/>
              <w:left w:val="single" w:sz="4" w:space="0" w:color="auto"/>
              <w:bottom w:val="single" w:sz="4" w:space="0" w:color="auto"/>
              <w:right w:val="single" w:sz="4" w:space="0" w:color="auto"/>
            </w:tcBorders>
            <w:hideMark/>
          </w:tcPr>
          <w:p w:rsidR="00DB2DC9" w:rsidRPr="00DB2DC9" w:rsidRDefault="00DB2DC9">
            <w:pPr>
              <w:rPr>
                <w:bCs/>
                <w:noProof/>
                <w:szCs w:val="22"/>
                <w:lang w:val="da-DK"/>
              </w:rPr>
            </w:pPr>
            <w:r w:rsidRPr="00DB2DC9">
              <w:rPr>
                <w:b/>
                <w:bCs/>
                <w:noProof/>
                <w:szCs w:val="22"/>
                <w:lang w:val="da-DK"/>
              </w:rPr>
              <w:t>Læsioner i alt (inflammatoriske og non-inflammatoriske læsioner)</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C81C8A" w:rsidRDefault="00DB2DC9">
            <w:pPr>
              <w:rPr>
                <w:bCs/>
                <w:noProof/>
                <w:szCs w:val="22"/>
                <w:lang w:val="da-DK"/>
              </w:rPr>
            </w:pPr>
            <w:r w:rsidRPr="00DB2DC9">
              <w:rPr>
                <w:bCs/>
                <w:noProof/>
                <w:szCs w:val="22"/>
                <w:lang w:val="da-DK"/>
              </w:rPr>
              <w:t>Gel indeholdende</w:t>
            </w:r>
          </w:p>
          <w:p w:rsidR="00DB2DC9" w:rsidRPr="00DB2DC9" w:rsidRDefault="00DB2DC9">
            <w:pPr>
              <w:rPr>
                <w:bCs/>
                <w:noProof/>
                <w:szCs w:val="22"/>
                <w:lang w:val="da-DK"/>
              </w:rPr>
            </w:pPr>
            <w:r w:rsidRPr="00DB2DC9">
              <w:rPr>
                <w:bCs/>
                <w:noProof/>
                <w:szCs w:val="22"/>
                <w:lang w:val="da-DK"/>
              </w:rPr>
              <w:t>10 mg/g clindamycin og 50 mg/g 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41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45</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50</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41</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lastRenderedPageBreak/>
              <w:t>Benzoylperoxid</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20</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35</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23</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43</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34</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Clindamycin</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33</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26</w:t>
            </w:r>
          </w:p>
        </w:tc>
      </w:tr>
      <w:tr w:rsidR="00DB2DC9" w:rsidTr="00725189">
        <w:tc>
          <w:tcPr>
            <w:tcW w:w="2551"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Cs/>
                <w:noProof/>
                <w:szCs w:val="22"/>
              </w:rPr>
              <w:t>Vehikel</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Cs/>
                <w:noProof/>
                <w:szCs w:val="22"/>
              </w:rPr>
            </w:pPr>
            <w:r>
              <w:rPr>
                <w:b/>
                <w:bCs/>
                <w:noProof/>
                <w:szCs w:val="22"/>
              </w:rPr>
              <w:t>-1</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22</w:t>
            </w:r>
          </w:p>
        </w:tc>
        <w:tc>
          <w:tcPr>
            <w:tcW w:w="1245"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w:t>
            </w:r>
          </w:p>
        </w:tc>
        <w:tc>
          <w:tcPr>
            <w:tcW w:w="1199" w:type="dxa"/>
            <w:tcBorders>
              <w:top w:val="single" w:sz="4" w:space="0" w:color="auto"/>
              <w:left w:val="single" w:sz="4" w:space="0" w:color="auto"/>
              <w:bottom w:val="single" w:sz="4" w:space="0" w:color="auto"/>
              <w:right w:val="single" w:sz="4" w:space="0" w:color="auto"/>
            </w:tcBorders>
            <w:hideMark/>
          </w:tcPr>
          <w:p w:rsidR="00DB2DC9" w:rsidRDefault="00DB2DC9">
            <w:pPr>
              <w:rPr>
                <w:b/>
                <w:bCs/>
                <w:noProof/>
                <w:szCs w:val="22"/>
              </w:rPr>
            </w:pPr>
            <w:r>
              <w:rPr>
                <w:b/>
                <w:bCs/>
                <w:noProof/>
                <w:szCs w:val="22"/>
              </w:rPr>
              <w:t>16</w:t>
            </w:r>
          </w:p>
        </w:tc>
      </w:tr>
    </w:tbl>
    <w:p w:rsidR="00DB2DC9" w:rsidRDefault="00DB2DC9" w:rsidP="00C81C8A">
      <w:pPr>
        <w:ind w:left="284"/>
        <w:rPr>
          <w:bCs/>
          <w:noProof/>
          <w:sz w:val="20"/>
        </w:rPr>
      </w:pPr>
      <w:r>
        <w:rPr>
          <w:b/>
          <w:bCs/>
          <w:noProof/>
          <w:sz w:val="20"/>
        </w:rPr>
        <w:t xml:space="preserve">*Pivotalstudie. </w:t>
      </w:r>
      <w:r>
        <w:rPr>
          <w:bCs/>
          <w:noProof/>
          <w:sz w:val="20"/>
        </w:rPr>
        <w:t>Statistisk signifikante forskelle er fremhævet med</w:t>
      </w:r>
      <w:r>
        <w:rPr>
          <w:b/>
          <w:bCs/>
          <w:noProof/>
          <w:sz w:val="20"/>
        </w:rPr>
        <w:t xml:space="preserve"> fed skrift</w:t>
      </w:r>
      <w:r>
        <w:rPr>
          <w:bCs/>
          <w:noProof/>
          <w:sz w:val="20"/>
        </w:rPr>
        <w:t>.</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 xml:space="preserve">Reduktionen i totale læsioner var signifikant større med </w:t>
      </w:r>
      <w:bookmarkStart w:id="2" w:name="_Hlk72242750"/>
      <w:r w:rsidRPr="00DB2DC9">
        <w:rPr>
          <w:bCs/>
          <w:noProof/>
          <w:sz w:val="24"/>
          <w:szCs w:val="24"/>
        </w:rPr>
        <w:t>gelen indeholdende 10 mg/g clindamycin og 50 mg/g benzoylperoxid</w:t>
      </w:r>
      <w:bookmarkEnd w:id="2"/>
      <w:r w:rsidRPr="00DB2DC9">
        <w:rPr>
          <w:bCs/>
          <w:noProof/>
          <w:sz w:val="24"/>
          <w:szCs w:val="24"/>
        </w:rPr>
        <w:t xml:space="preserve"> end med clindamycin eller vehiklet i alle fem studier. Forbedringen var konsekvent større med gelen indeholdende 10 mg/g clindamycin og 50 mg/g benzoylperoxid end med benzoylperoxid, men forskellen opnåede ikke statistisk signifikans i de enkelte studier.</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Ved inflammatoriske læsioner var gelen indeholdende 10 mg/g clindamycin og 50 mg/g benzoylperoxid signifikant bedre end monoterapi med clindamycin i fire ud af fem studier og signifikant bedre end monoterapi med benzoylperoxid i tre ud af fem studier. Ved non-inflammatoriske læsioner var gelen indeholdende 10 mg/g clindamycin og 50 mg/g benzoylperoxid signifikant bedre end clindamycin i fire ud af fem studier og viste en tendens til at være bedre end monoterapi med benzoylperoxid.</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Den samlede forbedring af acne blev vurderet af lægen og var signifikant bedre med gelen indeholdende 10 mg/g clindamycin og 50 mg/g benzoylperoxid end med monoterapi med benzoylperoxid eller clindamyin i tre ud af fem studier.</w:t>
      </w:r>
    </w:p>
    <w:p w:rsidR="00DB2DC9" w:rsidRPr="00DB2DC9" w:rsidRDefault="00DB2DC9" w:rsidP="00DB2DC9">
      <w:pPr>
        <w:ind w:left="851"/>
        <w:rPr>
          <w:bCs/>
          <w:noProof/>
          <w:sz w:val="24"/>
          <w:szCs w:val="24"/>
        </w:rPr>
      </w:pPr>
    </w:p>
    <w:p w:rsidR="00DB2DC9" w:rsidRPr="00DB2DC9" w:rsidRDefault="00DB2DC9" w:rsidP="00DB2DC9">
      <w:pPr>
        <w:ind w:left="851"/>
        <w:rPr>
          <w:bCs/>
          <w:noProof/>
          <w:sz w:val="24"/>
          <w:szCs w:val="24"/>
        </w:rPr>
      </w:pPr>
      <w:r w:rsidRPr="00DB2DC9">
        <w:rPr>
          <w:bCs/>
          <w:noProof/>
          <w:sz w:val="24"/>
          <w:szCs w:val="24"/>
        </w:rPr>
        <w:t>Virkningen på inflammatoriske læsioner kunne ses efter 2 ugers behandling. Virkningen på non-inflammatoriske læsioner var mere variabel og kunne som regel ses efter 2-5 ugers behandling.</w:t>
      </w:r>
    </w:p>
    <w:p w:rsidR="009260DE" w:rsidRPr="00DB2DC9" w:rsidRDefault="009260DE" w:rsidP="00DB2DC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133CA" w:rsidRPr="00D133CA" w:rsidRDefault="00D133CA" w:rsidP="00D133CA">
      <w:pPr>
        <w:tabs>
          <w:tab w:val="left" w:pos="851"/>
        </w:tabs>
        <w:ind w:left="851"/>
        <w:rPr>
          <w:sz w:val="24"/>
          <w:szCs w:val="24"/>
        </w:rPr>
      </w:pPr>
      <w:r w:rsidRPr="00D133CA">
        <w:rPr>
          <w:sz w:val="24"/>
          <w:szCs w:val="24"/>
        </w:rPr>
        <w:t xml:space="preserve">I et studie med maksimeret </w:t>
      </w:r>
      <w:proofErr w:type="spellStart"/>
      <w:r w:rsidRPr="00D133CA">
        <w:rPr>
          <w:sz w:val="24"/>
          <w:szCs w:val="24"/>
        </w:rPr>
        <w:t>perkutan</w:t>
      </w:r>
      <w:proofErr w:type="spellEnd"/>
      <w:r w:rsidRPr="00D133CA">
        <w:rPr>
          <w:sz w:val="24"/>
          <w:szCs w:val="24"/>
        </w:rPr>
        <w:t xml:space="preserve"> absorption var det gennemsnitlige plasmaniveau af </w:t>
      </w:r>
      <w:proofErr w:type="spellStart"/>
      <w:r w:rsidRPr="00D133CA">
        <w:rPr>
          <w:sz w:val="24"/>
          <w:szCs w:val="24"/>
        </w:rPr>
        <w:t>clindamycin</w:t>
      </w:r>
      <w:proofErr w:type="spellEnd"/>
      <w:r w:rsidRPr="00D133CA">
        <w:rPr>
          <w:sz w:val="24"/>
          <w:szCs w:val="24"/>
        </w:rPr>
        <w:t xml:space="preserve"> over en fire-ugers doseringsperiode med en </w:t>
      </w:r>
      <w:r w:rsidRPr="00D133CA">
        <w:rPr>
          <w:bCs/>
          <w:sz w:val="24"/>
          <w:szCs w:val="24"/>
        </w:rPr>
        <w:t xml:space="preserve">gel indeholdende 10 mg/g </w:t>
      </w:r>
      <w:proofErr w:type="spellStart"/>
      <w:r w:rsidRPr="00D133CA">
        <w:rPr>
          <w:bCs/>
          <w:sz w:val="24"/>
          <w:szCs w:val="24"/>
        </w:rPr>
        <w:t>clindamycin</w:t>
      </w:r>
      <w:proofErr w:type="spellEnd"/>
      <w:r w:rsidRPr="00D133CA">
        <w:rPr>
          <w:bCs/>
          <w:sz w:val="24"/>
          <w:szCs w:val="24"/>
        </w:rPr>
        <w:t xml:space="preserve"> og 50 mg/g </w:t>
      </w:r>
      <w:proofErr w:type="spellStart"/>
      <w:r w:rsidRPr="00D133CA">
        <w:rPr>
          <w:bCs/>
          <w:sz w:val="24"/>
          <w:szCs w:val="24"/>
        </w:rPr>
        <w:t>benzoylperoxid</w:t>
      </w:r>
      <w:proofErr w:type="spellEnd"/>
      <w:r w:rsidRPr="00D133CA">
        <w:rPr>
          <w:sz w:val="24"/>
          <w:szCs w:val="24"/>
        </w:rPr>
        <w:t xml:space="preserve"> negligeabel (0,043 % af den påførte dosis).</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t xml:space="preserve">Tilstedeværelsen af </w:t>
      </w:r>
      <w:proofErr w:type="spellStart"/>
      <w:r w:rsidRPr="00D133CA">
        <w:rPr>
          <w:sz w:val="24"/>
          <w:szCs w:val="24"/>
        </w:rPr>
        <w:t>benzoylperoxid</w:t>
      </w:r>
      <w:proofErr w:type="spellEnd"/>
      <w:r w:rsidRPr="00D133CA">
        <w:rPr>
          <w:sz w:val="24"/>
          <w:szCs w:val="24"/>
        </w:rPr>
        <w:t xml:space="preserve"> i formuleringen havde ingen indvirkning på den </w:t>
      </w:r>
      <w:proofErr w:type="spellStart"/>
      <w:r w:rsidRPr="00D133CA">
        <w:rPr>
          <w:sz w:val="24"/>
          <w:szCs w:val="24"/>
        </w:rPr>
        <w:t>perkutane</w:t>
      </w:r>
      <w:proofErr w:type="spellEnd"/>
      <w:r w:rsidRPr="00D133CA">
        <w:rPr>
          <w:sz w:val="24"/>
          <w:szCs w:val="24"/>
        </w:rPr>
        <w:t xml:space="preserve"> absorption af </w:t>
      </w:r>
      <w:proofErr w:type="spellStart"/>
      <w:r w:rsidRPr="00D133CA">
        <w:rPr>
          <w:sz w:val="24"/>
          <w:szCs w:val="24"/>
        </w:rPr>
        <w:t>clindamycin</w:t>
      </w:r>
      <w:proofErr w:type="spellEnd"/>
      <w:r w:rsidRPr="00D133CA">
        <w:rPr>
          <w:sz w:val="24"/>
          <w:szCs w:val="24"/>
        </w:rPr>
        <w:t>.</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t xml:space="preserve">Studier med radioaktivt mærket stof viste, at </w:t>
      </w:r>
      <w:proofErr w:type="spellStart"/>
      <w:r w:rsidRPr="00D133CA">
        <w:rPr>
          <w:sz w:val="24"/>
          <w:szCs w:val="24"/>
        </w:rPr>
        <w:t>benzoylperoxid</w:t>
      </w:r>
      <w:proofErr w:type="spellEnd"/>
      <w:r w:rsidRPr="00D133CA">
        <w:rPr>
          <w:sz w:val="24"/>
          <w:szCs w:val="24"/>
        </w:rPr>
        <w:t xml:space="preserve"> kun kan absorberes via huden efter omdannelse til benzoesyre. Benzoesyre konjugeres primært til </w:t>
      </w:r>
      <w:proofErr w:type="spellStart"/>
      <w:r w:rsidRPr="00D133CA">
        <w:rPr>
          <w:sz w:val="24"/>
          <w:szCs w:val="24"/>
        </w:rPr>
        <w:t>hippursyre</w:t>
      </w:r>
      <w:proofErr w:type="spellEnd"/>
      <w:r w:rsidRPr="00D133CA">
        <w:rPr>
          <w:sz w:val="24"/>
          <w:szCs w:val="24"/>
        </w:rPr>
        <w:t>, som udskilles via nyrerne.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B0373">
        <w:rPr>
          <w:b/>
          <w:sz w:val="24"/>
          <w:szCs w:val="24"/>
        </w:rPr>
        <w:t>Non-</w:t>
      </w:r>
      <w:r w:rsidRPr="00C84483">
        <w:rPr>
          <w:b/>
          <w:sz w:val="24"/>
          <w:szCs w:val="24"/>
        </w:rPr>
        <w:t>kliniske sikkerhedsdata</w:t>
      </w:r>
    </w:p>
    <w:p w:rsidR="00D133CA" w:rsidRPr="00D133CA" w:rsidRDefault="00D133CA" w:rsidP="00D133CA">
      <w:pPr>
        <w:tabs>
          <w:tab w:val="left" w:pos="851"/>
        </w:tabs>
        <w:ind w:left="851"/>
        <w:rPr>
          <w:sz w:val="24"/>
          <w:szCs w:val="24"/>
        </w:rPr>
      </w:pPr>
    </w:p>
    <w:p w:rsidR="00D133CA" w:rsidRPr="00AD674F" w:rsidRDefault="00D133CA" w:rsidP="00D133CA">
      <w:pPr>
        <w:tabs>
          <w:tab w:val="left" w:pos="851"/>
        </w:tabs>
        <w:ind w:left="851"/>
        <w:rPr>
          <w:iCs/>
          <w:sz w:val="24"/>
          <w:szCs w:val="24"/>
          <w:u w:val="single"/>
        </w:rPr>
      </w:pPr>
      <w:proofErr w:type="spellStart"/>
      <w:r w:rsidRPr="00AD674F">
        <w:rPr>
          <w:iCs/>
          <w:sz w:val="24"/>
          <w:szCs w:val="24"/>
          <w:u w:val="single"/>
        </w:rPr>
        <w:t>Clindamycin</w:t>
      </w:r>
      <w:proofErr w:type="spellEnd"/>
      <w:r w:rsidRPr="00AD674F">
        <w:rPr>
          <w:iCs/>
          <w:sz w:val="24"/>
          <w:szCs w:val="24"/>
          <w:u w:val="single"/>
        </w:rPr>
        <w:t xml:space="preserve"> og </w:t>
      </w:r>
      <w:proofErr w:type="spellStart"/>
      <w:r w:rsidRPr="00AD674F">
        <w:rPr>
          <w:iCs/>
          <w:sz w:val="24"/>
          <w:szCs w:val="24"/>
          <w:u w:val="single"/>
        </w:rPr>
        <w:t>benzoylperoxid</w:t>
      </w:r>
      <w:proofErr w:type="spellEnd"/>
      <w:r w:rsidRPr="00AD674F">
        <w:rPr>
          <w:iCs/>
          <w:sz w:val="24"/>
          <w:szCs w:val="24"/>
          <w:u w:val="single"/>
        </w:rPr>
        <w:t xml:space="preserve"> </w:t>
      </w:r>
    </w:p>
    <w:p w:rsidR="00D133CA" w:rsidRPr="00D133CA" w:rsidRDefault="00D133CA" w:rsidP="00D133CA">
      <w:pPr>
        <w:tabs>
          <w:tab w:val="left" w:pos="851"/>
        </w:tabs>
        <w:ind w:left="851"/>
        <w:rPr>
          <w:sz w:val="24"/>
          <w:szCs w:val="24"/>
        </w:rPr>
      </w:pPr>
      <w:r w:rsidRPr="00D133CA">
        <w:rPr>
          <w:sz w:val="24"/>
          <w:szCs w:val="24"/>
        </w:rPr>
        <w:t xml:space="preserve">I et toårigt </w:t>
      </w:r>
      <w:proofErr w:type="spellStart"/>
      <w:r w:rsidRPr="00D133CA">
        <w:rPr>
          <w:sz w:val="24"/>
          <w:szCs w:val="24"/>
        </w:rPr>
        <w:t>karcinogenicitetsstudie</w:t>
      </w:r>
      <w:proofErr w:type="spellEnd"/>
      <w:r w:rsidRPr="00D133CA">
        <w:rPr>
          <w:sz w:val="24"/>
          <w:szCs w:val="24"/>
        </w:rPr>
        <w:t xml:space="preserve"> hos mus med topisk administration af </w:t>
      </w:r>
      <w:proofErr w:type="spellStart"/>
      <w:r w:rsidRPr="00D133CA">
        <w:rPr>
          <w:sz w:val="24"/>
          <w:szCs w:val="24"/>
        </w:rPr>
        <w:t>clindamycin</w:t>
      </w:r>
      <w:proofErr w:type="spellEnd"/>
      <w:r w:rsidRPr="00D133CA">
        <w:rPr>
          <w:sz w:val="24"/>
          <w:szCs w:val="24"/>
        </w:rPr>
        <w:t xml:space="preserve"> og </w:t>
      </w:r>
      <w:proofErr w:type="spellStart"/>
      <w:r w:rsidRPr="00D133CA">
        <w:rPr>
          <w:sz w:val="24"/>
          <w:szCs w:val="24"/>
        </w:rPr>
        <w:t>benzoylperoxid</w:t>
      </w:r>
      <w:proofErr w:type="spellEnd"/>
      <w:r w:rsidRPr="00D133CA">
        <w:rPr>
          <w:sz w:val="24"/>
          <w:szCs w:val="24"/>
        </w:rPr>
        <w:t xml:space="preserve"> blev der ikke set tegn på en øget </w:t>
      </w:r>
      <w:proofErr w:type="gramStart"/>
      <w:r w:rsidRPr="00D133CA">
        <w:rPr>
          <w:sz w:val="24"/>
          <w:szCs w:val="24"/>
        </w:rPr>
        <w:t>karcinogen risiko</w:t>
      </w:r>
      <w:proofErr w:type="gramEnd"/>
      <w:r w:rsidRPr="00D133CA">
        <w:rPr>
          <w:sz w:val="24"/>
          <w:szCs w:val="24"/>
        </w:rPr>
        <w:t xml:space="preserve"> sammenlignet med kontrolgruppen.</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t>I et foto-</w:t>
      </w:r>
      <w:proofErr w:type="spellStart"/>
      <w:r w:rsidRPr="00D133CA">
        <w:rPr>
          <w:sz w:val="24"/>
          <w:szCs w:val="24"/>
        </w:rPr>
        <w:t>co</w:t>
      </w:r>
      <w:proofErr w:type="spellEnd"/>
      <w:r w:rsidRPr="00D133CA">
        <w:rPr>
          <w:sz w:val="24"/>
          <w:szCs w:val="24"/>
        </w:rPr>
        <w:t>-</w:t>
      </w:r>
      <w:proofErr w:type="spellStart"/>
      <w:r w:rsidRPr="00D133CA">
        <w:rPr>
          <w:sz w:val="24"/>
          <w:szCs w:val="24"/>
        </w:rPr>
        <w:t>karcinogenicitetsstudie</w:t>
      </w:r>
      <w:proofErr w:type="spellEnd"/>
      <w:r w:rsidRPr="00D133CA">
        <w:rPr>
          <w:sz w:val="24"/>
          <w:szCs w:val="24"/>
        </w:rPr>
        <w:t xml:space="preserve"> hos mus blev der set en let reduktion i den gennemsnitlige tid til tumordannelse i forhold til kontrolgruppen efter samtidig eksponering for </w:t>
      </w:r>
      <w:proofErr w:type="spellStart"/>
      <w:r w:rsidRPr="00D133CA">
        <w:rPr>
          <w:sz w:val="24"/>
          <w:szCs w:val="24"/>
        </w:rPr>
        <w:t>clindamycin</w:t>
      </w:r>
      <w:proofErr w:type="spellEnd"/>
      <w:r w:rsidRPr="00D133CA">
        <w:rPr>
          <w:sz w:val="24"/>
          <w:szCs w:val="24"/>
        </w:rPr>
        <w:t xml:space="preserve"> og </w:t>
      </w:r>
      <w:proofErr w:type="spellStart"/>
      <w:r w:rsidRPr="00D133CA">
        <w:rPr>
          <w:sz w:val="24"/>
          <w:szCs w:val="24"/>
        </w:rPr>
        <w:t>benzoylperoxid</w:t>
      </w:r>
      <w:proofErr w:type="spellEnd"/>
      <w:r w:rsidRPr="00D133CA">
        <w:rPr>
          <w:sz w:val="24"/>
          <w:szCs w:val="24"/>
        </w:rPr>
        <w:t xml:space="preserve"> og simuleret sollys. Den kliniske relevans af observationerne i dette studie er ikke kendt.</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lastRenderedPageBreak/>
        <w:t xml:space="preserve">I studier af den </w:t>
      </w:r>
      <w:proofErr w:type="spellStart"/>
      <w:r w:rsidRPr="00D133CA">
        <w:rPr>
          <w:sz w:val="24"/>
          <w:szCs w:val="24"/>
        </w:rPr>
        <w:t>dermale</w:t>
      </w:r>
      <w:proofErr w:type="spellEnd"/>
      <w:r w:rsidRPr="00D133CA">
        <w:rPr>
          <w:sz w:val="24"/>
          <w:szCs w:val="24"/>
        </w:rPr>
        <w:t xml:space="preserve"> toksicitet efter gentagne doser </w:t>
      </w:r>
      <w:proofErr w:type="spellStart"/>
      <w:r w:rsidRPr="00D133CA">
        <w:rPr>
          <w:sz w:val="24"/>
          <w:szCs w:val="24"/>
        </w:rPr>
        <w:t>clindamycin</w:t>
      </w:r>
      <w:proofErr w:type="spellEnd"/>
      <w:r w:rsidRPr="00D133CA">
        <w:rPr>
          <w:sz w:val="24"/>
          <w:szCs w:val="24"/>
        </w:rPr>
        <w:t xml:space="preserve"> og </w:t>
      </w:r>
      <w:proofErr w:type="spellStart"/>
      <w:r w:rsidRPr="00D133CA">
        <w:rPr>
          <w:sz w:val="24"/>
          <w:szCs w:val="24"/>
        </w:rPr>
        <w:t>benzoylperoxid</w:t>
      </w:r>
      <w:proofErr w:type="spellEnd"/>
      <w:r w:rsidRPr="00D133CA">
        <w:rPr>
          <w:sz w:val="24"/>
          <w:szCs w:val="24"/>
        </w:rPr>
        <w:t xml:space="preserve"> hos to arter i op til 90 dage viste ingen toksiske virkninger bortset fra let lokal irritation.</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t xml:space="preserve">I et studie af øjenirritation medførte </w:t>
      </w:r>
      <w:proofErr w:type="spellStart"/>
      <w:r w:rsidRPr="00D133CA">
        <w:rPr>
          <w:sz w:val="24"/>
          <w:szCs w:val="24"/>
        </w:rPr>
        <w:t>clindamycin</w:t>
      </w:r>
      <w:proofErr w:type="spellEnd"/>
      <w:r w:rsidRPr="00D133CA">
        <w:rPr>
          <w:sz w:val="24"/>
          <w:szCs w:val="24"/>
        </w:rPr>
        <w:t xml:space="preserve"> og </w:t>
      </w:r>
      <w:proofErr w:type="spellStart"/>
      <w:r w:rsidRPr="00D133CA">
        <w:rPr>
          <w:sz w:val="24"/>
          <w:szCs w:val="24"/>
        </w:rPr>
        <w:t>benzoylperoxid</w:t>
      </w:r>
      <w:proofErr w:type="spellEnd"/>
      <w:r w:rsidRPr="00D133CA">
        <w:rPr>
          <w:sz w:val="24"/>
          <w:szCs w:val="24"/>
        </w:rPr>
        <w:t xml:space="preserve"> kun meget let irritation.</w:t>
      </w:r>
    </w:p>
    <w:p w:rsidR="00D133CA" w:rsidRPr="00D133CA" w:rsidRDefault="00D133CA" w:rsidP="00D133CA">
      <w:pPr>
        <w:tabs>
          <w:tab w:val="left" w:pos="851"/>
        </w:tabs>
        <w:ind w:left="851"/>
        <w:rPr>
          <w:i/>
          <w:iCs/>
          <w:sz w:val="24"/>
          <w:szCs w:val="24"/>
        </w:rPr>
      </w:pPr>
    </w:p>
    <w:p w:rsidR="00D133CA" w:rsidRPr="00AD674F" w:rsidRDefault="00D133CA" w:rsidP="00D133CA">
      <w:pPr>
        <w:tabs>
          <w:tab w:val="left" w:pos="851"/>
        </w:tabs>
        <w:ind w:left="851"/>
        <w:rPr>
          <w:iCs/>
          <w:sz w:val="24"/>
          <w:szCs w:val="24"/>
          <w:u w:val="single"/>
        </w:rPr>
      </w:pPr>
      <w:proofErr w:type="spellStart"/>
      <w:r w:rsidRPr="00AD674F">
        <w:rPr>
          <w:iCs/>
          <w:sz w:val="24"/>
          <w:szCs w:val="24"/>
          <w:u w:val="single"/>
        </w:rPr>
        <w:t>Benzoylperoxid</w:t>
      </w:r>
      <w:proofErr w:type="spellEnd"/>
    </w:p>
    <w:p w:rsidR="00D133CA" w:rsidRPr="00D133CA" w:rsidRDefault="00D133CA" w:rsidP="00D133CA">
      <w:pPr>
        <w:tabs>
          <w:tab w:val="left" w:pos="851"/>
        </w:tabs>
        <w:ind w:left="851"/>
        <w:rPr>
          <w:sz w:val="24"/>
          <w:szCs w:val="24"/>
        </w:rPr>
      </w:pPr>
      <w:r w:rsidRPr="00D133CA">
        <w:rPr>
          <w:sz w:val="24"/>
          <w:szCs w:val="24"/>
        </w:rPr>
        <w:t xml:space="preserve">I toksicitetsstudier hos dyr var </w:t>
      </w:r>
      <w:proofErr w:type="spellStart"/>
      <w:r w:rsidRPr="00D133CA">
        <w:rPr>
          <w:sz w:val="24"/>
          <w:szCs w:val="24"/>
        </w:rPr>
        <w:t>benzoylperoxid</w:t>
      </w:r>
      <w:proofErr w:type="spellEnd"/>
      <w:r w:rsidRPr="00D133CA">
        <w:rPr>
          <w:sz w:val="24"/>
          <w:szCs w:val="24"/>
        </w:rPr>
        <w:t xml:space="preserve"> veltolereret ved topisk administration.</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r w:rsidRPr="00D133CA">
        <w:rPr>
          <w:sz w:val="24"/>
          <w:szCs w:val="24"/>
        </w:rPr>
        <w:t xml:space="preserve">Selvom det er påvist, at høje doser af </w:t>
      </w:r>
      <w:proofErr w:type="spellStart"/>
      <w:r w:rsidRPr="00D133CA">
        <w:rPr>
          <w:sz w:val="24"/>
          <w:szCs w:val="24"/>
        </w:rPr>
        <w:t>benzoylperoxid</w:t>
      </w:r>
      <w:proofErr w:type="spellEnd"/>
      <w:r w:rsidRPr="00D133CA">
        <w:rPr>
          <w:sz w:val="24"/>
          <w:szCs w:val="24"/>
        </w:rPr>
        <w:t xml:space="preserve"> inducerer brud på DNA-strenge, tyder de tilgængelige data fra andre </w:t>
      </w:r>
      <w:proofErr w:type="spellStart"/>
      <w:r w:rsidRPr="00D133CA">
        <w:rPr>
          <w:sz w:val="24"/>
          <w:szCs w:val="24"/>
        </w:rPr>
        <w:t>mutagenicitetsstudier</w:t>
      </w:r>
      <w:proofErr w:type="spellEnd"/>
      <w:r w:rsidRPr="00D133CA">
        <w:rPr>
          <w:sz w:val="24"/>
          <w:szCs w:val="24"/>
        </w:rPr>
        <w:t xml:space="preserve">, </w:t>
      </w:r>
      <w:proofErr w:type="spellStart"/>
      <w:r w:rsidRPr="00D133CA">
        <w:rPr>
          <w:sz w:val="24"/>
          <w:szCs w:val="24"/>
        </w:rPr>
        <w:t>karcinogenicitetsstudier</w:t>
      </w:r>
      <w:proofErr w:type="spellEnd"/>
      <w:r w:rsidRPr="00D133CA">
        <w:rPr>
          <w:sz w:val="24"/>
          <w:szCs w:val="24"/>
        </w:rPr>
        <w:t xml:space="preserve"> og et foto-</w:t>
      </w:r>
      <w:proofErr w:type="spellStart"/>
      <w:r w:rsidRPr="00D133CA">
        <w:rPr>
          <w:sz w:val="24"/>
          <w:szCs w:val="24"/>
        </w:rPr>
        <w:t>co</w:t>
      </w:r>
      <w:proofErr w:type="spellEnd"/>
      <w:r w:rsidRPr="00D133CA">
        <w:rPr>
          <w:sz w:val="24"/>
          <w:szCs w:val="24"/>
        </w:rPr>
        <w:t>-</w:t>
      </w:r>
      <w:proofErr w:type="spellStart"/>
      <w:r w:rsidRPr="00D133CA">
        <w:rPr>
          <w:sz w:val="24"/>
          <w:szCs w:val="24"/>
        </w:rPr>
        <w:t>karcinogenicitetsstudie</w:t>
      </w:r>
      <w:proofErr w:type="spellEnd"/>
      <w:r w:rsidRPr="00D133CA">
        <w:rPr>
          <w:sz w:val="24"/>
          <w:szCs w:val="24"/>
        </w:rPr>
        <w:t xml:space="preserve"> på, at </w:t>
      </w:r>
      <w:proofErr w:type="spellStart"/>
      <w:r w:rsidRPr="00D133CA">
        <w:rPr>
          <w:sz w:val="24"/>
          <w:szCs w:val="24"/>
        </w:rPr>
        <w:t>benzoylperoxid</w:t>
      </w:r>
      <w:proofErr w:type="spellEnd"/>
      <w:r w:rsidRPr="00D133CA">
        <w:rPr>
          <w:sz w:val="24"/>
          <w:szCs w:val="24"/>
        </w:rPr>
        <w:t xml:space="preserve"> hverken er </w:t>
      </w:r>
      <w:proofErr w:type="spellStart"/>
      <w:r w:rsidRPr="00D133CA">
        <w:rPr>
          <w:sz w:val="24"/>
          <w:szCs w:val="24"/>
        </w:rPr>
        <w:t>karcinogent</w:t>
      </w:r>
      <w:proofErr w:type="spellEnd"/>
      <w:r w:rsidRPr="00D133CA">
        <w:rPr>
          <w:sz w:val="24"/>
          <w:szCs w:val="24"/>
        </w:rPr>
        <w:t xml:space="preserve"> eller </w:t>
      </w:r>
      <w:proofErr w:type="spellStart"/>
      <w:r w:rsidRPr="00D133CA">
        <w:rPr>
          <w:sz w:val="24"/>
          <w:szCs w:val="24"/>
        </w:rPr>
        <w:t>fotokarcinogent</w:t>
      </w:r>
      <w:proofErr w:type="spellEnd"/>
      <w:r w:rsidRPr="00D133CA">
        <w:rPr>
          <w:sz w:val="24"/>
          <w:szCs w:val="24"/>
        </w:rPr>
        <w:t>.</w:t>
      </w:r>
    </w:p>
    <w:p w:rsidR="00D133CA" w:rsidRPr="00D133CA" w:rsidRDefault="00D133CA" w:rsidP="00D133CA">
      <w:pPr>
        <w:tabs>
          <w:tab w:val="left" w:pos="851"/>
        </w:tabs>
        <w:ind w:left="851"/>
        <w:rPr>
          <w:sz w:val="24"/>
          <w:szCs w:val="24"/>
        </w:rPr>
      </w:pPr>
    </w:p>
    <w:p w:rsidR="00D133CA" w:rsidRPr="00D133CA" w:rsidRDefault="00D133CA" w:rsidP="00D133CA">
      <w:pPr>
        <w:tabs>
          <w:tab w:val="left" w:pos="851"/>
        </w:tabs>
        <w:ind w:left="851"/>
        <w:rPr>
          <w:sz w:val="24"/>
          <w:szCs w:val="24"/>
        </w:rPr>
      </w:pPr>
      <w:proofErr w:type="spellStart"/>
      <w:r w:rsidRPr="00D133CA">
        <w:rPr>
          <w:sz w:val="24"/>
          <w:szCs w:val="24"/>
        </w:rPr>
        <w:t>Benzoylperoxid</w:t>
      </w:r>
      <w:proofErr w:type="spellEnd"/>
      <w:r w:rsidRPr="00D133CA">
        <w:rPr>
          <w:sz w:val="24"/>
          <w:szCs w:val="24"/>
        </w:rPr>
        <w:t xml:space="preserve"> havde bivirkninger på ungernes udvikling hos </w:t>
      </w:r>
      <w:proofErr w:type="spellStart"/>
      <w:r w:rsidRPr="00D133CA">
        <w:rPr>
          <w:sz w:val="24"/>
          <w:szCs w:val="24"/>
        </w:rPr>
        <w:t>Sprague</w:t>
      </w:r>
      <w:proofErr w:type="spellEnd"/>
      <w:r w:rsidRPr="00D133CA">
        <w:rPr>
          <w:sz w:val="24"/>
          <w:szCs w:val="24"/>
        </w:rPr>
        <w:t>-</w:t>
      </w:r>
      <w:proofErr w:type="spellStart"/>
      <w:r w:rsidRPr="00D133CA">
        <w:rPr>
          <w:sz w:val="24"/>
          <w:szCs w:val="24"/>
        </w:rPr>
        <w:t>Dawley</w:t>
      </w:r>
      <w:proofErr w:type="spellEnd"/>
      <w:r w:rsidRPr="00D133CA">
        <w:rPr>
          <w:sz w:val="24"/>
          <w:szCs w:val="24"/>
        </w:rPr>
        <w:t xml:space="preserve">-rotter med en høj forekomst af lav fødselsvægt ved dosisniveauet 1.000 mg/kg. NOAEL for udviklingstoksicitet blev fastlagt til 500 mg/kg/dag. Det er påvist, at </w:t>
      </w:r>
      <w:proofErr w:type="spellStart"/>
      <w:r w:rsidRPr="00D133CA">
        <w:rPr>
          <w:sz w:val="24"/>
          <w:szCs w:val="24"/>
        </w:rPr>
        <w:t>benzoylperoxid</w:t>
      </w:r>
      <w:proofErr w:type="spellEnd"/>
      <w:r w:rsidRPr="00D133CA">
        <w:rPr>
          <w:sz w:val="24"/>
          <w:szCs w:val="24"/>
        </w:rPr>
        <w:t xml:space="preserve"> har embryotoksiske virkninger på embryoer hos kyllinger af White Leghorn-racen. ED50 for mortalitet og misdannelser var 0,27 </w:t>
      </w:r>
      <w:proofErr w:type="spellStart"/>
      <w:r w:rsidRPr="00D133CA">
        <w:rPr>
          <w:sz w:val="24"/>
          <w:szCs w:val="24"/>
        </w:rPr>
        <w:t>μM</w:t>
      </w:r>
      <w:proofErr w:type="spellEnd"/>
      <w:r w:rsidRPr="00D133CA">
        <w:rPr>
          <w:sz w:val="24"/>
          <w:szCs w:val="24"/>
        </w:rPr>
        <w:t>/æg. Dosis-respons-kurven over tidlig embryodød var flad for de tre højeste afprøvede doser (0,42; 0,83 og 1,7 </w:t>
      </w:r>
      <w:proofErr w:type="spellStart"/>
      <w:r w:rsidRPr="00D133CA">
        <w:rPr>
          <w:sz w:val="24"/>
          <w:szCs w:val="24"/>
        </w:rPr>
        <w:t>μM</w:t>
      </w:r>
      <w:proofErr w:type="spellEnd"/>
      <w:r w:rsidRPr="00D133CA">
        <w:rPr>
          <w:sz w:val="24"/>
          <w:szCs w:val="24"/>
        </w:rPr>
        <w:t>/æg), hvilket tyder på penetrationsmætning.</w:t>
      </w:r>
    </w:p>
    <w:p w:rsidR="00D133CA" w:rsidRPr="00D133CA" w:rsidRDefault="00D133CA" w:rsidP="00D133CA">
      <w:pPr>
        <w:tabs>
          <w:tab w:val="left" w:pos="851"/>
        </w:tabs>
        <w:ind w:left="851"/>
        <w:rPr>
          <w:sz w:val="24"/>
          <w:szCs w:val="24"/>
        </w:rPr>
      </w:pPr>
    </w:p>
    <w:p w:rsidR="00D133CA" w:rsidRPr="00AD674F" w:rsidRDefault="00D133CA" w:rsidP="00D133CA">
      <w:pPr>
        <w:tabs>
          <w:tab w:val="left" w:pos="851"/>
        </w:tabs>
        <w:ind w:left="851"/>
        <w:rPr>
          <w:iCs/>
          <w:sz w:val="24"/>
          <w:szCs w:val="24"/>
          <w:u w:val="single"/>
        </w:rPr>
      </w:pPr>
      <w:proofErr w:type="spellStart"/>
      <w:r w:rsidRPr="00AD674F">
        <w:rPr>
          <w:iCs/>
          <w:sz w:val="24"/>
          <w:szCs w:val="24"/>
          <w:u w:val="single"/>
        </w:rPr>
        <w:t>Clindamycin</w:t>
      </w:r>
      <w:proofErr w:type="spellEnd"/>
    </w:p>
    <w:p w:rsidR="00D133CA" w:rsidRPr="00D133CA" w:rsidRDefault="00D133CA" w:rsidP="00D133CA">
      <w:pPr>
        <w:tabs>
          <w:tab w:val="left" w:pos="851"/>
        </w:tabs>
        <w:ind w:left="851"/>
        <w:rPr>
          <w:sz w:val="24"/>
          <w:szCs w:val="24"/>
        </w:rPr>
      </w:pPr>
      <w:r w:rsidRPr="00D133CA">
        <w:rPr>
          <w:sz w:val="24"/>
          <w:szCs w:val="24"/>
        </w:rPr>
        <w:t xml:space="preserve">I </w:t>
      </w:r>
      <w:r w:rsidRPr="00D133CA">
        <w:rPr>
          <w:i/>
          <w:iCs/>
          <w:sz w:val="24"/>
          <w:szCs w:val="24"/>
        </w:rPr>
        <w:t xml:space="preserve">in </w:t>
      </w:r>
      <w:proofErr w:type="spellStart"/>
      <w:r w:rsidRPr="00D133CA">
        <w:rPr>
          <w:i/>
          <w:iCs/>
          <w:sz w:val="24"/>
          <w:szCs w:val="24"/>
        </w:rPr>
        <w:t>vitro</w:t>
      </w:r>
      <w:proofErr w:type="spellEnd"/>
      <w:r w:rsidRPr="00D133CA">
        <w:rPr>
          <w:i/>
          <w:iCs/>
          <w:sz w:val="24"/>
          <w:szCs w:val="24"/>
        </w:rPr>
        <w:t>-</w:t>
      </w:r>
      <w:r w:rsidRPr="00D133CA">
        <w:rPr>
          <w:sz w:val="24"/>
          <w:szCs w:val="24"/>
        </w:rPr>
        <w:t xml:space="preserve"> og </w:t>
      </w:r>
      <w:r w:rsidRPr="00D133CA">
        <w:rPr>
          <w:i/>
          <w:iCs/>
          <w:sz w:val="24"/>
          <w:szCs w:val="24"/>
        </w:rPr>
        <w:t xml:space="preserve">in </w:t>
      </w:r>
      <w:proofErr w:type="spellStart"/>
      <w:r w:rsidRPr="00D133CA">
        <w:rPr>
          <w:i/>
          <w:iCs/>
          <w:sz w:val="24"/>
          <w:szCs w:val="24"/>
        </w:rPr>
        <w:t>vivo</w:t>
      </w:r>
      <w:proofErr w:type="spellEnd"/>
      <w:r w:rsidRPr="00D133CA">
        <w:rPr>
          <w:i/>
          <w:iCs/>
          <w:sz w:val="24"/>
          <w:szCs w:val="24"/>
        </w:rPr>
        <w:t>-</w:t>
      </w:r>
      <w:r w:rsidRPr="00D133CA">
        <w:rPr>
          <w:sz w:val="24"/>
          <w:szCs w:val="24"/>
        </w:rPr>
        <w:t xml:space="preserve">studier af </w:t>
      </w:r>
      <w:proofErr w:type="spellStart"/>
      <w:r w:rsidRPr="00D133CA">
        <w:rPr>
          <w:sz w:val="24"/>
          <w:szCs w:val="24"/>
        </w:rPr>
        <w:t>clindamycin</w:t>
      </w:r>
      <w:proofErr w:type="spellEnd"/>
      <w:r w:rsidRPr="00D133CA">
        <w:rPr>
          <w:sz w:val="24"/>
          <w:szCs w:val="24"/>
        </w:rPr>
        <w:t xml:space="preserve"> blev der ikke set noget mutagent potentiale. Der er ikke udført langvarige studier af </w:t>
      </w:r>
      <w:proofErr w:type="spellStart"/>
      <w:r w:rsidRPr="00D133CA">
        <w:rPr>
          <w:sz w:val="24"/>
          <w:szCs w:val="24"/>
        </w:rPr>
        <w:t>clindamycins</w:t>
      </w:r>
      <w:proofErr w:type="spellEnd"/>
      <w:r w:rsidRPr="00D133CA">
        <w:rPr>
          <w:sz w:val="24"/>
          <w:szCs w:val="24"/>
        </w:rPr>
        <w:t xml:space="preserve"> </w:t>
      </w:r>
      <w:proofErr w:type="spellStart"/>
      <w:r w:rsidRPr="00D133CA">
        <w:rPr>
          <w:sz w:val="24"/>
          <w:szCs w:val="24"/>
        </w:rPr>
        <w:t>tumorigene</w:t>
      </w:r>
      <w:proofErr w:type="spellEnd"/>
      <w:r w:rsidRPr="00D133CA">
        <w:rPr>
          <w:sz w:val="24"/>
          <w:szCs w:val="24"/>
        </w:rPr>
        <w:t xml:space="preserve"> potentiale. Non-kliniske data viser i øvrigt ingen speciel risiko for mennesker vurderet ud fra konventionelle studier af toksicitet efter enkelte og gentagne doser samt reproduktionstoksicitet.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B4B33" w:rsidRPr="00135C9D" w:rsidRDefault="006B4B33" w:rsidP="006B4B33">
      <w:pPr>
        <w:tabs>
          <w:tab w:val="left" w:pos="851"/>
        </w:tabs>
        <w:ind w:left="851"/>
        <w:rPr>
          <w:sz w:val="24"/>
          <w:szCs w:val="24"/>
        </w:rPr>
      </w:pPr>
      <w:proofErr w:type="spellStart"/>
      <w:r w:rsidRPr="00135C9D">
        <w:rPr>
          <w:sz w:val="24"/>
          <w:szCs w:val="24"/>
        </w:rPr>
        <w:t>Carbomer</w:t>
      </w:r>
      <w:proofErr w:type="spellEnd"/>
      <w:r w:rsidRPr="00135C9D">
        <w:rPr>
          <w:sz w:val="24"/>
          <w:szCs w:val="24"/>
        </w:rPr>
        <w:t xml:space="preserve"> </w:t>
      </w:r>
    </w:p>
    <w:p w:rsidR="006B4B33" w:rsidRPr="00135C9D" w:rsidRDefault="006B4B33" w:rsidP="006B4B33">
      <w:pPr>
        <w:tabs>
          <w:tab w:val="left" w:pos="851"/>
        </w:tabs>
        <w:ind w:left="851"/>
        <w:rPr>
          <w:sz w:val="24"/>
          <w:szCs w:val="24"/>
        </w:rPr>
      </w:pPr>
      <w:proofErr w:type="spellStart"/>
      <w:r w:rsidRPr="00135C9D">
        <w:rPr>
          <w:sz w:val="24"/>
          <w:szCs w:val="24"/>
        </w:rPr>
        <w:t>Dimeticon</w:t>
      </w:r>
      <w:proofErr w:type="spellEnd"/>
      <w:r w:rsidRPr="00135C9D">
        <w:rPr>
          <w:sz w:val="24"/>
          <w:szCs w:val="24"/>
        </w:rPr>
        <w:t xml:space="preserve"> (E900)</w:t>
      </w:r>
    </w:p>
    <w:p w:rsidR="006B4B33" w:rsidRPr="006B4B33" w:rsidRDefault="006B4B33" w:rsidP="006B4B33">
      <w:pPr>
        <w:tabs>
          <w:tab w:val="left" w:pos="851"/>
        </w:tabs>
        <w:ind w:left="851"/>
        <w:rPr>
          <w:sz w:val="24"/>
          <w:szCs w:val="24"/>
          <w:lang w:val="sv-SE"/>
        </w:rPr>
      </w:pPr>
      <w:proofErr w:type="spellStart"/>
      <w:r w:rsidRPr="006B4B33">
        <w:rPr>
          <w:sz w:val="24"/>
          <w:szCs w:val="24"/>
          <w:lang w:val="sv-SE"/>
        </w:rPr>
        <w:t>Dinatriumedetat</w:t>
      </w:r>
      <w:proofErr w:type="spellEnd"/>
    </w:p>
    <w:p w:rsidR="006B4B33" w:rsidRPr="006B4B33" w:rsidRDefault="006B4B33" w:rsidP="006B4B33">
      <w:pPr>
        <w:tabs>
          <w:tab w:val="left" w:pos="851"/>
        </w:tabs>
        <w:ind w:left="851"/>
        <w:rPr>
          <w:sz w:val="24"/>
          <w:szCs w:val="24"/>
          <w:lang w:val="sv-SE"/>
        </w:rPr>
      </w:pPr>
      <w:r w:rsidRPr="006B4B33">
        <w:rPr>
          <w:sz w:val="24"/>
          <w:szCs w:val="24"/>
          <w:lang w:val="sv-SE"/>
        </w:rPr>
        <w:t>Glycerol (E422)</w:t>
      </w:r>
    </w:p>
    <w:p w:rsidR="006B4B33" w:rsidRPr="006B4B33" w:rsidRDefault="006B4B33" w:rsidP="006B4B33">
      <w:pPr>
        <w:tabs>
          <w:tab w:val="left" w:pos="851"/>
        </w:tabs>
        <w:ind w:left="851"/>
        <w:rPr>
          <w:sz w:val="24"/>
          <w:szCs w:val="24"/>
          <w:lang w:val="sv-SE"/>
        </w:rPr>
      </w:pPr>
      <w:r w:rsidRPr="006B4B33">
        <w:rPr>
          <w:sz w:val="24"/>
          <w:szCs w:val="24"/>
          <w:lang w:val="sv-SE"/>
        </w:rPr>
        <w:t xml:space="preserve">Kolloid </w:t>
      </w:r>
      <w:proofErr w:type="spellStart"/>
      <w:r w:rsidRPr="006B4B33">
        <w:rPr>
          <w:sz w:val="24"/>
          <w:szCs w:val="24"/>
          <w:lang w:val="sv-SE"/>
        </w:rPr>
        <w:t>silica</w:t>
      </w:r>
      <w:proofErr w:type="spellEnd"/>
    </w:p>
    <w:p w:rsidR="006B4B33" w:rsidRPr="006B4B33" w:rsidRDefault="006B4B33" w:rsidP="006B4B33">
      <w:pPr>
        <w:tabs>
          <w:tab w:val="left" w:pos="851"/>
        </w:tabs>
        <w:ind w:left="851"/>
        <w:rPr>
          <w:sz w:val="24"/>
          <w:szCs w:val="24"/>
          <w:lang w:val="sv-SE"/>
        </w:rPr>
      </w:pPr>
      <w:proofErr w:type="spellStart"/>
      <w:r w:rsidRPr="006B4B33">
        <w:rPr>
          <w:sz w:val="24"/>
          <w:szCs w:val="24"/>
          <w:lang w:val="sv-SE"/>
        </w:rPr>
        <w:t>Poloxamer</w:t>
      </w:r>
      <w:proofErr w:type="spellEnd"/>
      <w:r w:rsidRPr="006B4B33">
        <w:rPr>
          <w:sz w:val="24"/>
          <w:szCs w:val="24"/>
          <w:lang w:val="sv-SE"/>
        </w:rPr>
        <w:t xml:space="preserve"> 182</w:t>
      </w:r>
    </w:p>
    <w:p w:rsidR="006B4B33" w:rsidRPr="006B4B33" w:rsidRDefault="006B4B33" w:rsidP="006B4B33">
      <w:pPr>
        <w:tabs>
          <w:tab w:val="left" w:pos="851"/>
        </w:tabs>
        <w:ind w:left="851"/>
        <w:rPr>
          <w:sz w:val="24"/>
          <w:szCs w:val="24"/>
        </w:rPr>
      </w:pPr>
      <w:r w:rsidRPr="006B4B33">
        <w:rPr>
          <w:sz w:val="24"/>
          <w:szCs w:val="24"/>
        </w:rPr>
        <w:t>Renset vand</w:t>
      </w:r>
    </w:p>
    <w:p w:rsidR="006B4B33" w:rsidRPr="006B4B33" w:rsidRDefault="006B4B33" w:rsidP="006B4B33">
      <w:pPr>
        <w:tabs>
          <w:tab w:val="left" w:pos="851"/>
        </w:tabs>
        <w:ind w:left="851"/>
        <w:rPr>
          <w:sz w:val="24"/>
          <w:szCs w:val="24"/>
        </w:rPr>
      </w:pPr>
      <w:r w:rsidRPr="006B4B33">
        <w:rPr>
          <w:sz w:val="24"/>
          <w:szCs w:val="24"/>
        </w:rPr>
        <w:t>Natriumhydroxid (E524)</w:t>
      </w:r>
    </w:p>
    <w:p w:rsidR="006B4B33" w:rsidRPr="006B4B33" w:rsidRDefault="006B4B33" w:rsidP="006B4B3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6B4B33"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F3F78" w:rsidRPr="008F3F78" w:rsidRDefault="008F3F78" w:rsidP="008F3F78">
      <w:pPr>
        <w:tabs>
          <w:tab w:val="left" w:pos="851"/>
        </w:tabs>
        <w:ind w:left="851"/>
        <w:rPr>
          <w:sz w:val="24"/>
          <w:szCs w:val="24"/>
        </w:rPr>
      </w:pPr>
      <w:r w:rsidRPr="008F3F78">
        <w:rPr>
          <w:sz w:val="24"/>
          <w:szCs w:val="24"/>
        </w:rPr>
        <w:t>18 måneder.</w:t>
      </w:r>
    </w:p>
    <w:p w:rsidR="008F3F78" w:rsidRPr="008F3F78" w:rsidRDefault="008F3F78" w:rsidP="008F3F78">
      <w:pPr>
        <w:tabs>
          <w:tab w:val="left" w:pos="851"/>
        </w:tabs>
        <w:ind w:left="851"/>
        <w:rPr>
          <w:sz w:val="24"/>
          <w:szCs w:val="24"/>
        </w:rPr>
      </w:pPr>
    </w:p>
    <w:p w:rsidR="008F3F78" w:rsidRPr="008F3F78" w:rsidRDefault="008F3F78" w:rsidP="008F3F78">
      <w:pPr>
        <w:tabs>
          <w:tab w:val="left" w:pos="851"/>
        </w:tabs>
        <w:ind w:left="851"/>
        <w:rPr>
          <w:sz w:val="24"/>
          <w:szCs w:val="24"/>
        </w:rPr>
      </w:pPr>
      <w:r>
        <w:rPr>
          <w:sz w:val="24"/>
          <w:szCs w:val="24"/>
        </w:rPr>
        <w:t>E</w:t>
      </w:r>
      <w:r w:rsidRPr="008F3F78">
        <w:rPr>
          <w:sz w:val="24"/>
          <w:szCs w:val="24"/>
        </w:rPr>
        <w:t>fter anbrud:</w:t>
      </w:r>
      <w:r>
        <w:rPr>
          <w:sz w:val="24"/>
          <w:szCs w:val="24"/>
        </w:rPr>
        <w:t xml:space="preserve"> </w:t>
      </w:r>
      <w:r w:rsidRPr="008F3F78">
        <w:rPr>
          <w:sz w:val="24"/>
          <w:szCs w:val="24"/>
        </w:rPr>
        <w:t>2 måneder.</w:t>
      </w:r>
    </w:p>
    <w:p w:rsidR="008F3F78" w:rsidRDefault="008F3F7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F3F78" w:rsidRDefault="008F3F78" w:rsidP="008F3F78">
      <w:pPr>
        <w:tabs>
          <w:tab w:val="left" w:pos="851"/>
        </w:tabs>
        <w:ind w:left="851"/>
        <w:rPr>
          <w:sz w:val="24"/>
          <w:szCs w:val="24"/>
        </w:rPr>
      </w:pPr>
      <w:r w:rsidRPr="008F3F78">
        <w:rPr>
          <w:sz w:val="24"/>
          <w:szCs w:val="24"/>
        </w:rPr>
        <w:t>Opbevares i køleskab (2 °C til 8 °C).</w:t>
      </w:r>
    </w:p>
    <w:p w:rsidR="008F3F78" w:rsidRPr="008F3F78" w:rsidRDefault="008F3F78" w:rsidP="008F3F78">
      <w:pPr>
        <w:tabs>
          <w:tab w:val="left" w:pos="851"/>
        </w:tabs>
        <w:ind w:left="851"/>
        <w:rPr>
          <w:sz w:val="24"/>
          <w:szCs w:val="24"/>
        </w:rPr>
      </w:pPr>
      <w:r w:rsidRPr="008F3F78">
        <w:rPr>
          <w:sz w:val="24"/>
          <w:szCs w:val="24"/>
        </w:rPr>
        <w:t>Må ikke nedfryses.</w:t>
      </w:r>
    </w:p>
    <w:p w:rsidR="008F3F78" w:rsidRPr="008F3F78" w:rsidRDefault="008F3F78" w:rsidP="008F3F78">
      <w:pPr>
        <w:tabs>
          <w:tab w:val="left" w:pos="851"/>
        </w:tabs>
        <w:ind w:left="851"/>
        <w:rPr>
          <w:sz w:val="24"/>
          <w:szCs w:val="24"/>
          <w:u w:val="single"/>
        </w:rPr>
      </w:pPr>
    </w:p>
    <w:p w:rsidR="008F3F78" w:rsidRPr="008F3F78" w:rsidRDefault="008F3F78" w:rsidP="008F3F78">
      <w:pPr>
        <w:tabs>
          <w:tab w:val="left" w:pos="851"/>
        </w:tabs>
        <w:ind w:left="851"/>
        <w:rPr>
          <w:sz w:val="24"/>
          <w:szCs w:val="24"/>
        </w:rPr>
      </w:pPr>
      <w:r>
        <w:rPr>
          <w:sz w:val="24"/>
          <w:szCs w:val="24"/>
        </w:rPr>
        <w:t>E</w:t>
      </w:r>
      <w:r w:rsidRPr="008F3F78">
        <w:rPr>
          <w:sz w:val="24"/>
          <w:szCs w:val="24"/>
        </w:rPr>
        <w:t>fter anbrud:</w:t>
      </w:r>
      <w:r>
        <w:rPr>
          <w:sz w:val="24"/>
          <w:szCs w:val="24"/>
        </w:rPr>
        <w:t xml:space="preserve"> </w:t>
      </w:r>
      <w:r w:rsidRPr="008F3F78">
        <w:rPr>
          <w:sz w:val="24"/>
          <w:szCs w:val="24"/>
        </w:rPr>
        <w:t>Må ikke opbevares ved temperaturer over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C7AAC" w:rsidRPr="001C7AAC" w:rsidRDefault="001C7AAC" w:rsidP="001C7AAC">
      <w:pPr>
        <w:tabs>
          <w:tab w:val="left" w:pos="851"/>
        </w:tabs>
        <w:ind w:left="851"/>
        <w:rPr>
          <w:sz w:val="24"/>
          <w:szCs w:val="24"/>
        </w:rPr>
      </w:pPr>
      <w:r w:rsidRPr="001C7AAC">
        <w:rPr>
          <w:sz w:val="24"/>
          <w:szCs w:val="24"/>
        </w:rPr>
        <w:t>In</w:t>
      </w:r>
      <w:r>
        <w:rPr>
          <w:sz w:val="24"/>
          <w:szCs w:val="24"/>
        </w:rPr>
        <w:t>dvendigt</w:t>
      </w:r>
      <w:r w:rsidRPr="001C7AAC">
        <w:rPr>
          <w:sz w:val="24"/>
          <w:szCs w:val="24"/>
        </w:rPr>
        <w:t xml:space="preserve"> lakere</w:t>
      </w:r>
      <w:r>
        <w:rPr>
          <w:sz w:val="24"/>
          <w:szCs w:val="24"/>
        </w:rPr>
        <w:t>t</w:t>
      </w:r>
      <w:r w:rsidRPr="001C7AAC">
        <w:rPr>
          <w:sz w:val="24"/>
          <w:szCs w:val="24"/>
        </w:rPr>
        <w:t xml:space="preserve"> aluminiumstube med membranforsegling og skruelåg af polypropylen, i en æske.</w:t>
      </w:r>
    </w:p>
    <w:p w:rsidR="001C7AAC" w:rsidRPr="001C7AAC" w:rsidRDefault="001C7AAC" w:rsidP="001C7AAC">
      <w:pPr>
        <w:tabs>
          <w:tab w:val="left" w:pos="851"/>
        </w:tabs>
        <w:ind w:left="851"/>
        <w:rPr>
          <w:sz w:val="24"/>
          <w:szCs w:val="24"/>
        </w:rPr>
      </w:pPr>
    </w:p>
    <w:p w:rsidR="001C7AAC" w:rsidRPr="001C7AAC" w:rsidRDefault="001C7AAC" w:rsidP="001C7AAC">
      <w:pPr>
        <w:tabs>
          <w:tab w:val="left" w:pos="851"/>
        </w:tabs>
        <w:ind w:left="851"/>
        <w:rPr>
          <w:sz w:val="24"/>
          <w:szCs w:val="24"/>
        </w:rPr>
      </w:pPr>
      <w:r w:rsidRPr="001C7AAC">
        <w:rPr>
          <w:sz w:val="24"/>
          <w:szCs w:val="24"/>
        </w:rPr>
        <w:t>Pakningsstørrelser: 5, 6, 15, 25, 30, 50, 55, 60 og 70 gram.</w:t>
      </w:r>
    </w:p>
    <w:p w:rsidR="001C7AAC" w:rsidRPr="001C7AAC" w:rsidRDefault="001C7AAC" w:rsidP="001C7AAC">
      <w:pPr>
        <w:tabs>
          <w:tab w:val="left" w:pos="851"/>
        </w:tabs>
        <w:ind w:left="851"/>
        <w:rPr>
          <w:sz w:val="24"/>
          <w:szCs w:val="24"/>
        </w:rPr>
      </w:pPr>
      <w:r w:rsidRPr="001C7AAC">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B0373">
        <w:rPr>
          <w:b/>
          <w:sz w:val="24"/>
          <w:szCs w:val="24"/>
        </w:rPr>
        <w:t>bortskaffelse</w:t>
      </w:r>
      <w:r w:rsidRPr="00C84483">
        <w:rPr>
          <w:b/>
          <w:sz w:val="24"/>
          <w:szCs w:val="24"/>
        </w:rPr>
        <w:t xml:space="preserve"> og anden håndtering</w:t>
      </w:r>
    </w:p>
    <w:p w:rsidR="00A64435" w:rsidRPr="00A64435" w:rsidRDefault="00A64435" w:rsidP="00A64435">
      <w:pPr>
        <w:tabs>
          <w:tab w:val="left" w:pos="851"/>
        </w:tabs>
        <w:ind w:left="851"/>
        <w:rPr>
          <w:sz w:val="24"/>
          <w:szCs w:val="24"/>
        </w:rPr>
      </w:pPr>
      <w:r w:rsidRPr="00A64435">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B0373" w:rsidRDefault="00BB0373" w:rsidP="00A64435">
      <w:pPr>
        <w:tabs>
          <w:tab w:val="left" w:pos="851"/>
        </w:tabs>
        <w:ind w:left="851"/>
        <w:rPr>
          <w:sz w:val="24"/>
          <w:szCs w:val="24"/>
          <w:lang w:val="en-US"/>
        </w:rPr>
      </w:pPr>
      <w:r w:rsidRPr="00BB0373">
        <w:rPr>
          <w:sz w:val="24"/>
          <w:szCs w:val="24"/>
          <w:lang w:val="en-US"/>
        </w:rPr>
        <w:t>Aspire Pharma (Malta) Limited</w:t>
      </w:r>
    </w:p>
    <w:p w:rsidR="00BB0373" w:rsidRDefault="00BB0373" w:rsidP="00BB0373">
      <w:pPr>
        <w:tabs>
          <w:tab w:val="left" w:pos="851"/>
        </w:tabs>
        <w:ind w:left="851"/>
        <w:rPr>
          <w:sz w:val="24"/>
          <w:szCs w:val="24"/>
          <w:lang w:val="en-US"/>
        </w:rPr>
      </w:pPr>
      <w:proofErr w:type="spellStart"/>
      <w:r w:rsidRPr="00BB0373">
        <w:rPr>
          <w:sz w:val="24"/>
          <w:szCs w:val="24"/>
          <w:lang w:val="en-US"/>
        </w:rPr>
        <w:t>Notabile</w:t>
      </w:r>
      <w:proofErr w:type="spellEnd"/>
      <w:r w:rsidRPr="00BB0373">
        <w:rPr>
          <w:sz w:val="24"/>
          <w:szCs w:val="24"/>
          <w:lang w:val="en-US"/>
        </w:rPr>
        <w:t xml:space="preserve"> Gardens, No. 2, Level 3</w:t>
      </w:r>
    </w:p>
    <w:p w:rsidR="00BB0373" w:rsidRDefault="00BB0373" w:rsidP="00A64435">
      <w:pPr>
        <w:tabs>
          <w:tab w:val="left" w:pos="851"/>
        </w:tabs>
        <w:ind w:left="851"/>
        <w:rPr>
          <w:sz w:val="24"/>
          <w:szCs w:val="24"/>
          <w:lang w:val="en-US"/>
        </w:rPr>
      </w:pPr>
      <w:r w:rsidRPr="00BB0373">
        <w:rPr>
          <w:sz w:val="24"/>
          <w:szCs w:val="24"/>
          <w:lang w:val="en-US"/>
        </w:rPr>
        <w:t>Trident Park</w:t>
      </w:r>
    </w:p>
    <w:p w:rsidR="00BB0373" w:rsidRDefault="00BB0373" w:rsidP="00A64435">
      <w:pPr>
        <w:tabs>
          <w:tab w:val="left" w:pos="851"/>
        </w:tabs>
        <w:ind w:left="851"/>
        <w:rPr>
          <w:sz w:val="24"/>
          <w:szCs w:val="24"/>
          <w:lang w:val="en-US"/>
        </w:rPr>
      </w:pPr>
      <w:proofErr w:type="spellStart"/>
      <w:r w:rsidRPr="00BB0373">
        <w:rPr>
          <w:sz w:val="24"/>
          <w:szCs w:val="24"/>
          <w:lang w:val="en-US"/>
        </w:rPr>
        <w:t>Mdina</w:t>
      </w:r>
      <w:proofErr w:type="spellEnd"/>
      <w:r w:rsidRPr="00BB0373">
        <w:rPr>
          <w:sz w:val="24"/>
          <w:szCs w:val="24"/>
          <w:lang w:val="en-US"/>
        </w:rPr>
        <w:t xml:space="preserve"> Road, Central Business District, </w:t>
      </w:r>
    </w:p>
    <w:p w:rsidR="00BB0373" w:rsidRDefault="00BB0373" w:rsidP="00A64435">
      <w:pPr>
        <w:tabs>
          <w:tab w:val="left" w:pos="851"/>
        </w:tabs>
        <w:ind w:left="851"/>
        <w:rPr>
          <w:sz w:val="24"/>
          <w:szCs w:val="24"/>
          <w:lang w:val="en-US"/>
        </w:rPr>
      </w:pPr>
      <w:r w:rsidRPr="00BB0373">
        <w:rPr>
          <w:sz w:val="24"/>
          <w:szCs w:val="24"/>
          <w:lang w:val="en-US"/>
        </w:rPr>
        <w:t>Birkirkara CBD2010</w:t>
      </w:r>
    </w:p>
    <w:p w:rsidR="00A64435" w:rsidRPr="00BB0373" w:rsidRDefault="00BB0373" w:rsidP="00A64435">
      <w:pPr>
        <w:tabs>
          <w:tab w:val="left" w:pos="851"/>
        </w:tabs>
        <w:ind w:left="851"/>
        <w:rPr>
          <w:sz w:val="24"/>
          <w:szCs w:val="24"/>
          <w:lang w:val="en-US"/>
        </w:rPr>
      </w:pPr>
      <w:r w:rsidRPr="00BB0373">
        <w:rPr>
          <w:sz w:val="24"/>
          <w:szCs w:val="24"/>
          <w:lang w:val="en-US"/>
        </w:rPr>
        <w:t>Malta</w:t>
      </w:r>
    </w:p>
    <w:p w:rsidR="00A64435" w:rsidRPr="00BB0373" w:rsidRDefault="00A64435" w:rsidP="00A64435">
      <w:pPr>
        <w:tabs>
          <w:tab w:val="left" w:pos="851"/>
        </w:tabs>
        <w:ind w:left="851"/>
        <w:rPr>
          <w:sz w:val="24"/>
          <w:szCs w:val="24"/>
          <w:lang w:val="en-US"/>
        </w:rPr>
      </w:pPr>
    </w:p>
    <w:p w:rsidR="00A64435" w:rsidRPr="00A64435" w:rsidRDefault="00A64435" w:rsidP="00A64435">
      <w:pPr>
        <w:tabs>
          <w:tab w:val="left" w:pos="851"/>
        </w:tabs>
        <w:ind w:left="851"/>
        <w:rPr>
          <w:b/>
          <w:iCs/>
          <w:sz w:val="24"/>
          <w:szCs w:val="24"/>
        </w:rPr>
      </w:pPr>
      <w:r w:rsidRPr="00A64435">
        <w:rPr>
          <w:b/>
          <w:iCs/>
          <w:sz w:val="24"/>
          <w:szCs w:val="24"/>
        </w:rPr>
        <w:t>Repræsentant</w:t>
      </w:r>
    </w:p>
    <w:p w:rsidR="00A64435" w:rsidRPr="00A64435" w:rsidRDefault="00A64435" w:rsidP="00A64435">
      <w:pPr>
        <w:tabs>
          <w:tab w:val="left" w:pos="851"/>
        </w:tabs>
        <w:ind w:left="851"/>
        <w:rPr>
          <w:iCs/>
          <w:sz w:val="24"/>
          <w:szCs w:val="24"/>
        </w:rPr>
      </w:pPr>
      <w:r w:rsidRPr="00A64435">
        <w:rPr>
          <w:iCs/>
          <w:sz w:val="24"/>
          <w:szCs w:val="24"/>
        </w:rPr>
        <w:t xml:space="preserve">2care4 </w:t>
      </w:r>
      <w:proofErr w:type="spellStart"/>
      <w:r w:rsidRPr="00A64435">
        <w:rPr>
          <w:iCs/>
          <w:sz w:val="24"/>
          <w:szCs w:val="24"/>
        </w:rPr>
        <w:t>Generics</w:t>
      </w:r>
      <w:proofErr w:type="spellEnd"/>
      <w:r w:rsidRPr="00A64435">
        <w:rPr>
          <w:iCs/>
          <w:sz w:val="24"/>
          <w:szCs w:val="24"/>
        </w:rPr>
        <w:t xml:space="preserve"> ApS</w:t>
      </w:r>
    </w:p>
    <w:p w:rsidR="00A64435" w:rsidRPr="00A64435" w:rsidRDefault="00A64435" w:rsidP="00A64435">
      <w:pPr>
        <w:tabs>
          <w:tab w:val="left" w:pos="851"/>
        </w:tabs>
        <w:ind w:left="851"/>
        <w:rPr>
          <w:iCs/>
          <w:sz w:val="24"/>
          <w:szCs w:val="24"/>
        </w:rPr>
      </w:pPr>
      <w:r w:rsidRPr="00A64435">
        <w:rPr>
          <w:iCs/>
          <w:sz w:val="24"/>
          <w:szCs w:val="24"/>
        </w:rPr>
        <w:t>Stenhuggervej 12-14</w:t>
      </w:r>
    </w:p>
    <w:p w:rsidR="00A64435" w:rsidRPr="00A64435" w:rsidRDefault="00A64435" w:rsidP="00A64435">
      <w:pPr>
        <w:tabs>
          <w:tab w:val="left" w:pos="851"/>
        </w:tabs>
        <w:ind w:left="851"/>
        <w:rPr>
          <w:sz w:val="24"/>
          <w:szCs w:val="24"/>
        </w:rPr>
      </w:pPr>
      <w:r w:rsidRPr="00A64435">
        <w:rPr>
          <w:iCs/>
          <w:sz w:val="24"/>
          <w:szCs w:val="24"/>
        </w:rPr>
        <w:t>6710 Esbjerg 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B0373">
        <w:rPr>
          <w:b/>
          <w:sz w:val="24"/>
          <w:szCs w:val="24"/>
        </w:rPr>
        <w:t>-</w:t>
      </w:r>
      <w:r w:rsidRPr="00C84483">
        <w:rPr>
          <w:b/>
          <w:sz w:val="24"/>
          <w:szCs w:val="24"/>
        </w:rPr>
        <w:t>NUMRE)</w:t>
      </w:r>
    </w:p>
    <w:p w:rsidR="009260DE" w:rsidRPr="00C84483" w:rsidRDefault="008B7EAB" w:rsidP="009260DE">
      <w:pPr>
        <w:tabs>
          <w:tab w:val="left" w:pos="851"/>
        </w:tabs>
        <w:ind w:left="851"/>
        <w:rPr>
          <w:sz w:val="24"/>
          <w:szCs w:val="24"/>
        </w:rPr>
      </w:pPr>
      <w:r>
        <w:rPr>
          <w:sz w:val="24"/>
          <w:szCs w:val="24"/>
        </w:rPr>
        <w:t>64500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35C9D" w:rsidP="009260DE">
      <w:pPr>
        <w:tabs>
          <w:tab w:val="left" w:pos="851"/>
        </w:tabs>
        <w:ind w:left="851"/>
        <w:rPr>
          <w:sz w:val="24"/>
          <w:szCs w:val="24"/>
        </w:rPr>
      </w:pPr>
      <w:r>
        <w:rPr>
          <w:sz w:val="24"/>
          <w:szCs w:val="24"/>
        </w:rPr>
        <w:t>4. juli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B0373" w:rsidP="009260DE">
      <w:pPr>
        <w:tabs>
          <w:tab w:val="left" w:pos="851"/>
        </w:tabs>
        <w:ind w:left="851"/>
        <w:rPr>
          <w:sz w:val="24"/>
          <w:szCs w:val="24"/>
        </w:rPr>
      </w:pPr>
      <w:r>
        <w:rPr>
          <w:sz w:val="24"/>
          <w:szCs w:val="24"/>
        </w:rPr>
        <w:t>30. januar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70" w:rsidRDefault="00256170">
      <w:r>
        <w:separator/>
      </w:r>
    </w:p>
  </w:endnote>
  <w:endnote w:type="continuationSeparator" w:id="0">
    <w:p w:rsidR="00256170" w:rsidRDefault="002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2081E">
      <w:rPr>
        <w:i/>
        <w:noProof/>
        <w:sz w:val="18"/>
        <w:szCs w:val="18"/>
      </w:rPr>
      <w:t>Clinzoyl, gel 10+50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70" w:rsidRDefault="00256170">
      <w:r>
        <w:separator/>
      </w:r>
    </w:p>
  </w:footnote>
  <w:footnote w:type="continuationSeparator" w:id="0">
    <w:p w:rsidR="00256170" w:rsidRDefault="0025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70"/>
    <w:rsid w:val="000259B9"/>
    <w:rsid w:val="00041491"/>
    <w:rsid w:val="00050D16"/>
    <w:rsid w:val="000730CA"/>
    <w:rsid w:val="00074F2A"/>
    <w:rsid w:val="000A1CA8"/>
    <w:rsid w:val="000A466B"/>
    <w:rsid w:val="000B058C"/>
    <w:rsid w:val="000E4EE6"/>
    <w:rsid w:val="00135C9D"/>
    <w:rsid w:val="001454E2"/>
    <w:rsid w:val="001C7AAC"/>
    <w:rsid w:val="00206CE8"/>
    <w:rsid w:val="0021526C"/>
    <w:rsid w:val="002308E8"/>
    <w:rsid w:val="00256170"/>
    <w:rsid w:val="00283A2B"/>
    <w:rsid w:val="002B30AD"/>
    <w:rsid w:val="002C2C01"/>
    <w:rsid w:val="003A29AE"/>
    <w:rsid w:val="003A32D7"/>
    <w:rsid w:val="003B4074"/>
    <w:rsid w:val="003C769A"/>
    <w:rsid w:val="003F1838"/>
    <w:rsid w:val="0042081E"/>
    <w:rsid w:val="0045746C"/>
    <w:rsid w:val="0049104B"/>
    <w:rsid w:val="004E3B12"/>
    <w:rsid w:val="00532310"/>
    <w:rsid w:val="00565F0F"/>
    <w:rsid w:val="00594A86"/>
    <w:rsid w:val="00596D86"/>
    <w:rsid w:val="00637F5A"/>
    <w:rsid w:val="006560B1"/>
    <w:rsid w:val="006756DD"/>
    <w:rsid w:val="006A5B35"/>
    <w:rsid w:val="006B4B33"/>
    <w:rsid w:val="006E2239"/>
    <w:rsid w:val="00725189"/>
    <w:rsid w:val="00737275"/>
    <w:rsid w:val="00740EEC"/>
    <w:rsid w:val="0078011A"/>
    <w:rsid w:val="00782AF4"/>
    <w:rsid w:val="00790EE7"/>
    <w:rsid w:val="007A0B44"/>
    <w:rsid w:val="007B6649"/>
    <w:rsid w:val="0082576E"/>
    <w:rsid w:val="008B7EAB"/>
    <w:rsid w:val="008F3F78"/>
    <w:rsid w:val="00907F75"/>
    <w:rsid w:val="009224AE"/>
    <w:rsid w:val="009260DE"/>
    <w:rsid w:val="0093258A"/>
    <w:rsid w:val="00965A58"/>
    <w:rsid w:val="009B2197"/>
    <w:rsid w:val="009C1D93"/>
    <w:rsid w:val="009C7BA3"/>
    <w:rsid w:val="009D15EE"/>
    <w:rsid w:val="009D1F5A"/>
    <w:rsid w:val="009E1292"/>
    <w:rsid w:val="00A10294"/>
    <w:rsid w:val="00A64435"/>
    <w:rsid w:val="00AD674F"/>
    <w:rsid w:val="00B003BF"/>
    <w:rsid w:val="00B373D7"/>
    <w:rsid w:val="00B94ACC"/>
    <w:rsid w:val="00BB0373"/>
    <w:rsid w:val="00C36276"/>
    <w:rsid w:val="00C42586"/>
    <w:rsid w:val="00C60CCD"/>
    <w:rsid w:val="00C81C8A"/>
    <w:rsid w:val="00C84483"/>
    <w:rsid w:val="00C95551"/>
    <w:rsid w:val="00CB20D7"/>
    <w:rsid w:val="00D020B0"/>
    <w:rsid w:val="00D11748"/>
    <w:rsid w:val="00D133CA"/>
    <w:rsid w:val="00D366CF"/>
    <w:rsid w:val="00DB2DC9"/>
    <w:rsid w:val="00E108AA"/>
    <w:rsid w:val="00E3749A"/>
    <w:rsid w:val="00E7437F"/>
    <w:rsid w:val="00E865B8"/>
    <w:rsid w:val="00EC0B9B"/>
    <w:rsid w:val="00ED5E9F"/>
    <w:rsid w:val="00EE462E"/>
    <w:rsid w:val="00F66D4F"/>
    <w:rsid w:val="00FB6D01"/>
    <w:rsid w:val="00FE4C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74F68"/>
  <w15:chartTrackingRefBased/>
  <w15:docId w15:val="{D1002512-8642-4C6F-954A-7BCBF9F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6E223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B0373"/>
    <w:rPr>
      <w:color w:val="0563C1" w:themeColor="hyperlink"/>
      <w:u w:val="single"/>
    </w:rPr>
  </w:style>
  <w:style w:type="character" w:styleId="Ulstomtale">
    <w:name w:val="Unresolved Mention"/>
    <w:basedOn w:val="Standardskrifttypeiafsnit"/>
    <w:uiPriority w:val="99"/>
    <w:semiHidden/>
    <w:unhideWhenUsed/>
    <w:rsid w:val="00BB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569">
      <w:bodyDiv w:val="1"/>
      <w:marLeft w:val="0"/>
      <w:marRight w:val="0"/>
      <w:marTop w:val="0"/>
      <w:marBottom w:val="0"/>
      <w:divBdr>
        <w:top w:val="none" w:sz="0" w:space="0" w:color="auto"/>
        <w:left w:val="none" w:sz="0" w:space="0" w:color="auto"/>
        <w:bottom w:val="none" w:sz="0" w:space="0" w:color="auto"/>
        <w:right w:val="none" w:sz="0" w:space="0" w:color="auto"/>
      </w:divBdr>
    </w:div>
    <w:div w:id="25721504">
      <w:bodyDiv w:val="1"/>
      <w:marLeft w:val="0"/>
      <w:marRight w:val="0"/>
      <w:marTop w:val="0"/>
      <w:marBottom w:val="0"/>
      <w:divBdr>
        <w:top w:val="none" w:sz="0" w:space="0" w:color="auto"/>
        <w:left w:val="none" w:sz="0" w:space="0" w:color="auto"/>
        <w:bottom w:val="none" w:sz="0" w:space="0" w:color="auto"/>
        <w:right w:val="none" w:sz="0" w:space="0" w:color="auto"/>
      </w:divBdr>
    </w:div>
    <w:div w:id="262952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891965">
      <w:bodyDiv w:val="1"/>
      <w:marLeft w:val="0"/>
      <w:marRight w:val="0"/>
      <w:marTop w:val="0"/>
      <w:marBottom w:val="0"/>
      <w:divBdr>
        <w:top w:val="none" w:sz="0" w:space="0" w:color="auto"/>
        <w:left w:val="none" w:sz="0" w:space="0" w:color="auto"/>
        <w:bottom w:val="none" w:sz="0" w:space="0" w:color="auto"/>
        <w:right w:val="none" w:sz="0" w:space="0" w:color="auto"/>
      </w:divBdr>
    </w:div>
    <w:div w:id="246699098">
      <w:bodyDiv w:val="1"/>
      <w:marLeft w:val="0"/>
      <w:marRight w:val="0"/>
      <w:marTop w:val="0"/>
      <w:marBottom w:val="0"/>
      <w:divBdr>
        <w:top w:val="none" w:sz="0" w:space="0" w:color="auto"/>
        <w:left w:val="none" w:sz="0" w:space="0" w:color="auto"/>
        <w:bottom w:val="none" w:sz="0" w:space="0" w:color="auto"/>
        <w:right w:val="none" w:sz="0" w:space="0" w:color="auto"/>
      </w:divBdr>
    </w:div>
    <w:div w:id="433092902">
      <w:bodyDiv w:val="1"/>
      <w:marLeft w:val="0"/>
      <w:marRight w:val="0"/>
      <w:marTop w:val="0"/>
      <w:marBottom w:val="0"/>
      <w:divBdr>
        <w:top w:val="none" w:sz="0" w:space="0" w:color="auto"/>
        <w:left w:val="none" w:sz="0" w:space="0" w:color="auto"/>
        <w:bottom w:val="none" w:sz="0" w:space="0" w:color="auto"/>
        <w:right w:val="none" w:sz="0" w:space="0" w:color="auto"/>
      </w:divBdr>
    </w:div>
    <w:div w:id="463087506">
      <w:bodyDiv w:val="1"/>
      <w:marLeft w:val="0"/>
      <w:marRight w:val="0"/>
      <w:marTop w:val="0"/>
      <w:marBottom w:val="0"/>
      <w:divBdr>
        <w:top w:val="none" w:sz="0" w:space="0" w:color="auto"/>
        <w:left w:val="none" w:sz="0" w:space="0" w:color="auto"/>
        <w:bottom w:val="none" w:sz="0" w:space="0" w:color="auto"/>
        <w:right w:val="none" w:sz="0" w:space="0" w:color="auto"/>
      </w:divBdr>
    </w:div>
    <w:div w:id="476653756">
      <w:bodyDiv w:val="1"/>
      <w:marLeft w:val="0"/>
      <w:marRight w:val="0"/>
      <w:marTop w:val="0"/>
      <w:marBottom w:val="0"/>
      <w:divBdr>
        <w:top w:val="none" w:sz="0" w:space="0" w:color="auto"/>
        <w:left w:val="none" w:sz="0" w:space="0" w:color="auto"/>
        <w:bottom w:val="none" w:sz="0" w:space="0" w:color="auto"/>
        <w:right w:val="none" w:sz="0" w:space="0" w:color="auto"/>
      </w:divBdr>
    </w:div>
    <w:div w:id="640353319">
      <w:bodyDiv w:val="1"/>
      <w:marLeft w:val="0"/>
      <w:marRight w:val="0"/>
      <w:marTop w:val="0"/>
      <w:marBottom w:val="0"/>
      <w:divBdr>
        <w:top w:val="none" w:sz="0" w:space="0" w:color="auto"/>
        <w:left w:val="none" w:sz="0" w:space="0" w:color="auto"/>
        <w:bottom w:val="none" w:sz="0" w:space="0" w:color="auto"/>
        <w:right w:val="none" w:sz="0" w:space="0" w:color="auto"/>
      </w:divBdr>
    </w:div>
    <w:div w:id="678822492">
      <w:bodyDiv w:val="1"/>
      <w:marLeft w:val="0"/>
      <w:marRight w:val="0"/>
      <w:marTop w:val="0"/>
      <w:marBottom w:val="0"/>
      <w:divBdr>
        <w:top w:val="none" w:sz="0" w:space="0" w:color="auto"/>
        <w:left w:val="none" w:sz="0" w:space="0" w:color="auto"/>
        <w:bottom w:val="none" w:sz="0" w:space="0" w:color="auto"/>
        <w:right w:val="none" w:sz="0" w:space="0" w:color="auto"/>
      </w:divBdr>
    </w:div>
    <w:div w:id="716122999">
      <w:bodyDiv w:val="1"/>
      <w:marLeft w:val="0"/>
      <w:marRight w:val="0"/>
      <w:marTop w:val="0"/>
      <w:marBottom w:val="0"/>
      <w:divBdr>
        <w:top w:val="none" w:sz="0" w:space="0" w:color="auto"/>
        <w:left w:val="none" w:sz="0" w:space="0" w:color="auto"/>
        <w:bottom w:val="none" w:sz="0" w:space="0" w:color="auto"/>
        <w:right w:val="none" w:sz="0" w:space="0" w:color="auto"/>
      </w:divBdr>
    </w:div>
    <w:div w:id="766460036">
      <w:bodyDiv w:val="1"/>
      <w:marLeft w:val="0"/>
      <w:marRight w:val="0"/>
      <w:marTop w:val="0"/>
      <w:marBottom w:val="0"/>
      <w:divBdr>
        <w:top w:val="none" w:sz="0" w:space="0" w:color="auto"/>
        <w:left w:val="none" w:sz="0" w:space="0" w:color="auto"/>
        <w:bottom w:val="none" w:sz="0" w:space="0" w:color="auto"/>
        <w:right w:val="none" w:sz="0" w:space="0" w:color="auto"/>
      </w:divBdr>
    </w:div>
    <w:div w:id="844829726">
      <w:bodyDiv w:val="1"/>
      <w:marLeft w:val="0"/>
      <w:marRight w:val="0"/>
      <w:marTop w:val="0"/>
      <w:marBottom w:val="0"/>
      <w:divBdr>
        <w:top w:val="none" w:sz="0" w:space="0" w:color="auto"/>
        <w:left w:val="none" w:sz="0" w:space="0" w:color="auto"/>
        <w:bottom w:val="none" w:sz="0" w:space="0" w:color="auto"/>
        <w:right w:val="none" w:sz="0" w:space="0" w:color="auto"/>
      </w:divBdr>
    </w:div>
    <w:div w:id="878319408">
      <w:bodyDiv w:val="1"/>
      <w:marLeft w:val="0"/>
      <w:marRight w:val="0"/>
      <w:marTop w:val="0"/>
      <w:marBottom w:val="0"/>
      <w:divBdr>
        <w:top w:val="none" w:sz="0" w:space="0" w:color="auto"/>
        <w:left w:val="none" w:sz="0" w:space="0" w:color="auto"/>
        <w:bottom w:val="none" w:sz="0" w:space="0" w:color="auto"/>
        <w:right w:val="none" w:sz="0" w:space="0" w:color="auto"/>
      </w:divBdr>
    </w:div>
    <w:div w:id="904336658">
      <w:bodyDiv w:val="1"/>
      <w:marLeft w:val="0"/>
      <w:marRight w:val="0"/>
      <w:marTop w:val="0"/>
      <w:marBottom w:val="0"/>
      <w:divBdr>
        <w:top w:val="none" w:sz="0" w:space="0" w:color="auto"/>
        <w:left w:val="none" w:sz="0" w:space="0" w:color="auto"/>
        <w:bottom w:val="none" w:sz="0" w:space="0" w:color="auto"/>
        <w:right w:val="none" w:sz="0" w:space="0" w:color="auto"/>
      </w:divBdr>
    </w:div>
    <w:div w:id="944265546">
      <w:bodyDiv w:val="1"/>
      <w:marLeft w:val="0"/>
      <w:marRight w:val="0"/>
      <w:marTop w:val="0"/>
      <w:marBottom w:val="0"/>
      <w:divBdr>
        <w:top w:val="none" w:sz="0" w:space="0" w:color="auto"/>
        <w:left w:val="none" w:sz="0" w:space="0" w:color="auto"/>
        <w:bottom w:val="none" w:sz="0" w:space="0" w:color="auto"/>
        <w:right w:val="none" w:sz="0" w:space="0" w:color="auto"/>
      </w:divBdr>
    </w:div>
    <w:div w:id="973948189">
      <w:bodyDiv w:val="1"/>
      <w:marLeft w:val="0"/>
      <w:marRight w:val="0"/>
      <w:marTop w:val="0"/>
      <w:marBottom w:val="0"/>
      <w:divBdr>
        <w:top w:val="none" w:sz="0" w:space="0" w:color="auto"/>
        <w:left w:val="none" w:sz="0" w:space="0" w:color="auto"/>
        <w:bottom w:val="none" w:sz="0" w:space="0" w:color="auto"/>
        <w:right w:val="none" w:sz="0" w:space="0" w:color="auto"/>
      </w:divBdr>
    </w:div>
    <w:div w:id="984549147">
      <w:bodyDiv w:val="1"/>
      <w:marLeft w:val="0"/>
      <w:marRight w:val="0"/>
      <w:marTop w:val="0"/>
      <w:marBottom w:val="0"/>
      <w:divBdr>
        <w:top w:val="none" w:sz="0" w:space="0" w:color="auto"/>
        <w:left w:val="none" w:sz="0" w:space="0" w:color="auto"/>
        <w:bottom w:val="none" w:sz="0" w:space="0" w:color="auto"/>
        <w:right w:val="none" w:sz="0" w:space="0" w:color="auto"/>
      </w:divBdr>
    </w:div>
    <w:div w:id="1139030048">
      <w:bodyDiv w:val="1"/>
      <w:marLeft w:val="0"/>
      <w:marRight w:val="0"/>
      <w:marTop w:val="0"/>
      <w:marBottom w:val="0"/>
      <w:divBdr>
        <w:top w:val="none" w:sz="0" w:space="0" w:color="auto"/>
        <w:left w:val="none" w:sz="0" w:space="0" w:color="auto"/>
        <w:bottom w:val="none" w:sz="0" w:space="0" w:color="auto"/>
        <w:right w:val="none" w:sz="0" w:space="0" w:color="auto"/>
      </w:divBdr>
    </w:div>
    <w:div w:id="1150057337">
      <w:bodyDiv w:val="1"/>
      <w:marLeft w:val="0"/>
      <w:marRight w:val="0"/>
      <w:marTop w:val="0"/>
      <w:marBottom w:val="0"/>
      <w:divBdr>
        <w:top w:val="none" w:sz="0" w:space="0" w:color="auto"/>
        <w:left w:val="none" w:sz="0" w:space="0" w:color="auto"/>
        <w:bottom w:val="none" w:sz="0" w:space="0" w:color="auto"/>
        <w:right w:val="none" w:sz="0" w:space="0" w:color="auto"/>
      </w:divBdr>
    </w:div>
    <w:div w:id="1185049609">
      <w:bodyDiv w:val="1"/>
      <w:marLeft w:val="0"/>
      <w:marRight w:val="0"/>
      <w:marTop w:val="0"/>
      <w:marBottom w:val="0"/>
      <w:divBdr>
        <w:top w:val="none" w:sz="0" w:space="0" w:color="auto"/>
        <w:left w:val="none" w:sz="0" w:space="0" w:color="auto"/>
        <w:bottom w:val="none" w:sz="0" w:space="0" w:color="auto"/>
        <w:right w:val="none" w:sz="0" w:space="0" w:color="auto"/>
      </w:divBdr>
    </w:div>
    <w:div w:id="1218588142">
      <w:bodyDiv w:val="1"/>
      <w:marLeft w:val="0"/>
      <w:marRight w:val="0"/>
      <w:marTop w:val="0"/>
      <w:marBottom w:val="0"/>
      <w:divBdr>
        <w:top w:val="none" w:sz="0" w:space="0" w:color="auto"/>
        <w:left w:val="none" w:sz="0" w:space="0" w:color="auto"/>
        <w:bottom w:val="none" w:sz="0" w:space="0" w:color="auto"/>
        <w:right w:val="none" w:sz="0" w:space="0" w:color="auto"/>
      </w:divBdr>
    </w:div>
    <w:div w:id="1234730948">
      <w:bodyDiv w:val="1"/>
      <w:marLeft w:val="0"/>
      <w:marRight w:val="0"/>
      <w:marTop w:val="0"/>
      <w:marBottom w:val="0"/>
      <w:divBdr>
        <w:top w:val="none" w:sz="0" w:space="0" w:color="auto"/>
        <w:left w:val="none" w:sz="0" w:space="0" w:color="auto"/>
        <w:bottom w:val="none" w:sz="0" w:space="0" w:color="auto"/>
        <w:right w:val="none" w:sz="0" w:space="0" w:color="auto"/>
      </w:divBdr>
    </w:div>
    <w:div w:id="1260262495">
      <w:bodyDiv w:val="1"/>
      <w:marLeft w:val="0"/>
      <w:marRight w:val="0"/>
      <w:marTop w:val="0"/>
      <w:marBottom w:val="0"/>
      <w:divBdr>
        <w:top w:val="none" w:sz="0" w:space="0" w:color="auto"/>
        <w:left w:val="none" w:sz="0" w:space="0" w:color="auto"/>
        <w:bottom w:val="none" w:sz="0" w:space="0" w:color="auto"/>
        <w:right w:val="none" w:sz="0" w:space="0" w:color="auto"/>
      </w:divBdr>
    </w:div>
    <w:div w:id="1272932526">
      <w:bodyDiv w:val="1"/>
      <w:marLeft w:val="0"/>
      <w:marRight w:val="0"/>
      <w:marTop w:val="0"/>
      <w:marBottom w:val="0"/>
      <w:divBdr>
        <w:top w:val="none" w:sz="0" w:space="0" w:color="auto"/>
        <w:left w:val="none" w:sz="0" w:space="0" w:color="auto"/>
        <w:bottom w:val="none" w:sz="0" w:space="0" w:color="auto"/>
        <w:right w:val="none" w:sz="0" w:space="0" w:color="auto"/>
      </w:divBdr>
    </w:div>
    <w:div w:id="1277061283">
      <w:bodyDiv w:val="1"/>
      <w:marLeft w:val="0"/>
      <w:marRight w:val="0"/>
      <w:marTop w:val="0"/>
      <w:marBottom w:val="0"/>
      <w:divBdr>
        <w:top w:val="none" w:sz="0" w:space="0" w:color="auto"/>
        <w:left w:val="none" w:sz="0" w:space="0" w:color="auto"/>
        <w:bottom w:val="none" w:sz="0" w:space="0" w:color="auto"/>
        <w:right w:val="none" w:sz="0" w:space="0" w:color="auto"/>
      </w:divBdr>
    </w:div>
    <w:div w:id="1362053278">
      <w:bodyDiv w:val="1"/>
      <w:marLeft w:val="0"/>
      <w:marRight w:val="0"/>
      <w:marTop w:val="0"/>
      <w:marBottom w:val="0"/>
      <w:divBdr>
        <w:top w:val="none" w:sz="0" w:space="0" w:color="auto"/>
        <w:left w:val="none" w:sz="0" w:space="0" w:color="auto"/>
        <w:bottom w:val="none" w:sz="0" w:space="0" w:color="auto"/>
        <w:right w:val="none" w:sz="0" w:space="0" w:color="auto"/>
      </w:divBdr>
    </w:div>
    <w:div w:id="1480003263">
      <w:bodyDiv w:val="1"/>
      <w:marLeft w:val="0"/>
      <w:marRight w:val="0"/>
      <w:marTop w:val="0"/>
      <w:marBottom w:val="0"/>
      <w:divBdr>
        <w:top w:val="none" w:sz="0" w:space="0" w:color="auto"/>
        <w:left w:val="none" w:sz="0" w:space="0" w:color="auto"/>
        <w:bottom w:val="none" w:sz="0" w:space="0" w:color="auto"/>
        <w:right w:val="none" w:sz="0" w:space="0" w:color="auto"/>
      </w:divBdr>
    </w:div>
    <w:div w:id="1563638575">
      <w:bodyDiv w:val="1"/>
      <w:marLeft w:val="0"/>
      <w:marRight w:val="0"/>
      <w:marTop w:val="0"/>
      <w:marBottom w:val="0"/>
      <w:divBdr>
        <w:top w:val="none" w:sz="0" w:space="0" w:color="auto"/>
        <w:left w:val="none" w:sz="0" w:space="0" w:color="auto"/>
        <w:bottom w:val="none" w:sz="0" w:space="0" w:color="auto"/>
        <w:right w:val="none" w:sz="0" w:space="0" w:color="auto"/>
      </w:divBdr>
    </w:div>
    <w:div w:id="1606960269">
      <w:bodyDiv w:val="1"/>
      <w:marLeft w:val="0"/>
      <w:marRight w:val="0"/>
      <w:marTop w:val="0"/>
      <w:marBottom w:val="0"/>
      <w:divBdr>
        <w:top w:val="none" w:sz="0" w:space="0" w:color="auto"/>
        <w:left w:val="none" w:sz="0" w:space="0" w:color="auto"/>
        <w:bottom w:val="none" w:sz="0" w:space="0" w:color="auto"/>
        <w:right w:val="none" w:sz="0" w:space="0" w:color="auto"/>
      </w:divBdr>
    </w:div>
    <w:div w:id="1677685747">
      <w:bodyDiv w:val="1"/>
      <w:marLeft w:val="0"/>
      <w:marRight w:val="0"/>
      <w:marTop w:val="0"/>
      <w:marBottom w:val="0"/>
      <w:divBdr>
        <w:top w:val="none" w:sz="0" w:space="0" w:color="auto"/>
        <w:left w:val="none" w:sz="0" w:space="0" w:color="auto"/>
        <w:bottom w:val="none" w:sz="0" w:space="0" w:color="auto"/>
        <w:right w:val="none" w:sz="0" w:space="0" w:color="auto"/>
      </w:divBdr>
    </w:div>
    <w:div w:id="1717660950">
      <w:bodyDiv w:val="1"/>
      <w:marLeft w:val="0"/>
      <w:marRight w:val="0"/>
      <w:marTop w:val="0"/>
      <w:marBottom w:val="0"/>
      <w:divBdr>
        <w:top w:val="none" w:sz="0" w:space="0" w:color="auto"/>
        <w:left w:val="none" w:sz="0" w:space="0" w:color="auto"/>
        <w:bottom w:val="none" w:sz="0" w:space="0" w:color="auto"/>
        <w:right w:val="none" w:sz="0" w:space="0" w:color="auto"/>
      </w:divBdr>
    </w:div>
    <w:div w:id="1850870987">
      <w:bodyDiv w:val="1"/>
      <w:marLeft w:val="0"/>
      <w:marRight w:val="0"/>
      <w:marTop w:val="0"/>
      <w:marBottom w:val="0"/>
      <w:divBdr>
        <w:top w:val="none" w:sz="0" w:space="0" w:color="auto"/>
        <w:left w:val="none" w:sz="0" w:space="0" w:color="auto"/>
        <w:bottom w:val="none" w:sz="0" w:space="0" w:color="auto"/>
        <w:right w:val="none" w:sz="0" w:space="0" w:color="auto"/>
      </w:divBdr>
    </w:div>
    <w:div w:id="1861775248">
      <w:bodyDiv w:val="1"/>
      <w:marLeft w:val="0"/>
      <w:marRight w:val="0"/>
      <w:marTop w:val="0"/>
      <w:marBottom w:val="0"/>
      <w:divBdr>
        <w:top w:val="none" w:sz="0" w:space="0" w:color="auto"/>
        <w:left w:val="none" w:sz="0" w:space="0" w:color="auto"/>
        <w:bottom w:val="none" w:sz="0" w:space="0" w:color="auto"/>
        <w:right w:val="none" w:sz="0" w:space="0" w:color="auto"/>
      </w:divBdr>
    </w:div>
    <w:div w:id="1978534608">
      <w:bodyDiv w:val="1"/>
      <w:marLeft w:val="0"/>
      <w:marRight w:val="0"/>
      <w:marTop w:val="0"/>
      <w:marBottom w:val="0"/>
      <w:divBdr>
        <w:top w:val="none" w:sz="0" w:space="0" w:color="auto"/>
        <w:left w:val="none" w:sz="0" w:space="0" w:color="auto"/>
        <w:bottom w:val="none" w:sz="0" w:space="0" w:color="auto"/>
        <w:right w:val="none" w:sz="0" w:space="0" w:color="auto"/>
      </w:divBdr>
    </w:div>
    <w:div w:id="2043439042">
      <w:bodyDiv w:val="1"/>
      <w:marLeft w:val="0"/>
      <w:marRight w:val="0"/>
      <w:marTop w:val="0"/>
      <w:marBottom w:val="0"/>
      <w:divBdr>
        <w:top w:val="none" w:sz="0" w:space="0" w:color="auto"/>
        <w:left w:val="none" w:sz="0" w:space="0" w:color="auto"/>
        <w:bottom w:val="none" w:sz="0" w:space="0" w:color="auto"/>
        <w:right w:val="none" w:sz="0" w:space="0" w:color="auto"/>
      </w:divBdr>
    </w:div>
    <w:div w:id="2078092895">
      <w:bodyDiv w:val="1"/>
      <w:marLeft w:val="0"/>
      <w:marRight w:val="0"/>
      <w:marTop w:val="0"/>
      <w:marBottom w:val="0"/>
      <w:divBdr>
        <w:top w:val="none" w:sz="0" w:space="0" w:color="auto"/>
        <w:left w:val="none" w:sz="0" w:space="0" w:color="auto"/>
        <w:bottom w:val="none" w:sz="0" w:space="0" w:color="auto"/>
        <w:right w:val="none" w:sz="0" w:space="0" w:color="auto"/>
      </w:divBdr>
    </w:div>
    <w:div w:id="21236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2752</Words>
  <Characters>17269</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2024080165_x000d_
Skift af MAH fra Morningside Healthcare (Malta)</dc:description>
  <cp:lastModifiedBy>Marianne Ott Jensen</cp:lastModifiedBy>
  <cp:revision>3</cp:revision>
  <cp:lastPrinted>2012-08-22T08:53:00Z</cp:lastPrinted>
  <dcterms:created xsi:type="dcterms:W3CDTF">2025-01-30T11:56:00Z</dcterms:created>
  <dcterms:modified xsi:type="dcterms:W3CDTF">2025-01-30T12:02:00Z</dcterms:modified>
</cp:coreProperties>
</file>