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4848" w14:textId="5BC7E34B" w:rsidR="009260DE" w:rsidRPr="00C84483" w:rsidRDefault="0021526C" w:rsidP="006D528A">
      <w:pPr>
        <w:rPr>
          <w:b/>
          <w:szCs w:val="24"/>
        </w:rPr>
      </w:pPr>
      <w:r w:rsidRPr="009260DE">
        <w:rPr>
          <w:noProof/>
          <w:sz w:val="24"/>
          <w:szCs w:val="24"/>
          <w:lang w:eastAsia="da-DK"/>
        </w:rPr>
        <w:drawing>
          <wp:anchor distT="0" distB="0" distL="114300" distR="114300" simplePos="0" relativeHeight="251658240" behindDoc="0" locked="0" layoutInCell="1" allowOverlap="1" wp14:anchorId="5889B153" wp14:editId="356496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913C28D" w14:textId="0AFE2E88" w:rsidR="009260DE" w:rsidRPr="00CF7284" w:rsidRDefault="00CF7284" w:rsidP="00CF7284">
      <w:pPr>
        <w:pStyle w:val="Titel"/>
        <w:tabs>
          <w:tab w:val="right" w:pos="9356"/>
        </w:tabs>
        <w:jc w:val="right"/>
        <w:rPr>
          <w:szCs w:val="24"/>
          <w:lang w:eastAsia="en-US"/>
        </w:rPr>
      </w:pPr>
      <w:bookmarkStart w:id="0" w:name="_GoBack"/>
      <w:bookmarkEnd w:id="0"/>
      <w:r w:rsidRPr="00CF7284">
        <w:rPr>
          <w:szCs w:val="24"/>
          <w:lang w:eastAsia="en-US"/>
        </w:rPr>
        <w:t>11. marts 2024</w:t>
      </w:r>
    </w:p>
    <w:p w14:paraId="6B93DCDD" w14:textId="267963A4" w:rsidR="009260DE" w:rsidRPr="003F0239" w:rsidRDefault="009260DE" w:rsidP="009260DE">
      <w:pPr>
        <w:pStyle w:val="Titel"/>
        <w:jc w:val="left"/>
        <w:rPr>
          <w:b w:val="0"/>
          <w:szCs w:val="24"/>
        </w:rPr>
      </w:pPr>
    </w:p>
    <w:p w14:paraId="228CF609" w14:textId="77777777" w:rsidR="009260DE" w:rsidRPr="003F0239" w:rsidRDefault="009260DE" w:rsidP="009260DE">
      <w:pPr>
        <w:pStyle w:val="Titel"/>
        <w:jc w:val="left"/>
        <w:rPr>
          <w:b w:val="0"/>
          <w:szCs w:val="24"/>
        </w:rPr>
      </w:pPr>
    </w:p>
    <w:p w14:paraId="14C7728A" w14:textId="77777777" w:rsidR="009260DE" w:rsidRPr="003F0239" w:rsidRDefault="009260DE" w:rsidP="009260DE">
      <w:pPr>
        <w:jc w:val="center"/>
        <w:rPr>
          <w:b/>
          <w:sz w:val="24"/>
          <w:szCs w:val="24"/>
          <w:lang w:val="en-US"/>
        </w:rPr>
      </w:pPr>
      <w:r w:rsidRPr="003F0239">
        <w:rPr>
          <w:b/>
          <w:sz w:val="24"/>
          <w:szCs w:val="24"/>
          <w:lang w:val="en-US"/>
        </w:rPr>
        <w:t>PRODUKTRESUMÉ</w:t>
      </w:r>
    </w:p>
    <w:p w14:paraId="4281E59C" w14:textId="77777777" w:rsidR="009260DE" w:rsidRPr="003F0239" w:rsidRDefault="009260DE" w:rsidP="009260DE">
      <w:pPr>
        <w:jc w:val="center"/>
        <w:rPr>
          <w:b/>
          <w:sz w:val="24"/>
          <w:szCs w:val="24"/>
          <w:lang w:val="en-US"/>
        </w:rPr>
      </w:pPr>
    </w:p>
    <w:p w14:paraId="0C526479" w14:textId="77777777" w:rsidR="009260DE" w:rsidRPr="002A7625" w:rsidRDefault="009260DE" w:rsidP="009260DE">
      <w:pPr>
        <w:jc w:val="center"/>
        <w:rPr>
          <w:b/>
          <w:sz w:val="24"/>
          <w:szCs w:val="24"/>
          <w:lang w:val="en-US"/>
        </w:rPr>
      </w:pPr>
      <w:r w:rsidRPr="002A7625">
        <w:rPr>
          <w:b/>
          <w:sz w:val="24"/>
          <w:szCs w:val="24"/>
          <w:lang w:val="en-US"/>
        </w:rPr>
        <w:t>for</w:t>
      </w:r>
    </w:p>
    <w:p w14:paraId="4FE51E6B" w14:textId="77777777" w:rsidR="000B058C" w:rsidRPr="002A7625" w:rsidRDefault="000B058C" w:rsidP="009260DE">
      <w:pPr>
        <w:jc w:val="center"/>
        <w:rPr>
          <w:b/>
          <w:sz w:val="24"/>
          <w:szCs w:val="24"/>
          <w:lang w:val="en-US"/>
        </w:rPr>
      </w:pPr>
    </w:p>
    <w:p w14:paraId="23CCCC02" w14:textId="5C529A2F" w:rsidR="009260DE" w:rsidRPr="002A7625" w:rsidRDefault="00AF1E61" w:rsidP="009260DE">
      <w:pPr>
        <w:jc w:val="center"/>
        <w:rPr>
          <w:b/>
          <w:sz w:val="24"/>
          <w:szCs w:val="24"/>
          <w:lang w:val="en-US"/>
        </w:rPr>
      </w:pPr>
      <w:proofErr w:type="spellStart"/>
      <w:r w:rsidRPr="002A7625">
        <w:rPr>
          <w:b/>
          <w:sz w:val="24"/>
          <w:szCs w:val="24"/>
          <w:lang w:val="en-US"/>
        </w:rPr>
        <w:t>Clobetasolpropionat</w:t>
      </w:r>
      <w:proofErr w:type="spellEnd"/>
      <w:r w:rsidRPr="002A7625">
        <w:rPr>
          <w:b/>
          <w:sz w:val="24"/>
          <w:szCs w:val="24"/>
          <w:lang w:val="en-US"/>
        </w:rPr>
        <w:t xml:space="preserve"> "IFC"</w:t>
      </w:r>
      <w:r w:rsidR="00F61533" w:rsidRPr="002A7625">
        <w:rPr>
          <w:b/>
          <w:sz w:val="24"/>
          <w:szCs w:val="24"/>
          <w:lang w:val="en-US"/>
        </w:rPr>
        <w:t>, shampoo</w:t>
      </w:r>
    </w:p>
    <w:p w14:paraId="02BB3A1A" w14:textId="77777777" w:rsidR="009260DE" w:rsidRPr="002A7625" w:rsidRDefault="009260DE" w:rsidP="009260DE">
      <w:pPr>
        <w:jc w:val="both"/>
        <w:rPr>
          <w:sz w:val="24"/>
          <w:szCs w:val="24"/>
          <w:lang w:val="en-US"/>
        </w:rPr>
      </w:pPr>
    </w:p>
    <w:p w14:paraId="63B0B4F6" w14:textId="77777777" w:rsidR="009260DE" w:rsidRPr="002A7625" w:rsidRDefault="009260DE" w:rsidP="009260DE">
      <w:pPr>
        <w:jc w:val="both"/>
        <w:rPr>
          <w:sz w:val="24"/>
          <w:szCs w:val="24"/>
          <w:lang w:val="en-US"/>
        </w:rPr>
      </w:pPr>
    </w:p>
    <w:p w14:paraId="0D1B2015" w14:textId="77777777" w:rsidR="009260DE" w:rsidRPr="002A7625" w:rsidRDefault="009260DE" w:rsidP="009260DE">
      <w:pPr>
        <w:tabs>
          <w:tab w:val="left" w:pos="851"/>
        </w:tabs>
        <w:ind w:left="851" w:hanging="851"/>
        <w:rPr>
          <w:b/>
          <w:sz w:val="24"/>
          <w:szCs w:val="24"/>
          <w:lang w:val="en-US"/>
        </w:rPr>
      </w:pPr>
      <w:r w:rsidRPr="002A7625">
        <w:rPr>
          <w:b/>
          <w:sz w:val="24"/>
          <w:szCs w:val="24"/>
          <w:lang w:val="en-US"/>
        </w:rPr>
        <w:t>0.</w:t>
      </w:r>
      <w:r w:rsidRPr="002A7625">
        <w:rPr>
          <w:b/>
          <w:sz w:val="24"/>
          <w:szCs w:val="24"/>
          <w:lang w:val="en-US"/>
        </w:rPr>
        <w:tab/>
      </w:r>
      <w:proofErr w:type="gramStart"/>
      <w:r w:rsidRPr="002A7625">
        <w:rPr>
          <w:b/>
          <w:sz w:val="24"/>
          <w:szCs w:val="24"/>
          <w:lang w:val="en-US"/>
        </w:rPr>
        <w:t>D.SP.NR</w:t>
      </w:r>
      <w:proofErr w:type="gramEnd"/>
      <w:r w:rsidRPr="002A7625">
        <w:rPr>
          <w:b/>
          <w:sz w:val="24"/>
          <w:szCs w:val="24"/>
          <w:lang w:val="en-US"/>
        </w:rPr>
        <w:t>.</w:t>
      </w:r>
    </w:p>
    <w:p w14:paraId="64AA8085" w14:textId="3329AC30" w:rsidR="009260DE" w:rsidRPr="00B302E1" w:rsidRDefault="00F61533" w:rsidP="009260DE">
      <w:pPr>
        <w:tabs>
          <w:tab w:val="left" w:pos="851"/>
        </w:tabs>
        <w:ind w:left="851"/>
        <w:rPr>
          <w:sz w:val="24"/>
          <w:szCs w:val="24"/>
        </w:rPr>
      </w:pPr>
      <w:r w:rsidRPr="00B302E1">
        <w:rPr>
          <w:sz w:val="24"/>
          <w:szCs w:val="24"/>
        </w:rPr>
        <w:t>31496</w:t>
      </w:r>
    </w:p>
    <w:p w14:paraId="7C1165AD" w14:textId="77777777" w:rsidR="009260DE" w:rsidRPr="00B302E1" w:rsidRDefault="009260DE" w:rsidP="009260DE">
      <w:pPr>
        <w:tabs>
          <w:tab w:val="left" w:pos="851"/>
        </w:tabs>
        <w:ind w:left="851"/>
        <w:rPr>
          <w:sz w:val="24"/>
          <w:szCs w:val="24"/>
        </w:rPr>
      </w:pPr>
    </w:p>
    <w:p w14:paraId="42768540" w14:textId="77777777" w:rsidR="009260DE" w:rsidRPr="00B302E1" w:rsidRDefault="009260DE" w:rsidP="009260DE">
      <w:pPr>
        <w:tabs>
          <w:tab w:val="left" w:pos="851"/>
        </w:tabs>
        <w:ind w:left="851" w:hanging="851"/>
        <w:rPr>
          <w:b/>
          <w:sz w:val="24"/>
          <w:szCs w:val="24"/>
        </w:rPr>
      </w:pPr>
      <w:r w:rsidRPr="00B302E1">
        <w:rPr>
          <w:b/>
          <w:sz w:val="24"/>
          <w:szCs w:val="24"/>
        </w:rPr>
        <w:t>1.</w:t>
      </w:r>
      <w:r w:rsidRPr="00B302E1">
        <w:rPr>
          <w:b/>
          <w:sz w:val="24"/>
          <w:szCs w:val="24"/>
        </w:rPr>
        <w:tab/>
        <w:t>LÆGEMIDLETS NAVN</w:t>
      </w:r>
    </w:p>
    <w:p w14:paraId="57E2B533" w14:textId="396B1DB1" w:rsidR="009260DE" w:rsidRPr="00B302E1" w:rsidRDefault="00F61533" w:rsidP="009260DE">
      <w:pPr>
        <w:tabs>
          <w:tab w:val="left" w:pos="851"/>
        </w:tabs>
        <w:ind w:left="851"/>
        <w:rPr>
          <w:sz w:val="24"/>
          <w:szCs w:val="24"/>
        </w:rPr>
      </w:pPr>
      <w:proofErr w:type="spellStart"/>
      <w:r w:rsidRPr="00B302E1">
        <w:rPr>
          <w:sz w:val="24"/>
          <w:szCs w:val="24"/>
        </w:rPr>
        <w:t>Clobetasolpropionat</w:t>
      </w:r>
      <w:proofErr w:type="spellEnd"/>
      <w:r w:rsidRPr="00B302E1">
        <w:rPr>
          <w:sz w:val="24"/>
          <w:szCs w:val="24"/>
        </w:rPr>
        <w:t xml:space="preserve"> "IFC"</w:t>
      </w:r>
    </w:p>
    <w:p w14:paraId="2F4E5446" w14:textId="77777777" w:rsidR="009260DE" w:rsidRPr="00B302E1" w:rsidRDefault="009260DE" w:rsidP="009260DE">
      <w:pPr>
        <w:tabs>
          <w:tab w:val="left" w:pos="851"/>
        </w:tabs>
        <w:ind w:left="851"/>
        <w:rPr>
          <w:sz w:val="24"/>
          <w:szCs w:val="24"/>
        </w:rPr>
      </w:pPr>
    </w:p>
    <w:p w14:paraId="6B03C6BC" w14:textId="77777777" w:rsidR="009260DE" w:rsidRPr="00B302E1" w:rsidRDefault="009260DE" w:rsidP="009260DE">
      <w:pPr>
        <w:tabs>
          <w:tab w:val="left" w:pos="851"/>
        </w:tabs>
        <w:ind w:left="851" w:hanging="851"/>
        <w:rPr>
          <w:b/>
          <w:sz w:val="24"/>
          <w:szCs w:val="24"/>
        </w:rPr>
      </w:pPr>
      <w:r w:rsidRPr="00B302E1">
        <w:rPr>
          <w:b/>
          <w:sz w:val="24"/>
          <w:szCs w:val="24"/>
        </w:rPr>
        <w:t>2.</w:t>
      </w:r>
      <w:r w:rsidRPr="00B302E1">
        <w:rPr>
          <w:b/>
          <w:sz w:val="24"/>
          <w:szCs w:val="24"/>
        </w:rPr>
        <w:tab/>
        <w:t>KVALITATIV OG KVANTITATIV SAMMENSÆTNING</w:t>
      </w:r>
    </w:p>
    <w:p w14:paraId="58500267" w14:textId="77777777" w:rsidR="009A2737" w:rsidRPr="00B302E1" w:rsidRDefault="009A2737" w:rsidP="00EA065A">
      <w:pPr>
        <w:ind w:left="851"/>
        <w:rPr>
          <w:sz w:val="24"/>
          <w:szCs w:val="24"/>
        </w:rPr>
      </w:pPr>
      <w:r w:rsidRPr="00B302E1">
        <w:rPr>
          <w:sz w:val="24"/>
          <w:szCs w:val="24"/>
        </w:rPr>
        <w:t xml:space="preserve">Et gram shampoo indeholder 500 mikrogram </w:t>
      </w:r>
      <w:proofErr w:type="spellStart"/>
      <w:r w:rsidRPr="00B302E1">
        <w:rPr>
          <w:sz w:val="24"/>
          <w:szCs w:val="24"/>
        </w:rPr>
        <w:t>clobetasolpropionat</w:t>
      </w:r>
      <w:proofErr w:type="spellEnd"/>
      <w:r w:rsidRPr="00B302E1">
        <w:rPr>
          <w:sz w:val="24"/>
          <w:szCs w:val="24"/>
        </w:rPr>
        <w:t>.</w:t>
      </w:r>
    </w:p>
    <w:p w14:paraId="1079092E" w14:textId="77777777" w:rsidR="009A2737" w:rsidRPr="00B302E1" w:rsidRDefault="009A2737" w:rsidP="00EA065A">
      <w:pPr>
        <w:ind w:left="851"/>
        <w:rPr>
          <w:sz w:val="24"/>
          <w:szCs w:val="24"/>
        </w:rPr>
      </w:pPr>
      <w:r w:rsidRPr="00B302E1">
        <w:rPr>
          <w:sz w:val="24"/>
          <w:szCs w:val="24"/>
        </w:rPr>
        <w:t>Et gram shampoo svarer til 1 milliliter shampoo.</w:t>
      </w:r>
    </w:p>
    <w:p w14:paraId="0E61E26F" w14:textId="77777777" w:rsidR="009A2737" w:rsidRPr="00B302E1" w:rsidRDefault="009A2737" w:rsidP="00EA065A">
      <w:pPr>
        <w:ind w:left="851"/>
        <w:rPr>
          <w:sz w:val="24"/>
          <w:szCs w:val="24"/>
        </w:rPr>
      </w:pPr>
    </w:p>
    <w:p w14:paraId="5C38830E" w14:textId="77777777" w:rsidR="009A2737" w:rsidRPr="00B302E1" w:rsidRDefault="009A2737" w:rsidP="00EA065A">
      <w:pPr>
        <w:ind w:left="851"/>
        <w:rPr>
          <w:sz w:val="24"/>
          <w:szCs w:val="24"/>
        </w:rPr>
      </w:pPr>
      <w:r w:rsidRPr="00B302E1">
        <w:rPr>
          <w:sz w:val="24"/>
          <w:szCs w:val="24"/>
        </w:rPr>
        <w:t>Alle hjælpestoffer er anført under pkt. 6.1.</w:t>
      </w:r>
    </w:p>
    <w:p w14:paraId="1EDB5103" w14:textId="77777777" w:rsidR="009260DE" w:rsidRPr="00B302E1" w:rsidRDefault="009260DE" w:rsidP="009260DE">
      <w:pPr>
        <w:tabs>
          <w:tab w:val="left" w:pos="851"/>
        </w:tabs>
        <w:ind w:left="851"/>
        <w:rPr>
          <w:sz w:val="24"/>
          <w:szCs w:val="24"/>
        </w:rPr>
      </w:pPr>
    </w:p>
    <w:p w14:paraId="5EBF9463" w14:textId="77777777" w:rsidR="009260DE" w:rsidRPr="00B302E1" w:rsidRDefault="009260DE" w:rsidP="009260DE">
      <w:pPr>
        <w:tabs>
          <w:tab w:val="left" w:pos="851"/>
        </w:tabs>
        <w:ind w:left="851" w:hanging="851"/>
        <w:rPr>
          <w:b/>
          <w:sz w:val="24"/>
          <w:szCs w:val="24"/>
        </w:rPr>
      </w:pPr>
      <w:r w:rsidRPr="00B302E1">
        <w:rPr>
          <w:b/>
          <w:sz w:val="24"/>
          <w:szCs w:val="24"/>
        </w:rPr>
        <w:t>3.</w:t>
      </w:r>
      <w:r w:rsidRPr="00B302E1">
        <w:rPr>
          <w:b/>
          <w:sz w:val="24"/>
          <w:szCs w:val="24"/>
        </w:rPr>
        <w:tab/>
        <w:t>LÆGEMIDDELFORM</w:t>
      </w:r>
    </w:p>
    <w:p w14:paraId="1F523116" w14:textId="490154F6" w:rsidR="009A2737" w:rsidRPr="00B302E1" w:rsidRDefault="009A2737" w:rsidP="00EA065A">
      <w:pPr>
        <w:ind w:left="851"/>
        <w:rPr>
          <w:sz w:val="24"/>
          <w:szCs w:val="24"/>
        </w:rPr>
      </w:pPr>
      <w:r w:rsidRPr="00B302E1">
        <w:rPr>
          <w:sz w:val="24"/>
          <w:szCs w:val="24"/>
        </w:rPr>
        <w:t>Shampoo</w:t>
      </w:r>
    </w:p>
    <w:p w14:paraId="2F31E50C" w14:textId="77777777" w:rsidR="009A2737" w:rsidRPr="00B302E1" w:rsidRDefault="009A2737" w:rsidP="00EA065A">
      <w:pPr>
        <w:ind w:left="851"/>
        <w:rPr>
          <w:sz w:val="24"/>
          <w:szCs w:val="24"/>
        </w:rPr>
      </w:pPr>
    </w:p>
    <w:p w14:paraId="282CBED9" w14:textId="0C14DD8D" w:rsidR="009A2737" w:rsidRPr="00B302E1" w:rsidRDefault="009A2737" w:rsidP="00EA065A">
      <w:pPr>
        <w:pStyle w:val="Brdtekst"/>
        <w:ind w:left="851"/>
        <w:rPr>
          <w:sz w:val="24"/>
          <w:szCs w:val="24"/>
          <w:lang w:val="da-DK"/>
        </w:rPr>
      </w:pPr>
      <w:r w:rsidRPr="00B302E1">
        <w:rPr>
          <w:sz w:val="24"/>
          <w:szCs w:val="24"/>
          <w:lang w:val="da-DK"/>
        </w:rPr>
        <w:t>Viskøs, gennemskinnelig, farveløs til lysegul</w:t>
      </w:r>
      <w:r w:rsidR="00822D32">
        <w:rPr>
          <w:sz w:val="24"/>
          <w:szCs w:val="24"/>
          <w:lang w:val="da-DK"/>
        </w:rPr>
        <w:t>,</w:t>
      </w:r>
      <w:r w:rsidRPr="00B302E1">
        <w:rPr>
          <w:sz w:val="24"/>
          <w:szCs w:val="24"/>
          <w:lang w:val="da-DK"/>
        </w:rPr>
        <w:t xml:space="preserve"> flydende shampoo med alkoholisk lugt.</w:t>
      </w:r>
    </w:p>
    <w:p w14:paraId="55670385" w14:textId="77777777" w:rsidR="009260DE" w:rsidRPr="00B302E1" w:rsidRDefault="009260DE" w:rsidP="009260DE">
      <w:pPr>
        <w:tabs>
          <w:tab w:val="left" w:pos="851"/>
        </w:tabs>
        <w:ind w:left="851"/>
        <w:rPr>
          <w:sz w:val="24"/>
          <w:szCs w:val="24"/>
        </w:rPr>
      </w:pPr>
    </w:p>
    <w:p w14:paraId="6BFED7A9" w14:textId="77777777" w:rsidR="009260DE" w:rsidRPr="00B302E1" w:rsidRDefault="009260DE" w:rsidP="009260DE">
      <w:pPr>
        <w:tabs>
          <w:tab w:val="left" w:pos="851"/>
        </w:tabs>
        <w:ind w:left="851"/>
        <w:rPr>
          <w:sz w:val="24"/>
          <w:szCs w:val="24"/>
        </w:rPr>
      </w:pPr>
    </w:p>
    <w:p w14:paraId="2AA46023" w14:textId="77777777" w:rsidR="009260DE" w:rsidRPr="00B302E1" w:rsidRDefault="009260DE" w:rsidP="009260DE">
      <w:pPr>
        <w:tabs>
          <w:tab w:val="left" w:pos="851"/>
        </w:tabs>
        <w:ind w:left="851" w:hanging="851"/>
        <w:rPr>
          <w:b/>
          <w:sz w:val="24"/>
          <w:szCs w:val="24"/>
        </w:rPr>
      </w:pPr>
      <w:r w:rsidRPr="00B302E1">
        <w:rPr>
          <w:b/>
          <w:sz w:val="24"/>
          <w:szCs w:val="24"/>
        </w:rPr>
        <w:t>4.</w:t>
      </w:r>
      <w:r w:rsidRPr="00B302E1">
        <w:rPr>
          <w:b/>
          <w:sz w:val="24"/>
          <w:szCs w:val="24"/>
        </w:rPr>
        <w:tab/>
        <w:t>KLINISKE OPLYSNINGER</w:t>
      </w:r>
    </w:p>
    <w:p w14:paraId="7F08EE5C" w14:textId="77777777" w:rsidR="009260DE" w:rsidRPr="00B302E1" w:rsidRDefault="009260DE" w:rsidP="009260DE">
      <w:pPr>
        <w:tabs>
          <w:tab w:val="left" w:pos="851"/>
        </w:tabs>
        <w:ind w:left="851"/>
        <w:rPr>
          <w:b/>
          <w:sz w:val="24"/>
          <w:szCs w:val="24"/>
        </w:rPr>
      </w:pPr>
    </w:p>
    <w:p w14:paraId="14AD42D9" w14:textId="77777777" w:rsidR="009260DE" w:rsidRPr="00B302E1" w:rsidRDefault="009260DE" w:rsidP="009260DE">
      <w:pPr>
        <w:tabs>
          <w:tab w:val="left" w:pos="851"/>
        </w:tabs>
        <w:ind w:left="851" w:hanging="851"/>
        <w:rPr>
          <w:b/>
          <w:sz w:val="24"/>
          <w:szCs w:val="24"/>
          <w:u w:val="single"/>
        </w:rPr>
      </w:pPr>
      <w:r w:rsidRPr="00B302E1">
        <w:rPr>
          <w:b/>
          <w:sz w:val="24"/>
          <w:szCs w:val="24"/>
        </w:rPr>
        <w:t>4.1</w:t>
      </w:r>
      <w:r w:rsidRPr="00B302E1">
        <w:rPr>
          <w:b/>
          <w:sz w:val="24"/>
          <w:szCs w:val="24"/>
        </w:rPr>
        <w:tab/>
        <w:t>Terapeutiske indikationer</w:t>
      </w:r>
    </w:p>
    <w:p w14:paraId="179C6735" w14:textId="77777777" w:rsidR="009A2737" w:rsidRPr="00B302E1" w:rsidRDefault="009A2737" w:rsidP="00EA065A">
      <w:pPr>
        <w:ind w:left="851"/>
        <w:rPr>
          <w:sz w:val="24"/>
          <w:szCs w:val="24"/>
        </w:rPr>
      </w:pPr>
      <w:proofErr w:type="spellStart"/>
      <w:r w:rsidRPr="00B302E1">
        <w:rPr>
          <w:sz w:val="24"/>
          <w:szCs w:val="24"/>
        </w:rPr>
        <w:t>Topikal</w:t>
      </w:r>
      <w:proofErr w:type="spellEnd"/>
      <w:r w:rsidRPr="00B302E1">
        <w:rPr>
          <w:sz w:val="24"/>
          <w:szCs w:val="24"/>
        </w:rPr>
        <w:t xml:space="preserve"> behandling af middelsvær psoriasis i hovedbunden hos voksne.</w:t>
      </w:r>
    </w:p>
    <w:p w14:paraId="180E2A8B" w14:textId="77777777" w:rsidR="009260DE" w:rsidRPr="00822D32" w:rsidRDefault="009260DE" w:rsidP="009260DE">
      <w:pPr>
        <w:tabs>
          <w:tab w:val="left" w:pos="851"/>
        </w:tabs>
        <w:ind w:left="851"/>
        <w:rPr>
          <w:sz w:val="24"/>
          <w:szCs w:val="24"/>
        </w:rPr>
      </w:pPr>
    </w:p>
    <w:p w14:paraId="7282C639" w14:textId="2612EB05" w:rsidR="009260DE" w:rsidRPr="00822D32" w:rsidRDefault="009260DE" w:rsidP="009260DE">
      <w:pPr>
        <w:tabs>
          <w:tab w:val="left" w:pos="851"/>
        </w:tabs>
        <w:ind w:left="851" w:hanging="851"/>
        <w:rPr>
          <w:b/>
          <w:sz w:val="24"/>
          <w:szCs w:val="24"/>
        </w:rPr>
      </w:pPr>
      <w:r w:rsidRPr="00822D32">
        <w:rPr>
          <w:b/>
          <w:sz w:val="24"/>
          <w:szCs w:val="24"/>
        </w:rPr>
        <w:t>4.2</w:t>
      </w:r>
      <w:r w:rsidRPr="00822D32">
        <w:rPr>
          <w:b/>
          <w:sz w:val="24"/>
          <w:szCs w:val="24"/>
        </w:rPr>
        <w:tab/>
        <w:t xml:space="preserve">Dosering og </w:t>
      </w:r>
      <w:r w:rsidR="00CF7284" w:rsidRPr="00CF7284">
        <w:rPr>
          <w:b/>
          <w:sz w:val="24"/>
          <w:szCs w:val="24"/>
        </w:rPr>
        <w:t>administration</w:t>
      </w:r>
    </w:p>
    <w:p w14:paraId="575A268B" w14:textId="616D5B82" w:rsidR="00B302E1" w:rsidRPr="00822D32" w:rsidRDefault="00B302E1" w:rsidP="00EA065A">
      <w:pPr>
        <w:ind w:left="851"/>
        <w:rPr>
          <w:sz w:val="24"/>
          <w:szCs w:val="24"/>
        </w:rPr>
      </w:pPr>
    </w:p>
    <w:tbl>
      <w:tblPr>
        <w:tblStyle w:val="Tabel-Gitter"/>
        <w:tblW w:w="8788" w:type="dxa"/>
        <w:tblInd w:w="846" w:type="dxa"/>
        <w:tblLook w:val="04A0" w:firstRow="1" w:lastRow="0" w:firstColumn="1" w:lastColumn="0" w:noHBand="0" w:noVBand="1"/>
      </w:tblPr>
      <w:tblGrid>
        <w:gridCol w:w="8788"/>
      </w:tblGrid>
      <w:tr w:rsidR="00822D32" w:rsidRPr="00822D32" w14:paraId="2D7AB895" w14:textId="77777777" w:rsidTr="008C52BD">
        <w:tc>
          <w:tcPr>
            <w:tcW w:w="8788" w:type="dxa"/>
          </w:tcPr>
          <w:p w14:paraId="41621F40" w14:textId="77777777" w:rsidR="00822D32" w:rsidRPr="00822D32" w:rsidRDefault="00822D32" w:rsidP="00917532">
            <w:pPr>
              <w:pStyle w:val="Brdtekst"/>
              <w:spacing w:before="8"/>
              <w:rPr>
                <w:rFonts w:ascii="Times New Roman" w:hAnsi="Times New Roman" w:cs="Times New Roman"/>
                <w:b/>
                <w:sz w:val="24"/>
                <w:szCs w:val="24"/>
                <w:lang w:val="da-DK"/>
              </w:rPr>
            </w:pPr>
            <w:proofErr w:type="spellStart"/>
            <w:r w:rsidRPr="00822D32">
              <w:rPr>
                <w:rFonts w:ascii="Times New Roman" w:hAnsi="Times New Roman" w:cs="Times New Roman"/>
                <w:b/>
                <w:sz w:val="24"/>
                <w:szCs w:val="24"/>
                <w:lang w:val="da-DK"/>
              </w:rPr>
              <w:t>Clobetasolpropionat</w:t>
            </w:r>
            <w:proofErr w:type="spellEnd"/>
            <w:r w:rsidRPr="00822D32">
              <w:rPr>
                <w:rFonts w:ascii="Times New Roman" w:hAnsi="Times New Roman" w:cs="Times New Roman"/>
                <w:b/>
                <w:sz w:val="24"/>
                <w:szCs w:val="24"/>
                <w:lang w:val="da-DK"/>
              </w:rPr>
              <w:t xml:space="preserve"> tilhører den mest potente gruppe af </w:t>
            </w:r>
            <w:proofErr w:type="spellStart"/>
            <w:r w:rsidRPr="00822D32">
              <w:rPr>
                <w:rFonts w:ascii="Times New Roman" w:hAnsi="Times New Roman" w:cs="Times New Roman"/>
                <w:b/>
                <w:sz w:val="24"/>
                <w:szCs w:val="24"/>
                <w:lang w:val="da-DK"/>
              </w:rPr>
              <w:t>topikale</w:t>
            </w:r>
            <w:proofErr w:type="spellEnd"/>
            <w:r w:rsidRPr="00822D32">
              <w:rPr>
                <w:rFonts w:ascii="Times New Roman" w:hAnsi="Times New Roman" w:cs="Times New Roman"/>
                <w:b/>
                <w:sz w:val="24"/>
                <w:szCs w:val="24"/>
                <w:lang w:val="da-DK"/>
              </w:rPr>
              <w:t xml:space="preserve"> </w:t>
            </w:r>
            <w:proofErr w:type="spellStart"/>
            <w:r w:rsidRPr="00822D32">
              <w:rPr>
                <w:rFonts w:ascii="Times New Roman" w:hAnsi="Times New Roman" w:cs="Times New Roman"/>
                <w:b/>
                <w:sz w:val="24"/>
                <w:szCs w:val="24"/>
                <w:lang w:val="da-DK"/>
              </w:rPr>
              <w:t>kotikosteroider</w:t>
            </w:r>
            <w:proofErr w:type="spellEnd"/>
            <w:r w:rsidRPr="00822D32">
              <w:rPr>
                <w:rFonts w:ascii="Times New Roman" w:hAnsi="Times New Roman" w:cs="Times New Roman"/>
                <w:b/>
                <w:sz w:val="24"/>
                <w:szCs w:val="24"/>
                <w:lang w:val="da-DK"/>
              </w:rPr>
              <w:t xml:space="preserve"> </w:t>
            </w:r>
          </w:p>
          <w:p w14:paraId="562BAEE9" w14:textId="77777777" w:rsidR="008C52BD" w:rsidRDefault="00822D32" w:rsidP="00917532">
            <w:pPr>
              <w:pStyle w:val="Brdtekst"/>
              <w:spacing w:before="8"/>
              <w:rPr>
                <w:rFonts w:ascii="Times New Roman" w:hAnsi="Times New Roman" w:cs="Times New Roman"/>
                <w:b/>
                <w:sz w:val="24"/>
                <w:szCs w:val="24"/>
                <w:lang w:val="da-DK"/>
              </w:rPr>
            </w:pPr>
            <w:r w:rsidRPr="00822D32">
              <w:rPr>
                <w:rFonts w:ascii="Times New Roman" w:hAnsi="Times New Roman" w:cs="Times New Roman"/>
                <w:b/>
                <w:sz w:val="24"/>
                <w:szCs w:val="24"/>
                <w:lang w:val="da-DK"/>
              </w:rPr>
              <w:t>(gruppe IV)</w:t>
            </w:r>
            <w:r w:rsidR="008C52BD">
              <w:rPr>
                <w:rFonts w:ascii="Times New Roman" w:hAnsi="Times New Roman" w:cs="Times New Roman"/>
                <w:b/>
                <w:sz w:val="24"/>
                <w:szCs w:val="24"/>
                <w:lang w:val="da-DK"/>
              </w:rPr>
              <w:t>,</w:t>
            </w:r>
            <w:r w:rsidRPr="00822D32">
              <w:rPr>
                <w:rFonts w:ascii="Times New Roman" w:hAnsi="Times New Roman" w:cs="Times New Roman"/>
                <w:b/>
                <w:sz w:val="24"/>
                <w:szCs w:val="24"/>
                <w:lang w:val="da-DK"/>
              </w:rPr>
              <w:t xml:space="preserve"> og langvarig brug kan resultere i alvorlige </w:t>
            </w:r>
            <w:proofErr w:type="spellStart"/>
            <w:r w:rsidRPr="00822D32">
              <w:rPr>
                <w:rFonts w:ascii="Times New Roman" w:hAnsi="Times New Roman" w:cs="Times New Roman"/>
                <w:b/>
                <w:sz w:val="24"/>
                <w:szCs w:val="24"/>
                <w:lang w:val="da-DK"/>
              </w:rPr>
              <w:t>bivirkinger</w:t>
            </w:r>
            <w:proofErr w:type="spellEnd"/>
            <w:r w:rsidRPr="00822D32">
              <w:rPr>
                <w:rFonts w:ascii="Times New Roman" w:hAnsi="Times New Roman" w:cs="Times New Roman"/>
                <w:b/>
                <w:sz w:val="24"/>
                <w:szCs w:val="24"/>
                <w:lang w:val="da-DK"/>
              </w:rPr>
              <w:t xml:space="preserve"> (se punkt 4.4).</w:t>
            </w:r>
          </w:p>
          <w:p w14:paraId="049C72D1" w14:textId="77777777" w:rsidR="008C52BD" w:rsidRDefault="00822D32" w:rsidP="00917532">
            <w:pPr>
              <w:pStyle w:val="Brdtekst"/>
              <w:spacing w:before="8"/>
              <w:rPr>
                <w:rFonts w:ascii="Times New Roman" w:hAnsi="Times New Roman" w:cs="Times New Roman"/>
                <w:b/>
                <w:sz w:val="24"/>
                <w:szCs w:val="24"/>
                <w:lang w:val="da-DK"/>
              </w:rPr>
            </w:pPr>
            <w:r w:rsidRPr="00822D32">
              <w:rPr>
                <w:rFonts w:ascii="Times New Roman" w:hAnsi="Times New Roman" w:cs="Times New Roman"/>
                <w:b/>
                <w:sz w:val="24"/>
                <w:szCs w:val="24"/>
                <w:lang w:val="da-DK"/>
              </w:rPr>
              <w:t xml:space="preserve">Hvis behandling med et lokalt </w:t>
            </w:r>
            <w:proofErr w:type="spellStart"/>
            <w:r w:rsidRPr="00822D32">
              <w:rPr>
                <w:rFonts w:ascii="Times New Roman" w:hAnsi="Times New Roman" w:cs="Times New Roman"/>
                <w:b/>
                <w:sz w:val="24"/>
                <w:szCs w:val="24"/>
                <w:lang w:val="da-DK"/>
              </w:rPr>
              <w:t>kortikosteroid</w:t>
            </w:r>
            <w:proofErr w:type="spellEnd"/>
            <w:r w:rsidRPr="00822D32">
              <w:rPr>
                <w:rFonts w:ascii="Times New Roman" w:hAnsi="Times New Roman" w:cs="Times New Roman"/>
                <w:b/>
                <w:sz w:val="24"/>
                <w:szCs w:val="24"/>
                <w:lang w:val="da-DK"/>
              </w:rPr>
              <w:t xml:space="preserve"> er klinisk berettiget ud over 4 uger, bør et mindre potent </w:t>
            </w:r>
            <w:proofErr w:type="spellStart"/>
            <w:r w:rsidRPr="00822D32">
              <w:rPr>
                <w:rFonts w:ascii="Times New Roman" w:hAnsi="Times New Roman" w:cs="Times New Roman"/>
                <w:b/>
                <w:sz w:val="24"/>
                <w:szCs w:val="24"/>
                <w:lang w:val="da-DK"/>
              </w:rPr>
              <w:t>kortikosteroidpræparat</w:t>
            </w:r>
            <w:proofErr w:type="spellEnd"/>
            <w:r w:rsidRPr="00822D32">
              <w:rPr>
                <w:rFonts w:ascii="Times New Roman" w:hAnsi="Times New Roman" w:cs="Times New Roman"/>
                <w:b/>
                <w:sz w:val="24"/>
                <w:szCs w:val="24"/>
                <w:lang w:val="da-DK"/>
              </w:rPr>
              <w:t xml:space="preserve"> overvejes.</w:t>
            </w:r>
          </w:p>
          <w:p w14:paraId="6C55AA7F" w14:textId="7447E155" w:rsidR="00822D32" w:rsidRPr="00822D32" w:rsidRDefault="00822D32" w:rsidP="00917532">
            <w:pPr>
              <w:pStyle w:val="Brdtekst"/>
              <w:spacing w:before="8"/>
              <w:rPr>
                <w:rFonts w:ascii="Times New Roman" w:hAnsi="Times New Roman" w:cs="Times New Roman"/>
                <w:b/>
                <w:sz w:val="24"/>
                <w:szCs w:val="24"/>
                <w:lang w:val="da-DK"/>
              </w:rPr>
            </w:pPr>
            <w:r w:rsidRPr="00822D32">
              <w:rPr>
                <w:rFonts w:ascii="Times New Roman" w:hAnsi="Times New Roman" w:cs="Times New Roman"/>
                <w:b/>
                <w:sz w:val="24"/>
                <w:szCs w:val="24"/>
                <w:lang w:val="da-DK"/>
              </w:rPr>
              <w:t xml:space="preserve">Gentagne, men korte behandlingsforløb med </w:t>
            </w:r>
            <w:proofErr w:type="spellStart"/>
            <w:r w:rsidRPr="00822D32">
              <w:rPr>
                <w:rFonts w:ascii="Times New Roman" w:hAnsi="Times New Roman" w:cs="Times New Roman"/>
                <w:b/>
                <w:sz w:val="24"/>
                <w:szCs w:val="24"/>
                <w:lang w:val="da-DK"/>
              </w:rPr>
              <w:t>clobetasolpropionat</w:t>
            </w:r>
            <w:proofErr w:type="spellEnd"/>
            <w:r w:rsidRPr="00822D32">
              <w:rPr>
                <w:rFonts w:ascii="Times New Roman" w:hAnsi="Times New Roman" w:cs="Times New Roman"/>
                <w:b/>
                <w:sz w:val="24"/>
                <w:szCs w:val="24"/>
                <w:lang w:val="da-DK"/>
              </w:rPr>
              <w:t xml:space="preserve"> kan benyttes for at kontrollere forværringer (se nedenstående detaljer).</w:t>
            </w:r>
          </w:p>
        </w:tc>
      </w:tr>
    </w:tbl>
    <w:p w14:paraId="3B5C8017" w14:textId="648D761F" w:rsidR="008C52BD" w:rsidRDefault="008C52BD" w:rsidP="00EA065A">
      <w:pPr>
        <w:ind w:left="851"/>
        <w:rPr>
          <w:sz w:val="24"/>
          <w:szCs w:val="24"/>
        </w:rPr>
      </w:pPr>
    </w:p>
    <w:p w14:paraId="21F97DF5" w14:textId="77777777" w:rsidR="008C52BD" w:rsidRDefault="008C52BD">
      <w:pPr>
        <w:rPr>
          <w:sz w:val="24"/>
          <w:szCs w:val="24"/>
        </w:rPr>
      </w:pPr>
      <w:r>
        <w:rPr>
          <w:sz w:val="24"/>
          <w:szCs w:val="24"/>
        </w:rPr>
        <w:br w:type="page"/>
      </w:r>
    </w:p>
    <w:p w14:paraId="30D488B6" w14:textId="77777777" w:rsidR="00822D32" w:rsidRPr="00822D32" w:rsidRDefault="00822D32" w:rsidP="00EA065A">
      <w:pPr>
        <w:ind w:left="851"/>
        <w:rPr>
          <w:sz w:val="24"/>
          <w:szCs w:val="24"/>
        </w:rPr>
      </w:pPr>
    </w:p>
    <w:p w14:paraId="14EAB53F" w14:textId="532541CD" w:rsidR="009A2737" w:rsidRPr="008C52BD" w:rsidRDefault="009A2737" w:rsidP="00EA065A">
      <w:pPr>
        <w:ind w:left="851"/>
        <w:rPr>
          <w:b/>
          <w:sz w:val="24"/>
          <w:szCs w:val="24"/>
        </w:rPr>
      </w:pPr>
      <w:r w:rsidRPr="008C52BD">
        <w:rPr>
          <w:b/>
          <w:sz w:val="24"/>
          <w:szCs w:val="24"/>
        </w:rPr>
        <w:t>Dosering</w:t>
      </w:r>
    </w:p>
    <w:p w14:paraId="0B37F866" w14:textId="078C602B" w:rsidR="009A2737" w:rsidRPr="00B302E1" w:rsidRDefault="009A2737" w:rsidP="00EA065A">
      <w:pPr>
        <w:ind w:left="851"/>
        <w:rPr>
          <w:sz w:val="24"/>
          <w:szCs w:val="24"/>
        </w:rPr>
      </w:pP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appliceres en gang daglig direkte på tør hovedbund og masseres godt ind i alle læsioner, der skal dækkes helt. En mængde svarende til cirka en halv spiseskefuld (cirka 7,5 ml) per applicering er nok til at dække hele hovedbunden. </w:t>
      </w:r>
    </w:p>
    <w:p w14:paraId="7D41119B" w14:textId="77777777" w:rsidR="009A2737" w:rsidRPr="00B302E1" w:rsidRDefault="009A2737" w:rsidP="00EA065A">
      <w:pPr>
        <w:ind w:left="851"/>
        <w:rPr>
          <w:noProof/>
          <w:sz w:val="24"/>
          <w:szCs w:val="24"/>
        </w:rPr>
      </w:pPr>
      <w:r w:rsidRPr="00B302E1">
        <w:rPr>
          <w:noProof/>
          <w:sz w:val="24"/>
          <w:szCs w:val="24"/>
        </w:rPr>
        <w:t>Den samlede dosis bør ikke overstige 50 g om ugen.</w:t>
      </w:r>
    </w:p>
    <w:p w14:paraId="444D5C1F" w14:textId="77777777" w:rsidR="009A2737" w:rsidRPr="00B302E1" w:rsidRDefault="009A2737" w:rsidP="00EA065A">
      <w:pPr>
        <w:ind w:left="851"/>
        <w:rPr>
          <w:sz w:val="24"/>
          <w:szCs w:val="24"/>
        </w:rPr>
      </w:pPr>
    </w:p>
    <w:p w14:paraId="66D3F1FE" w14:textId="77777777" w:rsidR="009A2737" w:rsidRPr="008C52BD" w:rsidRDefault="009A2737" w:rsidP="00EA065A">
      <w:pPr>
        <w:ind w:left="851"/>
        <w:rPr>
          <w:b/>
          <w:sz w:val="24"/>
          <w:szCs w:val="24"/>
        </w:rPr>
      </w:pPr>
      <w:r w:rsidRPr="008C52BD">
        <w:rPr>
          <w:b/>
          <w:sz w:val="24"/>
          <w:szCs w:val="24"/>
        </w:rPr>
        <w:t>Administration</w:t>
      </w:r>
    </w:p>
    <w:p w14:paraId="6BF78A38" w14:textId="77777777" w:rsidR="009A2737" w:rsidRPr="00B302E1" w:rsidRDefault="009A2737" w:rsidP="00EA065A">
      <w:pPr>
        <w:ind w:left="851"/>
        <w:rPr>
          <w:noProof/>
          <w:sz w:val="24"/>
          <w:szCs w:val="24"/>
        </w:rPr>
      </w:pPr>
      <w:r w:rsidRPr="00B302E1">
        <w:rPr>
          <w:noProof/>
          <w:sz w:val="24"/>
          <w:szCs w:val="24"/>
        </w:rPr>
        <w:t>Kun til kutan anvendelsepå hovedbunden.</w:t>
      </w:r>
    </w:p>
    <w:p w14:paraId="127E643B" w14:textId="7A99AA4F" w:rsidR="009A2737" w:rsidRPr="00B302E1" w:rsidRDefault="009A2737" w:rsidP="00EA065A">
      <w:pPr>
        <w:ind w:left="851"/>
        <w:rPr>
          <w:sz w:val="24"/>
          <w:szCs w:val="24"/>
        </w:rPr>
      </w:pPr>
      <w:r w:rsidRPr="00B302E1">
        <w:rPr>
          <w:sz w:val="24"/>
          <w:szCs w:val="24"/>
        </w:rPr>
        <w:t xml:space="preserve">Efter påføring skal </w:t>
      </w:r>
      <w:proofErr w:type="spellStart"/>
      <w:r w:rsidRPr="00B302E1">
        <w:rPr>
          <w:sz w:val="24"/>
          <w:szCs w:val="24"/>
        </w:rPr>
        <w:t>Clobetasolpropionat</w:t>
      </w:r>
      <w:proofErr w:type="spellEnd"/>
      <w:r w:rsidRPr="00B302E1">
        <w:rPr>
          <w:sz w:val="24"/>
          <w:szCs w:val="24"/>
        </w:rPr>
        <w:t xml:space="preserve"> </w:t>
      </w:r>
      <w:proofErr w:type="gramStart"/>
      <w:r w:rsidR="001E5CC9">
        <w:rPr>
          <w:sz w:val="24"/>
          <w:szCs w:val="24"/>
        </w:rPr>
        <w:t>"IFC"</w:t>
      </w:r>
      <w:r w:rsidR="00660D97">
        <w:rPr>
          <w:sz w:val="24"/>
          <w:szCs w:val="24"/>
        </w:rPr>
        <w:t xml:space="preserve"> </w:t>
      </w:r>
      <w:r w:rsidRPr="00B302E1">
        <w:rPr>
          <w:sz w:val="24"/>
          <w:szCs w:val="24"/>
        </w:rPr>
        <w:t>virke</w:t>
      </w:r>
      <w:proofErr w:type="gramEnd"/>
      <w:r w:rsidRPr="00B302E1">
        <w:rPr>
          <w:sz w:val="24"/>
          <w:szCs w:val="24"/>
        </w:rPr>
        <w:t xml:space="preserve"> i 15 minutter utildækket. Det er vigtigt at vaske hænder grundigt efter påføringen. Efter 15 minutter skylles præparatet grundigt ud med vand, og/eller håret vaskes eventuelt med almindelig shampoo før at gøre udvaskningen lettere. Derefter tørres håret som normalt.</w:t>
      </w:r>
    </w:p>
    <w:p w14:paraId="15D7F5D7" w14:textId="77777777" w:rsidR="009A2737" w:rsidRPr="00B302E1" w:rsidRDefault="009A2737" w:rsidP="00EA065A">
      <w:pPr>
        <w:ind w:left="851"/>
        <w:rPr>
          <w:sz w:val="24"/>
          <w:szCs w:val="24"/>
        </w:rPr>
      </w:pPr>
    </w:p>
    <w:p w14:paraId="18FEFABF" w14:textId="77777777" w:rsidR="009A2737" w:rsidRPr="00B302E1" w:rsidRDefault="009A2737" w:rsidP="00EA065A">
      <w:pPr>
        <w:ind w:left="851"/>
        <w:rPr>
          <w:sz w:val="24"/>
          <w:szCs w:val="24"/>
        </w:rPr>
      </w:pPr>
      <w:r w:rsidRPr="00B302E1">
        <w:rPr>
          <w:sz w:val="24"/>
          <w:szCs w:val="24"/>
        </w:rPr>
        <w:t xml:space="preserve">Behandlingen bør ikke vare længere end fire uger. Så snart de kliniske resultater er konstateret, bør påføringerne ske med længere mellemrum eller erstattes, hvis nødvendigt, af en anden behandling. Hvis der ikke konstateres forbedringer inden for fire uger, kan der være behov for at revurdere diagnosen. </w:t>
      </w:r>
    </w:p>
    <w:p w14:paraId="08E6295D" w14:textId="77777777" w:rsidR="009A2737" w:rsidRPr="00B302E1" w:rsidRDefault="009A2737" w:rsidP="00EA065A">
      <w:pPr>
        <w:ind w:left="851"/>
        <w:rPr>
          <w:sz w:val="24"/>
          <w:szCs w:val="24"/>
        </w:rPr>
      </w:pPr>
    </w:p>
    <w:p w14:paraId="00CD7C34" w14:textId="128B6A2E" w:rsidR="009A2737" w:rsidRPr="00B302E1" w:rsidRDefault="009A2737" w:rsidP="00EA065A">
      <w:pPr>
        <w:ind w:left="851"/>
        <w:rPr>
          <w:sz w:val="24"/>
          <w:szCs w:val="24"/>
        </w:rPr>
      </w:pPr>
      <w:r w:rsidRPr="00B302E1">
        <w:rPr>
          <w:sz w:val="24"/>
          <w:szCs w:val="24"/>
        </w:rPr>
        <w:t xml:space="preserve">Gentagne behandlinger med </w:t>
      </w: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kan anvendes til behandling af forværringer, hvis patienten er under regelmæssig lægekontrol.</w:t>
      </w:r>
    </w:p>
    <w:p w14:paraId="7DF9DCF1" w14:textId="77777777" w:rsidR="009A2737" w:rsidRPr="00B302E1" w:rsidRDefault="009A2737" w:rsidP="00EA065A">
      <w:pPr>
        <w:ind w:left="851"/>
        <w:rPr>
          <w:sz w:val="24"/>
          <w:szCs w:val="24"/>
        </w:rPr>
      </w:pPr>
    </w:p>
    <w:p w14:paraId="759DFEBC" w14:textId="77777777" w:rsidR="009A2737" w:rsidRPr="008C52BD" w:rsidRDefault="009A2737" w:rsidP="00EA065A">
      <w:pPr>
        <w:ind w:left="851"/>
        <w:rPr>
          <w:noProof/>
          <w:sz w:val="24"/>
          <w:szCs w:val="24"/>
          <w:u w:val="single"/>
        </w:rPr>
      </w:pPr>
      <w:r w:rsidRPr="008C52BD">
        <w:rPr>
          <w:noProof/>
          <w:sz w:val="24"/>
          <w:szCs w:val="24"/>
          <w:u w:val="single"/>
        </w:rPr>
        <w:t>Specielle populationer</w:t>
      </w:r>
    </w:p>
    <w:p w14:paraId="494275CC" w14:textId="77777777" w:rsidR="009A2737" w:rsidRPr="00B302E1" w:rsidRDefault="009A2737" w:rsidP="00EA065A">
      <w:pPr>
        <w:ind w:left="851"/>
        <w:rPr>
          <w:i/>
          <w:noProof/>
          <w:sz w:val="24"/>
          <w:szCs w:val="24"/>
        </w:rPr>
      </w:pPr>
    </w:p>
    <w:p w14:paraId="15ADE48F" w14:textId="77777777" w:rsidR="009A2737" w:rsidRPr="00B302E1" w:rsidRDefault="009A2737" w:rsidP="00EA065A">
      <w:pPr>
        <w:ind w:left="851"/>
        <w:rPr>
          <w:bCs/>
          <w:i/>
          <w:iCs/>
          <w:sz w:val="24"/>
          <w:szCs w:val="24"/>
        </w:rPr>
      </w:pPr>
      <w:r w:rsidRPr="00B302E1">
        <w:rPr>
          <w:bCs/>
          <w:i/>
          <w:iCs/>
          <w:sz w:val="24"/>
          <w:szCs w:val="24"/>
        </w:rPr>
        <w:t>Ældre</w:t>
      </w:r>
    </w:p>
    <w:p w14:paraId="4B26066F" w14:textId="74279082" w:rsidR="009A2737" w:rsidRPr="00B302E1" w:rsidRDefault="009A2737" w:rsidP="00EA065A">
      <w:pPr>
        <w:ind w:left="851"/>
        <w:rPr>
          <w:sz w:val="24"/>
          <w:szCs w:val="24"/>
        </w:rPr>
      </w:pPr>
      <w:r w:rsidRPr="00B302E1">
        <w:rPr>
          <w:noProof/>
          <w:sz w:val="24"/>
          <w:szCs w:val="24"/>
        </w:rPr>
        <w:t xml:space="preserve">Clobetasolpropionat </w:t>
      </w:r>
      <w:r w:rsidR="001E5CC9">
        <w:rPr>
          <w:noProof/>
          <w:sz w:val="24"/>
          <w:szCs w:val="24"/>
        </w:rPr>
        <w:t>"IFC"</w:t>
      </w:r>
      <w:r w:rsidR="00660D97">
        <w:rPr>
          <w:noProof/>
          <w:sz w:val="24"/>
          <w:szCs w:val="24"/>
        </w:rPr>
        <w:t>s</w:t>
      </w:r>
      <w:r w:rsidRPr="00B302E1">
        <w:rPr>
          <w:noProof/>
          <w:sz w:val="24"/>
          <w:szCs w:val="24"/>
        </w:rPr>
        <w:t xml:space="preserve"> sikkerhed og virkning hos ældre patienter på 65 år og derover er ikke klarlagt</w:t>
      </w:r>
      <w:r w:rsidRPr="00B302E1">
        <w:rPr>
          <w:sz w:val="24"/>
          <w:szCs w:val="24"/>
        </w:rPr>
        <w:t>.</w:t>
      </w:r>
    </w:p>
    <w:p w14:paraId="0CD1AAEA" w14:textId="77777777" w:rsidR="009A2737" w:rsidRPr="00B302E1" w:rsidRDefault="009A2737" w:rsidP="00EA065A">
      <w:pPr>
        <w:ind w:left="851"/>
        <w:rPr>
          <w:sz w:val="24"/>
          <w:szCs w:val="24"/>
        </w:rPr>
      </w:pPr>
    </w:p>
    <w:p w14:paraId="62969DA2" w14:textId="77777777" w:rsidR="009A2737" w:rsidRPr="00B302E1" w:rsidRDefault="009A2737" w:rsidP="00EA065A">
      <w:pPr>
        <w:ind w:left="851"/>
        <w:rPr>
          <w:bCs/>
          <w:i/>
          <w:iCs/>
          <w:sz w:val="24"/>
          <w:szCs w:val="24"/>
        </w:rPr>
      </w:pPr>
      <w:r w:rsidRPr="00B302E1">
        <w:rPr>
          <w:bCs/>
          <w:i/>
          <w:iCs/>
          <w:sz w:val="24"/>
          <w:szCs w:val="24"/>
        </w:rPr>
        <w:t>Nedsat nyrefunktion</w:t>
      </w:r>
    </w:p>
    <w:p w14:paraId="472A4CC2" w14:textId="3A426C08" w:rsidR="009A2737" w:rsidRPr="00B302E1" w:rsidRDefault="009A2737" w:rsidP="00EA065A">
      <w:pPr>
        <w:ind w:left="851"/>
        <w:rPr>
          <w:sz w:val="24"/>
          <w:szCs w:val="24"/>
        </w:rPr>
      </w:pPr>
      <w:r w:rsidRPr="00B302E1">
        <w:rPr>
          <w:noProof/>
          <w:sz w:val="24"/>
          <w:szCs w:val="24"/>
        </w:rPr>
        <w:t xml:space="preserve">Anvendelse af Clobetasolpropionat </w:t>
      </w:r>
      <w:r w:rsidR="001E5CC9">
        <w:rPr>
          <w:noProof/>
          <w:sz w:val="24"/>
          <w:szCs w:val="24"/>
        </w:rPr>
        <w:t>"IFC"</w:t>
      </w:r>
      <w:r w:rsidRPr="00B302E1">
        <w:rPr>
          <w:noProof/>
          <w:sz w:val="24"/>
          <w:szCs w:val="24"/>
        </w:rPr>
        <w:t xml:space="preserve"> til patienter med nedsat nyrefunktion er ikke undersøgt</w:t>
      </w:r>
      <w:r w:rsidRPr="00B302E1">
        <w:rPr>
          <w:sz w:val="24"/>
          <w:szCs w:val="24"/>
        </w:rPr>
        <w:t>.</w:t>
      </w:r>
    </w:p>
    <w:p w14:paraId="3CCF8073" w14:textId="77777777" w:rsidR="009A2737" w:rsidRPr="00B302E1" w:rsidRDefault="009A2737" w:rsidP="00EA065A">
      <w:pPr>
        <w:ind w:left="851"/>
        <w:rPr>
          <w:bCs/>
          <w:i/>
          <w:iCs/>
          <w:sz w:val="24"/>
          <w:szCs w:val="24"/>
        </w:rPr>
      </w:pPr>
    </w:p>
    <w:p w14:paraId="7F7F8AAC" w14:textId="77777777" w:rsidR="009A2737" w:rsidRPr="00B302E1" w:rsidRDefault="009A2737" w:rsidP="00EA065A">
      <w:pPr>
        <w:ind w:left="851"/>
        <w:rPr>
          <w:bCs/>
          <w:i/>
          <w:iCs/>
          <w:sz w:val="24"/>
          <w:szCs w:val="24"/>
        </w:rPr>
      </w:pPr>
      <w:r w:rsidRPr="00B302E1">
        <w:rPr>
          <w:bCs/>
          <w:i/>
          <w:iCs/>
          <w:sz w:val="24"/>
          <w:szCs w:val="24"/>
        </w:rPr>
        <w:t>Nedsat leverfunktion</w:t>
      </w:r>
    </w:p>
    <w:p w14:paraId="5AF7F2F3" w14:textId="77777777" w:rsidR="009A2737" w:rsidRPr="00B302E1" w:rsidRDefault="009A2737" w:rsidP="00EA065A">
      <w:pPr>
        <w:ind w:left="851"/>
        <w:rPr>
          <w:sz w:val="24"/>
          <w:szCs w:val="24"/>
        </w:rPr>
      </w:pPr>
      <w:r w:rsidRPr="00B302E1">
        <w:rPr>
          <w:sz w:val="24"/>
          <w:szCs w:val="24"/>
        </w:rPr>
        <w:t>Patienter med alvorlig leverdysfunktion skal behandles med særlig forsigtighed og monitoreres nøje for bivirkninger.</w:t>
      </w:r>
    </w:p>
    <w:p w14:paraId="753047E4" w14:textId="77777777" w:rsidR="009A2737" w:rsidRPr="00B302E1" w:rsidRDefault="009A2737" w:rsidP="00EA065A">
      <w:pPr>
        <w:ind w:left="851"/>
        <w:rPr>
          <w:sz w:val="24"/>
          <w:szCs w:val="24"/>
        </w:rPr>
      </w:pPr>
    </w:p>
    <w:p w14:paraId="5842DA15" w14:textId="77777777" w:rsidR="009A2737" w:rsidRPr="00B302E1" w:rsidRDefault="009A2737" w:rsidP="00EA065A">
      <w:pPr>
        <w:ind w:left="851"/>
        <w:rPr>
          <w:bCs/>
          <w:i/>
          <w:sz w:val="24"/>
          <w:szCs w:val="24"/>
        </w:rPr>
      </w:pPr>
      <w:r w:rsidRPr="00B302E1">
        <w:rPr>
          <w:bCs/>
          <w:i/>
          <w:sz w:val="24"/>
          <w:szCs w:val="24"/>
        </w:rPr>
        <w:t xml:space="preserve">Pædiatrisk population </w:t>
      </w:r>
    </w:p>
    <w:p w14:paraId="17B532F8" w14:textId="62616860" w:rsidR="009A2737" w:rsidRPr="00B302E1" w:rsidRDefault="009A2737" w:rsidP="00EA065A">
      <w:pPr>
        <w:ind w:left="851"/>
        <w:rPr>
          <w:sz w:val="24"/>
          <w:szCs w:val="24"/>
        </w:rPr>
      </w:pPr>
      <w:r w:rsidRPr="00B302E1">
        <w:rPr>
          <w:sz w:val="24"/>
          <w:szCs w:val="24"/>
        </w:rPr>
        <w:t xml:space="preserve">Lægemidlet bør ikke anvendes til børn, da erfaringen med behandling af børn er utilstrækkelig. </w:t>
      </w: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anbefales ikke til børn og unge under 18 år. Det er kontraindiceret til børn under 2 år (se pkt. 4.3 og 4). </w:t>
      </w:r>
    </w:p>
    <w:p w14:paraId="51A847D8" w14:textId="77777777" w:rsidR="009260DE" w:rsidRPr="00B302E1" w:rsidRDefault="009260DE" w:rsidP="009260DE">
      <w:pPr>
        <w:tabs>
          <w:tab w:val="left" w:pos="851"/>
        </w:tabs>
        <w:ind w:left="851"/>
        <w:rPr>
          <w:sz w:val="24"/>
          <w:szCs w:val="24"/>
        </w:rPr>
      </w:pPr>
    </w:p>
    <w:p w14:paraId="3FD90B53" w14:textId="77777777" w:rsidR="009260DE" w:rsidRPr="00B302E1" w:rsidRDefault="009260DE" w:rsidP="009260DE">
      <w:pPr>
        <w:tabs>
          <w:tab w:val="left" w:pos="851"/>
        </w:tabs>
        <w:ind w:left="851" w:hanging="851"/>
        <w:rPr>
          <w:b/>
          <w:sz w:val="24"/>
          <w:szCs w:val="24"/>
        </w:rPr>
      </w:pPr>
      <w:r w:rsidRPr="00B302E1">
        <w:rPr>
          <w:b/>
          <w:sz w:val="24"/>
          <w:szCs w:val="24"/>
        </w:rPr>
        <w:t>4.3</w:t>
      </w:r>
      <w:r w:rsidRPr="00B302E1">
        <w:rPr>
          <w:b/>
          <w:sz w:val="24"/>
          <w:szCs w:val="24"/>
        </w:rPr>
        <w:tab/>
        <w:t>Kontraindikationer</w:t>
      </w:r>
    </w:p>
    <w:p w14:paraId="62171750" w14:textId="77777777" w:rsidR="009A2737" w:rsidRPr="00B302E1" w:rsidRDefault="009A2737" w:rsidP="008C52BD">
      <w:pPr>
        <w:pStyle w:val="Listeafsnit"/>
        <w:numPr>
          <w:ilvl w:val="0"/>
          <w:numId w:val="8"/>
        </w:numPr>
        <w:ind w:left="1134" w:hanging="283"/>
        <w:rPr>
          <w:sz w:val="24"/>
          <w:szCs w:val="24"/>
        </w:rPr>
      </w:pPr>
      <w:r w:rsidRPr="00B302E1">
        <w:rPr>
          <w:sz w:val="24"/>
          <w:szCs w:val="24"/>
        </w:rPr>
        <w:t>Overfølsomhed over for det aktive stof eller over for et eller flere af hjælpestofferne anført i pkt. 6.1.</w:t>
      </w:r>
    </w:p>
    <w:p w14:paraId="2AE64862" w14:textId="77777777" w:rsidR="009A2737" w:rsidRPr="00B302E1" w:rsidRDefault="009A2737" w:rsidP="008C52BD">
      <w:pPr>
        <w:pStyle w:val="Listeafsnit"/>
        <w:numPr>
          <w:ilvl w:val="0"/>
          <w:numId w:val="8"/>
        </w:numPr>
        <w:ind w:left="1134" w:hanging="283"/>
        <w:rPr>
          <w:sz w:val="24"/>
          <w:szCs w:val="24"/>
        </w:rPr>
      </w:pPr>
      <w:r w:rsidRPr="00B302E1">
        <w:rPr>
          <w:sz w:val="24"/>
          <w:szCs w:val="24"/>
        </w:rPr>
        <w:t>Må ikke påføres hudområder med bakterielle, virale (</w:t>
      </w:r>
      <w:proofErr w:type="spellStart"/>
      <w:r w:rsidRPr="00B302E1">
        <w:rPr>
          <w:sz w:val="24"/>
          <w:szCs w:val="24"/>
        </w:rPr>
        <w:t>varicella</w:t>
      </w:r>
      <w:proofErr w:type="spellEnd"/>
      <w:r w:rsidRPr="00B302E1">
        <w:rPr>
          <w:sz w:val="24"/>
          <w:szCs w:val="24"/>
        </w:rPr>
        <w:t xml:space="preserve">, herpes </w:t>
      </w:r>
      <w:proofErr w:type="spellStart"/>
      <w:r w:rsidRPr="00B302E1">
        <w:rPr>
          <w:sz w:val="24"/>
          <w:szCs w:val="24"/>
        </w:rPr>
        <w:t>simplex</w:t>
      </w:r>
      <w:proofErr w:type="spellEnd"/>
      <w:r w:rsidRPr="00B302E1">
        <w:rPr>
          <w:sz w:val="24"/>
          <w:szCs w:val="24"/>
        </w:rPr>
        <w:t xml:space="preserve">, herpes </w:t>
      </w:r>
      <w:proofErr w:type="spellStart"/>
      <w:r w:rsidRPr="00B302E1">
        <w:rPr>
          <w:sz w:val="24"/>
          <w:szCs w:val="24"/>
        </w:rPr>
        <w:t>zoster</w:t>
      </w:r>
      <w:proofErr w:type="spellEnd"/>
      <w:r w:rsidRPr="00B302E1">
        <w:rPr>
          <w:sz w:val="24"/>
          <w:szCs w:val="24"/>
        </w:rPr>
        <w:t xml:space="preserve">), </w:t>
      </w:r>
      <w:proofErr w:type="spellStart"/>
      <w:r w:rsidRPr="00B302E1">
        <w:rPr>
          <w:sz w:val="24"/>
          <w:szCs w:val="24"/>
        </w:rPr>
        <w:t>fungale</w:t>
      </w:r>
      <w:proofErr w:type="spellEnd"/>
      <w:r w:rsidRPr="00B302E1">
        <w:rPr>
          <w:sz w:val="24"/>
          <w:szCs w:val="24"/>
        </w:rPr>
        <w:t xml:space="preserve"> eller parasitiske infektioner, ulcerøse sår og specifikke hudsygdomme (hudtuberkulose, hudsygdomme forårsaget af lues).</w:t>
      </w:r>
    </w:p>
    <w:p w14:paraId="5F7395CA" w14:textId="77777777" w:rsidR="009A2737" w:rsidRPr="00B302E1" w:rsidRDefault="009A2737" w:rsidP="008C52BD">
      <w:pPr>
        <w:pStyle w:val="Listeafsnit"/>
        <w:numPr>
          <w:ilvl w:val="0"/>
          <w:numId w:val="8"/>
        </w:numPr>
        <w:ind w:left="1134" w:hanging="283"/>
        <w:rPr>
          <w:sz w:val="24"/>
          <w:szCs w:val="24"/>
        </w:rPr>
      </w:pPr>
      <w:r w:rsidRPr="00B302E1">
        <w:rPr>
          <w:sz w:val="24"/>
          <w:szCs w:val="24"/>
        </w:rPr>
        <w:t xml:space="preserve">Må ikke påføres øjnene og øjenlågene (risiko for </w:t>
      </w:r>
      <w:proofErr w:type="spellStart"/>
      <w:r w:rsidRPr="00B302E1">
        <w:rPr>
          <w:sz w:val="24"/>
          <w:szCs w:val="24"/>
        </w:rPr>
        <w:t>glaukoma</w:t>
      </w:r>
      <w:proofErr w:type="spellEnd"/>
      <w:r w:rsidRPr="00B302E1">
        <w:rPr>
          <w:sz w:val="24"/>
          <w:szCs w:val="24"/>
        </w:rPr>
        <w:t xml:space="preserve">, risiko for katarakt) eller i </w:t>
      </w:r>
      <w:proofErr w:type="spellStart"/>
      <w:r w:rsidRPr="00B302E1">
        <w:rPr>
          <w:sz w:val="24"/>
          <w:szCs w:val="24"/>
        </w:rPr>
        <w:t>ulcerative</w:t>
      </w:r>
      <w:proofErr w:type="spellEnd"/>
      <w:r w:rsidRPr="00B302E1">
        <w:rPr>
          <w:sz w:val="24"/>
          <w:szCs w:val="24"/>
        </w:rPr>
        <w:t xml:space="preserve"> sår</w:t>
      </w:r>
    </w:p>
    <w:p w14:paraId="70465D71" w14:textId="77777777" w:rsidR="009A2737" w:rsidRPr="00B302E1" w:rsidRDefault="009A2737" w:rsidP="008C52BD">
      <w:pPr>
        <w:pStyle w:val="Listeafsnit"/>
        <w:numPr>
          <w:ilvl w:val="0"/>
          <w:numId w:val="8"/>
        </w:numPr>
        <w:ind w:left="1134" w:hanging="283"/>
        <w:rPr>
          <w:sz w:val="24"/>
          <w:szCs w:val="24"/>
        </w:rPr>
      </w:pPr>
      <w:r w:rsidRPr="00B302E1">
        <w:rPr>
          <w:sz w:val="24"/>
          <w:szCs w:val="24"/>
        </w:rPr>
        <w:t>Børn under 2 år.</w:t>
      </w:r>
    </w:p>
    <w:p w14:paraId="4908BB34" w14:textId="77777777" w:rsidR="009260DE" w:rsidRPr="00B302E1" w:rsidRDefault="009260DE" w:rsidP="009260DE">
      <w:pPr>
        <w:tabs>
          <w:tab w:val="left" w:pos="851"/>
        </w:tabs>
        <w:ind w:left="851"/>
        <w:rPr>
          <w:sz w:val="24"/>
          <w:szCs w:val="24"/>
        </w:rPr>
      </w:pPr>
    </w:p>
    <w:p w14:paraId="6F0289D6" w14:textId="77777777" w:rsidR="009260DE" w:rsidRPr="00B302E1" w:rsidRDefault="009260DE" w:rsidP="009260DE">
      <w:pPr>
        <w:tabs>
          <w:tab w:val="left" w:pos="851"/>
        </w:tabs>
        <w:ind w:left="851" w:hanging="851"/>
        <w:rPr>
          <w:b/>
          <w:sz w:val="24"/>
          <w:szCs w:val="24"/>
        </w:rPr>
      </w:pPr>
      <w:r w:rsidRPr="00B302E1">
        <w:rPr>
          <w:b/>
          <w:sz w:val="24"/>
          <w:szCs w:val="24"/>
        </w:rPr>
        <w:lastRenderedPageBreak/>
        <w:t>4.4</w:t>
      </w:r>
      <w:r w:rsidRPr="00B302E1">
        <w:rPr>
          <w:b/>
          <w:sz w:val="24"/>
          <w:szCs w:val="24"/>
        </w:rPr>
        <w:tab/>
        <w:t>Særlige advarsler og forsigtighedsregler vedrørende brugen</w:t>
      </w:r>
    </w:p>
    <w:p w14:paraId="24E51CB5" w14:textId="447BB0EA" w:rsidR="007F44EA" w:rsidRPr="00B302E1" w:rsidRDefault="007F44EA" w:rsidP="00EA065A">
      <w:pPr>
        <w:ind w:left="851"/>
        <w:rPr>
          <w:noProof/>
          <w:sz w:val="24"/>
          <w:szCs w:val="24"/>
        </w:rPr>
      </w:pPr>
      <w:r w:rsidRPr="00B302E1">
        <w:rPr>
          <w:noProof/>
          <w:sz w:val="24"/>
          <w:szCs w:val="24"/>
        </w:rPr>
        <w:t xml:space="preserve">Der kan observeres overfølsomhed over for kortikosteroider. </w:t>
      </w:r>
    </w:p>
    <w:p w14:paraId="048B121E" w14:textId="77777777" w:rsidR="007F44EA" w:rsidRPr="00B302E1" w:rsidRDefault="007F44EA" w:rsidP="00EA065A">
      <w:pPr>
        <w:ind w:left="851"/>
        <w:rPr>
          <w:noProof/>
          <w:sz w:val="24"/>
          <w:szCs w:val="24"/>
        </w:rPr>
      </w:pPr>
      <w:r w:rsidRPr="00B302E1">
        <w:rPr>
          <w:noProof/>
          <w:sz w:val="24"/>
          <w:szCs w:val="24"/>
        </w:rPr>
        <w:t>Clobetasolpropionat anbefales derfor ikke til patienter med overfølsomhed over for andre kortikosteroider.</w:t>
      </w:r>
    </w:p>
    <w:p w14:paraId="6642AB83" w14:textId="293356A3" w:rsidR="007F44EA" w:rsidRDefault="007F44EA" w:rsidP="00EA065A">
      <w:pPr>
        <w:ind w:left="851"/>
        <w:rPr>
          <w:noProof/>
          <w:sz w:val="24"/>
          <w:szCs w:val="24"/>
        </w:rPr>
      </w:pPr>
    </w:p>
    <w:p w14:paraId="45BB876C" w14:textId="0A517C1C" w:rsidR="000A5728" w:rsidRPr="000A5728" w:rsidRDefault="000A5728" w:rsidP="000A5728">
      <w:pPr>
        <w:ind w:left="851"/>
        <w:rPr>
          <w:noProof/>
          <w:sz w:val="24"/>
          <w:szCs w:val="24"/>
        </w:rPr>
      </w:pPr>
      <w:r w:rsidRPr="000A5728">
        <w:rPr>
          <w:noProof/>
          <w:sz w:val="24"/>
          <w:szCs w:val="24"/>
        </w:rPr>
        <w:t>Tilfælde af osteonekrose, alvorlige infektioner (herunder nekrotiserende fasciitis) og sytemisk immunsuppresion (som nogle gange resulterede i reversible Kaposis sarkom læsioner) har været rapporteret ved langtidsbrug af clobetasolproprionat ved doser højere end anbefalet (se punkt 4.2). I nogle tilfælde brugte patienterne samtidigt andre potente orale/topikale kortikosteroider eller immunsuppresiva (f.eks. methotrexat, mycophenolatmofetil). Hvis behandling med lokale kortikosteroider er klinisk berettiget ud over 4 uger, bør et mindre potent kortikosteroidpræparat overvejes.</w:t>
      </w:r>
    </w:p>
    <w:p w14:paraId="318F6356" w14:textId="77777777" w:rsidR="000A5728" w:rsidRPr="00B302E1" w:rsidRDefault="000A5728" w:rsidP="00EA065A">
      <w:pPr>
        <w:ind w:left="851"/>
        <w:rPr>
          <w:noProof/>
          <w:sz w:val="24"/>
          <w:szCs w:val="24"/>
        </w:rPr>
      </w:pPr>
    </w:p>
    <w:p w14:paraId="26BABDA6" w14:textId="77777777" w:rsidR="007F44EA" w:rsidRPr="00B302E1" w:rsidRDefault="007F44EA" w:rsidP="00EA065A">
      <w:pPr>
        <w:ind w:left="851"/>
        <w:rPr>
          <w:noProof/>
          <w:sz w:val="24"/>
          <w:szCs w:val="24"/>
        </w:rPr>
      </w:pPr>
      <w:r w:rsidRPr="00B302E1">
        <w:rPr>
          <w:noProof/>
          <w:sz w:val="24"/>
          <w:szCs w:val="24"/>
        </w:rPr>
        <w:t xml:space="preserve">Kontinuerlig langtidsbehandling med kortikosteroider, anvendelse af </w:t>
      </w:r>
      <w:proofErr w:type="spellStart"/>
      <w:r w:rsidRPr="00B302E1">
        <w:rPr>
          <w:sz w:val="24"/>
          <w:szCs w:val="24"/>
        </w:rPr>
        <w:t>okklusionshætte</w:t>
      </w:r>
      <w:proofErr w:type="spellEnd"/>
      <w:r w:rsidRPr="00B302E1">
        <w:rPr>
          <w:sz w:val="24"/>
          <w:szCs w:val="24"/>
        </w:rPr>
        <w:t>, behandling af store områder, især hos børn, kan øge absorptionen og føre til højere risiko for systemiske effekter. I sådanne tilfælde bør patientovervågningen øges, og patienterne bør regelmæssigt undersøges for tegn på HPA-akse-hæmning</w:t>
      </w:r>
      <w:r w:rsidRPr="00B302E1">
        <w:rPr>
          <w:noProof/>
          <w:sz w:val="24"/>
          <w:szCs w:val="24"/>
        </w:rPr>
        <w:t>. Systemisk absorption af topikale kortikosteroider, fremkaldt af længerevarende anvendelse, især på store områder, har forårsaget reversibel adrenal suppression med mulighed for glukokortikosteroid insufficiens, manifestationer på Cushings syndrom hos nogle patienter. Sådanne systemiske virkninger forsvinder, når behandlingen afbrydes. Pludselig afbrydelse af behandlingen kan dog føre til akut adrenal insufficiens, især hos børn.</w:t>
      </w:r>
    </w:p>
    <w:p w14:paraId="650A42D9" w14:textId="77777777" w:rsidR="007F44EA" w:rsidRPr="00B302E1" w:rsidRDefault="007F44EA" w:rsidP="00EA065A">
      <w:pPr>
        <w:ind w:left="851"/>
        <w:rPr>
          <w:noProof/>
          <w:sz w:val="24"/>
          <w:szCs w:val="24"/>
        </w:rPr>
      </w:pPr>
    </w:p>
    <w:p w14:paraId="55B36BDA" w14:textId="77777777" w:rsidR="007F44EA" w:rsidRPr="00B302E1" w:rsidRDefault="007F44EA" w:rsidP="00EA065A">
      <w:pPr>
        <w:ind w:left="851"/>
        <w:rPr>
          <w:noProof/>
          <w:sz w:val="24"/>
          <w:szCs w:val="24"/>
        </w:rPr>
      </w:pPr>
      <w:r w:rsidRPr="00B302E1">
        <w:rPr>
          <w:sz w:val="24"/>
          <w:szCs w:val="24"/>
        </w:rPr>
        <w:t xml:space="preserve">Patienter med svær diabetes mellitus skal behandles med særlig forsigtighed og monitoreres nøje for bivirkninger. </w:t>
      </w:r>
      <w:proofErr w:type="spellStart"/>
      <w:r w:rsidRPr="00B302E1">
        <w:rPr>
          <w:sz w:val="24"/>
          <w:szCs w:val="24"/>
        </w:rPr>
        <w:t>Eksacerbationer</w:t>
      </w:r>
      <w:proofErr w:type="spellEnd"/>
      <w:r w:rsidRPr="00B302E1">
        <w:rPr>
          <w:sz w:val="24"/>
          <w:szCs w:val="24"/>
        </w:rPr>
        <w:t xml:space="preserve"> i diabetes mellitus kan forekomme med systemisk absorption af </w:t>
      </w:r>
      <w:proofErr w:type="spellStart"/>
      <w:r w:rsidRPr="00B302E1">
        <w:rPr>
          <w:sz w:val="24"/>
          <w:szCs w:val="24"/>
        </w:rPr>
        <w:t>topikale</w:t>
      </w:r>
      <w:proofErr w:type="spellEnd"/>
      <w:r w:rsidRPr="00B302E1">
        <w:rPr>
          <w:sz w:val="24"/>
          <w:szCs w:val="24"/>
        </w:rPr>
        <w:t xml:space="preserve"> </w:t>
      </w:r>
      <w:proofErr w:type="spellStart"/>
      <w:r w:rsidRPr="00B302E1">
        <w:rPr>
          <w:sz w:val="24"/>
          <w:szCs w:val="24"/>
        </w:rPr>
        <w:t>kortikosteroider</w:t>
      </w:r>
      <w:proofErr w:type="spellEnd"/>
      <w:r w:rsidRPr="00B302E1">
        <w:rPr>
          <w:sz w:val="24"/>
          <w:szCs w:val="24"/>
        </w:rPr>
        <w:t>.</w:t>
      </w:r>
    </w:p>
    <w:p w14:paraId="5F3D6F0C" w14:textId="77777777" w:rsidR="007F44EA" w:rsidRPr="00B302E1" w:rsidRDefault="007F44EA" w:rsidP="00EA065A">
      <w:pPr>
        <w:ind w:left="851"/>
        <w:rPr>
          <w:sz w:val="24"/>
          <w:szCs w:val="24"/>
        </w:rPr>
      </w:pPr>
    </w:p>
    <w:p w14:paraId="52DA0BEE" w14:textId="77777777" w:rsidR="007F44EA" w:rsidRPr="00B302E1" w:rsidRDefault="007F44EA" w:rsidP="00EA065A">
      <w:pPr>
        <w:ind w:left="851"/>
        <w:rPr>
          <w:sz w:val="24"/>
          <w:szCs w:val="24"/>
        </w:rPr>
      </w:pPr>
      <w:r w:rsidRPr="00B302E1">
        <w:rPr>
          <w:noProof/>
          <w:sz w:val="24"/>
          <w:szCs w:val="24"/>
        </w:rPr>
        <w:t>Topikale kortikosteroider skal bruges med forsigtighed, da der kan opstå tolerance (takyfylakse) samt lokal toksicitet, for eksempel hudatrofi, infektion og telangiectasia i huden.</w:t>
      </w:r>
    </w:p>
    <w:p w14:paraId="12088ADF" w14:textId="77777777" w:rsidR="007F44EA" w:rsidRPr="00B302E1" w:rsidRDefault="007F44EA" w:rsidP="00EA065A">
      <w:pPr>
        <w:ind w:left="851"/>
        <w:rPr>
          <w:sz w:val="24"/>
          <w:szCs w:val="24"/>
        </w:rPr>
      </w:pPr>
    </w:p>
    <w:p w14:paraId="6CC44595" w14:textId="235048C3" w:rsidR="007F44EA" w:rsidRPr="00B302E1" w:rsidRDefault="007F44EA" w:rsidP="00EA065A">
      <w:pPr>
        <w:ind w:left="851"/>
        <w:rPr>
          <w:sz w:val="24"/>
          <w:szCs w:val="24"/>
        </w:rPr>
      </w:pPr>
      <w:r w:rsidRPr="00B302E1">
        <w:rPr>
          <w:noProof/>
          <w:sz w:val="24"/>
          <w:szCs w:val="24"/>
        </w:rPr>
        <w:t xml:space="preserve">Clobetasol propionat </w:t>
      </w:r>
      <w:r w:rsidR="001E5CC9">
        <w:rPr>
          <w:noProof/>
          <w:sz w:val="24"/>
          <w:szCs w:val="24"/>
        </w:rPr>
        <w:t>"IFC"</w:t>
      </w:r>
      <w:r w:rsidRPr="00B302E1">
        <w:rPr>
          <w:noProof/>
          <w:sz w:val="24"/>
          <w:szCs w:val="24"/>
        </w:rPr>
        <w:t xml:space="preserve"> er kun beregnet til behandling af psoriasis i hovedbunden og må ikke bruges til behandling af andre hudområder. </w:t>
      </w: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anbefales navnlig ikke til brug i ansigtet, </w:t>
      </w:r>
      <w:proofErr w:type="spellStart"/>
      <w:r w:rsidRPr="00B302E1">
        <w:rPr>
          <w:sz w:val="24"/>
          <w:szCs w:val="24"/>
        </w:rPr>
        <w:t>intertriginøse</w:t>
      </w:r>
      <w:proofErr w:type="spellEnd"/>
      <w:r w:rsidRPr="00B302E1">
        <w:rPr>
          <w:sz w:val="24"/>
          <w:szCs w:val="24"/>
        </w:rPr>
        <w:t xml:space="preserve"> områder (</w:t>
      </w:r>
      <w:proofErr w:type="spellStart"/>
      <w:r w:rsidRPr="00B302E1">
        <w:rPr>
          <w:sz w:val="24"/>
          <w:szCs w:val="24"/>
        </w:rPr>
        <w:t>axillae</w:t>
      </w:r>
      <w:proofErr w:type="spellEnd"/>
      <w:r w:rsidRPr="00B302E1">
        <w:rPr>
          <w:sz w:val="24"/>
          <w:szCs w:val="24"/>
        </w:rPr>
        <w:t xml:space="preserve"> og </w:t>
      </w:r>
      <w:proofErr w:type="spellStart"/>
      <w:r w:rsidRPr="00B302E1">
        <w:rPr>
          <w:sz w:val="24"/>
          <w:szCs w:val="24"/>
        </w:rPr>
        <w:t>genitoanale</w:t>
      </w:r>
      <w:proofErr w:type="spellEnd"/>
      <w:r w:rsidRPr="00B302E1">
        <w:rPr>
          <w:sz w:val="24"/>
          <w:szCs w:val="24"/>
        </w:rPr>
        <w:t xml:space="preserve">) samt andre </w:t>
      </w:r>
      <w:proofErr w:type="spellStart"/>
      <w:r w:rsidRPr="00B302E1">
        <w:rPr>
          <w:sz w:val="24"/>
          <w:szCs w:val="24"/>
        </w:rPr>
        <w:t>erosive</w:t>
      </w:r>
      <w:proofErr w:type="spellEnd"/>
      <w:r w:rsidRPr="00B302E1">
        <w:rPr>
          <w:sz w:val="24"/>
          <w:szCs w:val="24"/>
        </w:rPr>
        <w:t xml:space="preserve"> hudoverflader, da det kan øge risikoen for bivirkninger, for eksempel atrofiske forandringer, </w:t>
      </w:r>
      <w:proofErr w:type="spellStart"/>
      <w:r w:rsidRPr="00B302E1">
        <w:rPr>
          <w:sz w:val="24"/>
          <w:szCs w:val="24"/>
        </w:rPr>
        <w:t>telangiectasia</w:t>
      </w:r>
      <w:proofErr w:type="spellEnd"/>
      <w:r w:rsidRPr="00B302E1">
        <w:rPr>
          <w:sz w:val="24"/>
          <w:szCs w:val="24"/>
        </w:rPr>
        <w:t xml:space="preserve">, </w:t>
      </w:r>
      <w:proofErr w:type="spellStart"/>
      <w:r w:rsidRPr="00B302E1">
        <w:rPr>
          <w:sz w:val="24"/>
          <w:szCs w:val="24"/>
        </w:rPr>
        <w:t>kortikosteroid</w:t>
      </w:r>
      <w:proofErr w:type="spellEnd"/>
      <w:r w:rsidRPr="00B302E1">
        <w:rPr>
          <w:sz w:val="24"/>
          <w:szCs w:val="24"/>
        </w:rPr>
        <w:t xml:space="preserve">-induceret </w:t>
      </w:r>
      <w:proofErr w:type="spellStart"/>
      <w:r w:rsidRPr="00B302E1">
        <w:rPr>
          <w:sz w:val="24"/>
          <w:szCs w:val="24"/>
        </w:rPr>
        <w:t>dermatitis</w:t>
      </w:r>
      <w:proofErr w:type="spellEnd"/>
      <w:r w:rsidRPr="00B302E1">
        <w:rPr>
          <w:sz w:val="24"/>
          <w:szCs w:val="24"/>
        </w:rPr>
        <w:t xml:space="preserve"> eller sekundær infektion</w:t>
      </w:r>
      <w:r w:rsidRPr="00B302E1">
        <w:rPr>
          <w:noProof/>
          <w:sz w:val="24"/>
          <w:szCs w:val="24"/>
        </w:rPr>
        <w:t>. Ansigtet kan mere end noget andet område af kroppen udvise atrofiske forandringer efter længerevarende behandling med potente topikale kortikosteroider.</w:t>
      </w:r>
    </w:p>
    <w:p w14:paraId="40AE444A" w14:textId="77777777" w:rsidR="007F44EA" w:rsidRPr="00B302E1" w:rsidRDefault="007F44EA" w:rsidP="00EA065A">
      <w:pPr>
        <w:ind w:left="851"/>
        <w:rPr>
          <w:sz w:val="24"/>
          <w:szCs w:val="24"/>
        </w:rPr>
      </w:pPr>
    </w:p>
    <w:p w14:paraId="787E98BB" w14:textId="77777777" w:rsidR="007F44EA" w:rsidRPr="00B302E1" w:rsidRDefault="007F44EA" w:rsidP="00EA065A">
      <w:pPr>
        <w:ind w:left="851"/>
        <w:rPr>
          <w:sz w:val="24"/>
          <w:szCs w:val="24"/>
        </w:rPr>
      </w:pPr>
      <w:r w:rsidRPr="00B302E1">
        <w:rPr>
          <w:noProof/>
          <w:sz w:val="24"/>
          <w:szCs w:val="24"/>
        </w:rPr>
        <w:t xml:space="preserve">Behandling af psoriasis med kortikosteroider (eller seponering af kortikosteroider) menes i sjældne tilfælde at have udløst generaliseret </w:t>
      </w:r>
      <w:proofErr w:type="spellStart"/>
      <w:r w:rsidRPr="00B302E1">
        <w:rPr>
          <w:sz w:val="24"/>
          <w:szCs w:val="24"/>
        </w:rPr>
        <w:t>pustuløs</w:t>
      </w:r>
      <w:proofErr w:type="spellEnd"/>
      <w:r w:rsidRPr="00B302E1">
        <w:rPr>
          <w:sz w:val="24"/>
          <w:szCs w:val="24"/>
        </w:rPr>
        <w:t xml:space="preserve"> psoriasis ved intensiv og langvarig </w:t>
      </w:r>
      <w:proofErr w:type="spellStart"/>
      <w:r w:rsidRPr="00B302E1">
        <w:rPr>
          <w:sz w:val="24"/>
          <w:szCs w:val="24"/>
        </w:rPr>
        <w:t>topikal</w:t>
      </w:r>
      <w:proofErr w:type="spellEnd"/>
      <w:r w:rsidRPr="00B302E1">
        <w:rPr>
          <w:sz w:val="24"/>
          <w:szCs w:val="24"/>
        </w:rPr>
        <w:t xml:space="preserve"> anvendelse. </w:t>
      </w:r>
    </w:p>
    <w:p w14:paraId="07E548C6" w14:textId="77777777" w:rsidR="007F44EA" w:rsidRPr="00B302E1" w:rsidRDefault="007F44EA" w:rsidP="00EA065A">
      <w:pPr>
        <w:ind w:left="851"/>
        <w:rPr>
          <w:noProof/>
          <w:sz w:val="24"/>
          <w:szCs w:val="24"/>
        </w:rPr>
      </w:pPr>
    </w:p>
    <w:p w14:paraId="02259A84" w14:textId="77777777" w:rsidR="007F44EA" w:rsidRPr="00B302E1" w:rsidRDefault="007F44EA" w:rsidP="00EA065A">
      <w:pPr>
        <w:ind w:left="851"/>
        <w:rPr>
          <w:noProof/>
          <w:sz w:val="24"/>
          <w:szCs w:val="24"/>
        </w:rPr>
      </w:pPr>
      <w:r w:rsidRPr="00B302E1">
        <w:rPr>
          <w:noProof/>
          <w:sz w:val="24"/>
          <w:szCs w:val="24"/>
        </w:rPr>
        <w:t>Clobetasolpropionat anbefales ikke til patienter med akne vulgaris, rosacea eller perioral dermatitis. Når anvendt i ansigtet, kan meget potente kortikosteroider også fremkalde perioral dermatitis eller forværre rosacea.</w:t>
      </w:r>
    </w:p>
    <w:p w14:paraId="77A57179" w14:textId="77777777" w:rsidR="007F44EA" w:rsidRPr="00B302E1" w:rsidRDefault="007F44EA" w:rsidP="00EA065A">
      <w:pPr>
        <w:ind w:left="851"/>
        <w:rPr>
          <w:noProof/>
          <w:sz w:val="24"/>
          <w:szCs w:val="24"/>
        </w:rPr>
      </w:pPr>
    </w:p>
    <w:p w14:paraId="20FF1FA7" w14:textId="77777777" w:rsidR="007F44EA" w:rsidRPr="00B302E1" w:rsidRDefault="007F44EA" w:rsidP="00EA065A">
      <w:pPr>
        <w:ind w:left="851"/>
        <w:rPr>
          <w:sz w:val="24"/>
          <w:szCs w:val="24"/>
        </w:rPr>
      </w:pPr>
      <w:r w:rsidRPr="00B302E1">
        <w:rPr>
          <w:noProof/>
          <w:sz w:val="24"/>
          <w:szCs w:val="24"/>
        </w:rPr>
        <w:t xml:space="preserve">Der kan være risiko for </w:t>
      </w:r>
      <w:proofErr w:type="spellStart"/>
      <w:r w:rsidRPr="00B302E1">
        <w:rPr>
          <w:sz w:val="24"/>
          <w:szCs w:val="24"/>
        </w:rPr>
        <w:t>rebound</w:t>
      </w:r>
      <w:proofErr w:type="spellEnd"/>
      <w:r w:rsidRPr="00B302E1">
        <w:rPr>
          <w:sz w:val="24"/>
          <w:szCs w:val="24"/>
        </w:rPr>
        <w:t xml:space="preserve"> (tilbageslagsvirkning) eller recidiv efter behandlingen ved pludselig </w:t>
      </w:r>
      <w:proofErr w:type="spellStart"/>
      <w:r w:rsidRPr="00B302E1">
        <w:rPr>
          <w:sz w:val="24"/>
          <w:szCs w:val="24"/>
        </w:rPr>
        <w:t>seponering</w:t>
      </w:r>
      <w:proofErr w:type="spellEnd"/>
      <w:r w:rsidRPr="00B302E1">
        <w:rPr>
          <w:sz w:val="24"/>
          <w:szCs w:val="24"/>
        </w:rPr>
        <w:t xml:space="preserve"> af behandling med </w:t>
      </w:r>
      <w:r w:rsidRPr="00B302E1">
        <w:rPr>
          <w:noProof/>
          <w:sz w:val="24"/>
          <w:szCs w:val="24"/>
        </w:rPr>
        <w:t>clobetasolpropionat. P</w:t>
      </w:r>
      <w:proofErr w:type="spellStart"/>
      <w:r w:rsidRPr="00B302E1">
        <w:rPr>
          <w:sz w:val="24"/>
          <w:szCs w:val="24"/>
        </w:rPr>
        <w:t>atientovervågningen</w:t>
      </w:r>
      <w:proofErr w:type="spellEnd"/>
      <w:r w:rsidRPr="00B302E1">
        <w:rPr>
          <w:sz w:val="24"/>
          <w:szCs w:val="24"/>
        </w:rPr>
        <w:t xml:space="preserve"> bør derfor øges i tiden efter behandling</w:t>
      </w:r>
      <w:r w:rsidRPr="00B302E1">
        <w:rPr>
          <w:noProof/>
          <w:sz w:val="24"/>
          <w:szCs w:val="24"/>
        </w:rPr>
        <w:t>.</w:t>
      </w:r>
    </w:p>
    <w:p w14:paraId="766E1B69" w14:textId="77777777" w:rsidR="007F44EA" w:rsidRPr="00B302E1" w:rsidRDefault="007F44EA" w:rsidP="00EA065A">
      <w:pPr>
        <w:ind w:left="851"/>
        <w:rPr>
          <w:sz w:val="24"/>
          <w:szCs w:val="24"/>
        </w:rPr>
      </w:pPr>
    </w:p>
    <w:p w14:paraId="791E91DD" w14:textId="6C523927" w:rsidR="007F44EA" w:rsidRPr="00B302E1" w:rsidRDefault="007F44EA" w:rsidP="00EA065A">
      <w:pPr>
        <w:ind w:left="851"/>
        <w:rPr>
          <w:sz w:val="24"/>
          <w:szCs w:val="24"/>
        </w:rPr>
      </w:pPr>
      <w:r w:rsidRPr="00B302E1">
        <w:rPr>
          <w:sz w:val="24"/>
          <w:szCs w:val="24"/>
        </w:rPr>
        <w:lastRenderedPageBreak/>
        <w:t xml:space="preserve">Hvis </w:t>
      </w:r>
      <w:bookmarkStart w:id="1" w:name="_Hlk44333412"/>
      <w:proofErr w:type="spellStart"/>
      <w:r w:rsidRPr="00B302E1">
        <w:rPr>
          <w:sz w:val="24"/>
          <w:szCs w:val="24"/>
        </w:rPr>
        <w:t>Clobetasolpropionat</w:t>
      </w:r>
      <w:proofErr w:type="spellEnd"/>
      <w:r w:rsidRPr="00B302E1">
        <w:rPr>
          <w:sz w:val="24"/>
          <w:szCs w:val="24"/>
        </w:rPr>
        <w:t xml:space="preserve"> </w:t>
      </w:r>
      <w:r w:rsidR="001E5CC9">
        <w:rPr>
          <w:sz w:val="24"/>
          <w:szCs w:val="24"/>
        </w:rPr>
        <w:t>"IFC"</w:t>
      </w:r>
      <w:bookmarkEnd w:id="1"/>
      <w:r w:rsidRPr="00B302E1">
        <w:rPr>
          <w:sz w:val="24"/>
          <w:szCs w:val="24"/>
        </w:rPr>
        <w:t xml:space="preserve"> kommer i øjnene, skal øjnene skylles med rigeligt vand.</w:t>
      </w:r>
    </w:p>
    <w:p w14:paraId="24CEBBE8" w14:textId="77777777" w:rsidR="007F44EA" w:rsidRPr="00B302E1" w:rsidRDefault="007F44EA" w:rsidP="00EA065A">
      <w:pPr>
        <w:ind w:left="851"/>
        <w:rPr>
          <w:sz w:val="24"/>
          <w:szCs w:val="24"/>
        </w:rPr>
      </w:pPr>
    </w:p>
    <w:p w14:paraId="2A0B670F" w14:textId="01854B45" w:rsidR="007F44EA" w:rsidRPr="00B302E1" w:rsidRDefault="007F44EA" w:rsidP="00EA065A">
      <w:pPr>
        <w:ind w:left="851"/>
        <w:rPr>
          <w:noProof/>
          <w:sz w:val="24"/>
          <w:szCs w:val="24"/>
          <w:lang w:val="sv-SE"/>
        </w:rPr>
      </w:pPr>
      <w:r w:rsidRPr="00B302E1">
        <w:rPr>
          <w:noProof/>
          <w:sz w:val="24"/>
          <w:szCs w:val="24"/>
        </w:rPr>
        <w:t xml:space="preserve">Patienterne skal instrueres i  ikke at bruge Clobetasolpropionat </w:t>
      </w:r>
      <w:r w:rsidR="001E5CC9">
        <w:rPr>
          <w:noProof/>
          <w:sz w:val="24"/>
          <w:szCs w:val="24"/>
        </w:rPr>
        <w:t>"IFC"</w:t>
      </w:r>
      <w:r w:rsidRPr="00B302E1">
        <w:rPr>
          <w:noProof/>
          <w:sz w:val="24"/>
          <w:szCs w:val="24"/>
        </w:rPr>
        <w:t xml:space="preserve"> i længere tid end det, der er nødvendigt for at opnå det ønskede resultat. Hvis der opstår tegn på lokal </w:t>
      </w:r>
      <w:r w:rsidRPr="00B302E1">
        <w:rPr>
          <w:noProof/>
          <w:sz w:val="24"/>
          <w:szCs w:val="24"/>
          <w:lang w:val="sv-SE"/>
        </w:rPr>
        <w:t>intolerance, skal påføringen afbrydes, indtil tegnene er forsvundet. Påføringen skal afbrydes straks, hvis der opstår tegn på overfølsomhed.</w:t>
      </w:r>
    </w:p>
    <w:p w14:paraId="127D71A2" w14:textId="77777777" w:rsidR="007F44EA" w:rsidRPr="00B302E1" w:rsidRDefault="007F44EA" w:rsidP="00EA065A">
      <w:pPr>
        <w:ind w:left="851"/>
        <w:rPr>
          <w:noProof/>
          <w:sz w:val="24"/>
          <w:szCs w:val="24"/>
          <w:lang w:val="sv-SE"/>
        </w:rPr>
      </w:pPr>
    </w:p>
    <w:p w14:paraId="717D1CC1" w14:textId="77777777" w:rsidR="007F44EA" w:rsidRPr="00B302E1" w:rsidRDefault="007F44EA" w:rsidP="00EA065A">
      <w:pPr>
        <w:ind w:left="851"/>
        <w:rPr>
          <w:noProof/>
          <w:sz w:val="24"/>
          <w:szCs w:val="24"/>
        </w:rPr>
      </w:pPr>
      <w:r w:rsidRPr="00B302E1">
        <w:rPr>
          <w:noProof/>
          <w:sz w:val="24"/>
          <w:szCs w:val="24"/>
        </w:rPr>
        <w:t>Clobetasolpropionat skal skylles grundigt ud for at undgå interaktion med eventuelle hårfarvningsprodukter såsom ændringer i hårfarven.</w:t>
      </w:r>
    </w:p>
    <w:p w14:paraId="67C50E33" w14:textId="77777777" w:rsidR="007F44EA" w:rsidRPr="00B302E1" w:rsidRDefault="007F44EA" w:rsidP="00EA065A">
      <w:pPr>
        <w:ind w:left="851"/>
        <w:rPr>
          <w:noProof/>
          <w:sz w:val="24"/>
          <w:szCs w:val="24"/>
        </w:rPr>
      </w:pPr>
    </w:p>
    <w:p w14:paraId="0DBE9E8F" w14:textId="77777777" w:rsidR="007F44EA" w:rsidRPr="00864BDC" w:rsidRDefault="007F44EA" w:rsidP="00EA065A">
      <w:pPr>
        <w:ind w:left="851"/>
        <w:rPr>
          <w:noProof/>
          <w:sz w:val="24"/>
          <w:szCs w:val="24"/>
          <w:u w:val="single"/>
        </w:rPr>
      </w:pPr>
      <w:r w:rsidRPr="00864BDC">
        <w:rPr>
          <w:noProof/>
          <w:sz w:val="24"/>
          <w:szCs w:val="24"/>
          <w:u w:val="single"/>
        </w:rPr>
        <w:t>Pædiatrisk population</w:t>
      </w:r>
    </w:p>
    <w:p w14:paraId="64D59A3B" w14:textId="6CC6CDE2" w:rsidR="007F44EA" w:rsidRPr="00B302E1" w:rsidRDefault="007F44EA" w:rsidP="00EA065A">
      <w:pPr>
        <w:ind w:left="851"/>
        <w:rPr>
          <w:noProof/>
          <w:sz w:val="24"/>
          <w:szCs w:val="24"/>
        </w:rPr>
      </w:pPr>
      <w:r w:rsidRPr="00B302E1">
        <w:rPr>
          <w:noProof/>
          <w:sz w:val="24"/>
          <w:szCs w:val="24"/>
        </w:rPr>
        <w:t xml:space="preserve">I denne aldersgruppe kan der også observeres vækstforsinkelse i tilfælde af systemisk absorption af topikale kortikosteroider. Clobetasolpropionat </w:t>
      </w:r>
      <w:r w:rsidR="001E5CC9">
        <w:rPr>
          <w:noProof/>
          <w:sz w:val="24"/>
          <w:szCs w:val="24"/>
        </w:rPr>
        <w:t>"IFC"</w:t>
      </w:r>
      <w:r w:rsidRPr="00B302E1">
        <w:rPr>
          <w:noProof/>
          <w:sz w:val="24"/>
          <w:szCs w:val="24"/>
        </w:rPr>
        <w:t xml:space="preserve"> bør ikke anvendes til børn og unge mellem 2 og 18 år.</w:t>
      </w:r>
    </w:p>
    <w:p w14:paraId="718AB1CE" w14:textId="0DE83B17" w:rsidR="007F44EA" w:rsidRPr="00B302E1" w:rsidRDefault="007F44EA" w:rsidP="00EA065A">
      <w:pPr>
        <w:ind w:left="851"/>
        <w:rPr>
          <w:sz w:val="24"/>
          <w:szCs w:val="24"/>
          <w:u w:val="single"/>
        </w:rPr>
      </w:pPr>
      <w:r w:rsidRPr="00B302E1">
        <w:rPr>
          <w:noProof/>
          <w:sz w:val="24"/>
          <w:szCs w:val="24"/>
        </w:rPr>
        <w:t xml:space="preserve">Hvis Clobetasolpropionat </w:t>
      </w:r>
      <w:r w:rsidR="001E5CC9">
        <w:rPr>
          <w:noProof/>
          <w:sz w:val="24"/>
          <w:szCs w:val="24"/>
        </w:rPr>
        <w:t>"IFC"</w:t>
      </w:r>
      <w:r w:rsidRPr="00B302E1">
        <w:rPr>
          <w:noProof/>
          <w:sz w:val="24"/>
          <w:szCs w:val="24"/>
        </w:rPr>
        <w:t xml:space="preserve"> bruges til børn og unge under 18 år, bør behandlingen kontrolleres ugentligt.</w:t>
      </w:r>
    </w:p>
    <w:p w14:paraId="7C6D3EE0" w14:textId="77777777" w:rsidR="007F44EA" w:rsidRPr="00B302E1" w:rsidRDefault="007F44EA" w:rsidP="00EA065A">
      <w:pPr>
        <w:ind w:left="851"/>
        <w:rPr>
          <w:sz w:val="24"/>
          <w:szCs w:val="24"/>
          <w:u w:val="single"/>
        </w:rPr>
      </w:pPr>
    </w:p>
    <w:p w14:paraId="16CFABA0" w14:textId="77777777" w:rsidR="007F44EA" w:rsidRPr="00B302E1" w:rsidRDefault="007F44EA" w:rsidP="00EA065A">
      <w:pPr>
        <w:ind w:left="851"/>
        <w:rPr>
          <w:sz w:val="24"/>
          <w:szCs w:val="24"/>
          <w:u w:val="single"/>
        </w:rPr>
      </w:pPr>
      <w:r w:rsidRPr="00B302E1">
        <w:rPr>
          <w:sz w:val="24"/>
          <w:szCs w:val="24"/>
          <w:u w:val="single"/>
        </w:rPr>
        <w:t>Synsforstyrrelse</w:t>
      </w:r>
    </w:p>
    <w:p w14:paraId="37F7E361" w14:textId="77777777" w:rsidR="007F44EA" w:rsidRPr="00B302E1" w:rsidRDefault="007F44EA" w:rsidP="00EA065A">
      <w:pPr>
        <w:ind w:left="851"/>
        <w:rPr>
          <w:sz w:val="24"/>
          <w:szCs w:val="24"/>
        </w:rPr>
      </w:pPr>
      <w:r w:rsidRPr="00B302E1">
        <w:rPr>
          <w:sz w:val="24"/>
          <w:szCs w:val="24"/>
        </w:rPr>
        <w:t xml:space="preserve">Ved brug af systemisk og </w:t>
      </w:r>
      <w:proofErr w:type="spellStart"/>
      <w:r w:rsidRPr="00B302E1">
        <w:rPr>
          <w:sz w:val="24"/>
          <w:szCs w:val="24"/>
        </w:rPr>
        <w:t>topikalt</w:t>
      </w:r>
      <w:proofErr w:type="spellEnd"/>
      <w:r w:rsidRPr="00B302E1">
        <w:rPr>
          <w:sz w:val="24"/>
          <w:szCs w:val="24"/>
        </w:rPr>
        <w:t xml:space="preserve"> </w:t>
      </w:r>
      <w:proofErr w:type="spellStart"/>
      <w:r w:rsidRPr="00B302E1">
        <w:rPr>
          <w:sz w:val="24"/>
          <w:szCs w:val="24"/>
        </w:rPr>
        <w:t>kortikosteroid</w:t>
      </w:r>
      <w:proofErr w:type="spellEnd"/>
      <w:r w:rsidRPr="00B302E1">
        <w:rPr>
          <w:sz w:val="24"/>
          <w:szCs w:val="24"/>
        </w:rPr>
        <w:t xml:space="preserve"> kan der blive indberettet synsforstyrrelser. Ved symptomer som sløret syn eller andre synsforstyrrelser bør det overvejes at henvise patienten til oftalmolog med henblik på vurdering af de mulige årsager; disse kan være katarakt, </w:t>
      </w:r>
      <w:proofErr w:type="spellStart"/>
      <w:r w:rsidRPr="00B302E1">
        <w:rPr>
          <w:sz w:val="24"/>
          <w:szCs w:val="24"/>
        </w:rPr>
        <w:t>glaukom</w:t>
      </w:r>
      <w:proofErr w:type="spellEnd"/>
      <w:r w:rsidRPr="00B302E1">
        <w:rPr>
          <w:sz w:val="24"/>
          <w:szCs w:val="24"/>
        </w:rPr>
        <w:t xml:space="preserve"> eller sjældne sygdomme som central serøs </w:t>
      </w:r>
      <w:proofErr w:type="spellStart"/>
      <w:r w:rsidRPr="00B302E1">
        <w:rPr>
          <w:sz w:val="24"/>
          <w:szCs w:val="24"/>
        </w:rPr>
        <w:t>chorioretinopati</w:t>
      </w:r>
      <w:proofErr w:type="spellEnd"/>
      <w:r w:rsidRPr="00B302E1">
        <w:rPr>
          <w:sz w:val="24"/>
          <w:szCs w:val="24"/>
        </w:rPr>
        <w:t xml:space="preserve"> (CSCR), som har været indberettet efter brug af systemiske og </w:t>
      </w:r>
      <w:proofErr w:type="spellStart"/>
      <w:r w:rsidRPr="00B302E1">
        <w:rPr>
          <w:sz w:val="24"/>
          <w:szCs w:val="24"/>
        </w:rPr>
        <w:t>topikale</w:t>
      </w:r>
      <w:proofErr w:type="spellEnd"/>
      <w:r w:rsidRPr="00B302E1">
        <w:rPr>
          <w:sz w:val="24"/>
          <w:szCs w:val="24"/>
        </w:rPr>
        <w:t xml:space="preserve"> </w:t>
      </w:r>
      <w:proofErr w:type="spellStart"/>
      <w:r w:rsidRPr="00B302E1">
        <w:rPr>
          <w:sz w:val="24"/>
          <w:szCs w:val="24"/>
        </w:rPr>
        <w:t>kortikosteroider</w:t>
      </w:r>
      <w:proofErr w:type="spellEnd"/>
      <w:r w:rsidRPr="00B302E1">
        <w:rPr>
          <w:sz w:val="24"/>
          <w:szCs w:val="24"/>
        </w:rPr>
        <w:t>.</w:t>
      </w:r>
    </w:p>
    <w:p w14:paraId="69220047" w14:textId="77777777" w:rsidR="009260DE" w:rsidRPr="00B302E1" w:rsidRDefault="009260DE" w:rsidP="009260DE">
      <w:pPr>
        <w:tabs>
          <w:tab w:val="left" w:pos="851"/>
        </w:tabs>
        <w:ind w:left="851"/>
        <w:rPr>
          <w:sz w:val="24"/>
          <w:szCs w:val="24"/>
        </w:rPr>
      </w:pPr>
    </w:p>
    <w:p w14:paraId="58719B3A" w14:textId="77777777" w:rsidR="009260DE" w:rsidRPr="00B302E1" w:rsidRDefault="009260DE" w:rsidP="009260DE">
      <w:pPr>
        <w:tabs>
          <w:tab w:val="left" w:pos="851"/>
        </w:tabs>
        <w:ind w:left="851" w:hanging="851"/>
        <w:rPr>
          <w:b/>
          <w:sz w:val="24"/>
          <w:szCs w:val="24"/>
        </w:rPr>
      </w:pPr>
      <w:r w:rsidRPr="00B302E1">
        <w:rPr>
          <w:b/>
          <w:sz w:val="24"/>
          <w:szCs w:val="24"/>
        </w:rPr>
        <w:t>4.5</w:t>
      </w:r>
      <w:r w:rsidRPr="00B302E1">
        <w:rPr>
          <w:b/>
          <w:sz w:val="24"/>
          <w:szCs w:val="24"/>
        </w:rPr>
        <w:tab/>
        <w:t>Interaktion med andre lægemidler og andre former for interaktion</w:t>
      </w:r>
    </w:p>
    <w:p w14:paraId="6B5F43D0" w14:textId="77777777" w:rsidR="007F44EA" w:rsidRPr="00B302E1" w:rsidRDefault="007F44EA" w:rsidP="00EA065A">
      <w:pPr>
        <w:ind w:left="851"/>
        <w:rPr>
          <w:sz w:val="24"/>
          <w:szCs w:val="24"/>
        </w:rPr>
      </w:pPr>
      <w:r w:rsidRPr="00B302E1">
        <w:rPr>
          <w:sz w:val="24"/>
          <w:szCs w:val="24"/>
        </w:rPr>
        <w:t>Der er ikke udført interaktionsstudier.</w:t>
      </w:r>
    </w:p>
    <w:p w14:paraId="1D342DE2" w14:textId="77777777" w:rsidR="009260DE" w:rsidRPr="00B302E1" w:rsidRDefault="009260DE" w:rsidP="009260DE">
      <w:pPr>
        <w:tabs>
          <w:tab w:val="left" w:pos="851"/>
        </w:tabs>
        <w:ind w:left="851"/>
        <w:rPr>
          <w:sz w:val="24"/>
          <w:szCs w:val="24"/>
        </w:rPr>
      </w:pPr>
    </w:p>
    <w:p w14:paraId="75D0FFDB" w14:textId="11ABEAD4" w:rsidR="009260DE" w:rsidRPr="00B302E1" w:rsidRDefault="009260DE" w:rsidP="009260DE">
      <w:pPr>
        <w:tabs>
          <w:tab w:val="left" w:pos="851"/>
        </w:tabs>
        <w:ind w:left="851" w:hanging="851"/>
        <w:rPr>
          <w:b/>
          <w:sz w:val="24"/>
          <w:szCs w:val="24"/>
        </w:rPr>
      </w:pPr>
      <w:r w:rsidRPr="00B302E1">
        <w:rPr>
          <w:b/>
          <w:sz w:val="24"/>
          <w:szCs w:val="24"/>
        </w:rPr>
        <w:t>4.6</w:t>
      </w:r>
      <w:r w:rsidRPr="00B302E1">
        <w:rPr>
          <w:b/>
          <w:sz w:val="24"/>
          <w:szCs w:val="24"/>
        </w:rPr>
        <w:tab/>
      </w:r>
      <w:r w:rsidR="00CF7284">
        <w:rPr>
          <w:b/>
          <w:sz w:val="24"/>
          <w:szCs w:val="24"/>
        </w:rPr>
        <w:t>Fertilitet, g</w:t>
      </w:r>
      <w:r w:rsidRPr="00B302E1">
        <w:rPr>
          <w:b/>
          <w:sz w:val="24"/>
          <w:szCs w:val="24"/>
        </w:rPr>
        <w:t>raviditet og amning</w:t>
      </w:r>
    </w:p>
    <w:p w14:paraId="3E73130E" w14:textId="77777777" w:rsidR="00851326" w:rsidRDefault="00851326" w:rsidP="00EA065A">
      <w:pPr>
        <w:ind w:left="851"/>
        <w:rPr>
          <w:sz w:val="24"/>
          <w:szCs w:val="24"/>
        </w:rPr>
      </w:pPr>
    </w:p>
    <w:p w14:paraId="0507FFB3" w14:textId="525C6A9E" w:rsidR="007F44EA" w:rsidRPr="00851326" w:rsidRDefault="007F44EA" w:rsidP="00EA065A">
      <w:pPr>
        <w:ind w:left="851"/>
        <w:rPr>
          <w:sz w:val="24"/>
          <w:szCs w:val="24"/>
          <w:u w:val="single"/>
        </w:rPr>
      </w:pPr>
      <w:r w:rsidRPr="00851326">
        <w:rPr>
          <w:sz w:val="24"/>
          <w:szCs w:val="24"/>
          <w:u w:val="single"/>
        </w:rPr>
        <w:t>Graviditet</w:t>
      </w:r>
    </w:p>
    <w:p w14:paraId="1EE9211D" w14:textId="77777777" w:rsidR="007F44EA" w:rsidRPr="00B302E1" w:rsidRDefault="007F44EA" w:rsidP="00EA065A">
      <w:pPr>
        <w:ind w:left="851"/>
        <w:rPr>
          <w:sz w:val="24"/>
          <w:szCs w:val="24"/>
        </w:rPr>
      </w:pPr>
      <w:r w:rsidRPr="00B302E1">
        <w:rPr>
          <w:sz w:val="24"/>
          <w:szCs w:val="24"/>
        </w:rPr>
        <w:t xml:space="preserve">Der er utilstrækkelige data fra anvendelsen af </w:t>
      </w:r>
      <w:proofErr w:type="spellStart"/>
      <w:r w:rsidRPr="00B302E1">
        <w:rPr>
          <w:sz w:val="24"/>
          <w:szCs w:val="24"/>
        </w:rPr>
        <w:t>topikal</w:t>
      </w:r>
      <w:proofErr w:type="spellEnd"/>
      <w:r w:rsidRPr="00B302E1">
        <w:rPr>
          <w:sz w:val="24"/>
          <w:szCs w:val="24"/>
        </w:rPr>
        <w:t xml:space="preserve"> </w:t>
      </w:r>
      <w:proofErr w:type="spellStart"/>
      <w:r w:rsidRPr="00B302E1">
        <w:rPr>
          <w:sz w:val="24"/>
          <w:szCs w:val="24"/>
        </w:rPr>
        <w:t>clobetasolpropionat</w:t>
      </w:r>
      <w:proofErr w:type="spellEnd"/>
      <w:r w:rsidRPr="00B302E1">
        <w:rPr>
          <w:sz w:val="24"/>
          <w:szCs w:val="24"/>
        </w:rPr>
        <w:t xml:space="preserve"> hos gravide kvinder. Dyreforsøg har påvist reproduktionstoksicitet (se pkt. 5.3). Den potentielle risiko for mennesker kendes ikke. </w:t>
      </w:r>
    </w:p>
    <w:p w14:paraId="70A81A04" w14:textId="77777777" w:rsidR="007F44EA" w:rsidRPr="00B302E1" w:rsidRDefault="007F44EA" w:rsidP="00EA065A">
      <w:pPr>
        <w:ind w:left="851"/>
        <w:rPr>
          <w:sz w:val="24"/>
          <w:szCs w:val="24"/>
        </w:rPr>
      </w:pPr>
    </w:p>
    <w:p w14:paraId="7BFB0C67" w14:textId="39F49AF9" w:rsidR="007F44EA" w:rsidRPr="00B302E1" w:rsidRDefault="007F44EA" w:rsidP="00EA065A">
      <w:pPr>
        <w:ind w:left="851"/>
        <w:rPr>
          <w:sz w:val="24"/>
          <w:szCs w:val="24"/>
        </w:rPr>
      </w:pP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bør ikke anvendes under graviditeten medmindre det er nødvendigt klinisk. </w:t>
      </w:r>
    </w:p>
    <w:p w14:paraId="6917BC7C" w14:textId="77777777" w:rsidR="007F44EA" w:rsidRPr="00B302E1" w:rsidRDefault="007F44EA" w:rsidP="00EA065A">
      <w:pPr>
        <w:ind w:left="851"/>
        <w:rPr>
          <w:sz w:val="24"/>
          <w:szCs w:val="24"/>
        </w:rPr>
      </w:pPr>
    </w:p>
    <w:p w14:paraId="4EA6BEA2" w14:textId="77777777" w:rsidR="007F44EA" w:rsidRPr="00851326" w:rsidRDefault="007F44EA" w:rsidP="00EA065A">
      <w:pPr>
        <w:ind w:left="851"/>
        <w:rPr>
          <w:bCs/>
          <w:sz w:val="24"/>
          <w:szCs w:val="24"/>
          <w:u w:val="single"/>
        </w:rPr>
      </w:pPr>
      <w:r w:rsidRPr="00851326">
        <w:rPr>
          <w:bCs/>
          <w:iCs/>
          <w:sz w:val="24"/>
          <w:szCs w:val="24"/>
          <w:u w:val="single"/>
        </w:rPr>
        <w:t>Amning</w:t>
      </w:r>
      <w:r w:rsidRPr="00851326">
        <w:rPr>
          <w:bCs/>
          <w:sz w:val="24"/>
          <w:szCs w:val="24"/>
          <w:u w:val="single"/>
        </w:rPr>
        <w:t xml:space="preserve"> </w:t>
      </w:r>
    </w:p>
    <w:p w14:paraId="6DEC21AB" w14:textId="5FAEC9E4" w:rsidR="007F44EA" w:rsidRPr="00B302E1" w:rsidRDefault="007F44EA" w:rsidP="00EA065A">
      <w:pPr>
        <w:ind w:left="851"/>
        <w:rPr>
          <w:bCs/>
          <w:sz w:val="24"/>
          <w:szCs w:val="24"/>
        </w:rPr>
      </w:pPr>
      <w:proofErr w:type="spellStart"/>
      <w:r w:rsidRPr="00B302E1">
        <w:rPr>
          <w:sz w:val="24"/>
          <w:szCs w:val="24"/>
        </w:rPr>
        <w:t>K</w:t>
      </w:r>
      <w:r w:rsidRPr="00B302E1">
        <w:rPr>
          <w:bCs/>
          <w:sz w:val="24"/>
          <w:szCs w:val="24"/>
        </w:rPr>
        <w:t>ortikosteroider</w:t>
      </w:r>
      <w:proofErr w:type="spellEnd"/>
      <w:r w:rsidRPr="00B302E1">
        <w:rPr>
          <w:bCs/>
          <w:sz w:val="24"/>
          <w:szCs w:val="24"/>
        </w:rPr>
        <w:t xml:space="preserve"> </w:t>
      </w:r>
      <w:r w:rsidRPr="00B302E1">
        <w:rPr>
          <w:sz w:val="24"/>
          <w:szCs w:val="24"/>
        </w:rPr>
        <w:t xml:space="preserve">administreret systemisk </w:t>
      </w:r>
      <w:r w:rsidRPr="00B302E1">
        <w:rPr>
          <w:bCs/>
          <w:sz w:val="24"/>
          <w:szCs w:val="24"/>
        </w:rPr>
        <w:t xml:space="preserve">udskilles i </w:t>
      </w:r>
      <w:bookmarkStart w:id="2" w:name="OLE_LINK1"/>
      <w:bookmarkStart w:id="3" w:name="OLE_LINK2"/>
      <w:r w:rsidRPr="00B302E1">
        <w:rPr>
          <w:bCs/>
          <w:sz w:val="24"/>
          <w:szCs w:val="24"/>
        </w:rPr>
        <w:t>modermælk</w:t>
      </w:r>
      <w:bookmarkEnd w:id="2"/>
      <w:bookmarkEnd w:id="3"/>
      <w:r w:rsidRPr="00B302E1">
        <w:rPr>
          <w:bCs/>
          <w:sz w:val="24"/>
          <w:szCs w:val="24"/>
        </w:rPr>
        <w:t>. Der foreligger ingen meddelelser om bivirkninger hos det ammede barn.</w:t>
      </w:r>
    </w:p>
    <w:p w14:paraId="16D48EA4" w14:textId="6AF3454A" w:rsidR="007F44EA" w:rsidRPr="00B302E1" w:rsidRDefault="007F44EA" w:rsidP="00EA065A">
      <w:pPr>
        <w:ind w:left="851"/>
        <w:rPr>
          <w:bCs/>
          <w:sz w:val="24"/>
          <w:szCs w:val="24"/>
        </w:rPr>
      </w:pP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w:t>
      </w:r>
      <w:r w:rsidRPr="00B302E1">
        <w:rPr>
          <w:bCs/>
          <w:sz w:val="24"/>
          <w:szCs w:val="24"/>
        </w:rPr>
        <w:t xml:space="preserve">bør kun anvendes på tvingende indikation i </w:t>
      </w:r>
      <w:proofErr w:type="spellStart"/>
      <w:r w:rsidRPr="00B302E1">
        <w:rPr>
          <w:bCs/>
          <w:sz w:val="24"/>
          <w:szCs w:val="24"/>
        </w:rPr>
        <w:t>ammeperioden</w:t>
      </w:r>
      <w:proofErr w:type="spellEnd"/>
      <w:r w:rsidRPr="00B302E1">
        <w:rPr>
          <w:bCs/>
          <w:sz w:val="24"/>
          <w:szCs w:val="24"/>
        </w:rPr>
        <w:t xml:space="preserve">, eftersom der ikke foreligger tilstrækkelige data om mulig overførelse af </w:t>
      </w:r>
      <w:proofErr w:type="spellStart"/>
      <w:r w:rsidRPr="00B302E1">
        <w:rPr>
          <w:bCs/>
          <w:sz w:val="24"/>
          <w:szCs w:val="24"/>
        </w:rPr>
        <w:t>topikalt</w:t>
      </w:r>
      <w:proofErr w:type="spellEnd"/>
      <w:r w:rsidRPr="00B302E1">
        <w:rPr>
          <w:bCs/>
          <w:sz w:val="24"/>
          <w:szCs w:val="24"/>
        </w:rPr>
        <w:t xml:space="preserve"> </w:t>
      </w:r>
      <w:proofErr w:type="spellStart"/>
      <w:r w:rsidRPr="00B302E1">
        <w:rPr>
          <w:bCs/>
          <w:sz w:val="24"/>
          <w:szCs w:val="24"/>
        </w:rPr>
        <w:t>clobetasolpropionat</w:t>
      </w:r>
      <w:proofErr w:type="spellEnd"/>
      <w:r w:rsidRPr="00B302E1">
        <w:rPr>
          <w:bCs/>
          <w:sz w:val="24"/>
          <w:szCs w:val="24"/>
        </w:rPr>
        <w:t xml:space="preserve"> til mælk og biologiske eller kliniske eftervirkninger heraf</w:t>
      </w:r>
      <w:r w:rsidR="00851326">
        <w:rPr>
          <w:bCs/>
          <w:sz w:val="24"/>
          <w:szCs w:val="24"/>
        </w:rPr>
        <w:t>.</w:t>
      </w:r>
    </w:p>
    <w:p w14:paraId="5B425014" w14:textId="77777777" w:rsidR="007F44EA" w:rsidRPr="00B302E1" w:rsidRDefault="007F44EA" w:rsidP="00EA065A">
      <w:pPr>
        <w:ind w:left="851"/>
        <w:rPr>
          <w:bCs/>
          <w:sz w:val="24"/>
          <w:szCs w:val="24"/>
        </w:rPr>
      </w:pPr>
    </w:p>
    <w:p w14:paraId="1A070056" w14:textId="77777777" w:rsidR="007F44EA" w:rsidRPr="00851326" w:rsidRDefault="007F44EA" w:rsidP="00EA065A">
      <w:pPr>
        <w:ind w:left="851"/>
        <w:rPr>
          <w:bCs/>
          <w:sz w:val="24"/>
          <w:szCs w:val="24"/>
          <w:u w:val="single"/>
        </w:rPr>
      </w:pPr>
      <w:r w:rsidRPr="00851326">
        <w:rPr>
          <w:bCs/>
          <w:sz w:val="24"/>
          <w:szCs w:val="24"/>
          <w:u w:val="single"/>
        </w:rPr>
        <w:t>Fertilitet</w:t>
      </w:r>
    </w:p>
    <w:p w14:paraId="19A49A64" w14:textId="410321F8" w:rsidR="007F44EA" w:rsidRPr="00B302E1" w:rsidRDefault="007F44EA" w:rsidP="00EA065A">
      <w:pPr>
        <w:ind w:left="851"/>
        <w:rPr>
          <w:bCs/>
          <w:sz w:val="24"/>
          <w:szCs w:val="24"/>
        </w:rPr>
      </w:pPr>
      <w:r w:rsidRPr="00B302E1">
        <w:rPr>
          <w:bCs/>
          <w:sz w:val="24"/>
          <w:szCs w:val="24"/>
        </w:rPr>
        <w:t xml:space="preserve">Der foreligger ingen kliniske data. Se </w:t>
      </w:r>
      <w:r w:rsidR="00376D76">
        <w:rPr>
          <w:bCs/>
          <w:sz w:val="24"/>
          <w:szCs w:val="24"/>
        </w:rPr>
        <w:t>pkt.</w:t>
      </w:r>
      <w:r w:rsidRPr="00B302E1">
        <w:rPr>
          <w:bCs/>
          <w:sz w:val="24"/>
          <w:szCs w:val="24"/>
        </w:rPr>
        <w:t xml:space="preserve"> 5</w:t>
      </w:r>
      <w:r w:rsidR="00376D76">
        <w:rPr>
          <w:bCs/>
          <w:sz w:val="24"/>
          <w:szCs w:val="24"/>
        </w:rPr>
        <w:t>.</w:t>
      </w:r>
      <w:r w:rsidRPr="00B302E1">
        <w:rPr>
          <w:bCs/>
          <w:sz w:val="24"/>
          <w:szCs w:val="24"/>
        </w:rPr>
        <w:t>3.</w:t>
      </w:r>
    </w:p>
    <w:p w14:paraId="5295782D" w14:textId="77777777" w:rsidR="009260DE" w:rsidRPr="00B302E1" w:rsidRDefault="009260DE" w:rsidP="00EA065A">
      <w:pPr>
        <w:ind w:left="851"/>
        <w:rPr>
          <w:sz w:val="24"/>
          <w:szCs w:val="24"/>
        </w:rPr>
      </w:pPr>
    </w:p>
    <w:p w14:paraId="4B3029E4" w14:textId="0D2A3E75" w:rsidR="009260DE" w:rsidRPr="00B302E1" w:rsidRDefault="009260DE" w:rsidP="009260DE">
      <w:pPr>
        <w:tabs>
          <w:tab w:val="left" w:pos="851"/>
        </w:tabs>
        <w:ind w:left="851" w:hanging="851"/>
        <w:rPr>
          <w:b/>
          <w:sz w:val="24"/>
          <w:szCs w:val="24"/>
        </w:rPr>
      </w:pPr>
      <w:r w:rsidRPr="00B302E1">
        <w:rPr>
          <w:b/>
          <w:sz w:val="24"/>
          <w:szCs w:val="24"/>
        </w:rPr>
        <w:t>4.7</w:t>
      </w:r>
      <w:r w:rsidRPr="00B302E1">
        <w:rPr>
          <w:b/>
          <w:sz w:val="24"/>
          <w:szCs w:val="24"/>
        </w:rPr>
        <w:tab/>
        <w:t xml:space="preserve">Virkning på evnen til at føre motorkøretøj </w:t>
      </w:r>
      <w:r w:rsidR="00CF7284">
        <w:rPr>
          <w:b/>
          <w:sz w:val="24"/>
          <w:szCs w:val="24"/>
        </w:rPr>
        <w:t>og</w:t>
      </w:r>
      <w:r w:rsidRPr="00B302E1">
        <w:rPr>
          <w:b/>
          <w:sz w:val="24"/>
          <w:szCs w:val="24"/>
        </w:rPr>
        <w:t xml:space="preserve"> betjene maskiner</w:t>
      </w:r>
    </w:p>
    <w:p w14:paraId="7AC2BAD2" w14:textId="77777777" w:rsidR="007F44EA" w:rsidRPr="00B302E1" w:rsidRDefault="007F44EA" w:rsidP="00EA065A">
      <w:pPr>
        <w:ind w:left="851"/>
        <w:rPr>
          <w:sz w:val="24"/>
          <w:szCs w:val="24"/>
        </w:rPr>
      </w:pPr>
      <w:r w:rsidRPr="00B302E1">
        <w:rPr>
          <w:sz w:val="24"/>
          <w:szCs w:val="24"/>
        </w:rPr>
        <w:t>Ikke mærkning.</w:t>
      </w:r>
    </w:p>
    <w:p w14:paraId="1B85F48A" w14:textId="104452BF" w:rsidR="007F44EA" w:rsidRPr="00B302E1" w:rsidRDefault="007F44EA" w:rsidP="00EA065A">
      <w:pPr>
        <w:ind w:left="851"/>
        <w:rPr>
          <w:sz w:val="24"/>
          <w:szCs w:val="24"/>
        </w:rPr>
      </w:pP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påvirker ikke eller kun i ubetydelig grad evnen til at føre motorkøretøj eller betjene maskiner.</w:t>
      </w:r>
    </w:p>
    <w:p w14:paraId="26F313BF" w14:textId="77777777" w:rsidR="009260DE" w:rsidRPr="00B302E1" w:rsidRDefault="009260DE" w:rsidP="009260DE">
      <w:pPr>
        <w:tabs>
          <w:tab w:val="left" w:pos="851"/>
        </w:tabs>
        <w:ind w:left="851"/>
        <w:rPr>
          <w:sz w:val="24"/>
          <w:szCs w:val="24"/>
        </w:rPr>
      </w:pPr>
    </w:p>
    <w:p w14:paraId="56495B81" w14:textId="77777777" w:rsidR="009260DE" w:rsidRPr="00B302E1" w:rsidRDefault="009260DE" w:rsidP="009260DE">
      <w:pPr>
        <w:tabs>
          <w:tab w:val="left" w:pos="851"/>
        </w:tabs>
        <w:ind w:left="851" w:hanging="851"/>
        <w:rPr>
          <w:b/>
          <w:sz w:val="24"/>
          <w:szCs w:val="24"/>
        </w:rPr>
      </w:pPr>
      <w:r w:rsidRPr="00B302E1">
        <w:rPr>
          <w:b/>
          <w:sz w:val="24"/>
          <w:szCs w:val="24"/>
        </w:rPr>
        <w:t>4.8</w:t>
      </w:r>
      <w:r w:rsidRPr="00B302E1">
        <w:rPr>
          <w:b/>
          <w:sz w:val="24"/>
          <w:szCs w:val="24"/>
        </w:rPr>
        <w:tab/>
        <w:t>Bivirkninger</w:t>
      </w:r>
    </w:p>
    <w:p w14:paraId="476499D6" w14:textId="77777777" w:rsidR="00851326" w:rsidRDefault="00851326" w:rsidP="00000B87">
      <w:pPr>
        <w:ind w:left="851"/>
        <w:rPr>
          <w:noProof/>
          <w:sz w:val="24"/>
          <w:szCs w:val="24"/>
        </w:rPr>
      </w:pPr>
    </w:p>
    <w:p w14:paraId="4E04CBF4" w14:textId="16F81C5B" w:rsidR="007F44EA" w:rsidRPr="00851326" w:rsidRDefault="007F44EA" w:rsidP="00000B87">
      <w:pPr>
        <w:ind w:left="851"/>
        <w:rPr>
          <w:sz w:val="24"/>
          <w:szCs w:val="24"/>
          <w:u w:val="single"/>
        </w:rPr>
      </w:pPr>
      <w:r w:rsidRPr="00851326">
        <w:rPr>
          <w:noProof/>
          <w:sz w:val="24"/>
          <w:szCs w:val="24"/>
          <w:u w:val="single"/>
        </w:rPr>
        <w:t>Resumé af sikkerhedsprofilen</w:t>
      </w:r>
    </w:p>
    <w:p w14:paraId="29112A75" w14:textId="796E8B38" w:rsidR="007F44EA" w:rsidRPr="00B302E1" w:rsidRDefault="007F44EA" w:rsidP="00000B87">
      <w:pPr>
        <w:ind w:left="851"/>
        <w:rPr>
          <w:sz w:val="24"/>
          <w:szCs w:val="24"/>
        </w:rPr>
      </w:pPr>
      <w:r w:rsidRPr="00B302E1">
        <w:rPr>
          <w:sz w:val="24"/>
          <w:szCs w:val="24"/>
        </w:rPr>
        <w:t xml:space="preserve">Under den kliniske udvikling af </w:t>
      </w:r>
      <w:proofErr w:type="spellStart"/>
      <w:r w:rsidRPr="00B302E1">
        <w:rPr>
          <w:sz w:val="24"/>
          <w:szCs w:val="24"/>
        </w:rPr>
        <w:t>clobetasolpropionat</w:t>
      </w:r>
      <w:proofErr w:type="spellEnd"/>
      <w:r w:rsidRPr="00B302E1">
        <w:rPr>
          <w:sz w:val="24"/>
          <w:szCs w:val="24"/>
        </w:rPr>
        <w:t xml:space="preserve"> var en brændende følelse i huden den hyppigst indberettede bivirkning hos i alt 558 patienter, der blev behandlet med </w:t>
      </w:r>
      <w:proofErr w:type="spellStart"/>
      <w:r w:rsidRPr="00B302E1">
        <w:rPr>
          <w:sz w:val="24"/>
          <w:szCs w:val="24"/>
        </w:rPr>
        <w:t>clobetasolpropionat</w:t>
      </w:r>
      <w:proofErr w:type="spellEnd"/>
      <w:r w:rsidRPr="00B302E1">
        <w:rPr>
          <w:sz w:val="24"/>
          <w:szCs w:val="24"/>
        </w:rPr>
        <w:t>. Hyppigheden var cirka 2,8 %. De fleste bivirkninger blev klassificeret som milde til moderate, og de var ikke betinget af race eller køn. Kliniske tegn på hudirritation forekom sjældent (0,2 %). Der blev ikke indberettet alvorlige bivirkninger under nogen af de kliniske forsøg.</w:t>
      </w:r>
    </w:p>
    <w:p w14:paraId="129683AD" w14:textId="77777777" w:rsidR="007F44EA" w:rsidRPr="00B302E1" w:rsidRDefault="007F44EA" w:rsidP="00000B87">
      <w:pPr>
        <w:ind w:left="851"/>
        <w:rPr>
          <w:noProof/>
          <w:sz w:val="24"/>
          <w:szCs w:val="24"/>
        </w:rPr>
      </w:pPr>
      <w:r w:rsidRPr="00B302E1">
        <w:rPr>
          <w:noProof/>
          <w:sz w:val="24"/>
          <w:szCs w:val="24"/>
        </w:rPr>
        <w:t xml:space="preserve"> </w:t>
      </w:r>
    </w:p>
    <w:p w14:paraId="33464E07" w14:textId="77777777" w:rsidR="007F44EA" w:rsidRPr="00851326" w:rsidRDefault="007F44EA" w:rsidP="00000B87">
      <w:pPr>
        <w:ind w:left="851"/>
        <w:rPr>
          <w:noProof/>
          <w:sz w:val="24"/>
          <w:szCs w:val="24"/>
          <w:u w:val="single"/>
        </w:rPr>
      </w:pPr>
      <w:r w:rsidRPr="00851326">
        <w:rPr>
          <w:noProof/>
          <w:sz w:val="24"/>
          <w:szCs w:val="24"/>
          <w:u w:val="single"/>
        </w:rPr>
        <w:t>Bivirkningsliste</w:t>
      </w:r>
    </w:p>
    <w:p w14:paraId="2B2C35A4" w14:textId="63351BC5" w:rsidR="007F44EA" w:rsidRPr="00B302E1" w:rsidRDefault="007F44EA" w:rsidP="00000B87">
      <w:pPr>
        <w:ind w:left="851"/>
        <w:rPr>
          <w:noProof/>
          <w:sz w:val="24"/>
          <w:szCs w:val="24"/>
        </w:rPr>
      </w:pPr>
      <w:r w:rsidRPr="00B302E1">
        <w:rPr>
          <w:noProof/>
          <w:sz w:val="24"/>
          <w:szCs w:val="24"/>
        </w:rPr>
        <w:t xml:space="preserve">Bivirkningerne er </w:t>
      </w:r>
      <w:r w:rsidRPr="00B302E1">
        <w:rPr>
          <w:sz w:val="24"/>
          <w:szCs w:val="24"/>
        </w:rPr>
        <w:t>klassificeret efter systemorganklasse og hyppighed med anvendelse af følgende konvention</w:t>
      </w:r>
      <w:r w:rsidRPr="00B302E1">
        <w:rPr>
          <w:noProof/>
          <w:sz w:val="24"/>
          <w:szCs w:val="24"/>
        </w:rPr>
        <w:t xml:space="preserve">: </w:t>
      </w:r>
      <w:r w:rsidR="00376D76">
        <w:rPr>
          <w:noProof/>
          <w:sz w:val="24"/>
          <w:szCs w:val="24"/>
        </w:rPr>
        <w:t>M</w:t>
      </w:r>
      <w:r w:rsidRPr="00B302E1">
        <w:rPr>
          <w:noProof/>
          <w:sz w:val="24"/>
          <w:szCs w:val="24"/>
        </w:rPr>
        <w:t>eget almindelig (≥ 1/10), almindelig (≥ 1/100 til &lt; 1/10), ikke almindelig (≥ 1/1.000 til &lt; 1/100), sjælden (≥ 1/10.000 til &lt;1/1.000), meget sjælden (&lt; 1/10.000), ikke kendt (kan ikke estimeres ud fra forhåndenværende data) og blev indberettet for clobetasolpropionat shampoo, 500 mikrogram/g i kliniske studier og efter markedsføring (se tabel 1).</w:t>
      </w:r>
    </w:p>
    <w:p w14:paraId="5A1298E9" w14:textId="77777777" w:rsidR="007F44EA" w:rsidRPr="00B302E1" w:rsidRDefault="007F44EA" w:rsidP="00000B87">
      <w:pPr>
        <w:ind w:left="851"/>
        <w:rPr>
          <w:sz w:val="24"/>
          <w:szCs w:val="24"/>
        </w:rPr>
      </w:pPr>
    </w:p>
    <w:p w14:paraId="168115AA" w14:textId="77777777" w:rsidR="007F44EA" w:rsidRPr="00B302E1" w:rsidRDefault="007F44EA" w:rsidP="00000B87">
      <w:pPr>
        <w:rPr>
          <w:b/>
          <w:noProof/>
          <w:sz w:val="24"/>
          <w:szCs w:val="24"/>
          <w:lang w:val="en-US"/>
        </w:rPr>
      </w:pPr>
      <w:r w:rsidRPr="00B302E1">
        <w:rPr>
          <w:b/>
          <w:noProof/>
          <w:sz w:val="24"/>
          <w:szCs w:val="24"/>
        </w:rPr>
        <w:t>Tabel 1 – Bivirkninger</w:t>
      </w:r>
    </w:p>
    <w:p w14:paraId="7128C743" w14:textId="77777777" w:rsidR="007F44EA" w:rsidRPr="00B302E1" w:rsidRDefault="007F44EA" w:rsidP="0085132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290"/>
        <w:gridCol w:w="4849"/>
      </w:tblGrid>
      <w:tr w:rsidR="007F44EA" w:rsidRPr="00B302E1" w14:paraId="78F6FE41" w14:textId="77777777" w:rsidTr="00000B87">
        <w:tc>
          <w:tcPr>
            <w:tcW w:w="1293" w:type="pct"/>
            <w:tcBorders>
              <w:top w:val="single" w:sz="4" w:space="0" w:color="auto"/>
              <w:left w:val="single" w:sz="4" w:space="0" w:color="auto"/>
              <w:bottom w:val="single" w:sz="4" w:space="0" w:color="auto"/>
              <w:right w:val="single" w:sz="4" w:space="0" w:color="auto"/>
            </w:tcBorders>
            <w:hideMark/>
          </w:tcPr>
          <w:p w14:paraId="4471517F" w14:textId="77777777" w:rsidR="007F44EA" w:rsidRPr="00B302E1" w:rsidRDefault="007F44EA" w:rsidP="00000B87">
            <w:pPr>
              <w:rPr>
                <w:noProof/>
                <w:sz w:val="24"/>
                <w:szCs w:val="24"/>
              </w:rPr>
            </w:pPr>
            <w:r w:rsidRPr="00B302E1">
              <w:rPr>
                <w:noProof/>
                <w:sz w:val="24"/>
                <w:szCs w:val="24"/>
              </w:rPr>
              <w:t>Systemorganklasse</w:t>
            </w:r>
          </w:p>
        </w:tc>
        <w:tc>
          <w:tcPr>
            <w:tcW w:w="1189" w:type="pct"/>
            <w:tcBorders>
              <w:top w:val="single" w:sz="4" w:space="0" w:color="auto"/>
              <w:left w:val="single" w:sz="4" w:space="0" w:color="auto"/>
              <w:bottom w:val="single" w:sz="4" w:space="0" w:color="auto"/>
              <w:right w:val="single" w:sz="4" w:space="0" w:color="auto"/>
            </w:tcBorders>
            <w:hideMark/>
          </w:tcPr>
          <w:p w14:paraId="4A504E3A" w14:textId="77777777" w:rsidR="007F44EA" w:rsidRPr="00B302E1" w:rsidRDefault="007F44EA" w:rsidP="00000B87">
            <w:pPr>
              <w:rPr>
                <w:noProof/>
                <w:sz w:val="24"/>
                <w:szCs w:val="24"/>
              </w:rPr>
            </w:pPr>
            <w:r w:rsidRPr="00B302E1">
              <w:rPr>
                <w:noProof/>
                <w:sz w:val="24"/>
                <w:szCs w:val="24"/>
              </w:rPr>
              <w:t>Frekvens</w:t>
            </w:r>
          </w:p>
        </w:tc>
        <w:tc>
          <w:tcPr>
            <w:tcW w:w="2518" w:type="pct"/>
            <w:tcBorders>
              <w:top w:val="single" w:sz="4" w:space="0" w:color="auto"/>
              <w:left w:val="single" w:sz="4" w:space="0" w:color="auto"/>
              <w:bottom w:val="single" w:sz="4" w:space="0" w:color="auto"/>
              <w:right w:val="single" w:sz="4" w:space="0" w:color="auto"/>
            </w:tcBorders>
            <w:hideMark/>
          </w:tcPr>
          <w:p w14:paraId="05D5DFCA" w14:textId="77777777" w:rsidR="007F44EA" w:rsidRPr="00B302E1" w:rsidRDefault="007F44EA" w:rsidP="00000B87">
            <w:pPr>
              <w:rPr>
                <w:noProof/>
                <w:sz w:val="24"/>
                <w:szCs w:val="24"/>
              </w:rPr>
            </w:pPr>
            <w:r w:rsidRPr="00B302E1">
              <w:rPr>
                <w:noProof/>
                <w:sz w:val="24"/>
                <w:szCs w:val="24"/>
              </w:rPr>
              <w:t>Bivirkning</w:t>
            </w:r>
          </w:p>
        </w:tc>
      </w:tr>
      <w:tr w:rsidR="007F44EA" w:rsidRPr="00B302E1" w14:paraId="7B7530E5" w14:textId="77777777" w:rsidTr="00000B87">
        <w:tc>
          <w:tcPr>
            <w:tcW w:w="1293" w:type="pct"/>
            <w:tcBorders>
              <w:top w:val="single" w:sz="4" w:space="0" w:color="auto"/>
              <w:left w:val="single" w:sz="4" w:space="0" w:color="auto"/>
              <w:bottom w:val="single" w:sz="4" w:space="0" w:color="auto"/>
              <w:right w:val="single" w:sz="4" w:space="0" w:color="auto"/>
            </w:tcBorders>
            <w:hideMark/>
          </w:tcPr>
          <w:p w14:paraId="3684F475" w14:textId="77777777" w:rsidR="007F44EA" w:rsidRPr="00B302E1" w:rsidRDefault="007F44EA" w:rsidP="00000B87">
            <w:pPr>
              <w:rPr>
                <w:noProof/>
                <w:sz w:val="24"/>
                <w:szCs w:val="24"/>
              </w:rPr>
            </w:pPr>
            <w:r w:rsidRPr="00B302E1">
              <w:rPr>
                <w:noProof/>
                <w:sz w:val="24"/>
                <w:szCs w:val="24"/>
              </w:rPr>
              <w:t>Infektioner og parasitære sygdomme</w:t>
            </w:r>
          </w:p>
        </w:tc>
        <w:tc>
          <w:tcPr>
            <w:tcW w:w="1189" w:type="pct"/>
            <w:tcBorders>
              <w:top w:val="single" w:sz="4" w:space="0" w:color="auto"/>
              <w:left w:val="single" w:sz="4" w:space="0" w:color="auto"/>
              <w:bottom w:val="single" w:sz="4" w:space="0" w:color="auto"/>
              <w:right w:val="single" w:sz="4" w:space="0" w:color="auto"/>
            </w:tcBorders>
            <w:hideMark/>
          </w:tcPr>
          <w:p w14:paraId="25A2F543" w14:textId="77777777" w:rsidR="007F44EA" w:rsidRPr="00B302E1" w:rsidRDefault="007F44EA" w:rsidP="00000B87">
            <w:pPr>
              <w:rPr>
                <w:noProof/>
                <w:sz w:val="24"/>
                <w:szCs w:val="24"/>
              </w:rPr>
            </w:pPr>
            <w:r w:rsidRPr="00B302E1">
              <w:rPr>
                <w:noProof/>
                <w:sz w:val="24"/>
                <w:szCs w:val="24"/>
              </w:rPr>
              <w:t>Sjælden</w:t>
            </w:r>
          </w:p>
        </w:tc>
        <w:tc>
          <w:tcPr>
            <w:tcW w:w="2518" w:type="pct"/>
            <w:tcBorders>
              <w:top w:val="single" w:sz="4" w:space="0" w:color="auto"/>
              <w:left w:val="single" w:sz="4" w:space="0" w:color="auto"/>
              <w:bottom w:val="single" w:sz="4" w:space="0" w:color="auto"/>
              <w:right w:val="single" w:sz="4" w:space="0" w:color="auto"/>
            </w:tcBorders>
            <w:hideMark/>
          </w:tcPr>
          <w:p w14:paraId="77A7CD20" w14:textId="471BB722" w:rsidR="007F44EA" w:rsidRPr="00B302E1" w:rsidRDefault="007F44EA" w:rsidP="00000B87">
            <w:pPr>
              <w:rPr>
                <w:noProof/>
                <w:sz w:val="24"/>
                <w:szCs w:val="24"/>
              </w:rPr>
            </w:pPr>
            <w:r w:rsidRPr="00B302E1">
              <w:rPr>
                <w:noProof/>
                <w:sz w:val="24"/>
                <w:szCs w:val="24"/>
              </w:rPr>
              <w:t>Opportunistiske infektioner</w:t>
            </w:r>
            <w:r w:rsidR="00AE2795">
              <w:rPr>
                <w:noProof/>
                <w:sz w:val="24"/>
                <w:szCs w:val="24"/>
              </w:rPr>
              <w:t xml:space="preserve"> </w:t>
            </w:r>
            <w:r w:rsidRPr="00B302E1">
              <w:rPr>
                <w:sz w:val="24"/>
                <w:szCs w:val="24"/>
                <w:vertAlign w:val="superscript"/>
              </w:rPr>
              <w:t>(1), (2)</w:t>
            </w:r>
          </w:p>
        </w:tc>
      </w:tr>
      <w:tr w:rsidR="007F44EA" w:rsidRPr="00B302E1" w14:paraId="577A6914" w14:textId="77777777" w:rsidTr="00000B87">
        <w:trPr>
          <w:trHeight w:val="290"/>
        </w:trPr>
        <w:tc>
          <w:tcPr>
            <w:tcW w:w="1293" w:type="pct"/>
            <w:tcBorders>
              <w:top w:val="single" w:sz="4" w:space="0" w:color="auto"/>
              <w:left w:val="single" w:sz="4" w:space="0" w:color="auto"/>
              <w:bottom w:val="single" w:sz="4" w:space="0" w:color="auto"/>
              <w:right w:val="single" w:sz="4" w:space="0" w:color="auto"/>
            </w:tcBorders>
            <w:hideMark/>
          </w:tcPr>
          <w:p w14:paraId="59E1AD29" w14:textId="77777777" w:rsidR="007F44EA" w:rsidRPr="00B302E1" w:rsidRDefault="007F44EA" w:rsidP="00000B87">
            <w:pPr>
              <w:rPr>
                <w:noProof/>
                <w:sz w:val="24"/>
                <w:szCs w:val="24"/>
              </w:rPr>
            </w:pPr>
            <w:r w:rsidRPr="00B302E1">
              <w:rPr>
                <w:noProof/>
                <w:sz w:val="24"/>
                <w:szCs w:val="24"/>
              </w:rPr>
              <w:t>Det endokrine system</w:t>
            </w:r>
          </w:p>
        </w:tc>
        <w:tc>
          <w:tcPr>
            <w:tcW w:w="1189" w:type="pct"/>
            <w:tcBorders>
              <w:top w:val="single" w:sz="4" w:space="0" w:color="auto"/>
              <w:left w:val="single" w:sz="4" w:space="0" w:color="auto"/>
              <w:bottom w:val="single" w:sz="4" w:space="0" w:color="auto"/>
              <w:right w:val="single" w:sz="4" w:space="0" w:color="auto"/>
            </w:tcBorders>
          </w:tcPr>
          <w:p w14:paraId="41BCF45B" w14:textId="77777777" w:rsidR="007F44EA" w:rsidRPr="00B302E1" w:rsidRDefault="007F44EA" w:rsidP="00000B87">
            <w:pPr>
              <w:rPr>
                <w:noProof/>
                <w:sz w:val="24"/>
                <w:szCs w:val="24"/>
              </w:rPr>
            </w:pPr>
            <w:r w:rsidRPr="00B302E1">
              <w:rPr>
                <w:noProof/>
                <w:sz w:val="24"/>
                <w:szCs w:val="24"/>
              </w:rPr>
              <w:t>Ikke almindelig</w:t>
            </w:r>
          </w:p>
          <w:p w14:paraId="08F72792" w14:textId="77777777" w:rsidR="007F44EA" w:rsidRPr="00B302E1" w:rsidRDefault="007F44EA" w:rsidP="00000B87">
            <w:pPr>
              <w:rPr>
                <w:noProof/>
                <w:sz w:val="24"/>
                <w:szCs w:val="24"/>
              </w:rPr>
            </w:pPr>
          </w:p>
          <w:p w14:paraId="0CB5BDB8" w14:textId="77777777" w:rsidR="007F44EA" w:rsidRPr="00B302E1" w:rsidRDefault="007F44EA" w:rsidP="00000B87">
            <w:pPr>
              <w:rPr>
                <w:noProof/>
                <w:sz w:val="24"/>
                <w:szCs w:val="24"/>
              </w:rPr>
            </w:pPr>
          </w:p>
          <w:p w14:paraId="333BFFBB" w14:textId="77777777" w:rsidR="007F44EA" w:rsidRPr="00B302E1" w:rsidRDefault="007F44EA" w:rsidP="00000B87">
            <w:pPr>
              <w:rPr>
                <w:noProof/>
                <w:sz w:val="24"/>
                <w:szCs w:val="24"/>
              </w:rPr>
            </w:pPr>
            <w:r w:rsidRPr="00B302E1">
              <w:rPr>
                <w:noProof/>
                <w:sz w:val="24"/>
                <w:szCs w:val="24"/>
              </w:rPr>
              <w:t>Ikke kendt</w:t>
            </w:r>
          </w:p>
        </w:tc>
        <w:tc>
          <w:tcPr>
            <w:tcW w:w="2518" w:type="pct"/>
            <w:tcBorders>
              <w:top w:val="single" w:sz="4" w:space="0" w:color="auto"/>
              <w:left w:val="single" w:sz="4" w:space="0" w:color="auto"/>
              <w:bottom w:val="single" w:sz="4" w:space="0" w:color="auto"/>
              <w:right w:val="single" w:sz="4" w:space="0" w:color="auto"/>
            </w:tcBorders>
          </w:tcPr>
          <w:p w14:paraId="1FCE7224" w14:textId="0D4D74C3" w:rsidR="007F44EA" w:rsidRPr="00B302E1" w:rsidRDefault="007F44EA" w:rsidP="00000B87">
            <w:pPr>
              <w:rPr>
                <w:noProof/>
                <w:sz w:val="24"/>
                <w:szCs w:val="24"/>
              </w:rPr>
            </w:pPr>
            <w:r w:rsidRPr="00B302E1">
              <w:rPr>
                <w:noProof/>
                <w:sz w:val="24"/>
                <w:szCs w:val="24"/>
              </w:rPr>
              <w:t>Adrenal suppression</w:t>
            </w:r>
            <w:r w:rsidR="00AE2795">
              <w:rPr>
                <w:noProof/>
                <w:sz w:val="24"/>
                <w:szCs w:val="24"/>
              </w:rPr>
              <w:t xml:space="preserve"> </w:t>
            </w:r>
            <w:r w:rsidRPr="00B302E1">
              <w:rPr>
                <w:sz w:val="24"/>
                <w:szCs w:val="24"/>
                <w:vertAlign w:val="superscript"/>
              </w:rPr>
              <w:t>(1), (3)</w:t>
            </w:r>
          </w:p>
          <w:p w14:paraId="4DFD9450" w14:textId="6F851568" w:rsidR="007F44EA" w:rsidRPr="00B302E1" w:rsidRDefault="007F44EA" w:rsidP="00000B87">
            <w:pPr>
              <w:rPr>
                <w:noProof/>
                <w:sz w:val="24"/>
                <w:szCs w:val="24"/>
              </w:rPr>
            </w:pPr>
            <w:r w:rsidRPr="00B302E1">
              <w:rPr>
                <w:noProof/>
                <w:sz w:val="24"/>
                <w:szCs w:val="24"/>
              </w:rPr>
              <w:t>Cushings syndrom</w:t>
            </w:r>
            <w:r w:rsidR="00AE2795">
              <w:rPr>
                <w:noProof/>
                <w:sz w:val="24"/>
                <w:szCs w:val="24"/>
              </w:rPr>
              <w:t xml:space="preserve"> </w:t>
            </w:r>
            <w:r w:rsidRPr="00B302E1">
              <w:rPr>
                <w:sz w:val="24"/>
                <w:szCs w:val="24"/>
                <w:vertAlign w:val="superscript"/>
              </w:rPr>
              <w:t>(1), (3)</w:t>
            </w:r>
          </w:p>
          <w:p w14:paraId="142F949C" w14:textId="77777777" w:rsidR="007F44EA" w:rsidRPr="00B302E1" w:rsidRDefault="007F44EA" w:rsidP="00000B87">
            <w:pPr>
              <w:rPr>
                <w:noProof/>
                <w:sz w:val="24"/>
                <w:szCs w:val="24"/>
              </w:rPr>
            </w:pPr>
          </w:p>
          <w:p w14:paraId="0064EC75" w14:textId="5F933C4D" w:rsidR="007F44EA" w:rsidRPr="00B302E1" w:rsidRDefault="007F44EA" w:rsidP="00000B87">
            <w:pPr>
              <w:rPr>
                <w:sz w:val="24"/>
                <w:szCs w:val="24"/>
              </w:rPr>
            </w:pPr>
            <w:r w:rsidRPr="00B302E1">
              <w:rPr>
                <w:noProof/>
                <w:sz w:val="24"/>
                <w:szCs w:val="24"/>
              </w:rPr>
              <w:t>Vækstforsinkelse hos børn</w:t>
            </w:r>
            <w:r w:rsidR="00AE2795">
              <w:rPr>
                <w:noProof/>
                <w:sz w:val="24"/>
                <w:szCs w:val="24"/>
              </w:rPr>
              <w:t xml:space="preserve"> </w:t>
            </w:r>
            <w:r w:rsidRPr="00B302E1">
              <w:rPr>
                <w:sz w:val="24"/>
                <w:szCs w:val="24"/>
                <w:vertAlign w:val="superscript"/>
              </w:rPr>
              <w:t>(1), (3)</w:t>
            </w:r>
            <w:r w:rsidRPr="00B302E1">
              <w:rPr>
                <w:noProof/>
                <w:sz w:val="24"/>
                <w:szCs w:val="24"/>
              </w:rPr>
              <w:t xml:space="preserve"> (</w:t>
            </w:r>
            <w:r w:rsidRPr="00B302E1">
              <w:rPr>
                <w:sz w:val="24"/>
                <w:szCs w:val="24"/>
              </w:rPr>
              <w:t>se også pkt. 4.4)</w:t>
            </w:r>
          </w:p>
          <w:p w14:paraId="3ACFF86E" w14:textId="2E7D4A30" w:rsidR="007F44EA" w:rsidRPr="00B302E1" w:rsidRDefault="007F44EA" w:rsidP="00000B87">
            <w:pPr>
              <w:rPr>
                <w:sz w:val="24"/>
                <w:szCs w:val="24"/>
              </w:rPr>
            </w:pPr>
            <w:proofErr w:type="spellStart"/>
            <w:r w:rsidRPr="00B302E1">
              <w:rPr>
                <w:sz w:val="24"/>
                <w:szCs w:val="24"/>
              </w:rPr>
              <w:t>Eksacerbationer</w:t>
            </w:r>
            <w:proofErr w:type="spellEnd"/>
            <w:r w:rsidRPr="00B302E1">
              <w:rPr>
                <w:sz w:val="24"/>
                <w:szCs w:val="24"/>
              </w:rPr>
              <w:t xml:space="preserve"> i diabetes mellitus</w:t>
            </w:r>
            <w:r w:rsidR="00AE2795">
              <w:rPr>
                <w:sz w:val="24"/>
                <w:szCs w:val="24"/>
              </w:rPr>
              <w:t xml:space="preserve"> </w:t>
            </w:r>
            <w:r w:rsidRPr="00B302E1">
              <w:rPr>
                <w:sz w:val="24"/>
                <w:szCs w:val="24"/>
                <w:vertAlign w:val="superscript"/>
              </w:rPr>
              <w:t>(1), (3)</w:t>
            </w:r>
            <w:r w:rsidRPr="00B302E1">
              <w:rPr>
                <w:sz w:val="24"/>
                <w:szCs w:val="24"/>
              </w:rPr>
              <w:t xml:space="preserve"> </w:t>
            </w:r>
            <w:r w:rsidRPr="00B302E1">
              <w:rPr>
                <w:noProof/>
                <w:sz w:val="24"/>
                <w:szCs w:val="24"/>
              </w:rPr>
              <w:t>(</w:t>
            </w:r>
            <w:r w:rsidRPr="00B302E1">
              <w:rPr>
                <w:sz w:val="24"/>
                <w:szCs w:val="24"/>
              </w:rPr>
              <w:t>se også pkt. 4.4)</w:t>
            </w:r>
          </w:p>
        </w:tc>
      </w:tr>
      <w:tr w:rsidR="007F44EA" w:rsidRPr="00B302E1" w14:paraId="3A988E92" w14:textId="77777777" w:rsidTr="00000B87">
        <w:trPr>
          <w:trHeight w:val="1390"/>
        </w:trPr>
        <w:tc>
          <w:tcPr>
            <w:tcW w:w="1293" w:type="pct"/>
            <w:tcBorders>
              <w:top w:val="single" w:sz="4" w:space="0" w:color="auto"/>
              <w:left w:val="single" w:sz="4" w:space="0" w:color="auto"/>
              <w:bottom w:val="single" w:sz="4" w:space="0" w:color="auto"/>
              <w:right w:val="single" w:sz="4" w:space="0" w:color="auto"/>
            </w:tcBorders>
            <w:hideMark/>
          </w:tcPr>
          <w:p w14:paraId="0E1E19AE" w14:textId="77777777" w:rsidR="007F44EA" w:rsidRPr="00B302E1" w:rsidRDefault="007F44EA" w:rsidP="00000B87">
            <w:pPr>
              <w:rPr>
                <w:noProof/>
                <w:sz w:val="24"/>
                <w:szCs w:val="24"/>
                <w:lang w:val="en-US"/>
              </w:rPr>
            </w:pPr>
            <w:r w:rsidRPr="00B302E1">
              <w:rPr>
                <w:noProof/>
                <w:sz w:val="24"/>
                <w:szCs w:val="24"/>
              </w:rPr>
              <w:t>Øjne</w:t>
            </w:r>
          </w:p>
        </w:tc>
        <w:tc>
          <w:tcPr>
            <w:tcW w:w="1189" w:type="pct"/>
            <w:tcBorders>
              <w:top w:val="single" w:sz="4" w:space="0" w:color="auto"/>
              <w:left w:val="single" w:sz="4" w:space="0" w:color="auto"/>
              <w:bottom w:val="single" w:sz="4" w:space="0" w:color="auto"/>
              <w:right w:val="single" w:sz="4" w:space="0" w:color="auto"/>
            </w:tcBorders>
          </w:tcPr>
          <w:p w14:paraId="33CBF3E4" w14:textId="77777777" w:rsidR="007F44EA" w:rsidRPr="00B302E1" w:rsidRDefault="007F44EA" w:rsidP="00000B87">
            <w:pPr>
              <w:rPr>
                <w:noProof/>
                <w:sz w:val="24"/>
                <w:szCs w:val="24"/>
              </w:rPr>
            </w:pPr>
            <w:r w:rsidRPr="00B302E1">
              <w:rPr>
                <w:noProof/>
                <w:sz w:val="24"/>
                <w:szCs w:val="24"/>
              </w:rPr>
              <w:t>Ikke almindelig</w:t>
            </w:r>
          </w:p>
          <w:p w14:paraId="325836D7" w14:textId="77777777" w:rsidR="007F44EA" w:rsidRPr="00B302E1" w:rsidRDefault="007F44EA" w:rsidP="00000B87">
            <w:pPr>
              <w:rPr>
                <w:noProof/>
                <w:sz w:val="24"/>
                <w:szCs w:val="24"/>
              </w:rPr>
            </w:pPr>
          </w:p>
          <w:p w14:paraId="7D3C94BE" w14:textId="77777777" w:rsidR="007F44EA" w:rsidRPr="00B302E1" w:rsidRDefault="007F44EA" w:rsidP="00000B87">
            <w:pPr>
              <w:rPr>
                <w:noProof/>
                <w:sz w:val="24"/>
                <w:szCs w:val="24"/>
              </w:rPr>
            </w:pPr>
          </w:p>
          <w:p w14:paraId="18233789" w14:textId="77777777" w:rsidR="007F44EA" w:rsidRPr="00B302E1" w:rsidRDefault="007F44EA" w:rsidP="00000B87">
            <w:pPr>
              <w:rPr>
                <w:noProof/>
                <w:sz w:val="24"/>
                <w:szCs w:val="24"/>
              </w:rPr>
            </w:pPr>
          </w:p>
          <w:p w14:paraId="1A1635A6" w14:textId="77777777" w:rsidR="007F44EA" w:rsidRPr="00B302E1" w:rsidRDefault="007F44EA" w:rsidP="00000B87">
            <w:pPr>
              <w:rPr>
                <w:noProof/>
                <w:sz w:val="24"/>
                <w:szCs w:val="24"/>
              </w:rPr>
            </w:pPr>
          </w:p>
          <w:p w14:paraId="791F5836" w14:textId="3259F7A3" w:rsidR="007F44EA" w:rsidRPr="00B302E1" w:rsidRDefault="007F44EA" w:rsidP="00000B87">
            <w:pPr>
              <w:rPr>
                <w:noProof/>
                <w:sz w:val="24"/>
                <w:szCs w:val="24"/>
              </w:rPr>
            </w:pPr>
            <w:r w:rsidRPr="00B302E1">
              <w:rPr>
                <w:noProof/>
                <w:sz w:val="24"/>
                <w:szCs w:val="24"/>
              </w:rPr>
              <w:t>Ikke kendt</w:t>
            </w:r>
          </w:p>
        </w:tc>
        <w:tc>
          <w:tcPr>
            <w:tcW w:w="2518" w:type="pct"/>
            <w:tcBorders>
              <w:top w:val="single" w:sz="4" w:space="0" w:color="auto"/>
              <w:left w:val="single" w:sz="4" w:space="0" w:color="auto"/>
              <w:bottom w:val="single" w:sz="4" w:space="0" w:color="auto"/>
              <w:right w:val="single" w:sz="4" w:space="0" w:color="auto"/>
            </w:tcBorders>
          </w:tcPr>
          <w:p w14:paraId="42880135" w14:textId="1793E2B7" w:rsidR="007F44EA" w:rsidRPr="00B302E1" w:rsidRDefault="007F44EA" w:rsidP="00000B87">
            <w:pPr>
              <w:rPr>
                <w:noProof/>
                <w:sz w:val="24"/>
                <w:szCs w:val="24"/>
              </w:rPr>
            </w:pPr>
            <w:r w:rsidRPr="00B302E1">
              <w:rPr>
                <w:noProof/>
                <w:sz w:val="24"/>
                <w:szCs w:val="24"/>
              </w:rPr>
              <w:t>Sviende, brændende fornemmelse i øjnene</w:t>
            </w:r>
            <w:r w:rsidR="00AE2795">
              <w:rPr>
                <w:noProof/>
                <w:sz w:val="24"/>
                <w:szCs w:val="24"/>
              </w:rPr>
              <w:t xml:space="preserve"> </w:t>
            </w:r>
            <w:r w:rsidRPr="00B302E1">
              <w:rPr>
                <w:sz w:val="24"/>
                <w:szCs w:val="24"/>
                <w:vertAlign w:val="superscript"/>
              </w:rPr>
              <w:t>(1)</w:t>
            </w:r>
          </w:p>
          <w:p w14:paraId="76A3362D" w14:textId="1F6D40B4" w:rsidR="007F44EA" w:rsidRPr="00B302E1" w:rsidRDefault="007F44EA" w:rsidP="00000B87">
            <w:pPr>
              <w:rPr>
                <w:noProof/>
                <w:sz w:val="24"/>
                <w:szCs w:val="24"/>
              </w:rPr>
            </w:pPr>
            <w:r w:rsidRPr="00B302E1">
              <w:rPr>
                <w:noProof/>
                <w:sz w:val="24"/>
                <w:szCs w:val="24"/>
              </w:rPr>
              <w:t>Øjenirritation</w:t>
            </w:r>
            <w:r w:rsidR="00AE2795">
              <w:rPr>
                <w:noProof/>
                <w:sz w:val="24"/>
                <w:szCs w:val="24"/>
              </w:rPr>
              <w:t xml:space="preserve"> </w:t>
            </w:r>
            <w:r w:rsidRPr="00B302E1">
              <w:rPr>
                <w:sz w:val="24"/>
                <w:szCs w:val="24"/>
                <w:vertAlign w:val="superscript"/>
              </w:rPr>
              <w:t>(1)</w:t>
            </w:r>
            <w:r w:rsidRPr="00B302E1">
              <w:rPr>
                <w:noProof/>
                <w:sz w:val="24"/>
                <w:szCs w:val="24"/>
              </w:rPr>
              <w:t xml:space="preserve"> </w:t>
            </w:r>
          </w:p>
          <w:p w14:paraId="6E625A13" w14:textId="77777777" w:rsidR="007F44EA" w:rsidRPr="00B302E1" w:rsidRDefault="007F44EA" w:rsidP="00000B87">
            <w:pPr>
              <w:rPr>
                <w:noProof/>
                <w:sz w:val="24"/>
                <w:szCs w:val="24"/>
              </w:rPr>
            </w:pPr>
            <w:r w:rsidRPr="00B302E1">
              <w:rPr>
                <w:noProof/>
                <w:sz w:val="24"/>
                <w:szCs w:val="24"/>
              </w:rPr>
              <w:t>Fornemmelse af stramhed i øjnene</w:t>
            </w:r>
          </w:p>
          <w:p w14:paraId="4E268350" w14:textId="3D57F209" w:rsidR="007F44EA" w:rsidRPr="00B302E1" w:rsidRDefault="007F44EA" w:rsidP="00000B87">
            <w:pPr>
              <w:rPr>
                <w:sz w:val="24"/>
                <w:szCs w:val="24"/>
                <w:vertAlign w:val="superscript"/>
              </w:rPr>
            </w:pPr>
            <w:r w:rsidRPr="00B302E1">
              <w:rPr>
                <w:noProof/>
                <w:sz w:val="24"/>
                <w:szCs w:val="24"/>
              </w:rPr>
              <w:t>Glaukom</w:t>
            </w:r>
            <w:r w:rsidR="00AE2795">
              <w:rPr>
                <w:noProof/>
                <w:sz w:val="24"/>
                <w:szCs w:val="24"/>
              </w:rPr>
              <w:t xml:space="preserve"> </w:t>
            </w:r>
            <w:r w:rsidRPr="00B302E1">
              <w:rPr>
                <w:sz w:val="24"/>
                <w:szCs w:val="24"/>
                <w:vertAlign w:val="superscript"/>
              </w:rPr>
              <w:t>(1), (2), (3)</w:t>
            </w:r>
          </w:p>
          <w:p w14:paraId="36886A02" w14:textId="77777777" w:rsidR="007F44EA" w:rsidRPr="00B302E1" w:rsidRDefault="007F44EA" w:rsidP="00000B87">
            <w:pPr>
              <w:rPr>
                <w:sz w:val="24"/>
                <w:szCs w:val="24"/>
                <w:vertAlign w:val="superscript"/>
              </w:rPr>
            </w:pPr>
          </w:p>
          <w:p w14:paraId="2A578F51" w14:textId="77777777" w:rsidR="007F44EA" w:rsidRPr="00B302E1" w:rsidRDefault="007F44EA" w:rsidP="00000B87">
            <w:pPr>
              <w:rPr>
                <w:sz w:val="24"/>
                <w:szCs w:val="24"/>
              </w:rPr>
            </w:pPr>
            <w:r w:rsidRPr="00B302E1">
              <w:rPr>
                <w:noProof/>
                <w:sz w:val="24"/>
                <w:szCs w:val="24"/>
              </w:rPr>
              <w:t>Syn sløret</w:t>
            </w:r>
            <w:r w:rsidRPr="00B302E1">
              <w:rPr>
                <w:sz w:val="24"/>
                <w:szCs w:val="24"/>
                <w:vertAlign w:val="superscript"/>
              </w:rPr>
              <w:t xml:space="preserve"> (1)</w:t>
            </w:r>
            <w:r w:rsidRPr="00B302E1">
              <w:rPr>
                <w:noProof/>
                <w:sz w:val="24"/>
                <w:szCs w:val="24"/>
              </w:rPr>
              <w:t xml:space="preserve"> (</w:t>
            </w:r>
            <w:r w:rsidRPr="00B302E1">
              <w:rPr>
                <w:sz w:val="24"/>
                <w:szCs w:val="24"/>
              </w:rPr>
              <w:t>se også pkt. 4.4)</w:t>
            </w:r>
          </w:p>
          <w:p w14:paraId="7C21DFED" w14:textId="77777777" w:rsidR="007F44EA" w:rsidRPr="00B302E1" w:rsidRDefault="007F44EA" w:rsidP="00000B87">
            <w:pPr>
              <w:rPr>
                <w:noProof/>
                <w:sz w:val="24"/>
                <w:szCs w:val="24"/>
              </w:rPr>
            </w:pPr>
            <w:r w:rsidRPr="00B302E1">
              <w:rPr>
                <w:noProof/>
                <w:sz w:val="24"/>
                <w:szCs w:val="24"/>
              </w:rPr>
              <w:t>Katarakt</w:t>
            </w:r>
            <w:r w:rsidRPr="00B302E1">
              <w:rPr>
                <w:sz w:val="24"/>
                <w:szCs w:val="24"/>
                <w:vertAlign w:val="superscript"/>
              </w:rPr>
              <w:t xml:space="preserve"> (1), (2)</w:t>
            </w:r>
            <w:r w:rsidRPr="00B302E1">
              <w:rPr>
                <w:noProof/>
                <w:sz w:val="24"/>
                <w:szCs w:val="24"/>
              </w:rPr>
              <w:t xml:space="preserve"> (hvor det påføres øjne eller øjenlåg)</w:t>
            </w:r>
          </w:p>
        </w:tc>
      </w:tr>
      <w:tr w:rsidR="007F44EA" w:rsidRPr="00B302E1" w14:paraId="1218E63E" w14:textId="77777777" w:rsidTr="00000B87">
        <w:trPr>
          <w:trHeight w:val="337"/>
        </w:trPr>
        <w:tc>
          <w:tcPr>
            <w:tcW w:w="1293" w:type="pct"/>
            <w:tcBorders>
              <w:top w:val="single" w:sz="4" w:space="0" w:color="auto"/>
              <w:left w:val="single" w:sz="4" w:space="0" w:color="auto"/>
              <w:bottom w:val="single" w:sz="4" w:space="0" w:color="auto"/>
              <w:right w:val="single" w:sz="4" w:space="0" w:color="auto"/>
            </w:tcBorders>
            <w:hideMark/>
          </w:tcPr>
          <w:p w14:paraId="09A23A1B" w14:textId="77777777" w:rsidR="007F44EA" w:rsidRPr="00B302E1" w:rsidRDefault="007F44EA" w:rsidP="00000B87">
            <w:pPr>
              <w:rPr>
                <w:noProof/>
                <w:sz w:val="24"/>
                <w:szCs w:val="24"/>
                <w:lang w:val="en-US"/>
              </w:rPr>
            </w:pPr>
            <w:r w:rsidRPr="00B302E1">
              <w:rPr>
                <w:noProof/>
                <w:sz w:val="24"/>
                <w:szCs w:val="24"/>
              </w:rPr>
              <w:t>Immunsystemet</w:t>
            </w:r>
          </w:p>
        </w:tc>
        <w:tc>
          <w:tcPr>
            <w:tcW w:w="1189" w:type="pct"/>
            <w:tcBorders>
              <w:top w:val="single" w:sz="4" w:space="0" w:color="auto"/>
              <w:left w:val="single" w:sz="4" w:space="0" w:color="auto"/>
              <w:bottom w:val="single" w:sz="4" w:space="0" w:color="auto"/>
              <w:right w:val="single" w:sz="4" w:space="0" w:color="auto"/>
            </w:tcBorders>
          </w:tcPr>
          <w:p w14:paraId="2F9BC0BA" w14:textId="77777777" w:rsidR="007F44EA" w:rsidRPr="00B302E1" w:rsidRDefault="007F44EA" w:rsidP="00000B87">
            <w:pPr>
              <w:rPr>
                <w:noProof/>
                <w:sz w:val="24"/>
                <w:szCs w:val="24"/>
              </w:rPr>
            </w:pPr>
            <w:r w:rsidRPr="00B302E1">
              <w:rPr>
                <w:noProof/>
                <w:sz w:val="24"/>
                <w:szCs w:val="24"/>
              </w:rPr>
              <w:t>Ikke almindelig</w:t>
            </w:r>
          </w:p>
          <w:p w14:paraId="053D6BC7" w14:textId="77777777" w:rsidR="007F44EA" w:rsidRPr="00B302E1" w:rsidRDefault="007F44EA" w:rsidP="00000B87">
            <w:pPr>
              <w:rPr>
                <w:noProof/>
                <w:sz w:val="24"/>
                <w:szCs w:val="24"/>
              </w:rPr>
            </w:pPr>
          </w:p>
          <w:p w14:paraId="205C5A5B" w14:textId="77777777" w:rsidR="007F44EA" w:rsidRPr="00B302E1" w:rsidRDefault="007F44EA" w:rsidP="00000B87">
            <w:pPr>
              <w:rPr>
                <w:noProof/>
                <w:sz w:val="24"/>
                <w:szCs w:val="24"/>
              </w:rPr>
            </w:pPr>
            <w:r w:rsidRPr="00B302E1">
              <w:rPr>
                <w:noProof/>
                <w:sz w:val="24"/>
                <w:szCs w:val="24"/>
              </w:rPr>
              <w:t>Sjælden</w:t>
            </w:r>
          </w:p>
        </w:tc>
        <w:tc>
          <w:tcPr>
            <w:tcW w:w="2518" w:type="pct"/>
            <w:tcBorders>
              <w:top w:val="single" w:sz="4" w:space="0" w:color="auto"/>
              <w:left w:val="single" w:sz="4" w:space="0" w:color="auto"/>
              <w:bottom w:val="single" w:sz="4" w:space="0" w:color="auto"/>
              <w:right w:val="single" w:sz="4" w:space="0" w:color="auto"/>
            </w:tcBorders>
          </w:tcPr>
          <w:p w14:paraId="12031D38" w14:textId="407DEA14" w:rsidR="007F44EA" w:rsidRPr="00AE2795" w:rsidRDefault="007F44EA" w:rsidP="00000B87">
            <w:pPr>
              <w:rPr>
                <w:sz w:val="24"/>
                <w:szCs w:val="24"/>
              </w:rPr>
            </w:pPr>
            <w:r w:rsidRPr="00B302E1">
              <w:rPr>
                <w:noProof/>
                <w:sz w:val="24"/>
                <w:szCs w:val="24"/>
              </w:rPr>
              <w:t>Overfølsomhed</w:t>
            </w:r>
            <w:r w:rsidR="00AE2795">
              <w:rPr>
                <w:noProof/>
                <w:sz w:val="24"/>
                <w:szCs w:val="24"/>
              </w:rPr>
              <w:t xml:space="preserve"> </w:t>
            </w:r>
            <w:r w:rsidRPr="00B302E1">
              <w:rPr>
                <w:sz w:val="24"/>
                <w:szCs w:val="24"/>
                <w:vertAlign w:val="superscript"/>
              </w:rPr>
              <w:t>(1)</w:t>
            </w:r>
          </w:p>
          <w:p w14:paraId="1C849DC0" w14:textId="77777777" w:rsidR="007F44EA" w:rsidRPr="00AE2795" w:rsidRDefault="007F44EA" w:rsidP="00000B87">
            <w:pPr>
              <w:rPr>
                <w:sz w:val="24"/>
                <w:szCs w:val="24"/>
              </w:rPr>
            </w:pPr>
          </w:p>
          <w:p w14:paraId="26A48F44" w14:textId="3989CE25" w:rsidR="007F44EA" w:rsidRPr="00B302E1" w:rsidRDefault="007F44EA" w:rsidP="00000B87">
            <w:pPr>
              <w:rPr>
                <w:noProof/>
                <w:sz w:val="24"/>
                <w:szCs w:val="24"/>
              </w:rPr>
            </w:pPr>
            <w:r w:rsidRPr="00B302E1">
              <w:rPr>
                <w:noProof/>
                <w:sz w:val="24"/>
                <w:szCs w:val="24"/>
              </w:rPr>
              <w:t>Immunsuppression</w:t>
            </w:r>
            <w:r w:rsidR="00AE2795">
              <w:rPr>
                <w:noProof/>
                <w:sz w:val="24"/>
                <w:szCs w:val="24"/>
              </w:rPr>
              <w:t xml:space="preserve"> </w:t>
            </w:r>
            <w:r w:rsidRPr="00B302E1">
              <w:rPr>
                <w:sz w:val="24"/>
                <w:szCs w:val="24"/>
                <w:vertAlign w:val="superscript"/>
              </w:rPr>
              <w:t>(1), (3)</w:t>
            </w:r>
          </w:p>
        </w:tc>
      </w:tr>
      <w:tr w:rsidR="007F44EA" w:rsidRPr="00B302E1" w14:paraId="6638966B" w14:textId="77777777" w:rsidTr="00000B87">
        <w:trPr>
          <w:trHeight w:val="271"/>
        </w:trPr>
        <w:tc>
          <w:tcPr>
            <w:tcW w:w="1293" w:type="pct"/>
            <w:tcBorders>
              <w:top w:val="single" w:sz="4" w:space="0" w:color="auto"/>
              <w:left w:val="single" w:sz="4" w:space="0" w:color="auto"/>
              <w:bottom w:val="single" w:sz="4" w:space="0" w:color="auto"/>
              <w:right w:val="single" w:sz="4" w:space="0" w:color="auto"/>
            </w:tcBorders>
            <w:hideMark/>
          </w:tcPr>
          <w:p w14:paraId="60459763" w14:textId="77777777" w:rsidR="007F44EA" w:rsidRPr="00B302E1" w:rsidRDefault="007F44EA" w:rsidP="00000B87">
            <w:pPr>
              <w:rPr>
                <w:noProof/>
                <w:sz w:val="24"/>
                <w:szCs w:val="24"/>
              </w:rPr>
            </w:pPr>
            <w:r w:rsidRPr="00B302E1">
              <w:rPr>
                <w:noProof/>
                <w:sz w:val="24"/>
                <w:szCs w:val="24"/>
              </w:rPr>
              <w:t>Nervesystemet</w:t>
            </w:r>
          </w:p>
        </w:tc>
        <w:tc>
          <w:tcPr>
            <w:tcW w:w="1189" w:type="pct"/>
            <w:tcBorders>
              <w:top w:val="single" w:sz="4" w:space="0" w:color="auto"/>
              <w:left w:val="single" w:sz="4" w:space="0" w:color="auto"/>
              <w:bottom w:val="single" w:sz="4" w:space="0" w:color="auto"/>
              <w:right w:val="single" w:sz="4" w:space="0" w:color="auto"/>
            </w:tcBorders>
            <w:hideMark/>
          </w:tcPr>
          <w:p w14:paraId="68CD9A03" w14:textId="77777777" w:rsidR="007F44EA" w:rsidRPr="00B302E1" w:rsidRDefault="007F44EA" w:rsidP="00000B87">
            <w:pPr>
              <w:rPr>
                <w:noProof/>
                <w:sz w:val="24"/>
                <w:szCs w:val="24"/>
              </w:rPr>
            </w:pPr>
            <w:r w:rsidRPr="00B302E1">
              <w:rPr>
                <w:noProof/>
                <w:sz w:val="24"/>
                <w:szCs w:val="24"/>
              </w:rPr>
              <w:t>Ikke almindelig</w:t>
            </w:r>
          </w:p>
        </w:tc>
        <w:tc>
          <w:tcPr>
            <w:tcW w:w="2518" w:type="pct"/>
            <w:tcBorders>
              <w:top w:val="single" w:sz="4" w:space="0" w:color="auto"/>
              <w:left w:val="single" w:sz="4" w:space="0" w:color="auto"/>
              <w:bottom w:val="single" w:sz="4" w:space="0" w:color="auto"/>
              <w:right w:val="single" w:sz="4" w:space="0" w:color="auto"/>
            </w:tcBorders>
            <w:hideMark/>
          </w:tcPr>
          <w:p w14:paraId="329A5841" w14:textId="77777777" w:rsidR="007F44EA" w:rsidRPr="00B302E1" w:rsidRDefault="007F44EA" w:rsidP="00000B87">
            <w:pPr>
              <w:rPr>
                <w:noProof/>
                <w:sz w:val="24"/>
                <w:szCs w:val="24"/>
              </w:rPr>
            </w:pPr>
            <w:r w:rsidRPr="00B302E1">
              <w:rPr>
                <w:noProof/>
                <w:sz w:val="24"/>
                <w:szCs w:val="24"/>
              </w:rPr>
              <w:t>Hovedpine</w:t>
            </w:r>
          </w:p>
        </w:tc>
      </w:tr>
      <w:tr w:rsidR="007F44EA" w:rsidRPr="00B302E1" w14:paraId="472755B8" w14:textId="77777777" w:rsidTr="00000B87">
        <w:trPr>
          <w:trHeight w:val="294"/>
        </w:trPr>
        <w:tc>
          <w:tcPr>
            <w:tcW w:w="1293" w:type="pct"/>
            <w:vMerge w:val="restart"/>
            <w:tcBorders>
              <w:top w:val="single" w:sz="4" w:space="0" w:color="auto"/>
              <w:left w:val="single" w:sz="4" w:space="0" w:color="auto"/>
              <w:bottom w:val="single" w:sz="4" w:space="0" w:color="auto"/>
              <w:right w:val="single" w:sz="4" w:space="0" w:color="auto"/>
            </w:tcBorders>
            <w:hideMark/>
          </w:tcPr>
          <w:p w14:paraId="23EF7ACA" w14:textId="77777777" w:rsidR="007F44EA" w:rsidRPr="00B302E1" w:rsidRDefault="007F44EA" w:rsidP="00000B87">
            <w:pPr>
              <w:rPr>
                <w:noProof/>
                <w:sz w:val="24"/>
                <w:szCs w:val="24"/>
              </w:rPr>
            </w:pPr>
            <w:r w:rsidRPr="00B302E1">
              <w:rPr>
                <w:noProof/>
                <w:sz w:val="24"/>
                <w:szCs w:val="24"/>
              </w:rPr>
              <w:t>Hud og subkutane væv</w:t>
            </w:r>
          </w:p>
        </w:tc>
        <w:tc>
          <w:tcPr>
            <w:tcW w:w="1189" w:type="pct"/>
            <w:tcBorders>
              <w:top w:val="single" w:sz="4" w:space="0" w:color="auto"/>
              <w:left w:val="single" w:sz="4" w:space="0" w:color="auto"/>
              <w:bottom w:val="single" w:sz="4" w:space="0" w:color="auto"/>
              <w:right w:val="single" w:sz="4" w:space="0" w:color="auto"/>
            </w:tcBorders>
            <w:hideMark/>
          </w:tcPr>
          <w:p w14:paraId="35464AC9" w14:textId="77777777" w:rsidR="007F44EA" w:rsidRPr="00B302E1" w:rsidRDefault="007F44EA" w:rsidP="00000B87">
            <w:pPr>
              <w:rPr>
                <w:noProof/>
                <w:sz w:val="24"/>
                <w:szCs w:val="24"/>
              </w:rPr>
            </w:pPr>
            <w:r w:rsidRPr="00B302E1">
              <w:rPr>
                <w:noProof/>
                <w:sz w:val="24"/>
                <w:szCs w:val="24"/>
              </w:rPr>
              <w:t>Almindelig</w:t>
            </w:r>
          </w:p>
        </w:tc>
        <w:tc>
          <w:tcPr>
            <w:tcW w:w="2518" w:type="pct"/>
            <w:tcBorders>
              <w:top w:val="single" w:sz="4" w:space="0" w:color="auto"/>
              <w:left w:val="single" w:sz="4" w:space="0" w:color="auto"/>
              <w:bottom w:val="single" w:sz="4" w:space="0" w:color="auto"/>
              <w:right w:val="single" w:sz="4" w:space="0" w:color="auto"/>
            </w:tcBorders>
            <w:hideMark/>
          </w:tcPr>
          <w:p w14:paraId="64AFCBB9" w14:textId="77777777" w:rsidR="007F44EA" w:rsidRPr="00B302E1" w:rsidRDefault="007F44EA" w:rsidP="00000B87">
            <w:pPr>
              <w:rPr>
                <w:noProof/>
                <w:sz w:val="24"/>
                <w:szCs w:val="24"/>
              </w:rPr>
            </w:pPr>
            <w:r w:rsidRPr="00B302E1">
              <w:rPr>
                <w:noProof/>
                <w:sz w:val="24"/>
                <w:szCs w:val="24"/>
              </w:rPr>
              <w:t>Brændende fornemmelse i huden Folliculitis</w:t>
            </w:r>
          </w:p>
        </w:tc>
      </w:tr>
      <w:tr w:rsidR="007F44EA" w:rsidRPr="00B302E1" w14:paraId="0897AD85" w14:textId="77777777" w:rsidTr="00000B87">
        <w:trPr>
          <w:trHeight w:val="4150"/>
        </w:trPr>
        <w:tc>
          <w:tcPr>
            <w:tcW w:w="1293" w:type="pct"/>
            <w:vMerge/>
            <w:tcBorders>
              <w:top w:val="single" w:sz="4" w:space="0" w:color="auto"/>
              <w:left w:val="single" w:sz="4" w:space="0" w:color="auto"/>
              <w:bottom w:val="single" w:sz="4" w:space="0" w:color="auto"/>
              <w:right w:val="single" w:sz="4" w:space="0" w:color="auto"/>
            </w:tcBorders>
            <w:vAlign w:val="center"/>
            <w:hideMark/>
          </w:tcPr>
          <w:p w14:paraId="4B1041B2" w14:textId="77777777" w:rsidR="007F44EA" w:rsidRPr="00B302E1" w:rsidRDefault="007F44EA" w:rsidP="00000B87">
            <w:pPr>
              <w:rPr>
                <w:noProof/>
                <w:sz w:val="24"/>
                <w:szCs w:val="24"/>
              </w:rPr>
            </w:pPr>
          </w:p>
        </w:tc>
        <w:tc>
          <w:tcPr>
            <w:tcW w:w="1189" w:type="pct"/>
            <w:tcBorders>
              <w:top w:val="single" w:sz="4" w:space="0" w:color="auto"/>
              <w:left w:val="single" w:sz="4" w:space="0" w:color="auto"/>
              <w:bottom w:val="single" w:sz="4" w:space="0" w:color="auto"/>
              <w:right w:val="single" w:sz="4" w:space="0" w:color="auto"/>
            </w:tcBorders>
            <w:hideMark/>
          </w:tcPr>
          <w:p w14:paraId="49B518F0" w14:textId="77777777" w:rsidR="007F44EA" w:rsidRPr="00B302E1" w:rsidRDefault="007F44EA" w:rsidP="00000B87">
            <w:pPr>
              <w:rPr>
                <w:noProof/>
                <w:sz w:val="24"/>
                <w:szCs w:val="24"/>
                <w:lang w:val="en-US"/>
              </w:rPr>
            </w:pPr>
            <w:r w:rsidRPr="00B302E1">
              <w:rPr>
                <w:noProof/>
                <w:sz w:val="24"/>
                <w:szCs w:val="24"/>
              </w:rPr>
              <w:t>Ikke almindelig</w:t>
            </w:r>
          </w:p>
        </w:tc>
        <w:tc>
          <w:tcPr>
            <w:tcW w:w="2518" w:type="pct"/>
            <w:tcBorders>
              <w:top w:val="single" w:sz="4" w:space="0" w:color="auto"/>
              <w:left w:val="single" w:sz="4" w:space="0" w:color="auto"/>
              <w:bottom w:val="single" w:sz="4" w:space="0" w:color="auto"/>
              <w:right w:val="single" w:sz="4" w:space="0" w:color="auto"/>
            </w:tcBorders>
            <w:hideMark/>
          </w:tcPr>
          <w:p w14:paraId="438A8FC5" w14:textId="76B622DA" w:rsidR="007F44EA" w:rsidRPr="00B302E1" w:rsidRDefault="007F44EA" w:rsidP="00000B87">
            <w:pPr>
              <w:rPr>
                <w:noProof/>
                <w:sz w:val="24"/>
                <w:szCs w:val="24"/>
              </w:rPr>
            </w:pPr>
            <w:r w:rsidRPr="00B302E1">
              <w:rPr>
                <w:noProof/>
                <w:sz w:val="24"/>
                <w:szCs w:val="24"/>
              </w:rPr>
              <w:t>Smerter i huden</w:t>
            </w:r>
            <w:r w:rsidR="00AE2795">
              <w:rPr>
                <w:noProof/>
                <w:sz w:val="24"/>
                <w:szCs w:val="24"/>
              </w:rPr>
              <w:t xml:space="preserve"> </w:t>
            </w:r>
            <w:r w:rsidRPr="00B302E1">
              <w:rPr>
                <w:sz w:val="24"/>
                <w:szCs w:val="24"/>
                <w:vertAlign w:val="superscript"/>
              </w:rPr>
              <w:t>(1)</w:t>
            </w:r>
          </w:p>
          <w:p w14:paraId="35BA5794" w14:textId="77777777" w:rsidR="007F44EA" w:rsidRPr="00B302E1" w:rsidRDefault="007F44EA" w:rsidP="00000B87">
            <w:pPr>
              <w:rPr>
                <w:noProof/>
                <w:sz w:val="24"/>
                <w:szCs w:val="24"/>
              </w:rPr>
            </w:pPr>
            <w:r w:rsidRPr="00B302E1">
              <w:rPr>
                <w:noProof/>
                <w:sz w:val="24"/>
                <w:szCs w:val="24"/>
              </w:rPr>
              <w:t>Ubehag i huden</w:t>
            </w:r>
          </w:p>
          <w:p w14:paraId="48BE8888" w14:textId="77777777" w:rsidR="007F44EA" w:rsidRPr="00B302E1" w:rsidRDefault="007F44EA" w:rsidP="00000B87">
            <w:pPr>
              <w:rPr>
                <w:noProof/>
                <w:sz w:val="24"/>
                <w:szCs w:val="24"/>
              </w:rPr>
            </w:pPr>
            <w:r w:rsidRPr="00B302E1">
              <w:rPr>
                <w:noProof/>
                <w:sz w:val="24"/>
                <w:szCs w:val="24"/>
              </w:rPr>
              <w:t>Pruritus</w:t>
            </w:r>
          </w:p>
          <w:p w14:paraId="508892FC" w14:textId="77777777" w:rsidR="007F44EA" w:rsidRPr="00B302E1" w:rsidRDefault="007F44EA" w:rsidP="00000B87">
            <w:pPr>
              <w:rPr>
                <w:noProof/>
                <w:sz w:val="24"/>
                <w:szCs w:val="24"/>
              </w:rPr>
            </w:pPr>
            <w:r w:rsidRPr="00B302E1">
              <w:rPr>
                <w:noProof/>
                <w:sz w:val="24"/>
                <w:szCs w:val="24"/>
              </w:rPr>
              <w:t>Akne</w:t>
            </w:r>
          </w:p>
          <w:p w14:paraId="227BB5A0" w14:textId="77777777" w:rsidR="007F44EA" w:rsidRPr="00B302E1" w:rsidRDefault="007F44EA" w:rsidP="00000B87">
            <w:pPr>
              <w:rPr>
                <w:noProof/>
                <w:sz w:val="24"/>
                <w:szCs w:val="24"/>
              </w:rPr>
            </w:pPr>
            <w:r w:rsidRPr="00B302E1">
              <w:rPr>
                <w:noProof/>
                <w:sz w:val="24"/>
                <w:szCs w:val="24"/>
              </w:rPr>
              <w:t>Hudødem</w:t>
            </w:r>
          </w:p>
          <w:p w14:paraId="7EF37A10" w14:textId="77777777" w:rsidR="007F44EA" w:rsidRPr="00B302E1" w:rsidRDefault="007F44EA" w:rsidP="00000B87">
            <w:pPr>
              <w:rPr>
                <w:noProof/>
                <w:sz w:val="24"/>
                <w:szCs w:val="24"/>
              </w:rPr>
            </w:pPr>
            <w:r w:rsidRPr="00B302E1">
              <w:rPr>
                <w:noProof/>
                <w:sz w:val="24"/>
                <w:szCs w:val="24"/>
              </w:rPr>
              <w:t>Telangiectasia</w:t>
            </w:r>
          </w:p>
          <w:p w14:paraId="5D9EA7D4" w14:textId="77777777" w:rsidR="007F44EA" w:rsidRPr="00B302E1" w:rsidRDefault="007F44EA" w:rsidP="00000B87">
            <w:pPr>
              <w:rPr>
                <w:noProof/>
                <w:sz w:val="24"/>
                <w:szCs w:val="24"/>
              </w:rPr>
            </w:pPr>
            <w:r w:rsidRPr="00B302E1">
              <w:rPr>
                <w:noProof/>
                <w:sz w:val="24"/>
                <w:szCs w:val="24"/>
              </w:rPr>
              <w:t>Psoriasis (forværring)</w:t>
            </w:r>
            <w:r w:rsidRPr="00B302E1">
              <w:rPr>
                <w:sz w:val="24"/>
                <w:szCs w:val="24"/>
                <w:vertAlign w:val="superscript"/>
              </w:rPr>
              <w:t xml:space="preserve"> (1)</w:t>
            </w:r>
          </w:p>
          <w:p w14:paraId="2A995F23" w14:textId="77777777" w:rsidR="007F44EA" w:rsidRPr="00B302E1" w:rsidRDefault="007F44EA" w:rsidP="00000B87">
            <w:pPr>
              <w:rPr>
                <w:noProof/>
                <w:sz w:val="24"/>
                <w:szCs w:val="24"/>
                <w:lang w:val="en-US"/>
              </w:rPr>
            </w:pPr>
            <w:r w:rsidRPr="00B302E1">
              <w:rPr>
                <w:noProof/>
                <w:sz w:val="24"/>
                <w:szCs w:val="24"/>
                <w:lang w:val="en-US"/>
              </w:rPr>
              <w:t>Alopeci</w:t>
            </w:r>
          </w:p>
          <w:p w14:paraId="58E38380" w14:textId="77777777" w:rsidR="007F44EA" w:rsidRPr="00B302E1" w:rsidRDefault="007F44EA" w:rsidP="00000B87">
            <w:pPr>
              <w:rPr>
                <w:noProof/>
                <w:sz w:val="24"/>
                <w:szCs w:val="24"/>
                <w:lang w:val="en-US"/>
              </w:rPr>
            </w:pPr>
            <w:r w:rsidRPr="00B302E1">
              <w:rPr>
                <w:noProof/>
                <w:sz w:val="24"/>
                <w:szCs w:val="24"/>
                <w:lang w:val="en-US"/>
              </w:rPr>
              <w:t>Tør hud</w:t>
            </w:r>
          </w:p>
          <w:p w14:paraId="2B38B1C6" w14:textId="77777777" w:rsidR="007F44EA" w:rsidRPr="00B302E1" w:rsidRDefault="007F44EA" w:rsidP="00000B87">
            <w:pPr>
              <w:rPr>
                <w:noProof/>
                <w:sz w:val="24"/>
                <w:szCs w:val="24"/>
                <w:lang w:val="en-US"/>
              </w:rPr>
            </w:pPr>
            <w:r w:rsidRPr="00B302E1">
              <w:rPr>
                <w:noProof/>
                <w:sz w:val="24"/>
                <w:szCs w:val="24"/>
                <w:lang w:val="en-US"/>
              </w:rPr>
              <w:t xml:space="preserve">Urticaria </w:t>
            </w:r>
          </w:p>
          <w:p w14:paraId="3908BE77" w14:textId="77777777" w:rsidR="007F44EA" w:rsidRPr="00B302E1" w:rsidRDefault="007F44EA" w:rsidP="00000B87">
            <w:pPr>
              <w:rPr>
                <w:noProof/>
                <w:sz w:val="24"/>
                <w:szCs w:val="24"/>
                <w:lang w:val="en-US"/>
              </w:rPr>
            </w:pPr>
            <w:r w:rsidRPr="00B302E1">
              <w:rPr>
                <w:noProof/>
                <w:sz w:val="24"/>
                <w:szCs w:val="24"/>
                <w:lang w:val="en-US"/>
              </w:rPr>
              <w:t>Hudatrofi</w:t>
            </w:r>
          </w:p>
          <w:p w14:paraId="1F7FA44A" w14:textId="4463F4FD" w:rsidR="007F44EA" w:rsidRPr="00AD016F" w:rsidRDefault="007F44EA" w:rsidP="00000B87">
            <w:pPr>
              <w:rPr>
                <w:noProof/>
                <w:sz w:val="24"/>
                <w:szCs w:val="24"/>
                <w:lang w:val="en-US"/>
              </w:rPr>
            </w:pPr>
            <w:r w:rsidRPr="00AD016F">
              <w:rPr>
                <w:noProof/>
                <w:sz w:val="24"/>
                <w:szCs w:val="24"/>
                <w:lang w:val="en-US"/>
              </w:rPr>
              <w:t>Hudirritation</w:t>
            </w:r>
            <w:r w:rsidR="00AE2795" w:rsidRPr="00AD016F">
              <w:rPr>
                <w:noProof/>
                <w:sz w:val="24"/>
                <w:szCs w:val="24"/>
                <w:lang w:val="en-US"/>
              </w:rPr>
              <w:t xml:space="preserve"> </w:t>
            </w:r>
            <w:r w:rsidRPr="00AD016F">
              <w:rPr>
                <w:sz w:val="24"/>
                <w:szCs w:val="24"/>
                <w:vertAlign w:val="superscript"/>
                <w:lang w:val="en-US"/>
              </w:rPr>
              <w:t>(1)</w:t>
            </w:r>
          </w:p>
          <w:p w14:paraId="7ECE622D" w14:textId="49BA680C" w:rsidR="007F44EA" w:rsidRPr="00B302E1" w:rsidRDefault="007F44EA" w:rsidP="00000B87">
            <w:pPr>
              <w:rPr>
                <w:noProof/>
                <w:sz w:val="24"/>
                <w:szCs w:val="24"/>
              </w:rPr>
            </w:pPr>
            <w:r w:rsidRPr="00B302E1">
              <w:rPr>
                <w:noProof/>
                <w:sz w:val="24"/>
                <w:szCs w:val="24"/>
              </w:rPr>
              <w:t>Stramhed i huden</w:t>
            </w:r>
            <w:r w:rsidR="00AE2795">
              <w:rPr>
                <w:noProof/>
                <w:sz w:val="24"/>
                <w:szCs w:val="24"/>
              </w:rPr>
              <w:t xml:space="preserve"> </w:t>
            </w:r>
            <w:r w:rsidRPr="00B302E1">
              <w:rPr>
                <w:sz w:val="24"/>
                <w:szCs w:val="24"/>
                <w:vertAlign w:val="superscript"/>
              </w:rPr>
              <w:t>(1)</w:t>
            </w:r>
          </w:p>
          <w:p w14:paraId="4E995A7F" w14:textId="0F3681E8" w:rsidR="007F44EA" w:rsidRPr="00B302E1" w:rsidRDefault="007F44EA" w:rsidP="00000B87">
            <w:pPr>
              <w:rPr>
                <w:noProof/>
                <w:sz w:val="24"/>
                <w:szCs w:val="24"/>
              </w:rPr>
            </w:pPr>
            <w:r w:rsidRPr="00B302E1">
              <w:rPr>
                <w:noProof/>
                <w:sz w:val="24"/>
                <w:szCs w:val="24"/>
              </w:rPr>
              <w:t>Allergisk kontaktdermatitis</w:t>
            </w:r>
            <w:r w:rsidR="00AE2795">
              <w:rPr>
                <w:noProof/>
                <w:sz w:val="24"/>
                <w:szCs w:val="24"/>
              </w:rPr>
              <w:t xml:space="preserve"> </w:t>
            </w:r>
            <w:r w:rsidRPr="00B302E1">
              <w:rPr>
                <w:sz w:val="24"/>
                <w:szCs w:val="24"/>
                <w:vertAlign w:val="superscript"/>
              </w:rPr>
              <w:t>(1)</w:t>
            </w:r>
            <w:r w:rsidRPr="00B302E1">
              <w:rPr>
                <w:sz w:val="24"/>
                <w:szCs w:val="24"/>
              </w:rPr>
              <w:t xml:space="preserve">, </w:t>
            </w:r>
          </w:p>
          <w:p w14:paraId="6C31A79B" w14:textId="39226A30" w:rsidR="007F44EA" w:rsidRPr="00B302E1" w:rsidRDefault="007F44EA" w:rsidP="00000B87">
            <w:pPr>
              <w:rPr>
                <w:noProof/>
                <w:sz w:val="24"/>
                <w:szCs w:val="24"/>
                <w:lang w:val="en-US"/>
              </w:rPr>
            </w:pPr>
            <w:r w:rsidRPr="00B302E1">
              <w:rPr>
                <w:noProof/>
                <w:sz w:val="24"/>
                <w:szCs w:val="24"/>
              </w:rPr>
              <w:t>Erythem</w:t>
            </w:r>
            <w:r w:rsidR="00AE2795">
              <w:rPr>
                <w:noProof/>
                <w:sz w:val="24"/>
                <w:szCs w:val="24"/>
              </w:rPr>
              <w:t xml:space="preserve"> </w:t>
            </w:r>
            <w:r w:rsidRPr="00B302E1">
              <w:rPr>
                <w:sz w:val="24"/>
                <w:szCs w:val="24"/>
                <w:vertAlign w:val="superscript"/>
              </w:rPr>
              <w:t>(1)</w:t>
            </w:r>
            <w:r w:rsidRPr="00B302E1">
              <w:rPr>
                <w:sz w:val="24"/>
                <w:szCs w:val="24"/>
              </w:rPr>
              <w:t xml:space="preserve">, </w:t>
            </w:r>
          </w:p>
          <w:p w14:paraId="47F7CD9C" w14:textId="78508328" w:rsidR="007F44EA" w:rsidRPr="00B302E1" w:rsidRDefault="007F44EA" w:rsidP="00000B87">
            <w:pPr>
              <w:rPr>
                <w:noProof/>
                <w:sz w:val="24"/>
                <w:szCs w:val="24"/>
              </w:rPr>
            </w:pPr>
            <w:r w:rsidRPr="00B302E1">
              <w:rPr>
                <w:noProof/>
                <w:sz w:val="24"/>
                <w:szCs w:val="24"/>
              </w:rPr>
              <w:t>Udslæt</w:t>
            </w:r>
            <w:r w:rsidR="00AE2795">
              <w:rPr>
                <w:noProof/>
                <w:sz w:val="24"/>
                <w:szCs w:val="24"/>
              </w:rPr>
              <w:t xml:space="preserve"> </w:t>
            </w:r>
            <w:r w:rsidRPr="00B302E1">
              <w:rPr>
                <w:sz w:val="24"/>
                <w:szCs w:val="24"/>
                <w:vertAlign w:val="superscript"/>
              </w:rPr>
              <w:t>(1)</w:t>
            </w:r>
          </w:p>
        </w:tc>
      </w:tr>
      <w:tr w:rsidR="007F44EA" w:rsidRPr="00B302E1" w14:paraId="41F7DD9C" w14:textId="77777777" w:rsidTr="00000B87">
        <w:trPr>
          <w:trHeight w:val="2117"/>
        </w:trPr>
        <w:tc>
          <w:tcPr>
            <w:tcW w:w="1293" w:type="pct"/>
            <w:tcBorders>
              <w:top w:val="single" w:sz="4" w:space="0" w:color="auto"/>
              <w:left w:val="single" w:sz="4" w:space="0" w:color="auto"/>
              <w:bottom w:val="single" w:sz="4" w:space="0" w:color="auto"/>
              <w:right w:val="single" w:sz="4" w:space="0" w:color="auto"/>
            </w:tcBorders>
            <w:vAlign w:val="center"/>
          </w:tcPr>
          <w:p w14:paraId="3DE8849C" w14:textId="77777777" w:rsidR="007F44EA" w:rsidRPr="00B302E1" w:rsidRDefault="007F44EA" w:rsidP="00000B87">
            <w:pPr>
              <w:rPr>
                <w:noProof/>
                <w:sz w:val="24"/>
                <w:szCs w:val="24"/>
              </w:rPr>
            </w:pPr>
          </w:p>
        </w:tc>
        <w:tc>
          <w:tcPr>
            <w:tcW w:w="1189" w:type="pct"/>
            <w:tcBorders>
              <w:top w:val="single" w:sz="4" w:space="0" w:color="auto"/>
              <w:left w:val="single" w:sz="4" w:space="0" w:color="auto"/>
              <w:bottom w:val="single" w:sz="4" w:space="0" w:color="auto"/>
              <w:right w:val="single" w:sz="4" w:space="0" w:color="auto"/>
            </w:tcBorders>
            <w:hideMark/>
          </w:tcPr>
          <w:p w14:paraId="1C341E7B" w14:textId="77777777" w:rsidR="007F44EA" w:rsidRPr="00B302E1" w:rsidRDefault="007F44EA" w:rsidP="00000B87">
            <w:pPr>
              <w:rPr>
                <w:noProof/>
                <w:sz w:val="24"/>
                <w:szCs w:val="24"/>
              </w:rPr>
            </w:pPr>
            <w:r w:rsidRPr="00B302E1">
              <w:rPr>
                <w:noProof/>
                <w:sz w:val="24"/>
                <w:szCs w:val="24"/>
              </w:rPr>
              <w:t>Ikke kendt</w:t>
            </w:r>
          </w:p>
        </w:tc>
        <w:tc>
          <w:tcPr>
            <w:tcW w:w="2518" w:type="pct"/>
            <w:tcBorders>
              <w:top w:val="single" w:sz="4" w:space="0" w:color="auto"/>
              <w:left w:val="single" w:sz="4" w:space="0" w:color="auto"/>
              <w:bottom w:val="single" w:sz="4" w:space="0" w:color="auto"/>
              <w:right w:val="single" w:sz="4" w:space="0" w:color="auto"/>
            </w:tcBorders>
            <w:hideMark/>
          </w:tcPr>
          <w:p w14:paraId="168204F1" w14:textId="43C49FED" w:rsidR="007F44EA" w:rsidRPr="00B302E1" w:rsidRDefault="007F44EA" w:rsidP="00000B87">
            <w:pPr>
              <w:rPr>
                <w:sz w:val="24"/>
                <w:szCs w:val="24"/>
              </w:rPr>
            </w:pPr>
            <w:r w:rsidRPr="00B302E1">
              <w:rPr>
                <w:noProof/>
                <w:sz w:val="24"/>
                <w:szCs w:val="24"/>
              </w:rPr>
              <w:t>Hypopigmentering</w:t>
            </w:r>
            <w:r w:rsidR="00AE2795">
              <w:rPr>
                <w:noProof/>
                <w:sz w:val="24"/>
                <w:szCs w:val="24"/>
              </w:rPr>
              <w:t xml:space="preserve"> </w:t>
            </w:r>
            <w:r w:rsidRPr="00B302E1">
              <w:rPr>
                <w:sz w:val="24"/>
                <w:szCs w:val="24"/>
                <w:vertAlign w:val="superscript"/>
              </w:rPr>
              <w:t>(1), (2)</w:t>
            </w:r>
            <w:r w:rsidRPr="00B302E1">
              <w:rPr>
                <w:sz w:val="24"/>
                <w:szCs w:val="24"/>
              </w:rPr>
              <w:t>,</w:t>
            </w:r>
          </w:p>
          <w:p w14:paraId="15044421" w14:textId="26C40DBE" w:rsidR="007F44EA" w:rsidRPr="00B302E1" w:rsidRDefault="00AE2795" w:rsidP="00000B87">
            <w:pPr>
              <w:rPr>
                <w:sz w:val="24"/>
                <w:szCs w:val="24"/>
                <w:vertAlign w:val="superscript"/>
              </w:rPr>
            </w:pPr>
            <w:r w:rsidRPr="00B302E1">
              <w:rPr>
                <w:sz w:val="24"/>
                <w:szCs w:val="24"/>
              </w:rPr>
              <w:t>P</w:t>
            </w:r>
            <w:r w:rsidR="007F44EA" w:rsidRPr="00B302E1">
              <w:rPr>
                <w:sz w:val="24"/>
                <w:szCs w:val="24"/>
              </w:rPr>
              <w:t>igmentforandringer</w:t>
            </w:r>
            <w:r>
              <w:rPr>
                <w:sz w:val="24"/>
                <w:szCs w:val="24"/>
              </w:rPr>
              <w:t xml:space="preserve"> </w:t>
            </w:r>
            <w:r w:rsidR="007F44EA" w:rsidRPr="00B302E1">
              <w:rPr>
                <w:sz w:val="24"/>
                <w:szCs w:val="24"/>
                <w:vertAlign w:val="superscript"/>
              </w:rPr>
              <w:t>(1), (2)</w:t>
            </w:r>
          </w:p>
          <w:p w14:paraId="5FB670C4" w14:textId="597D53D5" w:rsidR="007F44EA" w:rsidRPr="00B302E1" w:rsidRDefault="007F44EA" w:rsidP="00000B87">
            <w:pPr>
              <w:rPr>
                <w:sz w:val="24"/>
                <w:szCs w:val="24"/>
              </w:rPr>
            </w:pPr>
            <w:proofErr w:type="spellStart"/>
            <w:r w:rsidRPr="00B302E1">
              <w:rPr>
                <w:sz w:val="24"/>
                <w:szCs w:val="24"/>
              </w:rPr>
              <w:t>Striae</w:t>
            </w:r>
            <w:proofErr w:type="spellEnd"/>
            <w:r w:rsidR="00D738C3">
              <w:rPr>
                <w:sz w:val="24"/>
                <w:szCs w:val="24"/>
              </w:rPr>
              <w:t xml:space="preserve"> </w:t>
            </w:r>
            <w:r w:rsidRPr="00B302E1">
              <w:rPr>
                <w:sz w:val="24"/>
                <w:szCs w:val="24"/>
                <w:vertAlign w:val="superscript"/>
              </w:rPr>
              <w:t>(1), (4)</w:t>
            </w:r>
            <w:r w:rsidRPr="00B302E1">
              <w:rPr>
                <w:sz w:val="24"/>
                <w:szCs w:val="24"/>
              </w:rPr>
              <w:t xml:space="preserve">, </w:t>
            </w:r>
            <w:proofErr w:type="spellStart"/>
            <w:proofErr w:type="gramStart"/>
            <w:r w:rsidRPr="00B302E1">
              <w:rPr>
                <w:sz w:val="24"/>
                <w:szCs w:val="24"/>
              </w:rPr>
              <w:t>purpura</w:t>
            </w:r>
            <w:proofErr w:type="spellEnd"/>
            <w:r w:rsidRPr="00B302E1">
              <w:rPr>
                <w:sz w:val="24"/>
                <w:szCs w:val="24"/>
                <w:vertAlign w:val="superscript"/>
              </w:rPr>
              <w:t>(</w:t>
            </w:r>
            <w:proofErr w:type="gramEnd"/>
            <w:r w:rsidRPr="00B302E1">
              <w:rPr>
                <w:sz w:val="24"/>
                <w:szCs w:val="24"/>
                <w:vertAlign w:val="superscript"/>
              </w:rPr>
              <w:t>1), (4)</w:t>
            </w:r>
            <w:r w:rsidRPr="00B302E1">
              <w:rPr>
                <w:sz w:val="24"/>
                <w:szCs w:val="24"/>
              </w:rPr>
              <w:t xml:space="preserve">, generaliseret </w:t>
            </w:r>
            <w:proofErr w:type="spellStart"/>
            <w:r w:rsidRPr="00B302E1">
              <w:rPr>
                <w:sz w:val="24"/>
                <w:szCs w:val="24"/>
              </w:rPr>
              <w:t>pustuløs</w:t>
            </w:r>
            <w:proofErr w:type="spellEnd"/>
            <w:r w:rsidRPr="00B302E1">
              <w:rPr>
                <w:sz w:val="24"/>
                <w:szCs w:val="24"/>
              </w:rPr>
              <w:t xml:space="preserve"> psoriasis</w:t>
            </w:r>
            <w:r w:rsidRPr="00B302E1">
              <w:rPr>
                <w:sz w:val="24"/>
                <w:szCs w:val="24"/>
                <w:vertAlign w:val="superscript"/>
              </w:rPr>
              <w:t>(1), (4)</w:t>
            </w:r>
            <w:r w:rsidRPr="00B302E1">
              <w:rPr>
                <w:sz w:val="24"/>
                <w:szCs w:val="24"/>
              </w:rPr>
              <w:t xml:space="preserve"> </w:t>
            </w:r>
            <w:r w:rsidRPr="00B302E1">
              <w:rPr>
                <w:noProof/>
                <w:sz w:val="24"/>
                <w:szCs w:val="24"/>
              </w:rPr>
              <w:t>(</w:t>
            </w:r>
            <w:r w:rsidRPr="00B302E1">
              <w:rPr>
                <w:sz w:val="24"/>
                <w:szCs w:val="24"/>
              </w:rPr>
              <w:t>se også pkt. 4.4)</w:t>
            </w:r>
          </w:p>
          <w:p w14:paraId="7510F3AE" w14:textId="4A4FEB91" w:rsidR="007F44EA" w:rsidRPr="00B302E1" w:rsidRDefault="007F44EA" w:rsidP="00000B87">
            <w:pPr>
              <w:rPr>
                <w:sz w:val="24"/>
                <w:szCs w:val="24"/>
                <w:vertAlign w:val="superscript"/>
              </w:rPr>
            </w:pPr>
            <w:r w:rsidRPr="00B302E1">
              <w:rPr>
                <w:sz w:val="24"/>
                <w:szCs w:val="24"/>
              </w:rPr>
              <w:t>Pusteldannelse</w:t>
            </w:r>
            <w:r w:rsidR="00AE2795">
              <w:rPr>
                <w:sz w:val="24"/>
                <w:szCs w:val="24"/>
              </w:rPr>
              <w:t xml:space="preserve"> </w:t>
            </w:r>
            <w:r w:rsidRPr="00B302E1">
              <w:rPr>
                <w:sz w:val="24"/>
                <w:szCs w:val="24"/>
                <w:vertAlign w:val="superscript"/>
              </w:rPr>
              <w:t>(1), (2)</w:t>
            </w:r>
          </w:p>
          <w:p w14:paraId="26614A4E" w14:textId="5965EDEF" w:rsidR="007F44EA" w:rsidRPr="00B302E1" w:rsidRDefault="007F44EA" w:rsidP="00000B87">
            <w:pPr>
              <w:rPr>
                <w:sz w:val="24"/>
                <w:szCs w:val="24"/>
              </w:rPr>
            </w:pPr>
            <w:r w:rsidRPr="00B302E1">
              <w:rPr>
                <w:sz w:val="24"/>
                <w:szCs w:val="24"/>
              </w:rPr>
              <w:t xml:space="preserve">Perioral </w:t>
            </w:r>
            <w:proofErr w:type="spellStart"/>
            <w:r w:rsidRPr="00B302E1">
              <w:rPr>
                <w:sz w:val="24"/>
                <w:szCs w:val="24"/>
              </w:rPr>
              <w:t>dermatitis</w:t>
            </w:r>
            <w:proofErr w:type="spellEnd"/>
            <w:r w:rsidR="00D738C3">
              <w:rPr>
                <w:sz w:val="24"/>
                <w:szCs w:val="24"/>
              </w:rPr>
              <w:t xml:space="preserve"> </w:t>
            </w:r>
            <w:r w:rsidRPr="00B302E1">
              <w:rPr>
                <w:sz w:val="24"/>
                <w:szCs w:val="24"/>
                <w:vertAlign w:val="superscript"/>
              </w:rPr>
              <w:t>(1)</w:t>
            </w:r>
            <w:r w:rsidRPr="00B302E1">
              <w:rPr>
                <w:sz w:val="24"/>
                <w:szCs w:val="24"/>
              </w:rPr>
              <w:t xml:space="preserve">, forværring af </w:t>
            </w:r>
            <w:proofErr w:type="spellStart"/>
            <w:r w:rsidRPr="00B302E1">
              <w:rPr>
                <w:sz w:val="24"/>
                <w:szCs w:val="24"/>
              </w:rPr>
              <w:t>rosacea</w:t>
            </w:r>
            <w:proofErr w:type="spellEnd"/>
            <w:r w:rsidR="00D738C3">
              <w:rPr>
                <w:sz w:val="24"/>
                <w:szCs w:val="24"/>
              </w:rPr>
              <w:t xml:space="preserve"> </w:t>
            </w:r>
            <w:r w:rsidRPr="00B302E1">
              <w:rPr>
                <w:sz w:val="24"/>
                <w:szCs w:val="24"/>
                <w:vertAlign w:val="superscript"/>
              </w:rPr>
              <w:t>(1)</w:t>
            </w:r>
            <w:r w:rsidRPr="00B302E1">
              <w:rPr>
                <w:sz w:val="24"/>
                <w:szCs w:val="24"/>
              </w:rPr>
              <w:t xml:space="preserve"> (se også pkt. 4.4)</w:t>
            </w:r>
          </w:p>
          <w:p w14:paraId="7D6C61FB" w14:textId="77777777" w:rsidR="007F44EA" w:rsidRPr="00B302E1" w:rsidRDefault="007F44EA" w:rsidP="00000B87">
            <w:pPr>
              <w:rPr>
                <w:noProof/>
                <w:sz w:val="24"/>
                <w:szCs w:val="24"/>
                <w:lang w:val="en-US"/>
              </w:rPr>
            </w:pPr>
            <w:proofErr w:type="spellStart"/>
            <w:proofErr w:type="gramStart"/>
            <w:r w:rsidRPr="00B302E1">
              <w:rPr>
                <w:sz w:val="24"/>
                <w:szCs w:val="24"/>
              </w:rPr>
              <w:t>Hypertrikose</w:t>
            </w:r>
            <w:proofErr w:type="spellEnd"/>
            <w:r w:rsidRPr="00B302E1">
              <w:rPr>
                <w:sz w:val="24"/>
                <w:szCs w:val="24"/>
                <w:vertAlign w:val="superscript"/>
              </w:rPr>
              <w:t>(</w:t>
            </w:r>
            <w:proofErr w:type="gramEnd"/>
            <w:r w:rsidRPr="00B302E1">
              <w:rPr>
                <w:sz w:val="24"/>
                <w:szCs w:val="24"/>
                <w:vertAlign w:val="superscript"/>
              </w:rPr>
              <w:t>1), (2)</w:t>
            </w:r>
          </w:p>
        </w:tc>
      </w:tr>
    </w:tbl>
    <w:p w14:paraId="5CFD7439" w14:textId="63DE29CA" w:rsidR="007F44EA" w:rsidRPr="00EB5EE2" w:rsidRDefault="007F44EA" w:rsidP="00422B0A">
      <w:pPr>
        <w:ind w:left="851" w:hanging="284"/>
        <w:rPr>
          <w:sz w:val="20"/>
        </w:rPr>
      </w:pPr>
      <w:r w:rsidRPr="00EB5EE2">
        <w:rPr>
          <w:sz w:val="20"/>
          <w:vertAlign w:val="superscript"/>
        </w:rPr>
        <w:t>(1)</w:t>
      </w:r>
      <w:r w:rsidR="00000B87" w:rsidRPr="00EB5EE2">
        <w:rPr>
          <w:sz w:val="20"/>
          <w:vertAlign w:val="superscript"/>
        </w:rPr>
        <w:tab/>
      </w:r>
      <w:r w:rsidRPr="00EB5EE2">
        <w:rPr>
          <w:sz w:val="20"/>
        </w:rPr>
        <w:t>Bivirkningen er blevet indberettet efter markedsføring</w:t>
      </w:r>
    </w:p>
    <w:p w14:paraId="0260A4A6" w14:textId="234B794D" w:rsidR="007F44EA" w:rsidRPr="00EB5EE2" w:rsidRDefault="007F44EA" w:rsidP="00422B0A">
      <w:pPr>
        <w:ind w:left="851" w:hanging="284"/>
        <w:rPr>
          <w:sz w:val="20"/>
        </w:rPr>
      </w:pPr>
      <w:r w:rsidRPr="00EB5EE2">
        <w:rPr>
          <w:sz w:val="20"/>
          <w:vertAlign w:val="superscript"/>
        </w:rPr>
        <w:t>(2)</w:t>
      </w:r>
      <w:r w:rsidR="00000B87" w:rsidRPr="00EB5EE2">
        <w:rPr>
          <w:sz w:val="20"/>
          <w:vertAlign w:val="superscript"/>
        </w:rPr>
        <w:tab/>
      </w:r>
      <w:r w:rsidR="00000B87" w:rsidRPr="00EB5EE2">
        <w:rPr>
          <w:sz w:val="20"/>
        </w:rPr>
        <w:t>I</w:t>
      </w:r>
      <w:r w:rsidRPr="00EB5EE2">
        <w:rPr>
          <w:sz w:val="20"/>
        </w:rPr>
        <w:t xml:space="preserve"> tilfælde af langvarig brug</w:t>
      </w:r>
    </w:p>
    <w:p w14:paraId="50992409" w14:textId="7B325A40" w:rsidR="007F44EA" w:rsidRPr="00EB5EE2" w:rsidRDefault="007F44EA" w:rsidP="00422B0A">
      <w:pPr>
        <w:ind w:left="851" w:hanging="284"/>
        <w:rPr>
          <w:sz w:val="20"/>
        </w:rPr>
      </w:pPr>
      <w:r w:rsidRPr="00EB5EE2">
        <w:rPr>
          <w:sz w:val="20"/>
          <w:vertAlign w:val="superscript"/>
        </w:rPr>
        <w:t>(3)</w:t>
      </w:r>
      <w:r w:rsidR="00000B87" w:rsidRPr="00EB5EE2">
        <w:rPr>
          <w:sz w:val="20"/>
          <w:vertAlign w:val="superscript"/>
        </w:rPr>
        <w:tab/>
      </w:r>
      <w:r w:rsidRPr="00EB5EE2">
        <w:rPr>
          <w:sz w:val="20"/>
        </w:rPr>
        <w:t>I tilfælde af systemisk absorption</w:t>
      </w:r>
    </w:p>
    <w:p w14:paraId="1E083BCD" w14:textId="55BD5417" w:rsidR="007F44EA" w:rsidRPr="00EB5EE2" w:rsidRDefault="007F44EA" w:rsidP="00422B0A">
      <w:pPr>
        <w:ind w:left="851" w:hanging="284"/>
        <w:rPr>
          <w:sz w:val="20"/>
        </w:rPr>
      </w:pPr>
      <w:r w:rsidRPr="00EB5EE2">
        <w:rPr>
          <w:sz w:val="20"/>
          <w:vertAlign w:val="superscript"/>
        </w:rPr>
        <w:t>(4)</w:t>
      </w:r>
      <w:r w:rsidR="00000B87" w:rsidRPr="00EB5EE2">
        <w:rPr>
          <w:sz w:val="20"/>
          <w:vertAlign w:val="superscript"/>
        </w:rPr>
        <w:tab/>
      </w:r>
      <w:r w:rsidRPr="00EB5EE2">
        <w:rPr>
          <w:noProof/>
          <w:sz w:val="20"/>
        </w:rPr>
        <w:t>Selvom det ikke er observeret i forbindelse med anvendelse af clobetasolpropionat shampoo, 500 mikrogram/g, kan de være forårsaget af</w:t>
      </w:r>
      <w:r w:rsidRPr="00EB5EE2">
        <w:rPr>
          <w:sz w:val="20"/>
        </w:rPr>
        <w:t xml:space="preserve"> langvarig og/eller intensiv behandling med stærke </w:t>
      </w:r>
      <w:proofErr w:type="spellStart"/>
      <w:r w:rsidRPr="00EB5EE2">
        <w:rPr>
          <w:sz w:val="20"/>
        </w:rPr>
        <w:t>kortikosteroidpræparater</w:t>
      </w:r>
      <w:proofErr w:type="spellEnd"/>
      <w:r w:rsidRPr="00EB5EE2">
        <w:rPr>
          <w:sz w:val="20"/>
        </w:rPr>
        <w:t xml:space="preserve"> </w:t>
      </w:r>
    </w:p>
    <w:p w14:paraId="3CEAD960" w14:textId="77777777" w:rsidR="007F44EA" w:rsidRPr="00B302E1" w:rsidRDefault="007F44EA" w:rsidP="00D92966">
      <w:pPr>
        <w:ind w:left="851"/>
        <w:rPr>
          <w:sz w:val="24"/>
          <w:szCs w:val="24"/>
        </w:rPr>
      </w:pPr>
    </w:p>
    <w:p w14:paraId="18A210AB" w14:textId="02B8975D" w:rsidR="007F44EA" w:rsidRPr="00B302E1" w:rsidRDefault="007F44EA" w:rsidP="00D92966">
      <w:pPr>
        <w:ind w:left="851"/>
        <w:rPr>
          <w:sz w:val="24"/>
          <w:szCs w:val="24"/>
        </w:rPr>
      </w:pPr>
      <w:r w:rsidRPr="00B302E1">
        <w:rPr>
          <w:sz w:val="24"/>
          <w:szCs w:val="24"/>
        </w:rPr>
        <w:t xml:space="preserve">Eftersom </w:t>
      </w:r>
      <w:proofErr w:type="spellStart"/>
      <w:r w:rsidRPr="00B302E1">
        <w:rPr>
          <w:sz w:val="24"/>
          <w:szCs w:val="24"/>
        </w:rPr>
        <w:t>clobetasolpropionat</w:t>
      </w:r>
      <w:proofErr w:type="spellEnd"/>
      <w:r w:rsidRPr="00B302E1">
        <w:rPr>
          <w:sz w:val="24"/>
          <w:szCs w:val="24"/>
        </w:rPr>
        <w:t xml:space="preserve"> </w:t>
      </w:r>
      <w:r w:rsidR="001E5CC9">
        <w:rPr>
          <w:sz w:val="24"/>
          <w:szCs w:val="24"/>
        </w:rPr>
        <w:t>"IFC"</w:t>
      </w:r>
      <w:r w:rsidRPr="00B302E1">
        <w:rPr>
          <w:sz w:val="24"/>
          <w:szCs w:val="24"/>
        </w:rPr>
        <w:t xml:space="preserve"> kun skal virke i 15 minutter, før det skylles ud igen, ses systemisk absorption sjældent (se pkt. 5.2). Risikoen for HPA-akse-hæmning er derfor lille i forhold til stærke </w:t>
      </w:r>
      <w:proofErr w:type="spellStart"/>
      <w:r w:rsidRPr="00B302E1">
        <w:rPr>
          <w:sz w:val="24"/>
          <w:szCs w:val="24"/>
        </w:rPr>
        <w:t>kortikosteroidprodukter</w:t>
      </w:r>
      <w:proofErr w:type="spellEnd"/>
      <w:r w:rsidRPr="00B302E1">
        <w:rPr>
          <w:sz w:val="24"/>
          <w:szCs w:val="24"/>
        </w:rPr>
        <w:t>, der ikke skal skylles ud. Hvis der opstår HPA-akse-hæmning, vil det sandsynligvis være forbigående, og værdierne vil hurtigt blive normale igen (se pkt. 4.4).</w:t>
      </w:r>
    </w:p>
    <w:p w14:paraId="1C662CF7" w14:textId="77777777" w:rsidR="007F44EA" w:rsidRPr="00B302E1" w:rsidRDefault="007F44EA" w:rsidP="00D92966">
      <w:pPr>
        <w:ind w:left="851"/>
        <w:rPr>
          <w:sz w:val="24"/>
          <w:szCs w:val="24"/>
        </w:rPr>
      </w:pPr>
    </w:p>
    <w:p w14:paraId="16D7C617" w14:textId="77777777" w:rsidR="007F44EA" w:rsidRPr="00B302E1" w:rsidRDefault="007F44EA" w:rsidP="00D92966">
      <w:pPr>
        <w:ind w:left="851"/>
        <w:rPr>
          <w:noProof/>
          <w:sz w:val="24"/>
          <w:szCs w:val="24"/>
        </w:rPr>
      </w:pPr>
      <w:r w:rsidRPr="00B302E1">
        <w:rPr>
          <w:noProof/>
          <w:sz w:val="24"/>
          <w:szCs w:val="24"/>
        </w:rPr>
        <w:t xml:space="preserve">Der kan opstå rebound </w:t>
      </w:r>
      <w:r w:rsidRPr="00B302E1">
        <w:rPr>
          <w:sz w:val="24"/>
          <w:szCs w:val="24"/>
        </w:rPr>
        <w:t xml:space="preserve">(tilbageslagsvirkning) efter </w:t>
      </w:r>
      <w:proofErr w:type="spellStart"/>
      <w:r w:rsidRPr="00B302E1">
        <w:rPr>
          <w:sz w:val="24"/>
          <w:szCs w:val="24"/>
        </w:rPr>
        <w:t>seponering</w:t>
      </w:r>
      <w:proofErr w:type="spellEnd"/>
      <w:r w:rsidRPr="00B302E1">
        <w:rPr>
          <w:sz w:val="24"/>
          <w:szCs w:val="24"/>
        </w:rPr>
        <w:t xml:space="preserve"> af behandlingen (se pkt. 4.4)</w:t>
      </w:r>
      <w:r w:rsidRPr="00B302E1">
        <w:rPr>
          <w:noProof/>
          <w:sz w:val="24"/>
          <w:szCs w:val="24"/>
        </w:rPr>
        <w:t>.</w:t>
      </w:r>
    </w:p>
    <w:p w14:paraId="6ED72955" w14:textId="77777777" w:rsidR="007F44EA" w:rsidRPr="00B302E1" w:rsidRDefault="007F44EA" w:rsidP="00D92966">
      <w:pPr>
        <w:ind w:left="851"/>
        <w:rPr>
          <w:sz w:val="24"/>
          <w:szCs w:val="24"/>
          <w:u w:val="single"/>
        </w:rPr>
      </w:pPr>
    </w:p>
    <w:p w14:paraId="4F599EEF" w14:textId="77777777" w:rsidR="007F44EA" w:rsidRPr="00B302E1" w:rsidRDefault="007F44EA" w:rsidP="00D92966">
      <w:pPr>
        <w:ind w:left="851"/>
        <w:rPr>
          <w:sz w:val="24"/>
          <w:szCs w:val="24"/>
          <w:u w:val="single"/>
        </w:rPr>
      </w:pPr>
      <w:r w:rsidRPr="00B302E1">
        <w:rPr>
          <w:sz w:val="24"/>
          <w:szCs w:val="24"/>
          <w:u w:val="single"/>
        </w:rPr>
        <w:t>Indberetning af formodede bivirkninger</w:t>
      </w:r>
    </w:p>
    <w:p w14:paraId="3C3316CF" w14:textId="006FEBB0" w:rsidR="007F44EA" w:rsidRPr="00B302E1" w:rsidRDefault="007F44EA" w:rsidP="00D92966">
      <w:pPr>
        <w:ind w:left="851"/>
        <w:rPr>
          <w:sz w:val="24"/>
          <w:szCs w:val="24"/>
        </w:rPr>
      </w:pPr>
      <w:r w:rsidRPr="00B302E1">
        <w:rPr>
          <w:sz w:val="24"/>
          <w:szCs w:val="24"/>
        </w:rPr>
        <w:t>Når lægemidlet er godkendt, er indberetning af formodede bivirkninger vigtig. Det muliggør løbende overvågning af benefit/</w:t>
      </w:r>
      <w:proofErr w:type="spellStart"/>
      <w:r w:rsidRPr="00B302E1">
        <w:rPr>
          <w:sz w:val="24"/>
          <w:szCs w:val="24"/>
        </w:rPr>
        <w:t>risk</w:t>
      </w:r>
      <w:proofErr w:type="spellEnd"/>
      <w:r w:rsidRPr="00B302E1">
        <w:rPr>
          <w:sz w:val="24"/>
          <w:szCs w:val="24"/>
        </w:rPr>
        <w:t xml:space="preserve">-forholdet for lægemidlet. </w:t>
      </w:r>
      <w:r w:rsidR="00AE2795">
        <w:rPr>
          <w:sz w:val="24"/>
          <w:szCs w:val="24"/>
        </w:rPr>
        <w:t>S</w:t>
      </w:r>
      <w:r w:rsidRPr="00B302E1">
        <w:rPr>
          <w:sz w:val="24"/>
          <w:szCs w:val="24"/>
        </w:rPr>
        <w:t>undhedsperson</w:t>
      </w:r>
      <w:r w:rsidR="00AE2795">
        <w:rPr>
          <w:sz w:val="24"/>
          <w:szCs w:val="24"/>
        </w:rPr>
        <w:t>er</w:t>
      </w:r>
      <w:r w:rsidRPr="00B302E1">
        <w:rPr>
          <w:sz w:val="24"/>
          <w:szCs w:val="24"/>
        </w:rPr>
        <w:t xml:space="preserve"> anmodes om at indberette alle formodede bivirkninger via:</w:t>
      </w:r>
    </w:p>
    <w:p w14:paraId="0EFED0D4" w14:textId="77777777" w:rsidR="007F44EA" w:rsidRPr="00B302E1" w:rsidRDefault="007F44EA" w:rsidP="00D92966">
      <w:pPr>
        <w:ind w:left="851"/>
        <w:rPr>
          <w:sz w:val="24"/>
          <w:szCs w:val="24"/>
        </w:rPr>
      </w:pPr>
    </w:p>
    <w:p w14:paraId="609E0F62" w14:textId="77777777" w:rsidR="007F44EA" w:rsidRPr="00B302E1" w:rsidRDefault="007F44EA" w:rsidP="00D92966">
      <w:pPr>
        <w:ind w:left="851"/>
        <w:rPr>
          <w:sz w:val="24"/>
          <w:szCs w:val="24"/>
        </w:rPr>
      </w:pPr>
      <w:r w:rsidRPr="00B302E1">
        <w:rPr>
          <w:sz w:val="24"/>
          <w:szCs w:val="24"/>
        </w:rPr>
        <w:t>Lægemiddelstyrelsen</w:t>
      </w:r>
    </w:p>
    <w:p w14:paraId="2AC10F8D" w14:textId="77777777" w:rsidR="007F44EA" w:rsidRPr="00B302E1" w:rsidRDefault="007F44EA" w:rsidP="00D92966">
      <w:pPr>
        <w:ind w:left="851"/>
        <w:rPr>
          <w:sz w:val="24"/>
          <w:szCs w:val="24"/>
        </w:rPr>
      </w:pPr>
      <w:r w:rsidRPr="00B302E1">
        <w:rPr>
          <w:sz w:val="24"/>
          <w:szCs w:val="24"/>
        </w:rPr>
        <w:t>Axel Heides Gade 1</w:t>
      </w:r>
    </w:p>
    <w:p w14:paraId="4B7E4BBF" w14:textId="77777777" w:rsidR="007F44EA" w:rsidRPr="00B302E1" w:rsidRDefault="007F44EA" w:rsidP="00D92966">
      <w:pPr>
        <w:ind w:left="851"/>
        <w:rPr>
          <w:sz w:val="24"/>
          <w:szCs w:val="24"/>
        </w:rPr>
      </w:pPr>
      <w:r w:rsidRPr="00B302E1">
        <w:rPr>
          <w:sz w:val="24"/>
          <w:szCs w:val="24"/>
        </w:rPr>
        <w:t>DK-2300 København S</w:t>
      </w:r>
    </w:p>
    <w:p w14:paraId="472CA8B7" w14:textId="68CE2641" w:rsidR="007F44EA" w:rsidRPr="00B302E1" w:rsidRDefault="007F44EA" w:rsidP="00D92966">
      <w:pPr>
        <w:ind w:left="851"/>
        <w:rPr>
          <w:sz w:val="24"/>
          <w:szCs w:val="24"/>
        </w:rPr>
      </w:pPr>
      <w:r w:rsidRPr="00B302E1">
        <w:rPr>
          <w:sz w:val="24"/>
          <w:szCs w:val="24"/>
        </w:rPr>
        <w:t xml:space="preserve">Websted: </w:t>
      </w:r>
      <w:r w:rsidRPr="00422B0A">
        <w:rPr>
          <w:sz w:val="24"/>
          <w:szCs w:val="24"/>
        </w:rPr>
        <w:t>www.meldenbivirkning.dk</w:t>
      </w:r>
    </w:p>
    <w:p w14:paraId="0B6DDD4E" w14:textId="479E7F4D" w:rsidR="00422B0A" w:rsidRDefault="00422B0A">
      <w:pPr>
        <w:rPr>
          <w:sz w:val="24"/>
          <w:szCs w:val="24"/>
          <w:lang w:eastAsia="da-DK"/>
        </w:rPr>
      </w:pPr>
      <w:r>
        <w:rPr>
          <w:szCs w:val="24"/>
        </w:rPr>
        <w:br w:type="page"/>
      </w:r>
    </w:p>
    <w:p w14:paraId="26869832" w14:textId="77777777" w:rsidR="009260DE" w:rsidRPr="00B302E1" w:rsidRDefault="009260DE" w:rsidP="009260DE">
      <w:pPr>
        <w:pStyle w:val="Sidehoved"/>
        <w:tabs>
          <w:tab w:val="left" w:pos="851"/>
        </w:tabs>
        <w:ind w:left="851"/>
        <w:rPr>
          <w:szCs w:val="24"/>
        </w:rPr>
      </w:pPr>
    </w:p>
    <w:p w14:paraId="10CFAFF6" w14:textId="77777777" w:rsidR="009260DE" w:rsidRPr="00B302E1" w:rsidRDefault="009260DE" w:rsidP="009260DE">
      <w:pPr>
        <w:tabs>
          <w:tab w:val="left" w:pos="851"/>
        </w:tabs>
        <w:ind w:left="851" w:hanging="851"/>
        <w:rPr>
          <w:b/>
          <w:sz w:val="24"/>
          <w:szCs w:val="24"/>
        </w:rPr>
      </w:pPr>
      <w:r w:rsidRPr="00B302E1">
        <w:rPr>
          <w:b/>
          <w:sz w:val="24"/>
          <w:szCs w:val="24"/>
        </w:rPr>
        <w:t>4.9</w:t>
      </w:r>
      <w:r w:rsidRPr="00B302E1">
        <w:rPr>
          <w:b/>
          <w:sz w:val="24"/>
          <w:szCs w:val="24"/>
        </w:rPr>
        <w:tab/>
        <w:t>Overdosering</w:t>
      </w:r>
    </w:p>
    <w:p w14:paraId="39F10A83" w14:textId="77777777" w:rsidR="007F44EA" w:rsidRPr="00B302E1" w:rsidRDefault="007F44EA" w:rsidP="00D92966">
      <w:pPr>
        <w:ind w:left="851"/>
        <w:rPr>
          <w:sz w:val="24"/>
          <w:szCs w:val="24"/>
        </w:rPr>
      </w:pPr>
      <w:r w:rsidRPr="00B302E1">
        <w:rPr>
          <w:sz w:val="24"/>
          <w:szCs w:val="24"/>
        </w:rPr>
        <w:t xml:space="preserve">Der er meget ringe risiko for akut overdosering, men der kan dog ses tegn på </w:t>
      </w:r>
      <w:proofErr w:type="spellStart"/>
      <w:r w:rsidRPr="00B302E1">
        <w:rPr>
          <w:sz w:val="24"/>
          <w:szCs w:val="24"/>
        </w:rPr>
        <w:t>hyperkorticisme</w:t>
      </w:r>
      <w:proofErr w:type="spellEnd"/>
      <w:r w:rsidRPr="00B302E1">
        <w:rPr>
          <w:sz w:val="24"/>
          <w:szCs w:val="24"/>
        </w:rPr>
        <w:t xml:space="preserve"> ved kronisk overdosering eller misbrug. I så fald skal behandlingen nedtrappes gradvis. Det skal dog ske under lægelig overvågning på grund af risikoen for akut binyrebarkhæmning.</w:t>
      </w:r>
    </w:p>
    <w:p w14:paraId="72362B97" w14:textId="77777777" w:rsidR="009260DE" w:rsidRPr="00B302E1" w:rsidRDefault="009260DE" w:rsidP="009260DE">
      <w:pPr>
        <w:tabs>
          <w:tab w:val="left" w:pos="851"/>
        </w:tabs>
        <w:ind w:left="851"/>
        <w:rPr>
          <w:sz w:val="24"/>
          <w:szCs w:val="24"/>
        </w:rPr>
      </w:pPr>
    </w:p>
    <w:p w14:paraId="2333442E" w14:textId="77777777" w:rsidR="009260DE" w:rsidRPr="00B302E1" w:rsidRDefault="009260DE" w:rsidP="009260DE">
      <w:pPr>
        <w:tabs>
          <w:tab w:val="left" w:pos="851"/>
        </w:tabs>
        <w:ind w:left="851" w:hanging="851"/>
        <w:rPr>
          <w:b/>
          <w:sz w:val="24"/>
          <w:szCs w:val="24"/>
        </w:rPr>
      </w:pPr>
      <w:r w:rsidRPr="00B302E1">
        <w:rPr>
          <w:b/>
          <w:sz w:val="24"/>
          <w:szCs w:val="24"/>
        </w:rPr>
        <w:t>4.10</w:t>
      </w:r>
      <w:r w:rsidRPr="00B302E1">
        <w:rPr>
          <w:b/>
          <w:sz w:val="24"/>
          <w:szCs w:val="24"/>
        </w:rPr>
        <w:tab/>
        <w:t>Udlevering</w:t>
      </w:r>
    </w:p>
    <w:p w14:paraId="00CB6A2A" w14:textId="30B217ED" w:rsidR="009260DE" w:rsidRPr="00B302E1" w:rsidRDefault="007F44EA" w:rsidP="009260DE">
      <w:pPr>
        <w:tabs>
          <w:tab w:val="left" w:pos="851"/>
        </w:tabs>
        <w:ind w:left="851"/>
        <w:rPr>
          <w:sz w:val="24"/>
          <w:szCs w:val="24"/>
        </w:rPr>
      </w:pPr>
      <w:r w:rsidRPr="00B302E1">
        <w:rPr>
          <w:sz w:val="24"/>
          <w:szCs w:val="24"/>
        </w:rPr>
        <w:t>B</w:t>
      </w:r>
    </w:p>
    <w:p w14:paraId="16B46B62" w14:textId="77777777" w:rsidR="009260DE" w:rsidRPr="00B302E1" w:rsidRDefault="009260DE" w:rsidP="009260DE">
      <w:pPr>
        <w:tabs>
          <w:tab w:val="left" w:pos="851"/>
        </w:tabs>
        <w:ind w:left="851"/>
        <w:rPr>
          <w:sz w:val="24"/>
          <w:szCs w:val="24"/>
        </w:rPr>
      </w:pPr>
    </w:p>
    <w:p w14:paraId="228842D4" w14:textId="77777777" w:rsidR="009260DE" w:rsidRPr="00B302E1" w:rsidRDefault="009260DE" w:rsidP="009260DE">
      <w:pPr>
        <w:tabs>
          <w:tab w:val="left" w:pos="851"/>
        </w:tabs>
        <w:ind w:left="851"/>
        <w:rPr>
          <w:sz w:val="24"/>
          <w:szCs w:val="24"/>
        </w:rPr>
      </w:pPr>
    </w:p>
    <w:p w14:paraId="60789525" w14:textId="77777777" w:rsidR="009260DE" w:rsidRPr="00B302E1" w:rsidRDefault="009260DE" w:rsidP="009260DE">
      <w:pPr>
        <w:tabs>
          <w:tab w:val="left" w:pos="851"/>
        </w:tabs>
        <w:ind w:left="851" w:hanging="851"/>
        <w:rPr>
          <w:b/>
          <w:sz w:val="24"/>
          <w:szCs w:val="24"/>
        </w:rPr>
      </w:pPr>
      <w:r w:rsidRPr="00B302E1">
        <w:rPr>
          <w:b/>
          <w:sz w:val="24"/>
          <w:szCs w:val="24"/>
        </w:rPr>
        <w:t>5.</w:t>
      </w:r>
      <w:r w:rsidRPr="00B302E1">
        <w:rPr>
          <w:b/>
          <w:sz w:val="24"/>
          <w:szCs w:val="24"/>
        </w:rPr>
        <w:tab/>
        <w:t>FARMAKOLOGISKE EGENSKABER</w:t>
      </w:r>
    </w:p>
    <w:p w14:paraId="0CFE91A3" w14:textId="77777777" w:rsidR="009260DE" w:rsidRPr="00B302E1" w:rsidRDefault="009260DE" w:rsidP="009260DE">
      <w:pPr>
        <w:tabs>
          <w:tab w:val="left" w:pos="851"/>
        </w:tabs>
        <w:ind w:left="851"/>
        <w:rPr>
          <w:sz w:val="24"/>
          <w:szCs w:val="24"/>
        </w:rPr>
      </w:pPr>
    </w:p>
    <w:p w14:paraId="7EFC83FB" w14:textId="77777777" w:rsidR="009260DE" w:rsidRPr="00B302E1" w:rsidRDefault="009260DE" w:rsidP="009260DE">
      <w:pPr>
        <w:tabs>
          <w:tab w:val="num" w:pos="851"/>
        </w:tabs>
        <w:ind w:left="851" w:hanging="851"/>
        <w:rPr>
          <w:b/>
          <w:sz w:val="24"/>
          <w:szCs w:val="24"/>
        </w:rPr>
      </w:pPr>
      <w:r w:rsidRPr="00B302E1">
        <w:rPr>
          <w:b/>
          <w:sz w:val="24"/>
          <w:szCs w:val="24"/>
        </w:rPr>
        <w:t>5.1</w:t>
      </w:r>
      <w:r w:rsidRPr="00B302E1">
        <w:rPr>
          <w:b/>
          <w:sz w:val="24"/>
          <w:szCs w:val="24"/>
        </w:rPr>
        <w:tab/>
      </w:r>
      <w:proofErr w:type="spellStart"/>
      <w:r w:rsidRPr="00B302E1">
        <w:rPr>
          <w:b/>
          <w:sz w:val="24"/>
          <w:szCs w:val="24"/>
        </w:rPr>
        <w:t>Farmakodynamiske</w:t>
      </w:r>
      <w:proofErr w:type="spellEnd"/>
      <w:r w:rsidRPr="00B302E1">
        <w:rPr>
          <w:b/>
          <w:sz w:val="24"/>
          <w:szCs w:val="24"/>
        </w:rPr>
        <w:t xml:space="preserve"> egenskaber</w:t>
      </w:r>
    </w:p>
    <w:p w14:paraId="12EF3924" w14:textId="7173F4A3" w:rsidR="00AE2795" w:rsidRDefault="00CF7284" w:rsidP="00D92966">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B302E1">
        <w:rPr>
          <w:sz w:val="24"/>
          <w:szCs w:val="24"/>
        </w:rPr>
        <w:t>Kortikosteroider</w:t>
      </w:r>
      <w:proofErr w:type="spellEnd"/>
      <w:r w:rsidRPr="00B302E1">
        <w:rPr>
          <w:sz w:val="24"/>
          <w:szCs w:val="24"/>
        </w:rPr>
        <w:t>, meget stærkt virkende (gruppe IV)</w:t>
      </w:r>
      <w:r>
        <w:rPr>
          <w:sz w:val="24"/>
          <w:szCs w:val="24"/>
        </w:rPr>
        <w:t xml:space="preserve">, </w:t>
      </w:r>
      <w:r w:rsidRPr="00B302E1">
        <w:rPr>
          <w:sz w:val="24"/>
          <w:szCs w:val="24"/>
        </w:rPr>
        <w:t>ATC-kode: D 07 AD 01</w:t>
      </w:r>
    </w:p>
    <w:p w14:paraId="087CFB8B" w14:textId="77777777" w:rsidR="00CF7284" w:rsidRDefault="00CF7284" w:rsidP="00D92966">
      <w:pPr>
        <w:ind w:left="851"/>
        <w:rPr>
          <w:sz w:val="24"/>
          <w:szCs w:val="24"/>
        </w:rPr>
      </w:pPr>
    </w:p>
    <w:p w14:paraId="6C510AC5" w14:textId="60B17555" w:rsidR="007F44EA" w:rsidRPr="00AE2795" w:rsidRDefault="007F44EA" w:rsidP="00D92966">
      <w:pPr>
        <w:ind w:left="851"/>
        <w:rPr>
          <w:sz w:val="24"/>
          <w:szCs w:val="24"/>
          <w:u w:val="single"/>
        </w:rPr>
      </w:pPr>
      <w:r w:rsidRPr="00AE2795">
        <w:rPr>
          <w:sz w:val="24"/>
          <w:szCs w:val="24"/>
          <w:u w:val="single"/>
        </w:rPr>
        <w:t xml:space="preserve">Virkningsmekanisme </w:t>
      </w:r>
    </w:p>
    <w:p w14:paraId="7C170E97" w14:textId="77777777" w:rsidR="007F44EA" w:rsidRPr="00B302E1" w:rsidRDefault="007F44EA" w:rsidP="00D92966">
      <w:pPr>
        <w:ind w:left="851"/>
        <w:rPr>
          <w:sz w:val="24"/>
          <w:szCs w:val="24"/>
        </w:rPr>
      </w:pPr>
      <w:r w:rsidRPr="00B302E1">
        <w:rPr>
          <w:sz w:val="24"/>
          <w:szCs w:val="24"/>
        </w:rPr>
        <w:t xml:space="preserve">Som andre </w:t>
      </w:r>
      <w:proofErr w:type="spellStart"/>
      <w:r w:rsidRPr="00B302E1">
        <w:rPr>
          <w:sz w:val="24"/>
          <w:szCs w:val="24"/>
        </w:rPr>
        <w:t>topikale</w:t>
      </w:r>
      <w:proofErr w:type="spellEnd"/>
      <w:r w:rsidRPr="00B302E1">
        <w:rPr>
          <w:sz w:val="24"/>
          <w:szCs w:val="24"/>
        </w:rPr>
        <w:t xml:space="preserve"> </w:t>
      </w:r>
      <w:proofErr w:type="spellStart"/>
      <w:r w:rsidRPr="00B302E1">
        <w:rPr>
          <w:sz w:val="24"/>
          <w:szCs w:val="24"/>
        </w:rPr>
        <w:t>kortikosteroider</w:t>
      </w:r>
      <w:proofErr w:type="spellEnd"/>
      <w:r w:rsidRPr="00B302E1">
        <w:rPr>
          <w:sz w:val="24"/>
          <w:szCs w:val="24"/>
        </w:rPr>
        <w:t xml:space="preserve"> har </w:t>
      </w:r>
      <w:proofErr w:type="spellStart"/>
      <w:r w:rsidRPr="00B302E1">
        <w:rPr>
          <w:sz w:val="24"/>
          <w:szCs w:val="24"/>
        </w:rPr>
        <w:t>clobetasolpropionat</w:t>
      </w:r>
      <w:proofErr w:type="spellEnd"/>
      <w:r w:rsidRPr="00B302E1">
        <w:rPr>
          <w:sz w:val="24"/>
          <w:szCs w:val="24"/>
        </w:rPr>
        <w:t xml:space="preserve"> antiinflammatoriske, kløestillende og </w:t>
      </w:r>
      <w:proofErr w:type="spellStart"/>
      <w:r w:rsidRPr="00B302E1">
        <w:rPr>
          <w:sz w:val="24"/>
          <w:szCs w:val="24"/>
        </w:rPr>
        <w:t>vasokonstriktoriske</w:t>
      </w:r>
      <w:proofErr w:type="spellEnd"/>
      <w:r w:rsidRPr="00B302E1">
        <w:rPr>
          <w:sz w:val="24"/>
          <w:szCs w:val="24"/>
        </w:rPr>
        <w:t xml:space="preserve"> egenskaber. Den nøjagtige mekanisme af den antiinflammatoriske virkning af </w:t>
      </w:r>
      <w:proofErr w:type="spellStart"/>
      <w:r w:rsidRPr="00B302E1">
        <w:rPr>
          <w:sz w:val="24"/>
          <w:szCs w:val="24"/>
        </w:rPr>
        <w:t>topikale</w:t>
      </w:r>
      <w:proofErr w:type="spellEnd"/>
      <w:r w:rsidRPr="00B302E1">
        <w:rPr>
          <w:sz w:val="24"/>
          <w:szCs w:val="24"/>
        </w:rPr>
        <w:t xml:space="preserve"> </w:t>
      </w:r>
      <w:proofErr w:type="spellStart"/>
      <w:r w:rsidRPr="00B302E1">
        <w:rPr>
          <w:sz w:val="24"/>
          <w:szCs w:val="24"/>
        </w:rPr>
        <w:t>kortikosteroider</w:t>
      </w:r>
      <w:proofErr w:type="spellEnd"/>
      <w:r w:rsidRPr="00B302E1">
        <w:rPr>
          <w:sz w:val="24"/>
          <w:szCs w:val="24"/>
        </w:rPr>
        <w:t xml:space="preserve"> er for det meste uvis. Imidlertid mener man, at </w:t>
      </w:r>
      <w:proofErr w:type="spellStart"/>
      <w:r w:rsidRPr="00B302E1">
        <w:rPr>
          <w:sz w:val="24"/>
          <w:szCs w:val="24"/>
        </w:rPr>
        <w:t>kortikosteroider</w:t>
      </w:r>
      <w:proofErr w:type="spellEnd"/>
      <w:r w:rsidRPr="00B302E1">
        <w:rPr>
          <w:sz w:val="24"/>
          <w:szCs w:val="24"/>
        </w:rPr>
        <w:t xml:space="preserve"> virker ved induktion af </w:t>
      </w:r>
      <w:proofErr w:type="spellStart"/>
      <w:r w:rsidRPr="00B302E1">
        <w:rPr>
          <w:sz w:val="24"/>
          <w:szCs w:val="24"/>
        </w:rPr>
        <w:t>fosfolipase</w:t>
      </w:r>
      <w:proofErr w:type="spellEnd"/>
      <w:r w:rsidRPr="00B302E1">
        <w:rPr>
          <w:sz w:val="24"/>
          <w:szCs w:val="24"/>
        </w:rPr>
        <w:t xml:space="preserve"> A</w:t>
      </w:r>
      <w:r w:rsidRPr="00B302E1">
        <w:rPr>
          <w:sz w:val="24"/>
          <w:szCs w:val="24"/>
          <w:vertAlign w:val="subscript"/>
        </w:rPr>
        <w:t>2</w:t>
      </w:r>
      <w:r w:rsidRPr="00B302E1">
        <w:rPr>
          <w:sz w:val="24"/>
          <w:szCs w:val="24"/>
        </w:rPr>
        <w:t xml:space="preserve">-hæmmende proteiner, der samlet kaldes </w:t>
      </w:r>
      <w:proofErr w:type="spellStart"/>
      <w:r w:rsidRPr="00B302E1">
        <w:rPr>
          <w:sz w:val="24"/>
          <w:szCs w:val="24"/>
        </w:rPr>
        <w:t>lipokortiner</w:t>
      </w:r>
      <w:proofErr w:type="spellEnd"/>
      <w:r w:rsidRPr="00B302E1">
        <w:rPr>
          <w:sz w:val="24"/>
          <w:szCs w:val="24"/>
        </w:rPr>
        <w:t xml:space="preserve">. Det hævdes, at disse proteiner kontrollerer biosyntesen af potente inflammatoriske </w:t>
      </w:r>
      <w:proofErr w:type="spellStart"/>
      <w:r w:rsidRPr="00B302E1">
        <w:rPr>
          <w:sz w:val="24"/>
          <w:szCs w:val="24"/>
        </w:rPr>
        <w:t>mediatorer</w:t>
      </w:r>
      <w:proofErr w:type="spellEnd"/>
      <w:r w:rsidRPr="00B302E1">
        <w:rPr>
          <w:sz w:val="24"/>
          <w:szCs w:val="24"/>
        </w:rPr>
        <w:t xml:space="preserve"> som f.eks. </w:t>
      </w:r>
      <w:proofErr w:type="spellStart"/>
      <w:r w:rsidRPr="00B302E1">
        <w:rPr>
          <w:sz w:val="24"/>
          <w:szCs w:val="24"/>
        </w:rPr>
        <w:t>prostaglandiner</w:t>
      </w:r>
      <w:proofErr w:type="spellEnd"/>
      <w:r w:rsidRPr="00B302E1">
        <w:rPr>
          <w:sz w:val="24"/>
          <w:szCs w:val="24"/>
        </w:rPr>
        <w:t xml:space="preserve"> og </w:t>
      </w:r>
      <w:proofErr w:type="spellStart"/>
      <w:r w:rsidRPr="00B302E1">
        <w:rPr>
          <w:sz w:val="24"/>
          <w:szCs w:val="24"/>
        </w:rPr>
        <w:t>leukotriener</w:t>
      </w:r>
      <w:proofErr w:type="spellEnd"/>
      <w:r w:rsidRPr="00B302E1">
        <w:rPr>
          <w:sz w:val="24"/>
          <w:szCs w:val="24"/>
        </w:rPr>
        <w:t xml:space="preserve"> ved at hæmme frigørelsen af deres fælles forstadium </w:t>
      </w:r>
      <w:proofErr w:type="spellStart"/>
      <w:r w:rsidRPr="00B302E1">
        <w:rPr>
          <w:sz w:val="24"/>
          <w:szCs w:val="24"/>
        </w:rPr>
        <w:t>arakidonsyre</w:t>
      </w:r>
      <w:proofErr w:type="spellEnd"/>
      <w:r w:rsidRPr="00B302E1">
        <w:rPr>
          <w:sz w:val="24"/>
          <w:szCs w:val="24"/>
        </w:rPr>
        <w:t xml:space="preserve">. </w:t>
      </w:r>
      <w:proofErr w:type="spellStart"/>
      <w:r w:rsidRPr="00B302E1">
        <w:rPr>
          <w:sz w:val="24"/>
          <w:szCs w:val="24"/>
        </w:rPr>
        <w:t>Arakidonsyre</w:t>
      </w:r>
      <w:proofErr w:type="spellEnd"/>
      <w:r w:rsidRPr="00B302E1">
        <w:rPr>
          <w:sz w:val="24"/>
          <w:szCs w:val="24"/>
        </w:rPr>
        <w:t xml:space="preserve"> frigives fra membranfosfolipider af </w:t>
      </w:r>
      <w:proofErr w:type="spellStart"/>
      <w:r w:rsidRPr="00B302E1">
        <w:rPr>
          <w:sz w:val="24"/>
          <w:szCs w:val="24"/>
        </w:rPr>
        <w:t>fosfolipase</w:t>
      </w:r>
      <w:proofErr w:type="spellEnd"/>
      <w:r w:rsidRPr="00B302E1">
        <w:rPr>
          <w:sz w:val="24"/>
          <w:szCs w:val="24"/>
        </w:rPr>
        <w:t xml:space="preserve"> A</w:t>
      </w:r>
      <w:r w:rsidRPr="00B302E1">
        <w:rPr>
          <w:sz w:val="24"/>
          <w:szCs w:val="24"/>
          <w:vertAlign w:val="subscript"/>
        </w:rPr>
        <w:t>2</w:t>
      </w:r>
      <w:r w:rsidRPr="00B302E1">
        <w:rPr>
          <w:sz w:val="24"/>
          <w:szCs w:val="24"/>
        </w:rPr>
        <w:t>.</w:t>
      </w:r>
    </w:p>
    <w:p w14:paraId="5C2B7E21" w14:textId="77777777" w:rsidR="009260DE" w:rsidRPr="00B302E1" w:rsidRDefault="009260DE" w:rsidP="009260DE">
      <w:pPr>
        <w:tabs>
          <w:tab w:val="left" w:pos="851"/>
        </w:tabs>
        <w:ind w:left="851"/>
        <w:rPr>
          <w:sz w:val="24"/>
          <w:szCs w:val="24"/>
        </w:rPr>
      </w:pPr>
    </w:p>
    <w:p w14:paraId="0B929F3E" w14:textId="77777777" w:rsidR="009260DE" w:rsidRPr="00B302E1" w:rsidRDefault="009260DE" w:rsidP="009260DE">
      <w:pPr>
        <w:tabs>
          <w:tab w:val="left" w:pos="851"/>
        </w:tabs>
        <w:ind w:left="851" w:hanging="851"/>
        <w:rPr>
          <w:b/>
          <w:sz w:val="24"/>
          <w:szCs w:val="24"/>
        </w:rPr>
      </w:pPr>
      <w:r w:rsidRPr="00B302E1">
        <w:rPr>
          <w:b/>
          <w:sz w:val="24"/>
          <w:szCs w:val="24"/>
        </w:rPr>
        <w:t>5.2</w:t>
      </w:r>
      <w:r w:rsidRPr="00B302E1">
        <w:rPr>
          <w:b/>
          <w:sz w:val="24"/>
          <w:szCs w:val="24"/>
        </w:rPr>
        <w:tab/>
      </w:r>
      <w:proofErr w:type="spellStart"/>
      <w:r w:rsidRPr="00B302E1">
        <w:rPr>
          <w:b/>
          <w:sz w:val="24"/>
          <w:szCs w:val="24"/>
        </w:rPr>
        <w:t>Farmakokinetiske</w:t>
      </w:r>
      <w:proofErr w:type="spellEnd"/>
      <w:r w:rsidRPr="00B302E1">
        <w:rPr>
          <w:b/>
          <w:sz w:val="24"/>
          <w:szCs w:val="24"/>
        </w:rPr>
        <w:t xml:space="preserve"> egenskaber</w:t>
      </w:r>
    </w:p>
    <w:p w14:paraId="3E14BCC1" w14:textId="41D3AFE5" w:rsidR="007F44EA" w:rsidRPr="00B302E1" w:rsidRDefault="007F44EA" w:rsidP="00D92966">
      <w:pPr>
        <w:ind w:left="851"/>
        <w:rPr>
          <w:sz w:val="24"/>
          <w:szCs w:val="24"/>
        </w:rPr>
      </w:pPr>
      <w:r w:rsidRPr="00B302E1">
        <w:rPr>
          <w:sz w:val="24"/>
          <w:szCs w:val="24"/>
        </w:rPr>
        <w:t xml:space="preserve">In </w:t>
      </w:r>
      <w:proofErr w:type="spellStart"/>
      <w:r w:rsidRPr="00B302E1">
        <w:rPr>
          <w:sz w:val="24"/>
          <w:szCs w:val="24"/>
        </w:rPr>
        <w:t>vitro</w:t>
      </w:r>
      <w:proofErr w:type="spellEnd"/>
      <w:r w:rsidRPr="00B302E1">
        <w:rPr>
          <w:sz w:val="24"/>
          <w:szCs w:val="24"/>
        </w:rPr>
        <w:t>-undersøgelser af frigivelse og penetration i human hud viste, at kun en lille del (0,1</w:t>
      </w:r>
      <w:r w:rsidR="00D738C3">
        <w:rPr>
          <w:sz w:val="24"/>
          <w:szCs w:val="24"/>
        </w:rPr>
        <w:t> </w:t>
      </w:r>
      <w:r w:rsidRPr="00B302E1">
        <w:rPr>
          <w:sz w:val="24"/>
          <w:szCs w:val="24"/>
        </w:rPr>
        <w:t xml:space="preserve">%) af den applicerede mængde </w:t>
      </w:r>
      <w:proofErr w:type="spellStart"/>
      <w:r w:rsidRPr="00B302E1">
        <w:rPr>
          <w:sz w:val="24"/>
          <w:szCs w:val="24"/>
        </w:rPr>
        <w:t>clobetasolpropionat</w:t>
      </w:r>
      <w:proofErr w:type="spellEnd"/>
      <w:r w:rsidRPr="00B302E1">
        <w:rPr>
          <w:sz w:val="24"/>
          <w:szCs w:val="24"/>
        </w:rPr>
        <w:t xml:space="preserve"> shampooblev fundet i epidermis (inkl. stratum </w:t>
      </w:r>
      <w:proofErr w:type="spellStart"/>
      <w:r w:rsidRPr="00B302E1">
        <w:rPr>
          <w:sz w:val="24"/>
          <w:szCs w:val="24"/>
        </w:rPr>
        <w:t>corneum</w:t>
      </w:r>
      <w:proofErr w:type="spellEnd"/>
      <w:r w:rsidRPr="00B302E1">
        <w:rPr>
          <w:sz w:val="24"/>
          <w:szCs w:val="24"/>
        </w:rPr>
        <w:t xml:space="preserve">), når produktet havde virket i 15 minutter efter applikation og derefter skyllet ud. Den meget begrænsede </w:t>
      </w:r>
      <w:proofErr w:type="spellStart"/>
      <w:r w:rsidRPr="00B302E1">
        <w:rPr>
          <w:sz w:val="24"/>
          <w:szCs w:val="24"/>
        </w:rPr>
        <w:t>perkutane</w:t>
      </w:r>
      <w:proofErr w:type="spellEnd"/>
      <w:r w:rsidRPr="00B302E1">
        <w:rPr>
          <w:sz w:val="24"/>
          <w:szCs w:val="24"/>
        </w:rPr>
        <w:t xml:space="preserve"> absorption af </w:t>
      </w:r>
      <w:proofErr w:type="spellStart"/>
      <w:r w:rsidRPr="00B302E1">
        <w:rPr>
          <w:sz w:val="24"/>
          <w:szCs w:val="24"/>
        </w:rPr>
        <w:t>clobetasolpropionat</w:t>
      </w:r>
      <w:proofErr w:type="spellEnd"/>
      <w:r w:rsidRPr="00B302E1">
        <w:rPr>
          <w:sz w:val="24"/>
          <w:szCs w:val="24"/>
        </w:rPr>
        <w:t xml:space="preserve"> fra </w:t>
      </w:r>
      <w:proofErr w:type="spellStart"/>
      <w:r w:rsidRPr="00B302E1">
        <w:rPr>
          <w:sz w:val="24"/>
          <w:szCs w:val="24"/>
        </w:rPr>
        <w:t>clobetasolpropionat</w:t>
      </w:r>
      <w:proofErr w:type="spellEnd"/>
      <w:r w:rsidRPr="00B302E1">
        <w:rPr>
          <w:sz w:val="24"/>
          <w:szCs w:val="24"/>
        </w:rPr>
        <w:t xml:space="preserve"> shampoo ved applikation i overensstemmelse med anbefalet klinisk brug (skylles ud efter 15 minutter) medførte ubetydelig systemisk eksponering i dyreforsøg og kliniske forsøg. Foreliggende kliniske data viste, at kun 1 ud af 126 forsøgspersoner havde en målbar plasmakoncentration af </w:t>
      </w:r>
      <w:proofErr w:type="spellStart"/>
      <w:r w:rsidRPr="00B302E1">
        <w:rPr>
          <w:sz w:val="24"/>
          <w:szCs w:val="24"/>
        </w:rPr>
        <w:t>clobetasolpropionat</w:t>
      </w:r>
      <w:proofErr w:type="spellEnd"/>
      <w:r w:rsidRPr="00B302E1">
        <w:rPr>
          <w:sz w:val="24"/>
          <w:szCs w:val="24"/>
        </w:rPr>
        <w:t xml:space="preserve"> (0,43 </w:t>
      </w:r>
      <w:proofErr w:type="spellStart"/>
      <w:r w:rsidRPr="00B302E1">
        <w:rPr>
          <w:sz w:val="24"/>
          <w:szCs w:val="24"/>
        </w:rPr>
        <w:t>ng</w:t>
      </w:r>
      <w:proofErr w:type="spellEnd"/>
      <w:r w:rsidRPr="00B302E1">
        <w:rPr>
          <w:sz w:val="24"/>
          <w:szCs w:val="24"/>
        </w:rPr>
        <w:t>/ml).</w:t>
      </w:r>
    </w:p>
    <w:p w14:paraId="3C9A1B3E" w14:textId="7E6FD14C" w:rsidR="007F44EA" w:rsidRPr="00B302E1" w:rsidRDefault="007F44EA" w:rsidP="00D92966">
      <w:pPr>
        <w:ind w:left="851"/>
        <w:rPr>
          <w:sz w:val="24"/>
          <w:szCs w:val="24"/>
        </w:rPr>
      </w:pPr>
      <w:r w:rsidRPr="00B302E1">
        <w:rPr>
          <w:sz w:val="24"/>
          <w:szCs w:val="24"/>
        </w:rPr>
        <w:t xml:space="preserve">De aktuelle </w:t>
      </w:r>
      <w:proofErr w:type="spellStart"/>
      <w:r w:rsidRPr="00B302E1">
        <w:rPr>
          <w:sz w:val="24"/>
          <w:szCs w:val="24"/>
        </w:rPr>
        <w:t>farmakokinetiske</w:t>
      </w:r>
      <w:proofErr w:type="spellEnd"/>
      <w:r w:rsidRPr="00B302E1">
        <w:rPr>
          <w:sz w:val="24"/>
          <w:szCs w:val="24"/>
        </w:rPr>
        <w:t xml:space="preserve"> oplysninger tyder på, at den systemiske virkning efter klinisk behandling med </w:t>
      </w:r>
      <w:proofErr w:type="spellStart"/>
      <w:r w:rsidRPr="00B302E1">
        <w:rPr>
          <w:sz w:val="24"/>
          <w:szCs w:val="24"/>
        </w:rPr>
        <w:t>clobetasolpropionat</w:t>
      </w:r>
      <w:proofErr w:type="spellEnd"/>
      <w:r w:rsidRPr="00B302E1">
        <w:rPr>
          <w:sz w:val="24"/>
          <w:szCs w:val="24"/>
        </w:rPr>
        <w:t xml:space="preserve"> shampoo er stærkt usandsynlig på grund af den lave systemiske eksponering af </w:t>
      </w:r>
      <w:proofErr w:type="spellStart"/>
      <w:r w:rsidRPr="00B302E1">
        <w:rPr>
          <w:sz w:val="24"/>
          <w:szCs w:val="24"/>
        </w:rPr>
        <w:t>clobetasolpropionat</w:t>
      </w:r>
      <w:proofErr w:type="spellEnd"/>
      <w:r w:rsidRPr="00B302E1">
        <w:rPr>
          <w:sz w:val="24"/>
          <w:szCs w:val="24"/>
        </w:rPr>
        <w:t xml:space="preserve"> efter topisk administration.</w:t>
      </w:r>
    </w:p>
    <w:p w14:paraId="2DFA9AC2" w14:textId="77777777" w:rsidR="009260DE" w:rsidRPr="00B302E1" w:rsidRDefault="009260DE" w:rsidP="009260DE">
      <w:pPr>
        <w:tabs>
          <w:tab w:val="left" w:pos="851"/>
        </w:tabs>
        <w:ind w:left="851"/>
        <w:rPr>
          <w:sz w:val="24"/>
          <w:szCs w:val="24"/>
        </w:rPr>
      </w:pPr>
    </w:p>
    <w:p w14:paraId="020FC90A" w14:textId="5A4622CA" w:rsidR="009260DE" w:rsidRPr="00B302E1" w:rsidRDefault="009260DE" w:rsidP="009260DE">
      <w:pPr>
        <w:tabs>
          <w:tab w:val="left" w:pos="851"/>
        </w:tabs>
        <w:ind w:left="851" w:hanging="851"/>
        <w:rPr>
          <w:b/>
          <w:sz w:val="24"/>
          <w:szCs w:val="24"/>
        </w:rPr>
      </w:pPr>
      <w:r w:rsidRPr="00B302E1">
        <w:rPr>
          <w:b/>
          <w:sz w:val="24"/>
          <w:szCs w:val="24"/>
        </w:rPr>
        <w:t>5.3</w:t>
      </w:r>
      <w:r w:rsidRPr="00B302E1">
        <w:rPr>
          <w:b/>
          <w:sz w:val="24"/>
          <w:szCs w:val="24"/>
        </w:rPr>
        <w:tab/>
      </w:r>
      <w:r w:rsidR="00CF7284">
        <w:rPr>
          <w:b/>
          <w:sz w:val="24"/>
          <w:szCs w:val="24"/>
        </w:rPr>
        <w:t>Non-</w:t>
      </w:r>
      <w:r w:rsidRPr="00B302E1">
        <w:rPr>
          <w:b/>
          <w:sz w:val="24"/>
          <w:szCs w:val="24"/>
        </w:rPr>
        <w:t>kliniske sikkerhedsdata</w:t>
      </w:r>
    </w:p>
    <w:p w14:paraId="574C90C1" w14:textId="77777777" w:rsidR="007F44EA" w:rsidRPr="00B302E1" w:rsidRDefault="007F44EA" w:rsidP="00D92966">
      <w:pPr>
        <w:ind w:left="851"/>
        <w:rPr>
          <w:sz w:val="24"/>
          <w:szCs w:val="24"/>
        </w:rPr>
      </w:pPr>
      <w:r w:rsidRPr="00B302E1">
        <w:rPr>
          <w:sz w:val="24"/>
          <w:szCs w:val="24"/>
        </w:rPr>
        <w:t xml:space="preserve">De prækliniske data viser ingen særlig risiko for mennesker vurderet ud fra konventionelle undersøgelser af sikkerhedsfarmakologi og toksicitet efter enkelte og gentagne doser og genotoksicitet. </w:t>
      </w:r>
      <w:proofErr w:type="spellStart"/>
      <w:r w:rsidRPr="00B302E1">
        <w:rPr>
          <w:sz w:val="24"/>
          <w:szCs w:val="24"/>
        </w:rPr>
        <w:t>Clobetasols</w:t>
      </w:r>
      <w:proofErr w:type="spellEnd"/>
      <w:r w:rsidRPr="00B302E1">
        <w:rPr>
          <w:sz w:val="24"/>
          <w:szCs w:val="24"/>
        </w:rPr>
        <w:t xml:space="preserve"> </w:t>
      </w:r>
      <w:proofErr w:type="spellStart"/>
      <w:r w:rsidRPr="00B302E1">
        <w:rPr>
          <w:sz w:val="24"/>
          <w:szCs w:val="24"/>
        </w:rPr>
        <w:t>karcinogenicitet</w:t>
      </w:r>
      <w:proofErr w:type="spellEnd"/>
      <w:r w:rsidRPr="00B302E1">
        <w:rPr>
          <w:sz w:val="24"/>
          <w:szCs w:val="24"/>
        </w:rPr>
        <w:t xml:space="preserve"> er ikke blevet undersøgt.</w:t>
      </w:r>
    </w:p>
    <w:p w14:paraId="2F5A24B7" w14:textId="22BD4BCB" w:rsidR="007F44EA" w:rsidRPr="00B302E1" w:rsidRDefault="007F44EA" w:rsidP="00D92966">
      <w:pPr>
        <w:ind w:left="851"/>
        <w:rPr>
          <w:sz w:val="24"/>
          <w:szCs w:val="24"/>
        </w:rPr>
      </w:pPr>
      <w:r w:rsidRPr="00B302E1">
        <w:rPr>
          <w:sz w:val="24"/>
          <w:szCs w:val="24"/>
        </w:rPr>
        <w:t xml:space="preserve">Hos kaniner fremkaldte </w:t>
      </w:r>
      <w:proofErr w:type="spellStart"/>
      <w:r w:rsidRPr="00B302E1">
        <w:rPr>
          <w:sz w:val="24"/>
          <w:szCs w:val="24"/>
        </w:rPr>
        <w:t>clobetasolpropionat</w:t>
      </w:r>
      <w:proofErr w:type="spellEnd"/>
      <w:r w:rsidRPr="00B302E1">
        <w:rPr>
          <w:sz w:val="24"/>
          <w:szCs w:val="24"/>
        </w:rPr>
        <w:t xml:space="preserve"> shampoo let irritation af huden og øjnene, men der blev ikke observeret forsinket overfølsomhed på huden hos marsvin.</w:t>
      </w:r>
    </w:p>
    <w:p w14:paraId="303F49D6" w14:textId="04F41F55" w:rsidR="007F44EA" w:rsidRPr="00B302E1" w:rsidRDefault="007F44EA" w:rsidP="00D92966">
      <w:pPr>
        <w:ind w:left="851"/>
        <w:rPr>
          <w:sz w:val="24"/>
          <w:szCs w:val="24"/>
        </w:rPr>
      </w:pPr>
      <w:r w:rsidRPr="00B302E1">
        <w:rPr>
          <w:sz w:val="24"/>
          <w:szCs w:val="24"/>
        </w:rPr>
        <w:t xml:space="preserve">Udviklingstoksicitetsstudier med kaniner og mus har vist, at </w:t>
      </w:r>
      <w:proofErr w:type="spellStart"/>
      <w:r w:rsidRPr="00B302E1">
        <w:rPr>
          <w:sz w:val="24"/>
          <w:szCs w:val="24"/>
        </w:rPr>
        <w:t>clobetasolpropionat</w:t>
      </w:r>
      <w:proofErr w:type="spellEnd"/>
      <w:r w:rsidRPr="00B302E1">
        <w:rPr>
          <w:sz w:val="24"/>
          <w:szCs w:val="24"/>
        </w:rPr>
        <w:t xml:space="preserve"> har en </w:t>
      </w:r>
      <w:proofErr w:type="spellStart"/>
      <w:r w:rsidRPr="00B302E1">
        <w:rPr>
          <w:sz w:val="24"/>
          <w:szCs w:val="24"/>
        </w:rPr>
        <w:t>teratogen</w:t>
      </w:r>
      <w:proofErr w:type="spellEnd"/>
      <w:r w:rsidRPr="00B302E1">
        <w:rPr>
          <w:sz w:val="24"/>
          <w:szCs w:val="24"/>
        </w:rPr>
        <w:t xml:space="preserve"> effekt ved subkutan indgift i små doser. Et embryotoksicitetsstudie af </w:t>
      </w:r>
      <w:proofErr w:type="spellStart"/>
      <w:r w:rsidRPr="00B302E1">
        <w:rPr>
          <w:sz w:val="24"/>
          <w:szCs w:val="24"/>
        </w:rPr>
        <w:t>clobetasol</w:t>
      </w:r>
      <w:proofErr w:type="spellEnd"/>
      <w:r w:rsidRPr="00B302E1">
        <w:rPr>
          <w:sz w:val="24"/>
          <w:szCs w:val="24"/>
        </w:rPr>
        <w:t xml:space="preserve"> hos rotter viste abnormiteter i den </w:t>
      </w:r>
      <w:proofErr w:type="spellStart"/>
      <w:r w:rsidRPr="00B302E1">
        <w:rPr>
          <w:sz w:val="24"/>
          <w:szCs w:val="24"/>
        </w:rPr>
        <w:t>føtale</w:t>
      </w:r>
      <w:proofErr w:type="spellEnd"/>
      <w:r w:rsidRPr="00B302E1">
        <w:rPr>
          <w:sz w:val="24"/>
          <w:szCs w:val="24"/>
        </w:rPr>
        <w:t xml:space="preserve"> udvikling samt misdannelser i skelet og organer ved forholdsvis små </w:t>
      </w:r>
      <w:proofErr w:type="spellStart"/>
      <w:r w:rsidRPr="00B302E1">
        <w:rPr>
          <w:sz w:val="24"/>
          <w:szCs w:val="24"/>
        </w:rPr>
        <w:t>topikal</w:t>
      </w:r>
      <w:r w:rsidR="00D738C3">
        <w:rPr>
          <w:sz w:val="24"/>
          <w:szCs w:val="24"/>
        </w:rPr>
        <w:t>e</w:t>
      </w:r>
      <w:proofErr w:type="spellEnd"/>
      <w:r w:rsidRPr="00B302E1">
        <w:rPr>
          <w:sz w:val="24"/>
          <w:szCs w:val="24"/>
        </w:rPr>
        <w:t xml:space="preserve"> doser. Ud over misdannelser har studier med dyr, der </w:t>
      </w:r>
      <w:r w:rsidRPr="00B302E1">
        <w:rPr>
          <w:sz w:val="24"/>
          <w:szCs w:val="24"/>
        </w:rPr>
        <w:lastRenderedPageBreak/>
        <w:t xml:space="preserve">udsættes for høje systemiske niveauer af </w:t>
      </w:r>
      <w:proofErr w:type="spellStart"/>
      <w:r w:rsidRPr="00B302E1">
        <w:rPr>
          <w:sz w:val="24"/>
          <w:szCs w:val="24"/>
        </w:rPr>
        <w:t>glukokortikoider</w:t>
      </w:r>
      <w:proofErr w:type="spellEnd"/>
      <w:r w:rsidRPr="00B302E1">
        <w:rPr>
          <w:sz w:val="24"/>
          <w:szCs w:val="24"/>
        </w:rPr>
        <w:t xml:space="preserve"> i drægtighedsperioden, også vist sig at have andre effekter på afkommet, f.eks. intrauterin væksthæmning. </w:t>
      </w:r>
    </w:p>
    <w:p w14:paraId="070069EB" w14:textId="77777777" w:rsidR="007F44EA" w:rsidRPr="00B302E1" w:rsidRDefault="007F44EA" w:rsidP="00D92966">
      <w:pPr>
        <w:ind w:left="851"/>
        <w:rPr>
          <w:sz w:val="24"/>
          <w:szCs w:val="24"/>
        </w:rPr>
      </w:pPr>
      <w:r w:rsidRPr="00B302E1">
        <w:rPr>
          <w:sz w:val="24"/>
          <w:szCs w:val="24"/>
        </w:rPr>
        <w:t xml:space="preserve">Den kliniske relevans af virkningerne af </w:t>
      </w:r>
      <w:proofErr w:type="spellStart"/>
      <w:r w:rsidRPr="00B302E1">
        <w:rPr>
          <w:sz w:val="24"/>
          <w:szCs w:val="24"/>
        </w:rPr>
        <w:t>clobetasol</w:t>
      </w:r>
      <w:proofErr w:type="spellEnd"/>
      <w:r w:rsidRPr="00B302E1">
        <w:rPr>
          <w:sz w:val="24"/>
          <w:szCs w:val="24"/>
        </w:rPr>
        <w:t xml:space="preserve"> og andre </w:t>
      </w:r>
      <w:proofErr w:type="spellStart"/>
      <w:r w:rsidRPr="00B302E1">
        <w:rPr>
          <w:sz w:val="24"/>
          <w:szCs w:val="24"/>
        </w:rPr>
        <w:t>kortikosteroider</w:t>
      </w:r>
      <w:proofErr w:type="spellEnd"/>
      <w:r w:rsidRPr="00B302E1">
        <w:rPr>
          <w:sz w:val="24"/>
          <w:szCs w:val="24"/>
        </w:rPr>
        <w:t xml:space="preserve"> i udviklingsdyrestudier kendes ikke.</w:t>
      </w:r>
    </w:p>
    <w:p w14:paraId="48BD6E86" w14:textId="77777777" w:rsidR="009260DE" w:rsidRPr="00B302E1" w:rsidRDefault="009260DE" w:rsidP="009260DE">
      <w:pPr>
        <w:tabs>
          <w:tab w:val="left" w:pos="851"/>
        </w:tabs>
        <w:ind w:left="851"/>
        <w:rPr>
          <w:sz w:val="24"/>
          <w:szCs w:val="24"/>
        </w:rPr>
      </w:pPr>
    </w:p>
    <w:p w14:paraId="2645F89A" w14:textId="77777777" w:rsidR="009260DE" w:rsidRPr="00B302E1" w:rsidRDefault="009260DE" w:rsidP="009260DE">
      <w:pPr>
        <w:tabs>
          <w:tab w:val="left" w:pos="851"/>
        </w:tabs>
        <w:ind w:left="851"/>
        <w:rPr>
          <w:sz w:val="24"/>
          <w:szCs w:val="24"/>
        </w:rPr>
      </w:pPr>
    </w:p>
    <w:p w14:paraId="655EF154" w14:textId="77777777" w:rsidR="009260DE" w:rsidRPr="00B302E1" w:rsidRDefault="009260DE" w:rsidP="009260DE">
      <w:pPr>
        <w:tabs>
          <w:tab w:val="left" w:pos="851"/>
        </w:tabs>
        <w:ind w:left="851" w:hanging="851"/>
        <w:rPr>
          <w:b/>
          <w:sz w:val="24"/>
          <w:szCs w:val="24"/>
        </w:rPr>
      </w:pPr>
      <w:r w:rsidRPr="00B302E1">
        <w:rPr>
          <w:b/>
          <w:sz w:val="24"/>
          <w:szCs w:val="24"/>
        </w:rPr>
        <w:t>6.</w:t>
      </w:r>
      <w:r w:rsidRPr="00B302E1">
        <w:rPr>
          <w:b/>
          <w:sz w:val="24"/>
          <w:szCs w:val="24"/>
        </w:rPr>
        <w:tab/>
        <w:t>FARMACEUTISKE OPLYSNINGER</w:t>
      </w:r>
    </w:p>
    <w:p w14:paraId="065D0500" w14:textId="77777777" w:rsidR="009260DE" w:rsidRPr="00B302E1" w:rsidRDefault="009260DE" w:rsidP="009260DE">
      <w:pPr>
        <w:tabs>
          <w:tab w:val="left" w:pos="851"/>
        </w:tabs>
        <w:ind w:left="851"/>
        <w:rPr>
          <w:sz w:val="24"/>
          <w:szCs w:val="24"/>
        </w:rPr>
      </w:pPr>
    </w:p>
    <w:p w14:paraId="3995908A" w14:textId="77777777" w:rsidR="009260DE" w:rsidRPr="00B302E1" w:rsidRDefault="009260DE" w:rsidP="009260DE">
      <w:pPr>
        <w:tabs>
          <w:tab w:val="left" w:pos="851"/>
        </w:tabs>
        <w:ind w:left="851" w:hanging="851"/>
        <w:rPr>
          <w:b/>
          <w:sz w:val="24"/>
          <w:szCs w:val="24"/>
        </w:rPr>
      </w:pPr>
      <w:r w:rsidRPr="00B302E1">
        <w:rPr>
          <w:b/>
          <w:sz w:val="24"/>
          <w:szCs w:val="24"/>
        </w:rPr>
        <w:t>6.1</w:t>
      </w:r>
      <w:r w:rsidRPr="00B302E1">
        <w:rPr>
          <w:b/>
          <w:sz w:val="24"/>
          <w:szCs w:val="24"/>
        </w:rPr>
        <w:tab/>
        <w:t>Hjælpestoffer</w:t>
      </w:r>
    </w:p>
    <w:p w14:paraId="5B20C3FD" w14:textId="77777777" w:rsidR="007F44EA" w:rsidRPr="00B302E1" w:rsidRDefault="007F44EA" w:rsidP="00D92966">
      <w:pPr>
        <w:ind w:left="851"/>
        <w:rPr>
          <w:sz w:val="24"/>
          <w:szCs w:val="24"/>
        </w:rPr>
      </w:pPr>
      <w:proofErr w:type="spellStart"/>
      <w:r w:rsidRPr="00B302E1">
        <w:rPr>
          <w:sz w:val="24"/>
          <w:szCs w:val="24"/>
        </w:rPr>
        <w:t>Ethanol</w:t>
      </w:r>
      <w:proofErr w:type="spellEnd"/>
    </w:p>
    <w:p w14:paraId="130B99B4" w14:textId="77777777" w:rsidR="007F44EA" w:rsidRPr="00B302E1" w:rsidRDefault="007F44EA" w:rsidP="00D92966">
      <w:pPr>
        <w:ind w:left="851"/>
        <w:rPr>
          <w:sz w:val="24"/>
          <w:szCs w:val="24"/>
        </w:rPr>
      </w:pPr>
      <w:proofErr w:type="spellStart"/>
      <w:r w:rsidRPr="00B302E1">
        <w:rPr>
          <w:sz w:val="24"/>
          <w:szCs w:val="24"/>
        </w:rPr>
        <w:t>Cocoalkyldimethylbetain</w:t>
      </w:r>
      <w:proofErr w:type="spellEnd"/>
    </w:p>
    <w:p w14:paraId="3F144B3C" w14:textId="77777777" w:rsidR="007F44EA" w:rsidRPr="00B302E1" w:rsidRDefault="007F44EA" w:rsidP="00D92966">
      <w:pPr>
        <w:ind w:left="851"/>
        <w:rPr>
          <w:sz w:val="24"/>
          <w:szCs w:val="24"/>
        </w:rPr>
      </w:pPr>
      <w:proofErr w:type="spellStart"/>
      <w:r w:rsidRPr="00B302E1">
        <w:rPr>
          <w:sz w:val="24"/>
          <w:szCs w:val="24"/>
        </w:rPr>
        <w:t>Natriumlaurethsulfat</w:t>
      </w:r>
      <w:proofErr w:type="spellEnd"/>
      <w:r w:rsidRPr="00B302E1">
        <w:rPr>
          <w:sz w:val="24"/>
          <w:szCs w:val="24"/>
        </w:rPr>
        <w:t xml:space="preserve"> </w:t>
      </w:r>
    </w:p>
    <w:p w14:paraId="08970329" w14:textId="77777777" w:rsidR="007F44EA" w:rsidRPr="00B302E1" w:rsidRDefault="007F44EA" w:rsidP="00D92966">
      <w:pPr>
        <w:ind w:left="851"/>
        <w:rPr>
          <w:sz w:val="24"/>
          <w:szCs w:val="24"/>
        </w:rPr>
      </w:pPr>
      <w:r w:rsidRPr="00B302E1">
        <w:rPr>
          <w:sz w:val="24"/>
          <w:szCs w:val="24"/>
        </w:rPr>
        <w:t>Polyquaternium-10</w:t>
      </w:r>
    </w:p>
    <w:p w14:paraId="2460DE83" w14:textId="77777777" w:rsidR="007F44EA" w:rsidRPr="00B302E1" w:rsidRDefault="007F44EA" w:rsidP="00D92966">
      <w:pPr>
        <w:ind w:left="851"/>
        <w:rPr>
          <w:sz w:val="24"/>
          <w:szCs w:val="24"/>
        </w:rPr>
      </w:pPr>
      <w:proofErr w:type="spellStart"/>
      <w:r w:rsidRPr="00B302E1">
        <w:rPr>
          <w:sz w:val="24"/>
          <w:szCs w:val="24"/>
        </w:rPr>
        <w:t>Natriumcitratdihydrat</w:t>
      </w:r>
      <w:proofErr w:type="spellEnd"/>
    </w:p>
    <w:p w14:paraId="33451E48" w14:textId="77777777" w:rsidR="007F44EA" w:rsidRPr="00B302E1" w:rsidRDefault="007F44EA" w:rsidP="00D92966">
      <w:pPr>
        <w:ind w:left="851"/>
        <w:rPr>
          <w:sz w:val="24"/>
          <w:szCs w:val="24"/>
        </w:rPr>
      </w:pPr>
      <w:r w:rsidRPr="00B302E1">
        <w:rPr>
          <w:sz w:val="24"/>
          <w:szCs w:val="24"/>
        </w:rPr>
        <w:t>Citronsyremonohydrat</w:t>
      </w:r>
    </w:p>
    <w:p w14:paraId="7DA79010" w14:textId="77777777" w:rsidR="007F44EA" w:rsidRPr="00B302E1" w:rsidRDefault="007F44EA" w:rsidP="00D92966">
      <w:pPr>
        <w:ind w:left="851"/>
        <w:rPr>
          <w:sz w:val="24"/>
          <w:szCs w:val="24"/>
        </w:rPr>
      </w:pPr>
      <w:r w:rsidRPr="00B302E1">
        <w:rPr>
          <w:sz w:val="24"/>
          <w:szCs w:val="24"/>
        </w:rPr>
        <w:t>Renset vand</w:t>
      </w:r>
    </w:p>
    <w:p w14:paraId="39D6D92C" w14:textId="2E284D0D" w:rsidR="009260DE" w:rsidRPr="00B302E1" w:rsidRDefault="009260DE" w:rsidP="009260DE">
      <w:pPr>
        <w:tabs>
          <w:tab w:val="left" w:pos="851"/>
        </w:tabs>
        <w:ind w:left="851"/>
        <w:rPr>
          <w:sz w:val="24"/>
          <w:szCs w:val="24"/>
        </w:rPr>
      </w:pPr>
    </w:p>
    <w:p w14:paraId="412492A1" w14:textId="77777777" w:rsidR="009260DE" w:rsidRPr="00B302E1" w:rsidRDefault="009260DE" w:rsidP="009260DE">
      <w:pPr>
        <w:tabs>
          <w:tab w:val="left" w:pos="851"/>
        </w:tabs>
        <w:ind w:left="851" w:hanging="851"/>
        <w:rPr>
          <w:b/>
          <w:sz w:val="24"/>
          <w:szCs w:val="24"/>
        </w:rPr>
      </w:pPr>
      <w:r w:rsidRPr="00B302E1">
        <w:rPr>
          <w:b/>
          <w:sz w:val="24"/>
          <w:szCs w:val="24"/>
        </w:rPr>
        <w:t>6.2</w:t>
      </w:r>
      <w:r w:rsidRPr="00B302E1">
        <w:rPr>
          <w:b/>
          <w:sz w:val="24"/>
          <w:szCs w:val="24"/>
        </w:rPr>
        <w:tab/>
        <w:t>Uforligeligheder</w:t>
      </w:r>
    </w:p>
    <w:p w14:paraId="3B202A01" w14:textId="77777777" w:rsidR="007F44EA" w:rsidRPr="00B302E1" w:rsidRDefault="007F44EA" w:rsidP="00D92966">
      <w:pPr>
        <w:ind w:left="851"/>
        <w:rPr>
          <w:sz w:val="24"/>
          <w:szCs w:val="24"/>
        </w:rPr>
      </w:pPr>
      <w:r w:rsidRPr="00B302E1">
        <w:rPr>
          <w:sz w:val="24"/>
          <w:szCs w:val="24"/>
        </w:rPr>
        <w:t>Ikke relevant.</w:t>
      </w:r>
    </w:p>
    <w:p w14:paraId="074D5CE5" w14:textId="77777777" w:rsidR="009260DE" w:rsidRPr="00B302E1" w:rsidRDefault="009260DE" w:rsidP="009260DE">
      <w:pPr>
        <w:tabs>
          <w:tab w:val="left" w:pos="851"/>
        </w:tabs>
        <w:ind w:left="851"/>
        <w:rPr>
          <w:sz w:val="24"/>
          <w:szCs w:val="24"/>
        </w:rPr>
      </w:pPr>
    </w:p>
    <w:p w14:paraId="3DF16953" w14:textId="77777777" w:rsidR="009260DE" w:rsidRPr="00B302E1" w:rsidRDefault="009260DE" w:rsidP="009260DE">
      <w:pPr>
        <w:tabs>
          <w:tab w:val="left" w:pos="851"/>
        </w:tabs>
        <w:ind w:left="851" w:hanging="851"/>
        <w:rPr>
          <w:b/>
          <w:sz w:val="24"/>
          <w:szCs w:val="24"/>
        </w:rPr>
      </w:pPr>
      <w:r w:rsidRPr="00B302E1">
        <w:rPr>
          <w:b/>
          <w:sz w:val="24"/>
          <w:szCs w:val="24"/>
        </w:rPr>
        <w:t>6.3</w:t>
      </w:r>
      <w:r w:rsidRPr="00B302E1">
        <w:rPr>
          <w:b/>
          <w:sz w:val="24"/>
          <w:szCs w:val="24"/>
        </w:rPr>
        <w:tab/>
        <w:t>Opbevaringstid</w:t>
      </w:r>
    </w:p>
    <w:p w14:paraId="74C32A1A" w14:textId="44CDE25F" w:rsidR="007F44EA" w:rsidRDefault="007F44EA" w:rsidP="00D92966">
      <w:pPr>
        <w:tabs>
          <w:tab w:val="left" w:pos="851"/>
        </w:tabs>
        <w:ind w:left="851"/>
        <w:rPr>
          <w:sz w:val="24"/>
          <w:szCs w:val="24"/>
        </w:rPr>
      </w:pPr>
      <w:r w:rsidRPr="00B302E1">
        <w:rPr>
          <w:sz w:val="24"/>
          <w:szCs w:val="24"/>
        </w:rPr>
        <w:t>3 år.</w:t>
      </w:r>
    </w:p>
    <w:p w14:paraId="2972221E" w14:textId="77777777" w:rsidR="00422B0A" w:rsidRPr="00B302E1" w:rsidRDefault="00422B0A" w:rsidP="00D92966">
      <w:pPr>
        <w:tabs>
          <w:tab w:val="left" w:pos="851"/>
        </w:tabs>
        <w:ind w:left="851"/>
        <w:rPr>
          <w:sz w:val="24"/>
          <w:szCs w:val="24"/>
        </w:rPr>
      </w:pPr>
    </w:p>
    <w:p w14:paraId="7E330F98" w14:textId="4714F82A" w:rsidR="007F44EA" w:rsidRPr="00B302E1" w:rsidRDefault="00422B0A" w:rsidP="00D92966">
      <w:pPr>
        <w:tabs>
          <w:tab w:val="left" w:pos="851"/>
        </w:tabs>
        <w:ind w:left="851"/>
        <w:rPr>
          <w:sz w:val="24"/>
          <w:szCs w:val="24"/>
        </w:rPr>
      </w:pPr>
      <w:r>
        <w:rPr>
          <w:sz w:val="24"/>
          <w:szCs w:val="24"/>
        </w:rPr>
        <w:t>E</w:t>
      </w:r>
      <w:r w:rsidR="007F44EA" w:rsidRPr="00B302E1">
        <w:rPr>
          <w:sz w:val="24"/>
          <w:szCs w:val="24"/>
        </w:rPr>
        <w:t>fter åbning: 4 uger.</w:t>
      </w:r>
    </w:p>
    <w:p w14:paraId="6834B8D9" w14:textId="77777777" w:rsidR="009260DE" w:rsidRPr="00B302E1" w:rsidRDefault="009260DE" w:rsidP="009260DE">
      <w:pPr>
        <w:tabs>
          <w:tab w:val="left" w:pos="851"/>
        </w:tabs>
        <w:ind w:left="851"/>
        <w:rPr>
          <w:sz w:val="24"/>
          <w:szCs w:val="24"/>
        </w:rPr>
      </w:pPr>
    </w:p>
    <w:p w14:paraId="49A45325" w14:textId="77777777" w:rsidR="009260DE" w:rsidRPr="00B302E1" w:rsidRDefault="009260DE" w:rsidP="009260DE">
      <w:pPr>
        <w:tabs>
          <w:tab w:val="left" w:pos="851"/>
        </w:tabs>
        <w:ind w:left="851" w:hanging="851"/>
        <w:rPr>
          <w:b/>
          <w:sz w:val="24"/>
          <w:szCs w:val="24"/>
        </w:rPr>
      </w:pPr>
      <w:r w:rsidRPr="00B302E1">
        <w:rPr>
          <w:b/>
          <w:sz w:val="24"/>
          <w:szCs w:val="24"/>
        </w:rPr>
        <w:t>6.4</w:t>
      </w:r>
      <w:r w:rsidRPr="00B302E1">
        <w:rPr>
          <w:b/>
          <w:sz w:val="24"/>
          <w:szCs w:val="24"/>
        </w:rPr>
        <w:tab/>
        <w:t>Særlige opbevaringsforhold</w:t>
      </w:r>
    </w:p>
    <w:p w14:paraId="1F142C2A" w14:textId="1836498E" w:rsidR="007F44EA" w:rsidRDefault="007F44EA" w:rsidP="00D92966">
      <w:pPr>
        <w:ind w:left="851"/>
        <w:rPr>
          <w:sz w:val="24"/>
          <w:szCs w:val="24"/>
        </w:rPr>
      </w:pPr>
      <w:r w:rsidRPr="00B302E1">
        <w:rPr>
          <w:sz w:val="24"/>
          <w:szCs w:val="24"/>
        </w:rPr>
        <w:t>Må ikke opbevares ved temperaturer over 30 °C.</w:t>
      </w:r>
    </w:p>
    <w:p w14:paraId="75B09A6F" w14:textId="77777777" w:rsidR="00786E6A" w:rsidRPr="00B302E1" w:rsidRDefault="00786E6A" w:rsidP="00D92966">
      <w:pPr>
        <w:ind w:left="851"/>
        <w:rPr>
          <w:sz w:val="24"/>
          <w:szCs w:val="24"/>
        </w:rPr>
      </w:pPr>
    </w:p>
    <w:p w14:paraId="63EF0658" w14:textId="132189F7" w:rsidR="007F44EA" w:rsidRPr="00B302E1" w:rsidRDefault="007F44EA" w:rsidP="00D92966">
      <w:pPr>
        <w:ind w:left="851"/>
        <w:rPr>
          <w:sz w:val="24"/>
          <w:szCs w:val="24"/>
        </w:rPr>
      </w:pPr>
      <w:r w:rsidRPr="00B302E1">
        <w:rPr>
          <w:sz w:val="24"/>
          <w:szCs w:val="24"/>
        </w:rPr>
        <w:t>Opbevares i den originale yderpakning for at beskytte mod lys.</w:t>
      </w:r>
    </w:p>
    <w:p w14:paraId="3AF9A460" w14:textId="77777777" w:rsidR="009260DE" w:rsidRPr="00B302E1" w:rsidRDefault="009260DE" w:rsidP="009260DE">
      <w:pPr>
        <w:tabs>
          <w:tab w:val="left" w:pos="851"/>
        </w:tabs>
        <w:ind w:left="851"/>
        <w:rPr>
          <w:sz w:val="24"/>
          <w:szCs w:val="24"/>
        </w:rPr>
      </w:pPr>
    </w:p>
    <w:p w14:paraId="1623BA03" w14:textId="4FB190AC" w:rsidR="009260DE" w:rsidRPr="00B302E1" w:rsidRDefault="009260DE" w:rsidP="009260DE">
      <w:pPr>
        <w:tabs>
          <w:tab w:val="left" w:pos="851"/>
        </w:tabs>
        <w:ind w:left="851" w:hanging="851"/>
        <w:rPr>
          <w:b/>
          <w:sz w:val="24"/>
          <w:szCs w:val="24"/>
        </w:rPr>
      </w:pPr>
      <w:r w:rsidRPr="00B302E1">
        <w:rPr>
          <w:b/>
          <w:sz w:val="24"/>
          <w:szCs w:val="24"/>
        </w:rPr>
        <w:t>6.5</w:t>
      </w:r>
      <w:r w:rsidRPr="00B302E1">
        <w:rPr>
          <w:b/>
          <w:sz w:val="24"/>
          <w:szCs w:val="24"/>
        </w:rPr>
        <w:tab/>
        <w:t>Emballagetype og pakningsstørrelser</w:t>
      </w:r>
    </w:p>
    <w:p w14:paraId="422BFFB6" w14:textId="77777777" w:rsidR="007F44EA" w:rsidRPr="00B302E1" w:rsidRDefault="007F44EA" w:rsidP="00D92966">
      <w:pPr>
        <w:ind w:left="851"/>
        <w:rPr>
          <w:sz w:val="24"/>
          <w:szCs w:val="24"/>
        </w:rPr>
      </w:pPr>
      <w:r w:rsidRPr="00B302E1">
        <w:rPr>
          <w:sz w:val="24"/>
          <w:szCs w:val="24"/>
        </w:rPr>
        <w:t xml:space="preserve">HDPE-flaske (high </w:t>
      </w:r>
      <w:proofErr w:type="spellStart"/>
      <w:r w:rsidRPr="00B302E1">
        <w:rPr>
          <w:sz w:val="24"/>
          <w:szCs w:val="24"/>
        </w:rPr>
        <w:t>density</w:t>
      </w:r>
      <w:proofErr w:type="spellEnd"/>
      <w:r w:rsidRPr="00B302E1">
        <w:rPr>
          <w:sz w:val="24"/>
          <w:szCs w:val="24"/>
        </w:rPr>
        <w:t xml:space="preserve"> </w:t>
      </w:r>
      <w:proofErr w:type="spellStart"/>
      <w:r w:rsidRPr="00B302E1">
        <w:rPr>
          <w:sz w:val="24"/>
          <w:szCs w:val="24"/>
        </w:rPr>
        <w:t>polyethylen</w:t>
      </w:r>
      <w:proofErr w:type="spellEnd"/>
      <w:r w:rsidRPr="00B302E1">
        <w:rPr>
          <w:sz w:val="24"/>
          <w:szCs w:val="24"/>
        </w:rPr>
        <w:t>) med skruelåg af polypropylen.</w:t>
      </w:r>
    </w:p>
    <w:p w14:paraId="2CFDC102" w14:textId="77777777" w:rsidR="007F44EA" w:rsidRPr="00B302E1" w:rsidRDefault="007F44EA" w:rsidP="00D92966">
      <w:pPr>
        <w:ind w:left="851"/>
        <w:rPr>
          <w:sz w:val="24"/>
          <w:szCs w:val="24"/>
        </w:rPr>
      </w:pPr>
    </w:p>
    <w:p w14:paraId="1DE2460A" w14:textId="5CD04307" w:rsidR="007F44EA" w:rsidRDefault="007F44EA" w:rsidP="00D92966">
      <w:pPr>
        <w:ind w:left="851"/>
        <w:rPr>
          <w:sz w:val="24"/>
          <w:szCs w:val="24"/>
        </w:rPr>
      </w:pPr>
      <w:r w:rsidRPr="00B302E1">
        <w:rPr>
          <w:sz w:val="24"/>
          <w:szCs w:val="24"/>
        </w:rPr>
        <w:t>Pakningsstørrelse</w:t>
      </w:r>
      <w:r w:rsidR="00786E6A">
        <w:rPr>
          <w:sz w:val="24"/>
          <w:szCs w:val="24"/>
        </w:rPr>
        <w:t>r</w:t>
      </w:r>
      <w:r w:rsidRPr="00B302E1">
        <w:rPr>
          <w:sz w:val="24"/>
          <w:szCs w:val="24"/>
        </w:rPr>
        <w:t>: 125 ml.</w:t>
      </w:r>
    </w:p>
    <w:p w14:paraId="3CA8416E" w14:textId="3188A30B" w:rsidR="00786E6A" w:rsidRPr="00B302E1" w:rsidRDefault="00786E6A" w:rsidP="00D92966">
      <w:pPr>
        <w:ind w:left="851"/>
        <w:rPr>
          <w:sz w:val="24"/>
          <w:szCs w:val="24"/>
        </w:rPr>
      </w:pPr>
      <w:r>
        <w:rPr>
          <w:sz w:val="24"/>
          <w:szCs w:val="24"/>
        </w:rPr>
        <w:t>Ikke alle pakningsstørrelser er nødvendigvis markedsført.</w:t>
      </w:r>
    </w:p>
    <w:p w14:paraId="6F3C32AF" w14:textId="77777777" w:rsidR="009260DE" w:rsidRPr="00B302E1" w:rsidRDefault="009260DE" w:rsidP="009260DE">
      <w:pPr>
        <w:tabs>
          <w:tab w:val="left" w:pos="851"/>
        </w:tabs>
        <w:ind w:left="851"/>
        <w:rPr>
          <w:sz w:val="24"/>
          <w:szCs w:val="24"/>
        </w:rPr>
      </w:pPr>
    </w:p>
    <w:p w14:paraId="737159E2" w14:textId="488DB25D" w:rsidR="009260DE" w:rsidRPr="00B302E1" w:rsidRDefault="009260DE" w:rsidP="009260DE">
      <w:pPr>
        <w:tabs>
          <w:tab w:val="left" w:pos="851"/>
        </w:tabs>
        <w:ind w:left="851" w:hanging="851"/>
        <w:rPr>
          <w:b/>
          <w:sz w:val="24"/>
          <w:szCs w:val="24"/>
        </w:rPr>
      </w:pPr>
      <w:r w:rsidRPr="00B302E1">
        <w:rPr>
          <w:b/>
          <w:sz w:val="24"/>
          <w:szCs w:val="24"/>
        </w:rPr>
        <w:t>6.6</w:t>
      </w:r>
      <w:r w:rsidRPr="00B302E1">
        <w:rPr>
          <w:b/>
          <w:sz w:val="24"/>
          <w:szCs w:val="24"/>
        </w:rPr>
        <w:tab/>
        <w:t xml:space="preserve">Regler for </w:t>
      </w:r>
      <w:r w:rsidR="00CF7284" w:rsidRPr="00CF7284">
        <w:rPr>
          <w:b/>
          <w:sz w:val="24"/>
          <w:szCs w:val="24"/>
        </w:rPr>
        <w:t xml:space="preserve">bortskaffelse </w:t>
      </w:r>
      <w:r w:rsidRPr="00B302E1">
        <w:rPr>
          <w:b/>
          <w:sz w:val="24"/>
          <w:szCs w:val="24"/>
        </w:rPr>
        <w:t>og anden håndtering</w:t>
      </w:r>
    </w:p>
    <w:p w14:paraId="0D56CFA0" w14:textId="77777777" w:rsidR="00474AA8" w:rsidRDefault="007F44EA" w:rsidP="00D92966">
      <w:pPr>
        <w:ind w:left="851"/>
        <w:rPr>
          <w:sz w:val="24"/>
          <w:szCs w:val="24"/>
        </w:rPr>
      </w:pPr>
      <w:r w:rsidRPr="00B302E1">
        <w:rPr>
          <w:sz w:val="24"/>
          <w:szCs w:val="24"/>
        </w:rPr>
        <w:t>Ingen særlige forholdsregler</w:t>
      </w:r>
      <w:r w:rsidR="00474AA8">
        <w:rPr>
          <w:sz w:val="24"/>
          <w:szCs w:val="24"/>
        </w:rPr>
        <w:t>.</w:t>
      </w:r>
    </w:p>
    <w:p w14:paraId="68C19565" w14:textId="77777777" w:rsidR="00474AA8" w:rsidRDefault="00474AA8" w:rsidP="00D92966">
      <w:pPr>
        <w:ind w:left="851"/>
        <w:rPr>
          <w:sz w:val="24"/>
          <w:szCs w:val="24"/>
        </w:rPr>
      </w:pPr>
    </w:p>
    <w:p w14:paraId="25908768" w14:textId="658D2120" w:rsidR="007F44EA" w:rsidRPr="00B302E1" w:rsidRDefault="007F44EA" w:rsidP="00D92966">
      <w:pPr>
        <w:ind w:left="851"/>
        <w:rPr>
          <w:sz w:val="24"/>
          <w:szCs w:val="24"/>
        </w:rPr>
      </w:pPr>
      <w:r w:rsidRPr="00B302E1">
        <w:rPr>
          <w:sz w:val="24"/>
          <w:szCs w:val="24"/>
        </w:rPr>
        <w:t>Ikke anvendt lægemiddel eller affald heraf skal bortskaffes i henhold til lokal</w:t>
      </w:r>
      <w:r w:rsidR="006D528A" w:rsidRPr="00B302E1">
        <w:rPr>
          <w:sz w:val="24"/>
          <w:szCs w:val="24"/>
        </w:rPr>
        <w:t>e</w:t>
      </w:r>
      <w:r w:rsidRPr="00B302E1">
        <w:rPr>
          <w:sz w:val="24"/>
          <w:szCs w:val="24"/>
        </w:rPr>
        <w:t xml:space="preserve"> retningslinjer.</w:t>
      </w:r>
    </w:p>
    <w:p w14:paraId="28B31580" w14:textId="77777777" w:rsidR="009260DE" w:rsidRPr="00B302E1" w:rsidRDefault="009260DE" w:rsidP="009260DE">
      <w:pPr>
        <w:tabs>
          <w:tab w:val="left" w:pos="851"/>
        </w:tabs>
        <w:ind w:left="851"/>
        <w:jc w:val="both"/>
        <w:rPr>
          <w:sz w:val="24"/>
          <w:szCs w:val="24"/>
        </w:rPr>
      </w:pPr>
    </w:p>
    <w:p w14:paraId="794C957B" w14:textId="77777777" w:rsidR="009260DE" w:rsidRPr="00B302E1" w:rsidRDefault="009260DE" w:rsidP="009260DE">
      <w:pPr>
        <w:tabs>
          <w:tab w:val="left" w:pos="851"/>
        </w:tabs>
        <w:ind w:left="851" w:hanging="851"/>
        <w:rPr>
          <w:b/>
          <w:sz w:val="24"/>
          <w:szCs w:val="24"/>
        </w:rPr>
      </w:pPr>
      <w:r w:rsidRPr="00B302E1">
        <w:rPr>
          <w:b/>
          <w:sz w:val="24"/>
          <w:szCs w:val="24"/>
        </w:rPr>
        <w:t>7.</w:t>
      </w:r>
      <w:r w:rsidRPr="00B302E1">
        <w:rPr>
          <w:b/>
          <w:sz w:val="24"/>
          <w:szCs w:val="24"/>
        </w:rPr>
        <w:tab/>
        <w:t>INDEHAVER AF MARKEDSFØRINGSTILLADELSEN</w:t>
      </w:r>
    </w:p>
    <w:p w14:paraId="0B7DF81A" w14:textId="77777777" w:rsidR="00CF7284" w:rsidRPr="00CF7284" w:rsidRDefault="00CF7284" w:rsidP="00CF7284">
      <w:pPr>
        <w:tabs>
          <w:tab w:val="left" w:pos="851"/>
        </w:tabs>
        <w:ind w:left="851"/>
        <w:rPr>
          <w:sz w:val="24"/>
          <w:szCs w:val="24"/>
          <w:lang w:val="es-ES"/>
        </w:rPr>
      </w:pPr>
      <w:r w:rsidRPr="00CF7284">
        <w:rPr>
          <w:sz w:val="24"/>
          <w:szCs w:val="24"/>
          <w:lang w:val="es-ES"/>
        </w:rPr>
        <w:t>Industrial Farmacéutica Cantabria, S.A</w:t>
      </w:r>
    </w:p>
    <w:p w14:paraId="7AA3B87C" w14:textId="77777777" w:rsidR="00CF7284" w:rsidRPr="00CF7284" w:rsidRDefault="00CF7284" w:rsidP="00CF7284">
      <w:pPr>
        <w:tabs>
          <w:tab w:val="left" w:pos="851"/>
        </w:tabs>
        <w:ind w:left="851"/>
        <w:rPr>
          <w:sz w:val="24"/>
          <w:szCs w:val="24"/>
          <w:lang w:val="es-ES"/>
        </w:rPr>
      </w:pPr>
      <w:r w:rsidRPr="00CF7284">
        <w:rPr>
          <w:sz w:val="24"/>
          <w:szCs w:val="24"/>
          <w:lang w:val="es-ES"/>
        </w:rPr>
        <w:t>Barrio Solía 30</w:t>
      </w:r>
    </w:p>
    <w:p w14:paraId="75E97257" w14:textId="77777777" w:rsidR="00CF7284" w:rsidRPr="00CF7284" w:rsidRDefault="00CF7284" w:rsidP="00CF7284">
      <w:pPr>
        <w:tabs>
          <w:tab w:val="left" w:pos="851"/>
        </w:tabs>
        <w:ind w:left="851"/>
        <w:rPr>
          <w:sz w:val="24"/>
          <w:szCs w:val="24"/>
          <w:lang w:val="es-ES"/>
        </w:rPr>
      </w:pPr>
      <w:r w:rsidRPr="00CF7284">
        <w:rPr>
          <w:sz w:val="24"/>
          <w:szCs w:val="24"/>
          <w:lang w:val="es-ES"/>
        </w:rPr>
        <w:t>La Concha de Villaescusa</w:t>
      </w:r>
    </w:p>
    <w:p w14:paraId="1010203C" w14:textId="32E91CA8" w:rsidR="009260DE" w:rsidRDefault="00CF7284" w:rsidP="00CF7284">
      <w:pPr>
        <w:tabs>
          <w:tab w:val="left" w:pos="851"/>
        </w:tabs>
        <w:ind w:left="851"/>
        <w:rPr>
          <w:sz w:val="24"/>
          <w:szCs w:val="24"/>
          <w:lang w:val="es-ES"/>
        </w:rPr>
      </w:pPr>
      <w:r w:rsidRPr="00CF7284">
        <w:rPr>
          <w:sz w:val="24"/>
          <w:szCs w:val="24"/>
          <w:lang w:val="es-ES"/>
        </w:rPr>
        <w:t xml:space="preserve">39690 Cantabria </w:t>
      </w:r>
      <w:r>
        <w:rPr>
          <w:sz w:val="24"/>
          <w:szCs w:val="24"/>
          <w:lang w:val="es-ES"/>
        </w:rPr>
        <w:br/>
      </w:r>
      <w:r w:rsidRPr="00CF7284">
        <w:rPr>
          <w:sz w:val="24"/>
          <w:szCs w:val="24"/>
          <w:lang w:val="es-ES"/>
        </w:rPr>
        <w:t>Spa</w:t>
      </w:r>
      <w:r>
        <w:rPr>
          <w:sz w:val="24"/>
          <w:szCs w:val="24"/>
          <w:lang w:val="es-ES"/>
        </w:rPr>
        <w:t>nien</w:t>
      </w:r>
    </w:p>
    <w:p w14:paraId="5B64F566" w14:textId="77777777" w:rsidR="00CF7284" w:rsidRPr="00CF7284" w:rsidRDefault="00CF7284" w:rsidP="00CF7284">
      <w:pPr>
        <w:tabs>
          <w:tab w:val="left" w:pos="851"/>
        </w:tabs>
        <w:ind w:left="851"/>
        <w:rPr>
          <w:sz w:val="24"/>
          <w:szCs w:val="24"/>
          <w:lang w:val="es-ES"/>
        </w:rPr>
      </w:pPr>
    </w:p>
    <w:p w14:paraId="55B15C70" w14:textId="33FD351F" w:rsidR="009260DE" w:rsidRPr="00B302E1" w:rsidRDefault="009260DE" w:rsidP="009260DE">
      <w:pPr>
        <w:tabs>
          <w:tab w:val="left" w:pos="851"/>
        </w:tabs>
        <w:ind w:left="851" w:hanging="851"/>
        <w:rPr>
          <w:b/>
          <w:sz w:val="24"/>
          <w:szCs w:val="24"/>
        </w:rPr>
      </w:pPr>
      <w:r w:rsidRPr="00B302E1">
        <w:rPr>
          <w:b/>
          <w:sz w:val="24"/>
          <w:szCs w:val="24"/>
        </w:rPr>
        <w:t>8.</w:t>
      </w:r>
      <w:r w:rsidRPr="00B302E1">
        <w:rPr>
          <w:b/>
          <w:sz w:val="24"/>
          <w:szCs w:val="24"/>
        </w:rPr>
        <w:tab/>
        <w:t>MARKEDSFØRINGSTILLADELSESNUMMER (</w:t>
      </w:r>
      <w:r w:rsidR="00CF7284">
        <w:rPr>
          <w:b/>
          <w:sz w:val="24"/>
          <w:szCs w:val="24"/>
        </w:rPr>
        <w:t>-</w:t>
      </w:r>
      <w:r w:rsidRPr="00B302E1">
        <w:rPr>
          <w:b/>
          <w:sz w:val="24"/>
          <w:szCs w:val="24"/>
        </w:rPr>
        <w:t>NUMRE)</w:t>
      </w:r>
    </w:p>
    <w:p w14:paraId="103408D6" w14:textId="63D491F3" w:rsidR="009260DE" w:rsidRPr="00B302E1" w:rsidRDefault="001824A4" w:rsidP="009260DE">
      <w:pPr>
        <w:tabs>
          <w:tab w:val="left" w:pos="851"/>
        </w:tabs>
        <w:ind w:left="851"/>
        <w:rPr>
          <w:sz w:val="24"/>
          <w:szCs w:val="24"/>
        </w:rPr>
      </w:pPr>
      <w:r w:rsidRPr="00B302E1">
        <w:rPr>
          <w:sz w:val="24"/>
          <w:szCs w:val="24"/>
        </w:rPr>
        <w:t>62240</w:t>
      </w:r>
    </w:p>
    <w:p w14:paraId="3743AC8B" w14:textId="77777777" w:rsidR="009260DE" w:rsidRPr="00B302E1" w:rsidRDefault="009260DE" w:rsidP="009260DE">
      <w:pPr>
        <w:tabs>
          <w:tab w:val="left" w:pos="851"/>
        </w:tabs>
        <w:ind w:left="851"/>
        <w:jc w:val="both"/>
        <w:rPr>
          <w:sz w:val="24"/>
          <w:szCs w:val="24"/>
        </w:rPr>
      </w:pPr>
    </w:p>
    <w:p w14:paraId="3A3F302E" w14:textId="77777777" w:rsidR="009260DE" w:rsidRPr="00B302E1" w:rsidRDefault="009260DE" w:rsidP="009260DE">
      <w:pPr>
        <w:tabs>
          <w:tab w:val="left" w:pos="851"/>
        </w:tabs>
        <w:ind w:left="851" w:hanging="851"/>
        <w:rPr>
          <w:b/>
          <w:sz w:val="24"/>
          <w:szCs w:val="24"/>
        </w:rPr>
      </w:pPr>
      <w:r w:rsidRPr="00B302E1">
        <w:rPr>
          <w:b/>
          <w:sz w:val="24"/>
          <w:szCs w:val="24"/>
        </w:rPr>
        <w:t>9.</w:t>
      </w:r>
      <w:r w:rsidRPr="00B302E1">
        <w:rPr>
          <w:b/>
          <w:sz w:val="24"/>
          <w:szCs w:val="24"/>
        </w:rPr>
        <w:tab/>
        <w:t>DATO FOR FØRSTE MARKEDSFØRINGSTILLADELSE</w:t>
      </w:r>
    </w:p>
    <w:p w14:paraId="25282CD4" w14:textId="2916B7FC" w:rsidR="009260DE" w:rsidRPr="00B302E1" w:rsidRDefault="00EA065A" w:rsidP="009260DE">
      <w:pPr>
        <w:tabs>
          <w:tab w:val="left" w:pos="851"/>
        </w:tabs>
        <w:ind w:left="851"/>
        <w:rPr>
          <w:sz w:val="24"/>
          <w:szCs w:val="24"/>
        </w:rPr>
      </w:pPr>
      <w:r w:rsidRPr="00B302E1">
        <w:rPr>
          <w:sz w:val="24"/>
          <w:szCs w:val="24"/>
        </w:rPr>
        <w:t>3. juli 2020</w:t>
      </w:r>
    </w:p>
    <w:p w14:paraId="114C8BDF" w14:textId="77777777" w:rsidR="009260DE" w:rsidRPr="00B302E1" w:rsidRDefault="009260DE" w:rsidP="009260DE">
      <w:pPr>
        <w:tabs>
          <w:tab w:val="left" w:pos="851"/>
        </w:tabs>
        <w:ind w:left="851"/>
        <w:rPr>
          <w:sz w:val="24"/>
          <w:szCs w:val="24"/>
        </w:rPr>
      </w:pPr>
    </w:p>
    <w:p w14:paraId="409EAF19" w14:textId="77777777" w:rsidR="009260DE" w:rsidRPr="00B302E1" w:rsidRDefault="009260DE" w:rsidP="009260DE">
      <w:pPr>
        <w:tabs>
          <w:tab w:val="left" w:pos="851"/>
        </w:tabs>
        <w:ind w:left="851" w:hanging="851"/>
        <w:rPr>
          <w:b/>
          <w:sz w:val="24"/>
          <w:szCs w:val="24"/>
        </w:rPr>
      </w:pPr>
      <w:r w:rsidRPr="00B302E1">
        <w:rPr>
          <w:b/>
          <w:sz w:val="24"/>
          <w:szCs w:val="24"/>
        </w:rPr>
        <w:t>10.</w:t>
      </w:r>
      <w:r w:rsidRPr="00B302E1">
        <w:rPr>
          <w:b/>
          <w:sz w:val="24"/>
          <w:szCs w:val="24"/>
        </w:rPr>
        <w:tab/>
        <w:t>DATO FOR ÆNDRING AF TEKSTEN</w:t>
      </w:r>
    </w:p>
    <w:p w14:paraId="22B017B1" w14:textId="2278B166" w:rsidR="009260DE" w:rsidRPr="00B302E1" w:rsidRDefault="00CF7284" w:rsidP="009260DE">
      <w:pPr>
        <w:tabs>
          <w:tab w:val="left" w:pos="851"/>
        </w:tabs>
        <w:ind w:left="851"/>
        <w:rPr>
          <w:sz w:val="24"/>
          <w:szCs w:val="24"/>
        </w:rPr>
      </w:pPr>
      <w:r>
        <w:rPr>
          <w:sz w:val="24"/>
          <w:szCs w:val="24"/>
        </w:rPr>
        <w:t>11. marts 2024</w:t>
      </w:r>
    </w:p>
    <w:sectPr w:rsidR="009260DE" w:rsidRPr="00B302E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9BEB" w14:textId="77777777" w:rsidR="00224A4F" w:rsidRDefault="00224A4F">
      <w:r>
        <w:separator/>
      </w:r>
    </w:p>
  </w:endnote>
  <w:endnote w:type="continuationSeparator" w:id="0">
    <w:p w14:paraId="1A56BFDE" w14:textId="77777777" w:rsidR="00224A4F" w:rsidRDefault="002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B1717" w14:textId="77777777" w:rsidR="000259B9" w:rsidRDefault="000259B9">
    <w:pPr>
      <w:pStyle w:val="Sidefod"/>
      <w:pBdr>
        <w:bottom w:val="single" w:sz="6" w:space="1" w:color="auto"/>
      </w:pBdr>
    </w:pPr>
  </w:p>
  <w:p w14:paraId="38018F12" w14:textId="77777777" w:rsidR="000259B9" w:rsidRDefault="000259B9" w:rsidP="00C42586">
    <w:pPr>
      <w:pStyle w:val="Sidefod"/>
      <w:tabs>
        <w:tab w:val="clear" w:pos="4819"/>
        <w:tab w:val="left" w:pos="8505"/>
      </w:tabs>
      <w:rPr>
        <w:i/>
        <w:sz w:val="18"/>
        <w:szCs w:val="18"/>
      </w:rPr>
    </w:pPr>
  </w:p>
  <w:p w14:paraId="2EDA647B" w14:textId="1338AC6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267F8">
      <w:rPr>
        <w:i/>
        <w:noProof/>
        <w:sz w:val="18"/>
        <w:szCs w:val="18"/>
      </w:rPr>
      <w:t>Clobetasolpropionat IFC, shampoo 500 mikrogram-g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76A3" w14:textId="77777777" w:rsidR="00224A4F" w:rsidRDefault="00224A4F">
      <w:r>
        <w:separator/>
      </w:r>
    </w:p>
  </w:footnote>
  <w:footnote w:type="continuationSeparator" w:id="0">
    <w:p w14:paraId="08F4B5E3" w14:textId="77777777" w:rsidR="00224A4F" w:rsidRDefault="0022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7A3150"/>
    <w:multiLevelType w:val="hybridMultilevel"/>
    <w:tmpl w:val="F5FA025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17051C"/>
    <w:multiLevelType w:val="hybridMultilevel"/>
    <w:tmpl w:val="8312D4B0"/>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8D24AA"/>
    <w:multiLevelType w:val="multilevel"/>
    <w:tmpl w:val="7F8C7FC0"/>
    <w:lvl w:ilvl="0">
      <w:start w:val="1"/>
      <w:numFmt w:val="bullet"/>
      <w:lvlText w:val="-"/>
      <w:lvlJc w:val="left"/>
      <w:pPr>
        <w:tabs>
          <w:tab w:val="num" w:pos="855"/>
        </w:tabs>
        <w:ind w:left="855" w:hanging="855"/>
      </w:pPr>
      <w:rPr>
        <w:rFonts w:ascii="Times New Roman" w:hAnsi="Times New Roman" w:cs="Times New Roman"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4F"/>
    <w:rsid w:val="00000B87"/>
    <w:rsid w:val="000259B9"/>
    <w:rsid w:val="00041491"/>
    <w:rsid w:val="00050D16"/>
    <w:rsid w:val="00074F2A"/>
    <w:rsid w:val="000A1CA8"/>
    <w:rsid w:val="000A466B"/>
    <w:rsid w:val="000A5728"/>
    <w:rsid w:val="000B058C"/>
    <w:rsid w:val="000E4EE6"/>
    <w:rsid w:val="001454E2"/>
    <w:rsid w:val="001824A4"/>
    <w:rsid w:val="001E5CC9"/>
    <w:rsid w:val="00206CE8"/>
    <w:rsid w:val="0021526C"/>
    <w:rsid w:val="00224A4F"/>
    <w:rsid w:val="00283A2B"/>
    <w:rsid w:val="002A7625"/>
    <w:rsid w:val="002B30AD"/>
    <w:rsid w:val="002C2C01"/>
    <w:rsid w:val="00376D76"/>
    <w:rsid w:val="003A29AE"/>
    <w:rsid w:val="003A32D7"/>
    <w:rsid w:val="003B4074"/>
    <w:rsid w:val="003C769A"/>
    <w:rsid w:val="003F0239"/>
    <w:rsid w:val="003F1838"/>
    <w:rsid w:val="00422B0A"/>
    <w:rsid w:val="0045746C"/>
    <w:rsid w:val="00474AA8"/>
    <w:rsid w:val="0049104B"/>
    <w:rsid w:val="004E3B12"/>
    <w:rsid w:val="00532310"/>
    <w:rsid w:val="00565F0F"/>
    <w:rsid w:val="00594A86"/>
    <w:rsid w:val="00596D86"/>
    <w:rsid w:val="00637F5A"/>
    <w:rsid w:val="006560B1"/>
    <w:rsid w:val="00660D97"/>
    <w:rsid w:val="006756DD"/>
    <w:rsid w:val="006B469E"/>
    <w:rsid w:val="006D528A"/>
    <w:rsid w:val="00737275"/>
    <w:rsid w:val="00740EEC"/>
    <w:rsid w:val="0078011A"/>
    <w:rsid w:val="00782AF4"/>
    <w:rsid w:val="00786E6A"/>
    <w:rsid w:val="00790EE7"/>
    <w:rsid w:val="007B6649"/>
    <w:rsid w:val="007F44EA"/>
    <w:rsid w:val="00822D32"/>
    <w:rsid w:val="0082576E"/>
    <w:rsid w:val="00851326"/>
    <w:rsid w:val="00864BDC"/>
    <w:rsid w:val="008C52BD"/>
    <w:rsid w:val="00907F75"/>
    <w:rsid w:val="009260DE"/>
    <w:rsid w:val="009267F8"/>
    <w:rsid w:val="0093258A"/>
    <w:rsid w:val="009A2737"/>
    <w:rsid w:val="009C7BA3"/>
    <w:rsid w:val="009D1F5A"/>
    <w:rsid w:val="00AD016F"/>
    <w:rsid w:val="00AE2795"/>
    <w:rsid w:val="00AF1E61"/>
    <w:rsid w:val="00B003BF"/>
    <w:rsid w:val="00B302E1"/>
    <w:rsid w:val="00B373D7"/>
    <w:rsid w:val="00C23260"/>
    <w:rsid w:val="00C36276"/>
    <w:rsid w:val="00C42586"/>
    <w:rsid w:val="00C60CCD"/>
    <w:rsid w:val="00C84483"/>
    <w:rsid w:val="00C95551"/>
    <w:rsid w:val="00CB20D7"/>
    <w:rsid w:val="00CF7284"/>
    <w:rsid w:val="00D020B0"/>
    <w:rsid w:val="00D11748"/>
    <w:rsid w:val="00D366CF"/>
    <w:rsid w:val="00D60930"/>
    <w:rsid w:val="00D738C3"/>
    <w:rsid w:val="00D92966"/>
    <w:rsid w:val="00E108AA"/>
    <w:rsid w:val="00E1524F"/>
    <w:rsid w:val="00E3749A"/>
    <w:rsid w:val="00E7437F"/>
    <w:rsid w:val="00E865B8"/>
    <w:rsid w:val="00EA065A"/>
    <w:rsid w:val="00EB5EE2"/>
    <w:rsid w:val="00EC0B9B"/>
    <w:rsid w:val="00ED5E9F"/>
    <w:rsid w:val="00F6153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4E6C"/>
  <w15:chartTrackingRefBased/>
  <w15:docId w15:val="{7D199701-C788-41BB-AE20-5F1DEEA3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9A2737"/>
    <w:pPr>
      <w:widowControl w:val="0"/>
      <w:autoSpaceDE w:val="0"/>
      <w:autoSpaceDN w:val="0"/>
    </w:pPr>
    <w:rPr>
      <w:szCs w:val="23"/>
      <w:lang w:val="en-US"/>
    </w:rPr>
  </w:style>
  <w:style w:type="character" w:customStyle="1" w:styleId="BrdtekstTegn">
    <w:name w:val="Brødtekst Tegn"/>
    <w:basedOn w:val="Standardskrifttypeiafsnit"/>
    <w:link w:val="Brdtekst"/>
    <w:uiPriority w:val="1"/>
    <w:semiHidden/>
    <w:rsid w:val="009A2737"/>
    <w:rPr>
      <w:sz w:val="23"/>
      <w:szCs w:val="23"/>
      <w:lang w:val="en-US" w:eastAsia="en-US"/>
    </w:rPr>
  </w:style>
  <w:style w:type="character" w:customStyle="1" w:styleId="Overskrift3Tegn">
    <w:name w:val="Overskrift 3 Tegn"/>
    <w:basedOn w:val="Standardskrifttypeiafsnit"/>
    <w:link w:val="Overskrift3"/>
    <w:uiPriority w:val="1"/>
    <w:rsid w:val="007F44EA"/>
    <w:rPr>
      <w:rFonts w:ascii="Arial" w:hAnsi="Arial"/>
      <w:sz w:val="24"/>
      <w:lang w:eastAsia="en-US"/>
    </w:rPr>
  </w:style>
  <w:style w:type="character" w:styleId="Hyperlink">
    <w:name w:val="Hyperlink"/>
    <w:basedOn w:val="Standardskrifttypeiafsnit"/>
    <w:uiPriority w:val="99"/>
    <w:semiHidden/>
    <w:unhideWhenUsed/>
    <w:rsid w:val="007F44EA"/>
    <w:rPr>
      <w:color w:val="0563C1" w:themeColor="hyperlink"/>
      <w:u w:val="single"/>
    </w:rPr>
  </w:style>
  <w:style w:type="paragraph" w:styleId="Listeafsnit">
    <w:name w:val="List Paragraph"/>
    <w:basedOn w:val="Normal"/>
    <w:uiPriority w:val="34"/>
    <w:qFormat/>
    <w:rsid w:val="00EA065A"/>
    <w:pPr>
      <w:ind w:left="720"/>
      <w:contextualSpacing/>
    </w:pPr>
  </w:style>
  <w:style w:type="table" w:styleId="Tabel-Gitter">
    <w:name w:val="Table Grid"/>
    <w:basedOn w:val="Tabel-Normal"/>
    <w:uiPriority w:val="39"/>
    <w:rsid w:val="00822D32"/>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34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164903">
      <w:bodyDiv w:val="1"/>
      <w:marLeft w:val="0"/>
      <w:marRight w:val="0"/>
      <w:marTop w:val="0"/>
      <w:marBottom w:val="0"/>
      <w:divBdr>
        <w:top w:val="none" w:sz="0" w:space="0" w:color="auto"/>
        <w:left w:val="none" w:sz="0" w:space="0" w:color="auto"/>
        <w:bottom w:val="none" w:sz="0" w:space="0" w:color="auto"/>
        <w:right w:val="none" w:sz="0" w:space="0" w:color="auto"/>
      </w:divBdr>
    </w:div>
    <w:div w:id="875777057">
      <w:bodyDiv w:val="1"/>
      <w:marLeft w:val="0"/>
      <w:marRight w:val="0"/>
      <w:marTop w:val="0"/>
      <w:marBottom w:val="0"/>
      <w:divBdr>
        <w:top w:val="none" w:sz="0" w:space="0" w:color="auto"/>
        <w:left w:val="none" w:sz="0" w:space="0" w:color="auto"/>
        <w:bottom w:val="none" w:sz="0" w:space="0" w:color="auto"/>
        <w:right w:val="none" w:sz="0" w:space="0" w:color="auto"/>
      </w:divBdr>
    </w:div>
    <w:div w:id="972825854">
      <w:bodyDiv w:val="1"/>
      <w:marLeft w:val="0"/>
      <w:marRight w:val="0"/>
      <w:marTop w:val="0"/>
      <w:marBottom w:val="0"/>
      <w:divBdr>
        <w:top w:val="none" w:sz="0" w:space="0" w:color="auto"/>
        <w:left w:val="none" w:sz="0" w:space="0" w:color="auto"/>
        <w:bottom w:val="none" w:sz="0" w:space="0" w:color="auto"/>
        <w:right w:val="none" w:sz="0" w:space="0" w:color="auto"/>
      </w:divBdr>
    </w:div>
    <w:div w:id="1016611888">
      <w:bodyDiv w:val="1"/>
      <w:marLeft w:val="0"/>
      <w:marRight w:val="0"/>
      <w:marTop w:val="0"/>
      <w:marBottom w:val="0"/>
      <w:divBdr>
        <w:top w:val="none" w:sz="0" w:space="0" w:color="auto"/>
        <w:left w:val="none" w:sz="0" w:space="0" w:color="auto"/>
        <w:bottom w:val="none" w:sz="0" w:space="0" w:color="auto"/>
        <w:right w:val="none" w:sz="0" w:space="0" w:color="auto"/>
      </w:divBdr>
    </w:div>
    <w:div w:id="1060399684">
      <w:bodyDiv w:val="1"/>
      <w:marLeft w:val="0"/>
      <w:marRight w:val="0"/>
      <w:marTop w:val="0"/>
      <w:marBottom w:val="0"/>
      <w:divBdr>
        <w:top w:val="none" w:sz="0" w:space="0" w:color="auto"/>
        <w:left w:val="none" w:sz="0" w:space="0" w:color="auto"/>
        <w:bottom w:val="none" w:sz="0" w:space="0" w:color="auto"/>
        <w:right w:val="none" w:sz="0" w:space="0" w:color="auto"/>
      </w:divBdr>
    </w:div>
    <w:div w:id="1110198162">
      <w:bodyDiv w:val="1"/>
      <w:marLeft w:val="0"/>
      <w:marRight w:val="0"/>
      <w:marTop w:val="0"/>
      <w:marBottom w:val="0"/>
      <w:divBdr>
        <w:top w:val="none" w:sz="0" w:space="0" w:color="auto"/>
        <w:left w:val="none" w:sz="0" w:space="0" w:color="auto"/>
        <w:bottom w:val="none" w:sz="0" w:space="0" w:color="auto"/>
        <w:right w:val="none" w:sz="0" w:space="0" w:color="auto"/>
      </w:divBdr>
    </w:div>
    <w:div w:id="1278369537">
      <w:bodyDiv w:val="1"/>
      <w:marLeft w:val="0"/>
      <w:marRight w:val="0"/>
      <w:marTop w:val="0"/>
      <w:marBottom w:val="0"/>
      <w:divBdr>
        <w:top w:val="none" w:sz="0" w:space="0" w:color="auto"/>
        <w:left w:val="none" w:sz="0" w:space="0" w:color="auto"/>
        <w:bottom w:val="none" w:sz="0" w:space="0" w:color="auto"/>
        <w:right w:val="none" w:sz="0" w:space="0" w:color="auto"/>
      </w:divBdr>
    </w:div>
    <w:div w:id="1372803228">
      <w:bodyDiv w:val="1"/>
      <w:marLeft w:val="0"/>
      <w:marRight w:val="0"/>
      <w:marTop w:val="0"/>
      <w:marBottom w:val="0"/>
      <w:divBdr>
        <w:top w:val="none" w:sz="0" w:space="0" w:color="auto"/>
        <w:left w:val="none" w:sz="0" w:space="0" w:color="auto"/>
        <w:bottom w:val="none" w:sz="0" w:space="0" w:color="auto"/>
        <w:right w:val="none" w:sz="0" w:space="0" w:color="auto"/>
      </w:divBdr>
    </w:div>
    <w:div w:id="1429424832">
      <w:bodyDiv w:val="1"/>
      <w:marLeft w:val="0"/>
      <w:marRight w:val="0"/>
      <w:marTop w:val="0"/>
      <w:marBottom w:val="0"/>
      <w:divBdr>
        <w:top w:val="none" w:sz="0" w:space="0" w:color="auto"/>
        <w:left w:val="none" w:sz="0" w:space="0" w:color="auto"/>
        <w:bottom w:val="none" w:sz="0" w:space="0" w:color="auto"/>
        <w:right w:val="none" w:sz="0" w:space="0" w:color="auto"/>
      </w:divBdr>
    </w:div>
    <w:div w:id="1636369970">
      <w:bodyDiv w:val="1"/>
      <w:marLeft w:val="0"/>
      <w:marRight w:val="0"/>
      <w:marTop w:val="0"/>
      <w:marBottom w:val="0"/>
      <w:divBdr>
        <w:top w:val="none" w:sz="0" w:space="0" w:color="auto"/>
        <w:left w:val="none" w:sz="0" w:space="0" w:color="auto"/>
        <w:bottom w:val="none" w:sz="0" w:space="0" w:color="auto"/>
        <w:right w:val="none" w:sz="0" w:space="0" w:color="auto"/>
      </w:divBdr>
    </w:div>
    <w:div w:id="1663966037">
      <w:bodyDiv w:val="1"/>
      <w:marLeft w:val="0"/>
      <w:marRight w:val="0"/>
      <w:marTop w:val="0"/>
      <w:marBottom w:val="0"/>
      <w:divBdr>
        <w:top w:val="none" w:sz="0" w:space="0" w:color="auto"/>
        <w:left w:val="none" w:sz="0" w:space="0" w:color="auto"/>
        <w:bottom w:val="none" w:sz="0" w:space="0" w:color="auto"/>
        <w:right w:val="none" w:sz="0" w:space="0" w:color="auto"/>
      </w:divBdr>
    </w:div>
    <w:div w:id="1707099349">
      <w:bodyDiv w:val="1"/>
      <w:marLeft w:val="0"/>
      <w:marRight w:val="0"/>
      <w:marTop w:val="0"/>
      <w:marBottom w:val="0"/>
      <w:divBdr>
        <w:top w:val="none" w:sz="0" w:space="0" w:color="auto"/>
        <w:left w:val="none" w:sz="0" w:space="0" w:color="auto"/>
        <w:bottom w:val="none" w:sz="0" w:space="0" w:color="auto"/>
        <w:right w:val="none" w:sz="0" w:space="0" w:color="auto"/>
      </w:divBdr>
    </w:div>
    <w:div w:id="1716811657">
      <w:bodyDiv w:val="1"/>
      <w:marLeft w:val="0"/>
      <w:marRight w:val="0"/>
      <w:marTop w:val="0"/>
      <w:marBottom w:val="0"/>
      <w:divBdr>
        <w:top w:val="none" w:sz="0" w:space="0" w:color="auto"/>
        <w:left w:val="none" w:sz="0" w:space="0" w:color="auto"/>
        <w:bottom w:val="none" w:sz="0" w:space="0" w:color="auto"/>
        <w:right w:val="none" w:sz="0" w:space="0" w:color="auto"/>
      </w:divBdr>
    </w:div>
    <w:div w:id="1733694435">
      <w:bodyDiv w:val="1"/>
      <w:marLeft w:val="0"/>
      <w:marRight w:val="0"/>
      <w:marTop w:val="0"/>
      <w:marBottom w:val="0"/>
      <w:divBdr>
        <w:top w:val="none" w:sz="0" w:space="0" w:color="auto"/>
        <w:left w:val="none" w:sz="0" w:space="0" w:color="auto"/>
        <w:bottom w:val="none" w:sz="0" w:space="0" w:color="auto"/>
        <w:right w:val="none" w:sz="0" w:space="0" w:color="auto"/>
      </w:divBdr>
    </w:div>
    <w:div w:id="1734737953">
      <w:bodyDiv w:val="1"/>
      <w:marLeft w:val="0"/>
      <w:marRight w:val="0"/>
      <w:marTop w:val="0"/>
      <w:marBottom w:val="0"/>
      <w:divBdr>
        <w:top w:val="none" w:sz="0" w:space="0" w:color="auto"/>
        <w:left w:val="none" w:sz="0" w:space="0" w:color="auto"/>
        <w:bottom w:val="none" w:sz="0" w:space="0" w:color="auto"/>
        <w:right w:val="none" w:sz="0" w:space="0" w:color="auto"/>
      </w:divBdr>
    </w:div>
    <w:div w:id="1788235052">
      <w:bodyDiv w:val="1"/>
      <w:marLeft w:val="0"/>
      <w:marRight w:val="0"/>
      <w:marTop w:val="0"/>
      <w:marBottom w:val="0"/>
      <w:divBdr>
        <w:top w:val="none" w:sz="0" w:space="0" w:color="auto"/>
        <w:left w:val="none" w:sz="0" w:space="0" w:color="auto"/>
        <w:bottom w:val="none" w:sz="0" w:space="0" w:color="auto"/>
        <w:right w:val="none" w:sz="0" w:space="0" w:color="auto"/>
      </w:divBdr>
    </w:div>
    <w:div w:id="1858931959">
      <w:bodyDiv w:val="1"/>
      <w:marLeft w:val="0"/>
      <w:marRight w:val="0"/>
      <w:marTop w:val="0"/>
      <w:marBottom w:val="0"/>
      <w:divBdr>
        <w:top w:val="none" w:sz="0" w:space="0" w:color="auto"/>
        <w:left w:val="none" w:sz="0" w:space="0" w:color="auto"/>
        <w:bottom w:val="none" w:sz="0" w:space="0" w:color="auto"/>
        <w:right w:val="none" w:sz="0" w:space="0" w:color="auto"/>
      </w:divBdr>
    </w:div>
    <w:div w:id="1879976134">
      <w:bodyDiv w:val="1"/>
      <w:marLeft w:val="0"/>
      <w:marRight w:val="0"/>
      <w:marTop w:val="0"/>
      <w:marBottom w:val="0"/>
      <w:divBdr>
        <w:top w:val="none" w:sz="0" w:space="0" w:color="auto"/>
        <w:left w:val="none" w:sz="0" w:space="0" w:color="auto"/>
        <w:bottom w:val="none" w:sz="0" w:space="0" w:color="auto"/>
        <w:right w:val="none" w:sz="0" w:space="0" w:color="auto"/>
      </w:divBdr>
    </w:div>
    <w:div w:id="1915191241">
      <w:bodyDiv w:val="1"/>
      <w:marLeft w:val="0"/>
      <w:marRight w:val="0"/>
      <w:marTop w:val="0"/>
      <w:marBottom w:val="0"/>
      <w:divBdr>
        <w:top w:val="none" w:sz="0" w:space="0" w:color="auto"/>
        <w:left w:val="none" w:sz="0" w:space="0" w:color="auto"/>
        <w:bottom w:val="none" w:sz="0" w:space="0" w:color="auto"/>
        <w:right w:val="none" w:sz="0" w:space="0" w:color="auto"/>
      </w:divBdr>
    </w:div>
    <w:div w:id="1919552562">
      <w:bodyDiv w:val="1"/>
      <w:marLeft w:val="0"/>
      <w:marRight w:val="0"/>
      <w:marTop w:val="0"/>
      <w:marBottom w:val="0"/>
      <w:divBdr>
        <w:top w:val="none" w:sz="0" w:space="0" w:color="auto"/>
        <w:left w:val="none" w:sz="0" w:space="0" w:color="auto"/>
        <w:bottom w:val="none" w:sz="0" w:space="0" w:color="auto"/>
        <w:right w:val="none" w:sz="0" w:space="0" w:color="auto"/>
      </w:divBdr>
    </w:div>
    <w:div w:id="1977759283">
      <w:bodyDiv w:val="1"/>
      <w:marLeft w:val="0"/>
      <w:marRight w:val="0"/>
      <w:marTop w:val="0"/>
      <w:marBottom w:val="0"/>
      <w:divBdr>
        <w:top w:val="none" w:sz="0" w:space="0" w:color="auto"/>
        <w:left w:val="none" w:sz="0" w:space="0" w:color="auto"/>
        <w:bottom w:val="none" w:sz="0" w:space="0" w:color="auto"/>
        <w:right w:val="none" w:sz="0" w:space="0" w:color="auto"/>
      </w:divBdr>
    </w:div>
    <w:div w:id="21049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2185</Words>
  <Characters>14650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2024021213, var. 9: Ændring af MAH adresse fra:_x000d_
Industrial Farmacéutica Cantabria, S.A._x000d_
Ctra. Cazoña-Adarzo, s/n_x000d_
39011 Santander (Cantabria)_x000d_
_x000d_
</dc:description>
  <cp:lastModifiedBy>Helle Venn</cp:lastModifiedBy>
  <cp:revision>3</cp:revision>
  <cp:lastPrinted>2012-08-22T08:53:00Z</cp:lastPrinted>
  <dcterms:created xsi:type="dcterms:W3CDTF">2024-03-11T07:18:00Z</dcterms:created>
  <dcterms:modified xsi:type="dcterms:W3CDTF">2024-03-11T07:26:00Z</dcterms:modified>
</cp:coreProperties>
</file>