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D512"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87C0382" wp14:editId="389F5A3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BA0165D" w14:textId="77777777" w:rsidR="009260DE" w:rsidRPr="00C84483" w:rsidRDefault="009260DE" w:rsidP="009260DE">
      <w:pPr>
        <w:pStyle w:val="Titel"/>
        <w:tabs>
          <w:tab w:val="right" w:pos="9356"/>
        </w:tabs>
        <w:jc w:val="left"/>
        <w:rPr>
          <w:b w:val="0"/>
          <w:szCs w:val="24"/>
          <w:lang w:eastAsia="en-US"/>
        </w:rPr>
      </w:pPr>
    </w:p>
    <w:p w14:paraId="7786CD51" w14:textId="3CB73FA3" w:rsidR="009260DE" w:rsidRPr="00AA07B7" w:rsidRDefault="009260DE" w:rsidP="009260DE">
      <w:pPr>
        <w:pStyle w:val="Titel"/>
        <w:tabs>
          <w:tab w:val="right" w:pos="9356"/>
        </w:tabs>
        <w:jc w:val="left"/>
        <w:rPr>
          <w:b w:val="0"/>
          <w:szCs w:val="24"/>
          <w:lang w:val="en-US" w:eastAsia="en-US"/>
        </w:rPr>
      </w:pPr>
      <w:r w:rsidRPr="00C84483">
        <w:rPr>
          <w:b w:val="0"/>
          <w:szCs w:val="24"/>
          <w:lang w:eastAsia="en-US"/>
        </w:rPr>
        <w:tab/>
      </w:r>
      <w:r w:rsidR="00804FFD">
        <w:rPr>
          <w:szCs w:val="24"/>
          <w:lang w:val="en-US"/>
        </w:rPr>
        <w:t>5. december 2024</w:t>
      </w:r>
    </w:p>
    <w:p w14:paraId="097F8D0C" w14:textId="77777777" w:rsidR="009260DE" w:rsidRPr="00AA07B7" w:rsidRDefault="009260DE" w:rsidP="009260DE">
      <w:pPr>
        <w:pStyle w:val="Titel"/>
        <w:tabs>
          <w:tab w:val="left" w:pos="8222"/>
        </w:tabs>
        <w:jc w:val="left"/>
        <w:rPr>
          <w:b w:val="0"/>
          <w:szCs w:val="24"/>
          <w:lang w:val="en-US"/>
        </w:rPr>
      </w:pPr>
    </w:p>
    <w:p w14:paraId="7D52B922" w14:textId="77777777" w:rsidR="009260DE" w:rsidRPr="00AA07B7" w:rsidRDefault="009260DE" w:rsidP="009260DE">
      <w:pPr>
        <w:pStyle w:val="Titel"/>
        <w:jc w:val="left"/>
        <w:rPr>
          <w:b w:val="0"/>
          <w:szCs w:val="24"/>
          <w:lang w:val="en-US"/>
        </w:rPr>
      </w:pPr>
    </w:p>
    <w:p w14:paraId="69953AE5" w14:textId="77777777" w:rsidR="009260DE" w:rsidRPr="00AA07B7" w:rsidRDefault="009260DE" w:rsidP="009260DE">
      <w:pPr>
        <w:pStyle w:val="Titel"/>
        <w:jc w:val="left"/>
        <w:rPr>
          <w:b w:val="0"/>
          <w:szCs w:val="24"/>
          <w:lang w:val="en-US"/>
        </w:rPr>
      </w:pPr>
    </w:p>
    <w:p w14:paraId="1D01529D" w14:textId="77777777" w:rsidR="009260DE" w:rsidRPr="00804FFD" w:rsidRDefault="009260DE" w:rsidP="009260DE">
      <w:pPr>
        <w:jc w:val="center"/>
        <w:rPr>
          <w:b/>
          <w:sz w:val="24"/>
          <w:szCs w:val="24"/>
        </w:rPr>
      </w:pPr>
      <w:r w:rsidRPr="00804FFD">
        <w:rPr>
          <w:b/>
          <w:sz w:val="24"/>
          <w:szCs w:val="24"/>
        </w:rPr>
        <w:t>PRODUKTRESUMÉ</w:t>
      </w:r>
    </w:p>
    <w:p w14:paraId="56CB0855" w14:textId="77777777" w:rsidR="009260DE" w:rsidRPr="00804FFD" w:rsidRDefault="009260DE" w:rsidP="009260DE">
      <w:pPr>
        <w:jc w:val="center"/>
        <w:rPr>
          <w:b/>
          <w:sz w:val="24"/>
          <w:szCs w:val="24"/>
        </w:rPr>
      </w:pPr>
    </w:p>
    <w:p w14:paraId="460B80AB" w14:textId="77777777" w:rsidR="009260DE" w:rsidRPr="00804FFD" w:rsidRDefault="009260DE" w:rsidP="009260DE">
      <w:pPr>
        <w:jc w:val="center"/>
        <w:rPr>
          <w:b/>
          <w:sz w:val="24"/>
          <w:szCs w:val="24"/>
        </w:rPr>
      </w:pPr>
      <w:r w:rsidRPr="00804FFD">
        <w:rPr>
          <w:b/>
          <w:sz w:val="24"/>
          <w:szCs w:val="24"/>
        </w:rPr>
        <w:t>for</w:t>
      </w:r>
    </w:p>
    <w:p w14:paraId="4253E727" w14:textId="77777777" w:rsidR="000B058C" w:rsidRPr="00804FFD" w:rsidRDefault="000B058C" w:rsidP="009260DE">
      <w:pPr>
        <w:jc w:val="center"/>
        <w:rPr>
          <w:b/>
          <w:sz w:val="24"/>
          <w:szCs w:val="24"/>
        </w:rPr>
      </w:pPr>
    </w:p>
    <w:p w14:paraId="27D7A480" w14:textId="77777777" w:rsidR="009260DE" w:rsidRPr="00804FFD" w:rsidRDefault="00AA07B7" w:rsidP="009260DE">
      <w:pPr>
        <w:jc w:val="center"/>
        <w:rPr>
          <w:b/>
          <w:sz w:val="24"/>
          <w:szCs w:val="24"/>
        </w:rPr>
      </w:pPr>
      <w:r w:rsidRPr="00804FFD">
        <w:rPr>
          <w:b/>
          <w:sz w:val="24"/>
          <w:szCs w:val="24"/>
        </w:rPr>
        <w:t>Clopidogrel "Juta", filmovertrukne tabletter</w:t>
      </w:r>
    </w:p>
    <w:p w14:paraId="16CE9A78" w14:textId="77777777" w:rsidR="009260DE" w:rsidRPr="00804FFD" w:rsidRDefault="009260DE" w:rsidP="009260DE">
      <w:pPr>
        <w:jc w:val="both"/>
        <w:rPr>
          <w:sz w:val="24"/>
          <w:szCs w:val="24"/>
        </w:rPr>
      </w:pPr>
    </w:p>
    <w:p w14:paraId="0F08AA84" w14:textId="77777777" w:rsidR="009260DE" w:rsidRPr="00804FFD" w:rsidRDefault="009260DE" w:rsidP="009260DE">
      <w:pPr>
        <w:jc w:val="both"/>
        <w:rPr>
          <w:sz w:val="24"/>
          <w:szCs w:val="24"/>
        </w:rPr>
      </w:pPr>
    </w:p>
    <w:p w14:paraId="5A8230EA" w14:textId="77777777" w:rsidR="009260DE" w:rsidRPr="00804FFD" w:rsidRDefault="009260DE" w:rsidP="009260DE">
      <w:pPr>
        <w:tabs>
          <w:tab w:val="left" w:pos="851"/>
        </w:tabs>
        <w:ind w:left="851" w:hanging="851"/>
        <w:rPr>
          <w:b/>
          <w:sz w:val="24"/>
          <w:szCs w:val="24"/>
        </w:rPr>
      </w:pPr>
      <w:r w:rsidRPr="00804FFD">
        <w:rPr>
          <w:b/>
          <w:sz w:val="24"/>
          <w:szCs w:val="24"/>
        </w:rPr>
        <w:t>0.</w:t>
      </w:r>
      <w:r w:rsidRPr="00804FFD">
        <w:rPr>
          <w:b/>
          <w:sz w:val="24"/>
          <w:szCs w:val="24"/>
        </w:rPr>
        <w:tab/>
        <w:t>D.SP.NR.</w:t>
      </w:r>
    </w:p>
    <w:p w14:paraId="4F9B6C3B" w14:textId="6B55918B" w:rsidR="009260DE" w:rsidRPr="00C84483" w:rsidRDefault="007A40B9" w:rsidP="009260DE">
      <w:pPr>
        <w:tabs>
          <w:tab w:val="left" w:pos="851"/>
        </w:tabs>
        <w:ind w:left="851"/>
        <w:rPr>
          <w:sz w:val="24"/>
          <w:szCs w:val="24"/>
        </w:rPr>
      </w:pPr>
      <w:r>
        <w:rPr>
          <w:sz w:val="24"/>
          <w:szCs w:val="24"/>
        </w:rPr>
        <w:t>33021</w:t>
      </w:r>
    </w:p>
    <w:p w14:paraId="1893EA81" w14:textId="77777777" w:rsidR="009260DE" w:rsidRPr="00C84483" w:rsidRDefault="009260DE" w:rsidP="009260DE">
      <w:pPr>
        <w:tabs>
          <w:tab w:val="left" w:pos="851"/>
        </w:tabs>
        <w:ind w:left="851"/>
        <w:rPr>
          <w:sz w:val="24"/>
          <w:szCs w:val="24"/>
        </w:rPr>
      </w:pPr>
    </w:p>
    <w:p w14:paraId="7D980CE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D3338E1" w14:textId="6CC33CF9" w:rsidR="009260DE" w:rsidRPr="00C84483" w:rsidRDefault="007A40B9" w:rsidP="009260DE">
      <w:pPr>
        <w:tabs>
          <w:tab w:val="left" w:pos="851"/>
        </w:tabs>
        <w:ind w:left="851"/>
        <w:rPr>
          <w:sz w:val="24"/>
          <w:szCs w:val="24"/>
        </w:rPr>
      </w:pPr>
      <w:r>
        <w:rPr>
          <w:sz w:val="24"/>
          <w:szCs w:val="24"/>
        </w:rPr>
        <w:t>Clopidogrel "Juta"</w:t>
      </w:r>
    </w:p>
    <w:p w14:paraId="4119F677" w14:textId="77777777" w:rsidR="009260DE" w:rsidRPr="00C84483" w:rsidRDefault="009260DE" w:rsidP="009260DE">
      <w:pPr>
        <w:tabs>
          <w:tab w:val="left" w:pos="851"/>
        </w:tabs>
        <w:ind w:left="851"/>
        <w:rPr>
          <w:sz w:val="24"/>
          <w:szCs w:val="24"/>
        </w:rPr>
      </w:pPr>
    </w:p>
    <w:p w14:paraId="1C110E3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BFE8EB4" w14:textId="77777777" w:rsidR="007A40B9" w:rsidRPr="007A40B9" w:rsidRDefault="007A40B9" w:rsidP="007A40B9">
      <w:pPr>
        <w:tabs>
          <w:tab w:val="left" w:pos="851"/>
        </w:tabs>
        <w:ind w:left="851"/>
        <w:rPr>
          <w:sz w:val="24"/>
          <w:szCs w:val="24"/>
        </w:rPr>
      </w:pPr>
      <w:r w:rsidRPr="007A40B9">
        <w:rPr>
          <w:sz w:val="24"/>
          <w:szCs w:val="24"/>
        </w:rPr>
        <w:t>Hver filmovertrukket tablet indeholder 75 mg clopidogrel (som hydrogensulfat).</w:t>
      </w:r>
    </w:p>
    <w:p w14:paraId="0FB54B56" w14:textId="77777777" w:rsidR="007A40B9" w:rsidRPr="007A40B9" w:rsidRDefault="007A40B9" w:rsidP="007A40B9">
      <w:pPr>
        <w:tabs>
          <w:tab w:val="left" w:pos="851"/>
        </w:tabs>
        <w:ind w:left="851"/>
        <w:rPr>
          <w:sz w:val="24"/>
          <w:szCs w:val="24"/>
        </w:rPr>
      </w:pPr>
    </w:p>
    <w:p w14:paraId="3917E1B5" w14:textId="3A2AC9BB" w:rsidR="007A40B9" w:rsidRPr="007A40B9" w:rsidRDefault="007A40B9" w:rsidP="007A40B9">
      <w:pPr>
        <w:tabs>
          <w:tab w:val="left" w:pos="851"/>
        </w:tabs>
        <w:ind w:left="851"/>
        <w:rPr>
          <w:sz w:val="24"/>
          <w:szCs w:val="24"/>
          <w:u w:val="single"/>
          <w:lang w:val="de-DE"/>
        </w:rPr>
      </w:pPr>
      <w:r w:rsidRPr="007A40B9">
        <w:rPr>
          <w:sz w:val="24"/>
          <w:szCs w:val="24"/>
          <w:u w:val="single"/>
          <w:lang w:val="de-DE"/>
        </w:rPr>
        <w:t>Hjælpestoffer, som behandleren skal være opmærksom på</w:t>
      </w:r>
    </w:p>
    <w:p w14:paraId="643AB0D2" w14:textId="77777777" w:rsidR="007A40B9" w:rsidRPr="007A40B9" w:rsidRDefault="007A40B9" w:rsidP="007A40B9">
      <w:pPr>
        <w:tabs>
          <w:tab w:val="left" w:pos="851"/>
        </w:tabs>
        <w:ind w:left="851"/>
        <w:rPr>
          <w:sz w:val="24"/>
          <w:szCs w:val="24"/>
        </w:rPr>
      </w:pPr>
      <w:r w:rsidRPr="007A40B9">
        <w:rPr>
          <w:sz w:val="24"/>
          <w:szCs w:val="24"/>
        </w:rPr>
        <w:t>Hver filmovertrukket tablet indeholder 119 mg lactose og 0,258 mg natrium.</w:t>
      </w:r>
    </w:p>
    <w:p w14:paraId="3A9E60D9" w14:textId="77777777" w:rsidR="007A40B9" w:rsidRPr="007A40B9" w:rsidRDefault="007A40B9" w:rsidP="007A40B9">
      <w:pPr>
        <w:tabs>
          <w:tab w:val="left" w:pos="851"/>
        </w:tabs>
        <w:ind w:left="851"/>
        <w:rPr>
          <w:sz w:val="24"/>
          <w:szCs w:val="24"/>
        </w:rPr>
      </w:pPr>
    </w:p>
    <w:p w14:paraId="68F648A2" w14:textId="77777777" w:rsidR="007A40B9" w:rsidRPr="007A40B9" w:rsidRDefault="007A40B9" w:rsidP="007A40B9">
      <w:pPr>
        <w:tabs>
          <w:tab w:val="left" w:pos="851"/>
        </w:tabs>
        <w:ind w:left="851"/>
        <w:rPr>
          <w:sz w:val="24"/>
          <w:szCs w:val="24"/>
        </w:rPr>
      </w:pPr>
      <w:r w:rsidRPr="007A40B9">
        <w:rPr>
          <w:sz w:val="24"/>
          <w:szCs w:val="24"/>
        </w:rPr>
        <w:t>Alle hjælpestoffer er anført under pkt. 6.1.</w:t>
      </w:r>
    </w:p>
    <w:p w14:paraId="066C4E5F" w14:textId="77777777" w:rsidR="009260DE" w:rsidRPr="00C84483" w:rsidRDefault="009260DE" w:rsidP="009260DE">
      <w:pPr>
        <w:tabs>
          <w:tab w:val="left" w:pos="851"/>
        </w:tabs>
        <w:ind w:left="851"/>
        <w:rPr>
          <w:sz w:val="24"/>
          <w:szCs w:val="24"/>
        </w:rPr>
      </w:pPr>
    </w:p>
    <w:p w14:paraId="04073FF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D1AFD4F" w14:textId="631B6219" w:rsidR="007A40B9" w:rsidRPr="007A40B9" w:rsidRDefault="007A40B9" w:rsidP="007A40B9">
      <w:pPr>
        <w:tabs>
          <w:tab w:val="left" w:pos="851"/>
        </w:tabs>
        <w:ind w:left="851"/>
        <w:rPr>
          <w:sz w:val="24"/>
          <w:szCs w:val="24"/>
        </w:rPr>
      </w:pPr>
      <w:r w:rsidRPr="007A40B9">
        <w:rPr>
          <w:sz w:val="24"/>
          <w:szCs w:val="24"/>
        </w:rPr>
        <w:t>Filmovertruk</w:t>
      </w:r>
      <w:r>
        <w:rPr>
          <w:sz w:val="24"/>
          <w:szCs w:val="24"/>
        </w:rPr>
        <w:t>ne</w:t>
      </w:r>
      <w:r w:rsidRPr="007A40B9">
        <w:rPr>
          <w:sz w:val="24"/>
          <w:szCs w:val="24"/>
        </w:rPr>
        <w:t xml:space="preserve"> tablet</w:t>
      </w:r>
      <w:r>
        <w:rPr>
          <w:sz w:val="24"/>
          <w:szCs w:val="24"/>
        </w:rPr>
        <w:t>ter</w:t>
      </w:r>
    </w:p>
    <w:p w14:paraId="1F74AF0C" w14:textId="77777777" w:rsidR="007A40B9" w:rsidRPr="007A40B9" w:rsidRDefault="007A40B9" w:rsidP="007A40B9">
      <w:pPr>
        <w:tabs>
          <w:tab w:val="left" w:pos="851"/>
        </w:tabs>
        <w:ind w:left="851"/>
        <w:rPr>
          <w:sz w:val="24"/>
          <w:szCs w:val="24"/>
        </w:rPr>
      </w:pPr>
    </w:p>
    <w:p w14:paraId="5A6C0FB0" w14:textId="2C8F3971" w:rsidR="007A40B9" w:rsidRPr="007A40B9" w:rsidRDefault="007A40B9" w:rsidP="007A40B9">
      <w:pPr>
        <w:tabs>
          <w:tab w:val="left" w:pos="851"/>
        </w:tabs>
        <w:ind w:left="851"/>
        <w:rPr>
          <w:sz w:val="24"/>
          <w:szCs w:val="24"/>
        </w:rPr>
      </w:pPr>
      <w:r w:rsidRPr="007A40B9">
        <w:rPr>
          <w:sz w:val="24"/>
          <w:szCs w:val="24"/>
        </w:rPr>
        <w:t>Pink, runde, bikonvekse</w:t>
      </w:r>
      <w:r>
        <w:rPr>
          <w:sz w:val="24"/>
          <w:szCs w:val="24"/>
        </w:rPr>
        <w:t>,</w:t>
      </w:r>
      <w:r w:rsidRPr="007A40B9">
        <w:rPr>
          <w:sz w:val="24"/>
          <w:szCs w:val="24"/>
        </w:rPr>
        <w:t xml:space="preserve"> filmovertrukne tabletter med "L11" indgraveret på den ene side og almindelig på den anden side.</w:t>
      </w:r>
    </w:p>
    <w:p w14:paraId="7EA2B2D8" w14:textId="77777777" w:rsidR="007A40B9" w:rsidRPr="007A40B9" w:rsidRDefault="007A40B9" w:rsidP="007A40B9">
      <w:pPr>
        <w:tabs>
          <w:tab w:val="left" w:pos="851"/>
        </w:tabs>
        <w:ind w:left="851"/>
        <w:rPr>
          <w:sz w:val="24"/>
          <w:szCs w:val="24"/>
        </w:rPr>
      </w:pPr>
    </w:p>
    <w:p w14:paraId="42B3F57D" w14:textId="77777777" w:rsidR="007A40B9" w:rsidRPr="007A40B9" w:rsidRDefault="007A40B9" w:rsidP="007A40B9">
      <w:pPr>
        <w:tabs>
          <w:tab w:val="left" w:pos="851"/>
        </w:tabs>
        <w:ind w:left="851"/>
        <w:rPr>
          <w:sz w:val="24"/>
          <w:szCs w:val="24"/>
        </w:rPr>
      </w:pPr>
      <w:r w:rsidRPr="007A40B9">
        <w:rPr>
          <w:sz w:val="24"/>
          <w:szCs w:val="24"/>
        </w:rPr>
        <w:t>Den omtrentlige dimension af tabletterne: 8,70 ± 0,2 mm</w:t>
      </w:r>
    </w:p>
    <w:p w14:paraId="10F83245" w14:textId="77777777" w:rsidR="009260DE" w:rsidRPr="00C84483" w:rsidRDefault="009260DE" w:rsidP="009260DE">
      <w:pPr>
        <w:tabs>
          <w:tab w:val="left" w:pos="851"/>
        </w:tabs>
        <w:ind w:left="851"/>
        <w:rPr>
          <w:sz w:val="24"/>
          <w:szCs w:val="24"/>
        </w:rPr>
      </w:pPr>
    </w:p>
    <w:p w14:paraId="1CAD3153" w14:textId="77777777" w:rsidR="009260DE" w:rsidRPr="00C84483" w:rsidRDefault="009260DE" w:rsidP="009260DE">
      <w:pPr>
        <w:tabs>
          <w:tab w:val="left" w:pos="851"/>
        </w:tabs>
        <w:ind w:left="851"/>
        <w:rPr>
          <w:sz w:val="24"/>
          <w:szCs w:val="24"/>
        </w:rPr>
      </w:pPr>
    </w:p>
    <w:p w14:paraId="3B49EFB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E7EA3B7" w14:textId="77777777" w:rsidR="009260DE" w:rsidRPr="00C84483" w:rsidRDefault="009260DE" w:rsidP="009260DE">
      <w:pPr>
        <w:tabs>
          <w:tab w:val="left" w:pos="851"/>
        </w:tabs>
        <w:ind w:left="851"/>
        <w:rPr>
          <w:b/>
          <w:sz w:val="24"/>
          <w:szCs w:val="24"/>
        </w:rPr>
      </w:pPr>
    </w:p>
    <w:p w14:paraId="7B5B619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7DB1FCA" w14:textId="77777777" w:rsidR="007A40B9" w:rsidRPr="007A40B9" w:rsidRDefault="007A40B9" w:rsidP="007A40B9">
      <w:pPr>
        <w:tabs>
          <w:tab w:val="left" w:pos="851"/>
        </w:tabs>
        <w:ind w:left="851"/>
        <w:rPr>
          <w:sz w:val="24"/>
          <w:szCs w:val="24"/>
        </w:rPr>
      </w:pPr>
    </w:p>
    <w:p w14:paraId="2C5F8A4F" w14:textId="77777777" w:rsidR="007A40B9" w:rsidRPr="007A40B9" w:rsidRDefault="007A40B9" w:rsidP="007A40B9">
      <w:pPr>
        <w:tabs>
          <w:tab w:val="left" w:pos="851"/>
        </w:tabs>
        <w:ind w:left="851"/>
        <w:rPr>
          <w:i/>
          <w:sz w:val="24"/>
          <w:szCs w:val="24"/>
        </w:rPr>
      </w:pPr>
      <w:r w:rsidRPr="007A40B9">
        <w:rPr>
          <w:i/>
          <w:sz w:val="24"/>
          <w:szCs w:val="24"/>
        </w:rPr>
        <w:t>Sekundær forebyggelse af aterotrombotiske hændelser</w:t>
      </w:r>
    </w:p>
    <w:p w14:paraId="405817C8" w14:textId="77777777" w:rsidR="007A40B9" w:rsidRDefault="007A40B9" w:rsidP="007A40B9">
      <w:pPr>
        <w:tabs>
          <w:tab w:val="left" w:pos="851"/>
        </w:tabs>
        <w:ind w:left="851"/>
        <w:rPr>
          <w:sz w:val="24"/>
          <w:szCs w:val="24"/>
        </w:rPr>
      </w:pPr>
    </w:p>
    <w:p w14:paraId="6849D156" w14:textId="6C02BEA1" w:rsidR="007A40B9" w:rsidRPr="007A40B9" w:rsidRDefault="007A40B9" w:rsidP="007A40B9">
      <w:pPr>
        <w:tabs>
          <w:tab w:val="left" w:pos="851"/>
        </w:tabs>
        <w:ind w:left="851"/>
        <w:rPr>
          <w:sz w:val="24"/>
          <w:szCs w:val="24"/>
        </w:rPr>
      </w:pPr>
      <w:r w:rsidRPr="007A40B9">
        <w:rPr>
          <w:sz w:val="24"/>
          <w:szCs w:val="24"/>
        </w:rPr>
        <w:t>Clopidogrel er indiceret hos:</w:t>
      </w:r>
    </w:p>
    <w:p w14:paraId="72F0CBDF" w14:textId="77777777" w:rsidR="007A40B9" w:rsidRPr="007A40B9" w:rsidRDefault="007A40B9" w:rsidP="007A40B9">
      <w:pPr>
        <w:numPr>
          <w:ilvl w:val="0"/>
          <w:numId w:val="6"/>
        </w:numPr>
        <w:tabs>
          <w:tab w:val="left" w:pos="851"/>
        </w:tabs>
        <w:ind w:left="1134" w:hanging="283"/>
        <w:rPr>
          <w:sz w:val="24"/>
          <w:szCs w:val="24"/>
        </w:rPr>
      </w:pPr>
      <w:r w:rsidRPr="007A40B9">
        <w:rPr>
          <w:sz w:val="24"/>
          <w:szCs w:val="24"/>
        </w:rPr>
        <w:t>Voksne patienter med myokardieinfarkt (MI) (fra få dage, men ikke over 35 dage), iskæmisk apopleksi (fra 7 dage, men ikke over 6 måneder) eller påviste perifere kredsløbsforstyrrelser.</w:t>
      </w:r>
    </w:p>
    <w:p w14:paraId="1ACA1EFA" w14:textId="77777777" w:rsidR="007A40B9" w:rsidRPr="007A40B9" w:rsidRDefault="007A40B9" w:rsidP="007A40B9">
      <w:pPr>
        <w:numPr>
          <w:ilvl w:val="0"/>
          <w:numId w:val="6"/>
        </w:numPr>
        <w:tabs>
          <w:tab w:val="left" w:pos="851"/>
        </w:tabs>
        <w:ind w:left="1134" w:hanging="283"/>
        <w:rPr>
          <w:sz w:val="24"/>
          <w:szCs w:val="24"/>
        </w:rPr>
      </w:pPr>
      <w:r w:rsidRPr="007A40B9">
        <w:rPr>
          <w:sz w:val="24"/>
          <w:szCs w:val="24"/>
        </w:rPr>
        <w:t>Voksne patienter med akut koronarsyndrom:</w:t>
      </w:r>
    </w:p>
    <w:p w14:paraId="57132520" w14:textId="77777777" w:rsidR="007A40B9" w:rsidRPr="007A40B9" w:rsidRDefault="007A40B9" w:rsidP="007A40B9">
      <w:pPr>
        <w:numPr>
          <w:ilvl w:val="0"/>
          <w:numId w:val="7"/>
        </w:numPr>
        <w:tabs>
          <w:tab w:val="left" w:pos="851"/>
        </w:tabs>
        <w:ind w:left="1134" w:hanging="283"/>
        <w:rPr>
          <w:sz w:val="24"/>
          <w:szCs w:val="24"/>
        </w:rPr>
      </w:pPr>
      <w:r w:rsidRPr="007A40B9">
        <w:rPr>
          <w:sz w:val="24"/>
          <w:szCs w:val="24"/>
        </w:rPr>
        <w:lastRenderedPageBreak/>
        <w:t>akut koronarsyndrom uden elevation af ST-segmentet (ustabil angina eller myokardieinfarkt uden forekomst af Q-takker) inklusive patienter, som får indsat stent efter perkutant koronarindgreb, i kombination med acetylsalicylsyre (ASA).</w:t>
      </w:r>
    </w:p>
    <w:p w14:paraId="14842155" w14:textId="77777777" w:rsidR="007A40B9" w:rsidRPr="007A40B9" w:rsidRDefault="007A40B9" w:rsidP="007A40B9">
      <w:pPr>
        <w:numPr>
          <w:ilvl w:val="0"/>
          <w:numId w:val="7"/>
        </w:numPr>
        <w:tabs>
          <w:tab w:val="left" w:pos="851"/>
        </w:tabs>
        <w:ind w:left="1134" w:hanging="283"/>
        <w:rPr>
          <w:sz w:val="24"/>
          <w:szCs w:val="24"/>
        </w:rPr>
      </w:pPr>
      <w:r w:rsidRPr="007A40B9">
        <w:rPr>
          <w:sz w:val="24"/>
          <w:szCs w:val="24"/>
        </w:rPr>
        <w:t>akut myokardieinfarkt med elevation af ST-segmentet i kombination med ASA hos patienter, der skal have foretaget perkutant koronarindgreb (inklusive patienter, som får indsat en stent) eller medicinsk behandlede patienter, der er egnede til trombolytisk/fibrinolytisk behandling.</w:t>
      </w:r>
    </w:p>
    <w:p w14:paraId="2BFF7227" w14:textId="77777777" w:rsidR="007A40B9" w:rsidRPr="007A40B9" w:rsidRDefault="007A40B9" w:rsidP="007A40B9">
      <w:pPr>
        <w:tabs>
          <w:tab w:val="left" w:pos="851"/>
        </w:tabs>
        <w:ind w:left="851"/>
        <w:rPr>
          <w:sz w:val="24"/>
          <w:szCs w:val="24"/>
        </w:rPr>
      </w:pPr>
    </w:p>
    <w:p w14:paraId="649D1153" w14:textId="3895BCC2" w:rsidR="007A40B9" w:rsidRPr="007A40B9" w:rsidRDefault="007A40B9" w:rsidP="007A40B9">
      <w:pPr>
        <w:tabs>
          <w:tab w:val="left" w:pos="851"/>
        </w:tabs>
        <w:ind w:left="851"/>
        <w:rPr>
          <w:i/>
          <w:sz w:val="24"/>
          <w:szCs w:val="24"/>
        </w:rPr>
      </w:pPr>
      <w:r w:rsidRPr="007A40B9">
        <w:rPr>
          <w:i/>
          <w:sz w:val="24"/>
          <w:szCs w:val="24"/>
        </w:rPr>
        <w:t>Patienter med moderat til høj risiko for transitorisk cerebral iskæmi (TCI) eller mini-iskæmisk</w:t>
      </w:r>
      <w:r>
        <w:rPr>
          <w:i/>
          <w:sz w:val="24"/>
          <w:szCs w:val="24"/>
        </w:rPr>
        <w:t xml:space="preserve"> </w:t>
      </w:r>
      <w:r w:rsidRPr="007A40B9">
        <w:rPr>
          <w:i/>
          <w:sz w:val="24"/>
          <w:szCs w:val="24"/>
        </w:rPr>
        <w:t>apopleksi</w:t>
      </w:r>
    </w:p>
    <w:p w14:paraId="6F92EEC7" w14:textId="77777777" w:rsidR="007A40B9" w:rsidRDefault="007A40B9" w:rsidP="007A40B9">
      <w:pPr>
        <w:tabs>
          <w:tab w:val="left" w:pos="851"/>
        </w:tabs>
        <w:ind w:left="851"/>
        <w:rPr>
          <w:sz w:val="24"/>
          <w:szCs w:val="24"/>
        </w:rPr>
      </w:pPr>
    </w:p>
    <w:p w14:paraId="78AE835B" w14:textId="63773757" w:rsidR="007A40B9" w:rsidRPr="007A40B9" w:rsidRDefault="007A40B9" w:rsidP="007A40B9">
      <w:pPr>
        <w:tabs>
          <w:tab w:val="left" w:pos="851"/>
        </w:tabs>
        <w:ind w:left="851"/>
        <w:rPr>
          <w:sz w:val="24"/>
          <w:szCs w:val="24"/>
        </w:rPr>
      </w:pPr>
      <w:r w:rsidRPr="007A40B9">
        <w:rPr>
          <w:sz w:val="24"/>
          <w:szCs w:val="24"/>
        </w:rPr>
        <w:t>Clopidogrel i kombination med ASA er indiceret hos:</w:t>
      </w:r>
    </w:p>
    <w:p w14:paraId="59F2219C" w14:textId="77777777" w:rsidR="007A40B9" w:rsidRPr="007A40B9" w:rsidRDefault="007A40B9" w:rsidP="007A40B9">
      <w:pPr>
        <w:numPr>
          <w:ilvl w:val="0"/>
          <w:numId w:val="7"/>
        </w:numPr>
        <w:tabs>
          <w:tab w:val="left" w:pos="851"/>
        </w:tabs>
        <w:ind w:left="1134" w:hanging="283"/>
        <w:rPr>
          <w:sz w:val="24"/>
          <w:szCs w:val="24"/>
        </w:rPr>
      </w:pPr>
      <w:r w:rsidRPr="007A40B9">
        <w:rPr>
          <w:sz w:val="24"/>
          <w:szCs w:val="24"/>
        </w:rPr>
        <w:t>Voksne patienter med moderat til høj risiko for TCI (ABCD2</w:t>
      </w:r>
      <w:r w:rsidRPr="007A40B9">
        <w:rPr>
          <w:sz w:val="24"/>
          <w:szCs w:val="24"/>
          <w:vertAlign w:val="superscript"/>
          <w:lang w:val="en-US"/>
        </w:rPr>
        <w:footnoteReference w:id="1"/>
      </w:r>
      <w:r w:rsidRPr="007A40B9">
        <w:rPr>
          <w:sz w:val="24"/>
          <w:szCs w:val="24"/>
        </w:rPr>
        <w:t xml:space="preserve"> score ≥4) eller miniiskæmisk apopleksi (NIHSS</w:t>
      </w:r>
      <w:r w:rsidRPr="007A40B9">
        <w:rPr>
          <w:sz w:val="24"/>
          <w:szCs w:val="24"/>
          <w:vertAlign w:val="superscript"/>
          <w:lang w:val="en-US"/>
        </w:rPr>
        <w:footnoteReference w:id="2"/>
      </w:r>
      <w:r w:rsidRPr="007A40B9">
        <w:rPr>
          <w:sz w:val="24"/>
          <w:szCs w:val="24"/>
        </w:rPr>
        <w:t xml:space="preserve"> ≤3) inden for 24 timer efter enten TCI eller iskæmisk apopleksi.</w:t>
      </w:r>
    </w:p>
    <w:p w14:paraId="390038B6" w14:textId="77777777" w:rsidR="007A40B9" w:rsidRPr="007A40B9" w:rsidRDefault="007A40B9" w:rsidP="007A40B9">
      <w:pPr>
        <w:tabs>
          <w:tab w:val="left" w:pos="851"/>
        </w:tabs>
        <w:ind w:left="851"/>
        <w:rPr>
          <w:sz w:val="24"/>
          <w:szCs w:val="24"/>
        </w:rPr>
      </w:pPr>
    </w:p>
    <w:p w14:paraId="588C6C31" w14:textId="77777777" w:rsidR="007A40B9" w:rsidRPr="007A40B9" w:rsidRDefault="007A40B9" w:rsidP="007A40B9">
      <w:pPr>
        <w:tabs>
          <w:tab w:val="left" w:pos="851"/>
        </w:tabs>
        <w:ind w:left="851"/>
        <w:rPr>
          <w:i/>
          <w:sz w:val="24"/>
          <w:szCs w:val="24"/>
        </w:rPr>
      </w:pPr>
      <w:r w:rsidRPr="007A40B9">
        <w:rPr>
          <w:i/>
          <w:sz w:val="24"/>
          <w:szCs w:val="24"/>
        </w:rPr>
        <w:t>Forebyggelse af aterotrombotiske og tromboemboliske hændelser ved atrieflimren</w:t>
      </w:r>
    </w:p>
    <w:p w14:paraId="1E1F77FB" w14:textId="77777777" w:rsidR="007A40B9" w:rsidRPr="007A40B9" w:rsidRDefault="007A40B9" w:rsidP="007A40B9">
      <w:pPr>
        <w:tabs>
          <w:tab w:val="left" w:pos="851"/>
        </w:tabs>
        <w:ind w:left="851"/>
        <w:rPr>
          <w:sz w:val="24"/>
          <w:szCs w:val="24"/>
        </w:rPr>
      </w:pPr>
      <w:r w:rsidRPr="007A40B9">
        <w:rPr>
          <w:sz w:val="24"/>
          <w:szCs w:val="24"/>
        </w:rP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14:paraId="384AAC67" w14:textId="77777777" w:rsidR="007A40B9" w:rsidRPr="007A40B9" w:rsidRDefault="007A40B9" w:rsidP="007A40B9">
      <w:pPr>
        <w:tabs>
          <w:tab w:val="left" w:pos="851"/>
        </w:tabs>
        <w:ind w:left="851"/>
        <w:rPr>
          <w:sz w:val="24"/>
          <w:szCs w:val="24"/>
        </w:rPr>
      </w:pPr>
    </w:p>
    <w:p w14:paraId="23C4CB8E" w14:textId="77777777" w:rsidR="007A40B9" w:rsidRPr="007A40B9" w:rsidRDefault="007A40B9" w:rsidP="007A40B9">
      <w:pPr>
        <w:tabs>
          <w:tab w:val="left" w:pos="851"/>
        </w:tabs>
        <w:ind w:left="851"/>
        <w:rPr>
          <w:sz w:val="24"/>
          <w:szCs w:val="24"/>
        </w:rPr>
      </w:pPr>
      <w:r w:rsidRPr="007A40B9">
        <w:rPr>
          <w:sz w:val="24"/>
          <w:szCs w:val="24"/>
        </w:rPr>
        <w:t>For yderligere oplysninger henvises til pkt. 5.1.</w:t>
      </w:r>
    </w:p>
    <w:p w14:paraId="749870B5" w14:textId="77777777" w:rsidR="009260DE" w:rsidRPr="00C84483" w:rsidRDefault="009260DE" w:rsidP="009260DE">
      <w:pPr>
        <w:tabs>
          <w:tab w:val="left" w:pos="851"/>
        </w:tabs>
        <w:ind w:left="851"/>
        <w:rPr>
          <w:sz w:val="24"/>
          <w:szCs w:val="24"/>
        </w:rPr>
      </w:pPr>
    </w:p>
    <w:p w14:paraId="1728D34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2E13B5C" w14:textId="77777777" w:rsidR="00096BF8" w:rsidRDefault="00096BF8" w:rsidP="00096BF8">
      <w:pPr>
        <w:tabs>
          <w:tab w:val="left" w:pos="851"/>
        </w:tabs>
        <w:ind w:left="851"/>
        <w:rPr>
          <w:sz w:val="24"/>
          <w:szCs w:val="24"/>
          <w:u w:val="single"/>
          <w:lang w:val="en-US"/>
        </w:rPr>
      </w:pPr>
    </w:p>
    <w:p w14:paraId="75DD8D36" w14:textId="28849C59" w:rsidR="00096BF8" w:rsidRDefault="00096BF8" w:rsidP="00096BF8">
      <w:pPr>
        <w:tabs>
          <w:tab w:val="left" w:pos="851"/>
        </w:tabs>
        <w:ind w:left="851"/>
        <w:rPr>
          <w:b/>
          <w:sz w:val="24"/>
          <w:szCs w:val="24"/>
          <w:lang w:val="en-US"/>
        </w:rPr>
      </w:pPr>
      <w:r w:rsidRPr="00096BF8">
        <w:rPr>
          <w:b/>
          <w:sz w:val="24"/>
          <w:szCs w:val="24"/>
          <w:lang w:val="en-US"/>
        </w:rPr>
        <w:t>Dosering</w:t>
      </w:r>
    </w:p>
    <w:p w14:paraId="026ED1FC" w14:textId="77777777" w:rsidR="00096BF8" w:rsidRPr="00096BF8" w:rsidRDefault="00096BF8" w:rsidP="00096BF8">
      <w:pPr>
        <w:tabs>
          <w:tab w:val="left" w:pos="851"/>
        </w:tabs>
        <w:ind w:left="851"/>
        <w:rPr>
          <w:b/>
          <w:sz w:val="24"/>
          <w:szCs w:val="24"/>
          <w:lang w:val="en-US"/>
        </w:rPr>
      </w:pPr>
    </w:p>
    <w:p w14:paraId="4F7F57DD" w14:textId="77777777" w:rsidR="00096BF8" w:rsidRPr="00096BF8" w:rsidRDefault="00096BF8" w:rsidP="00096BF8">
      <w:pPr>
        <w:numPr>
          <w:ilvl w:val="0"/>
          <w:numId w:val="6"/>
        </w:numPr>
        <w:tabs>
          <w:tab w:val="left" w:pos="851"/>
        </w:tabs>
        <w:ind w:left="1134" w:hanging="283"/>
        <w:rPr>
          <w:sz w:val="24"/>
          <w:szCs w:val="24"/>
          <w:lang w:val="en-US"/>
        </w:rPr>
      </w:pPr>
      <w:r w:rsidRPr="00096BF8">
        <w:rPr>
          <w:sz w:val="24"/>
          <w:szCs w:val="24"/>
          <w:lang w:val="en-US"/>
        </w:rPr>
        <w:t>Voksne og ældre</w:t>
      </w:r>
    </w:p>
    <w:p w14:paraId="635A8DE1" w14:textId="77777777" w:rsidR="00096BF8" w:rsidRPr="00096BF8" w:rsidRDefault="00096BF8" w:rsidP="00096BF8">
      <w:pPr>
        <w:tabs>
          <w:tab w:val="left" w:pos="851"/>
        </w:tabs>
        <w:ind w:left="851"/>
        <w:rPr>
          <w:sz w:val="24"/>
          <w:szCs w:val="24"/>
          <w:lang w:val="en-US"/>
        </w:rPr>
      </w:pPr>
    </w:p>
    <w:p w14:paraId="2401CD5A" w14:textId="77777777" w:rsidR="00096BF8" w:rsidRPr="00096BF8" w:rsidRDefault="00096BF8" w:rsidP="00096BF8">
      <w:pPr>
        <w:tabs>
          <w:tab w:val="left" w:pos="851"/>
        </w:tabs>
        <w:ind w:left="851"/>
        <w:rPr>
          <w:sz w:val="24"/>
          <w:szCs w:val="24"/>
          <w:u w:val="single"/>
          <w:lang w:val="en-US"/>
        </w:rPr>
      </w:pPr>
      <w:r w:rsidRPr="00096BF8">
        <w:rPr>
          <w:sz w:val="24"/>
          <w:szCs w:val="24"/>
          <w:u w:val="single"/>
          <w:lang w:val="en-US"/>
        </w:rPr>
        <w:t>Clopidogrel Juta 75 mg filmovertrukne tabletter</w:t>
      </w:r>
    </w:p>
    <w:p w14:paraId="742FBCA6" w14:textId="77777777" w:rsidR="00096BF8" w:rsidRPr="00096BF8" w:rsidRDefault="00096BF8" w:rsidP="00096BF8">
      <w:pPr>
        <w:tabs>
          <w:tab w:val="left" w:pos="851"/>
        </w:tabs>
        <w:ind w:left="851"/>
        <w:rPr>
          <w:sz w:val="24"/>
          <w:szCs w:val="24"/>
        </w:rPr>
      </w:pPr>
      <w:r w:rsidRPr="00096BF8">
        <w:rPr>
          <w:sz w:val="24"/>
          <w:szCs w:val="24"/>
          <w:lang w:val="de-DE"/>
        </w:rPr>
        <w:t>Clopidogrel bør gives som en enkelt daglig dosis på 75 mg.</w:t>
      </w:r>
    </w:p>
    <w:p w14:paraId="66652D08" w14:textId="77777777" w:rsidR="00096BF8" w:rsidRPr="00096BF8" w:rsidRDefault="00096BF8" w:rsidP="00096BF8">
      <w:pPr>
        <w:tabs>
          <w:tab w:val="left" w:pos="851"/>
        </w:tabs>
        <w:ind w:left="851"/>
        <w:rPr>
          <w:sz w:val="24"/>
          <w:szCs w:val="24"/>
        </w:rPr>
      </w:pPr>
    </w:p>
    <w:p w14:paraId="527D6824" w14:textId="77777777" w:rsidR="00096BF8" w:rsidRPr="00096BF8" w:rsidRDefault="00096BF8" w:rsidP="00096BF8">
      <w:pPr>
        <w:tabs>
          <w:tab w:val="left" w:pos="851"/>
        </w:tabs>
        <w:ind w:left="851"/>
        <w:rPr>
          <w:sz w:val="24"/>
          <w:szCs w:val="24"/>
          <w:lang w:val="en-US"/>
        </w:rPr>
      </w:pPr>
      <w:r w:rsidRPr="00096BF8">
        <w:rPr>
          <w:sz w:val="24"/>
          <w:szCs w:val="24"/>
          <w:lang w:val="en-US"/>
        </w:rPr>
        <w:t>Hos patienter med akut koronarsyndrom</w:t>
      </w:r>
    </w:p>
    <w:p w14:paraId="30111DEC" w14:textId="77777777" w:rsidR="00096BF8" w:rsidRPr="00096BF8" w:rsidRDefault="00096BF8" w:rsidP="00096BF8">
      <w:pPr>
        <w:numPr>
          <w:ilvl w:val="0"/>
          <w:numId w:val="8"/>
        </w:numPr>
        <w:tabs>
          <w:tab w:val="left" w:pos="851"/>
        </w:tabs>
        <w:ind w:left="1134" w:hanging="283"/>
        <w:rPr>
          <w:sz w:val="24"/>
          <w:szCs w:val="24"/>
          <w:lang w:val="de-DE"/>
        </w:rPr>
      </w:pPr>
      <w:r w:rsidRPr="00096BF8">
        <w:rPr>
          <w:sz w:val="24"/>
          <w:szCs w:val="24"/>
        </w:rPr>
        <w:t xml:space="preserve">akut koronarsyndrom uden elevation af ST-segmentet (ustabil angina pectoris eller myokardieinfarkt uden forekomst af Q-takker): Behandling med clopidogrel bør indledes med en enkelt initial mætningsdosis på 300 mg eller 600 mg. En initialdosis (loading dose) på 600 mg kan overvejes hos patienter &lt;75 år, når perkutan koronar intervention planlægges (se pkt. 4.4). Behandlingen med clopidogrel skal fortsættes med 75 mg en gang daglig (sammen med acetylsalicylsyre (ASA) 75 mg - 325 mg/dag). </w:t>
      </w:r>
      <w:r w:rsidRPr="00096BF8">
        <w:rPr>
          <w:sz w:val="24"/>
          <w:szCs w:val="24"/>
          <w:lang w:val="de-DE"/>
        </w:rPr>
        <w:t>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1BB5AF58" w14:textId="77777777" w:rsidR="00096BF8" w:rsidRPr="00096BF8" w:rsidRDefault="00096BF8" w:rsidP="00096BF8">
      <w:pPr>
        <w:numPr>
          <w:ilvl w:val="0"/>
          <w:numId w:val="8"/>
        </w:numPr>
        <w:tabs>
          <w:tab w:val="left" w:pos="851"/>
        </w:tabs>
        <w:ind w:left="1134" w:hanging="283"/>
        <w:rPr>
          <w:sz w:val="24"/>
          <w:szCs w:val="24"/>
          <w:lang w:val="de-DE"/>
        </w:rPr>
      </w:pPr>
      <w:r w:rsidRPr="00096BF8">
        <w:rPr>
          <w:sz w:val="24"/>
          <w:szCs w:val="24"/>
        </w:rPr>
        <w:t xml:space="preserve">akut myokardieinfarkt med elevation af ST-segmentet: hos medicinsk behandlede patienter, der er egnede til trombolytisk/fibrinolytisk behandling, bør behandling med clopidogrel bestå af en daglig dosering på 75 mg, indledt med en mætningsdosis på 300 mg i kombination med ASA og med eller uden trombolytika. </w:t>
      </w:r>
      <w:r w:rsidRPr="00096BF8">
        <w:rPr>
          <w:sz w:val="24"/>
          <w:szCs w:val="24"/>
          <w:lang w:val="de-DE"/>
        </w:rPr>
        <w:t xml:space="preserve">Medicinsk behandlede </w:t>
      </w:r>
      <w:r w:rsidRPr="00096BF8">
        <w:rPr>
          <w:sz w:val="24"/>
          <w:szCs w:val="24"/>
          <w:lang w:val="de-DE"/>
        </w:rPr>
        <w:lastRenderedPageBreak/>
        <w:t>patienter, der er ældre end 75 år, bør ikke indlede behandlingen med clopidogrel med en mætningsdosis. Kombinationsterapi bør startes så tidligt som muligt, og fortsættes i mindst 4 uger efter symptomerne viser sig. Fordelene ved kombinationsbehandlingen med clopidogrel og ASA ud over 4 uger er ikke blevet undersøgt i denne sammensætning (se pkt. 5.1).</w:t>
      </w:r>
    </w:p>
    <w:p w14:paraId="241476D2" w14:textId="77777777" w:rsidR="00096BF8" w:rsidRPr="00096BF8" w:rsidRDefault="00096BF8" w:rsidP="00096BF8">
      <w:pPr>
        <w:tabs>
          <w:tab w:val="left" w:pos="851"/>
        </w:tabs>
        <w:ind w:left="851"/>
        <w:rPr>
          <w:sz w:val="24"/>
          <w:szCs w:val="24"/>
          <w:lang w:val="de-DE"/>
        </w:rPr>
      </w:pPr>
    </w:p>
    <w:p w14:paraId="401F2471" w14:textId="77777777" w:rsidR="00096BF8" w:rsidRPr="00096BF8" w:rsidRDefault="00096BF8" w:rsidP="00096BF8">
      <w:pPr>
        <w:tabs>
          <w:tab w:val="left" w:pos="1134"/>
        </w:tabs>
        <w:ind w:left="1134"/>
        <w:rPr>
          <w:sz w:val="24"/>
          <w:szCs w:val="24"/>
        </w:rPr>
      </w:pPr>
      <w:r w:rsidRPr="00096BF8">
        <w:rPr>
          <w:sz w:val="24"/>
          <w:szCs w:val="24"/>
        </w:rPr>
        <w:t>Voksne patienter med moderat til høj risiko for TCI eller mini-iskæmisk apopleksi:</w:t>
      </w:r>
    </w:p>
    <w:p w14:paraId="05C5C7D7" w14:textId="77777777" w:rsidR="00096BF8" w:rsidRPr="00096BF8" w:rsidRDefault="00096BF8" w:rsidP="00096BF8">
      <w:pPr>
        <w:tabs>
          <w:tab w:val="left" w:pos="1134"/>
        </w:tabs>
        <w:ind w:left="1134"/>
        <w:rPr>
          <w:sz w:val="24"/>
          <w:szCs w:val="24"/>
        </w:rPr>
      </w:pPr>
      <w:r w:rsidRPr="00096BF8">
        <w:rPr>
          <w:sz w:val="24"/>
          <w:szCs w:val="24"/>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p>
    <w:p w14:paraId="0F902CD8" w14:textId="77777777" w:rsidR="00096BF8" w:rsidRPr="00096BF8" w:rsidRDefault="00096BF8" w:rsidP="00096BF8">
      <w:pPr>
        <w:tabs>
          <w:tab w:val="left" w:pos="1134"/>
        </w:tabs>
        <w:ind w:left="1134"/>
        <w:rPr>
          <w:sz w:val="24"/>
          <w:szCs w:val="24"/>
        </w:rPr>
      </w:pPr>
    </w:p>
    <w:p w14:paraId="2915149D" w14:textId="77777777" w:rsidR="00096BF8" w:rsidRPr="00096BF8" w:rsidRDefault="00096BF8" w:rsidP="00096BF8">
      <w:pPr>
        <w:tabs>
          <w:tab w:val="left" w:pos="1134"/>
        </w:tabs>
        <w:ind w:left="1134"/>
        <w:rPr>
          <w:sz w:val="24"/>
          <w:szCs w:val="24"/>
        </w:rPr>
      </w:pPr>
      <w:r w:rsidRPr="00096BF8">
        <w:rPr>
          <w:sz w:val="24"/>
          <w:szCs w:val="24"/>
          <w:lang w:val="de-DE"/>
        </w:rPr>
        <w:t xml:space="preserve">Hos patienter med atrieflimren bør clopidogrel gives som en enkelt daglig dosis på 75 mg. </w:t>
      </w:r>
      <w:r w:rsidRPr="00096BF8">
        <w:rPr>
          <w:sz w:val="24"/>
          <w:szCs w:val="24"/>
        </w:rPr>
        <w:t>ASA-behandling (75-100 mg daglig) bør initieres og fortsættes i kombination med clopidogrel (se pkt. 5.1).</w:t>
      </w:r>
    </w:p>
    <w:p w14:paraId="28C4A314" w14:textId="77777777" w:rsidR="00096BF8" w:rsidRPr="00096BF8" w:rsidRDefault="00096BF8" w:rsidP="00096BF8">
      <w:pPr>
        <w:tabs>
          <w:tab w:val="left" w:pos="851"/>
        </w:tabs>
        <w:ind w:left="851"/>
        <w:rPr>
          <w:sz w:val="24"/>
          <w:szCs w:val="24"/>
        </w:rPr>
      </w:pPr>
    </w:p>
    <w:p w14:paraId="1AB0FA27" w14:textId="77777777" w:rsidR="00096BF8" w:rsidRPr="00096BF8" w:rsidRDefault="00096BF8" w:rsidP="00096BF8">
      <w:pPr>
        <w:tabs>
          <w:tab w:val="left" w:pos="851"/>
        </w:tabs>
        <w:ind w:left="851"/>
        <w:rPr>
          <w:sz w:val="24"/>
          <w:szCs w:val="24"/>
          <w:lang w:val="de-DE"/>
        </w:rPr>
      </w:pPr>
      <w:r w:rsidRPr="00096BF8">
        <w:rPr>
          <w:sz w:val="24"/>
          <w:szCs w:val="24"/>
          <w:lang w:val="de-DE"/>
        </w:rPr>
        <w:t>Hvis en dosis glemmes:</w:t>
      </w:r>
    </w:p>
    <w:p w14:paraId="12797360" w14:textId="77777777" w:rsidR="00096BF8" w:rsidRPr="00096BF8" w:rsidRDefault="00096BF8" w:rsidP="00096BF8">
      <w:pPr>
        <w:numPr>
          <w:ilvl w:val="0"/>
          <w:numId w:val="7"/>
        </w:numPr>
        <w:tabs>
          <w:tab w:val="left" w:pos="851"/>
        </w:tabs>
        <w:ind w:left="1134" w:hanging="283"/>
        <w:rPr>
          <w:sz w:val="24"/>
          <w:szCs w:val="24"/>
          <w:lang w:val="de-DE"/>
        </w:rPr>
      </w:pPr>
      <w:r w:rsidRPr="00096BF8">
        <w:rPr>
          <w:sz w:val="24"/>
          <w:szCs w:val="24"/>
          <w:lang w:val="de-DE"/>
        </w:rPr>
        <w:t>Mindre end 12 timer efter planlagt administration: patienten skal straks tage den glemte dosis og tage den næste dosis som planlagt.</w:t>
      </w:r>
    </w:p>
    <w:p w14:paraId="584BEF1C" w14:textId="77777777" w:rsidR="00096BF8" w:rsidRPr="00096BF8" w:rsidRDefault="00096BF8" w:rsidP="00096BF8">
      <w:pPr>
        <w:numPr>
          <w:ilvl w:val="0"/>
          <w:numId w:val="7"/>
        </w:numPr>
        <w:tabs>
          <w:tab w:val="left" w:pos="851"/>
        </w:tabs>
        <w:ind w:left="1134" w:hanging="283"/>
        <w:rPr>
          <w:sz w:val="24"/>
          <w:szCs w:val="24"/>
          <w:lang w:val="de-DE"/>
        </w:rPr>
      </w:pPr>
      <w:r w:rsidRPr="00096BF8">
        <w:rPr>
          <w:sz w:val="24"/>
          <w:szCs w:val="24"/>
          <w:lang w:val="de-DE"/>
        </w:rPr>
        <w:t>Mere end 12 timer efter planlagt administration: patienten skal tage næste dosis som planlagt og ikke tage dobbelt dosis.</w:t>
      </w:r>
    </w:p>
    <w:p w14:paraId="7420D8B7" w14:textId="77777777" w:rsidR="00096BF8" w:rsidRPr="00096BF8" w:rsidRDefault="00096BF8" w:rsidP="00096BF8">
      <w:pPr>
        <w:tabs>
          <w:tab w:val="left" w:pos="851"/>
        </w:tabs>
        <w:ind w:left="851"/>
        <w:rPr>
          <w:sz w:val="24"/>
          <w:szCs w:val="24"/>
        </w:rPr>
      </w:pPr>
    </w:p>
    <w:p w14:paraId="2B26D2A0" w14:textId="6EAC61A2" w:rsidR="00096BF8" w:rsidRDefault="00096BF8" w:rsidP="00096BF8">
      <w:pPr>
        <w:tabs>
          <w:tab w:val="left" w:pos="851"/>
        </w:tabs>
        <w:ind w:left="851"/>
        <w:rPr>
          <w:sz w:val="24"/>
          <w:szCs w:val="24"/>
          <w:u w:val="single"/>
        </w:rPr>
      </w:pPr>
      <w:r w:rsidRPr="00096BF8">
        <w:rPr>
          <w:sz w:val="24"/>
          <w:szCs w:val="24"/>
          <w:u w:val="single"/>
        </w:rPr>
        <w:t>Særlige patientgrupper</w:t>
      </w:r>
    </w:p>
    <w:p w14:paraId="662A6841" w14:textId="77777777" w:rsidR="00096BF8" w:rsidRPr="00096BF8" w:rsidRDefault="00096BF8" w:rsidP="00096BF8">
      <w:pPr>
        <w:tabs>
          <w:tab w:val="left" w:pos="851"/>
        </w:tabs>
        <w:ind w:left="851"/>
        <w:rPr>
          <w:sz w:val="24"/>
          <w:szCs w:val="24"/>
          <w:u w:val="single"/>
        </w:rPr>
      </w:pPr>
    </w:p>
    <w:p w14:paraId="0B6B1E91" w14:textId="6BBBC4A8" w:rsidR="00096BF8" w:rsidRPr="00096BF8" w:rsidRDefault="00096BF8" w:rsidP="00096BF8">
      <w:pPr>
        <w:numPr>
          <w:ilvl w:val="0"/>
          <w:numId w:val="6"/>
        </w:numPr>
        <w:tabs>
          <w:tab w:val="left" w:pos="851"/>
        </w:tabs>
        <w:ind w:left="1134" w:hanging="283"/>
        <w:rPr>
          <w:sz w:val="24"/>
          <w:szCs w:val="24"/>
        </w:rPr>
      </w:pPr>
      <w:r w:rsidRPr="00096BF8">
        <w:rPr>
          <w:sz w:val="24"/>
          <w:szCs w:val="24"/>
        </w:rPr>
        <w:t>Ældre patienter</w:t>
      </w:r>
    </w:p>
    <w:p w14:paraId="27805D5F" w14:textId="77777777" w:rsidR="00096BF8" w:rsidRPr="00096BF8" w:rsidRDefault="00096BF8" w:rsidP="00096BF8">
      <w:pPr>
        <w:tabs>
          <w:tab w:val="left" w:pos="851"/>
        </w:tabs>
        <w:ind w:left="1134" w:hanging="283"/>
        <w:rPr>
          <w:sz w:val="24"/>
          <w:szCs w:val="24"/>
        </w:rPr>
      </w:pPr>
    </w:p>
    <w:p w14:paraId="028ABDF0" w14:textId="77777777" w:rsidR="00096BF8" w:rsidRPr="00096BF8" w:rsidRDefault="00096BF8" w:rsidP="00096BF8">
      <w:pPr>
        <w:tabs>
          <w:tab w:val="left" w:pos="851"/>
        </w:tabs>
        <w:ind w:left="1418" w:hanging="284"/>
        <w:rPr>
          <w:sz w:val="24"/>
          <w:szCs w:val="24"/>
        </w:rPr>
      </w:pPr>
      <w:r w:rsidRPr="00096BF8">
        <w:rPr>
          <w:sz w:val="24"/>
          <w:szCs w:val="24"/>
        </w:rPr>
        <w:t>Akut koronarsyndrom uden elevation af ST-segmentet (ustabil angina pectoris eller</w:t>
      </w:r>
    </w:p>
    <w:p w14:paraId="1FA54B0C" w14:textId="77777777" w:rsidR="00096BF8" w:rsidRPr="00096BF8" w:rsidRDefault="00096BF8" w:rsidP="00096BF8">
      <w:pPr>
        <w:tabs>
          <w:tab w:val="left" w:pos="851"/>
        </w:tabs>
        <w:ind w:left="1418" w:hanging="284"/>
        <w:rPr>
          <w:sz w:val="24"/>
          <w:szCs w:val="24"/>
        </w:rPr>
      </w:pPr>
      <w:r w:rsidRPr="00096BF8">
        <w:rPr>
          <w:sz w:val="24"/>
          <w:szCs w:val="24"/>
        </w:rPr>
        <w:t>myokardieinfarkt uden forekomst af Q-takker):</w:t>
      </w:r>
    </w:p>
    <w:p w14:paraId="233CE14E" w14:textId="77777777" w:rsidR="00096BF8" w:rsidRPr="00096BF8" w:rsidRDefault="00096BF8" w:rsidP="00096BF8">
      <w:pPr>
        <w:numPr>
          <w:ilvl w:val="0"/>
          <w:numId w:val="7"/>
        </w:numPr>
        <w:tabs>
          <w:tab w:val="left" w:pos="851"/>
        </w:tabs>
        <w:ind w:left="1418" w:hanging="284"/>
        <w:rPr>
          <w:sz w:val="24"/>
          <w:szCs w:val="24"/>
        </w:rPr>
      </w:pPr>
      <w:r w:rsidRPr="00096BF8">
        <w:rPr>
          <w:sz w:val="24"/>
          <w:szCs w:val="24"/>
        </w:rPr>
        <w:t>En initial mætningsdosis på 600 mg kan overvejes hos patienter &lt;75 år, når perkutant koronarindgreb planlægges (se pkt. 4.4).</w:t>
      </w:r>
    </w:p>
    <w:p w14:paraId="719C44ED" w14:textId="77777777" w:rsidR="00096BF8" w:rsidRPr="00096BF8" w:rsidRDefault="00096BF8" w:rsidP="00096BF8">
      <w:pPr>
        <w:tabs>
          <w:tab w:val="left" w:pos="851"/>
        </w:tabs>
        <w:ind w:left="1418" w:hanging="284"/>
        <w:rPr>
          <w:sz w:val="24"/>
          <w:szCs w:val="24"/>
        </w:rPr>
      </w:pPr>
    </w:p>
    <w:p w14:paraId="130D1EE7" w14:textId="77777777" w:rsidR="00096BF8" w:rsidRPr="00096BF8" w:rsidRDefault="00096BF8" w:rsidP="00096BF8">
      <w:pPr>
        <w:tabs>
          <w:tab w:val="left" w:pos="851"/>
        </w:tabs>
        <w:ind w:left="1418" w:hanging="284"/>
        <w:rPr>
          <w:sz w:val="24"/>
          <w:szCs w:val="24"/>
        </w:rPr>
      </w:pPr>
      <w:r w:rsidRPr="00096BF8">
        <w:rPr>
          <w:sz w:val="24"/>
          <w:szCs w:val="24"/>
        </w:rPr>
        <w:t>Akut myokardieinfarkt med elevation af ST-segmentet:</w:t>
      </w:r>
    </w:p>
    <w:p w14:paraId="79673F7C" w14:textId="77777777" w:rsidR="00096BF8" w:rsidRPr="00096BF8" w:rsidRDefault="00096BF8" w:rsidP="00096BF8">
      <w:pPr>
        <w:numPr>
          <w:ilvl w:val="0"/>
          <w:numId w:val="7"/>
        </w:numPr>
        <w:tabs>
          <w:tab w:val="left" w:pos="851"/>
        </w:tabs>
        <w:ind w:left="1418" w:hanging="284"/>
        <w:rPr>
          <w:sz w:val="24"/>
          <w:szCs w:val="24"/>
          <w:lang w:val="de-DE"/>
        </w:rPr>
      </w:pPr>
      <w:r w:rsidRPr="00096BF8">
        <w:rPr>
          <w:sz w:val="24"/>
          <w:szCs w:val="24"/>
          <w:lang w:val="de-DE"/>
        </w:rPr>
        <w:t>Medicinsk behandlede patienter, der er egnede til trombolytisk/fibrinolytisk behandling: Patienter, der er ældre end 75 år, bør ikke indlede behandlingen med clopidogrel med en initial mætningsdosis.</w:t>
      </w:r>
    </w:p>
    <w:p w14:paraId="08FB6166" w14:textId="77777777" w:rsidR="00096BF8" w:rsidRPr="00096BF8" w:rsidRDefault="00096BF8" w:rsidP="00096BF8">
      <w:pPr>
        <w:tabs>
          <w:tab w:val="left" w:pos="851"/>
        </w:tabs>
        <w:ind w:left="1418" w:hanging="284"/>
        <w:rPr>
          <w:sz w:val="24"/>
          <w:szCs w:val="24"/>
          <w:lang w:val="de-DE"/>
        </w:rPr>
      </w:pPr>
    </w:p>
    <w:p w14:paraId="2ED44884" w14:textId="77777777" w:rsidR="00096BF8" w:rsidRPr="00096BF8" w:rsidRDefault="00096BF8" w:rsidP="00096BF8">
      <w:pPr>
        <w:tabs>
          <w:tab w:val="left" w:pos="851"/>
        </w:tabs>
        <w:ind w:left="1418" w:hanging="284"/>
        <w:rPr>
          <w:sz w:val="24"/>
          <w:szCs w:val="24"/>
        </w:rPr>
      </w:pPr>
      <w:r w:rsidRPr="00096BF8">
        <w:rPr>
          <w:sz w:val="24"/>
          <w:szCs w:val="24"/>
        </w:rPr>
        <w:t>Patienter, der skal have foretaget primær PCI og hos patienter, der skal have foretaget PCI mere end 24 timer efter at have fået fibrinolytisk behandling.</w:t>
      </w:r>
    </w:p>
    <w:p w14:paraId="20EECE37" w14:textId="77777777" w:rsidR="00096BF8" w:rsidRPr="00096BF8" w:rsidRDefault="00096BF8" w:rsidP="00096BF8">
      <w:pPr>
        <w:numPr>
          <w:ilvl w:val="0"/>
          <w:numId w:val="7"/>
        </w:numPr>
        <w:tabs>
          <w:tab w:val="left" w:pos="851"/>
        </w:tabs>
        <w:ind w:left="1418" w:hanging="284"/>
        <w:rPr>
          <w:sz w:val="24"/>
          <w:szCs w:val="24"/>
        </w:rPr>
      </w:pPr>
      <w:r w:rsidRPr="00096BF8">
        <w:rPr>
          <w:sz w:val="24"/>
          <w:szCs w:val="24"/>
        </w:rPr>
        <w:t>Hos patienter ≥ 75 år bør 600 mg initial mætningsdosis administreres med forsigtighed (se pkt. 4.4).</w:t>
      </w:r>
    </w:p>
    <w:p w14:paraId="0469DACB" w14:textId="77777777" w:rsidR="00096BF8" w:rsidRPr="00096BF8" w:rsidRDefault="00096BF8" w:rsidP="00096BF8">
      <w:pPr>
        <w:tabs>
          <w:tab w:val="left" w:pos="851"/>
        </w:tabs>
        <w:ind w:left="1134" w:hanging="283"/>
        <w:rPr>
          <w:sz w:val="24"/>
          <w:szCs w:val="24"/>
        </w:rPr>
      </w:pPr>
    </w:p>
    <w:p w14:paraId="6BFB43CF" w14:textId="77777777" w:rsidR="00096BF8" w:rsidRPr="00096BF8" w:rsidRDefault="00096BF8" w:rsidP="00096BF8">
      <w:pPr>
        <w:numPr>
          <w:ilvl w:val="0"/>
          <w:numId w:val="6"/>
        </w:numPr>
        <w:tabs>
          <w:tab w:val="left" w:pos="851"/>
        </w:tabs>
        <w:ind w:left="1134" w:hanging="283"/>
        <w:rPr>
          <w:sz w:val="24"/>
          <w:szCs w:val="24"/>
          <w:lang w:val="en-US"/>
        </w:rPr>
      </w:pPr>
      <w:r w:rsidRPr="00096BF8">
        <w:rPr>
          <w:sz w:val="24"/>
          <w:szCs w:val="24"/>
          <w:lang w:val="en-US"/>
        </w:rPr>
        <w:t>Pædiatrisk population</w:t>
      </w:r>
    </w:p>
    <w:p w14:paraId="21654088" w14:textId="77777777" w:rsidR="00096BF8" w:rsidRPr="00096BF8" w:rsidRDefault="00096BF8" w:rsidP="00096BF8">
      <w:pPr>
        <w:tabs>
          <w:tab w:val="left" w:pos="851"/>
        </w:tabs>
        <w:ind w:left="1134" w:hanging="283"/>
        <w:rPr>
          <w:sz w:val="24"/>
          <w:szCs w:val="24"/>
        </w:rPr>
      </w:pPr>
      <w:r w:rsidRPr="00096BF8">
        <w:rPr>
          <w:sz w:val="24"/>
          <w:szCs w:val="24"/>
        </w:rPr>
        <w:t>Clopidogrel bør ikke bruges til børn på grund af usikkerhed om virkningen (se pkt. 5.1).</w:t>
      </w:r>
    </w:p>
    <w:p w14:paraId="44695D46" w14:textId="77777777" w:rsidR="00096BF8" w:rsidRPr="00096BF8" w:rsidRDefault="00096BF8" w:rsidP="00096BF8">
      <w:pPr>
        <w:tabs>
          <w:tab w:val="left" w:pos="851"/>
        </w:tabs>
        <w:ind w:left="1134" w:hanging="283"/>
        <w:rPr>
          <w:sz w:val="24"/>
          <w:szCs w:val="24"/>
        </w:rPr>
      </w:pPr>
    </w:p>
    <w:p w14:paraId="192C254B" w14:textId="77777777" w:rsidR="00096BF8" w:rsidRPr="00096BF8" w:rsidRDefault="00096BF8" w:rsidP="00096BF8">
      <w:pPr>
        <w:numPr>
          <w:ilvl w:val="0"/>
          <w:numId w:val="6"/>
        </w:numPr>
        <w:tabs>
          <w:tab w:val="left" w:pos="851"/>
        </w:tabs>
        <w:ind w:left="1134" w:hanging="283"/>
        <w:rPr>
          <w:sz w:val="24"/>
          <w:szCs w:val="24"/>
          <w:lang w:val="de-DE"/>
        </w:rPr>
      </w:pPr>
      <w:r w:rsidRPr="00096BF8">
        <w:rPr>
          <w:sz w:val="24"/>
          <w:szCs w:val="24"/>
          <w:lang w:val="de-DE"/>
        </w:rPr>
        <w:t>Nedsat nyrefunktion</w:t>
      </w:r>
    </w:p>
    <w:p w14:paraId="4D9F6013" w14:textId="77777777" w:rsidR="00096BF8" w:rsidRPr="00096BF8" w:rsidRDefault="00096BF8" w:rsidP="00096BF8">
      <w:pPr>
        <w:tabs>
          <w:tab w:val="left" w:pos="851"/>
        </w:tabs>
        <w:ind w:left="851"/>
        <w:rPr>
          <w:sz w:val="24"/>
          <w:szCs w:val="24"/>
          <w:lang w:val="de-DE"/>
        </w:rPr>
      </w:pPr>
      <w:r w:rsidRPr="00096BF8">
        <w:rPr>
          <w:sz w:val="24"/>
          <w:szCs w:val="24"/>
          <w:lang w:val="de-DE"/>
        </w:rPr>
        <w:t>Der er kun begrænset erfaring med behandling af patienter med nedsat nyrefunktion (se pkt. 4.4).</w:t>
      </w:r>
    </w:p>
    <w:p w14:paraId="76358AB9" w14:textId="7163F917" w:rsidR="00096BF8" w:rsidRDefault="00096BF8">
      <w:pPr>
        <w:rPr>
          <w:sz w:val="24"/>
          <w:szCs w:val="24"/>
          <w:lang w:val="de-DE"/>
        </w:rPr>
      </w:pPr>
      <w:r>
        <w:rPr>
          <w:sz w:val="24"/>
          <w:szCs w:val="24"/>
          <w:lang w:val="de-DE"/>
        </w:rPr>
        <w:br w:type="page"/>
      </w:r>
    </w:p>
    <w:p w14:paraId="2357E251" w14:textId="77777777" w:rsidR="00096BF8" w:rsidRPr="00096BF8" w:rsidRDefault="00096BF8" w:rsidP="00096BF8">
      <w:pPr>
        <w:tabs>
          <w:tab w:val="left" w:pos="851"/>
        </w:tabs>
        <w:ind w:left="1134" w:hanging="283"/>
        <w:rPr>
          <w:sz w:val="24"/>
          <w:szCs w:val="24"/>
          <w:lang w:val="de-DE"/>
        </w:rPr>
      </w:pPr>
    </w:p>
    <w:p w14:paraId="7F17C288" w14:textId="77777777" w:rsidR="00096BF8" w:rsidRPr="00096BF8" w:rsidRDefault="00096BF8" w:rsidP="00096BF8">
      <w:pPr>
        <w:numPr>
          <w:ilvl w:val="0"/>
          <w:numId w:val="6"/>
        </w:numPr>
        <w:tabs>
          <w:tab w:val="left" w:pos="851"/>
        </w:tabs>
        <w:ind w:left="1134" w:hanging="283"/>
        <w:rPr>
          <w:sz w:val="24"/>
          <w:szCs w:val="24"/>
          <w:lang w:val="de-DE"/>
        </w:rPr>
      </w:pPr>
      <w:r w:rsidRPr="00096BF8">
        <w:rPr>
          <w:sz w:val="24"/>
          <w:szCs w:val="24"/>
          <w:lang w:val="de-DE"/>
        </w:rPr>
        <w:t>Nedsat leverfunktion</w:t>
      </w:r>
    </w:p>
    <w:p w14:paraId="4D8EC7D4" w14:textId="77777777" w:rsidR="00096BF8" w:rsidRPr="00096BF8" w:rsidRDefault="00096BF8" w:rsidP="00096BF8">
      <w:pPr>
        <w:tabs>
          <w:tab w:val="left" w:pos="851"/>
        </w:tabs>
        <w:ind w:left="851"/>
        <w:rPr>
          <w:sz w:val="24"/>
          <w:szCs w:val="24"/>
          <w:lang w:val="de-DE"/>
        </w:rPr>
      </w:pPr>
      <w:r w:rsidRPr="00096BF8">
        <w:rPr>
          <w:sz w:val="24"/>
          <w:szCs w:val="24"/>
          <w:lang w:val="de-DE"/>
        </w:rPr>
        <w:t>Erfaringen med behandling af patienter med moderate leversygdomme, der kan have blødningstendens, er begrænset. (se pkt. 4.4)</w:t>
      </w:r>
    </w:p>
    <w:p w14:paraId="7994E38F" w14:textId="77777777" w:rsidR="00096BF8" w:rsidRPr="00096BF8" w:rsidRDefault="00096BF8" w:rsidP="00096BF8">
      <w:pPr>
        <w:tabs>
          <w:tab w:val="left" w:pos="851"/>
        </w:tabs>
        <w:ind w:left="851"/>
        <w:rPr>
          <w:sz w:val="24"/>
          <w:szCs w:val="24"/>
          <w:lang w:val="de-DE"/>
        </w:rPr>
      </w:pPr>
    </w:p>
    <w:p w14:paraId="5FEAD318" w14:textId="77777777" w:rsidR="00096BF8" w:rsidRPr="00096BF8" w:rsidRDefault="00096BF8" w:rsidP="00096BF8">
      <w:pPr>
        <w:tabs>
          <w:tab w:val="left" w:pos="851"/>
        </w:tabs>
        <w:ind w:left="851"/>
        <w:rPr>
          <w:b/>
          <w:sz w:val="24"/>
          <w:szCs w:val="24"/>
          <w:lang w:val="de-DE"/>
        </w:rPr>
      </w:pPr>
      <w:r w:rsidRPr="00096BF8">
        <w:rPr>
          <w:b/>
          <w:sz w:val="24"/>
          <w:szCs w:val="24"/>
          <w:lang w:val="de-DE"/>
        </w:rPr>
        <w:t>Administration</w:t>
      </w:r>
    </w:p>
    <w:p w14:paraId="4EB11A28" w14:textId="77777777" w:rsidR="00096BF8" w:rsidRPr="00096BF8" w:rsidRDefault="00096BF8" w:rsidP="00096BF8">
      <w:pPr>
        <w:tabs>
          <w:tab w:val="left" w:pos="851"/>
        </w:tabs>
        <w:ind w:left="851"/>
        <w:rPr>
          <w:sz w:val="24"/>
          <w:szCs w:val="24"/>
          <w:lang w:val="de-DE"/>
        </w:rPr>
      </w:pPr>
      <w:r w:rsidRPr="00096BF8">
        <w:rPr>
          <w:sz w:val="24"/>
          <w:szCs w:val="24"/>
          <w:lang w:val="de-DE"/>
        </w:rPr>
        <w:t>Oral anvendelse.</w:t>
      </w:r>
    </w:p>
    <w:p w14:paraId="7B455395" w14:textId="77777777" w:rsidR="00096BF8" w:rsidRPr="00096BF8" w:rsidRDefault="00096BF8" w:rsidP="00096BF8">
      <w:pPr>
        <w:tabs>
          <w:tab w:val="left" w:pos="851"/>
        </w:tabs>
        <w:ind w:left="851"/>
        <w:rPr>
          <w:sz w:val="24"/>
          <w:szCs w:val="24"/>
        </w:rPr>
      </w:pPr>
      <w:r w:rsidRPr="00096BF8">
        <w:rPr>
          <w:sz w:val="24"/>
          <w:szCs w:val="24"/>
          <w:lang w:val="de-DE"/>
        </w:rPr>
        <w:t>Kan indtages med eller uden mad.</w:t>
      </w:r>
    </w:p>
    <w:p w14:paraId="0B4FC84D" w14:textId="77777777" w:rsidR="009260DE" w:rsidRPr="00C84483" w:rsidRDefault="009260DE" w:rsidP="009260DE">
      <w:pPr>
        <w:tabs>
          <w:tab w:val="left" w:pos="851"/>
        </w:tabs>
        <w:ind w:left="851"/>
        <w:rPr>
          <w:sz w:val="24"/>
          <w:szCs w:val="24"/>
        </w:rPr>
      </w:pPr>
    </w:p>
    <w:p w14:paraId="0EC3E63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3E8EF28" w14:textId="77777777" w:rsidR="00315C7D" w:rsidRPr="00315C7D" w:rsidRDefault="00315C7D" w:rsidP="00315C7D">
      <w:pPr>
        <w:numPr>
          <w:ilvl w:val="0"/>
          <w:numId w:val="6"/>
        </w:numPr>
        <w:tabs>
          <w:tab w:val="left" w:pos="851"/>
        </w:tabs>
        <w:ind w:left="1134" w:hanging="283"/>
        <w:rPr>
          <w:sz w:val="24"/>
          <w:szCs w:val="24"/>
        </w:rPr>
      </w:pPr>
      <w:r w:rsidRPr="00315C7D">
        <w:rPr>
          <w:sz w:val="24"/>
          <w:szCs w:val="24"/>
        </w:rPr>
        <w:t>Overfølsomhed over for det aktive stof eller over for et eller flere af hjælpestofferne anført i pkt. 2 eller pkt. 6.1.</w:t>
      </w:r>
    </w:p>
    <w:p w14:paraId="1A2B7919" w14:textId="77777777" w:rsidR="00315C7D" w:rsidRPr="00315C7D" w:rsidRDefault="00315C7D" w:rsidP="00315C7D">
      <w:pPr>
        <w:numPr>
          <w:ilvl w:val="0"/>
          <w:numId w:val="6"/>
        </w:numPr>
        <w:tabs>
          <w:tab w:val="left" w:pos="851"/>
        </w:tabs>
        <w:ind w:left="1134" w:hanging="283"/>
        <w:rPr>
          <w:sz w:val="24"/>
          <w:szCs w:val="24"/>
        </w:rPr>
      </w:pPr>
      <w:r w:rsidRPr="00315C7D">
        <w:rPr>
          <w:sz w:val="24"/>
          <w:szCs w:val="24"/>
        </w:rPr>
        <w:t>Stærkt nedsat leverfunktion.</w:t>
      </w:r>
    </w:p>
    <w:p w14:paraId="10D163F7" w14:textId="77777777" w:rsidR="00315C7D" w:rsidRPr="00315C7D" w:rsidRDefault="00315C7D" w:rsidP="00315C7D">
      <w:pPr>
        <w:numPr>
          <w:ilvl w:val="0"/>
          <w:numId w:val="6"/>
        </w:numPr>
        <w:tabs>
          <w:tab w:val="left" w:pos="851"/>
        </w:tabs>
        <w:ind w:left="1134" w:hanging="283"/>
        <w:rPr>
          <w:sz w:val="24"/>
          <w:szCs w:val="24"/>
        </w:rPr>
      </w:pPr>
      <w:r w:rsidRPr="00315C7D">
        <w:rPr>
          <w:sz w:val="24"/>
          <w:szCs w:val="24"/>
        </w:rPr>
        <w:t>Aktiv patologisk blødning såsom peptisk ulcus eller intrakraniel blødning.</w:t>
      </w:r>
    </w:p>
    <w:p w14:paraId="4C96BE13" w14:textId="77777777" w:rsidR="009260DE" w:rsidRPr="00C84483" w:rsidRDefault="009260DE" w:rsidP="009260DE">
      <w:pPr>
        <w:tabs>
          <w:tab w:val="left" w:pos="851"/>
        </w:tabs>
        <w:ind w:left="851"/>
        <w:rPr>
          <w:sz w:val="24"/>
          <w:szCs w:val="24"/>
        </w:rPr>
      </w:pPr>
    </w:p>
    <w:p w14:paraId="4E06B0E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6031DFD" w14:textId="77777777" w:rsidR="00315C7D" w:rsidRPr="00315C7D" w:rsidRDefault="00315C7D" w:rsidP="00315C7D">
      <w:pPr>
        <w:suppressAutoHyphens/>
        <w:ind w:left="851"/>
        <w:rPr>
          <w:sz w:val="24"/>
          <w:szCs w:val="24"/>
        </w:rPr>
      </w:pPr>
    </w:p>
    <w:p w14:paraId="50A243C2" w14:textId="77777777" w:rsidR="00315C7D" w:rsidRPr="00315C7D" w:rsidRDefault="00315C7D" w:rsidP="00315C7D">
      <w:pPr>
        <w:ind w:left="851"/>
        <w:rPr>
          <w:i/>
          <w:sz w:val="24"/>
          <w:szCs w:val="24"/>
        </w:rPr>
      </w:pPr>
      <w:r w:rsidRPr="00315C7D">
        <w:rPr>
          <w:i/>
          <w:sz w:val="24"/>
          <w:szCs w:val="24"/>
        </w:rPr>
        <w:t>Blødning og hæmatologiske sygdomme</w:t>
      </w:r>
    </w:p>
    <w:p w14:paraId="7C0E42F0" w14:textId="77777777" w:rsidR="00315C7D" w:rsidRPr="00315C7D" w:rsidRDefault="00315C7D" w:rsidP="00315C7D">
      <w:pPr>
        <w:ind w:left="851"/>
        <w:rPr>
          <w:sz w:val="24"/>
          <w:szCs w:val="24"/>
        </w:rPr>
      </w:pPr>
      <w:r w:rsidRPr="00315C7D">
        <w:rPr>
          <w:sz w:val="24"/>
          <w:szCs w:val="24"/>
        </w:rPr>
        <w:t>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 hæmmere eller selektive serotoningenoptagelseshæmmere (SSRI’er), eller stærke CYP2C19-induktorer eller andre lægemidler forbundet med risiko for blødning, såsom pentoxifyllin (se pkt. 4.5). 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 På grund af den øgede risiko for blødning anbefales ikke antitrombotisk trippelbehandling (clopidogrel + ASA + dipyridamol) til sekundær forebyggelse af apopleksi hos patienter med akut ikke-kardioembolisk iskæmisk apopleksi eller TCI (se pkt. 4.5 og pkt. 4.8).</w:t>
      </w:r>
    </w:p>
    <w:p w14:paraId="4A2AECBE" w14:textId="77777777" w:rsidR="00315C7D" w:rsidRPr="00315C7D" w:rsidRDefault="00315C7D" w:rsidP="00315C7D">
      <w:pPr>
        <w:ind w:left="851"/>
        <w:rPr>
          <w:sz w:val="24"/>
          <w:szCs w:val="24"/>
        </w:rPr>
      </w:pPr>
    </w:p>
    <w:p w14:paraId="6BC92317" w14:textId="77777777" w:rsidR="00315C7D" w:rsidRPr="00315C7D" w:rsidRDefault="00315C7D" w:rsidP="00315C7D">
      <w:pPr>
        <w:ind w:left="851"/>
        <w:rPr>
          <w:sz w:val="24"/>
          <w:szCs w:val="24"/>
        </w:rPr>
      </w:pPr>
      <w:r w:rsidRPr="00315C7D">
        <w:rPr>
          <w:sz w:val="24"/>
          <w:szCs w:val="24"/>
        </w:rPr>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 Clopidogrel øger kapillærblødningstiden og bør anvendes med forsigtighed hos patienter med læsioner, der indebærer øget blødningstendens (specielt gastrointestinalt og intraokulært).</w:t>
      </w:r>
    </w:p>
    <w:p w14:paraId="1E54230B" w14:textId="77777777" w:rsidR="00315C7D" w:rsidRPr="00315C7D" w:rsidRDefault="00315C7D" w:rsidP="00315C7D">
      <w:pPr>
        <w:ind w:left="851"/>
        <w:rPr>
          <w:sz w:val="24"/>
          <w:szCs w:val="24"/>
        </w:rPr>
      </w:pPr>
    </w:p>
    <w:p w14:paraId="1CD10FE0" w14:textId="77777777" w:rsidR="00315C7D" w:rsidRPr="00315C7D" w:rsidRDefault="00315C7D" w:rsidP="00315C7D">
      <w:pPr>
        <w:ind w:left="851"/>
        <w:rPr>
          <w:sz w:val="24"/>
          <w:szCs w:val="24"/>
        </w:rPr>
      </w:pPr>
      <w:r w:rsidRPr="00315C7D">
        <w:rPr>
          <w:sz w:val="24"/>
          <w:szCs w:val="24"/>
        </w:rPr>
        <w:t>Patienter i behandling med clopidogrel (alene eller i kombination med ASA) bør informeres om, at det kan tage længere tid end normalt at standse blødninger, samt at de bør kontakte deres læge ved enhver</w:t>
      </w:r>
    </w:p>
    <w:p w14:paraId="1B5AC4AB" w14:textId="77777777" w:rsidR="00315C7D" w:rsidRPr="00315C7D" w:rsidRDefault="00315C7D" w:rsidP="00315C7D">
      <w:pPr>
        <w:ind w:left="851"/>
        <w:rPr>
          <w:sz w:val="24"/>
          <w:szCs w:val="24"/>
        </w:rPr>
      </w:pPr>
      <w:r w:rsidRPr="00315C7D">
        <w:rPr>
          <w:sz w:val="24"/>
          <w:szCs w:val="24"/>
        </w:rPr>
        <w:t>usædvanlig blødning (sted eller varighed).</w:t>
      </w:r>
    </w:p>
    <w:p w14:paraId="043781C2" w14:textId="77777777" w:rsidR="00315C7D" w:rsidRPr="00315C7D" w:rsidRDefault="00315C7D" w:rsidP="00315C7D">
      <w:pPr>
        <w:ind w:left="851"/>
        <w:rPr>
          <w:sz w:val="24"/>
          <w:szCs w:val="24"/>
        </w:rPr>
      </w:pPr>
    </w:p>
    <w:p w14:paraId="60799457" w14:textId="77777777" w:rsidR="00315C7D" w:rsidRPr="00315C7D" w:rsidRDefault="00315C7D" w:rsidP="00315C7D">
      <w:pPr>
        <w:ind w:left="851"/>
        <w:rPr>
          <w:sz w:val="24"/>
          <w:szCs w:val="24"/>
        </w:rPr>
      </w:pPr>
      <w:r w:rsidRPr="00315C7D">
        <w:rPr>
          <w:sz w:val="24"/>
          <w:szCs w:val="24"/>
        </w:rPr>
        <w:t>Initialdoser på 600 mg clopidogrel kan ikke anbefales hos patienter med akut koronarsyndrom uden elevation af ST-segmentet og som er ≥75 år på grund af en øget blødningsrisiko i denne population.</w:t>
      </w:r>
    </w:p>
    <w:p w14:paraId="333CB588" w14:textId="77777777" w:rsidR="00315C7D" w:rsidRPr="00315C7D" w:rsidRDefault="00315C7D" w:rsidP="00315C7D">
      <w:pPr>
        <w:ind w:left="851"/>
        <w:rPr>
          <w:sz w:val="24"/>
          <w:szCs w:val="24"/>
        </w:rPr>
      </w:pPr>
    </w:p>
    <w:p w14:paraId="3B0CF9C6" w14:textId="77777777" w:rsidR="00315C7D" w:rsidRPr="00315C7D" w:rsidRDefault="00315C7D" w:rsidP="00315C7D">
      <w:pPr>
        <w:ind w:left="851"/>
        <w:rPr>
          <w:sz w:val="24"/>
          <w:szCs w:val="24"/>
        </w:rPr>
      </w:pPr>
      <w:r w:rsidRPr="00315C7D">
        <w:rPr>
          <w:sz w:val="24"/>
          <w:szCs w:val="24"/>
        </w:rPr>
        <w:lastRenderedPageBreak/>
        <w:t>På grund af begrænsede kliniske data hos patienter ≥ 75 år med STEMI PCI og øget risiko for blødning, bør brugen af clopidogrel 600 mg initial mætningsdosis kun overvejes efter en individuel vurdering af patientens blødningsrisiko foretaget af lægen.</w:t>
      </w:r>
    </w:p>
    <w:p w14:paraId="7BD6F2D3" w14:textId="77777777" w:rsidR="00315C7D" w:rsidRPr="00315C7D" w:rsidRDefault="00315C7D" w:rsidP="00315C7D">
      <w:pPr>
        <w:ind w:left="851"/>
        <w:rPr>
          <w:sz w:val="24"/>
          <w:szCs w:val="24"/>
        </w:rPr>
      </w:pPr>
    </w:p>
    <w:p w14:paraId="002E76F3" w14:textId="77777777" w:rsidR="00315C7D" w:rsidRPr="00315C7D" w:rsidRDefault="00315C7D" w:rsidP="00315C7D">
      <w:pPr>
        <w:ind w:left="851"/>
        <w:rPr>
          <w:i/>
          <w:sz w:val="24"/>
          <w:szCs w:val="24"/>
        </w:rPr>
      </w:pPr>
      <w:r w:rsidRPr="00315C7D">
        <w:rPr>
          <w:i/>
          <w:sz w:val="24"/>
          <w:szCs w:val="24"/>
        </w:rPr>
        <w:t>Trombotisk trombocytopenisk purpura (TTP)</w:t>
      </w:r>
    </w:p>
    <w:p w14:paraId="11960A24" w14:textId="77777777" w:rsidR="00315C7D" w:rsidRPr="00315C7D" w:rsidRDefault="00315C7D" w:rsidP="00315C7D">
      <w:pPr>
        <w:ind w:left="851"/>
        <w:rPr>
          <w:sz w:val="24"/>
          <w:szCs w:val="24"/>
          <w:lang w:val="de-DE"/>
        </w:rPr>
      </w:pPr>
      <w:r w:rsidRPr="00315C7D">
        <w:rPr>
          <w:sz w:val="24"/>
          <w:szCs w:val="24"/>
        </w:rPr>
        <w:t xml:space="preserve">Trombotisk trombocytopenisk purpura (TTP) er indberettet i meget sjældne tilfælde hos patienter i behandling med clopidogrel, enkelte gange efter kort tids brug. </w:t>
      </w:r>
      <w:r w:rsidRPr="00315C7D">
        <w:rPr>
          <w:sz w:val="24"/>
          <w:szCs w:val="24"/>
          <w:lang w:val="de-DE"/>
        </w:rPr>
        <w:t>Det er karakteriseret ved trombocytopeni og mikroangiopatisk hæmolytisk anæmi i forbindelse med enten neurologiske fund, renal dysfunktion eller feber. TTP er en potentielt dødelig tilstand, der kræver øjeblikkelig behandling, der omfatter plasmaferese.</w:t>
      </w:r>
    </w:p>
    <w:p w14:paraId="440FD3F5" w14:textId="77777777" w:rsidR="00315C7D" w:rsidRPr="00315C7D" w:rsidRDefault="00315C7D" w:rsidP="00315C7D">
      <w:pPr>
        <w:ind w:left="851"/>
        <w:rPr>
          <w:sz w:val="24"/>
          <w:szCs w:val="24"/>
          <w:lang w:val="de-DE"/>
        </w:rPr>
      </w:pPr>
    </w:p>
    <w:p w14:paraId="2E432DC9" w14:textId="77777777" w:rsidR="00315C7D" w:rsidRPr="00315C7D" w:rsidRDefault="00315C7D" w:rsidP="00315C7D">
      <w:pPr>
        <w:ind w:left="851"/>
        <w:rPr>
          <w:i/>
          <w:sz w:val="24"/>
          <w:szCs w:val="24"/>
          <w:lang w:val="de-DE"/>
        </w:rPr>
      </w:pPr>
      <w:r w:rsidRPr="00315C7D">
        <w:rPr>
          <w:i/>
          <w:sz w:val="24"/>
          <w:szCs w:val="24"/>
          <w:lang w:val="de-DE"/>
        </w:rPr>
        <w:t>Erhvervet hæmofili</w:t>
      </w:r>
    </w:p>
    <w:p w14:paraId="62404485" w14:textId="77777777" w:rsidR="00315C7D" w:rsidRPr="00315C7D" w:rsidRDefault="00315C7D" w:rsidP="00315C7D">
      <w:pPr>
        <w:ind w:left="851"/>
        <w:rPr>
          <w:sz w:val="24"/>
          <w:szCs w:val="24"/>
          <w:lang w:val="de-DE"/>
        </w:rPr>
      </w:pPr>
      <w:r w:rsidRPr="00315C7D">
        <w:rPr>
          <w:sz w:val="24"/>
          <w:szCs w:val="24"/>
          <w:lang w:val="de-DE"/>
        </w:rP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w:t>
      </w:r>
    </w:p>
    <w:p w14:paraId="56918D9D" w14:textId="77777777" w:rsidR="00315C7D" w:rsidRPr="00315C7D" w:rsidRDefault="00315C7D" w:rsidP="00315C7D">
      <w:pPr>
        <w:ind w:left="851"/>
        <w:rPr>
          <w:sz w:val="24"/>
          <w:szCs w:val="24"/>
        </w:rPr>
      </w:pPr>
      <w:r w:rsidRPr="00315C7D">
        <w:rPr>
          <w:sz w:val="24"/>
          <w:szCs w:val="24"/>
        </w:rPr>
        <w:t>behandles af specialister, og clopidogrel skal seponeres.</w:t>
      </w:r>
    </w:p>
    <w:p w14:paraId="28F29E12" w14:textId="77777777" w:rsidR="00315C7D" w:rsidRPr="00315C7D" w:rsidRDefault="00315C7D" w:rsidP="00315C7D">
      <w:pPr>
        <w:ind w:left="851"/>
        <w:rPr>
          <w:sz w:val="24"/>
          <w:szCs w:val="24"/>
        </w:rPr>
      </w:pPr>
    </w:p>
    <w:p w14:paraId="7EA6F0CD" w14:textId="77777777" w:rsidR="00315C7D" w:rsidRPr="00315C7D" w:rsidRDefault="00315C7D" w:rsidP="00315C7D">
      <w:pPr>
        <w:ind w:left="851"/>
        <w:rPr>
          <w:i/>
          <w:sz w:val="24"/>
          <w:szCs w:val="24"/>
          <w:lang w:val="de-DE"/>
        </w:rPr>
      </w:pPr>
      <w:r w:rsidRPr="00315C7D">
        <w:rPr>
          <w:i/>
          <w:sz w:val="24"/>
          <w:szCs w:val="24"/>
          <w:lang w:val="de-DE"/>
        </w:rPr>
        <w:t>Nyligt iskæmisk apopleksi</w:t>
      </w:r>
    </w:p>
    <w:p w14:paraId="6570E7A0" w14:textId="77777777" w:rsidR="00315C7D" w:rsidRDefault="00315C7D" w:rsidP="00315C7D">
      <w:pPr>
        <w:pStyle w:val="Listeafsnit"/>
        <w:numPr>
          <w:ilvl w:val="0"/>
          <w:numId w:val="7"/>
        </w:numPr>
        <w:ind w:left="1134" w:hanging="283"/>
        <w:rPr>
          <w:i/>
          <w:lang w:val="de-DE"/>
        </w:rPr>
      </w:pPr>
      <w:r>
        <w:rPr>
          <w:i/>
          <w:lang w:val="de-DE"/>
        </w:rPr>
        <w:t>Initiering af behandling</w:t>
      </w:r>
    </w:p>
    <w:p w14:paraId="3772C868" w14:textId="77777777" w:rsidR="00315C7D" w:rsidRDefault="00315C7D" w:rsidP="00315C7D">
      <w:pPr>
        <w:pStyle w:val="Listeafsnit"/>
        <w:numPr>
          <w:ilvl w:val="1"/>
          <w:numId w:val="7"/>
        </w:numPr>
        <w:rPr>
          <w:lang w:val="de-DE"/>
        </w:rPr>
      </w:pPr>
      <w:r>
        <w:rPr>
          <w:lang w:val="de-DE"/>
        </w:rPr>
        <w:t>Ved akut mini-iskæmisk apopleksi eller hos patienter med moderat til høj risiko for TCI bør dobbelt behandling med antitrombotiske lægemidler (clopidogrel og ASA) påbegyndes senest 24 timer efter hændelsens start.</w:t>
      </w:r>
    </w:p>
    <w:p w14:paraId="497F0B1B" w14:textId="77777777" w:rsidR="00315C7D" w:rsidRDefault="00315C7D" w:rsidP="00315C7D">
      <w:pPr>
        <w:pStyle w:val="Listeafsnit"/>
        <w:numPr>
          <w:ilvl w:val="1"/>
          <w:numId w:val="7"/>
        </w:numPr>
        <w:rPr>
          <w:lang w:val="de-DE"/>
        </w:rPr>
      </w:pPr>
      <w:r>
        <w:rPr>
          <w:lang w:val="de-DE"/>
        </w:rPr>
        <w:t>Der foreligger ingen data vedrørende fordele og ulemper ved kortvarig dobbelt behandling med antitrombotiske lægemidler ved akut mini-iskæmisk apopleksi eller hos patienter med moderat til høj risiko for TCI med (ikke-traumatisk) intrakraniel blødning i anamnesen.</w:t>
      </w:r>
    </w:p>
    <w:p w14:paraId="29D9F608" w14:textId="77777777" w:rsidR="00315C7D" w:rsidRDefault="00315C7D" w:rsidP="00315C7D">
      <w:pPr>
        <w:pStyle w:val="Listeafsnit"/>
        <w:numPr>
          <w:ilvl w:val="1"/>
          <w:numId w:val="7"/>
        </w:numPr>
        <w:rPr>
          <w:lang w:val="de-DE"/>
        </w:rPr>
      </w:pPr>
      <w:r>
        <w:rPr>
          <w:lang w:val="de-DE"/>
        </w:rPr>
        <w:t>Hos patienter med ikke-mini iskæmisk apopleksi bør monoterapi med clopidogrel først påbegyndes 7 dage efter hændelsen.</w:t>
      </w:r>
    </w:p>
    <w:p w14:paraId="29C067F9" w14:textId="77777777" w:rsidR="00315C7D" w:rsidRDefault="00315C7D" w:rsidP="00315C7D">
      <w:pPr>
        <w:pStyle w:val="Listeafsnit"/>
        <w:numPr>
          <w:ilvl w:val="0"/>
          <w:numId w:val="7"/>
        </w:numPr>
        <w:ind w:left="1134" w:hanging="283"/>
        <w:rPr>
          <w:i/>
          <w:lang w:val="de-DE"/>
        </w:rPr>
      </w:pPr>
      <w:r>
        <w:rPr>
          <w:i/>
          <w:lang w:val="de-DE"/>
        </w:rPr>
        <w:t>Patienter med ikke-mini iskæmisk apopleksi (NIHSS &gt;4)</w:t>
      </w:r>
    </w:p>
    <w:p w14:paraId="556197D8" w14:textId="77777777" w:rsidR="00315C7D" w:rsidRDefault="00315C7D" w:rsidP="00315C7D">
      <w:pPr>
        <w:pStyle w:val="Listeafsnit"/>
        <w:ind w:left="1134"/>
        <w:rPr>
          <w:i/>
          <w:lang w:val="de-DE"/>
        </w:rPr>
      </w:pPr>
      <w:r>
        <w:rPr>
          <w:lang w:val="de-DE"/>
        </w:rPr>
        <w:t>På grund af manglende data kan brugen af dobbelt antitrombotisk behandling ikke anbefales (se pkt. 4.1).</w:t>
      </w:r>
    </w:p>
    <w:p w14:paraId="1C0B11E3" w14:textId="77777777" w:rsidR="00315C7D" w:rsidRDefault="00315C7D" w:rsidP="00315C7D">
      <w:pPr>
        <w:pStyle w:val="Listeafsnit"/>
        <w:numPr>
          <w:ilvl w:val="0"/>
          <w:numId w:val="7"/>
        </w:numPr>
        <w:ind w:left="1134" w:hanging="283"/>
        <w:rPr>
          <w:i/>
          <w:lang w:val="de-DE"/>
        </w:rPr>
      </w:pPr>
      <w:r>
        <w:rPr>
          <w:i/>
          <w:lang w:val="de-DE"/>
        </w:rPr>
        <w:t>Nylig mini-iskæmisk apopleksi eller moderat til høj risiko for TCI hos patienter, hvor intervention er indiceret eller planlagt</w:t>
      </w:r>
    </w:p>
    <w:p w14:paraId="6FB9F1D3" w14:textId="77777777" w:rsidR="00315C7D" w:rsidRDefault="00315C7D" w:rsidP="001D2662">
      <w:pPr>
        <w:ind w:left="1134"/>
        <w:rPr>
          <w:lang w:val="de-DE"/>
        </w:rPr>
      </w:pPr>
      <w:r>
        <w:rPr>
          <w:lang w:val="de-DE"/>
        </w:rPr>
        <w:t>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w:t>
      </w:r>
    </w:p>
    <w:p w14:paraId="4B7F2CFA" w14:textId="77777777" w:rsidR="00315C7D" w:rsidRPr="00315C7D" w:rsidRDefault="00315C7D" w:rsidP="00315C7D">
      <w:pPr>
        <w:ind w:left="851"/>
        <w:rPr>
          <w:sz w:val="24"/>
          <w:szCs w:val="24"/>
          <w:lang w:val="de-DE"/>
        </w:rPr>
      </w:pPr>
    </w:p>
    <w:p w14:paraId="68ED6070" w14:textId="77777777" w:rsidR="00315C7D" w:rsidRPr="00315C7D" w:rsidRDefault="00315C7D" w:rsidP="00315C7D">
      <w:pPr>
        <w:ind w:left="851"/>
        <w:rPr>
          <w:i/>
          <w:sz w:val="24"/>
          <w:szCs w:val="24"/>
          <w:lang w:val="de-DE"/>
        </w:rPr>
      </w:pPr>
      <w:r w:rsidRPr="00315C7D">
        <w:rPr>
          <w:i/>
          <w:sz w:val="24"/>
          <w:szCs w:val="24"/>
          <w:lang w:val="de-DE"/>
        </w:rPr>
        <w:t>Cytochrom P450 2C19 (CYP2C19)</w:t>
      </w:r>
    </w:p>
    <w:p w14:paraId="75999EEC" w14:textId="77777777" w:rsidR="00315C7D" w:rsidRPr="00315C7D" w:rsidRDefault="00315C7D" w:rsidP="00315C7D">
      <w:pPr>
        <w:ind w:left="851"/>
        <w:rPr>
          <w:sz w:val="24"/>
          <w:szCs w:val="24"/>
          <w:lang w:val="de-DE"/>
        </w:rPr>
      </w:pPr>
      <w:r w:rsidRPr="00315C7D">
        <w:rPr>
          <w:sz w:val="24"/>
          <w:szCs w:val="24"/>
          <w:lang w:val="de-DE"/>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w:t>
      </w:r>
    </w:p>
    <w:p w14:paraId="2172B5B4" w14:textId="77777777" w:rsidR="00315C7D" w:rsidRPr="00315C7D" w:rsidRDefault="00315C7D" w:rsidP="00315C7D">
      <w:pPr>
        <w:ind w:left="851"/>
        <w:rPr>
          <w:sz w:val="24"/>
          <w:szCs w:val="24"/>
          <w:lang w:val="de-DE"/>
        </w:rPr>
      </w:pPr>
    </w:p>
    <w:p w14:paraId="48B17882" w14:textId="77777777" w:rsidR="00315C7D" w:rsidRPr="00315C7D" w:rsidRDefault="00315C7D" w:rsidP="00315C7D">
      <w:pPr>
        <w:ind w:left="851"/>
        <w:rPr>
          <w:sz w:val="24"/>
          <w:szCs w:val="24"/>
          <w:lang w:val="de-DE"/>
        </w:rPr>
      </w:pPr>
      <w:r w:rsidRPr="00315C7D">
        <w:rPr>
          <w:sz w:val="24"/>
          <w:szCs w:val="24"/>
          <w:lang w:val="de-DE"/>
        </w:rPr>
        <w:t>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intermediate CYP2C19-hæmmere (se pkt. 4.5 for en liste over CYP2C19-hæmmere, se også pkt. 5.2).</w:t>
      </w:r>
    </w:p>
    <w:p w14:paraId="5B68DCF4" w14:textId="77777777" w:rsidR="00315C7D" w:rsidRPr="00315C7D" w:rsidRDefault="00315C7D" w:rsidP="00315C7D">
      <w:pPr>
        <w:ind w:left="851"/>
        <w:rPr>
          <w:sz w:val="24"/>
          <w:szCs w:val="24"/>
          <w:lang w:val="de-DE"/>
        </w:rPr>
      </w:pPr>
    </w:p>
    <w:p w14:paraId="60F172A7" w14:textId="77777777" w:rsidR="00315C7D" w:rsidRPr="00315C7D" w:rsidRDefault="00315C7D" w:rsidP="00315C7D">
      <w:pPr>
        <w:ind w:left="851"/>
        <w:rPr>
          <w:sz w:val="24"/>
          <w:szCs w:val="24"/>
          <w:lang w:val="de-DE"/>
        </w:rPr>
      </w:pPr>
      <w:r w:rsidRPr="00315C7D">
        <w:rPr>
          <w:sz w:val="24"/>
          <w:szCs w:val="24"/>
          <w:lang w:val="de-DE"/>
        </w:rPr>
        <w:lastRenderedPageBreak/>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p w14:paraId="29C84DBB" w14:textId="77777777" w:rsidR="00315C7D" w:rsidRPr="00315C7D" w:rsidRDefault="00315C7D" w:rsidP="00315C7D">
      <w:pPr>
        <w:ind w:left="851"/>
        <w:rPr>
          <w:sz w:val="24"/>
          <w:szCs w:val="24"/>
          <w:lang w:val="de-DE"/>
        </w:rPr>
      </w:pPr>
    </w:p>
    <w:p w14:paraId="045AC957" w14:textId="77777777" w:rsidR="00315C7D" w:rsidRPr="00315C7D" w:rsidRDefault="00315C7D" w:rsidP="00315C7D">
      <w:pPr>
        <w:ind w:left="851"/>
        <w:rPr>
          <w:i/>
          <w:sz w:val="24"/>
          <w:szCs w:val="24"/>
          <w:lang w:val="de-DE"/>
        </w:rPr>
      </w:pPr>
      <w:r w:rsidRPr="00315C7D">
        <w:rPr>
          <w:i/>
          <w:sz w:val="24"/>
          <w:szCs w:val="24"/>
          <w:lang w:val="de-DE"/>
        </w:rPr>
        <w:t>CYP2C8-substrater</w:t>
      </w:r>
    </w:p>
    <w:p w14:paraId="29EAD03F" w14:textId="77777777" w:rsidR="00315C7D" w:rsidRPr="00315C7D" w:rsidRDefault="00315C7D" w:rsidP="00315C7D">
      <w:pPr>
        <w:ind w:left="851"/>
        <w:rPr>
          <w:sz w:val="24"/>
          <w:szCs w:val="24"/>
          <w:lang w:val="de-DE"/>
        </w:rPr>
      </w:pPr>
      <w:r w:rsidRPr="00315C7D">
        <w:rPr>
          <w:sz w:val="24"/>
          <w:szCs w:val="24"/>
          <w:lang w:val="de-DE"/>
        </w:rPr>
        <w:t>Der skal udvises forsigtighed, når patienter på samme tid behandles med clopidogrel og lægemidler, der er CYP2C8-substrater (se pkt. 4.5).</w:t>
      </w:r>
    </w:p>
    <w:p w14:paraId="3043B8DC" w14:textId="77777777" w:rsidR="00315C7D" w:rsidRPr="00315C7D" w:rsidRDefault="00315C7D" w:rsidP="00315C7D">
      <w:pPr>
        <w:ind w:left="851"/>
        <w:rPr>
          <w:sz w:val="24"/>
          <w:szCs w:val="24"/>
          <w:lang w:val="de-DE"/>
        </w:rPr>
      </w:pPr>
    </w:p>
    <w:p w14:paraId="31179DB3" w14:textId="77777777" w:rsidR="00315C7D" w:rsidRPr="00315C7D" w:rsidRDefault="00315C7D" w:rsidP="00315C7D">
      <w:pPr>
        <w:ind w:left="851"/>
        <w:rPr>
          <w:i/>
          <w:sz w:val="24"/>
          <w:szCs w:val="24"/>
          <w:lang w:val="de-DE"/>
        </w:rPr>
      </w:pPr>
      <w:r w:rsidRPr="00315C7D">
        <w:rPr>
          <w:i/>
          <w:sz w:val="24"/>
          <w:szCs w:val="24"/>
          <w:lang w:val="de-DE"/>
        </w:rPr>
        <w:t>Krydsreaktioner mellem thienopyridiner</w:t>
      </w:r>
    </w:p>
    <w:p w14:paraId="7209A455" w14:textId="77777777" w:rsidR="00315C7D" w:rsidRPr="00315C7D" w:rsidRDefault="00315C7D" w:rsidP="00315C7D">
      <w:pPr>
        <w:ind w:left="851"/>
        <w:rPr>
          <w:sz w:val="24"/>
          <w:szCs w:val="24"/>
        </w:rPr>
      </w:pPr>
      <w:r w:rsidRPr="00315C7D">
        <w:rPr>
          <w:sz w:val="24"/>
          <w:szCs w:val="24"/>
          <w:lang w:val="de-DE"/>
        </w:rPr>
        <w:t xml:space="preserve">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w:t>
      </w:r>
      <w:r w:rsidRPr="00315C7D">
        <w:rPr>
          <w:sz w:val="24"/>
          <w:szCs w:val="24"/>
        </w:rPr>
        <w:t>Monitorering for tegn på overfølsomhed tilrådes hos patienter med allergi over for thienopyridiner.</w:t>
      </w:r>
    </w:p>
    <w:p w14:paraId="76F23594" w14:textId="77777777" w:rsidR="00315C7D" w:rsidRPr="00315C7D" w:rsidRDefault="00315C7D" w:rsidP="00315C7D">
      <w:pPr>
        <w:ind w:left="851"/>
        <w:rPr>
          <w:sz w:val="24"/>
          <w:szCs w:val="24"/>
        </w:rPr>
      </w:pPr>
    </w:p>
    <w:p w14:paraId="44FE73C3" w14:textId="77777777" w:rsidR="00315C7D" w:rsidRPr="00315C7D" w:rsidRDefault="00315C7D" w:rsidP="00315C7D">
      <w:pPr>
        <w:ind w:left="851"/>
        <w:rPr>
          <w:i/>
          <w:sz w:val="24"/>
          <w:szCs w:val="24"/>
          <w:lang w:val="de-DE"/>
        </w:rPr>
      </w:pPr>
      <w:r w:rsidRPr="00315C7D">
        <w:rPr>
          <w:i/>
          <w:sz w:val="24"/>
          <w:szCs w:val="24"/>
          <w:lang w:val="de-DE"/>
        </w:rPr>
        <w:t>Nedsat nyrefunktion</w:t>
      </w:r>
    </w:p>
    <w:p w14:paraId="70ABE990" w14:textId="77777777" w:rsidR="00315C7D" w:rsidRPr="00315C7D" w:rsidRDefault="00315C7D" w:rsidP="00315C7D">
      <w:pPr>
        <w:ind w:left="851"/>
        <w:rPr>
          <w:sz w:val="24"/>
          <w:szCs w:val="24"/>
        </w:rPr>
      </w:pPr>
      <w:r w:rsidRPr="00315C7D">
        <w:rPr>
          <w:sz w:val="24"/>
          <w:szCs w:val="24"/>
          <w:lang w:val="de-DE"/>
        </w:rPr>
        <w:t xml:space="preserve">Der er begrænset erfaring med behandling af patienter med nedsat nyrefunktion. </w:t>
      </w:r>
      <w:r w:rsidRPr="00315C7D">
        <w:rPr>
          <w:sz w:val="24"/>
          <w:szCs w:val="24"/>
        </w:rPr>
        <w:t>Derfor skal clopidogrel anvendes med forsigtighed til disse patienter (se pkt. 4.2).</w:t>
      </w:r>
    </w:p>
    <w:p w14:paraId="0E2C1E78" w14:textId="77777777" w:rsidR="00315C7D" w:rsidRPr="00315C7D" w:rsidRDefault="00315C7D" w:rsidP="00315C7D">
      <w:pPr>
        <w:ind w:left="851"/>
        <w:rPr>
          <w:sz w:val="24"/>
          <w:szCs w:val="24"/>
        </w:rPr>
      </w:pPr>
    </w:p>
    <w:p w14:paraId="4D999D76" w14:textId="77777777" w:rsidR="00315C7D" w:rsidRPr="00315C7D" w:rsidRDefault="00315C7D" w:rsidP="00315C7D">
      <w:pPr>
        <w:ind w:left="851"/>
        <w:rPr>
          <w:i/>
          <w:sz w:val="24"/>
          <w:szCs w:val="24"/>
        </w:rPr>
      </w:pPr>
      <w:r w:rsidRPr="00315C7D">
        <w:rPr>
          <w:i/>
          <w:sz w:val="24"/>
          <w:szCs w:val="24"/>
        </w:rPr>
        <w:t>Nedsat leverfunktion</w:t>
      </w:r>
    </w:p>
    <w:p w14:paraId="193A96BB" w14:textId="77777777" w:rsidR="00315C7D" w:rsidRPr="00315C7D" w:rsidRDefault="00315C7D" w:rsidP="00315C7D">
      <w:pPr>
        <w:ind w:left="851"/>
        <w:rPr>
          <w:sz w:val="24"/>
          <w:szCs w:val="24"/>
        </w:rPr>
      </w:pPr>
      <w:r w:rsidRPr="00315C7D">
        <w:rPr>
          <w:sz w:val="24"/>
          <w:szCs w:val="24"/>
        </w:rPr>
        <w:t>Der er begrænset erfaring med clopidogrel til patienter med moderat leversygdom, som kan have blødningstendens. Derfor skal clopidogrel anvendes med forsigtighed til disse patienter (se pkt. 4.2).</w:t>
      </w:r>
    </w:p>
    <w:p w14:paraId="77B535C2" w14:textId="77777777" w:rsidR="00315C7D" w:rsidRPr="00315C7D" w:rsidRDefault="00315C7D" w:rsidP="00315C7D">
      <w:pPr>
        <w:ind w:left="851"/>
        <w:rPr>
          <w:sz w:val="24"/>
          <w:szCs w:val="24"/>
        </w:rPr>
      </w:pPr>
    </w:p>
    <w:p w14:paraId="7DDC4BA8" w14:textId="77777777" w:rsidR="00315C7D" w:rsidRPr="00315C7D" w:rsidRDefault="00315C7D" w:rsidP="00315C7D">
      <w:pPr>
        <w:ind w:left="851"/>
        <w:rPr>
          <w:i/>
          <w:sz w:val="24"/>
          <w:szCs w:val="24"/>
        </w:rPr>
      </w:pPr>
      <w:r w:rsidRPr="00315C7D">
        <w:rPr>
          <w:i/>
          <w:sz w:val="24"/>
          <w:szCs w:val="24"/>
        </w:rPr>
        <w:t>Hjælpestoffer</w:t>
      </w:r>
    </w:p>
    <w:p w14:paraId="074F79B9" w14:textId="77777777" w:rsidR="00315C7D" w:rsidRPr="00315C7D" w:rsidRDefault="00315C7D" w:rsidP="00315C7D">
      <w:pPr>
        <w:ind w:left="851"/>
        <w:rPr>
          <w:sz w:val="24"/>
          <w:szCs w:val="24"/>
        </w:rPr>
      </w:pPr>
      <w:r w:rsidRPr="00315C7D">
        <w:rPr>
          <w:sz w:val="24"/>
          <w:szCs w:val="24"/>
        </w:rPr>
        <w:t>Clopidogrel Juta indeholder lactose. Patienter med hereditær galactoseintolerans, total lactasemangel eller glucose-/galactosemalabsorption bør ikke anvende dette lægemiddel.</w:t>
      </w:r>
    </w:p>
    <w:p w14:paraId="0EFD7445" w14:textId="77777777" w:rsidR="00315C7D" w:rsidRPr="00315C7D" w:rsidRDefault="00315C7D" w:rsidP="00315C7D">
      <w:pPr>
        <w:ind w:left="851"/>
        <w:rPr>
          <w:sz w:val="24"/>
          <w:szCs w:val="24"/>
        </w:rPr>
      </w:pPr>
    </w:p>
    <w:p w14:paraId="2C62282D" w14:textId="77777777" w:rsidR="00315C7D" w:rsidRPr="00315C7D" w:rsidRDefault="00315C7D" w:rsidP="00315C7D">
      <w:pPr>
        <w:ind w:left="851"/>
        <w:rPr>
          <w:sz w:val="24"/>
          <w:szCs w:val="24"/>
        </w:rPr>
      </w:pPr>
      <w:r w:rsidRPr="00315C7D">
        <w:rPr>
          <w:sz w:val="24"/>
          <w:szCs w:val="24"/>
        </w:rPr>
        <w:t>Dette lægemiddel indeholder mindre end 1 mmol (23 mg) natrium pr. filmovertrukne tabletter dvs. det er i det væsentlige natriumfrit.</w:t>
      </w:r>
    </w:p>
    <w:p w14:paraId="4CAC0729" w14:textId="77777777" w:rsidR="00315C7D" w:rsidRPr="00315C7D" w:rsidRDefault="00315C7D" w:rsidP="00315C7D">
      <w:pPr>
        <w:ind w:left="851"/>
        <w:rPr>
          <w:sz w:val="24"/>
          <w:szCs w:val="24"/>
        </w:rPr>
      </w:pPr>
    </w:p>
    <w:p w14:paraId="6EF06205"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B4470C" w14:textId="77777777" w:rsidR="00FD0B10" w:rsidRDefault="00FD0B10" w:rsidP="00FD0B10">
      <w:pPr>
        <w:tabs>
          <w:tab w:val="left" w:pos="851"/>
        </w:tabs>
        <w:ind w:left="851"/>
        <w:rPr>
          <w:i/>
          <w:sz w:val="24"/>
          <w:szCs w:val="24"/>
          <w:lang w:val="de-DE"/>
        </w:rPr>
      </w:pPr>
    </w:p>
    <w:p w14:paraId="036F0A9D" w14:textId="0B9B5FBB" w:rsidR="00FD0B10" w:rsidRPr="00FD0B10" w:rsidRDefault="00FD0B10" w:rsidP="00FD0B10">
      <w:pPr>
        <w:tabs>
          <w:tab w:val="left" w:pos="851"/>
        </w:tabs>
        <w:ind w:left="851"/>
        <w:rPr>
          <w:sz w:val="24"/>
          <w:szCs w:val="24"/>
          <w:lang w:val="de-DE"/>
        </w:rPr>
      </w:pPr>
      <w:r w:rsidRPr="00FD0B10">
        <w:rPr>
          <w:i/>
          <w:sz w:val="24"/>
          <w:szCs w:val="24"/>
          <w:lang w:val="de-DE"/>
        </w:rPr>
        <w:t>Lægemidler, der er forbundet med risiko for blødning:</w:t>
      </w:r>
      <w:r w:rsidRPr="00FD0B10">
        <w:rPr>
          <w:sz w:val="24"/>
          <w:szCs w:val="24"/>
          <w:lang w:val="de-DE"/>
        </w:rPr>
        <w:t xml:space="preserve"> Der er en øget risiko for blødning på grund af mulig additiv effekt. Der skal udvises forsigtighed ved samtidig administration af lægemidler, der er forbundet med risiko for blødning (se pkt. 4.4).</w:t>
      </w:r>
    </w:p>
    <w:p w14:paraId="55F6E2BB" w14:textId="77777777" w:rsidR="00FD0B10" w:rsidRPr="00FD0B10" w:rsidRDefault="00FD0B10" w:rsidP="00FD0B10">
      <w:pPr>
        <w:tabs>
          <w:tab w:val="left" w:pos="851"/>
        </w:tabs>
        <w:ind w:left="851"/>
        <w:rPr>
          <w:sz w:val="24"/>
          <w:szCs w:val="24"/>
          <w:lang w:val="de-DE"/>
        </w:rPr>
      </w:pPr>
    </w:p>
    <w:p w14:paraId="7B64F486" w14:textId="77777777" w:rsidR="00FD0B10" w:rsidRPr="00FD0B10" w:rsidRDefault="00FD0B10" w:rsidP="00FD0B10">
      <w:pPr>
        <w:tabs>
          <w:tab w:val="left" w:pos="851"/>
        </w:tabs>
        <w:ind w:left="851"/>
        <w:rPr>
          <w:sz w:val="24"/>
          <w:szCs w:val="24"/>
          <w:lang w:val="de-DE"/>
        </w:rPr>
      </w:pPr>
      <w:r w:rsidRPr="00FD0B10">
        <w:rPr>
          <w:i/>
          <w:sz w:val="24"/>
          <w:szCs w:val="24"/>
          <w:lang w:val="de-DE"/>
        </w:rPr>
        <w:t>Orale antikoagulantia:</w:t>
      </w:r>
      <w:r w:rsidRPr="00FD0B10">
        <w:rPr>
          <w:sz w:val="24"/>
          <w:szCs w:val="24"/>
          <w:lang w:val="de-DE"/>
        </w:rPr>
        <w:t xml:space="preserve"> 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14:paraId="6B05BBA7" w14:textId="77777777" w:rsidR="00FD0B10" w:rsidRPr="00FD0B10" w:rsidRDefault="00FD0B10" w:rsidP="00FD0B10">
      <w:pPr>
        <w:tabs>
          <w:tab w:val="left" w:pos="851"/>
        </w:tabs>
        <w:ind w:left="851"/>
        <w:rPr>
          <w:sz w:val="24"/>
          <w:szCs w:val="24"/>
          <w:lang w:val="de-DE"/>
        </w:rPr>
      </w:pPr>
    </w:p>
    <w:p w14:paraId="55FCE2FD" w14:textId="77777777" w:rsidR="00FD0B10" w:rsidRPr="00FD0B10" w:rsidRDefault="00FD0B10" w:rsidP="00FD0B10">
      <w:pPr>
        <w:tabs>
          <w:tab w:val="left" w:pos="851"/>
        </w:tabs>
        <w:ind w:left="851"/>
        <w:rPr>
          <w:sz w:val="24"/>
          <w:szCs w:val="24"/>
          <w:lang w:val="de-DE"/>
        </w:rPr>
      </w:pPr>
      <w:r w:rsidRPr="00FD0B10">
        <w:rPr>
          <w:i/>
          <w:sz w:val="24"/>
          <w:szCs w:val="24"/>
          <w:lang w:val="de-DE"/>
        </w:rPr>
        <w:t>Glykoprotein IIb/IIIa-hæmmere:</w:t>
      </w:r>
      <w:r w:rsidRPr="00FD0B10">
        <w:rPr>
          <w:sz w:val="24"/>
          <w:szCs w:val="24"/>
          <w:lang w:val="de-DE"/>
        </w:rPr>
        <w:t xml:space="preserve"> Clopidogrel skal anvendes med forsigtighed til patienter, der er i samtidig behandling med glykoprotein IIb/IIIa-hæmmere (se pkt. 4.4).</w:t>
      </w:r>
    </w:p>
    <w:p w14:paraId="619CDE59" w14:textId="77777777" w:rsidR="00FD0B10" w:rsidRPr="00FD0B10" w:rsidRDefault="00FD0B10" w:rsidP="00FD0B10">
      <w:pPr>
        <w:tabs>
          <w:tab w:val="left" w:pos="851"/>
        </w:tabs>
        <w:ind w:left="851"/>
        <w:rPr>
          <w:sz w:val="24"/>
          <w:szCs w:val="24"/>
          <w:lang w:val="de-DE"/>
        </w:rPr>
      </w:pPr>
    </w:p>
    <w:p w14:paraId="5A0ADF63" w14:textId="77777777" w:rsidR="00FD0B10" w:rsidRPr="00FD0B10" w:rsidRDefault="00FD0B10" w:rsidP="00FD0B10">
      <w:pPr>
        <w:tabs>
          <w:tab w:val="left" w:pos="851"/>
        </w:tabs>
        <w:ind w:left="851"/>
        <w:rPr>
          <w:sz w:val="24"/>
          <w:szCs w:val="24"/>
        </w:rPr>
      </w:pPr>
      <w:r w:rsidRPr="00FD0B10">
        <w:rPr>
          <w:i/>
          <w:sz w:val="24"/>
          <w:szCs w:val="24"/>
          <w:lang w:val="de-DE"/>
        </w:rPr>
        <w:lastRenderedPageBreak/>
        <w:t>Acetylsalicylsyre (ASA):</w:t>
      </w:r>
      <w:r w:rsidRPr="00FD0B10">
        <w:rPr>
          <w:sz w:val="24"/>
          <w:szCs w:val="24"/>
          <w:lang w:val="de-DE"/>
        </w:rPr>
        <w:t xml:space="preserve"> ASA ændrede ikke på, at clopidogrel hæmmer den trombocytaggregation som ADP inducerer, men clopidogrel forstærkede virkningen af ASA den trombocytaggregation som kollagen inducerer. Samtidig indgift af 500 mg ASA to gange daglig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w:t>
      </w:r>
      <w:r w:rsidRPr="00FD0B10">
        <w:rPr>
          <w:sz w:val="24"/>
          <w:szCs w:val="24"/>
        </w:rPr>
        <w:t>Imidlertid er clopidogrel og ASA givet samtidig i op til et år (se pkt. 5.1).</w:t>
      </w:r>
    </w:p>
    <w:p w14:paraId="6E28B7BF" w14:textId="77777777" w:rsidR="00FD0B10" w:rsidRPr="00FD0B10" w:rsidRDefault="00FD0B10" w:rsidP="00FD0B10">
      <w:pPr>
        <w:tabs>
          <w:tab w:val="left" w:pos="851"/>
        </w:tabs>
        <w:ind w:left="851"/>
        <w:rPr>
          <w:sz w:val="24"/>
          <w:szCs w:val="24"/>
        </w:rPr>
      </w:pPr>
    </w:p>
    <w:p w14:paraId="2B1E11F9" w14:textId="77777777" w:rsidR="00FD0B10" w:rsidRPr="00FD0B10" w:rsidRDefault="00FD0B10" w:rsidP="00FD0B10">
      <w:pPr>
        <w:tabs>
          <w:tab w:val="left" w:pos="851"/>
        </w:tabs>
        <w:ind w:left="851"/>
        <w:rPr>
          <w:sz w:val="24"/>
          <w:szCs w:val="24"/>
          <w:lang w:val="de-DE"/>
        </w:rPr>
      </w:pPr>
      <w:r w:rsidRPr="00FD0B10">
        <w:rPr>
          <w:i/>
          <w:sz w:val="24"/>
          <w:szCs w:val="24"/>
        </w:rPr>
        <w:t>Heparin:</w:t>
      </w:r>
      <w:r w:rsidRPr="00FD0B10">
        <w:rPr>
          <w:sz w:val="24"/>
          <w:szCs w:val="24"/>
        </w:rPr>
        <w:t xml:space="preserve"> I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w:t>
      </w:r>
      <w:r w:rsidRPr="00FD0B10">
        <w:rPr>
          <w:sz w:val="24"/>
          <w:szCs w:val="24"/>
          <w:lang w:val="de-DE"/>
        </w:rPr>
        <w:t>Der rådes derfor til forsigtighed ved samtidig brug (se pkt. 4.4).</w:t>
      </w:r>
    </w:p>
    <w:p w14:paraId="3BA45366" w14:textId="77777777" w:rsidR="00FD0B10" w:rsidRPr="00FD0B10" w:rsidRDefault="00FD0B10" w:rsidP="00FD0B10">
      <w:pPr>
        <w:tabs>
          <w:tab w:val="left" w:pos="851"/>
        </w:tabs>
        <w:ind w:left="851"/>
        <w:rPr>
          <w:sz w:val="24"/>
          <w:szCs w:val="24"/>
          <w:lang w:val="de-DE"/>
        </w:rPr>
      </w:pPr>
    </w:p>
    <w:p w14:paraId="2A205702" w14:textId="77777777" w:rsidR="00FD0B10" w:rsidRPr="00FD0B10" w:rsidRDefault="00FD0B10" w:rsidP="00FD0B10">
      <w:pPr>
        <w:tabs>
          <w:tab w:val="left" w:pos="851"/>
        </w:tabs>
        <w:ind w:left="851"/>
        <w:rPr>
          <w:sz w:val="24"/>
          <w:szCs w:val="24"/>
          <w:lang w:val="de-DE"/>
        </w:rPr>
      </w:pPr>
      <w:r w:rsidRPr="00FD0B10">
        <w:rPr>
          <w:i/>
          <w:sz w:val="24"/>
          <w:szCs w:val="24"/>
          <w:lang w:val="de-DE"/>
        </w:rPr>
        <w:t>Trombolytika:</w:t>
      </w:r>
      <w:r w:rsidRPr="00FD0B10">
        <w:rPr>
          <w:sz w:val="24"/>
          <w:szCs w:val="24"/>
          <w:lang w:val="de-DE"/>
        </w:rPr>
        <w:t xml:space="preserve">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14:paraId="35B6B13B" w14:textId="77777777" w:rsidR="00FD0B10" w:rsidRPr="00FD0B10" w:rsidRDefault="00FD0B10" w:rsidP="00FD0B10">
      <w:pPr>
        <w:tabs>
          <w:tab w:val="left" w:pos="851"/>
        </w:tabs>
        <w:ind w:left="851"/>
        <w:rPr>
          <w:sz w:val="24"/>
          <w:szCs w:val="24"/>
          <w:lang w:val="de-DE"/>
        </w:rPr>
      </w:pPr>
    </w:p>
    <w:p w14:paraId="3CBA058B" w14:textId="77777777" w:rsidR="00FD0B10" w:rsidRPr="00FD0B10" w:rsidRDefault="00FD0B10" w:rsidP="00FD0B10">
      <w:pPr>
        <w:tabs>
          <w:tab w:val="left" w:pos="851"/>
        </w:tabs>
        <w:ind w:left="851"/>
        <w:rPr>
          <w:sz w:val="24"/>
          <w:szCs w:val="24"/>
        </w:rPr>
      </w:pPr>
      <w:r w:rsidRPr="00FD0B10">
        <w:rPr>
          <w:i/>
          <w:sz w:val="24"/>
          <w:szCs w:val="24"/>
          <w:lang w:val="de-DE"/>
        </w:rPr>
        <w:t>Nonsteroide antiinflammatoriske stoffer (NSAID’er):</w:t>
      </w:r>
      <w:r w:rsidRPr="00FD0B10">
        <w:rPr>
          <w:sz w:val="24"/>
          <w:szCs w:val="24"/>
          <w:lang w:val="de-DE"/>
        </w:rPr>
        <w:t xml:space="preserve"> 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w:t>
      </w:r>
      <w:r w:rsidRPr="00FD0B10">
        <w:rPr>
          <w:sz w:val="24"/>
          <w:szCs w:val="24"/>
        </w:rPr>
        <w:t>Derfor bør samtidig administration af NSAID’er inklusive cox-2 hæmmere og clopidogrel foregå med forsigtighed (se pkt. 4.4).</w:t>
      </w:r>
    </w:p>
    <w:p w14:paraId="4773688F" w14:textId="77777777" w:rsidR="00FD0B10" w:rsidRPr="00FD0B10" w:rsidRDefault="00FD0B10" w:rsidP="00FD0B10">
      <w:pPr>
        <w:tabs>
          <w:tab w:val="left" w:pos="851"/>
        </w:tabs>
        <w:ind w:left="851"/>
        <w:rPr>
          <w:sz w:val="24"/>
          <w:szCs w:val="24"/>
        </w:rPr>
      </w:pPr>
    </w:p>
    <w:p w14:paraId="317EFF3B" w14:textId="77777777" w:rsidR="00FD0B10" w:rsidRPr="00FD0B10" w:rsidRDefault="00FD0B10" w:rsidP="00FD0B10">
      <w:pPr>
        <w:tabs>
          <w:tab w:val="left" w:pos="851"/>
        </w:tabs>
        <w:ind w:left="851"/>
        <w:rPr>
          <w:sz w:val="24"/>
          <w:szCs w:val="24"/>
        </w:rPr>
      </w:pPr>
      <w:r w:rsidRPr="00FD0B10">
        <w:rPr>
          <w:i/>
          <w:sz w:val="24"/>
          <w:szCs w:val="24"/>
        </w:rPr>
        <w:t>SSRI’er:</w:t>
      </w:r>
      <w:r w:rsidRPr="00FD0B10">
        <w:rPr>
          <w:sz w:val="24"/>
          <w:szCs w:val="24"/>
        </w:rPr>
        <w:t xml:space="preserve"> Da SSRI’er påvirker trombocytaktiveringen og øger risikoen for blødning, skal samtidig administration af SSRI’er og clopidogrel ske med forsigtighed.</w:t>
      </w:r>
    </w:p>
    <w:p w14:paraId="701246A2" w14:textId="77777777" w:rsidR="00FD0B10" w:rsidRPr="00FD0B10" w:rsidRDefault="00FD0B10" w:rsidP="00FD0B10">
      <w:pPr>
        <w:tabs>
          <w:tab w:val="left" w:pos="851"/>
        </w:tabs>
        <w:ind w:left="851"/>
        <w:rPr>
          <w:sz w:val="24"/>
          <w:szCs w:val="24"/>
        </w:rPr>
      </w:pPr>
    </w:p>
    <w:p w14:paraId="082CAAA4" w14:textId="624D8A5B" w:rsidR="00FD0B10" w:rsidRPr="00FD0B10" w:rsidRDefault="00FD0B10" w:rsidP="00FD0B10">
      <w:pPr>
        <w:tabs>
          <w:tab w:val="left" w:pos="851"/>
        </w:tabs>
        <w:ind w:left="851"/>
        <w:rPr>
          <w:i/>
          <w:sz w:val="24"/>
          <w:szCs w:val="24"/>
        </w:rPr>
      </w:pPr>
      <w:r w:rsidRPr="00FD0B10">
        <w:rPr>
          <w:i/>
          <w:sz w:val="24"/>
          <w:szCs w:val="24"/>
        </w:rPr>
        <w:t>Anden samtidig behandling</w:t>
      </w:r>
    </w:p>
    <w:p w14:paraId="349B1DBC" w14:textId="77777777" w:rsidR="00FD0B10" w:rsidRPr="00FD0B10" w:rsidRDefault="00FD0B10" w:rsidP="00FD0B10">
      <w:pPr>
        <w:tabs>
          <w:tab w:val="left" w:pos="851"/>
        </w:tabs>
        <w:ind w:left="851"/>
        <w:rPr>
          <w:sz w:val="24"/>
          <w:szCs w:val="24"/>
        </w:rPr>
      </w:pPr>
    </w:p>
    <w:p w14:paraId="3DD08C10" w14:textId="77777777" w:rsidR="00FD0B10" w:rsidRPr="00FD0B10" w:rsidRDefault="00FD0B10" w:rsidP="00FD0B10">
      <w:pPr>
        <w:tabs>
          <w:tab w:val="left" w:pos="851"/>
        </w:tabs>
        <w:ind w:left="851"/>
        <w:rPr>
          <w:sz w:val="24"/>
          <w:szCs w:val="24"/>
        </w:rPr>
      </w:pPr>
      <w:r w:rsidRPr="00FD0B10">
        <w:rPr>
          <w:sz w:val="24"/>
          <w:szCs w:val="24"/>
        </w:rPr>
        <w:t>CYP2C19-induktorer</w:t>
      </w:r>
    </w:p>
    <w:p w14:paraId="049A28B1" w14:textId="77777777" w:rsidR="00FD0B10" w:rsidRPr="00FD0B10" w:rsidRDefault="00FD0B10" w:rsidP="00FD0B10">
      <w:pPr>
        <w:tabs>
          <w:tab w:val="left" w:pos="851"/>
        </w:tabs>
        <w:ind w:left="851"/>
        <w:rPr>
          <w:sz w:val="24"/>
          <w:szCs w:val="24"/>
        </w:rPr>
      </w:pPr>
      <w:r w:rsidRPr="00FD0B10">
        <w:rPr>
          <w:sz w:val="24"/>
          <w:szCs w:val="24"/>
        </w:rPr>
        <w:t>Da clopidogrel delvist af CYP2C19 metaboliseres til dets aktive metabolit, forventes anvendelse af lægemidler, der inducerer aktiviteten af dette enzym, at resultere i forhøjede lægemiddelniveauer af clopidogels aktive metabolit.</w:t>
      </w:r>
    </w:p>
    <w:p w14:paraId="2917D0D7" w14:textId="77777777" w:rsidR="00FD0B10" w:rsidRPr="00FD0B10" w:rsidRDefault="00FD0B10" w:rsidP="00FD0B10">
      <w:pPr>
        <w:tabs>
          <w:tab w:val="left" w:pos="851"/>
        </w:tabs>
        <w:ind w:left="851"/>
        <w:rPr>
          <w:sz w:val="24"/>
          <w:szCs w:val="24"/>
        </w:rPr>
      </w:pPr>
    </w:p>
    <w:p w14:paraId="11B386F9" w14:textId="77777777" w:rsidR="00FD0B10" w:rsidRPr="00FD0B10" w:rsidRDefault="00FD0B10" w:rsidP="00FD0B10">
      <w:pPr>
        <w:tabs>
          <w:tab w:val="left" w:pos="851"/>
        </w:tabs>
        <w:ind w:left="851"/>
        <w:rPr>
          <w:sz w:val="24"/>
          <w:szCs w:val="24"/>
          <w:lang w:val="de-DE"/>
        </w:rPr>
      </w:pPr>
      <w:r w:rsidRPr="00FD0B10">
        <w:rPr>
          <w:sz w:val="24"/>
          <w:szCs w:val="24"/>
        </w:rPr>
        <w:t xml:space="preserve">Rifampicin inducerer kraftigt CYP2C19, hvilket resulterer i både et forhøjet niveau af clopidogrels aktiv metabolit og trombocythæmning, hvilket især muligvis øger risikoen for blødning. </w:t>
      </w:r>
      <w:r w:rsidRPr="00FD0B10">
        <w:rPr>
          <w:sz w:val="24"/>
          <w:szCs w:val="24"/>
          <w:lang w:val="de-DE"/>
        </w:rPr>
        <w:t>Som en forholdsregel bør samtidig brug af stærke CYP2C19-induktorer frarådes (se pkt. 4.4).</w:t>
      </w:r>
    </w:p>
    <w:p w14:paraId="2F4DC125" w14:textId="77777777" w:rsidR="00FD0B10" w:rsidRPr="00FD0B10" w:rsidRDefault="00FD0B10" w:rsidP="00FD0B10">
      <w:pPr>
        <w:tabs>
          <w:tab w:val="left" w:pos="851"/>
        </w:tabs>
        <w:ind w:left="851"/>
        <w:rPr>
          <w:sz w:val="24"/>
          <w:szCs w:val="24"/>
          <w:lang w:val="de-DE"/>
        </w:rPr>
      </w:pPr>
    </w:p>
    <w:p w14:paraId="54F7753E" w14:textId="77777777" w:rsidR="00FD0B10" w:rsidRPr="00FD0B10" w:rsidRDefault="00FD0B10" w:rsidP="00FD0B10">
      <w:pPr>
        <w:tabs>
          <w:tab w:val="left" w:pos="851"/>
        </w:tabs>
        <w:ind w:left="851"/>
        <w:rPr>
          <w:sz w:val="24"/>
          <w:szCs w:val="24"/>
          <w:lang w:val="de-DE"/>
        </w:rPr>
      </w:pPr>
      <w:r w:rsidRPr="00FD0B10">
        <w:rPr>
          <w:sz w:val="24"/>
          <w:szCs w:val="24"/>
          <w:lang w:val="de-DE"/>
        </w:rPr>
        <w:t>CYP2C19-hæmmere</w:t>
      </w:r>
    </w:p>
    <w:p w14:paraId="3459AC55" w14:textId="77777777" w:rsidR="00FD0B10" w:rsidRPr="00FD0B10" w:rsidRDefault="00FD0B10" w:rsidP="00FD0B10">
      <w:pPr>
        <w:tabs>
          <w:tab w:val="left" w:pos="851"/>
        </w:tabs>
        <w:ind w:left="851"/>
        <w:rPr>
          <w:sz w:val="24"/>
          <w:szCs w:val="24"/>
          <w:lang w:val="de-DE"/>
        </w:rPr>
      </w:pPr>
      <w:r w:rsidRPr="00FD0B10">
        <w:rPr>
          <w:sz w:val="24"/>
          <w:szCs w:val="24"/>
          <w:lang w:val="de-DE"/>
        </w:rPr>
        <w:t>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w:t>
      </w:r>
    </w:p>
    <w:p w14:paraId="6F35066D" w14:textId="77777777" w:rsidR="00FD0B10" w:rsidRPr="00FD0B10" w:rsidRDefault="00FD0B10" w:rsidP="00FD0B10">
      <w:pPr>
        <w:tabs>
          <w:tab w:val="left" w:pos="851"/>
        </w:tabs>
        <w:ind w:left="851"/>
        <w:rPr>
          <w:sz w:val="24"/>
          <w:szCs w:val="24"/>
          <w:lang w:val="de-DE"/>
        </w:rPr>
      </w:pPr>
    </w:p>
    <w:p w14:paraId="604483B9" w14:textId="77777777" w:rsidR="00FD0B10" w:rsidRPr="00FD0B10" w:rsidRDefault="00FD0B10" w:rsidP="00FD0B10">
      <w:pPr>
        <w:tabs>
          <w:tab w:val="left" w:pos="851"/>
        </w:tabs>
        <w:ind w:left="851"/>
        <w:rPr>
          <w:sz w:val="24"/>
          <w:szCs w:val="24"/>
          <w:lang w:val="de-DE"/>
        </w:rPr>
      </w:pPr>
      <w:r w:rsidRPr="00FD0B10">
        <w:rPr>
          <w:sz w:val="24"/>
          <w:szCs w:val="24"/>
          <w:lang w:val="de-DE"/>
        </w:rPr>
        <w:lastRenderedPageBreak/>
        <w:t>Lægemidler, som er potente og moderate CYP2C19-hæmmere, inkluderer for eksempel omeprazol og esomeprazol, fluvoxamin, fluoxetin, moclobemid, voriconazol, fluconazol, ticlopidin, carbamazepin og efavirenz.</w:t>
      </w:r>
    </w:p>
    <w:p w14:paraId="3F7E416D" w14:textId="77777777" w:rsidR="00FD0B10" w:rsidRPr="00FD0B10" w:rsidRDefault="00FD0B10" w:rsidP="00FD0B10">
      <w:pPr>
        <w:tabs>
          <w:tab w:val="left" w:pos="851"/>
        </w:tabs>
        <w:ind w:left="851"/>
        <w:rPr>
          <w:sz w:val="24"/>
          <w:szCs w:val="24"/>
          <w:lang w:val="de-DE"/>
        </w:rPr>
      </w:pPr>
    </w:p>
    <w:p w14:paraId="69A0B7AE" w14:textId="7A9286E2" w:rsidR="00FD0B10" w:rsidRPr="00FD0B10" w:rsidRDefault="00FD0B10" w:rsidP="00FD0B10">
      <w:pPr>
        <w:tabs>
          <w:tab w:val="left" w:pos="851"/>
        </w:tabs>
        <w:ind w:left="851"/>
        <w:rPr>
          <w:sz w:val="24"/>
          <w:szCs w:val="24"/>
          <w:lang w:val="de-DE"/>
        </w:rPr>
      </w:pPr>
      <w:r w:rsidRPr="00FD0B10">
        <w:rPr>
          <w:sz w:val="24"/>
          <w:szCs w:val="24"/>
          <w:lang w:val="de-DE"/>
        </w:rPr>
        <w:t>Syrepumpehæmmere (PPI)</w:t>
      </w:r>
    </w:p>
    <w:p w14:paraId="55B37A2E" w14:textId="77777777" w:rsidR="00FD0B10" w:rsidRPr="00FD0B10" w:rsidRDefault="00FD0B10" w:rsidP="00FD0B10">
      <w:pPr>
        <w:tabs>
          <w:tab w:val="left" w:pos="851"/>
        </w:tabs>
        <w:ind w:left="851"/>
        <w:rPr>
          <w:sz w:val="24"/>
          <w:szCs w:val="24"/>
          <w:lang w:val="de-DE"/>
        </w:rPr>
      </w:pPr>
      <w:r w:rsidRPr="00FD0B10">
        <w:rPr>
          <w:sz w:val="24"/>
          <w:szCs w:val="24"/>
          <w:lang w:val="de-DE"/>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14:paraId="61632D19" w14:textId="77777777" w:rsidR="00FD0B10" w:rsidRPr="00FD0B10" w:rsidRDefault="00FD0B10" w:rsidP="00FD0B10">
      <w:pPr>
        <w:tabs>
          <w:tab w:val="left" w:pos="851"/>
        </w:tabs>
        <w:ind w:left="851"/>
        <w:rPr>
          <w:sz w:val="24"/>
          <w:szCs w:val="24"/>
          <w:lang w:val="de-DE"/>
        </w:rPr>
      </w:pPr>
    </w:p>
    <w:p w14:paraId="34C5F19F" w14:textId="77777777" w:rsidR="00FD0B10" w:rsidRPr="00FD0B10" w:rsidRDefault="00FD0B10" w:rsidP="00FD0B10">
      <w:pPr>
        <w:tabs>
          <w:tab w:val="left" w:pos="851"/>
        </w:tabs>
        <w:ind w:left="851"/>
        <w:rPr>
          <w:sz w:val="24"/>
          <w:szCs w:val="24"/>
          <w:lang w:val="de-DE"/>
        </w:rPr>
      </w:pPr>
      <w:r w:rsidRPr="00FD0B10">
        <w:rPr>
          <w:sz w:val="24"/>
          <w:szCs w:val="24"/>
          <w:lang w:val="de-DE"/>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14:paraId="28D33CED" w14:textId="77777777" w:rsidR="00FD0B10" w:rsidRPr="00FD0B10" w:rsidRDefault="00FD0B10" w:rsidP="00FD0B10">
      <w:pPr>
        <w:tabs>
          <w:tab w:val="left" w:pos="851"/>
        </w:tabs>
        <w:ind w:left="851"/>
        <w:rPr>
          <w:sz w:val="24"/>
          <w:szCs w:val="24"/>
          <w:lang w:val="de-DE"/>
        </w:rPr>
      </w:pPr>
    </w:p>
    <w:p w14:paraId="6B5E1465" w14:textId="465B6AD4" w:rsidR="00FD0B10" w:rsidRPr="00FD0B10" w:rsidRDefault="00FD0B10" w:rsidP="00FD0B10">
      <w:pPr>
        <w:tabs>
          <w:tab w:val="left" w:pos="851"/>
        </w:tabs>
        <w:ind w:left="851"/>
        <w:rPr>
          <w:sz w:val="24"/>
          <w:szCs w:val="24"/>
          <w:lang w:val="de-DE"/>
        </w:rPr>
      </w:pPr>
      <w:r w:rsidRPr="00FD0B10">
        <w:rPr>
          <w:sz w:val="24"/>
          <w:szCs w:val="24"/>
          <w:lang w:val="de-DE"/>
        </w:rPr>
        <w:t>Der er observeret mindre udtalte reduktioner af eksponeringen for den aktive metabolit med</w:t>
      </w:r>
      <w:r>
        <w:rPr>
          <w:sz w:val="24"/>
          <w:szCs w:val="24"/>
          <w:lang w:val="de-DE"/>
        </w:rPr>
        <w:t xml:space="preserve"> </w:t>
      </w:r>
      <w:r w:rsidRPr="00FD0B10">
        <w:rPr>
          <w:sz w:val="24"/>
          <w:szCs w:val="24"/>
          <w:lang w:val="de-DE"/>
        </w:rPr>
        <w:t>pantoprazol og lansoprazol.</w:t>
      </w:r>
    </w:p>
    <w:p w14:paraId="134166E6" w14:textId="77777777" w:rsidR="00FD0B10" w:rsidRPr="00FD0B10" w:rsidRDefault="00FD0B10" w:rsidP="00FD0B10">
      <w:pPr>
        <w:tabs>
          <w:tab w:val="left" w:pos="851"/>
        </w:tabs>
        <w:ind w:left="851"/>
        <w:rPr>
          <w:sz w:val="24"/>
          <w:szCs w:val="24"/>
          <w:lang w:val="de-DE"/>
        </w:rPr>
      </w:pPr>
      <w:r w:rsidRPr="00FD0B10">
        <w:rPr>
          <w:sz w:val="24"/>
          <w:szCs w:val="24"/>
          <w:lang w:val="de-DE"/>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14:paraId="4F1530F0" w14:textId="77777777" w:rsidR="00FD0B10" w:rsidRPr="00FD0B10" w:rsidRDefault="00FD0B10" w:rsidP="00FD0B10">
      <w:pPr>
        <w:tabs>
          <w:tab w:val="left" w:pos="851"/>
        </w:tabs>
        <w:ind w:left="851"/>
        <w:rPr>
          <w:sz w:val="24"/>
          <w:szCs w:val="24"/>
          <w:lang w:val="de-DE"/>
        </w:rPr>
      </w:pPr>
    </w:p>
    <w:p w14:paraId="7B03478B" w14:textId="77777777" w:rsidR="00FD0B10" w:rsidRPr="00FD0B10" w:rsidRDefault="00FD0B10" w:rsidP="00FD0B10">
      <w:pPr>
        <w:tabs>
          <w:tab w:val="left" w:pos="851"/>
        </w:tabs>
        <w:ind w:left="851"/>
        <w:rPr>
          <w:sz w:val="24"/>
          <w:szCs w:val="24"/>
          <w:lang w:val="de-DE"/>
        </w:rPr>
      </w:pPr>
      <w:r w:rsidRPr="00FD0B10">
        <w:rPr>
          <w:sz w:val="24"/>
          <w:szCs w:val="24"/>
          <w:lang w:val="de-DE"/>
        </w:rPr>
        <w:t>Der foreligger ikke beviser for, at andre lægemidler, der reducerer mavesyren, såsom H2-blokkere eller antacida, påvirker clopidogrels antitrombotiske aktivitet.</w:t>
      </w:r>
    </w:p>
    <w:p w14:paraId="47DC8FF7" w14:textId="77777777" w:rsidR="00FD0B10" w:rsidRPr="00FD0B10" w:rsidRDefault="00FD0B10" w:rsidP="00FD0B10">
      <w:pPr>
        <w:tabs>
          <w:tab w:val="left" w:pos="851"/>
        </w:tabs>
        <w:ind w:left="851"/>
        <w:rPr>
          <w:sz w:val="24"/>
          <w:szCs w:val="24"/>
          <w:lang w:val="de-DE"/>
        </w:rPr>
      </w:pPr>
    </w:p>
    <w:p w14:paraId="738BC2EE" w14:textId="391692F4" w:rsidR="00FD0B10" w:rsidRPr="00FD0B10" w:rsidRDefault="00FD0B10" w:rsidP="00FD0B10">
      <w:pPr>
        <w:tabs>
          <w:tab w:val="left" w:pos="851"/>
        </w:tabs>
        <w:ind w:left="851"/>
        <w:rPr>
          <w:i/>
          <w:sz w:val="24"/>
          <w:szCs w:val="24"/>
          <w:lang w:val="de-DE"/>
        </w:rPr>
      </w:pPr>
      <w:r w:rsidRPr="00FD0B10">
        <w:rPr>
          <w:i/>
          <w:sz w:val="24"/>
          <w:szCs w:val="24"/>
          <w:lang w:val="de-DE"/>
        </w:rPr>
        <w:t>Boostet antiretroviral terapi (ART)</w:t>
      </w:r>
    </w:p>
    <w:p w14:paraId="53C21A3F" w14:textId="77777777" w:rsidR="00FD0B10" w:rsidRPr="00FD0B10" w:rsidRDefault="00FD0B10" w:rsidP="00FD0B10">
      <w:pPr>
        <w:tabs>
          <w:tab w:val="left" w:pos="851"/>
        </w:tabs>
        <w:ind w:left="851"/>
        <w:rPr>
          <w:sz w:val="24"/>
          <w:szCs w:val="24"/>
          <w:lang w:val="de-DE"/>
        </w:rPr>
      </w:pPr>
      <w:r w:rsidRPr="00FD0B10">
        <w:rPr>
          <w:sz w:val="24"/>
          <w:szCs w:val="24"/>
          <w:lang w:val="de-DE"/>
        </w:rPr>
        <w:t>Hiv-patienter, behandlet med boostet antiretroviral terapi (ART), er i højrisiko for vaskulære hændelser.</w:t>
      </w:r>
    </w:p>
    <w:p w14:paraId="5875D168" w14:textId="77777777" w:rsidR="00FD0B10" w:rsidRPr="00FD0B10" w:rsidRDefault="00FD0B10" w:rsidP="00FD0B10">
      <w:pPr>
        <w:tabs>
          <w:tab w:val="left" w:pos="851"/>
        </w:tabs>
        <w:ind w:left="851"/>
        <w:rPr>
          <w:sz w:val="24"/>
          <w:szCs w:val="24"/>
          <w:lang w:val="de-DE"/>
        </w:rPr>
      </w:pPr>
    </w:p>
    <w:p w14:paraId="3AEF598D" w14:textId="77777777" w:rsidR="00FD0B10" w:rsidRPr="00FD0B10" w:rsidRDefault="00FD0B10" w:rsidP="00FD0B10">
      <w:pPr>
        <w:tabs>
          <w:tab w:val="left" w:pos="851"/>
        </w:tabs>
        <w:ind w:left="851"/>
        <w:rPr>
          <w:sz w:val="24"/>
          <w:szCs w:val="24"/>
          <w:lang w:val="de-DE"/>
        </w:rPr>
      </w:pPr>
      <w:r w:rsidRPr="00FD0B10">
        <w:rPr>
          <w:sz w:val="24"/>
          <w:szCs w:val="24"/>
          <w:lang w:val="de-DE"/>
        </w:rPr>
        <w:t>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w:t>
      </w:r>
    </w:p>
    <w:p w14:paraId="0B4B36BD" w14:textId="77777777" w:rsidR="00FD0B10" w:rsidRPr="00FD0B10" w:rsidRDefault="00FD0B10" w:rsidP="00FD0B10">
      <w:pPr>
        <w:tabs>
          <w:tab w:val="left" w:pos="851"/>
        </w:tabs>
        <w:ind w:left="851"/>
        <w:rPr>
          <w:sz w:val="24"/>
          <w:szCs w:val="24"/>
          <w:lang w:val="de-DE"/>
        </w:rPr>
      </w:pPr>
    </w:p>
    <w:p w14:paraId="5F7FB332" w14:textId="77777777" w:rsidR="00FD0B10" w:rsidRPr="00FD0B10" w:rsidRDefault="00FD0B10" w:rsidP="00FD0B10">
      <w:pPr>
        <w:tabs>
          <w:tab w:val="left" w:pos="851"/>
        </w:tabs>
        <w:ind w:left="851"/>
        <w:rPr>
          <w:sz w:val="24"/>
          <w:szCs w:val="24"/>
          <w:lang w:val="de-DE"/>
        </w:rPr>
      </w:pPr>
      <w:r w:rsidRPr="00FD0B10">
        <w:rPr>
          <w:sz w:val="24"/>
          <w:szCs w:val="24"/>
          <w:lang w:val="de-DE"/>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14:paraId="410A6A64" w14:textId="77777777" w:rsidR="00FD0B10" w:rsidRPr="00FD0B10" w:rsidRDefault="00FD0B10" w:rsidP="00FD0B10">
      <w:pPr>
        <w:tabs>
          <w:tab w:val="left" w:pos="851"/>
        </w:tabs>
        <w:ind w:left="851"/>
        <w:rPr>
          <w:sz w:val="24"/>
          <w:szCs w:val="24"/>
          <w:lang w:val="de-DE"/>
        </w:rPr>
      </w:pPr>
    </w:p>
    <w:p w14:paraId="47A06761" w14:textId="77777777" w:rsidR="00FD0B10" w:rsidRPr="00FD0B10" w:rsidRDefault="00FD0B10" w:rsidP="00FD0B10">
      <w:pPr>
        <w:tabs>
          <w:tab w:val="left" w:pos="851"/>
        </w:tabs>
        <w:ind w:left="851"/>
        <w:rPr>
          <w:sz w:val="24"/>
          <w:szCs w:val="24"/>
          <w:lang w:val="de-DE"/>
        </w:rPr>
      </w:pPr>
      <w:r w:rsidRPr="00FD0B10">
        <w:rPr>
          <w:sz w:val="24"/>
          <w:szCs w:val="24"/>
          <w:lang w:val="de-DE"/>
        </w:rPr>
        <w:lastRenderedPageBreak/>
        <w:t>Hverken digoxins eller theophyllins farmakokinetik blev ændret ved samtidig administration af clopidogrel. Antacida påvirkede ikke omfanget af absorptionen af clopidogrel.</w:t>
      </w:r>
    </w:p>
    <w:p w14:paraId="6FAAC10A" w14:textId="77777777" w:rsidR="00FD0B10" w:rsidRPr="00FD0B10" w:rsidRDefault="00FD0B10" w:rsidP="00FD0B10">
      <w:pPr>
        <w:tabs>
          <w:tab w:val="left" w:pos="851"/>
        </w:tabs>
        <w:ind w:left="851"/>
        <w:rPr>
          <w:sz w:val="24"/>
          <w:szCs w:val="24"/>
          <w:lang w:val="de-DE"/>
        </w:rPr>
      </w:pPr>
    </w:p>
    <w:p w14:paraId="04BC7D72" w14:textId="77777777" w:rsidR="00FD0B10" w:rsidRPr="00FD0B10" w:rsidRDefault="00FD0B10" w:rsidP="00FD0B10">
      <w:pPr>
        <w:tabs>
          <w:tab w:val="left" w:pos="851"/>
        </w:tabs>
        <w:ind w:left="851"/>
        <w:rPr>
          <w:sz w:val="24"/>
          <w:szCs w:val="24"/>
          <w:lang w:val="de-DE"/>
        </w:rPr>
      </w:pPr>
      <w:r w:rsidRPr="00FD0B10">
        <w:rPr>
          <w:sz w:val="24"/>
          <w:szCs w:val="24"/>
          <w:lang w:val="de-DE"/>
        </w:rPr>
        <w:t>Data fra CAPRIE-studiet indikerer at phenytoin og tolbutamid, som metaboliseres af CYP2C9, kan administreres samtidig med clopidogrel uden risiko.</w:t>
      </w:r>
    </w:p>
    <w:p w14:paraId="4E25259A" w14:textId="77777777" w:rsidR="00FD0B10" w:rsidRPr="00FD0B10" w:rsidRDefault="00FD0B10" w:rsidP="00FD0B10">
      <w:pPr>
        <w:tabs>
          <w:tab w:val="left" w:pos="851"/>
        </w:tabs>
        <w:ind w:left="851"/>
        <w:rPr>
          <w:sz w:val="24"/>
          <w:szCs w:val="24"/>
          <w:lang w:val="de-DE"/>
        </w:rPr>
      </w:pPr>
    </w:p>
    <w:p w14:paraId="02205EB7" w14:textId="77777777" w:rsidR="00FD0B10" w:rsidRPr="00FD0B10" w:rsidRDefault="00FD0B10" w:rsidP="00FD0B10">
      <w:pPr>
        <w:tabs>
          <w:tab w:val="left" w:pos="851"/>
        </w:tabs>
        <w:ind w:left="851"/>
        <w:rPr>
          <w:sz w:val="24"/>
          <w:szCs w:val="24"/>
          <w:lang w:val="de-DE"/>
        </w:rPr>
      </w:pPr>
      <w:r w:rsidRPr="00FD0B10">
        <w:rPr>
          <w:sz w:val="24"/>
          <w:szCs w:val="24"/>
          <w:lang w:val="de-DE"/>
        </w:rPr>
        <w:t>Lægemidler, der er CYP2C8-substrater: Det er vist, at clopidogrel kan øge eksponeringen for repaglinid hos raske frivillige. In vitro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14:paraId="2EDE36D2" w14:textId="77777777" w:rsidR="00FD0B10" w:rsidRPr="00FD0B10" w:rsidRDefault="00FD0B10" w:rsidP="00FD0B10">
      <w:pPr>
        <w:tabs>
          <w:tab w:val="left" w:pos="851"/>
        </w:tabs>
        <w:ind w:left="851"/>
        <w:rPr>
          <w:sz w:val="24"/>
          <w:szCs w:val="24"/>
          <w:lang w:val="de-DE"/>
        </w:rPr>
      </w:pPr>
    </w:p>
    <w:p w14:paraId="1DE9F3CE" w14:textId="77777777" w:rsidR="00FD0B10" w:rsidRPr="00FD0B10" w:rsidRDefault="00FD0B10" w:rsidP="00FD0B10">
      <w:pPr>
        <w:tabs>
          <w:tab w:val="left" w:pos="851"/>
        </w:tabs>
        <w:ind w:left="851"/>
        <w:rPr>
          <w:sz w:val="24"/>
          <w:szCs w:val="24"/>
          <w:lang w:val="de-DE"/>
        </w:rPr>
      </w:pPr>
      <w:r w:rsidRPr="00FD0B10">
        <w:rPr>
          <w:sz w:val="24"/>
          <w:szCs w:val="24"/>
          <w:lang w:val="de-DE"/>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14:paraId="333AE454" w14:textId="77777777" w:rsidR="00FD0B10" w:rsidRPr="00FD0B10" w:rsidRDefault="00FD0B10" w:rsidP="00FD0B10">
      <w:pPr>
        <w:tabs>
          <w:tab w:val="left" w:pos="851"/>
        </w:tabs>
        <w:ind w:left="851"/>
        <w:rPr>
          <w:sz w:val="24"/>
          <w:szCs w:val="24"/>
          <w:lang w:val="de-DE"/>
        </w:rPr>
      </w:pPr>
    </w:p>
    <w:p w14:paraId="755630B8" w14:textId="77777777" w:rsidR="00FD0B10" w:rsidRPr="00FD0B10" w:rsidRDefault="00FD0B10" w:rsidP="00FD0B10">
      <w:pPr>
        <w:tabs>
          <w:tab w:val="left" w:pos="851"/>
        </w:tabs>
        <w:ind w:left="851"/>
        <w:rPr>
          <w:sz w:val="24"/>
          <w:szCs w:val="24"/>
          <w:lang w:val="de-DE"/>
        </w:rPr>
      </w:pPr>
      <w:r w:rsidRPr="00FD0B10">
        <w:rPr>
          <w:sz w:val="24"/>
          <w:szCs w:val="24"/>
          <w:lang w:val="de-DE"/>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p>
    <w:p w14:paraId="06980A9E" w14:textId="77777777" w:rsidR="00FD0B10" w:rsidRPr="00FD0B10" w:rsidRDefault="00FD0B10" w:rsidP="00FD0B10">
      <w:pPr>
        <w:tabs>
          <w:tab w:val="left" w:pos="851"/>
        </w:tabs>
        <w:ind w:left="851"/>
        <w:rPr>
          <w:sz w:val="24"/>
          <w:szCs w:val="24"/>
          <w:lang w:val="de-DE"/>
        </w:rPr>
      </w:pPr>
    </w:p>
    <w:p w14:paraId="11DC07F9" w14:textId="77777777" w:rsidR="00FD0B10" w:rsidRPr="00FD0B10" w:rsidRDefault="00FD0B10" w:rsidP="00FD0B10">
      <w:pPr>
        <w:tabs>
          <w:tab w:val="left" w:pos="851"/>
        </w:tabs>
        <w:ind w:left="851"/>
        <w:rPr>
          <w:sz w:val="24"/>
          <w:szCs w:val="24"/>
          <w:lang w:val="de-DE"/>
        </w:rPr>
      </w:pPr>
      <w:r w:rsidRPr="00FD0B10">
        <w:rPr>
          <w:sz w:val="24"/>
          <w:szCs w:val="24"/>
          <w:lang w:val="de-DE"/>
        </w:rPr>
        <w:t>Rosuvastatin: Det er vist, at clopidogrel øger eksponeringen for rosuvastatin hos patienter 2 gange (AUC) og 1,3 gange (C</w:t>
      </w:r>
      <w:r w:rsidRPr="00FD0B10">
        <w:rPr>
          <w:sz w:val="24"/>
          <w:szCs w:val="24"/>
          <w:vertAlign w:val="subscript"/>
          <w:lang w:val="de-DE"/>
        </w:rPr>
        <w:t>max</w:t>
      </w:r>
      <w:r w:rsidRPr="00FD0B10">
        <w:rPr>
          <w:sz w:val="24"/>
          <w:szCs w:val="24"/>
          <w:lang w:val="de-DE"/>
        </w:rPr>
        <w:t>) efter administration af en dosis på 300 mg clopidogrel og 1,4 gange (AUC) uden effekt på C</w:t>
      </w:r>
      <w:r w:rsidRPr="00FD0B10">
        <w:rPr>
          <w:sz w:val="24"/>
          <w:szCs w:val="24"/>
          <w:vertAlign w:val="subscript"/>
          <w:lang w:val="de-DE"/>
        </w:rPr>
        <w:t>max</w:t>
      </w:r>
      <w:r w:rsidRPr="00FD0B10">
        <w:rPr>
          <w:sz w:val="24"/>
          <w:szCs w:val="24"/>
          <w:lang w:val="de-DE"/>
        </w:rPr>
        <w:t xml:space="preserve"> efter gentagen administration af en dosis på 75 mg clopidogrel.</w:t>
      </w:r>
    </w:p>
    <w:p w14:paraId="412A9441" w14:textId="77777777" w:rsidR="00FD0B10" w:rsidRPr="00FD0B10" w:rsidRDefault="00FD0B10" w:rsidP="00FD0B10">
      <w:pPr>
        <w:tabs>
          <w:tab w:val="left" w:pos="851"/>
        </w:tabs>
        <w:ind w:left="851"/>
        <w:rPr>
          <w:sz w:val="24"/>
          <w:szCs w:val="24"/>
        </w:rPr>
      </w:pPr>
    </w:p>
    <w:p w14:paraId="27CE625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AEA2901" w14:textId="77777777" w:rsidR="00711C35" w:rsidRDefault="00711C35" w:rsidP="00711C35">
      <w:pPr>
        <w:tabs>
          <w:tab w:val="left" w:pos="851"/>
        </w:tabs>
        <w:ind w:left="851"/>
        <w:rPr>
          <w:i/>
          <w:sz w:val="24"/>
          <w:szCs w:val="24"/>
        </w:rPr>
      </w:pPr>
    </w:p>
    <w:p w14:paraId="59A33EA5" w14:textId="5433C80E" w:rsidR="00711C35" w:rsidRPr="00711C35" w:rsidRDefault="00711C35" w:rsidP="00711C35">
      <w:pPr>
        <w:tabs>
          <w:tab w:val="left" w:pos="851"/>
        </w:tabs>
        <w:ind w:left="851"/>
        <w:rPr>
          <w:sz w:val="24"/>
          <w:szCs w:val="24"/>
          <w:u w:val="single"/>
        </w:rPr>
      </w:pPr>
      <w:r w:rsidRPr="00711C35">
        <w:rPr>
          <w:sz w:val="24"/>
          <w:szCs w:val="24"/>
          <w:u w:val="single"/>
        </w:rPr>
        <w:t>Graviditet</w:t>
      </w:r>
    </w:p>
    <w:p w14:paraId="66A7205F" w14:textId="77777777" w:rsidR="00711C35" w:rsidRPr="00711C35" w:rsidRDefault="00711C35" w:rsidP="00711C35">
      <w:pPr>
        <w:tabs>
          <w:tab w:val="left" w:pos="851"/>
        </w:tabs>
        <w:ind w:left="851"/>
        <w:rPr>
          <w:sz w:val="24"/>
          <w:szCs w:val="24"/>
        </w:rPr>
      </w:pPr>
      <w:r w:rsidRPr="00711C35">
        <w:rPr>
          <w:sz w:val="24"/>
          <w:szCs w:val="24"/>
        </w:rPr>
        <w:t>Da der ikke foreligger kliniske data om eksponering for clopidogrel under graviditet, foretrækkes det, at clopidogrel ikke anvendes under graviditet af sikkerhedsmæssige årsager.</w:t>
      </w:r>
    </w:p>
    <w:p w14:paraId="3491D3F3" w14:textId="77777777" w:rsidR="00711C35" w:rsidRPr="00711C35" w:rsidRDefault="00711C35" w:rsidP="00711C35">
      <w:pPr>
        <w:tabs>
          <w:tab w:val="left" w:pos="851"/>
        </w:tabs>
        <w:ind w:left="851"/>
        <w:rPr>
          <w:sz w:val="24"/>
          <w:szCs w:val="24"/>
        </w:rPr>
      </w:pPr>
    </w:p>
    <w:p w14:paraId="597CD948" w14:textId="77777777" w:rsidR="00711C35" w:rsidRPr="00711C35" w:rsidRDefault="00711C35" w:rsidP="00711C35">
      <w:pPr>
        <w:tabs>
          <w:tab w:val="left" w:pos="851"/>
        </w:tabs>
        <w:ind w:left="851"/>
        <w:rPr>
          <w:sz w:val="24"/>
          <w:szCs w:val="24"/>
        </w:rPr>
      </w:pPr>
      <w:r w:rsidRPr="00711C35">
        <w:rPr>
          <w:sz w:val="24"/>
          <w:szCs w:val="24"/>
        </w:rPr>
        <w:t>Dyreforsøg viser ikke direkte eller indirekte skadelige virkninger for graviditet, embryoets/fostrets udvikling, fødslen eller den postnatale udvikling (se pkt. 5.3).</w:t>
      </w:r>
    </w:p>
    <w:p w14:paraId="25A88E5A" w14:textId="77777777" w:rsidR="00711C35" w:rsidRPr="00711C35" w:rsidRDefault="00711C35" w:rsidP="00711C35">
      <w:pPr>
        <w:tabs>
          <w:tab w:val="left" w:pos="851"/>
        </w:tabs>
        <w:ind w:left="851"/>
        <w:rPr>
          <w:sz w:val="24"/>
          <w:szCs w:val="24"/>
        </w:rPr>
      </w:pPr>
    </w:p>
    <w:p w14:paraId="4E69DB73" w14:textId="77777777" w:rsidR="00711C35" w:rsidRPr="00711C35" w:rsidRDefault="00711C35" w:rsidP="00711C35">
      <w:pPr>
        <w:tabs>
          <w:tab w:val="left" w:pos="851"/>
        </w:tabs>
        <w:ind w:left="851"/>
        <w:rPr>
          <w:sz w:val="24"/>
          <w:szCs w:val="24"/>
          <w:u w:val="single"/>
        </w:rPr>
      </w:pPr>
      <w:r w:rsidRPr="00711C35">
        <w:rPr>
          <w:sz w:val="24"/>
          <w:szCs w:val="24"/>
          <w:u w:val="single"/>
        </w:rPr>
        <w:t>Amning</w:t>
      </w:r>
    </w:p>
    <w:p w14:paraId="4E14B2ED" w14:textId="77777777" w:rsidR="00711C35" w:rsidRPr="00711C35" w:rsidRDefault="00711C35" w:rsidP="00711C35">
      <w:pPr>
        <w:tabs>
          <w:tab w:val="left" w:pos="851"/>
        </w:tabs>
        <w:ind w:left="851"/>
        <w:rPr>
          <w:sz w:val="24"/>
          <w:szCs w:val="24"/>
        </w:rPr>
      </w:pPr>
      <w:r w:rsidRPr="00711C35">
        <w:rPr>
          <w:sz w:val="24"/>
          <w:szCs w:val="24"/>
        </w:rPr>
        <w:t>Det vides ikke, om clopidogrel udskilles i human mælk. Dyrestudier har vist, at clopidogrel udskilles i mælk. Som forholdsregel bør amning ophøre under behandling med Clopidogrel Juta.</w:t>
      </w:r>
    </w:p>
    <w:p w14:paraId="0B211A5F" w14:textId="77777777" w:rsidR="00711C35" w:rsidRPr="00711C35" w:rsidRDefault="00711C35" w:rsidP="00711C35">
      <w:pPr>
        <w:tabs>
          <w:tab w:val="left" w:pos="851"/>
        </w:tabs>
        <w:ind w:left="851"/>
        <w:rPr>
          <w:sz w:val="24"/>
          <w:szCs w:val="24"/>
        </w:rPr>
      </w:pPr>
    </w:p>
    <w:p w14:paraId="0FFD740C" w14:textId="77777777" w:rsidR="00711C35" w:rsidRPr="00711C35" w:rsidRDefault="00711C35" w:rsidP="00711C35">
      <w:pPr>
        <w:tabs>
          <w:tab w:val="left" w:pos="851"/>
        </w:tabs>
        <w:ind w:left="851"/>
        <w:rPr>
          <w:sz w:val="24"/>
          <w:szCs w:val="24"/>
          <w:u w:val="single"/>
        </w:rPr>
      </w:pPr>
      <w:r w:rsidRPr="00711C35">
        <w:rPr>
          <w:sz w:val="24"/>
          <w:szCs w:val="24"/>
          <w:u w:val="single"/>
        </w:rPr>
        <w:t>Fertilitet</w:t>
      </w:r>
    </w:p>
    <w:p w14:paraId="0959B96B" w14:textId="5D2776BD" w:rsidR="00711C35" w:rsidRPr="00711C35" w:rsidRDefault="00711C35" w:rsidP="00711C35">
      <w:pPr>
        <w:tabs>
          <w:tab w:val="left" w:pos="851"/>
        </w:tabs>
        <w:ind w:left="851"/>
        <w:rPr>
          <w:sz w:val="24"/>
          <w:szCs w:val="24"/>
        </w:rPr>
      </w:pPr>
      <w:r w:rsidRPr="00711C35">
        <w:rPr>
          <w:sz w:val="24"/>
          <w:szCs w:val="24"/>
        </w:rPr>
        <w:t xml:space="preserve">I dyreforsøg blev det ikke vist, at </w:t>
      </w:r>
      <w:r>
        <w:rPr>
          <w:sz w:val="24"/>
          <w:szCs w:val="24"/>
        </w:rPr>
        <w:t>c</w:t>
      </w:r>
      <w:r w:rsidRPr="00711C35">
        <w:rPr>
          <w:sz w:val="24"/>
          <w:szCs w:val="24"/>
        </w:rPr>
        <w:t>lopidogrel ændrer fertiliteten.</w:t>
      </w:r>
    </w:p>
    <w:p w14:paraId="522AF52B" w14:textId="77777777" w:rsidR="00711C35" w:rsidRPr="00711C35" w:rsidRDefault="00711C35" w:rsidP="00711C35">
      <w:pPr>
        <w:tabs>
          <w:tab w:val="left" w:pos="851"/>
        </w:tabs>
        <w:ind w:left="851"/>
        <w:rPr>
          <w:sz w:val="24"/>
          <w:szCs w:val="24"/>
        </w:rPr>
      </w:pPr>
    </w:p>
    <w:p w14:paraId="5428D92D" w14:textId="77777777" w:rsidR="00711C35" w:rsidRPr="00711C35" w:rsidRDefault="00711C35" w:rsidP="00711C35">
      <w:pPr>
        <w:tabs>
          <w:tab w:val="left" w:pos="851"/>
        </w:tabs>
        <w:ind w:left="851"/>
        <w:rPr>
          <w:sz w:val="24"/>
          <w:szCs w:val="24"/>
        </w:rPr>
      </w:pPr>
    </w:p>
    <w:p w14:paraId="70B1A38C" w14:textId="77777777" w:rsidR="009260DE" w:rsidRPr="00C84483" w:rsidRDefault="009260DE" w:rsidP="009260DE">
      <w:pPr>
        <w:tabs>
          <w:tab w:val="left" w:pos="851"/>
        </w:tabs>
        <w:ind w:left="851"/>
        <w:rPr>
          <w:sz w:val="24"/>
          <w:szCs w:val="24"/>
        </w:rPr>
      </w:pPr>
    </w:p>
    <w:p w14:paraId="69DC2A4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1928F04" w14:textId="77777777" w:rsidR="00711C35" w:rsidRPr="00711C35" w:rsidRDefault="00711C35" w:rsidP="00711C35">
      <w:pPr>
        <w:tabs>
          <w:tab w:val="left" w:pos="851"/>
        </w:tabs>
        <w:ind w:left="851"/>
        <w:rPr>
          <w:sz w:val="24"/>
          <w:szCs w:val="24"/>
        </w:rPr>
      </w:pPr>
      <w:r w:rsidRPr="00711C35">
        <w:rPr>
          <w:sz w:val="24"/>
          <w:szCs w:val="24"/>
        </w:rPr>
        <w:t>Ikke mærkning.</w:t>
      </w:r>
    </w:p>
    <w:p w14:paraId="3B67E2D0" w14:textId="742C07A7" w:rsidR="00711C35" w:rsidRPr="00711C35" w:rsidRDefault="00711C35" w:rsidP="00711C35">
      <w:pPr>
        <w:tabs>
          <w:tab w:val="left" w:pos="851"/>
        </w:tabs>
        <w:ind w:left="851"/>
        <w:rPr>
          <w:sz w:val="24"/>
          <w:szCs w:val="24"/>
        </w:rPr>
      </w:pPr>
      <w:r w:rsidRPr="00711C35">
        <w:rPr>
          <w:sz w:val="24"/>
          <w:szCs w:val="24"/>
        </w:rPr>
        <w:t>Clopidogrel påvirker ikke eller kun i ubetydelig grad evnen til at føre motorkøretøj og betjene</w:t>
      </w:r>
      <w:r>
        <w:rPr>
          <w:sz w:val="24"/>
          <w:szCs w:val="24"/>
        </w:rPr>
        <w:t xml:space="preserve"> </w:t>
      </w:r>
      <w:r w:rsidRPr="00711C35">
        <w:rPr>
          <w:sz w:val="24"/>
          <w:szCs w:val="24"/>
        </w:rPr>
        <w:t>maskiner.</w:t>
      </w:r>
    </w:p>
    <w:p w14:paraId="620586AD" w14:textId="77777777" w:rsidR="009260DE" w:rsidRPr="00C84483" w:rsidRDefault="009260DE" w:rsidP="009260DE">
      <w:pPr>
        <w:tabs>
          <w:tab w:val="left" w:pos="851"/>
        </w:tabs>
        <w:ind w:left="851"/>
        <w:rPr>
          <w:sz w:val="24"/>
          <w:szCs w:val="24"/>
        </w:rPr>
      </w:pPr>
    </w:p>
    <w:p w14:paraId="090C8AB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FAE771F" w14:textId="77777777" w:rsidR="009A251A" w:rsidRPr="009A251A" w:rsidRDefault="009A251A" w:rsidP="009A251A">
      <w:pPr>
        <w:ind w:left="851"/>
        <w:rPr>
          <w:sz w:val="24"/>
          <w:szCs w:val="24"/>
        </w:rPr>
      </w:pPr>
    </w:p>
    <w:p w14:paraId="331C8E58" w14:textId="77777777" w:rsidR="009A251A" w:rsidRPr="009A251A" w:rsidRDefault="009A251A" w:rsidP="009A251A">
      <w:pPr>
        <w:ind w:left="851"/>
        <w:rPr>
          <w:sz w:val="24"/>
          <w:szCs w:val="24"/>
          <w:u w:val="single"/>
        </w:rPr>
      </w:pPr>
      <w:r w:rsidRPr="009A251A">
        <w:rPr>
          <w:sz w:val="24"/>
          <w:szCs w:val="24"/>
          <w:u w:val="single"/>
        </w:rPr>
        <w:t>Resumé af bivirkningsprofilen</w:t>
      </w:r>
    </w:p>
    <w:p w14:paraId="778C4D23" w14:textId="77777777" w:rsidR="009A251A" w:rsidRPr="009A251A" w:rsidRDefault="009A251A" w:rsidP="009A251A">
      <w:pPr>
        <w:ind w:left="851"/>
        <w:rPr>
          <w:sz w:val="24"/>
          <w:szCs w:val="24"/>
        </w:rPr>
      </w:pPr>
      <w:r w:rsidRPr="009A251A">
        <w:rPr>
          <w:sz w:val="24"/>
          <w:szCs w:val="24"/>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14:paraId="5C7837B1" w14:textId="77777777" w:rsidR="009A251A" w:rsidRPr="009A251A" w:rsidRDefault="009A251A" w:rsidP="009A251A">
      <w:pPr>
        <w:ind w:left="851"/>
        <w:rPr>
          <w:sz w:val="24"/>
          <w:szCs w:val="24"/>
        </w:rPr>
      </w:pPr>
    </w:p>
    <w:p w14:paraId="0AFD646F" w14:textId="77777777" w:rsidR="009A251A" w:rsidRPr="009A251A" w:rsidRDefault="009A251A" w:rsidP="009A251A">
      <w:pPr>
        <w:ind w:left="851"/>
        <w:rPr>
          <w:sz w:val="24"/>
          <w:szCs w:val="24"/>
        </w:rPr>
      </w:pPr>
      <w:r w:rsidRPr="009A251A">
        <w:rPr>
          <w:sz w:val="24"/>
          <w:szCs w:val="24"/>
        </w:rPr>
        <w:t>Blødning er den mest almindeligt indrapporterede bivirkning fra både kliniske studier, såvel som fra post-marketing erfaring, hvor den mestendels blev indrapporteret i løbet af behandlingens første måned.</w:t>
      </w:r>
    </w:p>
    <w:p w14:paraId="3602B5B7" w14:textId="77777777" w:rsidR="009A251A" w:rsidRPr="009A251A" w:rsidRDefault="009A251A" w:rsidP="009A251A">
      <w:pPr>
        <w:ind w:left="851"/>
        <w:rPr>
          <w:sz w:val="24"/>
          <w:szCs w:val="24"/>
        </w:rPr>
      </w:pPr>
    </w:p>
    <w:p w14:paraId="2101FA95" w14:textId="77777777" w:rsidR="009A251A" w:rsidRPr="009A251A" w:rsidRDefault="009A251A" w:rsidP="009A251A">
      <w:pPr>
        <w:ind w:left="851"/>
        <w:rPr>
          <w:sz w:val="24"/>
          <w:szCs w:val="24"/>
        </w:rPr>
      </w:pPr>
      <w:r w:rsidRPr="009A251A">
        <w:rPr>
          <w:sz w:val="24"/>
          <w:szCs w:val="24"/>
        </w:rPr>
        <w:t>I CAPRIE var den generelle forekomst af blødninger 9,3 % hos patienter behandlet med enten clopidogrel eller ASA. Forekomsten af svære tilfælde var sammenlignelig for clopidogrel og ASA.</w:t>
      </w:r>
    </w:p>
    <w:p w14:paraId="63F6FC72" w14:textId="77777777" w:rsidR="009A251A" w:rsidRPr="009A251A" w:rsidRDefault="009A251A" w:rsidP="009A251A">
      <w:pPr>
        <w:ind w:left="851"/>
        <w:rPr>
          <w:sz w:val="24"/>
          <w:szCs w:val="24"/>
        </w:rPr>
      </w:pPr>
    </w:p>
    <w:p w14:paraId="153F84D9" w14:textId="77777777" w:rsidR="009A251A" w:rsidRPr="009A251A" w:rsidRDefault="009A251A" w:rsidP="009A251A">
      <w:pPr>
        <w:ind w:left="851"/>
        <w:rPr>
          <w:sz w:val="24"/>
          <w:szCs w:val="24"/>
        </w:rPr>
      </w:pPr>
      <w:r w:rsidRPr="009A251A">
        <w:rPr>
          <w:sz w:val="24"/>
          <w:szCs w:val="24"/>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14:paraId="40D82DBB" w14:textId="77777777" w:rsidR="009A251A" w:rsidRPr="009A251A" w:rsidRDefault="009A251A" w:rsidP="009A251A">
      <w:pPr>
        <w:ind w:left="851"/>
        <w:rPr>
          <w:sz w:val="24"/>
          <w:szCs w:val="24"/>
        </w:rPr>
      </w:pPr>
    </w:p>
    <w:p w14:paraId="405F41EA" w14:textId="77777777" w:rsidR="009A251A" w:rsidRPr="009A251A" w:rsidRDefault="009A251A" w:rsidP="009A251A">
      <w:pPr>
        <w:ind w:left="851"/>
        <w:rPr>
          <w:sz w:val="24"/>
          <w:szCs w:val="24"/>
          <w:lang w:val="de-DE"/>
        </w:rPr>
      </w:pPr>
      <w:r w:rsidRPr="009A251A">
        <w:rPr>
          <w:sz w:val="24"/>
          <w:szCs w:val="24"/>
        </w:rPr>
        <w:t xml:space="preserve">I CLARITY var der en generel stigning i antallet af blødninger i clopidrogrel plus ASA-gruppen versus placebo plus ASA-gruppen. </w:t>
      </w:r>
      <w:r w:rsidRPr="009A251A">
        <w:rPr>
          <w:sz w:val="24"/>
          <w:szCs w:val="24"/>
          <w:lang w:val="de-DE"/>
        </w:rPr>
        <w:t>Forekomsten af større blødninger var ensartet i de to grupper. Dette var ensartet blandt undergrupperne af patienter defineret ved baseline karakterisktika og typen af fibrinolytika eller heparinbehandling.</w:t>
      </w:r>
    </w:p>
    <w:p w14:paraId="217085D3" w14:textId="77777777" w:rsidR="009A251A" w:rsidRPr="009A251A" w:rsidRDefault="009A251A" w:rsidP="009A251A">
      <w:pPr>
        <w:ind w:left="851"/>
        <w:rPr>
          <w:sz w:val="24"/>
          <w:szCs w:val="24"/>
          <w:lang w:val="de-DE"/>
        </w:rPr>
      </w:pPr>
    </w:p>
    <w:p w14:paraId="74CAC4FE" w14:textId="77777777" w:rsidR="009A251A" w:rsidRPr="009A251A" w:rsidRDefault="009A251A" w:rsidP="009A251A">
      <w:pPr>
        <w:ind w:left="851"/>
        <w:rPr>
          <w:sz w:val="24"/>
          <w:szCs w:val="24"/>
          <w:lang w:val="de-DE"/>
        </w:rPr>
      </w:pPr>
      <w:r w:rsidRPr="009A251A">
        <w:rPr>
          <w:sz w:val="24"/>
          <w:szCs w:val="24"/>
          <w:lang w:val="de-DE"/>
        </w:rPr>
        <w:t>I COMMIT var den generelle forekomst af non-cerebrale større blødninger eller cerebrale blødninger lav og ensartet i begge grupper.</w:t>
      </w:r>
    </w:p>
    <w:p w14:paraId="21F44035" w14:textId="77777777" w:rsidR="009A251A" w:rsidRPr="009A251A" w:rsidRDefault="009A251A" w:rsidP="009A251A">
      <w:pPr>
        <w:ind w:left="851"/>
        <w:rPr>
          <w:sz w:val="24"/>
          <w:szCs w:val="24"/>
          <w:lang w:val="de-DE"/>
        </w:rPr>
      </w:pPr>
    </w:p>
    <w:p w14:paraId="324FF584" w14:textId="77777777" w:rsidR="009A251A" w:rsidRPr="009A251A" w:rsidRDefault="009A251A" w:rsidP="009A251A">
      <w:pPr>
        <w:ind w:left="851"/>
        <w:rPr>
          <w:sz w:val="24"/>
          <w:szCs w:val="24"/>
        </w:rPr>
      </w:pPr>
      <w:r w:rsidRPr="009A251A">
        <w:rPr>
          <w:sz w:val="24"/>
          <w:szCs w:val="24"/>
        </w:rPr>
        <w:t>I ACTIVE-A-studiet var antallet af større blødninger større i clopidogrel + ASA-gruppen end i placebo + ASA-gruppen (6,7 % versus 4,3 %). Større blødning var i begge grupper primært af ekstrakranial oprindelse (5,3 % i clopidogrel + ASA-gruppen, 3,5 % i placebo + ASA-gruppen), hovedsageligt fra mave-tarmkanalen (3,5 % versus 1,8 %). Der var flere intrakranielle blødninger i clopidogrel + ASA-gruppen sammenlignet med placebo + ASA-gruppen (1,4 % versus 0,8 %, henholdsvis). Der var ingen statistisk signifikant forskel i antallet af dødelige blødninger (1,1 % i clopidogrel + ASA-gruppen og 0,7 % i placebo + ASA-gruppen) og hæmoragisk apopleksi (henholdsvis 0,8 % og 0,6 %) mellem grupperne.</w:t>
      </w:r>
    </w:p>
    <w:p w14:paraId="2BB8F46E" w14:textId="391E0BB1" w:rsidR="009A251A" w:rsidRDefault="009A251A">
      <w:pPr>
        <w:rPr>
          <w:sz w:val="24"/>
          <w:szCs w:val="24"/>
        </w:rPr>
      </w:pPr>
      <w:r>
        <w:rPr>
          <w:sz w:val="24"/>
          <w:szCs w:val="24"/>
        </w:rPr>
        <w:br w:type="page"/>
      </w:r>
    </w:p>
    <w:p w14:paraId="50B35480" w14:textId="77777777" w:rsidR="009A251A" w:rsidRPr="009A251A" w:rsidRDefault="009A251A" w:rsidP="009A251A">
      <w:pPr>
        <w:ind w:left="851"/>
        <w:rPr>
          <w:sz w:val="24"/>
          <w:szCs w:val="24"/>
        </w:rPr>
      </w:pPr>
    </w:p>
    <w:p w14:paraId="6955F8AC" w14:textId="77777777" w:rsidR="009A251A" w:rsidRPr="009A251A" w:rsidRDefault="009A251A" w:rsidP="009A251A">
      <w:pPr>
        <w:ind w:left="851"/>
        <w:rPr>
          <w:sz w:val="24"/>
          <w:szCs w:val="24"/>
          <w:u w:val="single"/>
          <w:lang w:val="de-DE"/>
        </w:rPr>
      </w:pPr>
      <w:r w:rsidRPr="009A251A">
        <w:rPr>
          <w:sz w:val="24"/>
          <w:szCs w:val="24"/>
          <w:u w:val="single"/>
          <w:lang w:val="de-DE"/>
        </w:rPr>
        <w:t>Oversigt over bivirkninger i tabelform</w:t>
      </w:r>
    </w:p>
    <w:p w14:paraId="68E0952B" w14:textId="77777777" w:rsidR="009A251A" w:rsidRPr="009A251A" w:rsidRDefault="009A251A" w:rsidP="009A251A">
      <w:pPr>
        <w:ind w:left="851"/>
        <w:rPr>
          <w:sz w:val="24"/>
          <w:szCs w:val="24"/>
          <w:lang w:val="de-DE"/>
        </w:rPr>
      </w:pPr>
      <w:r w:rsidRPr="009A251A">
        <w:rPr>
          <w:sz w:val="24"/>
          <w:szCs w:val="24"/>
          <w:lang w:val="de-DE"/>
        </w:rPr>
        <w:t>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ikke kendt (kan ikke estimeres ud fra forhåndenværende data). Inden for hver gruppe af bivirkninger med samme frekvens er bivirkningerne opstillet efter, hvor alvorlige de er. De alvorligste bivirkninger er anført først.</w:t>
      </w:r>
    </w:p>
    <w:p w14:paraId="0AC7711C" w14:textId="77777777" w:rsidR="009A251A" w:rsidRDefault="009A251A" w:rsidP="009A251A">
      <w:pPr>
        <w:rPr>
          <w:lang w:val="de-DE"/>
        </w:rPr>
      </w:pPr>
    </w:p>
    <w:tbl>
      <w:tblPr>
        <w:tblStyle w:val="Tabel-Gitter"/>
        <w:tblW w:w="9209" w:type="dxa"/>
        <w:jc w:val="center"/>
        <w:tblInd w:w="0" w:type="dxa"/>
        <w:tblLayout w:type="fixed"/>
        <w:tblLook w:val="04A0" w:firstRow="1" w:lastRow="0" w:firstColumn="1" w:lastColumn="0" w:noHBand="0" w:noVBand="1"/>
      </w:tblPr>
      <w:tblGrid>
        <w:gridCol w:w="1766"/>
        <w:gridCol w:w="1633"/>
        <w:gridCol w:w="1841"/>
        <w:gridCol w:w="1702"/>
        <w:gridCol w:w="2267"/>
      </w:tblGrid>
      <w:tr w:rsidR="009A251A" w14:paraId="1C28FEBA" w14:textId="77777777" w:rsidTr="009A251A">
        <w:trPr>
          <w:tblHeader/>
          <w:jc w:val="center"/>
        </w:trPr>
        <w:tc>
          <w:tcPr>
            <w:tcW w:w="1766" w:type="dxa"/>
            <w:tcBorders>
              <w:top w:val="single" w:sz="4" w:space="0" w:color="auto"/>
              <w:left w:val="single" w:sz="4" w:space="0" w:color="auto"/>
              <w:bottom w:val="single" w:sz="4" w:space="0" w:color="auto"/>
              <w:right w:val="single" w:sz="4" w:space="0" w:color="auto"/>
            </w:tcBorders>
            <w:hideMark/>
          </w:tcPr>
          <w:p w14:paraId="204AF486" w14:textId="0ABD8C1E" w:rsidR="009A251A" w:rsidRDefault="009A251A">
            <w:pPr>
              <w:rPr>
                <w:lang w:val="en-IN"/>
              </w:rPr>
            </w:pPr>
            <w:r>
              <w:rPr>
                <w:b/>
                <w:bCs/>
                <w:lang w:val="de-DE"/>
              </w:rPr>
              <w:t>Systemorgan</w:t>
            </w:r>
            <w:r>
              <w:rPr>
                <w:b/>
                <w:bCs/>
                <w:lang w:val="de-DE"/>
              </w:rPr>
              <w:softHyphen/>
              <w:t>klasse</w:t>
            </w:r>
          </w:p>
        </w:tc>
        <w:tc>
          <w:tcPr>
            <w:tcW w:w="1633" w:type="dxa"/>
            <w:tcBorders>
              <w:top w:val="single" w:sz="4" w:space="0" w:color="auto"/>
              <w:left w:val="single" w:sz="4" w:space="0" w:color="auto"/>
              <w:bottom w:val="single" w:sz="4" w:space="0" w:color="auto"/>
              <w:right w:val="single" w:sz="4" w:space="0" w:color="auto"/>
            </w:tcBorders>
            <w:hideMark/>
          </w:tcPr>
          <w:p w14:paraId="769378BE" w14:textId="77777777" w:rsidR="009A251A" w:rsidRDefault="009A251A">
            <w:pPr>
              <w:rPr>
                <w:lang w:val="en-IN"/>
              </w:rPr>
            </w:pPr>
            <w:r>
              <w:rPr>
                <w:b/>
                <w:bCs/>
                <w:lang w:val="de-DE"/>
              </w:rPr>
              <w:t>Almindelig</w:t>
            </w:r>
          </w:p>
        </w:tc>
        <w:tc>
          <w:tcPr>
            <w:tcW w:w="1841" w:type="dxa"/>
            <w:tcBorders>
              <w:top w:val="single" w:sz="4" w:space="0" w:color="auto"/>
              <w:left w:val="single" w:sz="4" w:space="0" w:color="auto"/>
              <w:bottom w:val="single" w:sz="4" w:space="0" w:color="auto"/>
              <w:right w:val="single" w:sz="4" w:space="0" w:color="auto"/>
            </w:tcBorders>
            <w:hideMark/>
          </w:tcPr>
          <w:p w14:paraId="128BF67B" w14:textId="77777777" w:rsidR="009A251A" w:rsidRDefault="009A251A">
            <w:pPr>
              <w:rPr>
                <w:lang w:val="en-IN"/>
              </w:rPr>
            </w:pPr>
            <w:r>
              <w:rPr>
                <w:b/>
                <w:bCs/>
                <w:lang w:val="de-DE"/>
              </w:rPr>
              <w:t>Ikke almindelig</w:t>
            </w:r>
          </w:p>
        </w:tc>
        <w:tc>
          <w:tcPr>
            <w:tcW w:w="1702" w:type="dxa"/>
            <w:tcBorders>
              <w:top w:val="single" w:sz="4" w:space="0" w:color="auto"/>
              <w:left w:val="single" w:sz="4" w:space="0" w:color="auto"/>
              <w:bottom w:val="single" w:sz="4" w:space="0" w:color="auto"/>
              <w:right w:val="single" w:sz="4" w:space="0" w:color="auto"/>
            </w:tcBorders>
            <w:hideMark/>
          </w:tcPr>
          <w:p w14:paraId="1E7B7E10" w14:textId="77777777" w:rsidR="009A251A" w:rsidRDefault="009A251A">
            <w:pPr>
              <w:rPr>
                <w:lang w:val="en-IN"/>
              </w:rPr>
            </w:pPr>
            <w:r>
              <w:rPr>
                <w:b/>
                <w:bCs/>
                <w:lang w:val="de-DE"/>
              </w:rPr>
              <w:t>Sjælden</w:t>
            </w:r>
          </w:p>
        </w:tc>
        <w:tc>
          <w:tcPr>
            <w:tcW w:w="2267" w:type="dxa"/>
            <w:tcBorders>
              <w:top w:val="single" w:sz="4" w:space="0" w:color="auto"/>
              <w:left w:val="single" w:sz="4" w:space="0" w:color="auto"/>
              <w:bottom w:val="single" w:sz="4" w:space="0" w:color="auto"/>
              <w:right w:val="single" w:sz="4" w:space="0" w:color="auto"/>
            </w:tcBorders>
            <w:hideMark/>
          </w:tcPr>
          <w:p w14:paraId="029FFA31" w14:textId="77777777" w:rsidR="009A251A" w:rsidRDefault="009A251A">
            <w:pPr>
              <w:rPr>
                <w:b/>
                <w:bCs/>
                <w:lang w:val="de-DE"/>
              </w:rPr>
            </w:pPr>
            <w:r>
              <w:rPr>
                <w:b/>
                <w:bCs/>
                <w:lang w:val="de-DE"/>
              </w:rPr>
              <w:t>Meget sjælden,</w:t>
            </w:r>
          </w:p>
          <w:p w14:paraId="4E4DDD20" w14:textId="77777777" w:rsidR="009A251A" w:rsidRDefault="009A251A">
            <w:pPr>
              <w:rPr>
                <w:lang w:val="en-IN"/>
              </w:rPr>
            </w:pPr>
            <w:r>
              <w:rPr>
                <w:b/>
                <w:bCs/>
                <w:lang w:val="de-DE"/>
              </w:rPr>
              <w:t>ikke kendt*</w:t>
            </w:r>
          </w:p>
        </w:tc>
      </w:tr>
      <w:tr w:rsidR="009A251A" w:rsidRPr="00804FFD" w14:paraId="562F5144"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6BC0F7D7" w14:textId="77777777" w:rsidR="009A251A" w:rsidRDefault="009A251A">
            <w:pPr>
              <w:rPr>
                <w:lang w:val="de-DE"/>
              </w:rPr>
            </w:pPr>
            <w:r>
              <w:rPr>
                <w:lang w:val="de-DE"/>
              </w:rPr>
              <w:t>Blod og</w:t>
            </w:r>
          </w:p>
          <w:p w14:paraId="64F0DDE0" w14:textId="77777777" w:rsidR="009A251A" w:rsidRDefault="009A251A">
            <w:pPr>
              <w:rPr>
                <w:lang w:val="en-IN"/>
              </w:rPr>
            </w:pPr>
            <w:r>
              <w:rPr>
                <w:lang w:val="de-DE"/>
              </w:rPr>
              <w:t>lymfesystem</w:t>
            </w:r>
          </w:p>
        </w:tc>
        <w:tc>
          <w:tcPr>
            <w:tcW w:w="1633" w:type="dxa"/>
            <w:tcBorders>
              <w:top w:val="single" w:sz="4" w:space="0" w:color="auto"/>
              <w:left w:val="single" w:sz="4" w:space="0" w:color="auto"/>
              <w:bottom w:val="single" w:sz="4" w:space="0" w:color="auto"/>
              <w:right w:val="single" w:sz="4" w:space="0" w:color="auto"/>
            </w:tcBorders>
          </w:tcPr>
          <w:p w14:paraId="077CD470" w14:textId="77777777" w:rsidR="009A251A" w:rsidRDefault="009A251A">
            <w:pPr>
              <w:rPr>
                <w:lang w:val="en-IN"/>
              </w:rPr>
            </w:pPr>
          </w:p>
        </w:tc>
        <w:tc>
          <w:tcPr>
            <w:tcW w:w="1841" w:type="dxa"/>
            <w:tcBorders>
              <w:top w:val="single" w:sz="4" w:space="0" w:color="auto"/>
              <w:left w:val="single" w:sz="4" w:space="0" w:color="auto"/>
              <w:bottom w:val="single" w:sz="4" w:space="0" w:color="auto"/>
              <w:right w:val="single" w:sz="4" w:space="0" w:color="auto"/>
            </w:tcBorders>
            <w:hideMark/>
          </w:tcPr>
          <w:p w14:paraId="5AEE7C0A" w14:textId="77777777" w:rsidR="009A251A" w:rsidRDefault="009A251A">
            <w:pPr>
              <w:rPr>
                <w:lang w:val="de-DE"/>
              </w:rPr>
            </w:pPr>
            <w:r>
              <w:rPr>
                <w:lang w:val="de-DE"/>
              </w:rPr>
              <w:t>Trombocytopeni, leukopeni, eosinofili</w:t>
            </w:r>
          </w:p>
        </w:tc>
        <w:tc>
          <w:tcPr>
            <w:tcW w:w="1702" w:type="dxa"/>
            <w:tcBorders>
              <w:top w:val="single" w:sz="4" w:space="0" w:color="auto"/>
              <w:left w:val="single" w:sz="4" w:space="0" w:color="auto"/>
              <w:bottom w:val="single" w:sz="4" w:space="0" w:color="auto"/>
              <w:right w:val="single" w:sz="4" w:space="0" w:color="auto"/>
            </w:tcBorders>
            <w:hideMark/>
          </w:tcPr>
          <w:p w14:paraId="0A19840C" w14:textId="37B56E02" w:rsidR="009A251A" w:rsidRDefault="009A251A">
            <w:pPr>
              <w:rPr>
                <w:lang w:val="de-DE"/>
              </w:rPr>
            </w:pPr>
            <w:r>
              <w:rPr>
                <w:lang w:val="de-DE"/>
              </w:rPr>
              <w:t>Neutropeni, inklusive svær neutropeni</w:t>
            </w:r>
          </w:p>
        </w:tc>
        <w:tc>
          <w:tcPr>
            <w:tcW w:w="2267" w:type="dxa"/>
            <w:tcBorders>
              <w:top w:val="single" w:sz="4" w:space="0" w:color="auto"/>
              <w:left w:val="single" w:sz="4" w:space="0" w:color="auto"/>
              <w:bottom w:val="single" w:sz="4" w:space="0" w:color="auto"/>
              <w:right w:val="single" w:sz="4" w:space="0" w:color="auto"/>
            </w:tcBorders>
            <w:hideMark/>
          </w:tcPr>
          <w:p w14:paraId="0FEB6FDE" w14:textId="77777777" w:rsidR="009A251A" w:rsidRDefault="009A251A">
            <w:pPr>
              <w:rPr>
                <w:lang w:val="de-DE"/>
              </w:rPr>
            </w:pPr>
            <w:r>
              <w:rPr>
                <w:lang w:val="de-DE"/>
              </w:rPr>
              <w:t>Trombotisk trombocytopenisk purpura (TTP) (se pkt. 4.4), aplastisk anæmi, pancytopeni, agranulocytose, alvorlig trombocytopeni, erhvervet hæmofili A, granulocytopeni, anæmi</w:t>
            </w:r>
          </w:p>
        </w:tc>
      </w:tr>
      <w:tr w:rsidR="009A251A" w14:paraId="695684FF"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704D91B1" w14:textId="77777777" w:rsidR="009A251A" w:rsidRDefault="009A251A">
            <w:pPr>
              <w:rPr>
                <w:b/>
                <w:bCs/>
                <w:lang w:val="en-US"/>
              </w:rPr>
            </w:pPr>
            <w:r>
              <w:rPr>
                <w:lang w:val="de-DE"/>
              </w:rPr>
              <w:t>Hjerte</w:t>
            </w:r>
          </w:p>
        </w:tc>
        <w:tc>
          <w:tcPr>
            <w:tcW w:w="1633" w:type="dxa"/>
            <w:tcBorders>
              <w:top w:val="single" w:sz="4" w:space="0" w:color="auto"/>
              <w:left w:val="single" w:sz="4" w:space="0" w:color="auto"/>
              <w:bottom w:val="single" w:sz="4" w:space="0" w:color="auto"/>
              <w:right w:val="single" w:sz="4" w:space="0" w:color="auto"/>
            </w:tcBorders>
          </w:tcPr>
          <w:p w14:paraId="6ADB1408"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tcPr>
          <w:p w14:paraId="719C63ED"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17B26007" w14:textId="77777777" w:rsidR="009A251A" w:rsidRDefault="009A251A">
            <w:pPr>
              <w:rPr>
                <w:b/>
                <w:bCs/>
                <w:lang w:val="en-US"/>
              </w:rPr>
            </w:pPr>
          </w:p>
        </w:tc>
        <w:tc>
          <w:tcPr>
            <w:tcW w:w="2267" w:type="dxa"/>
            <w:tcBorders>
              <w:top w:val="single" w:sz="4" w:space="0" w:color="auto"/>
              <w:left w:val="single" w:sz="4" w:space="0" w:color="auto"/>
              <w:bottom w:val="single" w:sz="4" w:space="0" w:color="auto"/>
              <w:right w:val="single" w:sz="4" w:space="0" w:color="auto"/>
            </w:tcBorders>
            <w:hideMark/>
          </w:tcPr>
          <w:p w14:paraId="311AB9CC" w14:textId="77777777" w:rsidR="009A251A" w:rsidRPr="009A251A" w:rsidRDefault="009A251A">
            <w:pPr>
              <w:rPr>
                <w:lang w:val="da-DK"/>
              </w:rPr>
            </w:pPr>
            <w:r w:rsidRPr="009A251A">
              <w:rPr>
                <w:lang w:val="da-DK"/>
              </w:rPr>
              <w:t>Kounis syndrom (vasospastisk allergisk angina / allergisk myokardieinfarkt) i forbindelse med en allergisk reaktion på grund af clopidogrel*</w:t>
            </w:r>
          </w:p>
        </w:tc>
      </w:tr>
      <w:tr w:rsidR="009A251A" w14:paraId="4511365D"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37392C30" w14:textId="77777777" w:rsidR="009A251A" w:rsidRDefault="009A251A">
            <w:pPr>
              <w:rPr>
                <w:b/>
                <w:bCs/>
                <w:lang w:val="en-US"/>
              </w:rPr>
            </w:pPr>
            <w:r>
              <w:rPr>
                <w:lang w:val="de-DE"/>
              </w:rPr>
              <w:t>Immunsystemet</w:t>
            </w:r>
          </w:p>
        </w:tc>
        <w:tc>
          <w:tcPr>
            <w:tcW w:w="1633" w:type="dxa"/>
            <w:tcBorders>
              <w:top w:val="single" w:sz="4" w:space="0" w:color="auto"/>
              <w:left w:val="single" w:sz="4" w:space="0" w:color="auto"/>
              <w:bottom w:val="single" w:sz="4" w:space="0" w:color="auto"/>
              <w:right w:val="single" w:sz="4" w:space="0" w:color="auto"/>
            </w:tcBorders>
          </w:tcPr>
          <w:p w14:paraId="27610974"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tcPr>
          <w:p w14:paraId="50B45CB7"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3255AD73" w14:textId="77777777" w:rsidR="009A251A" w:rsidRDefault="009A251A">
            <w:pPr>
              <w:rPr>
                <w:b/>
                <w:bCs/>
                <w:lang w:val="en-US"/>
              </w:rPr>
            </w:pPr>
          </w:p>
        </w:tc>
        <w:tc>
          <w:tcPr>
            <w:tcW w:w="2267" w:type="dxa"/>
            <w:tcBorders>
              <w:top w:val="single" w:sz="4" w:space="0" w:color="auto"/>
              <w:left w:val="single" w:sz="4" w:space="0" w:color="auto"/>
              <w:bottom w:val="single" w:sz="4" w:space="0" w:color="auto"/>
              <w:right w:val="single" w:sz="4" w:space="0" w:color="auto"/>
            </w:tcBorders>
            <w:hideMark/>
          </w:tcPr>
          <w:p w14:paraId="1BEBEDDF" w14:textId="25447AED" w:rsidR="009A251A" w:rsidRPr="009A251A" w:rsidRDefault="009A251A">
            <w:pPr>
              <w:rPr>
                <w:lang w:val="da-DK"/>
              </w:rPr>
            </w:pPr>
            <w:r w:rsidRPr="009A251A">
              <w:rPr>
                <w:lang w:val="da-DK"/>
              </w:rPr>
              <w:t>Serumsygdom, anafylaktiske reaktioner, krydsallergiske reaktioner mellem thienopyridiner (såsom ticlopidin, prasugrel) (se pkt. 4.4)*, insulin autoimmun syndrom, som kan føre til alvorlig hypoglykæmi, især hos patienter med HLA DRA4 subtype (hyppigere i den japanske befolkning)*</w:t>
            </w:r>
          </w:p>
        </w:tc>
      </w:tr>
      <w:tr w:rsidR="009A251A" w14:paraId="32110BAF"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405F6A06" w14:textId="77777777" w:rsidR="009A251A" w:rsidRDefault="009A251A">
            <w:pPr>
              <w:rPr>
                <w:lang w:val="de-DE"/>
              </w:rPr>
            </w:pPr>
            <w:r>
              <w:rPr>
                <w:lang w:val="de-DE"/>
              </w:rPr>
              <w:t>Psykiske forstyrrelser</w:t>
            </w:r>
          </w:p>
        </w:tc>
        <w:tc>
          <w:tcPr>
            <w:tcW w:w="1633" w:type="dxa"/>
            <w:tcBorders>
              <w:top w:val="single" w:sz="4" w:space="0" w:color="auto"/>
              <w:left w:val="single" w:sz="4" w:space="0" w:color="auto"/>
              <w:bottom w:val="single" w:sz="4" w:space="0" w:color="auto"/>
              <w:right w:val="single" w:sz="4" w:space="0" w:color="auto"/>
            </w:tcBorders>
          </w:tcPr>
          <w:p w14:paraId="277332A9"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tcPr>
          <w:p w14:paraId="096B4601"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73694836" w14:textId="77777777" w:rsidR="009A251A" w:rsidRDefault="009A251A">
            <w:pPr>
              <w:rPr>
                <w:b/>
                <w:bCs/>
                <w:lang w:val="en-US"/>
              </w:rPr>
            </w:pPr>
          </w:p>
        </w:tc>
        <w:tc>
          <w:tcPr>
            <w:tcW w:w="2267" w:type="dxa"/>
            <w:tcBorders>
              <w:top w:val="single" w:sz="4" w:space="0" w:color="auto"/>
              <w:left w:val="single" w:sz="4" w:space="0" w:color="auto"/>
              <w:bottom w:val="single" w:sz="4" w:space="0" w:color="auto"/>
              <w:right w:val="single" w:sz="4" w:space="0" w:color="auto"/>
            </w:tcBorders>
          </w:tcPr>
          <w:p w14:paraId="29043422" w14:textId="77777777" w:rsidR="009A251A" w:rsidRDefault="009A251A">
            <w:pPr>
              <w:rPr>
                <w:lang w:val="de-DE"/>
              </w:rPr>
            </w:pPr>
            <w:r>
              <w:rPr>
                <w:lang w:val="de-DE"/>
              </w:rPr>
              <w:t>Hallucinationer, konfusion</w:t>
            </w:r>
          </w:p>
          <w:p w14:paraId="2150C136" w14:textId="77777777" w:rsidR="009A251A" w:rsidRDefault="009A251A">
            <w:pPr>
              <w:rPr>
                <w:b/>
                <w:bCs/>
                <w:lang w:val="en-US"/>
              </w:rPr>
            </w:pPr>
          </w:p>
        </w:tc>
      </w:tr>
      <w:tr w:rsidR="009A251A" w14:paraId="160A4E38"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tcPr>
          <w:p w14:paraId="52FA14F6" w14:textId="77777777" w:rsidR="009A251A" w:rsidRDefault="009A251A">
            <w:pPr>
              <w:rPr>
                <w:lang w:val="en-IN"/>
              </w:rPr>
            </w:pPr>
            <w:r>
              <w:rPr>
                <w:lang w:val="de-DE"/>
              </w:rPr>
              <w:t>Nervesystemet</w:t>
            </w:r>
          </w:p>
          <w:p w14:paraId="5F02F9C8" w14:textId="77777777" w:rsidR="009A251A" w:rsidRDefault="009A251A">
            <w:pPr>
              <w:rPr>
                <w:b/>
                <w:bCs/>
                <w:lang w:val="en-US"/>
              </w:rPr>
            </w:pPr>
          </w:p>
        </w:tc>
        <w:tc>
          <w:tcPr>
            <w:tcW w:w="1633" w:type="dxa"/>
            <w:tcBorders>
              <w:top w:val="single" w:sz="4" w:space="0" w:color="auto"/>
              <w:left w:val="single" w:sz="4" w:space="0" w:color="auto"/>
              <w:bottom w:val="single" w:sz="4" w:space="0" w:color="auto"/>
              <w:right w:val="single" w:sz="4" w:space="0" w:color="auto"/>
            </w:tcBorders>
          </w:tcPr>
          <w:p w14:paraId="10355463"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hideMark/>
          </w:tcPr>
          <w:p w14:paraId="68F30E90" w14:textId="77777777" w:rsidR="009A251A" w:rsidRPr="009A251A" w:rsidRDefault="009A251A">
            <w:pPr>
              <w:rPr>
                <w:lang w:val="da-DK"/>
              </w:rPr>
            </w:pPr>
            <w:r w:rsidRPr="009A251A">
              <w:rPr>
                <w:lang w:val="da-DK"/>
              </w:rPr>
              <w:t xml:space="preserve">Intrakraniel blødning (nogle </w:t>
            </w:r>
            <w:r w:rsidRPr="009A251A">
              <w:rPr>
                <w:lang w:val="da-DK"/>
              </w:rPr>
              <w:lastRenderedPageBreak/>
              <w:t>med dødelig udgang), hovedpine, paræstesi, svimmelhed</w:t>
            </w:r>
          </w:p>
        </w:tc>
        <w:tc>
          <w:tcPr>
            <w:tcW w:w="1702" w:type="dxa"/>
            <w:tcBorders>
              <w:top w:val="single" w:sz="4" w:space="0" w:color="auto"/>
              <w:left w:val="single" w:sz="4" w:space="0" w:color="auto"/>
              <w:bottom w:val="single" w:sz="4" w:space="0" w:color="auto"/>
              <w:right w:val="single" w:sz="4" w:space="0" w:color="auto"/>
            </w:tcBorders>
          </w:tcPr>
          <w:p w14:paraId="4F8297C8" w14:textId="77777777" w:rsidR="009A251A" w:rsidRPr="009A251A" w:rsidRDefault="009A251A">
            <w:pPr>
              <w:rPr>
                <w:b/>
                <w:bCs/>
                <w:lang w:val="da-DK"/>
              </w:rPr>
            </w:pPr>
          </w:p>
        </w:tc>
        <w:tc>
          <w:tcPr>
            <w:tcW w:w="2267" w:type="dxa"/>
            <w:tcBorders>
              <w:top w:val="single" w:sz="4" w:space="0" w:color="auto"/>
              <w:left w:val="single" w:sz="4" w:space="0" w:color="auto"/>
              <w:bottom w:val="single" w:sz="4" w:space="0" w:color="auto"/>
              <w:right w:val="single" w:sz="4" w:space="0" w:color="auto"/>
            </w:tcBorders>
          </w:tcPr>
          <w:p w14:paraId="6005BBF4" w14:textId="77777777" w:rsidR="009A251A" w:rsidRDefault="009A251A">
            <w:pPr>
              <w:rPr>
                <w:lang w:val="de-DE"/>
              </w:rPr>
            </w:pPr>
            <w:r>
              <w:rPr>
                <w:lang w:val="de-DE"/>
              </w:rPr>
              <w:t>Smagsforstyrrelser,</w:t>
            </w:r>
          </w:p>
          <w:p w14:paraId="570879D9" w14:textId="77777777" w:rsidR="009A251A" w:rsidRDefault="009A251A">
            <w:pPr>
              <w:rPr>
                <w:lang w:val="en-IN"/>
              </w:rPr>
            </w:pPr>
            <w:r>
              <w:rPr>
                <w:lang w:val="de-DE"/>
              </w:rPr>
              <w:t>ageusi</w:t>
            </w:r>
          </w:p>
          <w:p w14:paraId="7B375D7C" w14:textId="77777777" w:rsidR="009A251A" w:rsidRDefault="009A251A">
            <w:pPr>
              <w:rPr>
                <w:b/>
                <w:bCs/>
                <w:lang w:val="en-US"/>
              </w:rPr>
            </w:pPr>
          </w:p>
        </w:tc>
      </w:tr>
      <w:tr w:rsidR="009A251A" w14:paraId="1BB7DE5A"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24676AAD" w14:textId="77777777" w:rsidR="009A251A" w:rsidRDefault="009A251A">
            <w:pPr>
              <w:rPr>
                <w:b/>
                <w:bCs/>
                <w:lang w:val="en-US"/>
              </w:rPr>
            </w:pPr>
            <w:r>
              <w:rPr>
                <w:lang w:val="de-DE"/>
              </w:rPr>
              <w:lastRenderedPageBreak/>
              <w:t>Øjne</w:t>
            </w:r>
          </w:p>
        </w:tc>
        <w:tc>
          <w:tcPr>
            <w:tcW w:w="1633" w:type="dxa"/>
            <w:tcBorders>
              <w:top w:val="single" w:sz="4" w:space="0" w:color="auto"/>
              <w:left w:val="single" w:sz="4" w:space="0" w:color="auto"/>
              <w:bottom w:val="single" w:sz="4" w:space="0" w:color="auto"/>
              <w:right w:val="single" w:sz="4" w:space="0" w:color="auto"/>
            </w:tcBorders>
          </w:tcPr>
          <w:p w14:paraId="2E742865"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hideMark/>
          </w:tcPr>
          <w:p w14:paraId="393E7159" w14:textId="77777777" w:rsidR="009A251A" w:rsidRDefault="009A251A">
            <w:pPr>
              <w:rPr>
                <w:lang w:val="de-DE"/>
              </w:rPr>
            </w:pPr>
            <w:r>
              <w:rPr>
                <w:lang w:val="de-DE"/>
              </w:rPr>
              <w:t>Øjenblødning (konjunctival, okular, retinal)</w:t>
            </w:r>
          </w:p>
        </w:tc>
        <w:tc>
          <w:tcPr>
            <w:tcW w:w="1702" w:type="dxa"/>
            <w:tcBorders>
              <w:top w:val="single" w:sz="4" w:space="0" w:color="auto"/>
              <w:left w:val="single" w:sz="4" w:space="0" w:color="auto"/>
              <w:bottom w:val="single" w:sz="4" w:space="0" w:color="auto"/>
              <w:right w:val="single" w:sz="4" w:space="0" w:color="auto"/>
            </w:tcBorders>
          </w:tcPr>
          <w:p w14:paraId="2B8F4830" w14:textId="77777777" w:rsidR="009A251A" w:rsidRDefault="009A251A">
            <w:pPr>
              <w:rPr>
                <w:b/>
                <w:bCs/>
                <w:lang w:val="en-US"/>
              </w:rPr>
            </w:pPr>
          </w:p>
        </w:tc>
        <w:tc>
          <w:tcPr>
            <w:tcW w:w="2267" w:type="dxa"/>
            <w:tcBorders>
              <w:top w:val="single" w:sz="4" w:space="0" w:color="auto"/>
              <w:left w:val="single" w:sz="4" w:space="0" w:color="auto"/>
              <w:bottom w:val="single" w:sz="4" w:space="0" w:color="auto"/>
              <w:right w:val="single" w:sz="4" w:space="0" w:color="auto"/>
            </w:tcBorders>
          </w:tcPr>
          <w:p w14:paraId="32D11FA5" w14:textId="77777777" w:rsidR="009A251A" w:rsidRDefault="009A251A">
            <w:pPr>
              <w:rPr>
                <w:b/>
                <w:bCs/>
                <w:lang w:val="en-US"/>
              </w:rPr>
            </w:pPr>
          </w:p>
        </w:tc>
      </w:tr>
      <w:tr w:rsidR="009A251A" w14:paraId="7509BBFC"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77D9DB43" w14:textId="77777777" w:rsidR="009A251A" w:rsidRDefault="009A251A">
            <w:pPr>
              <w:rPr>
                <w:lang w:val="en-IN"/>
              </w:rPr>
            </w:pPr>
            <w:r>
              <w:rPr>
                <w:lang w:val="de-DE"/>
              </w:rPr>
              <w:t>Øre og labyrint</w:t>
            </w:r>
          </w:p>
        </w:tc>
        <w:tc>
          <w:tcPr>
            <w:tcW w:w="1633" w:type="dxa"/>
            <w:tcBorders>
              <w:top w:val="single" w:sz="4" w:space="0" w:color="auto"/>
              <w:left w:val="single" w:sz="4" w:space="0" w:color="auto"/>
              <w:bottom w:val="single" w:sz="4" w:space="0" w:color="auto"/>
              <w:right w:val="single" w:sz="4" w:space="0" w:color="auto"/>
            </w:tcBorders>
          </w:tcPr>
          <w:p w14:paraId="7BBD9EDC" w14:textId="77777777" w:rsidR="009A251A" w:rsidRDefault="009A251A">
            <w:pPr>
              <w:rPr>
                <w:b/>
                <w:bCs/>
                <w:lang w:val="en-US"/>
              </w:rPr>
            </w:pPr>
          </w:p>
        </w:tc>
        <w:tc>
          <w:tcPr>
            <w:tcW w:w="1841" w:type="dxa"/>
            <w:tcBorders>
              <w:top w:val="single" w:sz="4" w:space="0" w:color="auto"/>
              <w:left w:val="single" w:sz="4" w:space="0" w:color="auto"/>
              <w:bottom w:val="single" w:sz="4" w:space="0" w:color="auto"/>
              <w:right w:val="single" w:sz="4" w:space="0" w:color="auto"/>
            </w:tcBorders>
          </w:tcPr>
          <w:p w14:paraId="34845223"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534FD810" w14:textId="77777777" w:rsidR="009A251A" w:rsidRDefault="009A251A">
            <w:pPr>
              <w:rPr>
                <w:lang w:val="en-IN"/>
              </w:rPr>
            </w:pPr>
            <w:r>
              <w:rPr>
                <w:lang w:val="en-IN"/>
              </w:rPr>
              <w:t>Vertigo</w:t>
            </w:r>
          </w:p>
          <w:p w14:paraId="3920C55D" w14:textId="77777777" w:rsidR="009A251A" w:rsidRDefault="009A251A">
            <w:pPr>
              <w:rPr>
                <w:b/>
                <w:bCs/>
                <w:lang w:val="en-US"/>
              </w:rPr>
            </w:pPr>
          </w:p>
        </w:tc>
        <w:tc>
          <w:tcPr>
            <w:tcW w:w="2267" w:type="dxa"/>
            <w:tcBorders>
              <w:top w:val="single" w:sz="4" w:space="0" w:color="auto"/>
              <w:left w:val="single" w:sz="4" w:space="0" w:color="auto"/>
              <w:bottom w:val="single" w:sz="4" w:space="0" w:color="auto"/>
              <w:right w:val="single" w:sz="4" w:space="0" w:color="auto"/>
            </w:tcBorders>
          </w:tcPr>
          <w:p w14:paraId="39405BAD" w14:textId="77777777" w:rsidR="009A251A" w:rsidRDefault="009A251A">
            <w:pPr>
              <w:rPr>
                <w:b/>
                <w:bCs/>
                <w:lang w:val="en-US"/>
              </w:rPr>
            </w:pPr>
          </w:p>
        </w:tc>
      </w:tr>
      <w:tr w:rsidR="009A251A" w14:paraId="79AB48D2"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117D9EF9" w14:textId="77777777" w:rsidR="009A251A" w:rsidRDefault="009A251A">
            <w:pPr>
              <w:rPr>
                <w:lang w:val="de-DE"/>
              </w:rPr>
            </w:pPr>
            <w:r>
              <w:rPr>
                <w:lang w:val="de-DE"/>
              </w:rPr>
              <w:t>Vaskulære sygdomme</w:t>
            </w:r>
          </w:p>
        </w:tc>
        <w:tc>
          <w:tcPr>
            <w:tcW w:w="1633" w:type="dxa"/>
            <w:tcBorders>
              <w:top w:val="single" w:sz="4" w:space="0" w:color="auto"/>
              <w:left w:val="single" w:sz="4" w:space="0" w:color="auto"/>
              <w:bottom w:val="single" w:sz="4" w:space="0" w:color="auto"/>
              <w:right w:val="single" w:sz="4" w:space="0" w:color="auto"/>
            </w:tcBorders>
            <w:hideMark/>
          </w:tcPr>
          <w:p w14:paraId="1B4863A4" w14:textId="77777777" w:rsidR="009A251A" w:rsidRDefault="009A251A">
            <w:pPr>
              <w:rPr>
                <w:lang w:val="en-IN"/>
              </w:rPr>
            </w:pPr>
            <w:r>
              <w:rPr>
                <w:lang w:val="en-IN"/>
              </w:rPr>
              <w:t>Haematom</w:t>
            </w:r>
          </w:p>
        </w:tc>
        <w:tc>
          <w:tcPr>
            <w:tcW w:w="1841" w:type="dxa"/>
            <w:tcBorders>
              <w:top w:val="single" w:sz="4" w:space="0" w:color="auto"/>
              <w:left w:val="single" w:sz="4" w:space="0" w:color="auto"/>
              <w:bottom w:val="single" w:sz="4" w:space="0" w:color="auto"/>
              <w:right w:val="single" w:sz="4" w:space="0" w:color="auto"/>
            </w:tcBorders>
          </w:tcPr>
          <w:p w14:paraId="4323525C"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3D1B6DB6"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604CB43C" w14:textId="77777777" w:rsidR="009A251A" w:rsidRDefault="009A251A">
            <w:pPr>
              <w:rPr>
                <w:lang w:val="de-DE"/>
              </w:rPr>
            </w:pPr>
            <w:r>
              <w:rPr>
                <w:lang w:val="de-DE"/>
              </w:rPr>
              <w:t>Alvorlig blødning, blødning i operationssår, vaskulitis, hypotension</w:t>
            </w:r>
          </w:p>
        </w:tc>
      </w:tr>
      <w:tr w:rsidR="009A251A" w14:paraId="39351516"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3B159720" w14:textId="77777777" w:rsidR="009A251A" w:rsidRDefault="009A251A">
            <w:pPr>
              <w:rPr>
                <w:lang w:val="de-DE"/>
              </w:rPr>
            </w:pPr>
            <w:r>
              <w:rPr>
                <w:lang w:val="de-DE"/>
              </w:rPr>
              <w:t>Luftveje, thorax og mediastinum</w:t>
            </w:r>
          </w:p>
        </w:tc>
        <w:tc>
          <w:tcPr>
            <w:tcW w:w="1633" w:type="dxa"/>
            <w:tcBorders>
              <w:top w:val="single" w:sz="4" w:space="0" w:color="auto"/>
              <w:left w:val="single" w:sz="4" w:space="0" w:color="auto"/>
              <w:bottom w:val="single" w:sz="4" w:space="0" w:color="auto"/>
              <w:right w:val="single" w:sz="4" w:space="0" w:color="auto"/>
            </w:tcBorders>
            <w:hideMark/>
          </w:tcPr>
          <w:p w14:paraId="465383C3" w14:textId="77777777" w:rsidR="009A251A" w:rsidRDefault="009A251A">
            <w:pPr>
              <w:rPr>
                <w:lang w:val="en-IN"/>
              </w:rPr>
            </w:pPr>
            <w:r>
              <w:rPr>
                <w:lang w:val="de-DE"/>
              </w:rPr>
              <w:t>Næseblod</w:t>
            </w:r>
          </w:p>
        </w:tc>
        <w:tc>
          <w:tcPr>
            <w:tcW w:w="1841" w:type="dxa"/>
            <w:tcBorders>
              <w:top w:val="single" w:sz="4" w:space="0" w:color="auto"/>
              <w:left w:val="single" w:sz="4" w:space="0" w:color="auto"/>
              <w:bottom w:val="single" w:sz="4" w:space="0" w:color="auto"/>
              <w:right w:val="single" w:sz="4" w:space="0" w:color="auto"/>
            </w:tcBorders>
          </w:tcPr>
          <w:p w14:paraId="0CF2A137" w14:textId="77777777" w:rsidR="009A251A" w:rsidRDefault="009A251A">
            <w:pPr>
              <w:rPr>
                <w:b/>
                <w:bCs/>
                <w:lang w:val="en-US"/>
              </w:rPr>
            </w:pPr>
          </w:p>
        </w:tc>
        <w:tc>
          <w:tcPr>
            <w:tcW w:w="1702" w:type="dxa"/>
            <w:tcBorders>
              <w:top w:val="single" w:sz="4" w:space="0" w:color="auto"/>
              <w:left w:val="single" w:sz="4" w:space="0" w:color="auto"/>
              <w:bottom w:val="single" w:sz="4" w:space="0" w:color="auto"/>
              <w:right w:val="single" w:sz="4" w:space="0" w:color="auto"/>
            </w:tcBorders>
          </w:tcPr>
          <w:p w14:paraId="531F787F"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795E7ED8" w14:textId="77777777" w:rsidR="009A251A" w:rsidRPr="009A251A" w:rsidRDefault="009A251A">
            <w:pPr>
              <w:rPr>
                <w:lang w:val="da-DK"/>
              </w:rPr>
            </w:pPr>
            <w:r w:rsidRPr="009A251A">
              <w:rPr>
                <w:lang w:val="da-DK"/>
              </w:rPr>
              <w:t>Blødning i luftvejene (hæmoptyse, pulmonær blødning), bronkospasmer, interstitiel pneumoni, eosinofil pneumoni</w:t>
            </w:r>
          </w:p>
        </w:tc>
      </w:tr>
      <w:tr w:rsidR="009A251A" w14:paraId="54B596D3"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4476C722" w14:textId="77777777" w:rsidR="009A251A" w:rsidRDefault="009A251A">
            <w:pPr>
              <w:rPr>
                <w:lang w:val="en-IN"/>
              </w:rPr>
            </w:pPr>
            <w:r>
              <w:rPr>
                <w:lang w:val="de-DE"/>
              </w:rPr>
              <w:t>Mave-tarm-kanalen</w:t>
            </w:r>
          </w:p>
        </w:tc>
        <w:tc>
          <w:tcPr>
            <w:tcW w:w="1633" w:type="dxa"/>
            <w:tcBorders>
              <w:top w:val="single" w:sz="4" w:space="0" w:color="auto"/>
              <w:left w:val="single" w:sz="4" w:space="0" w:color="auto"/>
              <w:bottom w:val="single" w:sz="4" w:space="0" w:color="auto"/>
              <w:right w:val="single" w:sz="4" w:space="0" w:color="auto"/>
            </w:tcBorders>
            <w:hideMark/>
          </w:tcPr>
          <w:p w14:paraId="1BC22A89" w14:textId="4F2CA033" w:rsidR="009A251A" w:rsidRDefault="009A251A">
            <w:pPr>
              <w:rPr>
                <w:lang w:val="de-DE"/>
              </w:rPr>
            </w:pPr>
            <w:r>
              <w:rPr>
                <w:lang w:val="de-DE"/>
              </w:rPr>
              <w:t>Gastrointesti</w:t>
            </w:r>
            <w:r>
              <w:rPr>
                <w:lang w:val="de-DE"/>
              </w:rPr>
              <w:softHyphen/>
              <w:t>nal blødning, diarré, mavesmerter, dyspepsi</w:t>
            </w:r>
          </w:p>
        </w:tc>
        <w:tc>
          <w:tcPr>
            <w:tcW w:w="1841" w:type="dxa"/>
            <w:tcBorders>
              <w:top w:val="single" w:sz="4" w:space="0" w:color="auto"/>
              <w:left w:val="single" w:sz="4" w:space="0" w:color="auto"/>
              <w:bottom w:val="single" w:sz="4" w:space="0" w:color="auto"/>
              <w:right w:val="single" w:sz="4" w:space="0" w:color="auto"/>
            </w:tcBorders>
            <w:hideMark/>
          </w:tcPr>
          <w:p w14:paraId="02E692AE" w14:textId="77777777" w:rsidR="009A251A" w:rsidRDefault="009A251A">
            <w:pPr>
              <w:rPr>
                <w:lang w:val="de-DE"/>
              </w:rPr>
            </w:pPr>
            <w:r>
              <w:rPr>
                <w:lang w:val="de-DE"/>
              </w:rPr>
              <w:t>Mavesår og duodenalt ulcus gastritis, opkastning, kvalme, forstoppelse, flatulens</w:t>
            </w:r>
          </w:p>
        </w:tc>
        <w:tc>
          <w:tcPr>
            <w:tcW w:w="1702" w:type="dxa"/>
            <w:tcBorders>
              <w:top w:val="single" w:sz="4" w:space="0" w:color="auto"/>
              <w:left w:val="single" w:sz="4" w:space="0" w:color="auto"/>
              <w:bottom w:val="single" w:sz="4" w:space="0" w:color="auto"/>
              <w:right w:val="single" w:sz="4" w:space="0" w:color="auto"/>
            </w:tcBorders>
            <w:hideMark/>
          </w:tcPr>
          <w:p w14:paraId="6295C692" w14:textId="77777777" w:rsidR="009A251A" w:rsidRDefault="009A251A">
            <w:pPr>
              <w:rPr>
                <w:lang w:val="de-DE"/>
              </w:rPr>
            </w:pPr>
            <w:r>
              <w:rPr>
                <w:lang w:val="de-DE"/>
              </w:rPr>
              <w:t>Retroperitoneal blødning</w:t>
            </w:r>
          </w:p>
        </w:tc>
        <w:tc>
          <w:tcPr>
            <w:tcW w:w="2267" w:type="dxa"/>
            <w:tcBorders>
              <w:top w:val="single" w:sz="4" w:space="0" w:color="auto"/>
              <w:left w:val="single" w:sz="4" w:space="0" w:color="auto"/>
              <w:bottom w:val="single" w:sz="4" w:space="0" w:color="auto"/>
              <w:right w:val="single" w:sz="4" w:space="0" w:color="auto"/>
            </w:tcBorders>
            <w:hideMark/>
          </w:tcPr>
          <w:p w14:paraId="26EFB313" w14:textId="77777777" w:rsidR="009A251A" w:rsidRDefault="009A251A">
            <w:pPr>
              <w:rPr>
                <w:lang w:val="de-DE"/>
              </w:rPr>
            </w:pPr>
            <w:r>
              <w:rPr>
                <w:lang w:val="de-DE"/>
              </w:rPr>
              <w:t>Gastrointestinal og retroperitoneal blødning med dødeligt udfald, bugspytkirtelbetændelse, colitis (inklusive ulcerosa eller lymfocytisk colitis), stomatitis</w:t>
            </w:r>
          </w:p>
        </w:tc>
      </w:tr>
      <w:tr w:rsidR="009A251A" w14:paraId="746FA3B1"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5567FBF6" w14:textId="77777777" w:rsidR="009A251A" w:rsidRDefault="009A251A">
            <w:pPr>
              <w:rPr>
                <w:lang w:val="en-IN"/>
              </w:rPr>
            </w:pPr>
            <w:r>
              <w:rPr>
                <w:lang w:val="de-DE"/>
              </w:rPr>
              <w:t>Lever og galdeveje</w:t>
            </w:r>
          </w:p>
        </w:tc>
        <w:tc>
          <w:tcPr>
            <w:tcW w:w="1633" w:type="dxa"/>
            <w:tcBorders>
              <w:top w:val="single" w:sz="4" w:space="0" w:color="auto"/>
              <w:left w:val="single" w:sz="4" w:space="0" w:color="auto"/>
              <w:bottom w:val="single" w:sz="4" w:space="0" w:color="auto"/>
              <w:right w:val="single" w:sz="4" w:space="0" w:color="auto"/>
            </w:tcBorders>
          </w:tcPr>
          <w:p w14:paraId="1139E802" w14:textId="77777777" w:rsidR="009A251A" w:rsidRDefault="009A251A">
            <w:pPr>
              <w:rPr>
                <w:lang w:val="en-IN"/>
              </w:rPr>
            </w:pPr>
          </w:p>
        </w:tc>
        <w:tc>
          <w:tcPr>
            <w:tcW w:w="1841" w:type="dxa"/>
            <w:tcBorders>
              <w:top w:val="single" w:sz="4" w:space="0" w:color="auto"/>
              <w:left w:val="single" w:sz="4" w:space="0" w:color="auto"/>
              <w:bottom w:val="single" w:sz="4" w:space="0" w:color="auto"/>
              <w:right w:val="single" w:sz="4" w:space="0" w:color="auto"/>
            </w:tcBorders>
          </w:tcPr>
          <w:p w14:paraId="75864DD2" w14:textId="77777777" w:rsidR="009A251A" w:rsidRDefault="009A251A">
            <w:pPr>
              <w:rPr>
                <w:lang w:val="en-IN"/>
              </w:rPr>
            </w:pPr>
          </w:p>
        </w:tc>
        <w:tc>
          <w:tcPr>
            <w:tcW w:w="1702" w:type="dxa"/>
            <w:tcBorders>
              <w:top w:val="single" w:sz="4" w:space="0" w:color="auto"/>
              <w:left w:val="single" w:sz="4" w:space="0" w:color="auto"/>
              <w:bottom w:val="single" w:sz="4" w:space="0" w:color="auto"/>
              <w:right w:val="single" w:sz="4" w:space="0" w:color="auto"/>
            </w:tcBorders>
          </w:tcPr>
          <w:p w14:paraId="3C645ADD"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70FEA793" w14:textId="77777777" w:rsidR="009A251A" w:rsidRDefault="009A251A">
            <w:pPr>
              <w:rPr>
                <w:lang w:val="de-DE"/>
              </w:rPr>
            </w:pPr>
            <w:r>
              <w:rPr>
                <w:lang w:val="de-DE"/>
              </w:rPr>
              <w:t>Akut leversvigt, hepatitis, unormal leverfunktionstest</w:t>
            </w:r>
          </w:p>
        </w:tc>
      </w:tr>
      <w:tr w:rsidR="009A251A" w14:paraId="17244147"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79E7AFB7" w14:textId="77777777" w:rsidR="009A251A" w:rsidRDefault="009A251A">
            <w:pPr>
              <w:rPr>
                <w:lang w:val="de-DE"/>
              </w:rPr>
            </w:pPr>
            <w:r>
              <w:rPr>
                <w:lang w:val="de-DE"/>
              </w:rPr>
              <w:t>Hud og subkutane væv</w:t>
            </w:r>
          </w:p>
        </w:tc>
        <w:tc>
          <w:tcPr>
            <w:tcW w:w="1633" w:type="dxa"/>
            <w:tcBorders>
              <w:top w:val="single" w:sz="4" w:space="0" w:color="auto"/>
              <w:left w:val="single" w:sz="4" w:space="0" w:color="auto"/>
              <w:bottom w:val="single" w:sz="4" w:space="0" w:color="auto"/>
              <w:right w:val="single" w:sz="4" w:space="0" w:color="auto"/>
            </w:tcBorders>
            <w:hideMark/>
          </w:tcPr>
          <w:p w14:paraId="484CE768" w14:textId="77777777" w:rsidR="009A251A" w:rsidRDefault="009A251A">
            <w:pPr>
              <w:rPr>
                <w:lang w:val="en-IN"/>
              </w:rPr>
            </w:pPr>
            <w:r>
              <w:rPr>
                <w:lang w:val="de-DE"/>
              </w:rPr>
              <w:t>Blå mærker</w:t>
            </w:r>
          </w:p>
        </w:tc>
        <w:tc>
          <w:tcPr>
            <w:tcW w:w="1841" w:type="dxa"/>
            <w:tcBorders>
              <w:top w:val="single" w:sz="4" w:space="0" w:color="auto"/>
              <w:left w:val="single" w:sz="4" w:space="0" w:color="auto"/>
              <w:bottom w:val="single" w:sz="4" w:space="0" w:color="auto"/>
              <w:right w:val="single" w:sz="4" w:space="0" w:color="auto"/>
            </w:tcBorders>
            <w:hideMark/>
          </w:tcPr>
          <w:p w14:paraId="49565839" w14:textId="77777777" w:rsidR="009A251A" w:rsidRDefault="009A251A">
            <w:pPr>
              <w:rPr>
                <w:lang w:val="de-DE"/>
              </w:rPr>
            </w:pPr>
            <w:r>
              <w:rPr>
                <w:lang w:val="de-DE"/>
              </w:rPr>
              <w:t>Udslæt, kløe,</w:t>
            </w:r>
          </w:p>
          <w:p w14:paraId="10835B93" w14:textId="77777777" w:rsidR="009A251A" w:rsidRDefault="009A251A">
            <w:pPr>
              <w:rPr>
                <w:lang w:val="de-DE"/>
              </w:rPr>
            </w:pPr>
            <w:r>
              <w:rPr>
                <w:lang w:val="de-DE"/>
              </w:rPr>
              <w:t>hudblødning</w:t>
            </w:r>
          </w:p>
          <w:p w14:paraId="1A5CDA37" w14:textId="77777777" w:rsidR="009A251A" w:rsidRDefault="009A251A">
            <w:pPr>
              <w:rPr>
                <w:lang w:val="en-IN"/>
              </w:rPr>
            </w:pPr>
            <w:r>
              <w:rPr>
                <w:lang w:val="de-DE"/>
              </w:rPr>
              <w:t>(purpura)</w:t>
            </w:r>
          </w:p>
        </w:tc>
        <w:tc>
          <w:tcPr>
            <w:tcW w:w="1702" w:type="dxa"/>
            <w:tcBorders>
              <w:top w:val="single" w:sz="4" w:space="0" w:color="auto"/>
              <w:left w:val="single" w:sz="4" w:space="0" w:color="auto"/>
              <w:bottom w:val="single" w:sz="4" w:space="0" w:color="auto"/>
              <w:right w:val="single" w:sz="4" w:space="0" w:color="auto"/>
            </w:tcBorders>
          </w:tcPr>
          <w:p w14:paraId="772C3237"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758F57B2" w14:textId="7E0AB704" w:rsidR="009A251A" w:rsidRPr="009A251A" w:rsidRDefault="009A251A">
            <w:pPr>
              <w:rPr>
                <w:lang w:val="da-DK"/>
              </w:rPr>
            </w:pPr>
            <w:r w:rsidRPr="009A251A">
              <w:rPr>
                <w:lang w:val="da-DK"/>
              </w:rPr>
              <w:t>Bulløs dermatitis (toksisk epidermal nekrolyse, Stevens-Johnsons syndrom, erythema multiforme), akut generaliseret eksantematøs pustulose (AGEP), angioødem, lægemiddelinduceret overfølsomhedssyn</w:t>
            </w:r>
            <w:r>
              <w:rPr>
                <w:lang w:val="da-DK"/>
              </w:rPr>
              <w:softHyphen/>
            </w:r>
            <w:r w:rsidRPr="009A251A">
              <w:rPr>
                <w:lang w:val="da-DK"/>
              </w:rPr>
              <w:t xml:space="preserve">drom, medikamentelt udslæt med eosinofili og systemiske symptomer (DRESS), erytematøst eller eksfoliativt udslæt, </w:t>
            </w:r>
            <w:r w:rsidRPr="009A251A">
              <w:rPr>
                <w:lang w:val="da-DK"/>
              </w:rPr>
              <w:lastRenderedPageBreak/>
              <w:t>urticaria, eksem, lichen planus</w:t>
            </w:r>
          </w:p>
        </w:tc>
      </w:tr>
      <w:tr w:rsidR="009A251A" w14:paraId="1CC8E38A"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64E8ECC6" w14:textId="77777777" w:rsidR="009A251A" w:rsidRDefault="009A251A">
            <w:pPr>
              <w:rPr>
                <w:lang w:val="de-DE"/>
              </w:rPr>
            </w:pPr>
            <w:r>
              <w:rPr>
                <w:lang w:val="de-DE"/>
              </w:rPr>
              <w:lastRenderedPageBreak/>
              <w:t>Det reproduktive system og mammae</w:t>
            </w:r>
          </w:p>
        </w:tc>
        <w:tc>
          <w:tcPr>
            <w:tcW w:w="1633" w:type="dxa"/>
            <w:tcBorders>
              <w:top w:val="single" w:sz="4" w:space="0" w:color="auto"/>
              <w:left w:val="single" w:sz="4" w:space="0" w:color="auto"/>
              <w:bottom w:val="single" w:sz="4" w:space="0" w:color="auto"/>
              <w:right w:val="single" w:sz="4" w:space="0" w:color="auto"/>
            </w:tcBorders>
          </w:tcPr>
          <w:p w14:paraId="56D059AB" w14:textId="77777777" w:rsidR="009A251A" w:rsidRDefault="009A251A">
            <w:pPr>
              <w:rPr>
                <w:lang w:val="de-DE"/>
              </w:rPr>
            </w:pPr>
          </w:p>
        </w:tc>
        <w:tc>
          <w:tcPr>
            <w:tcW w:w="1841" w:type="dxa"/>
            <w:tcBorders>
              <w:top w:val="single" w:sz="4" w:space="0" w:color="auto"/>
              <w:left w:val="single" w:sz="4" w:space="0" w:color="auto"/>
              <w:bottom w:val="single" w:sz="4" w:space="0" w:color="auto"/>
              <w:right w:val="single" w:sz="4" w:space="0" w:color="auto"/>
            </w:tcBorders>
          </w:tcPr>
          <w:p w14:paraId="120CEAFD" w14:textId="77777777" w:rsidR="009A251A" w:rsidRDefault="009A251A">
            <w:pPr>
              <w:rPr>
                <w:lang w:val="de-DE"/>
              </w:rPr>
            </w:pPr>
          </w:p>
        </w:tc>
        <w:tc>
          <w:tcPr>
            <w:tcW w:w="1702" w:type="dxa"/>
            <w:tcBorders>
              <w:top w:val="single" w:sz="4" w:space="0" w:color="auto"/>
              <w:left w:val="single" w:sz="4" w:space="0" w:color="auto"/>
              <w:bottom w:val="single" w:sz="4" w:space="0" w:color="auto"/>
              <w:right w:val="single" w:sz="4" w:space="0" w:color="auto"/>
            </w:tcBorders>
          </w:tcPr>
          <w:p w14:paraId="149F94AD" w14:textId="77777777" w:rsidR="009A251A" w:rsidRDefault="009A251A">
            <w:pPr>
              <w:rPr>
                <w:lang w:val="en-IN"/>
              </w:rPr>
            </w:pPr>
            <w:r>
              <w:rPr>
                <w:lang w:val="de-DE"/>
              </w:rPr>
              <w:t>Gynækomasti</w:t>
            </w:r>
          </w:p>
          <w:p w14:paraId="49175D21"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tcPr>
          <w:p w14:paraId="205CA23E" w14:textId="77777777" w:rsidR="009A251A" w:rsidRDefault="009A251A">
            <w:pPr>
              <w:rPr>
                <w:lang w:val="en-IN"/>
              </w:rPr>
            </w:pPr>
          </w:p>
        </w:tc>
      </w:tr>
      <w:tr w:rsidR="009A251A" w14:paraId="6D6BB808"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61CDF5C1" w14:textId="77777777" w:rsidR="009A251A" w:rsidRDefault="009A251A">
            <w:pPr>
              <w:rPr>
                <w:lang w:val="de-DE"/>
              </w:rPr>
            </w:pPr>
            <w:r>
              <w:rPr>
                <w:lang w:val="de-DE"/>
              </w:rPr>
              <w:t>Knogler, led, muskler og bindevæv</w:t>
            </w:r>
          </w:p>
        </w:tc>
        <w:tc>
          <w:tcPr>
            <w:tcW w:w="1633" w:type="dxa"/>
            <w:tcBorders>
              <w:top w:val="single" w:sz="4" w:space="0" w:color="auto"/>
              <w:left w:val="single" w:sz="4" w:space="0" w:color="auto"/>
              <w:bottom w:val="single" w:sz="4" w:space="0" w:color="auto"/>
              <w:right w:val="single" w:sz="4" w:space="0" w:color="auto"/>
            </w:tcBorders>
          </w:tcPr>
          <w:p w14:paraId="3559D809" w14:textId="77777777" w:rsidR="009A251A" w:rsidRPr="009A251A" w:rsidRDefault="009A251A">
            <w:pPr>
              <w:rPr>
                <w:lang w:val="da-DK"/>
              </w:rPr>
            </w:pPr>
          </w:p>
        </w:tc>
        <w:tc>
          <w:tcPr>
            <w:tcW w:w="1841" w:type="dxa"/>
            <w:tcBorders>
              <w:top w:val="single" w:sz="4" w:space="0" w:color="auto"/>
              <w:left w:val="single" w:sz="4" w:space="0" w:color="auto"/>
              <w:bottom w:val="single" w:sz="4" w:space="0" w:color="auto"/>
              <w:right w:val="single" w:sz="4" w:space="0" w:color="auto"/>
            </w:tcBorders>
          </w:tcPr>
          <w:p w14:paraId="52C1B2D3" w14:textId="77777777" w:rsidR="009A251A" w:rsidRPr="009A251A" w:rsidRDefault="009A251A">
            <w:pPr>
              <w:rPr>
                <w:lang w:val="da-DK"/>
              </w:rPr>
            </w:pPr>
          </w:p>
        </w:tc>
        <w:tc>
          <w:tcPr>
            <w:tcW w:w="1702" w:type="dxa"/>
            <w:tcBorders>
              <w:top w:val="single" w:sz="4" w:space="0" w:color="auto"/>
              <w:left w:val="single" w:sz="4" w:space="0" w:color="auto"/>
              <w:bottom w:val="single" w:sz="4" w:space="0" w:color="auto"/>
              <w:right w:val="single" w:sz="4" w:space="0" w:color="auto"/>
            </w:tcBorders>
          </w:tcPr>
          <w:p w14:paraId="6BF63585" w14:textId="77777777" w:rsidR="009A251A" w:rsidRPr="009A251A" w:rsidRDefault="009A251A">
            <w:pPr>
              <w:rPr>
                <w:lang w:val="da-DK"/>
              </w:rPr>
            </w:pPr>
          </w:p>
        </w:tc>
        <w:tc>
          <w:tcPr>
            <w:tcW w:w="2267" w:type="dxa"/>
            <w:tcBorders>
              <w:top w:val="single" w:sz="4" w:space="0" w:color="auto"/>
              <w:left w:val="single" w:sz="4" w:space="0" w:color="auto"/>
              <w:bottom w:val="single" w:sz="4" w:space="0" w:color="auto"/>
              <w:right w:val="single" w:sz="4" w:space="0" w:color="auto"/>
            </w:tcBorders>
            <w:hideMark/>
          </w:tcPr>
          <w:p w14:paraId="5F702C98" w14:textId="77777777" w:rsidR="009A251A" w:rsidRPr="009A251A" w:rsidRDefault="009A251A">
            <w:pPr>
              <w:rPr>
                <w:lang w:val="da-DK"/>
              </w:rPr>
            </w:pPr>
            <w:r w:rsidRPr="009A251A">
              <w:rPr>
                <w:lang w:val="da-DK"/>
              </w:rPr>
              <w:t>Muskuloskeletal blødning (blødudtrædning i led), artrit, arthralgi, muskelsmerter</w:t>
            </w:r>
          </w:p>
        </w:tc>
      </w:tr>
      <w:tr w:rsidR="009A251A" w14:paraId="7A2C750D"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587FEB90" w14:textId="77777777" w:rsidR="009A251A" w:rsidRDefault="009A251A">
            <w:pPr>
              <w:rPr>
                <w:lang w:val="en-IN"/>
              </w:rPr>
            </w:pPr>
            <w:r>
              <w:rPr>
                <w:lang w:val="de-DE"/>
              </w:rPr>
              <w:t>Nyrer og urinveje</w:t>
            </w:r>
          </w:p>
        </w:tc>
        <w:tc>
          <w:tcPr>
            <w:tcW w:w="1633" w:type="dxa"/>
            <w:tcBorders>
              <w:top w:val="single" w:sz="4" w:space="0" w:color="auto"/>
              <w:left w:val="single" w:sz="4" w:space="0" w:color="auto"/>
              <w:bottom w:val="single" w:sz="4" w:space="0" w:color="auto"/>
              <w:right w:val="single" w:sz="4" w:space="0" w:color="auto"/>
            </w:tcBorders>
          </w:tcPr>
          <w:p w14:paraId="3E7CD971" w14:textId="77777777" w:rsidR="009A251A" w:rsidRDefault="009A251A">
            <w:pPr>
              <w:rPr>
                <w:lang w:val="en-IN"/>
              </w:rPr>
            </w:pPr>
          </w:p>
        </w:tc>
        <w:tc>
          <w:tcPr>
            <w:tcW w:w="1841" w:type="dxa"/>
            <w:tcBorders>
              <w:top w:val="single" w:sz="4" w:space="0" w:color="auto"/>
              <w:left w:val="single" w:sz="4" w:space="0" w:color="auto"/>
              <w:bottom w:val="single" w:sz="4" w:space="0" w:color="auto"/>
              <w:right w:val="single" w:sz="4" w:space="0" w:color="auto"/>
            </w:tcBorders>
            <w:hideMark/>
          </w:tcPr>
          <w:p w14:paraId="56AE8DA1" w14:textId="77777777" w:rsidR="009A251A" w:rsidRDefault="009A251A">
            <w:pPr>
              <w:rPr>
                <w:lang w:val="en-IN"/>
              </w:rPr>
            </w:pPr>
            <w:r>
              <w:rPr>
                <w:lang w:val="de-DE"/>
              </w:rPr>
              <w:t>Blod i urinen</w:t>
            </w:r>
          </w:p>
        </w:tc>
        <w:tc>
          <w:tcPr>
            <w:tcW w:w="1702" w:type="dxa"/>
            <w:tcBorders>
              <w:top w:val="single" w:sz="4" w:space="0" w:color="auto"/>
              <w:left w:val="single" w:sz="4" w:space="0" w:color="auto"/>
              <w:bottom w:val="single" w:sz="4" w:space="0" w:color="auto"/>
              <w:right w:val="single" w:sz="4" w:space="0" w:color="auto"/>
            </w:tcBorders>
          </w:tcPr>
          <w:p w14:paraId="017C4191"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16EC169E" w14:textId="77777777" w:rsidR="009A251A" w:rsidRDefault="009A251A">
            <w:pPr>
              <w:rPr>
                <w:lang w:val="de-DE"/>
              </w:rPr>
            </w:pPr>
            <w:r>
              <w:rPr>
                <w:lang w:val="de-DE"/>
              </w:rPr>
              <w:t>Glomerulonefrit, forhøjet blodkreatinin</w:t>
            </w:r>
          </w:p>
        </w:tc>
      </w:tr>
      <w:tr w:rsidR="009A251A" w14:paraId="2E3E03AA"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16936E45" w14:textId="77777777" w:rsidR="009A251A" w:rsidRDefault="009A251A">
            <w:pPr>
              <w:rPr>
                <w:lang w:val="de-DE"/>
              </w:rPr>
            </w:pPr>
            <w:r>
              <w:rPr>
                <w:lang w:val="de-DE"/>
              </w:rPr>
              <w:t>Almene symptomer og reaktioner på administrationsstedet</w:t>
            </w:r>
          </w:p>
        </w:tc>
        <w:tc>
          <w:tcPr>
            <w:tcW w:w="1633" w:type="dxa"/>
            <w:tcBorders>
              <w:top w:val="single" w:sz="4" w:space="0" w:color="auto"/>
              <w:left w:val="single" w:sz="4" w:space="0" w:color="auto"/>
              <w:bottom w:val="single" w:sz="4" w:space="0" w:color="auto"/>
              <w:right w:val="single" w:sz="4" w:space="0" w:color="auto"/>
            </w:tcBorders>
            <w:hideMark/>
          </w:tcPr>
          <w:p w14:paraId="30FA1693" w14:textId="44ABB618" w:rsidR="009A251A" w:rsidRDefault="009A251A">
            <w:pPr>
              <w:rPr>
                <w:lang w:val="de-DE"/>
              </w:rPr>
            </w:pPr>
            <w:r>
              <w:rPr>
                <w:lang w:val="de-DE"/>
              </w:rPr>
              <w:t>Blødning ved injektionsste</w:t>
            </w:r>
            <w:r>
              <w:rPr>
                <w:lang w:val="de-DE"/>
              </w:rPr>
              <w:softHyphen/>
              <w:t>det</w:t>
            </w:r>
          </w:p>
        </w:tc>
        <w:tc>
          <w:tcPr>
            <w:tcW w:w="1841" w:type="dxa"/>
            <w:tcBorders>
              <w:top w:val="single" w:sz="4" w:space="0" w:color="auto"/>
              <w:left w:val="single" w:sz="4" w:space="0" w:color="auto"/>
              <w:bottom w:val="single" w:sz="4" w:space="0" w:color="auto"/>
              <w:right w:val="single" w:sz="4" w:space="0" w:color="auto"/>
            </w:tcBorders>
          </w:tcPr>
          <w:p w14:paraId="0540C026" w14:textId="77777777" w:rsidR="009A251A" w:rsidRDefault="009A251A">
            <w:pPr>
              <w:rPr>
                <w:lang w:val="en-IN"/>
              </w:rPr>
            </w:pPr>
          </w:p>
        </w:tc>
        <w:tc>
          <w:tcPr>
            <w:tcW w:w="1702" w:type="dxa"/>
            <w:tcBorders>
              <w:top w:val="single" w:sz="4" w:space="0" w:color="auto"/>
              <w:left w:val="single" w:sz="4" w:space="0" w:color="auto"/>
              <w:bottom w:val="single" w:sz="4" w:space="0" w:color="auto"/>
              <w:right w:val="single" w:sz="4" w:space="0" w:color="auto"/>
            </w:tcBorders>
          </w:tcPr>
          <w:p w14:paraId="201834DE" w14:textId="77777777" w:rsidR="009A251A" w:rsidRDefault="009A251A">
            <w:pPr>
              <w:rPr>
                <w:lang w:val="en-IN"/>
              </w:rPr>
            </w:pPr>
          </w:p>
        </w:tc>
        <w:tc>
          <w:tcPr>
            <w:tcW w:w="2267" w:type="dxa"/>
            <w:tcBorders>
              <w:top w:val="single" w:sz="4" w:space="0" w:color="auto"/>
              <w:left w:val="single" w:sz="4" w:space="0" w:color="auto"/>
              <w:bottom w:val="single" w:sz="4" w:space="0" w:color="auto"/>
              <w:right w:val="single" w:sz="4" w:space="0" w:color="auto"/>
            </w:tcBorders>
            <w:hideMark/>
          </w:tcPr>
          <w:p w14:paraId="5BB0F1ED" w14:textId="77777777" w:rsidR="009A251A" w:rsidRDefault="009A251A">
            <w:pPr>
              <w:rPr>
                <w:lang w:val="en-IN"/>
              </w:rPr>
            </w:pPr>
            <w:r>
              <w:rPr>
                <w:lang w:val="de-DE"/>
              </w:rPr>
              <w:t>Feber</w:t>
            </w:r>
          </w:p>
        </w:tc>
      </w:tr>
      <w:tr w:rsidR="009A251A" w14:paraId="52BE806F" w14:textId="77777777" w:rsidTr="009A251A">
        <w:trPr>
          <w:jc w:val="center"/>
        </w:trPr>
        <w:tc>
          <w:tcPr>
            <w:tcW w:w="1766" w:type="dxa"/>
            <w:tcBorders>
              <w:top w:val="single" w:sz="4" w:space="0" w:color="auto"/>
              <w:left w:val="single" w:sz="4" w:space="0" w:color="auto"/>
              <w:bottom w:val="single" w:sz="4" w:space="0" w:color="auto"/>
              <w:right w:val="single" w:sz="4" w:space="0" w:color="auto"/>
            </w:tcBorders>
            <w:hideMark/>
          </w:tcPr>
          <w:p w14:paraId="1C1F602F" w14:textId="77777777" w:rsidR="009A251A" w:rsidRDefault="009A251A">
            <w:pPr>
              <w:rPr>
                <w:lang w:val="en-IN"/>
              </w:rPr>
            </w:pPr>
            <w:r>
              <w:rPr>
                <w:lang w:val="de-DE"/>
              </w:rPr>
              <w:t>Undersøgelser</w:t>
            </w:r>
          </w:p>
        </w:tc>
        <w:tc>
          <w:tcPr>
            <w:tcW w:w="1633" w:type="dxa"/>
            <w:tcBorders>
              <w:top w:val="single" w:sz="4" w:space="0" w:color="auto"/>
              <w:left w:val="single" w:sz="4" w:space="0" w:color="auto"/>
              <w:bottom w:val="single" w:sz="4" w:space="0" w:color="auto"/>
              <w:right w:val="single" w:sz="4" w:space="0" w:color="auto"/>
            </w:tcBorders>
          </w:tcPr>
          <w:p w14:paraId="7AB9B33A" w14:textId="77777777" w:rsidR="009A251A" w:rsidRDefault="009A251A">
            <w:pPr>
              <w:rPr>
                <w:lang w:val="en-IN"/>
              </w:rPr>
            </w:pPr>
          </w:p>
        </w:tc>
        <w:tc>
          <w:tcPr>
            <w:tcW w:w="1841" w:type="dxa"/>
            <w:tcBorders>
              <w:top w:val="single" w:sz="4" w:space="0" w:color="auto"/>
              <w:left w:val="single" w:sz="4" w:space="0" w:color="auto"/>
              <w:bottom w:val="single" w:sz="4" w:space="0" w:color="auto"/>
              <w:right w:val="single" w:sz="4" w:space="0" w:color="auto"/>
            </w:tcBorders>
            <w:hideMark/>
          </w:tcPr>
          <w:p w14:paraId="411DB533" w14:textId="77777777" w:rsidR="009A251A" w:rsidRPr="009A251A" w:rsidRDefault="009A251A">
            <w:pPr>
              <w:rPr>
                <w:lang w:val="da-DK"/>
              </w:rPr>
            </w:pPr>
            <w:r w:rsidRPr="009A251A">
              <w:rPr>
                <w:lang w:val="da-DK"/>
              </w:rPr>
              <w:t>Forlænget blødningstid, fald i neutrofiltal, fald i trombocyttal</w:t>
            </w:r>
          </w:p>
        </w:tc>
        <w:tc>
          <w:tcPr>
            <w:tcW w:w="1702" w:type="dxa"/>
            <w:tcBorders>
              <w:top w:val="single" w:sz="4" w:space="0" w:color="auto"/>
              <w:left w:val="single" w:sz="4" w:space="0" w:color="auto"/>
              <w:bottom w:val="single" w:sz="4" w:space="0" w:color="auto"/>
              <w:right w:val="single" w:sz="4" w:space="0" w:color="auto"/>
            </w:tcBorders>
          </w:tcPr>
          <w:p w14:paraId="2BBD4C8E" w14:textId="77777777" w:rsidR="009A251A" w:rsidRPr="009A251A" w:rsidRDefault="009A251A">
            <w:pPr>
              <w:rPr>
                <w:lang w:val="da-DK"/>
              </w:rPr>
            </w:pPr>
          </w:p>
        </w:tc>
        <w:tc>
          <w:tcPr>
            <w:tcW w:w="2267" w:type="dxa"/>
            <w:tcBorders>
              <w:top w:val="single" w:sz="4" w:space="0" w:color="auto"/>
              <w:left w:val="single" w:sz="4" w:space="0" w:color="auto"/>
              <w:bottom w:val="single" w:sz="4" w:space="0" w:color="auto"/>
              <w:right w:val="single" w:sz="4" w:space="0" w:color="auto"/>
            </w:tcBorders>
          </w:tcPr>
          <w:p w14:paraId="182EB410" w14:textId="77777777" w:rsidR="009A251A" w:rsidRPr="009A251A" w:rsidRDefault="009A251A">
            <w:pPr>
              <w:rPr>
                <w:lang w:val="da-DK"/>
              </w:rPr>
            </w:pPr>
          </w:p>
        </w:tc>
      </w:tr>
    </w:tbl>
    <w:p w14:paraId="71520C1F" w14:textId="77777777" w:rsidR="009A251A" w:rsidRDefault="009A251A" w:rsidP="009A251A">
      <w:pPr>
        <w:ind w:left="284"/>
        <w:rPr>
          <w:sz w:val="22"/>
        </w:rPr>
      </w:pPr>
      <w:r>
        <w:t>* Information relateret til clopidogrel med hyppighed ”ikke kendt”.</w:t>
      </w:r>
    </w:p>
    <w:p w14:paraId="73A7ED61" w14:textId="77777777" w:rsidR="009A251A" w:rsidRPr="009A251A" w:rsidRDefault="009A251A" w:rsidP="009A251A">
      <w:pPr>
        <w:ind w:left="851"/>
        <w:rPr>
          <w:sz w:val="24"/>
          <w:szCs w:val="24"/>
        </w:rPr>
      </w:pPr>
    </w:p>
    <w:p w14:paraId="0C4AA6A4" w14:textId="77777777" w:rsidR="009A251A" w:rsidRPr="009A251A" w:rsidRDefault="009A251A" w:rsidP="009A251A">
      <w:pPr>
        <w:ind w:left="851"/>
        <w:rPr>
          <w:sz w:val="24"/>
          <w:szCs w:val="24"/>
          <w:u w:val="single"/>
        </w:rPr>
      </w:pPr>
      <w:r w:rsidRPr="009A251A">
        <w:rPr>
          <w:sz w:val="24"/>
          <w:szCs w:val="24"/>
          <w:u w:val="single"/>
        </w:rPr>
        <w:t>Indberetning af formodede bivirkninger</w:t>
      </w:r>
    </w:p>
    <w:p w14:paraId="12121169" w14:textId="77777777" w:rsidR="009A251A" w:rsidRDefault="009A251A" w:rsidP="009A251A">
      <w:pPr>
        <w:ind w:left="851"/>
        <w:rPr>
          <w:sz w:val="24"/>
          <w:szCs w:val="24"/>
        </w:rPr>
      </w:pPr>
      <w:r w:rsidRPr="009A251A">
        <w:rPr>
          <w:sz w:val="24"/>
          <w:szCs w:val="24"/>
        </w:rPr>
        <w:t>Når lægemidlet er godkendt, er indberetning af formodede bivirkninger vigtig. Det muliggør løbende</w:t>
      </w:r>
      <w:r>
        <w:rPr>
          <w:sz w:val="24"/>
          <w:szCs w:val="24"/>
        </w:rPr>
        <w:t xml:space="preserve"> </w:t>
      </w:r>
      <w:r w:rsidRPr="009A251A">
        <w:rPr>
          <w:sz w:val="24"/>
          <w:szCs w:val="24"/>
        </w:rPr>
        <w:t>overvågning af benefit/risk-forholdet for lægemidlet. Sundhedspersoner anmodes om at indberette alle</w:t>
      </w:r>
      <w:r>
        <w:rPr>
          <w:sz w:val="24"/>
          <w:szCs w:val="24"/>
        </w:rPr>
        <w:t xml:space="preserve"> </w:t>
      </w:r>
      <w:r w:rsidRPr="009A251A">
        <w:rPr>
          <w:sz w:val="24"/>
          <w:szCs w:val="24"/>
        </w:rPr>
        <w:t>formodede bivirkninger via</w:t>
      </w:r>
      <w:r>
        <w:rPr>
          <w:sz w:val="24"/>
          <w:szCs w:val="24"/>
        </w:rPr>
        <w:t>:</w:t>
      </w:r>
    </w:p>
    <w:p w14:paraId="64B1DA48" w14:textId="77777777" w:rsidR="009A251A" w:rsidRDefault="009A251A" w:rsidP="009A251A">
      <w:pPr>
        <w:ind w:left="851"/>
        <w:rPr>
          <w:sz w:val="24"/>
          <w:szCs w:val="24"/>
        </w:rPr>
      </w:pPr>
    </w:p>
    <w:p w14:paraId="0E80BC8F" w14:textId="77777777" w:rsidR="009A251A" w:rsidRDefault="009A251A" w:rsidP="009A251A">
      <w:pPr>
        <w:ind w:left="851"/>
        <w:rPr>
          <w:sz w:val="24"/>
          <w:szCs w:val="24"/>
        </w:rPr>
      </w:pPr>
      <w:r w:rsidRPr="009A251A">
        <w:rPr>
          <w:sz w:val="24"/>
          <w:szCs w:val="24"/>
        </w:rPr>
        <w:t>Lægemiddelstyrelsen</w:t>
      </w:r>
    </w:p>
    <w:p w14:paraId="0DCA971D" w14:textId="77777777" w:rsidR="009A251A" w:rsidRDefault="009A251A" w:rsidP="009A251A">
      <w:pPr>
        <w:ind w:left="851"/>
        <w:rPr>
          <w:sz w:val="24"/>
          <w:szCs w:val="24"/>
        </w:rPr>
      </w:pPr>
      <w:r w:rsidRPr="009A251A">
        <w:rPr>
          <w:sz w:val="24"/>
          <w:szCs w:val="24"/>
        </w:rPr>
        <w:t>Axel Heides Gade 1</w:t>
      </w:r>
    </w:p>
    <w:p w14:paraId="4009D443" w14:textId="77777777" w:rsidR="009A251A" w:rsidRDefault="009A251A" w:rsidP="009A251A">
      <w:pPr>
        <w:ind w:left="851"/>
        <w:rPr>
          <w:sz w:val="24"/>
          <w:szCs w:val="24"/>
        </w:rPr>
      </w:pPr>
      <w:r w:rsidRPr="009A251A">
        <w:rPr>
          <w:sz w:val="24"/>
          <w:szCs w:val="24"/>
        </w:rPr>
        <w:t>DK-2300 København S</w:t>
      </w:r>
    </w:p>
    <w:p w14:paraId="38A5A50E" w14:textId="0ECB2F20" w:rsidR="009A251A" w:rsidRPr="009A251A" w:rsidRDefault="009A251A" w:rsidP="009A251A">
      <w:pPr>
        <w:ind w:left="851"/>
        <w:rPr>
          <w:sz w:val="24"/>
          <w:szCs w:val="24"/>
        </w:rPr>
      </w:pPr>
      <w:r w:rsidRPr="009A251A">
        <w:rPr>
          <w:sz w:val="24"/>
          <w:szCs w:val="24"/>
        </w:rPr>
        <w:t>Websted: www.meldenbivirkning.dk</w:t>
      </w:r>
    </w:p>
    <w:p w14:paraId="46EFB6EB" w14:textId="77777777" w:rsidR="009260DE" w:rsidRPr="009A251A" w:rsidRDefault="009260DE" w:rsidP="009A251A">
      <w:pPr>
        <w:tabs>
          <w:tab w:val="left" w:pos="851"/>
        </w:tabs>
        <w:ind w:left="851"/>
        <w:rPr>
          <w:sz w:val="24"/>
          <w:szCs w:val="24"/>
        </w:rPr>
      </w:pPr>
    </w:p>
    <w:p w14:paraId="75491EA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F65EE4E" w14:textId="77777777" w:rsidR="007F46BA" w:rsidRPr="007F46BA" w:rsidRDefault="007F46BA" w:rsidP="007F46BA">
      <w:pPr>
        <w:tabs>
          <w:tab w:val="left" w:pos="851"/>
        </w:tabs>
        <w:ind w:left="851"/>
        <w:rPr>
          <w:sz w:val="24"/>
          <w:szCs w:val="24"/>
        </w:rPr>
      </w:pPr>
      <w:r w:rsidRPr="007F46BA">
        <w:rPr>
          <w:sz w:val="24"/>
          <w:szCs w:val="24"/>
        </w:rPr>
        <w:t>Overdosering efter administration af clopidogrel kan føre til forlænget blødningstid og efterfølgende blødningskomplikationer. Hvis der observeres blødning, bør passende behandling overvejes.</w:t>
      </w:r>
    </w:p>
    <w:p w14:paraId="04741229" w14:textId="77777777" w:rsidR="007F46BA" w:rsidRPr="007F46BA" w:rsidRDefault="007F46BA" w:rsidP="007F46BA">
      <w:pPr>
        <w:tabs>
          <w:tab w:val="left" w:pos="851"/>
        </w:tabs>
        <w:ind w:left="851"/>
        <w:rPr>
          <w:sz w:val="24"/>
          <w:szCs w:val="24"/>
          <w:lang w:val="de-DE"/>
        </w:rPr>
      </w:pPr>
      <w:r w:rsidRPr="007F46BA">
        <w:rPr>
          <w:sz w:val="24"/>
          <w:szCs w:val="24"/>
          <w:lang w:val="de-DE"/>
        </w:rPr>
        <w:t>Der er ikke fundet en aktiv farmakologisk antidot til clopidogrel. Ved behov for hurtig behandling af forlænget kapillærblødningstid kan en trombocytinfusion muligvis modvirke effekten af clopidogrel.</w:t>
      </w:r>
    </w:p>
    <w:p w14:paraId="08A61284" w14:textId="77777777" w:rsidR="009260DE" w:rsidRPr="007F46BA" w:rsidRDefault="009260DE" w:rsidP="009260DE">
      <w:pPr>
        <w:tabs>
          <w:tab w:val="left" w:pos="851"/>
        </w:tabs>
        <w:ind w:left="851"/>
        <w:rPr>
          <w:sz w:val="24"/>
          <w:szCs w:val="24"/>
          <w:lang w:val="de-DE"/>
        </w:rPr>
      </w:pPr>
    </w:p>
    <w:p w14:paraId="6620FAB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A3F1121" w14:textId="3F06C4B4" w:rsidR="009260DE" w:rsidRPr="00C84483" w:rsidRDefault="0082011F" w:rsidP="009260DE">
      <w:pPr>
        <w:tabs>
          <w:tab w:val="left" w:pos="851"/>
        </w:tabs>
        <w:ind w:left="851"/>
        <w:rPr>
          <w:sz w:val="24"/>
          <w:szCs w:val="24"/>
        </w:rPr>
      </w:pPr>
      <w:r>
        <w:rPr>
          <w:sz w:val="24"/>
          <w:szCs w:val="24"/>
        </w:rPr>
        <w:t>B</w:t>
      </w:r>
    </w:p>
    <w:p w14:paraId="0080DFE1" w14:textId="77777777" w:rsidR="009260DE" w:rsidRPr="00C84483" w:rsidRDefault="009260DE" w:rsidP="009260DE">
      <w:pPr>
        <w:tabs>
          <w:tab w:val="left" w:pos="851"/>
        </w:tabs>
        <w:ind w:left="851"/>
        <w:rPr>
          <w:sz w:val="24"/>
          <w:szCs w:val="24"/>
        </w:rPr>
      </w:pPr>
    </w:p>
    <w:p w14:paraId="6B1979C0" w14:textId="0C305BB0" w:rsidR="0082011F" w:rsidRDefault="0082011F">
      <w:pPr>
        <w:rPr>
          <w:sz w:val="24"/>
          <w:szCs w:val="24"/>
        </w:rPr>
      </w:pPr>
      <w:r>
        <w:rPr>
          <w:sz w:val="24"/>
          <w:szCs w:val="24"/>
        </w:rPr>
        <w:br w:type="page"/>
      </w:r>
    </w:p>
    <w:p w14:paraId="363A184D" w14:textId="77777777" w:rsidR="009260DE" w:rsidRPr="00C84483" w:rsidRDefault="009260DE" w:rsidP="009260DE">
      <w:pPr>
        <w:tabs>
          <w:tab w:val="left" w:pos="851"/>
        </w:tabs>
        <w:ind w:left="851"/>
        <w:rPr>
          <w:sz w:val="24"/>
          <w:szCs w:val="24"/>
        </w:rPr>
      </w:pPr>
    </w:p>
    <w:p w14:paraId="4B60B1B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78F6FC2" w14:textId="77777777" w:rsidR="009260DE" w:rsidRPr="00C84483" w:rsidRDefault="009260DE" w:rsidP="009260DE">
      <w:pPr>
        <w:tabs>
          <w:tab w:val="left" w:pos="851"/>
        </w:tabs>
        <w:ind w:left="851"/>
        <w:rPr>
          <w:sz w:val="24"/>
          <w:szCs w:val="24"/>
        </w:rPr>
      </w:pPr>
    </w:p>
    <w:p w14:paraId="34BF45F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BD61274" w14:textId="77777777" w:rsidR="0082011F" w:rsidRPr="0082011F" w:rsidRDefault="0082011F" w:rsidP="0082011F">
      <w:pPr>
        <w:tabs>
          <w:tab w:val="left" w:pos="851"/>
        </w:tabs>
        <w:ind w:left="851"/>
        <w:rPr>
          <w:sz w:val="24"/>
          <w:szCs w:val="24"/>
          <w:lang w:val="de-DE"/>
        </w:rPr>
      </w:pPr>
      <w:r w:rsidRPr="0082011F">
        <w:rPr>
          <w:sz w:val="24"/>
          <w:szCs w:val="24"/>
          <w:lang w:val="de-DE"/>
        </w:rPr>
        <w:t>Farmakoterapeutisk klassifikation: Trombocytfunktionshæmmende midler eksklusive heparin, ATC-kode: B01AC-04.</w:t>
      </w:r>
    </w:p>
    <w:p w14:paraId="4E8EC0F5" w14:textId="77777777" w:rsidR="0082011F" w:rsidRPr="0082011F" w:rsidRDefault="0082011F" w:rsidP="0082011F">
      <w:pPr>
        <w:tabs>
          <w:tab w:val="left" w:pos="851"/>
        </w:tabs>
        <w:ind w:left="851"/>
        <w:rPr>
          <w:sz w:val="24"/>
          <w:szCs w:val="24"/>
          <w:lang w:val="de-DE"/>
        </w:rPr>
      </w:pPr>
    </w:p>
    <w:p w14:paraId="558D6885" w14:textId="77777777" w:rsidR="0082011F" w:rsidRPr="0082011F" w:rsidRDefault="0082011F" w:rsidP="0082011F">
      <w:pPr>
        <w:tabs>
          <w:tab w:val="left" w:pos="851"/>
        </w:tabs>
        <w:ind w:left="851"/>
        <w:rPr>
          <w:sz w:val="24"/>
          <w:szCs w:val="24"/>
          <w:u w:val="single"/>
          <w:lang w:val="de-DE"/>
        </w:rPr>
      </w:pPr>
      <w:r w:rsidRPr="0082011F">
        <w:rPr>
          <w:sz w:val="24"/>
          <w:szCs w:val="24"/>
          <w:u w:val="single"/>
          <w:lang w:val="de-DE"/>
        </w:rPr>
        <w:t>Virkningsmekanisme</w:t>
      </w:r>
    </w:p>
    <w:p w14:paraId="7E8B33EA" w14:textId="77777777" w:rsidR="0082011F" w:rsidRPr="0082011F" w:rsidRDefault="0082011F" w:rsidP="0082011F">
      <w:pPr>
        <w:tabs>
          <w:tab w:val="left" w:pos="851"/>
        </w:tabs>
        <w:ind w:left="851"/>
        <w:rPr>
          <w:sz w:val="24"/>
          <w:szCs w:val="24"/>
          <w:lang w:val="de-DE"/>
        </w:rPr>
      </w:pPr>
      <w:r w:rsidRPr="0082011F">
        <w:rPr>
          <w:sz w:val="24"/>
          <w:szCs w:val="24"/>
          <w:lang w:val="de-DE"/>
        </w:rPr>
        <w:t>Clopidogrel er et prodrug, hvor en af metabolitterne hæmmer trombocytaggregationen. Clopidogrel skal metaboliseres af CYP450-enzymer for at danne den aktive metabolit, der hæmmer trombocytaggregationen.</w:t>
      </w:r>
    </w:p>
    <w:p w14:paraId="3D538FE5" w14:textId="77777777" w:rsidR="0082011F" w:rsidRPr="0082011F" w:rsidRDefault="0082011F" w:rsidP="0082011F">
      <w:pPr>
        <w:tabs>
          <w:tab w:val="left" w:pos="851"/>
        </w:tabs>
        <w:ind w:left="851"/>
        <w:rPr>
          <w:sz w:val="24"/>
          <w:szCs w:val="24"/>
          <w:lang w:val="de-DE"/>
        </w:rPr>
      </w:pPr>
    </w:p>
    <w:p w14:paraId="49C40FA5" w14:textId="77777777" w:rsidR="0082011F" w:rsidRPr="0082011F" w:rsidRDefault="0082011F" w:rsidP="0082011F">
      <w:pPr>
        <w:tabs>
          <w:tab w:val="left" w:pos="851"/>
        </w:tabs>
        <w:ind w:left="851"/>
        <w:rPr>
          <w:sz w:val="24"/>
          <w:szCs w:val="24"/>
          <w:lang w:val="de-DE"/>
        </w:rPr>
      </w:pPr>
      <w:r w:rsidRPr="0082011F">
        <w:rPr>
          <w:sz w:val="24"/>
          <w:szCs w:val="24"/>
          <w:lang w:val="de-DE"/>
        </w:rPr>
        <w:t>Clopidogrels aktive metabolit hæmmer selektivt bindingen af adenosindiphosphat (ADP) til dets trombocytreceptor P2Y12 og den efterfølgende ADP-medierede aktivering af GBIIb-IIIa-komplekset, hvorved trombocytaggregationen hæmmes. Clopidogrel binder sig irreversibelt til trombocytternes ADP-receptor, hvorfor trombocytaggregationen hæmmes i resten af trombocytternes levetid (ca. 7-10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14:paraId="0199036A" w14:textId="77777777" w:rsidR="0082011F" w:rsidRPr="0082011F" w:rsidRDefault="0082011F" w:rsidP="0082011F">
      <w:pPr>
        <w:tabs>
          <w:tab w:val="left" w:pos="851"/>
        </w:tabs>
        <w:ind w:left="851"/>
        <w:rPr>
          <w:sz w:val="24"/>
          <w:szCs w:val="24"/>
          <w:lang w:val="de-DE"/>
        </w:rPr>
      </w:pPr>
    </w:p>
    <w:p w14:paraId="66249E25" w14:textId="77777777" w:rsidR="0082011F" w:rsidRPr="0082011F" w:rsidRDefault="0082011F" w:rsidP="0082011F">
      <w:pPr>
        <w:tabs>
          <w:tab w:val="left" w:pos="851"/>
        </w:tabs>
        <w:ind w:left="851"/>
        <w:rPr>
          <w:sz w:val="24"/>
          <w:szCs w:val="24"/>
          <w:lang w:val="de-DE"/>
        </w:rPr>
      </w:pPr>
      <w:r w:rsidRPr="0082011F">
        <w:rPr>
          <w:sz w:val="24"/>
          <w:szCs w:val="24"/>
          <w:lang w:val="de-DE"/>
        </w:rPr>
        <w:t>Da den aktive metabolit dannes af CYP450-enzymer, hvoraf nogle er polymorfe eller genstand for hæmning af andre lægemidler, vil ikke alle patienter opnå passende trombocythæmning.</w:t>
      </w:r>
    </w:p>
    <w:p w14:paraId="25D3EAD4" w14:textId="77777777" w:rsidR="0082011F" w:rsidRPr="0082011F" w:rsidRDefault="0082011F" w:rsidP="0082011F">
      <w:pPr>
        <w:tabs>
          <w:tab w:val="left" w:pos="851"/>
        </w:tabs>
        <w:ind w:left="851"/>
        <w:rPr>
          <w:sz w:val="24"/>
          <w:szCs w:val="24"/>
          <w:lang w:val="de-DE"/>
        </w:rPr>
      </w:pPr>
    </w:p>
    <w:p w14:paraId="4DE48FD8" w14:textId="77777777" w:rsidR="0082011F" w:rsidRPr="0082011F" w:rsidRDefault="0082011F" w:rsidP="0082011F">
      <w:pPr>
        <w:tabs>
          <w:tab w:val="left" w:pos="851"/>
        </w:tabs>
        <w:ind w:left="851"/>
        <w:rPr>
          <w:sz w:val="24"/>
          <w:szCs w:val="24"/>
          <w:u w:val="single"/>
          <w:lang w:val="de-DE"/>
        </w:rPr>
      </w:pPr>
      <w:r w:rsidRPr="0082011F">
        <w:rPr>
          <w:sz w:val="24"/>
          <w:szCs w:val="24"/>
          <w:u w:val="single"/>
          <w:lang w:val="de-DE"/>
        </w:rPr>
        <w:t>Farmakodynamisk virkning</w:t>
      </w:r>
    </w:p>
    <w:p w14:paraId="4B0DA2A4" w14:textId="77777777" w:rsidR="0082011F" w:rsidRPr="0082011F" w:rsidRDefault="0082011F" w:rsidP="0082011F">
      <w:pPr>
        <w:tabs>
          <w:tab w:val="left" w:pos="851"/>
        </w:tabs>
        <w:ind w:left="851"/>
        <w:rPr>
          <w:sz w:val="24"/>
          <w:szCs w:val="24"/>
          <w:lang w:val="de-DE"/>
        </w:rPr>
      </w:pPr>
      <w:r w:rsidRPr="0082011F">
        <w:rPr>
          <w:sz w:val="24"/>
          <w:szCs w:val="24"/>
          <w:lang w:val="de-DE"/>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14:paraId="652559D9" w14:textId="77777777" w:rsidR="0082011F" w:rsidRPr="0082011F" w:rsidRDefault="0082011F" w:rsidP="0082011F">
      <w:pPr>
        <w:tabs>
          <w:tab w:val="left" w:pos="851"/>
        </w:tabs>
        <w:ind w:left="851"/>
        <w:rPr>
          <w:sz w:val="24"/>
          <w:szCs w:val="24"/>
          <w:lang w:val="de-DE"/>
        </w:rPr>
      </w:pPr>
    </w:p>
    <w:p w14:paraId="64F4C5BA" w14:textId="77777777" w:rsidR="0082011F" w:rsidRPr="0082011F" w:rsidRDefault="0082011F" w:rsidP="0082011F">
      <w:pPr>
        <w:tabs>
          <w:tab w:val="left" w:pos="851"/>
        </w:tabs>
        <w:ind w:left="851"/>
        <w:rPr>
          <w:sz w:val="24"/>
          <w:szCs w:val="24"/>
          <w:u w:val="single"/>
        </w:rPr>
      </w:pPr>
      <w:r w:rsidRPr="0082011F">
        <w:rPr>
          <w:sz w:val="24"/>
          <w:szCs w:val="24"/>
          <w:u w:val="single"/>
        </w:rPr>
        <w:t>Klinisk virkning og sikkerhed</w:t>
      </w:r>
    </w:p>
    <w:p w14:paraId="7C394A91" w14:textId="77777777" w:rsidR="0082011F" w:rsidRPr="0082011F" w:rsidRDefault="0082011F" w:rsidP="0082011F">
      <w:pPr>
        <w:tabs>
          <w:tab w:val="left" w:pos="851"/>
        </w:tabs>
        <w:ind w:left="851"/>
        <w:rPr>
          <w:sz w:val="24"/>
          <w:szCs w:val="24"/>
        </w:rPr>
      </w:pPr>
      <w:r w:rsidRPr="0082011F">
        <w:rPr>
          <w:sz w:val="24"/>
          <w:szCs w:val="24"/>
        </w:rPr>
        <w:t>Sikkerheden og effekten af clopidrogrel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14:paraId="3CEE9ED4" w14:textId="77777777" w:rsidR="0082011F" w:rsidRPr="0082011F" w:rsidRDefault="0082011F" w:rsidP="0082011F">
      <w:pPr>
        <w:tabs>
          <w:tab w:val="left" w:pos="851"/>
        </w:tabs>
        <w:ind w:left="851"/>
        <w:rPr>
          <w:sz w:val="24"/>
          <w:szCs w:val="24"/>
        </w:rPr>
      </w:pPr>
    </w:p>
    <w:p w14:paraId="294FF220" w14:textId="77777777" w:rsidR="0082011F" w:rsidRPr="0082011F" w:rsidRDefault="0082011F" w:rsidP="0082011F">
      <w:pPr>
        <w:tabs>
          <w:tab w:val="left" w:pos="851"/>
        </w:tabs>
        <w:ind w:left="851"/>
        <w:rPr>
          <w:i/>
          <w:sz w:val="24"/>
          <w:szCs w:val="24"/>
          <w:lang w:val="de-DE"/>
        </w:rPr>
      </w:pPr>
      <w:r w:rsidRPr="0082011F">
        <w:rPr>
          <w:i/>
          <w:sz w:val="24"/>
          <w:szCs w:val="24"/>
          <w:lang w:val="de-DE"/>
        </w:rPr>
        <w:t>Nyligt myokardieinfarkt (MI), nylig apopleksi eller påvist perifer arteriel lidelse</w:t>
      </w:r>
    </w:p>
    <w:p w14:paraId="0EDFA329" w14:textId="77777777" w:rsidR="0082011F" w:rsidRPr="0082011F" w:rsidRDefault="0082011F" w:rsidP="0082011F">
      <w:pPr>
        <w:tabs>
          <w:tab w:val="left" w:pos="851"/>
        </w:tabs>
        <w:ind w:left="851"/>
        <w:rPr>
          <w:sz w:val="24"/>
          <w:szCs w:val="24"/>
          <w:lang w:val="de-DE"/>
        </w:rPr>
      </w:pPr>
      <w:r w:rsidRPr="0082011F">
        <w:rPr>
          <w:sz w:val="24"/>
          <w:szCs w:val="24"/>
          <w:lang w:val="de-DE"/>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14:paraId="34831943" w14:textId="77777777" w:rsidR="0082011F" w:rsidRPr="0082011F" w:rsidRDefault="0082011F" w:rsidP="0082011F">
      <w:pPr>
        <w:tabs>
          <w:tab w:val="left" w:pos="851"/>
        </w:tabs>
        <w:ind w:left="851"/>
        <w:rPr>
          <w:sz w:val="24"/>
          <w:szCs w:val="24"/>
          <w:lang w:val="de-DE"/>
        </w:rPr>
      </w:pPr>
    </w:p>
    <w:p w14:paraId="246CF01D" w14:textId="77777777" w:rsidR="0082011F" w:rsidRPr="0082011F" w:rsidRDefault="0082011F" w:rsidP="0082011F">
      <w:pPr>
        <w:tabs>
          <w:tab w:val="left" w:pos="851"/>
        </w:tabs>
        <w:ind w:left="851"/>
        <w:rPr>
          <w:sz w:val="24"/>
          <w:szCs w:val="24"/>
          <w:lang w:val="de-DE"/>
        </w:rPr>
      </w:pPr>
      <w:r w:rsidRPr="0082011F">
        <w:rPr>
          <w:sz w:val="24"/>
          <w:szCs w:val="24"/>
          <w:lang w:val="de-DE"/>
        </w:rPr>
        <w:t xml:space="preserve">Clopidogrel reducerede signifikant forekomsten af nye iskæmiske tilfælde (kombineret endepunkt, der omfattede myokardieinfarkt, iskæmisk apopleksi og vaskulær død) ved sammenligning med ASA. I intention-to-treat-analysen blev der observeret 939 tilfælde i </w:t>
      </w:r>
      <w:r w:rsidRPr="0082011F">
        <w:rPr>
          <w:sz w:val="24"/>
          <w:szCs w:val="24"/>
          <w:lang w:val="de-DE"/>
        </w:rPr>
        <w:lastRenderedPageBreak/>
        <w:t>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14:paraId="02445B09" w14:textId="77777777" w:rsidR="0082011F" w:rsidRPr="0082011F" w:rsidRDefault="0082011F" w:rsidP="0082011F">
      <w:pPr>
        <w:tabs>
          <w:tab w:val="left" w:pos="851"/>
        </w:tabs>
        <w:ind w:left="851"/>
        <w:rPr>
          <w:sz w:val="24"/>
          <w:szCs w:val="24"/>
          <w:lang w:val="de-DE"/>
        </w:rPr>
      </w:pPr>
    </w:p>
    <w:p w14:paraId="13651B39" w14:textId="77777777" w:rsidR="0082011F" w:rsidRPr="0082011F" w:rsidRDefault="0082011F" w:rsidP="0082011F">
      <w:pPr>
        <w:tabs>
          <w:tab w:val="left" w:pos="851"/>
        </w:tabs>
        <w:ind w:left="851"/>
        <w:rPr>
          <w:sz w:val="24"/>
          <w:szCs w:val="24"/>
          <w:lang w:val="de-DE"/>
        </w:rPr>
      </w:pPr>
      <w:r w:rsidRPr="0082011F">
        <w:rPr>
          <w:sz w:val="24"/>
          <w:szCs w:val="24"/>
          <w:lang w:val="de-DE"/>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14:paraId="28D220F8" w14:textId="77777777" w:rsidR="0082011F" w:rsidRPr="0082011F" w:rsidRDefault="0082011F" w:rsidP="0082011F">
      <w:pPr>
        <w:tabs>
          <w:tab w:val="left" w:pos="851"/>
        </w:tabs>
        <w:ind w:left="851"/>
        <w:rPr>
          <w:sz w:val="24"/>
          <w:szCs w:val="24"/>
          <w:lang w:val="de-DE"/>
        </w:rPr>
      </w:pPr>
    </w:p>
    <w:p w14:paraId="20478A9C" w14:textId="77777777" w:rsidR="0082011F" w:rsidRPr="0082011F" w:rsidRDefault="0082011F" w:rsidP="0082011F">
      <w:pPr>
        <w:tabs>
          <w:tab w:val="left" w:pos="851"/>
        </w:tabs>
        <w:ind w:left="851"/>
        <w:rPr>
          <w:sz w:val="24"/>
          <w:szCs w:val="24"/>
          <w:lang w:val="de-DE"/>
        </w:rPr>
      </w:pPr>
      <w:r w:rsidRPr="0082011F">
        <w:rPr>
          <w:sz w:val="24"/>
          <w:szCs w:val="24"/>
          <w:lang w:val="de-DE"/>
        </w:rPr>
        <w:t>Da CAPRIE-studiet imidlertid ikke havde statistisk styrke til at evaluere virkningen i de enkelte delgrupper, kan det ikke udledes, hvorvidt forskellene i relativ risikoreduktion på tværs af inklusionskriterierne er reelle eller tilfældige.</w:t>
      </w:r>
    </w:p>
    <w:p w14:paraId="739D4535" w14:textId="77777777" w:rsidR="0082011F" w:rsidRPr="0082011F" w:rsidRDefault="0082011F" w:rsidP="0082011F">
      <w:pPr>
        <w:tabs>
          <w:tab w:val="left" w:pos="851"/>
        </w:tabs>
        <w:ind w:left="851"/>
        <w:rPr>
          <w:sz w:val="24"/>
          <w:szCs w:val="24"/>
          <w:lang w:val="de-DE"/>
        </w:rPr>
      </w:pPr>
    </w:p>
    <w:p w14:paraId="7374E77B" w14:textId="77777777" w:rsidR="0082011F" w:rsidRPr="0082011F" w:rsidRDefault="0082011F" w:rsidP="0082011F">
      <w:pPr>
        <w:tabs>
          <w:tab w:val="left" w:pos="851"/>
        </w:tabs>
        <w:ind w:left="851"/>
        <w:rPr>
          <w:i/>
          <w:sz w:val="24"/>
          <w:szCs w:val="24"/>
          <w:lang w:val="de-DE"/>
        </w:rPr>
      </w:pPr>
      <w:r w:rsidRPr="0082011F">
        <w:rPr>
          <w:i/>
          <w:sz w:val="24"/>
          <w:szCs w:val="24"/>
          <w:lang w:val="de-DE"/>
        </w:rPr>
        <w:t>Akut koronart syndrom</w:t>
      </w:r>
    </w:p>
    <w:p w14:paraId="6ACCD30B" w14:textId="77777777" w:rsidR="0082011F" w:rsidRPr="0082011F" w:rsidRDefault="0082011F" w:rsidP="0082011F">
      <w:pPr>
        <w:tabs>
          <w:tab w:val="left" w:pos="851"/>
        </w:tabs>
        <w:ind w:left="851"/>
        <w:rPr>
          <w:sz w:val="24"/>
          <w:szCs w:val="24"/>
        </w:rPr>
      </w:pPr>
      <w:r w:rsidRPr="0082011F">
        <w:rPr>
          <w:sz w:val="24"/>
          <w:szCs w:val="24"/>
          <w:lang w:val="de-DE"/>
        </w:rPr>
        <w:t xml:space="preserve">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(75-325 mg en gang daglig) samt anden standardbehandling. </w:t>
      </w:r>
      <w:r w:rsidRPr="0082011F">
        <w:rPr>
          <w:sz w:val="24"/>
          <w:szCs w:val="24"/>
        </w:rPr>
        <w:t>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14:paraId="4EC930A6" w14:textId="77777777" w:rsidR="0082011F" w:rsidRPr="0082011F" w:rsidRDefault="0082011F" w:rsidP="0082011F">
      <w:pPr>
        <w:tabs>
          <w:tab w:val="left" w:pos="851"/>
        </w:tabs>
        <w:ind w:left="851"/>
        <w:rPr>
          <w:sz w:val="24"/>
          <w:szCs w:val="24"/>
        </w:rPr>
      </w:pPr>
    </w:p>
    <w:p w14:paraId="175C40A0" w14:textId="77777777" w:rsidR="0082011F" w:rsidRPr="0082011F" w:rsidRDefault="0082011F" w:rsidP="0082011F">
      <w:pPr>
        <w:tabs>
          <w:tab w:val="left" w:pos="851"/>
        </w:tabs>
        <w:ind w:left="851"/>
        <w:rPr>
          <w:sz w:val="24"/>
          <w:szCs w:val="24"/>
        </w:rPr>
      </w:pPr>
      <w:r w:rsidRPr="0082011F">
        <w:rPr>
          <w:sz w:val="24"/>
          <w:szCs w:val="24"/>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 (PTCA) med eller uden stent, og 10 %, når de fik koronar bypassoperation (CABG)). Nye kardiovaskulære hændelser (primært endepunkt) blev forebygget med relative risikoreduktioner på 22 % (CI: 8,6, 33,4) 32 % (CI: 12,8, 46,4), 4 % (CI: - 26,9,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14:paraId="4927F851" w14:textId="77777777" w:rsidR="0082011F" w:rsidRPr="0082011F" w:rsidRDefault="0082011F" w:rsidP="0082011F">
      <w:pPr>
        <w:tabs>
          <w:tab w:val="left" w:pos="851"/>
        </w:tabs>
        <w:ind w:left="851"/>
        <w:rPr>
          <w:sz w:val="24"/>
          <w:szCs w:val="24"/>
        </w:rPr>
      </w:pPr>
    </w:p>
    <w:p w14:paraId="1D6E0C20" w14:textId="77777777" w:rsidR="0082011F" w:rsidRPr="0082011F" w:rsidRDefault="0082011F" w:rsidP="0082011F">
      <w:pPr>
        <w:tabs>
          <w:tab w:val="left" w:pos="851"/>
        </w:tabs>
        <w:ind w:left="851"/>
        <w:rPr>
          <w:sz w:val="24"/>
          <w:szCs w:val="24"/>
        </w:rPr>
      </w:pPr>
      <w:r w:rsidRPr="0082011F">
        <w:rPr>
          <w:sz w:val="24"/>
          <w:szCs w:val="24"/>
        </w:rPr>
        <w:t>I CURE var anvendelse af clopidogrel forbundet med et aftagende behov for behandling med trombolytika (RRR = 43,3 %, CI: 24,3 %, 57,5 %) og GPIIb/IIIa-hæmmere (RRR = 18,2 %, CI: 6,5 %, 28,3 %).</w:t>
      </w:r>
    </w:p>
    <w:p w14:paraId="21D3F328" w14:textId="77777777" w:rsidR="0082011F" w:rsidRPr="0082011F" w:rsidRDefault="0082011F" w:rsidP="0082011F">
      <w:pPr>
        <w:tabs>
          <w:tab w:val="left" w:pos="851"/>
        </w:tabs>
        <w:ind w:left="851"/>
        <w:rPr>
          <w:sz w:val="24"/>
          <w:szCs w:val="24"/>
        </w:rPr>
      </w:pPr>
    </w:p>
    <w:p w14:paraId="5B23FC9A" w14:textId="77777777" w:rsidR="0082011F" w:rsidRPr="0082011F" w:rsidRDefault="0082011F" w:rsidP="0082011F">
      <w:pPr>
        <w:tabs>
          <w:tab w:val="left" w:pos="851"/>
        </w:tabs>
        <w:ind w:left="851"/>
        <w:rPr>
          <w:sz w:val="24"/>
          <w:szCs w:val="24"/>
          <w:lang w:val="de-DE"/>
        </w:rPr>
      </w:pPr>
      <w:r w:rsidRPr="0082011F">
        <w:rPr>
          <w:sz w:val="24"/>
          <w:szCs w:val="24"/>
        </w:rPr>
        <w:lastRenderedPageBreak/>
        <w:t xml:space="preserve">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w:t>
      </w:r>
      <w:r w:rsidRPr="0082011F">
        <w:rPr>
          <w:sz w:val="24"/>
          <w:szCs w:val="24"/>
          <w:lang w:val="de-DE"/>
        </w:rPr>
        <w:t>Der sås ingen effekt på forekomsten af genindlæggelse som følge af ustabil angina pectoris.</w:t>
      </w:r>
    </w:p>
    <w:p w14:paraId="0E9E8D32" w14:textId="77777777" w:rsidR="0082011F" w:rsidRPr="0082011F" w:rsidRDefault="0082011F" w:rsidP="0082011F">
      <w:pPr>
        <w:tabs>
          <w:tab w:val="left" w:pos="851"/>
        </w:tabs>
        <w:ind w:left="851"/>
        <w:rPr>
          <w:sz w:val="24"/>
          <w:szCs w:val="24"/>
          <w:lang w:val="de-DE"/>
        </w:rPr>
      </w:pPr>
    </w:p>
    <w:p w14:paraId="739B6431" w14:textId="77777777" w:rsidR="0082011F" w:rsidRPr="0082011F" w:rsidRDefault="0082011F" w:rsidP="0082011F">
      <w:pPr>
        <w:tabs>
          <w:tab w:val="left" w:pos="851"/>
        </w:tabs>
        <w:ind w:left="851"/>
        <w:rPr>
          <w:sz w:val="24"/>
          <w:szCs w:val="24"/>
          <w:lang w:val="de-DE"/>
        </w:rPr>
      </w:pPr>
      <w:r w:rsidRPr="0082011F">
        <w:rPr>
          <w:sz w:val="24"/>
          <w:szCs w:val="24"/>
          <w:lang w:val="de-DE"/>
        </w:rPr>
        <w:t>De resultater, som blev opnået i populationer med forskellige karakteristika (fx ustabil angina pectoris eller myokardieinfarkt uden forekomst af Q-takker, høj- eller lavrisikogruppe, diabetes, behov for revaskularisering, alder, køn, osv.) svarede til den primære analyses resultater. Specielt i en post-hoc analyse af 2172 patienter som fik indsat stent (17 % af den totale population i CURE-studiet,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af clopidogrel for denne patientundergruppe ikke anledning til særlig bekymring. Dermed er resultaterne af denne delkonklusion i overensstemmelse med de overordnede studieresultater.</w:t>
      </w:r>
    </w:p>
    <w:p w14:paraId="2B5FB260" w14:textId="77777777" w:rsidR="0082011F" w:rsidRPr="0082011F" w:rsidRDefault="0082011F" w:rsidP="0082011F">
      <w:pPr>
        <w:tabs>
          <w:tab w:val="left" w:pos="851"/>
        </w:tabs>
        <w:ind w:left="851"/>
        <w:rPr>
          <w:sz w:val="24"/>
          <w:szCs w:val="24"/>
          <w:lang w:val="de-DE"/>
        </w:rPr>
      </w:pPr>
    </w:p>
    <w:p w14:paraId="114AC90C" w14:textId="77777777" w:rsidR="0082011F" w:rsidRPr="0082011F" w:rsidRDefault="0082011F" w:rsidP="0082011F">
      <w:pPr>
        <w:tabs>
          <w:tab w:val="left" w:pos="851"/>
        </w:tabs>
        <w:ind w:left="851"/>
        <w:rPr>
          <w:sz w:val="24"/>
          <w:szCs w:val="24"/>
          <w:lang w:val="de-DE"/>
        </w:rPr>
      </w:pPr>
      <w:r w:rsidRPr="0082011F">
        <w:rPr>
          <w:sz w:val="24"/>
          <w:szCs w:val="24"/>
          <w:lang w:val="de-DE"/>
        </w:rPr>
        <w:t>De fordele, der blev observeret for clopidogrel, var uafhængige af anden akut og langvarig behandling af kardiovaskulære sygdomme (med fx heparin/LMWH, GPIIb/IIIa-hæmmere, lipidsænkende lægemidler, beta-blokkere og ACE-hæmmere). Clopidogrels virkning blev observeret uden relation til doseringen af ASA (75-325 mg en gang daglig).</w:t>
      </w:r>
    </w:p>
    <w:p w14:paraId="7D0F7F5D" w14:textId="77777777" w:rsidR="0082011F" w:rsidRPr="0082011F" w:rsidRDefault="0082011F" w:rsidP="0082011F">
      <w:pPr>
        <w:tabs>
          <w:tab w:val="left" w:pos="851"/>
        </w:tabs>
        <w:ind w:left="851"/>
        <w:rPr>
          <w:sz w:val="24"/>
          <w:szCs w:val="24"/>
          <w:lang w:val="de-DE"/>
        </w:rPr>
      </w:pPr>
    </w:p>
    <w:p w14:paraId="569600DB" w14:textId="77777777" w:rsidR="0082011F" w:rsidRPr="0082011F" w:rsidRDefault="0082011F" w:rsidP="0082011F">
      <w:pPr>
        <w:tabs>
          <w:tab w:val="left" w:pos="851"/>
        </w:tabs>
        <w:ind w:left="851"/>
        <w:rPr>
          <w:sz w:val="24"/>
          <w:szCs w:val="24"/>
          <w:u w:val="single"/>
        </w:rPr>
      </w:pPr>
      <w:r w:rsidRPr="0082011F">
        <w:rPr>
          <w:sz w:val="24"/>
          <w:szCs w:val="24"/>
          <w:u w:val="single"/>
        </w:rPr>
        <w:t>Akut myokardieinfarkt med elevation af ST-segmentet</w:t>
      </w:r>
    </w:p>
    <w:p w14:paraId="7AE404D8" w14:textId="77777777" w:rsidR="0082011F" w:rsidRPr="0082011F" w:rsidRDefault="0082011F" w:rsidP="0082011F">
      <w:pPr>
        <w:tabs>
          <w:tab w:val="left" w:pos="851"/>
        </w:tabs>
        <w:ind w:left="851"/>
        <w:rPr>
          <w:sz w:val="24"/>
          <w:szCs w:val="24"/>
        </w:rPr>
      </w:pPr>
      <w:r w:rsidRPr="0082011F">
        <w:rPr>
          <w:sz w:val="24"/>
          <w:szCs w:val="24"/>
        </w:rPr>
        <w:t>Hos patienter med akut myokardieinfarkt (MI) med ST-segment elevation (STEMI) blev sikkerheden ved og effekten af clopidrogrel vurderet i 2 randomiserede, placebo-kontrollerede, dobbeltblindede undersøgelser kaldet CLARITY, en prospektiv undergruppeanalyse af CLARITY (CLARITY PCI) og COMMIT.</w:t>
      </w:r>
    </w:p>
    <w:p w14:paraId="189ADB5E" w14:textId="77777777" w:rsidR="0082011F" w:rsidRPr="0082011F" w:rsidRDefault="0082011F" w:rsidP="0082011F">
      <w:pPr>
        <w:tabs>
          <w:tab w:val="left" w:pos="851"/>
        </w:tabs>
        <w:ind w:left="851"/>
        <w:rPr>
          <w:sz w:val="24"/>
          <w:szCs w:val="24"/>
        </w:rPr>
      </w:pPr>
    </w:p>
    <w:p w14:paraId="07DE533C" w14:textId="77777777" w:rsidR="0082011F" w:rsidRPr="0082011F" w:rsidRDefault="0082011F" w:rsidP="0082011F">
      <w:pPr>
        <w:tabs>
          <w:tab w:val="left" w:pos="851"/>
        </w:tabs>
        <w:ind w:left="851"/>
        <w:rPr>
          <w:sz w:val="24"/>
          <w:szCs w:val="24"/>
          <w:lang w:val="de-DE"/>
        </w:rPr>
      </w:pPr>
      <w:r w:rsidRPr="0082011F">
        <w:rPr>
          <w:sz w:val="24"/>
          <w:szCs w:val="24"/>
        </w:rPr>
        <w:t xml:space="preserve">CLARITY-studiet inkluderede 3491 patienter, der var til rådighed inden for 12 timer efter at et MI med elevation af ST-segmentet var indtrådt, og som det var planlagt at give en trombolytisk behandling. Patienterne fik clopidogrel (300 mg loading dose efterfulgt af 75 mg daglig, n=1752) eller placebo (n=1739) begge i kombination med ASA (150-325 mg som loading dose, herefter 75-162 mg daglig), et fibrinolytisk middel samt heparin, når det var hensigtsmæssigt. </w:t>
      </w:r>
      <w:r w:rsidRPr="0082011F">
        <w:rPr>
          <w:sz w:val="24"/>
          <w:szCs w:val="24"/>
          <w:lang w:val="de-DE"/>
        </w:rPr>
        <w:t>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14:paraId="772BCD1B" w14:textId="77777777" w:rsidR="0082011F" w:rsidRPr="0082011F" w:rsidRDefault="0082011F" w:rsidP="0082011F">
      <w:pPr>
        <w:tabs>
          <w:tab w:val="left" w:pos="851"/>
        </w:tabs>
        <w:ind w:left="851"/>
        <w:rPr>
          <w:sz w:val="24"/>
          <w:szCs w:val="24"/>
          <w:lang w:val="de-DE"/>
        </w:rPr>
      </w:pPr>
    </w:p>
    <w:p w14:paraId="66687A5E" w14:textId="77777777" w:rsidR="0082011F" w:rsidRPr="0082011F" w:rsidRDefault="0082011F" w:rsidP="0082011F">
      <w:pPr>
        <w:tabs>
          <w:tab w:val="left" w:pos="851"/>
        </w:tabs>
        <w:ind w:left="851"/>
        <w:rPr>
          <w:sz w:val="24"/>
          <w:szCs w:val="24"/>
          <w:lang w:val="de-DE"/>
        </w:rPr>
      </w:pPr>
      <w:r w:rsidRPr="0082011F">
        <w:rPr>
          <w:sz w:val="24"/>
          <w:szCs w:val="24"/>
          <w:lang w:val="de-DE"/>
        </w:rPr>
        <w:t xml:space="preserve">Femten procent (15,0 %) af patienterne i clopidogrel-gruppen og 21,7 % i placebogruppen opnåede det primære endepunkt, hvilket viste en absolut reduktion på 6,7 % og en odds reduktion på 36 % til fordel for clopidogrel (95 % CI: 24, 47 %; p &lt; 0,001), der hovedsagligt var relateret til en reduktion af infarkt-relaterede okkluderede arterier. Denne </w:t>
      </w:r>
      <w:r w:rsidRPr="0082011F">
        <w:rPr>
          <w:sz w:val="24"/>
          <w:szCs w:val="24"/>
          <w:lang w:val="de-DE"/>
        </w:rPr>
        <w:lastRenderedPageBreak/>
        <w:t>fordel var konsekvent blandt alle præspecificerede undergrupper, hvor der både blev taget hensyn til patientens alder, køn, hvor infarktet er lokaliseret og den type fibrinolytika eller hepariner, der blev anvendt til behandling.</w:t>
      </w:r>
    </w:p>
    <w:p w14:paraId="512B6833" w14:textId="77777777" w:rsidR="0082011F" w:rsidRPr="0082011F" w:rsidRDefault="0082011F" w:rsidP="0082011F">
      <w:pPr>
        <w:tabs>
          <w:tab w:val="left" w:pos="851"/>
        </w:tabs>
        <w:ind w:left="851"/>
        <w:rPr>
          <w:sz w:val="24"/>
          <w:szCs w:val="24"/>
          <w:lang w:val="de-DE"/>
        </w:rPr>
      </w:pPr>
    </w:p>
    <w:p w14:paraId="094956A1" w14:textId="77777777" w:rsidR="0082011F" w:rsidRPr="0082011F" w:rsidRDefault="0082011F" w:rsidP="0082011F">
      <w:pPr>
        <w:tabs>
          <w:tab w:val="left" w:pos="851"/>
        </w:tabs>
        <w:ind w:left="851"/>
        <w:rPr>
          <w:sz w:val="24"/>
          <w:szCs w:val="24"/>
          <w:lang w:val="de-DE"/>
        </w:rPr>
      </w:pPr>
      <w:r w:rsidRPr="0082011F">
        <w:rPr>
          <w:sz w:val="24"/>
          <w:szCs w:val="24"/>
          <w:lang w:val="de-DE"/>
        </w:rPr>
        <w:t>Det COMMIT-studie, som var designet med 2x2 faktor, inkluderede 45852 patienter, der var til rådighed inden for 24 timer efter indtrådte symptomer, som var mistænkt for at være MI og hvor EKG anomalier (dvs. ST elevation, ST depression eller venstresidig grenblok) understøttede dette. Patienterne fik clopidogrel (75mg/dag,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14:paraId="5D8D19C1" w14:textId="77777777" w:rsidR="0082011F" w:rsidRPr="0082011F" w:rsidRDefault="0082011F" w:rsidP="0082011F">
      <w:pPr>
        <w:tabs>
          <w:tab w:val="left" w:pos="851"/>
        </w:tabs>
        <w:ind w:left="851"/>
        <w:rPr>
          <w:sz w:val="24"/>
          <w:szCs w:val="24"/>
          <w:lang w:val="de-DE"/>
        </w:rPr>
      </w:pPr>
    </w:p>
    <w:p w14:paraId="0921F4F5" w14:textId="77777777" w:rsidR="0082011F" w:rsidRPr="0082011F" w:rsidRDefault="0082011F" w:rsidP="0082011F">
      <w:pPr>
        <w:tabs>
          <w:tab w:val="left" w:pos="851"/>
        </w:tabs>
        <w:ind w:left="851"/>
        <w:rPr>
          <w:sz w:val="24"/>
          <w:szCs w:val="24"/>
          <w:lang w:val="de-DE"/>
        </w:rPr>
      </w:pPr>
      <w:r w:rsidRPr="0082011F">
        <w:rPr>
          <w:sz w:val="24"/>
          <w:szCs w:val="24"/>
          <w:lang w:val="de-DE"/>
        </w:rPr>
        <w:t>Clopidogrel reducerede signifikant den relative dødsrisiko uanset årsag med 7 % (p = 0,029) og den relative risiko for kombinationen af re-infarkt, slagtilfælde eller død med 9 % (p=0,002), hvilket repræsenterer en absolut reduktion på henholdsvis 0,5 % og 0,9 %. Denne fordel var konsekvent på tværs af alder, køn og med eller uden fibrinolytika, og blev observeret allerede omkring 24 timer.</w:t>
      </w:r>
    </w:p>
    <w:p w14:paraId="76BF076F" w14:textId="77777777" w:rsidR="0082011F" w:rsidRPr="0082011F" w:rsidRDefault="0082011F" w:rsidP="0082011F">
      <w:pPr>
        <w:tabs>
          <w:tab w:val="left" w:pos="851"/>
        </w:tabs>
        <w:ind w:left="851"/>
        <w:rPr>
          <w:sz w:val="24"/>
          <w:szCs w:val="24"/>
        </w:rPr>
      </w:pPr>
    </w:p>
    <w:p w14:paraId="198D2284" w14:textId="77777777" w:rsidR="0082011F" w:rsidRPr="0082011F" w:rsidRDefault="0082011F" w:rsidP="0082011F">
      <w:pPr>
        <w:tabs>
          <w:tab w:val="left" w:pos="851"/>
        </w:tabs>
        <w:ind w:left="851"/>
        <w:rPr>
          <w:sz w:val="24"/>
          <w:szCs w:val="24"/>
          <w:u w:val="single"/>
        </w:rPr>
      </w:pPr>
      <w:r w:rsidRPr="0082011F">
        <w:rPr>
          <w:sz w:val="24"/>
          <w:szCs w:val="24"/>
          <w:u w:val="single"/>
        </w:rPr>
        <w:t>De-eskalering af P2Y12-hæmmere i akut koronarsyndrom</w:t>
      </w:r>
    </w:p>
    <w:p w14:paraId="5671D8BA" w14:textId="77777777" w:rsidR="0082011F" w:rsidRPr="0082011F" w:rsidRDefault="0082011F" w:rsidP="0082011F">
      <w:pPr>
        <w:tabs>
          <w:tab w:val="left" w:pos="851"/>
        </w:tabs>
        <w:ind w:left="851"/>
        <w:rPr>
          <w:sz w:val="24"/>
          <w:szCs w:val="24"/>
        </w:rPr>
      </w:pPr>
      <w:r w:rsidRPr="0082011F">
        <w:rPr>
          <w:sz w:val="24"/>
          <w:szCs w:val="24"/>
        </w:rPr>
        <w:t>Skift fra en mere potent P2Y12 receptorhæmmer til clopidogrel i association med aspirin efter akut fase i akut koronarsyndrom (ACS) er blevet evalueret i to randomiserede investigator-sponsoreret studier (ISS) - TOPIC og TROPICAL-ACS - med kliniske outcome data.</w:t>
      </w:r>
    </w:p>
    <w:p w14:paraId="689428F1" w14:textId="77777777" w:rsidR="0082011F" w:rsidRPr="0082011F" w:rsidRDefault="0082011F" w:rsidP="0082011F">
      <w:pPr>
        <w:tabs>
          <w:tab w:val="left" w:pos="851"/>
        </w:tabs>
        <w:ind w:left="851"/>
        <w:rPr>
          <w:sz w:val="24"/>
          <w:szCs w:val="24"/>
        </w:rPr>
      </w:pPr>
    </w:p>
    <w:p w14:paraId="16F3896F" w14:textId="77777777" w:rsidR="0082011F" w:rsidRPr="0082011F" w:rsidRDefault="0082011F" w:rsidP="0082011F">
      <w:pPr>
        <w:tabs>
          <w:tab w:val="left" w:pos="851"/>
        </w:tabs>
        <w:ind w:left="851"/>
        <w:rPr>
          <w:sz w:val="24"/>
          <w:szCs w:val="24"/>
        </w:rPr>
      </w:pPr>
      <w:r w:rsidRPr="0082011F">
        <w:rPr>
          <w:sz w:val="24"/>
          <w:szCs w:val="24"/>
        </w:rPr>
        <w:t>Den kliniske fordel af de mere potente P2Y12-hæmmere,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post-hoc analyser statistisk signifikante stigninger i blødningsrisikoen med de mere potente P2Y12-hæmmere, overvejende under vedligeholdelsesfasen efter den første måned efter ACS. TOPIC og TROPICAL-ACS blev designet til at undersøge, hvordan man kan mindske blødninger samtidig med at effekten opretholdes.</w:t>
      </w:r>
    </w:p>
    <w:p w14:paraId="17EC1FAC" w14:textId="77777777" w:rsidR="0082011F" w:rsidRPr="0082011F" w:rsidRDefault="0082011F" w:rsidP="0082011F">
      <w:pPr>
        <w:tabs>
          <w:tab w:val="left" w:pos="851"/>
        </w:tabs>
        <w:ind w:left="851"/>
        <w:rPr>
          <w:sz w:val="24"/>
          <w:szCs w:val="24"/>
        </w:rPr>
      </w:pPr>
    </w:p>
    <w:p w14:paraId="5887D3BD" w14:textId="77777777" w:rsidR="0082011F" w:rsidRPr="0082011F" w:rsidRDefault="0082011F" w:rsidP="0082011F">
      <w:pPr>
        <w:tabs>
          <w:tab w:val="left" w:pos="851"/>
        </w:tabs>
        <w:ind w:left="851"/>
        <w:rPr>
          <w:sz w:val="24"/>
          <w:szCs w:val="24"/>
          <w:lang w:val="en-US"/>
        </w:rPr>
      </w:pPr>
      <w:r w:rsidRPr="0082011F">
        <w:rPr>
          <w:b/>
          <w:sz w:val="24"/>
          <w:szCs w:val="24"/>
          <w:lang w:val="en-US"/>
        </w:rPr>
        <w:t>TOPIC</w:t>
      </w:r>
      <w:r w:rsidRPr="0082011F">
        <w:rPr>
          <w:sz w:val="24"/>
          <w:szCs w:val="24"/>
          <w:lang w:val="en-US"/>
        </w:rPr>
        <w:t xml:space="preserve"> (</w:t>
      </w:r>
      <w:r w:rsidRPr="0082011F">
        <w:rPr>
          <w:i/>
          <w:sz w:val="24"/>
          <w:szCs w:val="24"/>
          <w:lang w:val="en-US"/>
        </w:rPr>
        <w:t>Timing Of Platelet Inhibition after acute Coronary syndrome</w:t>
      </w:r>
      <w:r w:rsidRPr="0082011F">
        <w:rPr>
          <w:sz w:val="24"/>
          <w:szCs w:val="24"/>
          <w:lang w:val="en-US"/>
        </w:rPr>
        <w:t>)</w:t>
      </w:r>
    </w:p>
    <w:p w14:paraId="4C1146C9" w14:textId="77777777" w:rsidR="0082011F" w:rsidRPr="0082011F" w:rsidRDefault="0082011F" w:rsidP="0082011F">
      <w:pPr>
        <w:tabs>
          <w:tab w:val="left" w:pos="851"/>
        </w:tabs>
        <w:ind w:left="851"/>
        <w:rPr>
          <w:sz w:val="24"/>
          <w:szCs w:val="24"/>
        </w:rPr>
      </w:pPr>
      <w:r w:rsidRPr="0082011F">
        <w:rPr>
          <w:sz w:val="24"/>
          <w:szCs w:val="24"/>
        </w:rPr>
        <w:t>Dette randomiseret, open-label studie inkluderede ACS patienter, som kræver perkutan koronar intervention (PCI). Patienter behandlet med aspirin og en mere potent P2Y12-hæmmer, og uden bivirkning ved en måned blev skiftet til fast dosis aspirin plus clopidogrel (de-eskaleret dobbelt trombocythæmmende behandling (DAPT)), eller fortsatte deres medicin regime (uændret DAPT).</w:t>
      </w:r>
    </w:p>
    <w:p w14:paraId="4DD55A1F" w14:textId="77777777" w:rsidR="0082011F" w:rsidRPr="0082011F" w:rsidRDefault="0082011F" w:rsidP="0082011F">
      <w:pPr>
        <w:tabs>
          <w:tab w:val="left" w:pos="851"/>
        </w:tabs>
        <w:ind w:left="851"/>
        <w:rPr>
          <w:sz w:val="24"/>
          <w:szCs w:val="24"/>
        </w:rPr>
      </w:pPr>
    </w:p>
    <w:p w14:paraId="0CEF2D95" w14:textId="77777777" w:rsidR="0082011F" w:rsidRPr="0082011F" w:rsidRDefault="0082011F" w:rsidP="0082011F">
      <w:pPr>
        <w:tabs>
          <w:tab w:val="left" w:pos="851"/>
        </w:tabs>
        <w:ind w:left="851"/>
        <w:rPr>
          <w:sz w:val="24"/>
          <w:szCs w:val="24"/>
          <w:lang w:val="de-DE"/>
        </w:rPr>
      </w:pPr>
      <w:r w:rsidRPr="0082011F">
        <w:rPr>
          <w:sz w:val="24"/>
          <w:szCs w:val="24"/>
        </w:rPr>
        <w:t xml:space="preserve">I alt blev 645 af 646 patienter med ST-elevation-MI (STEMI) eller non-ST-elevation-MI (NSTEMI) eller ustabil angina analyseret (de-eskaleret DAPT (n = 322); uændret DAPT (n = 323)). </w:t>
      </w:r>
      <w:r w:rsidRPr="0082011F">
        <w:rPr>
          <w:sz w:val="24"/>
          <w:szCs w:val="24"/>
          <w:lang w:val="de-DE"/>
        </w:rPr>
        <w:t>Opfølgning ved et år blev udført for 316 patienter (98,1%) i de-eskaleret DAPT-gruppen og 318 patienter (98,5%) i den uændrede DAPT-gruppe. Medianopfølgningen for begge grupper var 359 dage. Karakteristika for den undersøgte kohorte var ens i de 2 grupper.</w:t>
      </w:r>
    </w:p>
    <w:p w14:paraId="4EB46A32" w14:textId="77777777" w:rsidR="0082011F" w:rsidRPr="0082011F" w:rsidRDefault="0082011F" w:rsidP="0082011F">
      <w:pPr>
        <w:tabs>
          <w:tab w:val="left" w:pos="851"/>
        </w:tabs>
        <w:ind w:left="851"/>
        <w:rPr>
          <w:sz w:val="24"/>
          <w:szCs w:val="24"/>
          <w:lang w:val="de-DE"/>
        </w:rPr>
      </w:pPr>
    </w:p>
    <w:p w14:paraId="7A5ADB6C" w14:textId="77777777" w:rsidR="0082011F" w:rsidRPr="0082011F" w:rsidRDefault="0082011F" w:rsidP="0082011F">
      <w:pPr>
        <w:tabs>
          <w:tab w:val="left" w:pos="851"/>
        </w:tabs>
        <w:ind w:left="851"/>
        <w:rPr>
          <w:sz w:val="24"/>
          <w:szCs w:val="24"/>
          <w:lang w:val="de-DE"/>
        </w:rPr>
      </w:pPr>
      <w:r w:rsidRPr="0082011F">
        <w:rPr>
          <w:sz w:val="24"/>
          <w:szCs w:val="24"/>
          <w:lang w:val="de-DE"/>
        </w:rPr>
        <w:lastRenderedPageBreak/>
        <w:t>Det primære resultat sammensat af kardiovaskulær død, slagtilfælde, akut revaskularisering og BARC (Bleeding 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 Blødninger defineret som BARC forekom hos 30 patienter (9,3%) i de-eskaleret DAPT-gruppen og hos 76 patienter (23,5%) i den uændrede DAPT-gruppe (p &lt;0,01).</w:t>
      </w:r>
    </w:p>
    <w:p w14:paraId="0AA0C795" w14:textId="77777777" w:rsidR="0082011F" w:rsidRPr="0082011F" w:rsidRDefault="0082011F" w:rsidP="0082011F">
      <w:pPr>
        <w:tabs>
          <w:tab w:val="left" w:pos="851"/>
        </w:tabs>
        <w:ind w:left="851"/>
        <w:rPr>
          <w:sz w:val="24"/>
          <w:szCs w:val="24"/>
          <w:lang w:val="de-DE"/>
        </w:rPr>
      </w:pPr>
    </w:p>
    <w:p w14:paraId="551550A8" w14:textId="77777777" w:rsidR="0082011F" w:rsidRPr="0082011F" w:rsidRDefault="0082011F" w:rsidP="0082011F">
      <w:pPr>
        <w:tabs>
          <w:tab w:val="left" w:pos="851"/>
        </w:tabs>
        <w:ind w:left="851"/>
        <w:rPr>
          <w:i/>
          <w:sz w:val="24"/>
          <w:szCs w:val="24"/>
          <w:lang w:val="en-US"/>
        </w:rPr>
      </w:pPr>
      <w:r w:rsidRPr="0082011F">
        <w:rPr>
          <w:b/>
          <w:sz w:val="24"/>
          <w:szCs w:val="24"/>
          <w:lang w:val="en-US"/>
        </w:rPr>
        <w:t>TROPICAL-ACS</w:t>
      </w:r>
      <w:r w:rsidRPr="0082011F">
        <w:rPr>
          <w:sz w:val="24"/>
          <w:szCs w:val="24"/>
          <w:lang w:val="en-US"/>
        </w:rPr>
        <w:t xml:space="preserve"> (</w:t>
      </w:r>
      <w:r w:rsidRPr="0082011F">
        <w:rPr>
          <w:i/>
          <w:sz w:val="24"/>
          <w:szCs w:val="24"/>
          <w:lang w:val="en-US"/>
        </w:rPr>
        <w:t>Testing Responsiveness to Platelet Inhibition on Chronic Antiplatelet Treatment for Acute Coronary Syndromes</w:t>
      </w:r>
      <w:r w:rsidRPr="0082011F">
        <w:rPr>
          <w:sz w:val="24"/>
          <w:szCs w:val="24"/>
          <w:lang w:val="en-US"/>
        </w:rPr>
        <w:t>)</w:t>
      </w:r>
    </w:p>
    <w:p w14:paraId="2DC41958" w14:textId="77777777" w:rsidR="0082011F" w:rsidRPr="0082011F" w:rsidRDefault="0082011F" w:rsidP="0082011F">
      <w:pPr>
        <w:tabs>
          <w:tab w:val="left" w:pos="851"/>
        </w:tabs>
        <w:ind w:left="851"/>
        <w:rPr>
          <w:sz w:val="24"/>
          <w:szCs w:val="24"/>
        </w:rPr>
      </w:pPr>
      <w:r w:rsidRPr="0082011F">
        <w:rPr>
          <w:sz w:val="24"/>
          <w:szCs w:val="24"/>
        </w:rPr>
        <w:t>Dette randomiseret, open-label studie inkluderede 2.610 biomarker-positive ACS-patienter efter vellykket PCI. Patienterne blev randomiseret til at modtage enten prasugrel 5 eller 10 mg/d (dag 0-14) (n = 1306) eller prasugrel 5 eller 10 mg/d (dag 0-7), derefter de-eskaleret til clopidogrel 75 mg/d (dag 8-14) (n = 1304) i kombination med ASA (&lt;100 mg/dag). På dag 14 blev blodpladefunktionstestning (PFT) udført. Patienterne, som blev behandlet med prasugrel alene, blev fortsat behandlet med prasugrel i 11,5 måneder.</w:t>
      </w:r>
    </w:p>
    <w:p w14:paraId="570D166A" w14:textId="77777777" w:rsidR="0082011F" w:rsidRPr="0082011F" w:rsidRDefault="0082011F" w:rsidP="0082011F">
      <w:pPr>
        <w:tabs>
          <w:tab w:val="left" w:pos="851"/>
        </w:tabs>
        <w:ind w:left="851"/>
        <w:rPr>
          <w:sz w:val="24"/>
          <w:szCs w:val="24"/>
        </w:rPr>
      </w:pPr>
    </w:p>
    <w:p w14:paraId="2C21CB5B" w14:textId="77777777" w:rsidR="0082011F" w:rsidRPr="0082011F" w:rsidRDefault="0082011F" w:rsidP="0082011F">
      <w:pPr>
        <w:tabs>
          <w:tab w:val="left" w:pos="851"/>
        </w:tabs>
        <w:ind w:left="851"/>
        <w:rPr>
          <w:sz w:val="24"/>
          <w:szCs w:val="24"/>
          <w:lang w:val="de-DE"/>
        </w:rPr>
      </w:pPr>
      <w:r w:rsidRPr="0082011F">
        <w:rPr>
          <w:sz w:val="24"/>
          <w:szCs w:val="24"/>
          <w:lang w:val="de-DE"/>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14:paraId="27833CA6" w14:textId="77777777" w:rsidR="0082011F" w:rsidRPr="0082011F" w:rsidRDefault="0082011F" w:rsidP="0082011F">
      <w:pPr>
        <w:tabs>
          <w:tab w:val="left" w:pos="851"/>
        </w:tabs>
        <w:ind w:left="851"/>
        <w:rPr>
          <w:sz w:val="24"/>
          <w:szCs w:val="24"/>
          <w:lang w:val="de-DE"/>
        </w:rPr>
      </w:pPr>
    </w:p>
    <w:p w14:paraId="70BA76EE" w14:textId="77777777" w:rsidR="0082011F" w:rsidRPr="0082011F" w:rsidRDefault="0082011F" w:rsidP="0082011F">
      <w:pPr>
        <w:tabs>
          <w:tab w:val="left" w:pos="851"/>
        </w:tabs>
        <w:ind w:left="851"/>
        <w:rPr>
          <w:sz w:val="24"/>
          <w:szCs w:val="24"/>
          <w:lang w:val="de-DE"/>
        </w:rPr>
      </w:pPr>
      <w:r w:rsidRPr="0082011F">
        <w:rPr>
          <w:sz w:val="24"/>
          <w:szCs w:val="24"/>
          <w:lang w:val="de-DE"/>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14:paraId="3C71855E" w14:textId="77777777" w:rsidR="0082011F" w:rsidRPr="0082011F" w:rsidRDefault="0082011F" w:rsidP="0082011F">
      <w:pPr>
        <w:tabs>
          <w:tab w:val="left" w:pos="851"/>
        </w:tabs>
        <w:ind w:left="851"/>
        <w:rPr>
          <w:sz w:val="24"/>
          <w:szCs w:val="24"/>
          <w:lang w:val="de-DE"/>
        </w:rPr>
      </w:pPr>
    </w:p>
    <w:p w14:paraId="6A163931" w14:textId="77777777" w:rsidR="0082011F" w:rsidRPr="0082011F" w:rsidRDefault="0082011F" w:rsidP="0082011F">
      <w:pPr>
        <w:tabs>
          <w:tab w:val="left" w:pos="851"/>
        </w:tabs>
        <w:ind w:left="851"/>
        <w:rPr>
          <w:sz w:val="24"/>
          <w:szCs w:val="24"/>
          <w:u w:val="single"/>
          <w:lang w:val="de-DE"/>
        </w:rPr>
      </w:pPr>
      <w:r w:rsidRPr="0082011F">
        <w:rPr>
          <w:sz w:val="24"/>
          <w:szCs w:val="24"/>
          <w:u w:val="single"/>
          <w:lang w:val="de-DE"/>
        </w:rPr>
        <w:t>Dobbelt antitrombotisk behandling (DAPT) ved akut mini iskæmisk apopleksi eller moderat til høj risiko TCI</w:t>
      </w:r>
    </w:p>
    <w:p w14:paraId="719D0907" w14:textId="77777777" w:rsidR="0082011F" w:rsidRPr="0082011F" w:rsidRDefault="0082011F" w:rsidP="0082011F">
      <w:pPr>
        <w:tabs>
          <w:tab w:val="left" w:pos="851"/>
        </w:tabs>
        <w:ind w:left="851"/>
        <w:rPr>
          <w:sz w:val="24"/>
          <w:szCs w:val="24"/>
          <w:lang w:val="de-DE"/>
        </w:rPr>
      </w:pPr>
    </w:p>
    <w:p w14:paraId="307057E4" w14:textId="77777777" w:rsidR="0082011F" w:rsidRPr="0082011F" w:rsidRDefault="0082011F" w:rsidP="0082011F">
      <w:pPr>
        <w:tabs>
          <w:tab w:val="left" w:pos="851"/>
        </w:tabs>
        <w:ind w:left="851"/>
        <w:rPr>
          <w:sz w:val="24"/>
          <w:szCs w:val="24"/>
          <w:lang w:val="de-DE"/>
        </w:rPr>
      </w:pPr>
      <w:r w:rsidRPr="0082011F">
        <w:rPr>
          <w:sz w:val="24"/>
          <w:szCs w:val="24"/>
          <w:lang w:val="de-DE"/>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14:paraId="60E89387" w14:textId="77777777" w:rsidR="0082011F" w:rsidRPr="0082011F" w:rsidRDefault="0082011F" w:rsidP="0082011F">
      <w:pPr>
        <w:tabs>
          <w:tab w:val="left" w:pos="851"/>
        </w:tabs>
        <w:ind w:left="851"/>
        <w:rPr>
          <w:sz w:val="24"/>
          <w:szCs w:val="24"/>
          <w:lang w:val="de-DE"/>
        </w:rPr>
      </w:pPr>
    </w:p>
    <w:p w14:paraId="557089BE" w14:textId="77777777" w:rsidR="0082011F" w:rsidRPr="0082011F" w:rsidRDefault="0082011F" w:rsidP="0082011F">
      <w:pPr>
        <w:tabs>
          <w:tab w:val="left" w:pos="851"/>
        </w:tabs>
        <w:ind w:left="851"/>
        <w:rPr>
          <w:sz w:val="24"/>
          <w:szCs w:val="24"/>
          <w:lang w:val="en-US"/>
        </w:rPr>
      </w:pPr>
      <w:r w:rsidRPr="0082011F">
        <w:rPr>
          <w:b/>
          <w:sz w:val="24"/>
          <w:szCs w:val="24"/>
          <w:lang w:val="en-US"/>
        </w:rPr>
        <w:t>CHANCE</w:t>
      </w:r>
      <w:r w:rsidRPr="0082011F">
        <w:rPr>
          <w:sz w:val="24"/>
          <w:szCs w:val="24"/>
          <w:lang w:val="en-US"/>
        </w:rPr>
        <w:t xml:space="preserve"> (</w:t>
      </w:r>
      <w:r w:rsidRPr="0082011F">
        <w:rPr>
          <w:i/>
          <w:sz w:val="24"/>
          <w:szCs w:val="24"/>
          <w:lang w:val="en-US"/>
        </w:rPr>
        <w:t>Clopidogrel in High-risk patients with Acute Non-disabling Cerebrovascular Events</w:t>
      </w:r>
      <w:r w:rsidRPr="0082011F">
        <w:rPr>
          <w:sz w:val="24"/>
          <w:szCs w:val="24"/>
          <w:lang w:val="en-US"/>
        </w:rPr>
        <w:t>)</w:t>
      </w:r>
    </w:p>
    <w:p w14:paraId="596126D9" w14:textId="77777777" w:rsidR="0082011F" w:rsidRPr="0082011F" w:rsidRDefault="0082011F" w:rsidP="0082011F">
      <w:pPr>
        <w:tabs>
          <w:tab w:val="left" w:pos="851"/>
        </w:tabs>
        <w:ind w:left="851"/>
        <w:rPr>
          <w:sz w:val="24"/>
          <w:szCs w:val="24"/>
          <w:lang w:val="de-DE"/>
        </w:rPr>
      </w:pPr>
      <w:r w:rsidRPr="0082011F">
        <w:rPr>
          <w:sz w:val="24"/>
          <w:szCs w:val="24"/>
        </w:rPr>
        <w:t xml:space="preserve">Dette randomiserede, dobbeltblindede, placebokontrollerede kliniske multicenterstudie omfattede 5.170 kinesiske patienter med akut TCI (ABCD2 score ≥4) eller akut mini-slagtilfælde (NIHSS ≤3). </w:t>
      </w:r>
      <w:r w:rsidRPr="0082011F">
        <w:rPr>
          <w:sz w:val="24"/>
          <w:szCs w:val="24"/>
          <w:lang w:val="de-DE"/>
        </w:rPr>
        <w:t xml:space="preserve">Patienerne i begge grupper fik open-label ASA på dag 1 (ved en dosis fra 75 til 300 mg afhængigt af den behandlende læges vurdering). Patienter, der blev randomiseret til clopidogrel–ASA-gruppen, fik en initial mætningsdosis på 300 mg </w:t>
      </w:r>
      <w:r w:rsidRPr="0082011F">
        <w:rPr>
          <w:sz w:val="24"/>
          <w:szCs w:val="24"/>
          <w:lang w:val="de-DE"/>
        </w:rPr>
        <w:lastRenderedPageBreak/>
        <w:t>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14:paraId="7F1C3117" w14:textId="77777777" w:rsidR="0082011F" w:rsidRPr="0082011F" w:rsidRDefault="0082011F" w:rsidP="0082011F">
      <w:pPr>
        <w:tabs>
          <w:tab w:val="left" w:pos="851"/>
        </w:tabs>
        <w:ind w:left="851"/>
        <w:rPr>
          <w:sz w:val="24"/>
          <w:szCs w:val="24"/>
        </w:rPr>
      </w:pPr>
    </w:p>
    <w:p w14:paraId="77942C86" w14:textId="77777777" w:rsidR="0082011F" w:rsidRPr="0082011F" w:rsidRDefault="0082011F" w:rsidP="0082011F">
      <w:pPr>
        <w:tabs>
          <w:tab w:val="left" w:pos="851"/>
        </w:tabs>
        <w:ind w:left="851"/>
        <w:rPr>
          <w:sz w:val="24"/>
          <w:szCs w:val="24"/>
        </w:rPr>
      </w:pPr>
      <w:r w:rsidRPr="0082011F">
        <w:rPr>
          <w:sz w:val="24"/>
          <w:szCs w:val="24"/>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(hazard ratio [HR], 0,68; 95 % konfidensinterval [KI], 0,57 til 0,81; P&lt;0,001). Iskæmisk slagtilfælde forekom hos 204 patienter (7,9 %) i clopidogrel–ASA-gruppen sammenlignet med 295 (11,4 %) i ASA-gruppen (HR, 0,67; 95 % KI, 0,56 til 0,81; P&lt;0,001). Hæmoragisk apopleksi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w:t>
      </w:r>
    </w:p>
    <w:p w14:paraId="0A7D038C" w14:textId="77777777" w:rsidR="0082011F" w:rsidRPr="0082011F" w:rsidRDefault="0082011F" w:rsidP="0082011F">
      <w:pPr>
        <w:tabs>
          <w:tab w:val="left" w:pos="851"/>
        </w:tabs>
        <w:ind w:left="851"/>
        <w:rPr>
          <w:sz w:val="24"/>
          <w:szCs w:val="24"/>
        </w:rPr>
      </w:pPr>
    </w:p>
    <w:p w14:paraId="78FDD6DD" w14:textId="77777777" w:rsidR="0082011F" w:rsidRPr="0082011F" w:rsidRDefault="0082011F" w:rsidP="0082011F">
      <w:pPr>
        <w:tabs>
          <w:tab w:val="left" w:pos="851"/>
        </w:tabs>
        <w:ind w:left="851"/>
        <w:rPr>
          <w:sz w:val="24"/>
          <w:szCs w:val="24"/>
          <w:lang w:val="en-US"/>
        </w:rPr>
      </w:pPr>
      <w:r w:rsidRPr="0082011F">
        <w:rPr>
          <w:b/>
          <w:sz w:val="24"/>
          <w:szCs w:val="24"/>
          <w:lang w:val="en-US"/>
        </w:rPr>
        <w:t>POINT</w:t>
      </w:r>
      <w:r w:rsidRPr="0082011F">
        <w:rPr>
          <w:sz w:val="24"/>
          <w:szCs w:val="24"/>
          <w:lang w:val="en-US"/>
        </w:rPr>
        <w:t xml:space="preserve"> (</w:t>
      </w:r>
      <w:r w:rsidRPr="0082011F">
        <w:rPr>
          <w:i/>
          <w:sz w:val="24"/>
          <w:szCs w:val="24"/>
          <w:lang w:val="en-US"/>
        </w:rPr>
        <w:t>Platelet-Oriented Inhibition in New TCI and Minor Ischemic Stroke)</w:t>
      </w:r>
    </w:p>
    <w:p w14:paraId="3D28E7A7" w14:textId="77777777" w:rsidR="0082011F" w:rsidRPr="0082011F" w:rsidRDefault="0082011F" w:rsidP="0082011F">
      <w:pPr>
        <w:tabs>
          <w:tab w:val="left" w:pos="851"/>
        </w:tabs>
        <w:ind w:left="851"/>
        <w:rPr>
          <w:sz w:val="24"/>
          <w:szCs w:val="24"/>
        </w:rPr>
      </w:pPr>
      <w:r w:rsidRPr="0082011F">
        <w:rPr>
          <w:sz w:val="24"/>
          <w:szCs w:val="24"/>
        </w:rPr>
        <w:t>Dette randomiserede, dobbeltblindede placebokontrollerede kliniske multicenterstudie omfattede 4.881 internationale patienter med akut TCI (ABCD2 score ≥4) eller mini-apopleksi (NIHSS ≤3). Alle patienter i begge grupper fik open-label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14:paraId="654BC5CF" w14:textId="77777777" w:rsidR="0082011F" w:rsidRPr="0082011F" w:rsidRDefault="0082011F" w:rsidP="0082011F">
      <w:pPr>
        <w:tabs>
          <w:tab w:val="left" w:pos="851"/>
        </w:tabs>
        <w:ind w:left="851"/>
        <w:rPr>
          <w:sz w:val="24"/>
          <w:szCs w:val="24"/>
        </w:rPr>
      </w:pPr>
    </w:p>
    <w:p w14:paraId="26F095BB" w14:textId="77777777" w:rsidR="0082011F" w:rsidRPr="0082011F" w:rsidRDefault="0082011F" w:rsidP="0082011F">
      <w:pPr>
        <w:tabs>
          <w:tab w:val="left" w:pos="851"/>
        </w:tabs>
        <w:ind w:left="851"/>
        <w:rPr>
          <w:sz w:val="24"/>
          <w:szCs w:val="24"/>
          <w:lang w:val="de-DE"/>
        </w:rPr>
      </w:pPr>
      <w:r w:rsidRPr="0082011F">
        <w:rPr>
          <w:sz w:val="24"/>
          <w:szCs w:val="24"/>
        </w:rPr>
        <w:t xml:space="preserve">Det primære resultat for virkning var en sammensætning af større iskæmiske hændelser (IS, MI eller død foråsaget af en iskæmisk vaskulær hændelse) ved dag 90. </w:t>
      </w:r>
      <w:r w:rsidRPr="0082011F">
        <w:rPr>
          <w:sz w:val="24"/>
          <w:szCs w:val="24"/>
          <w:lang w:val="de-DE"/>
        </w:rPr>
        <w:t>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w:t>
      </w:r>
    </w:p>
    <w:p w14:paraId="76ACE040" w14:textId="77777777" w:rsidR="0082011F" w:rsidRPr="0082011F" w:rsidRDefault="0082011F" w:rsidP="0082011F">
      <w:pPr>
        <w:tabs>
          <w:tab w:val="left" w:pos="851"/>
        </w:tabs>
        <w:ind w:left="851"/>
        <w:rPr>
          <w:sz w:val="24"/>
          <w:szCs w:val="24"/>
          <w:lang w:val="de-DE"/>
        </w:rPr>
      </w:pPr>
    </w:p>
    <w:p w14:paraId="6123F5BA" w14:textId="77777777" w:rsidR="0082011F" w:rsidRPr="0082011F" w:rsidRDefault="0082011F" w:rsidP="0082011F">
      <w:pPr>
        <w:tabs>
          <w:tab w:val="left" w:pos="851"/>
        </w:tabs>
        <w:ind w:left="851"/>
        <w:rPr>
          <w:sz w:val="24"/>
          <w:szCs w:val="24"/>
        </w:rPr>
      </w:pPr>
      <w:r w:rsidRPr="0082011F">
        <w:rPr>
          <w:sz w:val="24"/>
          <w:szCs w:val="24"/>
        </w:rPr>
        <w:t>Tidsforløbsanalyse for CHANCE og POINT</w:t>
      </w:r>
    </w:p>
    <w:p w14:paraId="3B96D1CA" w14:textId="77777777" w:rsidR="0082011F" w:rsidRPr="0082011F" w:rsidRDefault="0082011F" w:rsidP="0082011F">
      <w:pPr>
        <w:tabs>
          <w:tab w:val="left" w:pos="851"/>
        </w:tabs>
        <w:ind w:left="851"/>
        <w:rPr>
          <w:sz w:val="24"/>
          <w:szCs w:val="24"/>
        </w:rPr>
      </w:pPr>
      <w:r w:rsidRPr="0082011F">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14:paraId="23FAF778" w14:textId="6DC316A1" w:rsidR="0082011F" w:rsidRDefault="0082011F">
      <w:pPr>
        <w:rPr>
          <w:sz w:val="24"/>
          <w:szCs w:val="24"/>
        </w:rPr>
      </w:pPr>
      <w:r>
        <w:rPr>
          <w:sz w:val="24"/>
          <w:szCs w:val="24"/>
        </w:rPr>
        <w:br w:type="page"/>
      </w:r>
    </w:p>
    <w:p w14:paraId="70481925" w14:textId="77777777" w:rsidR="0082011F" w:rsidRPr="0082011F" w:rsidRDefault="0082011F" w:rsidP="0082011F">
      <w:pPr>
        <w:tabs>
          <w:tab w:val="left" w:pos="851"/>
        </w:tabs>
        <w:ind w:left="851"/>
        <w:rPr>
          <w:sz w:val="24"/>
          <w:szCs w:val="24"/>
        </w:rPr>
      </w:pPr>
    </w:p>
    <w:p w14:paraId="574DA6EA" w14:textId="71AD37D0" w:rsidR="0082011F" w:rsidRPr="0082011F" w:rsidRDefault="0082011F" w:rsidP="0082011F">
      <w:pPr>
        <w:tabs>
          <w:tab w:val="left" w:pos="851"/>
        </w:tabs>
        <w:ind w:left="851"/>
        <w:rPr>
          <w:b/>
          <w:sz w:val="24"/>
          <w:szCs w:val="24"/>
        </w:rPr>
      </w:pPr>
      <w:r w:rsidRPr="0082011F">
        <w:rPr>
          <w:b/>
          <w:sz w:val="24"/>
          <w:szCs w:val="24"/>
        </w:rPr>
        <w:t>Tabel 1</w:t>
      </w:r>
      <w:r>
        <w:rPr>
          <w:b/>
          <w:sz w:val="24"/>
          <w:szCs w:val="24"/>
        </w:rPr>
        <w:t xml:space="preserve"> </w:t>
      </w:r>
      <w:r w:rsidRPr="0082011F">
        <w:rPr>
          <w:b/>
          <w:sz w:val="24"/>
          <w:szCs w:val="24"/>
        </w:rPr>
        <w:t>- Tidsmæssig fordeling af større iskæmiske hændelser og større blødninger ud fra tildelt</w:t>
      </w:r>
      <w:r>
        <w:rPr>
          <w:b/>
          <w:sz w:val="24"/>
          <w:szCs w:val="24"/>
        </w:rPr>
        <w:t xml:space="preserve"> </w:t>
      </w:r>
      <w:r w:rsidRPr="0082011F">
        <w:rPr>
          <w:b/>
          <w:sz w:val="24"/>
          <w:szCs w:val="24"/>
          <w:lang w:val="de-DE"/>
        </w:rPr>
        <w:t>behandling i CHANCE og POINT</w:t>
      </w:r>
    </w:p>
    <w:p w14:paraId="5909388C" w14:textId="77777777" w:rsidR="0082011F" w:rsidRPr="0082011F" w:rsidRDefault="0082011F" w:rsidP="0082011F">
      <w:pPr>
        <w:tabs>
          <w:tab w:val="left" w:pos="851"/>
        </w:tabs>
        <w:ind w:left="851"/>
        <w:rPr>
          <w:sz w:val="24"/>
          <w:szCs w:val="24"/>
        </w:rPr>
      </w:pPr>
    </w:p>
    <w:p w14:paraId="51CB2F05" w14:textId="60B71873" w:rsidR="0082011F" w:rsidRPr="0082011F" w:rsidRDefault="0082011F" w:rsidP="0082011F">
      <w:pPr>
        <w:tabs>
          <w:tab w:val="left" w:pos="851"/>
        </w:tabs>
        <w:ind w:left="851"/>
        <w:rPr>
          <w:sz w:val="24"/>
          <w:szCs w:val="24"/>
        </w:rPr>
      </w:pPr>
      <w:r w:rsidRPr="0082011F">
        <w:rPr>
          <w:noProof/>
          <w:sz w:val="24"/>
          <w:szCs w:val="24"/>
          <w:lang w:val="de-DE"/>
        </w:rPr>
        <w:drawing>
          <wp:inline distT="0" distB="0" distL="0" distR="0" wp14:anchorId="34513E76" wp14:editId="102B1AFD">
            <wp:extent cx="3587750" cy="1263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7750" cy="1263650"/>
                    </a:xfrm>
                    <a:prstGeom prst="rect">
                      <a:avLst/>
                    </a:prstGeom>
                    <a:noFill/>
                    <a:ln>
                      <a:noFill/>
                    </a:ln>
                  </pic:spPr>
                </pic:pic>
              </a:graphicData>
            </a:graphic>
          </wp:inline>
        </w:drawing>
      </w:r>
    </w:p>
    <w:p w14:paraId="7AD7BCB0" w14:textId="77777777" w:rsidR="0082011F" w:rsidRPr="0082011F" w:rsidRDefault="0082011F" w:rsidP="0082011F">
      <w:pPr>
        <w:tabs>
          <w:tab w:val="left" w:pos="851"/>
        </w:tabs>
        <w:ind w:left="851"/>
        <w:rPr>
          <w:sz w:val="24"/>
          <w:szCs w:val="24"/>
        </w:rPr>
      </w:pPr>
    </w:p>
    <w:p w14:paraId="416E9F07" w14:textId="77777777" w:rsidR="0082011F" w:rsidRPr="0082011F" w:rsidRDefault="0082011F" w:rsidP="0082011F">
      <w:pPr>
        <w:tabs>
          <w:tab w:val="left" w:pos="851"/>
        </w:tabs>
        <w:ind w:left="851"/>
        <w:rPr>
          <w:i/>
          <w:sz w:val="24"/>
          <w:szCs w:val="24"/>
        </w:rPr>
      </w:pPr>
      <w:r w:rsidRPr="0082011F">
        <w:rPr>
          <w:i/>
          <w:sz w:val="24"/>
          <w:szCs w:val="24"/>
        </w:rPr>
        <w:t>Atrieflimren</w:t>
      </w:r>
    </w:p>
    <w:p w14:paraId="2B89E646" w14:textId="77777777" w:rsidR="0082011F" w:rsidRPr="0082011F" w:rsidRDefault="0082011F" w:rsidP="0082011F">
      <w:pPr>
        <w:tabs>
          <w:tab w:val="left" w:pos="851"/>
        </w:tabs>
        <w:ind w:left="851"/>
        <w:rPr>
          <w:sz w:val="24"/>
          <w:szCs w:val="24"/>
        </w:rPr>
      </w:pPr>
      <w:r w:rsidRPr="0082011F">
        <w:rPr>
          <w:sz w:val="24"/>
          <w:szCs w:val="24"/>
        </w:rPr>
        <w:t>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w:t>
      </w:r>
    </w:p>
    <w:p w14:paraId="6453E4D1" w14:textId="77777777" w:rsidR="0082011F" w:rsidRPr="0082011F" w:rsidRDefault="0082011F" w:rsidP="0082011F">
      <w:pPr>
        <w:tabs>
          <w:tab w:val="left" w:pos="851"/>
        </w:tabs>
        <w:ind w:left="851"/>
        <w:rPr>
          <w:sz w:val="24"/>
          <w:szCs w:val="24"/>
        </w:rPr>
      </w:pPr>
    </w:p>
    <w:p w14:paraId="017E1A85" w14:textId="77777777" w:rsidR="0082011F" w:rsidRPr="0082011F" w:rsidRDefault="0082011F" w:rsidP="0082011F">
      <w:pPr>
        <w:tabs>
          <w:tab w:val="left" w:pos="851"/>
        </w:tabs>
        <w:ind w:left="851"/>
        <w:rPr>
          <w:sz w:val="24"/>
          <w:szCs w:val="24"/>
        </w:rPr>
      </w:pPr>
      <w:r w:rsidRPr="0082011F">
        <w:rPr>
          <w:sz w:val="24"/>
          <w:szCs w:val="24"/>
        </w:rPr>
        <w:t>ACTIVE-W-studiet viste, at antikoagulansbehandling med vitamin K-antagonister var mere effektiv end med clopidogrel og ASA.</w:t>
      </w:r>
    </w:p>
    <w:p w14:paraId="5DCC05B4" w14:textId="77777777" w:rsidR="0082011F" w:rsidRPr="0082011F" w:rsidRDefault="0082011F" w:rsidP="0082011F">
      <w:pPr>
        <w:tabs>
          <w:tab w:val="left" w:pos="851"/>
        </w:tabs>
        <w:ind w:left="851"/>
        <w:rPr>
          <w:sz w:val="24"/>
          <w:szCs w:val="24"/>
        </w:rPr>
      </w:pPr>
    </w:p>
    <w:p w14:paraId="7703BCBB" w14:textId="77777777" w:rsidR="0082011F" w:rsidRPr="0082011F" w:rsidRDefault="0082011F" w:rsidP="0082011F">
      <w:pPr>
        <w:tabs>
          <w:tab w:val="left" w:pos="851"/>
        </w:tabs>
        <w:ind w:left="851"/>
        <w:rPr>
          <w:sz w:val="24"/>
          <w:szCs w:val="24"/>
          <w:lang w:val="de-DE"/>
        </w:rPr>
      </w:pPr>
      <w:r w:rsidRPr="0082011F">
        <w:rPr>
          <w:sz w:val="24"/>
          <w:szCs w:val="24"/>
        </w:rPr>
        <w:t xml:space="preserve">ACTIVE-A-studiet (N = 7.554) var et multicenter, randomiseret, dobbeltblindt, placebokontrolleret studie, som sammenlignede clopidogrel 75 mg / dag + ASA (N = 3.772) med placebo + ASA (N = 3.782). </w:t>
      </w:r>
      <w:r w:rsidRPr="0082011F">
        <w:rPr>
          <w:sz w:val="24"/>
          <w:szCs w:val="24"/>
          <w:lang w:val="de-DE"/>
        </w:rPr>
        <w:t>Den anbefalede ASA-dosis var 75 til 100 mg / dag. Patienterne blev behandlet i op til 5 år.</w:t>
      </w:r>
    </w:p>
    <w:p w14:paraId="656C3E47" w14:textId="77777777" w:rsidR="0082011F" w:rsidRPr="0082011F" w:rsidRDefault="0082011F" w:rsidP="0082011F">
      <w:pPr>
        <w:tabs>
          <w:tab w:val="left" w:pos="851"/>
        </w:tabs>
        <w:ind w:left="851"/>
        <w:rPr>
          <w:sz w:val="24"/>
          <w:szCs w:val="24"/>
          <w:lang w:val="de-DE"/>
        </w:rPr>
      </w:pPr>
    </w:p>
    <w:p w14:paraId="049E1CD0" w14:textId="77777777" w:rsidR="0082011F" w:rsidRPr="0082011F" w:rsidRDefault="0082011F" w:rsidP="0082011F">
      <w:pPr>
        <w:tabs>
          <w:tab w:val="left" w:pos="851"/>
        </w:tabs>
        <w:ind w:left="851"/>
        <w:rPr>
          <w:sz w:val="24"/>
          <w:szCs w:val="24"/>
          <w:lang w:val="de-DE"/>
        </w:rPr>
      </w:pPr>
      <w:r w:rsidRPr="0082011F">
        <w:rPr>
          <w:sz w:val="24"/>
          <w:szCs w:val="24"/>
          <w:lang w:val="de-DE"/>
        </w:rPr>
        <w:t>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&lt;45 % eller dokumenteret perifer vaskulær sygdom. Den gennemsnitlige CHADS2 score var 2,0 (interval 0-6).</w:t>
      </w:r>
    </w:p>
    <w:p w14:paraId="40C40412" w14:textId="77777777" w:rsidR="0082011F" w:rsidRPr="0082011F" w:rsidRDefault="0082011F" w:rsidP="0082011F">
      <w:pPr>
        <w:tabs>
          <w:tab w:val="left" w:pos="851"/>
        </w:tabs>
        <w:ind w:left="851"/>
        <w:rPr>
          <w:sz w:val="24"/>
          <w:szCs w:val="24"/>
          <w:lang w:val="de-DE"/>
        </w:rPr>
      </w:pPr>
    </w:p>
    <w:p w14:paraId="3ADCFC55" w14:textId="77777777" w:rsidR="0082011F" w:rsidRPr="0082011F" w:rsidRDefault="0082011F" w:rsidP="0082011F">
      <w:pPr>
        <w:tabs>
          <w:tab w:val="left" w:pos="851"/>
        </w:tabs>
        <w:ind w:left="851"/>
        <w:rPr>
          <w:sz w:val="24"/>
          <w:szCs w:val="24"/>
          <w:lang w:val="de-DE"/>
        </w:rPr>
      </w:pPr>
      <w:r w:rsidRPr="0082011F">
        <w:rPr>
          <w:sz w:val="24"/>
          <w:szCs w:val="24"/>
          <w:lang w:val="de-DE"/>
        </w:rPr>
        <w:t>Udelukkelseskriteriet var hovedsageligt patienter med følgende sygdomme; dokumenteret peptisk ulcus inden for de sidste 6 måneder, intracerebral blødning i anamnesen, signifikant trombocytopeni (trombocyttal &lt;50 x 109 / l), behov for clopidogrel eller orale antikoagulantia (OAK), eller intolerance over for clopidogrel eller acetylsalicylsyre.</w:t>
      </w:r>
    </w:p>
    <w:p w14:paraId="4AC921E5" w14:textId="77777777" w:rsidR="0082011F" w:rsidRPr="0082011F" w:rsidRDefault="0082011F" w:rsidP="0082011F">
      <w:pPr>
        <w:tabs>
          <w:tab w:val="left" w:pos="851"/>
        </w:tabs>
        <w:ind w:left="851"/>
        <w:rPr>
          <w:sz w:val="24"/>
          <w:szCs w:val="24"/>
          <w:lang w:val="de-DE"/>
        </w:rPr>
      </w:pPr>
    </w:p>
    <w:p w14:paraId="21261FF1" w14:textId="77777777" w:rsidR="0082011F" w:rsidRPr="0082011F" w:rsidRDefault="0082011F" w:rsidP="0082011F">
      <w:pPr>
        <w:tabs>
          <w:tab w:val="left" w:pos="851"/>
        </w:tabs>
        <w:ind w:left="851"/>
        <w:rPr>
          <w:sz w:val="24"/>
          <w:szCs w:val="24"/>
          <w:lang w:val="de-DE"/>
        </w:rPr>
      </w:pPr>
      <w:r w:rsidRPr="0082011F">
        <w:rPr>
          <w:sz w:val="24"/>
          <w:szCs w:val="24"/>
          <w:lang w:val="de-DE"/>
        </w:rPr>
        <w:t>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w:t>
      </w:r>
    </w:p>
    <w:p w14:paraId="4EA41A8B" w14:textId="77777777" w:rsidR="0082011F" w:rsidRPr="0082011F" w:rsidRDefault="0082011F" w:rsidP="0082011F">
      <w:pPr>
        <w:tabs>
          <w:tab w:val="left" w:pos="851"/>
        </w:tabs>
        <w:ind w:left="851"/>
        <w:rPr>
          <w:sz w:val="24"/>
          <w:szCs w:val="24"/>
          <w:lang w:val="de-DE"/>
        </w:rPr>
      </w:pPr>
    </w:p>
    <w:p w14:paraId="089B36F8" w14:textId="77777777" w:rsidR="0082011F" w:rsidRPr="0082011F" w:rsidRDefault="0082011F" w:rsidP="0082011F">
      <w:pPr>
        <w:tabs>
          <w:tab w:val="left" w:pos="851"/>
        </w:tabs>
        <w:ind w:left="851"/>
        <w:rPr>
          <w:sz w:val="24"/>
          <w:szCs w:val="24"/>
          <w:lang w:val="de-DE"/>
        </w:rPr>
      </w:pPr>
      <w:r w:rsidRPr="0082011F">
        <w:rPr>
          <w:sz w:val="24"/>
          <w:szCs w:val="24"/>
          <w:lang w:val="de-DE"/>
        </w:rPr>
        <w:lastRenderedPageBreak/>
        <w:t>Patientpopulationen inkluderede 41,8 % kvinder. Gennemsnitligsalderen var 71 år, 41,6 % af patienterne var ≥ 75 år. I alt fik 23,0 % af patienterne antiarytmika, 52,1 % betablokkere, 54,6 % ACE-hæmmere og 25,4 % statiner.</w:t>
      </w:r>
    </w:p>
    <w:p w14:paraId="45986DDC" w14:textId="77777777" w:rsidR="0082011F" w:rsidRPr="0082011F" w:rsidRDefault="0082011F" w:rsidP="0082011F">
      <w:pPr>
        <w:tabs>
          <w:tab w:val="left" w:pos="851"/>
        </w:tabs>
        <w:ind w:left="851"/>
        <w:rPr>
          <w:sz w:val="24"/>
          <w:szCs w:val="24"/>
          <w:lang w:val="de-DE"/>
        </w:rPr>
      </w:pPr>
    </w:p>
    <w:p w14:paraId="03BB5962" w14:textId="77777777" w:rsidR="0082011F" w:rsidRPr="0082011F" w:rsidRDefault="0082011F" w:rsidP="0082011F">
      <w:pPr>
        <w:tabs>
          <w:tab w:val="left" w:pos="851"/>
        </w:tabs>
        <w:ind w:left="851"/>
        <w:rPr>
          <w:sz w:val="24"/>
          <w:szCs w:val="24"/>
          <w:lang w:val="de-DE"/>
        </w:rPr>
      </w:pPr>
      <w:r w:rsidRPr="0082011F">
        <w:rPr>
          <w:sz w:val="24"/>
          <w:szCs w:val="24"/>
          <w:lang w:val="de-DE"/>
        </w:rPr>
        <w:t>Antallet af patienter, der nåede det primære endepunkt (tid til første forekomst af apopleksi, MI, non- CNS systemisk emboli eller vaskulær død) var 832 (22,1 %) i gruppen behandlet med clopidogrel + ASA og 924 (24,4 %) i placebo + ASA-gruppen (relativ risikoreduktion 11,1 %; 95 % CI 2,4 % til 19,1 %, p = 0,013). Dette var primært på grund af en stor reduktion i forekomsten af apopleksi. Apopleksi optrådte hos 296 (7,8 %) af de patienter, der fik clopidogrel + ASA, og hos 408 (10,8 %) af de patienter, der fik placebo + ASA (relativ risikoreduktion 28,4 %; 95 % CI, 16,8 % til 38,3 %, p = 0,00001).</w:t>
      </w:r>
    </w:p>
    <w:p w14:paraId="4560AA84" w14:textId="77777777" w:rsidR="0082011F" w:rsidRPr="0082011F" w:rsidRDefault="0082011F" w:rsidP="0082011F">
      <w:pPr>
        <w:tabs>
          <w:tab w:val="left" w:pos="851"/>
        </w:tabs>
        <w:ind w:left="851"/>
        <w:rPr>
          <w:sz w:val="24"/>
          <w:szCs w:val="24"/>
          <w:lang w:val="de-DE"/>
        </w:rPr>
      </w:pPr>
    </w:p>
    <w:p w14:paraId="287A6059" w14:textId="77777777" w:rsidR="0082011F" w:rsidRPr="0082011F" w:rsidRDefault="0082011F" w:rsidP="0082011F">
      <w:pPr>
        <w:tabs>
          <w:tab w:val="left" w:pos="851"/>
        </w:tabs>
        <w:ind w:left="851"/>
        <w:rPr>
          <w:i/>
          <w:sz w:val="24"/>
          <w:szCs w:val="24"/>
          <w:lang w:val="de-DE"/>
        </w:rPr>
      </w:pPr>
      <w:r w:rsidRPr="0082011F">
        <w:rPr>
          <w:i/>
          <w:sz w:val="24"/>
          <w:szCs w:val="24"/>
          <w:lang w:val="de-DE"/>
        </w:rPr>
        <w:t>Pædiatrisk population</w:t>
      </w:r>
    </w:p>
    <w:p w14:paraId="79CEFA5D" w14:textId="77777777" w:rsidR="0082011F" w:rsidRPr="0082011F" w:rsidRDefault="0082011F" w:rsidP="0082011F">
      <w:pPr>
        <w:tabs>
          <w:tab w:val="left" w:pos="851"/>
        </w:tabs>
        <w:ind w:left="851"/>
        <w:rPr>
          <w:sz w:val="24"/>
          <w:szCs w:val="24"/>
          <w:lang w:val="de-DE"/>
        </w:rPr>
      </w:pPr>
      <w:r w:rsidRPr="0082011F">
        <w:rPr>
          <w:sz w:val="24"/>
          <w:szCs w:val="24"/>
          <w:lang w:val="de-DE"/>
        </w:rPr>
        <w:t>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 (5 μM ADP-induceret trombocytaggregation), hvilket er sammenligneligt med voksne, der tager Clopidogrel 75 mg/dag.</w:t>
      </w:r>
    </w:p>
    <w:p w14:paraId="1467BF4B" w14:textId="77777777" w:rsidR="0082011F" w:rsidRPr="0082011F" w:rsidRDefault="0082011F" w:rsidP="0082011F">
      <w:pPr>
        <w:tabs>
          <w:tab w:val="left" w:pos="851"/>
        </w:tabs>
        <w:ind w:left="851"/>
        <w:rPr>
          <w:sz w:val="24"/>
          <w:szCs w:val="24"/>
          <w:lang w:val="de-DE"/>
        </w:rPr>
      </w:pPr>
    </w:p>
    <w:p w14:paraId="6B225D4F" w14:textId="77777777" w:rsidR="0082011F" w:rsidRPr="0082011F" w:rsidRDefault="0082011F" w:rsidP="0082011F">
      <w:pPr>
        <w:tabs>
          <w:tab w:val="left" w:pos="851"/>
        </w:tabs>
        <w:ind w:left="851"/>
        <w:rPr>
          <w:sz w:val="24"/>
          <w:szCs w:val="24"/>
          <w:lang w:val="de-DE"/>
        </w:rPr>
      </w:pPr>
      <w:r w:rsidRPr="0082011F">
        <w:rPr>
          <w:sz w:val="24"/>
          <w:szCs w:val="24"/>
          <w:lang w:val="de-DE"/>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sikkerhedsrisici blev konstateret under denne langtidsopfølgning.</w:t>
      </w:r>
    </w:p>
    <w:p w14:paraId="2062A154" w14:textId="77777777" w:rsidR="0082011F" w:rsidRPr="0082011F" w:rsidRDefault="0082011F" w:rsidP="0082011F">
      <w:pPr>
        <w:tabs>
          <w:tab w:val="left" w:pos="851"/>
        </w:tabs>
        <w:ind w:left="851"/>
        <w:rPr>
          <w:sz w:val="24"/>
          <w:szCs w:val="24"/>
          <w:lang w:val="de-DE"/>
        </w:rPr>
      </w:pPr>
    </w:p>
    <w:p w14:paraId="02D3D049" w14:textId="77777777" w:rsidR="0082011F" w:rsidRPr="0082011F" w:rsidRDefault="0082011F" w:rsidP="0082011F">
      <w:pPr>
        <w:tabs>
          <w:tab w:val="left" w:pos="851"/>
        </w:tabs>
        <w:ind w:left="851"/>
        <w:rPr>
          <w:sz w:val="24"/>
          <w:szCs w:val="24"/>
          <w:lang w:val="de-DE"/>
        </w:rPr>
      </w:pPr>
      <w:r w:rsidRPr="0082011F">
        <w:rPr>
          <w:sz w:val="24"/>
          <w:szCs w:val="24"/>
          <w:lang w:val="de-DE"/>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14:paraId="1AA5E0BE" w14:textId="77777777" w:rsidR="009260DE" w:rsidRPr="00C84483" w:rsidRDefault="009260DE" w:rsidP="009260DE">
      <w:pPr>
        <w:tabs>
          <w:tab w:val="left" w:pos="851"/>
        </w:tabs>
        <w:ind w:left="851"/>
        <w:rPr>
          <w:sz w:val="24"/>
          <w:szCs w:val="24"/>
        </w:rPr>
      </w:pPr>
    </w:p>
    <w:p w14:paraId="68ABA23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9FD29C3" w14:textId="77777777" w:rsidR="00CC020C" w:rsidRDefault="00CC020C" w:rsidP="00CC020C">
      <w:pPr>
        <w:tabs>
          <w:tab w:val="left" w:pos="851"/>
        </w:tabs>
        <w:ind w:left="851"/>
        <w:rPr>
          <w:i/>
          <w:sz w:val="24"/>
          <w:szCs w:val="24"/>
        </w:rPr>
      </w:pPr>
    </w:p>
    <w:p w14:paraId="0C504D89" w14:textId="013B461B" w:rsidR="00CC020C" w:rsidRPr="00CC020C" w:rsidRDefault="00CC020C" w:rsidP="00CC020C">
      <w:pPr>
        <w:tabs>
          <w:tab w:val="left" w:pos="851"/>
        </w:tabs>
        <w:ind w:left="851"/>
        <w:rPr>
          <w:sz w:val="24"/>
          <w:szCs w:val="24"/>
          <w:u w:val="single"/>
        </w:rPr>
      </w:pPr>
      <w:r w:rsidRPr="00CC020C">
        <w:rPr>
          <w:sz w:val="24"/>
          <w:szCs w:val="24"/>
          <w:u w:val="single"/>
        </w:rPr>
        <w:t>Absorption</w:t>
      </w:r>
    </w:p>
    <w:p w14:paraId="7FBB3D75" w14:textId="77777777" w:rsidR="00CC020C" w:rsidRPr="00CC020C" w:rsidRDefault="00CC020C" w:rsidP="00CC020C">
      <w:pPr>
        <w:tabs>
          <w:tab w:val="left" w:pos="851"/>
        </w:tabs>
        <w:ind w:left="851"/>
        <w:rPr>
          <w:sz w:val="24"/>
          <w:szCs w:val="24"/>
        </w:rPr>
      </w:pPr>
      <w:r w:rsidRPr="00CC020C">
        <w:rPr>
          <w:sz w:val="24"/>
          <w:szCs w:val="24"/>
        </w:rPr>
        <w:t>Efter enkelt og gentagne orale doser på 75 mg/dag bliver clopidogrel hurtigt absorberet. Den gennemsnitlige peak-plasmakoncentration af uomdannet clopidogrel (ca. 2,2-2,5 ng/ml efter en enkelt oral dosis på 75 mg) forekom ca. 45 minutter efter dosering. Absorptionen er mindst 50 % baseret på udskillelse af clopidogrels metabolitter i urinen.</w:t>
      </w:r>
    </w:p>
    <w:p w14:paraId="4D31B6A7" w14:textId="60380145" w:rsidR="00CC020C" w:rsidRDefault="00CC020C">
      <w:pPr>
        <w:rPr>
          <w:sz w:val="24"/>
          <w:szCs w:val="24"/>
        </w:rPr>
      </w:pPr>
      <w:r>
        <w:rPr>
          <w:sz w:val="24"/>
          <w:szCs w:val="24"/>
        </w:rPr>
        <w:br w:type="page"/>
      </w:r>
    </w:p>
    <w:p w14:paraId="5F959ACB" w14:textId="77777777" w:rsidR="00CC020C" w:rsidRPr="00CC020C" w:rsidRDefault="00CC020C" w:rsidP="00CC020C">
      <w:pPr>
        <w:tabs>
          <w:tab w:val="left" w:pos="851"/>
        </w:tabs>
        <w:ind w:left="851"/>
        <w:rPr>
          <w:sz w:val="24"/>
          <w:szCs w:val="24"/>
        </w:rPr>
      </w:pPr>
    </w:p>
    <w:p w14:paraId="0738F5F8" w14:textId="77777777" w:rsidR="00CC020C" w:rsidRPr="00CC020C" w:rsidRDefault="00CC020C" w:rsidP="00CC020C">
      <w:pPr>
        <w:tabs>
          <w:tab w:val="left" w:pos="851"/>
        </w:tabs>
        <w:ind w:left="851"/>
        <w:rPr>
          <w:sz w:val="24"/>
          <w:szCs w:val="24"/>
          <w:u w:val="single"/>
        </w:rPr>
      </w:pPr>
      <w:r w:rsidRPr="00CC020C">
        <w:rPr>
          <w:sz w:val="24"/>
          <w:szCs w:val="24"/>
          <w:u w:val="single"/>
        </w:rPr>
        <w:t>Fordeling</w:t>
      </w:r>
    </w:p>
    <w:p w14:paraId="2F40E1A5" w14:textId="77777777" w:rsidR="00CC020C" w:rsidRPr="00CC020C" w:rsidRDefault="00CC020C" w:rsidP="00CC020C">
      <w:pPr>
        <w:tabs>
          <w:tab w:val="left" w:pos="851"/>
        </w:tabs>
        <w:ind w:left="851"/>
        <w:rPr>
          <w:sz w:val="24"/>
          <w:szCs w:val="24"/>
        </w:rPr>
      </w:pPr>
      <w:r w:rsidRPr="00CC020C">
        <w:rPr>
          <w:sz w:val="24"/>
          <w:szCs w:val="24"/>
        </w:rPr>
        <w:t>Clopidogrel og den cirkulerende (inaktive) hovedmetabolit binder reversibelt in vitro til humane plasmaproteiner (henholdsvis 98 % og 94 %). Bindingen er umættet in vitro over et bredt koncentrationsområde.</w:t>
      </w:r>
    </w:p>
    <w:p w14:paraId="671D3368" w14:textId="77777777" w:rsidR="00CC020C" w:rsidRPr="00CC020C" w:rsidRDefault="00CC020C" w:rsidP="00CC020C">
      <w:pPr>
        <w:tabs>
          <w:tab w:val="left" w:pos="851"/>
        </w:tabs>
        <w:ind w:left="851"/>
        <w:rPr>
          <w:sz w:val="24"/>
          <w:szCs w:val="24"/>
        </w:rPr>
      </w:pPr>
    </w:p>
    <w:p w14:paraId="664A0D06" w14:textId="77777777" w:rsidR="00CC020C" w:rsidRPr="00CC020C" w:rsidRDefault="00CC020C" w:rsidP="00CC020C">
      <w:pPr>
        <w:tabs>
          <w:tab w:val="left" w:pos="851"/>
        </w:tabs>
        <w:ind w:left="851"/>
        <w:rPr>
          <w:sz w:val="24"/>
          <w:szCs w:val="24"/>
          <w:u w:val="single"/>
        </w:rPr>
      </w:pPr>
      <w:r w:rsidRPr="00CC020C">
        <w:rPr>
          <w:sz w:val="24"/>
          <w:szCs w:val="24"/>
          <w:u w:val="single"/>
        </w:rPr>
        <w:t>Biotransformation</w:t>
      </w:r>
    </w:p>
    <w:p w14:paraId="41E27CC4" w14:textId="77777777" w:rsidR="00CC020C" w:rsidRPr="00CC020C" w:rsidRDefault="00CC020C" w:rsidP="00CC020C">
      <w:pPr>
        <w:tabs>
          <w:tab w:val="left" w:pos="851"/>
        </w:tabs>
        <w:ind w:left="851"/>
        <w:rPr>
          <w:sz w:val="24"/>
          <w:szCs w:val="24"/>
        </w:rPr>
      </w:pPr>
      <w:r w:rsidRPr="00CC020C">
        <w:rPr>
          <w:sz w:val="24"/>
          <w:szCs w:val="24"/>
        </w:rPr>
        <w:t>Clopidogrel bliver i udstrakt grad metaboliseret i leveren. In vitro og in vivo bliver clopidogrel metaboliseret via to primære veje: En esterasemedieret, hvorved det hydrolyseres til dets inaktive carboxylsyrederivat (85 % af de cirkulerende metabolitter), og en medieret af flere P450-cytochromer.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in vitro, binder hurtigt og irreversibelt til blodpladereceptorerne, hvorved trombocytaggregation hæmmes.</w:t>
      </w:r>
    </w:p>
    <w:p w14:paraId="28D94006" w14:textId="77777777" w:rsidR="00CC020C" w:rsidRPr="00CC020C" w:rsidRDefault="00CC020C" w:rsidP="00CC020C">
      <w:pPr>
        <w:tabs>
          <w:tab w:val="left" w:pos="851"/>
        </w:tabs>
        <w:ind w:left="851"/>
        <w:rPr>
          <w:sz w:val="24"/>
          <w:szCs w:val="24"/>
        </w:rPr>
      </w:pPr>
    </w:p>
    <w:p w14:paraId="3179F155" w14:textId="77777777" w:rsidR="00CC020C" w:rsidRPr="00CC020C" w:rsidRDefault="00CC020C" w:rsidP="00CC020C">
      <w:pPr>
        <w:tabs>
          <w:tab w:val="left" w:pos="851"/>
        </w:tabs>
        <w:ind w:left="851"/>
        <w:rPr>
          <w:sz w:val="24"/>
          <w:szCs w:val="24"/>
        </w:rPr>
      </w:pPr>
      <w:r w:rsidRPr="00CC020C">
        <w:rPr>
          <w:sz w:val="24"/>
          <w:szCs w:val="24"/>
        </w:rPr>
        <w:t>C</w:t>
      </w:r>
      <w:r w:rsidRPr="00CC020C">
        <w:rPr>
          <w:sz w:val="24"/>
          <w:szCs w:val="24"/>
          <w:vertAlign w:val="subscript"/>
        </w:rPr>
        <w:t>max</w:t>
      </w:r>
      <w:r w:rsidRPr="00CC020C">
        <w:rPr>
          <w:sz w:val="24"/>
          <w:szCs w:val="24"/>
        </w:rPr>
        <w:t xml:space="preserve"> for den aktive metabolit er dobbelt så høj efter en enkelt initial mætningsdosis på 300 mg clopidogrel, som den er efter fire dage med 75 mg vedligeholdelsesdosis. Cmax opnås ca. 30-60 minutter efter administration.</w:t>
      </w:r>
    </w:p>
    <w:p w14:paraId="2E2C2AD6" w14:textId="77777777" w:rsidR="00CC020C" w:rsidRPr="00CC020C" w:rsidRDefault="00CC020C" w:rsidP="00CC020C">
      <w:pPr>
        <w:tabs>
          <w:tab w:val="left" w:pos="851"/>
        </w:tabs>
        <w:ind w:left="851"/>
        <w:rPr>
          <w:sz w:val="24"/>
          <w:szCs w:val="24"/>
        </w:rPr>
      </w:pPr>
    </w:p>
    <w:p w14:paraId="6F742F3A" w14:textId="77777777" w:rsidR="00CC020C" w:rsidRPr="00CC020C" w:rsidRDefault="00CC020C" w:rsidP="00CC020C">
      <w:pPr>
        <w:tabs>
          <w:tab w:val="left" w:pos="851"/>
        </w:tabs>
        <w:ind w:left="851"/>
        <w:rPr>
          <w:sz w:val="24"/>
          <w:szCs w:val="24"/>
          <w:u w:val="single"/>
        </w:rPr>
      </w:pPr>
      <w:r w:rsidRPr="00CC020C">
        <w:rPr>
          <w:sz w:val="24"/>
          <w:szCs w:val="24"/>
          <w:u w:val="single"/>
        </w:rPr>
        <w:t>Elimination</w:t>
      </w:r>
    </w:p>
    <w:p w14:paraId="5744BBF4" w14:textId="77777777" w:rsidR="00CC020C" w:rsidRPr="00CC020C" w:rsidRDefault="00CC020C" w:rsidP="00CC020C">
      <w:pPr>
        <w:tabs>
          <w:tab w:val="left" w:pos="851"/>
        </w:tabs>
        <w:ind w:left="851"/>
        <w:rPr>
          <w:sz w:val="24"/>
          <w:szCs w:val="24"/>
        </w:rPr>
      </w:pPr>
      <w:r w:rsidRPr="00CC020C">
        <w:rPr>
          <w:sz w:val="24"/>
          <w:szCs w:val="24"/>
        </w:rPr>
        <w:t>Efter en oral dosis af 14C-mærket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14:paraId="02EB7176" w14:textId="77777777" w:rsidR="00CC020C" w:rsidRPr="00CC020C" w:rsidRDefault="00CC020C" w:rsidP="00CC020C">
      <w:pPr>
        <w:tabs>
          <w:tab w:val="left" w:pos="851"/>
        </w:tabs>
        <w:ind w:left="851"/>
        <w:rPr>
          <w:sz w:val="24"/>
          <w:szCs w:val="24"/>
        </w:rPr>
      </w:pPr>
    </w:p>
    <w:p w14:paraId="1D6C6BF9" w14:textId="77777777" w:rsidR="00CC020C" w:rsidRPr="00CC020C" w:rsidRDefault="00CC020C" w:rsidP="00CC020C">
      <w:pPr>
        <w:tabs>
          <w:tab w:val="left" w:pos="851"/>
        </w:tabs>
        <w:ind w:left="851"/>
        <w:rPr>
          <w:sz w:val="24"/>
          <w:szCs w:val="24"/>
          <w:u w:val="single"/>
        </w:rPr>
      </w:pPr>
      <w:r w:rsidRPr="00CC020C">
        <w:rPr>
          <w:sz w:val="24"/>
          <w:szCs w:val="24"/>
          <w:u w:val="single"/>
        </w:rPr>
        <w:t>Farmakogenetik</w:t>
      </w:r>
    </w:p>
    <w:p w14:paraId="6376FA76" w14:textId="77777777" w:rsidR="00CC020C" w:rsidRPr="00CC020C" w:rsidRDefault="00CC020C" w:rsidP="00CC020C">
      <w:pPr>
        <w:tabs>
          <w:tab w:val="left" w:pos="851"/>
        </w:tabs>
        <w:ind w:left="851"/>
        <w:rPr>
          <w:sz w:val="24"/>
          <w:szCs w:val="24"/>
        </w:rPr>
      </w:pPr>
      <w:r w:rsidRPr="00CC020C">
        <w:rPr>
          <w:sz w:val="24"/>
          <w:szCs w:val="24"/>
        </w:rPr>
        <w:t>CYP2C19 er involveret i dannelsen af såvel den aktive metabolit, som mellemstadiemetabolitten 2-oxo-clopidogrel. Farmakokinetikken og den antitrombotiske effekt af den aktive metabolit, målt ved ex vivo trombocytaggregationsundersøgelser, adskiller sig alt efter CYP2C19-genotype.</w:t>
      </w:r>
    </w:p>
    <w:p w14:paraId="66736AE4" w14:textId="77777777" w:rsidR="00CC020C" w:rsidRPr="00CC020C" w:rsidRDefault="00CC020C" w:rsidP="00CC020C">
      <w:pPr>
        <w:tabs>
          <w:tab w:val="left" w:pos="851"/>
        </w:tabs>
        <w:ind w:left="851"/>
        <w:rPr>
          <w:sz w:val="24"/>
          <w:szCs w:val="24"/>
        </w:rPr>
      </w:pPr>
    </w:p>
    <w:p w14:paraId="74D8877D" w14:textId="77777777" w:rsidR="00CC020C" w:rsidRPr="00CC020C" w:rsidRDefault="00CC020C" w:rsidP="00CC020C">
      <w:pPr>
        <w:tabs>
          <w:tab w:val="left" w:pos="851"/>
        </w:tabs>
        <w:ind w:left="851"/>
        <w:rPr>
          <w:sz w:val="24"/>
          <w:szCs w:val="24"/>
          <w:lang w:val="de-DE"/>
        </w:rPr>
      </w:pPr>
      <w:r w:rsidRPr="00CC020C">
        <w:rPr>
          <w:sz w:val="24"/>
          <w:szCs w:val="24"/>
          <w:lang w:val="de-DE"/>
        </w:rPr>
        <w:t xml:space="preserve">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poor metaboliser vil besidde to ikke-funktionelle alleller, som beskrevet ovenfor. Den publicerede forekomst </w:t>
      </w:r>
      <w:r w:rsidRPr="00CC020C">
        <w:rPr>
          <w:i/>
          <w:sz w:val="24"/>
          <w:szCs w:val="24"/>
          <w:lang w:val="de-DE"/>
        </w:rPr>
        <w:t>af poor metaboliser</w:t>
      </w:r>
      <w:r w:rsidRPr="00CC020C">
        <w:rPr>
          <w:sz w:val="24"/>
          <w:szCs w:val="24"/>
          <w:lang w:val="de-DE"/>
        </w:rPr>
        <w:t>-genotyper er ca. 2 % for kaukasiske personer, 4 % for negroide og 14 % for kinesiske. Der er test tilgængelige til at bestemme en patients CYP2C19-genotype.</w:t>
      </w:r>
    </w:p>
    <w:p w14:paraId="31D2BE5F" w14:textId="77777777" w:rsidR="00CC020C" w:rsidRPr="00CC020C" w:rsidRDefault="00CC020C" w:rsidP="00CC020C">
      <w:pPr>
        <w:tabs>
          <w:tab w:val="left" w:pos="851"/>
        </w:tabs>
        <w:ind w:left="851"/>
        <w:rPr>
          <w:sz w:val="24"/>
          <w:szCs w:val="24"/>
          <w:lang w:val="de-DE"/>
        </w:rPr>
      </w:pPr>
    </w:p>
    <w:p w14:paraId="7CDE1501" w14:textId="77777777" w:rsidR="00CC020C" w:rsidRPr="00CC020C" w:rsidRDefault="00CC020C" w:rsidP="00CC020C">
      <w:pPr>
        <w:tabs>
          <w:tab w:val="left" w:pos="851"/>
        </w:tabs>
        <w:ind w:left="851"/>
        <w:rPr>
          <w:sz w:val="24"/>
          <w:szCs w:val="24"/>
          <w:lang w:val="de-DE"/>
        </w:rPr>
      </w:pPr>
      <w:r w:rsidRPr="00CC020C">
        <w:rPr>
          <w:sz w:val="24"/>
          <w:szCs w:val="24"/>
          <w:lang w:val="de-DE"/>
        </w:rPr>
        <w:t xml:space="preserve">Et cross-over studie med 40 raske forsøgspersoner, 10 i hver af de fire CYP2C19-metaboliser-grupper (ultrahurtig, extensive, intermediate eller poor),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extensive eller intermediate metabolisers. </w:t>
      </w:r>
      <w:r w:rsidRPr="00CC020C">
        <w:rPr>
          <w:sz w:val="24"/>
          <w:szCs w:val="24"/>
        </w:rPr>
        <w:t xml:space="preserve">Hos poor metabolisers var eksponeringen nedsat med 63-71 % </w:t>
      </w:r>
      <w:r w:rsidRPr="00CC020C">
        <w:rPr>
          <w:sz w:val="24"/>
          <w:szCs w:val="24"/>
        </w:rPr>
        <w:lastRenderedPageBreak/>
        <w:t xml:space="preserve">sammenlignet med extensive metabolisers. Ved 300 mg/75 mg dosisregimet var det trombocythæmmende respons nedsat hos poor metabolisers med en gennemsnitlig IPA (5 </w:t>
      </w:r>
      <w:r w:rsidRPr="00CC020C">
        <w:rPr>
          <w:sz w:val="24"/>
          <w:szCs w:val="24"/>
          <w:lang w:val="de-DE"/>
        </w:rPr>
        <w:t>μ</w:t>
      </w:r>
      <w:r w:rsidRPr="00CC020C">
        <w:rPr>
          <w:sz w:val="24"/>
          <w:szCs w:val="24"/>
        </w:rPr>
        <w:t xml:space="preserve">M ADP) på 24 % (24 timer) og 37 % (dag 5), sammenlignet med IPA på 39 % (24 timer) og 58 % (dag 5) for extensive metabolisers og 37 % (24 timer) og 60 % (dag 5) hos intermediate metabolisers. Når poor metabolisers fik 600 mg/150 mg regimet var eksponeringen for den aktive metabolit større end ved 300 mg/75 regimet. Desuden var IPA på 32 % (24 timer) og 61 % (dag 5), hvilket var større end hos poor metabolisers, der fik 300 mg/75 mg-regimet, og svarede til IPA ved 300 mg/75 mg regimet hos de andre grupper af CYP2C19-metabolisers. </w:t>
      </w:r>
      <w:r w:rsidRPr="00CC020C">
        <w:rPr>
          <w:sz w:val="24"/>
          <w:szCs w:val="24"/>
          <w:lang w:val="de-DE"/>
        </w:rPr>
        <w:t>Der er ikke etableret et relevant dosisregime for denne patientpopulation i kliniske outcome-studier.</w:t>
      </w:r>
    </w:p>
    <w:p w14:paraId="6ED8C70A" w14:textId="77777777" w:rsidR="00CC020C" w:rsidRPr="00CC020C" w:rsidRDefault="00CC020C" w:rsidP="00CC020C">
      <w:pPr>
        <w:tabs>
          <w:tab w:val="left" w:pos="851"/>
        </w:tabs>
        <w:ind w:left="851"/>
        <w:rPr>
          <w:sz w:val="24"/>
          <w:szCs w:val="24"/>
          <w:lang w:val="de-DE"/>
        </w:rPr>
      </w:pPr>
    </w:p>
    <w:p w14:paraId="0D58B842" w14:textId="77777777" w:rsidR="00CC020C" w:rsidRPr="00CC020C" w:rsidRDefault="00CC020C" w:rsidP="00CC020C">
      <w:pPr>
        <w:tabs>
          <w:tab w:val="left" w:pos="851"/>
        </w:tabs>
        <w:ind w:left="851"/>
        <w:rPr>
          <w:sz w:val="24"/>
          <w:szCs w:val="24"/>
        </w:rPr>
      </w:pPr>
      <w:r w:rsidRPr="00CC020C">
        <w:rPr>
          <w:sz w:val="24"/>
          <w:szCs w:val="24"/>
        </w:rPr>
        <w:t xml:space="preserve">I overensstemmelse med resultaterne ovenfor blev det vist i en metaanalyse af 6 studier med 335 clopidogrelbehandlede ved steady state, at eksponeringen for den aktive metabolit blev nedsat med 28 % hos intermediate metabolisers og med 72 % hos poor metabolisers. Ved sammenligning med extensive metabolisers blev trombocytaggregationshæmningen (5 </w:t>
      </w:r>
      <w:r w:rsidRPr="00CC020C">
        <w:rPr>
          <w:sz w:val="24"/>
          <w:szCs w:val="24"/>
          <w:lang w:val="de-DE"/>
        </w:rPr>
        <w:t>μ</w:t>
      </w:r>
      <w:r w:rsidRPr="00CC020C">
        <w:rPr>
          <w:sz w:val="24"/>
          <w:szCs w:val="24"/>
        </w:rPr>
        <w:t>M ADP) nedsat med forskelle i IPA på henholdsvis 5,9 % og 21,4 %.</w:t>
      </w:r>
    </w:p>
    <w:p w14:paraId="1FA16590" w14:textId="77777777" w:rsidR="00CC020C" w:rsidRPr="00CC020C" w:rsidRDefault="00CC020C" w:rsidP="00CC020C">
      <w:pPr>
        <w:tabs>
          <w:tab w:val="left" w:pos="851"/>
        </w:tabs>
        <w:ind w:left="851"/>
        <w:rPr>
          <w:sz w:val="24"/>
          <w:szCs w:val="24"/>
        </w:rPr>
      </w:pPr>
    </w:p>
    <w:p w14:paraId="0DC217E3" w14:textId="77777777" w:rsidR="00CC020C" w:rsidRPr="00CC020C" w:rsidRDefault="00CC020C" w:rsidP="00CC020C">
      <w:pPr>
        <w:tabs>
          <w:tab w:val="left" w:pos="851"/>
        </w:tabs>
        <w:ind w:left="851"/>
        <w:rPr>
          <w:sz w:val="24"/>
          <w:szCs w:val="24"/>
        </w:rPr>
      </w:pPr>
      <w:r w:rsidRPr="00CC020C">
        <w:rPr>
          <w:sz w:val="24"/>
          <w:szCs w:val="24"/>
        </w:rPr>
        <w:t>Indflydelsen af CYP2C19-genotype på det kliniske udfald hos patienter i behandling med clopidogrel er ikke blevet evalueret i prospektive, randomiserede, kontrollerede studier. Der 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14:paraId="6A1B1962" w14:textId="77777777" w:rsidR="00CC020C" w:rsidRPr="00CC020C" w:rsidRDefault="00CC020C" w:rsidP="00CC020C">
      <w:pPr>
        <w:tabs>
          <w:tab w:val="left" w:pos="851"/>
        </w:tabs>
        <w:ind w:left="851"/>
        <w:rPr>
          <w:sz w:val="24"/>
          <w:szCs w:val="24"/>
        </w:rPr>
      </w:pPr>
    </w:p>
    <w:p w14:paraId="2CA9AE1A" w14:textId="77777777" w:rsidR="00CC020C" w:rsidRPr="00CC020C" w:rsidRDefault="00CC020C" w:rsidP="00CC020C">
      <w:pPr>
        <w:tabs>
          <w:tab w:val="left" w:pos="851"/>
        </w:tabs>
        <w:ind w:left="851"/>
        <w:rPr>
          <w:sz w:val="24"/>
          <w:szCs w:val="24"/>
        </w:rPr>
      </w:pPr>
      <w:r w:rsidRPr="00CC020C">
        <w:rPr>
          <w:sz w:val="24"/>
          <w:szCs w:val="24"/>
        </w:rPr>
        <w:t>I TRITON-TIMI 38 og 3 af kohortestudierne (Collet, Sibbing, Giusti) havde den kombinerede gruppe af patienter med status som enten intermediate eller poor metabolisers en højere hyppighed af kardiovaskulære hændelser (død, myokardieinfarkt og apopleksi) eller stenttrombose sammenlignet med extensive metabolisers.</w:t>
      </w:r>
    </w:p>
    <w:p w14:paraId="0488EBB3" w14:textId="77777777" w:rsidR="00CC020C" w:rsidRPr="00CC020C" w:rsidRDefault="00CC020C" w:rsidP="00CC020C">
      <w:pPr>
        <w:tabs>
          <w:tab w:val="left" w:pos="851"/>
        </w:tabs>
        <w:ind w:left="851"/>
        <w:rPr>
          <w:sz w:val="24"/>
          <w:szCs w:val="24"/>
        </w:rPr>
      </w:pPr>
    </w:p>
    <w:p w14:paraId="13C6D3C0" w14:textId="77777777" w:rsidR="00CC020C" w:rsidRPr="00CC020C" w:rsidRDefault="00CC020C" w:rsidP="00CC020C">
      <w:pPr>
        <w:tabs>
          <w:tab w:val="left" w:pos="851"/>
        </w:tabs>
        <w:ind w:left="851"/>
        <w:rPr>
          <w:sz w:val="24"/>
          <w:szCs w:val="24"/>
        </w:rPr>
      </w:pPr>
      <w:r w:rsidRPr="00CC020C">
        <w:rPr>
          <w:sz w:val="24"/>
          <w:szCs w:val="24"/>
        </w:rPr>
        <w:t>I CHARISMA og et kohortestudie (Simon) sås kun en øget hyppighed af hændelser hos poor metabolisers i sammenligning med extensive metabolisers.</w:t>
      </w:r>
    </w:p>
    <w:p w14:paraId="4DB6162F" w14:textId="77777777" w:rsidR="00CC020C" w:rsidRPr="00CC020C" w:rsidRDefault="00CC020C" w:rsidP="00CC020C">
      <w:pPr>
        <w:tabs>
          <w:tab w:val="left" w:pos="851"/>
        </w:tabs>
        <w:ind w:left="851"/>
        <w:rPr>
          <w:sz w:val="24"/>
          <w:szCs w:val="24"/>
        </w:rPr>
      </w:pPr>
    </w:p>
    <w:p w14:paraId="5D7DF412" w14:textId="77777777" w:rsidR="00CC020C" w:rsidRPr="00CC020C" w:rsidRDefault="00CC020C" w:rsidP="00CC020C">
      <w:pPr>
        <w:tabs>
          <w:tab w:val="left" w:pos="851"/>
        </w:tabs>
        <w:ind w:left="851"/>
        <w:rPr>
          <w:sz w:val="24"/>
          <w:szCs w:val="24"/>
        </w:rPr>
      </w:pPr>
      <w:r w:rsidRPr="00CC020C">
        <w:rPr>
          <w:sz w:val="24"/>
          <w:szCs w:val="24"/>
        </w:rPr>
        <w:t>I CURE, CLARITY, ACTIVE-A og et af kohortestudierne (Trenk) blev der ikke observeret nogen øget forekomst af hændelser, baseret på metabolismestatus.</w:t>
      </w:r>
    </w:p>
    <w:p w14:paraId="44093F10" w14:textId="77777777" w:rsidR="00CC020C" w:rsidRPr="00CC020C" w:rsidRDefault="00CC020C" w:rsidP="00CC020C">
      <w:pPr>
        <w:tabs>
          <w:tab w:val="left" w:pos="851"/>
        </w:tabs>
        <w:ind w:left="851"/>
        <w:rPr>
          <w:sz w:val="24"/>
          <w:szCs w:val="24"/>
        </w:rPr>
      </w:pPr>
    </w:p>
    <w:p w14:paraId="31C53190" w14:textId="77777777" w:rsidR="00CC020C" w:rsidRPr="00CC020C" w:rsidRDefault="00CC020C" w:rsidP="00CC020C">
      <w:pPr>
        <w:tabs>
          <w:tab w:val="left" w:pos="851"/>
        </w:tabs>
        <w:ind w:left="851"/>
        <w:rPr>
          <w:sz w:val="24"/>
          <w:szCs w:val="24"/>
        </w:rPr>
      </w:pPr>
      <w:r w:rsidRPr="00CC020C">
        <w:rPr>
          <w:sz w:val="24"/>
          <w:szCs w:val="24"/>
        </w:rPr>
        <w:t>Ingen af disse analyser var tilstrækkeligt store til at kunne detektere forskelle i outcome hos poor</w:t>
      </w:r>
    </w:p>
    <w:p w14:paraId="750B389A" w14:textId="77777777" w:rsidR="00CC020C" w:rsidRPr="00CC020C" w:rsidRDefault="00CC020C" w:rsidP="00CC020C">
      <w:pPr>
        <w:tabs>
          <w:tab w:val="left" w:pos="851"/>
        </w:tabs>
        <w:ind w:left="851"/>
        <w:rPr>
          <w:sz w:val="24"/>
          <w:szCs w:val="24"/>
        </w:rPr>
      </w:pPr>
      <w:r w:rsidRPr="00CC020C">
        <w:rPr>
          <w:sz w:val="24"/>
          <w:szCs w:val="24"/>
        </w:rPr>
        <w:t>metabolisers.</w:t>
      </w:r>
    </w:p>
    <w:p w14:paraId="4A875D3D" w14:textId="77777777" w:rsidR="00CC020C" w:rsidRPr="00CC020C" w:rsidRDefault="00CC020C" w:rsidP="00CC020C">
      <w:pPr>
        <w:tabs>
          <w:tab w:val="left" w:pos="851"/>
        </w:tabs>
        <w:ind w:left="851"/>
        <w:rPr>
          <w:sz w:val="24"/>
          <w:szCs w:val="24"/>
        </w:rPr>
      </w:pPr>
    </w:p>
    <w:p w14:paraId="4610B936" w14:textId="77777777" w:rsidR="00CC020C" w:rsidRPr="00CC020C" w:rsidRDefault="00CC020C" w:rsidP="00CC020C">
      <w:pPr>
        <w:tabs>
          <w:tab w:val="left" w:pos="851"/>
        </w:tabs>
        <w:ind w:left="851"/>
        <w:rPr>
          <w:sz w:val="24"/>
          <w:szCs w:val="24"/>
          <w:u w:val="single"/>
        </w:rPr>
      </w:pPr>
      <w:r w:rsidRPr="00CC020C">
        <w:rPr>
          <w:sz w:val="24"/>
          <w:szCs w:val="24"/>
          <w:u w:val="single"/>
        </w:rPr>
        <w:t>Særlige patientgrupper</w:t>
      </w:r>
    </w:p>
    <w:p w14:paraId="724FAFFD" w14:textId="77777777" w:rsidR="00CC020C" w:rsidRPr="00CC020C" w:rsidRDefault="00CC020C" w:rsidP="00CC020C">
      <w:pPr>
        <w:tabs>
          <w:tab w:val="left" w:pos="851"/>
        </w:tabs>
        <w:ind w:left="851"/>
        <w:rPr>
          <w:sz w:val="24"/>
          <w:szCs w:val="24"/>
        </w:rPr>
      </w:pPr>
      <w:r w:rsidRPr="00CC020C">
        <w:rPr>
          <w:sz w:val="24"/>
          <w:szCs w:val="24"/>
        </w:rPr>
        <w:t>Farmakokinetikken af clopidogrels aktive metabolit er ikke kendt i nedenstående særlige patientgrupper.</w:t>
      </w:r>
    </w:p>
    <w:p w14:paraId="761F794A" w14:textId="77777777" w:rsidR="00CC020C" w:rsidRPr="00CC020C" w:rsidRDefault="00CC020C" w:rsidP="00CC020C">
      <w:pPr>
        <w:tabs>
          <w:tab w:val="left" w:pos="851"/>
        </w:tabs>
        <w:ind w:left="851"/>
        <w:rPr>
          <w:sz w:val="24"/>
          <w:szCs w:val="24"/>
        </w:rPr>
      </w:pPr>
    </w:p>
    <w:p w14:paraId="307CF9CE" w14:textId="77777777" w:rsidR="00CC020C" w:rsidRPr="00CC020C" w:rsidRDefault="00CC020C" w:rsidP="00CC020C">
      <w:pPr>
        <w:tabs>
          <w:tab w:val="left" w:pos="851"/>
        </w:tabs>
        <w:ind w:left="851"/>
        <w:rPr>
          <w:i/>
          <w:sz w:val="24"/>
          <w:szCs w:val="24"/>
        </w:rPr>
      </w:pPr>
      <w:r w:rsidRPr="00CC020C">
        <w:rPr>
          <w:i/>
          <w:sz w:val="24"/>
          <w:szCs w:val="24"/>
        </w:rPr>
        <w:t>Nedsat nyrefunktion</w:t>
      </w:r>
    </w:p>
    <w:p w14:paraId="4588194B" w14:textId="77777777" w:rsidR="00CC020C" w:rsidRPr="00CC020C" w:rsidRDefault="00CC020C" w:rsidP="00CC020C">
      <w:pPr>
        <w:tabs>
          <w:tab w:val="left" w:pos="851"/>
        </w:tabs>
        <w:ind w:left="851"/>
        <w:rPr>
          <w:sz w:val="24"/>
          <w:szCs w:val="24"/>
        </w:rPr>
      </w:pPr>
      <w:r w:rsidRPr="00CC020C">
        <w:rPr>
          <w:sz w:val="24"/>
          <w:szCs w:val="24"/>
        </w:rPr>
        <w:t>Efter gentagen dosering med clopidogrel 75 mg daglig var hæmningen af ADP-induceret trombocytaggregation lavere (25 %) hos forsøgspersoner med alvorlig nyresygdom (kreatininclearance 5-15 ml/min) end der, der blev set hos raske forsøgspersoner. Forlængelsen i blødningtid var imidlertid sammenlignelig med den, der blev set hos raske forsøgspersoner, som fik 75 mg clopidogrel daglig. Den kliniske tolerance var endvidere god hos alle patienter.</w:t>
      </w:r>
    </w:p>
    <w:p w14:paraId="113F3AB3" w14:textId="77777777" w:rsidR="00CC020C" w:rsidRPr="00CC020C" w:rsidRDefault="00CC020C" w:rsidP="00CC020C">
      <w:pPr>
        <w:tabs>
          <w:tab w:val="left" w:pos="851"/>
        </w:tabs>
        <w:ind w:left="851"/>
        <w:rPr>
          <w:sz w:val="24"/>
          <w:szCs w:val="24"/>
        </w:rPr>
      </w:pPr>
    </w:p>
    <w:p w14:paraId="41BBA072" w14:textId="77777777" w:rsidR="00CC020C" w:rsidRPr="00CC020C" w:rsidRDefault="00CC020C" w:rsidP="00CC020C">
      <w:pPr>
        <w:tabs>
          <w:tab w:val="left" w:pos="851"/>
        </w:tabs>
        <w:ind w:left="851"/>
        <w:rPr>
          <w:i/>
          <w:sz w:val="24"/>
          <w:szCs w:val="24"/>
        </w:rPr>
      </w:pPr>
      <w:r w:rsidRPr="00CC020C">
        <w:rPr>
          <w:i/>
          <w:sz w:val="24"/>
          <w:szCs w:val="24"/>
        </w:rPr>
        <w:lastRenderedPageBreak/>
        <w:t>Nedsat leverfunktion</w:t>
      </w:r>
    </w:p>
    <w:p w14:paraId="560710D3" w14:textId="77777777" w:rsidR="00CC020C" w:rsidRPr="00CC020C" w:rsidRDefault="00CC020C" w:rsidP="00CC020C">
      <w:pPr>
        <w:tabs>
          <w:tab w:val="left" w:pos="851"/>
        </w:tabs>
        <w:ind w:left="851"/>
        <w:rPr>
          <w:sz w:val="24"/>
          <w:szCs w:val="24"/>
        </w:rPr>
      </w:pPr>
      <w:r w:rsidRPr="00CC020C">
        <w:rPr>
          <w:sz w:val="24"/>
          <w:szCs w:val="24"/>
        </w:rPr>
        <w:t xml:space="preserve">Efter gentagen dosering med clopidogrel 75 mg daglig i 10 dage svarede den ADP-inducerede trombocytaggregation hos patienter med alvorligt nedsat leverfunktion til den, der blev set hos raske forsøgspersoner. </w:t>
      </w:r>
      <w:r w:rsidRPr="00CC020C">
        <w:rPr>
          <w:sz w:val="24"/>
          <w:szCs w:val="24"/>
          <w:lang w:val="de-DE"/>
        </w:rPr>
        <w:t>Den gennemsnitlige blødningstid var endvidere ens i de to grupper.</w:t>
      </w:r>
    </w:p>
    <w:p w14:paraId="681D5F91" w14:textId="77777777" w:rsidR="00CC020C" w:rsidRPr="00CC020C" w:rsidRDefault="00CC020C" w:rsidP="00CC020C">
      <w:pPr>
        <w:tabs>
          <w:tab w:val="left" w:pos="851"/>
        </w:tabs>
        <w:ind w:left="851"/>
        <w:rPr>
          <w:sz w:val="24"/>
          <w:szCs w:val="24"/>
          <w:lang w:val="de-DE"/>
        </w:rPr>
      </w:pPr>
    </w:p>
    <w:p w14:paraId="49E8339D" w14:textId="77777777" w:rsidR="00CC020C" w:rsidRPr="00CC020C" w:rsidRDefault="00CC020C" w:rsidP="00CC020C">
      <w:pPr>
        <w:tabs>
          <w:tab w:val="left" w:pos="851"/>
        </w:tabs>
        <w:ind w:left="851"/>
        <w:rPr>
          <w:i/>
          <w:sz w:val="24"/>
          <w:szCs w:val="24"/>
          <w:lang w:val="de-DE"/>
        </w:rPr>
      </w:pPr>
      <w:r w:rsidRPr="00CC020C">
        <w:rPr>
          <w:i/>
          <w:sz w:val="24"/>
          <w:szCs w:val="24"/>
          <w:lang w:val="de-DE"/>
        </w:rPr>
        <w:t>Race</w:t>
      </w:r>
    </w:p>
    <w:p w14:paraId="6C10E420" w14:textId="77777777" w:rsidR="00CC020C" w:rsidRPr="00CC020C" w:rsidRDefault="00CC020C" w:rsidP="00CC020C">
      <w:pPr>
        <w:tabs>
          <w:tab w:val="left" w:pos="851"/>
        </w:tabs>
        <w:ind w:left="851"/>
        <w:rPr>
          <w:sz w:val="24"/>
          <w:szCs w:val="24"/>
          <w:lang w:val="de-DE"/>
        </w:rPr>
      </w:pPr>
      <w:r w:rsidRPr="00CC020C">
        <w:rPr>
          <w:sz w:val="24"/>
          <w:szCs w:val="24"/>
          <w:lang w:val="de-DE"/>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14:paraId="6A8451AA" w14:textId="77777777" w:rsidR="009260DE" w:rsidRPr="00CC020C" w:rsidRDefault="009260DE" w:rsidP="009260DE">
      <w:pPr>
        <w:tabs>
          <w:tab w:val="left" w:pos="851"/>
        </w:tabs>
        <w:ind w:left="851"/>
        <w:rPr>
          <w:sz w:val="24"/>
          <w:szCs w:val="24"/>
          <w:lang w:val="de-DE"/>
        </w:rPr>
      </w:pPr>
    </w:p>
    <w:p w14:paraId="713DD4E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0AE2B48" w14:textId="77777777" w:rsidR="00733A95" w:rsidRPr="00733A95" w:rsidRDefault="00733A95" w:rsidP="00733A95">
      <w:pPr>
        <w:tabs>
          <w:tab w:val="left" w:pos="851"/>
        </w:tabs>
        <w:ind w:left="851"/>
        <w:rPr>
          <w:sz w:val="24"/>
          <w:szCs w:val="24"/>
        </w:rPr>
      </w:pPr>
      <w:r w:rsidRPr="00733A95">
        <w:rPr>
          <w:sz w:val="24"/>
          <w:szCs w:val="24"/>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14:paraId="44BF45D8" w14:textId="77777777" w:rsidR="00733A95" w:rsidRPr="00733A95" w:rsidRDefault="00733A95" w:rsidP="00733A95">
      <w:pPr>
        <w:tabs>
          <w:tab w:val="left" w:pos="851"/>
        </w:tabs>
        <w:ind w:left="851"/>
        <w:rPr>
          <w:sz w:val="24"/>
          <w:szCs w:val="24"/>
        </w:rPr>
      </w:pPr>
    </w:p>
    <w:p w14:paraId="78E73D64" w14:textId="77777777" w:rsidR="00733A95" w:rsidRPr="00733A95" w:rsidRDefault="00733A95" w:rsidP="00733A95">
      <w:pPr>
        <w:tabs>
          <w:tab w:val="left" w:pos="851"/>
        </w:tabs>
        <w:ind w:left="851"/>
        <w:rPr>
          <w:sz w:val="24"/>
          <w:szCs w:val="24"/>
        </w:rPr>
      </w:pPr>
      <w:r w:rsidRPr="00733A95">
        <w:rPr>
          <w:sz w:val="24"/>
          <w:szCs w:val="24"/>
        </w:rPr>
        <w:t>Ved meget høje doser clopidogrel blev der hos rotter og bavianer observeret dårlig gastrisk tolerans (gastritis, gastriske erosioner og/eller opkastning).</w:t>
      </w:r>
    </w:p>
    <w:p w14:paraId="5A2B21EF" w14:textId="77777777" w:rsidR="00733A95" w:rsidRPr="00733A95" w:rsidRDefault="00733A95" w:rsidP="00733A95">
      <w:pPr>
        <w:tabs>
          <w:tab w:val="left" w:pos="851"/>
        </w:tabs>
        <w:ind w:left="851"/>
        <w:rPr>
          <w:sz w:val="24"/>
          <w:szCs w:val="24"/>
        </w:rPr>
      </w:pPr>
    </w:p>
    <w:p w14:paraId="43C1AA5C" w14:textId="77777777" w:rsidR="00733A95" w:rsidRPr="00733A95" w:rsidRDefault="00733A95" w:rsidP="00733A95">
      <w:pPr>
        <w:tabs>
          <w:tab w:val="left" w:pos="851"/>
        </w:tabs>
        <w:ind w:left="851"/>
        <w:rPr>
          <w:sz w:val="24"/>
          <w:szCs w:val="24"/>
        </w:rPr>
      </w:pPr>
      <w:r w:rsidRPr="00733A95">
        <w:rPr>
          <w:sz w:val="24"/>
          <w:szCs w:val="24"/>
        </w:rPr>
        <w:t>Der var ikke tegn på karcinogen virkning, når clopidogrel blev administreret i 78 uger til mus og 104 uger til rotter og givet i doser op til 77 mg/kg/dag (hvilket udgør mindst 25 gange eksponeringen hos mennesker, der får den kliniske dosis på 75 mg/dag).</w:t>
      </w:r>
    </w:p>
    <w:p w14:paraId="77B171C5" w14:textId="77777777" w:rsidR="00733A95" w:rsidRPr="00733A95" w:rsidRDefault="00733A95" w:rsidP="00733A95">
      <w:pPr>
        <w:tabs>
          <w:tab w:val="left" w:pos="851"/>
        </w:tabs>
        <w:ind w:left="851"/>
        <w:rPr>
          <w:sz w:val="24"/>
          <w:szCs w:val="24"/>
        </w:rPr>
      </w:pPr>
    </w:p>
    <w:p w14:paraId="6D669769" w14:textId="77777777" w:rsidR="00733A95" w:rsidRPr="00733A95" w:rsidRDefault="00733A95" w:rsidP="00733A95">
      <w:pPr>
        <w:tabs>
          <w:tab w:val="left" w:pos="851"/>
        </w:tabs>
        <w:ind w:left="851"/>
        <w:rPr>
          <w:sz w:val="24"/>
          <w:szCs w:val="24"/>
          <w:lang w:val="de-DE"/>
        </w:rPr>
      </w:pPr>
      <w:r w:rsidRPr="00733A95">
        <w:rPr>
          <w:sz w:val="24"/>
          <w:szCs w:val="24"/>
          <w:lang w:val="de-DE"/>
        </w:rPr>
        <w:t xml:space="preserve">Clopidogrel er testet </w:t>
      </w:r>
      <w:r w:rsidRPr="00733A95">
        <w:rPr>
          <w:i/>
          <w:sz w:val="24"/>
          <w:szCs w:val="24"/>
          <w:lang w:val="de-DE"/>
        </w:rPr>
        <w:t>in vitro</w:t>
      </w:r>
      <w:r w:rsidRPr="00733A95">
        <w:rPr>
          <w:sz w:val="24"/>
          <w:szCs w:val="24"/>
          <w:lang w:val="de-DE"/>
        </w:rPr>
        <w:t xml:space="preserve"> og </w:t>
      </w:r>
      <w:r w:rsidRPr="00733A95">
        <w:rPr>
          <w:i/>
          <w:sz w:val="24"/>
          <w:szCs w:val="24"/>
          <w:lang w:val="de-DE"/>
        </w:rPr>
        <w:t>in vivo</w:t>
      </w:r>
      <w:r w:rsidRPr="00733A95">
        <w:rPr>
          <w:sz w:val="24"/>
          <w:szCs w:val="24"/>
          <w:lang w:val="de-DE"/>
        </w:rPr>
        <w:t xml:space="preserve"> i en række genotoksicitetsforsøg og udviste ingen genotoksisk aktivitet.</w:t>
      </w:r>
    </w:p>
    <w:p w14:paraId="13CB994C" w14:textId="77777777" w:rsidR="00733A95" w:rsidRPr="00733A95" w:rsidRDefault="00733A95" w:rsidP="00733A95">
      <w:pPr>
        <w:tabs>
          <w:tab w:val="left" w:pos="851"/>
        </w:tabs>
        <w:ind w:left="851"/>
        <w:rPr>
          <w:sz w:val="24"/>
          <w:szCs w:val="24"/>
          <w:lang w:val="de-DE"/>
        </w:rPr>
      </w:pPr>
    </w:p>
    <w:p w14:paraId="04C4BFB8" w14:textId="77777777" w:rsidR="00733A95" w:rsidRPr="00733A95" w:rsidRDefault="00733A95" w:rsidP="00733A95">
      <w:pPr>
        <w:tabs>
          <w:tab w:val="left" w:pos="851"/>
        </w:tabs>
        <w:ind w:left="851"/>
        <w:rPr>
          <w:sz w:val="24"/>
          <w:szCs w:val="24"/>
          <w:lang w:val="de-DE"/>
        </w:rPr>
      </w:pPr>
      <w:r w:rsidRPr="00733A95">
        <w:rPr>
          <w:sz w:val="24"/>
          <w:szCs w:val="24"/>
          <w:lang w:val="de-DE"/>
        </w:rPr>
        <w:t xml:space="preserve">Der blev ikke fundet fertilitetspåvirkning hos rotter af begge køn, og clopidogrel udviste ingen teratogen effekt hos rotter eller kaniner. Når diegivende rotter fik clopidogrel, opstod der en mindre forsinkelse i ungernes udvikling. </w:t>
      </w:r>
      <w:r w:rsidRPr="00733A95">
        <w:rPr>
          <w:sz w:val="24"/>
          <w:szCs w:val="24"/>
        </w:rPr>
        <w:t xml:space="preserve">Specifikke farmakokinetiske forsøg med radioaktivt mærket clopidogrel har vist, at udgangsstoffet eller dets metabolitter udskilles i mælk. </w:t>
      </w:r>
      <w:r w:rsidRPr="00733A95">
        <w:rPr>
          <w:sz w:val="24"/>
          <w:szCs w:val="24"/>
          <w:lang w:val="de-DE"/>
        </w:rPr>
        <w:t>Følgelig kan en direkte effekt (let toksicitet) eller en indirekte effekt (mindre velsmagende) ikke udelukkes.</w:t>
      </w:r>
    </w:p>
    <w:p w14:paraId="4232D273" w14:textId="77777777" w:rsidR="009260DE" w:rsidRPr="00733A95" w:rsidRDefault="009260DE" w:rsidP="009260DE">
      <w:pPr>
        <w:tabs>
          <w:tab w:val="left" w:pos="851"/>
        </w:tabs>
        <w:ind w:left="851"/>
        <w:rPr>
          <w:sz w:val="24"/>
          <w:szCs w:val="24"/>
          <w:lang w:val="de-DE"/>
        </w:rPr>
      </w:pPr>
    </w:p>
    <w:p w14:paraId="32C04D7C" w14:textId="77777777" w:rsidR="009260DE" w:rsidRPr="00C84483" w:rsidRDefault="009260DE" w:rsidP="009260DE">
      <w:pPr>
        <w:tabs>
          <w:tab w:val="left" w:pos="851"/>
        </w:tabs>
        <w:ind w:left="851"/>
        <w:rPr>
          <w:sz w:val="24"/>
          <w:szCs w:val="24"/>
        </w:rPr>
      </w:pPr>
    </w:p>
    <w:p w14:paraId="1669615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C92C63" w14:textId="77777777" w:rsidR="009260DE" w:rsidRPr="00BA09F1" w:rsidRDefault="009260DE" w:rsidP="009260DE">
      <w:pPr>
        <w:tabs>
          <w:tab w:val="left" w:pos="851"/>
        </w:tabs>
        <w:ind w:left="851"/>
        <w:rPr>
          <w:sz w:val="24"/>
          <w:szCs w:val="24"/>
        </w:rPr>
      </w:pPr>
    </w:p>
    <w:p w14:paraId="37B8B89E"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BBB746A" w14:textId="77777777" w:rsidR="005355D5" w:rsidRDefault="005355D5" w:rsidP="005355D5">
      <w:pPr>
        <w:tabs>
          <w:tab w:val="left" w:pos="851"/>
        </w:tabs>
        <w:ind w:left="851"/>
        <w:rPr>
          <w:sz w:val="24"/>
          <w:szCs w:val="24"/>
          <w:u w:val="single"/>
        </w:rPr>
      </w:pPr>
    </w:p>
    <w:p w14:paraId="5A5131F0" w14:textId="316DC081" w:rsidR="005355D5" w:rsidRPr="005355D5" w:rsidRDefault="005355D5" w:rsidP="005355D5">
      <w:pPr>
        <w:tabs>
          <w:tab w:val="left" w:pos="851"/>
        </w:tabs>
        <w:ind w:left="851"/>
        <w:rPr>
          <w:sz w:val="24"/>
          <w:szCs w:val="24"/>
          <w:u w:val="single"/>
        </w:rPr>
      </w:pPr>
      <w:r w:rsidRPr="005355D5">
        <w:rPr>
          <w:sz w:val="24"/>
          <w:szCs w:val="24"/>
          <w:u w:val="single"/>
        </w:rPr>
        <w:t>Tabletkerne</w:t>
      </w:r>
    </w:p>
    <w:p w14:paraId="77F5A717" w14:textId="77777777" w:rsidR="005355D5" w:rsidRPr="005355D5" w:rsidRDefault="005355D5" w:rsidP="005355D5">
      <w:pPr>
        <w:tabs>
          <w:tab w:val="left" w:pos="851"/>
        </w:tabs>
        <w:ind w:left="851"/>
        <w:rPr>
          <w:sz w:val="24"/>
          <w:szCs w:val="24"/>
        </w:rPr>
      </w:pPr>
      <w:r w:rsidRPr="005355D5">
        <w:rPr>
          <w:sz w:val="24"/>
          <w:szCs w:val="24"/>
        </w:rPr>
        <w:t>Vandfri laktose</w:t>
      </w:r>
    </w:p>
    <w:p w14:paraId="26181491" w14:textId="77777777" w:rsidR="005355D5" w:rsidRPr="00804FFD" w:rsidRDefault="005355D5" w:rsidP="005355D5">
      <w:pPr>
        <w:tabs>
          <w:tab w:val="left" w:pos="851"/>
        </w:tabs>
        <w:ind w:left="851"/>
        <w:rPr>
          <w:sz w:val="24"/>
          <w:szCs w:val="24"/>
          <w:lang w:val="en-US"/>
        </w:rPr>
      </w:pPr>
      <w:r w:rsidRPr="00804FFD">
        <w:rPr>
          <w:sz w:val="24"/>
          <w:szCs w:val="24"/>
          <w:lang w:val="en-US"/>
        </w:rPr>
        <w:t>Methylcellulose (E461)</w:t>
      </w:r>
    </w:p>
    <w:p w14:paraId="04D9D838" w14:textId="77777777" w:rsidR="005355D5" w:rsidRPr="00804FFD" w:rsidRDefault="005355D5" w:rsidP="005355D5">
      <w:pPr>
        <w:tabs>
          <w:tab w:val="left" w:pos="851"/>
        </w:tabs>
        <w:ind w:left="851"/>
        <w:rPr>
          <w:sz w:val="24"/>
          <w:szCs w:val="24"/>
          <w:lang w:val="en-US"/>
        </w:rPr>
      </w:pPr>
      <w:r w:rsidRPr="00804FFD">
        <w:rPr>
          <w:sz w:val="24"/>
          <w:szCs w:val="24"/>
          <w:lang w:val="en-US"/>
        </w:rPr>
        <w:t>Crospovidon (E1202)</w:t>
      </w:r>
    </w:p>
    <w:p w14:paraId="34489225" w14:textId="77777777" w:rsidR="005355D5" w:rsidRPr="00804FFD" w:rsidRDefault="005355D5" w:rsidP="005355D5">
      <w:pPr>
        <w:tabs>
          <w:tab w:val="left" w:pos="851"/>
        </w:tabs>
        <w:ind w:left="851"/>
        <w:rPr>
          <w:sz w:val="24"/>
          <w:szCs w:val="24"/>
          <w:lang w:val="en-US"/>
        </w:rPr>
      </w:pPr>
      <w:r w:rsidRPr="00804FFD">
        <w:rPr>
          <w:sz w:val="24"/>
          <w:szCs w:val="24"/>
          <w:lang w:val="en-US"/>
        </w:rPr>
        <w:t>Natriumstearylfumarat</w:t>
      </w:r>
    </w:p>
    <w:p w14:paraId="5F1B58F3" w14:textId="77777777" w:rsidR="005355D5" w:rsidRPr="00804FFD" w:rsidRDefault="005355D5" w:rsidP="005355D5">
      <w:pPr>
        <w:tabs>
          <w:tab w:val="left" w:pos="851"/>
        </w:tabs>
        <w:ind w:left="851"/>
        <w:rPr>
          <w:sz w:val="24"/>
          <w:szCs w:val="24"/>
          <w:lang w:val="en-US"/>
        </w:rPr>
      </w:pPr>
      <w:r w:rsidRPr="00804FFD">
        <w:rPr>
          <w:sz w:val="24"/>
          <w:szCs w:val="24"/>
          <w:lang w:val="en-US"/>
        </w:rPr>
        <w:t>Kolloid siliciumdioxid</w:t>
      </w:r>
    </w:p>
    <w:p w14:paraId="3730555E" w14:textId="77777777" w:rsidR="005355D5" w:rsidRPr="00804FFD" w:rsidRDefault="005355D5" w:rsidP="005355D5">
      <w:pPr>
        <w:tabs>
          <w:tab w:val="left" w:pos="851"/>
        </w:tabs>
        <w:ind w:left="851"/>
        <w:rPr>
          <w:sz w:val="24"/>
          <w:szCs w:val="24"/>
          <w:lang w:val="en-US"/>
        </w:rPr>
      </w:pPr>
    </w:p>
    <w:p w14:paraId="5447D0FD" w14:textId="5A7EDEF7" w:rsidR="005355D5" w:rsidRPr="00804FFD" w:rsidRDefault="005355D5" w:rsidP="005355D5">
      <w:pPr>
        <w:tabs>
          <w:tab w:val="left" w:pos="851"/>
        </w:tabs>
        <w:ind w:left="851"/>
        <w:rPr>
          <w:sz w:val="24"/>
          <w:szCs w:val="24"/>
          <w:u w:val="single"/>
          <w:lang w:val="en-US"/>
        </w:rPr>
      </w:pPr>
      <w:r w:rsidRPr="00804FFD">
        <w:rPr>
          <w:sz w:val="24"/>
          <w:szCs w:val="24"/>
          <w:u w:val="single"/>
          <w:lang w:val="en-US"/>
        </w:rPr>
        <w:t>Overtræk</w:t>
      </w:r>
    </w:p>
    <w:p w14:paraId="62294B95" w14:textId="77777777" w:rsidR="005355D5" w:rsidRPr="005355D5" w:rsidRDefault="005355D5" w:rsidP="005355D5">
      <w:pPr>
        <w:tabs>
          <w:tab w:val="left" w:pos="851"/>
        </w:tabs>
        <w:ind w:left="851"/>
        <w:rPr>
          <w:sz w:val="24"/>
          <w:szCs w:val="24"/>
          <w:lang w:val="de-DE"/>
        </w:rPr>
      </w:pPr>
      <w:r w:rsidRPr="005355D5">
        <w:rPr>
          <w:sz w:val="24"/>
          <w:szCs w:val="24"/>
          <w:lang w:val="de-DE"/>
        </w:rPr>
        <w:t>Hypromellose (E464)</w:t>
      </w:r>
    </w:p>
    <w:p w14:paraId="65456C84" w14:textId="77777777" w:rsidR="005355D5" w:rsidRPr="005355D5" w:rsidRDefault="005355D5" w:rsidP="005355D5">
      <w:pPr>
        <w:tabs>
          <w:tab w:val="left" w:pos="851"/>
        </w:tabs>
        <w:ind w:left="851"/>
        <w:rPr>
          <w:sz w:val="24"/>
          <w:szCs w:val="24"/>
          <w:lang w:val="de-DE"/>
        </w:rPr>
      </w:pPr>
      <w:r w:rsidRPr="00804FFD">
        <w:rPr>
          <w:sz w:val="24"/>
          <w:szCs w:val="24"/>
          <w:lang w:val="en-US"/>
        </w:rPr>
        <w:lastRenderedPageBreak/>
        <w:t>Hydroxypropylcellulose (E463)</w:t>
      </w:r>
    </w:p>
    <w:p w14:paraId="3360F88B" w14:textId="77777777" w:rsidR="005355D5" w:rsidRPr="005355D5" w:rsidRDefault="005355D5" w:rsidP="005355D5">
      <w:pPr>
        <w:tabs>
          <w:tab w:val="left" w:pos="851"/>
        </w:tabs>
        <w:ind w:left="851"/>
        <w:rPr>
          <w:sz w:val="24"/>
          <w:szCs w:val="24"/>
          <w:lang w:val="en-US"/>
        </w:rPr>
      </w:pPr>
      <w:r w:rsidRPr="005355D5">
        <w:rPr>
          <w:sz w:val="24"/>
          <w:szCs w:val="24"/>
          <w:lang w:val="en-US"/>
        </w:rPr>
        <w:t>Titandioxid (E171)</w:t>
      </w:r>
    </w:p>
    <w:p w14:paraId="2A2BB840" w14:textId="77777777" w:rsidR="005355D5" w:rsidRPr="005355D5" w:rsidRDefault="005355D5" w:rsidP="005355D5">
      <w:pPr>
        <w:tabs>
          <w:tab w:val="left" w:pos="851"/>
        </w:tabs>
        <w:ind w:left="851"/>
        <w:rPr>
          <w:sz w:val="24"/>
          <w:szCs w:val="24"/>
          <w:lang w:val="en-US"/>
        </w:rPr>
      </w:pPr>
      <w:r w:rsidRPr="005355D5">
        <w:rPr>
          <w:sz w:val="24"/>
          <w:szCs w:val="24"/>
          <w:lang w:val="en-US"/>
        </w:rPr>
        <w:t>Macrogol (E1521)</w:t>
      </w:r>
    </w:p>
    <w:p w14:paraId="6A483B3A" w14:textId="77777777" w:rsidR="005355D5" w:rsidRPr="005355D5" w:rsidRDefault="005355D5" w:rsidP="005355D5">
      <w:pPr>
        <w:tabs>
          <w:tab w:val="left" w:pos="851"/>
        </w:tabs>
        <w:ind w:left="851"/>
        <w:rPr>
          <w:sz w:val="24"/>
          <w:szCs w:val="24"/>
          <w:lang w:val="de-DE"/>
        </w:rPr>
      </w:pPr>
      <w:r w:rsidRPr="005355D5">
        <w:rPr>
          <w:sz w:val="24"/>
          <w:szCs w:val="24"/>
          <w:lang w:val="de-DE"/>
        </w:rPr>
        <w:t>Jernoxid, rød (E172)</w:t>
      </w:r>
    </w:p>
    <w:p w14:paraId="701500F3" w14:textId="77777777" w:rsidR="005355D5" w:rsidRPr="00804FFD" w:rsidRDefault="005355D5" w:rsidP="005355D5">
      <w:pPr>
        <w:tabs>
          <w:tab w:val="left" w:pos="851"/>
        </w:tabs>
        <w:ind w:left="851"/>
        <w:rPr>
          <w:sz w:val="24"/>
          <w:szCs w:val="24"/>
        </w:rPr>
      </w:pPr>
      <w:r w:rsidRPr="00804FFD">
        <w:rPr>
          <w:sz w:val="24"/>
          <w:szCs w:val="24"/>
        </w:rPr>
        <w:t>Jernoxid gul (E172)</w:t>
      </w:r>
    </w:p>
    <w:p w14:paraId="4A6542EB" w14:textId="77777777" w:rsidR="009260DE" w:rsidRPr="00804FFD" w:rsidRDefault="009260DE" w:rsidP="009260DE">
      <w:pPr>
        <w:tabs>
          <w:tab w:val="left" w:pos="851"/>
        </w:tabs>
        <w:ind w:left="851"/>
        <w:rPr>
          <w:sz w:val="24"/>
          <w:szCs w:val="24"/>
        </w:rPr>
      </w:pPr>
    </w:p>
    <w:p w14:paraId="29C5194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A58DF38" w14:textId="77777777" w:rsidR="005355D5" w:rsidRPr="005355D5" w:rsidRDefault="005355D5" w:rsidP="005355D5">
      <w:pPr>
        <w:tabs>
          <w:tab w:val="left" w:pos="851"/>
        </w:tabs>
        <w:ind w:left="851"/>
        <w:rPr>
          <w:sz w:val="24"/>
          <w:szCs w:val="24"/>
        </w:rPr>
      </w:pPr>
      <w:r w:rsidRPr="005355D5">
        <w:rPr>
          <w:sz w:val="24"/>
          <w:szCs w:val="24"/>
        </w:rPr>
        <w:t>Ikke relevant.</w:t>
      </w:r>
    </w:p>
    <w:p w14:paraId="01D0FBB9" w14:textId="77777777" w:rsidR="009260DE" w:rsidRPr="00C84483" w:rsidRDefault="009260DE" w:rsidP="009260DE">
      <w:pPr>
        <w:tabs>
          <w:tab w:val="left" w:pos="851"/>
        </w:tabs>
        <w:ind w:left="851"/>
        <w:rPr>
          <w:sz w:val="24"/>
          <w:szCs w:val="24"/>
        </w:rPr>
      </w:pPr>
    </w:p>
    <w:p w14:paraId="495589C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89E8514" w14:textId="77777777" w:rsidR="005355D5" w:rsidRDefault="005355D5" w:rsidP="005355D5">
      <w:pPr>
        <w:tabs>
          <w:tab w:val="left" w:pos="851"/>
        </w:tabs>
        <w:ind w:left="851"/>
        <w:rPr>
          <w:sz w:val="24"/>
          <w:szCs w:val="24"/>
        </w:rPr>
      </w:pPr>
    </w:p>
    <w:p w14:paraId="5E06C4FE" w14:textId="0FE0A820" w:rsidR="005355D5" w:rsidRPr="005355D5" w:rsidRDefault="005355D5" w:rsidP="005355D5">
      <w:pPr>
        <w:tabs>
          <w:tab w:val="left" w:pos="851"/>
        </w:tabs>
        <w:ind w:left="851"/>
        <w:rPr>
          <w:sz w:val="24"/>
          <w:szCs w:val="24"/>
          <w:u w:val="single"/>
        </w:rPr>
      </w:pPr>
      <w:r w:rsidRPr="005355D5">
        <w:rPr>
          <w:sz w:val="24"/>
          <w:szCs w:val="24"/>
          <w:u w:val="single"/>
        </w:rPr>
        <w:t xml:space="preserve">Alu-Alu-blister </w:t>
      </w:r>
      <w:r w:rsidRPr="005355D5">
        <w:rPr>
          <w:b/>
          <w:sz w:val="24"/>
          <w:szCs w:val="24"/>
          <w:u w:val="single"/>
        </w:rPr>
        <w:t>og</w:t>
      </w:r>
      <w:r w:rsidRPr="005355D5">
        <w:rPr>
          <w:sz w:val="24"/>
          <w:szCs w:val="24"/>
          <w:u w:val="single"/>
        </w:rPr>
        <w:t xml:space="preserve"> HDPE-beholder med silicagel og iltabsorberende middel.</w:t>
      </w:r>
    </w:p>
    <w:p w14:paraId="3CD03769" w14:textId="0803AFE6" w:rsidR="009260DE" w:rsidRDefault="005355D5" w:rsidP="009260DE">
      <w:pPr>
        <w:tabs>
          <w:tab w:val="left" w:pos="851"/>
        </w:tabs>
        <w:ind w:left="851"/>
        <w:rPr>
          <w:sz w:val="24"/>
          <w:szCs w:val="24"/>
        </w:rPr>
      </w:pPr>
      <w:r w:rsidRPr="005355D5">
        <w:rPr>
          <w:sz w:val="24"/>
          <w:szCs w:val="24"/>
        </w:rPr>
        <w:t>36 måneder</w:t>
      </w:r>
      <w:r>
        <w:rPr>
          <w:sz w:val="24"/>
          <w:szCs w:val="24"/>
        </w:rPr>
        <w:t>.</w:t>
      </w:r>
    </w:p>
    <w:p w14:paraId="107FBF75" w14:textId="77777777" w:rsidR="005355D5" w:rsidRPr="00C84483" w:rsidRDefault="005355D5" w:rsidP="009260DE">
      <w:pPr>
        <w:tabs>
          <w:tab w:val="left" w:pos="851"/>
        </w:tabs>
        <w:ind w:left="851"/>
        <w:rPr>
          <w:sz w:val="24"/>
          <w:szCs w:val="24"/>
        </w:rPr>
      </w:pPr>
    </w:p>
    <w:p w14:paraId="1AEA95E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6DF6730" w14:textId="77777777" w:rsidR="005355D5" w:rsidRDefault="005355D5" w:rsidP="005355D5">
      <w:pPr>
        <w:tabs>
          <w:tab w:val="left" w:pos="851"/>
        </w:tabs>
        <w:ind w:left="851"/>
        <w:rPr>
          <w:sz w:val="24"/>
          <w:szCs w:val="24"/>
        </w:rPr>
      </w:pPr>
    </w:p>
    <w:p w14:paraId="23610DEC" w14:textId="6EA05575" w:rsidR="005355D5" w:rsidRPr="005355D5" w:rsidRDefault="005355D5" w:rsidP="005355D5">
      <w:pPr>
        <w:tabs>
          <w:tab w:val="left" w:pos="851"/>
        </w:tabs>
        <w:ind w:left="851"/>
        <w:rPr>
          <w:sz w:val="24"/>
          <w:szCs w:val="24"/>
          <w:u w:val="single"/>
        </w:rPr>
      </w:pPr>
      <w:r w:rsidRPr="005355D5">
        <w:rPr>
          <w:sz w:val="24"/>
          <w:szCs w:val="24"/>
          <w:u w:val="single"/>
        </w:rPr>
        <w:t xml:space="preserve">Alu-Alu-blister </w:t>
      </w:r>
      <w:r w:rsidRPr="005355D5">
        <w:rPr>
          <w:b/>
          <w:sz w:val="24"/>
          <w:szCs w:val="24"/>
          <w:u w:val="single"/>
        </w:rPr>
        <w:t>og</w:t>
      </w:r>
      <w:r w:rsidRPr="005355D5">
        <w:rPr>
          <w:sz w:val="24"/>
          <w:szCs w:val="24"/>
          <w:u w:val="single"/>
        </w:rPr>
        <w:t xml:space="preserve"> HDPE-beholder med silicagel og iltabsorber</w:t>
      </w:r>
      <w:r>
        <w:rPr>
          <w:sz w:val="24"/>
          <w:szCs w:val="24"/>
          <w:u w:val="single"/>
        </w:rPr>
        <w:t>ende middel</w:t>
      </w:r>
    </w:p>
    <w:p w14:paraId="538FD5A4" w14:textId="56383688" w:rsidR="005355D5" w:rsidRPr="005355D5" w:rsidRDefault="005355D5" w:rsidP="005355D5">
      <w:pPr>
        <w:tabs>
          <w:tab w:val="left" w:pos="851"/>
        </w:tabs>
        <w:ind w:left="851"/>
        <w:rPr>
          <w:sz w:val="24"/>
          <w:szCs w:val="24"/>
        </w:rPr>
      </w:pPr>
      <w:r>
        <w:rPr>
          <w:sz w:val="24"/>
          <w:szCs w:val="24"/>
        </w:rPr>
        <w:t>D</w:t>
      </w:r>
      <w:r w:rsidRPr="005355D5">
        <w:rPr>
          <w:sz w:val="24"/>
          <w:szCs w:val="24"/>
        </w:rPr>
        <w:t>ette lægemiddel kræver ingen særlige opbevaringsforhold</w:t>
      </w:r>
      <w:r>
        <w:rPr>
          <w:sz w:val="24"/>
          <w:szCs w:val="24"/>
        </w:rPr>
        <w:t>.</w:t>
      </w:r>
    </w:p>
    <w:p w14:paraId="2B35BB85" w14:textId="77777777" w:rsidR="009260DE" w:rsidRPr="00C84483" w:rsidRDefault="009260DE" w:rsidP="009260DE">
      <w:pPr>
        <w:tabs>
          <w:tab w:val="left" w:pos="851"/>
        </w:tabs>
        <w:ind w:left="851"/>
        <w:rPr>
          <w:sz w:val="24"/>
          <w:szCs w:val="24"/>
        </w:rPr>
      </w:pPr>
    </w:p>
    <w:p w14:paraId="47679DE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00B8C64" w14:textId="77777777" w:rsidR="005355D5" w:rsidRDefault="005355D5" w:rsidP="005355D5">
      <w:pPr>
        <w:tabs>
          <w:tab w:val="left" w:pos="851"/>
        </w:tabs>
        <w:ind w:left="851"/>
        <w:rPr>
          <w:sz w:val="24"/>
          <w:szCs w:val="24"/>
        </w:rPr>
      </w:pPr>
    </w:p>
    <w:p w14:paraId="27097BC6" w14:textId="77777777" w:rsidR="005355D5" w:rsidRPr="005355D5" w:rsidRDefault="005355D5" w:rsidP="005355D5">
      <w:pPr>
        <w:tabs>
          <w:tab w:val="left" w:pos="851"/>
        </w:tabs>
        <w:ind w:left="851"/>
        <w:rPr>
          <w:sz w:val="24"/>
          <w:szCs w:val="24"/>
          <w:u w:val="single"/>
        </w:rPr>
      </w:pPr>
      <w:r w:rsidRPr="005355D5">
        <w:rPr>
          <w:sz w:val="24"/>
          <w:szCs w:val="24"/>
          <w:u w:val="single"/>
        </w:rPr>
        <w:t>Alu-Alu blisterpakninger</w:t>
      </w:r>
    </w:p>
    <w:p w14:paraId="149F03B4" w14:textId="373169CB" w:rsidR="005355D5" w:rsidRDefault="005355D5" w:rsidP="005355D5">
      <w:pPr>
        <w:tabs>
          <w:tab w:val="left" w:pos="851"/>
        </w:tabs>
        <w:ind w:left="851"/>
        <w:rPr>
          <w:sz w:val="24"/>
          <w:szCs w:val="24"/>
        </w:rPr>
      </w:pPr>
      <w:r>
        <w:rPr>
          <w:sz w:val="24"/>
          <w:szCs w:val="24"/>
        </w:rPr>
        <w:t xml:space="preserve">Pakningsstørrelser: </w:t>
      </w:r>
      <w:r w:rsidRPr="005355D5">
        <w:rPr>
          <w:sz w:val="24"/>
          <w:szCs w:val="24"/>
        </w:rPr>
        <w:t>7, 10, 14, 20, 28, 30, 50, 50</w:t>
      </w:r>
      <w:r>
        <w:rPr>
          <w:sz w:val="24"/>
          <w:szCs w:val="24"/>
        </w:rPr>
        <w:t>×</w:t>
      </w:r>
      <w:r w:rsidRPr="005355D5">
        <w:rPr>
          <w:sz w:val="24"/>
          <w:szCs w:val="24"/>
        </w:rPr>
        <w:t>1 (unit-dose blister), 56, 84, 90, 100, 112 og 120 filmovertrukne tabletter</w:t>
      </w:r>
      <w:r>
        <w:rPr>
          <w:sz w:val="24"/>
          <w:szCs w:val="24"/>
        </w:rPr>
        <w:t>.</w:t>
      </w:r>
    </w:p>
    <w:p w14:paraId="30552021" w14:textId="77777777" w:rsidR="005355D5" w:rsidRDefault="005355D5" w:rsidP="005355D5">
      <w:pPr>
        <w:tabs>
          <w:tab w:val="left" w:pos="851"/>
        </w:tabs>
        <w:ind w:left="851"/>
        <w:rPr>
          <w:sz w:val="24"/>
          <w:szCs w:val="24"/>
        </w:rPr>
      </w:pPr>
    </w:p>
    <w:p w14:paraId="1E2DCEE4" w14:textId="77777777" w:rsidR="005355D5" w:rsidRPr="005355D5" w:rsidRDefault="005355D5" w:rsidP="005355D5">
      <w:pPr>
        <w:tabs>
          <w:tab w:val="left" w:pos="851"/>
        </w:tabs>
        <w:ind w:left="851"/>
        <w:rPr>
          <w:sz w:val="24"/>
          <w:szCs w:val="24"/>
          <w:u w:val="single"/>
        </w:rPr>
      </w:pPr>
      <w:r w:rsidRPr="005355D5">
        <w:rPr>
          <w:sz w:val="24"/>
          <w:szCs w:val="24"/>
          <w:u w:val="single"/>
        </w:rPr>
        <w:t>HDPE-beholder med silicagel og iltabsorberende middel</w:t>
      </w:r>
    </w:p>
    <w:p w14:paraId="6DA19F26" w14:textId="14F310C8" w:rsidR="005355D5" w:rsidRPr="005355D5" w:rsidRDefault="005355D5" w:rsidP="005355D5">
      <w:pPr>
        <w:tabs>
          <w:tab w:val="left" w:pos="851"/>
        </w:tabs>
        <w:ind w:left="851"/>
        <w:rPr>
          <w:sz w:val="24"/>
          <w:szCs w:val="24"/>
        </w:rPr>
      </w:pPr>
      <w:r>
        <w:rPr>
          <w:sz w:val="24"/>
          <w:szCs w:val="24"/>
        </w:rPr>
        <w:t xml:space="preserve">Pakningsstørrelser: </w:t>
      </w:r>
      <w:r w:rsidRPr="005355D5">
        <w:rPr>
          <w:sz w:val="24"/>
          <w:szCs w:val="24"/>
        </w:rPr>
        <w:t>100 filmovertrukne tabletter.</w:t>
      </w:r>
    </w:p>
    <w:p w14:paraId="6C635ED3" w14:textId="77777777" w:rsidR="005355D5" w:rsidRPr="005355D5" w:rsidRDefault="005355D5" w:rsidP="005355D5">
      <w:pPr>
        <w:tabs>
          <w:tab w:val="left" w:pos="851"/>
        </w:tabs>
        <w:ind w:left="851"/>
        <w:rPr>
          <w:sz w:val="24"/>
          <w:szCs w:val="24"/>
        </w:rPr>
      </w:pPr>
    </w:p>
    <w:p w14:paraId="3B39C5C1" w14:textId="77777777" w:rsidR="005355D5" w:rsidRPr="005355D5" w:rsidRDefault="005355D5" w:rsidP="005355D5">
      <w:pPr>
        <w:tabs>
          <w:tab w:val="left" w:pos="851"/>
        </w:tabs>
        <w:ind w:left="851"/>
        <w:rPr>
          <w:sz w:val="24"/>
          <w:szCs w:val="24"/>
        </w:rPr>
      </w:pPr>
      <w:r w:rsidRPr="005355D5">
        <w:rPr>
          <w:sz w:val="24"/>
          <w:szCs w:val="24"/>
        </w:rPr>
        <w:t>Ikke alle pakningsstørrelser er nødvendigvis markedsført.</w:t>
      </w:r>
    </w:p>
    <w:p w14:paraId="3CA27E21" w14:textId="77777777" w:rsidR="009260DE" w:rsidRPr="00C84483" w:rsidRDefault="009260DE" w:rsidP="009260DE">
      <w:pPr>
        <w:tabs>
          <w:tab w:val="left" w:pos="851"/>
        </w:tabs>
        <w:ind w:left="851"/>
        <w:rPr>
          <w:sz w:val="24"/>
          <w:szCs w:val="24"/>
        </w:rPr>
      </w:pPr>
    </w:p>
    <w:p w14:paraId="40CD7B0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126D103" w14:textId="77777777" w:rsidR="005355D5" w:rsidRPr="005355D5" w:rsidRDefault="005355D5" w:rsidP="005355D5">
      <w:pPr>
        <w:tabs>
          <w:tab w:val="left" w:pos="851"/>
        </w:tabs>
        <w:ind w:left="851"/>
        <w:rPr>
          <w:sz w:val="24"/>
          <w:szCs w:val="24"/>
        </w:rPr>
      </w:pPr>
      <w:r w:rsidRPr="005355D5">
        <w:rPr>
          <w:sz w:val="24"/>
          <w:szCs w:val="24"/>
        </w:rPr>
        <w:t>Ikke anvendt lægemiddel samt affald heraf skal bortskaffes i henhold til lokale retningslinjer.</w:t>
      </w:r>
    </w:p>
    <w:p w14:paraId="7973D190" w14:textId="77777777" w:rsidR="009260DE" w:rsidRPr="00C84483" w:rsidRDefault="009260DE" w:rsidP="000730CA">
      <w:pPr>
        <w:tabs>
          <w:tab w:val="left" w:pos="851"/>
        </w:tabs>
        <w:ind w:left="851"/>
        <w:rPr>
          <w:sz w:val="24"/>
          <w:szCs w:val="24"/>
        </w:rPr>
      </w:pPr>
    </w:p>
    <w:p w14:paraId="6B3B7719"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2CAB20E" w14:textId="77777777" w:rsidR="005355D5" w:rsidRPr="005355D5" w:rsidRDefault="005355D5" w:rsidP="005355D5">
      <w:pPr>
        <w:tabs>
          <w:tab w:val="left" w:pos="851"/>
        </w:tabs>
        <w:ind w:left="851"/>
        <w:rPr>
          <w:sz w:val="24"/>
          <w:szCs w:val="24"/>
        </w:rPr>
      </w:pPr>
      <w:r w:rsidRPr="005355D5">
        <w:rPr>
          <w:sz w:val="24"/>
          <w:szCs w:val="24"/>
        </w:rPr>
        <w:t>Juta Pharma GmbH</w:t>
      </w:r>
    </w:p>
    <w:p w14:paraId="151DA492" w14:textId="77777777" w:rsidR="005355D5" w:rsidRPr="005355D5" w:rsidRDefault="005355D5" w:rsidP="005355D5">
      <w:pPr>
        <w:tabs>
          <w:tab w:val="left" w:pos="851"/>
        </w:tabs>
        <w:ind w:left="851"/>
        <w:rPr>
          <w:sz w:val="24"/>
          <w:szCs w:val="24"/>
        </w:rPr>
      </w:pPr>
      <w:r w:rsidRPr="005355D5">
        <w:rPr>
          <w:sz w:val="24"/>
          <w:szCs w:val="24"/>
        </w:rPr>
        <w:t>Gutenbergstraße 13</w:t>
      </w:r>
    </w:p>
    <w:p w14:paraId="2D3F3494" w14:textId="77777777" w:rsidR="005355D5" w:rsidRPr="005355D5" w:rsidRDefault="005355D5" w:rsidP="005355D5">
      <w:pPr>
        <w:tabs>
          <w:tab w:val="left" w:pos="851"/>
        </w:tabs>
        <w:ind w:left="851"/>
        <w:rPr>
          <w:sz w:val="24"/>
          <w:szCs w:val="24"/>
        </w:rPr>
      </w:pPr>
      <w:r w:rsidRPr="005355D5">
        <w:rPr>
          <w:sz w:val="24"/>
          <w:szCs w:val="24"/>
        </w:rPr>
        <w:t>24941 Flensburg</w:t>
      </w:r>
    </w:p>
    <w:p w14:paraId="6CD0ECCD" w14:textId="77777777" w:rsidR="005355D5" w:rsidRPr="005355D5" w:rsidRDefault="005355D5" w:rsidP="005355D5">
      <w:pPr>
        <w:tabs>
          <w:tab w:val="left" w:pos="851"/>
        </w:tabs>
        <w:ind w:left="851"/>
        <w:rPr>
          <w:sz w:val="24"/>
          <w:szCs w:val="24"/>
        </w:rPr>
      </w:pPr>
      <w:r w:rsidRPr="005355D5">
        <w:rPr>
          <w:sz w:val="24"/>
          <w:szCs w:val="24"/>
        </w:rPr>
        <w:t>Tyskland</w:t>
      </w:r>
    </w:p>
    <w:p w14:paraId="4B6C32C9" w14:textId="77777777" w:rsidR="009260DE" w:rsidRDefault="009260DE" w:rsidP="009260DE">
      <w:pPr>
        <w:tabs>
          <w:tab w:val="left" w:pos="851"/>
        </w:tabs>
        <w:ind w:left="851"/>
        <w:rPr>
          <w:sz w:val="24"/>
          <w:szCs w:val="24"/>
        </w:rPr>
      </w:pPr>
    </w:p>
    <w:p w14:paraId="29CE700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ACE7D4" w14:textId="22EF6A1B" w:rsidR="009260DE" w:rsidRPr="00C84483" w:rsidRDefault="005355D5" w:rsidP="009260DE">
      <w:pPr>
        <w:tabs>
          <w:tab w:val="left" w:pos="851"/>
        </w:tabs>
        <w:ind w:left="851"/>
        <w:rPr>
          <w:sz w:val="24"/>
          <w:szCs w:val="24"/>
        </w:rPr>
      </w:pPr>
      <w:r>
        <w:rPr>
          <w:sz w:val="24"/>
          <w:szCs w:val="24"/>
        </w:rPr>
        <w:t>67862</w:t>
      </w:r>
    </w:p>
    <w:p w14:paraId="574692B2" w14:textId="77777777" w:rsidR="009260DE" w:rsidRPr="00C84483" w:rsidRDefault="009260DE" w:rsidP="009260DE">
      <w:pPr>
        <w:tabs>
          <w:tab w:val="left" w:pos="851"/>
        </w:tabs>
        <w:ind w:left="851"/>
        <w:jc w:val="both"/>
        <w:rPr>
          <w:sz w:val="24"/>
          <w:szCs w:val="24"/>
        </w:rPr>
      </w:pPr>
    </w:p>
    <w:p w14:paraId="4976990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5DA27CA" w14:textId="36C42E9B" w:rsidR="009260DE" w:rsidRPr="00C84483" w:rsidRDefault="00804FFD" w:rsidP="009260DE">
      <w:pPr>
        <w:tabs>
          <w:tab w:val="left" w:pos="851"/>
        </w:tabs>
        <w:ind w:left="851"/>
        <w:rPr>
          <w:sz w:val="24"/>
          <w:szCs w:val="24"/>
        </w:rPr>
      </w:pPr>
      <w:r>
        <w:rPr>
          <w:sz w:val="24"/>
          <w:szCs w:val="24"/>
        </w:rPr>
        <w:t>5. december 2024</w:t>
      </w:r>
      <w:bookmarkStart w:id="0" w:name="_GoBack"/>
      <w:bookmarkEnd w:id="0"/>
    </w:p>
    <w:p w14:paraId="7D3566B1" w14:textId="77777777" w:rsidR="009260DE" w:rsidRPr="00C84483" w:rsidRDefault="009260DE" w:rsidP="009260DE">
      <w:pPr>
        <w:tabs>
          <w:tab w:val="left" w:pos="851"/>
        </w:tabs>
        <w:ind w:left="851"/>
        <w:rPr>
          <w:sz w:val="24"/>
          <w:szCs w:val="24"/>
        </w:rPr>
      </w:pPr>
    </w:p>
    <w:p w14:paraId="04B18D3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A84173B" w14:textId="5F8C0C8D" w:rsidR="009260DE" w:rsidRPr="00C84483" w:rsidRDefault="005355D5"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11CC" w14:textId="77777777" w:rsidR="00733A95" w:rsidRDefault="00733A95">
      <w:r>
        <w:separator/>
      </w:r>
    </w:p>
  </w:endnote>
  <w:endnote w:type="continuationSeparator" w:id="0">
    <w:p w14:paraId="6F8105FF" w14:textId="77777777" w:rsidR="00733A95" w:rsidRDefault="0073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D207" w14:textId="77777777" w:rsidR="00733A95" w:rsidRDefault="00733A95">
    <w:pPr>
      <w:pStyle w:val="Sidefod"/>
      <w:pBdr>
        <w:bottom w:val="single" w:sz="6" w:space="1" w:color="auto"/>
      </w:pBdr>
    </w:pPr>
  </w:p>
  <w:p w14:paraId="4A801E06" w14:textId="77777777" w:rsidR="00733A95" w:rsidRDefault="00733A95" w:rsidP="00C42586">
    <w:pPr>
      <w:pStyle w:val="Sidefod"/>
      <w:tabs>
        <w:tab w:val="clear" w:pos="4819"/>
        <w:tab w:val="left" w:pos="8505"/>
      </w:tabs>
      <w:rPr>
        <w:i/>
        <w:sz w:val="18"/>
        <w:szCs w:val="18"/>
      </w:rPr>
    </w:pPr>
  </w:p>
  <w:p w14:paraId="300CB0F6" w14:textId="4C838143" w:rsidR="00733A95" w:rsidRPr="00B373D7" w:rsidRDefault="00733A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Clopidogrel Juta, filmovertrukne tabletter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F1C0" w14:textId="77777777" w:rsidR="00733A95" w:rsidRDefault="00733A95">
      <w:r>
        <w:separator/>
      </w:r>
    </w:p>
  </w:footnote>
  <w:footnote w:type="continuationSeparator" w:id="0">
    <w:p w14:paraId="4C613065" w14:textId="77777777" w:rsidR="00733A95" w:rsidRDefault="00733A95">
      <w:r>
        <w:continuationSeparator/>
      </w:r>
    </w:p>
  </w:footnote>
  <w:footnote w:id="1">
    <w:p w14:paraId="564DE682" w14:textId="77777777" w:rsidR="00733A95" w:rsidRDefault="00733A95" w:rsidP="007A40B9">
      <w:pPr>
        <w:pStyle w:val="Fodnotetekst"/>
      </w:pPr>
      <w:r>
        <w:rPr>
          <w:rStyle w:val="Fodnotehenvisning"/>
        </w:rPr>
        <w:footnoteRef/>
      </w:r>
      <w:r>
        <w:t xml:space="preserve"> Alder, blodtryk, kliniske træk, varighed og diabetes mellitus diagnose</w:t>
      </w:r>
    </w:p>
  </w:footnote>
  <w:footnote w:id="2">
    <w:p w14:paraId="0590F6ED" w14:textId="77777777" w:rsidR="00733A95" w:rsidRDefault="00733A95" w:rsidP="007A40B9">
      <w:pPr>
        <w:pStyle w:val="Fodnotetekst"/>
        <w:rPr>
          <w:lang w:val="en-US"/>
        </w:rPr>
      </w:pPr>
      <w:r>
        <w:rPr>
          <w:rStyle w:val="Fodnotehenvisning"/>
        </w:rPr>
        <w:footnoteRef/>
      </w:r>
      <w:r>
        <w:rPr>
          <w:lang w:val="en-US"/>
        </w:rPr>
        <w:t xml:space="preserve"> National Institutes of Health Stroke skala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FA7401"/>
    <w:multiLevelType w:val="hybridMultilevel"/>
    <w:tmpl w:val="79DA2A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CFA5F83"/>
    <w:multiLevelType w:val="hybridMultilevel"/>
    <w:tmpl w:val="6EA2D17A"/>
    <w:lvl w:ilvl="0" w:tplc="263062E6">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E1F4BE2"/>
    <w:multiLevelType w:val="hybridMultilevel"/>
    <w:tmpl w:val="CE38E5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B7"/>
    <w:rsid w:val="000259B9"/>
    <w:rsid w:val="00041491"/>
    <w:rsid w:val="00050D16"/>
    <w:rsid w:val="000730CA"/>
    <w:rsid w:val="00074F2A"/>
    <w:rsid w:val="00096BF8"/>
    <w:rsid w:val="000A1CA8"/>
    <w:rsid w:val="000A466B"/>
    <w:rsid w:val="000B058C"/>
    <w:rsid w:val="000D68B0"/>
    <w:rsid w:val="000E4EE6"/>
    <w:rsid w:val="001454E2"/>
    <w:rsid w:val="001D2662"/>
    <w:rsid w:val="00206CE8"/>
    <w:rsid w:val="0021526C"/>
    <w:rsid w:val="00283A2B"/>
    <w:rsid w:val="002B30AD"/>
    <w:rsid w:val="002C1EC0"/>
    <w:rsid w:val="002C2C01"/>
    <w:rsid w:val="00315C7D"/>
    <w:rsid w:val="003A29AE"/>
    <w:rsid w:val="003A32D7"/>
    <w:rsid w:val="003B4074"/>
    <w:rsid w:val="003C769A"/>
    <w:rsid w:val="003D3A90"/>
    <w:rsid w:val="003F1838"/>
    <w:rsid w:val="004251C1"/>
    <w:rsid w:val="0045746C"/>
    <w:rsid w:val="0049104B"/>
    <w:rsid w:val="004E3B12"/>
    <w:rsid w:val="00532310"/>
    <w:rsid w:val="005355D5"/>
    <w:rsid w:val="00565F0F"/>
    <w:rsid w:val="00594A86"/>
    <w:rsid w:val="00596D86"/>
    <w:rsid w:val="00637F5A"/>
    <w:rsid w:val="00641C65"/>
    <w:rsid w:val="006560B1"/>
    <w:rsid w:val="006756DD"/>
    <w:rsid w:val="00711C35"/>
    <w:rsid w:val="0071241E"/>
    <w:rsid w:val="00733A95"/>
    <w:rsid w:val="00737275"/>
    <w:rsid w:val="00740EEC"/>
    <w:rsid w:val="0078011A"/>
    <w:rsid w:val="00782AF4"/>
    <w:rsid w:val="00790EE7"/>
    <w:rsid w:val="007A40B9"/>
    <w:rsid w:val="007B6649"/>
    <w:rsid w:val="007F46BA"/>
    <w:rsid w:val="00804FFD"/>
    <w:rsid w:val="0082011F"/>
    <w:rsid w:val="0082576E"/>
    <w:rsid w:val="0089346F"/>
    <w:rsid w:val="00907F75"/>
    <w:rsid w:val="009260DE"/>
    <w:rsid w:val="0093258A"/>
    <w:rsid w:val="009A251A"/>
    <w:rsid w:val="009C7BA3"/>
    <w:rsid w:val="009D1F5A"/>
    <w:rsid w:val="009E16D4"/>
    <w:rsid w:val="00A10294"/>
    <w:rsid w:val="00AA07B7"/>
    <w:rsid w:val="00B003BF"/>
    <w:rsid w:val="00B373D7"/>
    <w:rsid w:val="00B55271"/>
    <w:rsid w:val="00BD7931"/>
    <w:rsid w:val="00BF6243"/>
    <w:rsid w:val="00C36276"/>
    <w:rsid w:val="00C42586"/>
    <w:rsid w:val="00C45F6B"/>
    <w:rsid w:val="00C60CCD"/>
    <w:rsid w:val="00C84483"/>
    <w:rsid w:val="00C95551"/>
    <w:rsid w:val="00CB20D7"/>
    <w:rsid w:val="00CC020C"/>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D0B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B00B8"/>
  <w15:chartTrackingRefBased/>
  <w15:docId w15:val="{525166D5-E957-4566-B93F-72C09936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semiHidden/>
    <w:unhideWhenUsed/>
    <w:rsid w:val="007A40B9"/>
    <w:rPr>
      <w:sz w:val="20"/>
    </w:rPr>
  </w:style>
  <w:style w:type="character" w:customStyle="1" w:styleId="FodnotetekstTegn">
    <w:name w:val="Fodnotetekst Tegn"/>
    <w:basedOn w:val="Standardskrifttypeiafsnit"/>
    <w:link w:val="Fodnotetekst"/>
    <w:semiHidden/>
    <w:rsid w:val="007A40B9"/>
    <w:rPr>
      <w:lang w:eastAsia="en-US"/>
    </w:rPr>
  </w:style>
  <w:style w:type="character" w:styleId="Fodnotehenvisning">
    <w:name w:val="footnote reference"/>
    <w:basedOn w:val="Standardskrifttypeiafsnit"/>
    <w:semiHidden/>
    <w:unhideWhenUsed/>
    <w:rsid w:val="007A40B9"/>
    <w:rPr>
      <w:vertAlign w:val="superscript"/>
    </w:rPr>
  </w:style>
  <w:style w:type="paragraph" w:styleId="Listeafsnit">
    <w:name w:val="List Paragraph"/>
    <w:basedOn w:val="Normal"/>
    <w:uiPriority w:val="34"/>
    <w:qFormat/>
    <w:rsid w:val="00315C7D"/>
    <w:pPr>
      <w:ind w:left="720"/>
      <w:contextualSpacing/>
    </w:pPr>
    <w:rPr>
      <w:sz w:val="22"/>
    </w:rPr>
  </w:style>
  <w:style w:type="character" w:styleId="Hyperlink">
    <w:name w:val="Hyperlink"/>
    <w:uiPriority w:val="99"/>
    <w:semiHidden/>
    <w:unhideWhenUsed/>
    <w:rsid w:val="009A251A"/>
    <w:rPr>
      <w:color w:val="0000FF"/>
      <w:u w:val="single"/>
    </w:rPr>
  </w:style>
  <w:style w:type="table" w:styleId="Tabel-Gitter">
    <w:name w:val="Table Grid"/>
    <w:basedOn w:val="Tabel-Normal"/>
    <w:rsid w:val="009A251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652">
      <w:bodyDiv w:val="1"/>
      <w:marLeft w:val="0"/>
      <w:marRight w:val="0"/>
      <w:marTop w:val="0"/>
      <w:marBottom w:val="0"/>
      <w:divBdr>
        <w:top w:val="none" w:sz="0" w:space="0" w:color="auto"/>
        <w:left w:val="none" w:sz="0" w:space="0" w:color="auto"/>
        <w:bottom w:val="none" w:sz="0" w:space="0" w:color="auto"/>
        <w:right w:val="none" w:sz="0" w:space="0" w:color="auto"/>
      </w:divBdr>
    </w:div>
    <w:div w:id="56519089">
      <w:bodyDiv w:val="1"/>
      <w:marLeft w:val="0"/>
      <w:marRight w:val="0"/>
      <w:marTop w:val="0"/>
      <w:marBottom w:val="0"/>
      <w:divBdr>
        <w:top w:val="none" w:sz="0" w:space="0" w:color="auto"/>
        <w:left w:val="none" w:sz="0" w:space="0" w:color="auto"/>
        <w:bottom w:val="none" w:sz="0" w:space="0" w:color="auto"/>
        <w:right w:val="none" w:sz="0" w:space="0" w:color="auto"/>
      </w:divBdr>
    </w:div>
    <w:div w:id="73090934">
      <w:bodyDiv w:val="1"/>
      <w:marLeft w:val="0"/>
      <w:marRight w:val="0"/>
      <w:marTop w:val="0"/>
      <w:marBottom w:val="0"/>
      <w:divBdr>
        <w:top w:val="none" w:sz="0" w:space="0" w:color="auto"/>
        <w:left w:val="none" w:sz="0" w:space="0" w:color="auto"/>
        <w:bottom w:val="none" w:sz="0" w:space="0" w:color="auto"/>
        <w:right w:val="none" w:sz="0" w:space="0" w:color="auto"/>
      </w:divBdr>
    </w:div>
    <w:div w:id="76557112">
      <w:bodyDiv w:val="1"/>
      <w:marLeft w:val="0"/>
      <w:marRight w:val="0"/>
      <w:marTop w:val="0"/>
      <w:marBottom w:val="0"/>
      <w:divBdr>
        <w:top w:val="none" w:sz="0" w:space="0" w:color="auto"/>
        <w:left w:val="none" w:sz="0" w:space="0" w:color="auto"/>
        <w:bottom w:val="none" w:sz="0" w:space="0" w:color="auto"/>
        <w:right w:val="none" w:sz="0" w:space="0" w:color="auto"/>
      </w:divBdr>
    </w:div>
    <w:div w:id="100733491">
      <w:bodyDiv w:val="1"/>
      <w:marLeft w:val="0"/>
      <w:marRight w:val="0"/>
      <w:marTop w:val="0"/>
      <w:marBottom w:val="0"/>
      <w:divBdr>
        <w:top w:val="none" w:sz="0" w:space="0" w:color="auto"/>
        <w:left w:val="none" w:sz="0" w:space="0" w:color="auto"/>
        <w:bottom w:val="none" w:sz="0" w:space="0" w:color="auto"/>
        <w:right w:val="none" w:sz="0" w:space="0" w:color="auto"/>
      </w:divBdr>
    </w:div>
    <w:div w:id="1598535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424173">
      <w:bodyDiv w:val="1"/>
      <w:marLeft w:val="0"/>
      <w:marRight w:val="0"/>
      <w:marTop w:val="0"/>
      <w:marBottom w:val="0"/>
      <w:divBdr>
        <w:top w:val="none" w:sz="0" w:space="0" w:color="auto"/>
        <w:left w:val="none" w:sz="0" w:space="0" w:color="auto"/>
        <w:bottom w:val="none" w:sz="0" w:space="0" w:color="auto"/>
        <w:right w:val="none" w:sz="0" w:space="0" w:color="auto"/>
      </w:divBdr>
    </w:div>
    <w:div w:id="250046876">
      <w:bodyDiv w:val="1"/>
      <w:marLeft w:val="0"/>
      <w:marRight w:val="0"/>
      <w:marTop w:val="0"/>
      <w:marBottom w:val="0"/>
      <w:divBdr>
        <w:top w:val="none" w:sz="0" w:space="0" w:color="auto"/>
        <w:left w:val="none" w:sz="0" w:space="0" w:color="auto"/>
        <w:bottom w:val="none" w:sz="0" w:space="0" w:color="auto"/>
        <w:right w:val="none" w:sz="0" w:space="0" w:color="auto"/>
      </w:divBdr>
    </w:div>
    <w:div w:id="332412825">
      <w:bodyDiv w:val="1"/>
      <w:marLeft w:val="0"/>
      <w:marRight w:val="0"/>
      <w:marTop w:val="0"/>
      <w:marBottom w:val="0"/>
      <w:divBdr>
        <w:top w:val="none" w:sz="0" w:space="0" w:color="auto"/>
        <w:left w:val="none" w:sz="0" w:space="0" w:color="auto"/>
        <w:bottom w:val="none" w:sz="0" w:space="0" w:color="auto"/>
        <w:right w:val="none" w:sz="0" w:space="0" w:color="auto"/>
      </w:divBdr>
    </w:div>
    <w:div w:id="505830873">
      <w:bodyDiv w:val="1"/>
      <w:marLeft w:val="0"/>
      <w:marRight w:val="0"/>
      <w:marTop w:val="0"/>
      <w:marBottom w:val="0"/>
      <w:divBdr>
        <w:top w:val="none" w:sz="0" w:space="0" w:color="auto"/>
        <w:left w:val="none" w:sz="0" w:space="0" w:color="auto"/>
        <w:bottom w:val="none" w:sz="0" w:space="0" w:color="auto"/>
        <w:right w:val="none" w:sz="0" w:space="0" w:color="auto"/>
      </w:divBdr>
    </w:div>
    <w:div w:id="527642069">
      <w:bodyDiv w:val="1"/>
      <w:marLeft w:val="0"/>
      <w:marRight w:val="0"/>
      <w:marTop w:val="0"/>
      <w:marBottom w:val="0"/>
      <w:divBdr>
        <w:top w:val="none" w:sz="0" w:space="0" w:color="auto"/>
        <w:left w:val="none" w:sz="0" w:space="0" w:color="auto"/>
        <w:bottom w:val="none" w:sz="0" w:space="0" w:color="auto"/>
        <w:right w:val="none" w:sz="0" w:space="0" w:color="auto"/>
      </w:divBdr>
    </w:div>
    <w:div w:id="549268065">
      <w:bodyDiv w:val="1"/>
      <w:marLeft w:val="0"/>
      <w:marRight w:val="0"/>
      <w:marTop w:val="0"/>
      <w:marBottom w:val="0"/>
      <w:divBdr>
        <w:top w:val="none" w:sz="0" w:space="0" w:color="auto"/>
        <w:left w:val="none" w:sz="0" w:space="0" w:color="auto"/>
        <w:bottom w:val="none" w:sz="0" w:space="0" w:color="auto"/>
        <w:right w:val="none" w:sz="0" w:space="0" w:color="auto"/>
      </w:divBdr>
    </w:div>
    <w:div w:id="660736513">
      <w:bodyDiv w:val="1"/>
      <w:marLeft w:val="0"/>
      <w:marRight w:val="0"/>
      <w:marTop w:val="0"/>
      <w:marBottom w:val="0"/>
      <w:divBdr>
        <w:top w:val="none" w:sz="0" w:space="0" w:color="auto"/>
        <w:left w:val="none" w:sz="0" w:space="0" w:color="auto"/>
        <w:bottom w:val="none" w:sz="0" w:space="0" w:color="auto"/>
        <w:right w:val="none" w:sz="0" w:space="0" w:color="auto"/>
      </w:divBdr>
    </w:div>
    <w:div w:id="664169131">
      <w:bodyDiv w:val="1"/>
      <w:marLeft w:val="0"/>
      <w:marRight w:val="0"/>
      <w:marTop w:val="0"/>
      <w:marBottom w:val="0"/>
      <w:divBdr>
        <w:top w:val="none" w:sz="0" w:space="0" w:color="auto"/>
        <w:left w:val="none" w:sz="0" w:space="0" w:color="auto"/>
        <w:bottom w:val="none" w:sz="0" w:space="0" w:color="auto"/>
        <w:right w:val="none" w:sz="0" w:space="0" w:color="auto"/>
      </w:divBdr>
    </w:div>
    <w:div w:id="802427166">
      <w:bodyDiv w:val="1"/>
      <w:marLeft w:val="0"/>
      <w:marRight w:val="0"/>
      <w:marTop w:val="0"/>
      <w:marBottom w:val="0"/>
      <w:divBdr>
        <w:top w:val="none" w:sz="0" w:space="0" w:color="auto"/>
        <w:left w:val="none" w:sz="0" w:space="0" w:color="auto"/>
        <w:bottom w:val="none" w:sz="0" w:space="0" w:color="auto"/>
        <w:right w:val="none" w:sz="0" w:space="0" w:color="auto"/>
      </w:divBdr>
    </w:div>
    <w:div w:id="808280818">
      <w:bodyDiv w:val="1"/>
      <w:marLeft w:val="0"/>
      <w:marRight w:val="0"/>
      <w:marTop w:val="0"/>
      <w:marBottom w:val="0"/>
      <w:divBdr>
        <w:top w:val="none" w:sz="0" w:space="0" w:color="auto"/>
        <w:left w:val="none" w:sz="0" w:space="0" w:color="auto"/>
        <w:bottom w:val="none" w:sz="0" w:space="0" w:color="auto"/>
        <w:right w:val="none" w:sz="0" w:space="0" w:color="auto"/>
      </w:divBdr>
    </w:div>
    <w:div w:id="909316474">
      <w:bodyDiv w:val="1"/>
      <w:marLeft w:val="0"/>
      <w:marRight w:val="0"/>
      <w:marTop w:val="0"/>
      <w:marBottom w:val="0"/>
      <w:divBdr>
        <w:top w:val="none" w:sz="0" w:space="0" w:color="auto"/>
        <w:left w:val="none" w:sz="0" w:space="0" w:color="auto"/>
        <w:bottom w:val="none" w:sz="0" w:space="0" w:color="auto"/>
        <w:right w:val="none" w:sz="0" w:space="0" w:color="auto"/>
      </w:divBdr>
    </w:div>
    <w:div w:id="983849291">
      <w:bodyDiv w:val="1"/>
      <w:marLeft w:val="0"/>
      <w:marRight w:val="0"/>
      <w:marTop w:val="0"/>
      <w:marBottom w:val="0"/>
      <w:divBdr>
        <w:top w:val="none" w:sz="0" w:space="0" w:color="auto"/>
        <w:left w:val="none" w:sz="0" w:space="0" w:color="auto"/>
        <w:bottom w:val="none" w:sz="0" w:space="0" w:color="auto"/>
        <w:right w:val="none" w:sz="0" w:space="0" w:color="auto"/>
      </w:divBdr>
    </w:div>
    <w:div w:id="1031758892">
      <w:bodyDiv w:val="1"/>
      <w:marLeft w:val="0"/>
      <w:marRight w:val="0"/>
      <w:marTop w:val="0"/>
      <w:marBottom w:val="0"/>
      <w:divBdr>
        <w:top w:val="none" w:sz="0" w:space="0" w:color="auto"/>
        <w:left w:val="none" w:sz="0" w:space="0" w:color="auto"/>
        <w:bottom w:val="none" w:sz="0" w:space="0" w:color="auto"/>
        <w:right w:val="none" w:sz="0" w:space="0" w:color="auto"/>
      </w:divBdr>
    </w:div>
    <w:div w:id="1050491857">
      <w:bodyDiv w:val="1"/>
      <w:marLeft w:val="0"/>
      <w:marRight w:val="0"/>
      <w:marTop w:val="0"/>
      <w:marBottom w:val="0"/>
      <w:divBdr>
        <w:top w:val="none" w:sz="0" w:space="0" w:color="auto"/>
        <w:left w:val="none" w:sz="0" w:space="0" w:color="auto"/>
        <w:bottom w:val="none" w:sz="0" w:space="0" w:color="auto"/>
        <w:right w:val="none" w:sz="0" w:space="0" w:color="auto"/>
      </w:divBdr>
    </w:div>
    <w:div w:id="1055274127">
      <w:bodyDiv w:val="1"/>
      <w:marLeft w:val="0"/>
      <w:marRight w:val="0"/>
      <w:marTop w:val="0"/>
      <w:marBottom w:val="0"/>
      <w:divBdr>
        <w:top w:val="none" w:sz="0" w:space="0" w:color="auto"/>
        <w:left w:val="none" w:sz="0" w:space="0" w:color="auto"/>
        <w:bottom w:val="none" w:sz="0" w:space="0" w:color="auto"/>
        <w:right w:val="none" w:sz="0" w:space="0" w:color="auto"/>
      </w:divBdr>
    </w:div>
    <w:div w:id="1110274208">
      <w:bodyDiv w:val="1"/>
      <w:marLeft w:val="0"/>
      <w:marRight w:val="0"/>
      <w:marTop w:val="0"/>
      <w:marBottom w:val="0"/>
      <w:divBdr>
        <w:top w:val="none" w:sz="0" w:space="0" w:color="auto"/>
        <w:left w:val="none" w:sz="0" w:space="0" w:color="auto"/>
        <w:bottom w:val="none" w:sz="0" w:space="0" w:color="auto"/>
        <w:right w:val="none" w:sz="0" w:space="0" w:color="auto"/>
      </w:divBdr>
    </w:div>
    <w:div w:id="1147939369">
      <w:bodyDiv w:val="1"/>
      <w:marLeft w:val="0"/>
      <w:marRight w:val="0"/>
      <w:marTop w:val="0"/>
      <w:marBottom w:val="0"/>
      <w:divBdr>
        <w:top w:val="none" w:sz="0" w:space="0" w:color="auto"/>
        <w:left w:val="none" w:sz="0" w:space="0" w:color="auto"/>
        <w:bottom w:val="none" w:sz="0" w:space="0" w:color="auto"/>
        <w:right w:val="none" w:sz="0" w:space="0" w:color="auto"/>
      </w:divBdr>
    </w:div>
    <w:div w:id="1198934183">
      <w:bodyDiv w:val="1"/>
      <w:marLeft w:val="0"/>
      <w:marRight w:val="0"/>
      <w:marTop w:val="0"/>
      <w:marBottom w:val="0"/>
      <w:divBdr>
        <w:top w:val="none" w:sz="0" w:space="0" w:color="auto"/>
        <w:left w:val="none" w:sz="0" w:space="0" w:color="auto"/>
        <w:bottom w:val="none" w:sz="0" w:space="0" w:color="auto"/>
        <w:right w:val="none" w:sz="0" w:space="0" w:color="auto"/>
      </w:divBdr>
    </w:div>
    <w:div w:id="1199514227">
      <w:bodyDiv w:val="1"/>
      <w:marLeft w:val="0"/>
      <w:marRight w:val="0"/>
      <w:marTop w:val="0"/>
      <w:marBottom w:val="0"/>
      <w:divBdr>
        <w:top w:val="none" w:sz="0" w:space="0" w:color="auto"/>
        <w:left w:val="none" w:sz="0" w:space="0" w:color="auto"/>
        <w:bottom w:val="none" w:sz="0" w:space="0" w:color="auto"/>
        <w:right w:val="none" w:sz="0" w:space="0" w:color="auto"/>
      </w:divBdr>
    </w:div>
    <w:div w:id="1209296527">
      <w:bodyDiv w:val="1"/>
      <w:marLeft w:val="0"/>
      <w:marRight w:val="0"/>
      <w:marTop w:val="0"/>
      <w:marBottom w:val="0"/>
      <w:divBdr>
        <w:top w:val="none" w:sz="0" w:space="0" w:color="auto"/>
        <w:left w:val="none" w:sz="0" w:space="0" w:color="auto"/>
        <w:bottom w:val="none" w:sz="0" w:space="0" w:color="auto"/>
        <w:right w:val="none" w:sz="0" w:space="0" w:color="auto"/>
      </w:divBdr>
    </w:div>
    <w:div w:id="1331985977">
      <w:bodyDiv w:val="1"/>
      <w:marLeft w:val="0"/>
      <w:marRight w:val="0"/>
      <w:marTop w:val="0"/>
      <w:marBottom w:val="0"/>
      <w:divBdr>
        <w:top w:val="none" w:sz="0" w:space="0" w:color="auto"/>
        <w:left w:val="none" w:sz="0" w:space="0" w:color="auto"/>
        <w:bottom w:val="none" w:sz="0" w:space="0" w:color="auto"/>
        <w:right w:val="none" w:sz="0" w:space="0" w:color="auto"/>
      </w:divBdr>
    </w:div>
    <w:div w:id="1350109750">
      <w:bodyDiv w:val="1"/>
      <w:marLeft w:val="0"/>
      <w:marRight w:val="0"/>
      <w:marTop w:val="0"/>
      <w:marBottom w:val="0"/>
      <w:divBdr>
        <w:top w:val="none" w:sz="0" w:space="0" w:color="auto"/>
        <w:left w:val="none" w:sz="0" w:space="0" w:color="auto"/>
        <w:bottom w:val="none" w:sz="0" w:space="0" w:color="auto"/>
        <w:right w:val="none" w:sz="0" w:space="0" w:color="auto"/>
      </w:divBdr>
    </w:div>
    <w:div w:id="1410804585">
      <w:bodyDiv w:val="1"/>
      <w:marLeft w:val="0"/>
      <w:marRight w:val="0"/>
      <w:marTop w:val="0"/>
      <w:marBottom w:val="0"/>
      <w:divBdr>
        <w:top w:val="none" w:sz="0" w:space="0" w:color="auto"/>
        <w:left w:val="none" w:sz="0" w:space="0" w:color="auto"/>
        <w:bottom w:val="none" w:sz="0" w:space="0" w:color="auto"/>
        <w:right w:val="none" w:sz="0" w:space="0" w:color="auto"/>
      </w:divBdr>
    </w:div>
    <w:div w:id="1533037443">
      <w:bodyDiv w:val="1"/>
      <w:marLeft w:val="0"/>
      <w:marRight w:val="0"/>
      <w:marTop w:val="0"/>
      <w:marBottom w:val="0"/>
      <w:divBdr>
        <w:top w:val="none" w:sz="0" w:space="0" w:color="auto"/>
        <w:left w:val="none" w:sz="0" w:space="0" w:color="auto"/>
        <w:bottom w:val="none" w:sz="0" w:space="0" w:color="auto"/>
        <w:right w:val="none" w:sz="0" w:space="0" w:color="auto"/>
      </w:divBdr>
    </w:div>
    <w:div w:id="1615478669">
      <w:bodyDiv w:val="1"/>
      <w:marLeft w:val="0"/>
      <w:marRight w:val="0"/>
      <w:marTop w:val="0"/>
      <w:marBottom w:val="0"/>
      <w:divBdr>
        <w:top w:val="none" w:sz="0" w:space="0" w:color="auto"/>
        <w:left w:val="none" w:sz="0" w:space="0" w:color="auto"/>
        <w:bottom w:val="none" w:sz="0" w:space="0" w:color="auto"/>
        <w:right w:val="none" w:sz="0" w:space="0" w:color="auto"/>
      </w:divBdr>
    </w:div>
    <w:div w:id="1627849996">
      <w:bodyDiv w:val="1"/>
      <w:marLeft w:val="0"/>
      <w:marRight w:val="0"/>
      <w:marTop w:val="0"/>
      <w:marBottom w:val="0"/>
      <w:divBdr>
        <w:top w:val="none" w:sz="0" w:space="0" w:color="auto"/>
        <w:left w:val="none" w:sz="0" w:space="0" w:color="auto"/>
        <w:bottom w:val="none" w:sz="0" w:space="0" w:color="auto"/>
        <w:right w:val="none" w:sz="0" w:space="0" w:color="auto"/>
      </w:divBdr>
    </w:div>
    <w:div w:id="1652950760">
      <w:bodyDiv w:val="1"/>
      <w:marLeft w:val="0"/>
      <w:marRight w:val="0"/>
      <w:marTop w:val="0"/>
      <w:marBottom w:val="0"/>
      <w:divBdr>
        <w:top w:val="none" w:sz="0" w:space="0" w:color="auto"/>
        <w:left w:val="none" w:sz="0" w:space="0" w:color="auto"/>
        <w:bottom w:val="none" w:sz="0" w:space="0" w:color="auto"/>
        <w:right w:val="none" w:sz="0" w:space="0" w:color="auto"/>
      </w:divBdr>
    </w:div>
    <w:div w:id="1778211656">
      <w:bodyDiv w:val="1"/>
      <w:marLeft w:val="0"/>
      <w:marRight w:val="0"/>
      <w:marTop w:val="0"/>
      <w:marBottom w:val="0"/>
      <w:divBdr>
        <w:top w:val="none" w:sz="0" w:space="0" w:color="auto"/>
        <w:left w:val="none" w:sz="0" w:space="0" w:color="auto"/>
        <w:bottom w:val="none" w:sz="0" w:space="0" w:color="auto"/>
        <w:right w:val="none" w:sz="0" w:space="0" w:color="auto"/>
      </w:divBdr>
    </w:div>
    <w:div w:id="1891185983">
      <w:bodyDiv w:val="1"/>
      <w:marLeft w:val="0"/>
      <w:marRight w:val="0"/>
      <w:marTop w:val="0"/>
      <w:marBottom w:val="0"/>
      <w:divBdr>
        <w:top w:val="none" w:sz="0" w:space="0" w:color="auto"/>
        <w:left w:val="none" w:sz="0" w:space="0" w:color="auto"/>
        <w:bottom w:val="none" w:sz="0" w:space="0" w:color="auto"/>
        <w:right w:val="none" w:sz="0" w:space="0" w:color="auto"/>
      </w:divBdr>
    </w:div>
    <w:div w:id="2025356767">
      <w:bodyDiv w:val="1"/>
      <w:marLeft w:val="0"/>
      <w:marRight w:val="0"/>
      <w:marTop w:val="0"/>
      <w:marBottom w:val="0"/>
      <w:divBdr>
        <w:top w:val="none" w:sz="0" w:space="0" w:color="auto"/>
        <w:left w:val="none" w:sz="0" w:space="0" w:color="auto"/>
        <w:bottom w:val="none" w:sz="0" w:space="0" w:color="auto"/>
        <w:right w:val="none" w:sz="0" w:space="0" w:color="auto"/>
      </w:divBdr>
    </w:div>
    <w:div w:id="2077626445">
      <w:bodyDiv w:val="1"/>
      <w:marLeft w:val="0"/>
      <w:marRight w:val="0"/>
      <w:marTop w:val="0"/>
      <w:marBottom w:val="0"/>
      <w:divBdr>
        <w:top w:val="none" w:sz="0" w:space="0" w:color="auto"/>
        <w:left w:val="none" w:sz="0" w:space="0" w:color="auto"/>
        <w:bottom w:val="none" w:sz="0" w:space="0" w:color="auto"/>
        <w:right w:val="none" w:sz="0" w:space="0" w:color="auto"/>
      </w:divBdr>
    </w:div>
    <w:div w:id="2110616299">
      <w:bodyDiv w:val="1"/>
      <w:marLeft w:val="0"/>
      <w:marRight w:val="0"/>
      <w:marTop w:val="0"/>
      <w:marBottom w:val="0"/>
      <w:divBdr>
        <w:top w:val="none" w:sz="0" w:space="0" w:color="auto"/>
        <w:left w:val="none" w:sz="0" w:space="0" w:color="auto"/>
        <w:bottom w:val="none" w:sz="0" w:space="0" w:color="auto"/>
        <w:right w:val="none" w:sz="0" w:space="0" w:color="auto"/>
      </w:divBdr>
    </w:div>
    <w:div w:id="21170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28</TotalTime>
  <Pages>25</Pages>
  <Words>9117</Words>
  <Characters>57044</Characters>
  <Application>Microsoft Office Word</Application>
  <DocSecurity>0</DocSecurity>
  <Lines>475</Lines>
  <Paragraphs>132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2022060072 mt</dc:description>
  <cp:lastModifiedBy>Hanne Thy Iversen</cp:lastModifiedBy>
  <cp:revision>13</cp:revision>
  <cp:lastPrinted>2012-08-22T08:53:00Z</cp:lastPrinted>
  <dcterms:created xsi:type="dcterms:W3CDTF">2024-12-05T10:03:00Z</dcterms:created>
  <dcterms:modified xsi:type="dcterms:W3CDTF">2024-12-05T13:34:00Z</dcterms:modified>
</cp:coreProperties>
</file>