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98C07" w14:textId="68719E3A"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AC7A722" wp14:editId="48637B3F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47212AFA" w14:textId="51F8CD44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2C18D9">
        <w:rPr>
          <w:szCs w:val="24"/>
        </w:rPr>
        <w:t>1</w:t>
      </w:r>
      <w:r w:rsidR="009B224D">
        <w:rPr>
          <w:szCs w:val="24"/>
        </w:rPr>
        <w:t>3</w:t>
      </w:r>
      <w:r w:rsidR="002C18D9">
        <w:rPr>
          <w:szCs w:val="24"/>
        </w:rPr>
        <w:t xml:space="preserve">. </w:t>
      </w:r>
      <w:r w:rsidR="009B224D">
        <w:rPr>
          <w:szCs w:val="24"/>
        </w:rPr>
        <w:t>okto</w:t>
      </w:r>
      <w:r w:rsidR="002C18D9">
        <w:rPr>
          <w:szCs w:val="24"/>
        </w:rPr>
        <w:t>ber 202</w:t>
      </w:r>
      <w:r w:rsidR="009B224D">
        <w:rPr>
          <w:szCs w:val="24"/>
        </w:rPr>
        <w:t>3</w:t>
      </w:r>
    </w:p>
    <w:p w14:paraId="5E7AA40B" w14:textId="77777777"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21F41111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2B3F6F33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3B99CFF1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16CB3748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0D1479C2" w14:textId="77777777"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658FCE95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58F5126E" w14:textId="604AED06" w:rsidR="009260DE" w:rsidRPr="00C84483" w:rsidRDefault="00225C4E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Clotaxip</w:t>
      </w:r>
      <w:proofErr w:type="spellEnd"/>
      <w:r>
        <w:rPr>
          <w:b/>
          <w:sz w:val="24"/>
          <w:szCs w:val="24"/>
        </w:rPr>
        <w:t>, injektionsvæske, opløsning</w:t>
      </w:r>
    </w:p>
    <w:p w14:paraId="4CD0D9CE" w14:textId="77777777" w:rsidR="009260DE" w:rsidRPr="00D23FBF" w:rsidRDefault="009260DE" w:rsidP="009260DE">
      <w:pPr>
        <w:jc w:val="both"/>
        <w:rPr>
          <w:sz w:val="24"/>
          <w:szCs w:val="24"/>
        </w:rPr>
      </w:pPr>
    </w:p>
    <w:p w14:paraId="0340977F" w14:textId="77777777" w:rsidR="009260DE" w:rsidRPr="00D23FBF" w:rsidRDefault="009260DE" w:rsidP="009260DE">
      <w:pPr>
        <w:jc w:val="both"/>
        <w:rPr>
          <w:sz w:val="24"/>
          <w:szCs w:val="24"/>
        </w:rPr>
      </w:pPr>
    </w:p>
    <w:p w14:paraId="60008694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0.</w:t>
      </w:r>
      <w:r w:rsidRPr="00D23FBF">
        <w:rPr>
          <w:b/>
          <w:sz w:val="24"/>
          <w:szCs w:val="24"/>
        </w:rPr>
        <w:tab/>
        <w:t>D.SP.NR.</w:t>
      </w:r>
    </w:p>
    <w:p w14:paraId="0F37B263" w14:textId="1F4D4127" w:rsidR="009260DE" w:rsidRPr="00D23FBF" w:rsidRDefault="00AC20F6" w:rsidP="009260DE">
      <w:pPr>
        <w:tabs>
          <w:tab w:val="left" w:pos="851"/>
        </w:tabs>
        <w:ind w:left="851"/>
        <w:rPr>
          <w:sz w:val="24"/>
          <w:szCs w:val="24"/>
        </w:rPr>
      </w:pPr>
      <w:r w:rsidRPr="00D23FBF">
        <w:rPr>
          <w:sz w:val="24"/>
          <w:szCs w:val="24"/>
        </w:rPr>
        <w:t>32173</w:t>
      </w:r>
    </w:p>
    <w:p w14:paraId="66C3498B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E94192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1.</w:t>
      </w:r>
      <w:r w:rsidRPr="00D23FBF">
        <w:rPr>
          <w:b/>
          <w:sz w:val="24"/>
          <w:szCs w:val="24"/>
        </w:rPr>
        <w:tab/>
        <w:t>LÆGEMIDLETS NAVN</w:t>
      </w:r>
    </w:p>
    <w:p w14:paraId="4B856357" w14:textId="5D4FED4F" w:rsidR="009260DE" w:rsidRPr="00D23FBF" w:rsidRDefault="00AC20F6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D23FBF">
        <w:rPr>
          <w:sz w:val="24"/>
          <w:szCs w:val="24"/>
        </w:rPr>
        <w:t>Clotaxip</w:t>
      </w:r>
      <w:proofErr w:type="spellEnd"/>
    </w:p>
    <w:p w14:paraId="5740F09F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5BF2CE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2.</w:t>
      </w:r>
      <w:r w:rsidRPr="00D23FBF">
        <w:rPr>
          <w:b/>
          <w:sz w:val="24"/>
          <w:szCs w:val="24"/>
        </w:rPr>
        <w:tab/>
        <w:t>KVALITATIV OG KVANTITATIV SAMMENSÆTNING</w:t>
      </w:r>
    </w:p>
    <w:p w14:paraId="086D142A" w14:textId="77777777" w:rsidR="00710EF4" w:rsidRPr="00D23FBF" w:rsidRDefault="00710EF4" w:rsidP="00252A63">
      <w:pPr>
        <w:ind w:left="851"/>
        <w:rPr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Hver ml opløsning (= 1 ampul) indeholder 150 mikrogram </w:t>
      </w:r>
      <w:proofErr w:type="spellStart"/>
      <w:r w:rsidRPr="00D23FBF">
        <w:rPr>
          <w:sz w:val="24"/>
          <w:szCs w:val="24"/>
        </w:rPr>
        <w:t>clonidinhydrochlorid</w:t>
      </w:r>
      <w:proofErr w:type="spellEnd"/>
      <w:r w:rsidRPr="00D23FBF">
        <w:rPr>
          <w:sz w:val="24"/>
          <w:szCs w:val="24"/>
        </w:rPr>
        <w:t xml:space="preserve">. </w:t>
      </w:r>
    </w:p>
    <w:p w14:paraId="5BAB4A60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55512AC7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Alle hjælpestoffer er anført under pkt. 6.1. </w:t>
      </w:r>
    </w:p>
    <w:p w14:paraId="694D4BEB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6668EF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3.</w:t>
      </w:r>
      <w:r w:rsidRPr="00D23FBF">
        <w:rPr>
          <w:b/>
          <w:sz w:val="24"/>
          <w:szCs w:val="24"/>
        </w:rPr>
        <w:tab/>
        <w:t>LÆGEMIDDELFORM</w:t>
      </w:r>
    </w:p>
    <w:p w14:paraId="16A46A41" w14:textId="56CF5357" w:rsidR="00710EF4" w:rsidRPr="00D23FBF" w:rsidRDefault="00710EF4" w:rsidP="00252A63">
      <w:pPr>
        <w:ind w:left="851"/>
        <w:rPr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Injektionsvæske, opløsning </w:t>
      </w:r>
    </w:p>
    <w:p w14:paraId="3C8D0FC9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0AA37980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>Farveløs, klar opløsning uden synlige partikler, pH 5,0-7,0.</w:t>
      </w:r>
    </w:p>
    <w:p w14:paraId="796FE530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B85F91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3724B4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</w:t>
      </w:r>
      <w:r w:rsidRPr="00D23FBF">
        <w:rPr>
          <w:b/>
          <w:sz w:val="24"/>
          <w:szCs w:val="24"/>
        </w:rPr>
        <w:tab/>
        <w:t>KLINISKE OPLYSNINGER</w:t>
      </w:r>
    </w:p>
    <w:p w14:paraId="1E87DDDE" w14:textId="77777777" w:rsidR="009260DE" w:rsidRPr="00D23FBF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5D574445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D23FBF">
        <w:rPr>
          <w:b/>
          <w:sz w:val="24"/>
          <w:szCs w:val="24"/>
        </w:rPr>
        <w:t>4.1</w:t>
      </w:r>
      <w:r w:rsidRPr="00D23FBF">
        <w:rPr>
          <w:b/>
          <w:sz w:val="24"/>
          <w:szCs w:val="24"/>
        </w:rPr>
        <w:tab/>
        <w:t>Terapeutiske indikationer</w:t>
      </w:r>
    </w:p>
    <w:p w14:paraId="6BDEC73C" w14:textId="77777777" w:rsidR="00710EF4" w:rsidRPr="00D23FBF" w:rsidRDefault="00710EF4" w:rsidP="00252A63">
      <w:pPr>
        <w:ind w:left="851"/>
        <w:rPr>
          <w:sz w:val="24"/>
          <w:szCs w:val="24"/>
          <w:lang w:eastAsia="en-GB"/>
        </w:rPr>
      </w:pP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 er indiceret til behandling af </w:t>
      </w:r>
      <w:proofErr w:type="spellStart"/>
      <w:r w:rsidRPr="00D23FBF">
        <w:rPr>
          <w:sz w:val="24"/>
          <w:szCs w:val="24"/>
        </w:rPr>
        <w:t>hypertensive</w:t>
      </w:r>
      <w:proofErr w:type="spellEnd"/>
      <w:r w:rsidRPr="00D23FBF">
        <w:rPr>
          <w:sz w:val="24"/>
          <w:szCs w:val="24"/>
        </w:rPr>
        <w:t xml:space="preserve"> kriser hos voksne over 18 år. </w:t>
      </w:r>
    </w:p>
    <w:p w14:paraId="58D8AE68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A7A9D2" w14:textId="314919A5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4.2</w:t>
      </w:r>
      <w:r w:rsidRPr="00D23FBF">
        <w:rPr>
          <w:b/>
          <w:sz w:val="24"/>
          <w:szCs w:val="24"/>
        </w:rPr>
        <w:tab/>
        <w:t xml:space="preserve">Dosering og </w:t>
      </w:r>
      <w:r w:rsidR="009B224D">
        <w:rPr>
          <w:b/>
          <w:sz w:val="24"/>
          <w:szCs w:val="24"/>
        </w:rPr>
        <w:t>administration</w:t>
      </w:r>
    </w:p>
    <w:p w14:paraId="7094511A" w14:textId="77777777" w:rsidR="00BD5234" w:rsidRDefault="00BD5234" w:rsidP="00252A63">
      <w:pPr>
        <w:ind w:left="851"/>
        <w:rPr>
          <w:sz w:val="24"/>
          <w:szCs w:val="24"/>
        </w:rPr>
      </w:pPr>
    </w:p>
    <w:p w14:paraId="59ECC2DB" w14:textId="6ABD05CC" w:rsidR="00710EF4" w:rsidRPr="00BD5234" w:rsidRDefault="00710EF4" w:rsidP="00252A63">
      <w:pPr>
        <w:ind w:left="851"/>
        <w:rPr>
          <w:sz w:val="24"/>
          <w:szCs w:val="24"/>
          <w:u w:val="single"/>
        </w:rPr>
      </w:pPr>
      <w:r w:rsidRPr="00BD5234">
        <w:rPr>
          <w:sz w:val="24"/>
          <w:szCs w:val="24"/>
          <w:u w:val="single"/>
        </w:rPr>
        <w:t>Dosering</w:t>
      </w:r>
    </w:p>
    <w:p w14:paraId="6AFC33B5" w14:textId="77777777" w:rsidR="00710EF4" w:rsidRPr="00D23FBF" w:rsidRDefault="00710EF4" w:rsidP="00252A63">
      <w:pPr>
        <w:ind w:left="851"/>
        <w:rPr>
          <w:bCs/>
          <w:i/>
          <w:iCs/>
          <w:sz w:val="24"/>
          <w:szCs w:val="24"/>
        </w:rPr>
      </w:pPr>
    </w:p>
    <w:p w14:paraId="68589306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Behandling af </w:t>
      </w:r>
      <w:proofErr w:type="spellStart"/>
      <w:r w:rsidRPr="00D23FBF">
        <w:rPr>
          <w:sz w:val="24"/>
          <w:szCs w:val="24"/>
        </w:rPr>
        <w:t>hypertensive</w:t>
      </w:r>
      <w:proofErr w:type="spellEnd"/>
      <w:r w:rsidRPr="00D23FBF">
        <w:rPr>
          <w:sz w:val="24"/>
          <w:szCs w:val="24"/>
        </w:rPr>
        <w:t xml:space="preserve"> kriser kræver konstant lægeopsyn. Dosen af </w:t>
      </w: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 skal bestemmes på baggrund af trykresponset hos den enkelte patient. Ampullerne med </w:t>
      </w: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 kan administreres i forbindelse med </w:t>
      </w:r>
      <w:proofErr w:type="spellStart"/>
      <w:r w:rsidRPr="00D23FBF">
        <w:rPr>
          <w:sz w:val="24"/>
          <w:szCs w:val="24"/>
        </w:rPr>
        <w:t>hypertensive</w:t>
      </w:r>
      <w:proofErr w:type="spellEnd"/>
      <w:r w:rsidRPr="00D23FBF">
        <w:rPr>
          <w:sz w:val="24"/>
          <w:szCs w:val="24"/>
        </w:rPr>
        <w:t xml:space="preserve"> episoder og kun til hospitalsindlagte patienter. </w:t>
      </w:r>
    </w:p>
    <w:p w14:paraId="290D3927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7B565D30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Parenteral administration af </w:t>
      </w: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 bør ske, mens patienten ligger ned, for at undgå </w:t>
      </w:r>
      <w:proofErr w:type="spellStart"/>
      <w:r w:rsidRPr="00D23FBF">
        <w:rPr>
          <w:sz w:val="24"/>
          <w:szCs w:val="24"/>
        </w:rPr>
        <w:t>ortostatiske</w:t>
      </w:r>
      <w:proofErr w:type="spellEnd"/>
      <w:r w:rsidRPr="00D23FBF">
        <w:rPr>
          <w:sz w:val="24"/>
          <w:szCs w:val="24"/>
        </w:rPr>
        <w:t xml:space="preserve"> hændelser. </w:t>
      </w:r>
    </w:p>
    <w:p w14:paraId="3B41FA57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6D2DB7D7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lastRenderedPageBreak/>
        <w:t xml:space="preserve">Subkutane eller intramuskulære injektioner af </w:t>
      </w: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 bør gives i doser på 150 mikrogram (= 1 ml) pr. injektion.</w:t>
      </w:r>
    </w:p>
    <w:p w14:paraId="0DF2A3F3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30886A09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Ved intravenøs infusion skal 1 ml af injektionsvæsken fortyndes i 10 ml 0,9 % </w:t>
      </w:r>
      <w:proofErr w:type="spellStart"/>
      <w:r w:rsidRPr="00D23FBF">
        <w:rPr>
          <w:sz w:val="24"/>
          <w:szCs w:val="24"/>
        </w:rPr>
        <w:t>natriumchloridopløsning</w:t>
      </w:r>
      <w:proofErr w:type="spellEnd"/>
      <w:r w:rsidRPr="00D23FBF">
        <w:rPr>
          <w:sz w:val="24"/>
          <w:szCs w:val="24"/>
        </w:rPr>
        <w:t xml:space="preserve">. Den anbefalede dosis til intravenøs infusion er 0,2 mikrogram/kg/minut. For at undgå forbigående blodtryksstigninger bør infusionshastigheden ikke overstige 0,5 mikrogram/kg/minut. Der bør ikke anvendes mere end 150 mikrogram pr. infusion. </w:t>
      </w:r>
    </w:p>
    <w:p w14:paraId="7C589D0E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6E8E0E5B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Om nødvendigt kan </w:t>
      </w: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 administreres parenteralt op til fire gange om dagen. </w:t>
      </w:r>
    </w:p>
    <w:p w14:paraId="5AC9A507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04CCF402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>For instruktioner om fortynding af lægemidlet før administration, se pkt. 6.6.</w:t>
      </w:r>
    </w:p>
    <w:p w14:paraId="45B9AADF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7EDD050D" w14:textId="77777777" w:rsidR="00710EF4" w:rsidRPr="00BD5234" w:rsidRDefault="00710EF4" w:rsidP="00252A63">
      <w:pPr>
        <w:ind w:left="851"/>
        <w:rPr>
          <w:bCs/>
          <w:sz w:val="24"/>
          <w:szCs w:val="24"/>
          <w:u w:val="single"/>
        </w:rPr>
      </w:pPr>
      <w:r w:rsidRPr="00BD5234">
        <w:rPr>
          <w:bCs/>
          <w:sz w:val="24"/>
          <w:szCs w:val="24"/>
          <w:u w:val="single"/>
        </w:rPr>
        <w:t xml:space="preserve">Nedsat nyrefunktion </w:t>
      </w:r>
    </w:p>
    <w:p w14:paraId="0017ADFA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  <w:r w:rsidRPr="00D23FBF">
        <w:rPr>
          <w:color w:val="000000"/>
          <w:sz w:val="24"/>
          <w:szCs w:val="24"/>
        </w:rPr>
        <w:t xml:space="preserve">Doseringen skal justeres (se pkt. 4.4 og 5.2) i henhold til: </w:t>
      </w:r>
    </w:p>
    <w:p w14:paraId="2779F2D0" w14:textId="77777777" w:rsidR="00710EF4" w:rsidRPr="00D23FBF" w:rsidRDefault="00710EF4" w:rsidP="00252A63">
      <w:pPr>
        <w:pStyle w:val="Listeafsnit"/>
        <w:numPr>
          <w:ilvl w:val="0"/>
          <w:numId w:val="8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23FBF">
        <w:rPr>
          <w:sz w:val="24"/>
          <w:szCs w:val="24"/>
        </w:rPr>
        <w:t xml:space="preserve">det individuelle </w:t>
      </w:r>
      <w:proofErr w:type="spellStart"/>
      <w:r w:rsidRPr="00D23FBF">
        <w:rPr>
          <w:sz w:val="24"/>
          <w:szCs w:val="24"/>
        </w:rPr>
        <w:t>antihypertensive</w:t>
      </w:r>
      <w:proofErr w:type="spellEnd"/>
      <w:r w:rsidRPr="00D23FBF">
        <w:rPr>
          <w:sz w:val="24"/>
          <w:szCs w:val="24"/>
        </w:rPr>
        <w:t xml:space="preserve"> respons, som kan variere meget hos patienter med nedsat nyrefunktion. </w:t>
      </w:r>
    </w:p>
    <w:p w14:paraId="0C64E8BD" w14:textId="77777777" w:rsidR="00710EF4" w:rsidRPr="00D23FBF" w:rsidRDefault="00710EF4" w:rsidP="00252A63">
      <w:pPr>
        <w:pStyle w:val="Listeafsnit"/>
        <w:numPr>
          <w:ilvl w:val="0"/>
          <w:numId w:val="8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23FBF">
        <w:rPr>
          <w:sz w:val="24"/>
          <w:szCs w:val="24"/>
        </w:rPr>
        <w:t xml:space="preserve">graden af nedsat nyrefunktion. </w:t>
      </w:r>
    </w:p>
    <w:p w14:paraId="16414D3D" w14:textId="77777777" w:rsidR="00710EF4" w:rsidRPr="00D23FBF" w:rsidRDefault="00710EF4" w:rsidP="00710EF4">
      <w:pPr>
        <w:autoSpaceDE w:val="0"/>
        <w:autoSpaceDN w:val="0"/>
        <w:adjustRightInd w:val="0"/>
        <w:ind w:left="142" w:right="129"/>
        <w:rPr>
          <w:color w:val="000000"/>
          <w:sz w:val="24"/>
          <w:szCs w:val="24"/>
          <w:lang w:val="en-US" w:eastAsia="it-IT"/>
        </w:rPr>
      </w:pPr>
    </w:p>
    <w:p w14:paraId="623CE7F0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Nøje monitorering er påkrævet. </w:t>
      </w:r>
    </w:p>
    <w:p w14:paraId="559AC6AA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Eftersom hæmodialyse kun fjerner en minimal mængde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, er det ikke nødvendigt at give yderligere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efter dialyse.</w:t>
      </w:r>
    </w:p>
    <w:p w14:paraId="2DC457DA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606B15D8" w14:textId="77777777" w:rsidR="00710EF4" w:rsidRPr="00D23FBF" w:rsidRDefault="00710EF4" w:rsidP="00252A63">
      <w:pPr>
        <w:ind w:left="851"/>
        <w:rPr>
          <w:bCs/>
          <w:sz w:val="24"/>
          <w:szCs w:val="24"/>
          <w:u w:val="single"/>
        </w:rPr>
      </w:pPr>
      <w:r w:rsidRPr="00D23FBF">
        <w:rPr>
          <w:bCs/>
          <w:sz w:val="24"/>
          <w:szCs w:val="24"/>
          <w:u w:val="single"/>
        </w:rPr>
        <w:t>Pædiatrisk population</w:t>
      </w:r>
    </w:p>
    <w:p w14:paraId="0731DC89" w14:textId="77777777" w:rsidR="00710EF4" w:rsidRPr="00D23FBF" w:rsidRDefault="00710EF4" w:rsidP="00252A63">
      <w:pPr>
        <w:ind w:left="851"/>
        <w:rPr>
          <w:i/>
          <w:noProof/>
          <w:color w:val="008000"/>
          <w:sz w:val="24"/>
          <w:szCs w:val="24"/>
        </w:rPr>
      </w:pPr>
      <w:proofErr w:type="spellStart"/>
      <w:r w:rsidRPr="00D23FBF">
        <w:rPr>
          <w:sz w:val="24"/>
          <w:szCs w:val="24"/>
        </w:rPr>
        <w:t>Clotaxips</w:t>
      </w:r>
      <w:proofErr w:type="spellEnd"/>
      <w:r w:rsidRPr="00D23FBF">
        <w:rPr>
          <w:sz w:val="24"/>
          <w:szCs w:val="24"/>
        </w:rPr>
        <w:t xml:space="preserve"> sikkerhed og virkning hos børn under 18 år er ikke klarlagt.</w:t>
      </w:r>
    </w:p>
    <w:p w14:paraId="1EE617D0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Det frarådes derfor at anvende </w:t>
      </w: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 til pædiatriske patienter under 18år.</w:t>
      </w:r>
    </w:p>
    <w:p w14:paraId="0DC42398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963B10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4.3</w:t>
      </w:r>
      <w:r w:rsidRPr="00D23FBF">
        <w:rPr>
          <w:b/>
          <w:sz w:val="24"/>
          <w:szCs w:val="24"/>
        </w:rPr>
        <w:tab/>
        <w:t>Kontraindikationer</w:t>
      </w:r>
    </w:p>
    <w:p w14:paraId="4EE755B9" w14:textId="77777777" w:rsidR="00710EF4" w:rsidRPr="00D23FBF" w:rsidRDefault="00710EF4" w:rsidP="00252A63">
      <w:pPr>
        <w:ind w:left="851"/>
        <w:rPr>
          <w:sz w:val="24"/>
          <w:szCs w:val="24"/>
        </w:rPr>
      </w:pP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 bør ikke anvendes til patienter med:</w:t>
      </w:r>
    </w:p>
    <w:p w14:paraId="1BD08043" w14:textId="77777777" w:rsidR="00710EF4" w:rsidRPr="00D23FBF" w:rsidRDefault="00710EF4" w:rsidP="00252A63">
      <w:pPr>
        <w:pStyle w:val="Listeafsnit"/>
        <w:numPr>
          <w:ilvl w:val="0"/>
          <w:numId w:val="9"/>
        </w:numPr>
        <w:tabs>
          <w:tab w:val="clear" w:pos="567"/>
        </w:tabs>
        <w:ind w:left="1276" w:hanging="425"/>
        <w:rPr>
          <w:bCs/>
          <w:sz w:val="24"/>
          <w:szCs w:val="24"/>
        </w:rPr>
      </w:pPr>
      <w:r w:rsidRPr="00D23FBF">
        <w:rPr>
          <w:sz w:val="24"/>
          <w:szCs w:val="24"/>
        </w:rPr>
        <w:t xml:space="preserve">overfølsomhed over for det aktive stof eller over for et eller flere af hjælpestofferne </w:t>
      </w:r>
      <w:r w:rsidRPr="00D23FBF">
        <w:rPr>
          <w:bCs/>
          <w:sz w:val="24"/>
          <w:szCs w:val="24"/>
        </w:rPr>
        <w:t xml:space="preserve">anført i pkt. 6.1  </w:t>
      </w:r>
    </w:p>
    <w:p w14:paraId="28D54CF4" w14:textId="77777777" w:rsidR="00710EF4" w:rsidRPr="00D23FBF" w:rsidRDefault="00710EF4" w:rsidP="00252A63">
      <w:pPr>
        <w:pStyle w:val="Listeafsnit"/>
        <w:numPr>
          <w:ilvl w:val="0"/>
          <w:numId w:val="9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23FBF">
        <w:rPr>
          <w:sz w:val="24"/>
          <w:szCs w:val="24"/>
        </w:rPr>
        <w:t xml:space="preserve">svær </w:t>
      </w:r>
      <w:proofErr w:type="spellStart"/>
      <w:r w:rsidRPr="00D23FBF">
        <w:rPr>
          <w:sz w:val="24"/>
          <w:szCs w:val="24"/>
        </w:rPr>
        <w:t>bradyarytmi</w:t>
      </w:r>
      <w:proofErr w:type="spellEnd"/>
      <w:r w:rsidRPr="00D23FBF">
        <w:rPr>
          <w:sz w:val="24"/>
          <w:szCs w:val="24"/>
        </w:rPr>
        <w:t xml:space="preserve">, enten som følge af syg sinus-syndrom eller </w:t>
      </w:r>
      <w:proofErr w:type="spellStart"/>
      <w:r w:rsidRPr="00D23FBF">
        <w:rPr>
          <w:sz w:val="24"/>
          <w:szCs w:val="24"/>
        </w:rPr>
        <w:t>atrioventrikulært</w:t>
      </w:r>
      <w:proofErr w:type="spellEnd"/>
      <w:r w:rsidRPr="00D23FBF">
        <w:rPr>
          <w:sz w:val="24"/>
          <w:szCs w:val="24"/>
        </w:rPr>
        <w:t xml:space="preserve"> blok af anden eller tredje grad. </w:t>
      </w:r>
    </w:p>
    <w:p w14:paraId="19F5F27A" w14:textId="77777777" w:rsidR="00710EF4" w:rsidRPr="00D23FBF" w:rsidRDefault="00710EF4" w:rsidP="00252A63">
      <w:pPr>
        <w:pStyle w:val="Listeafsnit"/>
        <w:numPr>
          <w:ilvl w:val="0"/>
          <w:numId w:val="9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23FBF">
        <w:rPr>
          <w:sz w:val="24"/>
          <w:szCs w:val="24"/>
        </w:rPr>
        <w:t>hypotension.</w:t>
      </w:r>
    </w:p>
    <w:p w14:paraId="0CA1AFF8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E86D93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4.4</w:t>
      </w:r>
      <w:r w:rsidRPr="00D23FBF">
        <w:rPr>
          <w:b/>
          <w:sz w:val="24"/>
          <w:szCs w:val="24"/>
        </w:rPr>
        <w:tab/>
        <w:t>Særlige advarsler og forsigtighedsregler vedrørende brugen</w:t>
      </w:r>
    </w:p>
    <w:p w14:paraId="593C37C1" w14:textId="77777777" w:rsidR="00710EF4" w:rsidRPr="00D23FBF" w:rsidRDefault="00710EF4" w:rsidP="00252A63">
      <w:pPr>
        <w:ind w:left="851"/>
        <w:rPr>
          <w:sz w:val="24"/>
          <w:szCs w:val="24"/>
          <w:lang w:eastAsia="en-GB"/>
        </w:rPr>
      </w:pP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 bør anvendes med forsigtighed hos patienter med svær </w:t>
      </w:r>
      <w:proofErr w:type="spellStart"/>
      <w:r w:rsidRPr="00D23FBF">
        <w:rPr>
          <w:sz w:val="24"/>
          <w:szCs w:val="24"/>
        </w:rPr>
        <w:t>koronarinsufficiens</w:t>
      </w:r>
      <w:proofErr w:type="spellEnd"/>
      <w:r w:rsidRPr="00D23FBF">
        <w:rPr>
          <w:sz w:val="24"/>
          <w:szCs w:val="24"/>
        </w:rPr>
        <w:t xml:space="preserve">, kronisk nyresvigt, </w:t>
      </w:r>
      <w:proofErr w:type="spellStart"/>
      <w:r w:rsidRPr="00D23FBF">
        <w:rPr>
          <w:sz w:val="24"/>
          <w:szCs w:val="24"/>
        </w:rPr>
        <w:t>cerebrovaskulær</w:t>
      </w:r>
      <w:proofErr w:type="spellEnd"/>
      <w:r w:rsidRPr="00D23FBF">
        <w:rPr>
          <w:sz w:val="24"/>
          <w:szCs w:val="24"/>
        </w:rPr>
        <w:t xml:space="preserve"> sygdom, nyligt myokardieinfarkt, mild eller moderat </w:t>
      </w:r>
      <w:proofErr w:type="spellStart"/>
      <w:r w:rsidRPr="00D23FBF">
        <w:rPr>
          <w:sz w:val="24"/>
          <w:szCs w:val="24"/>
        </w:rPr>
        <w:t>bradyarytmi</w:t>
      </w:r>
      <w:proofErr w:type="spellEnd"/>
      <w:r w:rsidRPr="00D23FBF">
        <w:rPr>
          <w:sz w:val="24"/>
          <w:szCs w:val="24"/>
        </w:rPr>
        <w:t xml:space="preserve"> og obstipation. </w:t>
      </w:r>
    </w:p>
    <w:p w14:paraId="7633D481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3D6C608F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Administration til patienter med </w:t>
      </w:r>
      <w:proofErr w:type="spellStart"/>
      <w:r w:rsidRPr="00D23FBF">
        <w:rPr>
          <w:sz w:val="24"/>
          <w:szCs w:val="24"/>
        </w:rPr>
        <w:t>polyneuropati</w:t>
      </w:r>
      <w:proofErr w:type="spellEnd"/>
      <w:r w:rsidRPr="00D23FBF">
        <w:rPr>
          <w:sz w:val="24"/>
          <w:szCs w:val="24"/>
        </w:rPr>
        <w:t xml:space="preserve">, </w:t>
      </w:r>
      <w:proofErr w:type="spellStart"/>
      <w:r w:rsidRPr="00D23FBF">
        <w:rPr>
          <w:sz w:val="24"/>
          <w:szCs w:val="24"/>
        </w:rPr>
        <w:t>Raynauds</w:t>
      </w:r>
      <w:proofErr w:type="spellEnd"/>
      <w:r w:rsidRPr="00D23FBF">
        <w:rPr>
          <w:sz w:val="24"/>
          <w:szCs w:val="24"/>
        </w:rPr>
        <w:t xml:space="preserve"> sygdom og anden </w:t>
      </w:r>
      <w:proofErr w:type="spellStart"/>
      <w:r w:rsidRPr="00D23FBF">
        <w:rPr>
          <w:sz w:val="24"/>
          <w:szCs w:val="24"/>
        </w:rPr>
        <w:t>okklusiv</w:t>
      </w:r>
      <w:proofErr w:type="spellEnd"/>
      <w:r w:rsidRPr="00D23FBF">
        <w:rPr>
          <w:sz w:val="24"/>
          <w:szCs w:val="24"/>
        </w:rPr>
        <w:t xml:space="preserve"> perifer arteriesygdom skal ske med største forsigtighed. </w:t>
      </w:r>
    </w:p>
    <w:p w14:paraId="01C125FE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69DB4528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Ved hypertension på grund af </w:t>
      </w:r>
      <w:proofErr w:type="spellStart"/>
      <w:r w:rsidRPr="00D23FBF">
        <w:rPr>
          <w:sz w:val="24"/>
          <w:szCs w:val="24"/>
        </w:rPr>
        <w:t>fæokromocytom</w:t>
      </w:r>
      <w:proofErr w:type="spellEnd"/>
      <w:r w:rsidRPr="00D23FBF">
        <w:rPr>
          <w:sz w:val="24"/>
          <w:szCs w:val="24"/>
        </w:rPr>
        <w:t xml:space="preserve"> kan der ikke forventes nogen terapeutisk virkning af </w:t>
      </w: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. </w:t>
      </w:r>
    </w:p>
    <w:p w14:paraId="1BF8FF1B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3A5F64AF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Ligesom det er tilfældet med andre </w:t>
      </w:r>
      <w:proofErr w:type="spellStart"/>
      <w:r w:rsidRPr="00D23FBF">
        <w:rPr>
          <w:sz w:val="24"/>
          <w:szCs w:val="24"/>
        </w:rPr>
        <w:t>antihypertensiva</w:t>
      </w:r>
      <w:proofErr w:type="spellEnd"/>
      <w:r w:rsidRPr="00D23FBF">
        <w:rPr>
          <w:sz w:val="24"/>
          <w:szCs w:val="24"/>
        </w:rPr>
        <w:t xml:space="preserve">, bør behandling med </w:t>
      </w: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 monitoreres særligt nøje hos patienter med hjertesvigt eller svær </w:t>
      </w:r>
      <w:proofErr w:type="spellStart"/>
      <w:r w:rsidRPr="00D23FBF">
        <w:rPr>
          <w:sz w:val="24"/>
          <w:szCs w:val="24"/>
        </w:rPr>
        <w:t>koronar</w:t>
      </w:r>
      <w:proofErr w:type="spellEnd"/>
      <w:r w:rsidRPr="00D23FBF">
        <w:rPr>
          <w:sz w:val="24"/>
          <w:szCs w:val="24"/>
        </w:rPr>
        <w:t xml:space="preserve"> hjertesygdom. </w:t>
      </w:r>
    </w:p>
    <w:p w14:paraId="78A6580D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208CD9B2" w14:textId="77777777" w:rsidR="00710EF4" w:rsidRPr="00D23FBF" w:rsidRDefault="00710EF4" w:rsidP="00252A63">
      <w:pPr>
        <w:ind w:left="851"/>
        <w:rPr>
          <w:sz w:val="24"/>
          <w:szCs w:val="24"/>
        </w:rPr>
      </w:pP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, det aktive stof i </w:t>
      </w: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, og dets metabolitter udskilles i omfattende grad i urinen. Doseringen skal justeres hos patienter med nedsat nyrefunktion (se pkt. 4.2 og 5.2) </w:t>
      </w:r>
    </w:p>
    <w:p w14:paraId="56883597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427CB6F9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lastRenderedPageBreak/>
        <w:t xml:space="preserve">I den første uge af behandlingen kan </w:t>
      </w:r>
      <w:proofErr w:type="spellStart"/>
      <w:r w:rsidRPr="00D23FBF">
        <w:rPr>
          <w:sz w:val="24"/>
          <w:szCs w:val="24"/>
        </w:rPr>
        <w:t>Clotaxips</w:t>
      </w:r>
      <w:proofErr w:type="spellEnd"/>
      <w:r w:rsidRPr="00D23FBF">
        <w:rPr>
          <w:sz w:val="24"/>
          <w:szCs w:val="24"/>
        </w:rPr>
        <w:t xml:space="preserve"> </w:t>
      </w:r>
      <w:proofErr w:type="spellStart"/>
      <w:r w:rsidRPr="00D23FBF">
        <w:rPr>
          <w:sz w:val="24"/>
          <w:szCs w:val="24"/>
        </w:rPr>
        <w:t>hypotensive</w:t>
      </w:r>
      <w:proofErr w:type="spellEnd"/>
      <w:r w:rsidRPr="00D23FBF">
        <w:rPr>
          <w:sz w:val="24"/>
          <w:szCs w:val="24"/>
        </w:rPr>
        <w:t xml:space="preserve"> virkning være forbundet med en sederende virkning (se pkt. 4.8). </w:t>
      </w:r>
      <w:proofErr w:type="spellStart"/>
      <w:r w:rsidRPr="00D23FBF">
        <w:rPr>
          <w:sz w:val="24"/>
          <w:szCs w:val="24"/>
        </w:rPr>
        <w:t>Sederingen</w:t>
      </w:r>
      <w:proofErr w:type="spellEnd"/>
      <w:r w:rsidRPr="00D23FBF">
        <w:rPr>
          <w:sz w:val="24"/>
          <w:szCs w:val="24"/>
        </w:rPr>
        <w:t xml:space="preserve"> aftager som regel i løbet af behandlingen. Om nødvendigt skal doseringen reduceres under lægeligt opsyn. </w:t>
      </w:r>
    </w:p>
    <w:p w14:paraId="4584557C" w14:textId="77777777" w:rsidR="00710EF4" w:rsidRPr="00D23FBF" w:rsidRDefault="00710EF4" w:rsidP="00252A63">
      <w:pPr>
        <w:ind w:left="851"/>
        <w:rPr>
          <w:sz w:val="24"/>
          <w:szCs w:val="24"/>
          <w:lang w:eastAsia="en-GB"/>
        </w:rPr>
      </w:pPr>
    </w:p>
    <w:p w14:paraId="00D04686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Der skal også udvises forsigtighed hos depressive patienter eller patienter, der har lidt af depressive forstyrrelser, da der er i sjældne tilfælde er rapporteret om indtræden eller forstærkning af sådanne forstyrrelser i forbindelse med </w:t>
      </w:r>
      <w:proofErr w:type="spellStart"/>
      <w:r w:rsidRPr="00D23FBF">
        <w:rPr>
          <w:sz w:val="24"/>
          <w:szCs w:val="24"/>
        </w:rPr>
        <w:t>clonidinbehandling</w:t>
      </w:r>
      <w:proofErr w:type="spellEnd"/>
      <w:r w:rsidRPr="00D23FBF">
        <w:rPr>
          <w:sz w:val="24"/>
          <w:szCs w:val="24"/>
        </w:rPr>
        <w:t xml:space="preserve"> (se pkt. 4.8).</w:t>
      </w:r>
    </w:p>
    <w:p w14:paraId="512E394D" w14:textId="77777777" w:rsidR="00710EF4" w:rsidRPr="00D23FBF" w:rsidRDefault="00710EF4" w:rsidP="00252A63">
      <w:pPr>
        <w:ind w:left="851"/>
        <w:rPr>
          <w:sz w:val="24"/>
          <w:szCs w:val="24"/>
          <w:lang w:eastAsia="en-GB"/>
        </w:rPr>
      </w:pPr>
    </w:p>
    <w:p w14:paraId="755928C5" w14:textId="77777777" w:rsidR="00710EF4" w:rsidRPr="00D23FBF" w:rsidRDefault="00710EF4" w:rsidP="00252A63">
      <w:pPr>
        <w:ind w:left="851"/>
        <w:rPr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Patienterne skal informeres om, at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kan forstærke virkningen af andre midler, der hæmmer centralnervesystemet, såsom opioidagonister, </w:t>
      </w:r>
      <w:proofErr w:type="spellStart"/>
      <w:r w:rsidRPr="00D23FBF">
        <w:rPr>
          <w:sz w:val="24"/>
          <w:szCs w:val="24"/>
        </w:rPr>
        <w:t>analgetika</w:t>
      </w:r>
      <w:proofErr w:type="spellEnd"/>
      <w:r w:rsidRPr="00D23FBF">
        <w:rPr>
          <w:sz w:val="24"/>
          <w:szCs w:val="24"/>
        </w:rPr>
        <w:t xml:space="preserve">, barbiturater, </w:t>
      </w:r>
      <w:proofErr w:type="spellStart"/>
      <w:r w:rsidRPr="00D23FBF">
        <w:rPr>
          <w:sz w:val="24"/>
          <w:szCs w:val="24"/>
        </w:rPr>
        <w:t>sedativa</w:t>
      </w:r>
      <w:proofErr w:type="spellEnd"/>
      <w:r w:rsidRPr="00D23FBF">
        <w:rPr>
          <w:sz w:val="24"/>
          <w:szCs w:val="24"/>
        </w:rPr>
        <w:t xml:space="preserve">, </w:t>
      </w:r>
      <w:proofErr w:type="spellStart"/>
      <w:r w:rsidRPr="00D23FBF">
        <w:rPr>
          <w:sz w:val="24"/>
          <w:szCs w:val="24"/>
        </w:rPr>
        <w:t>anæstetika</w:t>
      </w:r>
      <w:proofErr w:type="spellEnd"/>
      <w:r w:rsidRPr="00D23FBF">
        <w:rPr>
          <w:sz w:val="24"/>
          <w:szCs w:val="24"/>
        </w:rPr>
        <w:t xml:space="preserve"> og alkohol (se pkt. 4.5). </w:t>
      </w:r>
    </w:p>
    <w:p w14:paraId="787E0526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15987F1D" w14:textId="77777777" w:rsidR="00710EF4" w:rsidRPr="00D23FBF" w:rsidRDefault="00710EF4" w:rsidP="00252A63">
      <w:pPr>
        <w:ind w:left="851"/>
        <w:rPr>
          <w:sz w:val="24"/>
          <w:szCs w:val="24"/>
          <w:u w:val="single"/>
        </w:rPr>
      </w:pPr>
      <w:proofErr w:type="spellStart"/>
      <w:r w:rsidRPr="00D23FBF">
        <w:rPr>
          <w:sz w:val="24"/>
          <w:szCs w:val="24"/>
          <w:u w:val="single"/>
        </w:rPr>
        <w:t>Seponering</w:t>
      </w:r>
      <w:proofErr w:type="spellEnd"/>
      <w:r w:rsidRPr="00D23FBF">
        <w:rPr>
          <w:sz w:val="24"/>
          <w:szCs w:val="24"/>
          <w:u w:val="single"/>
        </w:rPr>
        <w:t xml:space="preserve"> af behandlingen </w:t>
      </w:r>
    </w:p>
    <w:p w14:paraId="16513C33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Hvis det er nødvendigt at afbryde behandlingen, må det kun ske under lægeopsyn ved gradvis dosisnedtrapning over en periode på nogle dage for at undgå en hurtig stigning i blodtrykket og typiske symptomer herpå (rastløshed, </w:t>
      </w:r>
      <w:proofErr w:type="spellStart"/>
      <w:r w:rsidRPr="00D23FBF">
        <w:rPr>
          <w:sz w:val="24"/>
          <w:szCs w:val="24"/>
        </w:rPr>
        <w:t>palpitationer</w:t>
      </w:r>
      <w:proofErr w:type="spellEnd"/>
      <w:r w:rsidRPr="00D23FBF">
        <w:rPr>
          <w:sz w:val="24"/>
          <w:szCs w:val="24"/>
        </w:rPr>
        <w:t xml:space="preserve">, nervøsitet, </w:t>
      </w:r>
      <w:proofErr w:type="spellStart"/>
      <w:r w:rsidRPr="00D23FBF">
        <w:rPr>
          <w:sz w:val="24"/>
          <w:szCs w:val="24"/>
        </w:rPr>
        <w:t>tremor</w:t>
      </w:r>
      <w:proofErr w:type="spellEnd"/>
      <w:r w:rsidRPr="00D23FBF">
        <w:rPr>
          <w:sz w:val="24"/>
          <w:szCs w:val="24"/>
        </w:rPr>
        <w:t xml:space="preserve">, hovedpine, kvalme osv.). Lægen bør reducere dosen gradvist over 2-4 dage, når behandlingen skal seponeres. Markant stigning i blodtrykket efter </w:t>
      </w:r>
      <w:proofErr w:type="spellStart"/>
      <w:r w:rsidRPr="00D23FBF">
        <w:rPr>
          <w:sz w:val="24"/>
          <w:szCs w:val="24"/>
        </w:rPr>
        <w:t>seponering</w:t>
      </w:r>
      <w:proofErr w:type="spellEnd"/>
      <w:r w:rsidRPr="00D23FBF">
        <w:rPr>
          <w:sz w:val="24"/>
          <w:szCs w:val="24"/>
        </w:rPr>
        <w:t xml:space="preserve"> af </w:t>
      </w: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 kan reverseres med intravenøst </w:t>
      </w:r>
      <w:proofErr w:type="spellStart"/>
      <w:r w:rsidRPr="00D23FBF">
        <w:rPr>
          <w:sz w:val="24"/>
          <w:szCs w:val="24"/>
        </w:rPr>
        <w:t>phentolamin</w:t>
      </w:r>
      <w:proofErr w:type="spellEnd"/>
      <w:r w:rsidRPr="00D23FBF">
        <w:rPr>
          <w:sz w:val="24"/>
          <w:szCs w:val="24"/>
        </w:rPr>
        <w:t xml:space="preserve"> eller </w:t>
      </w:r>
      <w:proofErr w:type="spellStart"/>
      <w:r w:rsidRPr="00D23FBF">
        <w:rPr>
          <w:sz w:val="24"/>
          <w:szCs w:val="24"/>
        </w:rPr>
        <w:t>tolazolin</w:t>
      </w:r>
      <w:proofErr w:type="spellEnd"/>
      <w:r w:rsidRPr="00D23FBF">
        <w:rPr>
          <w:sz w:val="24"/>
          <w:szCs w:val="24"/>
        </w:rPr>
        <w:t xml:space="preserve"> (se pkt. 4.5). Hvis langvarig behandling med en betablokker skal afbrydes, skal betablokkeren nedtrappes først, derefter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>.</w:t>
      </w:r>
    </w:p>
    <w:p w14:paraId="457F4100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3DED79FD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Patienter, der bruger kontaktlinser, bør informeres om, at behandling med </w:t>
      </w: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 kan medføre nedsat tåresekretion. </w:t>
      </w:r>
    </w:p>
    <w:p w14:paraId="5A6DA258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</w:p>
    <w:p w14:paraId="3AF9F617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  <w:r w:rsidRPr="00D23FBF">
        <w:rPr>
          <w:sz w:val="24"/>
          <w:szCs w:val="24"/>
        </w:rPr>
        <w:t xml:space="preserve">Der er utilstrækkelig understøttende evidens for </w:t>
      </w:r>
      <w:proofErr w:type="spellStart"/>
      <w:r w:rsidRPr="00D23FBF">
        <w:rPr>
          <w:sz w:val="24"/>
          <w:szCs w:val="24"/>
        </w:rPr>
        <w:t>clonidins</w:t>
      </w:r>
      <w:proofErr w:type="spellEnd"/>
      <w:r w:rsidRPr="00D23FBF">
        <w:rPr>
          <w:sz w:val="24"/>
          <w:szCs w:val="24"/>
        </w:rPr>
        <w:t xml:space="preserve"> anvendelse og sikkerhed hos børn og unge fra randomiserede kontrollerede studier. Derfor kan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ikke anbefales i denne population (se pkt. 4.2).</w:t>
      </w:r>
      <w:r w:rsidRPr="00D23FBF">
        <w:rPr>
          <w:color w:val="000000"/>
          <w:sz w:val="24"/>
          <w:szCs w:val="24"/>
        </w:rPr>
        <w:t xml:space="preserve"> </w:t>
      </w:r>
    </w:p>
    <w:p w14:paraId="2262AE51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</w:p>
    <w:p w14:paraId="7C0BD00E" w14:textId="77777777" w:rsidR="009B224D" w:rsidRPr="00E65FCF" w:rsidRDefault="009B224D" w:rsidP="009B224D">
      <w:pPr>
        <w:ind w:left="851"/>
        <w:rPr>
          <w:sz w:val="24"/>
          <w:szCs w:val="24"/>
          <w:u w:val="single"/>
        </w:rPr>
      </w:pPr>
      <w:proofErr w:type="spellStart"/>
      <w:r w:rsidRPr="00E65FCF">
        <w:rPr>
          <w:sz w:val="24"/>
          <w:szCs w:val="24"/>
          <w:u w:val="single"/>
        </w:rPr>
        <w:t>Clotaxip</w:t>
      </w:r>
      <w:proofErr w:type="spellEnd"/>
      <w:r w:rsidRPr="00E65FCF">
        <w:rPr>
          <w:sz w:val="24"/>
          <w:szCs w:val="24"/>
          <w:u w:val="single"/>
        </w:rPr>
        <w:t xml:space="preserve"> indeholder natrium</w:t>
      </w:r>
    </w:p>
    <w:p w14:paraId="6C399A73" w14:textId="77777777" w:rsidR="009B224D" w:rsidRDefault="009B224D" w:rsidP="009B224D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>Dette lægemiddel indeholder mindre end 1 mmol (23 mg) natrium pr. ampul, dvs. det er i det væsentlige natriumfrit.</w:t>
      </w:r>
    </w:p>
    <w:p w14:paraId="78E7273C" w14:textId="77777777" w:rsidR="009B224D" w:rsidRDefault="009B224D" w:rsidP="009B224D">
      <w:pPr>
        <w:ind w:left="851"/>
        <w:rPr>
          <w:sz w:val="24"/>
          <w:szCs w:val="24"/>
        </w:rPr>
      </w:pPr>
    </w:p>
    <w:p w14:paraId="56D91392" w14:textId="77777777" w:rsidR="009B224D" w:rsidRPr="00D23FBF" w:rsidRDefault="009B224D" w:rsidP="009B224D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Hvis lægemidlet fortyndes i 10 ml 0,9 % NaCl injektionsvæske, indeholder den fortyndede opløsning 38,9 </w:t>
      </w:r>
      <w:r w:rsidRPr="002E40B8">
        <w:rPr>
          <w:noProof/>
          <w:sz w:val="24"/>
          <w:szCs w:val="24"/>
        </w:rPr>
        <w:t xml:space="preserve">mg natrium pr. </w:t>
      </w:r>
      <w:r>
        <w:rPr>
          <w:noProof/>
          <w:sz w:val="24"/>
          <w:szCs w:val="24"/>
        </w:rPr>
        <w:t>10 ml</w:t>
      </w:r>
      <w:r w:rsidRPr="002E40B8">
        <w:rPr>
          <w:noProof/>
          <w:sz w:val="24"/>
          <w:szCs w:val="24"/>
        </w:rPr>
        <w:t xml:space="preserve">, svarende til </w:t>
      </w:r>
      <w:r>
        <w:rPr>
          <w:noProof/>
          <w:sz w:val="24"/>
          <w:szCs w:val="24"/>
        </w:rPr>
        <w:t>2 </w:t>
      </w:r>
      <w:r w:rsidRPr="002E40B8">
        <w:rPr>
          <w:noProof/>
          <w:sz w:val="24"/>
          <w:szCs w:val="24"/>
        </w:rPr>
        <w:t>% af den WHO</w:t>
      </w:r>
      <w:r>
        <w:rPr>
          <w:noProof/>
          <w:sz w:val="24"/>
          <w:szCs w:val="24"/>
        </w:rPr>
        <w:t>-</w:t>
      </w:r>
      <w:r w:rsidRPr="002E40B8">
        <w:rPr>
          <w:noProof/>
          <w:sz w:val="24"/>
          <w:szCs w:val="24"/>
        </w:rPr>
        <w:t>anbefalede ma</w:t>
      </w:r>
      <w:r>
        <w:rPr>
          <w:noProof/>
          <w:sz w:val="24"/>
          <w:szCs w:val="24"/>
        </w:rPr>
        <w:t>ks</w:t>
      </w:r>
      <w:r w:rsidRPr="002E40B8">
        <w:rPr>
          <w:noProof/>
          <w:sz w:val="24"/>
          <w:szCs w:val="24"/>
        </w:rPr>
        <w:t>imale daglige indtagelse af 2</w:t>
      </w:r>
      <w:r>
        <w:rPr>
          <w:noProof/>
          <w:sz w:val="24"/>
          <w:szCs w:val="24"/>
        </w:rPr>
        <w:t> </w:t>
      </w:r>
      <w:r w:rsidRPr="002E40B8">
        <w:rPr>
          <w:noProof/>
          <w:sz w:val="24"/>
          <w:szCs w:val="24"/>
        </w:rPr>
        <w:t>g natrium for en voksen.</w:t>
      </w:r>
    </w:p>
    <w:p w14:paraId="3C5E2DE1" w14:textId="77777777" w:rsidR="009260DE" w:rsidRPr="00D23FBF" w:rsidRDefault="009260DE" w:rsidP="009B224D">
      <w:pPr>
        <w:tabs>
          <w:tab w:val="left" w:pos="851"/>
        </w:tabs>
        <w:rPr>
          <w:sz w:val="24"/>
          <w:szCs w:val="24"/>
        </w:rPr>
      </w:pPr>
    </w:p>
    <w:p w14:paraId="0412F658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4.5</w:t>
      </w:r>
      <w:r w:rsidRPr="00D23FBF">
        <w:rPr>
          <w:b/>
          <w:sz w:val="24"/>
          <w:szCs w:val="24"/>
        </w:rPr>
        <w:tab/>
        <w:t>Interaktion med andre lægemidler og andre former for interaktion</w:t>
      </w:r>
    </w:p>
    <w:p w14:paraId="0550917E" w14:textId="77777777" w:rsidR="00D217DF" w:rsidRDefault="00D217DF" w:rsidP="00252A63">
      <w:pPr>
        <w:ind w:left="851"/>
        <w:rPr>
          <w:sz w:val="24"/>
          <w:szCs w:val="24"/>
        </w:rPr>
      </w:pPr>
    </w:p>
    <w:p w14:paraId="1FDA38FF" w14:textId="68F11F74" w:rsidR="00710EF4" w:rsidRPr="00D217DF" w:rsidRDefault="00710EF4" w:rsidP="00252A63">
      <w:pPr>
        <w:ind w:left="851"/>
        <w:rPr>
          <w:sz w:val="24"/>
          <w:szCs w:val="24"/>
          <w:u w:val="single"/>
          <w:lang w:eastAsia="en-GB"/>
        </w:rPr>
      </w:pPr>
      <w:proofErr w:type="spellStart"/>
      <w:r w:rsidRPr="00D217DF">
        <w:rPr>
          <w:sz w:val="24"/>
          <w:szCs w:val="24"/>
          <w:u w:val="single"/>
        </w:rPr>
        <w:t>Kardiovaskulære</w:t>
      </w:r>
      <w:proofErr w:type="spellEnd"/>
      <w:r w:rsidRPr="00D217DF">
        <w:rPr>
          <w:sz w:val="24"/>
          <w:szCs w:val="24"/>
          <w:u w:val="single"/>
        </w:rPr>
        <w:t xml:space="preserve"> midler</w:t>
      </w:r>
    </w:p>
    <w:p w14:paraId="11C96362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Det blodtryksfald, som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forårsager, kan øges yderligere ved samtidig administration af andre </w:t>
      </w:r>
      <w:proofErr w:type="spellStart"/>
      <w:r w:rsidRPr="00D23FBF">
        <w:rPr>
          <w:sz w:val="24"/>
          <w:szCs w:val="24"/>
        </w:rPr>
        <w:t>hypotensive</w:t>
      </w:r>
      <w:proofErr w:type="spellEnd"/>
      <w:r w:rsidRPr="00D23FBF">
        <w:rPr>
          <w:sz w:val="24"/>
          <w:szCs w:val="24"/>
        </w:rPr>
        <w:t xml:space="preserve"> midler. Dette kan være af terapeutisk nytte i tilfælde af andre </w:t>
      </w:r>
      <w:proofErr w:type="spellStart"/>
      <w:r w:rsidRPr="00D23FBF">
        <w:rPr>
          <w:sz w:val="24"/>
          <w:szCs w:val="24"/>
        </w:rPr>
        <w:t>antihypertensiva</w:t>
      </w:r>
      <w:proofErr w:type="spellEnd"/>
      <w:r w:rsidRPr="00D23FBF">
        <w:rPr>
          <w:sz w:val="24"/>
          <w:szCs w:val="24"/>
        </w:rPr>
        <w:t xml:space="preserve">, såsom </w:t>
      </w:r>
      <w:proofErr w:type="spellStart"/>
      <w:r w:rsidRPr="00D23FBF">
        <w:rPr>
          <w:sz w:val="24"/>
          <w:szCs w:val="24"/>
        </w:rPr>
        <w:t>diuretika</w:t>
      </w:r>
      <w:proofErr w:type="spellEnd"/>
      <w:r w:rsidRPr="00D23FBF">
        <w:rPr>
          <w:sz w:val="24"/>
          <w:szCs w:val="24"/>
        </w:rPr>
        <w:t xml:space="preserve">, </w:t>
      </w:r>
      <w:proofErr w:type="spellStart"/>
      <w:r w:rsidRPr="00D23FBF">
        <w:rPr>
          <w:sz w:val="24"/>
          <w:szCs w:val="24"/>
        </w:rPr>
        <w:t>vasodilatatorer</w:t>
      </w:r>
      <w:proofErr w:type="spellEnd"/>
      <w:r w:rsidRPr="00D23FBF">
        <w:rPr>
          <w:sz w:val="24"/>
          <w:szCs w:val="24"/>
        </w:rPr>
        <w:t>, betablokkere, calciumantagonister og ACE-</w:t>
      </w:r>
      <w:proofErr w:type="spellStart"/>
      <w:r w:rsidRPr="00D23FBF">
        <w:rPr>
          <w:sz w:val="24"/>
          <w:szCs w:val="24"/>
        </w:rPr>
        <w:t>hæmmere</w:t>
      </w:r>
      <w:proofErr w:type="spellEnd"/>
      <w:r w:rsidRPr="00D23FBF">
        <w:rPr>
          <w:sz w:val="24"/>
          <w:szCs w:val="24"/>
        </w:rPr>
        <w:t>, men virkningen af alfa</w:t>
      </w:r>
      <w:r w:rsidRPr="00D23FBF">
        <w:rPr>
          <w:sz w:val="24"/>
          <w:szCs w:val="24"/>
          <w:vertAlign w:val="subscript"/>
        </w:rPr>
        <w:t>1</w:t>
      </w:r>
      <w:r w:rsidRPr="00D23FBF">
        <w:rPr>
          <w:sz w:val="24"/>
          <w:szCs w:val="24"/>
        </w:rPr>
        <w:t xml:space="preserve">-blokkere er uforudsigelig. </w:t>
      </w:r>
    </w:p>
    <w:p w14:paraId="75F66AC9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096B861A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Midler, der øger blodtrykket eller forårsager retention af </w:t>
      </w:r>
      <w:proofErr w:type="spellStart"/>
      <w:r w:rsidRPr="00D23FBF">
        <w:rPr>
          <w:sz w:val="24"/>
          <w:szCs w:val="24"/>
        </w:rPr>
        <w:t>natriumion</w:t>
      </w:r>
      <w:proofErr w:type="spellEnd"/>
      <w:r w:rsidRPr="00D23FBF">
        <w:rPr>
          <w:sz w:val="24"/>
          <w:szCs w:val="24"/>
        </w:rPr>
        <w:t xml:space="preserve"> og væske, såsom non-</w:t>
      </w:r>
      <w:proofErr w:type="spellStart"/>
      <w:r w:rsidRPr="00D23FBF">
        <w:rPr>
          <w:sz w:val="24"/>
          <w:szCs w:val="24"/>
        </w:rPr>
        <w:t>steroide</w:t>
      </w:r>
      <w:proofErr w:type="spellEnd"/>
      <w:r w:rsidRPr="00D23FBF">
        <w:rPr>
          <w:sz w:val="24"/>
          <w:szCs w:val="24"/>
        </w:rPr>
        <w:t xml:space="preserve"> antiinflammatoriske lægemidler, kan reducere </w:t>
      </w:r>
      <w:proofErr w:type="spellStart"/>
      <w:r w:rsidRPr="00D23FBF">
        <w:rPr>
          <w:sz w:val="24"/>
          <w:szCs w:val="24"/>
        </w:rPr>
        <w:t>clonidins</w:t>
      </w:r>
      <w:proofErr w:type="spellEnd"/>
      <w:r w:rsidRPr="00D23FBF">
        <w:rPr>
          <w:sz w:val="24"/>
          <w:szCs w:val="24"/>
        </w:rPr>
        <w:t xml:space="preserve"> terapeutiske virkning.</w:t>
      </w:r>
    </w:p>
    <w:p w14:paraId="7D044844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28555B15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  <w:r w:rsidRPr="00D23FBF">
        <w:rPr>
          <w:sz w:val="24"/>
          <w:szCs w:val="24"/>
        </w:rPr>
        <w:t>Midler med alfa</w:t>
      </w:r>
      <w:r w:rsidRPr="00D23FBF">
        <w:rPr>
          <w:color w:val="000000"/>
          <w:sz w:val="24"/>
          <w:szCs w:val="24"/>
          <w:vertAlign w:val="subscript"/>
        </w:rPr>
        <w:t>2</w:t>
      </w:r>
      <w:r w:rsidRPr="00D23FBF">
        <w:rPr>
          <w:sz w:val="24"/>
          <w:szCs w:val="24"/>
        </w:rPr>
        <w:t xml:space="preserve">-adrenoceptorblokerende egenskaber, såsom </w:t>
      </w:r>
      <w:proofErr w:type="spellStart"/>
      <w:r w:rsidRPr="00D23FBF">
        <w:rPr>
          <w:sz w:val="24"/>
          <w:szCs w:val="24"/>
        </w:rPr>
        <w:t>phentolamin</w:t>
      </w:r>
      <w:proofErr w:type="spellEnd"/>
      <w:r w:rsidRPr="00D23FBF">
        <w:rPr>
          <w:sz w:val="24"/>
          <w:szCs w:val="24"/>
        </w:rPr>
        <w:t xml:space="preserve"> og </w:t>
      </w:r>
      <w:proofErr w:type="spellStart"/>
      <w:r w:rsidRPr="00D23FBF">
        <w:rPr>
          <w:sz w:val="24"/>
          <w:szCs w:val="24"/>
        </w:rPr>
        <w:t>tolazolin</w:t>
      </w:r>
      <w:proofErr w:type="spellEnd"/>
      <w:r w:rsidRPr="00D23FBF">
        <w:rPr>
          <w:sz w:val="24"/>
          <w:szCs w:val="24"/>
        </w:rPr>
        <w:t>, kan ophæve de alfa</w:t>
      </w:r>
      <w:r w:rsidRPr="00D23FBF">
        <w:rPr>
          <w:sz w:val="24"/>
          <w:szCs w:val="24"/>
          <w:vertAlign w:val="subscript"/>
        </w:rPr>
        <w:t>2</w:t>
      </w:r>
      <w:r w:rsidRPr="00D23FBF">
        <w:rPr>
          <w:sz w:val="24"/>
          <w:szCs w:val="24"/>
        </w:rPr>
        <w:t xml:space="preserve">-adrenoceptormedierede virkninger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på dosisafhængig vis (se pkt. 4.4).</w:t>
      </w:r>
      <w:r w:rsidRPr="00D23FBF">
        <w:rPr>
          <w:color w:val="000000"/>
          <w:sz w:val="24"/>
          <w:szCs w:val="24"/>
        </w:rPr>
        <w:t xml:space="preserve"> </w:t>
      </w:r>
    </w:p>
    <w:p w14:paraId="6D93EA33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</w:p>
    <w:p w14:paraId="5E8CA1DC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  <w:r w:rsidRPr="00D23FBF">
        <w:rPr>
          <w:color w:val="000000"/>
          <w:sz w:val="24"/>
          <w:szCs w:val="24"/>
        </w:rPr>
        <w:t xml:space="preserve">Samtidig administration af lægemidler med negativ </w:t>
      </w:r>
      <w:proofErr w:type="spellStart"/>
      <w:r w:rsidRPr="00D23FBF">
        <w:rPr>
          <w:color w:val="000000"/>
          <w:sz w:val="24"/>
          <w:szCs w:val="24"/>
        </w:rPr>
        <w:t>kronotrop</w:t>
      </w:r>
      <w:proofErr w:type="spellEnd"/>
      <w:r w:rsidRPr="00D23FBF">
        <w:rPr>
          <w:color w:val="000000"/>
          <w:sz w:val="24"/>
          <w:szCs w:val="24"/>
        </w:rPr>
        <w:t xml:space="preserve"> eller </w:t>
      </w:r>
      <w:proofErr w:type="spellStart"/>
      <w:r w:rsidRPr="00D23FBF">
        <w:rPr>
          <w:color w:val="000000"/>
          <w:sz w:val="24"/>
          <w:szCs w:val="24"/>
        </w:rPr>
        <w:t>dromotrop</w:t>
      </w:r>
      <w:proofErr w:type="spellEnd"/>
      <w:r w:rsidRPr="00D23FBF">
        <w:rPr>
          <w:color w:val="000000"/>
          <w:sz w:val="24"/>
          <w:szCs w:val="24"/>
        </w:rPr>
        <w:t xml:space="preserve"> virkning, såsom betablokkere eller digitalisglykosider, kan forårsage eller forstærke </w:t>
      </w:r>
      <w:proofErr w:type="spellStart"/>
      <w:r w:rsidRPr="00D23FBF">
        <w:rPr>
          <w:color w:val="000000"/>
          <w:sz w:val="24"/>
          <w:szCs w:val="24"/>
        </w:rPr>
        <w:t>bradyarytmi</w:t>
      </w:r>
      <w:proofErr w:type="spellEnd"/>
      <w:r w:rsidRPr="00D23FBF">
        <w:rPr>
          <w:color w:val="000000"/>
          <w:sz w:val="24"/>
          <w:szCs w:val="24"/>
        </w:rPr>
        <w:t>.</w:t>
      </w:r>
    </w:p>
    <w:p w14:paraId="542A4E29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  <w:r w:rsidRPr="00D23FBF">
        <w:rPr>
          <w:color w:val="000000"/>
          <w:sz w:val="24"/>
          <w:szCs w:val="24"/>
        </w:rPr>
        <w:t xml:space="preserve"> </w:t>
      </w:r>
    </w:p>
    <w:p w14:paraId="7605618B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  <w:r w:rsidRPr="00D23FBF">
        <w:rPr>
          <w:sz w:val="24"/>
          <w:szCs w:val="24"/>
        </w:rPr>
        <w:t xml:space="preserve">Det kan ikke udelukkes, at samtidig administration af en betablokker vil medføre eller forstærke perifere </w:t>
      </w:r>
      <w:proofErr w:type="spellStart"/>
      <w:r w:rsidRPr="00D23FBF">
        <w:rPr>
          <w:sz w:val="24"/>
          <w:szCs w:val="24"/>
        </w:rPr>
        <w:t>vaskulære</w:t>
      </w:r>
      <w:proofErr w:type="spellEnd"/>
      <w:r w:rsidRPr="00D23FBF">
        <w:rPr>
          <w:sz w:val="24"/>
          <w:szCs w:val="24"/>
        </w:rPr>
        <w:t xml:space="preserve"> forstyrrelser.</w:t>
      </w:r>
    </w:p>
    <w:p w14:paraId="477C0BDB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7CDF9BDC" w14:textId="77777777" w:rsidR="00710EF4" w:rsidRPr="00D23FBF" w:rsidRDefault="00710EF4" w:rsidP="00252A63">
      <w:pPr>
        <w:ind w:left="851"/>
        <w:rPr>
          <w:sz w:val="24"/>
          <w:szCs w:val="24"/>
        </w:rPr>
      </w:pPr>
      <w:proofErr w:type="spellStart"/>
      <w:r w:rsidRPr="00D217DF">
        <w:rPr>
          <w:sz w:val="24"/>
          <w:szCs w:val="24"/>
          <w:u w:val="single"/>
        </w:rPr>
        <w:t>Antidepressiva</w:t>
      </w:r>
      <w:proofErr w:type="spellEnd"/>
      <w:r w:rsidRPr="00D217DF">
        <w:rPr>
          <w:sz w:val="24"/>
          <w:szCs w:val="24"/>
          <w:u w:val="single"/>
        </w:rPr>
        <w:t xml:space="preserve"> og antipsykotika</w:t>
      </w:r>
      <w:r w:rsidRPr="00D217DF">
        <w:rPr>
          <w:sz w:val="24"/>
          <w:szCs w:val="24"/>
          <w:u w:val="single"/>
        </w:rPr>
        <w:br/>
      </w:r>
      <w:r w:rsidRPr="00D23FBF">
        <w:rPr>
          <w:sz w:val="24"/>
          <w:szCs w:val="24"/>
        </w:rPr>
        <w:t xml:space="preserve">Samtidig administration af tricykliske </w:t>
      </w:r>
      <w:proofErr w:type="spellStart"/>
      <w:r w:rsidRPr="00D23FBF">
        <w:rPr>
          <w:sz w:val="24"/>
          <w:szCs w:val="24"/>
        </w:rPr>
        <w:t>antidepressiva</w:t>
      </w:r>
      <w:proofErr w:type="spellEnd"/>
      <w:r w:rsidRPr="00D23FBF">
        <w:rPr>
          <w:sz w:val="24"/>
          <w:szCs w:val="24"/>
        </w:rPr>
        <w:t xml:space="preserve"> eller </w:t>
      </w:r>
      <w:proofErr w:type="spellStart"/>
      <w:r w:rsidRPr="00D23FBF">
        <w:rPr>
          <w:sz w:val="24"/>
          <w:szCs w:val="24"/>
        </w:rPr>
        <w:t>neuroleptika</w:t>
      </w:r>
      <w:proofErr w:type="spellEnd"/>
      <w:r w:rsidRPr="00D23FBF">
        <w:rPr>
          <w:sz w:val="24"/>
          <w:szCs w:val="24"/>
        </w:rPr>
        <w:t xml:space="preserve"> med α-receptor-blokerende virkning kan reducere eller ophæve </w:t>
      </w:r>
      <w:proofErr w:type="spellStart"/>
      <w:r w:rsidRPr="00D23FBF">
        <w:rPr>
          <w:sz w:val="24"/>
          <w:szCs w:val="24"/>
        </w:rPr>
        <w:t>clonidins</w:t>
      </w:r>
      <w:proofErr w:type="spellEnd"/>
      <w:r w:rsidRPr="00D23FBF">
        <w:rPr>
          <w:sz w:val="24"/>
          <w:szCs w:val="24"/>
        </w:rPr>
        <w:t xml:space="preserve"> </w:t>
      </w:r>
      <w:proofErr w:type="spellStart"/>
      <w:r w:rsidRPr="00D23FBF">
        <w:rPr>
          <w:sz w:val="24"/>
          <w:szCs w:val="24"/>
        </w:rPr>
        <w:t>antihypertensive</w:t>
      </w:r>
      <w:proofErr w:type="spellEnd"/>
      <w:r w:rsidRPr="00D23FBF">
        <w:rPr>
          <w:sz w:val="24"/>
          <w:szCs w:val="24"/>
        </w:rPr>
        <w:t xml:space="preserve"> virkning og fremkalde eller forværre </w:t>
      </w:r>
      <w:proofErr w:type="spellStart"/>
      <w:r w:rsidRPr="00D23FBF">
        <w:rPr>
          <w:sz w:val="24"/>
          <w:szCs w:val="24"/>
        </w:rPr>
        <w:t>ortostatiske</w:t>
      </w:r>
      <w:proofErr w:type="spellEnd"/>
      <w:r w:rsidRPr="00D23FBF">
        <w:rPr>
          <w:sz w:val="24"/>
          <w:szCs w:val="24"/>
        </w:rPr>
        <w:t xml:space="preserve"> reguleringsforstyrrelser.</w:t>
      </w:r>
    </w:p>
    <w:p w14:paraId="296B35D1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Observationer hos patienter med alkoholdelirium tyder på, at høje intravenøse doser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kan øge det </w:t>
      </w:r>
      <w:proofErr w:type="spellStart"/>
      <w:r w:rsidRPr="00D23FBF">
        <w:rPr>
          <w:sz w:val="24"/>
          <w:szCs w:val="24"/>
        </w:rPr>
        <w:t>arytmogene</w:t>
      </w:r>
      <w:proofErr w:type="spellEnd"/>
      <w:r w:rsidRPr="00D23FBF">
        <w:rPr>
          <w:sz w:val="24"/>
          <w:szCs w:val="24"/>
        </w:rPr>
        <w:t xml:space="preserve"> potentiale (QT-forlængelse, ventrikelflimmer) af høje intravenøse </w:t>
      </w:r>
      <w:proofErr w:type="spellStart"/>
      <w:r w:rsidRPr="00D23FBF">
        <w:rPr>
          <w:sz w:val="24"/>
          <w:szCs w:val="24"/>
        </w:rPr>
        <w:t>haloperidoldoser</w:t>
      </w:r>
      <w:proofErr w:type="spellEnd"/>
      <w:r w:rsidRPr="00D23FBF">
        <w:rPr>
          <w:sz w:val="24"/>
          <w:szCs w:val="24"/>
        </w:rPr>
        <w:t xml:space="preserve">. Årsagssammenhængen og relevansen i forbindelse med </w:t>
      </w:r>
      <w:proofErr w:type="spellStart"/>
      <w:r w:rsidRPr="00D23FBF">
        <w:rPr>
          <w:sz w:val="24"/>
          <w:szCs w:val="24"/>
        </w:rPr>
        <w:t>antihypertensiv</w:t>
      </w:r>
      <w:proofErr w:type="spellEnd"/>
      <w:r w:rsidRPr="00D23FBF">
        <w:rPr>
          <w:sz w:val="24"/>
          <w:szCs w:val="24"/>
        </w:rPr>
        <w:t xml:space="preserve"> behandling er ikke klarlagt.</w:t>
      </w:r>
    </w:p>
    <w:p w14:paraId="10FC662D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3DE87842" w14:textId="77777777" w:rsidR="00710EF4" w:rsidRPr="00D217DF" w:rsidRDefault="00710EF4" w:rsidP="00252A63">
      <w:pPr>
        <w:ind w:left="851"/>
        <w:rPr>
          <w:sz w:val="24"/>
          <w:szCs w:val="24"/>
          <w:u w:val="single"/>
        </w:rPr>
      </w:pPr>
      <w:r w:rsidRPr="00D217DF">
        <w:rPr>
          <w:sz w:val="24"/>
          <w:szCs w:val="24"/>
          <w:u w:val="single"/>
        </w:rPr>
        <w:t>CNS-</w:t>
      </w:r>
      <w:proofErr w:type="spellStart"/>
      <w:r w:rsidRPr="00D217DF">
        <w:rPr>
          <w:sz w:val="24"/>
          <w:szCs w:val="24"/>
          <w:u w:val="single"/>
        </w:rPr>
        <w:t>depressiva</w:t>
      </w:r>
      <w:proofErr w:type="spellEnd"/>
      <w:r w:rsidRPr="00D217DF">
        <w:rPr>
          <w:sz w:val="24"/>
          <w:szCs w:val="24"/>
          <w:u w:val="single"/>
        </w:rPr>
        <w:t xml:space="preserve"> og alkohol</w:t>
      </w:r>
    </w:p>
    <w:p w14:paraId="1A5A4064" w14:textId="77777777" w:rsidR="00710EF4" w:rsidRPr="00D23FBF" w:rsidRDefault="00710EF4" w:rsidP="00252A63">
      <w:pPr>
        <w:ind w:left="851"/>
        <w:rPr>
          <w:sz w:val="24"/>
          <w:szCs w:val="24"/>
        </w:rPr>
      </w:pP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kan forstærke virkningen af midler, der hæmmer centralnervesystemet, og alkohol (se pkt. 4.4).</w:t>
      </w:r>
    </w:p>
    <w:p w14:paraId="1364E996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2161EE3E" w14:textId="77777777" w:rsidR="00710EF4" w:rsidRPr="00D217DF" w:rsidRDefault="00710EF4" w:rsidP="00252A63">
      <w:pPr>
        <w:ind w:left="851"/>
        <w:rPr>
          <w:sz w:val="24"/>
          <w:szCs w:val="24"/>
          <w:u w:val="single"/>
        </w:rPr>
      </w:pPr>
      <w:proofErr w:type="spellStart"/>
      <w:r w:rsidRPr="00D217DF">
        <w:rPr>
          <w:sz w:val="24"/>
          <w:szCs w:val="24"/>
          <w:u w:val="single"/>
        </w:rPr>
        <w:t>Psykostimulantia</w:t>
      </w:r>
      <w:proofErr w:type="spellEnd"/>
    </w:p>
    <w:p w14:paraId="44FD96B1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  <w:r w:rsidRPr="00D23FBF">
        <w:rPr>
          <w:sz w:val="24"/>
          <w:szCs w:val="24"/>
        </w:rPr>
        <w:t xml:space="preserve">Der er rapporteret om alvorlige hændelser, herunder pludselig død, ved samtidig brug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og </w:t>
      </w:r>
      <w:proofErr w:type="spellStart"/>
      <w:r w:rsidRPr="00D23FBF">
        <w:rPr>
          <w:sz w:val="24"/>
          <w:szCs w:val="24"/>
        </w:rPr>
        <w:t>methylphenidat</w:t>
      </w:r>
      <w:proofErr w:type="spellEnd"/>
      <w:r w:rsidRPr="00D23FBF">
        <w:rPr>
          <w:sz w:val="24"/>
          <w:szCs w:val="24"/>
        </w:rPr>
        <w:t xml:space="preserve">, selvom der ikke er klarlagt en årsagssammenhæng med kombinationen. Sikkerheden ved samtidig brug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og </w:t>
      </w:r>
      <w:proofErr w:type="spellStart"/>
      <w:r w:rsidRPr="00D23FBF">
        <w:rPr>
          <w:sz w:val="24"/>
          <w:szCs w:val="24"/>
        </w:rPr>
        <w:t>methylphenidat</w:t>
      </w:r>
      <w:proofErr w:type="spellEnd"/>
      <w:r w:rsidRPr="00D23FBF">
        <w:rPr>
          <w:sz w:val="24"/>
          <w:szCs w:val="24"/>
        </w:rPr>
        <w:t xml:space="preserve"> er ikke blevet systematisk undersøgt.</w:t>
      </w:r>
      <w:r w:rsidRPr="00D23FBF">
        <w:rPr>
          <w:color w:val="000000"/>
          <w:sz w:val="24"/>
          <w:szCs w:val="24"/>
        </w:rPr>
        <w:t xml:space="preserve"> </w:t>
      </w:r>
    </w:p>
    <w:p w14:paraId="0978EFEA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98A052" w14:textId="23FCC73F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4.6</w:t>
      </w:r>
      <w:r w:rsidRPr="00D23FBF">
        <w:rPr>
          <w:b/>
          <w:sz w:val="24"/>
          <w:szCs w:val="24"/>
        </w:rPr>
        <w:tab/>
      </w:r>
      <w:r w:rsidR="009B224D">
        <w:rPr>
          <w:b/>
          <w:sz w:val="24"/>
          <w:szCs w:val="24"/>
        </w:rPr>
        <w:t>Fertilitet, g</w:t>
      </w:r>
      <w:r w:rsidRPr="00D23FBF">
        <w:rPr>
          <w:b/>
          <w:sz w:val="24"/>
          <w:szCs w:val="24"/>
        </w:rPr>
        <w:t>raviditet og amning</w:t>
      </w:r>
    </w:p>
    <w:p w14:paraId="79FCB9F0" w14:textId="77777777" w:rsidR="00D217DF" w:rsidRDefault="00D217DF" w:rsidP="00252A63">
      <w:pPr>
        <w:ind w:left="851"/>
        <w:rPr>
          <w:sz w:val="24"/>
          <w:szCs w:val="24"/>
        </w:rPr>
      </w:pPr>
    </w:p>
    <w:p w14:paraId="1740202A" w14:textId="7EEA34E9" w:rsidR="00710EF4" w:rsidRPr="00D217DF" w:rsidRDefault="00710EF4" w:rsidP="00252A63">
      <w:pPr>
        <w:ind w:left="851"/>
        <w:rPr>
          <w:sz w:val="24"/>
          <w:szCs w:val="24"/>
          <w:u w:val="single"/>
          <w:lang w:eastAsia="en-GB"/>
        </w:rPr>
      </w:pPr>
      <w:r w:rsidRPr="00D217DF">
        <w:rPr>
          <w:sz w:val="24"/>
          <w:szCs w:val="24"/>
          <w:u w:val="single"/>
        </w:rPr>
        <w:t xml:space="preserve">Graviditet </w:t>
      </w:r>
    </w:p>
    <w:p w14:paraId="121EAB2D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Der er begrænsede data fra anvendelse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til gravide kvinder. Ligesom alle andre lægemidler bør </w:t>
      </w: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 kun anvendes til gravide kvinder, hvis det vurderes at være absolut nødvendigt, og det skal ske under direkte lægeopsyn. Mor og barn bør overvåges nøje. </w:t>
      </w:r>
    </w:p>
    <w:p w14:paraId="3D998E80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46FCA455" w14:textId="77777777" w:rsidR="00710EF4" w:rsidRPr="00D23FBF" w:rsidRDefault="00710EF4" w:rsidP="00252A63">
      <w:pPr>
        <w:ind w:left="851"/>
        <w:rPr>
          <w:sz w:val="24"/>
          <w:szCs w:val="24"/>
        </w:rPr>
      </w:pP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krydser placentabarrieren og kan reducere fosterets hjertefrekvens. Der er ingen specifikke data vedrørende den langsigtede virkning af prænatal eksponering for lægemidlet. Orale formuleringer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er at foretrække i graviditeten. Intravenøs administration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bør undgås. </w:t>
      </w:r>
    </w:p>
    <w:p w14:paraId="653936EE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5EFD316F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Non-kliniske dyreforsøg indikerer hverken direkte eller indirekte skadelige virkninger, hvad angår reproduktionstoksicitet (se pkt. 5.3). En forbigående stigning i blodtrykket hos det nyfødte barn post </w:t>
      </w:r>
      <w:proofErr w:type="spellStart"/>
      <w:r w:rsidRPr="00D23FBF">
        <w:rPr>
          <w:sz w:val="24"/>
          <w:szCs w:val="24"/>
        </w:rPr>
        <w:t>partum</w:t>
      </w:r>
      <w:proofErr w:type="spellEnd"/>
      <w:r w:rsidRPr="00D23FBF">
        <w:rPr>
          <w:sz w:val="24"/>
          <w:szCs w:val="24"/>
        </w:rPr>
        <w:t xml:space="preserve"> kan ikke udelukkes. </w:t>
      </w:r>
    </w:p>
    <w:p w14:paraId="325E5B86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68E9E23E" w14:textId="77777777" w:rsidR="00710EF4" w:rsidRPr="00D217DF" w:rsidRDefault="00710EF4" w:rsidP="00252A63">
      <w:pPr>
        <w:ind w:left="851"/>
        <w:rPr>
          <w:sz w:val="24"/>
          <w:szCs w:val="24"/>
          <w:u w:val="single"/>
        </w:rPr>
      </w:pPr>
      <w:r w:rsidRPr="00D217DF">
        <w:rPr>
          <w:sz w:val="24"/>
          <w:szCs w:val="24"/>
          <w:u w:val="single"/>
        </w:rPr>
        <w:t xml:space="preserve">Amning </w:t>
      </w:r>
    </w:p>
    <w:p w14:paraId="6F99580F" w14:textId="77777777" w:rsidR="00710EF4" w:rsidRPr="00D23FBF" w:rsidRDefault="00710EF4" w:rsidP="00252A63">
      <w:pPr>
        <w:ind w:left="851"/>
        <w:rPr>
          <w:sz w:val="24"/>
          <w:szCs w:val="24"/>
        </w:rPr>
      </w:pP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udskilles i human mælk. Der er imidlertid utilstrækkelige oplysninger vedrørende virkningen hos nyfødte. Derfor bør </w:t>
      </w: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 ikke anvendes i </w:t>
      </w:r>
      <w:proofErr w:type="spellStart"/>
      <w:r w:rsidRPr="00D23FBF">
        <w:rPr>
          <w:sz w:val="24"/>
          <w:szCs w:val="24"/>
        </w:rPr>
        <w:t>ammeperioden</w:t>
      </w:r>
      <w:proofErr w:type="spellEnd"/>
      <w:r w:rsidRPr="00D23FBF">
        <w:rPr>
          <w:sz w:val="24"/>
          <w:szCs w:val="24"/>
        </w:rPr>
        <w:t xml:space="preserve">. </w:t>
      </w:r>
    </w:p>
    <w:p w14:paraId="68D43B19" w14:textId="77777777" w:rsidR="00710EF4" w:rsidRPr="00D23FBF" w:rsidRDefault="00710EF4" w:rsidP="00252A63">
      <w:pPr>
        <w:ind w:left="851"/>
        <w:rPr>
          <w:rFonts w:eastAsia="MS Mincho"/>
          <w:sz w:val="24"/>
          <w:szCs w:val="24"/>
        </w:rPr>
      </w:pPr>
    </w:p>
    <w:p w14:paraId="30EC0D78" w14:textId="77777777" w:rsidR="00710EF4" w:rsidRPr="00D217DF" w:rsidRDefault="00710EF4" w:rsidP="00252A63">
      <w:pPr>
        <w:ind w:left="851"/>
        <w:rPr>
          <w:sz w:val="24"/>
          <w:szCs w:val="24"/>
          <w:u w:val="single"/>
        </w:rPr>
      </w:pPr>
      <w:r w:rsidRPr="00D217DF">
        <w:rPr>
          <w:sz w:val="24"/>
          <w:szCs w:val="24"/>
          <w:u w:val="single"/>
        </w:rPr>
        <w:t xml:space="preserve">Fertilitet </w:t>
      </w:r>
    </w:p>
    <w:p w14:paraId="6ACD70D5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Der er ikke udført kliniske studier af </w:t>
      </w:r>
      <w:proofErr w:type="spellStart"/>
      <w:r w:rsidRPr="00D23FBF">
        <w:rPr>
          <w:sz w:val="24"/>
          <w:szCs w:val="24"/>
        </w:rPr>
        <w:t>clonidins</w:t>
      </w:r>
      <w:proofErr w:type="spellEnd"/>
      <w:r w:rsidRPr="00D23FBF">
        <w:rPr>
          <w:sz w:val="24"/>
          <w:szCs w:val="24"/>
        </w:rPr>
        <w:t xml:space="preserve"> virkning på fertiliteten hos mennesker. Non-kliniske studier med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indikerer ingen indirekte skadelige virkninger, hvad angår fertilitetsindekset (se pkt. 5.3) </w:t>
      </w:r>
    </w:p>
    <w:p w14:paraId="7272D854" w14:textId="77777777" w:rsidR="009260DE" w:rsidRPr="00D23FBF" w:rsidRDefault="009260DE" w:rsidP="00252A63">
      <w:pPr>
        <w:ind w:left="851"/>
        <w:rPr>
          <w:sz w:val="24"/>
          <w:szCs w:val="24"/>
        </w:rPr>
      </w:pPr>
    </w:p>
    <w:p w14:paraId="3AE208F3" w14:textId="79D5D656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4.7</w:t>
      </w:r>
      <w:r w:rsidRPr="00D23FBF">
        <w:rPr>
          <w:b/>
          <w:sz w:val="24"/>
          <w:szCs w:val="24"/>
        </w:rPr>
        <w:tab/>
        <w:t xml:space="preserve">Virkning på evnen til at føre motorkøretøj </w:t>
      </w:r>
      <w:r w:rsidR="009B224D">
        <w:rPr>
          <w:b/>
          <w:sz w:val="24"/>
          <w:szCs w:val="24"/>
        </w:rPr>
        <w:t>og</w:t>
      </w:r>
      <w:r w:rsidRPr="00D23FBF">
        <w:rPr>
          <w:b/>
          <w:sz w:val="24"/>
          <w:szCs w:val="24"/>
        </w:rPr>
        <w:t xml:space="preserve"> betjene maskiner</w:t>
      </w:r>
    </w:p>
    <w:p w14:paraId="7D5EEE34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>Ikke mærkning.</w:t>
      </w:r>
    </w:p>
    <w:p w14:paraId="3DE52E49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Der er ikke udført studier af indvirkningen på evnen til at føre motorkøretøj og betjene maskiner. </w:t>
      </w:r>
    </w:p>
    <w:p w14:paraId="1C2D87DB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Patienterne skal imidlertid informeres om, at de kan opleve bivirkninger, såsom svimmelhed, </w:t>
      </w:r>
      <w:proofErr w:type="spellStart"/>
      <w:r w:rsidRPr="00D23FBF">
        <w:rPr>
          <w:sz w:val="24"/>
          <w:szCs w:val="24"/>
        </w:rPr>
        <w:t>sedering</w:t>
      </w:r>
      <w:proofErr w:type="spellEnd"/>
      <w:r w:rsidRPr="00D23FBF">
        <w:rPr>
          <w:sz w:val="24"/>
          <w:szCs w:val="24"/>
        </w:rPr>
        <w:t xml:space="preserve"> og akkommodationsforstyrrelser, under behandlingen med </w:t>
      </w: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 (se pkt. 4.8). Derfor bør patienterne rådes til at være forsigtige med at føre motorkøretøj eller betjene maskiner.</w:t>
      </w:r>
    </w:p>
    <w:p w14:paraId="19C18E2A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31779E2D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Hvis patienterne oplever ovenfor nævnte bivirkninger, bør de undgå potentielt farlige opgaver, såsom at føre motorkøretøj og betjene maskiner, i mindst 4-6 timer efter indgivelse af </w:t>
      </w:r>
      <w:proofErr w:type="spellStart"/>
      <w:r w:rsidRPr="00D23FBF">
        <w:rPr>
          <w:sz w:val="24"/>
          <w:szCs w:val="24"/>
        </w:rPr>
        <w:t>Clotaxip</w:t>
      </w:r>
      <w:proofErr w:type="spellEnd"/>
      <w:r w:rsidRPr="00D23FBF">
        <w:rPr>
          <w:sz w:val="24"/>
          <w:szCs w:val="24"/>
        </w:rPr>
        <w:t xml:space="preserve">, indtil den </w:t>
      </w:r>
      <w:proofErr w:type="spellStart"/>
      <w:r w:rsidRPr="00D23FBF">
        <w:rPr>
          <w:sz w:val="24"/>
          <w:szCs w:val="24"/>
        </w:rPr>
        <w:t>antihypertensive</w:t>
      </w:r>
      <w:proofErr w:type="spellEnd"/>
      <w:r w:rsidRPr="00D23FBF">
        <w:rPr>
          <w:sz w:val="24"/>
          <w:szCs w:val="24"/>
        </w:rPr>
        <w:t xml:space="preserve"> virkning er forsvundet. </w:t>
      </w:r>
    </w:p>
    <w:p w14:paraId="5E4FD980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57F95D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4.8</w:t>
      </w:r>
      <w:r w:rsidRPr="00D23FBF">
        <w:rPr>
          <w:b/>
          <w:sz w:val="24"/>
          <w:szCs w:val="24"/>
        </w:rPr>
        <w:tab/>
        <w:t>Bivirkninger</w:t>
      </w:r>
    </w:p>
    <w:p w14:paraId="761DF8D4" w14:textId="77777777" w:rsidR="00710EF4" w:rsidRPr="00D23FBF" w:rsidRDefault="00710EF4" w:rsidP="00252A63">
      <w:pPr>
        <w:ind w:left="851"/>
        <w:rPr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De fleste bivirkninger er milde og forsvinder som regel ved fortsat behandling. De hyppigste bivirkninger er svimmelhed, </w:t>
      </w:r>
      <w:proofErr w:type="spellStart"/>
      <w:r w:rsidRPr="00D23FBF">
        <w:rPr>
          <w:sz w:val="24"/>
          <w:szCs w:val="24"/>
        </w:rPr>
        <w:t>sedering</w:t>
      </w:r>
      <w:proofErr w:type="spellEnd"/>
      <w:r w:rsidRPr="00D23FBF">
        <w:rPr>
          <w:sz w:val="24"/>
          <w:szCs w:val="24"/>
        </w:rPr>
        <w:t xml:space="preserve">, </w:t>
      </w:r>
      <w:proofErr w:type="spellStart"/>
      <w:r w:rsidRPr="00D23FBF">
        <w:rPr>
          <w:sz w:val="24"/>
          <w:szCs w:val="24"/>
        </w:rPr>
        <w:t>ortostatisk</w:t>
      </w:r>
      <w:proofErr w:type="spellEnd"/>
      <w:r w:rsidRPr="00D23FBF">
        <w:rPr>
          <w:sz w:val="24"/>
          <w:szCs w:val="24"/>
        </w:rPr>
        <w:t xml:space="preserve"> hypotension og mundtørhed.</w:t>
      </w:r>
    </w:p>
    <w:p w14:paraId="76DFD1FA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0387527E" w14:textId="77777777" w:rsidR="00710EF4" w:rsidRPr="00D23FBF" w:rsidRDefault="00710EF4" w:rsidP="00252A63">
      <w:pPr>
        <w:ind w:left="851"/>
        <w:rPr>
          <w:rFonts w:eastAsia="MS Mincho"/>
          <w:sz w:val="24"/>
          <w:szCs w:val="24"/>
        </w:rPr>
      </w:pPr>
      <w:r w:rsidRPr="00D23FBF">
        <w:rPr>
          <w:sz w:val="24"/>
          <w:szCs w:val="24"/>
        </w:rPr>
        <w:t xml:space="preserve">Bivirkningerne er anført nedenfor efter </w:t>
      </w:r>
      <w:r w:rsidRPr="00D23FBF">
        <w:rPr>
          <w:bCs/>
          <w:sz w:val="24"/>
          <w:szCs w:val="24"/>
        </w:rPr>
        <w:t>systemorganklasse</w:t>
      </w:r>
      <w:r w:rsidRPr="00D23FBF">
        <w:rPr>
          <w:sz w:val="24"/>
          <w:szCs w:val="24"/>
        </w:rPr>
        <w:t xml:space="preserve"> og følgende hyppighedskategorier: </w:t>
      </w:r>
    </w:p>
    <w:p w14:paraId="79746A2F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Meget almindelig (≥ 1/10), almindelig (≥ 1/100 til &lt; 1/10), ikke almindelig (≥ 1/1.000 til &lt; 1/100), sjælden (≥ 1/10.000 til &lt; 1/1.000), meget sjælden (&lt; 1/10.000) og ikke kendt (kan ikke estimeres ud fra forhåndenværende data). </w:t>
      </w:r>
    </w:p>
    <w:p w14:paraId="021A990B" w14:textId="77777777" w:rsidR="00710EF4" w:rsidRPr="00D23FBF" w:rsidRDefault="00710EF4" w:rsidP="00710EF4">
      <w:pPr>
        <w:pStyle w:val="Default"/>
        <w:ind w:right="129"/>
        <w:rPr>
          <w:rFonts w:eastAsia="MS Minch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2211"/>
        <w:gridCol w:w="4737"/>
      </w:tblGrid>
      <w:tr w:rsidR="00710EF4" w:rsidRPr="00D23FBF" w14:paraId="0F4FC3E6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FA29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Systemorganklasser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D576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Hyppighed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BCD2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 xml:space="preserve">Bivirkninger, der er set med </w:t>
            </w:r>
            <w:proofErr w:type="spellStart"/>
            <w:r w:rsidRPr="00D23FBF">
              <w:rPr>
                <w:b/>
                <w:sz w:val="24"/>
                <w:szCs w:val="24"/>
              </w:rPr>
              <w:t>clonidin</w:t>
            </w:r>
            <w:proofErr w:type="spellEnd"/>
          </w:p>
        </w:tc>
      </w:tr>
      <w:tr w:rsidR="00710EF4" w:rsidRPr="00D23FBF" w14:paraId="5D480D0E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02F9" w14:textId="77DD055C" w:rsidR="00710EF4" w:rsidRPr="00D23FBF" w:rsidRDefault="00710EF4" w:rsidP="00E26E30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Det endokrine system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FCDF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Sjælden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F5DE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proofErr w:type="spellStart"/>
            <w:r w:rsidRPr="00D23FBF">
              <w:rPr>
                <w:sz w:val="24"/>
                <w:szCs w:val="24"/>
              </w:rPr>
              <w:t>Gynækomasti</w:t>
            </w:r>
            <w:proofErr w:type="spellEnd"/>
            <w:r w:rsidRPr="00D23FBF">
              <w:rPr>
                <w:sz w:val="24"/>
                <w:szCs w:val="24"/>
              </w:rPr>
              <w:t>.</w:t>
            </w:r>
          </w:p>
        </w:tc>
      </w:tr>
      <w:tr w:rsidR="00710EF4" w:rsidRPr="00D23FBF" w14:paraId="64F06FC2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AFE6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Psykiske forstyrrelser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CDEA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Almindelig</w:t>
            </w:r>
          </w:p>
          <w:p w14:paraId="25E16F2A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almindelig</w:t>
            </w:r>
          </w:p>
          <w:p w14:paraId="41F29CBE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kendt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0576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Depression, søvnforstyrrelser</w:t>
            </w:r>
          </w:p>
          <w:p w14:paraId="65022A93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Vrangforestillinger, hallucinationer, mareridt.</w:t>
            </w:r>
          </w:p>
          <w:p w14:paraId="1F2837C6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Forvirring, nedsat libido.</w:t>
            </w:r>
          </w:p>
        </w:tc>
      </w:tr>
      <w:tr w:rsidR="00710EF4" w:rsidRPr="00D23FBF" w14:paraId="677C5D42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498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Nervesystemet</w:t>
            </w:r>
          </w:p>
          <w:p w14:paraId="4946335E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8992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Meget almindelig</w:t>
            </w:r>
          </w:p>
          <w:p w14:paraId="5F037982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Almindelig</w:t>
            </w:r>
          </w:p>
          <w:p w14:paraId="23595768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almindelig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E8D4" w14:textId="77777777" w:rsidR="00710EF4" w:rsidRPr="00D23FBF" w:rsidRDefault="00710EF4" w:rsidP="00252A63">
            <w:pPr>
              <w:pStyle w:val="Default"/>
              <w:ind w:left="27" w:right="129"/>
              <w:rPr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 xml:space="preserve">Svimmelhed, </w:t>
            </w:r>
            <w:proofErr w:type="spellStart"/>
            <w:r w:rsidRPr="00D23FBF">
              <w:rPr>
                <w:sz w:val="24"/>
                <w:szCs w:val="24"/>
              </w:rPr>
              <w:t>sedering</w:t>
            </w:r>
            <w:proofErr w:type="spellEnd"/>
            <w:r w:rsidRPr="00D23FBF">
              <w:rPr>
                <w:sz w:val="24"/>
                <w:szCs w:val="24"/>
              </w:rPr>
              <w:t xml:space="preserve">. </w:t>
            </w:r>
          </w:p>
          <w:p w14:paraId="4742E1C2" w14:textId="77777777" w:rsidR="00710EF4" w:rsidRPr="00D23FBF" w:rsidRDefault="00710EF4" w:rsidP="00252A63">
            <w:pPr>
              <w:pStyle w:val="Default"/>
              <w:ind w:left="27" w:right="129"/>
              <w:rPr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 xml:space="preserve">Hovedpine. </w:t>
            </w:r>
          </w:p>
          <w:p w14:paraId="6BDBBA06" w14:textId="77777777" w:rsidR="00710EF4" w:rsidRPr="00D23FBF" w:rsidRDefault="00710EF4" w:rsidP="00252A63">
            <w:pPr>
              <w:pStyle w:val="Default"/>
              <w:ind w:left="27" w:right="129"/>
              <w:rPr>
                <w:rFonts w:eastAsia="MS Mincho"/>
                <w:sz w:val="24"/>
                <w:szCs w:val="24"/>
              </w:rPr>
            </w:pPr>
            <w:proofErr w:type="spellStart"/>
            <w:r w:rsidRPr="00D23FBF">
              <w:rPr>
                <w:sz w:val="24"/>
                <w:szCs w:val="24"/>
              </w:rPr>
              <w:t>Paræstesi</w:t>
            </w:r>
            <w:proofErr w:type="spellEnd"/>
            <w:r w:rsidRPr="00D23FBF">
              <w:rPr>
                <w:sz w:val="24"/>
                <w:szCs w:val="24"/>
              </w:rPr>
              <w:t xml:space="preserve">. </w:t>
            </w:r>
          </w:p>
        </w:tc>
      </w:tr>
      <w:tr w:rsidR="00710EF4" w:rsidRPr="00D23FBF" w14:paraId="7A36856F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82B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Øjne</w:t>
            </w:r>
          </w:p>
          <w:p w14:paraId="46FE8F45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601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Sjælden</w:t>
            </w:r>
          </w:p>
          <w:p w14:paraId="427DC955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kendt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9AF7" w14:textId="77777777" w:rsidR="00710EF4" w:rsidRPr="00D23FBF" w:rsidRDefault="00710EF4" w:rsidP="00252A63">
            <w:pPr>
              <w:pStyle w:val="CM3"/>
              <w:ind w:left="27" w:right="129"/>
            </w:pPr>
            <w:r w:rsidRPr="00D23FBF">
              <w:t xml:space="preserve">Nedsat tåresekretion. </w:t>
            </w:r>
          </w:p>
          <w:p w14:paraId="48C2F4CF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Akkommodationsforstyrrelser.</w:t>
            </w:r>
          </w:p>
        </w:tc>
      </w:tr>
      <w:tr w:rsidR="00710EF4" w:rsidRPr="00D23FBF" w14:paraId="0F23D78E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E42B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Hjerte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0E60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almindelig</w:t>
            </w:r>
          </w:p>
          <w:p w14:paraId="326B6107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Sjælden</w:t>
            </w:r>
          </w:p>
          <w:p w14:paraId="5C760F73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kendt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9AAD" w14:textId="77777777" w:rsidR="00710EF4" w:rsidRPr="00D23FBF" w:rsidRDefault="00710EF4" w:rsidP="00252A63">
            <w:pPr>
              <w:pStyle w:val="CM3"/>
              <w:ind w:left="27" w:right="129"/>
            </w:pPr>
            <w:r w:rsidRPr="00D23FBF">
              <w:t xml:space="preserve">Sinusbradykardi. </w:t>
            </w:r>
          </w:p>
          <w:p w14:paraId="61A9A7E7" w14:textId="77777777" w:rsidR="00710EF4" w:rsidRPr="00D23FBF" w:rsidRDefault="00710EF4" w:rsidP="00252A63">
            <w:pPr>
              <w:pStyle w:val="CM3"/>
              <w:ind w:left="27" w:right="129"/>
            </w:pPr>
            <w:proofErr w:type="spellStart"/>
            <w:r w:rsidRPr="00D23FBF">
              <w:t>Atrioventrikulært</w:t>
            </w:r>
            <w:proofErr w:type="spellEnd"/>
            <w:r w:rsidRPr="00D23FBF">
              <w:t xml:space="preserve"> blok. </w:t>
            </w:r>
          </w:p>
          <w:p w14:paraId="449B2694" w14:textId="77777777" w:rsidR="00710EF4" w:rsidRPr="00D23FBF" w:rsidRDefault="00710EF4" w:rsidP="00252A63">
            <w:pPr>
              <w:pStyle w:val="CM3"/>
              <w:ind w:left="27" w:right="129"/>
            </w:pPr>
            <w:proofErr w:type="spellStart"/>
            <w:r w:rsidRPr="00D23FBF">
              <w:t>Bradyarytmi</w:t>
            </w:r>
            <w:proofErr w:type="spellEnd"/>
            <w:r w:rsidRPr="00D23FBF">
              <w:t xml:space="preserve">. </w:t>
            </w:r>
          </w:p>
        </w:tc>
      </w:tr>
      <w:tr w:rsidR="00710EF4" w:rsidRPr="00D23FBF" w14:paraId="6D83EF7D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299E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proofErr w:type="spellStart"/>
            <w:r w:rsidRPr="00D23FBF">
              <w:rPr>
                <w:b/>
                <w:sz w:val="24"/>
                <w:szCs w:val="24"/>
              </w:rPr>
              <w:t>Vaskulære</w:t>
            </w:r>
            <w:proofErr w:type="spellEnd"/>
            <w:r w:rsidRPr="00D23FBF">
              <w:rPr>
                <w:b/>
                <w:sz w:val="24"/>
                <w:szCs w:val="24"/>
              </w:rPr>
              <w:t xml:space="preserve"> sygdomme</w:t>
            </w:r>
          </w:p>
          <w:p w14:paraId="467673BB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A4F9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Meget almindelig</w:t>
            </w:r>
          </w:p>
          <w:p w14:paraId="1CBFCEB5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almindelig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BEF6" w14:textId="77777777" w:rsidR="00710EF4" w:rsidRPr="00D23FBF" w:rsidRDefault="00710EF4" w:rsidP="00252A63">
            <w:pPr>
              <w:pStyle w:val="CM3"/>
              <w:ind w:left="27" w:right="129"/>
            </w:pPr>
            <w:proofErr w:type="spellStart"/>
            <w:r w:rsidRPr="00D23FBF">
              <w:t>Ortostatisk</w:t>
            </w:r>
            <w:proofErr w:type="spellEnd"/>
            <w:r w:rsidRPr="00D23FBF">
              <w:t xml:space="preserve"> hypotension. </w:t>
            </w:r>
          </w:p>
          <w:p w14:paraId="44CFA89A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proofErr w:type="spellStart"/>
            <w:r w:rsidRPr="00D23FBF">
              <w:rPr>
                <w:sz w:val="24"/>
                <w:szCs w:val="24"/>
              </w:rPr>
              <w:t>Raynauds</w:t>
            </w:r>
            <w:proofErr w:type="spellEnd"/>
            <w:r w:rsidRPr="00D23FBF">
              <w:rPr>
                <w:sz w:val="24"/>
                <w:szCs w:val="24"/>
              </w:rPr>
              <w:t xml:space="preserve"> fænomen.</w:t>
            </w:r>
          </w:p>
        </w:tc>
      </w:tr>
      <w:tr w:rsidR="00710EF4" w:rsidRPr="00D23FBF" w14:paraId="73F53264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7C8D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D23FBF">
              <w:rPr>
                <w:b/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2E06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Sjælden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F4E" w14:textId="77777777" w:rsidR="00710EF4" w:rsidRPr="00D23FBF" w:rsidRDefault="00710EF4" w:rsidP="00252A63">
            <w:pPr>
              <w:pStyle w:val="CM3"/>
              <w:ind w:left="27" w:right="129"/>
            </w:pPr>
            <w:r w:rsidRPr="00D23FBF">
              <w:t xml:space="preserve">Nasal tørhed. </w:t>
            </w:r>
          </w:p>
          <w:p w14:paraId="465CDF74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</w:p>
        </w:tc>
      </w:tr>
      <w:tr w:rsidR="00710EF4" w:rsidRPr="00D23FBF" w14:paraId="5CF9CD06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0A96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Mave-tarm-kanalen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D177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Meget almindelig</w:t>
            </w:r>
          </w:p>
          <w:p w14:paraId="35FDAC2E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Almindelig</w:t>
            </w:r>
          </w:p>
          <w:p w14:paraId="5FC3348E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</w:p>
          <w:p w14:paraId="5EC40F3D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Sjælden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8754" w14:textId="77777777" w:rsidR="00710EF4" w:rsidRPr="00D23FBF" w:rsidRDefault="00710EF4" w:rsidP="00252A63">
            <w:pPr>
              <w:pStyle w:val="CM3"/>
              <w:ind w:left="27" w:right="129"/>
            </w:pPr>
            <w:r w:rsidRPr="00D23FBF">
              <w:t xml:space="preserve">Mundtørhed. </w:t>
            </w:r>
          </w:p>
          <w:p w14:paraId="11197823" w14:textId="77777777" w:rsidR="00710EF4" w:rsidRPr="00D23FBF" w:rsidRDefault="00710EF4" w:rsidP="00252A63">
            <w:pPr>
              <w:pStyle w:val="CM3"/>
              <w:ind w:left="27" w:right="129"/>
            </w:pPr>
            <w:r w:rsidRPr="00D23FBF">
              <w:t xml:space="preserve">Obstipation, kvalme, smerter i spytkirtlerne, opkastning. </w:t>
            </w:r>
          </w:p>
          <w:p w14:paraId="1922894B" w14:textId="77777777" w:rsidR="00710EF4" w:rsidRPr="00D23FBF" w:rsidRDefault="00710EF4" w:rsidP="00252A63">
            <w:pPr>
              <w:pStyle w:val="CM3"/>
              <w:ind w:left="27" w:right="129"/>
            </w:pPr>
            <w:r w:rsidRPr="00D23FBF">
              <w:t xml:space="preserve">Pseudoobstruktion af </w:t>
            </w:r>
            <w:proofErr w:type="spellStart"/>
            <w:r w:rsidRPr="00D23FBF">
              <w:t>colon</w:t>
            </w:r>
            <w:proofErr w:type="spellEnd"/>
            <w:r w:rsidRPr="00D23FBF">
              <w:t xml:space="preserve">. </w:t>
            </w:r>
          </w:p>
        </w:tc>
      </w:tr>
      <w:tr w:rsidR="00710EF4" w:rsidRPr="00D23FBF" w14:paraId="7F2E876B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43A8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Hud og subkutane væv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741F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almindelig</w:t>
            </w:r>
          </w:p>
          <w:p w14:paraId="3236BF46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Sjælden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BD7D" w14:textId="77777777" w:rsidR="00710EF4" w:rsidRPr="00D23FBF" w:rsidRDefault="00710EF4" w:rsidP="00252A63">
            <w:pPr>
              <w:pStyle w:val="CM3"/>
              <w:ind w:left="27" w:right="129"/>
            </w:pPr>
            <w:proofErr w:type="spellStart"/>
            <w:r w:rsidRPr="00D23FBF">
              <w:t>Pruritus</w:t>
            </w:r>
            <w:proofErr w:type="spellEnd"/>
            <w:r w:rsidRPr="00D23FBF">
              <w:t xml:space="preserve">, udslæt, </w:t>
            </w:r>
            <w:proofErr w:type="spellStart"/>
            <w:r w:rsidRPr="00D23FBF">
              <w:t>urticaria</w:t>
            </w:r>
            <w:proofErr w:type="spellEnd"/>
            <w:r w:rsidRPr="00D23FBF">
              <w:t xml:space="preserve">. </w:t>
            </w:r>
          </w:p>
          <w:p w14:paraId="42F6552D" w14:textId="77777777" w:rsidR="00710EF4" w:rsidRPr="00D23FBF" w:rsidRDefault="00710EF4" w:rsidP="00252A63">
            <w:pPr>
              <w:pStyle w:val="CM3"/>
              <w:ind w:left="27" w:right="129"/>
            </w:pPr>
            <w:proofErr w:type="spellStart"/>
            <w:r w:rsidRPr="00D23FBF">
              <w:t>Alopeci</w:t>
            </w:r>
            <w:proofErr w:type="spellEnd"/>
            <w:r w:rsidRPr="00D23FBF">
              <w:t xml:space="preserve">. </w:t>
            </w:r>
          </w:p>
        </w:tc>
      </w:tr>
      <w:tr w:rsidR="00710EF4" w:rsidRPr="00D23FBF" w14:paraId="516766FE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1F8A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Det reproduktive system og mammae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BACA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Almindelig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A010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proofErr w:type="spellStart"/>
            <w:r w:rsidRPr="00D23FBF">
              <w:rPr>
                <w:sz w:val="24"/>
                <w:szCs w:val="24"/>
              </w:rPr>
              <w:t>Erektil</w:t>
            </w:r>
            <w:proofErr w:type="spellEnd"/>
            <w:r w:rsidRPr="00D23FBF">
              <w:rPr>
                <w:sz w:val="24"/>
                <w:szCs w:val="24"/>
              </w:rPr>
              <w:t xml:space="preserve"> dysfunktion.</w:t>
            </w:r>
          </w:p>
        </w:tc>
      </w:tr>
      <w:tr w:rsidR="00710EF4" w:rsidRPr="00D23FBF" w14:paraId="3C6FC192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0EAB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lastRenderedPageBreak/>
              <w:t>Almene symptomer og reaktioner administrationsstedet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7B47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Almindelig</w:t>
            </w:r>
          </w:p>
          <w:p w14:paraId="1DC845BC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almindelig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0933" w14:textId="77777777" w:rsidR="00710EF4" w:rsidRPr="00D23FBF" w:rsidRDefault="00710EF4" w:rsidP="00252A63">
            <w:pPr>
              <w:pStyle w:val="CM3"/>
              <w:ind w:left="27" w:right="129"/>
            </w:pPr>
            <w:proofErr w:type="spellStart"/>
            <w:r w:rsidRPr="00D23FBF">
              <w:t>Fatigue</w:t>
            </w:r>
            <w:proofErr w:type="spellEnd"/>
            <w:r w:rsidRPr="00D23FBF">
              <w:t xml:space="preserve">. </w:t>
            </w:r>
          </w:p>
          <w:p w14:paraId="45F5C371" w14:textId="77777777" w:rsidR="00710EF4" w:rsidRPr="00D23FBF" w:rsidRDefault="00710EF4" w:rsidP="00252A63">
            <w:pPr>
              <w:pStyle w:val="CM3"/>
              <w:ind w:left="27" w:right="129"/>
              <w:rPr>
                <w:rFonts w:eastAsia="MS Mincho"/>
              </w:rPr>
            </w:pPr>
            <w:r w:rsidRPr="00D23FBF">
              <w:t xml:space="preserve">Utilpashed. </w:t>
            </w:r>
          </w:p>
          <w:p w14:paraId="00579EB2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</w:p>
        </w:tc>
      </w:tr>
      <w:tr w:rsidR="00710EF4" w:rsidRPr="00D23FBF" w14:paraId="6FAF09F8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CCA4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Undersøgelser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633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Sjælden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051B" w14:textId="77777777" w:rsidR="00710EF4" w:rsidRPr="00D23FBF" w:rsidRDefault="00710EF4" w:rsidP="00252A63">
            <w:pPr>
              <w:pStyle w:val="CM3"/>
              <w:ind w:left="27" w:right="129"/>
            </w:pPr>
            <w:r w:rsidRPr="00D23FBF">
              <w:t xml:space="preserve">Forhøjet </w:t>
            </w:r>
            <w:proofErr w:type="spellStart"/>
            <w:r w:rsidRPr="00D23FBF">
              <w:t>blodglucose</w:t>
            </w:r>
            <w:proofErr w:type="spellEnd"/>
            <w:r w:rsidRPr="00D23FBF">
              <w:t xml:space="preserve">. </w:t>
            </w:r>
          </w:p>
          <w:p w14:paraId="4749A796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</w:p>
        </w:tc>
      </w:tr>
    </w:tbl>
    <w:p w14:paraId="291E5F30" w14:textId="77777777" w:rsidR="00710EF4" w:rsidRPr="00D23FBF" w:rsidRDefault="00710EF4" w:rsidP="00710EF4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14:paraId="0D368417" w14:textId="77777777" w:rsidR="00710EF4" w:rsidRPr="00D23FBF" w:rsidRDefault="00710EF4" w:rsidP="00252A6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23FBF">
        <w:rPr>
          <w:sz w:val="24"/>
          <w:szCs w:val="24"/>
          <w:u w:val="single"/>
        </w:rPr>
        <w:t>Indberetning af formodede bivirkninger</w:t>
      </w:r>
    </w:p>
    <w:p w14:paraId="7F761D0D" w14:textId="77777777" w:rsidR="00710EF4" w:rsidRPr="00D23FBF" w:rsidRDefault="00710EF4" w:rsidP="00252A6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23FBF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D23FBF">
        <w:rPr>
          <w:sz w:val="24"/>
          <w:szCs w:val="24"/>
        </w:rPr>
        <w:t>risk</w:t>
      </w:r>
      <w:proofErr w:type="spellEnd"/>
      <w:r w:rsidRPr="00D23FBF">
        <w:rPr>
          <w:sz w:val="24"/>
          <w:szCs w:val="24"/>
        </w:rPr>
        <w:t>-forholdet for lægemidlet. Sundhedspersoner anmodes om at indberette alle formodede bivirkninger via:</w:t>
      </w:r>
    </w:p>
    <w:p w14:paraId="71456C7D" w14:textId="77777777" w:rsidR="00710EF4" w:rsidRPr="00D23FBF" w:rsidRDefault="00710EF4" w:rsidP="00252A63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0F5FDF7D" w14:textId="77777777" w:rsidR="00710EF4" w:rsidRPr="00D23FBF" w:rsidRDefault="00710EF4" w:rsidP="00252A63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23FBF">
        <w:rPr>
          <w:noProof/>
          <w:sz w:val="24"/>
          <w:szCs w:val="24"/>
        </w:rPr>
        <w:t>Lægemiddelstyrelsen</w:t>
      </w:r>
    </w:p>
    <w:p w14:paraId="6C0D7D6C" w14:textId="77777777" w:rsidR="00710EF4" w:rsidRPr="00D23FBF" w:rsidRDefault="00710EF4" w:rsidP="00252A63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23FBF">
        <w:rPr>
          <w:noProof/>
          <w:sz w:val="24"/>
          <w:szCs w:val="24"/>
        </w:rPr>
        <w:t>Axel Heides Gade 1</w:t>
      </w:r>
    </w:p>
    <w:p w14:paraId="5C918F38" w14:textId="77777777" w:rsidR="00710EF4" w:rsidRPr="00D23FBF" w:rsidRDefault="00710EF4" w:rsidP="00252A63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23FBF">
        <w:rPr>
          <w:noProof/>
          <w:sz w:val="24"/>
          <w:szCs w:val="24"/>
        </w:rPr>
        <w:t>DK-2300 København S</w:t>
      </w:r>
    </w:p>
    <w:p w14:paraId="57304244" w14:textId="77777777" w:rsidR="00710EF4" w:rsidRPr="00D23FBF" w:rsidRDefault="00710EF4" w:rsidP="00252A63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23FBF">
        <w:rPr>
          <w:noProof/>
          <w:sz w:val="24"/>
          <w:szCs w:val="24"/>
        </w:rPr>
        <w:t>Websted: www.meldenbivirkning.dk</w:t>
      </w:r>
    </w:p>
    <w:p w14:paraId="6302444A" w14:textId="77777777" w:rsidR="009260DE" w:rsidRPr="00D23FBF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6902B222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4.9</w:t>
      </w:r>
      <w:r w:rsidRPr="00D23FBF">
        <w:rPr>
          <w:b/>
          <w:sz w:val="24"/>
          <w:szCs w:val="24"/>
        </w:rPr>
        <w:tab/>
        <w:t>Overdosering</w:t>
      </w:r>
    </w:p>
    <w:p w14:paraId="70E749C4" w14:textId="77777777" w:rsidR="00E26E30" w:rsidRDefault="00E26E30" w:rsidP="00252A63">
      <w:pPr>
        <w:ind w:left="851"/>
        <w:rPr>
          <w:sz w:val="24"/>
          <w:szCs w:val="24"/>
        </w:rPr>
      </w:pPr>
    </w:p>
    <w:p w14:paraId="33E43497" w14:textId="752393BA" w:rsidR="00710EF4" w:rsidRPr="00E26E30" w:rsidRDefault="00710EF4" w:rsidP="00252A63">
      <w:pPr>
        <w:ind w:left="851"/>
        <w:rPr>
          <w:sz w:val="24"/>
          <w:szCs w:val="24"/>
          <w:u w:val="single"/>
          <w:lang w:eastAsia="en-GB"/>
        </w:rPr>
      </w:pPr>
      <w:r w:rsidRPr="00E26E30">
        <w:rPr>
          <w:sz w:val="24"/>
          <w:szCs w:val="24"/>
          <w:u w:val="single"/>
        </w:rPr>
        <w:t>Symptomer</w:t>
      </w:r>
    </w:p>
    <w:p w14:paraId="54C25D45" w14:textId="77777777" w:rsidR="00710EF4" w:rsidRPr="00D23FBF" w:rsidRDefault="00710EF4" w:rsidP="00252A63">
      <w:pPr>
        <w:ind w:left="851"/>
        <w:rPr>
          <w:sz w:val="24"/>
          <w:szCs w:val="24"/>
        </w:rPr>
      </w:pP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er kendetegnet ved et bredt terapeutisk virkningsspektrum. Manifestationerne ved </w:t>
      </w:r>
      <w:proofErr w:type="spellStart"/>
      <w:r w:rsidRPr="00D23FBF">
        <w:rPr>
          <w:sz w:val="24"/>
          <w:szCs w:val="24"/>
        </w:rPr>
        <w:t>intoksikation</w:t>
      </w:r>
      <w:proofErr w:type="spellEnd"/>
      <w:r w:rsidRPr="00D23FBF">
        <w:rPr>
          <w:sz w:val="24"/>
          <w:szCs w:val="24"/>
        </w:rPr>
        <w:t xml:space="preserve"> skyldes generel hæmning af det sympatiske nervesystem og omfatter pupilforsnævring, letargi, bradykardi, hypotension, </w:t>
      </w:r>
      <w:proofErr w:type="spellStart"/>
      <w:r w:rsidRPr="00D23FBF">
        <w:rPr>
          <w:sz w:val="24"/>
          <w:szCs w:val="24"/>
        </w:rPr>
        <w:t>hypotermi</w:t>
      </w:r>
      <w:proofErr w:type="spellEnd"/>
      <w:r w:rsidRPr="00D23FBF">
        <w:rPr>
          <w:sz w:val="24"/>
          <w:szCs w:val="24"/>
        </w:rPr>
        <w:t>, døsighed inklusive koma samt respirationsdepression inklusive apnø. Paradoksal hypertension som følge af stimulering af perifere α</w:t>
      </w:r>
      <w:r w:rsidRPr="00D23FBF">
        <w:rPr>
          <w:sz w:val="24"/>
          <w:szCs w:val="24"/>
          <w:vertAlign w:val="subscript"/>
        </w:rPr>
        <w:t>1</w:t>
      </w:r>
      <w:r w:rsidRPr="00D23FBF">
        <w:rPr>
          <w:sz w:val="24"/>
          <w:szCs w:val="24"/>
        </w:rPr>
        <w:t xml:space="preserve">-receptorer kan forekomme. </w:t>
      </w:r>
    </w:p>
    <w:p w14:paraId="3F8106CB" w14:textId="77777777" w:rsidR="00710EF4" w:rsidRPr="00D23FBF" w:rsidRDefault="00710EF4" w:rsidP="00252A63">
      <w:pPr>
        <w:ind w:left="851"/>
        <w:rPr>
          <w:sz w:val="24"/>
          <w:szCs w:val="24"/>
          <w:lang w:eastAsia="en-GB"/>
        </w:rPr>
      </w:pPr>
    </w:p>
    <w:p w14:paraId="53EE74B5" w14:textId="77777777" w:rsidR="00710EF4" w:rsidRPr="00E26E30" w:rsidRDefault="00710EF4" w:rsidP="00252A63">
      <w:pPr>
        <w:ind w:left="851"/>
        <w:rPr>
          <w:sz w:val="24"/>
          <w:szCs w:val="24"/>
          <w:u w:val="single"/>
          <w:lang w:eastAsia="en-GB"/>
        </w:rPr>
      </w:pPr>
      <w:r w:rsidRPr="00E26E30">
        <w:rPr>
          <w:sz w:val="24"/>
          <w:szCs w:val="24"/>
          <w:u w:val="single"/>
        </w:rPr>
        <w:t>Behandling</w:t>
      </w:r>
    </w:p>
    <w:p w14:paraId="7E003138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Der er ingen specifik </w:t>
      </w:r>
      <w:proofErr w:type="spellStart"/>
      <w:r w:rsidRPr="00D23FBF">
        <w:rPr>
          <w:sz w:val="24"/>
          <w:szCs w:val="24"/>
        </w:rPr>
        <w:t>antidot</w:t>
      </w:r>
      <w:proofErr w:type="spellEnd"/>
      <w:r w:rsidRPr="00D23FBF">
        <w:rPr>
          <w:sz w:val="24"/>
          <w:szCs w:val="24"/>
        </w:rPr>
        <w:t xml:space="preserve"> mod overdosering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. </w:t>
      </w:r>
    </w:p>
    <w:p w14:paraId="686D4001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423D6092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Understøttende behandling kan omfatte atropinsulfat for symptomatisk bradykardi og intravenøse væsker og/eller inotrope </w:t>
      </w:r>
      <w:proofErr w:type="spellStart"/>
      <w:r w:rsidRPr="00D23FBF">
        <w:rPr>
          <w:sz w:val="24"/>
          <w:szCs w:val="24"/>
        </w:rPr>
        <w:t>sympatomimetika</w:t>
      </w:r>
      <w:proofErr w:type="spellEnd"/>
      <w:r w:rsidRPr="00D23FBF">
        <w:rPr>
          <w:sz w:val="24"/>
          <w:szCs w:val="24"/>
        </w:rPr>
        <w:t xml:space="preserve"> for hypotension. Svær, vedvarende hypertension kan kræve korrigering med alfa-</w:t>
      </w:r>
      <w:proofErr w:type="spellStart"/>
      <w:r w:rsidRPr="00D23FBF">
        <w:rPr>
          <w:sz w:val="24"/>
          <w:szCs w:val="24"/>
        </w:rPr>
        <w:t>adrenoceptor</w:t>
      </w:r>
      <w:proofErr w:type="spellEnd"/>
      <w:r w:rsidRPr="00D23FBF">
        <w:rPr>
          <w:sz w:val="24"/>
          <w:szCs w:val="24"/>
        </w:rPr>
        <w:t xml:space="preserve">-blokerende midler. </w:t>
      </w:r>
    </w:p>
    <w:p w14:paraId="47AEA4B2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11F10A79" w14:textId="77777777" w:rsidR="00710EF4" w:rsidRPr="00D23FBF" w:rsidRDefault="00710EF4" w:rsidP="00252A63">
      <w:pPr>
        <w:ind w:left="851"/>
        <w:rPr>
          <w:rFonts w:eastAsia="MS Mincho"/>
          <w:sz w:val="24"/>
          <w:szCs w:val="24"/>
        </w:rPr>
      </w:pPr>
      <w:proofErr w:type="spellStart"/>
      <w:r w:rsidRPr="00D23FBF">
        <w:rPr>
          <w:sz w:val="24"/>
          <w:szCs w:val="24"/>
        </w:rPr>
        <w:t>Naloxon</w:t>
      </w:r>
      <w:proofErr w:type="spellEnd"/>
      <w:r w:rsidRPr="00D23FBF">
        <w:rPr>
          <w:sz w:val="24"/>
          <w:szCs w:val="24"/>
        </w:rPr>
        <w:t xml:space="preserve"> kan være et nyttigt supplement til behandling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>-forårsaget respirationsdepression.</w:t>
      </w:r>
    </w:p>
    <w:p w14:paraId="5AC7818E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C20F82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4.10</w:t>
      </w:r>
      <w:r w:rsidRPr="00D23FBF">
        <w:rPr>
          <w:b/>
          <w:sz w:val="24"/>
          <w:szCs w:val="24"/>
        </w:rPr>
        <w:tab/>
        <w:t>Udlevering</w:t>
      </w:r>
    </w:p>
    <w:p w14:paraId="59D9CFC8" w14:textId="09161490" w:rsidR="009260DE" w:rsidRPr="00D23FBF" w:rsidRDefault="00710EF4" w:rsidP="009260DE">
      <w:pPr>
        <w:tabs>
          <w:tab w:val="left" w:pos="851"/>
        </w:tabs>
        <w:ind w:left="851"/>
        <w:rPr>
          <w:sz w:val="24"/>
          <w:szCs w:val="24"/>
        </w:rPr>
      </w:pPr>
      <w:r w:rsidRPr="00D23FBF">
        <w:rPr>
          <w:sz w:val="24"/>
          <w:szCs w:val="24"/>
        </w:rPr>
        <w:t>A</w:t>
      </w:r>
    </w:p>
    <w:p w14:paraId="14051888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28AC9F6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72B0D1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5.</w:t>
      </w:r>
      <w:r w:rsidRPr="00D23FBF">
        <w:rPr>
          <w:b/>
          <w:sz w:val="24"/>
          <w:szCs w:val="24"/>
        </w:rPr>
        <w:tab/>
        <w:t>FARMAKOLOGISKE EGENSKABER</w:t>
      </w:r>
    </w:p>
    <w:p w14:paraId="625968E1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19644B" w14:textId="77777777" w:rsidR="009260DE" w:rsidRPr="00D23FBF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5.1</w:t>
      </w:r>
      <w:r w:rsidRPr="00D23FBF">
        <w:rPr>
          <w:b/>
          <w:sz w:val="24"/>
          <w:szCs w:val="24"/>
        </w:rPr>
        <w:tab/>
      </w:r>
      <w:proofErr w:type="spellStart"/>
      <w:r w:rsidRPr="00D23FBF">
        <w:rPr>
          <w:b/>
          <w:sz w:val="24"/>
          <w:szCs w:val="24"/>
        </w:rPr>
        <w:t>Farmakodynamiske</w:t>
      </w:r>
      <w:proofErr w:type="spellEnd"/>
      <w:r w:rsidRPr="00D23FBF">
        <w:rPr>
          <w:b/>
          <w:sz w:val="24"/>
          <w:szCs w:val="24"/>
        </w:rPr>
        <w:t xml:space="preserve"> egenskaber</w:t>
      </w:r>
    </w:p>
    <w:p w14:paraId="2168B7E9" w14:textId="1B8C9695" w:rsidR="00E26E30" w:rsidRDefault="00E26E30" w:rsidP="00D23FB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14:paraId="7B7996FC" w14:textId="68A19670" w:rsidR="009B224D" w:rsidRDefault="009B224D" w:rsidP="00D23FBF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proofErr w:type="spellStart"/>
      <w:r w:rsidRPr="00D23FBF">
        <w:rPr>
          <w:sz w:val="24"/>
          <w:szCs w:val="24"/>
        </w:rPr>
        <w:t>Antihypertensiva</w:t>
      </w:r>
      <w:proofErr w:type="spellEnd"/>
      <w:r w:rsidRPr="00D23FBF">
        <w:rPr>
          <w:sz w:val="24"/>
          <w:szCs w:val="24"/>
        </w:rPr>
        <w:t xml:space="preserve">; </w:t>
      </w:r>
      <w:proofErr w:type="spellStart"/>
      <w:r w:rsidRPr="00D23FBF">
        <w:rPr>
          <w:sz w:val="24"/>
          <w:szCs w:val="24"/>
        </w:rPr>
        <w:t>imidazolinreceptoragonister</w:t>
      </w:r>
      <w:proofErr w:type="spellEnd"/>
      <w:r w:rsidRPr="00D23FBF">
        <w:rPr>
          <w:sz w:val="24"/>
          <w:szCs w:val="24"/>
        </w:rPr>
        <w:t>.</w:t>
      </w:r>
    </w:p>
    <w:p w14:paraId="1A152972" w14:textId="7CCE4AD2" w:rsidR="009B224D" w:rsidRDefault="009B224D" w:rsidP="00D23FB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23FBF">
        <w:rPr>
          <w:sz w:val="24"/>
          <w:szCs w:val="24"/>
        </w:rPr>
        <w:t>ATC-kode: C02AC01.</w:t>
      </w:r>
    </w:p>
    <w:p w14:paraId="11194FDB" w14:textId="77777777" w:rsidR="009B224D" w:rsidRPr="009B224D" w:rsidRDefault="009B224D" w:rsidP="00D23FB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4770C666" w14:textId="7405E680" w:rsidR="00710EF4" w:rsidRPr="00D23FBF" w:rsidRDefault="00710EF4" w:rsidP="00D23FB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23FBF">
        <w:rPr>
          <w:sz w:val="24"/>
          <w:szCs w:val="24"/>
          <w:u w:val="single"/>
        </w:rPr>
        <w:t>Virkningsmekanisme</w:t>
      </w:r>
    </w:p>
    <w:p w14:paraId="4C781C5C" w14:textId="77777777" w:rsidR="00710EF4" w:rsidRPr="00D23FBF" w:rsidRDefault="00710EF4" w:rsidP="00D23FBF">
      <w:pPr>
        <w:pStyle w:val="CM3"/>
        <w:ind w:left="851" w:right="129"/>
      </w:pPr>
      <w:proofErr w:type="spellStart"/>
      <w:r w:rsidRPr="00D23FBF">
        <w:t>Clonidin</w:t>
      </w:r>
      <w:proofErr w:type="spellEnd"/>
      <w:r w:rsidRPr="00D23FBF">
        <w:t xml:space="preserve"> virker primært på centralnervesystemet, hvilket resulterer i reduceret sympatisk </w:t>
      </w:r>
      <w:proofErr w:type="spellStart"/>
      <w:r w:rsidRPr="00D23FBF">
        <w:t>outflow</w:t>
      </w:r>
      <w:proofErr w:type="spellEnd"/>
      <w:r w:rsidRPr="00D23FBF">
        <w:t xml:space="preserve"> og nedsat perifer modstand, </w:t>
      </w:r>
      <w:proofErr w:type="spellStart"/>
      <w:r w:rsidRPr="00D23FBF">
        <w:t>renal</w:t>
      </w:r>
      <w:proofErr w:type="spellEnd"/>
      <w:r w:rsidRPr="00D23FBF">
        <w:t xml:space="preserve"> </w:t>
      </w:r>
      <w:proofErr w:type="spellStart"/>
      <w:r w:rsidRPr="00D23FBF">
        <w:t>vaskulær</w:t>
      </w:r>
      <w:proofErr w:type="spellEnd"/>
      <w:r w:rsidRPr="00D23FBF">
        <w:t xml:space="preserve"> modstand, hjertefrekvens og blodtryk </w:t>
      </w:r>
    </w:p>
    <w:p w14:paraId="36E4D615" w14:textId="77777777" w:rsidR="00710EF4" w:rsidRPr="00D23FBF" w:rsidRDefault="00710EF4" w:rsidP="00D23FBF">
      <w:pPr>
        <w:autoSpaceDE w:val="0"/>
        <w:autoSpaceDN w:val="0"/>
        <w:adjustRightInd w:val="0"/>
        <w:ind w:left="851"/>
        <w:rPr>
          <w:sz w:val="24"/>
          <w:szCs w:val="24"/>
          <w:highlight w:val="yellow"/>
          <w:u w:val="single"/>
        </w:rPr>
      </w:pPr>
    </w:p>
    <w:p w14:paraId="03F5A33F" w14:textId="77777777" w:rsidR="00710EF4" w:rsidRPr="00D23FBF" w:rsidRDefault="00710EF4" w:rsidP="00D23FB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proofErr w:type="spellStart"/>
      <w:r w:rsidRPr="00D23FBF">
        <w:rPr>
          <w:sz w:val="24"/>
          <w:szCs w:val="24"/>
          <w:u w:val="single"/>
        </w:rPr>
        <w:t>Farmakodynamisk</w:t>
      </w:r>
      <w:proofErr w:type="spellEnd"/>
      <w:r w:rsidRPr="00D23FBF">
        <w:rPr>
          <w:sz w:val="24"/>
          <w:szCs w:val="24"/>
          <w:u w:val="single"/>
        </w:rPr>
        <w:t xml:space="preserve"> virkning</w:t>
      </w:r>
    </w:p>
    <w:p w14:paraId="01846389" w14:textId="77777777" w:rsidR="00710EF4" w:rsidRPr="00D23FBF" w:rsidRDefault="00710EF4" w:rsidP="00D23FBF">
      <w:pPr>
        <w:pStyle w:val="CM3"/>
        <w:ind w:left="851" w:right="129"/>
      </w:pPr>
      <w:r w:rsidRPr="00D23FBF">
        <w:lastRenderedPageBreak/>
        <w:t xml:space="preserve">Den </w:t>
      </w:r>
      <w:proofErr w:type="spellStart"/>
      <w:r w:rsidRPr="00D23FBF">
        <w:t>renale</w:t>
      </w:r>
      <w:proofErr w:type="spellEnd"/>
      <w:r w:rsidRPr="00D23FBF">
        <w:t xml:space="preserve"> blodgennemstrømning og den </w:t>
      </w:r>
      <w:proofErr w:type="spellStart"/>
      <w:r w:rsidRPr="00D23FBF">
        <w:t>glomerulære</w:t>
      </w:r>
      <w:proofErr w:type="spellEnd"/>
      <w:r w:rsidRPr="00D23FBF">
        <w:t xml:space="preserve"> filtrationshastighed forbliver stort set uændrede. </w:t>
      </w:r>
    </w:p>
    <w:p w14:paraId="4EEB225C" w14:textId="77777777" w:rsidR="00710EF4" w:rsidRPr="00D23FBF" w:rsidRDefault="00710EF4" w:rsidP="00D23FBF">
      <w:pPr>
        <w:pStyle w:val="CM3"/>
        <w:ind w:left="851" w:right="129"/>
      </w:pPr>
      <w:r w:rsidRPr="00D23FBF">
        <w:t xml:space="preserve">Normale </w:t>
      </w:r>
      <w:proofErr w:type="spellStart"/>
      <w:r w:rsidRPr="00D23FBF">
        <w:t>posturale</w:t>
      </w:r>
      <w:proofErr w:type="spellEnd"/>
      <w:r w:rsidRPr="00D23FBF">
        <w:t xml:space="preserve"> reflekser er intakte, og derfor er </w:t>
      </w:r>
      <w:proofErr w:type="spellStart"/>
      <w:r w:rsidRPr="00D23FBF">
        <w:t>ortostatiske</w:t>
      </w:r>
      <w:proofErr w:type="spellEnd"/>
      <w:r w:rsidRPr="00D23FBF">
        <w:t xml:space="preserve"> symptomer milde og sjældne. Under langvarig behandling vender minutvolumen som regel tilbage til kontrolværdien, hvorimod den perifere modstand forbliver reduceret. </w:t>
      </w:r>
    </w:p>
    <w:p w14:paraId="2D9207FA" w14:textId="77777777" w:rsidR="00710EF4" w:rsidRPr="00D23FBF" w:rsidRDefault="00710EF4" w:rsidP="00D23FBF">
      <w:pPr>
        <w:autoSpaceDE w:val="0"/>
        <w:autoSpaceDN w:val="0"/>
        <w:adjustRightInd w:val="0"/>
        <w:ind w:left="851"/>
        <w:rPr>
          <w:sz w:val="24"/>
          <w:szCs w:val="24"/>
          <w:highlight w:val="yellow"/>
          <w:u w:val="single"/>
        </w:rPr>
      </w:pPr>
    </w:p>
    <w:p w14:paraId="5648DDFB" w14:textId="77777777" w:rsidR="00710EF4" w:rsidRPr="00D23FBF" w:rsidRDefault="00710EF4" w:rsidP="00D23FB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23FBF">
        <w:rPr>
          <w:sz w:val="24"/>
          <w:szCs w:val="24"/>
          <w:u w:val="single"/>
        </w:rPr>
        <w:t>Klinisk virkning og sikkerhed</w:t>
      </w:r>
    </w:p>
    <w:p w14:paraId="4478D00F" w14:textId="77777777" w:rsidR="00710EF4" w:rsidRPr="00D23FBF" w:rsidRDefault="00710EF4" w:rsidP="00D23FBF">
      <w:pPr>
        <w:pStyle w:val="CM3"/>
        <w:ind w:left="851" w:right="129"/>
      </w:pPr>
      <w:r w:rsidRPr="00D23FBF">
        <w:t xml:space="preserve">Der er set langsommere puls hos de fleste patienter, der har fået </w:t>
      </w:r>
      <w:proofErr w:type="spellStart"/>
      <w:r w:rsidRPr="00D23FBF">
        <w:t>clonidin</w:t>
      </w:r>
      <w:proofErr w:type="spellEnd"/>
      <w:r w:rsidRPr="00D23FBF">
        <w:t xml:space="preserve">, men lægemidlet ændrer ikke det normale </w:t>
      </w:r>
      <w:proofErr w:type="spellStart"/>
      <w:r w:rsidRPr="00D23FBF">
        <w:t>hæmodynamiske</w:t>
      </w:r>
      <w:proofErr w:type="spellEnd"/>
      <w:r w:rsidRPr="00D23FBF">
        <w:t xml:space="preserve"> respons på motion.</w:t>
      </w:r>
    </w:p>
    <w:p w14:paraId="69D29C2C" w14:textId="77777777" w:rsidR="00710EF4" w:rsidRPr="00D23FBF" w:rsidRDefault="00710EF4" w:rsidP="00D23FBF">
      <w:pPr>
        <w:ind w:left="851"/>
        <w:rPr>
          <w:sz w:val="24"/>
          <w:szCs w:val="24"/>
          <w:lang w:eastAsia="en-GB"/>
        </w:rPr>
      </w:pPr>
    </w:p>
    <w:p w14:paraId="4FBE4430" w14:textId="77777777" w:rsidR="00710EF4" w:rsidRPr="00D23FBF" w:rsidRDefault="00710EF4" w:rsidP="00D23FBF">
      <w:pPr>
        <w:pStyle w:val="CM1"/>
        <w:spacing w:line="240" w:lineRule="auto"/>
        <w:ind w:left="851" w:right="129"/>
        <w:rPr>
          <w:rFonts w:eastAsia="MS Mincho"/>
          <w:bCs/>
          <w:u w:val="single"/>
        </w:rPr>
      </w:pPr>
      <w:r w:rsidRPr="00D23FBF">
        <w:rPr>
          <w:bCs/>
          <w:u w:val="single"/>
        </w:rPr>
        <w:t xml:space="preserve">Pædiatrisk population </w:t>
      </w:r>
    </w:p>
    <w:p w14:paraId="514AB71C" w14:textId="77777777" w:rsidR="00710EF4" w:rsidRPr="00D23FBF" w:rsidRDefault="00710EF4" w:rsidP="00D23FBF">
      <w:pPr>
        <w:pStyle w:val="CM3"/>
        <w:ind w:left="851" w:right="129"/>
      </w:pPr>
      <w:proofErr w:type="spellStart"/>
      <w:r w:rsidRPr="00D23FBF">
        <w:t>Clonidins</w:t>
      </w:r>
      <w:proofErr w:type="spellEnd"/>
      <w:r w:rsidRPr="00D23FBF">
        <w:t xml:space="preserve"> virkning ved behandling af hypertension er blevet undersøgt i fem kliniske studier med pædiatriske patienter. Virkningsdataene bekræfter </w:t>
      </w:r>
      <w:proofErr w:type="spellStart"/>
      <w:r w:rsidRPr="00D23FBF">
        <w:t>clonidins</w:t>
      </w:r>
      <w:proofErr w:type="spellEnd"/>
      <w:r w:rsidRPr="00D23FBF">
        <w:t xml:space="preserve"> egenskaber med hensyn til reduktion af det systoliske og diastoliske blodtryk. På grund af begrænsede data og metodologiske mangler kan der imidlertid ikke drages nogen endelig konklusion vedrørende brug af </w:t>
      </w:r>
      <w:proofErr w:type="spellStart"/>
      <w:r w:rsidRPr="00D23FBF">
        <w:t>clonidin</w:t>
      </w:r>
      <w:proofErr w:type="spellEnd"/>
      <w:r w:rsidRPr="00D23FBF">
        <w:t xml:space="preserve"> hos </w:t>
      </w:r>
      <w:proofErr w:type="spellStart"/>
      <w:r w:rsidRPr="00D23FBF">
        <w:t>hypertensive</w:t>
      </w:r>
      <w:proofErr w:type="spellEnd"/>
      <w:r w:rsidRPr="00D23FBF">
        <w:t xml:space="preserve"> børn.</w:t>
      </w:r>
    </w:p>
    <w:p w14:paraId="3A5F8690" w14:textId="77777777" w:rsidR="00710EF4" w:rsidRPr="00D23FBF" w:rsidRDefault="00710EF4" w:rsidP="00D23FBF">
      <w:pPr>
        <w:ind w:left="851"/>
        <w:rPr>
          <w:sz w:val="24"/>
          <w:szCs w:val="24"/>
        </w:rPr>
      </w:pPr>
    </w:p>
    <w:p w14:paraId="7DBA1089" w14:textId="77777777" w:rsidR="00710EF4" w:rsidRPr="00D23FBF" w:rsidRDefault="00710EF4" w:rsidP="00D23FBF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Overordnet set er </w:t>
      </w:r>
      <w:proofErr w:type="spellStart"/>
      <w:r w:rsidRPr="00D23FBF">
        <w:rPr>
          <w:sz w:val="24"/>
          <w:szCs w:val="24"/>
        </w:rPr>
        <w:t>clonidins</w:t>
      </w:r>
      <w:proofErr w:type="spellEnd"/>
      <w:r w:rsidRPr="00D23FBF">
        <w:rPr>
          <w:sz w:val="24"/>
          <w:szCs w:val="24"/>
        </w:rPr>
        <w:t xml:space="preserve"> sikkerhed og virkning hos børn og unge ikke blevet klarlagt (se pkt. 4.2).</w:t>
      </w:r>
    </w:p>
    <w:p w14:paraId="269F4C72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844687C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5.2</w:t>
      </w:r>
      <w:r w:rsidRPr="00D23FBF">
        <w:rPr>
          <w:b/>
          <w:sz w:val="24"/>
          <w:szCs w:val="24"/>
        </w:rPr>
        <w:tab/>
      </w:r>
      <w:proofErr w:type="spellStart"/>
      <w:r w:rsidRPr="00D23FBF">
        <w:rPr>
          <w:b/>
          <w:sz w:val="24"/>
          <w:szCs w:val="24"/>
        </w:rPr>
        <w:t>Farmakokinetiske</w:t>
      </w:r>
      <w:proofErr w:type="spellEnd"/>
      <w:r w:rsidRPr="00D23FBF">
        <w:rPr>
          <w:b/>
          <w:sz w:val="24"/>
          <w:szCs w:val="24"/>
        </w:rPr>
        <w:t xml:space="preserve"> egenskaber</w:t>
      </w:r>
    </w:p>
    <w:p w14:paraId="21160113" w14:textId="77777777" w:rsidR="00E26E30" w:rsidRDefault="00E26E30" w:rsidP="00D23FBF">
      <w:pPr>
        <w:pStyle w:val="CM3"/>
        <w:ind w:left="851" w:right="129"/>
        <w:rPr>
          <w:u w:val="single"/>
        </w:rPr>
      </w:pPr>
    </w:p>
    <w:p w14:paraId="6338A59F" w14:textId="49641F6A" w:rsidR="0020259A" w:rsidRPr="00D23FBF" w:rsidRDefault="0020259A" w:rsidP="00D23FBF">
      <w:pPr>
        <w:pStyle w:val="CM3"/>
        <w:ind w:left="851" w:right="129"/>
        <w:rPr>
          <w:u w:val="single"/>
        </w:rPr>
      </w:pPr>
      <w:r w:rsidRPr="00D23FBF">
        <w:rPr>
          <w:u w:val="single"/>
        </w:rPr>
        <w:t xml:space="preserve">Absorption og fordeling </w:t>
      </w:r>
    </w:p>
    <w:p w14:paraId="0F369E9B" w14:textId="77777777" w:rsidR="0020259A" w:rsidRPr="00D23FBF" w:rsidRDefault="0020259A" w:rsidP="00D23FBF">
      <w:pPr>
        <w:pStyle w:val="CM3"/>
        <w:ind w:left="851" w:right="129"/>
        <w:rPr>
          <w:rFonts w:eastAsia="MS Mincho"/>
        </w:rPr>
      </w:pPr>
      <w:proofErr w:type="spellStart"/>
      <w:r w:rsidRPr="00D23FBF">
        <w:t>Clonidins</w:t>
      </w:r>
      <w:proofErr w:type="spellEnd"/>
      <w:r w:rsidRPr="00D23FBF">
        <w:t xml:space="preserve"> farmakokinetik er dosisproportional i intervallet 75-300 mikrogram. </w:t>
      </w:r>
      <w:proofErr w:type="spellStart"/>
      <w:r w:rsidRPr="00D23FBF">
        <w:t>Clonidin</w:t>
      </w:r>
      <w:proofErr w:type="spellEnd"/>
      <w:r w:rsidRPr="00D23FBF">
        <w:t xml:space="preserve"> fordeles hurtigt og i omfattende grad til vævene og krydser blod-hjerne-barrieren og placentabarrieren. </w:t>
      </w:r>
      <w:proofErr w:type="spellStart"/>
      <w:r w:rsidRPr="00D23FBF">
        <w:t>Clonidins</w:t>
      </w:r>
      <w:proofErr w:type="spellEnd"/>
      <w:r w:rsidRPr="00D23FBF">
        <w:t xml:space="preserve"> gennemsnitlige fordelingsvolumen er cirka 3,2-3,5 l/kg. Plasmaproteinbindingen er 30-40%. </w:t>
      </w:r>
      <w:proofErr w:type="spellStart"/>
      <w:r w:rsidRPr="00D23FBF">
        <w:t>Clonidin</w:t>
      </w:r>
      <w:proofErr w:type="spellEnd"/>
      <w:r w:rsidRPr="00D23FBF">
        <w:t xml:space="preserve"> udskilles i human mælk. Der er imidlertid utilstrækkelige data vedrørende virkningen hos nyfødte. </w:t>
      </w:r>
    </w:p>
    <w:p w14:paraId="3D6F4B9E" w14:textId="77777777" w:rsidR="0020259A" w:rsidRPr="00D23FBF" w:rsidRDefault="0020259A" w:rsidP="00D23FBF">
      <w:pPr>
        <w:pStyle w:val="CM3"/>
        <w:ind w:left="851" w:right="129"/>
        <w:rPr>
          <w:u w:val="single"/>
        </w:rPr>
      </w:pPr>
    </w:p>
    <w:p w14:paraId="71B4C5C9" w14:textId="77777777" w:rsidR="0020259A" w:rsidRPr="00D23FBF" w:rsidRDefault="0020259A" w:rsidP="00D23FBF">
      <w:pPr>
        <w:pStyle w:val="CM3"/>
        <w:ind w:left="851" w:right="129"/>
        <w:rPr>
          <w:u w:val="single"/>
        </w:rPr>
      </w:pPr>
      <w:r w:rsidRPr="00D23FBF">
        <w:rPr>
          <w:u w:val="single"/>
        </w:rPr>
        <w:t xml:space="preserve">Biotransformation og elimination </w:t>
      </w:r>
    </w:p>
    <w:p w14:paraId="3F14A49C" w14:textId="77777777" w:rsidR="0020259A" w:rsidRPr="00D23FBF" w:rsidRDefault="0020259A" w:rsidP="00D23FBF">
      <w:pPr>
        <w:pStyle w:val="CM3"/>
        <w:ind w:left="851" w:right="129"/>
      </w:pPr>
      <w:proofErr w:type="spellStart"/>
      <w:r w:rsidRPr="00D23FBF">
        <w:t>Clonidins</w:t>
      </w:r>
      <w:proofErr w:type="spellEnd"/>
      <w:r w:rsidRPr="00D23FBF">
        <w:t xml:space="preserve"> terminale eliminationshalveringstid ligger i området 5-25,5 timer. Hos patienter med svært nedsat nyrefunktion kan den være forlænget til op til 41 timer. Cirka 70 % af den indgivne dosis bliver udskilt via urinen, primært i form af </w:t>
      </w:r>
      <w:proofErr w:type="spellStart"/>
      <w:r w:rsidRPr="00D23FBF">
        <w:t>uomdannet</w:t>
      </w:r>
      <w:proofErr w:type="spellEnd"/>
      <w:r w:rsidRPr="00D23FBF">
        <w:t xml:space="preserve"> moderstof (40-60 % af dosen). Hovedmetabolitten (p-</w:t>
      </w:r>
      <w:proofErr w:type="spellStart"/>
      <w:r w:rsidRPr="00D23FBF">
        <w:t>hydroxy</w:t>
      </w:r>
      <w:proofErr w:type="spellEnd"/>
      <w:r w:rsidRPr="00D23FBF">
        <w:t>-</w:t>
      </w:r>
      <w:proofErr w:type="spellStart"/>
      <w:r w:rsidRPr="00D23FBF">
        <w:t>clonidin</w:t>
      </w:r>
      <w:proofErr w:type="spellEnd"/>
      <w:r w:rsidRPr="00D23FBF">
        <w:t>) er farmakologisk inaktiv. Cirka 20 % af den totale mængde udskilles via fæces.</w:t>
      </w:r>
    </w:p>
    <w:p w14:paraId="15FBC06D" w14:textId="77777777" w:rsidR="0020259A" w:rsidRPr="00D23FBF" w:rsidRDefault="0020259A" w:rsidP="00D23FBF">
      <w:pPr>
        <w:pStyle w:val="CM1"/>
        <w:spacing w:line="240" w:lineRule="auto"/>
        <w:ind w:left="851" w:right="129"/>
      </w:pPr>
      <w:r w:rsidRPr="00D23FBF">
        <w:t xml:space="preserve">Patientens køn og race har ingen indvirkning på </w:t>
      </w:r>
      <w:proofErr w:type="spellStart"/>
      <w:r w:rsidRPr="00D23FBF">
        <w:t>clonidins</w:t>
      </w:r>
      <w:proofErr w:type="spellEnd"/>
      <w:r w:rsidRPr="00D23FBF">
        <w:t xml:space="preserve"> farmakokinetik. </w:t>
      </w:r>
    </w:p>
    <w:p w14:paraId="7611E192" w14:textId="77777777" w:rsidR="0020259A" w:rsidRPr="00D23FBF" w:rsidRDefault="0020259A" w:rsidP="00D23FBF">
      <w:pPr>
        <w:pStyle w:val="CM1"/>
        <w:spacing w:line="240" w:lineRule="auto"/>
        <w:ind w:left="851" w:right="129"/>
      </w:pPr>
      <w:r w:rsidRPr="00D23FBF">
        <w:t xml:space="preserve">Den </w:t>
      </w:r>
      <w:proofErr w:type="spellStart"/>
      <w:r w:rsidRPr="00D23FBF">
        <w:t>antihypertensive</w:t>
      </w:r>
      <w:proofErr w:type="spellEnd"/>
      <w:r w:rsidRPr="00D23FBF">
        <w:t xml:space="preserve"> virkning opnås ved en plasmakoncentration i intervallet fra 0,2 til mindre end 2,0 </w:t>
      </w:r>
      <w:proofErr w:type="spellStart"/>
      <w:r w:rsidRPr="00D23FBF">
        <w:t>ng</w:t>
      </w:r>
      <w:proofErr w:type="spellEnd"/>
      <w:r w:rsidRPr="00D23FBF">
        <w:t xml:space="preserve">/ml hos patienter med normal nyrefunktion. Den </w:t>
      </w:r>
      <w:proofErr w:type="spellStart"/>
      <w:r w:rsidRPr="00D23FBF">
        <w:t>hypotensive</w:t>
      </w:r>
      <w:proofErr w:type="spellEnd"/>
      <w:r w:rsidRPr="00D23FBF">
        <w:t xml:space="preserve"> virkning svækkes eller falder ved plasmakoncentrationer over 2,0 </w:t>
      </w:r>
      <w:proofErr w:type="spellStart"/>
      <w:r w:rsidRPr="00D23FBF">
        <w:t>ng</w:t>
      </w:r>
      <w:proofErr w:type="spellEnd"/>
      <w:r w:rsidRPr="00D23FBF">
        <w:t>/ml.</w:t>
      </w:r>
    </w:p>
    <w:p w14:paraId="7953F2A3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4905DCA" w14:textId="00F39D31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5.3</w:t>
      </w:r>
      <w:r w:rsidRPr="00D23FBF">
        <w:rPr>
          <w:b/>
          <w:sz w:val="24"/>
          <w:szCs w:val="24"/>
        </w:rPr>
        <w:tab/>
      </w:r>
      <w:r w:rsidR="009B224D">
        <w:rPr>
          <w:b/>
          <w:sz w:val="24"/>
          <w:szCs w:val="24"/>
        </w:rPr>
        <w:t>Non-</w:t>
      </w:r>
      <w:r w:rsidRPr="00D23FBF">
        <w:rPr>
          <w:b/>
          <w:sz w:val="24"/>
          <w:szCs w:val="24"/>
        </w:rPr>
        <w:t>kliniske sikkerhedsdata</w:t>
      </w:r>
    </w:p>
    <w:p w14:paraId="12A6F4ED" w14:textId="1E52C1B6" w:rsidR="0020259A" w:rsidRPr="00D23FBF" w:rsidRDefault="0020259A" w:rsidP="00D23FBF">
      <w:pPr>
        <w:ind w:left="851"/>
        <w:rPr>
          <w:rFonts w:eastAsia="MS Mincho"/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Der er gennemført toksicitetsstudier med enkeltdoser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hos diverse dyrearter via oral og parenteral administration, hvor der blev opnået DL50-værdier ved oral administration på cirka 70 mg/kg (mus), 70 mg/kg (rotter), &gt;</w:t>
      </w:r>
      <w:r w:rsidR="004064A7">
        <w:rPr>
          <w:sz w:val="24"/>
          <w:szCs w:val="24"/>
        </w:rPr>
        <w:t> </w:t>
      </w:r>
      <w:r w:rsidRPr="00D23FBF">
        <w:rPr>
          <w:sz w:val="24"/>
          <w:szCs w:val="24"/>
        </w:rPr>
        <w:t>15 mg/kg (hunde) og 150 mg/kg (aber). Der blev opnået følgende DL50-værdier ved subkutan administration: &gt;</w:t>
      </w:r>
      <w:r w:rsidR="004064A7">
        <w:rPr>
          <w:sz w:val="24"/>
          <w:szCs w:val="24"/>
        </w:rPr>
        <w:t> </w:t>
      </w:r>
      <w:r w:rsidRPr="00D23FBF">
        <w:rPr>
          <w:sz w:val="24"/>
          <w:szCs w:val="24"/>
        </w:rPr>
        <w:t>3 mg/kg hos hunde og 153 mg/kg hos rotter. Den dødelige dosis ved intravenøs administration lå i intervallet fra 6 mg/kg (hunde) til &lt;</w:t>
      </w:r>
      <w:r w:rsidR="004064A7">
        <w:rPr>
          <w:sz w:val="24"/>
          <w:szCs w:val="24"/>
        </w:rPr>
        <w:t> </w:t>
      </w:r>
      <w:r w:rsidRPr="00D23FBF">
        <w:rPr>
          <w:sz w:val="24"/>
          <w:szCs w:val="24"/>
        </w:rPr>
        <w:t xml:space="preserve">21 mg/kg (rotter). </w:t>
      </w:r>
    </w:p>
    <w:p w14:paraId="2A0EDFD9" w14:textId="77777777" w:rsidR="0020259A" w:rsidRPr="00D23FBF" w:rsidRDefault="0020259A" w:rsidP="00D23FBF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Tegnene på toksicitet på tværs af arterne efter eksponering for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omfattede </w:t>
      </w:r>
      <w:proofErr w:type="spellStart"/>
      <w:r w:rsidRPr="00D23FBF">
        <w:rPr>
          <w:sz w:val="24"/>
          <w:szCs w:val="24"/>
        </w:rPr>
        <w:t>eksoftalmi</w:t>
      </w:r>
      <w:proofErr w:type="spellEnd"/>
      <w:r w:rsidRPr="00D23FBF">
        <w:rPr>
          <w:sz w:val="24"/>
          <w:szCs w:val="24"/>
        </w:rPr>
        <w:t xml:space="preserve">, </w:t>
      </w:r>
      <w:proofErr w:type="spellStart"/>
      <w:r w:rsidRPr="00D23FBF">
        <w:rPr>
          <w:sz w:val="24"/>
          <w:szCs w:val="24"/>
        </w:rPr>
        <w:t>ataksi</w:t>
      </w:r>
      <w:proofErr w:type="spellEnd"/>
      <w:r w:rsidRPr="00D23FBF">
        <w:rPr>
          <w:sz w:val="24"/>
          <w:szCs w:val="24"/>
        </w:rPr>
        <w:t xml:space="preserve"> og </w:t>
      </w:r>
      <w:proofErr w:type="spellStart"/>
      <w:r w:rsidRPr="00D23FBF">
        <w:rPr>
          <w:sz w:val="24"/>
          <w:szCs w:val="24"/>
        </w:rPr>
        <w:t>tremor</w:t>
      </w:r>
      <w:proofErr w:type="spellEnd"/>
      <w:r w:rsidRPr="00D23FBF">
        <w:rPr>
          <w:sz w:val="24"/>
          <w:szCs w:val="24"/>
        </w:rPr>
        <w:t xml:space="preserve">, uanset administrationsvej. Ved dødelige doser ses der tonisk-kloniske anfald. Der er også set ekscitation og aggressivitet skiftevist </w:t>
      </w:r>
      <w:proofErr w:type="spellStart"/>
      <w:r w:rsidRPr="00D23FBF">
        <w:rPr>
          <w:sz w:val="24"/>
          <w:szCs w:val="24"/>
        </w:rPr>
        <w:t>sedering</w:t>
      </w:r>
      <w:proofErr w:type="spellEnd"/>
      <w:r w:rsidRPr="00D23FBF">
        <w:rPr>
          <w:sz w:val="24"/>
          <w:szCs w:val="24"/>
        </w:rPr>
        <w:t xml:space="preserve"> (mus, rotter, hunde), spytdannelse og </w:t>
      </w:r>
      <w:proofErr w:type="spellStart"/>
      <w:r w:rsidRPr="00D23FBF">
        <w:rPr>
          <w:sz w:val="24"/>
          <w:szCs w:val="24"/>
        </w:rPr>
        <w:t>takypnø</w:t>
      </w:r>
      <w:proofErr w:type="spellEnd"/>
      <w:r w:rsidRPr="00D23FBF">
        <w:rPr>
          <w:sz w:val="24"/>
          <w:szCs w:val="24"/>
        </w:rPr>
        <w:t xml:space="preserve"> (hunde), </w:t>
      </w:r>
      <w:proofErr w:type="spellStart"/>
      <w:r w:rsidRPr="00D23FBF">
        <w:rPr>
          <w:sz w:val="24"/>
          <w:szCs w:val="24"/>
        </w:rPr>
        <w:t>hypotermi</w:t>
      </w:r>
      <w:proofErr w:type="spellEnd"/>
      <w:r w:rsidRPr="00D23FBF">
        <w:rPr>
          <w:sz w:val="24"/>
          <w:szCs w:val="24"/>
        </w:rPr>
        <w:t xml:space="preserve"> og apati (aber). </w:t>
      </w:r>
    </w:p>
    <w:p w14:paraId="17AE40B5" w14:textId="77777777" w:rsidR="0020259A" w:rsidRPr="00D23FBF" w:rsidRDefault="0020259A" w:rsidP="00D23FBF">
      <w:pPr>
        <w:ind w:left="851"/>
        <w:rPr>
          <w:rFonts w:eastAsia="MS Mincho"/>
          <w:sz w:val="24"/>
          <w:szCs w:val="24"/>
          <w:lang w:eastAsia="en-GB"/>
        </w:rPr>
      </w:pPr>
    </w:p>
    <w:p w14:paraId="12F50E10" w14:textId="77777777" w:rsidR="0020259A" w:rsidRPr="00D23FBF" w:rsidRDefault="0020259A" w:rsidP="00D23FBF">
      <w:pPr>
        <w:ind w:left="851"/>
        <w:rPr>
          <w:rFonts w:eastAsia="MS Mincho"/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I toksicitetsstudier af 18 måneders varighed med gentagne orale doser var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veltolereret i orale doser på 0,1 mg/kg (rotter), 0,03 mg/kg (hunde) og 1,5 mg/kg (aber). Niveauet uden toksiske virkninger (NOAEL) efter subkutan administration hos rotter i et 13-ugers studie var 0,05 mg/kg. Ved intravenøs administration blev 0,01 mg/kg tolereret hos kaniner og hunde i henholdsvis 5 og 4 uger. Højere doser forårsager hyperaktivitet, aggressivitet og nedsat fødeindtag og forårsager vægtøgning (rotter), </w:t>
      </w:r>
      <w:proofErr w:type="spellStart"/>
      <w:r w:rsidRPr="00D23FBF">
        <w:rPr>
          <w:sz w:val="24"/>
          <w:szCs w:val="24"/>
        </w:rPr>
        <w:t>sedering</w:t>
      </w:r>
      <w:proofErr w:type="spellEnd"/>
      <w:r w:rsidRPr="00D23FBF">
        <w:rPr>
          <w:sz w:val="24"/>
          <w:szCs w:val="24"/>
        </w:rPr>
        <w:t xml:space="preserve"> (kaniner) eller </w:t>
      </w:r>
      <w:proofErr w:type="spellStart"/>
      <w:r w:rsidRPr="00D23FBF">
        <w:rPr>
          <w:sz w:val="24"/>
          <w:szCs w:val="24"/>
        </w:rPr>
        <w:t>kardio</w:t>
      </w:r>
      <w:proofErr w:type="spellEnd"/>
      <w:r w:rsidRPr="00D23FBF">
        <w:rPr>
          <w:sz w:val="24"/>
          <w:szCs w:val="24"/>
        </w:rPr>
        <w:t xml:space="preserve">- og </w:t>
      </w:r>
      <w:proofErr w:type="spellStart"/>
      <w:r w:rsidRPr="00D23FBF">
        <w:rPr>
          <w:sz w:val="24"/>
          <w:szCs w:val="24"/>
        </w:rPr>
        <w:t>hepatomegali</w:t>
      </w:r>
      <w:proofErr w:type="spellEnd"/>
      <w:r w:rsidRPr="00D23FBF">
        <w:rPr>
          <w:sz w:val="24"/>
          <w:szCs w:val="24"/>
        </w:rPr>
        <w:t xml:space="preserve"> med øgede plasmaniveauer af GPT, basisk fosfatase og α-</w:t>
      </w:r>
      <w:proofErr w:type="spellStart"/>
      <w:r w:rsidRPr="00D23FBF">
        <w:rPr>
          <w:sz w:val="24"/>
          <w:szCs w:val="24"/>
        </w:rPr>
        <w:t>globuliner</w:t>
      </w:r>
      <w:proofErr w:type="spellEnd"/>
      <w:r w:rsidRPr="00D23FBF">
        <w:rPr>
          <w:sz w:val="24"/>
          <w:szCs w:val="24"/>
        </w:rPr>
        <w:t xml:space="preserve"> samt </w:t>
      </w:r>
      <w:proofErr w:type="spellStart"/>
      <w:r w:rsidRPr="00D23FBF">
        <w:rPr>
          <w:sz w:val="24"/>
          <w:szCs w:val="24"/>
        </w:rPr>
        <w:t>fokal</w:t>
      </w:r>
      <w:proofErr w:type="spellEnd"/>
      <w:r w:rsidRPr="00D23FBF">
        <w:rPr>
          <w:sz w:val="24"/>
          <w:szCs w:val="24"/>
        </w:rPr>
        <w:t xml:space="preserve"> levernekrose (hunde). </w:t>
      </w:r>
    </w:p>
    <w:p w14:paraId="5E293907" w14:textId="77777777" w:rsidR="0020259A" w:rsidRPr="00D23FBF" w:rsidRDefault="0020259A" w:rsidP="00D23FBF">
      <w:pPr>
        <w:ind w:left="851"/>
        <w:rPr>
          <w:sz w:val="24"/>
          <w:szCs w:val="24"/>
        </w:rPr>
      </w:pPr>
    </w:p>
    <w:p w14:paraId="6E7DAABD" w14:textId="77777777" w:rsidR="0020259A" w:rsidRPr="00D23FBF" w:rsidRDefault="0020259A" w:rsidP="00D23FBF">
      <w:pPr>
        <w:ind w:left="851"/>
        <w:rPr>
          <w:b/>
          <w:sz w:val="24"/>
          <w:szCs w:val="24"/>
        </w:rPr>
      </w:pPr>
      <w:r w:rsidRPr="00D23FBF">
        <w:rPr>
          <w:sz w:val="24"/>
          <w:szCs w:val="24"/>
        </w:rPr>
        <w:t xml:space="preserve">Der blev ikke set </w:t>
      </w:r>
      <w:proofErr w:type="spellStart"/>
      <w:r w:rsidRPr="00D23FBF">
        <w:rPr>
          <w:sz w:val="24"/>
          <w:szCs w:val="24"/>
        </w:rPr>
        <w:t>teratogent</w:t>
      </w:r>
      <w:proofErr w:type="spellEnd"/>
      <w:r w:rsidRPr="00D23FBF">
        <w:rPr>
          <w:sz w:val="24"/>
          <w:szCs w:val="24"/>
        </w:rPr>
        <w:t xml:space="preserve"> potentiale efter oral administration af 2,0 mg/kg hos mus og rotter, oral administration af 0,09 mg/kg hos kaniner, subkutan administration af 0,015 mg/kg hos rotter og intravenøs administration af 0,15 mg/kg hos kaniner. Der er set øget </w:t>
      </w:r>
      <w:proofErr w:type="spellStart"/>
      <w:r w:rsidRPr="00D23FBF">
        <w:rPr>
          <w:sz w:val="24"/>
          <w:szCs w:val="24"/>
        </w:rPr>
        <w:t>reabsorption</w:t>
      </w:r>
      <w:proofErr w:type="spellEnd"/>
      <w:r w:rsidRPr="00D23FBF">
        <w:rPr>
          <w:sz w:val="24"/>
          <w:szCs w:val="24"/>
        </w:rPr>
        <w:t xml:space="preserve"> ved orale doser &gt; 0,015 mg/kg/dag hos rotter, dog afhængigt af administrationsvarigheden. Der er ingen indvirkning på fertiliteten hos rotter ved orale doser op til 0,15 mg/kg. Doser op til 0,075 mg/kg påvirker ikke den peri- og </w:t>
      </w:r>
      <w:proofErr w:type="spellStart"/>
      <w:r w:rsidRPr="00D23FBF">
        <w:rPr>
          <w:sz w:val="24"/>
          <w:szCs w:val="24"/>
        </w:rPr>
        <w:t>postnatale</w:t>
      </w:r>
      <w:proofErr w:type="spellEnd"/>
      <w:r w:rsidRPr="00D23FBF">
        <w:rPr>
          <w:sz w:val="24"/>
          <w:szCs w:val="24"/>
        </w:rPr>
        <w:t xml:space="preserve"> udvikling. Der blev ikke set mutagent potentiale ved </w:t>
      </w:r>
      <w:proofErr w:type="spellStart"/>
      <w:r w:rsidRPr="00D23FBF">
        <w:rPr>
          <w:sz w:val="24"/>
          <w:szCs w:val="24"/>
        </w:rPr>
        <w:t>Ames</w:t>
      </w:r>
      <w:proofErr w:type="spellEnd"/>
      <w:r w:rsidRPr="00D23FBF">
        <w:rPr>
          <w:sz w:val="24"/>
          <w:szCs w:val="24"/>
        </w:rPr>
        <w:t xml:space="preserve">’ test eller </w:t>
      </w:r>
      <w:proofErr w:type="spellStart"/>
      <w:r w:rsidRPr="00D23FBF">
        <w:rPr>
          <w:sz w:val="24"/>
          <w:szCs w:val="24"/>
        </w:rPr>
        <w:t>mikronukleustest</w:t>
      </w:r>
      <w:proofErr w:type="spellEnd"/>
      <w:r w:rsidRPr="00D23FBF">
        <w:rPr>
          <w:sz w:val="24"/>
          <w:szCs w:val="24"/>
        </w:rPr>
        <w:t xml:space="preserve">. I ét </w:t>
      </w:r>
      <w:proofErr w:type="spellStart"/>
      <w:r w:rsidRPr="00D23FBF">
        <w:rPr>
          <w:sz w:val="24"/>
          <w:szCs w:val="24"/>
        </w:rPr>
        <w:t>karcinogenicitetsstudie</w:t>
      </w:r>
      <w:proofErr w:type="spellEnd"/>
      <w:r w:rsidRPr="00D23FBF">
        <w:rPr>
          <w:sz w:val="24"/>
          <w:szCs w:val="24"/>
        </w:rPr>
        <w:t xml:space="preserve"> hos rotter blev det rapporteret, at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ikke var </w:t>
      </w:r>
      <w:proofErr w:type="spellStart"/>
      <w:r w:rsidRPr="00D23FBF">
        <w:rPr>
          <w:sz w:val="24"/>
          <w:szCs w:val="24"/>
        </w:rPr>
        <w:t>karcinogent</w:t>
      </w:r>
      <w:proofErr w:type="spellEnd"/>
      <w:r w:rsidRPr="00D23FBF">
        <w:rPr>
          <w:sz w:val="24"/>
          <w:szCs w:val="24"/>
        </w:rPr>
        <w:t>. Der blev ikke set nogen tendens til lokal irritation eller sensibilisering efter intravenøs og intraarteriel administration hos marsvin og kaniner.</w:t>
      </w:r>
    </w:p>
    <w:p w14:paraId="08E95798" w14:textId="77777777" w:rsidR="009260DE" w:rsidRPr="00D23FBF" w:rsidRDefault="009260DE" w:rsidP="00D23FBF">
      <w:pPr>
        <w:ind w:left="851"/>
        <w:rPr>
          <w:sz w:val="24"/>
          <w:szCs w:val="24"/>
        </w:rPr>
      </w:pPr>
    </w:p>
    <w:p w14:paraId="7AD229EC" w14:textId="77777777" w:rsidR="009260DE" w:rsidRPr="00D23FBF" w:rsidRDefault="009260DE" w:rsidP="00D23FBF">
      <w:pPr>
        <w:ind w:left="851"/>
        <w:rPr>
          <w:sz w:val="24"/>
          <w:szCs w:val="24"/>
        </w:rPr>
      </w:pPr>
    </w:p>
    <w:p w14:paraId="6B9F3C6A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6.</w:t>
      </w:r>
      <w:r w:rsidRPr="00D23FBF">
        <w:rPr>
          <w:b/>
          <w:sz w:val="24"/>
          <w:szCs w:val="24"/>
        </w:rPr>
        <w:tab/>
        <w:t>FARMACEUTISKE OPLYSNINGER</w:t>
      </w:r>
    </w:p>
    <w:p w14:paraId="56DDAE1C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6D4EE7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6.1</w:t>
      </w:r>
      <w:r w:rsidRPr="00D23FBF">
        <w:rPr>
          <w:b/>
          <w:sz w:val="24"/>
          <w:szCs w:val="24"/>
        </w:rPr>
        <w:tab/>
        <w:t>Hjælpestoffer</w:t>
      </w:r>
    </w:p>
    <w:p w14:paraId="73E0FB4D" w14:textId="77777777" w:rsidR="0020259A" w:rsidRPr="00D23FBF" w:rsidRDefault="0020259A" w:rsidP="00D23FBF">
      <w:pPr>
        <w:ind w:left="851"/>
        <w:rPr>
          <w:sz w:val="24"/>
          <w:szCs w:val="24"/>
          <w:lang w:eastAsia="en-GB"/>
        </w:rPr>
      </w:pPr>
      <w:proofErr w:type="spellStart"/>
      <w:r w:rsidRPr="00D23FBF">
        <w:rPr>
          <w:sz w:val="24"/>
          <w:szCs w:val="24"/>
        </w:rPr>
        <w:t>Natriumchlorid</w:t>
      </w:r>
      <w:proofErr w:type="spellEnd"/>
    </w:p>
    <w:p w14:paraId="1915B309" w14:textId="77777777" w:rsidR="0020259A" w:rsidRPr="00D23FBF" w:rsidRDefault="0020259A" w:rsidP="00D23FBF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>Saltsyre, koncentreret (til pH-justering)</w:t>
      </w:r>
    </w:p>
    <w:p w14:paraId="70820FB2" w14:textId="77777777" w:rsidR="0020259A" w:rsidRPr="00D23FBF" w:rsidRDefault="0020259A" w:rsidP="00D23FBF">
      <w:pPr>
        <w:ind w:left="851"/>
        <w:rPr>
          <w:rFonts w:eastAsia="MS Mincho"/>
          <w:sz w:val="24"/>
          <w:szCs w:val="24"/>
        </w:rPr>
      </w:pPr>
      <w:r w:rsidRPr="00D23FBF">
        <w:rPr>
          <w:sz w:val="24"/>
          <w:szCs w:val="24"/>
        </w:rPr>
        <w:t xml:space="preserve">Vand til injektionsvæsker </w:t>
      </w:r>
    </w:p>
    <w:p w14:paraId="14E5BD6D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CA0C089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6.2</w:t>
      </w:r>
      <w:r w:rsidRPr="00D23FBF">
        <w:rPr>
          <w:b/>
          <w:sz w:val="24"/>
          <w:szCs w:val="24"/>
        </w:rPr>
        <w:tab/>
        <w:t>Uforligeligheder</w:t>
      </w:r>
    </w:p>
    <w:p w14:paraId="4B50DE76" w14:textId="77777777" w:rsidR="0020259A" w:rsidRPr="00D23FBF" w:rsidRDefault="0020259A" w:rsidP="00D23FBF">
      <w:pPr>
        <w:ind w:left="851"/>
        <w:rPr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Dette lægemiddel må ikke blandes med andre lægemidler end dem, der er anført under pkt. 6.6. </w:t>
      </w:r>
    </w:p>
    <w:p w14:paraId="01BB39B2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A1051C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6.3</w:t>
      </w:r>
      <w:r w:rsidRPr="00D23FBF">
        <w:rPr>
          <w:b/>
          <w:sz w:val="24"/>
          <w:szCs w:val="24"/>
        </w:rPr>
        <w:tab/>
        <w:t>Opbevaringstid</w:t>
      </w:r>
    </w:p>
    <w:p w14:paraId="70B6BEE4" w14:textId="213C2A55" w:rsidR="0020259A" w:rsidRPr="00D23FBF" w:rsidRDefault="0020259A" w:rsidP="00D23FBF">
      <w:pPr>
        <w:ind w:left="851"/>
        <w:rPr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5 år. </w:t>
      </w:r>
    </w:p>
    <w:p w14:paraId="2DC61442" w14:textId="77777777" w:rsidR="0020259A" w:rsidRPr="00D23FBF" w:rsidRDefault="0020259A" w:rsidP="00D23FBF">
      <w:pPr>
        <w:ind w:left="851"/>
        <w:rPr>
          <w:sz w:val="24"/>
          <w:szCs w:val="24"/>
        </w:rPr>
      </w:pPr>
    </w:p>
    <w:p w14:paraId="23040351" w14:textId="3A466B4F" w:rsidR="0020259A" w:rsidRDefault="0020259A" w:rsidP="00D23FBF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>Skal anvendes umiddelbart efter åbning af ampullen. Overskydende opløsning skal kasseres.</w:t>
      </w:r>
    </w:p>
    <w:p w14:paraId="3A8F7CA8" w14:textId="77777777" w:rsidR="00A56C62" w:rsidRPr="00D23FBF" w:rsidRDefault="00A56C62" w:rsidP="00D23FBF">
      <w:pPr>
        <w:ind w:left="851"/>
        <w:rPr>
          <w:rFonts w:eastAsia="MS Mincho"/>
          <w:sz w:val="24"/>
          <w:szCs w:val="24"/>
        </w:rPr>
      </w:pPr>
    </w:p>
    <w:p w14:paraId="2E29D633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6.4</w:t>
      </w:r>
      <w:r w:rsidRPr="00D23FBF">
        <w:rPr>
          <w:b/>
          <w:sz w:val="24"/>
          <w:szCs w:val="24"/>
        </w:rPr>
        <w:tab/>
        <w:t>Særlige opbevaringsforhold</w:t>
      </w:r>
    </w:p>
    <w:p w14:paraId="3B2E2C62" w14:textId="77777777" w:rsidR="0020259A" w:rsidRPr="00D23FBF" w:rsidRDefault="0020259A" w:rsidP="00D23FBF">
      <w:pPr>
        <w:ind w:left="851"/>
        <w:rPr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Dette lægemiddel kræver ingen særlige forholdsregler vedrørende opbevaringen. </w:t>
      </w:r>
    </w:p>
    <w:p w14:paraId="43BF45DF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E844FF" w14:textId="1CE21EB2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6.5</w:t>
      </w:r>
      <w:r w:rsidRPr="00D23FBF">
        <w:rPr>
          <w:b/>
          <w:sz w:val="24"/>
          <w:szCs w:val="24"/>
        </w:rPr>
        <w:tab/>
        <w:t>Emballagetype og pakningsstørrelser</w:t>
      </w:r>
    </w:p>
    <w:p w14:paraId="484CD087" w14:textId="77777777" w:rsidR="0020259A" w:rsidRPr="00D23FBF" w:rsidRDefault="0020259A" w:rsidP="00D23FBF">
      <w:pPr>
        <w:ind w:left="851"/>
        <w:rPr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Farveløse glasampuller med 1 ml. </w:t>
      </w:r>
    </w:p>
    <w:p w14:paraId="45E894EC" w14:textId="77777777" w:rsidR="0020259A" w:rsidRPr="00D23FBF" w:rsidRDefault="0020259A" w:rsidP="00D23FBF">
      <w:pPr>
        <w:ind w:left="851"/>
        <w:rPr>
          <w:sz w:val="24"/>
          <w:szCs w:val="24"/>
        </w:rPr>
      </w:pPr>
    </w:p>
    <w:p w14:paraId="06A5FF53" w14:textId="77777777" w:rsidR="0020259A" w:rsidRPr="00D23FBF" w:rsidRDefault="0020259A" w:rsidP="00D23FBF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>Pakningsstørrelser: 5 og 10 ampuller.</w:t>
      </w:r>
    </w:p>
    <w:p w14:paraId="2940C19C" w14:textId="77777777" w:rsidR="0020259A" w:rsidRPr="00D23FBF" w:rsidRDefault="0020259A" w:rsidP="00D23FBF">
      <w:pPr>
        <w:ind w:left="851"/>
        <w:rPr>
          <w:rFonts w:eastAsia="MS Mincho"/>
          <w:sz w:val="24"/>
          <w:szCs w:val="24"/>
          <w:lang w:eastAsia="en-GB"/>
        </w:rPr>
      </w:pPr>
    </w:p>
    <w:p w14:paraId="345048D3" w14:textId="77777777" w:rsidR="0020259A" w:rsidRPr="00D23FBF" w:rsidRDefault="0020259A" w:rsidP="00D23FBF">
      <w:pPr>
        <w:ind w:left="851"/>
        <w:rPr>
          <w:rFonts w:eastAsia="MS Mincho"/>
          <w:sz w:val="24"/>
          <w:szCs w:val="24"/>
        </w:rPr>
      </w:pPr>
      <w:r w:rsidRPr="00D23FBF">
        <w:rPr>
          <w:sz w:val="24"/>
          <w:szCs w:val="24"/>
        </w:rPr>
        <w:t>Ikke alle pakningsstørrelser er nødvendigvis markedsført.</w:t>
      </w:r>
    </w:p>
    <w:p w14:paraId="2A64D5A4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64BB3B" w14:textId="71429C2A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6.6</w:t>
      </w:r>
      <w:r w:rsidRPr="00D23FBF">
        <w:rPr>
          <w:b/>
          <w:sz w:val="24"/>
          <w:szCs w:val="24"/>
        </w:rPr>
        <w:tab/>
        <w:t xml:space="preserve">Regler for </w:t>
      </w:r>
      <w:r w:rsidR="009B224D">
        <w:rPr>
          <w:b/>
          <w:sz w:val="24"/>
          <w:szCs w:val="24"/>
        </w:rPr>
        <w:t>bortskaffelse</w:t>
      </w:r>
      <w:r w:rsidRPr="00D23FBF">
        <w:rPr>
          <w:b/>
          <w:sz w:val="24"/>
          <w:szCs w:val="24"/>
        </w:rPr>
        <w:t xml:space="preserve"> og anden håndtering</w:t>
      </w:r>
    </w:p>
    <w:p w14:paraId="32250557" w14:textId="77777777" w:rsidR="0020259A" w:rsidRPr="00D23FBF" w:rsidRDefault="0020259A" w:rsidP="00D23FBF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lastRenderedPageBreak/>
        <w:t>Lægemidlet skal gennemses inden brug. Lægemidlet må ikke anvendes, hvis der er synlige tegn på nedbrydning (f.eks. partikler eller misfarvning).</w:t>
      </w:r>
    </w:p>
    <w:p w14:paraId="514AAD2D" w14:textId="77777777" w:rsidR="0020259A" w:rsidRPr="00D23FBF" w:rsidRDefault="0020259A" w:rsidP="00D23FBF">
      <w:pPr>
        <w:ind w:left="851"/>
        <w:rPr>
          <w:sz w:val="24"/>
          <w:szCs w:val="24"/>
        </w:rPr>
      </w:pPr>
    </w:p>
    <w:p w14:paraId="38E277A2" w14:textId="77777777" w:rsidR="0020259A" w:rsidRPr="00D23FBF" w:rsidRDefault="0020259A" w:rsidP="00D23FBF">
      <w:pPr>
        <w:ind w:left="851"/>
        <w:rPr>
          <w:iCs/>
          <w:noProof/>
          <w:sz w:val="24"/>
          <w:szCs w:val="24"/>
        </w:rPr>
      </w:pPr>
      <w:r w:rsidRPr="00D23FBF">
        <w:rPr>
          <w:sz w:val="24"/>
          <w:szCs w:val="24"/>
        </w:rPr>
        <w:t xml:space="preserve">Én ampul kan fortyndes i minimum 10 ml </w:t>
      </w:r>
      <w:proofErr w:type="spellStart"/>
      <w:r w:rsidRPr="00D23FBF">
        <w:rPr>
          <w:sz w:val="24"/>
          <w:szCs w:val="24"/>
        </w:rPr>
        <w:t>natriumchloridopløsning</w:t>
      </w:r>
      <w:proofErr w:type="spellEnd"/>
      <w:r w:rsidRPr="00D23FBF">
        <w:rPr>
          <w:sz w:val="24"/>
          <w:szCs w:val="24"/>
        </w:rPr>
        <w:t xml:space="preserve"> 9 mg/ml (0,9 %).</w:t>
      </w:r>
      <w:bookmarkStart w:id="0" w:name="_Hlk71122758"/>
      <w:r w:rsidRPr="00D23FBF">
        <w:rPr>
          <w:sz w:val="24"/>
          <w:szCs w:val="24"/>
        </w:rPr>
        <w:t xml:space="preserve"> Opløsningen skal anvendes umiddelbart efter fortynding.</w:t>
      </w:r>
      <w:bookmarkEnd w:id="0"/>
    </w:p>
    <w:p w14:paraId="631444FC" w14:textId="77777777" w:rsidR="0020259A" w:rsidRPr="00D23FBF" w:rsidRDefault="0020259A" w:rsidP="00D23FBF">
      <w:pPr>
        <w:ind w:left="851"/>
        <w:rPr>
          <w:sz w:val="24"/>
          <w:szCs w:val="24"/>
        </w:rPr>
      </w:pPr>
    </w:p>
    <w:p w14:paraId="1BA76E29" w14:textId="77777777" w:rsidR="0020259A" w:rsidRPr="00D23FBF" w:rsidRDefault="0020259A" w:rsidP="00D23FBF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>Ikke anvendt lægemiddel samt affald heraf skal bortskaffes i henhold til lokale retningslinjer.</w:t>
      </w:r>
    </w:p>
    <w:p w14:paraId="64CABA06" w14:textId="77777777" w:rsidR="009260DE" w:rsidRPr="00D23FBF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04F6786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7.</w:t>
      </w:r>
      <w:r w:rsidRPr="00D23FBF">
        <w:rPr>
          <w:b/>
          <w:sz w:val="24"/>
          <w:szCs w:val="24"/>
        </w:rPr>
        <w:tab/>
        <w:t>INDEHAVER AF MARKEDSFØRINGSTILLADELSEN</w:t>
      </w:r>
    </w:p>
    <w:p w14:paraId="758D7EC1" w14:textId="77777777" w:rsidR="0020259A" w:rsidRPr="00D23FBF" w:rsidRDefault="0020259A" w:rsidP="00D23FBF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2care4 </w:t>
      </w:r>
      <w:proofErr w:type="spellStart"/>
      <w:r w:rsidRPr="00D23FBF">
        <w:rPr>
          <w:sz w:val="24"/>
          <w:szCs w:val="24"/>
        </w:rPr>
        <w:t>Generics</w:t>
      </w:r>
      <w:proofErr w:type="spellEnd"/>
      <w:r w:rsidRPr="00D23FBF">
        <w:rPr>
          <w:sz w:val="24"/>
          <w:szCs w:val="24"/>
        </w:rPr>
        <w:t xml:space="preserve"> ApS</w:t>
      </w:r>
    </w:p>
    <w:p w14:paraId="5044B623" w14:textId="77777777" w:rsidR="0020259A" w:rsidRPr="00D23FBF" w:rsidRDefault="0020259A" w:rsidP="00D23FBF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>Stenhuggervej 12-14</w:t>
      </w:r>
    </w:p>
    <w:p w14:paraId="770C38A6" w14:textId="77777777" w:rsidR="0020259A" w:rsidRPr="00D23FBF" w:rsidRDefault="0020259A" w:rsidP="00D23FBF">
      <w:pPr>
        <w:ind w:left="851"/>
        <w:rPr>
          <w:noProof/>
          <w:sz w:val="24"/>
          <w:szCs w:val="24"/>
        </w:rPr>
      </w:pPr>
      <w:r w:rsidRPr="00D23FBF">
        <w:rPr>
          <w:sz w:val="24"/>
          <w:szCs w:val="24"/>
        </w:rPr>
        <w:t>6710 Esbjerg</w:t>
      </w:r>
    </w:p>
    <w:p w14:paraId="5F555A6B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7AA7E4" w14:textId="236DFBCF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8.</w:t>
      </w:r>
      <w:r w:rsidRPr="00D23FBF">
        <w:rPr>
          <w:b/>
          <w:sz w:val="24"/>
          <w:szCs w:val="24"/>
        </w:rPr>
        <w:tab/>
        <w:t>MARKEDSFØRINGSTILLADELSESNUMMER (</w:t>
      </w:r>
      <w:r w:rsidR="009B224D">
        <w:rPr>
          <w:b/>
          <w:sz w:val="24"/>
          <w:szCs w:val="24"/>
        </w:rPr>
        <w:t>-</w:t>
      </w:r>
      <w:r w:rsidRPr="00D23FBF">
        <w:rPr>
          <w:b/>
          <w:sz w:val="24"/>
          <w:szCs w:val="24"/>
        </w:rPr>
        <w:t>NUMRE)</w:t>
      </w:r>
    </w:p>
    <w:p w14:paraId="4487BAAF" w14:textId="700C1FA4" w:rsidR="009260DE" w:rsidRPr="00D23FBF" w:rsidRDefault="00FB6528" w:rsidP="009260DE">
      <w:pPr>
        <w:tabs>
          <w:tab w:val="left" w:pos="851"/>
        </w:tabs>
        <w:ind w:left="851"/>
        <w:rPr>
          <w:sz w:val="24"/>
          <w:szCs w:val="24"/>
        </w:rPr>
      </w:pPr>
      <w:r w:rsidRPr="00D23FBF">
        <w:rPr>
          <w:sz w:val="24"/>
          <w:szCs w:val="24"/>
        </w:rPr>
        <w:t>64890</w:t>
      </w:r>
    </w:p>
    <w:p w14:paraId="261191C9" w14:textId="77777777" w:rsidR="009260DE" w:rsidRPr="00D23FBF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0B128711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9.</w:t>
      </w:r>
      <w:r w:rsidRPr="00D23FBF">
        <w:rPr>
          <w:b/>
          <w:sz w:val="24"/>
          <w:szCs w:val="24"/>
        </w:rPr>
        <w:tab/>
        <w:t>DATO FOR FØRSTE MARKEDSFØRINGSTILLADELSE</w:t>
      </w:r>
    </w:p>
    <w:p w14:paraId="60D44FBF" w14:textId="65B39123" w:rsidR="009260DE" w:rsidRPr="00D23FBF" w:rsidRDefault="00F052A6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15. september 2021</w:t>
      </w:r>
    </w:p>
    <w:p w14:paraId="4C04318C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ED958F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10.</w:t>
      </w:r>
      <w:r w:rsidRPr="00D23FBF">
        <w:rPr>
          <w:b/>
          <w:sz w:val="24"/>
          <w:szCs w:val="24"/>
        </w:rPr>
        <w:tab/>
        <w:t>DATO FOR ÆNDRING AF TEKSTEN</w:t>
      </w:r>
    </w:p>
    <w:p w14:paraId="508F76A6" w14:textId="38D70652" w:rsidR="009260DE" w:rsidRPr="00D23FBF" w:rsidRDefault="00074EF4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13. oktober 2023</w:t>
      </w:r>
      <w:bookmarkStart w:id="1" w:name="_GoBack"/>
      <w:bookmarkEnd w:id="1"/>
    </w:p>
    <w:sectPr w:rsidR="009260DE" w:rsidRPr="00D23FBF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FC73B" w14:textId="77777777" w:rsidR="001018A9" w:rsidRDefault="001018A9">
      <w:r>
        <w:separator/>
      </w:r>
    </w:p>
  </w:endnote>
  <w:endnote w:type="continuationSeparator" w:id="0">
    <w:p w14:paraId="0139F6FC" w14:textId="77777777" w:rsidR="001018A9" w:rsidRDefault="0010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7CB16" w14:textId="77777777" w:rsidR="000259B9" w:rsidRDefault="000259B9">
    <w:pPr>
      <w:pStyle w:val="Sidefod"/>
      <w:pBdr>
        <w:bottom w:val="single" w:sz="6" w:space="1" w:color="auto"/>
      </w:pBdr>
    </w:pPr>
  </w:p>
  <w:p w14:paraId="3156F581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015243C" w14:textId="27C655AB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F4192C">
      <w:rPr>
        <w:i/>
        <w:noProof/>
        <w:sz w:val="18"/>
        <w:szCs w:val="18"/>
      </w:rPr>
      <w:t>Clotaxip, injektionsvæske, opløsning 150 mikrogram-ml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22C10" w14:textId="77777777" w:rsidR="001018A9" w:rsidRDefault="001018A9">
      <w:r>
        <w:separator/>
      </w:r>
    </w:p>
  </w:footnote>
  <w:footnote w:type="continuationSeparator" w:id="0">
    <w:p w14:paraId="79F855D2" w14:textId="77777777" w:rsidR="001018A9" w:rsidRDefault="0010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447F"/>
    <w:multiLevelType w:val="hybridMultilevel"/>
    <w:tmpl w:val="14B4B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D3B21B2"/>
    <w:multiLevelType w:val="hybridMultilevel"/>
    <w:tmpl w:val="AC5E0C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00E7"/>
    <w:multiLevelType w:val="hybridMultilevel"/>
    <w:tmpl w:val="AB4627F2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78814E7A"/>
    <w:multiLevelType w:val="hybridMultilevel"/>
    <w:tmpl w:val="D30C2B4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A9"/>
    <w:rsid w:val="000259B9"/>
    <w:rsid w:val="00041491"/>
    <w:rsid w:val="00050D16"/>
    <w:rsid w:val="000730CA"/>
    <w:rsid w:val="00074EF4"/>
    <w:rsid w:val="00074F2A"/>
    <w:rsid w:val="000A1CA8"/>
    <w:rsid w:val="000A466B"/>
    <w:rsid w:val="000B058C"/>
    <w:rsid w:val="000E4EE6"/>
    <w:rsid w:val="001018A9"/>
    <w:rsid w:val="001454E2"/>
    <w:rsid w:val="0020259A"/>
    <w:rsid w:val="00206CE8"/>
    <w:rsid w:val="0021526C"/>
    <w:rsid w:val="00225C4E"/>
    <w:rsid w:val="00252A63"/>
    <w:rsid w:val="00283A2B"/>
    <w:rsid w:val="002B30AD"/>
    <w:rsid w:val="002C18D9"/>
    <w:rsid w:val="002C2C01"/>
    <w:rsid w:val="003A29AE"/>
    <w:rsid w:val="003A32D7"/>
    <w:rsid w:val="003B4074"/>
    <w:rsid w:val="003C769A"/>
    <w:rsid w:val="003F1838"/>
    <w:rsid w:val="004064A7"/>
    <w:rsid w:val="0045746C"/>
    <w:rsid w:val="0049104B"/>
    <w:rsid w:val="004B6AA5"/>
    <w:rsid w:val="004E3B12"/>
    <w:rsid w:val="00532310"/>
    <w:rsid w:val="00565F0F"/>
    <w:rsid w:val="00594A86"/>
    <w:rsid w:val="00596D86"/>
    <w:rsid w:val="00637F5A"/>
    <w:rsid w:val="006560B1"/>
    <w:rsid w:val="006756DD"/>
    <w:rsid w:val="00710EF4"/>
    <w:rsid w:val="00737275"/>
    <w:rsid w:val="00740EEC"/>
    <w:rsid w:val="0078011A"/>
    <w:rsid w:val="00782AF4"/>
    <w:rsid w:val="007868AF"/>
    <w:rsid w:val="00790EE7"/>
    <w:rsid w:val="007B6649"/>
    <w:rsid w:val="0082576E"/>
    <w:rsid w:val="00907F75"/>
    <w:rsid w:val="009260DE"/>
    <w:rsid w:val="0093258A"/>
    <w:rsid w:val="009B224D"/>
    <w:rsid w:val="009B3216"/>
    <w:rsid w:val="009C7BA3"/>
    <w:rsid w:val="009D1F5A"/>
    <w:rsid w:val="00A10294"/>
    <w:rsid w:val="00A56C62"/>
    <w:rsid w:val="00AC20F6"/>
    <w:rsid w:val="00B003BF"/>
    <w:rsid w:val="00B373D7"/>
    <w:rsid w:val="00BD5234"/>
    <w:rsid w:val="00C36276"/>
    <w:rsid w:val="00C42586"/>
    <w:rsid w:val="00C60CCD"/>
    <w:rsid w:val="00C84483"/>
    <w:rsid w:val="00C95551"/>
    <w:rsid w:val="00CB20D7"/>
    <w:rsid w:val="00D020B0"/>
    <w:rsid w:val="00D11748"/>
    <w:rsid w:val="00D217DF"/>
    <w:rsid w:val="00D23FBF"/>
    <w:rsid w:val="00D366CF"/>
    <w:rsid w:val="00E108AA"/>
    <w:rsid w:val="00E26E30"/>
    <w:rsid w:val="00E3749A"/>
    <w:rsid w:val="00E7437F"/>
    <w:rsid w:val="00E865B8"/>
    <w:rsid w:val="00EC0B9B"/>
    <w:rsid w:val="00ED5E9F"/>
    <w:rsid w:val="00F052A6"/>
    <w:rsid w:val="00F4192C"/>
    <w:rsid w:val="00F66D4F"/>
    <w:rsid w:val="00FB6528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A3EF5"/>
  <w15:chartTrackingRefBased/>
  <w15:docId w15:val="{838A58FF-4330-46F2-9FA1-E433CB80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CM3">
    <w:name w:val="CM3"/>
    <w:basedOn w:val="Normal"/>
    <w:next w:val="Normal"/>
    <w:uiPriority w:val="99"/>
    <w:rsid w:val="00710EF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paragraph" w:styleId="Listeafsnit">
    <w:name w:val="List Paragraph"/>
    <w:basedOn w:val="Normal"/>
    <w:uiPriority w:val="34"/>
    <w:qFormat/>
    <w:rsid w:val="00710EF4"/>
    <w:pPr>
      <w:tabs>
        <w:tab w:val="left" w:pos="567"/>
      </w:tabs>
      <w:spacing w:line="260" w:lineRule="exact"/>
      <w:ind w:left="720"/>
      <w:contextualSpacing/>
    </w:pPr>
    <w:rPr>
      <w:sz w:val="22"/>
    </w:rPr>
  </w:style>
  <w:style w:type="paragraph" w:customStyle="1" w:styleId="Default">
    <w:name w:val="Default"/>
    <w:rsid w:val="00710EF4"/>
    <w:pPr>
      <w:autoSpaceDE w:val="0"/>
      <w:autoSpaceDN w:val="0"/>
      <w:adjustRightInd w:val="0"/>
    </w:pPr>
    <w:rPr>
      <w:lang w:eastAsia="en-US"/>
    </w:rPr>
  </w:style>
  <w:style w:type="paragraph" w:customStyle="1" w:styleId="CM1">
    <w:name w:val="CM1"/>
    <w:basedOn w:val="Default"/>
    <w:next w:val="Default"/>
    <w:uiPriority w:val="99"/>
    <w:rsid w:val="00710EF4"/>
    <w:pPr>
      <w:widowControl w:val="0"/>
      <w:spacing w:line="278" w:lineRule="atLeast"/>
    </w:pPr>
    <w:rPr>
      <w:color w:val="000000"/>
      <w:sz w:val="24"/>
      <w:szCs w:val="24"/>
      <w:lang w:eastAsia="en-GB"/>
    </w:rPr>
  </w:style>
  <w:style w:type="paragraph" w:customStyle="1" w:styleId="CM2">
    <w:name w:val="CM2"/>
    <w:basedOn w:val="Default"/>
    <w:next w:val="Default"/>
    <w:uiPriority w:val="99"/>
    <w:rsid w:val="00710EF4"/>
    <w:pPr>
      <w:widowControl w:val="0"/>
      <w:spacing w:line="308" w:lineRule="atLeast"/>
    </w:pPr>
    <w:rPr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2407</Words>
  <Characters>16321</Characters>
  <Application>Microsoft Office Word</Application>
  <DocSecurity>0</DocSecurity>
  <Lines>136</Lines>
  <Paragraphs>37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Helle Søndersted</dc:creator>
  <cp:keywords/>
  <dc:description>2023010948 pkt. 4.4. samt QRD</dc:description>
  <cp:lastModifiedBy>Helle Søndersted</cp:lastModifiedBy>
  <cp:revision>3</cp:revision>
  <cp:lastPrinted>2012-08-22T08:53:00Z</cp:lastPrinted>
  <dcterms:created xsi:type="dcterms:W3CDTF">2023-10-11T06:07:00Z</dcterms:created>
  <dcterms:modified xsi:type="dcterms:W3CDTF">2023-10-11T06:08:00Z</dcterms:modified>
</cp:coreProperties>
</file>