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2164FD" w:rsidRDefault="009260DE" w:rsidP="009260DE">
      <w:pPr>
        <w:pStyle w:val="Titel"/>
        <w:tabs>
          <w:tab w:val="right" w:pos="9356"/>
        </w:tabs>
        <w:jc w:val="left"/>
        <w:rPr>
          <w:b w:val="0"/>
          <w:szCs w:val="24"/>
          <w:lang w:val="en-US" w:eastAsia="en-US"/>
        </w:rPr>
      </w:pPr>
      <w:r w:rsidRPr="00C84483">
        <w:rPr>
          <w:b w:val="0"/>
          <w:szCs w:val="24"/>
          <w:lang w:eastAsia="en-US"/>
        </w:rPr>
        <w:tab/>
      </w:r>
      <w:r w:rsidR="00B720EC">
        <w:rPr>
          <w:szCs w:val="24"/>
          <w:lang w:val="en-US"/>
        </w:rPr>
        <w:t>14. marts 2025</w:t>
      </w:r>
    </w:p>
    <w:p w:rsidR="009260DE" w:rsidRPr="002164FD" w:rsidRDefault="009260DE" w:rsidP="009260DE">
      <w:pPr>
        <w:pStyle w:val="Titel"/>
        <w:tabs>
          <w:tab w:val="left" w:pos="8222"/>
        </w:tabs>
        <w:jc w:val="left"/>
        <w:rPr>
          <w:b w:val="0"/>
          <w:szCs w:val="24"/>
          <w:lang w:val="en-US"/>
        </w:rPr>
      </w:pPr>
    </w:p>
    <w:p w:rsidR="009260DE" w:rsidRPr="002164FD" w:rsidRDefault="009260DE" w:rsidP="009260DE">
      <w:pPr>
        <w:pStyle w:val="Titel"/>
        <w:jc w:val="left"/>
        <w:rPr>
          <w:b w:val="0"/>
          <w:szCs w:val="24"/>
          <w:lang w:val="en-US"/>
        </w:rPr>
      </w:pPr>
    </w:p>
    <w:p w:rsidR="009260DE" w:rsidRPr="002164FD" w:rsidRDefault="009260DE" w:rsidP="009260DE">
      <w:pPr>
        <w:pStyle w:val="Titel"/>
        <w:jc w:val="left"/>
        <w:rPr>
          <w:b w:val="0"/>
          <w:szCs w:val="24"/>
          <w:lang w:val="en-US"/>
        </w:rPr>
      </w:pPr>
    </w:p>
    <w:p w:rsidR="009260DE" w:rsidRPr="002164FD" w:rsidRDefault="009260DE" w:rsidP="009260DE">
      <w:pPr>
        <w:jc w:val="center"/>
        <w:rPr>
          <w:b/>
          <w:sz w:val="24"/>
          <w:szCs w:val="24"/>
          <w:lang w:val="en-US"/>
        </w:rPr>
      </w:pPr>
      <w:r w:rsidRPr="002164FD">
        <w:rPr>
          <w:b/>
          <w:sz w:val="24"/>
          <w:szCs w:val="24"/>
          <w:lang w:val="en-US"/>
        </w:rPr>
        <w:t>PRODUKTRESUMÉ</w:t>
      </w:r>
    </w:p>
    <w:p w:rsidR="009260DE" w:rsidRPr="002164FD" w:rsidRDefault="009260DE" w:rsidP="009260DE">
      <w:pPr>
        <w:jc w:val="center"/>
        <w:rPr>
          <w:b/>
          <w:sz w:val="24"/>
          <w:szCs w:val="24"/>
          <w:lang w:val="en-US"/>
        </w:rPr>
      </w:pPr>
    </w:p>
    <w:p w:rsidR="009260DE" w:rsidRPr="002164FD" w:rsidRDefault="009260DE" w:rsidP="009260DE">
      <w:pPr>
        <w:jc w:val="center"/>
        <w:rPr>
          <w:b/>
          <w:sz w:val="24"/>
          <w:szCs w:val="24"/>
          <w:lang w:val="en-US"/>
        </w:rPr>
      </w:pPr>
      <w:r w:rsidRPr="002164FD">
        <w:rPr>
          <w:b/>
          <w:sz w:val="24"/>
          <w:szCs w:val="24"/>
          <w:lang w:val="en-US"/>
        </w:rPr>
        <w:t>for</w:t>
      </w:r>
    </w:p>
    <w:p w:rsidR="000B058C" w:rsidRPr="002164FD" w:rsidRDefault="000B058C" w:rsidP="009260DE">
      <w:pPr>
        <w:jc w:val="center"/>
        <w:rPr>
          <w:b/>
          <w:sz w:val="24"/>
          <w:szCs w:val="24"/>
          <w:lang w:val="en-US"/>
        </w:rPr>
      </w:pPr>
    </w:p>
    <w:p w:rsidR="009260DE" w:rsidRPr="002164FD" w:rsidRDefault="002164FD" w:rsidP="009260DE">
      <w:pPr>
        <w:jc w:val="center"/>
        <w:rPr>
          <w:b/>
          <w:sz w:val="24"/>
          <w:szCs w:val="24"/>
          <w:lang w:val="en-US"/>
        </w:rPr>
      </w:pPr>
      <w:r w:rsidRPr="002164FD">
        <w:rPr>
          <w:b/>
          <w:sz w:val="24"/>
          <w:szCs w:val="24"/>
          <w:lang w:val="en-US"/>
        </w:rPr>
        <w:t>Clotic</w:t>
      </w:r>
    </w:p>
    <w:p w:rsidR="009260DE" w:rsidRPr="002164FD" w:rsidRDefault="009260DE" w:rsidP="009260DE">
      <w:pPr>
        <w:jc w:val="both"/>
        <w:rPr>
          <w:sz w:val="24"/>
          <w:szCs w:val="24"/>
          <w:lang w:val="en-US"/>
        </w:rPr>
      </w:pPr>
    </w:p>
    <w:p w:rsidR="009260DE" w:rsidRPr="002164FD" w:rsidRDefault="009260DE" w:rsidP="009260DE">
      <w:pPr>
        <w:jc w:val="both"/>
        <w:rPr>
          <w:sz w:val="24"/>
          <w:szCs w:val="24"/>
          <w:lang w:val="en-US"/>
        </w:rPr>
      </w:pPr>
    </w:p>
    <w:p w:rsidR="009260DE" w:rsidRPr="002164FD" w:rsidRDefault="009260DE" w:rsidP="009260DE">
      <w:pPr>
        <w:tabs>
          <w:tab w:val="left" w:pos="851"/>
        </w:tabs>
        <w:ind w:left="851" w:hanging="851"/>
        <w:rPr>
          <w:b/>
          <w:sz w:val="24"/>
          <w:szCs w:val="24"/>
          <w:lang w:val="en-US"/>
        </w:rPr>
      </w:pPr>
      <w:r w:rsidRPr="002164FD">
        <w:rPr>
          <w:b/>
          <w:sz w:val="24"/>
          <w:szCs w:val="24"/>
          <w:lang w:val="en-US"/>
        </w:rPr>
        <w:t>0.</w:t>
      </w:r>
      <w:r w:rsidRPr="002164FD">
        <w:rPr>
          <w:b/>
          <w:sz w:val="24"/>
          <w:szCs w:val="24"/>
          <w:lang w:val="en-US"/>
        </w:rPr>
        <w:tab/>
        <w:t>D.SP.NR.</w:t>
      </w:r>
    </w:p>
    <w:p w:rsidR="009260DE" w:rsidRPr="00B720EC" w:rsidRDefault="002164FD" w:rsidP="009260DE">
      <w:pPr>
        <w:tabs>
          <w:tab w:val="left" w:pos="851"/>
        </w:tabs>
        <w:ind w:left="851"/>
        <w:rPr>
          <w:sz w:val="24"/>
          <w:szCs w:val="24"/>
        </w:rPr>
      </w:pPr>
      <w:r w:rsidRPr="00B720EC">
        <w:rPr>
          <w:sz w:val="24"/>
          <w:szCs w:val="24"/>
        </w:rPr>
        <w:t>33399</w:t>
      </w:r>
    </w:p>
    <w:p w:rsidR="009260DE" w:rsidRPr="00B720EC"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2164FD" w:rsidP="009260DE">
      <w:pPr>
        <w:tabs>
          <w:tab w:val="left" w:pos="851"/>
        </w:tabs>
        <w:ind w:left="851"/>
        <w:rPr>
          <w:sz w:val="24"/>
          <w:szCs w:val="24"/>
        </w:rPr>
      </w:pPr>
      <w:r>
        <w:rPr>
          <w:sz w:val="24"/>
          <w:szCs w:val="24"/>
        </w:rPr>
        <w:t>Clotic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164FD" w:rsidRDefault="002164FD" w:rsidP="002164FD">
      <w:pPr>
        <w:tabs>
          <w:tab w:val="left" w:pos="851"/>
        </w:tabs>
        <w:ind w:left="851"/>
        <w:rPr>
          <w:sz w:val="24"/>
          <w:szCs w:val="24"/>
        </w:rPr>
      </w:pPr>
      <w:r w:rsidRPr="002164FD">
        <w:rPr>
          <w:sz w:val="24"/>
          <w:szCs w:val="24"/>
        </w:rPr>
        <w:t>En ml opløsning indeholder 10 mg clotrimazol.</w:t>
      </w:r>
    </w:p>
    <w:p w:rsidR="002164FD" w:rsidRPr="002164FD" w:rsidRDefault="002164FD" w:rsidP="002164FD">
      <w:pPr>
        <w:tabs>
          <w:tab w:val="left" w:pos="851"/>
        </w:tabs>
        <w:ind w:left="851"/>
        <w:rPr>
          <w:sz w:val="24"/>
          <w:szCs w:val="24"/>
        </w:rPr>
      </w:pPr>
    </w:p>
    <w:p w:rsidR="002164FD" w:rsidRPr="002164FD" w:rsidRDefault="002164FD" w:rsidP="002164FD">
      <w:pPr>
        <w:tabs>
          <w:tab w:val="left" w:pos="851"/>
        </w:tabs>
        <w:ind w:left="851"/>
        <w:rPr>
          <w:sz w:val="24"/>
          <w:szCs w:val="24"/>
        </w:rPr>
      </w:pPr>
      <w:r w:rsidRPr="002164FD">
        <w:rPr>
          <w:sz w:val="24"/>
          <w:szCs w:val="24"/>
        </w:rPr>
        <w:t xml:space="preserve">Hver enkeltdosisbeholder med 0,2 ml opløsning svarer til 2 mg </w:t>
      </w:r>
      <w:r>
        <w:rPr>
          <w:sz w:val="24"/>
          <w:szCs w:val="24"/>
        </w:rPr>
        <w:t>c</w:t>
      </w:r>
      <w:r w:rsidRPr="002164FD">
        <w:rPr>
          <w:sz w:val="24"/>
          <w:szCs w:val="24"/>
        </w:rPr>
        <w:t xml:space="preserve">lotrimazol </w:t>
      </w:r>
    </w:p>
    <w:p w:rsidR="002164FD" w:rsidRPr="002164FD" w:rsidRDefault="002164FD" w:rsidP="002164FD">
      <w:pPr>
        <w:tabs>
          <w:tab w:val="left" w:pos="851"/>
        </w:tabs>
        <w:ind w:left="851"/>
        <w:rPr>
          <w:sz w:val="24"/>
          <w:szCs w:val="24"/>
        </w:rPr>
      </w:pPr>
      <w:r w:rsidRPr="002164FD">
        <w:rPr>
          <w:sz w:val="24"/>
          <w:szCs w:val="24"/>
        </w:rPr>
        <w:t>Hver enkeltdosisbeholder afgiver</w:t>
      </w:r>
      <w:r>
        <w:rPr>
          <w:sz w:val="24"/>
          <w:szCs w:val="24"/>
        </w:rPr>
        <w:t xml:space="preserve"> </w:t>
      </w:r>
      <w:r w:rsidRPr="002164FD">
        <w:rPr>
          <w:sz w:val="24"/>
          <w:szCs w:val="24"/>
        </w:rPr>
        <w:t>ca. 0,17 ml opløsning svarende til 1,7 mg clotrimazol.</w:t>
      </w:r>
    </w:p>
    <w:p w:rsidR="002164FD" w:rsidRPr="002164FD" w:rsidRDefault="002164FD" w:rsidP="002164FD">
      <w:pPr>
        <w:tabs>
          <w:tab w:val="left" w:pos="851"/>
        </w:tabs>
        <w:ind w:left="851"/>
        <w:rPr>
          <w:sz w:val="24"/>
          <w:szCs w:val="24"/>
        </w:rPr>
      </w:pPr>
    </w:p>
    <w:p w:rsidR="002164FD" w:rsidRPr="002164FD" w:rsidRDefault="002164FD" w:rsidP="002164FD">
      <w:pPr>
        <w:tabs>
          <w:tab w:val="left" w:pos="851"/>
        </w:tabs>
        <w:ind w:left="851"/>
        <w:rPr>
          <w:sz w:val="24"/>
          <w:szCs w:val="24"/>
        </w:rPr>
      </w:pPr>
      <w:r w:rsidRPr="002164FD">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2164FD" w:rsidRDefault="002164FD" w:rsidP="002164FD">
      <w:pPr>
        <w:tabs>
          <w:tab w:val="left" w:pos="851"/>
        </w:tabs>
        <w:ind w:left="851"/>
        <w:rPr>
          <w:sz w:val="24"/>
          <w:szCs w:val="24"/>
        </w:rPr>
      </w:pPr>
      <w:r w:rsidRPr="002164FD">
        <w:rPr>
          <w:sz w:val="24"/>
          <w:szCs w:val="24"/>
        </w:rPr>
        <w:t>Øredråber, opløsning i enkeltdosisbeholder (øredråber)</w:t>
      </w:r>
    </w:p>
    <w:p w:rsidR="002164FD" w:rsidRPr="002164FD" w:rsidRDefault="002164FD" w:rsidP="002164FD">
      <w:pPr>
        <w:tabs>
          <w:tab w:val="left" w:pos="851"/>
        </w:tabs>
        <w:ind w:left="851"/>
        <w:rPr>
          <w:sz w:val="24"/>
          <w:szCs w:val="24"/>
        </w:rPr>
      </w:pPr>
    </w:p>
    <w:p w:rsidR="002164FD" w:rsidRPr="002164FD" w:rsidRDefault="002164FD" w:rsidP="002164FD">
      <w:pPr>
        <w:tabs>
          <w:tab w:val="left" w:pos="851"/>
        </w:tabs>
        <w:ind w:left="851"/>
        <w:rPr>
          <w:sz w:val="24"/>
          <w:szCs w:val="24"/>
        </w:rPr>
      </w:pPr>
      <w:r w:rsidRPr="002164FD">
        <w:rPr>
          <w:sz w:val="24"/>
          <w:szCs w:val="24"/>
        </w:rPr>
        <w:t>Klar og farveløs opløsning.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41963" w:rsidRPr="00941963" w:rsidRDefault="00941963" w:rsidP="00941963">
      <w:pPr>
        <w:tabs>
          <w:tab w:val="left" w:pos="851"/>
        </w:tabs>
        <w:ind w:left="851"/>
        <w:rPr>
          <w:sz w:val="24"/>
          <w:szCs w:val="24"/>
        </w:rPr>
      </w:pPr>
      <w:r w:rsidRPr="00941963">
        <w:rPr>
          <w:sz w:val="24"/>
          <w:szCs w:val="24"/>
        </w:rPr>
        <w:t>Clotic er indikeret til behandling af svampeotitis externa (otomykose) hos voksne, unge og børn over 1 måned. (se pkt. 4.4 og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941963" w:rsidRPr="00941963" w:rsidRDefault="00941963" w:rsidP="00941963">
      <w:pPr>
        <w:tabs>
          <w:tab w:val="left" w:pos="851"/>
        </w:tabs>
        <w:ind w:left="851"/>
        <w:rPr>
          <w:sz w:val="24"/>
          <w:szCs w:val="24"/>
        </w:rPr>
      </w:pPr>
    </w:p>
    <w:p w:rsidR="00941963" w:rsidRPr="00941963" w:rsidRDefault="00941963" w:rsidP="00941963">
      <w:pPr>
        <w:tabs>
          <w:tab w:val="left" w:pos="851"/>
        </w:tabs>
        <w:ind w:left="851"/>
        <w:rPr>
          <w:sz w:val="24"/>
          <w:szCs w:val="24"/>
          <w:u w:val="single"/>
        </w:rPr>
      </w:pPr>
      <w:r w:rsidRPr="00941963">
        <w:rPr>
          <w:sz w:val="24"/>
          <w:szCs w:val="24"/>
          <w:u w:val="single"/>
        </w:rPr>
        <w:t>Dosering</w:t>
      </w:r>
    </w:p>
    <w:p w:rsidR="00941963" w:rsidRPr="00941963" w:rsidRDefault="00941963" w:rsidP="00941963">
      <w:pPr>
        <w:tabs>
          <w:tab w:val="left" w:pos="851"/>
        </w:tabs>
        <w:ind w:left="851"/>
        <w:rPr>
          <w:sz w:val="24"/>
          <w:szCs w:val="24"/>
        </w:rPr>
      </w:pPr>
      <w:r w:rsidRPr="00941963">
        <w:rPr>
          <w:sz w:val="24"/>
          <w:szCs w:val="24"/>
        </w:rPr>
        <w:t>Dryp indholdet af en enkeltdosisbeholder i den berørte øregang to gange dagligt (morgen og aften, helst med 12 timers mellemrum) i 14 på hinanden følgende dage.</w:t>
      </w:r>
    </w:p>
    <w:p w:rsidR="00941963" w:rsidRDefault="00941963">
      <w:pPr>
        <w:rPr>
          <w:sz w:val="24"/>
          <w:szCs w:val="24"/>
        </w:rPr>
      </w:pPr>
      <w:r>
        <w:rPr>
          <w:sz w:val="24"/>
          <w:szCs w:val="24"/>
        </w:rPr>
        <w:br w:type="page"/>
      </w:r>
    </w:p>
    <w:p w:rsidR="00941963" w:rsidRPr="00941963" w:rsidRDefault="00941963" w:rsidP="00941963">
      <w:pPr>
        <w:tabs>
          <w:tab w:val="left" w:pos="851"/>
        </w:tabs>
        <w:ind w:left="851"/>
        <w:rPr>
          <w:sz w:val="24"/>
          <w:szCs w:val="24"/>
        </w:rPr>
      </w:pPr>
    </w:p>
    <w:p w:rsidR="00941963" w:rsidRPr="00941963" w:rsidRDefault="00941963" w:rsidP="00941963">
      <w:pPr>
        <w:tabs>
          <w:tab w:val="left" w:pos="851"/>
        </w:tabs>
        <w:ind w:left="851"/>
        <w:rPr>
          <w:sz w:val="24"/>
          <w:szCs w:val="24"/>
        </w:rPr>
      </w:pPr>
      <w:r w:rsidRPr="00941963">
        <w:rPr>
          <w:i/>
          <w:sz w:val="24"/>
          <w:szCs w:val="24"/>
        </w:rPr>
        <w:t>Pædiatrisk population</w:t>
      </w:r>
    </w:p>
    <w:p w:rsidR="00941963" w:rsidRPr="00941963" w:rsidRDefault="00941963" w:rsidP="00941963">
      <w:pPr>
        <w:tabs>
          <w:tab w:val="left" w:pos="851"/>
        </w:tabs>
        <w:ind w:left="851"/>
        <w:rPr>
          <w:sz w:val="24"/>
          <w:szCs w:val="24"/>
        </w:rPr>
      </w:pPr>
      <w:r w:rsidRPr="00941963">
        <w:rPr>
          <w:sz w:val="24"/>
          <w:szCs w:val="24"/>
        </w:rPr>
        <w:t>Sikkerheden og effekten af Clotic hos børn i alderen 1 måned eller derunder er ikke klarlagt.</w:t>
      </w:r>
    </w:p>
    <w:p w:rsidR="00941963" w:rsidRPr="00941963" w:rsidRDefault="00941963" w:rsidP="00941963">
      <w:pPr>
        <w:tabs>
          <w:tab w:val="left" w:pos="851"/>
        </w:tabs>
        <w:ind w:left="851"/>
        <w:rPr>
          <w:iCs/>
          <w:sz w:val="24"/>
          <w:szCs w:val="24"/>
        </w:rPr>
      </w:pPr>
      <w:r w:rsidRPr="00941963">
        <w:rPr>
          <w:iCs/>
          <w:sz w:val="24"/>
          <w:szCs w:val="24"/>
        </w:rPr>
        <w:t>Ingen data er tilgængelige.</w:t>
      </w:r>
    </w:p>
    <w:p w:rsidR="00941963" w:rsidRPr="00941963" w:rsidRDefault="00941963" w:rsidP="00941963">
      <w:pPr>
        <w:tabs>
          <w:tab w:val="left" w:pos="851"/>
        </w:tabs>
        <w:ind w:left="851"/>
        <w:rPr>
          <w:sz w:val="24"/>
          <w:szCs w:val="24"/>
          <w:u w:val="single"/>
        </w:rPr>
      </w:pPr>
    </w:p>
    <w:p w:rsidR="00941963" w:rsidRPr="00941963" w:rsidRDefault="00941963" w:rsidP="00941963">
      <w:pPr>
        <w:tabs>
          <w:tab w:val="left" w:pos="851"/>
        </w:tabs>
        <w:ind w:left="851"/>
        <w:rPr>
          <w:sz w:val="24"/>
          <w:szCs w:val="24"/>
        </w:rPr>
      </w:pPr>
      <w:r w:rsidRPr="00941963">
        <w:rPr>
          <w:sz w:val="24"/>
          <w:szCs w:val="24"/>
          <w:u w:val="single"/>
        </w:rPr>
        <w:t>Administration</w:t>
      </w:r>
    </w:p>
    <w:p w:rsidR="00941963" w:rsidRPr="00941963" w:rsidRDefault="00941963" w:rsidP="00941963">
      <w:pPr>
        <w:tabs>
          <w:tab w:val="left" w:pos="851"/>
        </w:tabs>
        <w:ind w:left="851"/>
        <w:rPr>
          <w:sz w:val="24"/>
          <w:szCs w:val="24"/>
        </w:rPr>
      </w:pPr>
      <w:r w:rsidRPr="00941963">
        <w:rPr>
          <w:sz w:val="24"/>
          <w:szCs w:val="24"/>
        </w:rPr>
        <w:t>Til anvendelse i øret.</w:t>
      </w:r>
    </w:p>
    <w:p w:rsidR="00941963" w:rsidRPr="00941963" w:rsidRDefault="00941963" w:rsidP="00941963">
      <w:pPr>
        <w:tabs>
          <w:tab w:val="left" w:pos="851"/>
        </w:tabs>
        <w:ind w:left="851"/>
        <w:rPr>
          <w:sz w:val="24"/>
          <w:szCs w:val="24"/>
        </w:rPr>
      </w:pPr>
    </w:p>
    <w:p w:rsidR="00941963" w:rsidRPr="00941963" w:rsidRDefault="00941963" w:rsidP="00941963">
      <w:pPr>
        <w:tabs>
          <w:tab w:val="left" w:pos="851"/>
        </w:tabs>
        <w:ind w:left="851"/>
        <w:rPr>
          <w:sz w:val="24"/>
          <w:szCs w:val="24"/>
        </w:rPr>
      </w:pPr>
      <w:r w:rsidRPr="00941963">
        <w:rPr>
          <w:sz w:val="24"/>
          <w:szCs w:val="24"/>
        </w:rPr>
        <w:t xml:space="preserve">Opløsningen skal varmes før brug ved at holde enkeltdosisbeholderen i hånden i 1 eller 2 minutter. Dette forhindrer ubehag eller svimmelhed, der kan opstå som følge af inddrypning af en kold opløsning i øregangen. Patienten skal ligge med det berørte øre opad, og derefter skal dråberne inddryppes, mens man forsigtigt trækker flere gange i øreflippen. Denne position bør opretholdes i ca. 1 minut, så dråberne får lov at trænge ind i øret.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41963" w:rsidRPr="00941963" w:rsidRDefault="00941963" w:rsidP="00941963">
      <w:pPr>
        <w:tabs>
          <w:tab w:val="left" w:pos="851"/>
        </w:tabs>
        <w:ind w:left="851"/>
        <w:rPr>
          <w:sz w:val="24"/>
          <w:szCs w:val="24"/>
        </w:rPr>
      </w:pPr>
      <w:r w:rsidRPr="00941963">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41963" w:rsidRPr="00941963" w:rsidRDefault="00941963" w:rsidP="00941963">
      <w:pPr>
        <w:tabs>
          <w:tab w:val="left" w:pos="851"/>
        </w:tabs>
        <w:ind w:left="851"/>
        <w:rPr>
          <w:sz w:val="24"/>
          <w:szCs w:val="24"/>
        </w:rPr>
      </w:pPr>
    </w:p>
    <w:p w:rsidR="00941963" w:rsidRPr="00941963" w:rsidRDefault="00941963" w:rsidP="00941963">
      <w:pPr>
        <w:tabs>
          <w:tab w:val="left" w:pos="851"/>
        </w:tabs>
        <w:ind w:left="851"/>
        <w:rPr>
          <w:sz w:val="24"/>
          <w:szCs w:val="24"/>
          <w:u w:val="single"/>
        </w:rPr>
      </w:pPr>
      <w:r w:rsidRPr="00941963">
        <w:rPr>
          <w:sz w:val="24"/>
          <w:szCs w:val="24"/>
          <w:u w:val="single"/>
        </w:rPr>
        <w:t>Overfølsomhed</w:t>
      </w:r>
    </w:p>
    <w:p w:rsidR="00941963" w:rsidRPr="00941963" w:rsidRDefault="00941963" w:rsidP="00941963">
      <w:pPr>
        <w:tabs>
          <w:tab w:val="left" w:pos="851"/>
        </w:tabs>
        <w:ind w:left="851"/>
        <w:rPr>
          <w:sz w:val="24"/>
          <w:szCs w:val="24"/>
        </w:rPr>
      </w:pPr>
      <w:r w:rsidRPr="00941963">
        <w:rPr>
          <w:sz w:val="24"/>
          <w:szCs w:val="24"/>
        </w:rPr>
        <w:t>Der er rapporteret overfølsomhedsreaktioner hos patienter behandlet med andre imidazolderivater. Hvis der opstår en alvorlig overfølsomhedsreaktion, bør clotrimazol behandlingen straks seponeres, og der skal iværksættes passende akutbehandling. Krydsreaktivitet mellem clotrimazol og andre imidazolderivater er mulig. Clotrimazol bør administreres med forsigtighed hos patienter med tidligere overfølsomhed over for andre imidazolderivater.</w:t>
      </w:r>
    </w:p>
    <w:p w:rsidR="00941963" w:rsidRPr="00941963" w:rsidRDefault="00941963" w:rsidP="00941963">
      <w:pPr>
        <w:tabs>
          <w:tab w:val="left" w:pos="851"/>
        </w:tabs>
        <w:ind w:left="851"/>
        <w:rPr>
          <w:sz w:val="24"/>
          <w:szCs w:val="24"/>
        </w:rPr>
      </w:pPr>
    </w:p>
    <w:p w:rsidR="00941963" w:rsidRPr="00941963" w:rsidRDefault="00941963" w:rsidP="00941963">
      <w:pPr>
        <w:tabs>
          <w:tab w:val="left" w:pos="851"/>
        </w:tabs>
        <w:ind w:left="851"/>
        <w:rPr>
          <w:sz w:val="24"/>
          <w:szCs w:val="24"/>
          <w:u w:val="single"/>
        </w:rPr>
      </w:pPr>
      <w:r w:rsidRPr="00941963">
        <w:rPr>
          <w:sz w:val="24"/>
          <w:szCs w:val="24"/>
          <w:u w:val="single"/>
        </w:rPr>
        <w:t>Brug hos patienter med ikke-intakt trommehinde</w:t>
      </w:r>
    </w:p>
    <w:p w:rsidR="00941963" w:rsidRPr="00941963" w:rsidRDefault="00941963" w:rsidP="00941963">
      <w:pPr>
        <w:tabs>
          <w:tab w:val="left" w:pos="851"/>
        </w:tabs>
        <w:ind w:left="851"/>
        <w:rPr>
          <w:sz w:val="24"/>
          <w:szCs w:val="24"/>
        </w:rPr>
      </w:pPr>
      <w:r w:rsidRPr="00941963">
        <w:rPr>
          <w:sz w:val="24"/>
          <w:szCs w:val="24"/>
        </w:rPr>
        <w:t xml:space="preserve">Administration af clotrimazolopløsning i øret anbefales ikke til patienter med perforeret trommehinde, da øresmerter er blevet rapporteret som en bivirkning hos disse patienter, og risikoen for andre bivirkninger, herunder ototoksicitet, ikke er blevet tilstrækkeligt undersøgt i kliniske studier (se </w:t>
      </w:r>
      <w:r>
        <w:rPr>
          <w:sz w:val="24"/>
          <w:szCs w:val="24"/>
        </w:rPr>
        <w:t>pkt.</w:t>
      </w:r>
      <w:r w:rsidRPr="00941963">
        <w:rPr>
          <w:sz w:val="24"/>
          <w:szCs w:val="24"/>
        </w:rPr>
        <w:t xml:space="preserve"> 5.1). Hvis en patient med perforeret trommehinde skal behandles med Clotic, er det nødvendigt at overvåge af bivirkninger nøje.</w:t>
      </w:r>
    </w:p>
    <w:p w:rsidR="00941963" w:rsidRPr="00941963" w:rsidRDefault="00941963" w:rsidP="00941963">
      <w:pPr>
        <w:tabs>
          <w:tab w:val="left" w:pos="851"/>
        </w:tabs>
        <w:ind w:left="851"/>
        <w:rPr>
          <w:sz w:val="24"/>
          <w:szCs w:val="24"/>
        </w:rPr>
      </w:pPr>
    </w:p>
    <w:p w:rsidR="00941963" w:rsidRPr="00941963" w:rsidRDefault="00941963" w:rsidP="00941963">
      <w:pPr>
        <w:tabs>
          <w:tab w:val="left" w:pos="851"/>
        </w:tabs>
        <w:ind w:left="851"/>
        <w:rPr>
          <w:sz w:val="24"/>
          <w:szCs w:val="24"/>
          <w:u w:val="single"/>
        </w:rPr>
      </w:pPr>
      <w:r w:rsidRPr="00941963">
        <w:rPr>
          <w:sz w:val="24"/>
          <w:szCs w:val="24"/>
          <w:u w:val="single"/>
        </w:rPr>
        <w:t>Administrationsvej</w:t>
      </w:r>
    </w:p>
    <w:p w:rsidR="00941963" w:rsidRPr="00941963" w:rsidRDefault="00941963" w:rsidP="00941963">
      <w:pPr>
        <w:tabs>
          <w:tab w:val="left" w:pos="851"/>
        </w:tabs>
        <w:ind w:left="851"/>
        <w:rPr>
          <w:sz w:val="24"/>
          <w:szCs w:val="24"/>
        </w:rPr>
      </w:pPr>
      <w:r w:rsidRPr="00941963">
        <w:rPr>
          <w:sz w:val="24"/>
          <w:szCs w:val="24"/>
        </w:rPr>
        <w:t>Dette lægemiddel er kun til anvendelse i øret. Undgå kontakt med øjnene. Hvis øjnene ved et uheld udsættes for clotrimazol, skal de skylles med rigeligt vand og om nødvendigt skal man kontakte en øjenlæge.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41963" w:rsidRPr="00941963" w:rsidRDefault="00941963" w:rsidP="00941963">
      <w:pPr>
        <w:tabs>
          <w:tab w:val="left" w:pos="851"/>
        </w:tabs>
        <w:ind w:left="851"/>
        <w:rPr>
          <w:sz w:val="24"/>
          <w:szCs w:val="24"/>
        </w:rPr>
      </w:pPr>
      <w:r w:rsidRPr="00941963">
        <w:rPr>
          <w:sz w:val="24"/>
          <w:szCs w:val="24"/>
        </w:rPr>
        <w:t>Der er ikke udført interaktionstudier med Clotic.</w:t>
      </w:r>
    </w:p>
    <w:p w:rsidR="00941963" w:rsidRPr="00941963" w:rsidRDefault="00941963" w:rsidP="00941963">
      <w:pPr>
        <w:tabs>
          <w:tab w:val="left" w:pos="851"/>
        </w:tabs>
        <w:ind w:left="851"/>
        <w:rPr>
          <w:sz w:val="24"/>
          <w:szCs w:val="24"/>
        </w:rPr>
      </w:pPr>
    </w:p>
    <w:p w:rsidR="00941963" w:rsidRPr="00941963" w:rsidRDefault="00941963" w:rsidP="00941963">
      <w:pPr>
        <w:tabs>
          <w:tab w:val="left" w:pos="851"/>
        </w:tabs>
        <w:ind w:left="851"/>
        <w:rPr>
          <w:sz w:val="24"/>
          <w:szCs w:val="24"/>
        </w:rPr>
      </w:pPr>
      <w:r w:rsidRPr="00941963">
        <w:rPr>
          <w:sz w:val="24"/>
          <w:szCs w:val="24"/>
        </w:rPr>
        <w:t>Hvis der skal indgives mere end ét lægemiddel ad denne vej, anbefales det at indgive dem særskilt fra hinanden.</w:t>
      </w:r>
    </w:p>
    <w:p w:rsidR="00941963" w:rsidRDefault="00941963">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941963" w:rsidRDefault="00941963" w:rsidP="00941963">
      <w:pPr>
        <w:tabs>
          <w:tab w:val="left" w:pos="851"/>
        </w:tabs>
        <w:ind w:left="851"/>
        <w:rPr>
          <w:sz w:val="24"/>
          <w:szCs w:val="24"/>
          <w:u w:val="single"/>
        </w:rPr>
      </w:pPr>
    </w:p>
    <w:p w:rsidR="00941963" w:rsidRPr="00941963" w:rsidRDefault="00941963" w:rsidP="00941963">
      <w:pPr>
        <w:tabs>
          <w:tab w:val="left" w:pos="851"/>
        </w:tabs>
        <w:ind w:left="851"/>
        <w:rPr>
          <w:sz w:val="24"/>
          <w:szCs w:val="24"/>
        </w:rPr>
      </w:pPr>
      <w:r w:rsidRPr="00941963">
        <w:rPr>
          <w:sz w:val="24"/>
          <w:szCs w:val="24"/>
          <w:u w:val="single"/>
        </w:rPr>
        <w:t>Graviditet</w:t>
      </w:r>
    </w:p>
    <w:p w:rsidR="00941963" w:rsidRPr="00941963" w:rsidRDefault="00941963" w:rsidP="00941963">
      <w:pPr>
        <w:tabs>
          <w:tab w:val="left" w:pos="851"/>
        </w:tabs>
        <w:ind w:left="851"/>
        <w:rPr>
          <w:sz w:val="24"/>
          <w:szCs w:val="24"/>
        </w:rPr>
      </w:pPr>
      <w:r w:rsidRPr="00941963">
        <w:rPr>
          <w:sz w:val="24"/>
          <w:szCs w:val="24"/>
        </w:rPr>
        <w:t>Der er en begrænset mængde data fra anvendelse af clotrimazol til gravide kvinder. Dyreforsøg har vist reproduktionstoksicitet (se pkt. 5.3). Ved anvendelse i øret forventes der ingen virkninger under graviditet, da den systemiske eksponering for clotrimazol forventes at være meget lav (se pkt. 5.2).</w:t>
      </w:r>
    </w:p>
    <w:p w:rsidR="00941963" w:rsidRPr="00941963" w:rsidRDefault="00941963" w:rsidP="00941963">
      <w:pPr>
        <w:tabs>
          <w:tab w:val="left" w:pos="851"/>
        </w:tabs>
        <w:ind w:left="851"/>
        <w:rPr>
          <w:sz w:val="24"/>
          <w:szCs w:val="24"/>
        </w:rPr>
      </w:pPr>
    </w:p>
    <w:p w:rsidR="00941963" w:rsidRPr="00941963" w:rsidRDefault="00941963" w:rsidP="00941963">
      <w:pPr>
        <w:tabs>
          <w:tab w:val="left" w:pos="851"/>
        </w:tabs>
        <w:ind w:left="851"/>
        <w:rPr>
          <w:sz w:val="24"/>
          <w:szCs w:val="24"/>
        </w:rPr>
      </w:pPr>
      <w:r w:rsidRPr="00941963">
        <w:rPr>
          <w:sz w:val="24"/>
          <w:szCs w:val="24"/>
        </w:rPr>
        <w:t>Clotic kan anvendes under graviditeten, men kun under lægeligt tilsyn.</w:t>
      </w:r>
    </w:p>
    <w:p w:rsidR="00941963" w:rsidRPr="00941963" w:rsidRDefault="00941963" w:rsidP="00941963">
      <w:pPr>
        <w:tabs>
          <w:tab w:val="left" w:pos="851"/>
        </w:tabs>
        <w:ind w:left="851"/>
        <w:rPr>
          <w:sz w:val="24"/>
          <w:szCs w:val="24"/>
        </w:rPr>
      </w:pPr>
    </w:p>
    <w:p w:rsidR="00941963" w:rsidRPr="00941963" w:rsidRDefault="00941963" w:rsidP="00941963">
      <w:pPr>
        <w:tabs>
          <w:tab w:val="left" w:pos="851"/>
        </w:tabs>
        <w:ind w:left="851"/>
        <w:rPr>
          <w:sz w:val="24"/>
          <w:szCs w:val="24"/>
        </w:rPr>
      </w:pPr>
      <w:r w:rsidRPr="00941963">
        <w:rPr>
          <w:sz w:val="24"/>
          <w:szCs w:val="24"/>
          <w:u w:val="single"/>
        </w:rPr>
        <w:t>Amning</w:t>
      </w:r>
    </w:p>
    <w:p w:rsidR="00941963" w:rsidRPr="00941963" w:rsidRDefault="00941963" w:rsidP="00941963">
      <w:pPr>
        <w:tabs>
          <w:tab w:val="left" w:pos="851"/>
        </w:tabs>
        <w:ind w:left="851"/>
        <w:rPr>
          <w:sz w:val="24"/>
          <w:szCs w:val="24"/>
        </w:rPr>
      </w:pPr>
      <w:r w:rsidRPr="00941963">
        <w:rPr>
          <w:sz w:val="24"/>
          <w:szCs w:val="24"/>
        </w:rPr>
        <w:t>Det er ukendt, om clotrimazol/metabolitter udskilles i human mælk. Ved anvendelse i øret forventes, der ingen påvirkning af nyfødte/spædbørn, ammet af mødre i behandling med clotrimazol, da den systemiske eksponering over for clotrimazol hos den ammende kvinde forventes at være meget lav (se pkt. 5.2).</w:t>
      </w:r>
    </w:p>
    <w:p w:rsidR="00941963" w:rsidRPr="00941963" w:rsidRDefault="00941963" w:rsidP="00941963">
      <w:pPr>
        <w:tabs>
          <w:tab w:val="left" w:pos="851"/>
        </w:tabs>
        <w:ind w:left="851"/>
        <w:rPr>
          <w:sz w:val="24"/>
          <w:szCs w:val="24"/>
        </w:rPr>
      </w:pPr>
    </w:p>
    <w:p w:rsidR="00941963" w:rsidRPr="00941963" w:rsidRDefault="00941963" w:rsidP="00941963">
      <w:pPr>
        <w:tabs>
          <w:tab w:val="left" w:pos="851"/>
        </w:tabs>
        <w:ind w:left="851"/>
        <w:rPr>
          <w:sz w:val="24"/>
          <w:szCs w:val="24"/>
        </w:rPr>
      </w:pPr>
      <w:r w:rsidRPr="00941963">
        <w:rPr>
          <w:sz w:val="24"/>
          <w:szCs w:val="24"/>
        </w:rPr>
        <w:t xml:space="preserve">Clotic kan anvendes under amning. </w:t>
      </w:r>
    </w:p>
    <w:p w:rsidR="00941963" w:rsidRPr="00941963" w:rsidRDefault="00941963" w:rsidP="00941963">
      <w:pPr>
        <w:tabs>
          <w:tab w:val="left" w:pos="851"/>
        </w:tabs>
        <w:ind w:left="851"/>
        <w:rPr>
          <w:sz w:val="24"/>
          <w:szCs w:val="24"/>
        </w:rPr>
      </w:pPr>
    </w:p>
    <w:p w:rsidR="00941963" w:rsidRPr="00941963" w:rsidRDefault="00941963" w:rsidP="00941963">
      <w:pPr>
        <w:tabs>
          <w:tab w:val="left" w:pos="851"/>
        </w:tabs>
        <w:ind w:left="851"/>
        <w:rPr>
          <w:sz w:val="24"/>
          <w:szCs w:val="24"/>
        </w:rPr>
      </w:pPr>
      <w:r w:rsidRPr="00941963">
        <w:rPr>
          <w:sz w:val="24"/>
          <w:szCs w:val="24"/>
          <w:u w:val="single"/>
        </w:rPr>
        <w:t>Fertilitet</w:t>
      </w:r>
    </w:p>
    <w:p w:rsidR="00941963" w:rsidRPr="00941963" w:rsidRDefault="00941963" w:rsidP="00941963">
      <w:pPr>
        <w:tabs>
          <w:tab w:val="left" w:pos="851"/>
        </w:tabs>
        <w:ind w:left="851"/>
        <w:rPr>
          <w:sz w:val="24"/>
          <w:szCs w:val="24"/>
        </w:rPr>
      </w:pPr>
      <w:r w:rsidRPr="00941963">
        <w:rPr>
          <w:sz w:val="24"/>
          <w:szCs w:val="24"/>
        </w:rPr>
        <w:t>Der foreligger ingen data om clotrimazols virkning på menneskets fertilitet. Studier udført med rotter har ikke vist nedsat fertilitet (se pkt. 5.3).</w:t>
      </w:r>
    </w:p>
    <w:p w:rsidR="00941963" w:rsidRPr="00941963" w:rsidRDefault="00941963" w:rsidP="0094196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941963" w:rsidRPr="00941963" w:rsidRDefault="00941963" w:rsidP="00941963">
      <w:pPr>
        <w:tabs>
          <w:tab w:val="left" w:pos="851"/>
        </w:tabs>
        <w:ind w:left="851"/>
        <w:rPr>
          <w:sz w:val="24"/>
          <w:szCs w:val="24"/>
        </w:rPr>
      </w:pPr>
      <w:r w:rsidRPr="00941963">
        <w:rPr>
          <w:sz w:val="24"/>
          <w:szCs w:val="24"/>
        </w:rPr>
        <w:t>Ikke mærkning</w:t>
      </w:r>
      <w:r>
        <w:rPr>
          <w:sz w:val="24"/>
          <w:szCs w:val="24"/>
        </w:rPr>
        <w:t>.</w:t>
      </w:r>
    </w:p>
    <w:p w:rsidR="00941963" w:rsidRPr="00941963" w:rsidRDefault="00941963" w:rsidP="00941963">
      <w:pPr>
        <w:tabs>
          <w:tab w:val="left" w:pos="851"/>
        </w:tabs>
        <w:ind w:left="851"/>
        <w:rPr>
          <w:sz w:val="24"/>
          <w:szCs w:val="24"/>
        </w:rPr>
      </w:pPr>
      <w:r w:rsidRPr="00941963">
        <w:rPr>
          <w:sz w:val="24"/>
          <w:szCs w:val="24"/>
        </w:rPr>
        <w:t>Clotic påvirker i mindre grad evnen til at føre motorkøretøj eller betjene maskiner. Svimmelhed, hovedpine og paræstesi kan forekomme efter anvendelse af clotrimazol i øret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941963" w:rsidRDefault="00941963" w:rsidP="00941963">
      <w:pPr>
        <w:widowControl w:val="0"/>
        <w:tabs>
          <w:tab w:val="left" w:pos="851"/>
          <w:tab w:val="left" w:pos="1304"/>
        </w:tabs>
        <w:autoSpaceDE w:val="0"/>
        <w:autoSpaceDN w:val="0"/>
        <w:ind w:left="851"/>
        <w:rPr>
          <w:rFonts w:asciiTheme="majorBidi" w:hAnsiTheme="majorBidi"/>
          <w:sz w:val="24"/>
          <w:szCs w:val="24"/>
        </w:rPr>
      </w:pPr>
      <w:r w:rsidRPr="00941963">
        <w:rPr>
          <w:rFonts w:asciiTheme="majorBidi" w:hAnsiTheme="majorBidi"/>
          <w:sz w:val="24"/>
          <w:szCs w:val="24"/>
        </w:rPr>
        <w:t>Følgende bivirkninger blev rapporteret under kliniske forsøg med clotrimazol 10 mg/ ml opløsning til anvendelse i øret hos voksne patienter (tabel 1). Bivirkningerne klassificeres efter hyppighed og organklasse.</w:t>
      </w:r>
    </w:p>
    <w:p w:rsidR="00941963" w:rsidRPr="00941963" w:rsidRDefault="00941963" w:rsidP="00941963">
      <w:pPr>
        <w:widowControl w:val="0"/>
        <w:tabs>
          <w:tab w:val="left" w:pos="851"/>
          <w:tab w:val="left" w:pos="1304"/>
        </w:tabs>
        <w:autoSpaceDE w:val="0"/>
        <w:autoSpaceDN w:val="0"/>
        <w:ind w:left="851"/>
        <w:rPr>
          <w:rFonts w:asciiTheme="majorBidi" w:hAnsiTheme="majorBidi" w:cstheme="majorBidi"/>
          <w:sz w:val="24"/>
          <w:szCs w:val="24"/>
        </w:rPr>
      </w:pPr>
      <w:r w:rsidRPr="00941963">
        <w:rPr>
          <w:rFonts w:asciiTheme="majorBidi" w:hAnsiTheme="majorBidi"/>
          <w:sz w:val="24"/>
          <w:szCs w:val="24"/>
        </w:rPr>
        <w:t>Hyppighedskategorierne er følgende: Meget almindelig (≥1/10), Almindelig (≥1/100 til &lt;1/10), Ikke almindelig (≥1/1.000 til &lt;1/100), Sjælden (≥1/10.000 til &lt;1/1.000), Meget sjælden (&lt;1/10.000), ikke kendt (kan ikke estimeres ud fra forhåndenværende data). Inden for hver enkelt hyppighedsgruppe er bivirkningerne opstillet efter, hvor alvorlige de er.</w:t>
      </w:r>
    </w:p>
    <w:p w:rsidR="00941963" w:rsidRPr="00941963" w:rsidRDefault="00941963" w:rsidP="00941963">
      <w:pPr>
        <w:widowControl w:val="0"/>
        <w:tabs>
          <w:tab w:val="left" w:pos="851"/>
          <w:tab w:val="left" w:pos="1304"/>
        </w:tabs>
        <w:autoSpaceDE w:val="0"/>
        <w:autoSpaceDN w:val="0"/>
        <w:ind w:left="851"/>
        <w:rPr>
          <w:rFonts w:asciiTheme="majorBidi" w:hAnsiTheme="majorBidi" w:cstheme="majorBidi"/>
          <w:sz w:val="24"/>
          <w:szCs w:val="24"/>
        </w:rPr>
      </w:pPr>
    </w:p>
    <w:p w:rsidR="00941963" w:rsidRDefault="00941963" w:rsidP="00941963">
      <w:pPr>
        <w:widowControl w:val="0"/>
        <w:tabs>
          <w:tab w:val="left" w:pos="1304"/>
        </w:tabs>
        <w:autoSpaceDE w:val="0"/>
        <w:autoSpaceDN w:val="0"/>
        <w:rPr>
          <w:rFonts w:asciiTheme="majorBidi" w:hAnsiTheme="majorBidi" w:cstheme="majorBidi"/>
          <w:b/>
          <w:szCs w:val="22"/>
        </w:rPr>
      </w:pPr>
      <w:r>
        <w:rPr>
          <w:rFonts w:asciiTheme="majorBidi" w:hAnsiTheme="majorBidi"/>
          <w:b/>
        </w:rPr>
        <w:t>Tabel 1. Bivirkningernes hyppighed opstillet after systemorganklasse</w:t>
      </w:r>
    </w:p>
    <w:p w:rsidR="00941963" w:rsidRDefault="00941963" w:rsidP="00941963">
      <w:pPr>
        <w:widowControl w:val="0"/>
        <w:tabs>
          <w:tab w:val="left" w:pos="1304"/>
        </w:tabs>
        <w:autoSpaceDE w:val="0"/>
        <w:autoSpaceDN w:val="0"/>
        <w:rPr>
          <w:rFonts w:asciiTheme="majorBidi" w:hAnsiTheme="majorBidi" w:cstheme="majorBidi"/>
          <w:szCs w:val="22"/>
        </w:rPr>
      </w:pPr>
    </w:p>
    <w:tbl>
      <w:tblPr>
        <w:tblStyle w:val="Tabel-Gitter"/>
        <w:tblW w:w="0" w:type="auto"/>
        <w:tblInd w:w="0" w:type="dxa"/>
        <w:tblLook w:val="04A0" w:firstRow="1" w:lastRow="0" w:firstColumn="1" w:lastColumn="0" w:noHBand="0" w:noVBand="1"/>
      </w:tblPr>
      <w:tblGrid>
        <w:gridCol w:w="3823"/>
        <w:gridCol w:w="1781"/>
        <w:gridCol w:w="3889"/>
      </w:tblGrid>
      <w:tr w:rsidR="00941963" w:rsidTr="00941963">
        <w:tc>
          <w:tcPr>
            <w:tcW w:w="3823" w:type="dxa"/>
            <w:tcBorders>
              <w:top w:val="single" w:sz="4" w:space="0" w:color="auto"/>
              <w:left w:val="single" w:sz="4" w:space="0" w:color="auto"/>
              <w:bottom w:val="single" w:sz="4" w:space="0" w:color="auto"/>
              <w:right w:val="single" w:sz="4" w:space="0" w:color="auto"/>
            </w:tcBorders>
            <w:hideMark/>
          </w:tcPr>
          <w:p w:rsidR="00941963" w:rsidRDefault="00941963">
            <w:pPr>
              <w:widowControl w:val="0"/>
              <w:tabs>
                <w:tab w:val="left" w:pos="708"/>
              </w:tabs>
              <w:autoSpaceDE w:val="0"/>
              <w:autoSpaceDN w:val="0"/>
              <w:rPr>
                <w:rFonts w:asciiTheme="majorBidi" w:hAnsiTheme="majorBidi" w:cstheme="majorBidi"/>
                <w:szCs w:val="22"/>
              </w:rPr>
            </w:pPr>
            <w:r>
              <w:rPr>
                <w:rFonts w:asciiTheme="majorBidi" w:hAnsiTheme="majorBidi"/>
                <w:b/>
              </w:rPr>
              <w:t>Systemorganklasse</w:t>
            </w:r>
          </w:p>
        </w:tc>
        <w:tc>
          <w:tcPr>
            <w:tcW w:w="1781" w:type="dxa"/>
            <w:tcBorders>
              <w:top w:val="single" w:sz="4" w:space="0" w:color="auto"/>
              <w:left w:val="single" w:sz="4" w:space="0" w:color="auto"/>
              <w:bottom w:val="single" w:sz="4" w:space="0" w:color="auto"/>
              <w:right w:val="single" w:sz="4" w:space="0" w:color="auto"/>
            </w:tcBorders>
            <w:hideMark/>
          </w:tcPr>
          <w:p w:rsidR="00941963" w:rsidRDefault="00941963">
            <w:pPr>
              <w:widowControl w:val="0"/>
              <w:tabs>
                <w:tab w:val="left" w:pos="708"/>
              </w:tabs>
              <w:autoSpaceDE w:val="0"/>
              <w:autoSpaceDN w:val="0"/>
              <w:rPr>
                <w:rFonts w:asciiTheme="majorBidi" w:hAnsiTheme="majorBidi" w:cstheme="majorBidi"/>
                <w:szCs w:val="22"/>
              </w:rPr>
            </w:pPr>
            <w:r>
              <w:rPr>
                <w:rFonts w:asciiTheme="majorBidi" w:hAnsiTheme="majorBidi"/>
                <w:b/>
              </w:rPr>
              <w:t>Hyppighed</w:t>
            </w:r>
          </w:p>
        </w:tc>
        <w:tc>
          <w:tcPr>
            <w:tcW w:w="3889" w:type="dxa"/>
            <w:tcBorders>
              <w:top w:val="single" w:sz="4" w:space="0" w:color="auto"/>
              <w:left w:val="single" w:sz="4" w:space="0" w:color="auto"/>
              <w:bottom w:val="single" w:sz="4" w:space="0" w:color="auto"/>
              <w:right w:val="single" w:sz="4" w:space="0" w:color="auto"/>
            </w:tcBorders>
            <w:hideMark/>
          </w:tcPr>
          <w:p w:rsidR="00941963" w:rsidRDefault="00941963">
            <w:pPr>
              <w:widowControl w:val="0"/>
              <w:tabs>
                <w:tab w:val="left" w:pos="708"/>
              </w:tabs>
              <w:autoSpaceDE w:val="0"/>
              <w:autoSpaceDN w:val="0"/>
              <w:rPr>
                <w:rFonts w:asciiTheme="majorBidi" w:hAnsiTheme="majorBidi" w:cstheme="majorBidi"/>
                <w:szCs w:val="22"/>
              </w:rPr>
            </w:pPr>
            <w:r>
              <w:rPr>
                <w:rFonts w:asciiTheme="majorBidi" w:hAnsiTheme="majorBidi"/>
                <w:b/>
              </w:rPr>
              <w:t>Bivirkninger</w:t>
            </w:r>
          </w:p>
        </w:tc>
      </w:tr>
      <w:tr w:rsidR="00941963" w:rsidTr="00941963">
        <w:tc>
          <w:tcPr>
            <w:tcW w:w="3823" w:type="dxa"/>
            <w:tcBorders>
              <w:top w:val="single" w:sz="4" w:space="0" w:color="auto"/>
              <w:left w:val="single" w:sz="4" w:space="0" w:color="auto"/>
              <w:bottom w:val="single" w:sz="4" w:space="0" w:color="auto"/>
              <w:right w:val="single" w:sz="4" w:space="0" w:color="auto"/>
            </w:tcBorders>
            <w:hideMark/>
          </w:tcPr>
          <w:p w:rsidR="00941963" w:rsidRDefault="00941963">
            <w:pPr>
              <w:widowControl w:val="0"/>
              <w:tabs>
                <w:tab w:val="left" w:pos="708"/>
              </w:tabs>
              <w:autoSpaceDE w:val="0"/>
              <w:autoSpaceDN w:val="0"/>
              <w:ind w:right="-186"/>
              <w:rPr>
                <w:rFonts w:asciiTheme="majorBidi" w:hAnsiTheme="majorBidi" w:cstheme="majorBidi"/>
                <w:szCs w:val="22"/>
              </w:rPr>
            </w:pPr>
            <w:r>
              <w:rPr>
                <w:rFonts w:asciiTheme="majorBidi" w:hAnsiTheme="majorBidi"/>
                <w:i/>
              </w:rPr>
              <w:t>Nervesystemet</w:t>
            </w:r>
          </w:p>
        </w:tc>
        <w:tc>
          <w:tcPr>
            <w:tcW w:w="1781" w:type="dxa"/>
            <w:tcBorders>
              <w:top w:val="single" w:sz="4" w:space="0" w:color="auto"/>
              <w:left w:val="single" w:sz="4" w:space="0" w:color="auto"/>
              <w:bottom w:val="single" w:sz="4" w:space="0" w:color="auto"/>
              <w:right w:val="single" w:sz="4" w:space="0" w:color="auto"/>
            </w:tcBorders>
            <w:hideMark/>
          </w:tcPr>
          <w:p w:rsidR="00941963" w:rsidRDefault="00941963">
            <w:pPr>
              <w:widowControl w:val="0"/>
              <w:tabs>
                <w:tab w:val="left" w:pos="708"/>
              </w:tabs>
              <w:autoSpaceDE w:val="0"/>
              <w:autoSpaceDN w:val="0"/>
              <w:rPr>
                <w:rFonts w:asciiTheme="majorBidi" w:hAnsiTheme="majorBidi" w:cstheme="majorBidi"/>
                <w:szCs w:val="22"/>
              </w:rPr>
            </w:pPr>
            <w:r>
              <w:rPr>
                <w:rFonts w:asciiTheme="majorBidi" w:hAnsiTheme="majorBidi"/>
              </w:rPr>
              <w:t>Ikke almindelig</w:t>
            </w:r>
          </w:p>
        </w:tc>
        <w:tc>
          <w:tcPr>
            <w:tcW w:w="3889" w:type="dxa"/>
            <w:tcBorders>
              <w:top w:val="single" w:sz="4" w:space="0" w:color="auto"/>
              <w:left w:val="single" w:sz="4" w:space="0" w:color="auto"/>
              <w:bottom w:val="single" w:sz="4" w:space="0" w:color="auto"/>
              <w:right w:val="single" w:sz="4" w:space="0" w:color="auto"/>
            </w:tcBorders>
            <w:hideMark/>
          </w:tcPr>
          <w:p w:rsidR="00941963" w:rsidRDefault="00941963">
            <w:pPr>
              <w:widowControl w:val="0"/>
              <w:tabs>
                <w:tab w:val="left" w:pos="708"/>
              </w:tabs>
              <w:autoSpaceDE w:val="0"/>
              <w:autoSpaceDN w:val="0"/>
              <w:rPr>
                <w:rFonts w:asciiTheme="majorBidi" w:hAnsiTheme="majorBidi" w:cstheme="majorBidi"/>
                <w:szCs w:val="22"/>
              </w:rPr>
            </w:pPr>
            <w:r>
              <w:rPr>
                <w:rFonts w:asciiTheme="majorBidi" w:hAnsiTheme="majorBidi"/>
              </w:rPr>
              <w:t>Hovedpine, svimmelhed og paræstesi</w:t>
            </w:r>
          </w:p>
        </w:tc>
      </w:tr>
      <w:tr w:rsidR="00941963" w:rsidTr="00941963">
        <w:tc>
          <w:tcPr>
            <w:tcW w:w="3823" w:type="dxa"/>
            <w:tcBorders>
              <w:top w:val="single" w:sz="4" w:space="0" w:color="auto"/>
              <w:left w:val="single" w:sz="4" w:space="0" w:color="auto"/>
              <w:bottom w:val="single" w:sz="4" w:space="0" w:color="auto"/>
              <w:right w:val="single" w:sz="4" w:space="0" w:color="auto"/>
            </w:tcBorders>
            <w:hideMark/>
          </w:tcPr>
          <w:p w:rsidR="00941963" w:rsidRDefault="00941963">
            <w:pPr>
              <w:widowControl w:val="0"/>
              <w:tabs>
                <w:tab w:val="left" w:pos="708"/>
              </w:tabs>
              <w:autoSpaceDE w:val="0"/>
              <w:autoSpaceDN w:val="0"/>
              <w:rPr>
                <w:rFonts w:asciiTheme="majorBidi" w:hAnsiTheme="majorBidi" w:cstheme="majorBidi"/>
                <w:szCs w:val="22"/>
              </w:rPr>
            </w:pPr>
            <w:r>
              <w:rPr>
                <w:rFonts w:asciiTheme="majorBidi" w:hAnsiTheme="majorBidi"/>
                <w:i/>
              </w:rPr>
              <w:t>Øre og labyrint</w:t>
            </w:r>
          </w:p>
        </w:tc>
        <w:tc>
          <w:tcPr>
            <w:tcW w:w="1781" w:type="dxa"/>
            <w:tcBorders>
              <w:top w:val="single" w:sz="4" w:space="0" w:color="auto"/>
              <w:left w:val="single" w:sz="4" w:space="0" w:color="auto"/>
              <w:bottom w:val="single" w:sz="4" w:space="0" w:color="auto"/>
              <w:right w:val="single" w:sz="4" w:space="0" w:color="auto"/>
            </w:tcBorders>
            <w:hideMark/>
          </w:tcPr>
          <w:p w:rsidR="00941963" w:rsidRDefault="00941963">
            <w:pPr>
              <w:widowControl w:val="0"/>
              <w:tabs>
                <w:tab w:val="left" w:pos="708"/>
              </w:tabs>
              <w:autoSpaceDE w:val="0"/>
              <w:autoSpaceDN w:val="0"/>
              <w:rPr>
                <w:rFonts w:asciiTheme="majorBidi" w:hAnsiTheme="majorBidi" w:cstheme="majorBidi"/>
                <w:szCs w:val="22"/>
              </w:rPr>
            </w:pPr>
            <w:r>
              <w:rPr>
                <w:rFonts w:asciiTheme="majorBidi" w:hAnsiTheme="majorBidi"/>
              </w:rPr>
              <w:t>Ikke almindelig</w:t>
            </w:r>
          </w:p>
        </w:tc>
        <w:tc>
          <w:tcPr>
            <w:tcW w:w="3889" w:type="dxa"/>
            <w:tcBorders>
              <w:top w:val="single" w:sz="4" w:space="0" w:color="auto"/>
              <w:left w:val="single" w:sz="4" w:space="0" w:color="auto"/>
              <w:bottom w:val="single" w:sz="4" w:space="0" w:color="auto"/>
              <w:right w:val="single" w:sz="4" w:space="0" w:color="auto"/>
            </w:tcBorders>
            <w:hideMark/>
          </w:tcPr>
          <w:p w:rsidR="00941963" w:rsidRDefault="00941963">
            <w:pPr>
              <w:widowControl w:val="0"/>
              <w:tabs>
                <w:tab w:val="left" w:pos="708"/>
              </w:tabs>
              <w:autoSpaceDE w:val="0"/>
              <w:autoSpaceDN w:val="0"/>
              <w:rPr>
                <w:rFonts w:asciiTheme="majorBidi" w:hAnsiTheme="majorBidi" w:cstheme="majorBidi"/>
                <w:szCs w:val="22"/>
              </w:rPr>
            </w:pPr>
            <w:r>
              <w:rPr>
                <w:rFonts w:asciiTheme="majorBidi" w:hAnsiTheme="majorBidi"/>
              </w:rPr>
              <w:t>Perforeret trommehinde, øresmerter, tinnitus</w:t>
            </w:r>
          </w:p>
        </w:tc>
      </w:tr>
      <w:tr w:rsidR="00941963" w:rsidTr="00941963">
        <w:tc>
          <w:tcPr>
            <w:tcW w:w="3823" w:type="dxa"/>
            <w:tcBorders>
              <w:top w:val="single" w:sz="4" w:space="0" w:color="auto"/>
              <w:left w:val="single" w:sz="4" w:space="0" w:color="auto"/>
              <w:bottom w:val="single" w:sz="4" w:space="0" w:color="auto"/>
              <w:right w:val="single" w:sz="4" w:space="0" w:color="auto"/>
            </w:tcBorders>
            <w:hideMark/>
          </w:tcPr>
          <w:p w:rsidR="00941963" w:rsidRDefault="00941963">
            <w:pPr>
              <w:widowControl w:val="0"/>
              <w:tabs>
                <w:tab w:val="left" w:pos="708"/>
              </w:tabs>
              <w:autoSpaceDE w:val="0"/>
              <w:autoSpaceDN w:val="0"/>
              <w:rPr>
                <w:rFonts w:asciiTheme="majorBidi" w:hAnsiTheme="majorBidi" w:cstheme="majorBidi"/>
                <w:szCs w:val="22"/>
              </w:rPr>
            </w:pPr>
            <w:r>
              <w:rPr>
                <w:rFonts w:asciiTheme="majorBidi" w:hAnsiTheme="majorBidi"/>
                <w:i/>
              </w:rPr>
              <w:t>Almene symptomer og reaktioner på administrationsstedet</w:t>
            </w:r>
          </w:p>
        </w:tc>
        <w:tc>
          <w:tcPr>
            <w:tcW w:w="1781" w:type="dxa"/>
            <w:tcBorders>
              <w:top w:val="single" w:sz="4" w:space="0" w:color="auto"/>
              <w:left w:val="single" w:sz="4" w:space="0" w:color="auto"/>
              <w:bottom w:val="single" w:sz="4" w:space="0" w:color="auto"/>
              <w:right w:val="single" w:sz="4" w:space="0" w:color="auto"/>
            </w:tcBorders>
            <w:hideMark/>
          </w:tcPr>
          <w:p w:rsidR="00941963" w:rsidRDefault="00941963">
            <w:pPr>
              <w:widowControl w:val="0"/>
              <w:tabs>
                <w:tab w:val="left" w:pos="708"/>
              </w:tabs>
              <w:autoSpaceDE w:val="0"/>
              <w:autoSpaceDN w:val="0"/>
              <w:rPr>
                <w:rFonts w:asciiTheme="majorBidi" w:hAnsiTheme="majorBidi" w:cstheme="majorBidi"/>
                <w:szCs w:val="22"/>
              </w:rPr>
            </w:pPr>
            <w:r>
              <w:rPr>
                <w:rFonts w:asciiTheme="majorBidi" w:hAnsiTheme="majorBidi"/>
              </w:rPr>
              <w:t>Ikke almindelig</w:t>
            </w:r>
          </w:p>
        </w:tc>
        <w:tc>
          <w:tcPr>
            <w:tcW w:w="3889" w:type="dxa"/>
            <w:tcBorders>
              <w:top w:val="single" w:sz="4" w:space="0" w:color="auto"/>
              <w:left w:val="single" w:sz="4" w:space="0" w:color="auto"/>
              <w:bottom w:val="single" w:sz="4" w:space="0" w:color="auto"/>
              <w:right w:val="single" w:sz="4" w:space="0" w:color="auto"/>
            </w:tcBorders>
            <w:hideMark/>
          </w:tcPr>
          <w:p w:rsidR="00941963" w:rsidRDefault="00941963">
            <w:pPr>
              <w:widowControl w:val="0"/>
              <w:tabs>
                <w:tab w:val="left" w:pos="708"/>
              </w:tabs>
              <w:autoSpaceDE w:val="0"/>
              <w:autoSpaceDN w:val="0"/>
              <w:rPr>
                <w:rFonts w:asciiTheme="majorBidi" w:hAnsiTheme="majorBidi" w:cstheme="majorBidi"/>
                <w:szCs w:val="22"/>
              </w:rPr>
            </w:pPr>
            <w:r>
              <w:rPr>
                <w:rFonts w:asciiTheme="majorBidi" w:hAnsiTheme="majorBidi"/>
              </w:rPr>
              <w:t>Smerter på indgivelsesstedet</w:t>
            </w:r>
          </w:p>
        </w:tc>
      </w:tr>
    </w:tbl>
    <w:p w:rsidR="00941963" w:rsidRPr="00941963" w:rsidRDefault="00941963" w:rsidP="00941963">
      <w:pPr>
        <w:widowControl w:val="0"/>
        <w:tabs>
          <w:tab w:val="left" w:pos="1304"/>
        </w:tabs>
        <w:autoSpaceDE w:val="0"/>
        <w:autoSpaceDN w:val="0"/>
        <w:ind w:left="851"/>
        <w:rPr>
          <w:rFonts w:asciiTheme="majorBidi" w:hAnsiTheme="majorBidi" w:cstheme="majorBidi"/>
          <w:b/>
          <w:sz w:val="24"/>
          <w:szCs w:val="24"/>
        </w:rPr>
      </w:pPr>
    </w:p>
    <w:p w:rsidR="00941963" w:rsidRPr="00941963" w:rsidRDefault="00941963" w:rsidP="00941963">
      <w:pPr>
        <w:widowControl w:val="0"/>
        <w:tabs>
          <w:tab w:val="left" w:pos="1304"/>
        </w:tabs>
        <w:autoSpaceDE w:val="0"/>
        <w:autoSpaceDN w:val="0"/>
        <w:ind w:left="851"/>
        <w:rPr>
          <w:rFonts w:asciiTheme="majorBidi" w:hAnsiTheme="majorBidi" w:cstheme="majorBidi"/>
          <w:sz w:val="24"/>
          <w:szCs w:val="24"/>
        </w:rPr>
      </w:pPr>
      <w:r w:rsidRPr="00941963">
        <w:rPr>
          <w:rFonts w:asciiTheme="majorBidi" w:hAnsiTheme="majorBidi"/>
          <w:sz w:val="24"/>
          <w:szCs w:val="24"/>
          <w:u w:val="single"/>
        </w:rPr>
        <w:t>Indberetning af formodede bivirkninger</w:t>
      </w:r>
    </w:p>
    <w:p w:rsidR="00941963" w:rsidRPr="00941963" w:rsidRDefault="00941963" w:rsidP="00941963">
      <w:pPr>
        <w:autoSpaceDE w:val="0"/>
        <w:autoSpaceDN w:val="0"/>
        <w:adjustRightInd w:val="0"/>
        <w:ind w:left="851"/>
        <w:rPr>
          <w:rFonts w:asciiTheme="majorBidi" w:hAnsiTheme="majorBidi"/>
          <w:sz w:val="24"/>
          <w:szCs w:val="24"/>
        </w:rPr>
      </w:pPr>
      <w:r w:rsidRPr="00941963">
        <w:rPr>
          <w:rFonts w:asciiTheme="majorBidi" w:hAnsiTheme="majorBidi"/>
          <w:sz w:val="24"/>
          <w:szCs w:val="24"/>
        </w:rPr>
        <w:t>Når lægemidlet er godkendt, er indberetning af formodede bivirkninger vigtig. Det muliggør løbende overvågning af benefit/risk-forholdet for lægemidlet. Sundhedspersoner anmodes om at indberette alle formodede bivirkninger via:</w:t>
      </w:r>
    </w:p>
    <w:p w:rsidR="00941963" w:rsidRPr="00941963" w:rsidRDefault="00941963" w:rsidP="00941963">
      <w:pPr>
        <w:autoSpaceDE w:val="0"/>
        <w:autoSpaceDN w:val="0"/>
        <w:adjustRightInd w:val="0"/>
        <w:ind w:left="851"/>
        <w:rPr>
          <w:rFonts w:asciiTheme="majorBidi" w:hAnsiTheme="majorBidi"/>
          <w:sz w:val="24"/>
          <w:szCs w:val="24"/>
        </w:rPr>
      </w:pPr>
    </w:p>
    <w:p w:rsidR="00941963" w:rsidRPr="00941963" w:rsidRDefault="00941963" w:rsidP="00941963">
      <w:pPr>
        <w:autoSpaceDE w:val="0"/>
        <w:autoSpaceDN w:val="0"/>
        <w:adjustRightInd w:val="0"/>
        <w:ind w:left="851"/>
        <w:rPr>
          <w:rFonts w:asciiTheme="majorBidi" w:hAnsiTheme="majorBidi"/>
          <w:sz w:val="24"/>
          <w:szCs w:val="24"/>
        </w:rPr>
      </w:pPr>
      <w:r w:rsidRPr="00941963">
        <w:rPr>
          <w:rFonts w:asciiTheme="majorBidi" w:hAnsiTheme="majorBidi"/>
          <w:sz w:val="24"/>
          <w:szCs w:val="24"/>
        </w:rPr>
        <w:t>Lægemiddelstyrelsen</w:t>
      </w:r>
    </w:p>
    <w:p w:rsidR="00941963" w:rsidRPr="00941963" w:rsidRDefault="00941963" w:rsidP="00941963">
      <w:pPr>
        <w:autoSpaceDE w:val="0"/>
        <w:autoSpaceDN w:val="0"/>
        <w:adjustRightInd w:val="0"/>
        <w:ind w:left="851"/>
        <w:rPr>
          <w:rFonts w:asciiTheme="majorBidi" w:hAnsiTheme="majorBidi"/>
          <w:sz w:val="24"/>
          <w:szCs w:val="24"/>
        </w:rPr>
      </w:pPr>
      <w:r w:rsidRPr="00941963">
        <w:rPr>
          <w:rFonts w:asciiTheme="majorBidi" w:hAnsiTheme="majorBidi"/>
          <w:sz w:val="24"/>
          <w:szCs w:val="24"/>
        </w:rPr>
        <w:t>Axel Heides Gade 1</w:t>
      </w:r>
    </w:p>
    <w:p w:rsidR="00941963" w:rsidRPr="00941963" w:rsidRDefault="00941963" w:rsidP="00941963">
      <w:pPr>
        <w:autoSpaceDE w:val="0"/>
        <w:autoSpaceDN w:val="0"/>
        <w:adjustRightInd w:val="0"/>
        <w:ind w:left="851"/>
        <w:rPr>
          <w:rFonts w:asciiTheme="majorBidi" w:hAnsiTheme="majorBidi"/>
          <w:sz w:val="24"/>
          <w:szCs w:val="24"/>
        </w:rPr>
      </w:pPr>
      <w:r w:rsidRPr="00941963">
        <w:rPr>
          <w:rFonts w:asciiTheme="majorBidi" w:hAnsiTheme="majorBidi"/>
          <w:sz w:val="24"/>
          <w:szCs w:val="24"/>
        </w:rPr>
        <w:t>DK-2300 København S</w:t>
      </w:r>
    </w:p>
    <w:p w:rsidR="00941963" w:rsidRPr="00941963" w:rsidRDefault="00941963" w:rsidP="00941963">
      <w:pPr>
        <w:autoSpaceDE w:val="0"/>
        <w:autoSpaceDN w:val="0"/>
        <w:adjustRightInd w:val="0"/>
        <w:ind w:left="851"/>
        <w:rPr>
          <w:rFonts w:asciiTheme="majorBidi" w:hAnsiTheme="majorBidi" w:cstheme="majorBidi"/>
          <w:sz w:val="24"/>
          <w:szCs w:val="24"/>
        </w:rPr>
      </w:pPr>
      <w:r w:rsidRPr="00941963">
        <w:rPr>
          <w:rFonts w:asciiTheme="majorBidi" w:hAnsiTheme="majorBidi"/>
          <w:sz w:val="24"/>
          <w:szCs w:val="24"/>
        </w:rPr>
        <w:t>Websted: www.meldenbivirkning.dk.</w:t>
      </w:r>
    </w:p>
    <w:p w:rsidR="009260DE" w:rsidRPr="00941963" w:rsidRDefault="009260DE" w:rsidP="0094196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3C6533" w:rsidRPr="003C6533" w:rsidRDefault="003C6533" w:rsidP="003C6533">
      <w:pPr>
        <w:tabs>
          <w:tab w:val="left" w:pos="851"/>
        </w:tabs>
        <w:ind w:left="851"/>
        <w:rPr>
          <w:sz w:val="24"/>
          <w:szCs w:val="24"/>
        </w:rPr>
      </w:pPr>
      <w:r w:rsidRPr="003C6533">
        <w:rPr>
          <w:sz w:val="24"/>
          <w:szCs w:val="24"/>
        </w:rPr>
        <w:t xml:space="preserve">Der er ikke rapporteret tilfælde af overdosering efter administration af clotrimazol i ørerne. Overdosering med Clotic er usandsynlig på grund af den lille størrelse af  enkeltdosisbeholderen.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3C6533"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1B3F3A" w:rsidRPr="001B3F3A" w:rsidRDefault="001B3F3A" w:rsidP="001B3F3A">
      <w:pPr>
        <w:widowControl w:val="0"/>
        <w:tabs>
          <w:tab w:val="left" w:pos="1304"/>
        </w:tabs>
        <w:autoSpaceDE w:val="0"/>
        <w:autoSpaceDN w:val="0"/>
        <w:ind w:left="851"/>
        <w:rPr>
          <w:rFonts w:asciiTheme="majorBidi" w:hAnsiTheme="majorBidi" w:cstheme="majorBidi"/>
          <w:sz w:val="24"/>
          <w:szCs w:val="24"/>
        </w:rPr>
      </w:pPr>
      <w:r w:rsidRPr="001B3F3A">
        <w:rPr>
          <w:rFonts w:asciiTheme="majorBidi" w:hAnsiTheme="majorBidi"/>
          <w:sz w:val="24"/>
          <w:szCs w:val="24"/>
        </w:rPr>
        <w:t>Farmakoterapeutisk klassifikation: Antiinfektiva</w:t>
      </w:r>
      <w:r>
        <w:rPr>
          <w:rFonts w:asciiTheme="majorBidi" w:hAnsiTheme="majorBidi"/>
          <w:sz w:val="24"/>
          <w:szCs w:val="24"/>
        </w:rPr>
        <w:t xml:space="preserve">, </w:t>
      </w:r>
      <w:r w:rsidRPr="001B3F3A">
        <w:rPr>
          <w:rFonts w:asciiTheme="majorBidi" w:hAnsiTheme="majorBidi"/>
          <w:sz w:val="24"/>
          <w:szCs w:val="24"/>
        </w:rPr>
        <w:t>ATC-kode: S02AA</w:t>
      </w:r>
      <w:r>
        <w:rPr>
          <w:rFonts w:asciiTheme="majorBidi" w:hAnsiTheme="majorBidi"/>
          <w:sz w:val="24"/>
          <w:szCs w:val="24"/>
        </w:rPr>
        <w:t>.</w:t>
      </w:r>
    </w:p>
    <w:p w:rsidR="001B3F3A" w:rsidRPr="001B3F3A" w:rsidRDefault="001B3F3A" w:rsidP="001B3F3A">
      <w:pPr>
        <w:widowControl w:val="0"/>
        <w:tabs>
          <w:tab w:val="left" w:pos="1304"/>
        </w:tabs>
        <w:autoSpaceDE w:val="0"/>
        <w:autoSpaceDN w:val="0"/>
        <w:ind w:left="851"/>
        <w:rPr>
          <w:rFonts w:asciiTheme="majorBidi" w:hAnsiTheme="majorBidi" w:cstheme="majorBidi"/>
          <w:sz w:val="24"/>
          <w:szCs w:val="24"/>
        </w:rPr>
      </w:pPr>
    </w:p>
    <w:p w:rsidR="001B3F3A" w:rsidRPr="001B3F3A" w:rsidRDefault="001B3F3A" w:rsidP="001B3F3A">
      <w:pPr>
        <w:widowControl w:val="0"/>
        <w:tabs>
          <w:tab w:val="left" w:pos="1304"/>
        </w:tabs>
        <w:autoSpaceDE w:val="0"/>
        <w:autoSpaceDN w:val="0"/>
        <w:ind w:left="851"/>
        <w:rPr>
          <w:rFonts w:asciiTheme="majorBidi" w:hAnsiTheme="majorBidi" w:cstheme="majorBidi"/>
          <w:sz w:val="24"/>
          <w:szCs w:val="24"/>
        </w:rPr>
      </w:pPr>
      <w:r w:rsidRPr="001B3F3A">
        <w:rPr>
          <w:rFonts w:asciiTheme="majorBidi" w:hAnsiTheme="majorBidi"/>
          <w:sz w:val="24"/>
          <w:szCs w:val="24"/>
          <w:u w:val="single"/>
        </w:rPr>
        <w:t>Virkningsmekanisme</w:t>
      </w:r>
    </w:p>
    <w:p w:rsidR="001B3F3A" w:rsidRPr="001B3F3A" w:rsidRDefault="001B3F3A" w:rsidP="001B3F3A">
      <w:pPr>
        <w:widowControl w:val="0"/>
        <w:tabs>
          <w:tab w:val="left" w:pos="1304"/>
        </w:tabs>
        <w:autoSpaceDE w:val="0"/>
        <w:autoSpaceDN w:val="0"/>
        <w:ind w:left="851"/>
        <w:rPr>
          <w:rFonts w:asciiTheme="majorBidi" w:hAnsiTheme="majorBidi" w:cstheme="majorBidi"/>
          <w:sz w:val="24"/>
          <w:szCs w:val="24"/>
        </w:rPr>
      </w:pPr>
      <w:r w:rsidRPr="001B3F3A">
        <w:rPr>
          <w:rFonts w:asciiTheme="majorBidi" w:hAnsiTheme="majorBidi"/>
          <w:sz w:val="24"/>
          <w:szCs w:val="24"/>
        </w:rPr>
        <w:t>Clotrimazol er et imidazolderivat, der virker mod svamp ved at hæmme ergosterolsyntesen. Hæmning af ergosterolsyntesen fører til strukturel og funktionel svækkelse af svampens cytoplasmamembran.</w:t>
      </w:r>
    </w:p>
    <w:p w:rsidR="001B3F3A" w:rsidRPr="001B3F3A" w:rsidRDefault="001B3F3A" w:rsidP="001B3F3A">
      <w:pPr>
        <w:widowControl w:val="0"/>
        <w:tabs>
          <w:tab w:val="left" w:pos="1304"/>
        </w:tabs>
        <w:autoSpaceDE w:val="0"/>
        <w:autoSpaceDN w:val="0"/>
        <w:ind w:left="851"/>
        <w:rPr>
          <w:rFonts w:asciiTheme="majorBidi" w:hAnsiTheme="majorBidi" w:cstheme="majorBidi"/>
          <w:sz w:val="24"/>
          <w:szCs w:val="24"/>
        </w:rPr>
      </w:pPr>
    </w:p>
    <w:p w:rsidR="001B3F3A" w:rsidRPr="001B3F3A" w:rsidRDefault="001B3F3A" w:rsidP="001B3F3A">
      <w:pPr>
        <w:widowControl w:val="0"/>
        <w:tabs>
          <w:tab w:val="left" w:pos="1304"/>
        </w:tabs>
        <w:autoSpaceDE w:val="0"/>
        <w:autoSpaceDN w:val="0"/>
        <w:ind w:left="851"/>
        <w:rPr>
          <w:rFonts w:asciiTheme="majorBidi" w:hAnsiTheme="majorBidi" w:cstheme="majorBidi"/>
          <w:sz w:val="24"/>
          <w:szCs w:val="24"/>
        </w:rPr>
      </w:pPr>
      <w:r w:rsidRPr="001B3F3A">
        <w:rPr>
          <w:rFonts w:asciiTheme="majorBidi" w:hAnsiTheme="majorBidi"/>
          <w:sz w:val="24"/>
          <w:szCs w:val="24"/>
        </w:rPr>
        <w:t xml:space="preserve">Clotrimazols virkemåde er primært fungistatisk eller fungicid afhængigt af koncentrationen af clotrimazol på infektionsstedet. Der er påvist tilstrækkelig </w:t>
      </w:r>
      <w:r w:rsidRPr="001B3F3A">
        <w:rPr>
          <w:rFonts w:asciiTheme="majorBidi" w:hAnsiTheme="majorBidi"/>
          <w:i/>
          <w:sz w:val="24"/>
          <w:szCs w:val="24"/>
        </w:rPr>
        <w:t>in vitro</w:t>
      </w:r>
      <w:r w:rsidRPr="001B3F3A">
        <w:rPr>
          <w:rFonts w:asciiTheme="majorBidi" w:hAnsiTheme="majorBidi"/>
          <w:sz w:val="24"/>
          <w:szCs w:val="24"/>
        </w:rPr>
        <w:t>-aktivitet mod prolifererende svampepartikler, men ikke mod svampesporer.</w:t>
      </w:r>
    </w:p>
    <w:p w:rsidR="001B3F3A" w:rsidRPr="001B3F3A" w:rsidRDefault="001B3F3A" w:rsidP="001B3F3A">
      <w:pPr>
        <w:widowControl w:val="0"/>
        <w:tabs>
          <w:tab w:val="left" w:pos="1304"/>
        </w:tabs>
        <w:autoSpaceDE w:val="0"/>
        <w:autoSpaceDN w:val="0"/>
        <w:ind w:left="851"/>
        <w:rPr>
          <w:rFonts w:asciiTheme="majorBidi" w:hAnsiTheme="majorBidi" w:cstheme="majorBidi"/>
          <w:sz w:val="24"/>
          <w:szCs w:val="24"/>
        </w:rPr>
      </w:pPr>
      <w:r w:rsidRPr="001B3F3A">
        <w:rPr>
          <w:rFonts w:asciiTheme="majorBidi" w:hAnsiTheme="majorBidi"/>
          <w:sz w:val="24"/>
          <w:szCs w:val="24"/>
        </w:rPr>
        <w:t xml:space="preserve"> </w:t>
      </w:r>
    </w:p>
    <w:p w:rsidR="001B3F3A" w:rsidRPr="001B3F3A" w:rsidRDefault="001B3F3A" w:rsidP="001B3F3A">
      <w:pPr>
        <w:widowControl w:val="0"/>
        <w:tabs>
          <w:tab w:val="left" w:pos="1304"/>
        </w:tabs>
        <w:autoSpaceDE w:val="0"/>
        <w:autoSpaceDN w:val="0"/>
        <w:ind w:left="851"/>
        <w:rPr>
          <w:rFonts w:asciiTheme="majorBidi" w:hAnsiTheme="majorBidi" w:cstheme="majorBidi"/>
          <w:sz w:val="24"/>
          <w:szCs w:val="24"/>
        </w:rPr>
      </w:pPr>
      <w:r w:rsidRPr="001B3F3A">
        <w:rPr>
          <w:rFonts w:asciiTheme="majorBidi" w:hAnsiTheme="majorBidi"/>
          <w:sz w:val="24"/>
          <w:szCs w:val="24"/>
          <w:u w:val="single"/>
        </w:rPr>
        <w:t>Klinisk virkning og sikkerhed</w:t>
      </w:r>
    </w:p>
    <w:p w:rsidR="001B3F3A" w:rsidRPr="001B3F3A" w:rsidRDefault="001B3F3A" w:rsidP="001B3F3A">
      <w:pPr>
        <w:shd w:val="clear" w:color="auto" w:fill="FFFFFF" w:themeFill="background1"/>
        <w:tabs>
          <w:tab w:val="left" w:pos="1304"/>
        </w:tabs>
        <w:ind w:left="851"/>
        <w:rPr>
          <w:rFonts w:asciiTheme="majorBidi" w:eastAsia="Calibri" w:hAnsiTheme="majorBidi" w:cstheme="majorBidi"/>
          <w:bCs/>
          <w:iCs/>
          <w:sz w:val="24"/>
          <w:szCs w:val="24"/>
        </w:rPr>
      </w:pPr>
      <w:r w:rsidRPr="001B3F3A">
        <w:rPr>
          <w:rFonts w:asciiTheme="majorBidi" w:hAnsiTheme="majorBidi"/>
          <w:sz w:val="24"/>
          <w:szCs w:val="24"/>
        </w:rPr>
        <w:t>Virkningen og sikkerheden ved Clotic blev evalueret i to randomiserede, dobbeltblinde, placebokontrollerede multicenterstudier med voksne patienter med otomykose (CLEAR- 1 og CLEAR- 2-studier). Patienter med perforeret trommehinde, indsatte tympanostomirør eller postmastoid kirurgi blev udelukket fra disse studier. Behandlingsregimet bestod af 1 enkeltdosisbeholder med Clotic givet to gange dagligt i en periode på 14 dage.</w:t>
      </w:r>
    </w:p>
    <w:p w:rsidR="001B3F3A" w:rsidRPr="001B3F3A" w:rsidRDefault="001B3F3A" w:rsidP="001B3F3A">
      <w:pPr>
        <w:shd w:val="clear" w:color="auto" w:fill="FFFFFF" w:themeFill="background1"/>
        <w:tabs>
          <w:tab w:val="left" w:pos="1304"/>
        </w:tabs>
        <w:ind w:left="851"/>
        <w:rPr>
          <w:rFonts w:asciiTheme="majorBidi" w:eastAsia="Calibri" w:hAnsiTheme="majorBidi" w:cstheme="majorBidi"/>
          <w:bCs/>
          <w:iCs/>
          <w:sz w:val="24"/>
          <w:szCs w:val="24"/>
        </w:rPr>
      </w:pPr>
    </w:p>
    <w:p w:rsidR="001B3F3A" w:rsidRPr="001B3F3A" w:rsidRDefault="001B3F3A" w:rsidP="001B3F3A">
      <w:pPr>
        <w:shd w:val="clear" w:color="auto" w:fill="FFFFFF" w:themeFill="background1"/>
        <w:tabs>
          <w:tab w:val="left" w:pos="1304"/>
        </w:tabs>
        <w:ind w:left="851"/>
        <w:rPr>
          <w:rFonts w:asciiTheme="majorBidi" w:eastAsia="Calibri" w:hAnsiTheme="majorBidi" w:cstheme="majorBidi"/>
          <w:bCs/>
          <w:iCs/>
          <w:sz w:val="24"/>
          <w:szCs w:val="24"/>
        </w:rPr>
      </w:pPr>
      <w:r w:rsidRPr="001B3F3A">
        <w:rPr>
          <w:rFonts w:asciiTheme="majorBidi" w:hAnsiTheme="majorBidi"/>
          <w:sz w:val="24"/>
          <w:szCs w:val="24"/>
        </w:rPr>
        <w:t>Ud af de 394 deltagende patienter viste 228 patienter (157 i clotrimazolgruppen og 71 i placebogruppen) en positiv celledyrkning for et svampepatogen ved baseline (mykologisk intent-to-treat [MITT] population). I MITT- populationen var medianalderen 53 år (i området 19 til 89 år), 33 % af patienterne var 65 år eller ældre og 54 % var mænd. Med hensyn til race var 86 % hvide, og med hensyn til etnisk tilhørsforhold var 28 % af latinamerikansk herkomst.</w:t>
      </w:r>
    </w:p>
    <w:p w:rsidR="001B3F3A" w:rsidRPr="001B3F3A" w:rsidRDefault="001B3F3A" w:rsidP="001B3F3A">
      <w:pPr>
        <w:shd w:val="clear" w:color="auto" w:fill="FFFFFF" w:themeFill="background1"/>
        <w:tabs>
          <w:tab w:val="left" w:pos="1304"/>
        </w:tabs>
        <w:ind w:left="851"/>
        <w:rPr>
          <w:rFonts w:asciiTheme="majorBidi" w:eastAsia="Calibri" w:hAnsiTheme="majorBidi" w:cstheme="majorBidi"/>
          <w:bCs/>
          <w:iCs/>
          <w:sz w:val="24"/>
          <w:szCs w:val="24"/>
        </w:rPr>
      </w:pPr>
      <w:r w:rsidRPr="001B3F3A">
        <w:rPr>
          <w:rFonts w:asciiTheme="majorBidi" w:hAnsiTheme="majorBidi"/>
          <w:sz w:val="24"/>
          <w:szCs w:val="24"/>
        </w:rPr>
        <w:t xml:space="preserve">Basispatogenet var </w:t>
      </w:r>
      <w:r w:rsidRPr="001B3F3A">
        <w:rPr>
          <w:rFonts w:asciiTheme="majorBidi" w:hAnsiTheme="majorBidi"/>
          <w:bCs/>
          <w:i/>
          <w:iCs/>
          <w:sz w:val="24"/>
          <w:szCs w:val="24"/>
        </w:rPr>
        <w:t xml:space="preserve">Aspergillus </w:t>
      </w:r>
      <w:r w:rsidRPr="001B3F3A">
        <w:rPr>
          <w:rFonts w:asciiTheme="majorBidi" w:hAnsiTheme="majorBidi"/>
          <w:sz w:val="24"/>
          <w:szCs w:val="24"/>
        </w:rPr>
        <w:t xml:space="preserve">spp. Hos 73,7 % af patienterne og </w:t>
      </w:r>
      <w:r w:rsidRPr="001B3F3A">
        <w:rPr>
          <w:rFonts w:asciiTheme="majorBidi" w:hAnsiTheme="majorBidi"/>
          <w:bCs/>
          <w:i/>
          <w:iCs/>
          <w:sz w:val="24"/>
          <w:szCs w:val="24"/>
        </w:rPr>
        <w:t xml:space="preserve">Candida </w:t>
      </w:r>
      <w:r w:rsidRPr="001B3F3A">
        <w:rPr>
          <w:rFonts w:asciiTheme="majorBidi" w:hAnsiTheme="majorBidi"/>
          <w:sz w:val="24"/>
          <w:szCs w:val="24"/>
        </w:rPr>
        <w:t>spp. hos 47,4 % af patienterne (nogle patienter havde mere end ét patogen ved baseline). Hos 79,4 % af patienterne var baselinedyrkningen positiv for både svampe- og bakteriepatogener. Enogtyve procent (21 %) af patienterne havde bilateral otomykose.</w:t>
      </w:r>
    </w:p>
    <w:p w:rsidR="001B3F3A" w:rsidRPr="001B3F3A" w:rsidRDefault="001B3F3A" w:rsidP="001B3F3A">
      <w:pPr>
        <w:shd w:val="clear" w:color="auto" w:fill="FFFFFF" w:themeFill="background1"/>
        <w:tabs>
          <w:tab w:val="left" w:pos="1304"/>
        </w:tabs>
        <w:ind w:left="851"/>
        <w:rPr>
          <w:rFonts w:asciiTheme="majorBidi" w:eastAsia="Calibri" w:hAnsiTheme="majorBidi" w:cstheme="majorBidi"/>
          <w:bCs/>
          <w:iCs/>
          <w:sz w:val="24"/>
          <w:szCs w:val="24"/>
        </w:rPr>
      </w:pPr>
    </w:p>
    <w:p w:rsidR="001B3F3A" w:rsidRPr="001B3F3A" w:rsidRDefault="001B3F3A" w:rsidP="001B3F3A">
      <w:pPr>
        <w:tabs>
          <w:tab w:val="left" w:pos="1304"/>
        </w:tabs>
        <w:autoSpaceDE w:val="0"/>
        <w:autoSpaceDN w:val="0"/>
        <w:adjustRightInd w:val="0"/>
        <w:ind w:left="851"/>
        <w:rPr>
          <w:rFonts w:asciiTheme="majorBidi" w:eastAsia="Calibri" w:hAnsiTheme="majorBidi" w:cstheme="majorBidi"/>
          <w:sz w:val="24"/>
          <w:szCs w:val="24"/>
        </w:rPr>
      </w:pPr>
      <w:r w:rsidRPr="001B3F3A">
        <w:rPr>
          <w:rFonts w:asciiTheme="majorBidi" w:hAnsiTheme="majorBidi"/>
          <w:sz w:val="24"/>
          <w:szCs w:val="24"/>
        </w:rPr>
        <w:t xml:space="preserve">Det primære effektmål var andelen af patienter med terapeutisk kur (mykologisk behandling samt klinisk behandling) 10 dage efter behandlingens afslutning i MITT-populationen. I begge studier viste Clotic sig statistisk overlegen i forhold til placebo, hvad angik det primære effektmål. </w:t>
      </w:r>
    </w:p>
    <w:p w:rsidR="001B3F3A" w:rsidRPr="001B3F3A" w:rsidRDefault="001B3F3A" w:rsidP="001B3F3A">
      <w:pPr>
        <w:shd w:val="clear" w:color="auto" w:fill="FFFFFF" w:themeFill="background1"/>
        <w:tabs>
          <w:tab w:val="left" w:pos="1304"/>
        </w:tabs>
        <w:ind w:left="851"/>
        <w:rPr>
          <w:rFonts w:asciiTheme="majorBidi" w:eastAsia="Calibri" w:hAnsiTheme="majorBidi" w:cstheme="majorBidi"/>
          <w:bCs/>
          <w:iCs/>
          <w:sz w:val="24"/>
          <w:szCs w:val="24"/>
        </w:rPr>
      </w:pPr>
    </w:p>
    <w:p w:rsidR="001B3F3A" w:rsidRPr="001B3F3A" w:rsidRDefault="001B3F3A" w:rsidP="001B3F3A">
      <w:pPr>
        <w:shd w:val="clear" w:color="auto" w:fill="FFFFFF" w:themeFill="background1"/>
        <w:tabs>
          <w:tab w:val="left" w:pos="1304"/>
        </w:tabs>
        <w:ind w:left="851"/>
        <w:rPr>
          <w:rFonts w:asciiTheme="majorBidi" w:eastAsia="Calibri" w:hAnsiTheme="majorBidi" w:cstheme="majorBidi"/>
          <w:bCs/>
          <w:iCs/>
          <w:sz w:val="24"/>
          <w:szCs w:val="24"/>
        </w:rPr>
      </w:pPr>
      <w:r w:rsidRPr="001B3F3A">
        <w:rPr>
          <w:rFonts w:asciiTheme="majorBidi" w:hAnsiTheme="majorBidi"/>
          <w:sz w:val="24"/>
          <w:szCs w:val="24"/>
        </w:rPr>
        <w:t>Ved individuel vurdering af de kliniske tegn og symptomer (kløe, øreflåd, tilstoppet fornemmelse i øret og øresmerter) og det mykologiske resultat (udryddelse over for ikke-udryddelse) viste Clotic sig også uovertruffen i forhold til placebo.</w:t>
      </w:r>
    </w:p>
    <w:p w:rsidR="001B3F3A" w:rsidRPr="001B3F3A" w:rsidRDefault="001B3F3A" w:rsidP="001B3F3A">
      <w:pPr>
        <w:shd w:val="clear" w:color="auto" w:fill="FFFFFF" w:themeFill="background1"/>
        <w:tabs>
          <w:tab w:val="left" w:pos="1304"/>
        </w:tabs>
        <w:ind w:left="851"/>
        <w:rPr>
          <w:rFonts w:asciiTheme="majorBidi" w:eastAsia="Calibri" w:hAnsiTheme="majorBidi" w:cstheme="majorBidi"/>
          <w:bCs/>
          <w:iCs/>
          <w:sz w:val="24"/>
          <w:szCs w:val="24"/>
        </w:rPr>
      </w:pPr>
    </w:p>
    <w:p w:rsidR="001B3F3A" w:rsidRPr="001B3F3A" w:rsidRDefault="001B3F3A" w:rsidP="001B3F3A">
      <w:pPr>
        <w:shd w:val="clear" w:color="auto" w:fill="FFFFFF" w:themeFill="background1"/>
        <w:tabs>
          <w:tab w:val="left" w:pos="1304"/>
        </w:tabs>
        <w:ind w:left="851"/>
        <w:rPr>
          <w:rFonts w:asciiTheme="majorBidi" w:eastAsia="Calibri" w:hAnsiTheme="majorBidi" w:cstheme="majorBidi"/>
          <w:bCs/>
          <w:iCs/>
          <w:sz w:val="24"/>
          <w:szCs w:val="24"/>
        </w:rPr>
      </w:pPr>
      <w:r w:rsidRPr="001B3F3A">
        <w:rPr>
          <w:rFonts w:asciiTheme="majorBidi" w:hAnsiTheme="majorBidi"/>
          <w:sz w:val="24"/>
          <w:szCs w:val="24"/>
        </w:rPr>
        <w:t>De poolede resultater (CLEAR-1 og CLEAR-2) for det primære endepunkt er vist i tabellen nedenfor:</w:t>
      </w:r>
    </w:p>
    <w:p w:rsidR="001B3F3A" w:rsidRDefault="001B3F3A" w:rsidP="001B3F3A">
      <w:pPr>
        <w:shd w:val="clear" w:color="auto" w:fill="FFFFFF" w:themeFill="background1"/>
        <w:tabs>
          <w:tab w:val="left" w:pos="1304"/>
        </w:tabs>
        <w:rPr>
          <w:rFonts w:asciiTheme="majorBidi" w:eastAsia="Calibri" w:hAnsiTheme="majorBidi" w:cstheme="majorBidi"/>
          <w:bCs/>
          <w:iCs/>
          <w:szCs w:val="22"/>
        </w:rPr>
      </w:pPr>
    </w:p>
    <w:p w:rsidR="001B3F3A" w:rsidRDefault="001B3F3A" w:rsidP="001B3F3A">
      <w:pPr>
        <w:shd w:val="clear" w:color="auto" w:fill="FFFFFF" w:themeFill="background1"/>
        <w:tabs>
          <w:tab w:val="left" w:pos="1304"/>
        </w:tabs>
        <w:rPr>
          <w:rFonts w:asciiTheme="majorBidi" w:eastAsia="Calibri" w:hAnsiTheme="majorBidi" w:cstheme="majorBidi"/>
          <w:b/>
          <w:bCs/>
          <w:iCs/>
          <w:szCs w:val="22"/>
        </w:rPr>
      </w:pPr>
      <w:r>
        <w:rPr>
          <w:rFonts w:asciiTheme="majorBidi" w:hAnsiTheme="majorBidi"/>
          <w:b/>
        </w:rPr>
        <w:t>Tabel 2. Primært effektendepunkt (poolet analyse af CLEAR- 1 og CLEAR- 2 forsøg)</w:t>
      </w:r>
    </w:p>
    <w:p w:rsidR="001B3F3A" w:rsidRDefault="001B3F3A" w:rsidP="001B3F3A">
      <w:pPr>
        <w:shd w:val="clear" w:color="auto" w:fill="FFFFFF" w:themeFill="background1"/>
        <w:tabs>
          <w:tab w:val="left" w:pos="1304"/>
        </w:tabs>
        <w:rPr>
          <w:rFonts w:asciiTheme="majorBidi" w:eastAsia="Calibri" w:hAnsiTheme="majorBidi" w:cstheme="majorBidi"/>
          <w:bCs/>
          <w:iCs/>
          <w:szCs w:val="22"/>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1"/>
        <w:gridCol w:w="1558"/>
        <w:gridCol w:w="2408"/>
        <w:gridCol w:w="1558"/>
      </w:tblGrid>
      <w:tr w:rsidR="001B3F3A" w:rsidTr="001B3F3A">
        <w:trPr>
          <w:cantSplit/>
        </w:trPr>
        <w:tc>
          <w:tcPr>
            <w:tcW w:w="3823" w:type="dxa"/>
            <w:tcBorders>
              <w:top w:val="single" w:sz="4" w:space="0" w:color="auto"/>
              <w:left w:val="single" w:sz="4" w:space="0" w:color="auto"/>
              <w:bottom w:val="single" w:sz="4" w:space="0" w:color="auto"/>
              <w:right w:val="single" w:sz="4" w:space="0" w:color="auto"/>
            </w:tcBorders>
          </w:tcPr>
          <w:p w:rsidR="001B3F3A" w:rsidRDefault="001B3F3A">
            <w:pPr>
              <w:tabs>
                <w:tab w:val="left" w:pos="1304"/>
              </w:tabs>
              <w:jc w:val="both"/>
              <w:rPr>
                <w:rFonts w:asciiTheme="majorBidi" w:eastAsia="Calibri" w:hAnsiTheme="majorBidi" w:cstheme="majorBidi"/>
                <w:b/>
                <w:bCs/>
                <w:szCs w:val="22"/>
              </w:rPr>
            </w:pPr>
          </w:p>
          <w:p w:rsidR="001B3F3A" w:rsidRDefault="001B3F3A">
            <w:pPr>
              <w:tabs>
                <w:tab w:val="left" w:pos="1304"/>
              </w:tabs>
              <w:rPr>
                <w:rFonts w:asciiTheme="majorBidi" w:eastAsia="Calibri" w:hAnsiTheme="majorBidi" w:cstheme="majorBidi"/>
                <w:b/>
                <w:bCs/>
                <w:szCs w:val="22"/>
              </w:rPr>
            </w:pPr>
            <w:r>
              <w:rPr>
                <w:rFonts w:asciiTheme="majorBidi" w:hAnsiTheme="majorBidi"/>
                <w:b/>
              </w:rPr>
              <w:t xml:space="preserve">Terapeutisk respons i MITT- populationen </w:t>
            </w:r>
          </w:p>
        </w:tc>
        <w:tc>
          <w:tcPr>
            <w:tcW w:w="1559" w:type="dxa"/>
            <w:tcBorders>
              <w:top w:val="single" w:sz="4" w:space="0" w:color="auto"/>
              <w:left w:val="single" w:sz="4" w:space="0" w:color="auto"/>
              <w:bottom w:val="single" w:sz="4" w:space="0" w:color="auto"/>
              <w:right w:val="single" w:sz="4" w:space="0" w:color="auto"/>
            </w:tcBorders>
            <w:hideMark/>
          </w:tcPr>
          <w:p w:rsidR="001B3F3A" w:rsidRDefault="001B3F3A">
            <w:pPr>
              <w:tabs>
                <w:tab w:val="left" w:pos="1304"/>
              </w:tabs>
              <w:jc w:val="center"/>
              <w:rPr>
                <w:rFonts w:asciiTheme="majorBidi" w:eastAsia="Calibri" w:hAnsiTheme="majorBidi" w:cstheme="majorBidi"/>
                <w:b/>
                <w:bCs/>
                <w:szCs w:val="22"/>
              </w:rPr>
            </w:pPr>
            <w:r>
              <w:rPr>
                <w:rFonts w:asciiTheme="majorBidi" w:hAnsiTheme="majorBidi"/>
                <w:b/>
              </w:rPr>
              <w:t>Clotrimazol N=157</w:t>
            </w:r>
          </w:p>
          <w:p w:rsidR="001B3F3A" w:rsidRDefault="001B3F3A">
            <w:pPr>
              <w:tabs>
                <w:tab w:val="left" w:pos="1304"/>
              </w:tabs>
              <w:jc w:val="center"/>
              <w:rPr>
                <w:rFonts w:asciiTheme="majorBidi" w:eastAsia="Calibri" w:hAnsiTheme="majorBidi" w:cstheme="majorBidi"/>
                <w:b/>
                <w:bCs/>
                <w:szCs w:val="22"/>
              </w:rPr>
            </w:pPr>
            <w:r>
              <w:rPr>
                <w:rFonts w:asciiTheme="majorBidi" w:hAnsiTheme="majorBidi"/>
                <w:b/>
              </w:rPr>
              <w:t>n (%)</w:t>
            </w:r>
          </w:p>
        </w:tc>
        <w:tc>
          <w:tcPr>
            <w:tcW w:w="2410" w:type="dxa"/>
            <w:tcBorders>
              <w:top w:val="single" w:sz="4" w:space="0" w:color="auto"/>
              <w:left w:val="single" w:sz="4" w:space="0" w:color="auto"/>
              <w:bottom w:val="single" w:sz="4" w:space="0" w:color="auto"/>
              <w:right w:val="single" w:sz="4" w:space="0" w:color="auto"/>
            </w:tcBorders>
            <w:hideMark/>
          </w:tcPr>
          <w:p w:rsidR="001B3F3A" w:rsidRDefault="001B3F3A">
            <w:pPr>
              <w:tabs>
                <w:tab w:val="left" w:pos="1304"/>
              </w:tabs>
              <w:jc w:val="center"/>
              <w:rPr>
                <w:rFonts w:asciiTheme="majorBidi" w:eastAsia="Calibri" w:hAnsiTheme="majorBidi" w:cstheme="majorBidi"/>
                <w:b/>
                <w:bCs/>
                <w:szCs w:val="22"/>
              </w:rPr>
            </w:pPr>
            <w:r>
              <w:rPr>
                <w:rFonts w:asciiTheme="majorBidi" w:hAnsiTheme="majorBidi"/>
                <w:b/>
              </w:rPr>
              <w:t xml:space="preserve">Placebo </w:t>
            </w:r>
          </w:p>
          <w:p w:rsidR="001B3F3A" w:rsidRDefault="001B3F3A">
            <w:pPr>
              <w:tabs>
                <w:tab w:val="left" w:pos="1304"/>
              </w:tabs>
              <w:jc w:val="center"/>
              <w:rPr>
                <w:rFonts w:asciiTheme="majorBidi" w:eastAsia="Calibri" w:hAnsiTheme="majorBidi" w:cstheme="majorBidi"/>
                <w:b/>
                <w:bCs/>
                <w:szCs w:val="22"/>
              </w:rPr>
            </w:pPr>
            <w:r>
              <w:rPr>
                <w:rFonts w:asciiTheme="majorBidi" w:hAnsiTheme="majorBidi"/>
                <w:b/>
              </w:rPr>
              <w:t>N=71</w:t>
            </w:r>
          </w:p>
          <w:p w:rsidR="001B3F3A" w:rsidRDefault="001B3F3A">
            <w:pPr>
              <w:tabs>
                <w:tab w:val="left" w:pos="1304"/>
              </w:tabs>
              <w:jc w:val="center"/>
              <w:rPr>
                <w:rFonts w:asciiTheme="majorBidi" w:eastAsia="Calibri" w:hAnsiTheme="majorBidi" w:cstheme="majorBidi"/>
                <w:b/>
                <w:bCs/>
                <w:szCs w:val="22"/>
              </w:rPr>
            </w:pPr>
            <w:r>
              <w:rPr>
                <w:rFonts w:asciiTheme="majorBidi" w:hAnsiTheme="majorBidi"/>
                <w:b/>
              </w:rPr>
              <w:t>n (%)</w:t>
            </w:r>
          </w:p>
        </w:tc>
        <w:tc>
          <w:tcPr>
            <w:tcW w:w="1559" w:type="dxa"/>
            <w:tcBorders>
              <w:top w:val="single" w:sz="4" w:space="0" w:color="auto"/>
              <w:left w:val="single" w:sz="4" w:space="0" w:color="auto"/>
              <w:bottom w:val="single" w:sz="4" w:space="0" w:color="auto"/>
              <w:right w:val="single" w:sz="4" w:space="0" w:color="auto"/>
            </w:tcBorders>
            <w:hideMark/>
          </w:tcPr>
          <w:p w:rsidR="001B3F3A" w:rsidRDefault="001B3F3A">
            <w:pPr>
              <w:tabs>
                <w:tab w:val="left" w:pos="1304"/>
              </w:tabs>
              <w:jc w:val="center"/>
              <w:rPr>
                <w:rFonts w:asciiTheme="majorBidi" w:eastAsia="Calibri" w:hAnsiTheme="majorBidi" w:cstheme="majorBidi"/>
                <w:b/>
                <w:bCs/>
                <w:szCs w:val="22"/>
              </w:rPr>
            </w:pPr>
            <w:r>
              <w:rPr>
                <w:rFonts w:asciiTheme="majorBidi" w:hAnsiTheme="majorBidi"/>
                <w:b/>
              </w:rPr>
              <w:t xml:space="preserve">Total </w:t>
            </w:r>
          </w:p>
          <w:p w:rsidR="001B3F3A" w:rsidRDefault="001B3F3A">
            <w:pPr>
              <w:tabs>
                <w:tab w:val="left" w:pos="1304"/>
              </w:tabs>
              <w:jc w:val="center"/>
              <w:rPr>
                <w:rFonts w:asciiTheme="majorBidi" w:eastAsia="Calibri" w:hAnsiTheme="majorBidi" w:cstheme="majorBidi"/>
                <w:b/>
                <w:bCs/>
                <w:szCs w:val="22"/>
              </w:rPr>
            </w:pPr>
            <w:r>
              <w:rPr>
                <w:rFonts w:asciiTheme="majorBidi" w:hAnsiTheme="majorBidi"/>
                <w:b/>
              </w:rPr>
              <w:t>N=228</w:t>
            </w:r>
          </w:p>
          <w:p w:rsidR="001B3F3A" w:rsidRDefault="001B3F3A">
            <w:pPr>
              <w:tabs>
                <w:tab w:val="left" w:pos="1304"/>
              </w:tabs>
              <w:jc w:val="center"/>
              <w:rPr>
                <w:rFonts w:asciiTheme="majorBidi" w:eastAsia="Calibri" w:hAnsiTheme="majorBidi" w:cstheme="majorBidi"/>
                <w:b/>
                <w:bCs/>
                <w:szCs w:val="22"/>
              </w:rPr>
            </w:pPr>
            <w:r>
              <w:rPr>
                <w:rFonts w:asciiTheme="majorBidi" w:hAnsiTheme="majorBidi"/>
                <w:b/>
              </w:rPr>
              <w:t>n (%)</w:t>
            </w:r>
          </w:p>
        </w:tc>
      </w:tr>
      <w:tr w:rsidR="001B3F3A" w:rsidTr="001B3F3A">
        <w:trPr>
          <w:cantSplit/>
        </w:trPr>
        <w:tc>
          <w:tcPr>
            <w:tcW w:w="3823" w:type="dxa"/>
            <w:tcBorders>
              <w:top w:val="single" w:sz="4" w:space="0" w:color="auto"/>
              <w:left w:val="single" w:sz="4" w:space="0" w:color="auto"/>
              <w:bottom w:val="nil"/>
              <w:right w:val="single" w:sz="4" w:space="0" w:color="auto"/>
            </w:tcBorders>
            <w:hideMark/>
          </w:tcPr>
          <w:p w:rsidR="001B3F3A" w:rsidRDefault="001B3F3A">
            <w:pPr>
              <w:tabs>
                <w:tab w:val="left" w:pos="1304"/>
              </w:tabs>
              <w:rPr>
                <w:rFonts w:asciiTheme="majorBidi" w:eastAsia="Calibri" w:hAnsiTheme="majorBidi" w:cstheme="majorBidi"/>
                <w:szCs w:val="22"/>
              </w:rPr>
            </w:pPr>
            <w:r>
              <w:rPr>
                <w:rFonts w:asciiTheme="majorBidi" w:hAnsiTheme="majorBidi"/>
              </w:rPr>
              <w:t xml:space="preserve">Behandlingsmiddel </w:t>
            </w:r>
          </w:p>
        </w:tc>
        <w:tc>
          <w:tcPr>
            <w:tcW w:w="1559" w:type="dxa"/>
            <w:tcBorders>
              <w:top w:val="single" w:sz="4" w:space="0" w:color="auto"/>
              <w:left w:val="single" w:sz="4" w:space="0" w:color="auto"/>
              <w:bottom w:val="nil"/>
              <w:right w:val="single" w:sz="4" w:space="0" w:color="auto"/>
            </w:tcBorders>
            <w:hideMark/>
          </w:tcPr>
          <w:p w:rsidR="001B3F3A" w:rsidRDefault="001B3F3A">
            <w:pPr>
              <w:tabs>
                <w:tab w:val="left" w:pos="1304"/>
              </w:tabs>
              <w:jc w:val="center"/>
              <w:rPr>
                <w:rFonts w:asciiTheme="majorBidi" w:eastAsia="Calibri" w:hAnsiTheme="majorBidi" w:cstheme="majorBidi"/>
                <w:szCs w:val="22"/>
              </w:rPr>
            </w:pPr>
            <w:r>
              <w:rPr>
                <w:rFonts w:asciiTheme="majorBidi" w:hAnsiTheme="majorBidi"/>
              </w:rPr>
              <w:t>107 (68,2 %)</w:t>
            </w:r>
          </w:p>
        </w:tc>
        <w:tc>
          <w:tcPr>
            <w:tcW w:w="2410" w:type="dxa"/>
            <w:tcBorders>
              <w:top w:val="single" w:sz="4" w:space="0" w:color="auto"/>
              <w:left w:val="single" w:sz="4" w:space="0" w:color="auto"/>
              <w:bottom w:val="nil"/>
              <w:right w:val="single" w:sz="4" w:space="0" w:color="auto"/>
            </w:tcBorders>
            <w:hideMark/>
          </w:tcPr>
          <w:p w:rsidR="001B3F3A" w:rsidRDefault="001B3F3A">
            <w:pPr>
              <w:tabs>
                <w:tab w:val="left" w:pos="1304"/>
              </w:tabs>
              <w:jc w:val="center"/>
              <w:rPr>
                <w:rFonts w:asciiTheme="majorBidi" w:eastAsia="Calibri" w:hAnsiTheme="majorBidi" w:cstheme="majorBidi"/>
                <w:szCs w:val="22"/>
              </w:rPr>
            </w:pPr>
            <w:r>
              <w:rPr>
                <w:rFonts w:asciiTheme="majorBidi" w:hAnsiTheme="majorBidi"/>
              </w:rPr>
              <w:t>18 (25,4 %)</w:t>
            </w:r>
          </w:p>
        </w:tc>
        <w:tc>
          <w:tcPr>
            <w:tcW w:w="1559" w:type="dxa"/>
            <w:tcBorders>
              <w:top w:val="single" w:sz="4" w:space="0" w:color="auto"/>
              <w:left w:val="single" w:sz="4" w:space="0" w:color="auto"/>
              <w:bottom w:val="nil"/>
              <w:right w:val="single" w:sz="4" w:space="0" w:color="auto"/>
            </w:tcBorders>
            <w:hideMark/>
          </w:tcPr>
          <w:p w:rsidR="001B3F3A" w:rsidRDefault="001B3F3A">
            <w:pPr>
              <w:tabs>
                <w:tab w:val="left" w:pos="1304"/>
              </w:tabs>
              <w:jc w:val="center"/>
              <w:rPr>
                <w:rFonts w:asciiTheme="majorBidi" w:eastAsia="Calibri" w:hAnsiTheme="majorBidi" w:cstheme="majorBidi"/>
                <w:szCs w:val="22"/>
              </w:rPr>
            </w:pPr>
            <w:r>
              <w:rPr>
                <w:rFonts w:asciiTheme="majorBidi" w:hAnsiTheme="majorBidi"/>
              </w:rPr>
              <w:t>125 (54,8 %)</w:t>
            </w:r>
          </w:p>
        </w:tc>
      </w:tr>
      <w:tr w:rsidR="001B3F3A" w:rsidTr="001B3F3A">
        <w:trPr>
          <w:cantSplit/>
        </w:trPr>
        <w:tc>
          <w:tcPr>
            <w:tcW w:w="3823" w:type="dxa"/>
            <w:tcBorders>
              <w:top w:val="nil"/>
              <w:left w:val="single" w:sz="4" w:space="0" w:color="auto"/>
              <w:bottom w:val="nil"/>
              <w:right w:val="single" w:sz="4" w:space="0" w:color="auto"/>
            </w:tcBorders>
            <w:hideMark/>
          </w:tcPr>
          <w:p w:rsidR="001B3F3A" w:rsidRDefault="001B3F3A">
            <w:pPr>
              <w:tabs>
                <w:tab w:val="left" w:pos="1304"/>
              </w:tabs>
              <w:rPr>
                <w:rFonts w:asciiTheme="majorBidi" w:eastAsia="Calibri" w:hAnsiTheme="majorBidi" w:cstheme="majorBidi"/>
                <w:szCs w:val="22"/>
              </w:rPr>
            </w:pPr>
            <w:r>
              <w:rPr>
                <w:rFonts w:asciiTheme="majorBidi" w:hAnsiTheme="majorBidi"/>
              </w:rPr>
              <w:t>Behandlingssvigt</w:t>
            </w:r>
          </w:p>
        </w:tc>
        <w:tc>
          <w:tcPr>
            <w:tcW w:w="1559" w:type="dxa"/>
            <w:tcBorders>
              <w:top w:val="nil"/>
              <w:left w:val="single" w:sz="4" w:space="0" w:color="auto"/>
              <w:bottom w:val="nil"/>
              <w:right w:val="single" w:sz="4" w:space="0" w:color="auto"/>
            </w:tcBorders>
            <w:hideMark/>
          </w:tcPr>
          <w:p w:rsidR="001B3F3A" w:rsidRDefault="001B3F3A">
            <w:pPr>
              <w:tabs>
                <w:tab w:val="left" w:pos="1304"/>
              </w:tabs>
              <w:jc w:val="center"/>
              <w:rPr>
                <w:rFonts w:asciiTheme="majorBidi" w:eastAsia="Calibri" w:hAnsiTheme="majorBidi" w:cstheme="majorBidi"/>
                <w:szCs w:val="22"/>
              </w:rPr>
            </w:pPr>
            <w:r>
              <w:rPr>
                <w:rFonts w:asciiTheme="majorBidi" w:hAnsiTheme="majorBidi"/>
              </w:rPr>
              <w:t>50 (31,8 %)</w:t>
            </w:r>
          </w:p>
        </w:tc>
        <w:tc>
          <w:tcPr>
            <w:tcW w:w="2410" w:type="dxa"/>
            <w:tcBorders>
              <w:top w:val="nil"/>
              <w:left w:val="single" w:sz="4" w:space="0" w:color="auto"/>
              <w:bottom w:val="nil"/>
              <w:right w:val="single" w:sz="4" w:space="0" w:color="auto"/>
            </w:tcBorders>
            <w:hideMark/>
          </w:tcPr>
          <w:p w:rsidR="001B3F3A" w:rsidRDefault="001B3F3A">
            <w:pPr>
              <w:tabs>
                <w:tab w:val="left" w:pos="1304"/>
              </w:tabs>
              <w:jc w:val="center"/>
              <w:rPr>
                <w:rFonts w:asciiTheme="majorBidi" w:eastAsia="Calibri" w:hAnsiTheme="majorBidi" w:cstheme="majorBidi"/>
                <w:szCs w:val="22"/>
              </w:rPr>
            </w:pPr>
            <w:r>
              <w:rPr>
                <w:rFonts w:asciiTheme="majorBidi" w:hAnsiTheme="majorBidi"/>
              </w:rPr>
              <w:t>53 (74,6 %)</w:t>
            </w:r>
          </w:p>
        </w:tc>
        <w:tc>
          <w:tcPr>
            <w:tcW w:w="1559" w:type="dxa"/>
            <w:tcBorders>
              <w:top w:val="nil"/>
              <w:left w:val="single" w:sz="4" w:space="0" w:color="auto"/>
              <w:bottom w:val="nil"/>
              <w:right w:val="single" w:sz="4" w:space="0" w:color="auto"/>
            </w:tcBorders>
            <w:hideMark/>
          </w:tcPr>
          <w:p w:rsidR="001B3F3A" w:rsidRDefault="001B3F3A">
            <w:pPr>
              <w:tabs>
                <w:tab w:val="left" w:pos="1304"/>
              </w:tabs>
              <w:jc w:val="center"/>
              <w:rPr>
                <w:rFonts w:asciiTheme="majorBidi" w:eastAsia="Calibri" w:hAnsiTheme="majorBidi" w:cstheme="majorBidi"/>
                <w:szCs w:val="22"/>
              </w:rPr>
            </w:pPr>
            <w:r>
              <w:rPr>
                <w:rFonts w:asciiTheme="majorBidi" w:hAnsiTheme="majorBidi"/>
              </w:rPr>
              <w:t>103 (45,2 %)</w:t>
            </w:r>
          </w:p>
        </w:tc>
      </w:tr>
      <w:tr w:rsidR="001B3F3A" w:rsidTr="001B3F3A">
        <w:trPr>
          <w:cantSplit/>
        </w:trPr>
        <w:tc>
          <w:tcPr>
            <w:tcW w:w="3823" w:type="dxa"/>
            <w:tcBorders>
              <w:top w:val="nil"/>
              <w:left w:val="single" w:sz="4" w:space="0" w:color="auto"/>
              <w:bottom w:val="nil"/>
              <w:right w:val="single" w:sz="4" w:space="0" w:color="auto"/>
            </w:tcBorders>
            <w:hideMark/>
          </w:tcPr>
          <w:p w:rsidR="001B3F3A" w:rsidRDefault="001B3F3A">
            <w:pPr>
              <w:tabs>
                <w:tab w:val="left" w:pos="1304"/>
              </w:tabs>
              <w:rPr>
                <w:rFonts w:asciiTheme="majorBidi" w:eastAsia="Calibri" w:hAnsiTheme="majorBidi" w:cstheme="majorBidi"/>
                <w:szCs w:val="22"/>
              </w:rPr>
            </w:pPr>
            <w:r>
              <w:rPr>
                <w:rFonts w:asciiTheme="majorBidi" w:hAnsiTheme="majorBidi"/>
              </w:rPr>
              <w:t xml:space="preserve">Forskelle mth. behandlingsmæssig helbredelsesfrekvens (95 % CI)* </w:t>
            </w:r>
          </w:p>
        </w:tc>
        <w:tc>
          <w:tcPr>
            <w:tcW w:w="1559" w:type="dxa"/>
            <w:tcBorders>
              <w:top w:val="nil"/>
              <w:left w:val="single" w:sz="4" w:space="0" w:color="auto"/>
              <w:bottom w:val="nil"/>
              <w:right w:val="single" w:sz="4" w:space="0" w:color="auto"/>
            </w:tcBorders>
          </w:tcPr>
          <w:p w:rsidR="001B3F3A" w:rsidRDefault="001B3F3A">
            <w:pPr>
              <w:tabs>
                <w:tab w:val="left" w:pos="1304"/>
              </w:tabs>
              <w:jc w:val="center"/>
              <w:rPr>
                <w:rFonts w:asciiTheme="majorBidi" w:eastAsia="Calibri" w:hAnsiTheme="majorBidi" w:cstheme="majorBidi"/>
                <w:szCs w:val="22"/>
              </w:rPr>
            </w:pPr>
          </w:p>
        </w:tc>
        <w:tc>
          <w:tcPr>
            <w:tcW w:w="2410" w:type="dxa"/>
            <w:tcBorders>
              <w:top w:val="nil"/>
              <w:left w:val="single" w:sz="4" w:space="0" w:color="auto"/>
              <w:bottom w:val="nil"/>
              <w:right w:val="single" w:sz="4" w:space="0" w:color="auto"/>
            </w:tcBorders>
            <w:hideMark/>
          </w:tcPr>
          <w:p w:rsidR="001B3F3A" w:rsidRDefault="001B3F3A">
            <w:pPr>
              <w:tabs>
                <w:tab w:val="left" w:pos="1304"/>
              </w:tabs>
              <w:jc w:val="center"/>
              <w:rPr>
                <w:rFonts w:asciiTheme="majorBidi" w:eastAsia="Calibri" w:hAnsiTheme="majorBidi" w:cstheme="majorBidi"/>
                <w:szCs w:val="22"/>
              </w:rPr>
            </w:pPr>
            <w:r>
              <w:rPr>
                <w:rFonts w:asciiTheme="majorBidi" w:hAnsiTheme="majorBidi"/>
              </w:rPr>
              <w:t>42,8 % (29,4 %, 54,2 %)</w:t>
            </w:r>
          </w:p>
        </w:tc>
        <w:tc>
          <w:tcPr>
            <w:tcW w:w="1559" w:type="dxa"/>
            <w:tcBorders>
              <w:top w:val="nil"/>
              <w:left w:val="single" w:sz="4" w:space="0" w:color="auto"/>
              <w:bottom w:val="nil"/>
              <w:right w:val="single" w:sz="4" w:space="0" w:color="auto"/>
            </w:tcBorders>
          </w:tcPr>
          <w:p w:rsidR="001B3F3A" w:rsidRDefault="001B3F3A">
            <w:pPr>
              <w:tabs>
                <w:tab w:val="left" w:pos="1304"/>
              </w:tabs>
              <w:jc w:val="center"/>
              <w:rPr>
                <w:rFonts w:asciiTheme="majorBidi" w:eastAsia="Calibri" w:hAnsiTheme="majorBidi" w:cstheme="majorBidi"/>
                <w:szCs w:val="22"/>
              </w:rPr>
            </w:pPr>
          </w:p>
        </w:tc>
      </w:tr>
      <w:tr w:rsidR="001B3F3A" w:rsidTr="001B3F3A">
        <w:trPr>
          <w:cantSplit/>
        </w:trPr>
        <w:tc>
          <w:tcPr>
            <w:tcW w:w="3823" w:type="dxa"/>
            <w:tcBorders>
              <w:top w:val="nil"/>
              <w:left w:val="single" w:sz="4" w:space="0" w:color="auto"/>
              <w:bottom w:val="single" w:sz="4" w:space="0" w:color="auto"/>
              <w:right w:val="single" w:sz="4" w:space="0" w:color="auto"/>
            </w:tcBorders>
            <w:hideMark/>
          </w:tcPr>
          <w:p w:rsidR="001B3F3A" w:rsidRDefault="001B3F3A">
            <w:pPr>
              <w:tabs>
                <w:tab w:val="left" w:pos="1304"/>
              </w:tabs>
              <w:jc w:val="both"/>
              <w:rPr>
                <w:rFonts w:asciiTheme="majorBidi" w:eastAsia="Calibri" w:hAnsiTheme="majorBidi" w:cstheme="majorBidi"/>
                <w:bCs/>
                <w:szCs w:val="22"/>
              </w:rPr>
            </w:pPr>
            <w:r>
              <w:rPr>
                <w:rFonts w:asciiTheme="majorBidi" w:hAnsiTheme="majorBidi"/>
              </w:rPr>
              <w:t>p-værdi</w:t>
            </w:r>
          </w:p>
        </w:tc>
        <w:tc>
          <w:tcPr>
            <w:tcW w:w="1559" w:type="dxa"/>
            <w:tcBorders>
              <w:top w:val="nil"/>
              <w:left w:val="single" w:sz="4" w:space="0" w:color="auto"/>
              <w:bottom w:val="single" w:sz="4" w:space="0" w:color="auto"/>
              <w:right w:val="single" w:sz="4" w:space="0" w:color="auto"/>
            </w:tcBorders>
          </w:tcPr>
          <w:p w:rsidR="001B3F3A" w:rsidRDefault="001B3F3A">
            <w:pPr>
              <w:tabs>
                <w:tab w:val="left" w:pos="1304"/>
              </w:tabs>
              <w:jc w:val="center"/>
              <w:rPr>
                <w:rFonts w:asciiTheme="majorBidi" w:eastAsia="Calibri" w:hAnsiTheme="majorBidi" w:cstheme="majorBidi"/>
                <w:szCs w:val="22"/>
              </w:rPr>
            </w:pPr>
          </w:p>
        </w:tc>
        <w:tc>
          <w:tcPr>
            <w:tcW w:w="2410" w:type="dxa"/>
            <w:tcBorders>
              <w:top w:val="nil"/>
              <w:left w:val="single" w:sz="4" w:space="0" w:color="auto"/>
              <w:bottom w:val="single" w:sz="4" w:space="0" w:color="auto"/>
              <w:right w:val="single" w:sz="4" w:space="0" w:color="auto"/>
            </w:tcBorders>
            <w:hideMark/>
          </w:tcPr>
          <w:p w:rsidR="001B3F3A" w:rsidRDefault="001B3F3A">
            <w:pPr>
              <w:tabs>
                <w:tab w:val="left" w:pos="1304"/>
              </w:tabs>
              <w:jc w:val="center"/>
              <w:rPr>
                <w:rFonts w:asciiTheme="majorBidi" w:eastAsia="Calibri" w:hAnsiTheme="majorBidi" w:cstheme="majorBidi"/>
                <w:szCs w:val="22"/>
              </w:rPr>
            </w:pPr>
            <w:bookmarkStart w:id="1" w:name="_Hlk107988682"/>
            <w:r>
              <w:rPr>
                <w:rFonts w:asciiTheme="majorBidi" w:hAnsiTheme="majorBidi"/>
              </w:rPr>
              <w:t>&lt; 0,0001</w:t>
            </w:r>
            <w:bookmarkEnd w:id="1"/>
          </w:p>
        </w:tc>
        <w:tc>
          <w:tcPr>
            <w:tcW w:w="1559" w:type="dxa"/>
            <w:tcBorders>
              <w:top w:val="nil"/>
              <w:left w:val="single" w:sz="4" w:space="0" w:color="auto"/>
              <w:bottom w:val="single" w:sz="4" w:space="0" w:color="auto"/>
              <w:right w:val="single" w:sz="4" w:space="0" w:color="auto"/>
            </w:tcBorders>
          </w:tcPr>
          <w:p w:rsidR="001B3F3A" w:rsidRDefault="001B3F3A">
            <w:pPr>
              <w:tabs>
                <w:tab w:val="left" w:pos="1304"/>
              </w:tabs>
              <w:jc w:val="center"/>
              <w:rPr>
                <w:rFonts w:asciiTheme="majorBidi" w:eastAsia="Calibri" w:hAnsiTheme="majorBidi" w:cstheme="majorBidi"/>
                <w:szCs w:val="22"/>
              </w:rPr>
            </w:pPr>
          </w:p>
        </w:tc>
      </w:tr>
    </w:tbl>
    <w:p w:rsidR="001B3F3A" w:rsidRPr="00E321F3" w:rsidRDefault="001B3F3A" w:rsidP="001B3F3A">
      <w:pPr>
        <w:shd w:val="clear" w:color="auto" w:fill="FFFFFF" w:themeFill="background1"/>
        <w:tabs>
          <w:tab w:val="left" w:pos="1304"/>
        </w:tabs>
        <w:rPr>
          <w:rFonts w:asciiTheme="majorBidi" w:eastAsia="Calibri" w:hAnsiTheme="majorBidi" w:cstheme="majorBidi"/>
          <w:sz w:val="20"/>
        </w:rPr>
      </w:pPr>
      <w:r w:rsidRPr="00E321F3">
        <w:rPr>
          <w:rFonts w:asciiTheme="majorBidi" w:hAnsiTheme="majorBidi"/>
          <w:sz w:val="20"/>
        </w:rPr>
        <w:t>*</w:t>
      </w:r>
      <w:r w:rsidR="00E321F3" w:rsidRPr="00E321F3">
        <w:rPr>
          <w:rFonts w:asciiTheme="majorBidi" w:hAnsiTheme="majorBidi"/>
          <w:sz w:val="20"/>
        </w:rPr>
        <w:t xml:space="preserve"> </w:t>
      </w:r>
      <w:r w:rsidRPr="00E321F3">
        <w:rPr>
          <w:rFonts w:asciiTheme="majorBidi" w:hAnsiTheme="majorBidi"/>
          <w:sz w:val="20"/>
        </w:rPr>
        <w:t>95 % konfidensinterval forskelle mellem behandlingsgrupper baseret på Miettinen-Nurmimen-metoden.</w:t>
      </w:r>
    </w:p>
    <w:p w:rsidR="001B3F3A" w:rsidRPr="001B3F3A" w:rsidRDefault="001B3F3A" w:rsidP="001B3F3A">
      <w:pPr>
        <w:shd w:val="clear" w:color="auto" w:fill="FFFFFF" w:themeFill="background1"/>
        <w:tabs>
          <w:tab w:val="left" w:pos="1304"/>
        </w:tabs>
        <w:ind w:left="851"/>
        <w:rPr>
          <w:rFonts w:asciiTheme="majorBidi" w:eastAsia="Calibri" w:hAnsiTheme="majorBidi" w:cstheme="majorBidi"/>
          <w:sz w:val="24"/>
          <w:szCs w:val="24"/>
        </w:rPr>
      </w:pPr>
    </w:p>
    <w:p w:rsidR="001B3F3A" w:rsidRPr="001B3F3A" w:rsidRDefault="001B3F3A" w:rsidP="001B3F3A">
      <w:pPr>
        <w:shd w:val="clear" w:color="auto" w:fill="FFFFFF" w:themeFill="background1"/>
        <w:tabs>
          <w:tab w:val="left" w:pos="1304"/>
        </w:tabs>
        <w:ind w:left="851"/>
        <w:rPr>
          <w:rFonts w:asciiTheme="majorBidi" w:eastAsia="Calibri" w:hAnsiTheme="majorBidi" w:cstheme="majorBidi"/>
          <w:sz w:val="24"/>
          <w:szCs w:val="24"/>
          <w:u w:val="single"/>
        </w:rPr>
      </w:pPr>
      <w:r w:rsidRPr="001B3F3A">
        <w:rPr>
          <w:rFonts w:asciiTheme="majorBidi" w:hAnsiTheme="majorBidi"/>
          <w:sz w:val="24"/>
          <w:szCs w:val="24"/>
          <w:u w:val="single"/>
        </w:rPr>
        <w:t>Pædiatrisk population</w:t>
      </w:r>
    </w:p>
    <w:p w:rsidR="001B3F3A" w:rsidRPr="001B3F3A" w:rsidRDefault="001B3F3A" w:rsidP="001B3F3A">
      <w:pPr>
        <w:shd w:val="clear" w:color="auto" w:fill="FFFFFF" w:themeFill="background1"/>
        <w:tabs>
          <w:tab w:val="left" w:pos="1304"/>
        </w:tabs>
        <w:ind w:left="851"/>
        <w:rPr>
          <w:rFonts w:asciiTheme="majorBidi" w:eastAsia="Calibri" w:hAnsiTheme="majorBidi" w:cstheme="majorBidi"/>
          <w:bCs/>
          <w:iCs/>
          <w:sz w:val="24"/>
          <w:szCs w:val="24"/>
        </w:rPr>
      </w:pPr>
      <w:r w:rsidRPr="001B3F3A">
        <w:rPr>
          <w:rFonts w:asciiTheme="majorBidi" w:hAnsiTheme="majorBidi"/>
          <w:sz w:val="24"/>
          <w:szCs w:val="24"/>
        </w:rPr>
        <w:t xml:space="preserve">Det Europæiske Lægemiddelagentur har dispenseret fra kravet om at fremlægge resultaterne af studier med Clotic i alle undergrupper af den pædiatriske population ved behandling af svampeotitis externa (otomykose). Se pkt. 4.2 for oplysninger om pædiatrisk brug. </w:t>
      </w:r>
    </w:p>
    <w:p w:rsidR="001B3F3A" w:rsidRPr="001B3F3A" w:rsidRDefault="001B3F3A" w:rsidP="001B3F3A">
      <w:pPr>
        <w:shd w:val="clear" w:color="auto" w:fill="FFFFFF" w:themeFill="background1"/>
        <w:tabs>
          <w:tab w:val="left" w:pos="1304"/>
        </w:tabs>
        <w:ind w:left="851"/>
        <w:rPr>
          <w:rFonts w:asciiTheme="majorBidi" w:eastAsia="Calibri" w:hAnsiTheme="majorBidi" w:cstheme="majorBidi"/>
          <w:bCs/>
          <w:iCs/>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E321F3" w:rsidRPr="00E321F3" w:rsidRDefault="00E321F3" w:rsidP="00E321F3">
      <w:pPr>
        <w:tabs>
          <w:tab w:val="left" w:pos="851"/>
        </w:tabs>
        <w:ind w:left="851"/>
        <w:rPr>
          <w:iCs/>
          <w:sz w:val="24"/>
          <w:szCs w:val="24"/>
        </w:rPr>
      </w:pPr>
      <w:r w:rsidRPr="00E321F3">
        <w:rPr>
          <w:sz w:val="24"/>
          <w:szCs w:val="24"/>
        </w:rPr>
        <w:t>Der foreligger ingen farmakokinetiske data fra kliniske studier med clotrimazol til aurikulær brug.</w:t>
      </w:r>
    </w:p>
    <w:p w:rsidR="00E321F3" w:rsidRPr="00E321F3" w:rsidRDefault="00E321F3" w:rsidP="00E321F3">
      <w:pPr>
        <w:tabs>
          <w:tab w:val="left" w:pos="851"/>
        </w:tabs>
        <w:ind w:left="851"/>
        <w:rPr>
          <w:iCs/>
          <w:sz w:val="24"/>
          <w:szCs w:val="24"/>
        </w:rPr>
      </w:pPr>
    </w:p>
    <w:p w:rsidR="00E321F3" w:rsidRPr="00E321F3" w:rsidRDefault="00E321F3" w:rsidP="00E321F3">
      <w:pPr>
        <w:tabs>
          <w:tab w:val="left" w:pos="851"/>
        </w:tabs>
        <w:ind w:left="851"/>
        <w:rPr>
          <w:iCs/>
          <w:sz w:val="24"/>
          <w:szCs w:val="24"/>
        </w:rPr>
      </w:pPr>
      <w:r w:rsidRPr="00E321F3">
        <w:rPr>
          <w:sz w:val="24"/>
          <w:szCs w:val="24"/>
        </w:rPr>
        <w:t>Farmakokinetiske studier efter påføring på huden har vist, at clotrimazol absorberes minimalt fra intakt eller betændt hud til kredsløbet hos mennesker. Clotrimazol påført topisk på huden fører ikke til målbare systemiske virkninger eller bivirkninger.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E321F3" w:rsidRPr="00E321F3" w:rsidRDefault="00E321F3" w:rsidP="00E321F3">
      <w:pPr>
        <w:tabs>
          <w:tab w:val="left" w:pos="851"/>
        </w:tabs>
        <w:ind w:left="851"/>
        <w:rPr>
          <w:sz w:val="24"/>
          <w:szCs w:val="24"/>
        </w:rPr>
      </w:pPr>
      <w:r w:rsidRPr="00E321F3">
        <w:rPr>
          <w:sz w:val="24"/>
          <w:szCs w:val="24"/>
        </w:rPr>
        <w:t xml:space="preserve">Non-kliniske data viser ingen speciel risiko for mennesker vurderet ud fra studier af toksicitet efter gentagne doser og genotoksicitet. </w:t>
      </w:r>
    </w:p>
    <w:p w:rsidR="00E321F3" w:rsidRPr="00E321F3" w:rsidRDefault="00E321F3" w:rsidP="00E321F3">
      <w:pPr>
        <w:tabs>
          <w:tab w:val="left" w:pos="851"/>
        </w:tabs>
        <w:ind w:left="851"/>
        <w:rPr>
          <w:sz w:val="24"/>
          <w:szCs w:val="24"/>
        </w:rPr>
      </w:pPr>
    </w:p>
    <w:p w:rsidR="00E321F3" w:rsidRPr="00E321F3" w:rsidRDefault="00E321F3" w:rsidP="00E321F3">
      <w:pPr>
        <w:tabs>
          <w:tab w:val="left" w:pos="851"/>
        </w:tabs>
        <w:ind w:left="851"/>
        <w:rPr>
          <w:sz w:val="24"/>
          <w:szCs w:val="24"/>
        </w:rPr>
      </w:pPr>
      <w:r w:rsidRPr="00E321F3">
        <w:rPr>
          <w:sz w:val="24"/>
          <w:szCs w:val="24"/>
        </w:rPr>
        <w:t>Efter daglig topikal påføring af clotrimazol 1 % opløsning plus PEG til mellemøret hos rotter i 5 dage blev der observeret en toksisk effekt på den cochleafunktionen i det indre øre. Det er blevet rapporteret, at PEG og andre alkoholbaserede opløsningsmidler forårsager cochlear ototoksicitet.</w:t>
      </w:r>
    </w:p>
    <w:p w:rsidR="00E321F3" w:rsidRPr="00E321F3" w:rsidRDefault="00E321F3" w:rsidP="00E321F3">
      <w:pPr>
        <w:tabs>
          <w:tab w:val="left" w:pos="851"/>
        </w:tabs>
        <w:ind w:left="851"/>
        <w:rPr>
          <w:b/>
          <w:sz w:val="24"/>
          <w:szCs w:val="24"/>
        </w:rPr>
      </w:pPr>
    </w:p>
    <w:p w:rsidR="00E321F3" w:rsidRPr="00E321F3" w:rsidRDefault="00E321F3" w:rsidP="00E321F3">
      <w:pPr>
        <w:tabs>
          <w:tab w:val="left" w:pos="851"/>
        </w:tabs>
        <w:ind w:left="851"/>
        <w:rPr>
          <w:sz w:val="24"/>
          <w:szCs w:val="24"/>
        </w:rPr>
      </w:pPr>
      <w:r w:rsidRPr="00E321F3">
        <w:rPr>
          <w:sz w:val="24"/>
          <w:szCs w:val="24"/>
        </w:rPr>
        <w:t xml:space="preserve">Clotrimazol var ikke teratogent i reproduktionstoksicitetsundersøgelser på mus, rotter og kaniner ved orale doser, der var tilstrækkeligt langt større end den maksimale anbefalede daglige dosis til mennesker. </w:t>
      </w:r>
    </w:p>
    <w:p w:rsidR="00E321F3" w:rsidRPr="00E321F3" w:rsidRDefault="00E321F3" w:rsidP="00E321F3">
      <w:pPr>
        <w:tabs>
          <w:tab w:val="left" w:pos="851"/>
        </w:tabs>
        <w:ind w:left="851"/>
        <w:rPr>
          <w:sz w:val="24"/>
          <w:szCs w:val="24"/>
        </w:rPr>
      </w:pPr>
      <w:r w:rsidRPr="00E321F3">
        <w:rPr>
          <w:sz w:val="24"/>
          <w:szCs w:val="24"/>
        </w:rPr>
        <w:t>I et kombineret fertilitets-, embryo- og postnatalt udviklingsstudie hos rotter blev clotrimazol kun forbundet med maternel toksicitet, embryotoksicitet, nedsat fostervægt og nedsat overlevelse hos ungerne ved orale doser langt over den maksimale humane ækvivalente dosis. Der blev ikke observeret bivirkninger på varigheden af østruscyklus, fertilitet eller varighed af graviditeten.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E323D" w:rsidRPr="00FE323D" w:rsidRDefault="00FE323D" w:rsidP="00FE323D">
      <w:pPr>
        <w:tabs>
          <w:tab w:val="left" w:pos="851"/>
        </w:tabs>
        <w:ind w:left="851"/>
        <w:rPr>
          <w:i/>
          <w:iCs/>
          <w:sz w:val="24"/>
          <w:szCs w:val="24"/>
        </w:rPr>
      </w:pPr>
      <w:r w:rsidRPr="00FE323D">
        <w:rPr>
          <w:sz w:val="24"/>
          <w:szCs w:val="24"/>
        </w:rPr>
        <w:t>Macrogol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E323D" w:rsidRPr="00FE323D" w:rsidRDefault="00FE323D" w:rsidP="00FE323D">
      <w:pPr>
        <w:tabs>
          <w:tab w:val="left" w:pos="851"/>
        </w:tabs>
        <w:ind w:left="851"/>
        <w:rPr>
          <w:sz w:val="24"/>
          <w:szCs w:val="24"/>
        </w:rPr>
      </w:pPr>
      <w:r w:rsidRPr="00FE323D">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FE323D" w:rsidRDefault="00FE323D" w:rsidP="00FE323D">
      <w:pPr>
        <w:tabs>
          <w:tab w:val="left" w:pos="851"/>
        </w:tabs>
        <w:ind w:left="851"/>
        <w:rPr>
          <w:sz w:val="24"/>
          <w:szCs w:val="24"/>
        </w:rPr>
      </w:pPr>
      <w:r w:rsidRPr="00FE323D">
        <w:rPr>
          <w:sz w:val="24"/>
          <w:szCs w:val="24"/>
        </w:rPr>
        <w:t>3 år</w:t>
      </w:r>
      <w:r>
        <w:rPr>
          <w:sz w:val="24"/>
          <w:szCs w:val="24"/>
        </w:rPr>
        <w:t>.</w:t>
      </w:r>
    </w:p>
    <w:p w:rsidR="00FE323D" w:rsidRDefault="00FE323D" w:rsidP="00FE323D">
      <w:pPr>
        <w:tabs>
          <w:tab w:val="left" w:pos="851"/>
        </w:tabs>
        <w:ind w:left="851"/>
        <w:rPr>
          <w:sz w:val="24"/>
          <w:szCs w:val="24"/>
        </w:rPr>
      </w:pPr>
    </w:p>
    <w:p w:rsidR="00FE323D" w:rsidRPr="00FE323D" w:rsidRDefault="00FE323D" w:rsidP="00FE323D">
      <w:pPr>
        <w:tabs>
          <w:tab w:val="left" w:pos="851"/>
        </w:tabs>
        <w:ind w:left="851"/>
        <w:rPr>
          <w:sz w:val="24"/>
          <w:szCs w:val="24"/>
          <w:u w:val="single"/>
        </w:rPr>
      </w:pPr>
      <w:r w:rsidRPr="00FE323D">
        <w:rPr>
          <w:sz w:val="24"/>
          <w:szCs w:val="24"/>
          <w:u w:val="single"/>
        </w:rPr>
        <w:t>Efter åbning af posen</w:t>
      </w:r>
    </w:p>
    <w:p w:rsidR="00FE323D" w:rsidRPr="00FE323D" w:rsidRDefault="00FE323D" w:rsidP="00FE323D">
      <w:pPr>
        <w:tabs>
          <w:tab w:val="left" w:pos="851"/>
        </w:tabs>
        <w:ind w:left="851"/>
        <w:rPr>
          <w:sz w:val="24"/>
          <w:szCs w:val="24"/>
        </w:rPr>
      </w:pPr>
      <w:r w:rsidRPr="00FE323D">
        <w:rPr>
          <w:sz w:val="24"/>
          <w:szCs w:val="24"/>
        </w:rPr>
        <w:t xml:space="preserve">Når posen er åbnet, skal enkeltdosisbeholderne anvendes inden for 30 dage. </w:t>
      </w:r>
    </w:p>
    <w:p w:rsidR="00FE323D" w:rsidRPr="00FE323D" w:rsidRDefault="00FE323D" w:rsidP="00FE323D">
      <w:pPr>
        <w:tabs>
          <w:tab w:val="left" w:pos="851"/>
        </w:tabs>
        <w:ind w:left="851"/>
        <w:rPr>
          <w:i/>
          <w:iCs/>
          <w:sz w:val="24"/>
          <w:szCs w:val="24"/>
        </w:rPr>
      </w:pPr>
      <w:r w:rsidRPr="00FE323D">
        <w:rPr>
          <w:sz w:val="24"/>
          <w:szCs w:val="24"/>
        </w:rPr>
        <w:t>Kassér enkeltdosisbeholderen umiddelbart efter brug.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E323D" w:rsidRDefault="00FE323D" w:rsidP="00FE323D">
      <w:pPr>
        <w:tabs>
          <w:tab w:val="left" w:pos="851"/>
        </w:tabs>
        <w:ind w:left="851"/>
        <w:rPr>
          <w:sz w:val="24"/>
          <w:szCs w:val="24"/>
        </w:rPr>
      </w:pPr>
      <w:bookmarkStart w:id="2" w:name="_Hlk51677314"/>
      <w:r w:rsidRPr="00FE323D">
        <w:rPr>
          <w:sz w:val="24"/>
          <w:szCs w:val="24"/>
        </w:rPr>
        <w:t>Der er ingen særlige krav vedrørende opbevaringstemperaturer for dette lægemiddel</w:t>
      </w:r>
      <w:r>
        <w:rPr>
          <w:sz w:val="24"/>
          <w:szCs w:val="24"/>
        </w:rPr>
        <w:t>.</w:t>
      </w:r>
    </w:p>
    <w:p w:rsidR="00FE323D" w:rsidRPr="00FE323D" w:rsidRDefault="00FE323D" w:rsidP="00FE323D">
      <w:pPr>
        <w:tabs>
          <w:tab w:val="left" w:pos="851"/>
        </w:tabs>
        <w:ind w:left="851"/>
        <w:rPr>
          <w:sz w:val="24"/>
          <w:szCs w:val="24"/>
        </w:rPr>
      </w:pPr>
      <w:bookmarkStart w:id="3" w:name="_Hlk124144871"/>
      <w:r w:rsidRPr="00FE323D">
        <w:rPr>
          <w:sz w:val="24"/>
          <w:szCs w:val="24"/>
        </w:rPr>
        <w:t>Opbevar enkeltdosisbeholderne i den originale emballage for at beskytte mod fugt.</w:t>
      </w:r>
      <w:bookmarkEnd w:id="3"/>
    </w:p>
    <w:p w:rsidR="00FE323D" w:rsidRDefault="00FE323D" w:rsidP="00FE323D">
      <w:pPr>
        <w:tabs>
          <w:tab w:val="left" w:pos="851"/>
        </w:tabs>
        <w:ind w:left="851"/>
        <w:rPr>
          <w:sz w:val="24"/>
          <w:szCs w:val="24"/>
        </w:rPr>
      </w:pPr>
    </w:p>
    <w:p w:rsidR="00FE323D" w:rsidRPr="00FE323D" w:rsidRDefault="00FE323D" w:rsidP="00FE323D">
      <w:pPr>
        <w:tabs>
          <w:tab w:val="left" w:pos="851"/>
        </w:tabs>
        <w:ind w:left="851"/>
        <w:rPr>
          <w:sz w:val="24"/>
          <w:szCs w:val="24"/>
          <w:u w:val="single"/>
        </w:rPr>
      </w:pPr>
      <w:r w:rsidRPr="00FE323D">
        <w:rPr>
          <w:sz w:val="24"/>
          <w:szCs w:val="24"/>
          <w:u w:val="single"/>
        </w:rPr>
        <w:t>Efter åbning af posen</w:t>
      </w:r>
    </w:p>
    <w:bookmarkEnd w:id="2"/>
    <w:p w:rsidR="00FE323D" w:rsidRPr="00FE323D" w:rsidRDefault="00FE323D" w:rsidP="00FE323D">
      <w:pPr>
        <w:tabs>
          <w:tab w:val="left" w:pos="851"/>
        </w:tabs>
        <w:ind w:left="851"/>
        <w:rPr>
          <w:sz w:val="24"/>
          <w:szCs w:val="24"/>
        </w:rPr>
      </w:pPr>
      <w:r w:rsidRPr="00FE323D">
        <w:rPr>
          <w:sz w:val="24"/>
          <w:szCs w:val="24"/>
        </w:rPr>
        <w:t xml:space="preserve">Når posen er åbnet, skal enkeltdosisbeholderne opbevares ved temperaturer under 25 °C.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E323D" w:rsidRDefault="00FE323D" w:rsidP="00FE323D">
      <w:pPr>
        <w:tabs>
          <w:tab w:val="left" w:pos="851"/>
        </w:tabs>
        <w:ind w:left="851"/>
        <w:rPr>
          <w:sz w:val="24"/>
          <w:szCs w:val="24"/>
        </w:rPr>
      </w:pPr>
      <w:r>
        <w:rPr>
          <w:sz w:val="24"/>
          <w:szCs w:val="24"/>
        </w:rPr>
        <w:t>E</w:t>
      </w:r>
      <w:r w:rsidRPr="00FE323D">
        <w:rPr>
          <w:sz w:val="24"/>
          <w:szCs w:val="24"/>
        </w:rPr>
        <w:t>nkeltdosisbeholder fremstillet af lavdensitets-polyethylen (LDPE) med skruelåg, der indeholder 0,2 ml opløsning</w:t>
      </w:r>
      <w:r w:rsidR="00756B79">
        <w:rPr>
          <w:sz w:val="24"/>
          <w:szCs w:val="24"/>
        </w:rPr>
        <w:t>, i aluminiumsfoliepose</w:t>
      </w:r>
      <w:r w:rsidRPr="00FE323D">
        <w:rPr>
          <w:sz w:val="24"/>
          <w:szCs w:val="24"/>
        </w:rPr>
        <w:t>.</w:t>
      </w:r>
    </w:p>
    <w:p w:rsidR="00FE323D" w:rsidRDefault="00FE323D" w:rsidP="00FE323D">
      <w:pPr>
        <w:tabs>
          <w:tab w:val="left" w:pos="851"/>
        </w:tabs>
        <w:ind w:left="851"/>
        <w:rPr>
          <w:sz w:val="24"/>
          <w:szCs w:val="24"/>
        </w:rPr>
      </w:pPr>
    </w:p>
    <w:p w:rsidR="00FE323D" w:rsidRPr="00FE323D" w:rsidRDefault="00FE323D" w:rsidP="00FE323D">
      <w:pPr>
        <w:tabs>
          <w:tab w:val="left" w:pos="851"/>
        </w:tabs>
        <w:ind w:left="851"/>
        <w:rPr>
          <w:sz w:val="24"/>
          <w:szCs w:val="24"/>
          <w:u w:val="single"/>
        </w:rPr>
      </w:pPr>
      <w:r w:rsidRPr="00FE323D">
        <w:rPr>
          <w:sz w:val="24"/>
          <w:szCs w:val="24"/>
          <w:u w:val="single"/>
        </w:rPr>
        <w:t>Pakningsstørrelser</w:t>
      </w:r>
    </w:p>
    <w:p w:rsidR="00FE323D" w:rsidRDefault="00FE323D" w:rsidP="00FE323D">
      <w:pPr>
        <w:tabs>
          <w:tab w:val="left" w:pos="851"/>
        </w:tabs>
        <w:ind w:left="851"/>
        <w:rPr>
          <w:sz w:val="24"/>
          <w:szCs w:val="24"/>
        </w:rPr>
      </w:pPr>
      <w:r w:rsidRPr="00FE323D">
        <w:rPr>
          <w:sz w:val="24"/>
          <w:szCs w:val="24"/>
        </w:rPr>
        <w:t>30 enkeltdosisbeholdere i 3 aluminiumsfolieposer.</w:t>
      </w:r>
    </w:p>
    <w:p w:rsidR="00756B79" w:rsidRDefault="00756B79" w:rsidP="00FE323D">
      <w:pPr>
        <w:tabs>
          <w:tab w:val="left" w:pos="851"/>
        </w:tabs>
        <w:ind w:left="851"/>
        <w:rPr>
          <w:sz w:val="24"/>
          <w:szCs w:val="24"/>
        </w:rPr>
      </w:pPr>
    </w:p>
    <w:p w:rsidR="00756B79" w:rsidRPr="00FE323D" w:rsidRDefault="00756B79" w:rsidP="00FE323D">
      <w:pPr>
        <w:tabs>
          <w:tab w:val="left" w:pos="851"/>
        </w:tabs>
        <w:ind w:left="851"/>
        <w:rPr>
          <w:sz w:val="24"/>
          <w:szCs w:val="24"/>
        </w:rPr>
      </w:pPr>
      <w:r>
        <w:rPr>
          <w:sz w:val="24"/>
          <w:szCs w:val="24"/>
        </w:rPr>
        <w:t>Ikke alle</w:t>
      </w:r>
      <w:r w:rsidR="00A10C50">
        <w:rPr>
          <w:sz w:val="24"/>
          <w:szCs w:val="24"/>
        </w:rPr>
        <w:t xml:space="preserve"> </w:t>
      </w:r>
      <w:r>
        <w:rPr>
          <w:sz w:val="24"/>
          <w:szCs w:val="24"/>
        </w:rPr>
        <w:t>pakningsstørrelser er n</w:t>
      </w:r>
      <w:r w:rsidR="00A10C50">
        <w:rPr>
          <w:sz w:val="24"/>
          <w:szCs w:val="24"/>
        </w:rPr>
        <w:t>ø</w:t>
      </w:r>
      <w:r>
        <w:rPr>
          <w:sz w:val="24"/>
          <w:szCs w:val="24"/>
        </w:rPr>
        <w:t>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38535B" w:rsidRPr="0038535B" w:rsidRDefault="0038535B" w:rsidP="0038535B">
      <w:pPr>
        <w:tabs>
          <w:tab w:val="left" w:pos="851"/>
        </w:tabs>
        <w:ind w:left="851"/>
        <w:rPr>
          <w:sz w:val="24"/>
          <w:szCs w:val="24"/>
        </w:rPr>
      </w:pPr>
      <w:r w:rsidRPr="0038535B">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8535B" w:rsidRPr="00B720EC" w:rsidRDefault="0038535B" w:rsidP="0038535B">
      <w:pPr>
        <w:tabs>
          <w:tab w:val="left" w:pos="851"/>
        </w:tabs>
        <w:ind w:left="851"/>
        <w:rPr>
          <w:sz w:val="24"/>
          <w:szCs w:val="24"/>
        </w:rPr>
      </w:pPr>
      <w:r w:rsidRPr="00B720EC">
        <w:rPr>
          <w:sz w:val="24"/>
          <w:szCs w:val="24"/>
        </w:rPr>
        <w:t>Laboratorios Salvat S.A.</w:t>
      </w:r>
    </w:p>
    <w:p w:rsidR="0038535B" w:rsidRDefault="0038535B" w:rsidP="0038535B">
      <w:pPr>
        <w:tabs>
          <w:tab w:val="left" w:pos="851"/>
        </w:tabs>
        <w:ind w:left="851"/>
        <w:rPr>
          <w:sz w:val="24"/>
          <w:szCs w:val="24"/>
          <w:lang w:val="en-US"/>
        </w:rPr>
      </w:pPr>
      <w:r>
        <w:rPr>
          <w:sz w:val="24"/>
          <w:szCs w:val="24"/>
          <w:lang w:val="en-US"/>
        </w:rPr>
        <w:t xml:space="preserve">Calle </w:t>
      </w:r>
      <w:r w:rsidRPr="0038535B">
        <w:rPr>
          <w:sz w:val="24"/>
          <w:szCs w:val="24"/>
          <w:lang w:val="en-US"/>
        </w:rPr>
        <w:t>Gall 30-36</w:t>
      </w:r>
    </w:p>
    <w:p w:rsidR="0038535B" w:rsidRPr="00B720EC" w:rsidRDefault="0038535B" w:rsidP="0038535B">
      <w:pPr>
        <w:tabs>
          <w:tab w:val="left" w:pos="851"/>
        </w:tabs>
        <w:ind w:left="851"/>
        <w:rPr>
          <w:sz w:val="24"/>
          <w:szCs w:val="24"/>
          <w:lang w:val="en-US"/>
        </w:rPr>
      </w:pPr>
      <w:r w:rsidRPr="00B720EC">
        <w:rPr>
          <w:sz w:val="24"/>
          <w:szCs w:val="24"/>
          <w:lang w:val="en-US"/>
        </w:rPr>
        <w:t>Poligono Industrial Esplugues De Llobregat</w:t>
      </w:r>
    </w:p>
    <w:p w:rsidR="0038535B" w:rsidRPr="00756B79" w:rsidRDefault="0038535B" w:rsidP="0038535B">
      <w:pPr>
        <w:tabs>
          <w:tab w:val="left" w:pos="851"/>
        </w:tabs>
        <w:ind w:left="851"/>
        <w:rPr>
          <w:sz w:val="24"/>
          <w:szCs w:val="24"/>
        </w:rPr>
      </w:pPr>
      <w:r w:rsidRPr="00756B79">
        <w:rPr>
          <w:sz w:val="24"/>
          <w:szCs w:val="24"/>
        </w:rPr>
        <w:t>08950 Esplugues de Llobregat, Barcelona</w:t>
      </w:r>
    </w:p>
    <w:p w:rsidR="0038535B" w:rsidRPr="0038535B" w:rsidRDefault="0038535B" w:rsidP="0038535B">
      <w:pPr>
        <w:tabs>
          <w:tab w:val="left" w:pos="851"/>
        </w:tabs>
        <w:ind w:left="851"/>
        <w:rPr>
          <w:i/>
          <w:iCs/>
          <w:sz w:val="24"/>
          <w:szCs w:val="24"/>
        </w:rPr>
      </w:pPr>
      <w:r w:rsidRPr="0038535B">
        <w:rPr>
          <w:sz w:val="24"/>
          <w:szCs w:val="24"/>
        </w:rPr>
        <w:t>Spanien</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756B79" w:rsidP="009260DE">
      <w:pPr>
        <w:tabs>
          <w:tab w:val="left" w:pos="851"/>
        </w:tabs>
        <w:ind w:left="851"/>
        <w:rPr>
          <w:sz w:val="24"/>
          <w:szCs w:val="24"/>
        </w:rPr>
      </w:pPr>
      <w:r>
        <w:rPr>
          <w:sz w:val="24"/>
          <w:szCs w:val="24"/>
        </w:rPr>
        <w:t>69304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B720EC" w:rsidP="009260DE">
      <w:pPr>
        <w:tabs>
          <w:tab w:val="left" w:pos="851"/>
        </w:tabs>
        <w:ind w:left="851"/>
        <w:rPr>
          <w:sz w:val="24"/>
          <w:szCs w:val="24"/>
        </w:rPr>
      </w:pPr>
      <w:r>
        <w:rPr>
          <w:sz w:val="24"/>
          <w:szCs w:val="24"/>
        </w:rPr>
        <w:t>14. marts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756B79"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4FD" w:rsidRDefault="002164FD">
      <w:r>
        <w:separator/>
      </w:r>
    </w:p>
  </w:endnote>
  <w:endnote w:type="continuationSeparator" w:id="0">
    <w:p w:rsidR="002164FD" w:rsidRDefault="0021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41963">
      <w:rPr>
        <w:i/>
        <w:noProof/>
        <w:sz w:val="18"/>
        <w:szCs w:val="18"/>
      </w:rPr>
      <w:t>Clotic, øredråber, opløsning i enkeltdosisbeholder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4FD" w:rsidRDefault="002164FD">
      <w:r>
        <w:separator/>
      </w:r>
    </w:p>
  </w:footnote>
  <w:footnote w:type="continuationSeparator" w:id="0">
    <w:p w:rsidR="002164FD" w:rsidRDefault="00216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FD"/>
    <w:rsid w:val="000259B9"/>
    <w:rsid w:val="00041491"/>
    <w:rsid w:val="00050D16"/>
    <w:rsid w:val="000730CA"/>
    <w:rsid w:val="00074F2A"/>
    <w:rsid w:val="000A1CA8"/>
    <w:rsid w:val="000A466B"/>
    <w:rsid w:val="000B058C"/>
    <w:rsid w:val="000D68B0"/>
    <w:rsid w:val="000E4EE6"/>
    <w:rsid w:val="001454E2"/>
    <w:rsid w:val="001B3F3A"/>
    <w:rsid w:val="00206CE8"/>
    <w:rsid w:val="0021526C"/>
    <w:rsid w:val="002164FD"/>
    <w:rsid w:val="00283A2B"/>
    <w:rsid w:val="002B30AD"/>
    <w:rsid w:val="002C1EC0"/>
    <w:rsid w:val="002C2C01"/>
    <w:rsid w:val="0038535B"/>
    <w:rsid w:val="003A29AE"/>
    <w:rsid w:val="003A32D7"/>
    <w:rsid w:val="003B4074"/>
    <w:rsid w:val="003C6533"/>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56B79"/>
    <w:rsid w:val="0078011A"/>
    <w:rsid w:val="00782AF4"/>
    <w:rsid w:val="00790EE7"/>
    <w:rsid w:val="007B6649"/>
    <w:rsid w:val="0082576E"/>
    <w:rsid w:val="0089346F"/>
    <w:rsid w:val="00907F75"/>
    <w:rsid w:val="009260DE"/>
    <w:rsid w:val="0093258A"/>
    <w:rsid w:val="00941963"/>
    <w:rsid w:val="009C7BA3"/>
    <w:rsid w:val="009D1F5A"/>
    <w:rsid w:val="00A10294"/>
    <w:rsid w:val="00A10C50"/>
    <w:rsid w:val="00B003BF"/>
    <w:rsid w:val="00B373D7"/>
    <w:rsid w:val="00B55271"/>
    <w:rsid w:val="00B720EC"/>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21F3"/>
    <w:rsid w:val="00E3749A"/>
    <w:rsid w:val="00E7437F"/>
    <w:rsid w:val="00E865B8"/>
    <w:rsid w:val="00EC0B9B"/>
    <w:rsid w:val="00ED5E9F"/>
    <w:rsid w:val="00F06A50"/>
    <w:rsid w:val="00F66D4F"/>
    <w:rsid w:val="00FB6D01"/>
    <w:rsid w:val="00FE32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91A5A"/>
  <w15:chartTrackingRefBased/>
  <w15:docId w15:val="{26DC80F9-8787-4EA4-8F16-D118E88C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941963"/>
    <w:rPr>
      <w:color w:val="0000FF"/>
      <w:u w:val="single"/>
    </w:rPr>
  </w:style>
  <w:style w:type="table" w:styleId="Tabel-Gitter">
    <w:name w:val="Table Grid"/>
    <w:basedOn w:val="Tabel-Normal"/>
    <w:rsid w:val="00941963"/>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6157">
      <w:bodyDiv w:val="1"/>
      <w:marLeft w:val="0"/>
      <w:marRight w:val="0"/>
      <w:marTop w:val="0"/>
      <w:marBottom w:val="0"/>
      <w:divBdr>
        <w:top w:val="none" w:sz="0" w:space="0" w:color="auto"/>
        <w:left w:val="none" w:sz="0" w:space="0" w:color="auto"/>
        <w:bottom w:val="none" w:sz="0" w:space="0" w:color="auto"/>
        <w:right w:val="none" w:sz="0" w:space="0" w:color="auto"/>
      </w:divBdr>
    </w:div>
    <w:div w:id="72163298">
      <w:bodyDiv w:val="1"/>
      <w:marLeft w:val="0"/>
      <w:marRight w:val="0"/>
      <w:marTop w:val="0"/>
      <w:marBottom w:val="0"/>
      <w:divBdr>
        <w:top w:val="none" w:sz="0" w:space="0" w:color="auto"/>
        <w:left w:val="none" w:sz="0" w:space="0" w:color="auto"/>
        <w:bottom w:val="none" w:sz="0" w:space="0" w:color="auto"/>
        <w:right w:val="none" w:sz="0" w:space="0" w:color="auto"/>
      </w:divBdr>
    </w:div>
    <w:div w:id="89201741">
      <w:bodyDiv w:val="1"/>
      <w:marLeft w:val="0"/>
      <w:marRight w:val="0"/>
      <w:marTop w:val="0"/>
      <w:marBottom w:val="0"/>
      <w:divBdr>
        <w:top w:val="none" w:sz="0" w:space="0" w:color="auto"/>
        <w:left w:val="none" w:sz="0" w:space="0" w:color="auto"/>
        <w:bottom w:val="none" w:sz="0" w:space="0" w:color="auto"/>
        <w:right w:val="none" w:sz="0" w:space="0" w:color="auto"/>
      </w:divBdr>
    </w:div>
    <w:div w:id="1613541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0919900">
      <w:bodyDiv w:val="1"/>
      <w:marLeft w:val="0"/>
      <w:marRight w:val="0"/>
      <w:marTop w:val="0"/>
      <w:marBottom w:val="0"/>
      <w:divBdr>
        <w:top w:val="none" w:sz="0" w:space="0" w:color="auto"/>
        <w:left w:val="none" w:sz="0" w:space="0" w:color="auto"/>
        <w:bottom w:val="none" w:sz="0" w:space="0" w:color="auto"/>
        <w:right w:val="none" w:sz="0" w:space="0" w:color="auto"/>
      </w:divBdr>
    </w:div>
    <w:div w:id="212278200">
      <w:bodyDiv w:val="1"/>
      <w:marLeft w:val="0"/>
      <w:marRight w:val="0"/>
      <w:marTop w:val="0"/>
      <w:marBottom w:val="0"/>
      <w:divBdr>
        <w:top w:val="none" w:sz="0" w:space="0" w:color="auto"/>
        <w:left w:val="none" w:sz="0" w:space="0" w:color="auto"/>
        <w:bottom w:val="none" w:sz="0" w:space="0" w:color="auto"/>
        <w:right w:val="none" w:sz="0" w:space="0" w:color="auto"/>
      </w:divBdr>
    </w:div>
    <w:div w:id="233130321">
      <w:bodyDiv w:val="1"/>
      <w:marLeft w:val="0"/>
      <w:marRight w:val="0"/>
      <w:marTop w:val="0"/>
      <w:marBottom w:val="0"/>
      <w:divBdr>
        <w:top w:val="none" w:sz="0" w:space="0" w:color="auto"/>
        <w:left w:val="none" w:sz="0" w:space="0" w:color="auto"/>
        <w:bottom w:val="none" w:sz="0" w:space="0" w:color="auto"/>
        <w:right w:val="none" w:sz="0" w:space="0" w:color="auto"/>
      </w:divBdr>
    </w:div>
    <w:div w:id="264003294">
      <w:bodyDiv w:val="1"/>
      <w:marLeft w:val="0"/>
      <w:marRight w:val="0"/>
      <w:marTop w:val="0"/>
      <w:marBottom w:val="0"/>
      <w:divBdr>
        <w:top w:val="none" w:sz="0" w:space="0" w:color="auto"/>
        <w:left w:val="none" w:sz="0" w:space="0" w:color="auto"/>
        <w:bottom w:val="none" w:sz="0" w:space="0" w:color="auto"/>
        <w:right w:val="none" w:sz="0" w:space="0" w:color="auto"/>
      </w:divBdr>
    </w:div>
    <w:div w:id="278609343">
      <w:bodyDiv w:val="1"/>
      <w:marLeft w:val="0"/>
      <w:marRight w:val="0"/>
      <w:marTop w:val="0"/>
      <w:marBottom w:val="0"/>
      <w:divBdr>
        <w:top w:val="none" w:sz="0" w:space="0" w:color="auto"/>
        <w:left w:val="none" w:sz="0" w:space="0" w:color="auto"/>
        <w:bottom w:val="none" w:sz="0" w:space="0" w:color="auto"/>
        <w:right w:val="none" w:sz="0" w:space="0" w:color="auto"/>
      </w:divBdr>
    </w:div>
    <w:div w:id="411198321">
      <w:bodyDiv w:val="1"/>
      <w:marLeft w:val="0"/>
      <w:marRight w:val="0"/>
      <w:marTop w:val="0"/>
      <w:marBottom w:val="0"/>
      <w:divBdr>
        <w:top w:val="none" w:sz="0" w:space="0" w:color="auto"/>
        <w:left w:val="none" w:sz="0" w:space="0" w:color="auto"/>
        <w:bottom w:val="none" w:sz="0" w:space="0" w:color="auto"/>
        <w:right w:val="none" w:sz="0" w:space="0" w:color="auto"/>
      </w:divBdr>
    </w:div>
    <w:div w:id="436173708">
      <w:bodyDiv w:val="1"/>
      <w:marLeft w:val="0"/>
      <w:marRight w:val="0"/>
      <w:marTop w:val="0"/>
      <w:marBottom w:val="0"/>
      <w:divBdr>
        <w:top w:val="none" w:sz="0" w:space="0" w:color="auto"/>
        <w:left w:val="none" w:sz="0" w:space="0" w:color="auto"/>
        <w:bottom w:val="none" w:sz="0" w:space="0" w:color="auto"/>
        <w:right w:val="none" w:sz="0" w:space="0" w:color="auto"/>
      </w:divBdr>
    </w:div>
    <w:div w:id="521866187">
      <w:bodyDiv w:val="1"/>
      <w:marLeft w:val="0"/>
      <w:marRight w:val="0"/>
      <w:marTop w:val="0"/>
      <w:marBottom w:val="0"/>
      <w:divBdr>
        <w:top w:val="none" w:sz="0" w:space="0" w:color="auto"/>
        <w:left w:val="none" w:sz="0" w:space="0" w:color="auto"/>
        <w:bottom w:val="none" w:sz="0" w:space="0" w:color="auto"/>
        <w:right w:val="none" w:sz="0" w:space="0" w:color="auto"/>
      </w:divBdr>
    </w:div>
    <w:div w:id="609050189">
      <w:bodyDiv w:val="1"/>
      <w:marLeft w:val="0"/>
      <w:marRight w:val="0"/>
      <w:marTop w:val="0"/>
      <w:marBottom w:val="0"/>
      <w:divBdr>
        <w:top w:val="none" w:sz="0" w:space="0" w:color="auto"/>
        <w:left w:val="none" w:sz="0" w:space="0" w:color="auto"/>
        <w:bottom w:val="none" w:sz="0" w:space="0" w:color="auto"/>
        <w:right w:val="none" w:sz="0" w:space="0" w:color="auto"/>
      </w:divBdr>
    </w:div>
    <w:div w:id="625428486">
      <w:bodyDiv w:val="1"/>
      <w:marLeft w:val="0"/>
      <w:marRight w:val="0"/>
      <w:marTop w:val="0"/>
      <w:marBottom w:val="0"/>
      <w:divBdr>
        <w:top w:val="none" w:sz="0" w:space="0" w:color="auto"/>
        <w:left w:val="none" w:sz="0" w:space="0" w:color="auto"/>
        <w:bottom w:val="none" w:sz="0" w:space="0" w:color="auto"/>
        <w:right w:val="none" w:sz="0" w:space="0" w:color="auto"/>
      </w:divBdr>
    </w:div>
    <w:div w:id="690180883">
      <w:bodyDiv w:val="1"/>
      <w:marLeft w:val="0"/>
      <w:marRight w:val="0"/>
      <w:marTop w:val="0"/>
      <w:marBottom w:val="0"/>
      <w:divBdr>
        <w:top w:val="none" w:sz="0" w:space="0" w:color="auto"/>
        <w:left w:val="none" w:sz="0" w:space="0" w:color="auto"/>
        <w:bottom w:val="none" w:sz="0" w:space="0" w:color="auto"/>
        <w:right w:val="none" w:sz="0" w:space="0" w:color="auto"/>
      </w:divBdr>
    </w:div>
    <w:div w:id="707873360">
      <w:bodyDiv w:val="1"/>
      <w:marLeft w:val="0"/>
      <w:marRight w:val="0"/>
      <w:marTop w:val="0"/>
      <w:marBottom w:val="0"/>
      <w:divBdr>
        <w:top w:val="none" w:sz="0" w:space="0" w:color="auto"/>
        <w:left w:val="none" w:sz="0" w:space="0" w:color="auto"/>
        <w:bottom w:val="none" w:sz="0" w:space="0" w:color="auto"/>
        <w:right w:val="none" w:sz="0" w:space="0" w:color="auto"/>
      </w:divBdr>
    </w:div>
    <w:div w:id="763692779">
      <w:bodyDiv w:val="1"/>
      <w:marLeft w:val="0"/>
      <w:marRight w:val="0"/>
      <w:marTop w:val="0"/>
      <w:marBottom w:val="0"/>
      <w:divBdr>
        <w:top w:val="none" w:sz="0" w:space="0" w:color="auto"/>
        <w:left w:val="none" w:sz="0" w:space="0" w:color="auto"/>
        <w:bottom w:val="none" w:sz="0" w:space="0" w:color="auto"/>
        <w:right w:val="none" w:sz="0" w:space="0" w:color="auto"/>
      </w:divBdr>
    </w:div>
    <w:div w:id="807939802">
      <w:bodyDiv w:val="1"/>
      <w:marLeft w:val="0"/>
      <w:marRight w:val="0"/>
      <w:marTop w:val="0"/>
      <w:marBottom w:val="0"/>
      <w:divBdr>
        <w:top w:val="none" w:sz="0" w:space="0" w:color="auto"/>
        <w:left w:val="none" w:sz="0" w:space="0" w:color="auto"/>
        <w:bottom w:val="none" w:sz="0" w:space="0" w:color="auto"/>
        <w:right w:val="none" w:sz="0" w:space="0" w:color="auto"/>
      </w:divBdr>
    </w:div>
    <w:div w:id="829708662">
      <w:bodyDiv w:val="1"/>
      <w:marLeft w:val="0"/>
      <w:marRight w:val="0"/>
      <w:marTop w:val="0"/>
      <w:marBottom w:val="0"/>
      <w:divBdr>
        <w:top w:val="none" w:sz="0" w:space="0" w:color="auto"/>
        <w:left w:val="none" w:sz="0" w:space="0" w:color="auto"/>
        <w:bottom w:val="none" w:sz="0" w:space="0" w:color="auto"/>
        <w:right w:val="none" w:sz="0" w:space="0" w:color="auto"/>
      </w:divBdr>
    </w:div>
    <w:div w:id="849298347">
      <w:bodyDiv w:val="1"/>
      <w:marLeft w:val="0"/>
      <w:marRight w:val="0"/>
      <w:marTop w:val="0"/>
      <w:marBottom w:val="0"/>
      <w:divBdr>
        <w:top w:val="none" w:sz="0" w:space="0" w:color="auto"/>
        <w:left w:val="none" w:sz="0" w:space="0" w:color="auto"/>
        <w:bottom w:val="none" w:sz="0" w:space="0" w:color="auto"/>
        <w:right w:val="none" w:sz="0" w:space="0" w:color="auto"/>
      </w:divBdr>
    </w:div>
    <w:div w:id="909970108">
      <w:bodyDiv w:val="1"/>
      <w:marLeft w:val="0"/>
      <w:marRight w:val="0"/>
      <w:marTop w:val="0"/>
      <w:marBottom w:val="0"/>
      <w:divBdr>
        <w:top w:val="none" w:sz="0" w:space="0" w:color="auto"/>
        <w:left w:val="none" w:sz="0" w:space="0" w:color="auto"/>
        <w:bottom w:val="none" w:sz="0" w:space="0" w:color="auto"/>
        <w:right w:val="none" w:sz="0" w:space="0" w:color="auto"/>
      </w:divBdr>
    </w:div>
    <w:div w:id="917514821">
      <w:bodyDiv w:val="1"/>
      <w:marLeft w:val="0"/>
      <w:marRight w:val="0"/>
      <w:marTop w:val="0"/>
      <w:marBottom w:val="0"/>
      <w:divBdr>
        <w:top w:val="none" w:sz="0" w:space="0" w:color="auto"/>
        <w:left w:val="none" w:sz="0" w:space="0" w:color="auto"/>
        <w:bottom w:val="none" w:sz="0" w:space="0" w:color="auto"/>
        <w:right w:val="none" w:sz="0" w:space="0" w:color="auto"/>
      </w:divBdr>
    </w:div>
    <w:div w:id="1017853021">
      <w:bodyDiv w:val="1"/>
      <w:marLeft w:val="0"/>
      <w:marRight w:val="0"/>
      <w:marTop w:val="0"/>
      <w:marBottom w:val="0"/>
      <w:divBdr>
        <w:top w:val="none" w:sz="0" w:space="0" w:color="auto"/>
        <w:left w:val="none" w:sz="0" w:space="0" w:color="auto"/>
        <w:bottom w:val="none" w:sz="0" w:space="0" w:color="auto"/>
        <w:right w:val="none" w:sz="0" w:space="0" w:color="auto"/>
      </w:divBdr>
    </w:div>
    <w:div w:id="1129856583">
      <w:bodyDiv w:val="1"/>
      <w:marLeft w:val="0"/>
      <w:marRight w:val="0"/>
      <w:marTop w:val="0"/>
      <w:marBottom w:val="0"/>
      <w:divBdr>
        <w:top w:val="none" w:sz="0" w:space="0" w:color="auto"/>
        <w:left w:val="none" w:sz="0" w:space="0" w:color="auto"/>
        <w:bottom w:val="none" w:sz="0" w:space="0" w:color="auto"/>
        <w:right w:val="none" w:sz="0" w:space="0" w:color="auto"/>
      </w:divBdr>
    </w:div>
    <w:div w:id="1136803459">
      <w:bodyDiv w:val="1"/>
      <w:marLeft w:val="0"/>
      <w:marRight w:val="0"/>
      <w:marTop w:val="0"/>
      <w:marBottom w:val="0"/>
      <w:divBdr>
        <w:top w:val="none" w:sz="0" w:space="0" w:color="auto"/>
        <w:left w:val="none" w:sz="0" w:space="0" w:color="auto"/>
        <w:bottom w:val="none" w:sz="0" w:space="0" w:color="auto"/>
        <w:right w:val="none" w:sz="0" w:space="0" w:color="auto"/>
      </w:divBdr>
    </w:div>
    <w:div w:id="1187907201">
      <w:bodyDiv w:val="1"/>
      <w:marLeft w:val="0"/>
      <w:marRight w:val="0"/>
      <w:marTop w:val="0"/>
      <w:marBottom w:val="0"/>
      <w:divBdr>
        <w:top w:val="none" w:sz="0" w:space="0" w:color="auto"/>
        <w:left w:val="none" w:sz="0" w:space="0" w:color="auto"/>
        <w:bottom w:val="none" w:sz="0" w:space="0" w:color="auto"/>
        <w:right w:val="none" w:sz="0" w:space="0" w:color="auto"/>
      </w:divBdr>
    </w:div>
    <w:div w:id="1195773910">
      <w:bodyDiv w:val="1"/>
      <w:marLeft w:val="0"/>
      <w:marRight w:val="0"/>
      <w:marTop w:val="0"/>
      <w:marBottom w:val="0"/>
      <w:divBdr>
        <w:top w:val="none" w:sz="0" w:space="0" w:color="auto"/>
        <w:left w:val="none" w:sz="0" w:space="0" w:color="auto"/>
        <w:bottom w:val="none" w:sz="0" w:space="0" w:color="auto"/>
        <w:right w:val="none" w:sz="0" w:space="0" w:color="auto"/>
      </w:divBdr>
    </w:div>
    <w:div w:id="1197546114">
      <w:bodyDiv w:val="1"/>
      <w:marLeft w:val="0"/>
      <w:marRight w:val="0"/>
      <w:marTop w:val="0"/>
      <w:marBottom w:val="0"/>
      <w:divBdr>
        <w:top w:val="none" w:sz="0" w:space="0" w:color="auto"/>
        <w:left w:val="none" w:sz="0" w:space="0" w:color="auto"/>
        <w:bottom w:val="none" w:sz="0" w:space="0" w:color="auto"/>
        <w:right w:val="none" w:sz="0" w:space="0" w:color="auto"/>
      </w:divBdr>
    </w:div>
    <w:div w:id="1277717543">
      <w:bodyDiv w:val="1"/>
      <w:marLeft w:val="0"/>
      <w:marRight w:val="0"/>
      <w:marTop w:val="0"/>
      <w:marBottom w:val="0"/>
      <w:divBdr>
        <w:top w:val="none" w:sz="0" w:space="0" w:color="auto"/>
        <w:left w:val="none" w:sz="0" w:space="0" w:color="auto"/>
        <w:bottom w:val="none" w:sz="0" w:space="0" w:color="auto"/>
        <w:right w:val="none" w:sz="0" w:space="0" w:color="auto"/>
      </w:divBdr>
    </w:div>
    <w:div w:id="1352534854">
      <w:bodyDiv w:val="1"/>
      <w:marLeft w:val="0"/>
      <w:marRight w:val="0"/>
      <w:marTop w:val="0"/>
      <w:marBottom w:val="0"/>
      <w:divBdr>
        <w:top w:val="none" w:sz="0" w:space="0" w:color="auto"/>
        <w:left w:val="none" w:sz="0" w:space="0" w:color="auto"/>
        <w:bottom w:val="none" w:sz="0" w:space="0" w:color="auto"/>
        <w:right w:val="none" w:sz="0" w:space="0" w:color="auto"/>
      </w:divBdr>
    </w:div>
    <w:div w:id="1369985667">
      <w:bodyDiv w:val="1"/>
      <w:marLeft w:val="0"/>
      <w:marRight w:val="0"/>
      <w:marTop w:val="0"/>
      <w:marBottom w:val="0"/>
      <w:divBdr>
        <w:top w:val="none" w:sz="0" w:space="0" w:color="auto"/>
        <w:left w:val="none" w:sz="0" w:space="0" w:color="auto"/>
        <w:bottom w:val="none" w:sz="0" w:space="0" w:color="auto"/>
        <w:right w:val="none" w:sz="0" w:space="0" w:color="auto"/>
      </w:divBdr>
    </w:div>
    <w:div w:id="1400398250">
      <w:bodyDiv w:val="1"/>
      <w:marLeft w:val="0"/>
      <w:marRight w:val="0"/>
      <w:marTop w:val="0"/>
      <w:marBottom w:val="0"/>
      <w:divBdr>
        <w:top w:val="none" w:sz="0" w:space="0" w:color="auto"/>
        <w:left w:val="none" w:sz="0" w:space="0" w:color="auto"/>
        <w:bottom w:val="none" w:sz="0" w:space="0" w:color="auto"/>
        <w:right w:val="none" w:sz="0" w:space="0" w:color="auto"/>
      </w:divBdr>
    </w:div>
    <w:div w:id="1452480096">
      <w:bodyDiv w:val="1"/>
      <w:marLeft w:val="0"/>
      <w:marRight w:val="0"/>
      <w:marTop w:val="0"/>
      <w:marBottom w:val="0"/>
      <w:divBdr>
        <w:top w:val="none" w:sz="0" w:space="0" w:color="auto"/>
        <w:left w:val="none" w:sz="0" w:space="0" w:color="auto"/>
        <w:bottom w:val="none" w:sz="0" w:space="0" w:color="auto"/>
        <w:right w:val="none" w:sz="0" w:space="0" w:color="auto"/>
      </w:divBdr>
    </w:div>
    <w:div w:id="1490099411">
      <w:bodyDiv w:val="1"/>
      <w:marLeft w:val="0"/>
      <w:marRight w:val="0"/>
      <w:marTop w:val="0"/>
      <w:marBottom w:val="0"/>
      <w:divBdr>
        <w:top w:val="none" w:sz="0" w:space="0" w:color="auto"/>
        <w:left w:val="none" w:sz="0" w:space="0" w:color="auto"/>
        <w:bottom w:val="none" w:sz="0" w:space="0" w:color="auto"/>
        <w:right w:val="none" w:sz="0" w:space="0" w:color="auto"/>
      </w:divBdr>
    </w:div>
    <w:div w:id="1513908522">
      <w:bodyDiv w:val="1"/>
      <w:marLeft w:val="0"/>
      <w:marRight w:val="0"/>
      <w:marTop w:val="0"/>
      <w:marBottom w:val="0"/>
      <w:divBdr>
        <w:top w:val="none" w:sz="0" w:space="0" w:color="auto"/>
        <w:left w:val="none" w:sz="0" w:space="0" w:color="auto"/>
        <w:bottom w:val="none" w:sz="0" w:space="0" w:color="auto"/>
        <w:right w:val="none" w:sz="0" w:space="0" w:color="auto"/>
      </w:divBdr>
    </w:div>
    <w:div w:id="1730571594">
      <w:bodyDiv w:val="1"/>
      <w:marLeft w:val="0"/>
      <w:marRight w:val="0"/>
      <w:marTop w:val="0"/>
      <w:marBottom w:val="0"/>
      <w:divBdr>
        <w:top w:val="none" w:sz="0" w:space="0" w:color="auto"/>
        <w:left w:val="none" w:sz="0" w:space="0" w:color="auto"/>
        <w:bottom w:val="none" w:sz="0" w:space="0" w:color="auto"/>
        <w:right w:val="none" w:sz="0" w:space="0" w:color="auto"/>
      </w:divBdr>
    </w:div>
    <w:div w:id="1745955452">
      <w:bodyDiv w:val="1"/>
      <w:marLeft w:val="0"/>
      <w:marRight w:val="0"/>
      <w:marTop w:val="0"/>
      <w:marBottom w:val="0"/>
      <w:divBdr>
        <w:top w:val="none" w:sz="0" w:space="0" w:color="auto"/>
        <w:left w:val="none" w:sz="0" w:space="0" w:color="auto"/>
        <w:bottom w:val="none" w:sz="0" w:space="0" w:color="auto"/>
        <w:right w:val="none" w:sz="0" w:space="0" w:color="auto"/>
      </w:divBdr>
    </w:div>
    <w:div w:id="1876849786">
      <w:bodyDiv w:val="1"/>
      <w:marLeft w:val="0"/>
      <w:marRight w:val="0"/>
      <w:marTop w:val="0"/>
      <w:marBottom w:val="0"/>
      <w:divBdr>
        <w:top w:val="none" w:sz="0" w:space="0" w:color="auto"/>
        <w:left w:val="none" w:sz="0" w:space="0" w:color="auto"/>
        <w:bottom w:val="none" w:sz="0" w:space="0" w:color="auto"/>
        <w:right w:val="none" w:sz="0" w:space="0" w:color="auto"/>
      </w:divBdr>
    </w:div>
    <w:div w:id="1879277561">
      <w:bodyDiv w:val="1"/>
      <w:marLeft w:val="0"/>
      <w:marRight w:val="0"/>
      <w:marTop w:val="0"/>
      <w:marBottom w:val="0"/>
      <w:divBdr>
        <w:top w:val="none" w:sz="0" w:space="0" w:color="auto"/>
        <w:left w:val="none" w:sz="0" w:space="0" w:color="auto"/>
        <w:bottom w:val="none" w:sz="0" w:space="0" w:color="auto"/>
        <w:right w:val="none" w:sz="0" w:space="0" w:color="auto"/>
      </w:divBdr>
    </w:div>
    <w:div w:id="1972898655">
      <w:bodyDiv w:val="1"/>
      <w:marLeft w:val="0"/>
      <w:marRight w:val="0"/>
      <w:marTop w:val="0"/>
      <w:marBottom w:val="0"/>
      <w:divBdr>
        <w:top w:val="none" w:sz="0" w:space="0" w:color="auto"/>
        <w:left w:val="none" w:sz="0" w:space="0" w:color="auto"/>
        <w:bottom w:val="none" w:sz="0" w:space="0" w:color="auto"/>
        <w:right w:val="none" w:sz="0" w:space="0" w:color="auto"/>
      </w:divBdr>
    </w:div>
    <w:div w:id="1973318022">
      <w:bodyDiv w:val="1"/>
      <w:marLeft w:val="0"/>
      <w:marRight w:val="0"/>
      <w:marTop w:val="0"/>
      <w:marBottom w:val="0"/>
      <w:divBdr>
        <w:top w:val="none" w:sz="0" w:space="0" w:color="auto"/>
        <w:left w:val="none" w:sz="0" w:space="0" w:color="auto"/>
        <w:bottom w:val="none" w:sz="0" w:space="0" w:color="auto"/>
        <w:right w:val="none" w:sz="0" w:space="0" w:color="auto"/>
      </w:divBdr>
    </w:div>
    <w:div w:id="21246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22</TotalTime>
  <Pages>6</Pages>
  <Words>1597</Words>
  <Characters>10319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2023030898 mt</dc:description>
  <cp:lastModifiedBy>Hanne Thy Iversen</cp:lastModifiedBy>
  <cp:revision>9</cp:revision>
  <cp:lastPrinted>2012-08-22T08:53:00Z</cp:lastPrinted>
  <dcterms:created xsi:type="dcterms:W3CDTF">2025-03-14T10:20:00Z</dcterms:created>
  <dcterms:modified xsi:type="dcterms:W3CDTF">2025-03-14T12:19:00Z</dcterms:modified>
</cp:coreProperties>
</file>