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EF262" w14:textId="77777777" w:rsidR="009260DE" w:rsidRPr="00A61FA0" w:rsidRDefault="0021526C" w:rsidP="009260DE">
      <w:pPr>
        <w:rPr>
          <w:sz w:val="24"/>
          <w:szCs w:val="24"/>
        </w:rPr>
      </w:pPr>
      <w:r w:rsidRPr="00A61FA0">
        <w:rPr>
          <w:noProof/>
          <w:sz w:val="24"/>
          <w:szCs w:val="24"/>
          <w:lang w:eastAsia="da-DK"/>
        </w:rPr>
        <w:drawing>
          <wp:anchor distT="0" distB="0" distL="114300" distR="114300" simplePos="0" relativeHeight="251658240" behindDoc="0" locked="0" layoutInCell="1" allowOverlap="1" wp14:anchorId="5CD40C19" wp14:editId="4DE0F14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61FA0">
        <w:rPr>
          <w:sz w:val="24"/>
          <w:szCs w:val="24"/>
        </w:rPr>
        <w:br w:type="textWrapping" w:clear="all"/>
      </w:r>
    </w:p>
    <w:p w14:paraId="125FDBA4" w14:textId="24DE5593" w:rsidR="009260DE" w:rsidRPr="00A61FA0" w:rsidRDefault="009260DE" w:rsidP="009260DE">
      <w:pPr>
        <w:pStyle w:val="Titel"/>
        <w:tabs>
          <w:tab w:val="right" w:pos="9356"/>
        </w:tabs>
        <w:jc w:val="left"/>
        <w:rPr>
          <w:b w:val="0"/>
          <w:szCs w:val="24"/>
          <w:lang w:eastAsia="en-US"/>
        </w:rPr>
      </w:pPr>
      <w:r w:rsidRPr="00A61FA0">
        <w:rPr>
          <w:b w:val="0"/>
          <w:szCs w:val="24"/>
          <w:lang w:eastAsia="en-US"/>
        </w:rPr>
        <w:tab/>
      </w:r>
      <w:r w:rsidR="00C406C8">
        <w:rPr>
          <w:szCs w:val="24"/>
        </w:rPr>
        <w:t>0</w:t>
      </w:r>
      <w:r w:rsidR="005C1996">
        <w:rPr>
          <w:szCs w:val="24"/>
        </w:rPr>
        <w:t>9</w:t>
      </w:r>
      <w:r w:rsidR="00C406C8">
        <w:rPr>
          <w:szCs w:val="24"/>
        </w:rPr>
        <w:t xml:space="preserve">. august </w:t>
      </w:r>
      <w:r w:rsidR="00C7542E">
        <w:rPr>
          <w:szCs w:val="24"/>
        </w:rPr>
        <w:t>202</w:t>
      </w:r>
      <w:r w:rsidR="00EC42DA">
        <w:rPr>
          <w:szCs w:val="24"/>
        </w:rPr>
        <w:t>4</w:t>
      </w:r>
    </w:p>
    <w:p w14:paraId="1A238595" w14:textId="2EFEE6EA" w:rsidR="009260DE" w:rsidRDefault="009260DE" w:rsidP="009260DE">
      <w:pPr>
        <w:pStyle w:val="Titel"/>
        <w:jc w:val="left"/>
        <w:rPr>
          <w:b w:val="0"/>
          <w:szCs w:val="24"/>
        </w:rPr>
      </w:pPr>
    </w:p>
    <w:p w14:paraId="03ED6C43" w14:textId="77777777" w:rsidR="00C406C8" w:rsidRPr="00A61FA0" w:rsidRDefault="00C406C8" w:rsidP="009260DE">
      <w:pPr>
        <w:pStyle w:val="Titel"/>
        <w:jc w:val="left"/>
        <w:rPr>
          <w:b w:val="0"/>
          <w:szCs w:val="24"/>
        </w:rPr>
      </w:pPr>
    </w:p>
    <w:p w14:paraId="5FC87621" w14:textId="77777777" w:rsidR="009260DE" w:rsidRPr="00A61FA0" w:rsidRDefault="009260DE" w:rsidP="009260DE">
      <w:pPr>
        <w:pStyle w:val="Titel"/>
        <w:jc w:val="left"/>
        <w:rPr>
          <w:b w:val="0"/>
          <w:szCs w:val="24"/>
        </w:rPr>
      </w:pPr>
    </w:p>
    <w:p w14:paraId="2868A808" w14:textId="77777777" w:rsidR="009260DE" w:rsidRPr="00E16404" w:rsidRDefault="009260DE" w:rsidP="009260DE">
      <w:pPr>
        <w:jc w:val="center"/>
        <w:rPr>
          <w:b/>
          <w:sz w:val="24"/>
          <w:szCs w:val="24"/>
        </w:rPr>
      </w:pPr>
      <w:r w:rsidRPr="00E16404">
        <w:rPr>
          <w:b/>
          <w:sz w:val="24"/>
          <w:szCs w:val="24"/>
        </w:rPr>
        <w:t>PRODUKTRESUMÉ</w:t>
      </w:r>
    </w:p>
    <w:p w14:paraId="5202FECA" w14:textId="77777777" w:rsidR="009260DE" w:rsidRPr="00E16404" w:rsidRDefault="009260DE" w:rsidP="009260DE">
      <w:pPr>
        <w:jc w:val="center"/>
        <w:rPr>
          <w:b/>
          <w:sz w:val="24"/>
          <w:szCs w:val="24"/>
        </w:rPr>
      </w:pPr>
    </w:p>
    <w:p w14:paraId="57F57AF3" w14:textId="77777777" w:rsidR="009260DE" w:rsidRPr="00E16404" w:rsidRDefault="009260DE" w:rsidP="009260DE">
      <w:pPr>
        <w:jc w:val="center"/>
        <w:rPr>
          <w:b/>
          <w:sz w:val="24"/>
          <w:szCs w:val="24"/>
        </w:rPr>
      </w:pPr>
      <w:r w:rsidRPr="00E16404">
        <w:rPr>
          <w:b/>
          <w:sz w:val="24"/>
          <w:szCs w:val="24"/>
        </w:rPr>
        <w:t>for</w:t>
      </w:r>
    </w:p>
    <w:p w14:paraId="7F7AA7DF" w14:textId="77777777" w:rsidR="000B058C" w:rsidRPr="00E16404" w:rsidRDefault="000B058C" w:rsidP="009260DE">
      <w:pPr>
        <w:jc w:val="center"/>
        <w:rPr>
          <w:b/>
          <w:sz w:val="24"/>
          <w:szCs w:val="24"/>
        </w:rPr>
      </w:pPr>
    </w:p>
    <w:p w14:paraId="1ABB74BD" w14:textId="4F6F1EFE" w:rsidR="00AD54DF" w:rsidRPr="00A61FA0" w:rsidRDefault="00AD54DF" w:rsidP="00AD54DF">
      <w:pPr>
        <w:jc w:val="center"/>
        <w:rPr>
          <w:b/>
          <w:sz w:val="24"/>
          <w:szCs w:val="24"/>
          <w:lang w:eastAsia="da-DK"/>
        </w:rPr>
      </w:pPr>
      <w:proofErr w:type="spellStart"/>
      <w:r w:rsidRPr="00A61FA0">
        <w:rPr>
          <w:b/>
          <w:sz w:val="24"/>
          <w:szCs w:val="24"/>
        </w:rPr>
        <w:t>Cloxacillin</w:t>
      </w:r>
      <w:proofErr w:type="spellEnd"/>
      <w:r w:rsidRPr="00A61FA0">
        <w:rPr>
          <w:b/>
          <w:sz w:val="24"/>
          <w:szCs w:val="24"/>
        </w:rPr>
        <w:t xml:space="preserve"> </w:t>
      </w:r>
      <w:r w:rsidR="00341EBF">
        <w:rPr>
          <w:b/>
          <w:sz w:val="24"/>
          <w:szCs w:val="24"/>
        </w:rPr>
        <w:t>"</w:t>
      </w:r>
      <w:proofErr w:type="spellStart"/>
      <w:r w:rsidR="00341EBF">
        <w:rPr>
          <w:b/>
          <w:sz w:val="24"/>
          <w:szCs w:val="24"/>
        </w:rPr>
        <w:t>Navamedic</w:t>
      </w:r>
      <w:proofErr w:type="spellEnd"/>
      <w:r w:rsidR="00341EBF">
        <w:rPr>
          <w:b/>
          <w:sz w:val="24"/>
          <w:szCs w:val="24"/>
        </w:rPr>
        <w:t>"</w:t>
      </w:r>
      <w:r w:rsidRPr="00A61FA0">
        <w:rPr>
          <w:b/>
          <w:sz w:val="24"/>
          <w:szCs w:val="24"/>
        </w:rPr>
        <w:t>, pulver til injektions-/infusionsvæske, opløsning</w:t>
      </w:r>
    </w:p>
    <w:p w14:paraId="1F870FEC" w14:textId="226A24E0" w:rsidR="009260DE" w:rsidRPr="00A61FA0" w:rsidRDefault="009260DE" w:rsidP="009260DE">
      <w:pPr>
        <w:jc w:val="center"/>
        <w:rPr>
          <w:b/>
          <w:sz w:val="24"/>
          <w:szCs w:val="24"/>
        </w:rPr>
      </w:pPr>
    </w:p>
    <w:p w14:paraId="1B7A9898" w14:textId="77777777" w:rsidR="009260DE" w:rsidRPr="00A61FA0" w:rsidRDefault="009260DE" w:rsidP="009260DE">
      <w:pPr>
        <w:jc w:val="both"/>
        <w:rPr>
          <w:sz w:val="24"/>
          <w:szCs w:val="24"/>
        </w:rPr>
      </w:pPr>
    </w:p>
    <w:p w14:paraId="493CBA1D" w14:textId="77777777" w:rsidR="009260DE" w:rsidRPr="00A61FA0" w:rsidRDefault="009260DE" w:rsidP="009260DE">
      <w:pPr>
        <w:jc w:val="both"/>
        <w:rPr>
          <w:sz w:val="24"/>
          <w:szCs w:val="24"/>
        </w:rPr>
      </w:pPr>
    </w:p>
    <w:p w14:paraId="39BCBB89" w14:textId="77777777" w:rsidR="009260DE" w:rsidRPr="00E16404" w:rsidRDefault="009260DE" w:rsidP="009260DE">
      <w:pPr>
        <w:tabs>
          <w:tab w:val="left" w:pos="851"/>
        </w:tabs>
        <w:ind w:left="851" w:hanging="851"/>
        <w:rPr>
          <w:b/>
          <w:sz w:val="24"/>
          <w:szCs w:val="24"/>
        </w:rPr>
      </w:pPr>
      <w:r w:rsidRPr="00E16404">
        <w:rPr>
          <w:b/>
          <w:sz w:val="24"/>
          <w:szCs w:val="24"/>
        </w:rPr>
        <w:t>0.</w:t>
      </w:r>
      <w:r w:rsidRPr="00E16404">
        <w:rPr>
          <w:b/>
          <w:sz w:val="24"/>
          <w:szCs w:val="24"/>
        </w:rPr>
        <w:tab/>
        <w:t>D.SP.NR.</w:t>
      </w:r>
    </w:p>
    <w:p w14:paraId="187337CF" w14:textId="16264565" w:rsidR="009260DE" w:rsidRPr="00A61FA0" w:rsidRDefault="00AD54DF" w:rsidP="009260DE">
      <w:pPr>
        <w:tabs>
          <w:tab w:val="left" w:pos="851"/>
        </w:tabs>
        <w:ind w:left="851"/>
        <w:rPr>
          <w:sz w:val="24"/>
          <w:szCs w:val="24"/>
        </w:rPr>
      </w:pPr>
      <w:r w:rsidRPr="00A61FA0">
        <w:rPr>
          <w:sz w:val="24"/>
          <w:szCs w:val="24"/>
        </w:rPr>
        <w:t>33170</w:t>
      </w:r>
    </w:p>
    <w:p w14:paraId="1730CD27" w14:textId="77777777" w:rsidR="009260DE" w:rsidRPr="00A61FA0" w:rsidRDefault="009260DE" w:rsidP="009260DE">
      <w:pPr>
        <w:tabs>
          <w:tab w:val="left" w:pos="851"/>
        </w:tabs>
        <w:ind w:left="851"/>
        <w:rPr>
          <w:sz w:val="24"/>
          <w:szCs w:val="24"/>
        </w:rPr>
      </w:pPr>
    </w:p>
    <w:p w14:paraId="463B198C" w14:textId="77777777" w:rsidR="009260DE" w:rsidRPr="00A61FA0" w:rsidRDefault="009260DE" w:rsidP="009260DE">
      <w:pPr>
        <w:tabs>
          <w:tab w:val="left" w:pos="851"/>
        </w:tabs>
        <w:ind w:left="851" w:hanging="851"/>
        <w:rPr>
          <w:b/>
          <w:sz w:val="24"/>
          <w:szCs w:val="24"/>
        </w:rPr>
      </w:pPr>
      <w:r w:rsidRPr="00A61FA0">
        <w:rPr>
          <w:b/>
          <w:sz w:val="24"/>
          <w:szCs w:val="24"/>
        </w:rPr>
        <w:t>1.</w:t>
      </w:r>
      <w:r w:rsidRPr="00A61FA0">
        <w:rPr>
          <w:b/>
          <w:sz w:val="24"/>
          <w:szCs w:val="24"/>
        </w:rPr>
        <w:tab/>
        <w:t>LÆGEMIDLETS NAVN</w:t>
      </w:r>
    </w:p>
    <w:p w14:paraId="644FFB88" w14:textId="57401CB8" w:rsidR="009260DE" w:rsidRPr="00A61FA0" w:rsidRDefault="00AD54DF" w:rsidP="009260DE">
      <w:pPr>
        <w:tabs>
          <w:tab w:val="left" w:pos="851"/>
        </w:tabs>
        <w:ind w:left="851"/>
        <w:rPr>
          <w:sz w:val="24"/>
          <w:szCs w:val="24"/>
        </w:rPr>
      </w:pPr>
      <w:proofErr w:type="spellStart"/>
      <w:r w:rsidRPr="00A61FA0">
        <w:rPr>
          <w:sz w:val="24"/>
          <w:szCs w:val="24"/>
        </w:rPr>
        <w:t>Cloxacillin</w:t>
      </w:r>
      <w:proofErr w:type="spellEnd"/>
      <w:r w:rsidRPr="00A61FA0">
        <w:rPr>
          <w:sz w:val="24"/>
          <w:szCs w:val="24"/>
        </w:rPr>
        <w:t xml:space="preserve"> </w:t>
      </w:r>
      <w:r w:rsidR="00341EBF">
        <w:rPr>
          <w:sz w:val="24"/>
          <w:szCs w:val="24"/>
        </w:rPr>
        <w:t>"</w:t>
      </w:r>
      <w:proofErr w:type="spellStart"/>
      <w:r w:rsidR="00341EBF">
        <w:rPr>
          <w:sz w:val="24"/>
          <w:szCs w:val="24"/>
        </w:rPr>
        <w:t>Navamedic</w:t>
      </w:r>
      <w:proofErr w:type="spellEnd"/>
      <w:r w:rsidR="00341EBF">
        <w:rPr>
          <w:sz w:val="24"/>
          <w:szCs w:val="24"/>
        </w:rPr>
        <w:t>"</w:t>
      </w:r>
    </w:p>
    <w:p w14:paraId="6B716AEB" w14:textId="77777777" w:rsidR="009260DE" w:rsidRPr="00A61FA0" w:rsidRDefault="009260DE" w:rsidP="009260DE">
      <w:pPr>
        <w:tabs>
          <w:tab w:val="left" w:pos="851"/>
        </w:tabs>
        <w:ind w:left="851"/>
        <w:rPr>
          <w:sz w:val="24"/>
          <w:szCs w:val="24"/>
        </w:rPr>
      </w:pPr>
    </w:p>
    <w:p w14:paraId="791FA364" w14:textId="77777777" w:rsidR="009260DE" w:rsidRPr="00A61FA0" w:rsidRDefault="009260DE" w:rsidP="009260DE">
      <w:pPr>
        <w:tabs>
          <w:tab w:val="left" w:pos="851"/>
        </w:tabs>
        <w:ind w:left="851" w:hanging="851"/>
        <w:rPr>
          <w:b/>
          <w:sz w:val="24"/>
          <w:szCs w:val="24"/>
        </w:rPr>
      </w:pPr>
      <w:r w:rsidRPr="00A61FA0">
        <w:rPr>
          <w:b/>
          <w:sz w:val="24"/>
          <w:szCs w:val="24"/>
        </w:rPr>
        <w:t>2.</w:t>
      </w:r>
      <w:r w:rsidRPr="00A61FA0">
        <w:rPr>
          <w:b/>
          <w:sz w:val="24"/>
          <w:szCs w:val="24"/>
        </w:rPr>
        <w:tab/>
        <w:t>KVALITATIV OG KVANTITATIV SAMMENSÆTNING</w:t>
      </w:r>
    </w:p>
    <w:p w14:paraId="1656B59E" w14:textId="1A1E1EDB" w:rsidR="00CE3CEF" w:rsidRPr="00A61FA0" w:rsidRDefault="00C7542E" w:rsidP="00CE678E">
      <w:pPr>
        <w:ind w:left="851"/>
        <w:rPr>
          <w:sz w:val="24"/>
          <w:szCs w:val="24"/>
        </w:rPr>
      </w:pPr>
      <w:r>
        <w:rPr>
          <w:sz w:val="24"/>
          <w:szCs w:val="24"/>
        </w:rPr>
        <w:t xml:space="preserve">1 g: </w:t>
      </w:r>
      <w:r w:rsidR="00CE3CEF" w:rsidRPr="00A61FA0">
        <w:rPr>
          <w:sz w:val="24"/>
          <w:szCs w:val="24"/>
        </w:rPr>
        <w:t xml:space="preserve">Hvert hætteglas indeholder </w:t>
      </w:r>
      <w:proofErr w:type="spellStart"/>
      <w:r w:rsidR="00CE3CEF" w:rsidRPr="00A61FA0">
        <w:rPr>
          <w:sz w:val="24"/>
          <w:szCs w:val="24"/>
        </w:rPr>
        <w:t>cloxacillinnatrium</w:t>
      </w:r>
      <w:proofErr w:type="spellEnd"/>
      <w:r w:rsidR="00CE3CEF" w:rsidRPr="00A61FA0">
        <w:rPr>
          <w:sz w:val="24"/>
          <w:szCs w:val="24"/>
        </w:rPr>
        <w:t xml:space="preserve"> svarende til 1 g </w:t>
      </w:r>
      <w:proofErr w:type="spellStart"/>
      <w:r w:rsidR="00CE3CEF" w:rsidRPr="00A61FA0">
        <w:rPr>
          <w:sz w:val="24"/>
          <w:szCs w:val="24"/>
        </w:rPr>
        <w:t>cloxacillin</w:t>
      </w:r>
      <w:proofErr w:type="spellEnd"/>
      <w:r w:rsidR="00CE3CEF" w:rsidRPr="00A61FA0">
        <w:rPr>
          <w:sz w:val="24"/>
          <w:szCs w:val="24"/>
        </w:rPr>
        <w:t>.</w:t>
      </w:r>
    </w:p>
    <w:p w14:paraId="17821D15" w14:textId="480708BC" w:rsidR="00CE3CEF" w:rsidRPr="00A61FA0" w:rsidRDefault="00C7542E" w:rsidP="00CE678E">
      <w:pPr>
        <w:ind w:left="851"/>
        <w:rPr>
          <w:sz w:val="24"/>
          <w:szCs w:val="24"/>
        </w:rPr>
      </w:pPr>
      <w:r>
        <w:rPr>
          <w:sz w:val="24"/>
          <w:szCs w:val="24"/>
        </w:rPr>
        <w:t xml:space="preserve">2 g: </w:t>
      </w:r>
      <w:r w:rsidR="00CE3CEF" w:rsidRPr="00A61FA0">
        <w:rPr>
          <w:sz w:val="24"/>
          <w:szCs w:val="24"/>
        </w:rPr>
        <w:t xml:space="preserve">Hvert hætteglas indeholder </w:t>
      </w:r>
      <w:proofErr w:type="spellStart"/>
      <w:r w:rsidR="00CE3CEF" w:rsidRPr="00A61FA0">
        <w:rPr>
          <w:sz w:val="24"/>
          <w:szCs w:val="24"/>
        </w:rPr>
        <w:t>cloxacillinnatrium</w:t>
      </w:r>
      <w:proofErr w:type="spellEnd"/>
      <w:r w:rsidR="00CE3CEF" w:rsidRPr="00A61FA0">
        <w:rPr>
          <w:sz w:val="24"/>
          <w:szCs w:val="24"/>
        </w:rPr>
        <w:t xml:space="preserve"> svarende til 2 g </w:t>
      </w:r>
      <w:proofErr w:type="spellStart"/>
      <w:r w:rsidR="00CE3CEF" w:rsidRPr="00A61FA0">
        <w:rPr>
          <w:sz w:val="24"/>
          <w:szCs w:val="24"/>
        </w:rPr>
        <w:t>cloxacillin</w:t>
      </w:r>
      <w:proofErr w:type="spellEnd"/>
      <w:r w:rsidR="00CE3CEF" w:rsidRPr="00A61FA0">
        <w:rPr>
          <w:sz w:val="24"/>
          <w:szCs w:val="24"/>
        </w:rPr>
        <w:t>.</w:t>
      </w:r>
    </w:p>
    <w:p w14:paraId="75A26852" w14:textId="77777777" w:rsidR="00CE3CEF" w:rsidRPr="00A61FA0" w:rsidRDefault="00CE3CEF" w:rsidP="00CE678E">
      <w:pPr>
        <w:ind w:left="851"/>
        <w:rPr>
          <w:sz w:val="24"/>
          <w:szCs w:val="24"/>
        </w:rPr>
      </w:pPr>
    </w:p>
    <w:p w14:paraId="72890CBE" w14:textId="77777777" w:rsidR="00CE3CEF" w:rsidRPr="00A61FA0" w:rsidRDefault="00CE3CEF" w:rsidP="00CE678E">
      <w:pPr>
        <w:ind w:left="851"/>
        <w:rPr>
          <w:sz w:val="24"/>
          <w:szCs w:val="24"/>
          <w:u w:val="single"/>
        </w:rPr>
      </w:pPr>
      <w:r w:rsidRPr="00A61FA0">
        <w:rPr>
          <w:sz w:val="24"/>
          <w:szCs w:val="24"/>
          <w:u w:val="single"/>
        </w:rPr>
        <w:t>Hjælpestof, som behandleren skal være opmærksom på</w:t>
      </w:r>
    </w:p>
    <w:p w14:paraId="0EBAD814" w14:textId="77777777" w:rsidR="00CE3CEF" w:rsidRPr="00A61FA0" w:rsidRDefault="00CE3CEF" w:rsidP="00CE678E">
      <w:pPr>
        <w:ind w:left="851"/>
        <w:rPr>
          <w:sz w:val="24"/>
          <w:szCs w:val="24"/>
        </w:rPr>
      </w:pPr>
      <w:r w:rsidRPr="00A61FA0">
        <w:rPr>
          <w:sz w:val="24"/>
          <w:szCs w:val="24"/>
        </w:rPr>
        <w:t>1 g: 50 mg natrium (2,17 mmol).</w:t>
      </w:r>
    </w:p>
    <w:p w14:paraId="31001EE7" w14:textId="77777777" w:rsidR="00CE3CEF" w:rsidRPr="00A61FA0" w:rsidRDefault="00CE3CEF" w:rsidP="00CE678E">
      <w:pPr>
        <w:ind w:left="851"/>
        <w:rPr>
          <w:sz w:val="24"/>
          <w:szCs w:val="24"/>
        </w:rPr>
      </w:pPr>
      <w:r w:rsidRPr="00A61FA0">
        <w:rPr>
          <w:sz w:val="24"/>
          <w:szCs w:val="24"/>
        </w:rPr>
        <w:t>2 g: 100 mg natrium (4,35 mmol).</w:t>
      </w:r>
    </w:p>
    <w:p w14:paraId="6CAE6120" w14:textId="77777777" w:rsidR="00CE3CEF" w:rsidRPr="00A61FA0" w:rsidRDefault="00CE3CEF" w:rsidP="00CE678E">
      <w:pPr>
        <w:ind w:left="851"/>
        <w:rPr>
          <w:sz w:val="24"/>
          <w:szCs w:val="24"/>
        </w:rPr>
      </w:pPr>
    </w:p>
    <w:p w14:paraId="78D10753" w14:textId="77777777" w:rsidR="00CE3CEF" w:rsidRPr="00A61FA0" w:rsidRDefault="00CE3CEF" w:rsidP="00CE678E">
      <w:pPr>
        <w:ind w:left="851"/>
        <w:rPr>
          <w:sz w:val="24"/>
          <w:szCs w:val="24"/>
        </w:rPr>
      </w:pPr>
      <w:r w:rsidRPr="00A61FA0">
        <w:rPr>
          <w:sz w:val="24"/>
          <w:szCs w:val="24"/>
        </w:rPr>
        <w:t>Alle hjælpestoffer er anført under pkt. 6.1.</w:t>
      </w:r>
    </w:p>
    <w:p w14:paraId="2E04389A" w14:textId="77777777" w:rsidR="009260DE" w:rsidRPr="00A61FA0" w:rsidRDefault="009260DE" w:rsidP="009260DE">
      <w:pPr>
        <w:tabs>
          <w:tab w:val="left" w:pos="851"/>
        </w:tabs>
        <w:ind w:left="851"/>
        <w:rPr>
          <w:sz w:val="24"/>
          <w:szCs w:val="24"/>
        </w:rPr>
      </w:pPr>
    </w:p>
    <w:p w14:paraId="72FC4136" w14:textId="77777777" w:rsidR="009260DE" w:rsidRPr="00A61FA0" w:rsidRDefault="009260DE" w:rsidP="009260DE">
      <w:pPr>
        <w:tabs>
          <w:tab w:val="left" w:pos="851"/>
        </w:tabs>
        <w:ind w:left="851" w:hanging="851"/>
        <w:rPr>
          <w:b/>
          <w:sz w:val="24"/>
          <w:szCs w:val="24"/>
        </w:rPr>
      </w:pPr>
      <w:r w:rsidRPr="00A61FA0">
        <w:rPr>
          <w:b/>
          <w:sz w:val="24"/>
          <w:szCs w:val="24"/>
        </w:rPr>
        <w:t>3.</w:t>
      </w:r>
      <w:r w:rsidRPr="00A61FA0">
        <w:rPr>
          <w:b/>
          <w:sz w:val="24"/>
          <w:szCs w:val="24"/>
        </w:rPr>
        <w:tab/>
        <w:t>LÆGEMIDDELFORM</w:t>
      </w:r>
    </w:p>
    <w:p w14:paraId="12EA0F32" w14:textId="083B0931" w:rsidR="00CE3CEF" w:rsidRPr="00A61FA0" w:rsidRDefault="00CE3CEF" w:rsidP="00CE678E">
      <w:pPr>
        <w:suppressAutoHyphens/>
        <w:ind w:left="851"/>
        <w:rPr>
          <w:spacing w:val="-3"/>
          <w:sz w:val="24"/>
          <w:szCs w:val="24"/>
        </w:rPr>
      </w:pPr>
      <w:r w:rsidRPr="00A61FA0">
        <w:rPr>
          <w:spacing w:val="-3"/>
          <w:sz w:val="24"/>
          <w:szCs w:val="24"/>
        </w:rPr>
        <w:t>Pulver til injektions-/infusionsvæske, opløsning</w:t>
      </w:r>
    </w:p>
    <w:p w14:paraId="3855B905" w14:textId="77777777" w:rsidR="00CE3CEF" w:rsidRPr="00A61FA0" w:rsidRDefault="00CE3CEF" w:rsidP="00CE678E">
      <w:pPr>
        <w:suppressAutoHyphens/>
        <w:ind w:left="851"/>
        <w:rPr>
          <w:spacing w:val="-3"/>
          <w:sz w:val="24"/>
          <w:szCs w:val="24"/>
        </w:rPr>
      </w:pPr>
    </w:p>
    <w:p w14:paraId="4BA7D613" w14:textId="77777777" w:rsidR="00CE3CEF" w:rsidRPr="00A61FA0" w:rsidRDefault="00CE3CEF" w:rsidP="00CE678E">
      <w:pPr>
        <w:suppressAutoHyphens/>
        <w:ind w:left="851"/>
        <w:rPr>
          <w:sz w:val="24"/>
          <w:szCs w:val="24"/>
        </w:rPr>
      </w:pPr>
      <w:r w:rsidRPr="00A61FA0">
        <w:rPr>
          <w:sz w:val="24"/>
          <w:szCs w:val="24"/>
        </w:rPr>
        <w:t>Dette lægemiddel er hvidt eller næsten hvidt, krystallinsk pulver.</w:t>
      </w:r>
    </w:p>
    <w:p w14:paraId="00CC67E7" w14:textId="77777777" w:rsidR="00CE3CEF" w:rsidRPr="00A61FA0" w:rsidRDefault="00CE3CEF" w:rsidP="00CE678E">
      <w:pPr>
        <w:suppressAutoHyphens/>
        <w:ind w:left="851"/>
        <w:rPr>
          <w:sz w:val="24"/>
          <w:szCs w:val="24"/>
        </w:rPr>
      </w:pPr>
    </w:p>
    <w:p w14:paraId="3CBAC9F5" w14:textId="77777777" w:rsidR="00CE3CEF" w:rsidRPr="00A61FA0" w:rsidRDefault="00CE3CEF" w:rsidP="00CE678E">
      <w:pPr>
        <w:suppressAutoHyphens/>
        <w:ind w:left="851"/>
        <w:rPr>
          <w:sz w:val="24"/>
          <w:szCs w:val="24"/>
        </w:rPr>
      </w:pPr>
      <w:r w:rsidRPr="00A61FA0">
        <w:rPr>
          <w:sz w:val="24"/>
          <w:szCs w:val="24"/>
        </w:rPr>
        <w:t>pH = 5,0 til 7,0</w:t>
      </w:r>
    </w:p>
    <w:p w14:paraId="149C8170" w14:textId="77777777" w:rsidR="009260DE" w:rsidRPr="00A61FA0" w:rsidRDefault="009260DE" w:rsidP="009260DE">
      <w:pPr>
        <w:tabs>
          <w:tab w:val="left" w:pos="851"/>
        </w:tabs>
        <w:ind w:left="851"/>
        <w:rPr>
          <w:sz w:val="24"/>
          <w:szCs w:val="24"/>
        </w:rPr>
      </w:pPr>
    </w:p>
    <w:p w14:paraId="531E6407" w14:textId="77777777" w:rsidR="009260DE" w:rsidRPr="00A61FA0" w:rsidRDefault="009260DE" w:rsidP="009260DE">
      <w:pPr>
        <w:tabs>
          <w:tab w:val="left" w:pos="851"/>
        </w:tabs>
        <w:ind w:left="851"/>
        <w:rPr>
          <w:sz w:val="24"/>
          <w:szCs w:val="24"/>
        </w:rPr>
      </w:pPr>
    </w:p>
    <w:p w14:paraId="4FF03F2D" w14:textId="77777777" w:rsidR="009260DE" w:rsidRPr="00A61FA0" w:rsidRDefault="009260DE" w:rsidP="009260DE">
      <w:pPr>
        <w:tabs>
          <w:tab w:val="left" w:pos="851"/>
        </w:tabs>
        <w:ind w:left="851" w:hanging="851"/>
        <w:rPr>
          <w:b/>
          <w:sz w:val="24"/>
          <w:szCs w:val="24"/>
        </w:rPr>
      </w:pPr>
      <w:r w:rsidRPr="00A61FA0">
        <w:rPr>
          <w:b/>
          <w:sz w:val="24"/>
          <w:szCs w:val="24"/>
        </w:rPr>
        <w:t>4.</w:t>
      </w:r>
      <w:r w:rsidRPr="00A61FA0">
        <w:rPr>
          <w:b/>
          <w:sz w:val="24"/>
          <w:szCs w:val="24"/>
        </w:rPr>
        <w:tab/>
        <w:t>KLINISKE OPLYSNINGER</w:t>
      </w:r>
    </w:p>
    <w:p w14:paraId="4EB48AFF" w14:textId="77777777" w:rsidR="009260DE" w:rsidRPr="00A61FA0" w:rsidRDefault="009260DE" w:rsidP="009260DE">
      <w:pPr>
        <w:tabs>
          <w:tab w:val="left" w:pos="851"/>
        </w:tabs>
        <w:ind w:left="851"/>
        <w:rPr>
          <w:b/>
          <w:sz w:val="24"/>
          <w:szCs w:val="24"/>
        </w:rPr>
      </w:pPr>
    </w:p>
    <w:p w14:paraId="7F4536D1" w14:textId="77777777" w:rsidR="009260DE" w:rsidRPr="00A61FA0" w:rsidRDefault="009260DE" w:rsidP="009260DE">
      <w:pPr>
        <w:tabs>
          <w:tab w:val="left" w:pos="851"/>
        </w:tabs>
        <w:ind w:left="851" w:hanging="851"/>
        <w:rPr>
          <w:b/>
          <w:sz w:val="24"/>
          <w:szCs w:val="24"/>
          <w:u w:val="single"/>
        </w:rPr>
      </w:pPr>
      <w:r w:rsidRPr="00A61FA0">
        <w:rPr>
          <w:b/>
          <w:sz w:val="24"/>
          <w:szCs w:val="24"/>
        </w:rPr>
        <w:t>4.1</w:t>
      </w:r>
      <w:r w:rsidRPr="00A61FA0">
        <w:rPr>
          <w:b/>
          <w:sz w:val="24"/>
          <w:szCs w:val="24"/>
        </w:rPr>
        <w:tab/>
        <w:t>Terapeutiske indikationer</w:t>
      </w:r>
    </w:p>
    <w:p w14:paraId="63D4D2E8" w14:textId="2BFDFC9E" w:rsidR="00CE3CEF" w:rsidRPr="00A61FA0" w:rsidRDefault="00CE3CEF" w:rsidP="00CE678E">
      <w:pPr>
        <w:ind w:left="851"/>
        <w:rPr>
          <w:sz w:val="24"/>
          <w:szCs w:val="24"/>
        </w:rPr>
      </w:pPr>
      <w:proofErr w:type="spellStart"/>
      <w:r w:rsidRPr="00A61FA0">
        <w:rPr>
          <w:sz w:val="24"/>
          <w:szCs w:val="24"/>
        </w:rPr>
        <w:t>Cloxacillin</w:t>
      </w:r>
      <w:proofErr w:type="spellEnd"/>
      <w:r w:rsidRPr="00A61FA0">
        <w:rPr>
          <w:sz w:val="24"/>
          <w:szCs w:val="24"/>
        </w:rPr>
        <w:t xml:space="preserve"> </w:t>
      </w:r>
      <w:r w:rsidR="00341EBF">
        <w:rPr>
          <w:sz w:val="24"/>
          <w:szCs w:val="24"/>
        </w:rPr>
        <w:t>"</w:t>
      </w:r>
      <w:proofErr w:type="spellStart"/>
      <w:r w:rsidR="00341EBF">
        <w:rPr>
          <w:sz w:val="24"/>
          <w:szCs w:val="24"/>
        </w:rPr>
        <w:t>Navamedic</w:t>
      </w:r>
      <w:proofErr w:type="spellEnd"/>
      <w:r w:rsidR="00341EBF">
        <w:rPr>
          <w:sz w:val="24"/>
          <w:szCs w:val="24"/>
        </w:rPr>
        <w:t>"</w:t>
      </w:r>
      <w:r w:rsidRPr="00A61FA0">
        <w:rPr>
          <w:sz w:val="24"/>
          <w:szCs w:val="24"/>
        </w:rPr>
        <w:t xml:space="preserve"> er indiceret til behandling af følgende infektioner forårsaget af </w:t>
      </w:r>
      <w:proofErr w:type="spellStart"/>
      <w:r w:rsidRPr="00A61FA0">
        <w:rPr>
          <w:sz w:val="24"/>
          <w:szCs w:val="24"/>
        </w:rPr>
        <w:t>penicillinasedannende</w:t>
      </w:r>
      <w:proofErr w:type="spellEnd"/>
      <w:r w:rsidRPr="00A61FA0">
        <w:rPr>
          <w:sz w:val="24"/>
          <w:szCs w:val="24"/>
        </w:rPr>
        <w:t xml:space="preserve"> stafylokokker hos voksne og børn (se pkt. 5.1):</w:t>
      </w:r>
    </w:p>
    <w:p w14:paraId="76ABF574" w14:textId="77777777" w:rsidR="00CE3CEF" w:rsidRPr="00A61FA0" w:rsidRDefault="00CE3CEF" w:rsidP="00CE678E">
      <w:pPr>
        <w:ind w:left="851"/>
        <w:rPr>
          <w:sz w:val="24"/>
          <w:szCs w:val="24"/>
        </w:rPr>
      </w:pPr>
    </w:p>
    <w:p w14:paraId="3DF467EA" w14:textId="77777777" w:rsidR="00CE3CEF" w:rsidRPr="00601658" w:rsidRDefault="00CE3CEF" w:rsidP="00601658">
      <w:pPr>
        <w:pStyle w:val="Listeafsnit"/>
        <w:numPr>
          <w:ilvl w:val="0"/>
          <w:numId w:val="8"/>
        </w:numPr>
        <w:ind w:left="1276" w:hanging="425"/>
        <w:rPr>
          <w:sz w:val="24"/>
          <w:szCs w:val="24"/>
        </w:rPr>
      </w:pPr>
      <w:r w:rsidRPr="00601658">
        <w:rPr>
          <w:sz w:val="24"/>
          <w:szCs w:val="24"/>
        </w:rPr>
        <w:t>Infektioner i hud og bløddele</w:t>
      </w:r>
    </w:p>
    <w:p w14:paraId="644350C0" w14:textId="77777777" w:rsidR="00CE3CEF" w:rsidRPr="00601658" w:rsidRDefault="00CE3CEF" w:rsidP="00601658">
      <w:pPr>
        <w:pStyle w:val="Listeafsnit"/>
        <w:numPr>
          <w:ilvl w:val="0"/>
          <w:numId w:val="8"/>
        </w:numPr>
        <w:ind w:left="1276" w:hanging="425"/>
        <w:rPr>
          <w:sz w:val="24"/>
          <w:szCs w:val="24"/>
        </w:rPr>
      </w:pPr>
      <w:proofErr w:type="spellStart"/>
      <w:r w:rsidRPr="00601658">
        <w:rPr>
          <w:sz w:val="24"/>
          <w:szCs w:val="24"/>
        </w:rPr>
        <w:t>Endocarditis</w:t>
      </w:r>
      <w:proofErr w:type="spellEnd"/>
    </w:p>
    <w:p w14:paraId="057DC04D" w14:textId="77777777" w:rsidR="00CE3CEF" w:rsidRPr="00601658" w:rsidRDefault="00CE3CEF" w:rsidP="00601658">
      <w:pPr>
        <w:pStyle w:val="Listeafsnit"/>
        <w:numPr>
          <w:ilvl w:val="0"/>
          <w:numId w:val="8"/>
        </w:numPr>
        <w:ind w:left="1276" w:hanging="425"/>
        <w:rPr>
          <w:sz w:val="24"/>
          <w:szCs w:val="24"/>
        </w:rPr>
      </w:pPr>
      <w:proofErr w:type="spellStart"/>
      <w:r w:rsidRPr="00601658">
        <w:rPr>
          <w:sz w:val="24"/>
          <w:szCs w:val="24"/>
        </w:rPr>
        <w:t>Osteomyelitis</w:t>
      </w:r>
      <w:proofErr w:type="spellEnd"/>
    </w:p>
    <w:p w14:paraId="444708B0" w14:textId="77777777" w:rsidR="00CE3CEF" w:rsidRPr="00601658" w:rsidRDefault="00CE3CEF" w:rsidP="00601658">
      <w:pPr>
        <w:pStyle w:val="Listeafsnit"/>
        <w:numPr>
          <w:ilvl w:val="0"/>
          <w:numId w:val="8"/>
        </w:numPr>
        <w:ind w:left="1276" w:hanging="425"/>
        <w:rPr>
          <w:sz w:val="24"/>
          <w:szCs w:val="24"/>
        </w:rPr>
      </w:pPr>
      <w:r w:rsidRPr="00601658">
        <w:rPr>
          <w:sz w:val="24"/>
          <w:szCs w:val="24"/>
        </w:rPr>
        <w:t>Sepsis</w:t>
      </w:r>
    </w:p>
    <w:p w14:paraId="7425230C" w14:textId="77777777" w:rsidR="00CE3CEF" w:rsidRPr="00A61FA0" w:rsidRDefault="00CE3CEF" w:rsidP="00CE678E">
      <w:pPr>
        <w:ind w:left="851"/>
        <w:rPr>
          <w:sz w:val="24"/>
          <w:szCs w:val="24"/>
        </w:rPr>
      </w:pPr>
    </w:p>
    <w:p w14:paraId="4FBE7EC4" w14:textId="77777777" w:rsidR="00CE3CEF" w:rsidRPr="00A61FA0" w:rsidRDefault="00CE3CEF" w:rsidP="00CE678E">
      <w:pPr>
        <w:ind w:left="851"/>
        <w:rPr>
          <w:sz w:val="24"/>
          <w:szCs w:val="24"/>
        </w:rPr>
      </w:pPr>
      <w:r w:rsidRPr="00A61FA0">
        <w:rPr>
          <w:sz w:val="24"/>
          <w:szCs w:val="24"/>
        </w:rPr>
        <w:t>Der bør tages hensyn til officielle retningslinjer for korrekt brug af antibakterielle midler.</w:t>
      </w:r>
    </w:p>
    <w:p w14:paraId="60673E52" w14:textId="77777777" w:rsidR="009260DE" w:rsidRPr="00A61FA0" w:rsidRDefault="009260DE" w:rsidP="009260DE">
      <w:pPr>
        <w:tabs>
          <w:tab w:val="left" w:pos="851"/>
        </w:tabs>
        <w:ind w:left="851"/>
        <w:rPr>
          <w:sz w:val="24"/>
          <w:szCs w:val="24"/>
        </w:rPr>
      </w:pPr>
    </w:p>
    <w:p w14:paraId="73CEB3BE" w14:textId="77777777" w:rsidR="009260DE" w:rsidRPr="00A61FA0" w:rsidRDefault="009260DE" w:rsidP="009260DE">
      <w:pPr>
        <w:tabs>
          <w:tab w:val="left" w:pos="851"/>
        </w:tabs>
        <w:ind w:left="851" w:hanging="851"/>
        <w:rPr>
          <w:b/>
          <w:sz w:val="24"/>
          <w:szCs w:val="24"/>
        </w:rPr>
      </w:pPr>
      <w:r w:rsidRPr="00A61FA0">
        <w:rPr>
          <w:b/>
          <w:sz w:val="24"/>
          <w:szCs w:val="24"/>
        </w:rPr>
        <w:t>4.2</w:t>
      </w:r>
      <w:r w:rsidRPr="00A61FA0">
        <w:rPr>
          <w:b/>
          <w:sz w:val="24"/>
          <w:szCs w:val="24"/>
        </w:rPr>
        <w:tab/>
        <w:t xml:space="preserve">Dosering og </w:t>
      </w:r>
      <w:r w:rsidR="002C1EC0" w:rsidRPr="00A61FA0">
        <w:rPr>
          <w:b/>
          <w:sz w:val="24"/>
          <w:szCs w:val="24"/>
        </w:rPr>
        <w:t>administration</w:t>
      </w:r>
    </w:p>
    <w:p w14:paraId="6A00B91D" w14:textId="77777777" w:rsidR="00C93A4B" w:rsidRDefault="00C93A4B" w:rsidP="00CE678E">
      <w:pPr>
        <w:ind w:left="851"/>
        <w:rPr>
          <w:sz w:val="24"/>
          <w:szCs w:val="24"/>
        </w:rPr>
      </w:pPr>
    </w:p>
    <w:p w14:paraId="7ED12D92" w14:textId="054CAFCB" w:rsidR="00CE3CEF" w:rsidRPr="00C93A4B" w:rsidRDefault="00CE3CEF" w:rsidP="00CE678E">
      <w:pPr>
        <w:ind w:left="851"/>
        <w:rPr>
          <w:sz w:val="24"/>
          <w:szCs w:val="24"/>
          <w:u w:val="single"/>
        </w:rPr>
      </w:pPr>
      <w:r w:rsidRPr="00C93A4B">
        <w:rPr>
          <w:sz w:val="24"/>
          <w:szCs w:val="24"/>
          <w:u w:val="single"/>
        </w:rPr>
        <w:t>Dosering</w:t>
      </w:r>
    </w:p>
    <w:p w14:paraId="39CE3273" w14:textId="77777777" w:rsidR="00CE3CEF" w:rsidRPr="00A61FA0" w:rsidRDefault="00CE3CEF" w:rsidP="00CE678E">
      <w:pPr>
        <w:ind w:left="851"/>
        <w:rPr>
          <w:sz w:val="24"/>
          <w:szCs w:val="24"/>
        </w:rPr>
      </w:pPr>
    </w:p>
    <w:p w14:paraId="36723BB9" w14:textId="77777777" w:rsidR="00CE3CEF" w:rsidRPr="00A61FA0" w:rsidRDefault="00CE3CEF" w:rsidP="00CE678E">
      <w:pPr>
        <w:ind w:left="851"/>
        <w:rPr>
          <w:sz w:val="24"/>
          <w:szCs w:val="24"/>
        </w:rPr>
      </w:pPr>
      <w:r w:rsidRPr="00A61FA0">
        <w:rPr>
          <w:sz w:val="24"/>
          <w:szCs w:val="24"/>
        </w:rPr>
        <w:t>Voksne:</w:t>
      </w:r>
    </w:p>
    <w:p w14:paraId="5769E8CB" w14:textId="77777777" w:rsidR="00CE3CEF" w:rsidRPr="00A61FA0" w:rsidRDefault="00CE3CEF" w:rsidP="00CE678E">
      <w:pPr>
        <w:ind w:left="851"/>
        <w:rPr>
          <w:sz w:val="24"/>
          <w:szCs w:val="24"/>
        </w:rPr>
      </w:pPr>
      <w:r w:rsidRPr="00A61FA0">
        <w:rPr>
          <w:sz w:val="24"/>
          <w:szCs w:val="24"/>
        </w:rPr>
        <w:t>Intramuskulær injektion: 0,5–1 g 4 gange pr. døgn.</w:t>
      </w:r>
    </w:p>
    <w:p w14:paraId="1514A39E" w14:textId="77777777" w:rsidR="00CE3CEF" w:rsidRPr="00A61FA0" w:rsidRDefault="00CE3CEF" w:rsidP="00CE678E">
      <w:pPr>
        <w:ind w:left="851"/>
        <w:rPr>
          <w:sz w:val="24"/>
          <w:szCs w:val="24"/>
        </w:rPr>
      </w:pPr>
      <w:r w:rsidRPr="00A61FA0">
        <w:rPr>
          <w:sz w:val="24"/>
          <w:szCs w:val="24"/>
        </w:rPr>
        <w:t>Intravenøs injektion: 1–2 g 3–4 gange pr. døgn. Opløsningen bør gives langsomt over 3–4 minutter pr. g i en stor vene, hvis muligt.</w:t>
      </w:r>
    </w:p>
    <w:p w14:paraId="53D59F24" w14:textId="77777777" w:rsidR="00CE3CEF" w:rsidRPr="00A61FA0" w:rsidRDefault="00CE3CEF" w:rsidP="00CE678E">
      <w:pPr>
        <w:ind w:left="851"/>
        <w:rPr>
          <w:sz w:val="24"/>
          <w:szCs w:val="24"/>
        </w:rPr>
      </w:pPr>
    </w:p>
    <w:p w14:paraId="45471181" w14:textId="77777777" w:rsidR="00CE3CEF" w:rsidRPr="00A61FA0" w:rsidRDefault="00CE3CEF" w:rsidP="00CE678E">
      <w:pPr>
        <w:ind w:left="851"/>
        <w:rPr>
          <w:sz w:val="24"/>
          <w:szCs w:val="24"/>
        </w:rPr>
      </w:pPr>
      <w:r w:rsidRPr="00A61FA0">
        <w:rPr>
          <w:sz w:val="24"/>
          <w:szCs w:val="24"/>
        </w:rPr>
        <w:t>Intravenøs intermitterende infusion (hurtig infusion): 2 g 4 (</w:t>
      </w:r>
      <w:r w:rsidRPr="00A61FA0">
        <w:rPr>
          <w:sz w:val="24"/>
          <w:szCs w:val="24"/>
        </w:rPr>
        <w:noBreakHyphen/>
        <w:t>6) gange pr. døgn.</w:t>
      </w:r>
    </w:p>
    <w:p w14:paraId="52774B24" w14:textId="77777777" w:rsidR="00CE3CEF" w:rsidRPr="00A61FA0" w:rsidRDefault="00CE3CEF" w:rsidP="00CE678E">
      <w:pPr>
        <w:ind w:left="851"/>
        <w:rPr>
          <w:sz w:val="24"/>
          <w:szCs w:val="24"/>
        </w:rPr>
      </w:pPr>
      <w:r w:rsidRPr="00A61FA0">
        <w:rPr>
          <w:sz w:val="24"/>
          <w:szCs w:val="24"/>
        </w:rPr>
        <w:t>Opløsningen bør gives som infusion i støt hastighed over 20 (</w:t>
      </w:r>
      <w:r w:rsidRPr="00A61FA0">
        <w:rPr>
          <w:sz w:val="24"/>
          <w:szCs w:val="24"/>
        </w:rPr>
        <w:noBreakHyphen/>
        <w:t>30) minutter.</w:t>
      </w:r>
    </w:p>
    <w:p w14:paraId="458A96A5" w14:textId="77777777" w:rsidR="00CE3CEF" w:rsidRPr="00A61FA0" w:rsidRDefault="00CE3CEF" w:rsidP="00CE678E">
      <w:pPr>
        <w:ind w:left="851"/>
        <w:rPr>
          <w:sz w:val="24"/>
          <w:szCs w:val="24"/>
        </w:rPr>
      </w:pPr>
    </w:p>
    <w:p w14:paraId="70C2075D" w14:textId="77777777" w:rsidR="00CE3CEF" w:rsidRPr="00A61FA0" w:rsidRDefault="00CE3CEF" w:rsidP="00CE678E">
      <w:pPr>
        <w:ind w:left="851"/>
        <w:rPr>
          <w:sz w:val="24"/>
          <w:szCs w:val="24"/>
        </w:rPr>
      </w:pPr>
      <w:r w:rsidRPr="00A61FA0">
        <w:rPr>
          <w:sz w:val="24"/>
          <w:szCs w:val="24"/>
        </w:rPr>
        <w:t xml:space="preserve">Kontinuerlig intravenøs infusion: Den sædvanlige dosis er 6 g pr. døgn. Ved alvorlige infektioner, eksempelvis </w:t>
      </w:r>
      <w:proofErr w:type="spellStart"/>
      <w:r w:rsidRPr="00A61FA0">
        <w:rPr>
          <w:sz w:val="24"/>
          <w:szCs w:val="24"/>
        </w:rPr>
        <w:t>endokarditis</w:t>
      </w:r>
      <w:proofErr w:type="spellEnd"/>
      <w:r w:rsidRPr="00A61FA0">
        <w:rPr>
          <w:sz w:val="24"/>
          <w:szCs w:val="24"/>
        </w:rPr>
        <w:t xml:space="preserve"> forårsaget af </w:t>
      </w:r>
      <w:r w:rsidRPr="00A61FA0">
        <w:rPr>
          <w:bCs/>
          <w:sz w:val="24"/>
          <w:szCs w:val="24"/>
        </w:rPr>
        <w:t>stafylokokker</w:t>
      </w:r>
      <w:r w:rsidRPr="00A61FA0">
        <w:rPr>
          <w:sz w:val="24"/>
          <w:szCs w:val="24"/>
        </w:rPr>
        <w:t>, kan dosis øges til 12 g pr. døgn. Hvis muligt bør der benyttes en infusionspumpe.</w:t>
      </w:r>
    </w:p>
    <w:p w14:paraId="5EA1694E" w14:textId="77777777" w:rsidR="00CE3CEF" w:rsidRPr="00A61FA0" w:rsidRDefault="00CE3CEF" w:rsidP="00CE678E">
      <w:pPr>
        <w:ind w:left="851"/>
        <w:rPr>
          <w:sz w:val="24"/>
          <w:szCs w:val="24"/>
        </w:rPr>
      </w:pPr>
    </w:p>
    <w:p w14:paraId="7151AC2D" w14:textId="77777777" w:rsidR="00CE3CEF" w:rsidRPr="00A61FA0" w:rsidRDefault="00CE3CEF" w:rsidP="00CE678E">
      <w:pPr>
        <w:ind w:left="851"/>
        <w:rPr>
          <w:i/>
          <w:sz w:val="24"/>
          <w:szCs w:val="24"/>
        </w:rPr>
      </w:pPr>
      <w:r w:rsidRPr="00A61FA0">
        <w:rPr>
          <w:i/>
          <w:sz w:val="24"/>
          <w:szCs w:val="24"/>
        </w:rPr>
        <w:t>Pædiatrisk population</w:t>
      </w:r>
    </w:p>
    <w:p w14:paraId="65472831" w14:textId="77777777" w:rsidR="00CE3CEF" w:rsidRPr="00A61FA0" w:rsidRDefault="00CE3CEF" w:rsidP="00CE678E">
      <w:pPr>
        <w:ind w:left="851"/>
        <w:rPr>
          <w:sz w:val="24"/>
          <w:szCs w:val="24"/>
        </w:rPr>
      </w:pPr>
      <w:r w:rsidRPr="00A61FA0">
        <w:rPr>
          <w:sz w:val="24"/>
          <w:szCs w:val="24"/>
        </w:rPr>
        <w:t>Intramuskulær injektion: 50 mg/kg pr. døgn fordelt på 4 lige store doser.</w:t>
      </w:r>
    </w:p>
    <w:p w14:paraId="75DDC4BA" w14:textId="77777777" w:rsidR="00CE3CEF" w:rsidRPr="00A61FA0" w:rsidRDefault="00CE3CEF" w:rsidP="00CE678E">
      <w:pPr>
        <w:ind w:left="851"/>
        <w:rPr>
          <w:sz w:val="24"/>
          <w:szCs w:val="24"/>
        </w:rPr>
      </w:pPr>
      <w:r w:rsidRPr="00A61FA0">
        <w:rPr>
          <w:sz w:val="24"/>
          <w:szCs w:val="24"/>
        </w:rPr>
        <w:t>Intravenøs injektion (f.eks. ved sepsis): 100 mg/kg pr. døgn (eller mere ved behov) fordelt på 4</w:t>
      </w:r>
      <w:r w:rsidRPr="00A61FA0">
        <w:rPr>
          <w:sz w:val="24"/>
          <w:szCs w:val="24"/>
        </w:rPr>
        <w:noBreakHyphen/>
        <w:t>6 lige store doser.</w:t>
      </w:r>
    </w:p>
    <w:p w14:paraId="57D1071C" w14:textId="77777777" w:rsidR="00CE3CEF" w:rsidRPr="00A61FA0" w:rsidRDefault="00CE3CEF" w:rsidP="00CE678E">
      <w:pPr>
        <w:ind w:left="851"/>
        <w:rPr>
          <w:sz w:val="24"/>
          <w:szCs w:val="24"/>
        </w:rPr>
      </w:pPr>
    </w:p>
    <w:p w14:paraId="090A9A9C" w14:textId="77777777" w:rsidR="00CE3CEF" w:rsidRPr="00A61FA0" w:rsidRDefault="00CE3CEF" w:rsidP="00CE678E">
      <w:pPr>
        <w:ind w:left="851"/>
        <w:rPr>
          <w:i/>
          <w:sz w:val="24"/>
          <w:szCs w:val="24"/>
        </w:rPr>
      </w:pPr>
      <w:proofErr w:type="spellStart"/>
      <w:r w:rsidRPr="00A61FA0">
        <w:rPr>
          <w:i/>
          <w:sz w:val="24"/>
          <w:szCs w:val="24"/>
        </w:rPr>
        <w:t>Endokarditis</w:t>
      </w:r>
      <w:proofErr w:type="spellEnd"/>
    </w:p>
    <w:p w14:paraId="69BD770A" w14:textId="49A6BFCB" w:rsidR="00C7542E" w:rsidRDefault="00C7542E" w:rsidP="00C7542E">
      <w:pPr>
        <w:ind w:left="851"/>
        <w:rPr>
          <w:sz w:val="24"/>
          <w:szCs w:val="24"/>
        </w:rPr>
      </w:pPr>
      <w:r>
        <w:rPr>
          <w:sz w:val="24"/>
          <w:szCs w:val="24"/>
        </w:rPr>
        <w:t xml:space="preserve">1 g 6 gange dagligt. </w:t>
      </w:r>
      <w:proofErr w:type="spellStart"/>
      <w:r>
        <w:rPr>
          <w:sz w:val="24"/>
          <w:szCs w:val="24"/>
        </w:rPr>
        <w:t>Cloxacillin</w:t>
      </w:r>
      <w:proofErr w:type="spellEnd"/>
      <w:r>
        <w:rPr>
          <w:sz w:val="24"/>
          <w:szCs w:val="24"/>
        </w:rPr>
        <w:t xml:space="preserve"> bør gives i kombination med </w:t>
      </w:r>
      <w:proofErr w:type="gramStart"/>
      <w:r>
        <w:rPr>
          <w:sz w:val="24"/>
          <w:szCs w:val="24"/>
        </w:rPr>
        <w:t>et aminoglykosid</w:t>
      </w:r>
      <w:proofErr w:type="gramEnd"/>
      <w:r>
        <w:rPr>
          <w:sz w:val="24"/>
          <w:szCs w:val="24"/>
        </w:rPr>
        <w:t xml:space="preserve"> i den første uge af behandlingen. I alvorlige tilfælde kan dosis øges til 12 g pr. døgn, givet som 2 g 6 gange dagligt, alternativt 12 g/24 timer som kontinuerlig infusion.</w:t>
      </w:r>
    </w:p>
    <w:p w14:paraId="248CB584" w14:textId="77777777" w:rsidR="00C7542E" w:rsidRDefault="00C7542E" w:rsidP="00C7542E">
      <w:pPr>
        <w:ind w:left="851"/>
        <w:rPr>
          <w:sz w:val="24"/>
          <w:szCs w:val="24"/>
        </w:rPr>
      </w:pPr>
    </w:p>
    <w:p w14:paraId="451C5E99" w14:textId="77777777" w:rsidR="00C7542E" w:rsidRDefault="00C7542E" w:rsidP="00C7542E">
      <w:pPr>
        <w:ind w:left="851"/>
        <w:rPr>
          <w:i/>
          <w:sz w:val="24"/>
          <w:szCs w:val="24"/>
        </w:rPr>
      </w:pPr>
      <w:r>
        <w:rPr>
          <w:i/>
          <w:sz w:val="24"/>
          <w:szCs w:val="24"/>
        </w:rPr>
        <w:t>Svært nedsat nyrefunktion</w:t>
      </w:r>
    </w:p>
    <w:p w14:paraId="6C65DEA8" w14:textId="77777777" w:rsidR="00C7542E" w:rsidRDefault="00C7542E" w:rsidP="00C7542E">
      <w:pPr>
        <w:ind w:left="851"/>
        <w:rPr>
          <w:sz w:val="24"/>
          <w:szCs w:val="24"/>
        </w:rPr>
      </w:pPr>
      <w:r>
        <w:rPr>
          <w:sz w:val="24"/>
          <w:szCs w:val="24"/>
        </w:rPr>
        <w:t xml:space="preserve">Udskillelsen af </w:t>
      </w:r>
      <w:proofErr w:type="spellStart"/>
      <w:r>
        <w:rPr>
          <w:sz w:val="24"/>
          <w:szCs w:val="24"/>
        </w:rPr>
        <w:t>cloxacillin</w:t>
      </w:r>
      <w:proofErr w:type="spellEnd"/>
      <w:r>
        <w:rPr>
          <w:sz w:val="24"/>
          <w:szCs w:val="24"/>
        </w:rPr>
        <w:t xml:space="preserve"> falder ved svært nedsat nyrefunktion. På grund af lav toksicitet kræves normalt ingen dosisjustering. Imidlertid bør symptomer på toksicitet overvåges og dosis bør justeres, hvis tegn på toksicitet observeres (se pkt. 4.4 og 4.9).</w:t>
      </w:r>
    </w:p>
    <w:p w14:paraId="1B1BD363" w14:textId="77777777" w:rsidR="00C7542E" w:rsidRDefault="00C7542E" w:rsidP="00C7542E">
      <w:pPr>
        <w:ind w:left="851"/>
        <w:rPr>
          <w:sz w:val="24"/>
          <w:szCs w:val="24"/>
        </w:rPr>
      </w:pPr>
    </w:p>
    <w:p w14:paraId="1589364A" w14:textId="554A9CB3" w:rsidR="00C7542E" w:rsidRDefault="00C7542E" w:rsidP="00C7542E">
      <w:pPr>
        <w:ind w:left="851"/>
        <w:rPr>
          <w:sz w:val="24"/>
          <w:szCs w:val="24"/>
        </w:rPr>
      </w:pPr>
      <w:r>
        <w:rPr>
          <w:sz w:val="24"/>
          <w:szCs w:val="24"/>
        </w:rPr>
        <w:t xml:space="preserve">Parental behandling er indiceret i de tilfælde, hvor patienterne ikke er i stand til at tage lægemidlet oralt, samt i fremskredne tilfælde, hvor det er nødvendigt hurtigt at opnå høje serumkoncentrationer. På grund af lav toksicitet af </w:t>
      </w:r>
      <w:proofErr w:type="spellStart"/>
      <w:r>
        <w:rPr>
          <w:sz w:val="24"/>
          <w:szCs w:val="24"/>
        </w:rPr>
        <w:t>cloxacillin</w:t>
      </w:r>
      <w:proofErr w:type="spellEnd"/>
      <w:r>
        <w:rPr>
          <w:sz w:val="24"/>
          <w:szCs w:val="24"/>
        </w:rPr>
        <w:t xml:space="preserve"> kan man efter behov give meget høje doser uden risiko for betydelige bivirkninger.</w:t>
      </w:r>
    </w:p>
    <w:p w14:paraId="4BF466A3" w14:textId="2A6A5BDD" w:rsidR="00C7542E" w:rsidRDefault="00C7542E" w:rsidP="00C7542E">
      <w:pPr>
        <w:ind w:left="851"/>
        <w:rPr>
          <w:sz w:val="24"/>
          <w:szCs w:val="24"/>
        </w:rPr>
      </w:pPr>
      <w:r>
        <w:rPr>
          <w:sz w:val="24"/>
          <w:szCs w:val="24"/>
        </w:rPr>
        <w:t xml:space="preserve">I tilfælde af </w:t>
      </w:r>
      <w:proofErr w:type="spellStart"/>
      <w:r>
        <w:rPr>
          <w:sz w:val="24"/>
          <w:szCs w:val="24"/>
        </w:rPr>
        <w:t>osteomyelitis</w:t>
      </w:r>
      <w:proofErr w:type="spellEnd"/>
      <w:r>
        <w:rPr>
          <w:sz w:val="24"/>
          <w:szCs w:val="24"/>
        </w:rPr>
        <w:t xml:space="preserve"> og andre tilstande, hvor det er vanskeligt at opnå tilstrækkelig antibiotikakoncentration i det inficerede område, bør behandlingen efter behov strække sig over måneder eller år.</w:t>
      </w:r>
    </w:p>
    <w:p w14:paraId="7A124611" w14:textId="0592C4CF" w:rsidR="00C7542E" w:rsidRDefault="00C7542E" w:rsidP="00C7542E">
      <w:pPr>
        <w:ind w:left="851"/>
        <w:rPr>
          <w:sz w:val="24"/>
          <w:szCs w:val="24"/>
        </w:rPr>
      </w:pPr>
      <w:r>
        <w:rPr>
          <w:sz w:val="24"/>
          <w:szCs w:val="24"/>
        </w:rPr>
        <w:t xml:space="preserve">Dette indebærer, at initial intravenøs behandling bør efterfølges af oral administration af peroral </w:t>
      </w:r>
      <w:proofErr w:type="spellStart"/>
      <w:r>
        <w:rPr>
          <w:sz w:val="24"/>
          <w:szCs w:val="24"/>
        </w:rPr>
        <w:t>isoxazolyl</w:t>
      </w:r>
      <w:proofErr w:type="spellEnd"/>
      <w:r>
        <w:rPr>
          <w:sz w:val="24"/>
          <w:szCs w:val="24"/>
        </w:rPr>
        <w:t>-penicillin.</w:t>
      </w:r>
    </w:p>
    <w:p w14:paraId="75EC39B3" w14:textId="77777777" w:rsidR="00CE3CEF" w:rsidRPr="00A61FA0" w:rsidRDefault="00CE3CEF" w:rsidP="00CE678E">
      <w:pPr>
        <w:ind w:left="851"/>
        <w:rPr>
          <w:sz w:val="24"/>
          <w:szCs w:val="24"/>
        </w:rPr>
      </w:pPr>
    </w:p>
    <w:p w14:paraId="026E7AD2" w14:textId="77777777" w:rsidR="00CE3CEF" w:rsidRPr="00C93A4B" w:rsidRDefault="00CE3CEF" w:rsidP="00CE678E">
      <w:pPr>
        <w:ind w:left="851"/>
        <w:rPr>
          <w:sz w:val="24"/>
          <w:szCs w:val="24"/>
          <w:u w:val="single"/>
        </w:rPr>
      </w:pPr>
      <w:r w:rsidRPr="00C93A4B">
        <w:rPr>
          <w:sz w:val="24"/>
          <w:szCs w:val="24"/>
          <w:u w:val="single"/>
        </w:rPr>
        <w:t>Administration</w:t>
      </w:r>
    </w:p>
    <w:p w14:paraId="636A8841" w14:textId="77777777" w:rsidR="00CE3CEF" w:rsidRPr="00A61FA0" w:rsidRDefault="00CE3CEF" w:rsidP="00CE678E">
      <w:pPr>
        <w:ind w:left="851"/>
        <w:rPr>
          <w:sz w:val="24"/>
          <w:szCs w:val="24"/>
        </w:rPr>
      </w:pPr>
      <w:proofErr w:type="spellStart"/>
      <w:r w:rsidRPr="00A61FA0">
        <w:rPr>
          <w:sz w:val="24"/>
          <w:szCs w:val="24"/>
        </w:rPr>
        <w:t>Cloxacillin</w:t>
      </w:r>
      <w:proofErr w:type="spellEnd"/>
      <w:r w:rsidRPr="00A61FA0">
        <w:rPr>
          <w:sz w:val="24"/>
          <w:szCs w:val="24"/>
        </w:rPr>
        <w:t xml:space="preserve"> skal administreres intramuskulært eller intravenøst.</w:t>
      </w:r>
    </w:p>
    <w:p w14:paraId="08FA07C6" w14:textId="77777777" w:rsidR="00CE3CEF" w:rsidRPr="00A61FA0" w:rsidRDefault="00CE3CEF" w:rsidP="00CE678E">
      <w:pPr>
        <w:ind w:left="851"/>
        <w:rPr>
          <w:sz w:val="24"/>
          <w:szCs w:val="24"/>
        </w:rPr>
      </w:pPr>
    </w:p>
    <w:p w14:paraId="7B1BA593" w14:textId="0D007DC7" w:rsidR="00C406C8" w:rsidRDefault="00CE3CEF" w:rsidP="00C406C8">
      <w:pPr>
        <w:ind w:left="851"/>
        <w:rPr>
          <w:sz w:val="24"/>
          <w:szCs w:val="24"/>
        </w:rPr>
      </w:pPr>
      <w:r w:rsidRPr="00A61FA0">
        <w:rPr>
          <w:sz w:val="24"/>
          <w:szCs w:val="24"/>
        </w:rPr>
        <w:t xml:space="preserve">For instruktioner om </w:t>
      </w:r>
      <w:proofErr w:type="spellStart"/>
      <w:r w:rsidRPr="00A61FA0">
        <w:rPr>
          <w:sz w:val="24"/>
          <w:szCs w:val="24"/>
        </w:rPr>
        <w:t>rekonstituering</w:t>
      </w:r>
      <w:proofErr w:type="spellEnd"/>
      <w:r w:rsidRPr="00A61FA0">
        <w:rPr>
          <w:sz w:val="24"/>
          <w:szCs w:val="24"/>
        </w:rPr>
        <w:t xml:space="preserve"> af lægemidlet før administration, se pkt. 6.6.</w:t>
      </w:r>
    </w:p>
    <w:p w14:paraId="66E5F0DD" w14:textId="77777777" w:rsidR="00C406C8" w:rsidRDefault="00C406C8" w:rsidP="00C406C8">
      <w:pPr>
        <w:ind w:left="851"/>
        <w:rPr>
          <w:b/>
          <w:sz w:val="24"/>
          <w:szCs w:val="24"/>
        </w:rPr>
      </w:pPr>
    </w:p>
    <w:p w14:paraId="26B07EFE" w14:textId="38FDC92D" w:rsidR="009260DE" w:rsidRPr="00A61FA0" w:rsidRDefault="009260DE" w:rsidP="00C406C8">
      <w:pPr>
        <w:keepNext/>
        <w:tabs>
          <w:tab w:val="left" w:pos="851"/>
        </w:tabs>
        <w:ind w:left="851" w:hanging="851"/>
        <w:rPr>
          <w:b/>
          <w:sz w:val="24"/>
          <w:szCs w:val="24"/>
        </w:rPr>
      </w:pPr>
      <w:r w:rsidRPr="00A61FA0">
        <w:rPr>
          <w:b/>
          <w:sz w:val="24"/>
          <w:szCs w:val="24"/>
        </w:rPr>
        <w:lastRenderedPageBreak/>
        <w:t>4.3</w:t>
      </w:r>
      <w:r w:rsidRPr="00A61FA0">
        <w:rPr>
          <w:b/>
          <w:sz w:val="24"/>
          <w:szCs w:val="24"/>
        </w:rPr>
        <w:tab/>
        <w:t>Kontraindikationer</w:t>
      </w:r>
    </w:p>
    <w:p w14:paraId="413532A4" w14:textId="77777777" w:rsidR="00CE3CEF" w:rsidRPr="00A61FA0" w:rsidRDefault="00CE3CEF" w:rsidP="00CE678E">
      <w:pPr>
        <w:ind w:left="851"/>
        <w:rPr>
          <w:sz w:val="24"/>
          <w:szCs w:val="24"/>
        </w:rPr>
      </w:pPr>
      <w:r w:rsidRPr="00A61FA0">
        <w:rPr>
          <w:sz w:val="24"/>
          <w:szCs w:val="24"/>
        </w:rPr>
        <w:t xml:space="preserve">Overfølsomhed over for det aktive stof, andre penicilliner og over for </w:t>
      </w:r>
      <w:proofErr w:type="spellStart"/>
      <w:r w:rsidRPr="00A61FA0">
        <w:rPr>
          <w:sz w:val="24"/>
          <w:szCs w:val="24"/>
        </w:rPr>
        <w:t>cefalosporiner</w:t>
      </w:r>
      <w:proofErr w:type="spellEnd"/>
      <w:r w:rsidRPr="00A61FA0">
        <w:rPr>
          <w:sz w:val="24"/>
          <w:szCs w:val="24"/>
        </w:rPr>
        <w:t xml:space="preserve"> (type 1 reaktion).</w:t>
      </w:r>
    </w:p>
    <w:p w14:paraId="35E8D3A1" w14:textId="77777777" w:rsidR="009260DE" w:rsidRPr="00A61FA0" w:rsidRDefault="009260DE" w:rsidP="009260DE">
      <w:pPr>
        <w:tabs>
          <w:tab w:val="left" w:pos="851"/>
        </w:tabs>
        <w:ind w:left="851"/>
        <w:rPr>
          <w:sz w:val="24"/>
          <w:szCs w:val="24"/>
        </w:rPr>
      </w:pPr>
    </w:p>
    <w:p w14:paraId="400B9530" w14:textId="77777777" w:rsidR="009260DE" w:rsidRPr="00A61FA0" w:rsidRDefault="009260DE" w:rsidP="009260DE">
      <w:pPr>
        <w:tabs>
          <w:tab w:val="left" w:pos="851"/>
        </w:tabs>
        <w:ind w:left="851" w:hanging="851"/>
        <w:rPr>
          <w:b/>
          <w:sz w:val="24"/>
          <w:szCs w:val="24"/>
        </w:rPr>
      </w:pPr>
      <w:r w:rsidRPr="00A61FA0">
        <w:rPr>
          <w:b/>
          <w:sz w:val="24"/>
          <w:szCs w:val="24"/>
        </w:rPr>
        <w:t>4.4</w:t>
      </w:r>
      <w:r w:rsidRPr="00A61FA0">
        <w:rPr>
          <w:b/>
          <w:sz w:val="24"/>
          <w:szCs w:val="24"/>
        </w:rPr>
        <w:tab/>
        <w:t>Særlige advarsler og forsigtighedsregler vedrørende brugen</w:t>
      </w:r>
    </w:p>
    <w:p w14:paraId="442FC317" w14:textId="77777777" w:rsidR="00CE3CEF" w:rsidRPr="00A61FA0" w:rsidRDefault="00CE3CEF" w:rsidP="00CE678E">
      <w:pPr>
        <w:suppressAutoHyphens/>
        <w:ind w:left="851"/>
        <w:rPr>
          <w:sz w:val="24"/>
          <w:szCs w:val="24"/>
        </w:rPr>
      </w:pPr>
      <w:r w:rsidRPr="00A61FA0">
        <w:rPr>
          <w:sz w:val="24"/>
          <w:szCs w:val="24"/>
        </w:rPr>
        <w:t xml:space="preserve">Der kan forekomme krydsallergi med penicilliner og </w:t>
      </w:r>
      <w:proofErr w:type="spellStart"/>
      <w:r w:rsidRPr="00A61FA0">
        <w:rPr>
          <w:sz w:val="24"/>
          <w:szCs w:val="24"/>
        </w:rPr>
        <w:t>cefalosporiner</w:t>
      </w:r>
      <w:proofErr w:type="spellEnd"/>
      <w:r w:rsidRPr="00A61FA0">
        <w:rPr>
          <w:sz w:val="24"/>
          <w:szCs w:val="24"/>
        </w:rPr>
        <w:t>.</w:t>
      </w:r>
    </w:p>
    <w:p w14:paraId="775C1734" w14:textId="77777777" w:rsidR="00CE3CEF" w:rsidRPr="00A61FA0" w:rsidRDefault="00CE3CEF" w:rsidP="00CE678E">
      <w:pPr>
        <w:suppressAutoHyphens/>
        <w:ind w:left="851"/>
        <w:rPr>
          <w:sz w:val="24"/>
          <w:szCs w:val="24"/>
        </w:rPr>
      </w:pPr>
    </w:p>
    <w:p w14:paraId="373DE6BF" w14:textId="4FF1B6C9" w:rsidR="00C7542E" w:rsidRDefault="00C7542E" w:rsidP="00C7542E">
      <w:pPr>
        <w:suppressAutoHyphens/>
        <w:ind w:left="851"/>
        <w:rPr>
          <w:sz w:val="24"/>
          <w:szCs w:val="24"/>
        </w:rPr>
      </w:pPr>
      <w:r>
        <w:rPr>
          <w:sz w:val="24"/>
          <w:szCs w:val="24"/>
        </w:rPr>
        <w:t xml:space="preserve">Antibiotika-associeret colitis og </w:t>
      </w:r>
      <w:proofErr w:type="spellStart"/>
      <w:r>
        <w:rPr>
          <w:sz w:val="24"/>
          <w:szCs w:val="24"/>
        </w:rPr>
        <w:t>pseudomembranøs</w:t>
      </w:r>
      <w:proofErr w:type="spellEnd"/>
      <w:r>
        <w:rPr>
          <w:sz w:val="24"/>
          <w:szCs w:val="24"/>
        </w:rPr>
        <w:t xml:space="preserve"> colitis er blevet rapporteret ved brug af næsten alle antibakterielle midler, inklusive </w:t>
      </w:r>
      <w:proofErr w:type="spellStart"/>
      <w:r>
        <w:rPr>
          <w:sz w:val="24"/>
          <w:szCs w:val="24"/>
        </w:rPr>
        <w:t>cloxacillin</w:t>
      </w:r>
      <w:proofErr w:type="spellEnd"/>
      <w:r>
        <w:rPr>
          <w:sz w:val="24"/>
          <w:szCs w:val="24"/>
        </w:rPr>
        <w:t xml:space="preserve">, og kan variere i sværhedsgrad fra let til livstruende. Det er derfor vigtigt at overveje denne diagnose hos patienter, som får diarré efter administration af antibakterielle midler. </w:t>
      </w:r>
      <w:proofErr w:type="spellStart"/>
      <w:r>
        <w:rPr>
          <w:sz w:val="24"/>
          <w:szCs w:val="24"/>
        </w:rPr>
        <w:t>Seponering</w:t>
      </w:r>
      <w:proofErr w:type="spellEnd"/>
      <w:r>
        <w:rPr>
          <w:sz w:val="24"/>
          <w:szCs w:val="24"/>
        </w:rPr>
        <w:t xml:space="preserve"> af behandlingen med </w:t>
      </w:r>
      <w:proofErr w:type="spellStart"/>
      <w:r>
        <w:rPr>
          <w:sz w:val="24"/>
          <w:szCs w:val="24"/>
        </w:rPr>
        <w:t>cloxacillin</w:t>
      </w:r>
      <w:proofErr w:type="spellEnd"/>
      <w:r>
        <w:rPr>
          <w:sz w:val="24"/>
          <w:szCs w:val="24"/>
        </w:rPr>
        <w:t xml:space="preserve"> og administration af en specifik behandling mod </w:t>
      </w:r>
      <w:proofErr w:type="spellStart"/>
      <w:r>
        <w:rPr>
          <w:i/>
          <w:iCs/>
          <w:sz w:val="24"/>
          <w:szCs w:val="24"/>
        </w:rPr>
        <w:t>Clostridum</w:t>
      </w:r>
      <w:proofErr w:type="spellEnd"/>
      <w:r>
        <w:rPr>
          <w:i/>
          <w:iCs/>
          <w:sz w:val="24"/>
          <w:szCs w:val="24"/>
        </w:rPr>
        <w:t xml:space="preserve"> difficile</w:t>
      </w:r>
      <w:r>
        <w:rPr>
          <w:sz w:val="24"/>
          <w:szCs w:val="24"/>
        </w:rPr>
        <w:t xml:space="preserve"> bør overvejes. Lægemidler, der hæmmer peristaltikken, bør ikke gives.</w:t>
      </w:r>
    </w:p>
    <w:p w14:paraId="6373EAC6" w14:textId="77777777" w:rsidR="00CE3CEF" w:rsidRPr="00A61FA0" w:rsidRDefault="00CE3CEF" w:rsidP="00CE678E">
      <w:pPr>
        <w:suppressAutoHyphens/>
        <w:ind w:left="851"/>
        <w:rPr>
          <w:sz w:val="24"/>
          <w:szCs w:val="24"/>
        </w:rPr>
      </w:pPr>
    </w:p>
    <w:p w14:paraId="71029ADF" w14:textId="77777777" w:rsidR="00CE3CEF" w:rsidRPr="00A61FA0" w:rsidRDefault="00CE3CEF" w:rsidP="00CE678E">
      <w:pPr>
        <w:ind w:left="851"/>
        <w:rPr>
          <w:sz w:val="24"/>
          <w:szCs w:val="24"/>
        </w:rPr>
      </w:pPr>
      <w:r w:rsidRPr="00A61FA0">
        <w:rPr>
          <w:sz w:val="24"/>
          <w:szCs w:val="24"/>
        </w:rPr>
        <w:t>Administration af høje parenterale doser til patienter med signifikant nedsat nyrefunktion eller med skade på blod-hjerne-barrieren kan forårsage neurologiske komplikationer i form af kramper. Dosen skal nedsættes, hvis sådanne symptomer forekommer.</w:t>
      </w:r>
    </w:p>
    <w:p w14:paraId="0BFC6143" w14:textId="77777777" w:rsidR="00CE3CEF" w:rsidRPr="00A61FA0" w:rsidRDefault="00CE3CEF" w:rsidP="00CE678E">
      <w:pPr>
        <w:ind w:left="851"/>
        <w:rPr>
          <w:sz w:val="24"/>
          <w:szCs w:val="24"/>
          <w:u w:val="single"/>
        </w:rPr>
      </w:pPr>
    </w:p>
    <w:p w14:paraId="28511255" w14:textId="77777777" w:rsidR="00C406C8" w:rsidRPr="00A61FA0" w:rsidRDefault="00C406C8" w:rsidP="00C406C8">
      <w:pPr>
        <w:ind w:left="851"/>
        <w:rPr>
          <w:sz w:val="24"/>
          <w:szCs w:val="24"/>
        </w:rPr>
      </w:pPr>
      <w:r w:rsidRPr="00A61FA0">
        <w:rPr>
          <w:sz w:val="24"/>
          <w:szCs w:val="24"/>
        </w:rPr>
        <w:t xml:space="preserve">Dette lægemiddel indeholder 50 mg og 100 mg natrium pr. 1 g og 2 g dosis, svarende til henholdsvis 2,5 % og 5 % af den WHO anbefalede maksimale daglige indtagelse af </w:t>
      </w:r>
      <w:r>
        <w:rPr>
          <w:sz w:val="24"/>
          <w:szCs w:val="24"/>
        </w:rPr>
        <w:t xml:space="preserve">2 g </w:t>
      </w:r>
      <w:r w:rsidRPr="00A61FA0">
        <w:rPr>
          <w:sz w:val="24"/>
          <w:szCs w:val="24"/>
        </w:rPr>
        <w:t>natrium</w:t>
      </w:r>
      <w:r>
        <w:rPr>
          <w:sz w:val="24"/>
          <w:szCs w:val="24"/>
        </w:rPr>
        <w:t xml:space="preserve"> for en voksen</w:t>
      </w:r>
      <w:r w:rsidRPr="00A61FA0">
        <w:rPr>
          <w:sz w:val="24"/>
          <w:szCs w:val="24"/>
        </w:rPr>
        <w:t>. Den maksimale daglige dosis af dette lægemiddel svarer til 30 % af den WHO anbefalede maksimale daglige indtagelse af natrium</w:t>
      </w:r>
      <w:r>
        <w:rPr>
          <w:sz w:val="24"/>
          <w:szCs w:val="24"/>
        </w:rPr>
        <w:t xml:space="preserve"> og anses </w:t>
      </w:r>
      <w:r w:rsidRPr="00A61FA0">
        <w:rPr>
          <w:sz w:val="24"/>
          <w:szCs w:val="24"/>
        </w:rPr>
        <w:t>som ”højdosis” natrium. Dette skal tages i betragtning hos personer på diæt med lavt natriumindhold.</w:t>
      </w:r>
    </w:p>
    <w:p w14:paraId="6E2E3989" w14:textId="77777777" w:rsidR="009260DE" w:rsidRPr="00A61FA0" w:rsidRDefault="009260DE" w:rsidP="009260DE">
      <w:pPr>
        <w:tabs>
          <w:tab w:val="left" w:pos="851"/>
        </w:tabs>
        <w:ind w:left="851"/>
        <w:rPr>
          <w:sz w:val="24"/>
          <w:szCs w:val="24"/>
        </w:rPr>
      </w:pPr>
    </w:p>
    <w:p w14:paraId="7E624164" w14:textId="77777777" w:rsidR="009260DE" w:rsidRPr="00A61FA0" w:rsidRDefault="009260DE" w:rsidP="009260DE">
      <w:pPr>
        <w:tabs>
          <w:tab w:val="left" w:pos="851"/>
        </w:tabs>
        <w:ind w:left="851" w:hanging="851"/>
        <w:rPr>
          <w:b/>
          <w:sz w:val="24"/>
          <w:szCs w:val="24"/>
        </w:rPr>
      </w:pPr>
      <w:r w:rsidRPr="00A61FA0">
        <w:rPr>
          <w:b/>
          <w:sz w:val="24"/>
          <w:szCs w:val="24"/>
        </w:rPr>
        <w:t>4.5</w:t>
      </w:r>
      <w:r w:rsidRPr="00A61FA0">
        <w:rPr>
          <w:b/>
          <w:sz w:val="24"/>
          <w:szCs w:val="24"/>
        </w:rPr>
        <w:tab/>
        <w:t>Interaktion med andre lægemidler og andre former for interaktion</w:t>
      </w:r>
    </w:p>
    <w:p w14:paraId="67C30885" w14:textId="77777777" w:rsidR="00C7542E" w:rsidRDefault="00C7542E" w:rsidP="00C7542E">
      <w:pPr>
        <w:ind w:left="851"/>
        <w:rPr>
          <w:sz w:val="24"/>
          <w:szCs w:val="24"/>
        </w:rPr>
      </w:pPr>
    </w:p>
    <w:p w14:paraId="533FD1C6" w14:textId="77777777" w:rsidR="00C7542E" w:rsidRDefault="00C7542E" w:rsidP="00C7542E">
      <w:pPr>
        <w:ind w:left="851"/>
        <w:rPr>
          <w:sz w:val="24"/>
          <w:szCs w:val="24"/>
        </w:rPr>
      </w:pPr>
      <w:proofErr w:type="spellStart"/>
      <w:r>
        <w:rPr>
          <w:i/>
          <w:iCs/>
          <w:sz w:val="24"/>
          <w:szCs w:val="24"/>
        </w:rPr>
        <w:t>Methotrexat</w:t>
      </w:r>
      <w:proofErr w:type="spellEnd"/>
      <w:r>
        <w:rPr>
          <w:i/>
          <w:iCs/>
          <w:sz w:val="24"/>
          <w:szCs w:val="24"/>
        </w:rPr>
        <w:t>:</w:t>
      </w:r>
    </w:p>
    <w:p w14:paraId="363AF947" w14:textId="479E8783" w:rsidR="00C7542E" w:rsidRDefault="00C7542E" w:rsidP="00C7542E">
      <w:pPr>
        <w:ind w:left="851"/>
        <w:rPr>
          <w:sz w:val="24"/>
          <w:szCs w:val="24"/>
        </w:rPr>
      </w:pPr>
      <w:r>
        <w:rPr>
          <w:sz w:val="24"/>
          <w:szCs w:val="24"/>
        </w:rPr>
        <w:t xml:space="preserve">Samtidig brug af </w:t>
      </w:r>
      <w:proofErr w:type="spellStart"/>
      <w:r>
        <w:rPr>
          <w:sz w:val="24"/>
          <w:szCs w:val="24"/>
        </w:rPr>
        <w:t>methotrexat</w:t>
      </w:r>
      <w:proofErr w:type="spellEnd"/>
      <w:r>
        <w:rPr>
          <w:sz w:val="24"/>
          <w:szCs w:val="24"/>
        </w:rPr>
        <w:t xml:space="preserve"> kan forårsage øget virkning/toksicitet af </w:t>
      </w:r>
      <w:proofErr w:type="spellStart"/>
      <w:r>
        <w:rPr>
          <w:sz w:val="24"/>
          <w:szCs w:val="24"/>
        </w:rPr>
        <w:t>methotrexat</w:t>
      </w:r>
      <w:proofErr w:type="spellEnd"/>
      <w:r>
        <w:rPr>
          <w:sz w:val="24"/>
          <w:szCs w:val="24"/>
        </w:rPr>
        <w:t xml:space="preserve"> på grund af reduceret elimination.</w:t>
      </w:r>
    </w:p>
    <w:p w14:paraId="5330301A" w14:textId="77777777" w:rsidR="00C7542E" w:rsidRDefault="00C7542E" w:rsidP="00C7542E">
      <w:pPr>
        <w:ind w:left="851"/>
        <w:rPr>
          <w:sz w:val="24"/>
          <w:szCs w:val="24"/>
        </w:rPr>
      </w:pPr>
    </w:p>
    <w:p w14:paraId="7AB2398C" w14:textId="77777777" w:rsidR="00C7542E" w:rsidRDefault="00C7542E" w:rsidP="00C7542E">
      <w:pPr>
        <w:ind w:left="851"/>
        <w:rPr>
          <w:sz w:val="24"/>
          <w:szCs w:val="24"/>
        </w:rPr>
      </w:pPr>
      <w:r>
        <w:rPr>
          <w:i/>
          <w:iCs/>
          <w:sz w:val="24"/>
          <w:szCs w:val="24"/>
        </w:rPr>
        <w:t xml:space="preserve">Lægemidler, der indeholder </w:t>
      </w:r>
      <w:proofErr w:type="spellStart"/>
      <w:r>
        <w:rPr>
          <w:i/>
          <w:iCs/>
          <w:sz w:val="24"/>
          <w:szCs w:val="24"/>
        </w:rPr>
        <w:t>dicumarol</w:t>
      </w:r>
      <w:proofErr w:type="spellEnd"/>
      <w:r>
        <w:rPr>
          <w:i/>
          <w:iCs/>
          <w:sz w:val="24"/>
          <w:szCs w:val="24"/>
        </w:rPr>
        <w:t>:</w:t>
      </w:r>
    </w:p>
    <w:p w14:paraId="70CA3D49" w14:textId="77777777" w:rsidR="00C7542E" w:rsidRDefault="00C7542E" w:rsidP="00C7542E">
      <w:pPr>
        <w:ind w:left="851"/>
        <w:rPr>
          <w:sz w:val="24"/>
          <w:szCs w:val="24"/>
        </w:rPr>
      </w:pPr>
      <w:r>
        <w:rPr>
          <w:sz w:val="24"/>
          <w:szCs w:val="24"/>
        </w:rPr>
        <w:t xml:space="preserve">Virkningen af </w:t>
      </w:r>
      <w:proofErr w:type="spellStart"/>
      <w:r>
        <w:rPr>
          <w:sz w:val="24"/>
          <w:szCs w:val="24"/>
        </w:rPr>
        <w:t>warfarin</w:t>
      </w:r>
      <w:proofErr w:type="spellEnd"/>
      <w:r>
        <w:rPr>
          <w:sz w:val="24"/>
          <w:szCs w:val="24"/>
        </w:rPr>
        <w:t>/</w:t>
      </w:r>
      <w:proofErr w:type="spellStart"/>
      <w:r>
        <w:rPr>
          <w:sz w:val="24"/>
          <w:szCs w:val="24"/>
        </w:rPr>
        <w:t>dicumarol</w:t>
      </w:r>
      <w:proofErr w:type="spellEnd"/>
      <w:r>
        <w:rPr>
          <w:sz w:val="24"/>
          <w:szCs w:val="24"/>
        </w:rPr>
        <w:t xml:space="preserve"> kan blive reduceret ved samtidig behandling med </w:t>
      </w:r>
      <w:proofErr w:type="spellStart"/>
      <w:r>
        <w:rPr>
          <w:sz w:val="24"/>
          <w:szCs w:val="24"/>
        </w:rPr>
        <w:t>cloxacillin</w:t>
      </w:r>
      <w:proofErr w:type="spellEnd"/>
      <w:r>
        <w:rPr>
          <w:sz w:val="24"/>
          <w:szCs w:val="24"/>
        </w:rPr>
        <w:t xml:space="preserve">. Kombinationen kan kræve dosisjustering. </w:t>
      </w:r>
    </w:p>
    <w:p w14:paraId="199DFBAE" w14:textId="77777777" w:rsidR="00C7542E" w:rsidRDefault="00C7542E" w:rsidP="00C7542E">
      <w:pPr>
        <w:ind w:left="851"/>
        <w:rPr>
          <w:sz w:val="24"/>
          <w:szCs w:val="24"/>
        </w:rPr>
      </w:pPr>
    </w:p>
    <w:p w14:paraId="5CCCF3E3" w14:textId="77777777" w:rsidR="00C7542E" w:rsidRDefault="00C7542E" w:rsidP="00C7542E">
      <w:pPr>
        <w:ind w:left="851"/>
        <w:rPr>
          <w:sz w:val="24"/>
          <w:szCs w:val="24"/>
        </w:rPr>
      </w:pPr>
      <w:proofErr w:type="spellStart"/>
      <w:r>
        <w:rPr>
          <w:i/>
          <w:iCs/>
          <w:sz w:val="24"/>
          <w:szCs w:val="24"/>
        </w:rPr>
        <w:t>Warfarin</w:t>
      </w:r>
      <w:proofErr w:type="spellEnd"/>
      <w:r>
        <w:rPr>
          <w:sz w:val="24"/>
          <w:szCs w:val="24"/>
        </w:rPr>
        <w:t>:</w:t>
      </w:r>
    </w:p>
    <w:p w14:paraId="6BDA76AF" w14:textId="77777777" w:rsidR="00C7542E" w:rsidRDefault="00C7542E" w:rsidP="00C7542E">
      <w:pPr>
        <w:ind w:left="851"/>
        <w:rPr>
          <w:sz w:val="24"/>
          <w:szCs w:val="24"/>
        </w:rPr>
      </w:pPr>
      <w:r>
        <w:rPr>
          <w:sz w:val="24"/>
          <w:szCs w:val="24"/>
        </w:rPr>
        <w:t xml:space="preserve">Komitéen for sekundære virkninger af lægemidler har modtaget adskillelige rapporter med tilfælde, hvor effekten af </w:t>
      </w:r>
      <w:proofErr w:type="spellStart"/>
      <w:r>
        <w:rPr>
          <w:iCs/>
          <w:sz w:val="24"/>
          <w:szCs w:val="24"/>
        </w:rPr>
        <w:t>warfarin</w:t>
      </w:r>
      <w:proofErr w:type="spellEnd"/>
      <w:r>
        <w:rPr>
          <w:i/>
          <w:sz w:val="24"/>
          <w:szCs w:val="24"/>
        </w:rPr>
        <w:t xml:space="preserve"> </w:t>
      </w:r>
      <w:r>
        <w:rPr>
          <w:sz w:val="24"/>
          <w:szCs w:val="24"/>
        </w:rPr>
        <w:t xml:space="preserve">er faldet ved samtidig oral behandling med </w:t>
      </w:r>
      <w:proofErr w:type="spellStart"/>
      <w:r>
        <w:rPr>
          <w:sz w:val="24"/>
          <w:szCs w:val="24"/>
        </w:rPr>
        <w:t>cloxacillin</w:t>
      </w:r>
      <w:proofErr w:type="spellEnd"/>
      <w:r>
        <w:rPr>
          <w:sz w:val="24"/>
          <w:szCs w:val="24"/>
        </w:rPr>
        <w:t>. Mekanismen er uklar.</w:t>
      </w:r>
    </w:p>
    <w:p w14:paraId="3708032C" w14:textId="77777777" w:rsidR="00C7542E" w:rsidRDefault="00C7542E" w:rsidP="00C7542E">
      <w:pPr>
        <w:ind w:left="851"/>
        <w:rPr>
          <w:sz w:val="24"/>
          <w:szCs w:val="24"/>
        </w:rPr>
      </w:pPr>
    </w:p>
    <w:p w14:paraId="496E8287" w14:textId="77777777" w:rsidR="00C7542E" w:rsidRDefault="00C7542E" w:rsidP="00C7542E">
      <w:pPr>
        <w:ind w:left="851"/>
        <w:rPr>
          <w:sz w:val="24"/>
          <w:szCs w:val="24"/>
        </w:rPr>
      </w:pPr>
      <w:proofErr w:type="spellStart"/>
      <w:r>
        <w:rPr>
          <w:i/>
          <w:sz w:val="24"/>
          <w:szCs w:val="24"/>
        </w:rPr>
        <w:t>Probenecid</w:t>
      </w:r>
      <w:proofErr w:type="spellEnd"/>
      <w:r>
        <w:rPr>
          <w:i/>
          <w:sz w:val="24"/>
          <w:szCs w:val="24"/>
        </w:rPr>
        <w:t>:</w:t>
      </w:r>
      <w:r>
        <w:rPr>
          <w:sz w:val="24"/>
          <w:szCs w:val="24"/>
        </w:rPr>
        <w:t xml:space="preserve"> </w:t>
      </w:r>
    </w:p>
    <w:p w14:paraId="1DF402BA" w14:textId="77777777" w:rsidR="00C7542E" w:rsidRDefault="00C7542E" w:rsidP="00C7542E">
      <w:pPr>
        <w:ind w:left="851"/>
        <w:rPr>
          <w:sz w:val="24"/>
          <w:szCs w:val="24"/>
        </w:rPr>
      </w:pPr>
      <w:proofErr w:type="spellStart"/>
      <w:r>
        <w:rPr>
          <w:iCs/>
          <w:sz w:val="24"/>
          <w:szCs w:val="24"/>
        </w:rPr>
        <w:t>Probenecid</w:t>
      </w:r>
      <w:proofErr w:type="spellEnd"/>
      <w:r>
        <w:rPr>
          <w:sz w:val="24"/>
          <w:szCs w:val="24"/>
        </w:rPr>
        <w:t xml:space="preserve"> forhindrer </w:t>
      </w:r>
      <w:proofErr w:type="spellStart"/>
      <w:r>
        <w:rPr>
          <w:sz w:val="24"/>
          <w:szCs w:val="24"/>
        </w:rPr>
        <w:t>renal</w:t>
      </w:r>
      <w:proofErr w:type="spellEnd"/>
      <w:r>
        <w:rPr>
          <w:sz w:val="24"/>
          <w:szCs w:val="24"/>
        </w:rPr>
        <w:t xml:space="preserve"> udskillelse af </w:t>
      </w:r>
      <w:proofErr w:type="spellStart"/>
      <w:r>
        <w:rPr>
          <w:sz w:val="24"/>
          <w:szCs w:val="24"/>
        </w:rPr>
        <w:t>cloxacillin</w:t>
      </w:r>
      <w:proofErr w:type="spellEnd"/>
      <w:r>
        <w:rPr>
          <w:sz w:val="24"/>
          <w:szCs w:val="24"/>
        </w:rPr>
        <w:t xml:space="preserve"> og derfor kan højere plasmakoncentrationer opretholdes i længere tid.</w:t>
      </w:r>
    </w:p>
    <w:p w14:paraId="5D0168BE" w14:textId="77777777" w:rsidR="009260DE" w:rsidRPr="00A61FA0" w:rsidRDefault="009260DE" w:rsidP="009260DE">
      <w:pPr>
        <w:tabs>
          <w:tab w:val="left" w:pos="851"/>
        </w:tabs>
        <w:ind w:left="851"/>
        <w:rPr>
          <w:sz w:val="24"/>
          <w:szCs w:val="24"/>
        </w:rPr>
      </w:pPr>
    </w:p>
    <w:p w14:paraId="1A1C2415" w14:textId="77777777" w:rsidR="009260DE" w:rsidRPr="00A61FA0" w:rsidRDefault="009260DE" w:rsidP="009260DE">
      <w:pPr>
        <w:tabs>
          <w:tab w:val="left" w:pos="851"/>
        </w:tabs>
        <w:ind w:left="851" w:hanging="851"/>
        <w:rPr>
          <w:b/>
          <w:sz w:val="24"/>
          <w:szCs w:val="24"/>
        </w:rPr>
      </w:pPr>
      <w:r w:rsidRPr="00A61FA0">
        <w:rPr>
          <w:b/>
          <w:sz w:val="24"/>
          <w:szCs w:val="24"/>
        </w:rPr>
        <w:t>4.6</w:t>
      </w:r>
      <w:r w:rsidRPr="00A61FA0">
        <w:rPr>
          <w:b/>
          <w:sz w:val="24"/>
          <w:szCs w:val="24"/>
        </w:rPr>
        <w:tab/>
      </w:r>
      <w:r w:rsidR="0071241E" w:rsidRPr="00A61FA0">
        <w:rPr>
          <w:b/>
          <w:sz w:val="24"/>
          <w:szCs w:val="24"/>
        </w:rPr>
        <w:t>Fertilitet, g</w:t>
      </w:r>
      <w:r w:rsidRPr="00A61FA0">
        <w:rPr>
          <w:b/>
          <w:sz w:val="24"/>
          <w:szCs w:val="24"/>
        </w:rPr>
        <w:t>raviditet og amning</w:t>
      </w:r>
    </w:p>
    <w:p w14:paraId="33EC43D2" w14:textId="77777777" w:rsidR="00C93A4B" w:rsidRDefault="00C93A4B" w:rsidP="00C93A4B">
      <w:pPr>
        <w:ind w:left="851"/>
        <w:rPr>
          <w:sz w:val="24"/>
          <w:szCs w:val="24"/>
        </w:rPr>
      </w:pPr>
    </w:p>
    <w:p w14:paraId="60CB0725" w14:textId="12D296B4" w:rsidR="00CE3CEF" w:rsidRPr="00C93A4B" w:rsidRDefault="00CE3CEF" w:rsidP="00C93A4B">
      <w:pPr>
        <w:ind w:left="851"/>
        <w:rPr>
          <w:sz w:val="24"/>
          <w:szCs w:val="24"/>
          <w:u w:val="single"/>
        </w:rPr>
      </w:pPr>
      <w:r w:rsidRPr="00C93A4B">
        <w:rPr>
          <w:sz w:val="24"/>
          <w:szCs w:val="24"/>
          <w:u w:val="single"/>
        </w:rPr>
        <w:t>Graviditet</w:t>
      </w:r>
    </w:p>
    <w:p w14:paraId="2C3D2986" w14:textId="45980A42" w:rsidR="00CE3CEF" w:rsidRDefault="00CE3CEF" w:rsidP="00C93A4B">
      <w:pPr>
        <w:ind w:left="851"/>
        <w:rPr>
          <w:sz w:val="24"/>
          <w:szCs w:val="24"/>
        </w:rPr>
      </w:pPr>
      <w:r w:rsidRPr="00C93A4B">
        <w:rPr>
          <w:sz w:val="24"/>
          <w:szCs w:val="24"/>
        </w:rPr>
        <w:t>Der er ingen kendte risici relateret til brug under graviditet.</w:t>
      </w:r>
    </w:p>
    <w:p w14:paraId="74CE722C" w14:textId="77777777" w:rsidR="00C406C8" w:rsidRPr="00C93A4B" w:rsidRDefault="00C406C8" w:rsidP="00C93A4B">
      <w:pPr>
        <w:ind w:left="851"/>
        <w:rPr>
          <w:sz w:val="24"/>
          <w:szCs w:val="24"/>
        </w:rPr>
      </w:pPr>
    </w:p>
    <w:p w14:paraId="1D9F6FEC" w14:textId="77777777" w:rsidR="00CE3CEF" w:rsidRPr="00C93A4B" w:rsidRDefault="00CE3CEF" w:rsidP="00730475">
      <w:pPr>
        <w:keepNext/>
        <w:ind w:left="851"/>
        <w:rPr>
          <w:sz w:val="24"/>
          <w:szCs w:val="24"/>
          <w:u w:val="single"/>
        </w:rPr>
      </w:pPr>
      <w:r w:rsidRPr="00C93A4B">
        <w:rPr>
          <w:sz w:val="24"/>
          <w:szCs w:val="24"/>
          <w:u w:val="single"/>
        </w:rPr>
        <w:t>Amning</w:t>
      </w:r>
    </w:p>
    <w:p w14:paraId="0895815C" w14:textId="022AB17A" w:rsidR="00CE3CEF" w:rsidRPr="00C93A4B" w:rsidRDefault="00CE3CEF" w:rsidP="00C93A4B">
      <w:pPr>
        <w:ind w:left="851"/>
        <w:rPr>
          <w:sz w:val="24"/>
          <w:szCs w:val="24"/>
        </w:rPr>
      </w:pPr>
      <w:proofErr w:type="spellStart"/>
      <w:r w:rsidRPr="00C93A4B">
        <w:rPr>
          <w:sz w:val="24"/>
          <w:szCs w:val="24"/>
        </w:rPr>
        <w:t>Cloxacillin</w:t>
      </w:r>
      <w:proofErr w:type="spellEnd"/>
      <w:r w:rsidRPr="00C93A4B">
        <w:rPr>
          <w:sz w:val="24"/>
          <w:szCs w:val="24"/>
        </w:rPr>
        <w:t xml:space="preserve"> udskilles i human modermælk, men ved terapeutiske doser er risikoen for en påvirkning af spædbarnet vurderet til at være usandsynlig.</w:t>
      </w:r>
    </w:p>
    <w:p w14:paraId="6D72ADF1" w14:textId="77777777" w:rsidR="009260DE" w:rsidRPr="00A61FA0" w:rsidRDefault="009260DE" w:rsidP="009260DE">
      <w:pPr>
        <w:tabs>
          <w:tab w:val="left" w:pos="851"/>
        </w:tabs>
        <w:ind w:left="851"/>
        <w:rPr>
          <w:sz w:val="24"/>
          <w:szCs w:val="24"/>
        </w:rPr>
      </w:pPr>
    </w:p>
    <w:p w14:paraId="6387F2DB" w14:textId="77777777" w:rsidR="009260DE" w:rsidRPr="00A61FA0" w:rsidRDefault="009260DE" w:rsidP="009260DE">
      <w:pPr>
        <w:tabs>
          <w:tab w:val="left" w:pos="851"/>
        </w:tabs>
        <w:ind w:left="851" w:hanging="851"/>
        <w:rPr>
          <w:b/>
          <w:sz w:val="24"/>
          <w:szCs w:val="24"/>
        </w:rPr>
      </w:pPr>
      <w:r w:rsidRPr="00A61FA0">
        <w:rPr>
          <w:b/>
          <w:sz w:val="24"/>
          <w:szCs w:val="24"/>
        </w:rPr>
        <w:t>4.7</w:t>
      </w:r>
      <w:r w:rsidRPr="00A61FA0">
        <w:rPr>
          <w:b/>
          <w:sz w:val="24"/>
          <w:szCs w:val="24"/>
        </w:rPr>
        <w:tab/>
        <w:t xml:space="preserve">Virkning på evnen til at føre motorkøretøj </w:t>
      </w:r>
      <w:r w:rsidR="0071241E" w:rsidRPr="00A61FA0">
        <w:rPr>
          <w:b/>
          <w:sz w:val="24"/>
          <w:szCs w:val="24"/>
        </w:rPr>
        <w:t>og</w:t>
      </w:r>
      <w:r w:rsidRPr="00A61FA0">
        <w:rPr>
          <w:b/>
          <w:sz w:val="24"/>
          <w:szCs w:val="24"/>
        </w:rPr>
        <w:t xml:space="preserve"> betjene maskiner</w:t>
      </w:r>
    </w:p>
    <w:p w14:paraId="4AD11B6A" w14:textId="77777777" w:rsidR="00CE3CEF" w:rsidRPr="00A61FA0" w:rsidRDefault="00CE3CEF" w:rsidP="00CE678E">
      <w:pPr>
        <w:ind w:left="851"/>
        <w:rPr>
          <w:sz w:val="24"/>
          <w:szCs w:val="24"/>
        </w:rPr>
      </w:pPr>
      <w:r w:rsidRPr="00A61FA0">
        <w:rPr>
          <w:sz w:val="24"/>
          <w:szCs w:val="24"/>
        </w:rPr>
        <w:t>Ikke mærkning.</w:t>
      </w:r>
    </w:p>
    <w:p w14:paraId="53158CEB" w14:textId="77777777" w:rsidR="00CE3CEF" w:rsidRPr="00A61FA0" w:rsidRDefault="00CE3CEF" w:rsidP="00CE678E">
      <w:pPr>
        <w:ind w:left="851"/>
        <w:rPr>
          <w:sz w:val="24"/>
          <w:szCs w:val="24"/>
        </w:rPr>
      </w:pPr>
    </w:p>
    <w:p w14:paraId="7CCC0449" w14:textId="2EE9A114" w:rsidR="00CE3CEF" w:rsidRPr="00A61FA0" w:rsidRDefault="00CE3CEF" w:rsidP="00CE678E">
      <w:pPr>
        <w:ind w:left="851"/>
        <w:rPr>
          <w:sz w:val="24"/>
          <w:szCs w:val="24"/>
        </w:rPr>
      </w:pPr>
      <w:proofErr w:type="spellStart"/>
      <w:r w:rsidRPr="00A61FA0">
        <w:rPr>
          <w:sz w:val="24"/>
          <w:szCs w:val="24"/>
        </w:rPr>
        <w:t>Cloxacillin</w:t>
      </w:r>
      <w:proofErr w:type="spellEnd"/>
      <w:r w:rsidRPr="00A61FA0">
        <w:rPr>
          <w:sz w:val="24"/>
          <w:szCs w:val="24"/>
        </w:rPr>
        <w:t xml:space="preserve"> </w:t>
      </w:r>
      <w:r w:rsidR="00341EBF">
        <w:rPr>
          <w:sz w:val="24"/>
          <w:szCs w:val="24"/>
        </w:rPr>
        <w:t>"</w:t>
      </w:r>
      <w:proofErr w:type="spellStart"/>
      <w:r w:rsidR="00341EBF">
        <w:rPr>
          <w:sz w:val="24"/>
          <w:szCs w:val="24"/>
        </w:rPr>
        <w:t>Navamedic</w:t>
      </w:r>
      <w:proofErr w:type="spellEnd"/>
      <w:r w:rsidR="00341EBF">
        <w:rPr>
          <w:sz w:val="24"/>
          <w:szCs w:val="24"/>
        </w:rPr>
        <w:t>"</w:t>
      </w:r>
      <w:r w:rsidRPr="00A61FA0">
        <w:rPr>
          <w:sz w:val="24"/>
          <w:szCs w:val="24"/>
        </w:rPr>
        <w:t xml:space="preserve"> påvirker ikke eller kun i ubetydelig grad evnen til at føre motorkøretøj og betjene maskiner.</w:t>
      </w:r>
    </w:p>
    <w:p w14:paraId="557624F7" w14:textId="77777777" w:rsidR="009260DE" w:rsidRPr="00A61FA0" w:rsidRDefault="009260DE" w:rsidP="009260DE">
      <w:pPr>
        <w:tabs>
          <w:tab w:val="left" w:pos="851"/>
        </w:tabs>
        <w:ind w:left="851"/>
        <w:rPr>
          <w:sz w:val="24"/>
          <w:szCs w:val="24"/>
        </w:rPr>
      </w:pPr>
    </w:p>
    <w:p w14:paraId="3074F4DE" w14:textId="77777777" w:rsidR="009260DE" w:rsidRPr="00A61FA0" w:rsidRDefault="009260DE" w:rsidP="009260DE">
      <w:pPr>
        <w:tabs>
          <w:tab w:val="left" w:pos="851"/>
        </w:tabs>
        <w:ind w:left="851" w:hanging="851"/>
        <w:rPr>
          <w:b/>
          <w:sz w:val="24"/>
          <w:szCs w:val="24"/>
        </w:rPr>
      </w:pPr>
      <w:r w:rsidRPr="00A61FA0">
        <w:rPr>
          <w:b/>
          <w:sz w:val="24"/>
          <w:szCs w:val="24"/>
        </w:rPr>
        <w:t>4.8</w:t>
      </w:r>
      <w:r w:rsidRPr="00A61FA0">
        <w:rPr>
          <w:b/>
          <w:sz w:val="24"/>
          <w:szCs w:val="24"/>
        </w:rPr>
        <w:tab/>
        <w:t>Bivirkninger</w:t>
      </w:r>
    </w:p>
    <w:p w14:paraId="0ADFD906" w14:textId="551153D3" w:rsidR="00CE3CEF" w:rsidRDefault="00CE3CEF" w:rsidP="00CE678E">
      <w:pPr>
        <w:ind w:left="851"/>
        <w:rPr>
          <w:sz w:val="24"/>
          <w:szCs w:val="24"/>
        </w:rPr>
      </w:pPr>
      <w:r w:rsidRPr="00A61FA0">
        <w:rPr>
          <w:sz w:val="24"/>
          <w:szCs w:val="24"/>
        </w:rPr>
        <w:t>Hyppigheden af bivirkninger er defineret som følger: Almindelig (&gt; 1/100 til &lt; 1/10), ikke almindelig (&gt; 1/1.000 til &lt; 1/100), sjælden (&gt; 1/10.000 til &lt; 1/1.000), ikke kendt (kan ikke estimeres ud fra forhåndenværende data).</w:t>
      </w:r>
    </w:p>
    <w:p w14:paraId="14C9B094" w14:textId="77777777" w:rsidR="00C7542E" w:rsidRPr="00A61FA0" w:rsidRDefault="00C7542E" w:rsidP="00CE678E">
      <w:pPr>
        <w:ind w:left="851"/>
        <w:rPr>
          <w:sz w:val="24"/>
          <w:szCs w:val="24"/>
        </w:rPr>
      </w:pPr>
    </w:p>
    <w:tbl>
      <w:tblPr>
        <w:tblStyle w:val="Tabel-Gitter"/>
        <w:tblW w:w="10065" w:type="dxa"/>
        <w:tblInd w:w="0" w:type="dxa"/>
        <w:tblLayout w:type="fixed"/>
        <w:tblLook w:val="04A0" w:firstRow="1" w:lastRow="0" w:firstColumn="1" w:lastColumn="0" w:noHBand="0" w:noVBand="1"/>
      </w:tblPr>
      <w:tblGrid>
        <w:gridCol w:w="2083"/>
        <w:gridCol w:w="2025"/>
        <w:gridCol w:w="1844"/>
        <w:gridCol w:w="1985"/>
        <w:gridCol w:w="2128"/>
      </w:tblGrid>
      <w:tr w:rsidR="00C7542E" w:rsidRPr="00C7542E" w14:paraId="0CB9FCBD" w14:textId="77777777" w:rsidTr="00C7542E">
        <w:trPr>
          <w:trHeight w:val="353"/>
          <w:tblHeader/>
        </w:trPr>
        <w:tc>
          <w:tcPr>
            <w:tcW w:w="2082" w:type="dxa"/>
            <w:tcBorders>
              <w:top w:val="single" w:sz="4" w:space="0" w:color="auto"/>
              <w:left w:val="single" w:sz="4" w:space="0" w:color="auto"/>
              <w:bottom w:val="single" w:sz="4" w:space="0" w:color="auto"/>
              <w:right w:val="single" w:sz="4" w:space="0" w:color="auto"/>
            </w:tcBorders>
          </w:tcPr>
          <w:p w14:paraId="0270F160" w14:textId="77777777" w:rsidR="00C7542E" w:rsidRPr="00C7542E" w:rsidRDefault="00C7542E">
            <w:pPr>
              <w:suppressAutoHyphens/>
              <w:autoSpaceDE w:val="0"/>
              <w:autoSpaceDN w:val="0"/>
              <w:adjustRightInd w:val="0"/>
              <w:jc w:val="center"/>
              <w:rPr>
                <w:rFonts w:ascii="Times New Roman" w:hAnsi="Times New Roman"/>
                <w:b/>
                <w:sz w:val="22"/>
                <w:szCs w:val="22"/>
                <w:lang w:val="da-DK" w:eastAsia="it-IT"/>
              </w:rPr>
            </w:pPr>
            <w:r w:rsidRPr="00C7542E">
              <w:rPr>
                <w:rFonts w:ascii="Times New Roman" w:hAnsi="Times New Roman"/>
                <w:b/>
                <w:sz w:val="22"/>
                <w:szCs w:val="22"/>
                <w:lang w:val="da-DK" w:eastAsia="it-IT"/>
              </w:rPr>
              <w:t>Hyppighed</w:t>
            </w:r>
          </w:p>
          <w:p w14:paraId="41E89650" w14:textId="77777777" w:rsidR="00C7542E" w:rsidRPr="00C7542E" w:rsidRDefault="00C7542E">
            <w:pPr>
              <w:suppressAutoHyphens/>
              <w:autoSpaceDE w:val="0"/>
              <w:autoSpaceDN w:val="0"/>
              <w:adjustRightInd w:val="0"/>
              <w:jc w:val="right"/>
              <w:rPr>
                <w:rFonts w:ascii="Times New Roman" w:hAnsi="Times New Roman"/>
                <w:b/>
                <w:color w:val="000000"/>
                <w:sz w:val="22"/>
                <w:szCs w:val="22"/>
                <w:lang w:val="da-DK" w:eastAsia="it-IT"/>
              </w:rPr>
            </w:pPr>
          </w:p>
        </w:tc>
        <w:tc>
          <w:tcPr>
            <w:tcW w:w="2024" w:type="dxa"/>
            <w:vMerge w:val="restart"/>
            <w:tcBorders>
              <w:top w:val="single" w:sz="4" w:space="0" w:color="auto"/>
              <w:left w:val="single" w:sz="4" w:space="0" w:color="auto"/>
              <w:bottom w:val="single" w:sz="4" w:space="0" w:color="auto"/>
              <w:right w:val="single" w:sz="4" w:space="0" w:color="auto"/>
            </w:tcBorders>
            <w:hideMark/>
          </w:tcPr>
          <w:p w14:paraId="12DB5BE0" w14:textId="77777777" w:rsidR="00C7542E" w:rsidRPr="00C7542E" w:rsidRDefault="00C7542E">
            <w:pPr>
              <w:suppressAutoHyphens/>
              <w:ind w:left="77"/>
              <w:jc w:val="center"/>
              <w:rPr>
                <w:rFonts w:ascii="Times New Roman" w:hAnsi="Times New Roman"/>
                <w:sz w:val="22"/>
                <w:szCs w:val="22"/>
                <w:lang w:val="da-DK"/>
              </w:rPr>
            </w:pPr>
            <w:r w:rsidRPr="00C7542E">
              <w:rPr>
                <w:rFonts w:ascii="Times New Roman" w:hAnsi="Times New Roman"/>
                <w:b/>
                <w:sz w:val="22"/>
                <w:szCs w:val="22"/>
                <w:lang w:val="da-DK" w:eastAsia="it-IT"/>
              </w:rPr>
              <w:t>Almindelig</w:t>
            </w:r>
          </w:p>
          <w:p w14:paraId="04605E92" w14:textId="77777777" w:rsidR="00C7542E" w:rsidRPr="00C7542E" w:rsidRDefault="00C7542E">
            <w:pPr>
              <w:suppressAutoHyphens/>
              <w:autoSpaceDE w:val="0"/>
              <w:autoSpaceDN w:val="0"/>
              <w:adjustRightInd w:val="0"/>
              <w:jc w:val="center"/>
              <w:rPr>
                <w:rFonts w:ascii="Times New Roman" w:hAnsi="Times New Roman"/>
                <w:b/>
                <w:color w:val="000000"/>
                <w:sz w:val="22"/>
                <w:szCs w:val="22"/>
                <w:lang w:val="da-DK" w:eastAsia="it-IT"/>
              </w:rPr>
            </w:pPr>
            <w:r w:rsidRPr="00C7542E">
              <w:rPr>
                <w:rFonts w:ascii="Times New Roman" w:hAnsi="Times New Roman"/>
                <w:b/>
                <w:sz w:val="22"/>
                <w:szCs w:val="22"/>
                <w:lang w:val="da-DK" w:eastAsia="it-IT"/>
              </w:rPr>
              <w:t>(&gt; 1/100 til &lt; 1/10)</w:t>
            </w:r>
          </w:p>
        </w:tc>
        <w:tc>
          <w:tcPr>
            <w:tcW w:w="1843" w:type="dxa"/>
            <w:vMerge w:val="restart"/>
            <w:tcBorders>
              <w:top w:val="single" w:sz="4" w:space="0" w:color="auto"/>
              <w:left w:val="single" w:sz="4" w:space="0" w:color="auto"/>
              <w:bottom w:val="single" w:sz="4" w:space="0" w:color="auto"/>
              <w:right w:val="single" w:sz="4" w:space="0" w:color="auto"/>
            </w:tcBorders>
            <w:hideMark/>
          </w:tcPr>
          <w:p w14:paraId="0018B161" w14:textId="77777777" w:rsidR="00C7542E" w:rsidRPr="00C7542E" w:rsidRDefault="00C7542E">
            <w:pPr>
              <w:suppressAutoHyphens/>
              <w:ind w:left="175" w:hanging="142"/>
              <w:rPr>
                <w:rFonts w:ascii="Times New Roman" w:hAnsi="Times New Roman"/>
                <w:sz w:val="22"/>
                <w:szCs w:val="22"/>
                <w:lang w:val="da-DK"/>
              </w:rPr>
            </w:pPr>
            <w:r w:rsidRPr="00C7542E">
              <w:rPr>
                <w:rFonts w:ascii="Times New Roman" w:hAnsi="Times New Roman"/>
                <w:b/>
                <w:sz w:val="22"/>
                <w:szCs w:val="22"/>
                <w:lang w:val="da-DK" w:eastAsia="it-IT"/>
              </w:rPr>
              <w:t>Ikke almindelig</w:t>
            </w:r>
          </w:p>
          <w:p w14:paraId="4E597B67" w14:textId="77777777" w:rsidR="00C7542E" w:rsidRPr="00C7542E" w:rsidRDefault="00C7542E">
            <w:pPr>
              <w:suppressAutoHyphens/>
              <w:autoSpaceDE w:val="0"/>
              <w:autoSpaceDN w:val="0"/>
              <w:adjustRightInd w:val="0"/>
              <w:ind w:left="-109"/>
              <w:jc w:val="center"/>
              <w:rPr>
                <w:rFonts w:ascii="Times New Roman" w:hAnsi="Times New Roman"/>
                <w:b/>
                <w:color w:val="000000"/>
                <w:sz w:val="22"/>
                <w:szCs w:val="22"/>
                <w:lang w:val="da-DK" w:eastAsia="it-IT"/>
              </w:rPr>
            </w:pPr>
            <w:r w:rsidRPr="00C7542E">
              <w:rPr>
                <w:rFonts w:ascii="Times New Roman" w:hAnsi="Times New Roman"/>
                <w:b/>
                <w:sz w:val="22"/>
                <w:szCs w:val="22"/>
                <w:lang w:val="da-DK" w:eastAsia="it-IT"/>
              </w:rPr>
              <w:t>(&gt; 1/1.000 til &lt; 1/100)</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9DFFBDB" w14:textId="77777777" w:rsidR="00C7542E" w:rsidRPr="00C7542E" w:rsidRDefault="00C7542E">
            <w:pPr>
              <w:suppressAutoHyphens/>
              <w:ind w:left="319"/>
              <w:rPr>
                <w:rFonts w:ascii="Times New Roman" w:hAnsi="Times New Roman"/>
                <w:sz w:val="22"/>
                <w:szCs w:val="22"/>
                <w:lang w:val="da-DK"/>
              </w:rPr>
            </w:pPr>
            <w:r w:rsidRPr="00C7542E">
              <w:rPr>
                <w:rFonts w:ascii="Times New Roman" w:hAnsi="Times New Roman"/>
                <w:b/>
                <w:sz w:val="22"/>
                <w:szCs w:val="22"/>
                <w:lang w:val="da-DK" w:eastAsia="it-IT"/>
              </w:rPr>
              <w:t>Sjælden</w:t>
            </w:r>
          </w:p>
          <w:p w14:paraId="00CDD515" w14:textId="77777777" w:rsidR="00C7542E" w:rsidRPr="00C7542E" w:rsidRDefault="00C7542E">
            <w:pPr>
              <w:suppressAutoHyphens/>
              <w:autoSpaceDE w:val="0"/>
              <w:autoSpaceDN w:val="0"/>
              <w:adjustRightInd w:val="0"/>
              <w:ind w:left="-106" w:right="8"/>
              <w:jc w:val="center"/>
              <w:rPr>
                <w:rFonts w:ascii="Times New Roman" w:hAnsi="Times New Roman"/>
                <w:b/>
                <w:color w:val="000000"/>
                <w:sz w:val="22"/>
                <w:szCs w:val="22"/>
                <w:lang w:val="da-DK" w:eastAsia="it-IT"/>
              </w:rPr>
            </w:pPr>
            <w:r w:rsidRPr="00C7542E">
              <w:rPr>
                <w:rFonts w:ascii="Times New Roman" w:hAnsi="Times New Roman"/>
                <w:b/>
                <w:sz w:val="22"/>
                <w:szCs w:val="22"/>
                <w:lang w:val="da-DK" w:eastAsia="it-IT"/>
              </w:rPr>
              <w:t>(&gt; 1/10.000 til &lt; 1/1.000)</w:t>
            </w:r>
          </w:p>
        </w:tc>
        <w:tc>
          <w:tcPr>
            <w:tcW w:w="2127" w:type="dxa"/>
            <w:vMerge w:val="restart"/>
            <w:tcBorders>
              <w:top w:val="single" w:sz="4" w:space="0" w:color="auto"/>
              <w:left w:val="single" w:sz="4" w:space="0" w:color="auto"/>
              <w:bottom w:val="single" w:sz="4" w:space="0" w:color="auto"/>
              <w:right w:val="single" w:sz="4" w:space="0" w:color="auto"/>
            </w:tcBorders>
            <w:hideMark/>
          </w:tcPr>
          <w:p w14:paraId="737435E8" w14:textId="77777777" w:rsidR="00C7542E" w:rsidRPr="00C7542E" w:rsidRDefault="00C7542E">
            <w:pPr>
              <w:suppressAutoHyphens/>
              <w:ind w:left="334"/>
              <w:rPr>
                <w:rFonts w:ascii="Times New Roman" w:hAnsi="Times New Roman"/>
                <w:sz w:val="22"/>
                <w:szCs w:val="22"/>
                <w:lang w:val="da-DK"/>
              </w:rPr>
            </w:pPr>
            <w:r w:rsidRPr="00C7542E">
              <w:rPr>
                <w:rFonts w:ascii="Times New Roman" w:hAnsi="Times New Roman"/>
                <w:b/>
                <w:sz w:val="22"/>
                <w:szCs w:val="22"/>
                <w:lang w:val="da-DK" w:eastAsia="it-IT"/>
              </w:rPr>
              <w:t>Ikke kendt</w:t>
            </w:r>
          </w:p>
          <w:p w14:paraId="4C44F6B9" w14:textId="2EFCC40F" w:rsidR="00C7542E" w:rsidRPr="00C7542E" w:rsidRDefault="00C7542E">
            <w:pPr>
              <w:suppressAutoHyphens/>
              <w:autoSpaceDE w:val="0"/>
              <w:autoSpaceDN w:val="0"/>
              <w:adjustRightInd w:val="0"/>
              <w:jc w:val="center"/>
              <w:rPr>
                <w:rFonts w:ascii="Times New Roman" w:hAnsi="Times New Roman"/>
                <w:b/>
                <w:color w:val="000000"/>
                <w:sz w:val="22"/>
                <w:szCs w:val="22"/>
                <w:lang w:val="da-DK" w:eastAsia="it-IT"/>
              </w:rPr>
            </w:pPr>
            <w:r w:rsidRPr="00C7542E">
              <w:rPr>
                <w:rFonts w:ascii="Times New Roman" w:hAnsi="Times New Roman"/>
                <w:b/>
                <w:sz w:val="22"/>
                <w:szCs w:val="22"/>
                <w:lang w:val="da-DK" w:eastAsia="it-IT"/>
              </w:rPr>
              <w:t>(kan ikke estimeres ud fra forhånden</w:t>
            </w:r>
            <w:r>
              <w:rPr>
                <w:rFonts w:ascii="Times New Roman" w:hAnsi="Times New Roman"/>
                <w:b/>
                <w:sz w:val="22"/>
                <w:szCs w:val="22"/>
                <w:lang w:val="da-DK" w:eastAsia="it-IT"/>
              </w:rPr>
              <w:softHyphen/>
            </w:r>
            <w:r w:rsidRPr="00C7542E">
              <w:rPr>
                <w:rFonts w:ascii="Times New Roman" w:hAnsi="Times New Roman"/>
                <w:b/>
                <w:sz w:val="22"/>
                <w:szCs w:val="22"/>
                <w:lang w:val="da-DK" w:eastAsia="it-IT"/>
              </w:rPr>
              <w:t>værende data)</w:t>
            </w:r>
          </w:p>
        </w:tc>
      </w:tr>
      <w:tr w:rsidR="00C7542E" w:rsidRPr="00C7542E" w14:paraId="49B66A83" w14:textId="77777777" w:rsidTr="00C7542E">
        <w:trPr>
          <w:trHeight w:val="353"/>
          <w:tblHeader/>
        </w:trPr>
        <w:tc>
          <w:tcPr>
            <w:tcW w:w="2082" w:type="dxa"/>
            <w:tcBorders>
              <w:top w:val="single" w:sz="4" w:space="0" w:color="auto"/>
              <w:left w:val="single" w:sz="4" w:space="0" w:color="auto"/>
              <w:bottom w:val="single" w:sz="4" w:space="0" w:color="auto"/>
              <w:right w:val="single" w:sz="4" w:space="0" w:color="auto"/>
            </w:tcBorders>
            <w:hideMark/>
          </w:tcPr>
          <w:p w14:paraId="562196DB" w14:textId="77777777" w:rsidR="00C7542E" w:rsidRPr="00C7542E" w:rsidRDefault="00C7542E">
            <w:pPr>
              <w:suppressAutoHyphens/>
              <w:autoSpaceDE w:val="0"/>
              <w:autoSpaceDN w:val="0"/>
              <w:adjustRightInd w:val="0"/>
              <w:rPr>
                <w:rFonts w:ascii="Times New Roman" w:hAnsi="Times New Roman"/>
                <w:b/>
                <w:sz w:val="22"/>
                <w:szCs w:val="22"/>
                <w:lang w:val="da-DK" w:eastAsia="it-IT"/>
              </w:rPr>
            </w:pPr>
            <w:r w:rsidRPr="00C7542E">
              <w:rPr>
                <w:rFonts w:ascii="Times New Roman" w:hAnsi="Times New Roman"/>
                <w:b/>
                <w:sz w:val="22"/>
                <w:szCs w:val="22"/>
                <w:lang w:val="da-DK" w:eastAsia="it-IT"/>
              </w:rPr>
              <w:t>Systemorganklasse</w:t>
            </w:r>
          </w:p>
        </w:tc>
        <w:tc>
          <w:tcPr>
            <w:tcW w:w="2024" w:type="dxa"/>
            <w:vMerge/>
            <w:tcBorders>
              <w:top w:val="single" w:sz="4" w:space="0" w:color="auto"/>
              <w:left w:val="single" w:sz="4" w:space="0" w:color="auto"/>
              <w:bottom w:val="single" w:sz="4" w:space="0" w:color="auto"/>
              <w:right w:val="single" w:sz="4" w:space="0" w:color="auto"/>
            </w:tcBorders>
            <w:vAlign w:val="center"/>
            <w:hideMark/>
          </w:tcPr>
          <w:p w14:paraId="61A5323D" w14:textId="77777777" w:rsidR="00C7542E" w:rsidRPr="00C7542E" w:rsidRDefault="00C7542E">
            <w:pPr>
              <w:rPr>
                <w:rFonts w:ascii="Times New Roman" w:hAnsi="Times New Roman"/>
                <w:b/>
                <w:color w:val="000000"/>
                <w:sz w:val="22"/>
                <w:szCs w:val="22"/>
                <w:lang w:val="da-DK" w:eastAsia="it-IT"/>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19853078" w14:textId="77777777" w:rsidR="00C7542E" w:rsidRPr="00C7542E" w:rsidRDefault="00C7542E">
            <w:pPr>
              <w:rPr>
                <w:rFonts w:ascii="Times New Roman" w:hAnsi="Times New Roman"/>
                <w:b/>
                <w:color w:val="000000"/>
                <w:sz w:val="22"/>
                <w:szCs w:val="22"/>
                <w:lang w:val="da-DK" w:eastAsia="it-IT"/>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5A12B0F" w14:textId="77777777" w:rsidR="00C7542E" w:rsidRPr="00C7542E" w:rsidRDefault="00C7542E">
            <w:pPr>
              <w:rPr>
                <w:rFonts w:ascii="Times New Roman" w:hAnsi="Times New Roman"/>
                <w:b/>
                <w:color w:val="000000"/>
                <w:sz w:val="22"/>
                <w:szCs w:val="22"/>
                <w:lang w:val="da-DK" w:eastAsia="it-IT"/>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32FDB285" w14:textId="77777777" w:rsidR="00C7542E" w:rsidRPr="00C7542E" w:rsidRDefault="00C7542E">
            <w:pPr>
              <w:rPr>
                <w:rFonts w:ascii="Times New Roman" w:hAnsi="Times New Roman"/>
                <w:b/>
                <w:color w:val="000000"/>
                <w:sz w:val="22"/>
                <w:szCs w:val="22"/>
                <w:lang w:val="da-DK" w:eastAsia="it-IT"/>
              </w:rPr>
            </w:pPr>
          </w:p>
        </w:tc>
      </w:tr>
      <w:tr w:rsidR="00C7542E" w:rsidRPr="00C7542E" w14:paraId="317DB85D"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76210764"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sz w:val="22"/>
                <w:szCs w:val="22"/>
                <w:lang w:val="da-DK" w:eastAsia="it-IT"/>
              </w:rPr>
              <w:t>Infektioner og parasitære sygdomme</w:t>
            </w:r>
          </w:p>
        </w:tc>
        <w:tc>
          <w:tcPr>
            <w:tcW w:w="2024" w:type="dxa"/>
            <w:tcBorders>
              <w:top w:val="single" w:sz="4" w:space="0" w:color="auto"/>
              <w:left w:val="single" w:sz="4" w:space="0" w:color="auto"/>
              <w:bottom w:val="single" w:sz="4" w:space="0" w:color="auto"/>
              <w:right w:val="single" w:sz="4" w:space="0" w:color="auto"/>
            </w:tcBorders>
          </w:tcPr>
          <w:p w14:paraId="6C25856E"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843" w:type="dxa"/>
            <w:tcBorders>
              <w:top w:val="single" w:sz="4" w:space="0" w:color="auto"/>
              <w:left w:val="single" w:sz="4" w:space="0" w:color="auto"/>
              <w:bottom w:val="single" w:sz="4" w:space="0" w:color="auto"/>
              <w:right w:val="single" w:sz="4" w:space="0" w:color="auto"/>
            </w:tcBorders>
          </w:tcPr>
          <w:p w14:paraId="767CC1C5"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984" w:type="dxa"/>
            <w:tcBorders>
              <w:top w:val="single" w:sz="4" w:space="0" w:color="auto"/>
              <w:left w:val="single" w:sz="4" w:space="0" w:color="auto"/>
              <w:bottom w:val="single" w:sz="4" w:space="0" w:color="auto"/>
              <w:right w:val="single" w:sz="4" w:space="0" w:color="auto"/>
            </w:tcBorders>
            <w:hideMark/>
          </w:tcPr>
          <w:p w14:paraId="2B22A9AA"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sz w:val="22"/>
                <w:szCs w:val="22"/>
                <w:lang w:val="da-DK" w:eastAsia="it-IT"/>
              </w:rPr>
              <w:t>Pseudomembranøs</w:t>
            </w:r>
            <w:proofErr w:type="spellEnd"/>
            <w:r w:rsidRPr="00C7542E">
              <w:rPr>
                <w:rFonts w:ascii="Times New Roman" w:hAnsi="Times New Roman"/>
                <w:sz w:val="22"/>
                <w:szCs w:val="22"/>
                <w:lang w:val="da-DK" w:eastAsia="it-IT"/>
              </w:rPr>
              <w:t xml:space="preserve"> colitis</w:t>
            </w:r>
          </w:p>
        </w:tc>
        <w:tc>
          <w:tcPr>
            <w:tcW w:w="2127" w:type="dxa"/>
            <w:tcBorders>
              <w:top w:val="single" w:sz="4" w:space="0" w:color="auto"/>
              <w:left w:val="single" w:sz="4" w:space="0" w:color="auto"/>
              <w:bottom w:val="single" w:sz="4" w:space="0" w:color="auto"/>
              <w:right w:val="single" w:sz="4" w:space="0" w:color="auto"/>
            </w:tcBorders>
            <w:hideMark/>
          </w:tcPr>
          <w:p w14:paraId="6BD3A56A"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Overvækst af svamp i mundhulen og i det kvindelige kønsorgan</w:t>
            </w:r>
          </w:p>
        </w:tc>
      </w:tr>
      <w:tr w:rsidR="00C7542E" w:rsidRPr="00C7542E" w14:paraId="56E52274"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3F168E25"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sz w:val="22"/>
                <w:szCs w:val="22"/>
                <w:lang w:val="da-DK" w:eastAsia="it-IT"/>
              </w:rPr>
              <w:t>Blod og lymfesystem</w:t>
            </w:r>
          </w:p>
        </w:tc>
        <w:tc>
          <w:tcPr>
            <w:tcW w:w="2024" w:type="dxa"/>
            <w:tcBorders>
              <w:top w:val="single" w:sz="4" w:space="0" w:color="auto"/>
              <w:left w:val="single" w:sz="4" w:space="0" w:color="auto"/>
              <w:bottom w:val="single" w:sz="4" w:space="0" w:color="auto"/>
              <w:right w:val="single" w:sz="4" w:space="0" w:color="auto"/>
            </w:tcBorders>
          </w:tcPr>
          <w:p w14:paraId="5F57EA6C"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843" w:type="dxa"/>
            <w:tcBorders>
              <w:top w:val="single" w:sz="4" w:space="0" w:color="auto"/>
              <w:left w:val="single" w:sz="4" w:space="0" w:color="auto"/>
              <w:bottom w:val="single" w:sz="4" w:space="0" w:color="auto"/>
              <w:right w:val="single" w:sz="4" w:space="0" w:color="auto"/>
            </w:tcBorders>
            <w:hideMark/>
          </w:tcPr>
          <w:p w14:paraId="4AC907ED"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Eosinofili</w:t>
            </w:r>
            <w:proofErr w:type="spellEnd"/>
          </w:p>
        </w:tc>
        <w:tc>
          <w:tcPr>
            <w:tcW w:w="1984" w:type="dxa"/>
            <w:tcBorders>
              <w:top w:val="single" w:sz="4" w:space="0" w:color="auto"/>
              <w:left w:val="single" w:sz="4" w:space="0" w:color="auto"/>
              <w:bottom w:val="single" w:sz="4" w:space="0" w:color="auto"/>
              <w:right w:val="single" w:sz="4" w:space="0" w:color="auto"/>
            </w:tcBorders>
            <w:hideMark/>
          </w:tcPr>
          <w:p w14:paraId="1D41EF02"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sz w:val="22"/>
                <w:szCs w:val="22"/>
                <w:lang w:val="da-DK" w:eastAsia="it-IT"/>
              </w:rPr>
              <w:t>Agranulocytose</w:t>
            </w:r>
            <w:proofErr w:type="spellEnd"/>
            <w:r w:rsidRPr="00C7542E">
              <w:rPr>
                <w:rFonts w:ascii="Times New Roman" w:hAnsi="Times New Roman"/>
                <w:sz w:val="22"/>
                <w:szCs w:val="22"/>
                <w:lang w:val="da-DK" w:eastAsia="it-IT"/>
              </w:rPr>
              <w:t xml:space="preserve">, </w:t>
            </w:r>
            <w:proofErr w:type="spellStart"/>
            <w:r w:rsidRPr="00C7542E">
              <w:rPr>
                <w:rFonts w:ascii="Times New Roman" w:hAnsi="Times New Roman"/>
                <w:sz w:val="22"/>
                <w:szCs w:val="22"/>
                <w:lang w:val="da-DK" w:eastAsia="it-IT"/>
              </w:rPr>
              <w:t>leukopeni</w:t>
            </w:r>
            <w:proofErr w:type="spellEnd"/>
            <w:r w:rsidRPr="00C7542E">
              <w:rPr>
                <w:rFonts w:ascii="Times New Roman" w:hAnsi="Times New Roman"/>
                <w:sz w:val="22"/>
                <w:szCs w:val="22"/>
                <w:lang w:val="da-DK" w:eastAsia="it-IT"/>
              </w:rPr>
              <w:t xml:space="preserve">, </w:t>
            </w:r>
            <w:proofErr w:type="spellStart"/>
            <w:r w:rsidRPr="00C7542E">
              <w:rPr>
                <w:rFonts w:ascii="Times New Roman" w:hAnsi="Times New Roman"/>
                <w:sz w:val="22"/>
                <w:szCs w:val="22"/>
                <w:lang w:val="da-DK" w:eastAsia="it-IT"/>
              </w:rPr>
              <w:t>trombocytopeni</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057AE663"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sz w:val="22"/>
                <w:szCs w:val="22"/>
                <w:lang w:val="da-DK"/>
              </w:rPr>
              <w:t>Anæmi</w:t>
            </w:r>
          </w:p>
        </w:tc>
      </w:tr>
      <w:tr w:rsidR="00C7542E" w:rsidRPr="00C7542E" w14:paraId="31DD78FD"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2F67A8B7"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Immunsystemet</w:t>
            </w:r>
          </w:p>
        </w:tc>
        <w:tc>
          <w:tcPr>
            <w:tcW w:w="2024" w:type="dxa"/>
            <w:tcBorders>
              <w:top w:val="single" w:sz="4" w:space="0" w:color="auto"/>
              <w:left w:val="single" w:sz="4" w:space="0" w:color="auto"/>
              <w:bottom w:val="single" w:sz="4" w:space="0" w:color="auto"/>
              <w:right w:val="single" w:sz="4" w:space="0" w:color="auto"/>
            </w:tcBorders>
          </w:tcPr>
          <w:p w14:paraId="36C02F86"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843" w:type="dxa"/>
            <w:tcBorders>
              <w:top w:val="single" w:sz="4" w:space="0" w:color="auto"/>
              <w:left w:val="single" w:sz="4" w:space="0" w:color="auto"/>
              <w:bottom w:val="single" w:sz="4" w:space="0" w:color="auto"/>
              <w:right w:val="single" w:sz="4" w:space="0" w:color="auto"/>
            </w:tcBorders>
          </w:tcPr>
          <w:p w14:paraId="05EC069E"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984" w:type="dxa"/>
            <w:tcBorders>
              <w:top w:val="single" w:sz="4" w:space="0" w:color="auto"/>
              <w:left w:val="single" w:sz="4" w:space="0" w:color="auto"/>
              <w:bottom w:val="single" w:sz="4" w:space="0" w:color="auto"/>
              <w:right w:val="single" w:sz="4" w:space="0" w:color="auto"/>
            </w:tcBorders>
            <w:hideMark/>
          </w:tcPr>
          <w:p w14:paraId="4AC69432"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Anafylaktiske reaktioner</w:t>
            </w:r>
          </w:p>
        </w:tc>
        <w:tc>
          <w:tcPr>
            <w:tcW w:w="2127" w:type="dxa"/>
            <w:tcBorders>
              <w:top w:val="single" w:sz="4" w:space="0" w:color="auto"/>
              <w:left w:val="single" w:sz="4" w:space="0" w:color="auto"/>
              <w:bottom w:val="single" w:sz="4" w:space="0" w:color="auto"/>
              <w:right w:val="single" w:sz="4" w:space="0" w:color="auto"/>
            </w:tcBorders>
            <w:hideMark/>
          </w:tcPr>
          <w:p w14:paraId="3F300FDD"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Quinckes</w:t>
            </w:r>
            <w:proofErr w:type="spellEnd"/>
            <w:r w:rsidRPr="00C7542E">
              <w:rPr>
                <w:rFonts w:ascii="Times New Roman" w:hAnsi="Times New Roman"/>
                <w:color w:val="000000"/>
                <w:sz w:val="22"/>
                <w:szCs w:val="22"/>
                <w:lang w:val="da-DK" w:eastAsia="it-IT"/>
              </w:rPr>
              <w:t xml:space="preserve"> ødem eller </w:t>
            </w:r>
            <w:proofErr w:type="spellStart"/>
            <w:r w:rsidRPr="00C7542E">
              <w:rPr>
                <w:rFonts w:ascii="Times New Roman" w:hAnsi="Times New Roman"/>
                <w:color w:val="000000"/>
                <w:sz w:val="22"/>
                <w:szCs w:val="22"/>
                <w:lang w:val="da-DK" w:eastAsia="it-IT"/>
              </w:rPr>
              <w:t>angioødem</w:t>
            </w:r>
            <w:proofErr w:type="spellEnd"/>
          </w:p>
        </w:tc>
      </w:tr>
      <w:tr w:rsidR="00C7542E" w:rsidRPr="00C7542E" w14:paraId="0B1B5AF3"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18774460"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Vaskulære</w:t>
            </w:r>
            <w:proofErr w:type="spellEnd"/>
            <w:r w:rsidRPr="00C7542E">
              <w:rPr>
                <w:rFonts w:ascii="Times New Roman" w:hAnsi="Times New Roman"/>
                <w:color w:val="000000"/>
                <w:sz w:val="22"/>
                <w:szCs w:val="22"/>
                <w:lang w:val="da-DK" w:eastAsia="it-IT"/>
              </w:rPr>
              <w:t xml:space="preserve"> sygdomme</w:t>
            </w:r>
          </w:p>
        </w:tc>
        <w:tc>
          <w:tcPr>
            <w:tcW w:w="2024" w:type="dxa"/>
            <w:tcBorders>
              <w:top w:val="single" w:sz="4" w:space="0" w:color="auto"/>
              <w:left w:val="single" w:sz="4" w:space="0" w:color="auto"/>
              <w:bottom w:val="single" w:sz="4" w:space="0" w:color="auto"/>
              <w:right w:val="single" w:sz="4" w:space="0" w:color="auto"/>
            </w:tcBorders>
            <w:hideMark/>
          </w:tcPr>
          <w:p w14:paraId="3286CEC6"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Tromboflebit</w:t>
            </w:r>
            <w:proofErr w:type="spellEnd"/>
            <w:r w:rsidRPr="00C7542E">
              <w:rPr>
                <w:rFonts w:ascii="Times New Roman" w:hAnsi="Times New Roman"/>
                <w:color w:val="000000"/>
                <w:sz w:val="22"/>
                <w:szCs w:val="22"/>
                <w:lang w:val="da-DK" w:eastAsia="it-IT"/>
              </w:rPr>
              <w:t xml:space="preserve"> (efter intravenøs injektion)</w:t>
            </w:r>
          </w:p>
        </w:tc>
        <w:tc>
          <w:tcPr>
            <w:tcW w:w="1843" w:type="dxa"/>
            <w:tcBorders>
              <w:top w:val="single" w:sz="4" w:space="0" w:color="auto"/>
              <w:left w:val="single" w:sz="4" w:space="0" w:color="auto"/>
              <w:bottom w:val="single" w:sz="4" w:space="0" w:color="auto"/>
              <w:right w:val="single" w:sz="4" w:space="0" w:color="auto"/>
            </w:tcBorders>
          </w:tcPr>
          <w:p w14:paraId="78B748BC"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984" w:type="dxa"/>
            <w:tcBorders>
              <w:top w:val="single" w:sz="4" w:space="0" w:color="auto"/>
              <w:left w:val="single" w:sz="4" w:space="0" w:color="auto"/>
              <w:bottom w:val="single" w:sz="4" w:space="0" w:color="auto"/>
              <w:right w:val="single" w:sz="4" w:space="0" w:color="auto"/>
            </w:tcBorders>
          </w:tcPr>
          <w:p w14:paraId="2A6E4717"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2127" w:type="dxa"/>
            <w:tcBorders>
              <w:top w:val="single" w:sz="4" w:space="0" w:color="auto"/>
              <w:left w:val="single" w:sz="4" w:space="0" w:color="auto"/>
              <w:bottom w:val="single" w:sz="4" w:space="0" w:color="auto"/>
              <w:right w:val="single" w:sz="4" w:space="0" w:color="auto"/>
            </w:tcBorders>
          </w:tcPr>
          <w:p w14:paraId="63A9FB52"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r>
      <w:tr w:rsidR="00C7542E" w:rsidRPr="00C7542E" w14:paraId="0C4AFADC"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337CCDCE"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Mave-tarm-kanalen</w:t>
            </w:r>
          </w:p>
        </w:tc>
        <w:tc>
          <w:tcPr>
            <w:tcW w:w="2024" w:type="dxa"/>
            <w:tcBorders>
              <w:top w:val="single" w:sz="4" w:space="0" w:color="auto"/>
              <w:left w:val="single" w:sz="4" w:space="0" w:color="auto"/>
              <w:bottom w:val="single" w:sz="4" w:space="0" w:color="auto"/>
              <w:right w:val="single" w:sz="4" w:space="0" w:color="auto"/>
            </w:tcBorders>
            <w:hideMark/>
          </w:tcPr>
          <w:p w14:paraId="55F03426"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Kvalme, diarré</w:t>
            </w:r>
          </w:p>
        </w:tc>
        <w:tc>
          <w:tcPr>
            <w:tcW w:w="1843" w:type="dxa"/>
            <w:tcBorders>
              <w:top w:val="single" w:sz="4" w:space="0" w:color="auto"/>
              <w:left w:val="single" w:sz="4" w:space="0" w:color="auto"/>
              <w:bottom w:val="single" w:sz="4" w:space="0" w:color="auto"/>
              <w:right w:val="single" w:sz="4" w:space="0" w:color="auto"/>
            </w:tcBorders>
          </w:tcPr>
          <w:p w14:paraId="7B0D6740"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984" w:type="dxa"/>
            <w:tcBorders>
              <w:top w:val="single" w:sz="4" w:space="0" w:color="auto"/>
              <w:left w:val="single" w:sz="4" w:space="0" w:color="auto"/>
              <w:bottom w:val="single" w:sz="4" w:space="0" w:color="auto"/>
              <w:right w:val="single" w:sz="4" w:space="0" w:color="auto"/>
            </w:tcBorders>
          </w:tcPr>
          <w:p w14:paraId="4C3EED19"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2127" w:type="dxa"/>
            <w:tcBorders>
              <w:top w:val="single" w:sz="4" w:space="0" w:color="auto"/>
              <w:left w:val="single" w:sz="4" w:space="0" w:color="auto"/>
              <w:bottom w:val="single" w:sz="4" w:space="0" w:color="auto"/>
              <w:right w:val="single" w:sz="4" w:space="0" w:color="auto"/>
            </w:tcBorders>
          </w:tcPr>
          <w:p w14:paraId="251AB2D2"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r>
      <w:tr w:rsidR="00C7542E" w:rsidRPr="00C7542E" w14:paraId="68C4B4D7"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338671DC"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Lever og galdeveje</w:t>
            </w:r>
          </w:p>
        </w:tc>
        <w:tc>
          <w:tcPr>
            <w:tcW w:w="2024" w:type="dxa"/>
            <w:tcBorders>
              <w:top w:val="single" w:sz="4" w:space="0" w:color="auto"/>
              <w:left w:val="single" w:sz="4" w:space="0" w:color="auto"/>
              <w:bottom w:val="single" w:sz="4" w:space="0" w:color="auto"/>
              <w:right w:val="single" w:sz="4" w:space="0" w:color="auto"/>
            </w:tcBorders>
          </w:tcPr>
          <w:p w14:paraId="47CAD7A4"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843" w:type="dxa"/>
            <w:tcBorders>
              <w:top w:val="single" w:sz="4" w:space="0" w:color="auto"/>
              <w:left w:val="single" w:sz="4" w:space="0" w:color="auto"/>
              <w:bottom w:val="single" w:sz="4" w:space="0" w:color="auto"/>
              <w:right w:val="single" w:sz="4" w:space="0" w:color="auto"/>
            </w:tcBorders>
          </w:tcPr>
          <w:p w14:paraId="4BBF9CCC"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984" w:type="dxa"/>
            <w:tcBorders>
              <w:top w:val="single" w:sz="4" w:space="0" w:color="auto"/>
              <w:left w:val="single" w:sz="4" w:space="0" w:color="auto"/>
              <w:bottom w:val="single" w:sz="4" w:space="0" w:color="auto"/>
              <w:right w:val="single" w:sz="4" w:space="0" w:color="auto"/>
            </w:tcBorders>
            <w:hideMark/>
          </w:tcPr>
          <w:p w14:paraId="10EF1F5F"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Kolestatisk</w:t>
            </w:r>
            <w:proofErr w:type="spellEnd"/>
            <w:r w:rsidRPr="00C7542E">
              <w:rPr>
                <w:rFonts w:ascii="Times New Roman" w:hAnsi="Times New Roman"/>
                <w:color w:val="000000"/>
                <w:sz w:val="22"/>
                <w:szCs w:val="22"/>
                <w:lang w:val="da-DK" w:eastAsia="it-IT"/>
              </w:rPr>
              <w:t xml:space="preserve"> virkning på leveren</w:t>
            </w:r>
          </w:p>
        </w:tc>
        <w:tc>
          <w:tcPr>
            <w:tcW w:w="2127" w:type="dxa"/>
            <w:tcBorders>
              <w:top w:val="single" w:sz="4" w:space="0" w:color="auto"/>
              <w:left w:val="single" w:sz="4" w:space="0" w:color="auto"/>
              <w:bottom w:val="single" w:sz="4" w:space="0" w:color="auto"/>
              <w:right w:val="single" w:sz="4" w:space="0" w:color="auto"/>
            </w:tcBorders>
          </w:tcPr>
          <w:p w14:paraId="40932A25"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r>
      <w:tr w:rsidR="00C7542E" w:rsidRPr="00C7542E" w14:paraId="6B4C241F"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5D5A8F6B"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Hud og subkutane væv</w:t>
            </w:r>
          </w:p>
        </w:tc>
        <w:tc>
          <w:tcPr>
            <w:tcW w:w="2024" w:type="dxa"/>
            <w:tcBorders>
              <w:top w:val="single" w:sz="4" w:space="0" w:color="auto"/>
              <w:left w:val="single" w:sz="4" w:space="0" w:color="auto"/>
              <w:bottom w:val="single" w:sz="4" w:space="0" w:color="auto"/>
              <w:right w:val="single" w:sz="4" w:space="0" w:color="auto"/>
            </w:tcBorders>
            <w:hideMark/>
          </w:tcPr>
          <w:p w14:paraId="763CEA9D"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Eksantem</w:t>
            </w:r>
            <w:proofErr w:type="spellEnd"/>
          </w:p>
        </w:tc>
        <w:tc>
          <w:tcPr>
            <w:tcW w:w="1843" w:type="dxa"/>
            <w:tcBorders>
              <w:top w:val="single" w:sz="4" w:space="0" w:color="auto"/>
              <w:left w:val="single" w:sz="4" w:space="0" w:color="auto"/>
              <w:bottom w:val="single" w:sz="4" w:space="0" w:color="auto"/>
              <w:right w:val="single" w:sz="4" w:space="0" w:color="auto"/>
            </w:tcBorders>
            <w:hideMark/>
          </w:tcPr>
          <w:p w14:paraId="1A0174B6"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Urticaria</w:t>
            </w:r>
            <w:proofErr w:type="spellEnd"/>
          </w:p>
        </w:tc>
        <w:tc>
          <w:tcPr>
            <w:tcW w:w="1984" w:type="dxa"/>
            <w:tcBorders>
              <w:top w:val="single" w:sz="4" w:space="0" w:color="auto"/>
              <w:left w:val="single" w:sz="4" w:space="0" w:color="auto"/>
              <w:bottom w:val="single" w:sz="4" w:space="0" w:color="auto"/>
              <w:right w:val="single" w:sz="4" w:space="0" w:color="auto"/>
            </w:tcBorders>
          </w:tcPr>
          <w:p w14:paraId="44E71E58"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2127" w:type="dxa"/>
            <w:tcBorders>
              <w:top w:val="single" w:sz="4" w:space="0" w:color="auto"/>
              <w:left w:val="single" w:sz="4" w:space="0" w:color="auto"/>
              <w:bottom w:val="single" w:sz="4" w:space="0" w:color="auto"/>
              <w:right w:val="single" w:sz="4" w:space="0" w:color="auto"/>
            </w:tcBorders>
            <w:hideMark/>
          </w:tcPr>
          <w:p w14:paraId="7183E098"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sz w:val="22"/>
                <w:szCs w:val="22"/>
                <w:lang w:val="da-DK"/>
              </w:rPr>
              <w:t>DRESS</w:t>
            </w:r>
          </w:p>
        </w:tc>
      </w:tr>
      <w:tr w:rsidR="00C7542E" w:rsidRPr="00C7542E" w14:paraId="38DCB546" w14:textId="77777777" w:rsidTr="00C7542E">
        <w:tc>
          <w:tcPr>
            <w:tcW w:w="2082" w:type="dxa"/>
            <w:tcBorders>
              <w:top w:val="single" w:sz="4" w:space="0" w:color="auto"/>
              <w:left w:val="single" w:sz="4" w:space="0" w:color="auto"/>
              <w:bottom w:val="single" w:sz="4" w:space="0" w:color="auto"/>
              <w:right w:val="single" w:sz="4" w:space="0" w:color="auto"/>
            </w:tcBorders>
            <w:hideMark/>
          </w:tcPr>
          <w:p w14:paraId="6312B1AB"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Nyrer og urinveje</w:t>
            </w:r>
          </w:p>
        </w:tc>
        <w:tc>
          <w:tcPr>
            <w:tcW w:w="2024" w:type="dxa"/>
            <w:tcBorders>
              <w:top w:val="single" w:sz="4" w:space="0" w:color="auto"/>
              <w:left w:val="single" w:sz="4" w:space="0" w:color="auto"/>
              <w:bottom w:val="single" w:sz="4" w:space="0" w:color="auto"/>
              <w:right w:val="single" w:sz="4" w:space="0" w:color="auto"/>
            </w:tcBorders>
          </w:tcPr>
          <w:p w14:paraId="5F36E96D"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843" w:type="dxa"/>
            <w:tcBorders>
              <w:top w:val="single" w:sz="4" w:space="0" w:color="auto"/>
              <w:left w:val="single" w:sz="4" w:space="0" w:color="auto"/>
              <w:bottom w:val="single" w:sz="4" w:space="0" w:color="auto"/>
              <w:right w:val="single" w:sz="4" w:space="0" w:color="auto"/>
            </w:tcBorders>
          </w:tcPr>
          <w:p w14:paraId="58A5E18C"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
        </w:tc>
        <w:tc>
          <w:tcPr>
            <w:tcW w:w="1984" w:type="dxa"/>
            <w:tcBorders>
              <w:top w:val="single" w:sz="4" w:space="0" w:color="auto"/>
              <w:left w:val="single" w:sz="4" w:space="0" w:color="auto"/>
              <w:bottom w:val="single" w:sz="4" w:space="0" w:color="auto"/>
              <w:right w:val="single" w:sz="4" w:space="0" w:color="auto"/>
            </w:tcBorders>
            <w:hideMark/>
          </w:tcPr>
          <w:p w14:paraId="6ECAA7BA"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r w:rsidRPr="00C7542E">
              <w:rPr>
                <w:rFonts w:ascii="Times New Roman" w:hAnsi="Times New Roman"/>
                <w:color w:val="000000"/>
                <w:sz w:val="22"/>
                <w:szCs w:val="22"/>
                <w:lang w:val="da-DK" w:eastAsia="it-IT"/>
              </w:rPr>
              <w:t xml:space="preserve">Nyreskade med øget </w:t>
            </w:r>
            <w:proofErr w:type="spellStart"/>
            <w:r w:rsidRPr="00C7542E">
              <w:rPr>
                <w:rFonts w:ascii="Times New Roman" w:hAnsi="Times New Roman"/>
                <w:color w:val="000000"/>
                <w:sz w:val="22"/>
                <w:szCs w:val="22"/>
                <w:lang w:val="da-DK" w:eastAsia="it-IT"/>
              </w:rPr>
              <w:t>serumkreatinin</w:t>
            </w:r>
            <w:proofErr w:type="spellEnd"/>
          </w:p>
        </w:tc>
        <w:tc>
          <w:tcPr>
            <w:tcW w:w="2127" w:type="dxa"/>
            <w:tcBorders>
              <w:top w:val="single" w:sz="4" w:space="0" w:color="auto"/>
              <w:left w:val="single" w:sz="4" w:space="0" w:color="auto"/>
              <w:bottom w:val="single" w:sz="4" w:space="0" w:color="auto"/>
              <w:right w:val="single" w:sz="4" w:space="0" w:color="auto"/>
            </w:tcBorders>
            <w:hideMark/>
          </w:tcPr>
          <w:p w14:paraId="6F916BAD" w14:textId="77777777" w:rsidR="00C7542E" w:rsidRPr="00C7542E" w:rsidRDefault="00C7542E">
            <w:pPr>
              <w:suppressAutoHyphens/>
              <w:autoSpaceDE w:val="0"/>
              <w:autoSpaceDN w:val="0"/>
              <w:adjustRightInd w:val="0"/>
              <w:rPr>
                <w:rFonts w:ascii="Times New Roman" w:hAnsi="Times New Roman"/>
                <w:color w:val="000000"/>
                <w:sz w:val="22"/>
                <w:szCs w:val="22"/>
                <w:lang w:val="da-DK" w:eastAsia="it-IT"/>
              </w:rPr>
            </w:pPr>
            <w:proofErr w:type="spellStart"/>
            <w:r w:rsidRPr="00C7542E">
              <w:rPr>
                <w:rFonts w:ascii="Times New Roman" w:hAnsi="Times New Roman"/>
                <w:color w:val="000000"/>
                <w:sz w:val="22"/>
                <w:szCs w:val="22"/>
                <w:lang w:val="da-DK" w:eastAsia="it-IT"/>
              </w:rPr>
              <w:t>Interstitiel</w:t>
            </w:r>
            <w:proofErr w:type="spellEnd"/>
            <w:r w:rsidRPr="00C7542E">
              <w:rPr>
                <w:rFonts w:ascii="Times New Roman" w:hAnsi="Times New Roman"/>
                <w:color w:val="000000"/>
                <w:sz w:val="22"/>
                <w:szCs w:val="22"/>
                <w:lang w:val="da-DK" w:eastAsia="it-IT"/>
              </w:rPr>
              <w:t xml:space="preserve"> </w:t>
            </w:r>
            <w:proofErr w:type="spellStart"/>
            <w:r w:rsidRPr="00C7542E">
              <w:rPr>
                <w:rFonts w:ascii="Times New Roman" w:hAnsi="Times New Roman"/>
                <w:color w:val="000000"/>
                <w:sz w:val="22"/>
                <w:szCs w:val="22"/>
                <w:lang w:val="da-DK" w:eastAsia="it-IT"/>
              </w:rPr>
              <w:t>nefritis</w:t>
            </w:r>
            <w:proofErr w:type="spellEnd"/>
          </w:p>
        </w:tc>
      </w:tr>
    </w:tbl>
    <w:p w14:paraId="751F83D4" w14:textId="77777777" w:rsidR="00C7542E" w:rsidRDefault="00C7542E" w:rsidP="00C7542E">
      <w:pPr>
        <w:autoSpaceDE w:val="0"/>
        <w:autoSpaceDN w:val="0"/>
        <w:adjustRightInd w:val="0"/>
        <w:ind w:left="851"/>
        <w:rPr>
          <w:color w:val="000000"/>
          <w:sz w:val="24"/>
          <w:szCs w:val="24"/>
          <w:lang w:eastAsia="it-IT"/>
        </w:rPr>
      </w:pPr>
    </w:p>
    <w:p w14:paraId="6F2116DF" w14:textId="77777777" w:rsidR="00CE3CEF" w:rsidRPr="00A61FA0" w:rsidRDefault="00CE3CEF" w:rsidP="00CE678E">
      <w:pPr>
        <w:autoSpaceDE w:val="0"/>
        <w:autoSpaceDN w:val="0"/>
        <w:adjustRightInd w:val="0"/>
        <w:ind w:left="851"/>
        <w:rPr>
          <w:color w:val="000000"/>
          <w:sz w:val="24"/>
          <w:szCs w:val="24"/>
          <w:lang w:eastAsia="it-IT"/>
        </w:rPr>
      </w:pPr>
      <w:r w:rsidRPr="00A61FA0">
        <w:rPr>
          <w:color w:val="000000"/>
          <w:sz w:val="24"/>
          <w:szCs w:val="24"/>
          <w:lang w:eastAsia="it-IT"/>
        </w:rPr>
        <w:t>Der kan forekomme smerte på injektionsstedet efter intramuskulær injektion.</w:t>
      </w:r>
    </w:p>
    <w:p w14:paraId="50DE27B5" w14:textId="77777777" w:rsidR="00CE3CEF" w:rsidRPr="00A61FA0" w:rsidRDefault="00CE3CEF" w:rsidP="00CE678E">
      <w:pPr>
        <w:autoSpaceDE w:val="0"/>
        <w:autoSpaceDN w:val="0"/>
        <w:adjustRightInd w:val="0"/>
        <w:ind w:left="851"/>
        <w:rPr>
          <w:color w:val="000000"/>
          <w:sz w:val="24"/>
          <w:szCs w:val="24"/>
          <w:lang w:eastAsia="it-IT"/>
        </w:rPr>
      </w:pPr>
    </w:p>
    <w:p w14:paraId="76A1D996" w14:textId="77777777" w:rsidR="00CE3CEF" w:rsidRPr="00C93A4B" w:rsidRDefault="00CE3CEF" w:rsidP="00C93A4B">
      <w:pPr>
        <w:ind w:left="851"/>
        <w:rPr>
          <w:sz w:val="24"/>
          <w:szCs w:val="24"/>
          <w:u w:val="single"/>
        </w:rPr>
      </w:pPr>
      <w:r w:rsidRPr="00C93A4B">
        <w:rPr>
          <w:sz w:val="24"/>
          <w:szCs w:val="24"/>
          <w:u w:val="single"/>
        </w:rPr>
        <w:t>Indberetning af formodede bivirkninger</w:t>
      </w:r>
    </w:p>
    <w:p w14:paraId="3A2535D8" w14:textId="77777777" w:rsidR="00CE3CEF" w:rsidRPr="00A61FA0" w:rsidRDefault="00CE3CEF" w:rsidP="00CE678E">
      <w:pPr>
        <w:autoSpaceDE w:val="0"/>
        <w:autoSpaceDN w:val="0"/>
        <w:adjustRightInd w:val="0"/>
        <w:ind w:left="851"/>
        <w:rPr>
          <w:sz w:val="24"/>
          <w:szCs w:val="24"/>
        </w:rPr>
      </w:pPr>
      <w:r w:rsidRPr="00A61FA0">
        <w:rPr>
          <w:sz w:val="24"/>
          <w:szCs w:val="24"/>
        </w:rPr>
        <w:t>Når lægemidlet er godkendt, er indberetning af formodede bivirkninger vigtig. Det muliggør løbende overvågning af benefit/</w:t>
      </w:r>
      <w:proofErr w:type="spellStart"/>
      <w:r w:rsidRPr="00A61FA0">
        <w:rPr>
          <w:sz w:val="24"/>
          <w:szCs w:val="24"/>
        </w:rPr>
        <w:t>risk</w:t>
      </w:r>
      <w:proofErr w:type="spellEnd"/>
      <w:r w:rsidRPr="00A61FA0">
        <w:rPr>
          <w:sz w:val="24"/>
          <w:szCs w:val="24"/>
        </w:rPr>
        <w:t>-forholdet for lægemidlet. Sundhedspersoner anmodes om at indberette alle formodede bivirkninger via:</w:t>
      </w:r>
    </w:p>
    <w:p w14:paraId="408F7E1A" w14:textId="77777777" w:rsidR="00CE3CEF" w:rsidRPr="00A61FA0" w:rsidRDefault="00CE3CEF" w:rsidP="00CE678E">
      <w:pPr>
        <w:autoSpaceDE w:val="0"/>
        <w:autoSpaceDN w:val="0"/>
        <w:adjustRightInd w:val="0"/>
        <w:ind w:left="851"/>
        <w:rPr>
          <w:sz w:val="24"/>
          <w:szCs w:val="24"/>
        </w:rPr>
      </w:pPr>
    </w:p>
    <w:p w14:paraId="5BE59518" w14:textId="77777777" w:rsidR="00CE3CEF" w:rsidRPr="00A61FA0" w:rsidRDefault="00CE3CEF" w:rsidP="00CE678E">
      <w:pPr>
        <w:autoSpaceDE w:val="0"/>
        <w:autoSpaceDN w:val="0"/>
        <w:adjustRightInd w:val="0"/>
        <w:ind w:left="851"/>
        <w:rPr>
          <w:sz w:val="24"/>
          <w:szCs w:val="24"/>
        </w:rPr>
      </w:pPr>
      <w:r w:rsidRPr="00A61FA0">
        <w:rPr>
          <w:sz w:val="24"/>
          <w:szCs w:val="24"/>
        </w:rPr>
        <w:t>Lægemiddelstyrelsen</w:t>
      </w:r>
    </w:p>
    <w:p w14:paraId="119597E8" w14:textId="77777777" w:rsidR="00CE3CEF" w:rsidRPr="00A61FA0" w:rsidRDefault="00CE3CEF" w:rsidP="00CE678E">
      <w:pPr>
        <w:autoSpaceDE w:val="0"/>
        <w:autoSpaceDN w:val="0"/>
        <w:adjustRightInd w:val="0"/>
        <w:ind w:left="851"/>
        <w:rPr>
          <w:sz w:val="24"/>
          <w:szCs w:val="24"/>
        </w:rPr>
      </w:pPr>
      <w:r w:rsidRPr="00A61FA0">
        <w:rPr>
          <w:sz w:val="24"/>
          <w:szCs w:val="24"/>
        </w:rPr>
        <w:t>Axel Heides Gade 1</w:t>
      </w:r>
    </w:p>
    <w:p w14:paraId="32F15F1F" w14:textId="77777777" w:rsidR="00CE3CEF" w:rsidRPr="00A61FA0" w:rsidRDefault="00CE3CEF" w:rsidP="00CE678E">
      <w:pPr>
        <w:autoSpaceDE w:val="0"/>
        <w:autoSpaceDN w:val="0"/>
        <w:adjustRightInd w:val="0"/>
        <w:ind w:left="851"/>
        <w:rPr>
          <w:sz w:val="24"/>
          <w:szCs w:val="24"/>
        </w:rPr>
      </w:pPr>
      <w:r w:rsidRPr="00A61FA0">
        <w:rPr>
          <w:sz w:val="24"/>
          <w:szCs w:val="24"/>
        </w:rPr>
        <w:t>DK-2300 København S</w:t>
      </w:r>
    </w:p>
    <w:p w14:paraId="420735B2" w14:textId="572DBB77" w:rsidR="009260DE" w:rsidRDefault="00CE3CEF" w:rsidP="00C406C8">
      <w:pPr>
        <w:autoSpaceDE w:val="0"/>
        <w:autoSpaceDN w:val="0"/>
        <w:adjustRightInd w:val="0"/>
        <w:ind w:left="851"/>
        <w:rPr>
          <w:sz w:val="24"/>
          <w:szCs w:val="24"/>
        </w:rPr>
      </w:pPr>
      <w:r w:rsidRPr="00A61FA0">
        <w:rPr>
          <w:sz w:val="24"/>
          <w:szCs w:val="24"/>
        </w:rPr>
        <w:t xml:space="preserve">Websted: </w:t>
      </w:r>
      <w:hyperlink r:id="rId8" w:history="1">
        <w:r w:rsidRPr="00A61FA0">
          <w:rPr>
            <w:rStyle w:val="Hyperlink"/>
            <w:sz w:val="24"/>
            <w:szCs w:val="24"/>
          </w:rPr>
          <w:t>www.meldenbivirkning.dk</w:t>
        </w:r>
      </w:hyperlink>
      <w:r w:rsidRPr="00A61FA0">
        <w:rPr>
          <w:sz w:val="24"/>
          <w:szCs w:val="24"/>
        </w:rPr>
        <w:t xml:space="preserve"> </w:t>
      </w:r>
    </w:p>
    <w:p w14:paraId="107DA411" w14:textId="77777777" w:rsidR="00C406C8" w:rsidRPr="00A61FA0" w:rsidRDefault="00C406C8" w:rsidP="00C406C8">
      <w:pPr>
        <w:autoSpaceDE w:val="0"/>
        <w:autoSpaceDN w:val="0"/>
        <w:adjustRightInd w:val="0"/>
        <w:ind w:left="851"/>
        <w:rPr>
          <w:sz w:val="24"/>
          <w:szCs w:val="24"/>
        </w:rPr>
      </w:pPr>
    </w:p>
    <w:p w14:paraId="29A3CC60" w14:textId="77777777" w:rsidR="009260DE" w:rsidRPr="00A61FA0" w:rsidRDefault="009260DE" w:rsidP="00730475">
      <w:pPr>
        <w:keepNext/>
        <w:tabs>
          <w:tab w:val="left" w:pos="851"/>
        </w:tabs>
        <w:ind w:left="851" w:hanging="851"/>
        <w:rPr>
          <w:b/>
          <w:sz w:val="24"/>
          <w:szCs w:val="24"/>
        </w:rPr>
      </w:pPr>
      <w:r w:rsidRPr="00A61FA0">
        <w:rPr>
          <w:b/>
          <w:sz w:val="24"/>
          <w:szCs w:val="24"/>
        </w:rPr>
        <w:t>4.9</w:t>
      </w:r>
      <w:r w:rsidRPr="00A61FA0">
        <w:rPr>
          <w:b/>
          <w:sz w:val="24"/>
          <w:szCs w:val="24"/>
        </w:rPr>
        <w:tab/>
        <w:t>Overdosering</w:t>
      </w:r>
    </w:p>
    <w:p w14:paraId="41EB639B" w14:textId="77777777" w:rsidR="00CE3CEF" w:rsidRPr="00A61FA0" w:rsidRDefault="00CE3CEF" w:rsidP="00CE678E">
      <w:pPr>
        <w:ind w:left="851"/>
        <w:rPr>
          <w:sz w:val="24"/>
          <w:szCs w:val="24"/>
        </w:rPr>
      </w:pPr>
      <w:r w:rsidRPr="00A61FA0">
        <w:rPr>
          <w:i/>
          <w:sz w:val="24"/>
          <w:szCs w:val="24"/>
        </w:rPr>
        <w:t>Toksicitet</w:t>
      </w:r>
      <w:r w:rsidRPr="00A61FA0">
        <w:rPr>
          <w:sz w:val="24"/>
          <w:szCs w:val="24"/>
        </w:rPr>
        <w:t xml:space="preserve">: Høje doser er generelt veltolereret. Parenteral administration af høje doser har dog givet toksiske symptomer som f.eks. nedsat nyrefunktion og en defekt i blod-hjerne-barrieren. Akutte reaktioner skyldes primært </w:t>
      </w:r>
      <w:proofErr w:type="spellStart"/>
      <w:r w:rsidRPr="00A61FA0">
        <w:rPr>
          <w:sz w:val="24"/>
          <w:szCs w:val="24"/>
        </w:rPr>
        <w:t>hypersensibilisering</w:t>
      </w:r>
      <w:proofErr w:type="spellEnd"/>
      <w:r w:rsidRPr="00A61FA0">
        <w:rPr>
          <w:sz w:val="24"/>
          <w:szCs w:val="24"/>
        </w:rPr>
        <w:t>.</w:t>
      </w:r>
    </w:p>
    <w:p w14:paraId="7E591170" w14:textId="77777777" w:rsidR="00CE3CEF" w:rsidRPr="00A61FA0" w:rsidRDefault="00CE3CEF" w:rsidP="00CE678E">
      <w:pPr>
        <w:ind w:left="851"/>
        <w:rPr>
          <w:sz w:val="24"/>
          <w:szCs w:val="24"/>
        </w:rPr>
      </w:pPr>
    </w:p>
    <w:p w14:paraId="39FEF79D" w14:textId="70CEDAAE" w:rsidR="00CE3CEF" w:rsidRPr="00A61FA0" w:rsidRDefault="00CE3CEF" w:rsidP="00CE678E">
      <w:pPr>
        <w:ind w:left="851"/>
        <w:rPr>
          <w:sz w:val="24"/>
          <w:szCs w:val="24"/>
        </w:rPr>
      </w:pPr>
      <w:r w:rsidRPr="00A61FA0">
        <w:rPr>
          <w:i/>
          <w:sz w:val="24"/>
          <w:szCs w:val="24"/>
        </w:rPr>
        <w:lastRenderedPageBreak/>
        <w:t>Symptomer</w:t>
      </w:r>
      <w:r w:rsidRPr="00A61FA0">
        <w:rPr>
          <w:sz w:val="24"/>
          <w:szCs w:val="24"/>
        </w:rPr>
        <w:t>: Toksiske reaktioner: kvalme, opkastning, diarré, ændringer i elektrolyt</w:t>
      </w:r>
      <w:r w:rsidR="00C82227">
        <w:rPr>
          <w:sz w:val="24"/>
          <w:szCs w:val="24"/>
        </w:rPr>
        <w:softHyphen/>
      </w:r>
      <w:r w:rsidRPr="00A61FA0">
        <w:rPr>
          <w:sz w:val="24"/>
          <w:szCs w:val="24"/>
        </w:rPr>
        <w:t xml:space="preserve">koncentrationen, nedsat bevidsthedsniveau, </w:t>
      </w:r>
      <w:proofErr w:type="spellStart"/>
      <w:r w:rsidRPr="00A61FA0">
        <w:rPr>
          <w:sz w:val="24"/>
          <w:szCs w:val="24"/>
        </w:rPr>
        <w:t>muskelfascikulationer</w:t>
      </w:r>
      <w:proofErr w:type="spellEnd"/>
      <w:r w:rsidRPr="00A61FA0">
        <w:rPr>
          <w:sz w:val="24"/>
          <w:szCs w:val="24"/>
        </w:rPr>
        <w:t xml:space="preserve">, </w:t>
      </w:r>
      <w:proofErr w:type="spellStart"/>
      <w:r w:rsidRPr="00A61FA0">
        <w:rPr>
          <w:sz w:val="24"/>
          <w:szCs w:val="24"/>
        </w:rPr>
        <w:t>myokloni</w:t>
      </w:r>
      <w:proofErr w:type="spellEnd"/>
      <w:r w:rsidRPr="00A61FA0">
        <w:rPr>
          <w:sz w:val="24"/>
          <w:szCs w:val="24"/>
        </w:rPr>
        <w:t xml:space="preserve">, kramper, koma, </w:t>
      </w:r>
      <w:proofErr w:type="spellStart"/>
      <w:r w:rsidRPr="00A61FA0">
        <w:rPr>
          <w:sz w:val="24"/>
          <w:szCs w:val="24"/>
        </w:rPr>
        <w:t>hæmolytiske</w:t>
      </w:r>
      <w:proofErr w:type="spellEnd"/>
      <w:r w:rsidRPr="00A61FA0">
        <w:rPr>
          <w:sz w:val="24"/>
          <w:szCs w:val="24"/>
        </w:rPr>
        <w:t xml:space="preserve"> reaktioner, nyresvigt, </w:t>
      </w:r>
      <w:proofErr w:type="spellStart"/>
      <w:r w:rsidRPr="00A61FA0">
        <w:rPr>
          <w:sz w:val="24"/>
          <w:szCs w:val="24"/>
        </w:rPr>
        <w:t>acidose</w:t>
      </w:r>
      <w:proofErr w:type="spellEnd"/>
      <w:r w:rsidRPr="00A61FA0">
        <w:rPr>
          <w:sz w:val="24"/>
          <w:szCs w:val="24"/>
        </w:rPr>
        <w:t>.</w:t>
      </w:r>
    </w:p>
    <w:p w14:paraId="056E1AAE" w14:textId="77777777" w:rsidR="00CE3CEF" w:rsidRPr="00A61FA0" w:rsidRDefault="00CE3CEF" w:rsidP="00CE678E">
      <w:pPr>
        <w:ind w:left="851"/>
        <w:rPr>
          <w:sz w:val="24"/>
          <w:szCs w:val="24"/>
        </w:rPr>
      </w:pPr>
    </w:p>
    <w:p w14:paraId="6C02341D" w14:textId="77777777" w:rsidR="00CE3CEF" w:rsidRPr="00A61FA0" w:rsidRDefault="00CE3CEF" w:rsidP="00CE678E">
      <w:pPr>
        <w:ind w:left="851"/>
        <w:rPr>
          <w:sz w:val="24"/>
          <w:szCs w:val="24"/>
        </w:rPr>
      </w:pPr>
      <w:r w:rsidRPr="00A61FA0">
        <w:rPr>
          <w:sz w:val="24"/>
          <w:szCs w:val="24"/>
        </w:rPr>
        <w:t xml:space="preserve">I sjældne tilfælde kan </w:t>
      </w:r>
      <w:proofErr w:type="spellStart"/>
      <w:r w:rsidRPr="00A61FA0">
        <w:rPr>
          <w:sz w:val="24"/>
          <w:szCs w:val="24"/>
        </w:rPr>
        <w:t>anafylaktisk</w:t>
      </w:r>
      <w:proofErr w:type="spellEnd"/>
      <w:r w:rsidRPr="00A61FA0">
        <w:rPr>
          <w:sz w:val="24"/>
          <w:szCs w:val="24"/>
        </w:rPr>
        <w:t xml:space="preserve"> reaktion opstå inden for 20-40 minutter.</w:t>
      </w:r>
    </w:p>
    <w:p w14:paraId="2B963180" w14:textId="77777777" w:rsidR="00CE3CEF" w:rsidRPr="00A61FA0" w:rsidRDefault="00CE3CEF" w:rsidP="00CE678E">
      <w:pPr>
        <w:ind w:left="851"/>
        <w:rPr>
          <w:sz w:val="24"/>
          <w:szCs w:val="24"/>
        </w:rPr>
      </w:pPr>
    </w:p>
    <w:p w14:paraId="3BF5C3CE" w14:textId="77777777" w:rsidR="00CE3CEF" w:rsidRPr="00A61FA0" w:rsidRDefault="00CE3CEF" w:rsidP="00CE678E">
      <w:pPr>
        <w:ind w:left="851"/>
        <w:rPr>
          <w:sz w:val="24"/>
          <w:szCs w:val="24"/>
        </w:rPr>
      </w:pPr>
      <w:r w:rsidRPr="00A61FA0">
        <w:rPr>
          <w:i/>
          <w:sz w:val="24"/>
          <w:szCs w:val="24"/>
        </w:rPr>
        <w:t>Behandling</w:t>
      </w:r>
      <w:r w:rsidRPr="00A61FA0">
        <w:rPr>
          <w:sz w:val="24"/>
          <w:szCs w:val="24"/>
        </w:rPr>
        <w:t xml:space="preserve">: Symptomatisk behandling. I alvorlige tilfælde </w:t>
      </w:r>
      <w:proofErr w:type="spellStart"/>
      <w:r w:rsidRPr="00A61FA0">
        <w:rPr>
          <w:sz w:val="24"/>
          <w:szCs w:val="24"/>
        </w:rPr>
        <w:t>hæmoperfusion</w:t>
      </w:r>
      <w:proofErr w:type="spellEnd"/>
      <w:r w:rsidRPr="00A61FA0">
        <w:rPr>
          <w:sz w:val="24"/>
          <w:szCs w:val="24"/>
        </w:rPr>
        <w:t xml:space="preserve"> eller hæmodialyse.</w:t>
      </w:r>
    </w:p>
    <w:p w14:paraId="5E659A8A" w14:textId="77777777" w:rsidR="00CE3CEF" w:rsidRPr="00A61FA0" w:rsidRDefault="00CE3CEF" w:rsidP="00CE678E">
      <w:pPr>
        <w:ind w:left="851"/>
        <w:rPr>
          <w:sz w:val="24"/>
          <w:szCs w:val="24"/>
        </w:rPr>
      </w:pPr>
    </w:p>
    <w:p w14:paraId="7AE67EC4" w14:textId="77777777" w:rsidR="00CE3CEF" w:rsidRPr="00A61FA0" w:rsidRDefault="00CE3CEF" w:rsidP="00CE678E">
      <w:pPr>
        <w:ind w:left="851"/>
        <w:rPr>
          <w:sz w:val="24"/>
          <w:szCs w:val="24"/>
        </w:rPr>
      </w:pPr>
      <w:r w:rsidRPr="00A61FA0">
        <w:rPr>
          <w:i/>
          <w:sz w:val="24"/>
          <w:szCs w:val="24"/>
        </w:rPr>
        <w:t>Ved anafylaktiske reaktioner</w:t>
      </w:r>
      <w:r w:rsidRPr="00A61FA0">
        <w:rPr>
          <w:sz w:val="24"/>
          <w:szCs w:val="24"/>
        </w:rPr>
        <w:t>: Adrenalin (</w:t>
      </w:r>
      <w:proofErr w:type="spellStart"/>
      <w:r w:rsidRPr="00A61FA0">
        <w:rPr>
          <w:sz w:val="24"/>
          <w:szCs w:val="24"/>
        </w:rPr>
        <w:t>ephinephrin</w:t>
      </w:r>
      <w:proofErr w:type="spellEnd"/>
      <w:r w:rsidRPr="00A61FA0">
        <w:rPr>
          <w:sz w:val="24"/>
          <w:szCs w:val="24"/>
        </w:rPr>
        <w:t xml:space="preserve">) 0,1-0,5 mg langsomt intravenøst. </w:t>
      </w:r>
      <w:proofErr w:type="spellStart"/>
      <w:r w:rsidRPr="00A61FA0">
        <w:rPr>
          <w:sz w:val="24"/>
          <w:szCs w:val="24"/>
        </w:rPr>
        <w:t>Hydrocortison</w:t>
      </w:r>
      <w:proofErr w:type="spellEnd"/>
      <w:r w:rsidRPr="00A61FA0">
        <w:rPr>
          <w:sz w:val="24"/>
          <w:szCs w:val="24"/>
        </w:rPr>
        <w:t xml:space="preserve"> 200 mg intravenøst, eventuelt </w:t>
      </w:r>
      <w:proofErr w:type="spellStart"/>
      <w:r w:rsidRPr="00A61FA0">
        <w:rPr>
          <w:sz w:val="24"/>
          <w:szCs w:val="24"/>
        </w:rPr>
        <w:t>prometazin</w:t>
      </w:r>
      <w:proofErr w:type="spellEnd"/>
      <w:r w:rsidRPr="00A61FA0">
        <w:rPr>
          <w:sz w:val="24"/>
          <w:szCs w:val="24"/>
        </w:rPr>
        <w:t xml:space="preserve"> 25 mg intravenøst. Væske. </w:t>
      </w:r>
      <w:proofErr w:type="spellStart"/>
      <w:r w:rsidRPr="00A61FA0">
        <w:rPr>
          <w:sz w:val="24"/>
          <w:szCs w:val="24"/>
        </w:rPr>
        <w:t>Acidosekorrektion</w:t>
      </w:r>
      <w:proofErr w:type="spellEnd"/>
      <w:r w:rsidRPr="00A61FA0">
        <w:rPr>
          <w:sz w:val="24"/>
          <w:szCs w:val="24"/>
        </w:rPr>
        <w:t>.</w:t>
      </w:r>
    </w:p>
    <w:p w14:paraId="4FD6510D" w14:textId="77777777" w:rsidR="009260DE" w:rsidRPr="00A61FA0" w:rsidRDefault="009260DE" w:rsidP="009260DE">
      <w:pPr>
        <w:tabs>
          <w:tab w:val="left" w:pos="851"/>
        </w:tabs>
        <w:ind w:left="851"/>
        <w:rPr>
          <w:sz w:val="24"/>
          <w:szCs w:val="24"/>
        </w:rPr>
      </w:pPr>
    </w:p>
    <w:p w14:paraId="6BF0464C" w14:textId="77777777" w:rsidR="009260DE" w:rsidRPr="00A61FA0" w:rsidRDefault="009260DE" w:rsidP="009260DE">
      <w:pPr>
        <w:tabs>
          <w:tab w:val="left" w:pos="851"/>
        </w:tabs>
        <w:ind w:left="851" w:hanging="851"/>
        <w:rPr>
          <w:b/>
          <w:sz w:val="24"/>
          <w:szCs w:val="24"/>
        </w:rPr>
      </w:pPr>
      <w:r w:rsidRPr="00A61FA0">
        <w:rPr>
          <w:b/>
          <w:sz w:val="24"/>
          <w:szCs w:val="24"/>
        </w:rPr>
        <w:t>4.10</w:t>
      </w:r>
      <w:r w:rsidRPr="00A61FA0">
        <w:rPr>
          <w:b/>
          <w:sz w:val="24"/>
          <w:szCs w:val="24"/>
        </w:rPr>
        <w:tab/>
        <w:t>Udlevering</w:t>
      </w:r>
    </w:p>
    <w:p w14:paraId="7BC5C4FF" w14:textId="0252DDA2" w:rsidR="009260DE" w:rsidRPr="00A61FA0" w:rsidRDefault="00EF4B08" w:rsidP="009260DE">
      <w:pPr>
        <w:tabs>
          <w:tab w:val="left" w:pos="851"/>
        </w:tabs>
        <w:ind w:left="851"/>
        <w:rPr>
          <w:sz w:val="24"/>
          <w:szCs w:val="24"/>
        </w:rPr>
      </w:pPr>
      <w:r w:rsidRPr="00A61FA0">
        <w:rPr>
          <w:sz w:val="24"/>
          <w:szCs w:val="24"/>
        </w:rPr>
        <w:t>B</w:t>
      </w:r>
    </w:p>
    <w:p w14:paraId="6D236059" w14:textId="77777777" w:rsidR="009260DE" w:rsidRPr="00A61FA0" w:rsidRDefault="009260DE" w:rsidP="009260DE">
      <w:pPr>
        <w:tabs>
          <w:tab w:val="left" w:pos="851"/>
        </w:tabs>
        <w:ind w:left="851"/>
        <w:rPr>
          <w:sz w:val="24"/>
          <w:szCs w:val="24"/>
        </w:rPr>
      </w:pPr>
    </w:p>
    <w:p w14:paraId="01341DF6" w14:textId="77777777" w:rsidR="009260DE" w:rsidRPr="00A61FA0" w:rsidRDefault="009260DE" w:rsidP="009260DE">
      <w:pPr>
        <w:tabs>
          <w:tab w:val="left" w:pos="851"/>
        </w:tabs>
        <w:ind w:left="851"/>
        <w:rPr>
          <w:sz w:val="24"/>
          <w:szCs w:val="24"/>
        </w:rPr>
      </w:pPr>
    </w:p>
    <w:p w14:paraId="476E21EF" w14:textId="77777777" w:rsidR="009260DE" w:rsidRPr="00A61FA0" w:rsidRDefault="009260DE" w:rsidP="009260DE">
      <w:pPr>
        <w:tabs>
          <w:tab w:val="left" w:pos="851"/>
        </w:tabs>
        <w:ind w:left="851" w:hanging="851"/>
        <w:rPr>
          <w:b/>
          <w:sz w:val="24"/>
          <w:szCs w:val="24"/>
        </w:rPr>
      </w:pPr>
      <w:r w:rsidRPr="00A61FA0">
        <w:rPr>
          <w:b/>
          <w:sz w:val="24"/>
          <w:szCs w:val="24"/>
        </w:rPr>
        <w:t>5.</w:t>
      </w:r>
      <w:r w:rsidRPr="00A61FA0">
        <w:rPr>
          <w:b/>
          <w:sz w:val="24"/>
          <w:szCs w:val="24"/>
        </w:rPr>
        <w:tab/>
        <w:t>FARMAKOLOGISKE EGENSKABER</w:t>
      </w:r>
    </w:p>
    <w:p w14:paraId="6718B72C" w14:textId="77777777" w:rsidR="009260DE" w:rsidRPr="00A61FA0" w:rsidRDefault="009260DE" w:rsidP="009260DE">
      <w:pPr>
        <w:tabs>
          <w:tab w:val="left" w:pos="851"/>
        </w:tabs>
        <w:ind w:left="851"/>
        <w:rPr>
          <w:sz w:val="24"/>
          <w:szCs w:val="24"/>
        </w:rPr>
      </w:pPr>
    </w:p>
    <w:p w14:paraId="3A380720" w14:textId="77777777" w:rsidR="009260DE" w:rsidRPr="00A61FA0" w:rsidRDefault="009260DE" w:rsidP="009260DE">
      <w:pPr>
        <w:tabs>
          <w:tab w:val="num" w:pos="851"/>
        </w:tabs>
        <w:ind w:left="851" w:hanging="851"/>
        <w:rPr>
          <w:b/>
          <w:sz w:val="24"/>
          <w:szCs w:val="24"/>
        </w:rPr>
      </w:pPr>
      <w:r w:rsidRPr="00A61FA0">
        <w:rPr>
          <w:b/>
          <w:sz w:val="24"/>
          <w:szCs w:val="24"/>
        </w:rPr>
        <w:t>5.1</w:t>
      </w:r>
      <w:r w:rsidRPr="00A61FA0">
        <w:rPr>
          <w:b/>
          <w:sz w:val="24"/>
          <w:szCs w:val="24"/>
        </w:rPr>
        <w:tab/>
      </w:r>
      <w:proofErr w:type="spellStart"/>
      <w:r w:rsidRPr="00A61FA0">
        <w:rPr>
          <w:b/>
          <w:sz w:val="24"/>
          <w:szCs w:val="24"/>
        </w:rPr>
        <w:t>Farmakodynamiske</w:t>
      </w:r>
      <w:proofErr w:type="spellEnd"/>
      <w:r w:rsidRPr="00A61FA0">
        <w:rPr>
          <w:b/>
          <w:sz w:val="24"/>
          <w:szCs w:val="24"/>
        </w:rPr>
        <w:t xml:space="preserve"> egenskaber</w:t>
      </w:r>
    </w:p>
    <w:p w14:paraId="2068C19A" w14:textId="75A62AF5" w:rsidR="00CE3CEF" w:rsidRPr="00A61FA0" w:rsidRDefault="00CE3CEF" w:rsidP="00CE678E">
      <w:pPr>
        <w:ind w:left="851"/>
        <w:rPr>
          <w:sz w:val="24"/>
          <w:szCs w:val="24"/>
        </w:rPr>
      </w:pPr>
      <w:proofErr w:type="spellStart"/>
      <w:r w:rsidRPr="00A61FA0">
        <w:rPr>
          <w:sz w:val="24"/>
          <w:szCs w:val="24"/>
        </w:rPr>
        <w:t>Farmakoterapeutisk</w:t>
      </w:r>
      <w:proofErr w:type="spellEnd"/>
      <w:r w:rsidRPr="00A61FA0">
        <w:rPr>
          <w:sz w:val="24"/>
          <w:szCs w:val="24"/>
        </w:rPr>
        <w:t xml:space="preserve"> klassifikation: Beta-</w:t>
      </w:r>
      <w:proofErr w:type="spellStart"/>
      <w:r w:rsidRPr="00A61FA0">
        <w:rPr>
          <w:sz w:val="24"/>
          <w:szCs w:val="24"/>
        </w:rPr>
        <w:t>lactamase</w:t>
      </w:r>
      <w:proofErr w:type="spellEnd"/>
      <w:r w:rsidRPr="00A61FA0">
        <w:rPr>
          <w:sz w:val="24"/>
          <w:szCs w:val="24"/>
        </w:rPr>
        <w:t xml:space="preserve"> resistente penicilliner, ATC-kode: J01CF02</w:t>
      </w:r>
      <w:r w:rsidR="005F649A">
        <w:rPr>
          <w:sz w:val="24"/>
          <w:szCs w:val="24"/>
        </w:rPr>
        <w:t>.</w:t>
      </w:r>
    </w:p>
    <w:p w14:paraId="6DD7E8FD" w14:textId="77777777" w:rsidR="00CE3CEF" w:rsidRPr="00A61FA0" w:rsidRDefault="00CE3CEF" w:rsidP="00CE678E">
      <w:pPr>
        <w:ind w:left="851"/>
        <w:rPr>
          <w:sz w:val="24"/>
          <w:szCs w:val="24"/>
        </w:rPr>
      </w:pPr>
    </w:p>
    <w:p w14:paraId="0F122D05" w14:textId="77777777" w:rsidR="00CE3CEF" w:rsidRPr="00A61FA0" w:rsidRDefault="00CE3CEF" w:rsidP="00CE678E">
      <w:pPr>
        <w:ind w:left="851"/>
        <w:rPr>
          <w:bCs/>
          <w:sz w:val="24"/>
          <w:szCs w:val="24"/>
          <w:u w:val="single"/>
        </w:rPr>
      </w:pPr>
      <w:r w:rsidRPr="00A61FA0">
        <w:rPr>
          <w:bCs/>
          <w:sz w:val="24"/>
          <w:szCs w:val="24"/>
          <w:u w:val="single"/>
        </w:rPr>
        <w:t>Virkningsmekanisme</w:t>
      </w:r>
    </w:p>
    <w:p w14:paraId="4755DD13" w14:textId="36D443D5" w:rsidR="00CE3CEF" w:rsidRPr="00A61FA0" w:rsidRDefault="00CE3CEF" w:rsidP="00CE678E">
      <w:pPr>
        <w:ind w:left="851"/>
        <w:rPr>
          <w:bCs/>
          <w:sz w:val="24"/>
          <w:szCs w:val="24"/>
        </w:rPr>
      </w:pPr>
      <w:proofErr w:type="spellStart"/>
      <w:r w:rsidRPr="00A61FA0">
        <w:rPr>
          <w:bCs/>
          <w:sz w:val="24"/>
          <w:szCs w:val="24"/>
        </w:rPr>
        <w:t>Cloxacillin</w:t>
      </w:r>
      <w:proofErr w:type="spellEnd"/>
      <w:r w:rsidRPr="00A61FA0">
        <w:rPr>
          <w:bCs/>
          <w:sz w:val="24"/>
          <w:szCs w:val="24"/>
        </w:rPr>
        <w:t xml:space="preserve"> </w:t>
      </w:r>
      <w:r w:rsidR="00341EBF">
        <w:rPr>
          <w:bCs/>
          <w:sz w:val="24"/>
          <w:szCs w:val="24"/>
        </w:rPr>
        <w:t>"</w:t>
      </w:r>
      <w:proofErr w:type="spellStart"/>
      <w:r w:rsidR="00341EBF">
        <w:rPr>
          <w:bCs/>
          <w:sz w:val="24"/>
          <w:szCs w:val="24"/>
        </w:rPr>
        <w:t>Navamedic</w:t>
      </w:r>
      <w:proofErr w:type="spellEnd"/>
      <w:r w:rsidR="00341EBF">
        <w:rPr>
          <w:bCs/>
          <w:sz w:val="24"/>
          <w:szCs w:val="24"/>
        </w:rPr>
        <w:t>"</w:t>
      </w:r>
      <w:r w:rsidRPr="00A61FA0">
        <w:rPr>
          <w:bCs/>
          <w:sz w:val="24"/>
          <w:szCs w:val="24"/>
        </w:rPr>
        <w:t xml:space="preserve"> (</w:t>
      </w:r>
      <w:proofErr w:type="spellStart"/>
      <w:r w:rsidRPr="00A61FA0">
        <w:rPr>
          <w:bCs/>
          <w:sz w:val="24"/>
          <w:szCs w:val="24"/>
        </w:rPr>
        <w:t>cloxacillin</w:t>
      </w:r>
      <w:proofErr w:type="spellEnd"/>
      <w:r w:rsidRPr="00A61FA0">
        <w:rPr>
          <w:bCs/>
          <w:sz w:val="24"/>
          <w:szCs w:val="24"/>
        </w:rPr>
        <w:t xml:space="preserve">) tilhører en gruppe af </w:t>
      </w:r>
      <w:proofErr w:type="spellStart"/>
      <w:r w:rsidRPr="00A61FA0">
        <w:rPr>
          <w:bCs/>
          <w:sz w:val="24"/>
          <w:szCs w:val="24"/>
        </w:rPr>
        <w:t>isoxazolylpenicilliner</w:t>
      </w:r>
      <w:proofErr w:type="spellEnd"/>
      <w:r w:rsidRPr="00A61FA0">
        <w:rPr>
          <w:bCs/>
          <w:sz w:val="24"/>
          <w:szCs w:val="24"/>
        </w:rPr>
        <w:t>, som er aktive mod beta-</w:t>
      </w:r>
      <w:proofErr w:type="spellStart"/>
      <w:r w:rsidRPr="00A61FA0">
        <w:rPr>
          <w:bCs/>
          <w:sz w:val="24"/>
          <w:szCs w:val="24"/>
        </w:rPr>
        <w:t>lactamase</w:t>
      </w:r>
      <w:proofErr w:type="spellEnd"/>
      <w:r w:rsidRPr="00A61FA0">
        <w:rPr>
          <w:bCs/>
          <w:sz w:val="24"/>
          <w:szCs w:val="24"/>
        </w:rPr>
        <w:t xml:space="preserve">-producerende stafylokokker med syrestabilitet. </w:t>
      </w:r>
      <w:proofErr w:type="spellStart"/>
      <w:r w:rsidRPr="00A61FA0">
        <w:rPr>
          <w:bCs/>
          <w:sz w:val="24"/>
          <w:szCs w:val="24"/>
        </w:rPr>
        <w:t>Cloxacillin</w:t>
      </w:r>
      <w:proofErr w:type="spellEnd"/>
      <w:r w:rsidRPr="00A61FA0">
        <w:rPr>
          <w:bCs/>
          <w:sz w:val="24"/>
          <w:szCs w:val="24"/>
        </w:rPr>
        <w:t xml:space="preserve"> hæmmer syntesen af bakteriens cellevæg. Denne effekt er </w:t>
      </w:r>
      <w:proofErr w:type="spellStart"/>
      <w:r w:rsidRPr="00A61FA0">
        <w:rPr>
          <w:bCs/>
          <w:sz w:val="24"/>
          <w:szCs w:val="24"/>
        </w:rPr>
        <w:t>bakteriocid</w:t>
      </w:r>
      <w:proofErr w:type="spellEnd"/>
      <w:r w:rsidRPr="00A61FA0">
        <w:rPr>
          <w:bCs/>
          <w:sz w:val="24"/>
          <w:szCs w:val="24"/>
        </w:rPr>
        <w:t>.</w:t>
      </w:r>
    </w:p>
    <w:p w14:paraId="440F0DF3" w14:textId="77777777" w:rsidR="00CE3CEF" w:rsidRPr="00A61FA0" w:rsidRDefault="00CE3CEF" w:rsidP="00CE678E">
      <w:pPr>
        <w:ind w:left="851"/>
        <w:rPr>
          <w:bCs/>
          <w:sz w:val="24"/>
          <w:szCs w:val="24"/>
          <w:u w:val="single"/>
        </w:rPr>
      </w:pPr>
    </w:p>
    <w:p w14:paraId="1096FA46" w14:textId="52B43192" w:rsidR="00CE3CEF" w:rsidRDefault="00CE3CEF" w:rsidP="00CE678E">
      <w:pPr>
        <w:ind w:left="851"/>
        <w:rPr>
          <w:bCs/>
          <w:sz w:val="24"/>
          <w:szCs w:val="24"/>
          <w:u w:val="single"/>
        </w:rPr>
      </w:pPr>
      <w:r w:rsidRPr="00A61FA0">
        <w:rPr>
          <w:bCs/>
          <w:sz w:val="24"/>
          <w:szCs w:val="24"/>
          <w:u w:val="single"/>
        </w:rPr>
        <w:t>Antibakterielt spektrum</w:t>
      </w:r>
    </w:p>
    <w:p w14:paraId="65DE9178" w14:textId="77777777" w:rsidR="00A90412" w:rsidRPr="00A61FA0" w:rsidRDefault="00A90412" w:rsidP="00CE678E">
      <w:pPr>
        <w:ind w:left="851"/>
        <w:rPr>
          <w:bCs/>
          <w:sz w:val="24"/>
          <w:szCs w:val="24"/>
          <w:u w:val="single"/>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183"/>
      </w:tblGrid>
      <w:tr w:rsidR="00CE3CEF" w:rsidRPr="00A61FA0" w14:paraId="043C6356" w14:textId="77777777" w:rsidTr="00CE678E">
        <w:tc>
          <w:tcPr>
            <w:tcW w:w="4605" w:type="dxa"/>
            <w:tcBorders>
              <w:top w:val="single" w:sz="4" w:space="0" w:color="auto"/>
              <w:left w:val="single" w:sz="4" w:space="0" w:color="auto"/>
              <w:bottom w:val="single" w:sz="4" w:space="0" w:color="auto"/>
              <w:right w:val="single" w:sz="4" w:space="0" w:color="auto"/>
            </w:tcBorders>
            <w:hideMark/>
          </w:tcPr>
          <w:p w14:paraId="0B0BFE7D" w14:textId="77777777" w:rsidR="00CE3CEF" w:rsidRPr="00A61FA0" w:rsidRDefault="00CE3CEF">
            <w:pPr>
              <w:autoSpaceDE w:val="0"/>
              <w:autoSpaceDN w:val="0"/>
              <w:adjustRightInd w:val="0"/>
              <w:spacing w:after="240"/>
              <w:rPr>
                <w:rStyle w:val="Fremhv"/>
                <w:i w:val="0"/>
                <w:sz w:val="24"/>
                <w:szCs w:val="24"/>
                <w:lang w:val="en-GB"/>
              </w:rPr>
            </w:pPr>
            <w:proofErr w:type="spellStart"/>
            <w:r w:rsidRPr="00A61FA0">
              <w:rPr>
                <w:bCs/>
                <w:iCs/>
                <w:sz w:val="24"/>
                <w:szCs w:val="24"/>
                <w:lang w:val="en-GB"/>
              </w:rPr>
              <w:t>Almindeligt</w:t>
            </w:r>
            <w:proofErr w:type="spellEnd"/>
            <w:r w:rsidRPr="00A61FA0">
              <w:rPr>
                <w:bCs/>
                <w:iCs/>
                <w:sz w:val="24"/>
                <w:szCs w:val="24"/>
                <w:lang w:val="en-GB"/>
              </w:rPr>
              <w:t xml:space="preserve"> </w:t>
            </w:r>
            <w:proofErr w:type="spellStart"/>
            <w:r w:rsidRPr="00A61FA0">
              <w:rPr>
                <w:bCs/>
                <w:iCs/>
                <w:sz w:val="24"/>
                <w:szCs w:val="24"/>
                <w:lang w:val="en-GB"/>
              </w:rPr>
              <w:t>følsomme</w:t>
            </w:r>
            <w:proofErr w:type="spellEnd"/>
            <w:r w:rsidRPr="00A61FA0">
              <w:rPr>
                <w:bCs/>
                <w:iCs/>
                <w:sz w:val="24"/>
                <w:szCs w:val="24"/>
                <w:lang w:val="en-GB"/>
              </w:rPr>
              <w:t xml:space="preserve"> </w:t>
            </w:r>
            <w:proofErr w:type="spellStart"/>
            <w:r w:rsidRPr="00A61FA0">
              <w:rPr>
                <w:bCs/>
                <w:iCs/>
                <w:sz w:val="24"/>
                <w:szCs w:val="24"/>
                <w:lang w:val="en-GB"/>
              </w:rPr>
              <w:t>arter</w:t>
            </w:r>
            <w:proofErr w:type="spellEnd"/>
          </w:p>
        </w:tc>
        <w:tc>
          <w:tcPr>
            <w:tcW w:w="4183" w:type="dxa"/>
            <w:tcBorders>
              <w:top w:val="single" w:sz="4" w:space="0" w:color="auto"/>
              <w:left w:val="single" w:sz="4" w:space="0" w:color="auto"/>
              <w:bottom w:val="single" w:sz="4" w:space="0" w:color="auto"/>
              <w:right w:val="single" w:sz="4" w:space="0" w:color="auto"/>
            </w:tcBorders>
            <w:hideMark/>
          </w:tcPr>
          <w:p w14:paraId="662EB795" w14:textId="77777777" w:rsidR="00CE3CEF" w:rsidRPr="00A61FA0" w:rsidRDefault="00CE3CEF">
            <w:pPr>
              <w:autoSpaceDE w:val="0"/>
              <w:autoSpaceDN w:val="0"/>
              <w:adjustRightInd w:val="0"/>
              <w:spacing w:after="240"/>
              <w:rPr>
                <w:bCs/>
                <w:color w:val="000000"/>
                <w:sz w:val="24"/>
                <w:szCs w:val="24"/>
                <w:lang w:eastAsia="it-IT"/>
              </w:rPr>
            </w:pPr>
            <w:proofErr w:type="spellStart"/>
            <w:r w:rsidRPr="00A61FA0">
              <w:rPr>
                <w:bCs/>
                <w:i/>
                <w:color w:val="000000"/>
                <w:sz w:val="24"/>
                <w:szCs w:val="24"/>
                <w:lang w:eastAsia="it-IT"/>
              </w:rPr>
              <w:t>Staphyloccoccus</w:t>
            </w:r>
            <w:proofErr w:type="spellEnd"/>
            <w:r w:rsidRPr="00A61FA0">
              <w:rPr>
                <w:bCs/>
                <w:i/>
                <w:color w:val="000000"/>
                <w:sz w:val="24"/>
                <w:szCs w:val="24"/>
                <w:lang w:eastAsia="it-IT"/>
              </w:rPr>
              <w:t xml:space="preserve"> aureus</w:t>
            </w:r>
            <w:r w:rsidRPr="00A61FA0">
              <w:rPr>
                <w:bCs/>
                <w:iCs/>
                <w:color w:val="000000"/>
                <w:sz w:val="24"/>
                <w:szCs w:val="24"/>
                <w:lang w:eastAsia="it-IT"/>
              </w:rPr>
              <w:t>,</w:t>
            </w:r>
            <w:r w:rsidRPr="00A61FA0">
              <w:rPr>
                <w:bCs/>
                <w:color w:val="000000"/>
                <w:sz w:val="24"/>
                <w:szCs w:val="24"/>
                <w:lang w:eastAsia="it-IT"/>
              </w:rPr>
              <w:t xml:space="preserve"> inklusive beta-</w:t>
            </w:r>
            <w:proofErr w:type="spellStart"/>
            <w:r w:rsidRPr="00A61FA0">
              <w:rPr>
                <w:bCs/>
                <w:color w:val="000000"/>
                <w:sz w:val="24"/>
                <w:szCs w:val="24"/>
                <w:lang w:eastAsia="it-IT"/>
              </w:rPr>
              <w:t>lactamase</w:t>
            </w:r>
            <w:proofErr w:type="spellEnd"/>
            <w:r w:rsidRPr="00A61FA0">
              <w:rPr>
                <w:bCs/>
                <w:color w:val="000000"/>
                <w:sz w:val="24"/>
                <w:szCs w:val="24"/>
                <w:lang w:eastAsia="it-IT"/>
              </w:rPr>
              <w:t>-producerende stammer</w:t>
            </w:r>
          </w:p>
          <w:p w14:paraId="2945B57C" w14:textId="77777777" w:rsidR="00CE3CEF" w:rsidRPr="00A61FA0" w:rsidRDefault="00CE3CEF">
            <w:pPr>
              <w:autoSpaceDE w:val="0"/>
              <w:autoSpaceDN w:val="0"/>
              <w:adjustRightInd w:val="0"/>
              <w:spacing w:after="240"/>
              <w:rPr>
                <w:bCs/>
                <w:color w:val="000000"/>
                <w:sz w:val="24"/>
                <w:szCs w:val="24"/>
                <w:lang w:eastAsia="it-IT"/>
              </w:rPr>
            </w:pPr>
            <w:r w:rsidRPr="00A61FA0">
              <w:rPr>
                <w:bCs/>
                <w:color w:val="000000"/>
                <w:sz w:val="24"/>
                <w:szCs w:val="24"/>
                <w:lang w:eastAsia="it-IT"/>
              </w:rPr>
              <w:t>Streptokokker</w:t>
            </w:r>
          </w:p>
          <w:p w14:paraId="72500E2A" w14:textId="77777777" w:rsidR="00CE3CEF" w:rsidRPr="00A61FA0" w:rsidRDefault="00CE3CEF">
            <w:pPr>
              <w:autoSpaceDE w:val="0"/>
              <w:autoSpaceDN w:val="0"/>
              <w:adjustRightInd w:val="0"/>
              <w:spacing w:after="240"/>
              <w:rPr>
                <w:bCs/>
                <w:color w:val="000000"/>
                <w:sz w:val="24"/>
                <w:szCs w:val="24"/>
                <w:lang w:val="en-GB" w:eastAsia="it-IT"/>
              </w:rPr>
            </w:pPr>
            <w:proofErr w:type="spellStart"/>
            <w:r w:rsidRPr="00A61FA0">
              <w:rPr>
                <w:bCs/>
                <w:color w:val="000000"/>
                <w:sz w:val="24"/>
                <w:szCs w:val="24"/>
                <w:lang w:val="en-GB" w:eastAsia="it-IT"/>
              </w:rPr>
              <w:t>Pneumokokker</w:t>
            </w:r>
            <w:proofErr w:type="spellEnd"/>
          </w:p>
        </w:tc>
      </w:tr>
      <w:tr w:rsidR="00CE3CEF" w:rsidRPr="00A61FA0" w14:paraId="463527F9" w14:textId="77777777" w:rsidTr="00CE678E">
        <w:tc>
          <w:tcPr>
            <w:tcW w:w="4605" w:type="dxa"/>
            <w:tcBorders>
              <w:top w:val="single" w:sz="4" w:space="0" w:color="auto"/>
              <w:left w:val="single" w:sz="4" w:space="0" w:color="auto"/>
              <w:bottom w:val="single" w:sz="4" w:space="0" w:color="auto"/>
              <w:right w:val="single" w:sz="4" w:space="0" w:color="auto"/>
            </w:tcBorders>
            <w:hideMark/>
          </w:tcPr>
          <w:p w14:paraId="1BBB9A4F" w14:textId="77777777" w:rsidR="00CE3CEF" w:rsidRPr="00A61FA0" w:rsidRDefault="00CE3CEF">
            <w:pPr>
              <w:autoSpaceDE w:val="0"/>
              <w:autoSpaceDN w:val="0"/>
              <w:adjustRightInd w:val="0"/>
              <w:spacing w:after="240"/>
              <w:rPr>
                <w:color w:val="000000"/>
                <w:sz w:val="24"/>
                <w:szCs w:val="24"/>
                <w:lang w:eastAsia="it-IT"/>
              </w:rPr>
            </w:pPr>
            <w:r w:rsidRPr="00A61FA0">
              <w:rPr>
                <w:bCs/>
                <w:color w:val="000000"/>
                <w:sz w:val="24"/>
                <w:szCs w:val="24"/>
                <w:lang w:eastAsia="it-IT"/>
              </w:rPr>
              <w:t>Arter, for hvilke erhvervet resistens kan være et problem</w:t>
            </w:r>
          </w:p>
        </w:tc>
        <w:tc>
          <w:tcPr>
            <w:tcW w:w="4183" w:type="dxa"/>
            <w:tcBorders>
              <w:top w:val="single" w:sz="4" w:space="0" w:color="auto"/>
              <w:left w:val="single" w:sz="4" w:space="0" w:color="auto"/>
              <w:bottom w:val="single" w:sz="4" w:space="0" w:color="auto"/>
              <w:right w:val="single" w:sz="4" w:space="0" w:color="auto"/>
            </w:tcBorders>
            <w:hideMark/>
          </w:tcPr>
          <w:p w14:paraId="071B87CB" w14:textId="77777777" w:rsidR="00CE3CEF" w:rsidRPr="00A61FA0" w:rsidRDefault="00CE3CEF">
            <w:pPr>
              <w:autoSpaceDE w:val="0"/>
              <w:autoSpaceDN w:val="0"/>
              <w:adjustRightInd w:val="0"/>
              <w:spacing w:after="240"/>
              <w:rPr>
                <w:color w:val="000000"/>
                <w:sz w:val="24"/>
                <w:szCs w:val="24"/>
                <w:lang w:val="en-GB" w:eastAsia="it-IT"/>
              </w:rPr>
            </w:pPr>
            <w:proofErr w:type="spellStart"/>
            <w:r w:rsidRPr="00A61FA0">
              <w:rPr>
                <w:bCs/>
                <w:color w:val="000000"/>
                <w:sz w:val="24"/>
                <w:szCs w:val="24"/>
                <w:lang w:val="en-GB" w:eastAsia="it-IT"/>
              </w:rPr>
              <w:t>Koagulase</w:t>
            </w:r>
            <w:proofErr w:type="spellEnd"/>
            <w:r w:rsidRPr="00A61FA0">
              <w:rPr>
                <w:bCs/>
                <w:color w:val="000000"/>
                <w:sz w:val="24"/>
                <w:szCs w:val="24"/>
                <w:lang w:val="en-GB" w:eastAsia="it-IT"/>
              </w:rPr>
              <w:t xml:space="preserve">-negative </w:t>
            </w:r>
            <w:proofErr w:type="spellStart"/>
            <w:r w:rsidRPr="00A61FA0">
              <w:rPr>
                <w:bCs/>
                <w:color w:val="000000"/>
                <w:sz w:val="24"/>
                <w:szCs w:val="24"/>
                <w:lang w:val="en-GB" w:eastAsia="it-IT"/>
              </w:rPr>
              <w:t>stafylokokker</w:t>
            </w:r>
            <w:proofErr w:type="spellEnd"/>
          </w:p>
        </w:tc>
      </w:tr>
      <w:tr w:rsidR="00CE3CEF" w:rsidRPr="00A61FA0" w14:paraId="5D505E2F" w14:textId="77777777" w:rsidTr="00CE678E">
        <w:tc>
          <w:tcPr>
            <w:tcW w:w="4605" w:type="dxa"/>
            <w:tcBorders>
              <w:top w:val="single" w:sz="4" w:space="0" w:color="auto"/>
              <w:left w:val="single" w:sz="4" w:space="0" w:color="auto"/>
              <w:bottom w:val="single" w:sz="4" w:space="0" w:color="auto"/>
              <w:right w:val="single" w:sz="4" w:space="0" w:color="auto"/>
            </w:tcBorders>
            <w:hideMark/>
          </w:tcPr>
          <w:p w14:paraId="004B6243" w14:textId="77777777" w:rsidR="00CE3CEF" w:rsidRPr="00A61FA0" w:rsidRDefault="00CE3CEF" w:rsidP="008E30F6">
            <w:pPr>
              <w:keepNext/>
              <w:autoSpaceDE w:val="0"/>
              <w:autoSpaceDN w:val="0"/>
              <w:adjustRightInd w:val="0"/>
              <w:spacing w:after="240"/>
              <w:rPr>
                <w:rStyle w:val="Fremhv"/>
                <w:i w:val="0"/>
                <w:sz w:val="24"/>
                <w:szCs w:val="24"/>
              </w:rPr>
            </w:pPr>
            <w:proofErr w:type="spellStart"/>
            <w:r w:rsidRPr="00A61FA0">
              <w:rPr>
                <w:bCs/>
                <w:iCs/>
                <w:sz w:val="24"/>
                <w:szCs w:val="24"/>
                <w:lang w:val="en-GB"/>
              </w:rPr>
              <w:t>Arveligt</w:t>
            </w:r>
            <w:proofErr w:type="spellEnd"/>
            <w:r w:rsidRPr="00A61FA0">
              <w:rPr>
                <w:bCs/>
                <w:iCs/>
                <w:sz w:val="24"/>
                <w:szCs w:val="24"/>
                <w:lang w:val="en-GB"/>
              </w:rPr>
              <w:t xml:space="preserve"> </w:t>
            </w:r>
            <w:proofErr w:type="spellStart"/>
            <w:r w:rsidRPr="00A61FA0">
              <w:rPr>
                <w:bCs/>
                <w:iCs/>
                <w:sz w:val="24"/>
                <w:szCs w:val="24"/>
                <w:lang w:val="en-GB"/>
              </w:rPr>
              <w:t>resistente</w:t>
            </w:r>
            <w:proofErr w:type="spellEnd"/>
            <w:r w:rsidRPr="00A61FA0">
              <w:rPr>
                <w:bCs/>
                <w:iCs/>
                <w:sz w:val="24"/>
                <w:szCs w:val="24"/>
                <w:lang w:val="en-GB"/>
              </w:rPr>
              <w:t xml:space="preserve"> </w:t>
            </w:r>
            <w:proofErr w:type="spellStart"/>
            <w:r w:rsidRPr="00A61FA0">
              <w:rPr>
                <w:bCs/>
                <w:iCs/>
                <w:sz w:val="24"/>
                <w:szCs w:val="24"/>
                <w:lang w:val="en-GB"/>
              </w:rPr>
              <w:t>arter</w:t>
            </w:r>
            <w:proofErr w:type="spellEnd"/>
          </w:p>
        </w:tc>
        <w:tc>
          <w:tcPr>
            <w:tcW w:w="4183" w:type="dxa"/>
            <w:tcBorders>
              <w:top w:val="single" w:sz="4" w:space="0" w:color="auto"/>
              <w:left w:val="single" w:sz="4" w:space="0" w:color="auto"/>
              <w:bottom w:val="single" w:sz="4" w:space="0" w:color="auto"/>
              <w:right w:val="single" w:sz="4" w:space="0" w:color="auto"/>
            </w:tcBorders>
            <w:hideMark/>
          </w:tcPr>
          <w:p w14:paraId="67055FE8" w14:textId="77777777" w:rsidR="00CE3CEF" w:rsidRPr="00A61FA0" w:rsidRDefault="00CE3CEF" w:rsidP="008E30F6">
            <w:pPr>
              <w:keepNext/>
              <w:autoSpaceDE w:val="0"/>
              <w:autoSpaceDN w:val="0"/>
              <w:adjustRightInd w:val="0"/>
              <w:spacing w:after="240"/>
              <w:rPr>
                <w:bCs/>
                <w:color w:val="000000"/>
                <w:sz w:val="24"/>
                <w:szCs w:val="24"/>
                <w:lang w:eastAsia="it-IT"/>
              </w:rPr>
            </w:pPr>
            <w:proofErr w:type="spellStart"/>
            <w:r w:rsidRPr="00A61FA0">
              <w:rPr>
                <w:bCs/>
                <w:color w:val="000000"/>
                <w:sz w:val="24"/>
                <w:szCs w:val="24"/>
                <w:lang w:eastAsia="it-IT"/>
              </w:rPr>
              <w:t>Methicillin</w:t>
            </w:r>
            <w:proofErr w:type="spellEnd"/>
            <w:r w:rsidRPr="00A61FA0">
              <w:rPr>
                <w:bCs/>
                <w:color w:val="000000"/>
                <w:sz w:val="24"/>
                <w:szCs w:val="24"/>
                <w:lang w:eastAsia="it-IT"/>
              </w:rPr>
              <w:t>-resistente stafylokokker</w:t>
            </w:r>
          </w:p>
          <w:p w14:paraId="543D30A2" w14:textId="77777777" w:rsidR="00CE3CEF" w:rsidRPr="00A61FA0" w:rsidRDefault="00CE3CEF" w:rsidP="008E30F6">
            <w:pPr>
              <w:keepNext/>
              <w:autoSpaceDE w:val="0"/>
              <w:autoSpaceDN w:val="0"/>
              <w:adjustRightInd w:val="0"/>
              <w:spacing w:after="240"/>
              <w:rPr>
                <w:bCs/>
                <w:color w:val="000000"/>
                <w:sz w:val="24"/>
                <w:szCs w:val="24"/>
                <w:lang w:eastAsia="it-IT"/>
              </w:rPr>
            </w:pPr>
            <w:proofErr w:type="spellStart"/>
            <w:r w:rsidRPr="00A61FA0">
              <w:rPr>
                <w:bCs/>
                <w:color w:val="000000"/>
                <w:sz w:val="24"/>
                <w:szCs w:val="24"/>
                <w:lang w:eastAsia="it-IT"/>
              </w:rPr>
              <w:t>Enterokokker</w:t>
            </w:r>
            <w:proofErr w:type="spellEnd"/>
          </w:p>
          <w:p w14:paraId="4A7F878D" w14:textId="77777777" w:rsidR="00CE3CEF" w:rsidRPr="00A61FA0" w:rsidRDefault="00CE3CEF" w:rsidP="008E30F6">
            <w:pPr>
              <w:keepNext/>
              <w:autoSpaceDE w:val="0"/>
              <w:autoSpaceDN w:val="0"/>
              <w:adjustRightInd w:val="0"/>
              <w:spacing w:after="240"/>
              <w:rPr>
                <w:bCs/>
                <w:color w:val="000000"/>
                <w:sz w:val="24"/>
                <w:szCs w:val="24"/>
                <w:lang w:eastAsia="it-IT"/>
              </w:rPr>
            </w:pPr>
            <w:r w:rsidRPr="00A61FA0">
              <w:rPr>
                <w:bCs/>
                <w:color w:val="000000"/>
                <w:sz w:val="24"/>
                <w:szCs w:val="24"/>
                <w:lang w:eastAsia="it-IT"/>
              </w:rPr>
              <w:t>Gramnegative bakterier</w:t>
            </w:r>
          </w:p>
          <w:p w14:paraId="197FF7C1" w14:textId="77777777" w:rsidR="00CE3CEF" w:rsidRPr="00A61FA0" w:rsidRDefault="00CE3CEF" w:rsidP="008E30F6">
            <w:pPr>
              <w:keepNext/>
              <w:autoSpaceDE w:val="0"/>
              <w:autoSpaceDN w:val="0"/>
              <w:adjustRightInd w:val="0"/>
              <w:spacing w:after="240"/>
              <w:rPr>
                <w:i/>
                <w:iCs/>
                <w:color w:val="000000"/>
                <w:sz w:val="24"/>
                <w:szCs w:val="24"/>
                <w:lang w:val="en-GB" w:eastAsia="it-IT"/>
              </w:rPr>
            </w:pPr>
            <w:r w:rsidRPr="00A61FA0">
              <w:rPr>
                <w:bCs/>
                <w:i/>
                <w:color w:val="000000"/>
                <w:sz w:val="24"/>
                <w:szCs w:val="24"/>
                <w:lang w:val="en-GB" w:eastAsia="it-IT"/>
              </w:rPr>
              <w:t>Clostridium difficile</w:t>
            </w:r>
          </w:p>
        </w:tc>
      </w:tr>
    </w:tbl>
    <w:p w14:paraId="6F3A1E51" w14:textId="77777777" w:rsidR="00CE3CEF" w:rsidRPr="00A61FA0" w:rsidRDefault="00CE3CEF" w:rsidP="00CE678E">
      <w:pPr>
        <w:suppressAutoHyphens/>
        <w:ind w:left="851"/>
        <w:rPr>
          <w:bCs/>
          <w:sz w:val="24"/>
          <w:szCs w:val="24"/>
        </w:rPr>
      </w:pPr>
    </w:p>
    <w:p w14:paraId="23AA0330" w14:textId="77777777" w:rsidR="00CE3CEF" w:rsidRPr="00A61FA0" w:rsidRDefault="00CE3CEF" w:rsidP="00CE678E">
      <w:pPr>
        <w:suppressAutoHyphens/>
        <w:ind w:left="851"/>
        <w:rPr>
          <w:bCs/>
          <w:sz w:val="24"/>
          <w:szCs w:val="24"/>
        </w:rPr>
      </w:pPr>
      <w:r w:rsidRPr="00A61FA0">
        <w:rPr>
          <w:bCs/>
          <w:sz w:val="24"/>
          <w:szCs w:val="24"/>
        </w:rPr>
        <w:t xml:space="preserve">Resistens er almindeligt (ca. 40 %) hos </w:t>
      </w:r>
      <w:proofErr w:type="spellStart"/>
      <w:r w:rsidRPr="00A61FA0">
        <w:rPr>
          <w:bCs/>
          <w:sz w:val="24"/>
          <w:szCs w:val="24"/>
        </w:rPr>
        <w:t>koagulase</w:t>
      </w:r>
      <w:proofErr w:type="spellEnd"/>
      <w:r w:rsidRPr="00A61FA0">
        <w:rPr>
          <w:bCs/>
          <w:sz w:val="24"/>
          <w:szCs w:val="24"/>
        </w:rPr>
        <w:t xml:space="preserve">-negative stafylokokker på grund af </w:t>
      </w:r>
      <w:proofErr w:type="spellStart"/>
      <w:r w:rsidRPr="00A61FA0">
        <w:rPr>
          <w:bCs/>
          <w:sz w:val="24"/>
          <w:szCs w:val="24"/>
        </w:rPr>
        <w:t>methicillin</w:t>
      </w:r>
      <w:proofErr w:type="spellEnd"/>
      <w:r w:rsidRPr="00A61FA0">
        <w:rPr>
          <w:bCs/>
          <w:sz w:val="24"/>
          <w:szCs w:val="24"/>
        </w:rPr>
        <w:t xml:space="preserve">-resistens. Streptokokker og </w:t>
      </w:r>
      <w:proofErr w:type="spellStart"/>
      <w:r w:rsidRPr="00A61FA0">
        <w:rPr>
          <w:bCs/>
          <w:sz w:val="24"/>
          <w:szCs w:val="24"/>
        </w:rPr>
        <w:t>pneumokokker</w:t>
      </w:r>
      <w:proofErr w:type="spellEnd"/>
      <w:r w:rsidRPr="00A61FA0">
        <w:rPr>
          <w:bCs/>
          <w:sz w:val="24"/>
          <w:szCs w:val="24"/>
        </w:rPr>
        <w:t xml:space="preserve"> er mere følsomme for </w:t>
      </w:r>
      <w:proofErr w:type="spellStart"/>
      <w:r w:rsidRPr="00A61FA0">
        <w:rPr>
          <w:bCs/>
          <w:sz w:val="24"/>
          <w:szCs w:val="24"/>
        </w:rPr>
        <w:t>benzylpenicillin</w:t>
      </w:r>
      <w:proofErr w:type="spellEnd"/>
      <w:r w:rsidRPr="00A61FA0">
        <w:rPr>
          <w:bCs/>
          <w:sz w:val="24"/>
          <w:szCs w:val="24"/>
        </w:rPr>
        <w:t xml:space="preserve"> og penicillin V, end for </w:t>
      </w:r>
      <w:proofErr w:type="spellStart"/>
      <w:r w:rsidRPr="00A61FA0">
        <w:rPr>
          <w:bCs/>
          <w:sz w:val="24"/>
          <w:szCs w:val="24"/>
        </w:rPr>
        <w:t>cloxacillin</w:t>
      </w:r>
      <w:proofErr w:type="spellEnd"/>
      <w:r w:rsidRPr="00A61FA0">
        <w:rPr>
          <w:bCs/>
          <w:sz w:val="24"/>
          <w:szCs w:val="24"/>
        </w:rPr>
        <w:t>.</w:t>
      </w:r>
    </w:p>
    <w:p w14:paraId="4C49025B" w14:textId="77777777" w:rsidR="00CE3CEF" w:rsidRPr="00A61FA0" w:rsidRDefault="00CE3CEF" w:rsidP="00CE678E">
      <w:pPr>
        <w:suppressAutoHyphens/>
        <w:ind w:left="851"/>
        <w:rPr>
          <w:bCs/>
          <w:sz w:val="24"/>
          <w:szCs w:val="24"/>
          <w:u w:val="single"/>
        </w:rPr>
      </w:pPr>
    </w:p>
    <w:p w14:paraId="27EC468F" w14:textId="77777777" w:rsidR="00CE3CEF" w:rsidRPr="00C93A4B" w:rsidRDefault="00CE3CEF" w:rsidP="00C93A4B">
      <w:pPr>
        <w:ind w:left="851"/>
        <w:rPr>
          <w:sz w:val="24"/>
          <w:szCs w:val="24"/>
          <w:u w:val="single"/>
        </w:rPr>
      </w:pPr>
      <w:r w:rsidRPr="00C93A4B">
        <w:rPr>
          <w:sz w:val="24"/>
          <w:szCs w:val="24"/>
          <w:u w:val="single"/>
        </w:rPr>
        <w:t>Resistensmekanisme</w:t>
      </w:r>
    </w:p>
    <w:p w14:paraId="2E5BAC33" w14:textId="77777777" w:rsidR="00CE3CEF" w:rsidRPr="00A61FA0" w:rsidRDefault="00CE3CEF" w:rsidP="00CE678E">
      <w:pPr>
        <w:suppressAutoHyphens/>
        <w:ind w:left="851"/>
        <w:rPr>
          <w:bCs/>
          <w:sz w:val="24"/>
          <w:szCs w:val="24"/>
        </w:rPr>
      </w:pPr>
      <w:r w:rsidRPr="00A61FA0">
        <w:rPr>
          <w:bCs/>
          <w:sz w:val="24"/>
          <w:szCs w:val="24"/>
        </w:rPr>
        <w:t xml:space="preserve">Resistens mod </w:t>
      </w:r>
      <w:proofErr w:type="spellStart"/>
      <w:r w:rsidRPr="00A61FA0">
        <w:rPr>
          <w:bCs/>
          <w:sz w:val="24"/>
          <w:szCs w:val="24"/>
        </w:rPr>
        <w:t>isoxazolylpenicilliner</w:t>
      </w:r>
      <w:proofErr w:type="spellEnd"/>
      <w:r w:rsidRPr="00A61FA0">
        <w:rPr>
          <w:bCs/>
          <w:sz w:val="24"/>
          <w:szCs w:val="24"/>
        </w:rPr>
        <w:t xml:space="preserve"> (såkaldt </w:t>
      </w:r>
      <w:proofErr w:type="spellStart"/>
      <w:r w:rsidRPr="00A61FA0">
        <w:rPr>
          <w:bCs/>
          <w:sz w:val="24"/>
          <w:szCs w:val="24"/>
        </w:rPr>
        <w:t>methicillin</w:t>
      </w:r>
      <w:proofErr w:type="spellEnd"/>
      <w:r w:rsidRPr="00A61FA0">
        <w:rPr>
          <w:bCs/>
          <w:sz w:val="24"/>
          <w:szCs w:val="24"/>
        </w:rPr>
        <w:t>-resistens) forårsages af produktionen af et ændret penicillinbindende protein i bakterien. Krydsresistens forekommer hos beta-</w:t>
      </w:r>
      <w:proofErr w:type="spellStart"/>
      <w:r w:rsidRPr="00A61FA0">
        <w:rPr>
          <w:bCs/>
          <w:sz w:val="24"/>
          <w:szCs w:val="24"/>
        </w:rPr>
        <w:t>lactam</w:t>
      </w:r>
      <w:proofErr w:type="spellEnd"/>
      <w:r w:rsidRPr="00A61FA0">
        <w:rPr>
          <w:bCs/>
          <w:sz w:val="24"/>
          <w:szCs w:val="24"/>
        </w:rPr>
        <w:t xml:space="preserve">-gruppen (penicilliner og </w:t>
      </w:r>
      <w:proofErr w:type="spellStart"/>
      <w:r w:rsidRPr="00A61FA0">
        <w:rPr>
          <w:bCs/>
          <w:sz w:val="24"/>
          <w:szCs w:val="24"/>
        </w:rPr>
        <w:t>cefalosporiner</w:t>
      </w:r>
      <w:proofErr w:type="spellEnd"/>
      <w:r w:rsidRPr="00A61FA0">
        <w:rPr>
          <w:bCs/>
          <w:sz w:val="24"/>
          <w:szCs w:val="24"/>
        </w:rPr>
        <w:t xml:space="preserve">). </w:t>
      </w:r>
      <w:proofErr w:type="spellStart"/>
      <w:r w:rsidRPr="00A61FA0">
        <w:rPr>
          <w:bCs/>
          <w:sz w:val="24"/>
          <w:szCs w:val="24"/>
        </w:rPr>
        <w:t>Methicillin</w:t>
      </w:r>
      <w:proofErr w:type="spellEnd"/>
      <w:r w:rsidRPr="00A61FA0">
        <w:rPr>
          <w:bCs/>
          <w:sz w:val="24"/>
          <w:szCs w:val="24"/>
        </w:rPr>
        <w:t>-resistente stafylokokker har generelt lav følsomhed overfor alle beta-</w:t>
      </w:r>
      <w:proofErr w:type="spellStart"/>
      <w:r w:rsidRPr="00A61FA0">
        <w:rPr>
          <w:bCs/>
          <w:sz w:val="24"/>
          <w:szCs w:val="24"/>
        </w:rPr>
        <w:t>lactam</w:t>
      </w:r>
      <w:proofErr w:type="spellEnd"/>
      <w:r w:rsidRPr="00A61FA0">
        <w:rPr>
          <w:bCs/>
          <w:sz w:val="24"/>
          <w:szCs w:val="24"/>
        </w:rPr>
        <w:t>-antibiotika.</w:t>
      </w:r>
    </w:p>
    <w:p w14:paraId="0DE9E89D" w14:textId="77777777" w:rsidR="00CE3CEF" w:rsidRPr="00A61FA0" w:rsidRDefault="00CE3CEF" w:rsidP="00CE678E">
      <w:pPr>
        <w:suppressAutoHyphens/>
        <w:ind w:left="851"/>
        <w:rPr>
          <w:bCs/>
          <w:sz w:val="24"/>
          <w:szCs w:val="24"/>
          <w:u w:val="single"/>
        </w:rPr>
      </w:pPr>
    </w:p>
    <w:p w14:paraId="618D7878" w14:textId="77777777" w:rsidR="00CE3CEF" w:rsidRPr="00C93A4B" w:rsidRDefault="00CE3CEF" w:rsidP="00C93A4B">
      <w:pPr>
        <w:ind w:left="851"/>
        <w:rPr>
          <w:sz w:val="24"/>
          <w:szCs w:val="24"/>
          <w:u w:val="single"/>
        </w:rPr>
      </w:pPr>
      <w:r w:rsidRPr="00C93A4B">
        <w:rPr>
          <w:sz w:val="24"/>
          <w:szCs w:val="24"/>
          <w:u w:val="single"/>
        </w:rPr>
        <w:t>Resistensudvikling</w:t>
      </w:r>
    </w:p>
    <w:p w14:paraId="0B537E98" w14:textId="77777777" w:rsidR="00CE3CEF" w:rsidRPr="00A61FA0" w:rsidRDefault="00CE3CEF" w:rsidP="00CE678E">
      <w:pPr>
        <w:suppressAutoHyphens/>
        <w:ind w:left="851"/>
        <w:rPr>
          <w:bCs/>
          <w:sz w:val="24"/>
          <w:szCs w:val="24"/>
        </w:rPr>
      </w:pPr>
      <w:r w:rsidRPr="00A61FA0">
        <w:rPr>
          <w:bCs/>
          <w:sz w:val="24"/>
          <w:szCs w:val="24"/>
        </w:rPr>
        <w:t xml:space="preserve">I Skandinavien er resistens mod </w:t>
      </w:r>
      <w:proofErr w:type="spellStart"/>
      <w:r w:rsidRPr="00A61FA0">
        <w:rPr>
          <w:bCs/>
          <w:sz w:val="24"/>
          <w:szCs w:val="24"/>
        </w:rPr>
        <w:t>isoxazolylpenicilliner</w:t>
      </w:r>
      <w:proofErr w:type="spellEnd"/>
      <w:r w:rsidRPr="00A61FA0">
        <w:rPr>
          <w:bCs/>
          <w:sz w:val="24"/>
          <w:szCs w:val="24"/>
        </w:rPr>
        <w:t xml:space="preserve"> sjældent hos </w:t>
      </w:r>
      <w:proofErr w:type="spellStart"/>
      <w:r w:rsidRPr="00A61FA0">
        <w:rPr>
          <w:bCs/>
          <w:i/>
          <w:sz w:val="24"/>
          <w:szCs w:val="24"/>
        </w:rPr>
        <w:t>Staphyloccoccus</w:t>
      </w:r>
      <w:proofErr w:type="spellEnd"/>
      <w:r w:rsidRPr="00A61FA0">
        <w:rPr>
          <w:bCs/>
          <w:i/>
          <w:sz w:val="24"/>
          <w:szCs w:val="24"/>
        </w:rPr>
        <w:t xml:space="preserve"> aureus</w:t>
      </w:r>
      <w:r w:rsidRPr="00A61FA0">
        <w:rPr>
          <w:bCs/>
          <w:sz w:val="24"/>
          <w:szCs w:val="24"/>
        </w:rPr>
        <w:t xml:space="preserve">, men almindeligt hos </w:t>
      </w:r>
      <w:proofErr w:type="spellStart"/>
      <w:r w:rsidRPr="00A61FA0">
        <w:rPr>
          <w:bCs/>
          <w:sz w:val="24"/>
          <w:szCs w:val="24"/>
        </w:rPr>
        <w:t>koagulase</w:t>
      </w:r>
      <w:proofErr w:type="spellEnd"/>
      <w:r w:rsidRPr="00A61FA0">
        <w:rPr>
          <w:bCs/>
          <w:sz w:val="24"/>
          <w:szCs w:val="24"/>
        </w:rPr>
        <w:t xml:space="preserve">-negative stafylokokker. </w:t>
      </w:r>
      <w:proofErr w:type="spellStart"/>
      <w:r w:rsidRPr="00A61FA0">
        <w:rPr>
          <w:bCs/>
          <w:sz w:val="24"/>
          <w:szCs w:val="24"/>
        </w:rPr>
        <w:t>Methicillin</w:t>
      </w:r>
      <w:proofErr w:type="spellEnd"/>
      <w:r w:rsidRPr="00A61FA0">
        <w:rPr>
          <w:bCs/>
          <w:sz w:val="24"/>
          <w:szCs w:val="24"/>
        </w:rPr>
        <w:t xml:space="preserve"> resistente </w:t>
      </w:r>
      <w:proofErr w:type="spellStart"/>
      <w:r w:rsidRPr="00A61FA0">
        <w:rPr>
          <w:bCs/>
          <w:i/>
          <w:sz w:val="24"/>
          <w:szCs w:val="24"/>
        </w:rPr>
        <w:t>Staphyloccoccus</w:t>
      </w:r>
      <w:proofErr w:type="spellEnd"/>
      <w:r w:rsidRPr="00A61FA0">
        <w:rPr>
          <w:bCs/>
          <w:i/>
          <w:sz w:val="24"/>
          <w:szCs w:val="24"/>
        </w:rPr>
        <w:t xml:space="preserve"> aureus </w:t>
      </w:r>
      <w:r w:rsidRPr="00A61FA0">
        <w:rPr>
          <w:bCs/>
          <w:sz w:val="24"/>
          <w:szCs w:val="24"/>
        </w:rPr>
        <w:t>(MRSA) er almindelige i nogle dele af Europa.</w:t>
      </w:r>
    </w:p>
    <w:p w14:paraId="1D2C4F62" w14:textId="77777777" w:rsidR="00CE3CEF" w:rsidRPr="00A61FA0" w:rsidRDefault="00CE3CEF" w:rsidP="00CE678E">
      <w:pPr>
        <w:suppressAutoHyphens/>
        <w:ind w:left="851"/>
        <w:rPr>
          <w:bCs/>
          <w:sz w:val="24"/>
          <w:szCs w:val="24"/>
        </w:rPr>
      </w:pPr>
    </w:p>
    <w:p w14:paraId="47EE24FD" w14:textId="77777777" w:rsidR="00CE3CEF" w:rsidRPr="00A61FA0" w:rsidRDefault="00CE3CEF" w:rsidP="00CE678E">
      <w:pPr>
        <w:suppressAutoHyphens/>
        <w:ind w:left="851"/>
        <w:rPr>
          <w:bCs/>
          <w:sz w:val="24"/>
          <w:szCs w:val="24"/>
        </w:rPr>
      </w:pPr>
      <w:r w:rsidRPr="00A61FA0">
        <w:rPr>
          <w:bCs/>
          <w:sz w:val="24"/>
          <w:szCs w:val="24"/>
        </w:rPr>
        <w:t xml:space="preserve">Penicillin-resistente </w:t>
      </w:r>
      <w:proofErr w:type="spellStart"/>
      <w:r w:rsidRPr="00A61FA0">
        <w:rPr>
          <w:bCs/>
          <w:sz w:val="24"/>
          <w:szCs w:val="24"/>
        </w:rPr>
        <w:t>pneumokokker</w:t>
      </w:r>
      <w:proofErr w:type="spellEnd"/>
      <w:r w:rsidRPr="00A61FA0">
        <w:rPr>
          <w:bCs/>
          <w:sz w:val="24"/>
          <w:szCs w:val="24"/>
        </w:rPr>
        <w:t xml:space="preserve"> er resistente mod </w:t>
      </w:r>
      <w:proofErr w:type="spellStart"/>
      <w:r w:rsidRPr="00A61FA0">
        <w:rPr>
          <w:bCs/>
          <w:sz w:val="24"/>
          <w:szCs w:val="24"/>
        </w:rPr>
        <w:t>cloxacillin</w:t>
      </w:r>
      <w:proofErr w:type="spellEnd"/>
      <w:r w:rsidRPr="00A61FA0">
        <w:rPr>
          <w:bCs/>
          <w:sz w:val="24"/>
          <w:szCs w:val="24"/>
        </w:rPr>
        <w:t>. Disse stammer er ikke almindelige i Skandinavien, men er almindelige i nogle dele af Europa.</w:t>
      </w:r>
    </w:p>
    <w:p w14:paraId="160DD534" w14:textId="77777777" w:rsidR="00CE3CEF" w:rsidRPr="00A61FA0" w:rsidRDefault="00CE3CEF" w:rsidP="00CE678E">
      <w:pPr>
        <w:suppressAutoHyphens/>
        <w:ind w:left="851"/>
        <w:rPr>
          <w:bCs/>
          <w:sz w:val="24"/>
          <w:szCs w:val="24"/>
        </w:rPr>
      </w:pPr>
    </w:p>
    <w:p w14:paraId="2BB8F6D2" w14:textId="77777777" w:rsidR="00CE3CEF" w:rsidRPr="00A61FA0" w:rsidRDefault="00CE3CEF" w:rsidP="00CE678E">
      <w:pPr>
        <w:suppressAutoHyphens/>
        <w:ind w:left="851"/>
        <w:rPr>
          <w:bCs/>
          <w:sz w:val="24"/>
          <w:szCs w:val="24"/>
        </w:rPr>
      </w:pPr>
      <w:r w:rsidRPr="00A61FA0">
        <w:rPr>
          <w:bCs/>
          <w:sz w:val="24"/>
          <w:szCs w:val="24"/>
        </w:rPr>
        <w:t>Forekomsten af opnået resistens kan variere geografisk, og lokale mikrobiologiske laboratorier bør konsulteres omkring lokal resistens.</w:t>
      </w:r>
    </w:p>
    <w:p w14:paraId="588D752A" w14:textId="77777777" w:rsidR="009260DE" w:rsidRPr="00A61FA0" w:rsidRDefault="009260DE" w:rsidP="009260DE">
      <w:pPr>
        <w:tabs>
          <w:tab w:val="left" w:pos="851"/>
        </w:tabs>
        <w:ind w:left="851"/>
        <w:rPr>
          <w:sz w:val="24"/>
          <w:szCs w:val="24"/>
        </w:rPr>
      </w:pPr>
    </w:p>
    <w:p w14:paraId="45D4AAE4" w14:textId="77777777" w:rsidR="009260DE" w:rsidRPr="00A61FA0" w:rsidRDefault="009260DE" w:rsidP="009260DE">
      <w:pPr>
        <w:tabs>
          <w:tab w:val="left" w:pos="851"/>
        </w:tabs>
        <w:ind w:left="851" w:hanging="851"/>
        <w:rPr>
          <w:b/>
          <w:sz w:val="24"/>
          <w:szCs w:val="24"/>
        </w:rPr>
      </w:pPr>
      <w:r w:rsidRPr="00A61FA0">
        <w:rPr>
          <w:b/>
          <w:sz w:val="24"/>
          <w:szCs w:val="24"/>
        </w:rPr>
        <w:t>5.2</w:t>
      </w:r>
      <w:r w:rsidRPr="00A61FA0">
        <w:rPr>
          <w:b/>
          <w:sz w:val="24"/>
          <w:szCs w:val="24"/>
        </w:rPr>
        <w:tab/>
      </w:r>
      <w:proofErr w:type="spellStart"/>
      <w:r w:rsidRPr="00A61FA0">
        <w:rPr>
          <w:b/>
          <w:sz w:val="24"/>
          <w:szCs w:val="24"/>
        </w:rPr>
        <w:t>Farmakokinetiske</w:t>
      </w:r>
      <w:proofErr w:type="spellEnd"/>
      <w:r w:rsidRPr="00A61FA0">
        <w:rPr>
          <w:b/>
          <w:sz w:val="24"/>
          <w:szCs w:val="24"/>
        </w:rPr>
        <w:t xml:space="preserve"> egenskaber</w:t>
      </w:r>
    </w:p>
    <w:p w14:paraId="6FD9F997" w14:textId="77777777" w:rsidR="00CE3CEF" w:rsidRPr="00A61FA0" w:rsidRDefault="00CE3CEF" w:rsidP="00CE678E">
      <w:pPr>
        <w:suppressAutoHyphens/>
        <w:ind w:left="851"/>
        <w:rPr>
          <w:sz w:val="24"/>
          <w:szCs w:val="24"/>
        </w:rPr>
      </w:pPr>
      <w:r w:rsidRPr="00A61FA0">
        <w:rPr>
          <w:sz w:val="24"/>
          <w:szCs w:val="24"/>
        </w:rPr>
        <w:t xml:space="preserve">Den biologiske halveringstid i serum er omkring 30 minutter og bindingen til proteiner i serum er ca. 94 %. </w:t>
      </w:r>
      <w:proofErr w:type="spellStart"/>
      <w:r w:rsidRPr="00A61FA0">
        <w:rPr>
          <w:sz w:val="24"/>
          <w:szCs w:val="24"/>
        </w:rPr>
        <w:t>Cloxacillin</w:t>
      </w:r>
      <w:proofErr w:type="spellEnd"/>
      <w:r w:rsidRPr="00A61FA0">
        <w:rPr>
          <w:sz w:val="24"/>
          <w:szCs w:val="24"/>
        </w:rPr>
        <w:t xml:space="preserve"> elimineres hovedsagelig gennem nyrerne via </w:t>
      </w:r>
      <w:proofErr w:type="spellStart"/>
      <w:r w:rsidRPr="00A61FA0">
        <w:rPr>
          <w:sz w:val="24"/>
          <w:szCs w:val="24"/>
        </w:rPr>
        <w:t>tubulær</w:t>
      </w:r>
      <w:proofErr w:type="spellEnd"/>
      <w:r w:rsidRPr="00A61FA0">
        <w:rPr>
          <w:sz w:val="24"/>
          <w:szCs w:val="24"/>
        </w:rPr>
        <w:t xml:space="preserve"> sekretion og </w:t>
      </w:r>
      <w:proofErr w:type="spellStart"/>
      <w:r w:rsidRPr="00A61FA0">
        <w:rPr>
          <w:sz w:val="24"/>
          <w:szCs w:val="24"/>
        </w:rPr>
        <w:t>glomerulær</w:t>
      </w:r>
      <w:proofErr w:type="spellEnd"/>
      <w:r w:rsidRPr="00A61FA0">
        <w:rPr>
          <w:sz w:val="24"/>
          <w:szCs w:val="24"/>
        </w:rPr>
        <w:t xml:space="preserve"> udskillelse. I løbet af 6 timer er 30</w:t>
      </w:r>
      <w:r w:rsidRPr="00A61FA0">
        <w:rPr>
          <w:sz w:val="24"/>
          <w:szCs w:val="24"/>
        </w:rPr>
        <w:noBreakHyphen/>
        <w:t>50 % af oral dosis udskilt i urinen.</w:t>
      </w:r>
    </w:p>
    <w:p w14:paraId="23ACE482" w14:textId="77777777" w:rsidR="009260DE" w:rsidRPr="00A61FA0" w:rsidRDefault="009260DE" w:rsidP="009260DE">
      <w:pPr>
        <w:tabs>
          <w:tab w:val="left" w:pos="851"/>
        </w:tabs>
        <w:ind w:left="851"/>
        <w:rPr>
          <w:sz w:val="24"/>
          <w:szCs w:val="24"/>
        </w:rPr>
      </w:pPr>
    </w:p>
    <w:p w14:paraId="3AC70F11" w14:textId="77777777" w:rsidR="009260DE" w:rsidRPr="00A61FA0" w:rsidRDefault="009260DE" w:rsidP="009260DE">
      <w:pPr>
        <w:tabs>
          <w:tab w:val="left" w:pos="851"/>
        </w:tabs>
        <w:ind w:left="851" w:hanging="851"/>
        <w:rPr>
          <w:b/>
          <w:sz w:val="24"/>
          <w:szCs w:val="24"/>
        </w:rPr>
      </w:pPr>
      <w:r w:rsidRPr="00A61FA0">
        <w:rPr>
          <w:b/>
          <w:sz w:val="24"/>
          <w:szCs w:val="24"/>
        </w:rPr>
        <w:t>5.3</w:t>
      </w:r>
      <w:r w:rsidRPr="00A61FA0">
        <w:rPr>
          <w:b/>
          <w:sz w:val="24"/>
          <w:szCs w:val="24"/>
        </w:rPr>
        <w:tab/>
      </w:r>
      <w:r w:rsidR="00BD7931" w:rsidRPr="00A61FA0">
        <w:rPr>
          <w:b/>
          <w:sz w:val="24"/>
          <w:szCs w:val="24"/>
        </w:rPr>
        <w:t>Non-</w:t>
      </w:r>
      <w:r w:rsidRPr="00A61FA0">
        <w:rPr>
          <w:b/>
          <w:sz w:val="24"/>
          <w:szCs w:val="24"/>
        </w:rPr>
        <w:t>kliniske sikkerhedsdata</w:t>
      </w:r>
    </w:p>
    <w:p w14:paraId="6BCF92B6" w14:textId="77777777" w:rsidR="00CE3CEF" w:rsidRPr="00A61FA0" w:rsidRDefault="00CE3CEF" w:rsidP="00CE678E">
      <w:pPr>
        <w:numPr>
          <w:ilvl w:val="12"/>
          <w:numId w:val="0"/>
        </w:numPr>
        <w:ind w:left="851" w:right="11"/>
        <w:rPr>
          <w:sz w:val="24"/>
          <w:szCs w:val="24"/>
        </w:rPr>
      </w:pPr>
      <w:r w:rsidRPr="00A61FA0">
        <w:rPr>
          <w:sz w:val="24"/>
          <w:szCs w:val="24"/>
        </w:rPr>
        <w:t>Der foreligger ingen relevante non-klinisk data vedrørende sikkerhed.</w:t>
      </w:r>
    </w:p>
    <w:p w14:paraId="04C2D02A" w14:textId="77777777" w:rsidR="009260DE" w:rsidRPr="00A61FA0" w:rsidRDefault="009260DE" w:rsidP="009260DE">
      <w:pPr>
        <w:tabs>
          <w:tab w:val="left" w:pos="851"/>
        </w:tabs>
        <w:ind w:left="851"/>
        <w:rPr>
          <w:sz w:val="24"/>
          <w:szCs w:val="24"/>
        </w:rPr>
      </w:pPr>
    </w:p>
    <w:p w14:paraId="40B89A93" w14:textId="77777777" w:rsidR="009260DE" w:rsidRPr="00A61FA0" w:rsidRDefault="009260DE" w:rsidP="009260DE">
      <w:pPr>
        <w:tabs>
          <w:tab w:val="left" w:pos="851"/>
        </w:tabs>
        <w:ind w:left="851"/>
        <w:rPr>
          <w:sz w:val="24"/>
          <w:szCs w:val="24"/>
        </w:rPr>
      </w:pPr>
    </w:p>
    <w:p w14:paraId="050ECB09" w14:textId="77777777" w:rsidR="009260DE" w:rsidRPr="00A61FA0" w:rsidRDefault="009260DE" w:rsidP="009260DE">
      <w:pPr>
        <w:tabs>
          <w:tab w:val="left" w:pos="851"/>
        </w:tabs>
        <w:ind w:left="851" w:hanging="851"/>
        <w:rPr>
          <w:b/>
          <w:sz w:val="24"/>
          <w:szCs w:val="24"/>
        </w:rPr>
      </w:pPr>
      <w:r w:rsidRPr="00A61FA0">
        <w:rPr>
          <w:b/>
          <w:sz w:val="24"/>
          <w:szCs w:val="24"/>
        </w:rPr>
        <w:t>6.</w:t>
      </w:r>
      <w:r w:rsidRPr="00A61FA0">
        <w:rPr>
          <w:b/>
          <w:sz w:val="24"/>
          <w:szCs w:val="24"/>
        </w:rPr>
        <w:tab/>
        <w:t>FARMACEUTISKE OPLYSNINGER</w:t>
      </w:r>
    </w:p>
    <w:p w14:paraId="238FD364" w14:textId="77777777" w:rsidR="009260DE" w:rsidRPr="00A61FA0" w:rsidRDefault="009260DE" w:rsidP="009260DE">
      <w:pPr>
        <w:tabs>
          <w:tab w:val="left" w:pos="851"/>
        </w:tabs>
        <w:ind w:left="851"/>
        <w:rPr>
          <w:sz w:val="24"/>
          <w:szCs w:val="24"/>
        </w:rPr>
      </w:pPr>
    </w:p>
    <w:p w14:paraId="5FAD62DE" w14:textId="77777777" w:rsidR="009260DE" w:rsidRPr="00A61FA0" w:rsidRDefault="009260DE" w:rsidP="009260DE">
      <w:pPr>
        <w:tabs>
          <w:tab w:val="left" w:pos="851"/>
        </w:tabs>
        <w:ind w:left="851" w:hanging="851"/>
        <w:rPr>
          <w:b/>
          <w:sz w:val="24"/>
          <w:szCs w:val="24"/>
        </w:rPr>
      </w:pPr>
      <w:r w:rsidRPr="00A61FA0">
        <w:rPr>
          <w:b/>
          <w:sz w:val="24"/>
          <w:szCs w:val="24"/>
        </w:rPr>
        <w:t>6.1</w:t>
      </w:r>
      <w:r w:rsidRPr="00A61FA0">
        <w:rPr>
          <w:b/>
          <w:sz w:val="24"/>
          <w:szCs w:val="24"/>
        </w:rPr>
        <w:tab/>
        <w:t>Hjælpestoffer</w:t>
      </w:r>
    </w:p>
    <w:p w14:paraId="704E0155" w14:textId="77777777" w:rsidR="00CE3CEF" w:rsidRPr="00A61FA0" w:rsidRDefault="00CE3CEF" w:rsidP="00CE678E">
      <w:pPr>
        <w:ind w:left="851"/>
        <w:rPr>
          <w:sz w:val="24"/>
          <w:szCs w:val="24"/>
        </w:rPr>
      </w:pPr>
      <w:r w:rsidRPr="00A61FA0">
        <w:rPr>
          <w:sz w:val="24"/>
          <w:szCs w:val="24"/>
        </w:rPr>
        <w:t>Ingen.</w:t>
      </w:r>
    </w:p>
    <w:p w14:paraId="11FE6304" w14:textId="77777777" w:rsidR="009260DE" w:rsidRPr="00A61FA0" w:rsidRDefault="009260DE" w:rsidP="009260DE">
      <w:pPr>
        <w:tabs>
          <w:tab w:val="left" w:pos="851"/>
        </w:tabs>
        <w:ind w:left="851"/>
        <w:rPr>
          <w:sz w:val="24"/>
          <w:szCs w:val="24"/>
        </w:rPr>
      </w:pPr>
    </w:p>
    <w:p w14:paraId="67294E44" w14:textId="77777777" w:rsidR="009260DE" w:rsidRPr="00A61FA0" w:rsidRDefault="009260DE" w:rsidP="009260DE">
      <w:pPr>
        <w:tabs>
          <w:tab w:val="left" w:pos="851"/>
        </w:tabs>
        <w:ind w:left="851" w:hanging="851"/>
        <w:rPr>
          <w:b/>
          <w:sz w:val="24"/>
          <w:szCs w:val="24"/>
        </w:rPr>
      </w:pPr>
      <w:r w:rsidRPr="00A61FA0">
        <w:rPr>
          <w:b/>
          <w:sz w:val="24"/>
          <w:szCs w:val="24"/>
        </w:rPr>
        <w:t>6.2</w:t>
      </w:r>
      <w:r w:rsidRPr="00A61FA0">
        <w:rPr>
          <w:b/>
          <w:sz w:val="24"/>
          <w:szCs w:val="24"/>
        </w:rPr>
        <w:tab/>
        <w:t>Uforligeligheder</w:t>
      </w:r>
    </w:p>
    <w:p w14:paraId="4E1A6B96" w14:textId="77777777" w:rsidR="00CE3CEF" w:rsidRPr="00A61FA0" w:rsidRDefault="00CE3CEF" w:rsidP="00CE678E">
      <w:pPr>
        <w:ind w:left="851"/>
        <w:rPr>
          <w:sz w:val="24"/>
          <w:szCs w:val="24"/>
        </w:rPr>
      </w:pPr>
      <w:r w:rsidRPr="00A61FA0">
        <w:rPr>
          <w:sz w:val="24"/>
          <w:szCs w:val="24"/>
        </w:rPr>
        <w:t>Ikke kendt.</w:t>
      </w:r>
    </w:p>
    <w:p w14:paraId="669E283D" w14:textId="77777777" w:rsidR="00CE3CEF" w:rsidRPr="00A61FA0" w:rsidRDefault="00CE3CEF" w:rsidP="00CE678E">
      <w:pPr>
        <w:ind w:left="851"/>
        <w:rPr>
          <w:sz w:val="24"/>
          <w:szCs w:val="24"/>
        </w:rPr>
      </w:pPr>
    </w:p>
    <w:p w14:paraId="5C7AA8B1" w14:textId="77777777" w:rsidR="00CE3CEF" w:rsidRPr="00A61FA0" w:rsidRDefault="00CE3CEF" w:rsidP="00CE678E">
      <w:pPr>
        <w:ind w:left="851"/>
        <w:rPr>
          <w:sz w:val="24"/>
          <w:szCs w:val="24"/>
        </w:rPr>
      </w:pPr>
      <w:r w:rsidRPr="00A61FA0">
        <w:rPr>
          <w:sz w:val="24"/>
          <w:szCs w:val="24"/>
        </w:rPr>
        <w:t>Dette lægemiddel må ikke blandes med andre lægemidler end dem, der er anført under pkt. 6.6.</w:t>
      </w:r>
    </w:p>
    <w:p w14:paraId="12E8ADA8" w14:textId="77777777" w:rsidR="009260DE" w:rsidRPr="00A61FA0" w:rsidRDefault="009260DE" w:rsidP="009260DE">
      <w:pPr>
        <w:tabs>
          <w:tab w:val="left" w:pos="851"/>
        </w:tabs>
        <w:ind w:left="851"/>
        <w:rPr>
          <w:sz w:val="24"/>
          <w:szCs w:val="24"/>
        </w:rPr>
      </w:pPr>
    </w:p>
    <w:p w14:paraId="11312B1F" w14:textId="77777777" w:rsidR="00C406C8" w:rsidRPr="00A61FA0" w:rsidRDefault="009260DE" w:rsidP="00C406C8">
      <w:pPr>
        <w:keepNext/>
        <w:tabs>
          <w:tab w:val="left" w:pos="851"/>
        </w:tabs>
        <w:ind w:left="851" w:hanging="851"/>
        <w:rPr>
          <w:b/>
          <w:sz w:val="24"/>
          <w:szCs w:val="24"/>
        </w:rPr>
      </w:pPr>
      <w:r w:rsidRPr="00A61FA0">
        <w:rPr>
          <w:b/>
          <w:sz w:val="24"/>
          <w:szCs w:val="24"/>
        </w:rPr>
        <w:t>6.3</w:t>
      </w:r>
      <w:r w:rsidRPr="00A61FA0">
        <w:rPr>
          <w:b/>
          <w:sz w:val="24"/>
          <w:szCs w:val="24"/>
        </w:rPr>
        <w:tab/>
      </w:r>
      <w:r w:rsidR="00C406C8" w:rsidRPr="00A61FA0">
        <w:rPr>
          <w:b/>
          <w:sz w:val="24"/>
          <w:szCs w:val="24"/>
        </w:rPr>
        <w:t>Opbevaringstid</w:t>
      </w:r>
    </w:p>
    <w:p w14:paraId="264FFF15" w14:textId="77777777" w:rsidR="00C406C8" w:rsidRPr="00A61FA0" w:rsidRDefault="00C406C8" w:rsidP="00C406C8">
      <w:pPr>
        <w:ind w:left="851"/>
        <w:rPr>
          <w:sz w:val="24"/>
          <w:szCs w:val="24"/>
        </w:rPr>
      </w:pPr>
      <w:r w:rsidRPr="00A61FA0">
        <w:rPr>
          <w:sz w:val="24"/>
          <w:szCs w:val="24"/>
        </w:rPr>
        <w:t>3 år.</w:t>
      </w:r>
    </w:p>
    <w:p w14:paraId="65F992A8" w14:textId="77777777" w:rsidR="00C406C8" w:rsidRPr="00A61FA0" w:rsidRDefault="00C406C8" w:rsidP="00C406C8">
      <w:pPr>
        <w:ind w:left="851"/>
        <w:rPr>
          <w:sz w:val="24"/>
          <w:szCs w:val="24"/>
        </w:rPr>
      </w:pPr>
    </w:p>
    <w:p w14:paraId="327C228E" w14:textId="77777777" w:rsidR="00C406C8" w:rsidRPr="00A61FA0" w:rsidRDefault="00C406C8" w:rsidP="00C406C8">
      <w:pPr>
        <w:ind w:left="851"/>
        <w:rPr>
          <w:sz w:val="24"/>
          <w:szCs w:val="24"/>
        </w:rPr>
      </w:pPr>
      <w:r w:rsidRPr="00A61FA0">
        <w:rPr>
          <w:sz w:val="24"/>
          <w:szCs w:val="24"/>
        </w:rPr>
        <w:t>Rekonstrueret</w:t>
      </w:r>
      <w:r>
        <w:rPr>
          <w:sz w:val="24"/>
          <w:szCs w:val="24"/>
        </w:rPr>
        <w:t>/fortyndet</w:t>
      </w:r>
      <w:r w:rsidRPr="00A61FA0">
        <w:rPr>
          <w:sz w:val="24"/>
          <w:szCs w:val="24"/>
        </w:rPr>
        <w:t xml:space="preserve"> opløsning:</w:t>
      </w:r>
    </w:p>
    <w:p w14:paraId="5F466E29" w14:textId="77777777" w:rsidR="00C406C8" w:rsidRDefault="00C406C8" w:rsidP="00C406C8">
      <w:pPr>
        <w:ind w:left="851"/>
        <w:rPr>
          <w:sz w:val="24"/>
          <w:szCs w:val="24"/>
        </w:rPr>
      </w:pPr>
      <w:r>
        <w:rPr>
          <w:sz w:val="24"/>
          <w:szCs w:val="24"/>
        </w:rPr>
        <w:t>Kemisk og fysisk stabilitet er blevet påvist i 12 timer ved 25 ℃ og i 96 timer ved 2 ℃ til 8 ℃.</w:t>
      </w:r>
    </w:p>
    <w:p w14:paraId="2BFD0D29" w14:textId="77777777" w:rsidR="00C406C8" w:rsidRPr="00A61FA0" w:rsidRDefault="00C406C8" w:rsidP="00C406C8">
      <w:pPr>
        <w:ind w:left="851"/>
        <w:rPr>
          <w:sz w:val="24"/>
          <w:szCs w:val="24"/>
        </w:rPr>
      </w:pPr>
      <w:r>
        <w:rPr>
          <w:sz w:val="24"/>
          <w:szCs w:val="24"/>
        </w:rPr>
        <w:t>Fra et mikrobiologisk synspunkt bør produktet anvendes med det samme, medmindre åbnings</w:t>
      </w:r>
      <w:r>
        <w:rPr>
          <w:sz w:val="24"/>
          <w:szCs w:val="24"/>
        </w:rPr>
        <w:noBreakHyphen/>
        <w:t>/</w:t>
      </w:r>
      <w:proofErr w:type="spellStart"/>
      <w:r>
        <w:rPr>
          <w:sz w:val="24"/>
          <w:szCs w:val="24"/>
        </w:rPr>
        <w:t>rekonstituerings</w:t>
      </w:r>
      <w:proofErr w:type="spellEnd"/>
      <w:r>
        <w:rPr>
          <w:sz w:val="24"/>
          <w:szCs w:val="24"/>
        </w:rPr>
        <w:noBreakHyphen/>
        <w:t>/fortyndingsmetoden udelukker risikoen for mikrobiel kontaminering. Hvis produktet ikke anvendes med det samme, er opbevaringstider og -betingelser under anvendelsen brugerens ansvar.</w:t>
      </w:r>
    </w:p>
    <w:p w14:paraId="25EEB7CF" w14:textId="77777777" w:rsidR="00C406C8" w:rsidRPr="00A61FA0" w:rsidRDefault="00C406C8" w:rsidP="00C406C8">
      <w:pPr>
        <w:tabs>
          <w:tab w:val="left" w:pos="851"/>
        </w:tabs>
        <w:ind w:left="851"/>
        <w:rPr>
          <w:sz w:val="24"/>
          <w:szCs w:val="24"/>
        </w:rPr>
      </w:pPr>
    </w:p>
    <w:p w14:paraId="520E58D7" w14:textId="77777777" w:rsidR="00C406C8" w:rsidRPr="00A61FA0" w:rsidRDefault="00C406C8" w:rsidP="00C406C8">
      <w:pPr>
        <w:tabs>
          <w:tab w:val="left" w:pos="851"/>
        </w:tabs>
        <w:ind w:left="851" w:hanging="851"/>
        <w:rPr>
          <w:b/>
          <w:sz w:val="24"/>
          <w:szCs w:val="24"/>
        </w:rPr>
      </w:pPr>
      <w:r w:rsidRPr="00A61FA0">
        <w:rPr>
          <w:b/>
          <w:sz w:val="24"/>
          <w:szCs w:val="24"/>
        </w:rPr>
        <w:t>6.4</w:t>
      </w:r>
      <w:r w:rsidRPr="00A61FA0">
        <w:rPr>
          <w:b/>
          <w:sz w:val="24"/>
          <w:szCs w:val="24"/>
        </w:rPr>
        <w:tab/>
        <w:t>Særlige opbevaringsforhold</w:t>
      </w:r>
    </w:p>
    <w:p w14:paraId="0B730561" w14:textId="77777777" w:rsidR="00C406C8" w:rsidRPr="00A61FA0" w:rsidRDefault="00C406C8" w:rsidP="00C406C8">
      <w:pPr>
        <w:ind w:left="851"/>
        <w:rPr>
          <w:sz w:val="24"/>
          <w:szCs w:val="24"/>
        </w:rPr>
      </w:pPr>
      <w:r w:rsidRPr="00A61FA0">
        <w:rPr>
          <w:sz w:val="24"/>
          <w:szCs w:val="24"/>
        </w:rPr>
        <w:lastRenderedPageBreak/>
        <w:t>Må ikke opbevares ved temperaturer over 25 °C.</w:t>
      </w:r>
    </w:p>
    <w:p w14:paraId="56A20279" w14:textId="77777777" w:rsidR="00C406C8" w:rsidRPr="00A61FA0" w:rsidRDefault="00C406C8" w:rsidP="00C406C8">
      <w:pPr>
        <w:ind w:left="851"/>
        <w:rPr>
          <w:sz w:val="24"/>
          <w:szCs w:val="24"/>
        </w:rPr>
      </w:pPr>
    </w:p>
    <w:p w14:paraId="2045CA8E" w14:textId="77777777" w:rsidR="00C406C8" w:rsidRPr="00A61FA0" w:rsidRDefault="00C406C8" w:rsidP="00C406C8">
      <w:pPr>
        <w:ind w:left="851"/>
        <w:rPr>
          <w:sz w:val="24"/>
          <w:szCs w:val="24"/>
        </w:rPr>
      </w:pPr>
      <w:r w:rsidRPr="00A61FA0">
        <w:rPr>
          <w:sz w:val="24"/>
          <w:szCs w:val="24"/>
        </w:rPr>
        <w:t xml:space="preserve">Opbevaringsforhold efter </w:t>
      </w:r>
      <w:proofErr w:type="spellStart"/>
      <w:r w:rsidRPr="00A61FA0">
        <w:rPr>
          <w:sz w:val="24"/>
          <w:szCs w:val="24"/>
        </w:rPr>
        <w:t>rekonstitution</w:t>
      </w:r>
      <w:proofErr w:type="spellEnd"/>
      <w:r>
        <w:rPr>
          <w:sz w:val="24"/>
          <w:szCs w:val="24"/>
        </w:rPr>
        <w:t>/fortynding</w:t>
      </w:r>
      <w:r w:rsidRPr="00A61FA0">
        <w:rPr>
          <w:sz w:val="24"/>
          <w:szCs w:val="24"/>
        </w:rPr>
        <w:t xml:space="preserve"> af lægemidlet, se pkt. 6.3.</w:t>
      </w:r>
    </w:p>
    <w:p w14:paraId="307860F6" w14:textId="77777777" w:rsidR="00C406C8" w:rsidRPr="00A61FA0" w:rsidRDefault="00C406C8" w:rsidP="00C406C8">
      <w:pPr>
        <w:tabs>
          <w:tab w:val="left" w:pos="851"/>
        </w:tabs>
        <w:ind w:left="851"/>
        <w:rPr>
          <w:sz w:val="24"/>
          <w:szCs w:val="24"/>
        </w:rPr>
      </w:pPr>
    </w:p>
    <w:p w14:paraId="3DD0097E" w14:textId="4E3CE52F" w:rsidR="009260DE" w:rsidRPr="00A61FA0" w:rsidRDefault="009260DE" w:rsidP="00C406C8">
      <w:pPr>
        <w:keepNext/>
        <w:tabs>
          <w:tab w:val="left" w:pos="851"/>
        </w:tabs>
        <w:ind w:left="851" w:hanging="851"/>
        <w:rPr>
          <w:b/>
          <w:sz w:val="24"/>
          <w:szCs w:val="24"/>
        </w:rPr>
      </w:pPr>
      <w:r w:rsidRPr="00A61FA0">
        <w:rPr>
          <w:b/>
          <w:sz w:val="24"/>
          <w:szCs w:val="24"/>
        </w:rPr>
        <w:t>6.5</w:t>
      </w:r>
      <w:r w:rsidRPr="00A61FA0">
        <w:rPr>
          <w:b/>
          <w:sz w:val="24"/>
          <w:szCs w:val="24"/>
        </w:rPr>
        <w:tab/>
        <w:t>Emballagetype og pakningsstørrelser</w:t>
      </w:r>
    </w:p>
    <w:p w14:paraId="2ACD402F" w14:textId="011BBD80" w:rsidR="00CE3CEF" w:rsidRPr="00A61FA0" w:rsidRDefault="00CE3CEF" w:rsidP="00CE678E">
      <w:pPr>
        <w:suppressAutoHyphens/>
        <w:ind w:left="851"/>
        <w:rPr>
          <w:sz w:val="24"/>
          <w:szCs w:val="24"/>
        </w:rPr>
      </w:pPr>
      <w:r w:rsidRPr="00A61FA0">
        <w:rPr>
          <w:sz w:val="24"/>
          <w:szCs w:val="24"/>
        </w:rPr>
        <w:t xml:space="preserve">20 ml hætteglas af ufarvet glas med en 20 mm </w:t>
      </w:r>
      <w:proofErr w:type="spellStart"/>
      <w:r w:rsidRPr="00A61FA0">
        <w:rPr>
          <w:sz w:val="24"/>
          <w:szCs w:val="24"/>
        </w:rPr>
        <w:t>brombutylgummiprop</w:t>
      </w:r>
      <w:proofErr w:type="spellEnd"/>
      <w:r w:rsidRPr="00A61FA0">
        <w:rPr>
          <w:sz w:val="24"/>
          <w:szCs w:val="24"/>
        </w:rPr>
        <w:t>.</w:t>
      </w:r>
    </w:p>
    <w:p w14:paraId="1F240C7D" w14:textId="77777777" w:rsidR="00CE3CEF" w:rsidRPr="00A61FA0" w:rsidRDefault="00CE3CEF" w:rsidP="00CE678E">
      <w:pPr>
        <w:suppressAutoHyphens/>
        <w:ind w:left="851"/>
        <w:rPr>
          <w:sz w:val="24"/>
          <w:szCs w:val="24"/>
        </w:rPr>
      </w:pPr>
    </w:p>
    <w:p w14:paraId="44FFE0D7" w14:textId="2E6756E6" w:rsidR="00CE3CEF" w:rsidRPr="00A61FA0" w:rsidRDefault="00C7542E" w:rsidP="00CE678E">
      <w:pPr>
        <w:suppressAutoHyphens/>
        <w:ind w:left="851"/>
        <w:rPr>
          <w:sz w:val="24"/>
          <w:szCs w:val="24"/>
        </w:rPr>
      </w:pPr>
      <w:r>
        <w:rPr>
          <w:sz w:val="24"/>
          <w:szCs w:val="24"/>
        </w:rPr>
        <w:t xml:space="preserve">1 g: </w:t>
      </w:r>
      <w:r w:rsidR="00CE3CEF" w:rsidRPr="00A61FA0">
        <w:rPr>
          <w:sz w:val="24"/>
          <w:szCs w:val="24"/>
        </w:rPr>
        <w:t>Hver pakning indeholder 10 hætteglas hver med 1 g pulver.</w:t>
      </w:r>
    </w:p>
    <w:p w14:paraId="2761723F" w14:textId="1B0772EE" w:rsidR="00CE3CEF" w:rsidRPr="00A61FA0" w:rsidRDefault="00C7542E" w:rsidP="00CE678E">
      <w:pPr>
        <w:suppressAutoHyphens/>
        <w:ind w:left="851"/>
        <w:rPr>
          <w:sz w:val="24"/>
          <w:szCs w:val="24"/>
        </w:rPr>
      </w:pPr>
      <w:r>
        <w:rPr>
          <w:sz w:val="24"/>
          <w:szCs w:val="24"/>
        </w:rPr>
        <w:t xml:space="preserve">2 g: </w:t>
      </w:r>
      <w:r w:rsidR="00CE3CEF" w:rsidRPr="00A61FA0">
        <w:rPr>
          <w:sz w:val="24"/>
          <w:szCs w:val="24"/>
        </w:rPr>
        <w:t>Hver pakning indeholder 10 hætteglas hver med 2 g pulver.</w:t>
      </w:r>
    </w:p>
    <w:p w14:paraId="6068A211" w14:textId="77777777" w:rsidR="00CE3CEF" w:rsidRPr="00A61FA0" w:rsidRDefault="00CE3CEF" w:rsidP="00CE678E">
      <w:pPr>
        <w:suppressAutoHyphens/>
        <w:ind w:left="851"/>
        <w:rPr>
          <w:sz w:val="24"/>
          <w:szCs w:val="24"/>
        </w:rPr>
      </w:pPr>
    </w:p>
    <w:p w14:paraId="291E5572" w14:textId="77777777" w:rsidR="00CE3CEF" w:rsidRPr="00A61FA0" w:rsidRDefault="00CE3CEF" w:rsidP="00CE678E">
      <w:pPr>
        <w:suppressAutoHyphens/>
        <w:ind w:left="851"/>
        <w:rPr>
          <w:sz w:val="24"/>
          <w:szCs w:val="24"/>
        </w:rPr>
      </w:pPr>
      <w:r w:rsidRPr="00A61FA0">
        <w:rPr>
          <w:sz w:val="24"/>
          <w:szCs w:val="24"/>
        </w:rPr>
        <w:t>Ikke alle pakningsstørrelser er nødvendigvis markedsført.</w:t>
      </w:r>
    </w:p>
    <w:p w14:paraId="0329C489" w14:textId="77777777" w:rsidR="009260DE" w:rsidRPr="00A61FA0" w:rsidRDefault="009260DE" w:rsidP="009260DE">
      <w:pPr>
        <w:tabs>
          <w:tab w:val="left" w:pos="851"/>
        </w:tabs>
        <w:ind w:left="851"/>
        <w:rPr>
          <w:sz w:val="24"/>
          <w:szCs w:val="24"/>
        </w:rPr>
      </w:pPr>
    </w:p>
    <w:p w14:paraId="7465783C" w14:textId="77777777" w:rsidR="009260DE" w:rsidRPr="00A61FA0" w:rsidRDefault="009260DE" w:rsidP="009260DE">
      <w:pPr>
        <w:tabs>
          <w:tab w:val="left" w:pos="851"/>
        </w:tabs>
        <w:ind w:left="851" w:hanging="851"/>
        <w:rPr>
          <w:b/>
          <w:sz w:val="24"/>
          <w:szCs w:val="24"/>
        </w:rPr>
      </w:pPr>
      <w:r w:rsidRPr="00A61FA0">
        <w:rPr>
          <w:b/>
          <w:sz w:val="24"/>
          <w:szCs w:val="24"/>
        </w:rPr>
        <w:t>6.6</w:t>
      </w:r>
      <w:r w:rsidRPr="00A61FA0">
        <w:rPr>
          <w:b/>
          <w:sz w:val="24"/>
          <w:szCs w:val="24"/>
        </w:rPr>
        <w:tab/>
        <w:t xml:space="preserve">Regler for </w:t>
      </w:r>
      <w:r w:rsidR="00BD7931" w:rsidRPr="00A61FA0">
        <w:rPr>
          <w:b/>
          <w:sz w:val="24"/>
          <w:szCs w:val="24"/>
        </w:rPr>
        <w:t>bortskaffelse</w:t>
      </w:r>
      <w:r w:rsidRPr="00A61FA0">
        <w:rPr>
          <w:b/>
          <w:sz w:val="24"/>
          <w:szCs w:val="24"/>
        </w:rPr>
        <w:t xml:space="preserve"> og anden håndtering</w:t>
      </w:r>
    </w:p>
    <w:p w14:paraId="35EA6549" w14:textId="77777777" w:rsidR="00CE3CEF" w:rsidRPr="00A61FA0" w:rsidRDefault="00CE3CEF" w:rsidP="00CE678E">
      <w:pPr>
        <w:ind w:left="851"/>
        <w:rPr>
          <w:sz w:val="24"/>
          <w:szCs w:val="24"/>
        </w:rPr>
      </w:pPr>
      <w:proofErr w:type="spellStart"/>
      <w:r w:rsidRPr="00A61FA0">
        <w:rPr>
          <w:sz w:val="24"/>
          <w:szCs w:val="24"/>
        </w:rPr>
        <w:t>Rekonstitution</w:t>
      </w:r>
      <w:proofErr w:type="spellEnd"/>
      <w:r w:rsidRPr="00A61FA0">
        <w:rPr>
          <w:sz w:val="24"/>
          <w:szCs w:val="24"/>
        </w:rPr>
        <w:t xml:space="preserve"> af pulveret eller tilberedning af opløsningen til infusion skal foretages under aseptiske forhold. </w:t>
      </w:r>
    </w:p>
    <w:p w14:paraId="7C3C663A" w14:textId="77777777" w:rsidR="00CE3CEF" w:rsidRPr="00A61FA0" w:rsidRDefault="00CE3CEF" w:rsidP="00CE678E">
      <w:pPr>
        <w:ind w:left="851"/>
        <w:rPr>
          <w:sz w:val="24"/>
          <w:szCs w:val="24"/>
        </w:rPr>
      </w:pPr>
    </w:p>
    <w:p w14:paraId="4A654552" w14:textId="3C644962" w:rsidR="00C7542E" w:rsidRDefault="00C7542E" w:rsidP="00C7542E">
      <w:pPr>
        <w:ind w:left="851"/>
        <w:rPr>
          <w:sz w:val="24"/>
          <w:szCs w:val="24"/>
        </w:rPr>
      </w:pPr>
      <w:r>
        <w:rPr>
          <w:sz w:val="24"/>
          <w:szCs w:val="24"/>
        </w:rPr>
        <w:t xml:space="preserve">1 g </w:t>
      </w:r>
      <w:proofErr w:type="spellStart"/>
      <w:r>
        <w:rPr>
          <w:sz w:val="24"/>
          <w:szCs w:val="24"/>
        </w:rPr>
        <w:t>cloxacillin</w:t>
      </w:r>
      <w:proofErr w:type="spellEnd"/>
      <w:r>
        <w:rPr>
          <w:sz w:val="24"/>
          <w:szCs w:val="24"/>
        </w:rPr>
        <w:t xml:space="preserve"> indeholder 2,18 mmol Na</w:t>
      </w:r>
      <w:r>
        <w:rPr>
          <w:sz w:val="24"/>
          <w:szCs w:val="24"/>
          <w:vertAlign w:val="superscript"/>
        </w:rPr>
        <w:t>+</w:t>
      </w:r>
      <w:r>
        <w:rPr>
          <w:sz w:val="24"/>
          <w:szCs w:val="24"/>
        </w:rPr>
        <w:t xml:space="preserve">, svarende til ca. 15 ml af 9 mg/ml (0,9 %) </w:t>
      </w:r>
      <w:proofErr w:type="spellStart"/>
      <w:r>
        <w:rPr>
          <w:sz w:val="24"/>
          <w:szCs w:val="24"/>
        </w:rPr>
        <w:t>natriumchloridopløsning</w:t>
      </w:r>
      <w:proofErr w:type="spellEnd"/>
      <w:r>
        <w:rPr>
          <w:sz w:val="24"/>
          <w:szCs w:val="24"/>
        </w:rPr>
        <w:t xml:space="preserve"> til injektion.</w:t>
      </w:r>
    </w:p>
    <w:p w14:paraId="6477AEF0" w14:textId="77777777" w:rsidR="00CE3CEF" w:rsidRPr="00A61FA0" w:rsidRDefault="00CE3CEF" w:rsidP="00CE678E">
      <w:pPr>
        <w:ind w:left="851"/>
        <w:rPr>
          <w:sz w:val="24"/>
          <w:szCs w:val="24"/>
        </w:rPr>
      </w:pPr>
      <w:proofErr w:type="spellStart"/>
      <w:r w:rsidRPr="00A61FA0">
        <w:rPr>
          <w:sz w:val="24"/>
          <w:szCs w:val="24"/>
        </w:rPr>
        <w:t>Osmolariteten</w:t>
      </w:r>
      <w:proofErr w:type="spellEnd"/>
      <w:r w:rsidRPr="00A61FA0">
        <w:rPr>
          <w:sz w:val="24"/>
          <w:szCs w:val="24"/>
        </w:rPr>
        <w:t xml:space="preserve"> af opløsningen afhænger af den anvendte mængde </w:t>
      </w:r>
      <w:proofErr w:type="spellStart"/>
      <w:r w:rsidRPr="00A61FA0">
        <w:rPr>
          <w:sz w:val="24"/>
          <w:szCs w:val="24"/>
        </w:rPr>
        <w:t>cloxacillin</w:t>
      </w:r>
      <w:proofErr w:type="spellEnd"/>
      <w:r w:rsidRPr="00A61FA0">
        <w:rPr>
          <w:sz w:val="24"/>
          <w:szCs w:val="24"/>
        </w:rPr>
        <w:t xml:space="preserve"> samt det valgte fortyndingsmedie. Afhængigt af den administrerede mængde af </w:t>
      </w:r>
      <w:proofErr w:type="spellStart"/>
      <w:r w:rsidRPr="00A61FA0">
        <w:rPr>
          <w:sz w:val="24"/>
          <w:szCs w:val="24"/>
        </w:rPr>
        <w:t>cloxacillin</w:t>
      </w:r>
      <w:proofErr w:type="spellEnd"/>
      <w:r w:rsidRPr="00A61FA0">
        <w:rPr>
          <w:sz w:val="24"/>
          <w:szCs w:val="24"/>
        </w:rPr>
        <w:t xml:space="preserve">, vand til injektionsvæsker eller </w:t>
      </w:r>
      <w:proofErr w:type="spellStart"/>
      <w:r w:rsidRPr="00A61FA0">
        <w:rPr>
          <w:sz w:val="24"/>
          <w:szCs w:val="24"/>
        </w:rPr>
        <w:t>natriumchloridopløsning</w:t>
      </w:r>
      <w:proofErr w:type="spellEnd"/>
      <w:r w:rsidRPr="00A61FA0">
        <w:rPr>
          <w:sz w:val="24"/>
          <w:szCs w:val="24"/>
        </w:rPr>
        <w:t xml:space="preserve"> som fortyndingsmedie (se tabellen nedenfor).</w:t>
      </w:r>
    </w:p>
    <w:p w14:paraId="5E7F2B37" w14:textId="77777777" w:rsidR="00CE3CEF" w:rsidRPr="00A61FA0" w:rsidRDefault="00CE3CEF" w:rsidP="00CE678E">
      <w:pPr>
        <w:ind w:left="851"/>
        <w:rPr>
          <w:sz w:val="24"/>
          <w:szCs w:val="24"/>
        </w:rPr>
      </w:pPr>
    </w:p>
    <w:tbl>
      <w:tblPr>
        <w:tblW w:w="8788" w:type="dxa"/>
        <w:tblInd w:w="8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39"/>
        <w:gridCol w:w="4749"/>
      </w:tblGrid>
      <w:tr w:rsidR="00CE3CEF" w:rsidRPr="005F649A" w14:paraId="43E628AC" w14:textId="77777777" w:rsidTr="00CE678E">
        <w:trPr>
          <w:trHeight w:val="275"/>
        </w:trPr>
        <w:tc>
          <w:tcPr>
            <w:tcW w:w="4039" w:type="dxa"/>
            <w:tcBorders>
              <w:top w:val="nil"/>
              <w:left w:val="nil"/>
              <w:bottom w:val="single" w:sz="6" w:space="0" w:color="000000"/>
              <w:right w:val="single" w:sz="6" w:space="0" w:color="000000"/>
            </w:tcBorders>
            <w:hideMark/>
          </w:tcPr>
          <w:p w14:paraId="4FA9CAC0" w14:textId="77777777" w:rsidR="00CE3CEF" w:rsidRPr="005F649A" w:rsidRDefault="00CE3CEF">
            <w:pPr>
              <w:rPr>
                <w:i/>
                <w:sz w:val="24"/>
                <w:szCs w:val="24"/>
                <w:lang w:bidi="sv-SE"/>
              </w:rPr>
            </w:pPr>
            <w:r w:rsidRPr="005F649A">
              <w:rPr>
                <w:i/>
                <w:sz w:val="24"/>
                <w:szCs w:val="24"/>
                <w:lang w:bidi="sv-SE"/>
              </w:rPr>
              <w:t>Opløsningstype</w:t>
            </w:r>
          </w:p>
        </w:tc>
        <w:tc>
          <w:tcPr>
            <w:tcW w:w="4749" w:type="dxa"/>
            <w:tcBorders>
              <w:top w:val="nil"/>
              <w:left w:val="single" w:sz="6" w:space="0" w:color="000000"/>
              <w:bottom w:val="single" w:sz="6" w:space="0" w:color="000000"/>
              <w:right w:val="nil"/>
            </w:tcBorders>
            <w:hideMark/>
          </w:tcPr>
          <w:p w14:paraId="3FD40590" w14:textId="77777777" w:rsidR="00CE3CEF" w:rsidRPr="005F649A" w:rsidRDefault="00CE3CEF">
            <w:pPr>
              <w:rPr>
                <w:i/>
                <w:sz w:val="24"/>
                <w:szCs w:val="24"/>
                <w:lang w:bidi="sv-SE"/>
              </w:rPr>
            </w:pPr>
            <w:r w:rsidRPr="005F649A">
              <w:rPr>
                <w:i/>
                <w:sz w:val="24"/>
                <w:szCs w:val="24"/>
                <w:lang w:bidi="sv-SE"/>
              </w:rPr>
              <w:t>Instruktioner</w:t>
            </w:r>
          </w:p>
        </w:tc>
      </w:tr>
      <w:tr w:rsidR="00CE3CEF" w:rsidRPr="005F649A" w14:paraId="0EB9F29C" w14:textId="77777777" w:rsidTr="00CE678E">
        <w:trPr>
          <w:trHeight w:val="827"/>
        </w:trPr>
        <w:tc>
          <w:tcPr>
            <w:tcW w:w="4039" w:type="dxa"/>
            <w:tcBorders>
              <w:top w:val="single" w:sz="6" w:space="0" w:color="000000"/>
              <w:left w:val="nil"/>
              <w:bottom w:val="single" w:sz="6" w:space="0" w:color="000000"/>
              <w:right w:val="single" w:sz="6" w:space="0" w:color="000000"/>
            </w:tcBorders>
            <w:hideMark/>
          </w:tcPr>
          <w:p w14:paraId="6FB333A3" w14:textId="77777777" w:rsidR="00CE3CEF" w:rsidRPr="005F649A" w:rsidRDefault="00CE3CEF">
            <w:pPr>
              <w:rPr>
                <w:sz w:val="24"/>
                <w:szCs w:val="24"/>
                <w:lang w:bidi="sv-SE"/>
              </w:rPr>
            </w:pPr>
            <w:r w:rsidRPr="005F649A">
              <w:rPr>
                <w:sz w:val="24"/>
                <w:szCs w:val="24"/>
                <w:lang w:bidi="sv-SE"/>
              </w:rPr>
              <w:t>Opløsning til intramuskulær injektion</w:t>
            </w:r>
          </w:p>
        </w:tc>
        <w:tc>
          <w:tcPr>
            <w:tcW w:w="4749" w:type="dxa"/>
            <w:tcBorders>
              <w:top w:val="single" w:sz="6" w:space="0" w:color="000000"/>
              <w:left w:val="single" w:sz="6" w:space="0" w:color="000000"/>
              <w:bottom w:val="single" w:sz="6" w:space="0" w:color="000000"/>
              <w:right w:val="nil"/>
            </w:tcBorders>
            <w:hideMark/>
          </w:tcPr>
          <w:p w14:paraId="48D0D64C" w14:textId="77777777" w:rsidR="00CE3CEF" w:rsidRPr="005F649A" w:rsidRDefault="00CE3CEF">
            <w:pPr>
              <w:rPr>
                <w:sz w:val="24"/>
                <w:szCs w:val="24"/>
              </w:rPr>
            </w:pPr>
            <w:r w:rsidRPr="005F649A">
              <w:rPr>
                <w:sz w:val="24"/>
                <w:szCs w:val="24"/>
              </w:rPr>
              <w:t>1 g fortyndet i 4 ml vand til injektionsvæsker, 2 g fortyndet i 8 ml vand til injektionsvæsker</w:t>
            </w:r>
          </w:p>
        </w:tc>
      </w:tr>
      <w:tr w:rsidR="00CE3CEF" w:rsidRPr="005F649A" w14:paraId="0ADD04EC" w14:textId="77777777" w:rsidTr="00CE678E">
        <w:trPr>
          <w:trHeight w:val="827"/>
        </w:trPr>
        <w:tc>
          <w:tcPr>
            <w:tcW w:w="4039" w:type="dxa"/>
            <w:tcBorders>
              <w:top w:val="single" w:sz="6" w:space="0" w:color="000000"/>
              <w:left w:val="nil"/>
              <w:bottom w:val="nil"/>
              <w:right w:val="single" w:sz="6" w:space="0" w:color="000000"/>
            </w:tcBorders>
            <w:hideMark/>
          </w:tcPr>
          <w:p w14:paraId="0E9D0BB7" w14:textId="77777777" w:rsidR="00CE3CEF" w:rsidRPr="005F649A" w:rsidRDefault="00CE3CEF">
            <w:pPr>
              <w:rPr>
                <w:sz w:val="24"/>
                <w:szCs w:val="24"/>
                <w:lang w:bidi="sv-SE"/>
              </w:rPr>
            </w:pPr>
            <w:r w:rsidRPr="005F649A">
              <w:rPr>
                <w:sz w:val="24"/>
                <w:szCs w:val="24"/>
                <w:lang w:bidi="sv-SE"/>
              </w:rPr>
              <w:t>Opløsning til intravenøs injektion</w:t>
            </w:r>
          </w:p>
        </w:tc>
        <w:tc>
          <w:tcPr>
            <w:tcW w:w="4749" w:type="dxa"/>
            <w:tcBorders>
              <w:top w:val="single" w:sz="6" w:space="0" w:color="000000"/>
              <w:left w:val="single" w:sz="6" w:space="0" w:color="000000"/>
              <w:bottom w:val="nil"/>
              <w:right w:val="nil"/>
            </w:tcBorders>
            <w:hideMark/>
          </w:tcPr>
          <w:p w14:paraId="39D71212" w14:textId="77777777" w:rsidR="00CE3CEF" w:rsidRPr="005F649A" w:rsidRDefault="00CE3CEF">
            <w:pPr>
              <w:rPr>
                <w:sz w:val="24"/>
                <w:szCs w:val="24"/>
              </w:rPr>
            </w:pPr>
            <w:r w:rsidRPr="005F649A">
              <w:rPr>
                <w:sz w:val="24"/>
                <w:szCs w:val="24"/>
              </w:rPr>
              <w:t>1 g fortyndet i 20 ml vand til injektionsvæsker, 2 g fortyndet i 40 ml vand til injektionsvæsker</w:t>
            </w:r>
          </w:p>
        </w:tc>
      </w:tr>
    </w:tbl>
    <w:p w14:paraId="5C12970B" w14:textId="77777777" w:rsidR="00CE3CEF" w:rsidRPr="00A61FA0" w:rsidRDefault="00CE3CEF" w:rsidP="00CE3CEF">
      <w:pPr>
        <w:rPr>
          <w:sz w:val="24"/>
          <w:szCs w:val="24"/>
        </w:rPr>
      </w:pPr>
    </w:p>
    <w:tbl>
      <w:tblPr>
        <w:tblW w:w="8788" w:type="dxa"/>
        <w:tblInd w:w="8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9"/>
        <w:gridCol w:w="4749"/>
      </w:tblGrid>
      <w:tr w:rsidR="00CE3CEF" w:rsidRPr="005F649A" w14:paraId="60396F26" w14:textId="77777777" w:rsidTr="005F649A">
        <w:trPr>
          <w:trHeight w:val="1125"/>
        </w:trPr>
        <w:tc>
          <w:tcPr>
            <w:tcW w:w="4039" w:type="dxa"/>
            <w:tcBorders>
              <w:top w:val="single" w:sz="4" w:space="0" w:color="000000"/>
              <w:left w:val="nil"/>
              <w:bottom w:val="single" w:sz="6" w:space="0" w:color="000000"/>
              <w:right w:val="single" w:sz="6" w:space="0" w:color="000000"/>
            </w:tcBorders>
            <w:hideMark/>
          </w:tcPr>
          <w:p w14:paraId="50395B82" w14:textId="77777777" w:rsidR="00CE3CEF" w:rsidRPr="005F649A" w:rsidRDefault="00CE3CEF">
            <w:pPr>
              <w:rPr>
                <w:sz w:val="24"/>
                <w:szCs w:val="24"/>
                <w:lang w:bidi="sv-SE"/>
              </w:rPr>
            </w:pPr>
            <w:r w:rsidRPr="005F649A">
              <w:rPr>
                <w:sz w:val="24"/>
                <w:szCs w:val="24"/>
                <w:lang w:bidi="sv-SE"/>
              </w:rPr>
              <w:t>Opløsning til intermitterende infusion</w:t>
            </w:r>
          </w:p>
        </w:tc>
        <w:tc>
          <w:tcPr>
            <w:tcW w:w="4749" w:type="dxa"/>
            <w:tcBorders>
              <w:top w:val="single" w:sz="4" w:space="0" w:color="000000"/>
              <w:left w:val="single" w:sz="6" w:space="0" w:color="000000"/>
              <w:bottom w:val="single" w:sz="6" w:space="0" w:color="000000"/>
              <w:right w:val="nil"/>
            </w:tcBorders>
          </w:tcPr>
          <w:p w14:paraId="43787440" w14:textId="6E6002E6" w:rsidR="00CE3CEF" w:rsidRPr="005F649A" w:rsidRDefault="00CE3CEF">
            <w:pPr>
              <w:rPr>
                <w:sz w:val="24"/>
                <w:szCs w:val="24"/>
              </w:rPr>
            </w:pPr>
            <w:r w:rsidRPr="005F649A">
              <w:rPr>
                <w:sz w:val="24"/>
                <w:szCs w:val="24"/>
              </w:rPr>
              <w:t xml:space="preserve">2 g fortyndet i 100 ml vand til injektionsvæsker </w:t>
            </w:r>
            <w:r w:rsidR="00C7542E">
              <w:rPr>
                <w:sz w:val="24"/>
                <w:szCs w:val="24"/>
              </w:rPr>
              <w:t xml:space="preserve">eller 9 mg/ml (0,9 %) </w:t>
            </w:r>
            <w:proofErr w:type="spellStart"/>
            <w:r w:rsidR="00C7542E">
              <w:rPr>
                <w:sz w:val="24"/>
                <w:szCs w:val="24"/>
              </w:rPr>
              <w:t>natriumchloridopløsning</w:t>
            </w:r>
            <w:proofErr w:type="spellEnd"/>
            <w:r w:rsidR="00C7542E">
              <w:rPr>
                <w:sz w:val="24"/>
                <w:szCs w:val="24"/>
              </w:rPr>
              <w:t xml:space="preserve"> til injektion</w:t>
            </w:r>
          </w:p>
          <w:p w14:paraId="7F1095E9" w14:textId="77777777" w:rsidR="00CE3CEF" w:rsidRPr="005F649A" w:rsidRDefault="00CE3CEF">
            <w:pPr>
              <w:rPr>
                <w:sz w:val="24"/>
                <w:szCs w:val="24"/>
              </w:rPr>
            </w:pPr>
          </w:p>
          <w:p w14:paraId="3A54039B" w14:textId="77777777" w:rsidR="00CE3CEF" w:rsidRPr="005F649A" w:rsidRDefault="00CE3CEF">
            <w:pPr>
              <w:rPr>
                <w:sz w:val="24"/>
                <w:szCs w:val="24"/>
              </w:rPr>
            </w:pPr>
            <w:r w:rsidRPr="005F649A">
              <w:rPr>
                <w:sz w:val="24"/>
                <w:szCs w:val="24"/>
              </w:rPr>
              <w:t xml:space="preserve">Den opnåede opløsning forbindes til en passende </w:t>
            </w:r>
            <w:proofErr w:type="spellStart"/>
            <w:r w:rsidRPr="005F649A">
              <w:rPr>
                <w:sz w:val="24"/>
                <w:szCs w:val="24"/>
              </w:rPr>
              <w:t>multi</w:t>
            </w:r>
            <w:proofErr w:type="spellEnd"/>
            <w:r w:rsidRPr="005F649A">
              <w:rPr>
                <w:sz w:val="24"/>
                <w:szCs w:val="24"/>
              </w:rPr>
              <w:t>-</w:t>
            </w:r>
            <w:proofErr w:type="spellStart"/>
            <w:r w:rsidRPr="005F649A">
              <w:rPr>
                <w:sz w:val="24"/>
                <w:szCs w:val="24"/>
              </w:rPr>
              <w:t>way</w:t>
            </w:r>
            <w:proofErr w:type="spellEnd"/>
            <w:r w:rsidRPr="005F649A">
              <w:rPr>
                <w:sz w:val="24"/>
                <w:szCs w:val="24"/>
              </w:rPr>
              <w:t xml:space="preserve">-kanal. Opløsningen bør </w:t>
            </w:r>
            <w:proofErr w:type="spellStart"/>
            <w:r w:rsidRPr="005F649A">
              <w:rPr>
                <w:sz w:val="24"/>
                <w:szCs w:val="24"/>
              </w:rPr>
              <w:t>infunderes</w:t>
            </w:r>
            <w:proofErr w:type="spellEnd"/>
            <w:r w:rsidRPr="005F649A">
              <w:rPr>
                <w:sz w:val="24"/>
                <w:szCs w:val="24"/>
              </w:rPr>
              <w:t xml:space="preserve"> kontinuert i løbet af 20</w:t>
            </w:r>
            <w:r w:rsidRPr="005F649A">
              <w:rPr>
                <w:sz w:val="24"/>
                <w:szCs w:val="24"/>
              </w:rPr>
              <w:noBreakHyphen/>
              <w:t>30 minutter.</w:t>
            </w:r>
          </w:p>
          <w:p w14:paraId="441B23CE" w14:textId="77777777" w:rsidR="00CE3CEF" w:rsidRPr="005F649A" w:rsidRDefault="00CE3CEF">
            <w:pPr>
              <w:rPr>
                <w:sz w:val="24"/>
                <w:szCs w:val="24"/>
              </w:rPr>
            </w:pPr>
            <w:r w:rsidRPr="005F649A">
              <w:rPr>
                <w:sz w:val="24"/>
                <w:szCs w:val="24"/>
              </w:rPr>
              <w:t xml:space="preserve">Mini-sæt: Opløsningen bør tilberedes i en </w:t>
            </w:r>
            <w:proofErr w:type="spellStart"/>
            <w:r w:rsidRPr="005F649A">
              <w:rPr>
                <w:sz w:val="24"/>
                <w:szCs w:val="24"/>
              </w:rPr>
              <w:t>Minibag</w:t>
            </w:r>
            <w:proofErr w:type="spellEnd"/>
            <w:r w:rsidRPr="005F649A">
              <w:rPr>
                <w:sz w:val="24"/>
                <w:szCs w:val="24"/>
              </w:rPr>
              <w:t xml:space="preserve"> plastbeholder ved brug af en overføringsadapter. </w:t>
            </w:r>
          </w:p>
        </w:tc>
      </w:tr>
      <w:tr w:rsidR="00CE3CEF" w:rsidRPr="005F649A" w14:paraId="7A586FB0" w14:textId="77777777" w:rsidTr="00CE678E">
        <w:trPr>
          <w:trHeight w:val="1661"/>
        </w:trPr>
        <w:tc>
          <w:tcPr>
            <w:tcW w:w="4039" w:type="dxa"/>
            <w:tcBorders>
              <w:top w:val="single" w:sz="6" w:space="0" w:color="000000"/>
              <w:left w:val="nil"/>
              <w:bottom w:val="single" w:sz="4" w:space="0" w:color="000000"/>
              <w:right w:val="single" w:sz="6" w:space="0" w:color="000000"/>
            </w:tcBorders>
            <w:hideMark/>
          </w:tcPr>
          <w:p w14:paraId="1669F26D" w14:textId="77777777" w:rsidR="00CE3CEF" w:rsidRPr="005F649A" w:rsidRDefault="00CE3CEF">
            <w:pPr>
              <w:rPr>
                <w:sz w:val="24"/>
                <w:szCs w:val="24"/>
                <w:lang w:bidi="sv-SE"/>
              </w:rPr>
            </w:pPr>
            <w:r w:rsidRPr="005F649A">
              <w:rPr>
                <w:sz w:val="24"/>
                <w:szCs w:val="24"/>
                <w:lang w:bidi="sv-SE"/>
              </w:rPr>
              <w:t>Opløsning til kontinuerlig infusion</w:t>
            </w:r>
          </w:p>
        </w:tc>
        <w:tc>
          <w:tcPr>
            <w:tcW w:w="4749" w:type="dxa"/>
            <w:tcBorders>
              <w:top w:val="single" w:sz="6" w:space="0" w:color="000000"/>
              <w:left w:val="single" w:sz="6" w:space="0" w:color="000000"/>
              <w:bottom w:val="single" w:sz="4" w:space="0" w:color="000000"/>
              <w:right w:val="nil"/>
            </w:tcBorders>
          </w:tcPr>
          <w:p w14:paraId="79860F78" w14:textId="77777777" w:rsidR="00CE3CEF" w:rsidRPr="005F649A" w:rsidRDefault="00CE3CEF">
            <w:pPr>
              <w:rPr>
                <w:sz w:val="24"/>
                <w:szCs w:val="24"/>
              </w:rPr>
            </w:pPr>
            <w:r w:rsidRPr="005F649A">
              <w:rPr>
                <w:sz w:val="24"/>
                <w:szCs w:val="24"/>
              </w:rPr>
              <w:t>2 g fortyndet i 10 ml vand til injektionsvæsker</w:t>
            </w:r>
          </w:p>
          <w:p w14:paraId="270C6090" w14:textId="77777777" w:rsidR="00CE3CEF" w:rsidRPr="005F649A" w:rsidRDefault="00CE3CEF">
            <w:pPr>
              <w:rPr>
                <w:sz w:val="24"/>
                <w:szCs w:val="24"/>
              </w:rPr>
            </w:pPr>
          </w:p>
          <w:p w14:paraId="20E1326E" w14:textId="4AC05080" w:rsidR="00CE3CEF" w:rsidRPr="005F649A" w:rsidRDefault="005C1996">
            <w:pPr>
              <w:rPr>
                <w:sz w:val="24"/>
                <w:szCs w:val="24"/>
              </w:rPr>
            </w:pPr>
            <w:r>
              <w:rPr>
                <w:sz w:val="24"/>
                <w:szCs w:val="24"/>
              </w:rPr>
              <w:t xml:space="preserve">Den opnåede opløsning blandes med passende infusionsopløsning: 9 mg/ml (0,9 %) </w:t>
            </w:r>
            <w:proofErr w:type="spellStart"/>
            <w:r>
              <w:rPr>
                <w:sz w:val="24"/>
                <w:szCs w:val="24"/>
              </w:rPr>
              <w:t>natriumchloridopløsning</w:t>
            </w:r>
            <w:proofErr w:type="spellEnd"/>
            <w:r>
              <w:rPr>
                <w:sz w:val="24"/>
                <w:szCs w:val="24"/>
              </w:rPr>
              <w:t xml:space="preserve"> til injektion, Ringer-acetat, 50 mg/ml (5 %) </w:t>
            </w:r>
            <w:proofErr w:type="spellStart"/>
            <w:r>
              <w:rPr>
                <w:sz w:val="24"/>
                <w:szCs w:val="24"/>
              </w:rPr>
              <w:t>glucoseopløsning</w:t>
            </w:r>
            <w:proofErr w:type="spellEnd"/>
            <w:r>
              <w:rPr>
                <w:sz w:val="24"/>
                <w:szCs w:val="24"/>
              </w:rPr>
              <w:t xml:space="preserve"> til injektion, </w:t>
            </w:r>
            <w:proofErr w:type="spellStart"/>
            <w:r>
              <w:rPr>
                <w:sz w:val="24"/>
                <w:szCs w:val="24"/>
              </w:rPr>
              <w:t>glucoseopløsning</w:t>
            </w:r>
            <w:proofErr w:type="spellEnd"/>
            <w:r>
              <w:rPr>
                <w:sz w:val="24"/>
                <w:szCs w:val="24"/>
              </w:rPr>
              <w:t xml:space="preserve"> med natrium og kalium, </w:t>
            </w:r>
            <w:r w:rsidRPr="00864737">
              <w:rPr>
                <w:sz w:val="24"/>
                <w:szCs w:val="24"/>
              </w:rPr>
              <w:t>til en maksimal infusionsvolumen på 500 ml.</w:t>
            </w:r>
            <w:bookmarkStart w:id="0" w:name="_GoBack"/>
            <w:bookmarkEnd w:id="0"/>
          </w:p>
        </w:tc>
      </w:tr>
    </w:tbl>
    <w:p w14:paraId="2DC1A8F3" w14:textId="6C48EDDC" w:rsidR="00CE3CEF" w:rsidRDefault="00CE3CEF" w:rsidP="00CE3CEF">
      <w:pPr>
        <w:rPr>
          <w:sz w:val="24"/>
          <w:szCs w:val="24"/>
        </w:rPr>
      </w:pPr>
    </w:p>
    <w:p w14:paraId="22B577F3" w14:textId="77777777" w:rsidR="00C406C8" w:rsidRDefault="00C406C8" w:rsidP="00C406C8">
      <w:pPr>
        <w:ind w:left="851"/>
        <w:rPr>
          <w:sz w:val="24"/>
          <w:szCs w:val="24"/>
        </w:rPr>
      </w:pPr>
      <w:r>
        <w:rPr>
          <w:sz w:val="24"/>
          <w:szCs w:val="24"/>
        </w:rPr>
        <w:lastRenderedPageBreak/>
        <w:t xml:space="preserve">Efter tilberedning skal opløsningen være klar. Brug ikke opløsningen, hvis den indeholder synlige partikler. Ubrugt opløsning skal kasseres. </w:t>
      </w:r>
    </w:p>
    <w:p w14:paraId="33061F76" w14:textId="77777777" w:rsidR="00C7542E" w:rsidRPr="00A61FA0" w:rsidRDefault="00C7542E" w:rsidP="00CE3CEF">
      <w:pPr>
        <w:rPr>
          <w:sz w:val="24"/>
          <w:szCs w:val="24"/>
        </w:rPr>
      </w:pPr>
    </w:p>
    <w:p w14:paraId="797B4F69" w14:textId="77777777" w:rsidR="00CE3CEF" w:rsidRPr="00A61FA0" w:rsidRDefault="00CE3CEF" w:rsidP="00CE678E">
      <w:pPr>
        <w:ind w:left="851"/>
        <w:rPr>
          <w:sz w:val="24"/>
          <w:szCs w:val="24"/>
        </w:rPr>
      </w:pPr>
      <w:r w:rsidRPr="00A61FA0">
        <w:rPr>
          <w:sz w:val="24"/>
          <w:szCs w:val="24"/>
        </w:rPr>
        <w:t>Ikke anvendt lægemiddel samt affald heraf skal bortskaffes i henhold til lokale retningslinjer.</w:t>
      </w:r>
    </w:p>
    <w:p w14:paraId="089D224D" w14:textId="77777777" w:rsidR="009260DE" w:rsidRPr="00A61FA0" w:rsidRDefault="009260DE" w:rsidP="000730CA">
      <w:pPr>
        <w:tabs>
          <w:tab w:val="left" w:pos="851"/>
        </w:tabs>
        <w:ind w:left="851"/>
        <w:rPr>
          <w:sz w:val="24"/>
          <w:szCs w:val="24"/>
        </w:rPr>
      </w:pPr>
    </w:p>
    <w:p w14:paraId="0F399069" w14:textId="77777777" w:rsidR="009260DE" w:rsidRPr="00A61FA0" w:rsidRDefault="009260DE" w:rsidP="009260DE">
      <w:pPr>
        <w:tabs>
          <w:tab w:val="left" w:pos="851"/>
        </w:tabs>
        <w:ind w:left="851" w:hanging="851"/>
        <w:rPr>
          <w:b/>
          <w:sz w:val="24"/>
          <w:szCs w:val="24"/>
        </w:rPr>
      </w:pPr>
      <w:r w:rsidRPr="00A61FA0">
        <w:rPr>
          <w:b/>
          <w:sz w:val="24"/>
          <w:szCs w:val="24"/>
        </w:rPr>
        <w:t>7.</w:t>
      </w:r>
      <w:r w:rsidRPr="00A61FA0">
        <w:rPr>
          <w:b/>
          <w:sz w:val="24"/>
          <w:szCs w:val="24"/>
        </w:rPr>
        <w:tab/>
        <w:t>INDEHAVER AF MARKEDSFØRINGSTILLADELSEN</w:t>
      </w:r>
    </w:p>
    <w:p w14:paraId="70093CC7" w14:textId="77777777" w:rsidR="00CE3CEF" w:rsidRPr="00A61FA0" w:rsidRDefault="00CE3CEF" w:rsidP="00CE678E">
      <w:pPr>
        <w:ind w:left="851"/>
        <w:rPr>
          <w:sz w:val="24"/>
          <w:szCs w:val="24"/>
          <w:lang w:eastAsia="ja-JP"/>
        </w:rPr>
      </w:pPr>
      <w:proofErr w:type="spellStart"/>
      <w:r w:rsidRPr="00A61FA0">
        <w:rPr>
          <w:sz w:val="24"/>
          <w:szCs w:val="24"/>
        </w:rPr>
        <w:t>Navamedic</w:t>
      </w:r>
      <w:proofErr w:type="spellEnd"/>
      <w:r w:rsidRPr="00A61FA0">
        <w:rPr>
          <w:sz w:val="24"/>
          <w:szCs w:val="24"/>
        </w:rPr>
        <w:t xml:space="preserve"> ASA</w:t>
      </w:r>
    </w:p>
    <w:p w14:paraId="2D6D96C7" w14:textId="77777777" w:rsidR="00CE3CEF" w:rsidRPr="00A61FA0" w:rsidRDefault="00CE3CEF" w:rsidP="00CE678E">
      <w:pPr>
        <w:ind w:left="851"/>
        <w:rPr>
          <w:spacing w:val="-3"/>
          <w:sz w:val="24"/>
          <w:szCs w:val="24"/>
        </w:rPr>
      </w:pPr>
      <w:r w:rsidRPr="00A61FA0">
        <w:rPr>
          <w:sz w:val="24"/>
          <w:szCs w:val="24"/>
        </w:rPr>
        <w:t>Postboks 2044 Vika</w:t>
      </w:r>
    </w:p>
    <w:p w14:paraId="603E2D21" w14:textId="77777777" w:rsidR="00CE3CEF" w:rsidRPr="00A61FA0" w:rsidRDefault="00CE3CEF" w:rsidP="00CE678E">
      <w:pPr>
        <w:ind w:left="851"/>
        <w:rPr>
          <w:spacing w:val="-3"/>
          <w:sz w:val="24"/>
          <w:szCs w:val="24"/>
        </w:rPr>
      </w:pPr>
      <w:r w:rsidRPr="00A61FA0">
        <w:rPr>
          <w:sz w:val="24"/>
          <w:szCs w:val="24"/>
        </w:rPr>
        <w:t>0125 Oslo</w:t>
      </w:r>
    </w:p>
    <w:p w14:paraId="4C5626DA" w14:textId="77777777" w:rsidR="00CE3CEF" w:rsidRPr="00A61FA0" w:rsidRDefault="00CE3CEF" w:rsidP="00CE678E">
      <w:pPr>
        <w:ind w:left="851"/>
        <w:rPr>
          <w:sz w:val="24"/>
          <w:szCs w:val="24"/>
        </w:rPr>
      </w:pPr>
      <w:r w:rsidRPr="00A61FA0">
        <w:rPr>
          <w:spacing w:val="-3"/>
          <w:sz w:val="24"/>
          <w:szCs w:val="24"/>
        </w:rPr>
        <w:t>Norge</w:t>
      </w:r>
    </w:p>
    <w:p w14:paraId="4E830D43" w14:textId="77777777" w:rsidR="00641C65" w:rsidRPr="00A61FA0" w:rsidRDefault="00641C65" w:rsidP="009260DE">
      <w:pPr>
        <w:tabs>
          <w:tab w:val="left" w:pos="851"/>
        </w:tabs>
        <w:ind w:left="851"/>
        <w:rPr>
          <w:sz w:val="24"/>
          <w:szCs w:val="24"/>
        </w:rPr>
      </w:pPr>
    </w:p>
    <w:p w14:paraId="14A0B3F6" w14:textId="77777777" w:rsidR="009260DE" w:rsidRPr="00A61FA0" w:rsidRDefault="009260DE" w:rsidP="009260DE">
      <w:pPr>
        <w:tabs>
          <w:tab w:val="left" w:pos="851"/>
        </w:tabs>
        <w:ind w:left="851" w:hanging="851"/>
        <w:rPr>
          <w:b/>
          <w:sz w:val="24"/>
          <w:szCs w:val="24"/>
        </w:rPr>
      </w:pPr>
      <w:r w:rsidRPr="00A61FA0">
        <w:rPr>
          <w:b/>
          <w:sz w:val="24"/>
          <w:szCs w:val="24"/>
        </w:rPr>
        <w:t>8.</w:t>
      </w:r>
      <w:r w:rsidRPr="00A61FA0">
        <w:rPr>
          <w:b/>
          <w:sz w:val="24"/>
          <w:szCs w:val="24"/>
        </w:rPr>
        <w:tab/>
        <w:t>MARKEDSFØRINGSTILLADELSESNUMMER (</w:t>
      </w:r>
      <w:r w:rsidR="00BF6243" w:rsidRPr="00A61FA0">
        <w:rPr>
          <w:b/>
          <w:sz w:val="24"/>
          <w:szCs w:val="24"/>
        </w:rPr>
        <w:t>-</w:t>
      </w:r>
      <w:r w:rsidRPr="00A61FA0">
        <w:rPr>
          <w:b/>
          <w:sz w:val="24"/>
          <w:szCs w:val="24"/>
        </w:rPr>
        <w:t>NUMRE)</w:t>
      </w:r>
    </w:p>
    <w:p w14:paraId="74249811" w14:textId="70289F7B" w:rsidR="009260DE" w:rsidRPr="00A61FA0" w:rsidRDefault="00EF4B08" w:rsidP="009260DE">
      <w:pPr>
        <w:tabs>
          <w:tab w:val="left" w:pos="851"/>
        </w:tabs>
        <w:ind w:left="851"/>
        <w:rPr>
          <w:sz w:val="24"/>
          <w:szCs w:val="24"/>
        </w:rPr>
      </w:pPr>
      <w:r w:rsidRPr="00A61FA0">
        <w:rPr>
          <w:sz w:val="24"/>
          <w:szCs w:val="24"/>
        </w:rPr>
        <w:t>1 g: 68479</w:t>
      </w:r>
    </w:p>
    <w:p w14:paraId="03CBDF02" w14:textId="4EE8DBA9" w:rsidR="00EF4B08" w:rsidRPr="00A61FA0" w:rsidRDefault="00EF4B08" w:rsidP="009260DE">
      <w:pPr>
        <w:tabs>
          <w:tab w:val="left" w:pos="851"/>
        </w:tabs>
        <w:ind w:left="851"/>
        <w:rPr>
          <w:sz w:val="24"/>
          <w:szCs w:val="24"/>
        </w:rPr>
      </w:pPr>
      <w:r w:rsidRPr="00A61FA0">
        <w:rPr>
          <w:sz w:val="24"/>
          <w:szCs w:val="24"/>
        </w:rPr>
        <w:t>2 g: 68480</w:t>
      </w:r>
    </w:p>
    <w:p w14:paraId="3AEAAAC1" w14:textId="77777777" w:rsidR="009260DE" w:rsidRPr="00A61FA0" w:rsidRDefault="009260DE" w:rsidP="009260DE">
      <w:pPr>
        <w:tabs>
          <w:tab w:val="left" w:pos="851"/>
        </w:tabs>
        <w:ind w:left="851"/>
        <w:jc w:val="both"/>
        <w:rPr>
          <w:sz w:val="24"/>
          <w:szCs w:val="24"/>
        </w:rPr>
      </w:pPr>
    </w:p>
    <w:p w14:paraId="57A57B37" w14:textId="77777777" w:rsidR="009260DE" w:rsidRPr="00A61FA0" w:rsidRDefault="009260DE" w:rsidP="009260DE">
      <w:pPr>
        <w:tabs>
          <w:tab w:val="left" w:pos="851"/>
        </w:tabs>
        <w:ind w:left="851" w:hanging="851"/>
        <w:rPr>
          <w:b/>
          <w:sz w:val="24"/>
          <w:szCs w:val="24"/>
        </w:rPr>
      </w:pPr>
      <w:r w:rsidRPr="00A61FA0">
        <w:rPr>
          <w:b/>
          <w:sz w:val="24"/>
          <w:szCs w:val="24"/>
        </w:rPr>
        <w:t>9.</w:t>
      </w:r>
      <w:r w:rsidRPr="00A61FA0">
        <w:rPr>
          <w:b/>
          <w:sz w:val="24"/>
          <w:szCs w:val="24"/>
        </w:rPr>
        <w:tab/>
        <w:t>DATO FOR FØRSTE MARKEDSFØRINGSTILLADELSE</w:t>
      </w:r>
    </w:p>
    <w:p w14:paraId="0274C34D" w14:textId="33881399" w:rsidR="009260DE" w:rsidRPr="00A61FA0" w:rsidRDefault="00E16404" w:rsidP="009260DE">
      <w:pPr>
        <w:tabs>
          <w:tab w:val="left" w:pos="851"/>
        </w:tabs>
        <w:ind w:left="851"/>
        <w:rPr>
          <w:sz w:val="24"/>
          <w:szCs w:val="24"/>
        </w:rPr>
      </w:pPr>
      <w:r>
        <w:rPr>
          <w:sz w:val="24"/>
          <w:szCs w:val="24"/>
        </w:rPr>
        <w:t>25. april 2023</w:t>
      </w:r>
    </w:p>
    <w:p w14:paraId="54751E0A" w14:textId="77777777" w:rsidR="009260DE" w:rsidRPr="00A61FA0" w:rsidRDefault="009260DE" w:rsidP="009260DE">
      <w:pPr>
        <w:tabs>
          <w:tab w:val="left" w:pos="851"/>
        </w:tabs>
        <w:ind w:left="851"/>
        <w:rPr>
          <w:sz w:val="24"/>
          <w:szCs w:val="24"/>
        </w:rPr>
      </w:pPr>
    </w:p>
    <w:p w14:paraId="2C0E40E6" w14:textId="77777777" w:rsidR="009260DE" w:rsidRPr="00A61FA0" w:rsidRDefault="009260DE" w:rsidP="009260DE">
      <w:pPr>
        <w:tabs>
          <w:tab w:val="left" w:pos="851"/>
        </w:tabs>
        <w:ind w:left="851" w:hanging="851"/>
        <w:rPr>
          <w:b/>
          <w:sz w:val="24"/>
          <w:szCs w:val="24"/>
        </w:rPr>
      </w:pPr>
      <w:r w:rsidRPr="00A61FA0">
        <w:rPr>
          <w:b/>
          <w:sz w:val="24"/>
          <w:szCs w:val="24"/>
        </w:rPr>
        <w:t>10.</w:t>
      </w:r>
      <w:r w:rsidRPr="00A61FA0">
        <w:rPr>
          <w:b/>
          <w:sz w:val="24"/>
          <w:szCs w:val="24"/>
        </w:rPr>
        <w:tab/>
        <w:t>DATO FOR ÆNDRING AF TEKSTEN</w:t>
      </w:r>
    </w:p>
    <w:p w14:paraId="39DC8B2D" w14:textId="23A536CA" w:rsidR="009260DE" w:rsidRPr="00A61FA0" w:rsidRDefault="00EC42DA" w:rsidP="009260DE">
      <w:pPr>
        <w:tabs>
          <w:tab w:val="left" w:pos="851"/>
        </w:tabs>
        <w:ind w:left="851"/>
        <w:rPr>
          <w:sz w:val="24"/>
          <w:szCs w:val="24"/>
        </w:rPr>
      </w:pPr>
      <w:r>
        <w:rPr>
          <w:sz w:val="24"/>
          <w:szCs w:val="24"/>
        </w:rPr>
        <w:t>0</w:t>
      </w:r>
      <w:r w:rsidR="005C1996">
        <w:rPr>
          <w:sz w:val="24"/>
          <w:szCs w:val="24"/>
        </w:rPr>
        <w:t>9</w:t>
      </w:r>
      <w:r>
        <w:rPr>
          <w:sz w:val="24"/>
          <w:szCs w:val="24"/>
        </w:rPr>
        <w:t>. august 2024</w:t>
      </w:r>
    </w:p>
    <w:sectPr w:rsidR="009260DE" w:rsidRPr="00A61FA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3E55A" w14:textId="77777777" w:rsidR="00A17A12" w:rsidRDefault="00A17A12">
      <w:r>
        <w:separator/>
      </w:r>
    </w:p>
  </w:endnote>
  <w:endnote w:type="continuationSeparator" w:id="0">
    <w:p w14:paraId="645C9C4F" w14:textId="77777777" w:rsidR="00A17A12" w:rsidRDefault="00A1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091AF" w14:textId="77777777" w:rsidR="000259B9" w:rsidRDefault="000259B9">
    <w:pPr>
      <w:pStyle w:val="Sidefod"/>
      <w:pBdr>
        <w:bottom w:val="single" w:sz="6" w:space="1" w:color="auto"/>
      </w:pBdr>
    </w:pPr>
  </w:p>
  <w:p w14:paraId="26C1A524" w14:textId="77777777" w:rsidR="000259B9" w:rsidRDefault="000259B9" w:rsidP="00C42586">
    <w:pPr>
      <w:pStyle w:val="Sidefod"/>
      <w:tabs>
        <w:tab w:val="clear" w:pos="4819"/>
        <w:tab w:val="left" w:pos="8505"/>
      </w:tabs>
      <w:rPr>
        <w:i/>
        <w:sz w:val="18"/>
        <w:szCs w:val="18"/>
      </w:rPr>
    </w:pPr>
  </w:p>
  <w:p w14:paraId="6DE92340" w14:textId="4114A90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F649A">
      <w:rPr>
        <w:i/>
        <w:noProof/>
        <w:sz w:val="18"/>
        <w:szCs w:val="18"/>
      </w:rPr>
      <w:t>Cloxacillin Navamedic, pulver til injektions--infusionsvæske, opløsning 1 g og 2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F0C1" w14:textId="77777777" w:rsidR="00A17A12" w:rsidRDefault="00A17A12">
      <w:r>
        <w:separator/>
      </w:r>
    </w:p>
  </w:footnote>
  <w:footnote w:type="continuationSeparator" w:id="0">
    <w:p w14:paraId="75AFBA54" w14:textId="77777777" w:rsidR="00A17A12" w:rsidRDefault="00A1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A32E65"/>
    <w:multiLevelType w:val="hybridMultilevel"/>
    <w:tmpl w:val="2B3AD056"/>
    <w:lvl w:ilvl="0" w:tplc="C322A856">
      <w:start w:val="4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AF046F4"/>
    <w:multiLevelType w:val="hybridMultilevel"/>
    <w:tmpl w:val="8B98CF68"/>
    <w:lvl w:ilvl="0" w:tplc="C322A856">
      <w:start w:val="4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12"/>
    <w:rsid w:val="000259B9"/>
    <w:rsid w:val="00041491"/>
    <w:rsid w:val="00050D16"/>
    <w:rsid w:val="000730CA"/>
    <w:rsid w:val="00074F2A"/>
    <w:rsid w:val="000A1CA8"/>
    <w:rsid w:val="000A466B"/>
    <w:rsid w:val="000B058C"/>
    <w:rsid w:val="000D68B0"/>
    <w:rsid w:val="000E4EE6"/>
    <w:rsid w:val="001454E2"/>
    <w:rsid w:val="00206CE8"/>
    <w:rsid w:val="0021526C"/>
    <w:rsid w:val="0026166F"/>
    <w:rsid w:val="00264857"/>
    <w:rsid w:val="00283A2B"/>
    <w:rsid w:val="002B30AD"/>
    <w:rsid w:val="002C1EC0"/>
    <w:rsid w:val="002C2C01"/>
    <w:rsid w:val="00341EBF"/>
    <w:rsid w:val="003A29AE"/>
    <w:rsid w:val="003A32D7"/>
    <w:rsid w:val="003B4074"/>
    <w:rsid w:val="003C769A"/>
    <w:rsid w:val="003D3A90"/>
    <w:rsid w:val="003F1838"/>
    <w:rsid w:val="0045746C"/>
    <w:rsid w:val="0049104B"/>
    <w:rsid w:val="004C473B"/>
    <w:rsid w:val="004E3B12"/>
    <w:rsid w:val="00532310"/>
    <w:rsid w:val="00565F0F"/>
    <w:rsid w:val="00594A86"/>
    <w:rsid w:val="00596D86"/>
    <w:rsid w:val="005C1996"/>
    <w:rsid w:val="005F649A"/>
    <w:rsid w:val="00601658"/>
    <w:rsid w:val="00637F5A"/>
    <w:rsid w:val="00641C65"/>
    <w:rsid w:val="006560B1"/>
    <w:rsid w:val="006756DD"/>
    <w:rsid w:val="0071241E"/>
    <w:rsid w:val="00730475"/>
    <w:rsid w:val="00737275"/>
    <w:rsid w:val="00740EEC"/>
    <w:rsid w:val="0078011A"/>
    <w:rsid w:val="00782AF4"/>
    <w:rsid w:val="00790EE7"/>
    <w:rsid w:val="007B6649"/>
    <w:rsid w:val="0082576E"/>
    <w:rsid w:val="008E30F6"/>
    <w:rsid w:val="00907F75"/>
    <w:rsid w:val="009260DE"/>
    <w:rsid w:val="0093258A"/>
    <w:rsid w:val="009C7BA3"/>
    <w:rsid w:val="009D1F5A"/>
    <w:rsid w:val="00A10294"/>
    <w:rsid w:val="00A17A12"/>
    <w:rsid w:val="00A61FA0"/>
    <w:rsid w:val="00A90412"/>
    <w:rsid w:val="00AD54DF"/>
    <w:rsid w:val="00B003BF"/>
    <w:rsid w:val="00B373D7"/>
    <w:rsid w:val="00B40386"/>
    <w:rsid w:val="00B55271"/>
    <w:rsid w:val="00BD7931"/>
    <w:rsid w:val="00BF6243"/>
    <w:rsid w:val="00C36276"/>
    <w:rsid w:val="00C406C8"/>
    <w:rsid w:val="00C42586"/>
    <w:rsid w:val="00C45F6B"/>
    <w:rsid w:val="00C60CCD"/>
    <w:rsid w:val="00C7542E"/>
    <w:rsid w:val="00C82227"/>
    <w:rsid w:val="00C84483"/>
    <w:rsid w:val="00C93A4B"/>
    <w:rsid w:val="00C95551"/>
    <w:rsid w:val="00CB20D7"/>
    <w:rsid w:val="00CE3CEF"/>
    <w:rsid w:val="00CE678E"/>
    <w:rsid w:val="00D020B0"/>
    <w:rsid w:val="00D11748"/>
    <w:rsid w:val="00D237F6"/>
    <w:rsid w:val="00D34D98"/>
    <w:rsid w:val="00D366CF"/>
    <w:rsid w:val="00D709C2"/>
    <w:rsid w:val="00D93992"/>
    <w:rsid w:val="00E01205"/>
    <w:rsid w:val="00E108AA"/>
    <w:rsid w:val="00E16404"/>
    <w:rsid w:val="00E3053B"/>
    <w:rsid w:val="00E3749A"/>
    <w:rsid w:val="00E7437F"/>
    <w:rsid w:val="00E865B8"/>
    <w:rsid w:val="00EC0B9B"/>
    <w:rsid w:val="00EC42DA"/>
    <w:rsid w:val="00ED5E9F"/>
    <w:rsid w:val="00EF4B08"/>
    <w:rsid w:val="00F149A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F43716"/>
  <w15:chartTrackingRefBased/>
  <w15:docId w15:val="{5EBBBB64-CB99-40D7-8746-8DA2D419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CE3CEF"/>
    <w:pPr>
      <w:spacing w:before="120" w:after="120"/>
      <w:jc w:val="both"/>
    </w:pPr>
    <w:rPr>
      <w:sz w:val="22"/>
      <w:lang w:val="en-US"/>
    </w:rPr>
  </w:style>
  <w:style w:type="paragraph" w:styleId="Listeafsnit">
    <w:name w:val="List Paragraph"/>
    <w:basedOn w:val="Normal"/>
    <w:uiPriority w:val="34"/>
    <w:qFormat/>
    <w:rsid w:val="00CE3CEF"/>
    <w:pPr>
      <w:ind w:left="720"/>
      <w:contextualSpacing/>
    </w:pPr>
    <w:rPr>
      <w:sz w:val="22"/>
    </w:rPr>
  </w:style>
  <w:style w:type="character" w:styleId="Hyperlink">
    <w:name w:val="Hyperlink"/>
    <w:uiPriority w:val="99"/>
    <w:semiHidden/>
    <w:unhideWhenUsed/>
    <w:rsid w:val="00CE3CEF"/>
    <w:rPr>
      <w:color w:val="0000FF"/>
      <w:u w:val="single"/>
    </w:rPr>
  </w:style>
  <w:style w:type="character" w:styleId="Fremhv">
    <w:name w:val="Emphasis"/>
    <w:basedOn w:val="Standardskrifttypeiafsnit"/>
    <w:uiPriority w:val="20"/>
    <w:qFormat/>
    <w:rsid w:val="00CE3CEF"/>
    <w:rPr>
      <w:i/>
      <w:iCs/>
    </w:rPr>
  </w:style>
  <w:style w:type="table" w:styleId="Tabel-Gitter">
    <w:name w:val="Table Grid"/>
    <w:basedOn w:val="Tabel-Normal"/>
    <w:uiPriority w:val="59"/>
    <w:rsid w:val="00C7542E"/>
    <w:rPr>
      <w:rFonts w:ascii="Calibri" w:eastAsia="Calibri" w:hAnsi="Calibri"/>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130915">
      <w:bodyDiv w:val="1"/>
      <w:marLeft w:val="0"/>
      <w:marRight w:val="0"/>
      <w:marTop w:val="0"/>
      <w:marBottom w:val="0"/>
      <w:divBdr>
        <w:top w:val="none" w:sz="0" w:space="0" w:color="auto"/>
        <w:left w:val="none" w:sz="0" w:space="0" w:color="auto"/>
        <w:bottom w:val="none" w:sz="0" w:space="0" w:color="auto"/>
        <w:right w:val="none" w:sz="0" w:space="0" w:color="auto"/>
      </w:divBdr>
    </w:div>
    <w:div w:id="12577834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7838863">
      <w:bodyDiv w:val="1"/>
      <w:marLeft w:val="0"/>
      <w:marRight w:val="0"/>
      <w:marTop w:val="0"/>
      <w:marBottom w:val="0"/>
      <w:divBdr>
        <w:top w:val="none" w:sz="0" w:space="0" w:color="auto"/>
        <w:left w:val="none" w:sz="0" w:space="0" w:color="auto"/>
        <w:bottom w:val="none" w:sz="0" w:space="0" w:color="auto"/>
        <w:right w:val="none" w:sz="0" w:space="0" w:color="auto"/>
      </w:divBdr>
    </w:div>
    <w:div w:id="279264256">
      <w:bodyDiv w:val="1"/>
      <w:marLeft w:val="0"/>
      <w:marRight w:val="0"/>
      <w:marTop w:val="0"/>
      <w:marBottom w:val="0"/>
      <w:divBdr>
        <w:top w:val="none" w:sz="0" w:space="0" w:color="auto"/>
        <w:left w:val="none" w:sz="0" w:space="0" w:color="auto"/>
        <w:bottom w:val="none" w:sz="0" w:space="0" w:color="auto"/>
        <w:right w:val="none" w:sz="0" w:space="0" w:color="auto"/>
      </w:divBdr>
    </w:div>
    <w:div w:id="690649637">
      <w:bodyDiv w:val="1"/>
      <w:marLeft w:val="0"/>
      <w:marRight w:val="0"/>
      <w:marTop w:val="0"/>
      <w:marBottom w:val="0"/>
      <w:divBdr>
        <w:top w:val="none" w:sz="0" w:space="0" w:color="auto"/>
        <w:left w:val="none" w:sz="0" w:space="0" w:color="auto"/>
        <w:bottom w:val="none" w:sz="0" w:space="0" w:color="auto"/>
        <w:right w:val="none" w:sz="0" w:space="0" w:color="auto"/>
      </w:divBdr>
    </w:div>
    <w:div w:id="694816680">
      <w:bodyDiv w:val="1"/>
      <w:marLeft w:val="0"/>
      <w:marRight w:val="0"/>
      <w:marTop w:val="0"/>
      <w:marBottom w:val="0"/>
      <w:divBdr>
        <w:top w:val="none" w:sz="0" w:space="0" w:color="auto"/>
        <w:left w:val="none" w:sz="0" w:space="0" w:color="auto"/>
        <w:bottom w:val="none" w:sz="0" w:space="0" w:color="auto"/>
        <w:right w:val="none" w:sz="0" w:space="0" w:color="auto"/>
      </w:divBdr>
    </w:div>
    <w:div w:id="789278564">
      <w:bodyDiv w:val="1"/>
      <w:marLeft w:val="0"/>
      <w:marRight w:val="0"/>
      <w:marTop w:val="0"/>
      <w:marBottom w:val="0"/>
      <w:divBdr>
        <w:top w:val="none" w:sz="0" w:space="0" w:color="auto"/>
        <w:left w:val="none" w:sz="0" w:space="0" w:color="auto"/>
        <w:bottom w:val="none" w:sz="0" w:space="0" w:color="auto"/>
        <w:right w:val="none" w:sz="0" w:space="0" w:color="auto"/>
      </w:divBdr>
    </w:div>
    <w:div w:id="822043843">
      <w:bodyDiv w:val="1"/>
      <w:marLeft w:val="0"/>
      <w:marRight w:val="0"/>
      <w:marTop w:val="0"/>
      <w:marBottom w:val="0"/>
      <w:divBdr>
        <w:top w:val="none" w:sz="0" w:space="0" w:color="auto"/>
        <w:left w:val="none" w:sz="0" w:space="0" w:color="auto"/>
        <w:bottom w:val="none" w:sz="0" w:space="0" w:color="auto"/>
        <w:right w:val="none" w:sz="0" w:space="0" w:color="auto"/>
      </w:divBdr>
    </w:div>
    <w:div w:id="855072542">
      <w:bodyDiv w:val="1"/>
      <w:marLeft w:val="0"/>
      <w:marRight w:val="0"/>
      <w:marTop w:val="0"/>
      <w:marBottom w:val="0"/>
      <w:divBdr>
        <w:top w:val="none" w:sz="0" w:space="0" w:color="auto"/>
        <w:left w:val="none" w:sz="0" w:space="0" w:color="auto"/>
        <w:bottom w:val="none" w:sz="0" w:space="0" w:color="auto"/>
        <w:right w:val="none" w:sz="0" w:space="0" w:color="auto"/>
      </w:divBdr>
    </w:div>
    <w:div w:id="965618951">
      <w:bodyDiv w:val="1"/>
      <w:marLeft w:val="0"/>
      <w:marRight w:val="0"/>
      <w:marTop w:val="0"/>
      <w:marBottom w:val="0"/>
      <w:divBdr>
        <w:top w:val="none" w:sz="0" w:space="0" w:color="auto"/>
        <w:left w:val="none" w:sz="0" w:space="0" w:color="auto"/>
        <w:bottom w:val="none" w:sz="0" w:space="0" w:color="auto"/>
        <w:right w:val="none" w:sz="0" w:space="0" w:color="auto"/>
      </w:divBdr>
    </w:div>
    <w:div w:id="971788585">
      <w:bodyDiv w:val="1"/>
      <w:marLeft w:val="0"/>
      <w:marRight w:val="0"/>
      <w:marTop w:val="0"/>
      <w:marBottom w:val="0"/>
      <w:divBdr>
        <w:top w:val="none" w:sz="0" w:space="0" w:color="auto"/>
        <w:left w:val="none" w:sz="0" w:space="0" w:color="auto"/>
        <w:bottom w:val="none" w:sz="0" w:space="0" w:color="auto"/>
        <w:right w:val="none" w:sz="0" w:space="0" w:color="auto"/>
      </w:divBdr>
    </w:div>
    <w:div w:id="1046831847">
      <w:bodyDiv w:val="1"/>
      <w:marLeft w:val="0"/>
      <w:marRight w:val="0"/>
      <w:marTop w:val="0"/>
      <w:marBottom w:val="0"/>
      <w:divBdr>
        <w:top w:val="none" w:sz="0" w:space="0" w:color="auto"/>
        <w:left w:val="none" w:sz="0" w:space="0" w:color="auto"/>
        <w:bottom w:val="none" w:sz="0" w:space="0" w:color="auto"/>
        <w:right w:val="none" w:sz="0" w:space="0" w:color="auto"/>
      </w:divBdr>
    </w:div>
    <w:div w:id="1087650190">
      <w:bodyDiv w:val="1"/>
      <w:marLeft w:val="0"/>
      <w:marRight w:val="0"/>
      <w:marTop w:val="0"/>
      <w:marBottom w:val="0"/>
      <w:divBdr>
        <w:top w:val="none" w:sz="0" w:space="0" w:color="auto"/>
        <w:left w:val="none" w:sz="0" w:space="0" w:color="auto"/>
        <w:bottom w:val="none" w:sz="0" w:space="0" w:color="auto"/>
        <w:right w:val="none" w:sz="0" w:space="0" w:color="auto"/>
      </w:divBdr>
    </w:div>
    <w:div w:id="1101145279">
      <w:bodyDiv w:val="1"/>
      <w:marLeft w:val="0"/>
      <w:marRight w:val="0"/>
      <w:marTop w:val="0"/>
      <w:marBottom w:val="0"/>
      <w:divBdr>
        <w:top w:val="none" w:sz="0" w:space="0" w:color="auto"/>
        <w:left w:val="none" w:sz="0" w:space="0" w:color="auto"/>
        <w:bottom w:val="none" w:sz="0" w:space="0" w:color="auto"/>
        <w:right w:val="none" w:sz="0" w:space="0" w:color="auto"/>
      </w:divBdr>
    </w:div>
    <w:div w:id="1205676644">
      <w:bodyDiv w:val="1"/>
      <w:marLeft w:val="0"/>
      <w:marRight w:val="0"/>
      <w:marTop w:val="0"/>
      <w:marBottom w:val="0"/>
      <w:divBdr>
        <w:top w:val="none" w:sz="0" w:space="0" w:color="auto"/>
        <w:left w:val="none" w:sz="0" w:space="0" w:color="auto"/>
        <w:bottom w:val="none" w:sz="0" w:space="0" w:color="auto"/>
        <w:right w:val="none" w:sz="0" w:space="0" w:color="auto"/>
      </w:divBdr>
    </w:div>
    <w:div w:id="1413427488">
      <w:bodyDiv w:val="1"/>
      <w:marLeft w:val="0"/>
      <w:marRight w:val="0"/>
      <w:marTop w:val="0"/>
      <w:marBottom w:val="0"/>
      <w:divBdr>
        <w:top w:val="none" w:sz="0" w:space="0" w:color="auto"/>
        <w:left w:val="none" w:sz="0" w:space="0" w:color="auto"/>
        <w:bottom w:val="none" w:sz="0" w:space="0" w:color="auto"/>
        <w:right w:val="none" w:sz="0" w:space="0" w:color="auto"/>
      </w:divBdr>
    </w:div>
    <w:div w:id="1476214654">
      <w:bodyDiv w:val="1"/>
      <w:marLeft w:val="0"/>
      <w:marRight w:val="0"/>
      <w:marTop w:val="0"/>
      <w:marBottom w:val="0"/>
      <w:divBdr>
        <w:top w:val="none" w:sz="0" w:space="0" w:color="auto"/>
        <w:left w:val="none" w:sz="0" w:space="0" w:color="auto"/>
        <w:bottom w:val="none" w:sz="0" w:space="0" w:color="auto"/>
        <w:right w:val="none" w:sz="0" w:space="0" w:color="auto"/>
      </w:divBdr>
    </w:div>
    <w:div w:id="1488744093">
      <w:bodyDiv w:val="1"/>
      <w:marLeft w:val="0"/>
      <w:marRight w:val="0"/>
      <w:marTop w:val="0"/>
      <w:marBottom w:val="0"/>
      <w:divBdr>
        <w:top w:val="none" w:sz="0" w:space="0" w:color="auto"/>
        <w:left w:val="none" w:sz="0" w:space="0" w:color="auto"/>
        <w:bottom w:val="none" w:sz="0" w:space="0" w:color="auto"/>
        <w:right w:val="none" w:sz="0" w:space="0" w:color="auto"/>
      </w:divBdr>
    </w:div>
    <w:div w:id="1524171205">
      <w:bodyDiv w:val="1"/>
      <w:marLeft w:val="0"/>
      <w:marRight w:val="0"/>
      <w:marTop w:val="0"/>
      <w:marBottom w:val="0"/>
      <w:divBdr>
        <w:top w:val="none" w:sz="0" w:space="0" w:color="auto"/>
        <w:left w:val="none" w:sz="0" w:space="0" w:color="auto"/>
        <w:bottom w:val="none" w:sz="0" w:space="0" w:color="auto"/>
        <w:right w:val="none" w:sz="0" w:space="0" w:color="auto"/>
      </w:divBdr>
    </w:div>
    <w:div w:id="1583685215">
      <w:bodyDiv w:val="1"/>
      <w:marLeft w:val="0"/>
      <w:marRight w:val="0"/>
      <w:marTop w:val="0"/>
      <w:marBottom w:val="0"/>
      <w:divBdr>
        <w:top w:val="none" w:sz="0" w:space="0" w:color="auto"/>
        <w:left w:val="none" w:sz="0" w:space="0" w:color="auto"/>
        <w:bottom w:val="none" w:sz="0" w:space="0" w:color="auto"/>
        <w:right w:val="none" w:sz="0" w:space="0" w:color="auto"/>
      </w:divBdr>
    </w:div>
    <w:div w:id="1615399831">
      <w:bodyDiv w:val="1"/>
      <w:marLeft w:val="0"/>
      <w:marRight w:val="0"/>
      <w:marTop w:val="0"/>
      <w:marBottom w:val="0"/>
      <w:divBdr>
        <w:top w:val="none" w:sz="0" w:space="0" w:color="auto"/>
        <w:left w:val="none" w:sz="0" w:space="0" w:color="auto"/>
        <w:bottom w:val="none" w:sz="0" w:space="0" w:color="auto"/>
        <w:right w:val="none" w:sz="0" w:space="0" w:color="auto"/>
      </w:divBdr>
    </w:div>
    <w:div w:id="1701738499">
      <w:bodyDiv w:val="1"/>
      <w:marLeft w:val="0"/>
      <w:marRight w:val="0"/>
      <w:marTop w:val="0"/>
      <w:marBottom w:val="0"/>
      <w:divBdr>
        <w:top w:val="none" w:sz="0" w:space="0" w:color="auto"/>
        <w:left w:val="none" w:sz="0" w:space="0" w:color="auto"/>
        <w:bottom w:val="none" w:sz="0" w:space="0" w:color="auto"/>
        <w:right w:val="none" w:sz="0" w:space="0" w:color="auto"/>
      </w:divBdr>
    </w:div>
    <w:div w:id="1727602367">
      <w:bodyDiv w:val="1"/>
      <w:marLeft w:val="0"/>
      <w:marRight w:val="0"/>
      <w:marTop w:val="0"/>
      <w:marBottom w:val="0"/>
      <w:divBdr>
        <w:top w:val="none" w:sz="0" w:space="0" w:color="auto"/>
        <w:left w:val="none" w:sz="0" w:space="0" w:color="auto"/>
        <w:bottom w:val="none" w:sz="0" w:space="0" w:color="auto"/>
        <w:right w:val="none" w:sz="0" w:space="0" w:color="auto"/>
      </w:divBdr>
    </w:div>
    <w:div w:id="1741639034">
      <w:bodyDiv w:val="1"/>
      <w:marLeft w:val="0"/>
      <w:marRight w:val="0"/>
      <w:marTop w:val="0"/>
      <w:marBottom w:val="0"/>
      <w:divBdr>
        <w:top w:val="none" w:sz="0" w:space="0" w:color="auto"/>
        <w:left w:val="none" w:sz="0" w:space="0" w:color="auto"/>
        <w:bottom w:val="none" w:sz="0" w:space="0" w:color="auto"/>
        <w:right w:val="none" w:sz="0" w:space="0" w:color="auto"/>
      </w:divBdr>
    </w:div>
    <w:div w:id="1766000796">
      <w:bodyDiv w:val="1"/>
      <w:marLeft w:val="0"/>
      <w:marRight w:val="0"/>
      <w:marTop w:val="0"/>
      <w:marBottom w:val="0"/>
      <w:divBdr>
        <w:top w:val="none" w:sz="0" w:space="0" w:color="auto"/>
        <w:left w:val="none" w:sz="0" w:space="0" w:color="auto"/>
        <w:bottom w:val="none" w:sz="0" w:space="0" w:color="auto"/>
        <w:right w:val="none" w:sz="0" w:space="0" w:color="auto"/>
      </w:divBdr>
    </w:div>
    <w:div w:id="1956015311">
      <w:bodyDiv w:val="1"/>
      <w:marLeft w:val="0"/>
      <w:marRight w:val="0"/>
      <w:marTop w:val="0"/>
      <w:marBottom w:val="0"/>
      <w:divBdr>
        <w:top w:val="none" w:sz="0" w:space="0" w:color="auto"/>
        <w:left w:val="none" w:sz="0" w:space="0" w:color="auto"/>
        <w:bottom w:val="none" w:sz="0" w:space="0" w:color="auto"/>
        <w:right w:val="none" w:sz="0" w:space="0" w:color="auto"/>
      </w:divBdr>
    </w:div>
    <w:div w:id="2047024450">
      <w:bodyDiv w:val="1"/>
      <w:marLeft w:val="0"/>
      <w:marRight w:val="0"/>
      <w:marTop w:val="0"/>
      <w:marBottom w:val="0"/>
      <w:divBdr>
        <w:top w:val="none" w:sz="0" w:space="0" w:color="auto"/>
        <w:left w:val="none" w:sz="0" w:space="0" w:color="auto"/>
        <w:bottom w:val="none" w:sz="0" w:space="0" w:color="auto"/>
        <w:right w:val="none" w:sz="0" w:space="0" w:color="auto"/>
      </w:divBdr>
    </w:div>
    <w:div w:id="2110737057">
      <w:bodyDiv w:val="1"/>
      <w:marLeft w:val="0"/>
      <w:marRight w:val="0"/>
      <w:marTop w:val="0"/>
      <w:marBottom w:val="0"/>
      <w:divBdr>
        <w:top w:val="none" w:sz="0" w:space="0" w:color="auto"/>
        <w:left w:val="none" w:sz="0" w:space="0" w:color="auto"/>
        <w:bottom w:val="none" w:sz="0" w:space="0" w:color="auto"/>
        <w:right w:val="none" w:sz="0" w:space="0" w:color="auto"/>
      </w:divBdr>
    </w:div>
    <w:div w:id="21377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8</Pages>
  <Words>1800</Words>
  <Characters>12005</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2023063842_x000d_
SPC pkt. 2, 4.2, 4.4, 4.5, 4.8, 6.3, 6.5 (type III slettet), 6.6</dc:description>
  <cp:lastModifiedBy>Alexandra Wæver</cp:lastModifiedBy>
  <cp:revision>3</cp:revision>
  <cp:lastPrinted>2012-08-22T08:53:00Z</cp:lastPrinted>
  <dcterms:created xsi:type="dcterms:W3CDTF">2024-08-05T11:52:00Z</dcterms:created>
  <dcterms:modified xsi:type="dcterms:W3CDTF">2024-08-09T09:10:00Z</dcterms:modified>
</cp:coreProperties>
</file>