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D31BC" w14:textId="11C56275" w:rsidR="009260DE" w:rsidRPr="004F7343" w:rsidRDefault="0021526C" w:rsidP="0007749E">
      <w:pPr>
        <w:rPr>
          <w:sz w:val="24"/>
          <w:szCs w:val="24"/>
        </w:rPr>
      </w:pPr>
      <w:bookmarkStart w:id="0" w:name="_GoBack"/>
      <w:bookmarkEnd w:id="0"/>
      <w:r w:rsidRPr="002E4320">
        <w:rPr>
          <w:noProof/>
          <w:sz w:val="24"/>
          <w:szCs w:val="24"/>
          <w:lang w:eastAsia="da-DK"/>
        </w:rPr>
        <w:drawing>
          <wp:anchor distT="0" distB="0" distL="114300" distR="114300" simplePos="0" relativeHeight="251658240" behindDoc="0" locked="0" layoutInCell="1" allowOverlap="1" wp14:anchorId="0AA45CBD" wp14:editId="5E866A7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E4320">
        <w:rPr>
          <w:sz w:val="24"/>
          <w:szCs w:val="24"/>
        </w:rPr>
        <w:br w:type="textWrapping" w:clear="all"/>
      </w:r>
    </w:p>
    <w:p w14:paraId="23699F70" w14:textId="4ACCCCF8" w:rsidR="009260DE" w:rsidRPr="002E4320" w:rsidRDefault="009260DE" w:rsidP="009260DE">
      <w:pPr>
        <w:pStyle w:val="Titel"/>
        <w:tabs>
          <w:tab w:val="right" w:pos="9356"/>
        </w:tabs>
        <w:jc w:val="left"/>
        <w:rPr>
          <w:b w:val="0"/>
          <w:szCs w:val="24"/>
          <w:lang w:eastAsia="en-US"/>
        </w:rPr>
      </w:pPr>
      <w:r w:rsidRPr="002E4320">
        <w:rPr>
          <w:b w:val="0"/>
          <w:szCs w:val="24"/>
          <w:lang w:eastAsia="en-US"/>
        </w:rPr>
        <w:tab/>
      </w:r>
      <w:r w:rsidR="00197815">
        <w:rPr>
          <w:szCs w:val="24"/>
        </w:rPr>
        <w:t>31. marts 2025</w:t>
      </w:r>
    </w:p>
    <w:p w14:paraId="411FC1CC" w14:textId="2DE02328" w:rsidR="009260DE" w:rsidRDefault="009260DE" w:rsidP="009260DE">
      <w:pPr>
        <w:pStyle w:val="Titel"/>
        <w:jc w:val="left"/>
        <w:rPr>
          <w:b w:val="0"/>
          <w:szCs w:val="24"/>
        </w:rPr>
      </w:pPr>
    </w:p>
    <w:p w14:paraId="0AB17FF0" w14:textId="77777777" w:rsidR="00197815" w:rsidRPr="005B4B8E" w:rsidRDefault="00197815" w:rsidP="009260DE">
      <w:pPr>
        <w:pStyle w:val="Titel"/>
        <w:jc w:val="left"/>
        <w:rPr>
          <w:b w:val="0"/>
          <w:szCs w:val="24"/>
        </w:rPr>
      </w:pPr>
    </w:p>
    <w:p w14:paraId="7A5A875F" w14:textId="77777777" w:rsidR="009260DE" w:rsidRPr="005B4B8E" w:rsidRDefault="009260DE" w:rsidP="009260DE">
      <w:pPr>
        <w:pStyle w:val="Titel"/>
        <w:jc w:val="left"/>
        <w:rPr>
          <w:b w:val="0"/>
          <w:szCs w:val="24"/>
        </w:rPr>
      </w:pPr>
    </w:p>
    <w:p w14:paraId="7E0846A9" w14:textId="77777777" w:rsidR="009260DE" w:rsidRPr="002E4320" w:rsidRDefault="009260DE" w:rsidP="009260DE">
      <w:pPr>
        <w:jc w:val="center"/>
        <w:rPr>
          <w:b/>
          <w:sz w:val="24"/>
          <w:szCs w:val="24"/>
        </w:rPr>
      </w:pPr>
      <w:r w:rsidRPr="002E4320">
        <w:rPr>
          <w:b/>
          <w:sz w:val="24"/>
          <w:szCs w:val="24"/>
        </w:rPr>
        <w:t>PRODUKTRESUMÉ</w:t>
      </w:r>
    </w:p>
    <w:p w14:paraId="1E8BCB0A" w14:textId="77777777" w:rsidR="009260DE" w:rsidRPr="002E4320" w:rsidRDefault="009260DE" w:rsidP="009260DE">
      <w:pPr>
        <w:jc w:val="center"/>
        <w:rPr>
          <w:b/>
          <w:sz w:val="24"/>
          <w:szCs w:val="24"/>
        </w:rPr>
      </w:pPr>
    </w:p>
    <w:p w14:paraId="73F90C08" w14:textId="77777777" w:rsidR="009260DE" w:rsidRPr="002E4320" w:rsidRDefault="009260DE" w:rsidP="009260DE">
      <w:pPr>
        <w:jc w:val="center"/>
        <w:rPr>
          <w:b/>
          <w:sz w:val="24"/>
          <w:szCs w:val="24"/>
        </w:rPr>
      </w:pPr>
      <w:r w:rsidRPr="002E4320">
        <w:rPr>
          <w:b/>
          <w:sz w:val="24"/>
          <w:szCs w:val="24"/>
        </w:rPr>
        <w:t>for</w:t>
      </w:r>
    </w:p>
    <w:p w14:paraId="344F8119" w14:textId="77777777" w:rsidR="000B058C" w:rsidRPr="002E4320" w:rsidRDefault="000B058C" w:rsidP="009260DE">
      <w:pPr>
        <w:jc w:val="center"/>
        <w:rPr>
          <w:b/>
          <w:sz w:val="24"/>
          <w:szCs w:val="24"/>
        </w:rPr>
      </w:pPr>
    </w:p>
    <w:p w14:paraId="69186F07" w14:textId="0EDE6AD8" w:rsidR="009260DE" w:rsidRPr="002E4320" w:rsidRDefault="00630336" w:rsidP="009260DE">
      <w:pPr>
        <w:jc w:val="center"/>
        <w:rPr>
          <w:b/>
          <w:sz w:val="24"/>
          <w:szCs w:val="24"/>
        </w:rPr>
      </w:pPr>
      <w:proofErr w:type="spellStart"/>
      <w:r w:rsidRPr="002E4320">
        <w:rPr>
          <w:b/>
          <w:sz w:val="24"/>
          <w:szCs w:val="24"/>
        </w:rPr>
        <w:t>Clox</w:t>
      </w:r>
      <w:r w:rsidR="002E53E6" w:rsidRPr="002E4320">
        <w:rPr>
          <w:b/>
          <w:sz w:val="24"/>
          <w:szCs w:val="24"/>
        </w:rPr>
        <w:t>acillin</w:t>
      </w:r>
      <w:proofErr w:type="spellEnd"/>
      <w:r w:rsidR="002E53E6" w:rsidRPr="002E4320">
        <w:rPr>
          <w:b/>
          <w:sz w:val="24"/>
          <w:szCs w:val="24"/>
        </w:rPr>
        <w:t xml:space="preserve"> "Vital Pharma Nordic", pulver til injektions-/infusionsvæske, opløsning</w:t>
      </w:r>
    </w:p>
    <w:p w14:paraId="69683C4D" w14:textId="77777777" w:rsidR="009260DE" w:rsidRPr="002E4320" w:rsidRDefault="009260DE" w:rsidP="009260DE">
      <w:pPr>
        <w:jc w:val="both"/>
        <w:rPr>
          <w:sz w:val="24"/>
          <w:szCs w:val="24"/>
        </w:rPr>
      </w:pPr>
    </w:p>
    <w:p w14:paraId="5EDE513A" w14:textId="77777777" w:rsidR="009260DE" w:rsidRPr="002E4320" w:rsidRDefault="009260DE" w:rsidP="009260DE">
      <w:pPr>
        <w:jc w:val="both"/>
        <w:rPr>
          <w:sz w:val="24"/>
          <w:szCs w:val="24"/>
        </w:rPr>
      </w:pPr>
    </w:p>
    <w:p w14:paraId="11DF168F" w14:textId="77777777" w:rsidR="009260DE" w:rsidRPr="002E4320" w:rsidRDefault="009260DE" w:rsidP="009260DE">
      <w:pPr>
        <w:tabs>
          <w:tab w:val="left" w:pos="851"/>
        </w:tabs>
        <w:ind w:left="851" w:hanging="851"/>
        <w:rPr>
          <w:b/>
          <w:sz w:val="24"/>
          <w:szCs w:val="24"/>
        </w:rPr>
      </w:pPr>
      <w:r w:rsidRPr="002E4320">
        <w:rPr>
          <w:b/>
          <w:sz w:val="24"/>
          <w:szCs w:val="24"/>
        </w:rPr>
        <w:t>0.</w:t>
      </w:r>
      <w:r w:rsidRPr="002E4320">
        <w:rPr>
          <w:b/>
          <w:sz w:val="24"/>
          <w:szCs w:val="24"/>
        </w:rPr>
        <w:tab/>
        <w:t>D.SP.NR.</w:t>
      </w:r>
    </w:p>
    <w:p w14:paraId="3671226C" w14:textId="12C42F8E" w:rsidR="009260DE" w:rsidRPr="002E4320" w:rsidRDefault="002E53E6" w:rsidP="009260DE">
      <w:pPr>
        <w:tabs>
          <w:tab w:val="left" w:pos="851"/>
        </w:tabs>
        <w:ind w:left="851"/>
        <w:rPr>
          <w:sz w:val="24"/>
          <w:szCs w:val="24"/>
        </w:rPr>
      </w:pPr>
      <w:r w:rsidRPr="002E4320">
        <w:rPr>
          <w:sz w:val="24"/>
          <w:szCs w:val="24"/>
        </w:rPr>
        <w:t>32321</w:t>
      </w:r>
    </w:p>
    <w:p w14:paraId="2D426519" w14:textId="77777777" w:rsidR="009260DE" w:rsidRPr="002E4320" w:rsidRDefault="009260DE" w:rsidP="009260DE">
      <w:pPr>
        <w:tabs>
          <w:tab w:val="left" w:pos="851"/>
        </w:tabs>
        <w:ind w:left="851"/>
        <w:rPr>
          <w:sz w:val="24"/>
          <w:szCs w:val="24"/>
        </w:rPr>
      </w:pPr>
    </w:p>
    <w:p w14:paraId="672D3E15" w14:textId="77777777" w:rsidR="009260DE" w:rsidRPr="002E4320" w:rsidRDefault="009260DE" w:rsidP="009260DE">
      <w:pPr>
        <w:tabs>
          <w:tab w:val="left" w:pos="851"/>
        </w:tabs>
        <w:ind w:left="851" w:hanging="851"/>
        <w:rPr>
          <w:b/>
          <w:sz w:val="24"/>
          <w:szCs w:val="24"/>
        </w:rPr>
      </w:pPr>
      <w:r w:rsidRPr="002E4320">
        <w:rPr>
          <w:b/>
          <w:sz w:val="24"/>
          <w:szCs w:val="24"/>
        </w:rPr>
        <w:t>1.</w:t>
      </w:r>
      <w:r w:rsidRPr="002E4320">
        <w:rPr>
          <w:b/>
          <w:sz w:val="24"/>
          <w:szCs w:val="24"/>
        </w:rPr>
        <w:tab/>
        <w:t>LÆGEMIDLETS NAVN</w:t>
      </w:r>
    </w:p>
    <w:p w14:paraId="4DB388D7" w14:textId="52A203A4" w:rsidR="009260DE" w:rsidRPr="002E4320" w:rsidRDefault="002E53E6" w:rsidP="009260DE">
      <w:pPr>
        <w:tabs>
          <w:tab w:val="left" w:pos="851"/>
        </w:tabs>
        <w:ind w:left="851"/>
        <w:rPr>
          <w:sz w:val="24"/>
          <w:szCs w:val="24"/>
        </w:rPr>
      </w:pPr>
      <w:proofErr w:type="spellStart"/>
      <w:r w:rsidRPr="002E4320">
        <w:rPr>
          <w:sz w:val="24"/>
          <w:szCs w:val="24"/>
        </w:rPr>
        <w:t>Cloxacillin</w:t>
      </w:r>
      <w:proofErr w:type="spellEnd"/>
      <w:r w:rsidR="00E305D1" w:rsidRPr="002E4320">
        <w:rPr>
          <w:sz w:val="24"/>
          <w:szCs w:val="24"/>
        </w:rPr>
        <w:t xml:space="preserve"> "Vital Pharma Nordic"</w:t>
      </w:r>
    </w:p>
    <w:p w14:paraId="7B957871" w14:textId="77777777" w:rsidR="009260DE" w:rsidRPr="002E4320" w:rsidRDefault="009260DE" w:rsidP="009260DE">
      <w:pPr>
        <w:tabs>
          <w:tab w:val="left" w:pos="851"/>
        </w:tabs>
        <w:ind w:left="851"/>
        <w:rPr>
          <w:sz w:val="24"/>
          <w:szCs w:val="24"/>
        </w:rPr>
      </w:pPr>
    </w:p>
    <w:p w14:paraId="303A8D2C" w14:textId="77777777" w:rsidR="009260DE" w:rsidRPr="002E4320" w:rsidRDefault="009260DE" w:rsidP="009260DE">
      <w:pPr>
        <w:tabs>
          <w:tab w:val="left" w:pos="851"/>
        </w:tabs>
        <w:ind w:left="851" w:hanging="851"/>
        <w:rPr>
          <w:b/>
          <w:sz w:val="24"/>
          <w:szCs w:val="24"/>
        </w:rPr>
      </w:pPr>
      <w:r w:rsidRPr="002E4320">
        <w:rPr>
          <w:b/>
          <w:sz w:val="24"/>
          <w:szCs w:val="24"/>
        </w:rPr>
        <w:t>2.</w:t>
      </w:r>
      <w:r w:rsidRPr="002E4320">
        <w:rPr>
          <w:b/>
          <w:sz w:val="24"/>
          <w:szCs w:val="24"/>
        </w:rPr>
        <w:tab/>
        <w:t>KVALITATIV OG KVANTITATIV SAMMENSÆTNING</w:t>
      </w:r>
    </w:p>
    <w:p w14:paraId="3FC13426" w14:textId="77777777" w:rsidR="0070652B" w:rsidRPr="002E4320" w:rsidRDefault="0070652B" w:rsidP="0070652B">
      <w:pPr>
        <w:tabs>
          <w:tab w:val="left" w:pos="851"/>
        </w:tabs>
        <w:ind w:left="851"/>
        <w:rPr>
          <w:sz w:val="24"/>
          <w:szCs w:val="24"/>
          <w:lang w:eastAsia="da-DK"/>
        </w:rPr>
      </w:pPr>
      <w:r w:rsidRPr="002E4320">
        <w:rPr>
          <w:sz w:val="24"/>
          <w:szCs w:val="24"/>
        </w:rPr>
        <w:t xml:space="preserve">Hvert hætteglas indeholder </w:t>
      </w:r>
      <w:proofErr w:type="spellStart"/>
      <w:r w:rsidRPr="002E4320">
        <w:rPr>
          <w:sz w:val="24"/>
          <w:szCs w:val="24"/>
        </w:rPr>
        <w:t>cloxacillinnatrium</w:t>
      </w:r>
      <w:proofErr w:type="spellEnd"/>
      <w:r w:rsidRPr="002E4320">
        <w:rPr>
          <w:sz w:val="24"/>
          <w:szCs w:val="24"/>
        </w:rPr>
        <w:t xml:space="preserve"> svarende til 2 g </w:t>
      </w:r>
      <w:proofErr w:type="spellStart"/>
      <w:r w:rsidRPr="002E4320">
        <w:rPr>
          <w:sz w:val="24"/>
          <w:szCs w:val="24"/>
        </w:rPr>
        <w:t>cloxacillin</w:t>
      </w:r>
      <w:proofErr w:type="spellEnd"/>
      <w:r w:rsidRPr="002E4320">
        <w:rPr>
          <w:sz w:val="24"/>
          <w:szCs w:val="24"/>
        </w:rPr>
        <w:t>.</w:t>
      </w:r>
    </w:p>
    <w:p w14:paraId="71FA5C76" w14:textId="77777777" w:rsidR="0070652B" w:rsidRPr="002E4320" w:rsidRDefault="0070652B" w:rsidP="0070652B">
      <w:pPr>
        <w:tabs>
          <w:tab w:val="left" w:pos="851"/>
        </w:tabs>
        <w:ind w:left="851"/>
        <w:rPr>
          <w:sz w:val="24"/>
          <w:szCs w:val="24"/>
        </w:rPr>
      </w:pPr>
    </w:p>
    <w:p w14:paraId="2CB9FFB9" w14:textId="77777777" w:rsidR="0070652B" w:rsidRPr="002E4320" w:rsidRDefault="0070652B" w:rsidP="0070652B">
      <w:pPr>
        <w:tabs>
          <w:tab w:val="left" w:pos="851"/>
        </w:tabs>
        <w:ind w:left="851"/>
        <w:rPr>
          <w:sz w:val="24"/>
          <w:szCs w:val="24"/>
          <w:u w:val="single"/>
        </w:rPr>
      </w:pPr>
      <w:r w:rsidRPr="002E4320">
        <w:rPr>
          <w:sz w:val="24"/>
          <w:szCs w:val="24"/>
          <w:u w:val="single"/>
        </w:rPr>
        <w:t>Hjælpestof, som behandleren skal være opmærksom på</w:t>
      </w:r>
    </w:p>
    <w:p w14:paraId="76942290" w14:textId="77777777" w:rsidR="0070652B" w:rsidRPr="002E4320" w:rsidRDefault="0070652B" w:rsidP="0070652B">
      <w:pPr>
        <w:tabs>
          <w:tab w:val="left" w:pos="851"/>
        </w:tabs>
        <w:ind w:left="851"/>
        <w:rPr>
          <w:sz w:val="24"/>
          <w:szCs w:val="24"/>
        </w:rPr>
      </w:pPr>
      <w:r w:rsidRPr="002E4320">
        <w:rPr>
          <w:sz w:val="24"/>
          <w:szCs w:val="24"/>
        </w:rPr>
        <w:t xml:space="preserve">2 gram af produktet indeholder 96,6 mg natrium. </w:t>
      </w:r>
    </w:p>
    <w:p w14:paraId="2BFEDDA8" w14:textId="77777777" w:rsidR="0070652B" w:rsidRPr="002E4320" w:rsidRDefault="0070652B" w:rsidP="0070652B">
      <w:pPr>
        <w:tabs>
          <w:tab w:val="left" w:pos="851"/>
        </w:tabs>
        <w:ind w:left="851"/>
        <w:rPr>
          <w:sz w:val="24"/>
          <w:szCs w:val="24"/>
        </w:rPr>
      </w:pPr>
    </w:p>
    <w:p w14:paraId="6B8A4CDF" w14:textId="77777777" w:rsidR="0070652B" w:rsidRPr="002E4320" w:rsidRDefault="0070652B" w:rsidP="0070652B">
      <w:pPr>
        <w:tabs>
          <w:tab w:val="left" w:pos="851"/>
        </w:tabs>
        <w:ind w:left="851"/>
        <w:rPr>
          <w:sz w:val="24"/>
          <w:szCs w:val="24"/>
        </w:rPr>
      </w:pPr>
      <w:r w:rsidRPr="002E4320">
        <w:rPr>
          <w:sz w:val="24"/>
          <w:szCs w:val="24"/>
        </w:rPr>
        <w:t>Alle hjælpestoffer er anført under pkt. 6.1.</w:t>
      </w:r>
    </w:p>
    <w:p w14:paraId="1FE32904" w14:textId="77777777" w:rsidR="009260DE" w:rsidRPr="002E4320" w:rsidRDefault="009260DE" w:rsidP="009260DE">
      <w:pPr>
        <w:tabs>
          <w:tab w:val="left" w:pos="851"/>
        </w:tabs>
        <w:ind w:left="851"/>
        <w:rPr>
          <w:sz w:val="24"/>
          <w:szCs w:val="24"/>
        </w:rPr>
      </w:pPr>
    </w:p>
    <w:p w14:paraId="68A93BAB" w14:textId="77777777" w:rsidR="009260DE" w:rsidRPr="002E4320" w:rsidRDefault="009260DE" w:rsidP="009260DE">
      <w:pPr>
        <w:tabs>
          <w:tab w:val="left" w:pos="851"/>
        </w:tabs>
        <w:ind w:left="851" w:hanging="851"/>
        <w:rPr>
          <w:b/>
          <w:sz w:val="24"/>
          <w:szCs w:val="24"/>
        </w:rPr>
      </w:pPr>
      <w:r w:rsidRPr="002E4320">
        <w:rPr>
          <w:b/>
          <w:sz w:val="24"/>
          <w:szCs w:val="24"/>
        </w:rPr>
        <w:t>3.</w:t>
      </w:r>
      <w:r w:rsidRPr="002E4320">
        <w:rPr>
          <w:b/>
          <w:sz w:val="24"/>
          <w:szCs w:val="24"/>
        </w:rPr>
        <w:tab/>
        <w:t>LÆGEMIDDELFORM</w:t>
      </w:r>
    </w:p>
    <w:p w14:paraId="48B02364" w14:textId="23574AB1" w:rsidR="0070652B" w:rsidRPr="002E4320" w:rsidRDefault="0070652B" w:rsidP="0070652B">
      <w:pPr>
        <w:tabs>
          <w:tab w:val="left" w:pos="851"/>
        </w:tabs>
        <w:ind w:left="851"/>
        <w:rPr>
          <w:sz w:val="24"/>
          <w:szCs w:val="24"/>
          <w:lang w:eastAsia="da-DK"/>
        </w:rPr>
      </w:pPr>
      <w:r w:rsidRPr="002E4320">
        <w:rPr>
          <w:sz w:val="24"/>
          <w:szCs w:val="24"/>
        </w:rPr>
        <w:t>Pulver til injektions-/infusionsvæske, opløsning</w:t>
      </w:r>
    </w:p>
    <w:p w14:paraId="284A9DA7" w14:textId="77777777" w:rsidR="0070652B" w:rsidRPr="002E4320" w:rsidRDefault="0070652B" w:rsidP="0070652B">
      <w:pPr>
        <w:tabs>
          <w:tab w:val="left" w:pos="851"/>
        </w:tabs>
        <w:ind w:left="851"/>
        <w:rPr>
          <w:sz w:val="24"/>
          <w:szCs w:val="24"/>
        </w:rPr>
      </w:pPr>
      <w:r w:rsidRPr="002E4320">
        <w:rPr>
          <w:sz w:val="24"/>
          <w:szCs w:val="24"/>
        </w:rPr>
        <w:t xml:space="preserve">Hvidt eller næsten hvidt, krystallinsk pulver. </w:t>
      </w:r>
    </w:p>
    <w:p w14:paraId="518EDFD7" w14:textId="77777777" w:rsidR="0070652B" w:rsidRPr="002E4320" w:rsidRDefault="0070652B" w:rsidP="0070652B">
      <w:pPr>
        <w:tabs>
          <w:tab w:val="left" w:pos="851"/>
        </w:tabs>
        <w:ind w:left="851"/>
        <w:rPr>
          <w:sz w:val="24"/>
          <w:szCs w:val="24"/>
        </w:rPr>
      </w:pPr>
      <w:r w:rsidRPr="002E4320">
        <w:rPr>
          <w:sz w:val="24"/>
          <w:szCs w:val="24"/>
        </w:rPr>
        <w:t>pH-værdien af den tilberedte opløsning er 5,0-7,0.</w:t>
      </w:r>
    </w:p>
    <w:p w14:paraId="52DD3C87" w14:textId="77777777" w:rsidR="009260DE" w:rsidRPr="002E4320" w:rsidRDefault="009260DE" w:rsidP="009260DE">
      <w:pPr>
        <w:tabs>
          <w:tab w:val="left" w:pos="851"/>
        </w:tabs>
        <w:ind w:left="851"/>
        <w:rPr>
          <w:sz w:val="24"/>
          <w:szCs w:val="24"/>
        </w:rPr>
      </w:pPr>
    </w:p>
    <w:p w14:paraId="0C67DF9D" w14:textId="77777777" w:rsidR="009260DE" w:rsidRPr="002E4320" w:rsidRDefault="009260DE" w:rsidP="009260DE">
      <w:pPr>
        <w:tabs>
          <w:tab w:val="left" w:pos="851"/>
        </w:tabs>
        <w:ind w:left="851"/>
        <w:rPr>
          <w:sz w:val="24"/>
          <w:szCs w:val="24"/>
        </w:rPr>
      </w:pPr>
    </w:p>
    <w:p w14:paraId="07FA31FA" w14:textId="77777777" w:rsidR="009260DE" w:rsidRPr="002E4320" w:rsidRDefault="009260DE" w:rsidP="009260DE">
      <w:pPr>
        <w:tabs>
          <w:tab w:val="left" w:pos="851"/>
        </w:tabs>
        <w:ind w:left="851" w:hanging="851"/>
        <w:rPr>
          <w:b/>
          <w:sz w:val="24"/>
          <w:szCs w:val="24"/>
        </w:rPr>
      </w:pPr>
      <w:r w:rsidRPr="002E4320">
        <w:rPr>
          <w:b/>
          <w:sz w:val="24"/>
          <w:szCs w:val="24"/>
        </w:rPr>
        <w:t>4.</w:t>
      </w:r>
      <w:r w:rsidRPr="002E4320">
        <w:rPr>
          <w:b/>
          <w:sz w:val="24"/>
          <w:szCs w:val="24"/>
        </w:rPr>
        <w:tab/>
        <w:t>KLINISKE OPLYSNINGER</w:t>
      </w:r>
    </w:p>
    <w:p w14:paraId="245BF02E" w14:textId="77777777" w:rsidR="009260DE" w:rsidRPr="002E4320" w:rsidRDefault="009260DE" w:rsidP="009260DE">
      <w:pPr>
        <w:tabs>
          <w:tab w:val="left" w:pos="851"/>
        </w:tabs>
        <w:ind w:left="851"/>
        <w:rPr>
          <w:b/>
          <w:sz w:val="24"/>
          <w:szCs w:val="24"/>
        </w:rPr>
      </w:pPr>
    </w:p>
    <w:p w14:paraId="7619DC90" w14:textId="77777777" w:rsidR="009260DE" w:rsidRPr="002E4320" w:rsidRDefault="009260DE" w:rsidP="009260DE">
      <w:pPr>
        <w:tabs>
          <w:tab w:val="left" w:pos="851"/>
        </w:tabs>
        <w:ind w:left="851" w:hanging="851"/>
        <w:rPr>
          <w:b/>
          <w:sz w:val="24"/>
          <w:szCs w:val="24"/>
          <w:u w:val="single"/>
        </w:rPr>
      </w:pPr>
      <w:r w:rsidRPr="002E4320">
        <w:rPr>
          <w:b/>
          <w:sz w:val="24"/>
          <w:szCs w:val="24"/>
        </w:rPr>
        <w:t>4.1</w:t>
      </w:r>
      <w:r w:rsidRPr="002E4320">
        <w:rPr>
          <w:b/>
          <w:sz w:val="24"/>
          <w:szCs w:val="24"/>
        </w:rPr>
        <w:tab/>
        <w:t>Terapeutiske indikationer</w:t>
      </w:r>
    </w:p>
    <w:p w14:paraId="6E5B38A4" w14:textId="77777777" w:rsidR="0070652B" w:rsidRPr="002E4320" w:rsidRDefault="0070652B" w:rsidP="0070652B">
      <w:pPr>
        <w:tabs>
          <w:tab w:val="left" w:pos="851"/>
        </w:tabs>
        <w:ind w:left="851"/>
        <w:rPr>
          <w:sz w:val="24"/>
          <w:szCs w:val="24"/>
          <w:lang w:eastAsia="da-DK"/>
        </w:rPr>
      </w:pPr>
      <w:proofErr w:type="spellStart"/>
      <w:r w:rsidRPr="002E4320">
        <w:rPr>
          <w:sz w:val="24"/>
          <w:szCs w:val="24"/>
        </w:rPr>
        <w:t>Cloxacillin</w:t>
      </w:r>
      <w:proofErr w:type="spellEnd"/>
      <w:r w:rsidRPr="002E4320">
        <w:rPr>
          <w:sz w:val="24"/>
          <w:szCs w:val="24"/>
        </w:rPr>
        <w:t xml:space="preserve"> er indiceret til behandling af infektioner forårsaget af </w:t>
      </w:r>
      <w:proofErr w:type="spellStart"/>
      <w:r w:rsidRPr="002E4320">
        <w:rPr>
          <w:sz w:val="24"/>
          <w:szCs w:val="24"/>
        </w:rPr>
        <w:t>penicillinasedannende</w:t>
      </w:r>
      <w:proofErr w:type="spellEnd"/>
      <w:r w:rsidRPr="002E4320">
        <w:rPr>
          <w:sz w:val="24"/>
          <w:szCs w:val="24"/>
        </w:rPr>
        <w:t xml:space="preserve"> stafylokokker. </w:t>
      </w:r>
    </w:p>
    <w:p w14:paraId="3C98E2F0" w14:textId="77777777" w:rsidR="0070652B" w:rsidRPr="002E4320" w:rsidRDefault="0070652B" w:rsidP="0070652B">
      <w:pPr>
        <w:tabs>
          <w:tab w:val="left" w:pos="851"/>
        </w:tabs>
        <w:ind w:left="851"/>
        <w:rPr>
          <w:sz w:val="24"/>
          <w:szCs w:val="24"/>
        </w:rPr>
      </w:pPr>
    </w:p>
    <w:p w14:paraId="5046F8AA" w14:textId="77777777" w:rsidR="0070652B" w:rsidRPr="002E4320" w:rsidRDefault="0070652B" w:rsidP="0070652B">
      <w:pPr>
        <w:tabs>
          <w:tab w:val="left" w:pos="851"/>
        </w:tabs>
        <w:ind w:left="851"/>
        <w:rPr>
          <w:sz w:val="24"/>
          <w:szCs w:val="24"/>
        </w:rPr>
      </w:pPr>
      <w:proofErr w:type="spellStart"/>
      <w:r w:rsidRPr="002E4320">
        <w:rPr>
          <w:sz w:val="24"/>
          <w:szCs w:val="24"/>
        </w:rPr>
        <w:t>Cloxacillin</w:t>
      </w:r>
      <w:proofErr w:type="spellEnd"/>
      <w:r w:rsidRPr="002E4320">
        <w:rPr>
          <w:sz w:val="24"/>
          <w:szCs w:val="24"/>
        </w:rPr>
        <w:t xml:space="preserve"> er indiceret til behandling af følgende infektioner hos voksne og børn (se pkt. 5.1):</w:t>
      </w:r>
    </w:p>
    <w:p w14:paraId="4DBE65AD" w14:textId="77777777" w:rsidR="0070652B" w:rsidRPr="002E4320" w:rsidRDefault="0070652B" w:rsidP="00EA465D">
      <w:pPr>
        <w:numPr>
          <w:ilvl w:val="0"/>
          <w:numId w:val="6"/>
        </w:numPr>
        <w:tabs>
          <w:tab w:val="left" w:pos="851"/>
        </w:tabs>
        <w:ind w:left="1276" w:hanging="425"/>
        <w:rPr>
          <w:sz w:val="24"/>
          <w:szCs w:val="24"/>
        </w:rPr>
      </w:pPr>
      <w:r w:rsidRPr="002E4320">
        <w:rPr>
          <w:sz w:val="24"/>
          <w:szCs w:val="24"/>
        </w:rPr>
        <w:t xml:space="preserve">infektioner i hud og blødt væv </w:t>
      </w:r>
    </w:p>
    <w:p w14:paraId="1C4F8879" w14:textId="77777777" w:rsidR="0070652B" w:rsidRPr="002E4320" w:rsidRDefault="0070652B" w:rsidP="00EA465D">
      <w:pPr>
        <w:numPr>
          <w:ilvl w:val="0"/>
          <w:numId w:val="6"/>
        </w:numPr>
        <w:tabs>
          <w:tab w:val="left" w:pos="851"/>
        </w:tabs>
        <w:ind w:left="1276" w:hanging="425"/>
        <w:rPr>
          <w:sz w:val="24"/>
          <w:szCs w:val="24"/>
        </w:rPr>
      </w:pPr>
      <w:proofErr w:type="spellStart"/>
      <w:r w:rsidRPr="002E4320">
        <w:rPr>
          <w:sz w:val="24"/>
          <w:szCs w:val="24"/>
        </w:rPr>
        <w:t>endocarditis</w:t>
      </w:r>
      <w:proofErr w:type="spellEnd"/>
    </w:p>
    <w:p w14:paraId="32334FA4" w14:textId="77777777" w:rsidR="0070652B" w:rsidRPr="002E4320" w:rsidRDefault="0070652B" w:rsidP="00EA465D">
      <w:pPr>
        <w:numPr>
          <w:ilvl w:val="0"/>
          <w:numId w:val="6"/>
        </w:numPr>
        <w:tabs>
          <w:tab w:val="left" w:pos="851"/>
        </w:tabs>
        <w:ind w:left="1276" w:hanging="425"/>
        <w:rPr>
          <w:sz w:val="24"/>
          <w:szCs w:val="24"/>
        </w:rPr>
      </w:pPr>
      <w:proofErr w:type="spellStart"/>
      <w:r w:rsidRPr="002E4320">
        <w:rPr>
          <w:sz w:val="24"/>
          <w:szCs w:val="24"/>
        </w:rPr>
        <w:lastRenderedPageBreak/>
        <w:t>osteomyelitis</w:t>
      </w:r>
      <w:proofErr w:type="spellEnd"/>
    </w:p>
    <w:p w14:paraId="75831D91" w14:textId="77777777" w:rsidR="0070652B" w:rsidRPr="002E4320" w:rsidRDefault="0070652B" w:rsidP="00EA465D">
      <w:pPr>
        <w:numPr>
          <w:ilvl w:val="0"/>
          <w:numId w:val="6"/>
        </w:numPr>
        <w:tabs>
          <w:tab w:val="left" w:pos="851"/>
        </w:tabs>
        <w:ind w:left="1276" w:hanging="425"/>
        <w:rPr>
          <w:sz w:val="24"/>
          <w:szCs w:val="24"/>
        </w:rPr>
      </w:pPr>
      <w:proofErr w:type="spellStart"/>
      <w:r w:rsidRPr="002E4320">
        <w:rPr>
          <w:sz w:val="24"/>
          <w:szCs w:val="24"/>
        </w:rPr>
        <w:t>septikæmi</w:t>
      </w:r>
      <w:proofErr w:type="spellEnd"/>
      <w:r w:rsidRPr="002E4320">
        <w:rPr>
          <w:sz w:val="24"/>
          <w:szCs w:val="24"/>
        </w:rPr>
        <w:t>.</w:t>
      </w:r>
    </w:p>
    <w:p w14:paraId="42123F75" w14:textId="77777777" w:rsidR="0070652B" w:rsidRPr="002E4320" w:rsidRDefault="0070652B" w:rsidP="0070652B">
      <w:pPr>
        <w:tabs>
          <w:tab w:val="left" w:pos="851"/>
        </w:tabs>
        <w:ind w:left="851"/>
        <w:rPr>
          <w:sz w:val="24"/>
          <w:szCs w:val="24"/>
        </w:rPr>
      </w:pPr>
    </w:p>
    <w:p w14:paraId="5119480A" w14:textId="77777777" w:rsidR="0070652B" w:rsidRPr="002E4320" w:rsidRDefault="0070652B" w:rsidP="0070652B">
      <w:pPr>
        <w:tabs>
          <w:tab w:val="left" w:pos="851"/>
        </w:tabs>
        <w:ind w:left="851"/>
        <w:rPr>
          <w:sz w:val="24"/>
          <w:szCs w:val="24"/>
        </w:rPr>
      </w:pPr>
      <w:r w:rsidRPr="002E4320">
        <w:rPr>
          <w:sz w:val="24"/>
          <w:szCs w:val="24"/>
        </w:rPr>
        <w:t>Der bør tages hensyn til de officielle retningslinjer for korrekt brug af antibakterielle midler.</w:t>
      </w:r>
    </w:p>
    <w:p w14:paraId="0F7EACFA" w14:textId="77777777" w:rsidR="009260DE" w:rsidRPr="002E4320" w:rsidRDefault="009260DE" w:rsidP="009260DE">
      <w:pPr>
        <w:tabs>
          <w:tab w:val="left" w:pos="851"/>
        </w:tabs>
        <w:ind w:left="851"/>
        <w:rPr>
          <w:sz w:val="24"/>
          <w:szCs w:val="24"/>
        </w:rPr>
      </w:pPr>
    </w:p>
    <w:p w14:paraId="1110695A" w14:textId="77777777" w:rsidR="00111F9A" w:rsidRPr="00C84483" w:rsidRDefault="00111F9A" w:rsidP="00111F9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2F437DAB" w14:textId="77777777" w:rsidR="00EA465D" w:rsidRDefault="00EA465D" w:rsidP="00FD797F">
      <w:pPr>
        <w:tabs>
          <w:tab w:val="left" w:pos="851"/>
        </w:tabs>
        <w:ind w:left="851"/>
        <w:rPr>
          <w:sz w:val="24"/>
          <w:szCs w:val="24"/>
          <w:u w:val="single"/>
        </w:rPr>
      </w:pPr>
    </w:p>
    <w:p w14:paraId="0DA5AF0E" w14:textId="4F955750" w:rsidR="00FD797F" w:rsidRPr="002E4320" w:rsidRDefault="00FD797F" w:rsidP="00FD797F">
      <w:pPr>
        <w:tabs>
          <w:tab w:val="left" w:pos="851"/>
        </w:tabs>
        <w:ind w:left="851"/>
        <w:rPr>
          <w:b/>
          <w:sz w:val="24"/>
          <w:szCs w:val="24"/>
          <w:lang w:eastAsia="da-DK"/>
        </w:rPr>
      </w:pPr>
      <w:r w:rsidRPr="002E4320">
        <w:rPr>
          <w:sz w:val="24"/>
          <w:szCs w:val="24"/>
          <w:u w:val="single"/>
        </w:rPr>
        <w:t>Dosering</w:t>
      </w:r>
    </w:p>
    <w:p w14:paraId="2839590B" w14:textId="77777777" w:rsidR="00FD797F" w:rsidRPr="002E4320" w:rsidRDefault="00FD797F" w:rsidP="00FD797F">
      <w:pPr>
        <w:tabs>
          <w:tab w:val="left" w:pos="851"/>
        </w:tabs>
        <w:ind w:left="851"/>
        <w:rPr>
          <w:i/>
          <w:iCs/>
          <w:sz w:val="24"/>
          <w:szCs w:val="24"/>
        </w:rPr>
      </w:pPr>
    </w:p>
    <w:p w14:paraId="3B19D43C" w14:textId="77777777" w:rsidR="00FD797F" w:rsidRPr="002E4320" w:rsidRDefault="00FD797F" w:rsidP="00FD797F">
      <w:pPr>
        <w:tabs>
          <w:tab w:val="left" w:pos="851"/>
        </w:tabs>
        <w:ind w:left="851"/>
        <w:rPr>
          <w:bCs/>
          <w:i/>
          <w:iCs/>
          <w:sz w:val="24"/>
          <w:szCs w:val="24"/>
        </w:rPr>
      </w:pPr>
      <w:r w:rsidRPr="002E4320">
        <w:rPr>
          <w:i/>
          <w:iCs/>
          <w:sz w:val="24"/>
          <w:szCs w:val="24"/>
        </w:rPr>
        <w:t>Voksne</w:t>
      </w:r>
    </w:p>
    <w:p w14:paraId="68EFE872" w14:textId="77777777" w:rsidR="00FD797F" w:rsidRPr="002E4320" w:rsidRDefault="00FD797F" w:rsidP="00FD797F">
      <w:pPr>
        <w:tabs>
          <w:tab w:val="left" w:pos="851"/>
        </w:tabs>
        <w:ind w:left="851"/>
        <w:rPr>
          <w:sz w:val="24"/>
          <w:szCs w:val="24"/>
        </w:rPr>
      </w:pPr>
      <w:r w:rsidRPr="002E4320">
        <w:rPr>
          <w:sz w:val="24"/>
          <w:szCs w:val="24"/>
        </w:rPr>
        <w:t xml:space="preserve">Intramuskulær injektion: 0,5-1 g 4 gange/24 timer. Opløsningen skal administreres som en dyb intramuskulær injektion. Intramuskulær injektion frarådes ved alvorlige infektioner. </w:t>
      </w:r>
    </w:p>
    <w:p w14:paraId="56B557C5" w14:textId="77777777" w:rsidR="00FD797F" w:rsidRPr="002E4320" w:rsidRDefault="00FD797F" w:rsidP="00FD797F">
      <w:pPr>
        <w:tabs>
          <w:tab w:val="left" w:pos="851"/>
        </w:tabs>
        <w:ind w:left="851"/>
        <w:rPr>
          <w:sz w:val="24"/>
          <w:szCs w:val="24"/>
        </w:rPr>
      </w:pPr>
    </w:p>
    <w:p w14:paraId="05F51229" w14:textId="77777777" w:rsidR="00FD797F" w:rsidRPr="002E4320" w:rsidRDefault="00FD797F" w:rsidP="00FD797F">
      <w:pPr>
        <w:tabs>
          <w:tab w:val="left" w:pos="851"/>
        </w:tabs>
        <w:ind w:left="851"/>
        <w:rPr>
          <w:sz w:val="24"/>
          <w:szCs w:val="24"/>
        </w:rPr>
      </w:pPr>
      <w:r w:rsidRPr="002E4320">
        <w:rPr>
          <w:sz w:val="24"/>
          <w:szCs w:val="24"/>
        </w:rPr>
        <w:t>Intravenøs injektion: 1-2 g 3-4 gange/24 timer. Opløsningen bør gives støt over mindst 3</w:t>
      </w:r>
      <w:r w:rsidRPr="002E4320">
        <w:rPr>
          <w:sz w:val="24"/>
          <w:szCs w:val="24"/>
        </w:rPr>
        <w:noBreakHyphen/>
        <w:t xml:space="preserve">4 minutter pr. g, om muligt i en stor vene. </w:t>
      </w:r>
    </w:p>
    <w:p w14:paraId="25C67075" w14:textId="77777777" w:rsidR="00FD797F" w:rsidRPr="002E4320" w:rsidRDefault="00FD797F" w:rsidP="00FD797F">
      <w:pPr>
        <w:tabs>
          <w:tab w:val="left" w:pos="851"/>
        </w:tabs>
        <w:ind w:left="851"/>
        <w:rPr>
          <w:sz w:val="24"/>
          <w:szCs w:val="24"/>
        </w:rPr>
      </w:pPr>
    </w:p>
    <w:p w14:paraId="48D50FDF" w14:textId="77777777" w:rsidR="00FD797F" w:rsidRPr="002E4320" w:rsidRDefault="00FD797F" w:rsidP="00FD797F">
      <w:pPr>
        <w:tabs>
          <w:tab w:val="left" w:pos="851"/>
        </w:tabs>
        <w:ind w:left="851"/>
        <w:rPr>
          <w:sz w:val="24"/>
          <w:szCs w:val="24"/>
          <w:u w:val="single"/>
        </w:rPr>
      </w:pPr>
      <w:r w:rsidRPr="002E4320">
        <w:rPr>
          <w:sz w:val="24"/>
          <w:szCs w:val="24"/>
          <w:u w:val="single"/>
        </w:rPr>
        <w:t xml:space="preserve">Intravenøs intermitterende infusion (kortvarig infusion): 2 g 4-(6) gange/24 timer. Opløsningen bør gives kontinuert som en infusion over 20(-30) minutter. </w:t>
      </w:r>
    </w:p>
    <w:p w14:paraId="30CEAFE9" w14:textId="77777777" w:rsidR="00FD797F" w:rsidRPr="002E4320" w:rsidRDefault="00FD797F" w:rsidP="00FD797F">
      <w:pPr>
        <w:tabs>
          <w:tab w:val="left" w:pos="851"/>
        </w:tabs>
        <w:ind w:left="851"/>
        <w:rPr>
          <w:sz w:val="24"/>
          <w:szCs w:val="24"/>
          <w:u w:val="single"/>
        </w:rPr>
      </w:pPr>
    </w:p>
    <w:p w14:paraId="043F4594" w14:textId="77777777" w:rsidR="00FD797F" w:rsidRPr="002E4320" w:rsidRDefault="00FD797F" w:rsidP="00FD797F">
      <w:pPr>
        <w:tabs>
          <w:tab w:val="left" w:pos="851"/>
        </w:tabs>
        <w:ind w:left="851"/>
        <w:rPr>
          <w:sz w:val="24"/>
          <w:szCs w:val="24"/>
        </w:rPr>
      </w:pPr>
      <w:r w:rsidRPr="002E4320">
        <w:rPr>
          <w:sz w:val="24"/>
          <w:szCs w:val="24"/>
          <w:u w:val="single"/>
        </w:rPr>
        <w:t xml:space="preserve">Kontinuerlig intravenøs infusion: Den sædvanlige dosis er 6 g/24 timer. Ved alvorlige infektioner, kan denne dosis øges til 12 g/24 timer. </w:t>
      </w:r>
    </w:p>
    <w:p w14:paraId="0A5D00A2" w14:textId="77777777" w:rsidR="00FD797F" w:rsidRPr="002E4320" w:rsidRDefault="00FD797F" w:rsidP="00FD797F">
      <w:pPr>
        <w:tabs>
          <w:tab w:val="left" w:pos="851"/>
        </w:tabs>
        <w:ind w:left="851"/>
        <w:rPr>
          <w:sz w:val="24"/>
          <w:szCs w:val="24"/>
        </w:rPr>
      </w:pPr>
    </w:p>
    <w:p w14:paraId="2CEDED5E" w14:textId="77777777" w:rsidR="00FD797F" w:rsidRPr="002E4320" w:rsidRDefault="00FD797F" w:rsidP="00FD797F">
      <w:pPr>
        <w:tabs>
          <w:tab w:val="left" w:pos="851"/>
        </w:tabs>
        <w:ind w:left="851"/>
        <w:rPr>
          <w:bCs/>
          <w:i/>
          <w:iCs/>
          <w:sz w:val="24"/>
          <w:szCs w:val="24"/>
        </w:rPr>
      </w:pPr>
      <w:r w:rsidRPr="002E4320">
        <w:rPr>
          <w:i/>
          <w:iCs/>
          <w:sz w:val="24"/>
          <w:szCs w:val="24"/>
        </w:rPr>
        <w:t xml:space="preserve">Børn </w:t>
      </w:r>
    </w:p>
    <w:p w14:paraId="3EB7F090" w14:textId="77777777" w:rsidR="00FD797F" w:rsidRPr="002E4320" w:rsidRDefault="00FD797F" w:rsidP="00FD797F">
      <w:pPr>
        <w:tabs>
          <w:tab w:val="left" w:pos="851"/>
        </w:tabs>
        <w:ind w:left="851"/>
        <w:rPr>
          <w:bCs/>
          <w:sz w:val="24"/>
          <w:szCs w:val="24"/>
        </w:rPr>
      </w:pPr>
      <w:r w:rsidRPr="002E4320">
        <w:rPr>
          <w:sz w:val="24"/>
          <w:szCs w:val="24"/>
        </w:rPr>
        <w:t>Intramuskulær injektion: 50 mg/kg/24 timer fordelt på 4 doser.</w:t>
      </w:r>
    </w:p>
    <w:p w14:paraId="31948DBE" w14:textId="77777777" w:rsidR="00FD797F" w:rsidRPr="002E4320" w:rsidRDefault="00FD797F" w:rsidP="00FD797F">
      <w:pPr>
        <w:tabs>
          <w:tab w:val="left" w:pos="851"/>
        </w:tabs>
        <w:ind w:left="851"/>
        <w:rPr>
          <w:bCs/>
          <w:sz w:val="24"/>
          <w:szCs w:val="24"/>
        </w:rPr>
      </w:pPr>
      <w:r w:rsidRPr="002E4320">
        <w:rPr>
          <w:sz w:val="24"/>
          <w:szCs w:val="24"/>
        </w:rPr>
        <w:t xml:space="preserve">Intravenøs injektion: 100 mg/kg/24 timer (eller mere) fordelt på 4-6 doser. </w:t>
      </w:r>
    </w:p>
    <w:p w14:paraId="2B0E8C2A" w14:textId="77777777" w:rsidR="00FD797F" w:rsidRPr="002E4320" w:rsidRDefault="00FD797F" w:rsidP="00FD797F">
      <w:pPr>
        <w:tabs>
          <w:tab w:val="left" w:pos="851"/>
        </w:tabs>
        <w:ind w:left="851"/>
        <w:rPr>
          <w:sz w:val="24"/>
          <w:szCs w:val="24"/>
        </w:rPr>
      </w:pPr>
    </w:p>
    <w:p w14:paraId="6823EE70" w14:textId="77777777" w:rsidR="00FD797F" w:rsidRPr="002E4320" w:rsidRDefault="00FD797F" w:rsidP="00FD797F">
      <w:pPr>
        <w:tabs>
          <w:tab w:val="left" w:pos="851"/>
        </w:tabs>
        <w:ind w:left="851"/>
        <w:rPr>
          <w:sz w:val="24"/>
          <w:szCs w:val="24"/>
        </w:rPr>
      </w:pPr>
      <w:proofErr w:type="spellStart"/>
      <w:r w:rsidRPr="002E4320">
        <w:rPr>
          <w:i/>
          <w:iCs/>
          <w:sz w:val="24"/>
          <w:szCs w:val="24"/>
        </w:rPr>
        <w:t>Endocarditis</w:t>
      </w:r>
      <w:proofErr w:type="spellEnd"/>
      <w:r w:rsidRPr="002E4320">
        <w:rPr>
          <w:b/>
          <w:bCs/>
          <w:sz w:val="24"/>
          <w:szCs w:val="24"/>
        </w:rPr>
        <w:t xml:space="preserve"> </w:t>
      </w:r>
      <w:r w:rsidRPr="002E4320">
        <w:rPr>
          <w:sz w:val="24"/>
          <w:szCs w:val="24"/>
        </w:rPr>
        <w:br/>
        <w:t xml:space="preserve">1 g 6 gange dagligt eller 2 g 4 gange dagligt. </w:t>
      </w:r>
      <w:proofErr w:type="spellStart"/>
      <w:r w:rsidRPr="002E4320">
        <w:rPr>
          <w:sz w:val="24"/>
          <w:szCs w:val="24"/>
        </w:rPr>
        <w:t>Cloxacillin</w:t>
      </w:r>
      <w:proofErr w:type="spellEnd"/>
      <w:r w:rsidRPr="002E4320">
        <w:rPr>
          <w:sz w:val="24"/>
          <w:szCs w:val="24"/>
        </w:rPr>
        <w:t xml:space="preserve"> bør gives i kombination med </w:t>
      </w:r>
      <w:proofErr w:type="gramStart"/>
      <w:r w:rsidRPr="002E4320">
        <w:rPr>
          <w:sz w:val="24"/>
          <w:szCs w:val="24"/>
        </w:rPr>
        <w:t>et aminoglykosid</w:t>
      </w:r>
      <w:proofErr w:type="gramEnd"/>
      <w:r w:rsidRPr="002E4320">
        <w:rPr>
          <w:sz w:val="24"/>
          <w:szCs w:val="24"/>
        </w:rPr>
        <w:t xml:space="preserve"> under den første uges behandling. I alvorlige tilfælde kan dosis øges til 12 g/24 timer, givet som 2 g 6 gange daglig, alternativt 12 g/24 timer som kontinuerlig infusion. </w:t>
      </w:r>
    </w:p>
    <w:p w14:paraId="457F2DF5" w14:textId="77777777" w:rsidR="00FD797F" w:rsidRPr="002E4320" w:rsidRDefault="00FD797F" w:rsidP="00FD797F">
      <w:pPr>
        <w:tabs>
          <w:tab w:val="left" w:pos="851"/>
        </w:tabs>
        <w:ind w:left="851"/>
        <w:rPr>
          <w:sz w:val="24"/>
          <w:szCs w:val="24"/>
        </w:rPr>
      </w:pPr>
    </w:p>
    <w:p w14:paraId="3B12DFBA" w14:textId="77777777" w:rsidR="00FD797F" w:rsidRPr="002E4320" w:rsidRDefault="00FD797F" w:rsidP="00FD797F">
      <w:pPr>
        <w:tabs>
          <w:tab w:val="left" w:pos="851"/>
        </w:tabs>
        <w:ind w:left="851"/>
        <w:rPr>
          <w:i/>
          <w:iCs/>
          <w:sz w:val="24"/>
          <w:szCs w:val="24"/>
        </w:rPr>
      </w:pPr>
      <w:r w:rsidRPr="002E4320">
        <w:rPr>
          <w:i/>
          <w:iCs/>
          <w:sz w:val="24"/>
          <w:szCs w:val="24"/>
        </w:rPr>
        <w:t>Svært nedsat nyrefunktion</w:t>
      </w:r>
    </w:p>
    <w:p w14:paraId="5E1DC699" w14:textId="77777777" w:rsidR="00FD797F" w:rsidRPr="002E4320" w:rsidRDefault="00FD797F" w:rsidP="00FD797F">
      <w:pPr>
        <w:tabs>
          <w:tab w:val="left" w:pos="851"/>
        </w:tabs>
        <w:ind w:left="851"/>
        <w:rPr>
          <w:sz w:val="24"/>
          <w:szCs w:val="24"/>
        </w:rPr>
      </w:pPr>
      <w:r w:rsidRPr="002E4320">
        <w:rPr>
          <w:sz w:val="24"/>
          <w:szCs w:val="24"/>
        </w:rPr>
        <w:t xml:space="preserve">Eliminationen af </w:t>
      </w:r>
      <w:proofErr w:type="spellStart"/>
      <w:r w:rsidRPr="002E4320">
        <w:rPr>
          <w:sz w:val="24"/>
          <w:szCs w:val="24"/>
        </w:rPr>
        <w:t>cloxacillin</w:t>
      </w:r>
      <w:proofErr w:type="spellEnd"/>
      <w:r w:rsidRPr="002E4320">
        <w:rPr>
          <w:sz w:val="24"/>
          <w:szCs w:val="24"/>
        </w:rPr>
        <w:t xml:space="preserve"> falder ved svært nedsat nyrefunktion. Dosisjustering anbefales hos patienter med svært nedsat nyrefunktion. Meget høje doser bør undgås, medmindre det er klinisk nødvendigt, og symptomer på toksicitet bør overvåges (se pkt. 4.4 og 4.9). </w:t>
      </w:r>
    </w:p>
    <w:p w14:paraId="3758C83B" w14:textId="77777777" w:rsidR="00FD797F" w:rsidRPr="002E4320" w:rsidRDefault="00FD797F" w:rsidP="00FD797F">
      <w:pPr>
        <w:tabs>
          <w:tab w:val="left" w:pos="851"/>
        </w:tabs>
        <w:ind w:left="851"/>
        <w:rPr>
          <w:sz w:val="24"/>
          <w:szCs w:val="24"/>
        </w:rPr>
      </w:pPr>
    </w:p>
    <w:p w14:paraId="64064172" w14:textId="77777777" w:rsidR="00FD797F" w:rsidRPr="002E4320" w:rsidRDefault="00FD797F" w:rsidP="00FD797F">
      <w:pPr>
        <w:tabs>
          <w:tab w:val="left" w:pos="851"/>
        </w:tabs>
        <w:ind w:left="851"/>
        <w:rPr>
          <w:sz w:val="24"/>
          <w:szCs w:val="24"/>
        </w:rPr>
      </w:pPr>
      <w:r w:rsidRPr="002E4320">
        <w:rPr>
          <w:sz w:val="24"/>
          <w:szCs w:val="24"/>
        </w:rPr>
        <w:t xml:space="preserve">Parental behandling er indiceret i de tilfælde, hvor patienterne ikke er i stand til at tage lægemidlet oralt, samt i fremskredne tilfælde, hvor det er nødvendigt hurtigt at opnå høje serumkoncentrationer. På grund af </w:t>
      </w:r>
      <w:proofErr w:type="spellStart"/>
      <w:r w:rsidRPr="002E4320">
        <w:rPr>
          <w:sz w:val="24"/>
          <w:szCs w:val="24"/>
        </w:rPr>
        <w:t>cloxacillins</w:t>
      </w:r>
      <w:proofErr w:type="spellEnd"/>
      <w:r w:rsidRPr="002E4320">
        <w:rPr>
          <w:sz w:val="24"/>
          <w:szCs w:val="24"/>
        </w:rPr>
        <w:t xml:space="preserve"> lave toksicitet, kan der efter behov gives meget høje doser </w:t>
      </w:r>
      <w:proofErr w:type="spellStart"/>
      <w:r w:rsidRPr="002E4320">
        <w:rPr>
          <w:sz w:val="24"/>
          <w:szCs w:val="24"/>
        </w:rPr>
        <w:t>cloxacillin</w:t>
      </w:r>
      <w:proofErr w:type="spellEnd"/>
      <w:r w:rsidRPr="002E4320">
        <w:rPr>
          <w:sz w:val="24"/>
          <w:szCs w:val="24"/>
        </w:rPr>
        <w:t xml:space="preserve"> uden risiko for bivirkninger. </w:t>
      </w:r>
    </w:p>
    <w:p w14:paraId="5F098D3A" w14:textId="77777777" w:rsidR="00FD797F" w:rsidRPr="002E4320" w:rsidRDefault="00FD797F" w:rsidP="00FD797F">
      <w:pPr>
        <w:tabs>
          <w:tab w:val="left" w:pos="851"/>
        </w:tabs>
        <w:ind w:left="851"/>
        <w:rPr>
          <w:sz w:val="24"/>
          <w:szCs w:val="24"/>
        </w:rPr>
      </w:pPr>
    </w:p>
    <w:p w14:paraId="0C7BC99B" w14:textId="77777777" w:rsidR="00FD797F" w:rsidRPr="002E4320" w:rsidRDefault="00FD797F" w:rsidP="00FD797F">
      <w:pPr>
        <w:tabs>
          <w:tab w:val="left" w:pos="851"/>
        </w:tabs>
        <w:ind w:left="851"/>
        <w:rPr>
          <w:sz w:val="24"/>
          <w:szCs w:val="24"/>
        </w:rPr>
      </w:pPr>
      <w:r w:rsidRPr="002E4320">
        <w:rPr>
          <w:sz w:val="24"/>
          <w:szCs w:val="24"/>
        </w:rPr>
        <w:t xml:space="preserve">I tilfælde af </w:t>
      </w:r>
      <w:proofErr w:type="spellStart"/>
      <w:r w:rsidRPr="002E4320">
        <w:rPr>
          <w:sz w:val="24"/>
          <w:szCs w:val="24"/>
        </w:rPr>
        <w:t>osteomyelitis</w:t>
      </w:r>
      <w:proofErr w:type="spellEnd"/>
      <w:r w:rsidRPr="002E4320">
        <w:rPr>
          <w:sz w:val="24"/>
          <w:szCs w:val="24"/>
        </w:rPr>
        <w:t xml:space="preserve"> og andre tilstande, hvor det er vanskeligt at opnå tilstrækkelig antibiotikakoncentration i det inficerede område, skal behandlingen efter behov strække sig over måneder eller år. Dette betyder, at den indledende intravenøse behandling skal efterfølges med oral administration af peroral </w:t>
      </w:r>
      <w:proofErr w:type="spellStart"/>
      <w:r w:rsidRPr="002E4320">
        <w:rPr>
          <w:sz w:val="24"/>
          <w:szCs w:val="24"/>
        </w:rPr>
        <w:t>isoxazolyl</w:t>
      </w:r>
      <w:proofErr w:type="spellEnd"/>
      <w:r w:rsidRPr="002E4320">
        <w:rPr>
          <w:sz w:val="24"/>
          <w:szCs w:val="24"/>
        </w:rPr>
        <w:t xml:space="preserve">-penicillin. </w:t>
      </w:r>
    </w:p>
    <w:p w14:paraId="03F2097E" w14:textId="77777777" w:rsidR="00FD797F" w:rsidRPr="002E4320" w:rsidRDefault="00FD797F" w:rsidP="00FD797F">
      <w:pPr>
        <w:tabs>
          <w:tab w:val="left" w:pos="851"/>
        </w:tabs>
        <w:ind w:left="851"/>
        <w:rPr>
          <w:sz w:val="24"/>
          <w:szCs w:val="24"/>
        </w:rPr>
      </w:pPr>
    </w:p>
    <w:p w14:paraId="7762D381" w14:textId="77777777" w:rsidR="00FD797F" w:rsidRPr="002E4320" w:rsidRDefault="00FD797F" w:rsidP="00FD797F">
      <w:pPr>
        <w:tabs>
          <w:tab w:val="left" w:pos="851"/>
        </w:tabs>
        <w:ind w:left="851"/>
        <w:rPr>
          <w:sz w:val="24"/>
          <w:szCs w:val="24"/>
          <w:u w:val="single"/>
        </w:rPr>
      </w:pPr>
      <w:r w:rsidRPr="002E4320">
        <w:rPr>
          <w:sz w:val="24"/>
          <w:szCs w:val="24"/>
          <w:u w:val="single"/>
        </w:rPr>
        <w:t>Administration</w:t>
      </w:r>
    </w:p>
    <w:p w14:paraId="2558E690" w14:textId="77777777" w:rsidR="00FD797F" w:rsidRPr="002E4320" w:rsidRDefault="00FD797F" w:rsidP="00FD797F">
      <w:pPr>
        <w:tabs>
          <w:tab w:val="left" w:pos="851"/>
        </w:tabs>
        <w:ind w:left="851"/>
        <w:rPr>
          <w:sz w:val="24"/>
          <w:szCs w:val="24"/>
        </w:rPr>
      </w:pPr>
      <w:r w:rsidRPr="002E4320">
        <w:rPr>
          <w:sz w:val="24"/>
          <w:szCs w:val="24"/>
        </w:rPr>
        <w:t xml:space="preserve">Intravenøs anvendelse, intramuskulær anvendelse. </w:t>
      </w:r>
    </w:p>
    <w:p w14:paraId="5E91EEF6" w14:textId="77777777" w:rsidR="00FD797F" w:rsidRPr="002E4320" w:rsidRDefault="00FD797F" w:rsidP="00FD797F">
      <w:pPr>
        <w:tabs>
          <w:tab w:val="left" w:pos="851"/>
        </w:tabs>
        <w:ind w:left="851"/>
        <w:rPr>
          <w:sz w:val="24"/>
          <w:szCs w:val="24"/>
        </w:rPr>
      </w:pPr>
      <w:r w:rsidRPr="002E4320">
        <w:rPr>
          <w:sz w:val="24"/>
          <w:szCs w:val="24"/>
        </w:rPr>
        <w:t>Ved intravenøs administration foretrækkes en stor vene.</w:t>
      </w:r>
    </w:p>
    <w:p w14:paraId="1F894C9A" w14:textId="77777777" w:rsidR="00FD797F" w:rsidRPr="002E4320" w:rsidRDefault="00FD797F" w:rsidP="00FD797F">
      <w:pPr>
        <w:tabs>
          <w:tab w:val="left" w:pos="851"/>
        </w:tabs>
        <w:ind w:left="851"/>
        <w:rPr>
          <w:sz w:val="24"/>
          <w:szCs w:val="24"/>
        </w:rPr>
      </w:pPr>
      <w:r w:rsidRPr="002E4320">
        <w:rPr>
          <w:sz w:val="24"/>
          <w:szCs w:val="24"/>
        </w:rPr>
        <w:lastRenderedPageBreak/>
        <w:t xml:space="preserve">For instruktioner om </w:t>
      </w:r>
      <w:proofErr w:type="spellStart"/>
      <w:r w:rsidRPr="002E4320">
        <w:rPr>
          <w:sz w:val="24"/>
          <w:szCs w:val="24"/>
        </w:rPr>
        <w:t>rekonstitution</w:t>
      </w:r>
      <w:proofErr w:type="spellEnd"/>
      <w:r w:rsidRPr="002E4320">
        <w:rPr>
          <w:sz w:val="24"/>
          <w:szCs w:val="24"/>
        </w:rPr>
        <w:t xml:space="preserve"> af lægemidlet før administration, se pkt. 6.6.</w:t>
      </w:r>
    </w:p>
    <w:p w14:paraId="561D4066" w14:textId="77777777" w:rsidR="009260DE" w:rsidRPr="002E4320" w:rsidRDefault="009260DE" w:rsidP="009260DE">
      <w:pPr>
        <w:tabs>
          <w:tab w:val="left" w:pos="851"/>
        </w:tabs>
        <w:ind w:left="851"/>
        <w:rPr>
          <w:sz w:val="24"/>
          <w:szCs w:val="24"/>
        </w:rPr>
      </w:pPr>
    </w:p>
    <w:p w14:paraId="3B3C6DAF" w14:textId="77777777" w:rsidR="009260DE" w:rsidRPr="002E4320" w:rsidRDefault="009260DE" w:rsidP="009260DE">
      <w:pPr>
        <w:tabs>
          <w:tab w:val="left" w:pos="851"/>
        </w:tabs>
        <w:ind w:left="851" w:hanging="851"/>
        <w:rPr>
          <w:b/>
          <w:sz w:val="24"/>
          <w:szCs w:val="24"/>
        </w:rPr>
      </w:pPr>
      <w:r w:rsidRPr="002E4320">
        <w:rPr>
          <w:b/>
          <w:sz w:val="24"/>
          <w:szCs w:val="24"/>
        </w:rPr>
        <w:t>4.3</w:t>
      </w:r>
      <w:r w:rsidRPr="002E4320">
        <w:rPr>
          <w:b/>
          <w:sz w:val="24"/>
          <w:szCs w:val="24"/>
        </w:rPr>
        <w:tab/>
        <w:t>Kontraindikationer</w:t>
      </w:r>
    </w:p>
    <w:p w14:paraId="5DB78AC0" w14:textId="77777777" w:rsidR="00FD797F" w:rsidRPr="002E4320" w:rsidRDefault="00FD797F" w:rsidP="00FD797F">
      <w:pPr>
        <w:tabs>
          <w:tab w:val="left" w:pos="851"/>
        </w:tabs>
        <w:ind w:left="851"/>
        <w:rPr>
          <w:sz w:val="24"/>
          <w:szCs w:val="24"/>
          <w:lang w:eastAsia="da-DK"/>
        </w:rPr>
      </w:pPr>
      <w:r w:rsidRPr="002E4320">
        <w:rPr>
          <w:sz w:val="24"/>
          <w:szCs w:val="24"/>
        </w:rPr>
        <w:t xml:space="preserve">Overfølsomhed over for det aktive stof, andre penicilliner og over for </w:t>
      </w:r>
      <w:proofErr w:type="spellStart"/>
      <w:r w:rsidRPr="002E4320">
        <w:rPr>
          <w:sz w:val="24"/>
          <w:szCs w:val="24"/>
        </w:rPr>
        <w:t>cefalosporiner</w:t>
      </w:r>
      <w:proofErr w:type="spellEnd"/>
      <w:r w:rsidRPr="002E4320">
        <w:rPr>
          <w:sz w:val="24"/>
          <w:szCs w:val="24"/>
        </w:rPr>
        <w:t xml:space="preserve"> (type 1 reaktion).</w:t>
      </w:r>
    </w:p>
    <w:p w14:paraId="36B7D3EE" w14:textId="77777777" w:rsidR="009260DE" w:rsidRPr="002E4320" w:rsidRDefault="009260DE" w:rsidP="009260DE">
      <w:pPr>
        <w:tabs>
          <w:tab w:val="left" w:pos="851"/>
        </w:tabs>
        <w:ind w:left="851"/>
        <w:rPr>
          <w:sz w:val="24"/>
          <w:szCs w:val="24"/>
        </w:rPr>
      </w:pPr>
    </w:p>
    <w:p w14:paraId="454A2F45" w14:textId="77777777" w:rsidR="009260DE" w:rsidRPr="002E4320" w:rsidRDefault="009260DE" w:rsidP="009260DE">
      <w:pPr>
        <w:tabs>
          <w:tab w:val="left" w:pos="851"/>
        </w:tabs>
        <w:ind w:left="851" w:hanging="851"/>
        <w:rPr>
          <w:b/>
          <w:sz w:val="24"/>
          <w:szCs w:val="24"/>
        </w:rPr>
      </w:pPr>
      <w:r w:rsidRPr="002E4320">
        <w:rPr>
          <w:b/>
          <w:sz w:val="24"/>
          <w:szCs w:val="24"/>
        </w:rPr>
        <w:t>4.4</w:t>
      </w:r>
      <w:r w:rsidRPr="002E4320">
        <w:rPr>
          <w:b/>
          <w:sz w:val="24"/>
          <w:szCs w:val="24"/>
        </w:rPr>
        <w:tab/>
        <w:t>Særlige advarsler og forsigtighedsregler vedrørende brugen</w:t>
      </w:r>
    </w:p>
    <w:p w14:paraId="6E35F27E" w14:textId="77777777" w:rsidR="00FD797F" w:rsidRPr="002E4320" w:rsidRDefault="00FD797F" w:rsidP="00FD797F">
      <w:pPr>
        <w:tabs>
          <w:tab w:val="left" w:pos="851"/>
        </w:tabs>
        <w:ind w:left="851"/>
        <w:rPr>
          <w:sz w:val="24"/>
          <w:szCs w:val="24"/>
          <w:lang w:eastAsia="da-DK"/>
        </w:rPr>
      </w:pPr>
      <w:r w:rsidRPr="002E4320">
        <w:rPr>
          <w:sz w:val="24"/>
          <w:szCs w:val="24"/>
        </w:rPr>
        <w:t>I tilfælde af svært nedsat nyrefunktion skal dosis justeres (se pkt. 4.2).</w:t>
      </w:r>
    </w:p>
    <w:p w14:paraId="26A4C96E" w14:textId="77777777" w:rsidR="00FD797F" w:rsidRPr="002E4320" w:rsidRDefault="00FD797F" w:rsidP="00FD797F">
      <w:pPr>
        <w:tabs>
          <w:tab w:val="left" w:pos="851"/>
        </w:tabs>
        <w:ind w:left="851"/>
        <w:rPr>
          <w:sz w:val="24"/>
          <w:szCs w:val="24"/>
        </w:rPr>
      </w:pPr>
    </w:p>
    <w:p w14:paraId="1AD04BF7" w14:textId="77777777" w:rsidR="00FD797F" w:rsidRPr="002E4320" w:rsidRDefault="00FD797F" w:rsidP="00FD797F">
      <w:pPr>
        <w:tabs>
          <w:tab w:val="left" w:pos="851"/>
        </w:tabs>
        <w:ind w:left="851"/>
        <w:rPr>
          <w:sz w:val="24"/>
          <w:szCs w:val="24"/>
        </w:rPr>
      </w:pPr>
      <w:r w:rsidRPr="002E4320">
        <w:rPr>
          <w:sz w:val="24"/>
          <w:szCs w:val="24"/>
        </w:rPr>
        <w:t xml:space="preserve">Før administration af </w:t>
      </w:r>
      <w:proofErr w:type="spellStart"/>
      <w:r w:rsidRPr="002E4320">
        <w:rPr>
          <w:sz w:val="24"/>
          <w:szCs w:val="24"/>
        </w:rPr>
        <w:t>cloxacillin</w:t>
      </w:r>
      <w:proofErr w:type="spellEnd"/>
      <w:r w:rsidRPr="002E4320">
        <w:rPr>
          <w:sz w:val="24"/>
          <w:szCs w:val="24"/>
        </w:rPr>
        <w:t xml:space="preserve"> skal patienten udspørges omhyggeligt vedrørende tidligere overfølsomhedsreaktioner for penicilliner, </w:t>
      </w:r>
      <w:proofErr w:type="spellStart"/>
      <w:r w:rsidRPr="002E4320">
        <w:rPr>
          <w:sz w:val="24"/>
          <w:szCs w:val="24"/>
        </w:rPr>
        <w:t>cefalosporiner</w:t>
      </w:r>
      <w:proofErr w:type="spellEnd"/>
      <w:r w:rsidRPr="002E4320">
        <w:rPr>
          <w:sz w:val="24"/>
          <w:szCs w:val="24"/>
        </w:rPr>
        <w:t xml:space="preserve"> og andre allergener. </w:t>
      </w:r>
    </w:p>
    <w:p w14:paraId="43FF15C0" w14:textId="77777777" w:rsidR="00FD797F" w:rsidRPr="002E4320" w:rsidRDefault="00FD797F" w:rsidP="00FD797F">
      <w:pPr>
        <w:tabs>
          <w:tab w:val="left" w:pos="851"/>
        </w:tabs>
        <w:ind w:left="851"/>
        <w:rPr>
          <w:sz w:val="24"/>
          <w:szCs w:val="24"/>
        </w:rPr>
      </w:pPr>
    </w:p>
    <w:p w14:paraId="2BF24A7B" w14:textId="77777777" w:rsidR="00FD797F" w:rsidRPr="002E4320" w:rsidRDefault="00FD797F" w:rsidP="00FD797F">
      <w:pPr>
        <w:tabs>
          <w:tab w:val="left" w:pos="851"/>
        </w:tabs>
        <w:ind w:left="851"/>
        <w:rPr>
          <w:sz w:val="24"/>
          <w:szCs w:val="24"/>
        </w:rPr>
      </w:pPr>
      <w:r w:rsidRPr="002E4320">
        <w:rPr>
          <w:sz w:val="24"/>
          <w:szCs w:val="24"/>
        </w:rPr>
        <w:t xml:space="preserve">I sjældne tilfælde kan </w:t>
      </w:r>
      <w:proofErr w:type="spellStart"/>
      <w:r w:rsidRPr="002E4320">
        <w:rPr>
          <w:sz w:val="24"/>
          <w:szCs w:val="24"/>
        </w:rPr>
        <w:t>anafylaktisk</w:t>
      </w:r>
      <w:proofErr w:type="spellEnd"/>
      <w:r w:rsidRPr="002E4320">
        <w:rPr>
          <w:sz w:val="24"/>
          <w:szCs w:val="24"/>
        </w:rPr>
        <w:t xml:space="preserve"> reaktion opstå inden for 20-40 minutter.</w:t>
      </w:r>
    </w:p>
    <w:p w14:paraId="09202176" w14:textId="77777777" w:rsidR="00FD797F" w:rsidRPr="002E4320" w:rsidRDefault="00FD797F" w:rsidP="00FD797F">
      <w:pPr>
        <w:tabs>
          <w:tab w:val="left" w:pos="851"/>
        </w:tabs>
        <w:ind w:left="851"/>
        <w:rPr>
          <w:sz w:val="24"/>
          <w:szCs w:val="24"/>
        </w:rPr>
      </w:pPr>
      <w:r w:rsidRPr="002E4320">
        <w:rPr>
          <w:sz w:val="24"/>
          <w:szCs w:val="24"/>
        </w:rPr>
        <w:t xml:space="preserve">Ved </w:t>
      </w:r>
      <w:proofErr w:type="spellStart"/>
      <w:r w:rsidRPr="002E4320">
        <w:rPr>
          <w:sz w:val="24"/>
          <w:szCs w:val="24"/>
        </w:rPr>
        <w:t>anafylaktisk</w:t>
      </w:r>
      <w:proofErr w:type="spellEnd"/>
      <w:r w:rsidRPr="002E4320">
        <w:rPr>
          <w:sz w:val="24"/>
          <w:szCs w:val="24"/>
        </w:rPr>
        <w:t xml:space="preserve"> reaktion: Adrenalin (</w:t>
      </w:r>
      <w:proofErr w:type="spellStart"/>
      <w:r w:rsidRPr="002E4320">
        <w:rPr>
          <w:sz w:val="24"/>
          <w:szCs w:val="24"/>
        </w:rPr>
        <w:t>ephinephrin</w:t>
      </w:r>
      <w:proofErr w:type="spellEnd"/>
      <w:r w:rsidRPr="002E4320">
        <w:rPr>
          <w:sz w:val="24"/>
          <w:szCs w:val="24"/>
        </w:rPr>
        <w:t xml:space="preserve">). Tilstrækkelig intravenøs væskebehandling. </w:t>
      </w:r>
    </w:p>
    <w:p w14:paraId="30B05800" w14:textId="77777777" w:rsidR="00FD797F" w:rsidRPr="002E4320" w:rsidRDefault="00FD797F" w:rsidP="00FD797F">
      <w:pPr>
        <w:tabs>
          <w:tab w:val="left" w:pos="851"/>
        </w:tabs>
        <w:ind w:left="851"/>
        <w:rPr>
          <w:sz w:val="24"/>
          <w:szCs w:val="24"/>
        </w:rPr>
      </w:pPr>
      <w:r w:rsidRPr="002E4320">
        <w:rPr>
          <w:sz w:val="24"/>
          <w:szCs w:val="24"/>
        </w:rPr>
        <w:t xml:space="preserve">Intravenøse </w:t>
      </w:r>
      <w:proofErr w:type="spellStart"/>
      <w:r w:rsidRPr="002E4320">
        <w:rPr>
          <w:sz w:val="24"/>
          <w:szCs w:val="24"/>
        </w:rPr>
        <w:t>kortikosteroider</w:t>
      </w:r>
      <w:proofErr w:type="spellEnd"/>
      <w:r w:rsidRPr="002E4320">
        <w:rPr>
          <w:sz w:val="24"/>
          <w:szCs w:val="24"/>
        </w:rPr>
        <w:t xml:space="preserve"> (f.eks. </w:t>
      </w:r>
      <w:proofErr w:type="spellStart"/>
      <w:r w:rsidRPr="002E4320">
        <w:rPr>
          <w:sz w:val="24"/>
          <w:szCs w:val="24"/>
        </w:rPr>
        <w:t>hydrocortison</w:t>
      </w:r>
      <w:proofErr w:type="spellEnd"/>
      <w:r w:rsidRPr="002E4320">
        <w:rPr>
          <w:sz w:val="24"/>
          <w:szCs w:val="24"/>
        </w:rPr>
        <w:t xml:space="preserve">). Hvis nødvendigt, antihistaminer (f.eks. </w:t>
      </w:r>
      <w:proofErr w:type="spellStart"/>
      <w:r w:rsidRPr="002E4320">
        <w:rPr>
          <w:sz w:val="24"/>
          <w:szCs w:val="24"/>
        </w:rPr>
        <w:t>promethazin</w:t>
      </w:r>
      <w:proofErr w:type="spellEnd"/>
      <w:r w:rsidRPr="002E4320">
        <w:rPr>
          <w:sz w:val="24"/>
          <w:szCs w:val="24"/>
        </w:rPr>
        <w:t>).</w:t>
      </w:r>
    </w:p>
    <w:p w14:paraId="782CD150" w14:textId="77777777" w:rsidR="00FD797F" w:rsidRPr="002E4320" w:rsidRDefault="00FD797F" w:rsidP="00FD797F">
      <w:pPr>
        <w:tabs>
          <w:tab w:val="left" w:pos="851"/>
        </w:tabs>
        <w:ind w:left="851"/>
        <w:rPr>
          <w:sz w:val="24"/>
          <w:szCs w:val="24"/>
        </w:rPr>
      </w:pPr>
    </w:p>
    <w:p w14:paraId="6A66D7AE" w14:textId="77777777" w:rsidR="00FD797F" w:rsidRPr="002E4320" w:rsidRDefault="00FD797F" w:rsidP="00FD797F">
      <w:pPr>
        <w:tabs>
          <w:tab w:val="left" w:pos="851"/>
        </w:tabs>
        <w:ind w:left="851"/>
        <w:rPr>
          <w:sz w:val="24"/>
          <w:szCs w:val="24"/>
        </w:rPr>
      </w:pPr>
      <w:r w:rsidRPr="002E4320">
        <w:rPr>
          <w:sz w:val="24"/>
          <w:szCs w:val="24"/>
        </w:rPr>
        <w:t xml:space="preserve">Der skal udvises forsigtighed hos patienter med samtidige tilstande med akut nyreskade og nedsat leverfunktion, der forårsager hypoalbuminæmi. Da </w:t>
      </w:r>
      <w:proofErr w:type="spellStart"/>
      <w:r w:rsidRPr="002E4320">
        <w:rPr>
          <w:sz w:val="24"/>
          <w:szCs w:val="24"/>
        </w:rPr>
        <w:t>cloxacillin</w:t>
      </w:r>
      <w:proofErr w:type="spellEnd"/>
      <w:r w:rsidRPr="002E4320">
        <w:rPr>
          <w:sz w:val="24"/>
          <w:szCs w:val="24"/>
        </w:rPr>
        <w:t xml:space="preserve"> er stærkt proteinbundet, kan hypoalbuminæmi resultere i høje fraktioner af ubundet lægemiddel i serum, hvilket kan føre til overeksponering for </w:t>
      </w:r>
      <w:proofErr w:type="spellStart"/>
      <w:r w:rsidRPr="002E4320">
        <w:rPr>
          <w:sz w:val="24"/>
          <w:szCs w:val="24"/>
        </w:rPr>
        <w:t>cloxacillin</w:t>
      </w:r>
      <w:proofErr w:type="spellEnd"/>
      <w:r w:rsidRPr="002E4320">
        <w:rPr>
          <w:sz w:val="24"/>
          <w:szCs w:val="24"/>
        </w:rPr>
        <w:t xml:space="preserve"> med risiko for toksiske reaktioner (se pkt. 4.9). Hvis det mistænkes, at der er opstået akut nyreskade som en bivirkning til </w:t>
      </w:r>
      <w:proofErr w:type="spellStart"/>
      <w:r w:rsidRPr="002E4320">
        <w:rPr>
          <w:sz w:val="24"/>
          <w:szCs w:val="24"/>
        </w:rPr>
        <w:t>cloxacillin</w:t>
      </w:r>
      <w:proofErr w:type="spellEnd"/>
      <w:r w:rsidRPr="002E4320">
        <w:rPr>
          <w:sz w:val="24"/>
          <w:szCs w:val="24"/>
        </w:rPr>
        <w:t>, skal behandlingen øjeblikkeligt seponeres.</w:t>
      </w:r>
    </w:p>
    <w:p w14:paraId="066D2487" w14:textId="77777777" w:rsidR="00FD797F" w:rsidRPr="002E4320" w:rsidRDefault="00FD797F" w:rsidP="00FD797F">
      <w:pPr>
        <w:tabs>
          <w:tab w:val="left" w:pos="851"/>
        </w:tabs>
        <w:ind w:left="851"/>
        <w:rPr>
          <w:sz w:val="24"/>
          <w:szCs w:val="24"/>
        </w:rPr>
      </w:pPr>
    </w:p>
    <w:p w14:paraId="241EFB41" w14:textId="5C5EEA5C" w:rsidR="00FD797F" w:rsidRPr="002E4320" w:rsidRDefault="00FD797F" w:rsidP="00FD797F">
      <w:pPr>
        <w:tabs>
          <w:tab w:val="left" w:pos="851"/>
        </w:tabs>
        <w:ind w:left="851"/>
        <w:rPr>
          <w:sz w:val="24"/>
          <w:szCs w:val="24"/>
        </w:rPr>
      </w:pPr>
      <w:r w:rsidRPr="002E4320">
        <w:rPr>
          <w:sz w:val="24"/>
          <w:szCs w:val="24"/>
        </w:rPr>
        <w:t xml:space="preserve">Penicilliner kan, når de gives i høje doser til patienter med svær nyreinsufficiens eller en defekt blod-hjerne barriere, forårsage </w:t>
      </w:r>
      <w:proofErr w:type="spellStart"/>
      <w:r w:rsidRPr="002E4320">
        <w:rPr>
          <w:sz w:val="24"/>
          <w:szCs w:val="24"/>
        </w:rPr>
        <w:t>encephalopati</w:t>
      </w:r>
      <w:proofErr w:type="spellEnd"/>
      <w:r w:rsidRPr="002E4320">
        <w:rPr>
          <w:sz w:val="24"/>
          <w:szCs w:val="24"/>
        </w:rPr>
        <w:t>, som kan være ledsaget af forvirring, bevidsthedspåvirkning, anfald eller unormale bevægelser. Hvis sådanne symptomer opstår, skal dosis reduceres (se pkt. 4.2).</w:t>
      </w:r>
    </w:p>
    <w:p w14:paraId="5399A688" w14:textId="77777777" w:rsidR="00FD797F" w:rsidRPr="002E4320" w:rsidRDefault="00FD797F" w:rsidP="00FD797F">
      <w:pPr>
        <w:tabs>
          <w:tab w:val="left" w:pos="851"/>
        </w:tabs>
        <w:ind w:left="851"/>
        <w:rPr>
          <w:sz w:val="24"/>
          <w:szCs w:val="24"/>
        </w:rPr>
      </w:pPr>
    </w:p>
    <w:p w14:paraId="489698E8" w14:textId="77777777" w:rsidR="00FD797F" w:rsidRPr="002E4320" w:rsidRDefault="00FD797F" w:rsidP="00FD797F">
      <w:pPr>
        <w:tabs>
          <w:tab w:val="left" w:pos="851"/>
        </w:tabs>
        <w:ind w:left="851"/>
        <w:rPr>
          <w:sz w:val="24"/>
          <w:szCs w:val="24"/>
        </w:rPr>
      </w:pPr>
      <w:r w:rsidRPr="002E4320">
        <w:rPr>
          <w:sz w:val="24"/>
          <w:szCs w:val="24"/>
        </w:rPr>
        <w:t xml:space="preserve">Langvarig brug af </w:t>
      </w:r>
      <w:proofErr w:type="spellStart"/>
      <w:r w:rsidRPr="002E4320">
        <w:rPr>
          <w:sz w:val="24"/>
          <w:szCs w:val="24"/>
        </w:rPr>
        <w:t>cloxacillin</w:t>
      </w:r>
      <w:proofErr w:type="spellEnd"/>
      <w:r w:rsidRPr="002E4320">
        <w:rPr>
          <w:sz w:val="24"/>
          <w:szCs w:val="24"/>
        </w:rPr>
        <w:t xml:space="preserve"> kan lejlighedsvis give anledning til vækst af resistente bakterier eller gærarter. Patienterne skal overvåges nøje for tegn på superinfektion.</w:t>
      </w:r>
    </w:p>
    <w:p w14:paraId="5474CC87" w14:textId="77777777" w:rsidR="00FD797F" w:rsidRPr="002E4320" w:rsidRDefault="00FD797F" w:rsidP="00FD797F">
      <w:pPr>
        <w:tabs>
          <w:tab w:val="left" w:pos="851"/>
        </w:tabs>
        <w:ind w:left="851"/>
        <w:rPr>
          <w:bCs/>
          <w:sz w:val="24"/>
          <w:szCs w:val="24"/>
        </w:rPr>
      </w:pPr>
    </w:p>
    <w:p w14:paraId="1FD7457D" w14:textId="77777777" w:rsidR="00FD797F" w:rsidRPr="002E4320" w:rsidRDefault="00FD797F" w:rsidP="00FD797F">
      <w:pPr>
        <w:tabs>
          <w:tab w:val="left" w:pos="851"/>
        </w:tabs>
        <w:ind w:left="851"/>
        <w:rPr>
          <w:bCs/>
          <w:sz w:val="24"/>
          <w:szCs w:val="24"/>
        </w:rPr>
      </w:pPr>
      <w:r w:rsidRPr="002E4320">
        <w:rPr>
          <w:sz w:val="24"/>
          <w:szCs w:val="24"/>
        </w:rPr>
        <w:t xml:space="preserve">Der er rapporteret om antibiotika-associeret colitis og </w:t>
      </w:r>
      <w:proofErr w:type="spellStart"/>
      <w:r w:rsidRPr="002E4320">
        <w:rPr>
          <w:sz w:val="24"/>
          <w:szCs w:val="24"/>
        </w:rPr>
        <w:t>pseudomembranøs</w:t>
      </w:r>
      <w:proofErr w:type="spellEnd"/>
      <w:r w:rsidRPr="002E4320">
        <w:rPr>
          <w:sz w:val="24"/>
          <w:szCs w:val="24"/>
        </w:rPr>
        <w:t xml:space="preserve"> colitis for næsten alle antibakterielle midler, inklusive </w:t>
      </w:r>
      <w:proofErr w:type="spellStart"/>
      <w:r w:rsidRPr="002E4320">
        <w:rPr>
          <w:sz w:val="24"/>
          <w:szCs w:val="24"/>
        </w:rPr>
        <w:t>cloxacillin</w:t>
      </w:r>
      <w:proofErr w:type="spellEnd"/>
      <w:r w:rsidRPr="002E4320">
        <w:rPr>
          <w:sz w:val="24"/>
          <w:szCs w:val="24"/>
        </w:rPr>
        <w:t xml:space="preserve">. Dette kan variere i sværhedsgrad fra mild til livstruende. Derfor er det vigtigt at overveje denne diagnose hos patienter som får diarré efter administration af antibakterielle midler. </w:t>
      </w:r>
      <w:proofErr w:type="spellStart"/>
      <w:r w:rsidRPr="002E4320">
        <w:rPr>
          <w:sz w:val="24"/>
          <w:szCs w:val="24"/>
        </w:rPr>
        <w:t>Seponering</w:t>
      </w:r>
      <w:proofErr w:type="spellEnd"/>
      <w:r w:rsidRPr="002E4320">
        <w:rPr>
          <w:sz w:val="24"/>
          <w:szCs w:val="24"/>
        </w:rPr>
        <w:t xml:space="preserve"> af behandlingen med </w:t>
      </w:r>
      <w:proofErr w:type="spellStart"/>
      <w:r w:rsidRPr="002E4320">
        <w:rPr>
          <w:sz w:val="24"/>
          <w:szCs w:val="24"/>
        </w:rPr>
        <w:t>cloxacillin</w:t>
      </w:r>
      <w:proofErr w:type="spellEnd"/>
      <w:r w:rsidRPr="002E4320">
        <w:rPr>
          <w:sz w:val="24"/>
          <w:szCs w:val="24"/>
        </w:rPr>
        <w:t xml:space="preserve"> og administration af en specifik behandling mod </w:t>
      </w:r>
      <w:proofErr w:type="spellStart"/>
      <w:r w:rsidRPr="002E4320">
        <w:rPr>
          <w:i/>
          <w:iCs/>
          <w:sz w:val="24"/>
          <w:szCs w:val="24"/>
        </w:rPr>
        <w:t>Clostridum</w:t>
      </w:r>
      <w:proofErr w:type="spellEnd"/>
      <w:r w:rsidRPr="002E4320">
        <w:rPr>
          <w:i/>
          <w:iCs/>
          <w:sz w:val="24"/>
          <w:szCs w:val="24"/>
        </w:rPr>
        <w:t xml:space="preserve"> difficile</w:t>
      </w:r>
      <w:r w:rsidRPr="002E4320">
        <w:rPr>
          <w:sz w:val="24"/>
          <w:szCs w:val="24"/>
        </w:rPr>
        <w:t xml:space="preserve"> skal overvejes. Lægemidler, der hæmmer peristaltikken bør ikke gives.</w:t>
      </w:r>
    </w:p>
    <w:p w14:paraId="20919C36" w14:textId="77777777" w:rsidR="00FD797F" w:rsidRPr="002E4320" w:rsidRDefault="00FD797F" w:rsidP="00FD797F">
      <w:pPr>
        <w:tabs>
          <w:tab w:val="left" w:pos="851"/>
        </w:tabs>
        <w:ind w:left="851"/>
        <w:rPr>
          <w:bCs/>
          <w:sz w:val="24"/>
          <w:szCs w:val="24"/>
        </w:rPr>
      </w:pPr>
    </w:p>
    <w:p w14:paraId="0D228841" w14:textId="16BF9695" w:rsidR="00FD797F" w:rsidRPr="002E4320" w:rsidRDefault="00FD797F" w:rsidP="00FD797F">
      <w:pPr>
        <w:tabs>
          <w:tab w:val="left" w:pos="851"/>
        </w:tabs>
        <w:ind w:left="851"/>
        <w:rPr>
          <w:sz w:val="24"/>
          <w:szCs w:val="24"/>
          <w:u w:val="single"/>
        </w:rPr>
      </w:pPr>
      <w:r w:rsidRPr="002E4320">
        <w:rPr>
          <w:sz w:val="24"/>
          <w:szCs w:val="24"/>
          <w:u w:val="single"/>
        </w:rPr>
        <w:t xml:space="preserve">Vigtig information vedrørende natriumindholdet i </w:t>
      </w:r>
      <w:proofErr w:type="spellStart"/>
      <w:r w:rsidRPr="002E4320">
        <w:rPr>
          <w:sz w:val="24"/>
          <w:szCs w:val="24"/>
          <w:u w:val="single"/>
        </w:rPr>
        <w:t>Cloxacillin</w:t>
      </w:r>
      <w:proofErr w:type="spellEnd"/>
      <w:r w:rsidRPr="002E4320">
        <w:rPr>
          <w:sz w:val="24"/>
          <w:szCs w:val="24"/>
          <w:u w:val="single"/>
        </w:rPr>
        <w:t xml:space="preserve"> </w:t>
      </w:r>
      <w:r w:rsidR="00672124">
        <w:rPr>
          <w:sz w:val="24"/>
          <w:szCs w:val="24"/>
          <w:u w:val="single"/>
        </w:rPr>
        <w:t>"Vital Pharma Nordic"</w:t>
      </w:r>
    </w:p>
    <w:p w14:paraId="00D1E7C7" w14:textId="659EB41D" w:rsidR="00FD797F" w:rsidRPr="002E4320" w:rsidRDefault="00FD797F" w:rsidP="00FD797F">
      <w:pPr>
        <w:tabs>
          <w:tab w:val="left" w:pos="851"/>
        </w:tabs>
        <w:ind w:left="851"/>
        <w:rPr>
          <w:sz w:val="24"/>
          <w:szCs w:val="24"/>
        </w:rPr>
      </w:pPr>
      <w:bookmarkStart w:id="1" w:name="_Hlk83302675"/>
      <w:r w:rsidRPr="002E4320">
        <w:rPr>
          <w:sz w:val="24"/>
          <w:szCs w:val="24"/>
        </w:rPr>
        <w:t>Dette lægemiddel indeholder 96,6 mg natrium pr. 2 g dosis</w:t>
      </w:r>
      <w:bookmarkEnd w:id="1"/>
      <w:r w:rsidRPr="002E4320">
        <w:rPr>
          <w:sz w:val="24"/>
          <w:szCs w:val="24"/>
        </w:rPr>
        <w:t xml:space="preserve">, svarende til 5 % af den WHO anbefalede maksimale daglige indtagelse af natrium. Den maksimale daglige dosis af dette lægemiddel svarer til 29 % af den WHO anbefalede maksimale daglige indtagelse af natrium for en voksen. </w:t>
      </w:r>
      <w:proofErr w:type="spellStart"/>
      <w:r w:rsidRPr="002E4320">
        <w:rPr>
          <w:sz w:val="24"/>
          <w:szCs w:val="24"/>
        </w:rPr>
        <w:t>Cloxacillin</w:t>
      </w:r>
      <w:proofErr w:type="spellEnd"/>
      <w:r w:rsidRPr="002E4320">
        <w:rPr>
          <w:sz w:val="24"/>
          <w:szCs w:val="24"/>
        </w:rPr>
        <w:t xml:space="preserve"> </w:t>
      </w:r>
      <w:r w:rsidR="00672124">
        <w:rPr>
          <w:sz w:val="24"/>
          <w:szCs w:val="24"/>
        </w:rPr>
        <w:t>"Vital Pharma Nordic"</w:t>
      </w:r>
      <w:r w:rsidRPr="002E4320">
        <w:rPr>
          <w:sz w:val="24"/>
          <w:szCs w:val="24"/>
        </w:rPr>
        <w:t xml:space="preserve"> anses for at have et højt natriumindhold. Dette skal tages i betragtning hos personer på diæt med lavt saltindhold.</w:t>
      </w:r>
    </w:p>
    <w:p w14:paraId="230F518A" w14:textId="5C28EEC7" w:rsidR="009260DE" w:rsidRPr="002E4320" w:rsidRDefault="009260DE" w:rsidP="006F789B">
      <w:pPr>
        <w:pStyle w:val="Kommentartekst"/>
        <w:rPr>
          <w:sz w:val="24"/>
          <w:szCs w:val="24"/>
        </w:rPr>
      </w:pPr>
    </w:p>
    <w:p w14:paraId="1DB7D6DA" w14:textId="77777777" w:rsidR="009260DE" w:rsidRPr="002E4320" w:rsidRDefault="009260DE" w:rsidP="009260DE">
      <w:pPr>
        <w:tabs>
          <w:tab w:val="left" w:pos="851"/>
        </w:tabs>
        <w:ind w:left="851" w:hanging="851"/>
        <w:rPr>
          <w:b/>
          <w:sz w:val="24"/>
          <w:szCs w:val="24"/>
        </w:rPr>
      </w:pPr>
      <w:r w:rsidRPr="002E4320">
        <w:rPr>
          <w:b/>
          <w:sz w:val="24"/>
          <w:szCs w:val="24"/>
        </w:rPr>
        <w:t>4.5</w:t>
      </w:r>
      <w:r w:rsidRPr="002E4320">
        <w:rPr>
          <w:b/>
          <w:sz w:val="24"/>
          <w:szCs w:val="24"/>
        </w:rPr>
        <w:tab/>
        <w:t>Interaktion med andre lægemidler og andre former for interaktion</w:t>
      </w:r>
    </w:p>
    <w:p w14:paraId="5C687714" w14:textId="77777777" w:rsidR="00EA465D" w:rsidRDefault="00EA465D" w:rsidP="00FD797F">
      <w:pPr>
        <w:tabs>
          <w:tab w:val="left" w:pos="851"/>
        </w:tabs>
        <w:ind w:left="851"/>
        <w:rPr>
          <w:iCs/>
          <w:sz w:val="24"/>
          <w:szCs w:val="24"/>
          <w:u w:val="single"/>
        </w:rPr>
      </w:pPr>
    </w:p>
    <w:p w14:paraId="54E597DA" w14:textId="4B38C849" w:rsidR="00FD797F" w:rsidRPr="002E4320" w:rsidRDefault="00FD797F" w:rsidP="00FD797F">
      <w:pPr>
        <w:tabs>
          <w:tab w:val="left" w:pos="851"/>
        </w:tabs>
        <w:ind w:left="851"/>
        <w:rPr>
          <w:sz w:val="24"/>
          <w:szCs w:val="24"/>
          <w:u w:val="single"/>
          <w:lang w:eastAsia="da-DK"/>
        </w:rPr>
      </w:pPr>
      <w:proofErr w:type="spellStart"/>
      <w:r w:rsidRPr="002E4320">
        <w:rPr>
          <w:iCs/>
          <w:sz w:val="24"/>
          <w:szCs w:val="24"/>
          <w:u w:val="single"/>
        </w:rPr>
        <w:t>Probenecid</w:t>
      </w:r>
      <w:proofErr w:type="spellEnd"/>
    </w:p>
    <w:p w14:paraId="06FF72FF" w14:textId="77777777" w:rsidR="00FD797F" w:rsidRPr="002E4320" w:rsidRDefault="00FD797F" w:rsidP="00FD797F">
      <w:pPr>
        <w:tabs>
          <w:tab w:val="left" w:pos="851"/>
        </w:tabs>
        <w:ind w:left="851"/>
        <w:rPr>
          <w:sz w:val="24"/>
          <w:szCs w:val="24"/>
        </w:rPr>
      </w:pPr>
      <w:proofErr w:type="spellStart"/>
      <w:r w:rsidRPr="002E4320">
        <w:rPr>
          <w:sz w:val="24"/>
          <w:szCs w:val="24"/>
        </w:rPr>
        <w:t>Probenecid</w:t>
      </w:r>
      <w:proofErr w:type="spellEnd"/>
      <w:r w:rsidRPr="002E4320">
        <w:rPr>
          <w:sz w:val="24"/>
          <w:szCs w:val="24"/>
        </w:rPr>
        <w:t xml:space="preserve"> hæmmer den </w:t>
      </w:r>
      <w:proofErr w:type="spellStart"/>
      <w:r w:rsidRPr="002E4320">
        <w:rPr>
          <w:sz w:val="24"/>
          <w:szCs w:val="24"/>
        </w:rPr>
        <w:t>tubulære</w:t>
      </w:r>
      <w:proofErr w:type="spellEnd"/>
      <w:r w:rsidRPr="002E4320">
        <w:rPr>
          <w:sz w:val="24"/>
          <w:szCs w:val="24"/>
        </w:rPr>
        <w:t xml:space="preserve"> udskillelse af penicillin. Derfor hæmmer samtidig administration af </w:t>
      </w:r>
      <w:proofErr w:type="spellStart"/>
      <w:r w:rsidRPr="002E4320">
        <w:rPr>
          <w:sz w:val="24"/>
          <w:szCs w:val="24"/>
        </w:rPr>
        <w:t>probenecid</w:t>
      </w:r>
      <w:proofErr w:type="spellEnd"/>
      <w:r w:rsidRPr="002E4320">
        <w:rPr>
          <w:sz w:val="24"/>
          <w:szCs w:val="24"/>
        </w:rPr>
        <w:t xml:space="preserve"> den </w:t>
      </w:r>
      <w:proofErr w:type="spellStart"/>
      <w:r w:rsidRPr="002E4320">
        <w:rPr>
          <w:sz w:val="24"/>
          <w:szCs w:val="24"/>
        </w:rPr>
        <w:t>tubulære</w:t>
      </w:r>
      <w:proofErr w:type="spellEnd"/>
      <w:r w:rsidRPr="002E4320">
        <w:rPr>
          <w:sz w:val="24"/>
          <w:szCs w:val="24"/>
        </w:rPr>
        <w:t xml:space="preserve"> udskillelse af penicillin.  </w:t>
      </w:r>
    </w:p>
    <w:p w14:paraId="10EB4A3A" w14:textId="0722C3A4" w:rsidR="00792BD3" w:rsidRDefault="00792BD3">
      <w:pPr>
        <w:rPr>
          <w:sz w:val="24"/>
          <w:szCs w:val="24"/>
        </w:rPr>
      </w:pPr>
      <w:r>
        <w:rPr>
          <w:sz w:val="24"/>
          <w:szCs w:val="24"/>
        </w:rPr>
        <w:br w:type="page"/>
      </w:r>
    </w:p>
    <w:p w14:paraId="5BB81D14" w14:textId="77777777" w:rsidR="00FD797F" w:rsidRPr="002E4320" w:rsidRDefault="00FD797F" w:rsidP="00FD797F">
      <w:pPr>
        <w:tabs>
          <w:tab w:val="left" w:pos="851"/>
        </w:tabs>
        <w:ind w:left="851"/>
        <w:rPr>
          <w:sz w:val="24"/>
          <w:szCs w:val="24"/>
        </w:rPr>
      </w:pPr>
    </w:p>
    <w:p w14:paraId="2D8B3F48" w14:textId="77777777" w:rsidR="00FD797F" w:rsidRPr="002E4320" w:rsidRDefault="00FD797F" w:rsidP="00FD797F">
      <w:pPr>
        <w:tabs>
          <w:tab w:val="left" w:pos="851"/>
        </w:tabs>
        <w:ind w:left="851"/>
        <w:rPr>
          <w:sz w:val="24"/>
          <w:szCs w:val="24"/>
          <w:u w:val="single"/>
        </w:rPr>
      </w:pPr>
      <w:proofErr w:type="spellStart"/>
      <w:r w:rsidRPr="002E4320">
        <w:rPr>
          <w:iCs/>
          <w:sz w:val="24"/>
          <w:szCs w:val="24"/>
          <w:u w:val="single"/>
        </w:rPr>
        <w:t>Methotrexat</w:t>
      </w:r>
      <w:proofErr w:type="spellEnd"/>
      <w:r w:rsidRPr="002E4320">
        <w:rPr>
          <w:sz w:val="24"/>
          <w:szCs w:val="24"/>
          <w:u w:val="single"/>
        </w:rPr>
        <w:t xml:space="preserve"> </w:t>
      </w:r>
    </w:p>
    <w:p w14:paraId="52076713" w14:textId="77777777" w:rsidR="00FD797F" w:rsidRPr="002E4320" w:rsidRDefault="00FD797F" w:rsidP="00FD797F">
      <w:pPr>
        <w:tabs>
          <w:tab w:val="left" w:pos="851"/>
        </w:tabs>
        <w:ind w:left="851"/>
        <w:rPr>
          <w:sz w:val="24"/>
          <w:szCs w:val="24"/>
        </w:rPr>
      </w:pPr>
      <w:r w:rsidRPr="002E4320">
        <w:rPr>
          <w:sz w:val="24"/>
          <w:szCs w:val="24"/>
        </w:rPr>
        <w:t xml:space="preserve">Samtidig brug af </w:t>
      </w:r>
      <w:proofErr w:type="spellStart"/>
      <w:r w:rsidRPr="002E4320">
        <w:rPr>
          <w:sz w:val="24"/>
          <w:szCs w:val="24"/>
        </w:rPr>
        <w:t>methotrexat</w:t>
      </w:r>
      <w:proofErr w:type="spellEnd"/>
      <w:r w:rsidRPr="002E4320">
        <w:rPr>
          <w:sz w:val="24"/>
          <w:szCs w:val="24"/>
        </w:rPr>
        <w:t xml:space="preserve"> kan forårsage øget effekt/toksicitet af </w:t>
      </w:r>
      <w:proofErr w:type="spellStart"/>
      <w:r w:rsidRPr="002E4320">
        <w:rPr>
          <w:sz w:val="24"/>
          <w:szCs w:val="24"/>
        </w:rPr>
        <w:t>methotrexat</w:t>
      </w:r>
      <w:proofErr w:type="spellEnd"/>
      <w:r w:rsidRPr="002E4320">
        <w:rPr>
          <w:sz w:val="24"/>
          <w:szCs w:val="24"/>
        </w:rPr>
        <w:t xml:space="preserve"> på grund af reduceret elimination. Patienten skal overvåges nøje for symptomer på overdosering af </w:t>
      </w:r>
      <w:proofErr w:type="spellStart"/>
      <w:r w:rsidRPr="002E4320">
        <w:rPr>
          <w:sz w:val="24"/>
          <w:szCs w:val="24"/>
        </w:rPr>
        <w:t>methotrexat</w:t>
      </w:r>
      <w:proofErr w:type="spellEnd"/>
      <w:r w:rsidRPr="002E4320">
        <w:rPr>
          <w:sz w:val="24"/>
          <w:szCs w:val="24"/>
        </w:rPr>
        <w:t>.</w:t>
      </w:r>
    </w:p>
    <w:p w14:paraId="010A2D68" w14:textId="77777777" w:rsidR="00FD797F" w:rsidRPr="002E4320" w:rsidRDefault="00FD797F" w:rsidP="00FD797F">
      <w:pPr>
        <w:tabs>
          <w:tab w:val="left" w:pos="851"/>
        </w:tabs>
        <w:ind w:left="851"/>
        <w:rPr>
          <w:sz w:val="24"/>
          <w:szCs w:val="24"/>
        </w:rPr>
      </w:pPr>
    </w:p>
    <w:p w14:paraId="05A21B1E" w14:textId="77777777" w:rsidR="00197815" w:rsidRDefault="00197815" w:rsidP="00197815">
      <w:pPr>
        <w:tabs>
          <w:tab w:val="left" w:pos="851"/>
        </w:tabs>
        <w:ind w:left="851"/>
        <w:rPr>
          <w:iCs/>
          <w:sz w:val="24"/>
          <w:szCs w:val="24"/>
          <w:u w:val="single"/>
        </w:rPr>
      </w:pPr>
      <w:proofErr w:type="spellStart"/>
      <w:r>
        <w:rPr>
          <w:iCs/>
          <w:sz w:val="24"/>
          <w:szCs w:val="24"/>
          <w:u w:val="single"/>
        </w:rPr>
        <w:t>Dicumarol</w:t>
      </w:r>
      <w:proofErr w:type="spellEnd"/>
      <w:r>
        <w:rPr>
          <w:iCs/>
          <w:sz w:val="24"/>
          <w:szCs w:val="24"/>
          <w:u w:val="single"/>
        </w:rPr>
        <w:t xml:space="preserve"> lægemidler</w:t>
      </w:r>
    </w:p>
    <w:p w14:paraId="36F70CB0" w14:textId="77777777" w:rsidR="00197815" w:rsidRDefault="00197815" w:rsidP="00197815">
      <w:pPr>
        <w:tabs>
          <w:tab w:val="left" w:pos="851"/>
        </w:tabs>
        <w:ind w:left="851"/>
        <w:rPr>
          <w:sz w:val="24"/>
          <w:szCs w:val="24"/>
        </w:rPr>
      </w:pPr>
      <w:r>
        <w:rPr>
          <w:sz w:val="24"/>
          <w:szCs w:val="24"/>
        </w:rPr>
        <w:t xml:space="preserve">Effekten af </w:t>
      </w:r>
      <w:proofErr w:type="spellStart"/>
      <w:r>
        <w:rPr>
          <w:sz w:val="24"/>
          <w:szCs w:val="24"/>
        </w:rPr>
        <w:t>warfarin</w:t>
      </w:r>
      <w:proofErr w:type="spellEnd"/>
      <w:r>
        <w:rPr>
          <w:sz w:val="24"/>
          <w:szCs w:val="24"/>
        </w:rPr>
        <w:t>/</w:t>
      </w:r>
      <w:proofErr w:type="spellStart"/>
      <w:r>
        <w:rPr>
          <w:sz w:val="24"/>
          <w:szCs w:val="24"/>
        </w:rPr>
        <w:t>dicumarol</w:t>
      </w:r>
      <w:proofErr w:type="spellEnd"/>
      <w:r>
        <w:rPr>
          <w:sz w:val="24"/>
          <w:szCs w:val="24"/>
        </w:rPr>
        <w:t xml:space="preserve"> kan blive reduceret ved samtidig behandling med </w:t>
      </w:r>
      <w:proofErr w:type="spellStart"/>
      <w:r>
        <w:rPr>
          <w:sz w:val="24"/>
          <w:szCs w:val="24"/>
        </w:rPr>
        <w:t>cloxacillin</w:t>
      </w:r>
      <w:proofErr w:type="spellEnd"/>
      <w:r>
        <w:rPr>
          <w:sz w:val="24"/>
          <w:szCs w:val="24"/>
        </w:rPr>
        <w:t>. Kombinationen kan kræve en dosisjustering.</w:t>
      </w:r>
    </w:p>
    <w:p w14:paraId="5C1659FA" w14:textId="77777777" w:rsidR="00197815" w:rsidRPr="002E4320" w:rsidRDefault="00197815" w:rsidP="009260DE">
      <w:pPr>
        <w:tabs>
          <w:tab w:val="left" w:pos="851"/>
        </w:tabs>
        <w:ind w:left="851"/>
        <w:rPr>
          <w:sz w:val="24"/>
          <w:szCs w:val="24"/>
        </w:rPr>
      </w:pPr>
    </w:p>
    <w:p w14:paraId="34DB9698" w14:textId="77777777" w:rsidR="00111F9A" w:rsidRPr="00C84483" w:rsidRDefault="00111F9A" w:rsidP="00111F9A">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423C5238" w14:textId="77777777" w:rsidR="00EA465D" w:rsidRDefault="00EA465D" w:rsidP="00FD797F">
      <w:pPr>
        <w:tabs>
          <w:tab w:val="left" w:pos="851"/>
        </w:tabs>
        <w:ind w:left="851"/>
        <w:rPr>
          <w:sz w:val="24"/>
          <w:szCs w:val="24"/>
          <w:u w:val="single"/>
        </w:rPr>
      </w:pPr>
    </w:p>
    <w:p w14:paraId="0AE0E415" w14:textId="2EAD1CF3" w:rsidR="00FD797F" w:rsidRPr="002E4320" w:rsidRDefault="00FD797F" w:rsidP="00FD797F">
      <w:pPr>
        <w:tabs>
          <w:tab w:val="left" w:pos="851"/>
        </w:tabs>
        <w:ind w:left="851"/>
        <w:rPr>
          <w:i/>
          <w:sz w:val="24"/>
          <w:szCs w:val="24"/>
          <w:lang w:eastAsia="da-DK"/>
        </w:rPr>
      </w:pPr>
      <w:r w:rsidRPr="002E4320">
        <w:rPr>
          <w:sz w:val="24"/>
          <w:szCs w:val="24"/>
          <w:u w:val="single"/>
        </w:rPr>
        <w:t>Graviditet</w:t>
      </w:r>
    </w:p>
    <w:p w14:paraId="709AA29D" w14:textId="77777777" w:rsidR="00FD797F" w:rsidRPr="002E4320" w:rsidRDefault="00FD797F" w:rsidP="00FD797F">
      <w:pPr>
        <w:tabs>
          <w:tab w:val="left" w:pos="851"/>
        </w:tabs>
        <w:ind w:left="851"/>
        <w:rPr>
          <w:sz w:val="24"/>
          <w:szCs w:val="24"/>
        </w:rPr>
      </w:pPr>
      <w:r w:rsidRPr="002E4320">
        <w:rPr>
          <w:sz w:val="24"/>
          <w:szCs w:val="24"/>
        </w:rPr>
        <w:t xml:space="preserve">Klinisk erfaring indikerer lille risiko for skadelige effekter på graviditeten, eller på fosterets eller det nyfødte barns helbred. </w:t>
      </w:r>
      <w:proofErr w:type="spellStart"/>
      <w:r w:rsidRPr="002E4320">
        <w:rPr>
          <w:sz w:val="24"/>
          <w:szCs w:val="24"/>
        </w:rPr>
        <w:t>Cloxacillin</w:t>
      </w:r>
      <w:proofErr w:type="spellEnd"/>
      <w:r w:rsidRPr="002E4320">
        <w:rPr>
          <w:sz w:val="24"/>
          <w:szCs w:val="24"/>
        </w:rPr>
        <w:t xml:space="preserve"> kan administreres til gravide kvinder ved behov.  </w:t>
      </w:r>
    </w:p>
    <w:p w14:paraId="775D4895" w14:textId="77777777" w:rsidR="00FD797F" w:rsidRPr="002E4320" w:rsidRDefault="00FD797F" w:rsidP="00FD797F">
      <w:pPr>
        <w:tabs>
          <w:tab w:val="left" w:pos="851"/>
        </w:tabs>
        <w:ind w:left="851"/>
        <w:rPr>
          <w:sz w:val="24"/>
          <w:szCs w:val="24"/>
        </w:rPr>
      </w:pPr>
    </w:p>
    <w:p w14:paraId="50B67D88" w14:textId="77777777" w:rsidR="00FD797F" w:rsidRPr="002E4320" w:rsidRDefault="00FD797F" w:rsidP="00FD797F">
      <w:pPr>
        <w:tabs>
          <w:tab w:val="left" w:pos="851"/>
        </w:tabs>
        <w:ind w:left="851"/>
        <w:rPr>
          <w:i/>
          <w:sz w:val="24"/>
          <w:szCs w:val="24"/>
        </w:rPr>
      </w:pPr>
      <w:r w:rsidRPr="002E4320">
        <w:rPr>
          <w:sz w:val="24"/>
          <w:szCs w:val="24"/>
          <w:u w:val="single"/>
        </w:rPr>
        <w:t>Amning</w:t>
      </w:r>
      <w:r w:rsidRPr="002E4320">
        <w:rPr>
          <w:i/>
          <w:iCs/>
          <w:sz w:val="24"/>
          <w:szCs w:val="24"/>
        </w:rPr>
        <w:t xml:space="preserve"> </w:t>
      </w:r>
    </w:p>
    <w:p w14:paraId="03FA988F" w14:textId="77777777" w:rsidR="00FD797F" w:rsidRPr="002E4320" w:rsidRDefault="00FD797F" w:rsidP="00FD797F">
      <w:pPr>
        <w:tabs>
          <w:tab w:val="left" w:pos="851"/>
        </w:tabs>
        <w:ind w:left="851"/>
        <w:rPr>
          <w:sz w:val="24"/>
          <w:szCs w:val="24"/>
        </w:rPr>
      </w:pPr>
      <w:proofErr w:type="spellStart"/>
      <w:r w:rsidRPr="002E4320">
        <w:rPr>
          <w:sz w:val="24"/>
          <w:szCs w:val="24"/>
        </w:rPr>
        <w:t>Cloxacillin</w:t>
      </w:r>
      <w:proofErr w:type="spellEnd"/>
      <w:r w:rsidRPr="002E4320">
        <w:rPr>
          <w:sz w:val="24"/>
          <w:szCs w:val="24"/>
        </w:rPr>
        <w:t xml:space="preserve"> udskilles i human mælk. Ved terapeutiske doser anses risikoen for påvirkning af det ammende barn for lav, selv om en vis indvirkning på barnets tarm- og mundflora ikke kan udelukkes. Små mængder af det aktive stof i brystmælken kan øge risikoen for sensibilisering.</w:t>
      </w:r>
    </w:p>
    <w:p w14:paraId="3FBB6ABC" w14:textId="77777777" w:rsidR="00FD797F" w:rsidRPr="002E4320" w:rsidRDefault="00FD797F" w:rsidP="00FD797F">
      <w:pPr>
        <w:tabs>
          <w:tab w:val="left" w:pos="851"/>
        </w:tabs>
        <w:ind w:left="851"/>
        <w:rPr>
          <w:sz w:val="24"/>
          <w:szCs w:val="24"/>
        </w:rPr>
      </w:pPr>
    </w:p>
    <w:p w14:paraId="13FA7E66" w14:textId="77777777" w:rsidR="00FD797F" w:rsidRPr="002E4320" w:rsidRDefault="00FD797F" w:rsidP="00FD797F">
      <w:pPr>
        <w:tabs>
          <w:tab w:val="left" w:pos="851"/>
        </w:tabs>
        <w:ind w:left="851"/>
        <w:rPr>
          <w:sz w:val="24"/>
          <w:szCs w:val="24"/>
          <w:u w:val="single"/>
        </w:rPr>
      </w:pPr>
      <w:r w:rsidRPr="002E4320">
        <w:rPr>
          <w:sz w:val="24"/>
          <w:szCs w:val="24"/>
          <w:u w:val="single"/>
        </w:rPr>
        <w:t>Fertilitet</w:t>
      </w:r>
    </w:p>
    <w:p w14:paraId="0BCFC934" w14:textId="77777777" w:rsidR="00FD797F" w:rsidRPr="002E4320" w:rsidRDefault="00FD797F" w:rsidP="00FD797F">
      <w:pPr>
        <w:tabs>
          <w:tab w:val="left" w:pos="851"/>
        </w:tabs>
        <w:ind w:left="851"/>
        <w:rPr>
          <w:sz w:val="24"/>
          <w:szCs w:val="24"/>
        </w:rPr>
      </w:pPr>
      <w:r w:rsidRPr="002E4320">
        <w:rPr>
          <w:sz w:val="24"/>
          <w:szCs w:val="24"/>
        </w:rPr>
        <w:t xml:space="preserve">Der findes kun begrænsede data om brugen af </w:t>
      </w:r>
      <w:proofErr w:type="spellStart"/>
      <w:r w:rsidRPr="002E4320">
        <w:rPr>
          <w:sz w:val="24"/>
          <w:szCs w:val="24"/>
        </w:rPr>
        <w:t>cloxacillin</w:t>
      </w:r>
      <w:proofErr w:type="spellEnd"/>
      <w:r w:rsidRPr="002E4320">
        <w:rPr>
          <w:sz w:val="24"/>
          <w:szCs w:val="24"/>
        </w:rPr>
        <w:t xml:space="preserve"> hos mennesker. Data fra dyreforsøg er utilstrækkelige hvad angår reproduktionstoksicitet.</w:t>
      </w:r>
    </w:p>
    <w:p w14:paraId="023F4AE1" w14:textId="77777777" w:rsidR="009260DE" w:rsidRPr="002E4320" w:rsidRDefault="009260DE" w:rsidP="009260DE">
      <w:pPr>
        <w:tabs>
          <w:tab w:val="left" w:pos="851"/>
        </w:tabs>
        <w:ind w:left="851"/>
        <w:rPr>
          <w:sz w:val="24"/>
          <w:szCs w:val="24"/>
        </w:rPr>
      </w:pPr>
    </w:p>
    <w:p w14:paraId="48F0956A" w14:textId="77777777" w:rsidR="00111F9A" w:rsidRPr="00C84483" w:rsidRDefault="00111F9A" w:rsidP="00111F9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5C4B8E78" w14:textId="77777777" w:rsidR="00792BD3" w:rsidRDefault="00792BD3" w:rsidP="00FD797F">
      <w:pPr>
        <w:tabs>
          <w:tab w:val="left" w:pos="851"/>
        </w:tabs>
        <w:ind w:left="851"/>
        <w:rPr>
          <w:sz w:val="24"/>
          <w:szCs w:val="24"/>
        </w:rPr>
      </w:pPr>
      <w:r>
        <w:rPr>
          <w:sz w:val="24"/>
          <w:szCs w:val="24"/>
        </w:rPr>
        <w:t>Ikke mærkning.</w:t>
      </w:r>
    </w:p>
    <w:p w14:paraId="529F7798" w14:textId="40F0431D" w:rsidR="00FD797F" w:rsidRPr="002E4320" w:rsidRDefault="00FD797F" w:rsidP="00FD797F">
      <w:pPr>
        <w:tabs>
          <w:tab w:val="left" w:pos="851"/>
        </w:tabs>
        <w:ind w:left="851"/>
        <w:rPr>
          <w:sz w:val="24"/>
          <w:szCs w:val="24"/>
          <w:lang w:eastAsia="da-DK"/>
        </w:rPr>
      </w:pPr>
      <w:r w:rsidRPr="002E4320">
        <w:rPr>
          <w:sz w:val="24"/>
          <w:szCs w:val="24"/>
        </w:rPr>
        <w:t xml:space="preserve">Det er ikke sandsynligt, at </w:t>
      </w:r>
      <w:proofErr w:type="spellStart"/>
      <w:r w:rsidRPr="002E4320">
        <w:rPr>
          <w:sz w:val="24"/>
          <w:szCs w:val="24"/>
        </w:rPr>
        <w:t>Cloxacillin</w:t>
      </w:r>
      <w:proofErr w:type="spellEnd"/>
      <w:r w:rsidRPr="002E4320">
        <w:rPr>
          <w:sz w:val="24"/>
          <w:szCs w:val="24"/>
        </w:rPr>
        <w:t xml:space="preserve"> </w:t>
      </w:r>
      <w:r w:rsidR="00672124">
        <w:rPr>
          <w:sz w:val="24"/>
          <w:szCs w:val="24"/>
        </w:rPr>
        <w:t>"Vital Pharma Nordic"</w:t>
      </w:r>
      <w:r w:rsidRPr="002E4320">
        <w:rPr>
          <w:sz w:val="24"/>
          <w:szCs w:val="24"/>
        </w:rPr>
        <w:t xml:space="preserve"> påvirker evnen til at køre bil, eller betjene maskiner. </w:t>
      </w:r>
    </w:p>
    <w:p w14:paraId="4EECABD1" w14:textId="77777777" w:rsidR="009260DE" w:rsidRPr="002E4320" w:rsidRDefault="009260DE" w:rsidP="009260DE">
      <w:pPr>
        <w:tabs>
          <w:tab w:val="left" w:pos="851"/>
        </w:tabs>
        <w:ind w:left="851"/>
        <w:rPr>
          <w:sz w:val="24"/>
          <w:szCs w:val="24"/>
        </w:rPr>
      </w:pPr>
    </w:p>
    <w:p w14:paraId="688851A8" w14:textId="77777777" w:rsidR="009260DE" w:rsidRPr="002E4320" w:rsidRDefault="009260DE" w:rsidP="009260DE">
      <w:pPr>
        <w:tabs>
          <w:tab w:val="left" w:pos="851"/>
        </w:tabs>
        <w:ind w:left="851" w:hanging="851"/>
        <w:rPr>
          <w:b/>
          <w:sz w:val="24"/>
          <w:szCs w:val="24"/>
        </w:rPr>
      </w:pPr>
      <w:r w:rsidRPr="002E4320">
        <w:rPr>
          <w:b/>
          <w:sz w:val="24"/>
          <w:szCs w:val="24"/>
        </w:rPr>
        <w:t>4.8</w:t>
      </w:r>
      <w:r w:rsidRPr="002E4320">
        <w:rPr>
          <w:b/>
          <w:sz w:val="24"/>
          <w:szCs w:val="24"/>
        </w:rPr>
        <w:tab/>
        <w:t>Bivirkninger</w:t>
      </w:r>
    </w:p>
    <w:p w14:paraId="4B5A9F6D" w14:textId="77777777" w:rsidR="00FD797F" w:rsidRPr="002E4320" w:rsidRDefault="00FD797F" w:rsidP="00FD797F">
      <w:pPr>
        <w:tabs>
          <w:tab w:val="left" w:pos="851"/>
        </w:tabs>
        <w:ind w:left="851"/>
        <w:rPr>
          <w:sz w:val="24"/>
          <w:szCs w:val="24"/>
          <w:lang w:eastAsia="da-DK"/>
        </w:rPr>
      </w:pPr>
      <w:r w:rsidRPr="002E4320">
        <w:rPr>
          <w:sz w:val="24"/>
          <w:szCs w:val="24"/>
        </w:rPr>
        <w:t>Følgende konvention er brugt til klassificering af bivirkninger: almindelig (≥ 1/100 til &lt; 1/10), ikke almindelig (≥ 1/1 000 til &lt; 1/100), sjælden (≥ 1/10 000 til &lt; 1/1 000), ikke kendt (kan ikke estimeres ud fra forhåndenværende data).</w:t>
      </w:r>
    </w:p>
    <w:p w14:paraId="6EA2E4A6" w14:textId="77777777" w:rsidR="00FD797F" w:rsidRPr="002E4320" w:rsidRDefault="00FD797F" w:rsidP="00FD797F">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63"/>
        <w:gridCol w:w="1793"/>
        <w:gridCol w:w="1259"/>
        <w:gridCol w:w="1958"/>
        <w:gridCol w:w="2155"/>
      </w:tblGrid>
      <w:tr w:rsidR="00FD797F" w:rsidRPr="000D4AC3" w14:paraId="7AD14461" w14:textId="77777777" w:rsidTr="007C125B">
        <w:trPr>
          <w:trHeight w:val="2689"/>
        </w:trPr>
        <w:tc>
          <w:tcPr>
            <w:tcW w:w="1279" w:type="pct"/>
            <w:tcBorders>
              <w:top w:val="single" w:sz="4" w:space="0" w:color="auto"/>
              <w:left w:val="single" w:sz="4" w:space="0" w:color="auto"/>
              <w:bottom w:val="single" w:sz="4" w:space="0" w:color="auto"/>
              <w:right w:val="single" w:sz="4" w:space="0" w:color="auto"/>
              <w:tl2br w:val="single" w:sz="4" w:space="0" w:color="auto"/>
            </w:tcBorders>
          </w:tcPr>
          <w:p w14:paraId="21DC33E5" w14:textId="687F5978" w:rsidR="00FD797F" w:rsidRPr="000D4AC3" w:rsidRDefault="00FD797F" w:rsidP="007E3845">
            <w:pPr>
              <w:tabs>
                <w:tab w:val="left" w:pos="851"/>
              </w:tabs>
              <w:jc w:val="right"/>
              <w:rPr>
                <w:b/>
                <w:sz w:val="22"/>
                <w:szCs w:val="22"/>
              </w:rPr>
            </w:pPr>
            <w:r w:rsidRPr="000D4AC3">
              <w:rPr>
                <w:b/>
                <w:bCs/>
                <w:sz w:val="22"/>
                <w:szCs w:val="22"/>
              </w:rPr>
              <w:t>Hyppighed</w:t>
            </w:r>
          </w:p>
          <w:p w14:paraId="17BF9A35" w14:textId="77777777" w:rsidR="00FD797F" w:rsidRPr="000D4AC3" w:rsidRDefault="00FD797F">
            <w:pPr>
              <w:tabs>
                <w:tab w:val="left" w:pos="851"/>
              </w:tabs>
              <w:rPr>
                <w:bCs/>
                <w:sz w:val="22"/>
                <w:szCs w:val="22"/>
              </w:rPr>
            </w:pPr>
          </w:p>
          <w:p w14:paraId="2C8BA617" w14:textId="78982D21" w:rsidR="00FD797F" w:rsidRPr="000D4AC3" w:rsidRDefault="00FD797F">
            <w:pPr>
              <w:tabs>
                <w:tab w:val="left" w:pos="851"/>
              </w:tabs>
              <w:rPr>
                <w:bCs/>
                <w:sz w:val="22"/>
                <w:szCs w:val="22"/>
              </w:rPr>
            </w:pPr>
          </w:p>
          <w:p w14:paraId="01083158" w14:textId="3259B53E" w:rsidR="007E3845" w:rsidRPr="000D4AC3" w:rsidRDefault="007E3845">
            <w:pPr>
              <w:tabs>
                <w:tab w:val="left" w:pos="851"/>
              </w:tabs>
              <w:rPr>
                <w:bCs/>
                <w:sz w:val="22"/>
                <w:szCs w:val="22"/>
              </w:rPr>
            </w:pPr>
          </w:p>
          <w:p w14:paraId="7E8A06FC" w14:textId="77777777" w:rsidR="007E3845" w:rsidRPr="000D4AC3" w:rsidRDefault="007E3845">
            <w:pPr>
              <w:tabs>
                <w:tab w:val="left" w:pos="851"/>
              </w:tabs>
              <w:rPr>
                <w:bCs/>
                <w:sz w:val="22"/>
                <w:szCs w:val="22"/>
              </w:rPr>
            </w:pPr>
          </w:p>
          <w:p w14:paraId="046F9B19" w14:textId="77777777" w:rsidR="00FD797F" w:rsidRPr="000D4AC3" w:rsidRDefault="00FD797F">
            <w:pPr>
              <w:tabs>
                <w:tab w:val="left" w:pos="851"/>
              </w:tabs>
              <w:rPr>
                <w:bCs/>
                <w:sz w:val="22"/>
                <w:szCs w:val="22"/>
              </w:rPr>
            </w:pPr>
          </w:p>
          <w:p w14:paraId="489DC049" w14:textId="77777777" w:rsidR="00FD797F" w:rsidRPr="000D4AC3" w:rsidRDefault="00FD797F">
            <w:pPr>
              <w:tabs>
                <w:tab w:val="left" w:pos="851"/>
              </w:tabs>
              <w:rPr>
                <w:bCs/>
                <w:sz w:val="22"/>
                <w:szCs w:val="22"/>
              </w:rPr>
            </w:pPr>
          </w:p>
          <w:p w14:paraId="66E67ED1" w14:textId="77777777" w:rsidR="00FD797F" w:rsidRPr="000D4AC3" w:rsidRDefault="00FD797F">
            <w:pPr>
              <w:tabs>
                <w:tab w:val="left" w:pos="851"/>
              </w:tabs>
              <w:rPr>
                <w:bCs/>
                <w:sz w:val="22"/>
                <w:szCs w:val="22"/>
              </w:rPr>
            </w:pPr>
          </w:p>
          <w:p w14:paraId="339C1103" w14:textId="77777777" w:rsidR="00FD797F" w:rsidRPr="000D4AC3" w:rsidRDefault="00FD797F">
            <w:pPr>
              <w:tabs>
                <w:tab w:val="left" w:pos="851"/>
              </w:tabs>
              <w:rPr>
                <w:bCs/>
                <w:sz w:val="22"/>
                <w:szCs w:val="22"/>
              </w:rPr>
            </w:pPr>
          </w:p>
          <w:p w14:paraId="52B1902C" w14:textId="103AFF8A" w:rsidR="00FD797F" w:rsidRPr="000D4AC3" w:rsidRDefault="00FD797F" w:rsidP="007E3845">
            <w:pPr>
              <w:tabs>
                <w:tab w:val="left" w:pos="851"/>
              </w:tabs>
              <w:rPr>
                <w:b/>
                <w:sz w:val="22"/>
                <w:szCs w:val="22"/>
              </w:rPr>
            </w:pPr>
            <w:r w:rsidRPr="000D4AC3">
              <w:rPr>
                <w:b/>
                <w:bCs/>
                <w:sz w:val="22"/>
                <w:szCs w:val="22"/>
              </w:rPr>
              <w:t>Systemorganklasse</w:t>
            </w:r>
          </w:p>
        </w:tc>
        <w:tc>
          <w:tcPr>
            <w:tcW w:w="931" w:type="pct"/>
            <w:tcBorders>
              <w:top w:val="single" w:sz="4" w:space="0" w:color="auto"/>
              <w:left w:val="single" w:sz="4" w:space="0" w:color="auto"/>
              <w:bottom w:val="single" w:sz="4" w:space="0" w:color="auto"/>
              <w:right w:val="single" w:sz="4" w:space="0" w:color="auto"/>
            </w:tcBorders>
          </w:tcPr>
          <w:p w14:paraId="47695C96" w14:textId="77777777" w:rsidR="00FD797F" w:rsidRPr="000D4AC3" w:rsidRDefault="00FD797F">
            <w:pPr>
              <w:tabs>
                <w:tab w:val="left" w:pos="851"/>
              </w:tabs>
              <w:jc w:val="center"/>
              <w:rPr>
                <w:b/>
                <w:sz w:val="22"/>
                <w:szCs w:val="22"/>
              </w:rPr>
            </w:pPr>
            <w:r w:rsidRPr="000D4AC3">
              <w:rPr>
                <w:b/>
                <w:bCs/>
                <w:sz w:val="22"/>
                <w:szCs w:val="22"/>
              </w:rPr>
              <w:t>Almindelig</w:t>
            </w:r>
          </w:p>
          <w:p w14:paraId="3011B372" w14:textId="77777777" w:rsidR="00FD797F" w:rsidRPr="000D4AC3" w:rsidRDefault="00FD797F">
            <w:pPr>
              <w:tabs>
                <w:tab w:val="left" w:pos="851"/>
              </w:tabs>
              <w:jc w:val="center"/>
              <w:rPr>
                <w:b/>
                <w:sz w:val="22"/>
                <w:szCs w:val="22"/>
              </w:rPr>
            </w:pPr>
            <w:r w:rsidRPr="000D4AC3">
              <w:rPr>
                <w:b/>
                <w:bCs/>
                <w:sz w:val="22"/>
                <w:szCs w:val="22"/>
              </w:rPr>
              <w:t>(≥ 1/100 til &lt; 1/10)</w:t>
            </w:r>
          </w:p>
        </w:tc>
        <w:tc>
          <w:tcPr>
            <w:tcW w:w="654" w:type="pct"/>
            <w:tcBorders>
              <w:top w:val="single" w:sz="4" w:space="0" w:color="auto"/>
              <w:left w:val="single" w:sz="4" w:space="0" w:color="auto"/>
              <w:bottom w:val="single" w:sz="4" w:space="0" w:color="auto"/>
              <w:right w:val="single" w:sz="4" w:space="0" w:color="auto"/>
            </w:tcBorders>
          </w:tcPr>
          <w:p w14:paraId="4196F7A2" w14:textId="77777777" w:rsidR="00FD797F" w:rsidRPr="000D4AC3" w:rsidRDefault="00FD797F">
            <w:pPr>
              <w:tabs>
                <w:tab w:val="left" w:pos="851"/>
              </w:tabs>
              <w:jc w:val="center"/>
              <w:rPr>
                <w:b/>
                <w:sz w:val="22"/>
                <w:szCs w:val="22"/>
              </w:rPr>
            </w:pPr>
            <w:r w:rsidRPr="000D4AC3">
              <w:rPr>
                <w:b/>
                <w:bCs/>
                <w:sz w:val="22"/>
                <w:szCs w:val="22"/>
              </w:rPr>
              <w:t>Ikke almindelig (≥ 1/1 000 til &lt; 1/100)</w:t>
            </w:r>
          </w:p>
          <w:p w14:paraId="57A6CBA8" w14:textId="77777777" w:rsidR="00FD797F" w:rsidRPr="000D4AC3" w:rsidRDefault="00FD797F">
            <w:pPr>
              <w:tabs>
                <w:tab w:val="left" w:pos="851"/>
              </w:tabs>
              <w:ind w:left="851"/>
              <w:jc w:val="center"/>
              <w:rPr>
                <w:b/>
                <w:sz w:val="22"/>
                <w:szCs w:val="22"/>
              </w:rPr>
            </w:pPr>
          </w:p>
        </w:tc>
        <w:tc>
          <w:tcPr>
            <w:tcW w:w="1017" w:type="pct"/>
            <w:tcBorders>
              <w:top w:val="single" w:sz="4" w:space="0" w:color="auto"/>
              <w:left w:val="single" w:sz="4" w:space="0" w:color="auto"/>
              <w:bottom w:val="single" w:sz="4" w:space="0" w:color="auto"/>
              <w:right w:val="single" w:sz="4" w:space="0" w:color="auto"/>
            </w:tcBorders>
          </w:tcPr>
          <w:p w14:paraId="073B3340" w14:textId="77777777" w:rsidR="00FD797F" w:rsidRPr="000D4AC3" w:rsidRDefault="00FD797F">
            <w:pPr>
              <w:tabs>
                <w:tab w:val="left" w:pos="851"/>
              </w:tabs>
              <w:jc w:val="center"/>
              <w:rPr>
                <w:b/>
                <w:sz w:val="22"/>
                <w:szCs w:val="22"/>
              </w:rPr>
            </w:pPr>
            <w:r w:rsidRPr="000D4AC3">
              <w:rPr>
                <w:b/>
                <w:bCs/>
                <w:sz w:val="22"/>
                <w:szCs w:val="22"/>
              </w:rPr>
              <w:t>Sjælden</w:t>
            </w:r>
          </w:p>
          <w:p w14:paraId="0529C2AB" w14:textId="77777777" w:rsidR="00FD797F" w:rsidRPr="000D4AC3" w:rsidRDefault="00FD797F">
            <w:pPr>
              <w:tabs>
                <w:tab w:val="left" w:pos="851"/>
              </w:tabs>
              <w:jc w:val="center"/>
              <w:rPr>
                <w:b/>
                <w:sz w:val="22"/>
                <w:szCs w:val="22"/>
              </w:rPr>
            </w:pPr>
            <w:r w:rsidRPr="000D4AC3">
              <w:rPr>
                <w:b/>
                <w:bCs/>
                <w:sz w:val="22"/>
                <w:szCs w:val="22"/>
              </w:rPr>
              <w:t>(≥ 1/10 000 til &lt; 1/1 000)</w:t>
            </w:r>
          </w:p>
        </w:tc>
        <w:tc>
          <w:tcPr>
            <w:tcW w:w="1119" w:type="pct"/>
            <w:tcBorders>
              <w:top w:val="single" w:sz="4" w:space="0" w:color="auto"/>
              <w:left w:val="single" w:sz="4" w:space="0" w:color="auto"/>
              <w:bottom w:val="single" w:sz="4" w:space="0" w:color="auto"/>
              <w:right w:val="single" w:sz="4" w:space="0" w:color="auto"/>
            </w:tcBorders>
          </w:tcPr>
          <w:p w14:paraId="49FD65E4" w14:textId="77777777" w:rsidR="00FD797F" w:rsidRPr="000D4AC3" w:rsidRDefault="00FD797F">
            <w:pPr>
              <w:tabs>
                <w:tab w:val="left" w:pos="851"/>
              </w:tabs>
              <w:jc w:val="center"/>
              <w:rPr>
                <w:b/>
                <w:sz w:val="22"/>
                <w:szCs w:val="22"/>
              </w:rPr>
            </w:pPr>
            <w:r w:rsidRPr="000D4AC3">
              <w:rPr>
                <w:b/>
                <w:bCs/>
                <w:sz w:val="22"/>
                <w:szCs w:val="22"/>
              </w:rPr>
              <w:t>Ikke kendt (kan ikke estimeres ud fra forhåndenværende data)</w:t>
            </w:r>
          </w:p>
          <w:p w14:paraId="193AAB7B" w14:textId="77777777" w:rsidR="00FD797F" w:rsidRPr="000D4AC3" w:rsidRDefault="00FD797F">
            <w:pPr>
              <w:tabs>
                <w:tab w:val="left" w:pos="851"/>
              </w:tabs>
              <w:ind w:left="851"/>
              <w:jc w:val="center"/>
              <w:rPr>
                <w:b/>
                <w:sz w:val="22"/>
                <w:szCs w:val="22"/>
              </w:rPr>
            </w:pPr>
          </w:p>
        </w:tc>
      </w:tr>
      <w:tr w:rsidR="00FD797F" w:rsidRPr="00EA465D" w14:paraId="09BE7B5F" w14:textId="77777777" w:rsidTr="006F789B">
        <w:tc>
          <w:tcPr>
            <w:tcW w:w="1279" w:type="pct"/>
            <w:tcBorders>
              <w:top w:val="single" w:sz="4" w:space="0" w:color="auto"/>
              <w:left w:val="single" w:sz="4" w:space="0" w:color="auto"/>
              <w:bottom w:val="single" w:sz="4" w:space="0" w:color="auto"/>
              <w:right w:val="single" w:sz="4" w:space="0" w:color="auto"/>
            </w:tcBorders>
            <w:hideMark/>
          </w:tcPr>
          <w:p w14:paraId="49392E01" w14:textId="77777777" w:rsidR="00FD797F" w:rsidRPr="00EA465D" w:rsidRDefault="00FD797F">
            <w:pPr>
              <w:tabs>
                <w:tab w:val="left" w:pos="851"/>
              </w:tabs>
              <w:rPr>
                <w:b/>
                <w:sz w:val="22"/>
                <w:szCs w:val="22"/>
              </w:rPr>
            </w:pPr>
            <w:r w:rsidRPr="00EA465D">
              <w:rPr>
                <w:b/>
                <w:bCs/>
                <w:sz w:val="22"/>
                <w:szCs w:val="22"/>
              </w:rPr>
              <w:t>Blod og lymfesystem</w:t>
            </w:r>
          </w:p>
        </w:tc>
        <w:tc>
          <w:tcPr>
            <w:tcW w:w="931" w:type="pct"/>
            <w:tcBorders>
              <w:top w:val="single" w:sz="4" w:space="0" w:color="auto"/>
              <w:left w:val="single" w:sz="4" w:space="0" w:color="auto"/>
              <w:bottom w:val="single" w:sz="4" w:space="0" w:color="auto"/>
              <w:right w:val="single" w:sz="4" w:space="0" w:color="auto"/>
            </w:tcBorders>
          </w:tcPr>
          <w:p w14:paraId="31A6C471" w14:textId="77777777" w:rsidR="00FD797F" w:rsidRPr="00EA465D" w:rsidRDefault="00FD797F">
            <w:pPr>
              <w:tabs>
                <w:tab w:val="left" w:pos="851"/>
              </w:tabs>
              <w:ind w:left="851"/>
              <w:rPr>
                <w:sz w:val="22"/>
                <w:szCs w:val="22"/>
              </w:rPr>
            </w:pPr>
          </w:p>
        </w:tc>
        <w:tc>
          <w:tcPr>
            <w:tcW w:w="654" w:type="pct"/>
            <w:tcBorders>
              <w:top w:val="single" w:sz="4" w:space="0" w:color="auto"/>
              <w:left w:val="single" w:sz="4" w:space="0" w:color="auto"/>
              <w:bottom w:val="single" w:sz="4" w:space="0" w:color="auto"/>
              <w:right w:val="single" w:sz="4" w:space="0" w:color="auto"/>
            </w:tcBorders>
            <w:hideMark/>
          </w:tcPr>
          <w:p w14:paraId="65CAE1FD" w14:textId="77777777" w:rsidR="00FD797F" w:rsidRPr="00EA465D" w:rsidRDefault="00FD797F">
            <w:pPr>
              <w:tabs>
                <w:tab w:val="left" w:pos="851"/>
              </w:tabs>
              <w:rPr>
                <w:sz w:val="22"/>
                <w:szCs w:val="22"/>
              </w:rPr>
            </w:pPr>
            <w:proofErr w:type="spellStart"/>
            <w:r w:rsidRPr="00EA465D">
              <w:rPr>
                <w:sz w:val="22"/>
                <w:szCs w:val="22"/>
              </w:rPr>
              <w:t>Eosinofili</w:t>
            </w:r>
            <w:proofErr w:type="spellEnd"/>
            <w:r w:rsidRPr="00EA465D">
              <w:rPr>
                <w:sz w:val="22"/>
                <w:szCs w:val="22"/>
              </w:rPr>
              <w:t xml:space="preserve"> </w:t>
            </w:r>
          </w:p>
        </w:tc>
        <w:tc>
          <w:tcPr>
            <w:tcW w:w="1017" w:type="pct"/>
            <w:tcBorders>
              <w:top w:val="single" w:sz="4" w:space="0" w:color="auto"/>
              <w:left w:val="single" w:sz="4" w:space="0" w:color="auto"/>
              <w:bottom w:val="single" w:sz="4" w:space="0" w:color="auto"/>
              <w:right w:val="single" w:sz="4" w:space="0" w:color="auto"/>
            </w:tcBorders>
            <w:hideMark/>
          </w:tcPr>
          <w:p w14:paraId="334C96EE" w14:textId="77777777" w:rsidR="00FD797F" w:rsidRPr="00EA465D" w:rsidRDefault="00FD797F">
            <w:pPr>
              <w:tabs>
                <w:tab w:val="left" w:pos="851"/>
              </w:tabs>
              <w:rPr>
                <w:sz w:val="22"/>
                <w:szCs w:val="22"/>
              </w:rPr>
            </w:pPr>
            <w:proofErr w:type="spellStart"/>
            <w:r w:rsidRPr="00EA465D">
              <w:rPr>
                <w:sz w:val="22"/>
                <w:szCs w:val="22"/>
              </w:rPr>
              <w:t>Agranulocytose</w:t>
            </w:r>
            <w:proofErr w:type="spellEnd"/>
            <w:r w:rsidRPr="00EA465D">
              <w:rPr>
                <w:sz w:val="22"/>
                <w:szCs w:val="22"/>
              </w:rPr>
              <w:t xml:space="preserve">, </w:t>
            </w:r>
            <w:proofErr w:type="spellStart"/>
            <w:r w:rsidRPr="00EA465D">
              <w:rPr>
                <w:sz w:val="22"/>
                <w:szCs w:val="22"/>
              </w:rPr>
              <w:t>leukopeni</w:t>
            </w:r>
            <w:proofErr w:type="spellEnd"/>
          </w:p>
        </w:tc>
        <w:tc>
          <w:tcPr>
            <w:tcW w:w="1119" w:type="pct"/>
            <w:tcBorders>
              <w:top w:val="single" w:sz="4" w:space="0" w:color="auto"/>
              <w:left w:val="single" w:sz="4" w:space="0" w:color="auto"/>
              <w:bottom w:val="single" w:sz="4" w:space="0" w:color="auto"/>
              <w:right w:val="single" w:sz="4" w:space="0" w:color="auto"/>
            </w:tcBorders>
          </w:tcPr>
          <w:p w14:paraId="689DD342" w14:textId="426A0CB3" w:rsidR="00FD797F" w:rsidRPr="00EA465D" w:rsidRDefault="00FD797F" w:rsidP="007E3845">
            <w:pPr>
              <w:tabs>
                <w:tab w:val="left" w:pos="851"/>
              </w:tabs>
              <w:rPr>
                <w:sz w:val="22"/>
                <w:szCs w:val="22"/>
              </w:rPr>
            </w:pPr>
            <w:r w:rsidRPr="00EA465D">
              <w:rPr>
                <w:sz w:val="22"/>
                <w:szCs w:val="22"/>
              </w:rPr>
              <w:t xml:space="preserve">Anæmi, </w:t>
            </w:r>
            <w:proofErr w:type="spellStart"/>
            <w:r w:rsidRPr="00EA465D">
              <w:rPr>
                <w:sz w:val="22"/>
                <w:szCs w:val="22"/>
              </w:rPr>
              <w:t>trombocytopeni</w:t>
            </w:r>
            <w:proofErr w:type="spellEnd"/>
          </w:p>
        </w:tc>
      </w:tr>
      <w:tr w:rsidR="00FD797F" w:rsidRPr="00EA465D" w14:paraId="7F5A5BDF" w14:textId="77777777" w:rsidTr="006F789B">
        <w:tc>
          <w:tcPr>
            <w:tcW w:w="1279" w:type="pct"/>
            <w:tcBorders>
              <w:top w:val="single" w:sz="4" w:space="0" w:color="auto"/>
              <w:left w:val="single" w:sz="4" w:space="0" w:color="auto"/>
              <w:bottom w:val="single" w:sz="4" w:space="0" w:color="auto"/>
              <w:right w:val="single" w:sz="4" w:space="0" w:color="auto"/>
            </w:tcBorders>
            <w:hideMark/>
          </w:tcPr>
          <w:p w14:paraId="6B8FB0AB" w14:textId="77777777" w:rsidR="00FD797F" w:rsidRPr="00EA465D" w:rsidRDefault="00FD797F">
            <w:pPr>
              <w:tabs>
                <w:tab w:val="left" w:pos="851"/>
              </w:tabs>
              <w:rPr>
                <w:b/>
                <w:sz w:val="22"/>
                <w:szCs w:val="22"/>
              </w:rPr>
            </w:pPr>
            <w:r w:rsidRPr="00EA465D">
              <w:rPr>
                <w:b/>
                <w:bCs/>
                <w:sz w:val="22"/>
                <w:szCs w:val="22"/>
              </w:rPr>
              <w:t>Infektioner og parasitære sygdomme</w:t>
            </w:r>
          </w:p>
        </w:tc>
        <w:tc>
          <w:tcPr>
            <w:tcW w:w="931" w:type="pct"/>
            <w:tcBorders>
              <w:top w:val="single" w:sz="4" w:space="0" w:color="auto"/>
              <w:left w:val="single" w:sz="4" w:space="0" w:color="auto"/>
              <w:bottom w:val="single" w:sz="4" w:space="0" w:color="auto"/>
              <w:right w:val="single" w:sz="4" w:space="0" w:color="auto"/>
            </w:tcBorders>
          </w:tcPr>
          <w:p w14:paraId="02798311" w14:textId="77777777" w:rsidR="00FD797F" w:rsidRPr="00EA465D" w:rsidRDefault="00FD797F">
            <w:pPr>
              <w:tabs>
                <w:tab w:val="left" w:pos="851"/>
              </w:tabs>
              <w:ind w:left="851"/>
              <w:rPr>
                <w:sz w:val="22"/>
                <w:szCs w:val="22"/>
              </w:rPr>
            </w:pPr>
          </w:p>
        </w:tc>
        <w:tc>
          <w:tcPr>
            <w:tcW w:w="654" w:type="pct"/>
            <w:tcBorders>
              <w:top w:val="single" w:sz="4" w:space="0" w:color="auto"/>
              <w:left w:val="single" w:sz="4" w:space="0" w:color="auto"/>
              <w:bottom w:val="single" w:sz="4" w:space="0" w:color="auto"/>
              <w:right w:val="single" w:sz="4" w:space="0" w:color="auto"/>
            </w:tcBorders>
          </w:tcPr>
          <w:p w14:paraId="0AA5C8DE" w14:textId="77777777" w:rsidR="00FD797F" w:rsidRPr="00EA465D" w:rsidRDefault="00FD797F">
            <w:pPr>
              <w:tabs>
                <w:tab w:val="left" w:pos="851"/>
              </w:tabs>
              <w:ind w:left="851"/>
              <w:rPr>
                <w:sz w:val="22"/>
                <w:szCs w:val="22"/>
              </w:rPr>
            </w:pPr>
          </w:p>
        </w:tc>
        <w:tc>
          <w:tcPr>
            <w:tcW w:w="1017" w:type="pct"/>
            <w:tcBorders>
              <w:top w:val="single" w:sz="4" w:space="0" w:color="auto"/>
              <w:left w:val="single" w:sz="4" w:space="0" w:color="auto"/>
              <w:bottom w:val="single" w:sz="4" w:space="0" w:color="auto"/>
              <w:right w:val="single" w:sz="4" w:space="0" w:color="auto"/>
            </w:tcBorders>
            <w:hideMark/>
          </w:tcPr>
          <w:p w14:paraId="1517AE24" w14:textId="77777777" w:rsidR="00FD797F" w:rsidRPr="00EA465D" w:rsidRDefault="00FD797F">
            <w:pPr>
              <w:tabs>
                <w:tab w:val="left" w:pos="851"/>
              </w:tabs>
              <w:rPr>
                <w:sz w:val="22"/>
                <w:szCs w:val="22"/>
              </w:rPr>
            </w:pPr>
            <w:r w:rsidRPr="00EA465D">
              <w:rPr>
                <w:sz w:val="22"/>
                <w:szCs w:val="22"/>
              </w:rPr>
              <w:t>Superinfektioner (sekundære), bakterielle infektioner</w:t>
            </w:r>
          </w:p>
        </w:tc>
        <w:tc>
          <w:tcPr>
            <w:tcW w:w="1119" w:type="pct"/>
            <w:tcBorders>
              <w:top w:val="single" w:sz="4" w:space="0" w:color="auto"/>
              <w:left w:val="single" w:sz="4" w:space="0" w:color="auto"/>
              <w:bottom w:val="single" w:sz="4" w:space="0" w:color="auto"/>
              <w:right w:val="single" w:sz="4" w:space="0" w:color="auto"/>
            </w:tcBorders>
            <w:hideMark/>
          </w:tcPr>
          <w:p w14:paraId="48805C1B" w14:textId="77777777" w:rsidR="00FD797F" w:rsidRPr="00EA465D" w:rsidRDefault="00FD797F">
            <w:pPr>
              <w:tabs>
                <w:tab w:val="left" w:pos="851"/>
              </w:tabs>
              <w:rPr>
                <w:sz w:val="22"/>
                <w:szCs w:val="22"/>
              </w:rPr>
            </w:pPr>
            <w:r w:rsidRPr="00EA465D">
              <w:rPr>
                <w:sz w:val="22"/>
                <w:szCs w:val="22"/>
              </w:rPr>
              <w:t>Overvækst af svamp i mundhulen og den kvindelige genitaltragt</w:t>
            </w:r>
          </w:p>
        </w:tc>
      </w:tr>
      <w:tr w:rsidR="00FD797F" w:rsidRPr="00EA465D" w14:paraId="23750E5B" w14:textId="77777777" w:rsidTr="006F789B">
        <w:tc>
          <w:tcPr>
            <w:tcW w:w="1279" w:type="pct"/>
            <w:tcBorders>
              <w:top w:val="single" w:sz="4" w:space="0" w:color="auto"/>
              <w:left w:val="single" w:sz="4" w:space="0" w:color="auto"/>
              <w:bottom w:val="single" w:sz="4" w:space="0" w:color="auto"/>
              <w:right w:val="single" w:sz="4" w:space="0" w:color="auto"/>
            </w:tcBorders>
            <w:hideMark/>
          </w:tcPr>
          <w:p w14:paraId="48837D49" w14:textId="77777777" w:rsidR="00FD797F" w:rsidRPr="00EA465D" w:rsidRDefault="00FD797F">
            <w:pPr>
              <w:tabs>
                <w:tab w:val="left" w:pos="851"/>
              </w:tabs>
              <w:rPr>
                <w:b/>
                <w:sz w:val="22"/>
                <w:szCs w:val="22"/>
              </w:rPr>
            </w:pPr>
            <w:r w:rsidRPr="00EA465D">
              <w:rPr>
                <w:b/>
                <w:bCs/>
                <w:sz w:val="22"/>
                <w:szCs w:val="22"/>
              </w:rPr>
              <w:t>Immunsystemet</w:t>
            </w:r>
          </w:p>
        </w:tc>
        <w:tc>
          <w:tcPr>
            <w:tcW w:w="931" w:type="pct"/>
            <w:tcBorders>
              <w:top w:val="single" w:sz="4" w:space="0" w:color="auto"/>
              <w:left w:val="single" w:sz="4" w:space="0" w:color="auto"/>
              <w:bottom w:val="single" w:sz="4" w:space="0" w:color="auto"/>
              <w:right w:val="single" w:sz="4" w:space="0" w:color="auto"/>
            </w:tcBorders>
          </w:tcPr>
          <w:p w14:paraId="776A3C59" w14:textId="77777777" w:rsidR="00FD797F" w:rsidRPr="00EA465D" w:rsidRDefault="00FD797F">
            <w:pPr>
              <w:tabs>
                <w:tab w:val="left" w:pos="851"/>
              </w:tabs>
              <w:ind w:left="851"/>
              <w:rPr>
                <w:sz w:val="22"/>
                <w:szCs w:val="22"/>
              </w:rPr>
            </w:pPr>
          </w:p>
        </w:tc>
        <w:tc>
          <w:tcPr>
            <w:tcW w:w="654" w:type="pct"/>
            <w:tcBorders>
              <w:top w:val="single" w:sz="4" w:space="0" w:color="auto"/>
              <w:left w:val="single" w:sz="4" w:space="0" w:color="auto"/>
              <w:bottom w:val="single" w:sz="4" w:space="0" w:color="auto"/>
              <w:right w:val="single" w:sz="4" w:space="0" w:color="auto"/>
            </w:tcBorders>
          </w:tcPr>
          <w:p w14:paraId="419A1293" w14:textId="77777777" w:rsidR="00FD797F" w:rsidRPr="00EA465D" w:rsidRDefault="00FD797F">
            <w:pPr>
              <w:tabs>
                <w:tab w:val="left" w:pos="851"/>
              </w:tabs>
              <w:ind w:left="851"/>
              <w:rPr>
                <w:sz w:val="22"/>
                <w:szCs w:val="22"/>
              </w:rPr>
            </w:pPr>
          </w:p>
        </w:tc>
        <w:tc>
          <w:tcPr>
            <w:tcW w:w="1017" w:type="pct"/>
            <w:tcBorders>
              <w:top w:val="single" w:sz="4" w:space="0" w:color="auto"/>
              <w:left w:val="single" w:sz="4" w:space="0" w:color="auto"/>
              <w:bottom w:val="single" w:sz="4" w:space="0" w:color="auto"/>
              <w:right w:val="single" w:sz="4" w:space="0" w:color="auto"/>
            </w:tcBorders>
            <w:hideMark/>
          </w:tcPr>
          <w:p w14:paraId="4EC76F23" w14:textId="77777777" w:rsidR="00FD797F" w:rsidRPr="00EA465D" w:rsidRDefault="00FD797F">
            <w:pPr>
              <w:tabs>
                <w:tab w:val="left" w:pos="851"/>
              </w:tabs>
              <w:rPr>
                <w:sz w:val="22"/>
                <w:szCs w:val="22"/>
              </w:rPr>
            </w:pPr>
            <w:proofErr w:type="spellStart"/>
            <w:r w:rsidRPr="00EA465D">
              <w:rPr>
                <w:sz w:val="22"/>
                <w:szCs w:val="22"/>
              </w:rPr>
              <w:t>Anafylaktiske</w:t>
            </w:r>
            <w:proofErr w:type="spellEnd"/>
            <w:r w:rsidRPr="00EA465D">
              <w:rPr>
                <w:sz w:val="22"/>
                <w:szCs w:val="22"/>
              </w:rPr>
              <w:t xml:space="preserve"> reaktioner </w:t>
            </w:r>
          </w:p>
        </w:tc>
        <w:tc>
          <w:tcPr>
            <w:tcW w:w="1119" w:type="pct"/>
            <w:tcBorders>
              <w:top w:val="single" w:sz="4" w:space="0" w:color="auto"/>
              <w:left w:val="single" w:sz="4" w:space="0" w:color="auto"/>
              <w:bottom w:val="single" w:sz="4" w:space="0" w:color="auto"/>
              <w:right w:val="single" w:sz="4" w:space="0" w:color="auto"/>
            </w:tcBorders>
          </w:tcPr>
          <w:p w14:paraId="0A2408DF" w14:textId="79761860" w:rsidR="00FD797F" w:rsidRPr="00EA465D" w:rsidRDefault="00FD797F" w:rsidP="007E3845">
            <w:pPr>
              <w:tabs>
                <w:tab w:val="left" w:pos="851"/>
              </w:tabs>
              <w:rPr>
                <w:sz w:val="22"/>
                <w:szCs w:val="22"/>
              </w:rPr>
            </w:pPr>
            <w:proofErr w:type="spellStart"/>
            <w:r w:rsidRPr="00EA465D">
              <w:rPr>
                <w:sz w:val="22"/>
                <w:szCs w:val="22"/>
              </w:rPr>
              <w:t>Quinckes</w:t>
            </w:r>
            <w:proofErr w:type="spellEnd"/>
            <w:r w:rsidRPr="00EA465D">
              <w:rPr>
                <w:sz w:val="22"/>
                <w:szCs w:val="22"/>
              </w:rPr>
              <w:t xml:space="preserve"> ødem</w:t>
            </w:r>
            <w:r w:rsidRPr="00EA465D">
              <w:rPr>
                <w:sz w:val="22"/>
                <w:szCs w:val="22"/>
                <w:vertAlign w:val="superscript"/>
              </w:rPr>
              <w:t>1</w:t>
            </w:r>
          </w:p>
        </w:tc>
      </w:tr>
      <w:tr w:rsidR="00FD797F" w:rsidRPr="00EA465D" w14:paraId="2DFA0AAC" w14:textId="77777777" w:rsidTr="006F789B">
        <w:tc>
          <w:tcPr>
            <w:tcW w:w="1279" w:type="pct"/>
            <w:tcBorders>
              <w:top w:val="single" w:sz="4" w:space="0" w:color="auto"/>
              <w:left w:val="single" w:sz="4" w:space="0" w:color="auto"/>
              <w:bottom w:val="single" w:sz="4" w:space="0" w:color="auto"/>
              <w:right w:val="single" w:sz="4" w:space="0" w:color="auto"/>
            </w:tcBorders>
            <w:hideMark/>
          </w:tcPr>
          <w:p w14:paraId="5CB48D80" w14:textId="77777777" w:rsidR="00FD797F" w:rsidRPr="00EA465D" w:rsidRDefault="00FD797F">
            <w:pPr>
              <w:tabs>
                <w:tab w:val="left" w:pos="851"/>
              </w:tabs>
              <w:rPr>
                <w:b/>
                <w:sz w:val="22"/>
                <w:szCs w:val="22"/>
              </w:rPr>
            </w:pPr>
            <w:r w:rsidRPr="00EA465D">
              <w:rPr>
                <w:b/>
                <w:bCs/>
                <w:sz w:val="22"/>
                <w:szCs w:val="22"/>
              </w:rPr>
              <w:t>Nervesystemet</w:t>
            </w:r>
          </w:p>
        </w:tc>
        <w:tc>
          <w:tcPr>
            <w:tcW w:w="931" w:type="pct"/>
            <w:tcBorders>
              <w:top w:val="single" w:sz="4" w:space="0" w:color="auto"/>
              <w:left w:val="single" w:sz="4" w:space="0" w:color="auto"/>
              <w:bottom w:val="single" w:sz="4" w:space="0" w:color="auto"/>
              <w:right w:val="single" w:sz="4" w:space="0" w:color="auto"/>
            </w:tcBorders>
          </w:tcPr>
          <w:p w14:paraId="15A55C8A" w14:textId="77777777" w:rsidR="00FD797F" w:rsidRPr="00EA465D" w:rsidRDefault="00FD797F">
            <w:pPr>
              <w:tabs>
                <w:tab w:val="left" w:pos="851"/>
              </w:tabs>
              <w:ind w:left="851"/>
              <w:rPr>
                <w:sz w:val="22"/>
                <w:szCs w:val="22"/>
              </w:rPr>
            </w:pPr>
          </w:p>
        </w:tc>
        <w:tc>
          <w:tcPr>
            <w:tcW w:w="654" w:type="pct"/>
            <w:tcBorders>
              <w:top w:val="single" w:sz="4" w:space="0" w:color="auto"/>
              <w:left w:val="single" w:sz="4" w:space="0" w:color="auto"/>
              <w:bottom w:val="single" w:sz="4" w:space="0" w:color="auto"/>
              <w:right w:val="single" w:sz="4" w:space="0" w:color="auto"/>
            </w:tcBorders>
          </w:tcPr>
          <w:p w14:paraId="03DBE956" w14:textId="77777777" w:rsidR="00FD797F" w:rsidRPr="00EA465D" w:rsidRDefault="00FD797F">
            <w:pPr>
              <w:tabs>
                <w:tab w:val="left" w:pos="851"/>
              </w:tabs>
              <w:ind w:left="851"/>
              <w:rPr>
                <w:sz w:val="22"/>
                <w:szCs w:val="22"/>
              </w:rPr>
            </w:pPr>
          </w:p>
        </w:tc>
        <w:tc>
          <w:tcPr>
            <w:tcW w:w="1017" w:type="pct"/>
            <w:tcBorders>
              <w:top w:val="single" w:sz="4" w:space="0" w:color="auto"/>
              <w:left w:val="single" w:sz="4" w:space="0" w:color="auto"/>
              <w:bottom w:val="single" w:sz="4" w:space="0" w:color="auto"/>
              <w:right w:val="single" w:sz="4" w:space="0" w:color="auto"/>
            </w:tcBorders>
          </w:tcPr>
          <w:p w14:paraId="26933B7F" w14:textId="77777777" w:rsidR="00FD797F" w:rsidRPr="00EA465D" w:rsidRDefault="00FD797F">
            <w:pPr>
              <w:tabs>
                <w:tab w:val="left" w:pos="851"/>
              </w:tabs>
              <w:ind w:left="851"/>
              <w:rPr>
                <w:sz w:val="22"/>
                <w:szCs w:val="22"/>
              </w:rPr>
            </w:pPr>
          </w:p>
        </w:tc>
        <w:tc>
          <w:tcPr>
            <w:tcW w:w="1119" w:type="pct"/>
            <w:tcBorders>
              <w:top w:val="single" w:sz="4" w:space="0" w:color="auto"/>
              <w:left w:val="single" w:sz="4" w:space="0" w:color="auto"/>
              <w:bottom w:val="single" w:sz="4" w:space="0" w:color="auto"/>
              <w:right w:val="single" w:sz="4" w:space="0" w:color="auto"/>
            </w:tcBorders>
            <w:hideMark/>
          </w:tcPr>
          <w:p w14:paraId="795E33E7" w14:textId="77777777" w:rsidR="00FD797F" w:rsidRPr="00EA465D" w:rsidRDefault="00FD797F">
            <w:pPr>
              <w:tabs>
                <w:tab w:val="left" w:pos="851"/>
              </w:tabs>
              <w:rPr>
                <w:sz w:val="22"/>
                <w:szCs w:val="22"/>
              </w:rPr>
            </w:pPr>
            <w:r w:rsidRPr="00EA465D">
              <w:rPr>
                <w:sz w:val="22"/>
                <w:szCs w:val="22"/>
              </w:rPr>
              <w:t>Encefalopati</w:t>
            </w:r>
            <w:r w:rsidRPr="00EA465D">
              <w:rPr>
                <w:sz w:val="22"/>
                <w:szCs w:val="22"/>
                <w:vertAlign w:val="superscript"/>
              </w:rPr>
              <w:t>2</w:t>
            </w:r>
          </w:p>
        </w:tc>
      </w:tr>
      <w:tr w:rsidR="00FD797F" w:rsidRPr="00EA465D" w14:paraId="444D07F8" w14:textId="77777777" w:rsidTr="006F789B">
        <w:tc>
          <w:tcPr>
            <w:tcW w:w="1279" w:type="pct"/>
            <w:tcBorders>
              <w:top w:val="single" w:sz="4" w:space="0" w:color="auto"/>
              <w:left w:val="single" w:sz="4" w:space="0" w:color="auto"/>
              <w:bottom w:val="single" w:sz="4" w:space="0" w:color="auto"/>
              <w:right w:val="single" w:sz="4" w:space="0" w:color="auto"/>
            </w:tcBorders>
            <w:hideMark/>
          </w:tcPr>
          <w:p w14:paraId="6C7835BC" w14:textId="77777777" w:rsidR="00FD797F" w:rsidRPr="00EA465D" w:rsidRDefault="00FD797F">
            <w:pPr>
              <w:tabs>
                <w:tab w:val="left" w:pos="851"/>
              </w:tabs>
              <w:rPr>
                <w:b/>
                <w:sz w:val="22"/>
                <w:szCs w:val="22"/>
              </w:rPr>
            </w:pPr>
            <w:r w:rsidRPr="00EA465D">
              <w:rPr>
                <w:b/>
                <w:bCs/>
                <w:sz w:val="22"/>
                <w:szCs w:val="22"/>
              </w:rPr>
              <w:t xml:space="preserve">Mave-tarm-kanalen </w:t>
            </w:r>
          </w:p>
        </w:tc>
        <w:tc>
          <w:tcPr>
            <w:tcW w:w="931" w:type="pct"/>
            <w:tcBorders>
              <w:top w:val="single" w:sz="4" w:space="0" w:color="auto"/>
              <w:left w:val="single" w:sz="4" w:space="0" w:color="auto"/>
              <w:bottom w:val="single" w:sz="4" w:space="0" w:color="auto"/>
              <w:right w:val="single" w:sz="4" w:space="0" w:color="auto"/>
            </w:tcBorders>
            <w:hideMark/>
          </w:tcPr>
          <w:p w14:paraId="5AB2518D" w14:textId="77777777" w:rsidR="00FD797F" w:rsidRPr="00EA465D" w:rsidRDefault="00FD797F">
            <w:pPr>
              <w:tabs>
                <w:tab w:val="left" w:pos="851"/>
              </w:tabs>
              <w:rPr>
                <w:sz w:val="22"/>
                <w:szCs w:val="22"/>
              </w:rPr>
            </w:pPr>
            <w:r w:rsidRPr="00EA465D">
              <w:rPr>
                <w:sz w:val="22"/>
                <w:szCs w:val="22"/>
              </w:rPr>
              <w:t>Diarré</w:t>
            </w:r>
          </w:p>
        </w:tc>
        <w:tc>
          <w:tcPr>
            <w:tcW w:w="654" w:type="pct"/>
            <w:tcBorders>
              <w:top w:val="single" w:sz="4" w:space="0" w:color="auto"/>
              <w:left w:val="single" w:sz="4" w:space="0" w:color="auto"/>
              <w:bottom w:val="single" w:sz="4" w:space="0" w:color="auto"/>
              <w:right w:val="single" w:sz="4" w:space="0" w:color="auto"/>
            </w:tcBorders>
          </w:tcPr>
          <w:p w14:paraId="05EF6990" w14:textId="77777777" w:rsidR="00FD797F" w:rsidRPr="00EA465D" w:rsidRDefault="00FD797F">
            <w:pPr>
              <w:tabs>
                <w:tab w:val="left" w:pos="851"/>
              </w:tabs>
              <w:ind w:left="851"/>
              <w:rPr>
                <w:sz w:val="22"/>
                <w:szCs w:val="22"/>
              </w:rPr>
            </w:pPr>
          </w:p>
        </w:tc>
        <w:tc>
          <w:tcPr>
            <w:tcW w:w="1017" w:type="pct"/>
            <w:tcBorders>
              <w:top w:val="single" w:sz="4" w:space="0" w:color="auto"/>
              <w:left w:val="single" w:sz="4" w:space="0" w:color="auto"/>
              <w:bottom w:val="single" w:sz="4" w:space="0" w:color="auto"/>
              <w:right w:val="single" w:sz="4" w:space="0" w:color="auto"/>
            </w:tcBorders>
            <w:hideMark/>
          </w:tcPr>
          <w:p w14:paraId="4CB17CE6" w14:textId="77777777" w:rsidR="00FD797F" w:rsidRPr="00EA465D" w:rsidRDefault="00FD797F">
            <w:pPr>
              <w:tabs>
                <w:tab w:val="left" w:pos="851"/>
              </w:tabs>
              <w:rPr>
                <w:sz w:val="22"/>
                <w:szCs w:val="22"/>
              </w:rPr>
            </w:pPr>
            <w:proofErr w:type="spellStart"/>
            <w:r w:rsidRPr="00EA465D">
              <w:rPr>
                <w:sz w:val="22"/>
                <w:szCs w:val="22"/>
              </w:rPr>
              <w:t>Pseudomembranøs</w:t>
            </w:r>
            <w:proofErr w:type="spellEnd"/>
            <w:r w:rsidRPr="00EA465D">
              <w:rPr>
                <w:sz w:val="22"/>
                <w:szCs w:val="22"/>
              </w:rPr>
              <w:t xml:space="preserve"> colitis</w:t>
            </w:r>
          </w:p>
        </w:tc>
        <w:tc>
          <w:tcPr>
            <w:tcW w:w="1119" w:type="pct"/>
            <w:tcBorders>
              <w:top w:val="single" w:sz="4" w:space="0" w:color="auto"/>
              <w:left w:val="single" w:sz="4" w:space="0" w:color="auto"/>
              <w:bottom w:val="single" w:sz="4" w:space="0" w:color="auto"/>
              <w:right w:val="single" w:sz="4" w:space="0" w:color="auto"/>
            </w:tcBorders>
            <w:hideMark/>
          </w:tcPr>
          <w:p w14:paraId="50115740" w14:textId="77777777" w:rsidR="00FD797F" w:rsidRPr="00EA465D" w:rsidRDefault="00FD797F">
            <w:pPr>
              <w:tabs>
                <w:tab w:val="left" w:pos="851"/>
              </w:tabs>
              <w:rPr>
                <w:sz w:val="22"/>
                <w:szCs w:val="22"/>
              </w:rPr>
            </w:pPr>
            <w:r w:rsidRPr="00EA465D">
              <w:rPr>
                <w:sz w:val="22"/>
                <w:szCs w:val="22"/>
              </w:rPr>
              <w:t>Kvalme, opkastning</w:t>
            </w:r>
          </w:p>
        </w:tc>
      </w:tr>
      <w:tr w:rsidR="00FD797F" w:rsidRPr="00EA465D" w14:paraId="1BA99E00" w14:textId="77777777" w:rsidTr="006F789B">
        <w:tc>
          <w:tcPr>
            <w:tcW w:w="1279" w:type="pct"/>
            <w:tcBorders>
              <w:top w:val="single" w:sz="4" w:space="0" w:color="auto"/>
              <w:left w:val="single" w:sz="4" w:space="0" w:color="auto"/>
              <w:bottom w:val="single" w:sz="4" w:space="0" w:color="auto"/>
              <w:right w:val="single" w:sz="4" w:space="0" w:color="auto"/>
            </w:tcBorders>
            <w:hideMark/>
          </w:tcPr>
          <w:p w14:paraId="5A378724" w14:textId="77777777" w:rsidR="00FD797F" w:rsidRPr="00EA465D" w:rsidRDefault="00FD797F">
            <w:pPr>
              <w:tabs>
                <w:tab w:val="left" w:pos="851"/>
              </w:tabs>
              <w:rPr>
                <w:b/>
                <w:sz w:val="22"/>
                <w:szCs w:val="22"/>
              </w:rPr>
            </w:pPr>
            <w:r w:rsidRPr="00EA465D">
              <w:rPr>
                <w:b/>
                <w:bCs/>
                <w:sz w:val="22"/>
                <w:szCs w:val="22"/>
              </w:rPr>
              <w:t xml:space="preserve">Lever og galdeveje </w:t>
            </w:r>
          </w:p>
        </w:tc>
        <w:tc>
          <w:tcPr>
            <w:tcW w:w="931" w:type="pct"/>
            <w:tcBorders>
              <w:top w:val="single" w:sz="4" w:space="0" w:color="auto"/>
              <w:left w:val="single" w:sz="4" w:space="0" w:color="auto"/>
              <w:bottom w:val="single" w:sz="4" w:space="0" w:color="auto"/>
              <w:right w:val="single" w:sz="4" w:space="0" w:color="auto"/>
            </w:tcBorders>
          </w:tcPr>
          <w:p w14:paraId="1F4845F3" w14:textId="77777777" w:rsidR="00FD797F" w:rsidRPr="00EA465D" w:rsidRDefault="00FD797F">
            <w:pPr>
              <w:tabs>
                <w:tab w:val="left" w:pos="851"/>
              </w:tabs>
              <w:ind w:left="851"/>
              <w:rPr>
                <w:sz w:val="22"/>
                <w:szCs w:val="22"/>
              </w:rPr>
            </w:pPr>
          </w:p>
        </w:tc>
        <w:tc>
          <w:tcPr>
            <w:tcW w:w="654" w:type="pct"/>
            <w:tcBorders>
              <w:top w:val="single" w:sz="4" w:space="0" w:color="auto"/>
              <w:left w:val="single" w:sz="4" w:space="0" w:color="auto"/>
              <w:bottom w:val="single" w:sz="4" w:space="0" w:color="auto"/>
              <w:right w:val="single" w:sz="4" w:space="0" w:color="auto"/>
            </w:tcBorders>
          </w:tcPr>
          <w:p w14:paraId="32B034E6" w14:textId="77777777" w:rsidR="00FD797F" w:rsidRPr="00EA465D" w:rsidRDefault="00FD797F">
            <w:pPr>
              <w:tabs>
                <w:tab w:val="left" w:pos="851"/>
              </w:tabs>
              <w:ind w:left="851"/>
              <w:rPr>
                <w:sz w:val="22"/>
                <w:szCs w:val="22"/>
              </w:rPr>
            </w:pPr>
          </w:p>
        </w:tc>
        <w:tc>
          <w:tcPr>
            <w:tcW w:w="1017" w:type="pct"/>
            <w:tcBorders>
              <w:top w:val="single" w:sz="4" w:space="0" w:color="auto"/>
              <w:left w:val="single" w:sz="4" w:space="0" w:color="auto"/>
              <w:bottom w:val="single" w:sz="4" w:space="0" w:color="auto"/>
              <w:right w:val="single" w:sz="4" w:space="0" w:color="auto"/>
            </w:tcBorders>
            <w:hideMark/>
          </w:tcPr>
          <w:p w14:paraId="2CEA292F" w14:textId="77777777" w:rsidR="00FD797F" w:rsidRPr="00EA465D" w:rsidRDefault="00FD797F">
            <w:pPr>
              <w:tabs>
                <w:tab w:val="left" w:pos="851"/>
              </w:tabs>
              <w:rPr>
                <w:sz w:val="22"/>
                <w:szCs w:val="22"/>
              </w:rPr>
            </w:pPr>
            <w:proofErr w:type="spellStart"/>
            <w:r w:rsidRPr="00EA465D">
              <w:rPr>
                <w:sz w:val="22"/>
                <w:szCs w:val="22"/>
              </w:rPr>
              <w:t>Kolestatisk</w:t>
            </w:r>
            <w:proofErr w:type="spellEnd"/>
            <w:r w:rsidRPr="00EA465D">
              <w:rPr>
                <w:sz w:val="22"/>
                <w:szCs w:val="22"/>
              </w:rPr>
              <w:t xml:space="preserve"> leverskade</w:t>
            </w:r>
            <w:r w:rsidRPr="00EA465D">
              <w:rPr>
                <w:sz w:val="22"/>
                <w:szCs w:val="22"/>
                <w:vertAlign w:val="superscript"/>
              </w:rPr>
              <w:t>3</w:t>
            </w:r>
          </w:p>
        </w:tc>
        <w:tc>
          <w:tcPr>
            <w:tcW w:w="1119" w:type="pct"/>
            <w:tcBorders>
              <w:top w:val="single" w:sz="4" w:space="0" w:color="auto"/>
              <w:left w:val="single" w:sz="4" w:space="0" w:color="auto"/>
              <w:bottom w:val="single" w:sz="4" w:space="0" w:color="auto"/>
              <w:right w:val="single" w:sz="4" w:space="0" w:color="auto"/>
            </w:tcBorders>
          </w:tcPr>
          <w:p w14:paraId="2E3AAA72" w14:textId="77777777" w:rsidR="00FD797F" w:rsidRPr="00EA465D" w:rsidRDefault="00FD797F">
            <w:pPr>
              <w:tabs>
                <w:tab w:val="left" w:pos="851"/>
              </w:tabs>
              <w:ind w:left="851"/>
              <w:rPr>
                <w:sz w:val="22"/>
                <w:szCs w:val="22"/>
              </w:rPr>
            </w:pPr>
          </w:p>
        </w:tc>
      </w:tr>
      <w:tr w:rsidR="00FD797F" w:rsidRPr="00EA465D" w14:paraId="125A3FE7" w14:textId="77777777" w:rsidTr="006F789B">
        <w:tc>
          <w:tcPr>
            <w:tcW w:w="1279" w:type="pct"/>
            <w:tcBorders>
              <w:top w:val="single" w:sz="4" w:space="0" w:color="auto"/>
              <w:left w:val="single" w:sz="4" w:space="0" w:color="auto"/>
              <w:bottom w:val="single" w:sz="4" w:space="0" w:color="auto"/>
              <w:right w:val="single" w:sz="4" w:space="0" w:color="auto"/>
            </w:tcBorders>
            <w:hideMark/>
          </w:tcPr>
          <w:p w14:paraId="551F1D85" w14:textId="77777777" w:rsidR="00FD797F" w:rsidRPr="00EA465D" w:rsidRDefault="00FD797F">
            <w:pPr>
              <w:tabs>
                <w:tab w:val="left" w:pos="851"/>
              </w:tabs>
              <w:rPr>
                <w:b/>
                <w:sz w:val="22"/>
                <w:szCs w:val="22"/>
              </w:rPr>
            </w:pPr>
            <w:r w:rsidRPr="00EA465D">
              <w:rPr>
                <w:b/>
                <w:bCs/>
                <w:sz w:val="22"/>
                <w:szCs w:val="22"/>
              </w:rPr>
              <w:t>Hud og subkutane væv</w:t>
            </w:r>
          </w:p>
        </w:tc>
        <w:tc>
          <w:tcPr>
            <w:tcW w:w="931" w:type="pct"/>
            <w:tcBorders>
              <w:top w:val="single" w:sz="4" w:space="0" w:color="auto"/>
              <w:left w:val="single" w:sz="4" w:space="0" w:color="auto"/>
              <w:bottom w:val="single" w:sz="4" w:space="0" w:color="auto"/>
              <w:right w:val="single" w:sz="4" w:space="0" w:color="auto"/>
            </w:tcBorders>
            <w:hideMark/>
          </w:tcPr>
          <w:p w14:paraId="25BC6803" w14:textId="77777777" w:rsidR="00FD797F" w:rsidRPr="00EA465D" w:rsidRDefault="00FD797F">
            <w:pPr>
              <w:tabs>
                <w:tab w:val="left" w:pos="851"/>
              </w:tabs>
              <w:rPr>
                <w:sz w:val="22"/>
                <w:szCs w:val="22"/>
              </w:rPr>
            </w:pPr>
            <w:proofErr w:type="spellStart"/>
            <w:r w:rsidRPr="00EA465D">
              <w:rPr>
                <w:sz w:val="22"/>
                <w:szCs w:val="22"/>
              </w:rPr>
              <w:t>Eksantem</w:t>
            </w:r>
            <w:proofErr w:type="spellEnd"/>
            <w:r w:rsidRPr="00EA465D">
              <w:rPr>
                <w:sz w:val="22"/>
                <w:szCs w:val="22"/>
              </w:rPr>
              <w:t xml:space="preserve"> </w:t>
            </w:r>
          </w:p>
        </w:tc>
        <w:tc>
          <w:tcPr>
            <w:tcW w:w="654" w:type="pct"/>
            <w:tcBorders>
              <w:top w:val="single" w:sz="4" w:space="0" w:color="auto"/>
              <w:left w:val="single" w:sz="4" w:space="0" w:color="auto"/>
              <w:bottom w:val="single" w:sz="4" w:space="0" w:color="auto"/>
              <w:right w:val="single" w:sz="4" w:space="0" w:color="auto"/>
            </w:tcBorders>
            <w:hideMark/>
          </w:tcPr>
          <w:p w14:paraId="47EEF5C2" w14:textId="77777777" w:rsidR="00FD797F" w:rsidRPr="00EA465D" w:rsidRDefault="00FD797F">
            <w:pPr>
              <w:tabs>
                <w:tab w:val="left" w:pos="851"/>
              </w:tabs>
              <w:rPr>
                <w:sz w:val="22"/>
                <w:szCs w:val="22"/>
              </w:rPr>
            </w:pPr>
            <w:proofErr w:type="spellStart"/>
            <w:r w:rsidRPr="00EA465D">
              <w:rPr>
                <w:sz w:val="22"/>
                <w:szCs w:val="22"/>
              </w:rPr>
              <w:t>Urticaria</w:t>
            </w:r>
            <w:proofErr w:type="spellEnd"/>
            <w:r w:rsidRPr="00EA465D">
              <w:rPr>
                <w:sz w:val="22"/>
                <w:szCs w:val="22"/>
              </w:rPr>
              <w:t xml:space="preserve"> </w:t>
            </w:r>
          </w:p>
        </w:tc>
        <w:tc>
          <w:tcPr>
            <w:tcW w:w="1017" w:type="pct"/>
            <w:tcBorders>
              <w:top w:val="single" w:sz="4" w:space="0" w:color="auto"/>
              <w:left w:val="single" w:sz="4" w:space="0" w:color="auto"/>
              <w:bottom w:val="single" w:sz="4" w:space="0" w:color="auto"/>
              <w:right w:val="single" w:sz="4" w:space="0" w:color="auto"/>
            </w:tcBorders>
          </w:tcPr>
          <w:p w14:paraId="3556F5EF" w14:textId="77777777" w:rsidR="00FD797F" w:rsidRPr="00EA465D" w:rsidRDefault="00FD797F">
            <w:pPr>
              <w:tabs>
                <w:tab w:val="left" w:pos="851"/>
              </w:tabs>
              <w:ind w:left="851"/>
              <w:rPr>
                <w:sz w:val="22"/>
                <w:szCs w:val="22"/>
              </w:rPr>
            </w:pPr>
          </w:p>
        </w:tc>
        <w:tc>
          <w:tcPr>
            <w:tcW w:w="1119" w:type="pct"/>
            <w:tcBorders>
              <w:top w:val="single" w:sz="4" w:space="0" w:color="auto"/>
              <w:left w:val="single" w:sz="4" w:space="0" w:color="auto"/>
              <w:bottom w:val="single" w:sz="4" w:space="0" w:color="auto"/>
              <w:right w:val="single" w:sz="4" w:space="0" w:color="auto"/>
            </w:tcBorders>
            <w:hideMark/>
          </w:tcPr>
          <w:p w14:paraId="64259F39" w14:textId="77777777" w:rsidR="00FD797F" w:rsidRPr="00EA465D" w:rsidRDefault="00FD797F">
            <w:pPr>
              <w:tabs>
                <w:tab w:val="left" w:pos="851"/>
              </w:tabs>
              <w:rPr>
                <w:sz w:val="22"/>
                <w:szCs w:val="22"/>
              </w:rPr>
            </w:pPr>
            <w:r w:rsidRPr="00EA465D">
              <w:rPr>
                <w:sz w:val="22"/>
                <w:szCs w:val="22"/>
              </w:rPr>
              <w:t>DRESS-syndrom</w:t>
            </w:r>
            <w:r w:rsidRPr="00EA465D">
              <w:rPr>
                <w:sz w:val="22"/>
                <w:szCs w:val="22"/>
                <w:vertAlign w:val="superscript"/>
              </w:rPr>
              <w:t>4</w:t>
            </w:r>
          </w:p>
        </w:tc>
      </w:tr>
      <w:tr w:rsidR="00FD797F" w:rsidRPr="00EA465D" w14:paraId="2A7027E7" w14:textId="77777777" w:rsidTr="006F789B">
        <w:tc>
          <w:tcPr>
            <w:tcW w:w="1279" w:type="pct"/>
            <w:tcBorders>
              <w:top w:val="single" w:sz="4" w:space="0" w:color="auto"/>
              <w:left w:val="single" w:sz="4" w:space="0" w:color="auto"/>
              <w:bottom w:val="single" w:sz="4" w:space="0" w:color="auto"/>
              <w:right w:val="single" w:sz="4" w:space="0" w:color="auto"/>
            </w:tcBorders>
            <w:hideMark/>
          </w:tcPr>
          <w:p w14:paraId="2B522D80" w14:textId="77777777" w:rsidR="00FD797F" w:rsidRPr="00EA465D" w:rsidRDefault="00FD797F">
            <w:pPr>
              <w:tabs>
                <w:tab w:val="left" w:pos="851"/>
              </w:tabs>
              <w:rPr>
                <w:b/>
                <w:sz w:val="22"/>
                <w:szCs w:val="22"/>
              </w:rPr>
            </w:pPr>
            <w:r w:rsidRPr="00EA465D">
              <w:rPr>
                <w:b/>
                <w:bCs/>
                <w:sz w:val="22"/>
                <w:szCs w:val="22"/>
              </w:rPr>
              <w:t>Nyrer og urinveje</w:t>
            </w:r>
          </w:p>
        </w:tc>
        <w:tc>
          <w:tcPr>
            <w:tcW w:w="931" w:type="pct"/>
            <w:tcBorders>
              <w:top w:val="single" w:sz="4" w:space="0" w:color="auto"/>
              <w:left w:val="single" w:sz="4" w:space="0" w:color="auto"/>
              <w:bottom w:val="single" w:sz="4" w:space="0" w:color="auto"/>
              <w:right w:val="single" w:sz="4" w:space="0" w:color="auto"/>
            </w:tcBorders>
          </w:tcPr>
          <w:p w14:paraId="0AA86444" w14:textId="77777777" w:rsidR="00FD797F" w:rsidRPr="00EA465D" w:rsidRDefault="00FD797F">
            <w:pPr>
              <w:tabs>
                <w:tab w:val="left" w:pos="851"/>
              </w:tabs>
              <w:ind w:left="851"/>
              <w:rPr>
                <w:sz w:val="22"/>
                <w:szCs w:val="22"/>
              </w:rPr>
            </w:pPr>
          </w:p>
        </w:tc>
        <w:tc>
          <w:tcPr>
            <w:tcW w:w="654" w:type="pct"/>
            <w:tcBorders>
              <w:top w:val="single" w:sz="4" w:space="0" w:color="auto"/>
              <w:left w:val="single" w:sz="4" w:space="0" w:color="auto"/>
              <w:bottom w:val="single" w:sz="4" w:space="0" w:color="auto"/>
              <w:right w:val="single" w:sz="4" w:space="0" w:color="auto"/>
            </w:tcBorders>
          </w:tcPr>
          <w:p w14:paraId="791B333B" w14:textId="77777777" w:rsidR="00FD797F" w:rsidRPr="00EA465D" w:rsidRDefault="00FD797F">
            <w:pPr>
              <w:tabs>
                <w:tab w:val="left" w:pos="851"/>
              </w:tabs>
              <w:ind w:left="851"/>
              <w:rPr>
                <w:sz w:val="22"/>
                <w:szCs w:val="22"/>
              </w:rPr>
            </w:pPr>
          </w:p>
        </w:tc>
        <w:tc>
          <w:tcPr>
            <w:tcW w:w="1017" w:type="pct"/>
            <w:tcBorders>
              <w:top w:val="single" w:sz="4" w:space="0" w:color="auto"/>
              <w:left w:val="single" w:sz="4" w:space="0" w:color="auto"/>
              <w:bottom w:val="single" w:sz="4" w:space="0" w:color="auto"/>
              <w:right w:val="single" w:sz="4" w:space="0" w:color="auto"/>
            </w:tcBorders>
            <w:hideMark/>
          </w:tcPr>
          <w:p w14:paraId="238956EC" w14:textId="77777777" w:rsidR="00FD797F" w:rsidRPr="00EA465D" w:rsidRDefault="00FD797F">
            <w:pPr>
              <w:tabs>
                <w:tab w:val="left" w:pos="851"/>
              </w:tabs>
              <w:rPr>
                <w:sz w:val="22"/>
                <w:szCs w:val="22"/>
              </w:rPr>
            </w:pPr>
            <w:r w:rsidRPr="00EA465D">
              <w:rPr>
                <w:sz w:val="22"/>
                <w:szCs w:val="22"/>
              </w:rPr>
              <w:t>Nyreskade og øget serum-</w:t>
            </w:r>
            <w:proofErr w:type="spellStart"/>
            <w:r w:rsidRPr="00EA465D">
              <w:rPr>
                <w:sz w:val="22"/>
                <w:szCs w:val="22"/>
              </w:rPr>
              <w:t>kreatinin</w:t>
            </w:r>
            <w:proofErr w:type="spellEnd"/>
            <w:r w:rsidRPr="00EA465D">
              <w:rPr>
                <w:sz w:val="22"/>
                <w:szCs w:val="22"/>
              </w:rPr>
              <w:t xml:space="preserve"> </w:t>
            </w:r>
          </w:p>
        </w:tc>
        <w:tc>
          <w:tcPr>
            <w:tcW w:w="1119" w:type="pct"/>
            <w:tcBorders>
              <w:top w:val="single" w:sz="4" w:space="0" w:color="auto"/>
              <w:left w:val="single" w:sz="4" w:space="0" w:color="auto"/>
              <w:bottom w:val="single" w:sz="4" w:space="0" w:color="auto"/>
              <w:right w:val="single" w:sz="4" w:space="0" w:color="auto"/>
            </w:tcBorders>
          </w:tcPr>
          <w:p w14:paraId="13D6971E" w14:textId="4292038D" w:rsidR="00FD797F" w:rsidRPr="00EA465D" w:rsidRDefault="00FD797F" w:rsidP="007E3845">
            <w:pPr>
              <w:tabs>
                <w:tab w:val="left" w:pos="851"/>
              </w:tabs>
              <w:rPr>
                <w:sz w:val="22"/>
                <w:szCs w:val="22"/>
              </w:rPr>
            </w:pPr>
            <w:proofErr w:type="spellStart"/>
            <w:r w:rsidRPr="00EA465D">
              <w:rPr>
                <w:sz w:val="22"/>
                <w:szCs w:val="22"/>
              </w:rPr>
              <w:t>Interstitiel</w:t>
            </w:r>
            <w:proofErr w:type="spellEnd"/>
            <w:r w:rsidRPr="00EA465D">
              <w:rPr>
                <w:sz w:val="22"/>
                <w:szCs w:val="22"/>
              </w:rPr>
              <w:t xml:space="preserve"> nephritis</w:t>
            </w:r>
            <w:r w:rsidRPr="00EA465D">
              <w:rPr>
                <w:sz w:val="22"/>
                <w:szCs w:val="22"/>
                <w:vertAlign w:val="superscript"/>
              </w:rPr>
              <w:t>5</w:t>
            </w:r>
          </w:p>
        </w:tc>
      </w:tr>
      <w:tr w:rsidR="00FD797F" w:rsidRPr="00EA465D" w14:paraId="01340D4D" w14:textId="77777777" w:rsidTr="006F789B">
        <w:tc>
          <w:tcPr>
            <w:tcW w:w="1279" w:type="pct"/>
            <w:tcBorders>
              <w:top w:val="single" w:sz="4" w:space="0" w:color="auto"/>
              <w:left w:val="single" w:sz="4" w:space="0" w:color="auto"/>
              <w:bottom w:val="single" w:sz="4" w:space="0" w:color="auto"/>
              <w:right w:val="single" w:sz="4" w:space="0" w:color="auto"/>
            </w:tcBorders>
            <w:hideMark/>
          </w:tcPr>
          <w:p w14:paraId="2BB77FC4" w14:textId="77777777" w:rsidR="00FD797F" w:rsidRPr="00EA465D" w:rsidRDefault="00FD797F">
            <w:pPr>
              <w:tabs>
                <w:tab w:val="left" w:pos="851"/>
              </w:tabs>
              <w:rPr>
                <w:b/>
                <w:sz w:val="22"/>
                <w:szCs w:val="22"/>
              </w:rPr>
            </w:pPr>
            <w:r w:rsidRPr="00EA465D">
              <w:rPr>
                <w:b/>
                <w:bCs/>
                <w:sz w:val="22"/>
                <w:szCs w:val="22"/>
              </w:rPr>
              <w:t xml:space="preserve">Almene symptomer og reaktioner på administrationsstedet </w:t>
            </w:r>
          </w:p>
        </w:tc>
        <w:tc>
          <w:tcPr>
            <w:tcW w:w="931" w:type="pct"/>
            <w:tcBorders>
              <w:top w:val="single" w:sz="4" w:space="0" w:color="auto"/>
              <w:left w:val="single" w:sz="4" w:space="0" w:color="auto"/>
              <w:bottom w:val="single" w:sz="4" w:space="0" w:color="auto"/>
              <w:right w:val="single" w:sz="4" w:space="0" w:color="auto"/>
            </w:tcBorders>
            <w:hideMark/>
          </w:tcPr>
          <w:p w14:paraId="39AD5A8B" w14:textId="77777777" w:rsidR="00FD797F" w:rsidRPr="00EA465D" w:rsidRDefault="00FD797F">
            <w:pPr>
              <w:tabs>
                <w:tab w:val="left" w:pos="851"/>
              </w:tabs>
              <w:rPr>
                <w:sz w:val="22"/>
                <w:szCs w:val="22"/>
              </w:rPr>
            </w:pPr>
            <w:r w:rsidRPr="00EA465D">
              <w:rPr>
                <w:sz w:val="22"/>
                <w:szCs w:val="22"/>
              </w:rPr>
              <w:t>Utilpashed</w:t>
            </w:r>
          </w:p>
        </w:tc>
        <w:tc>
          <w:tcPr>
            <w:tcW w:w="654" w:type="pct"/>
            <w:tcBorders>
              <w:top w:val="single" w:sz="4" w:space="0" w:color="auto"/>
              <w:left w:val="single" w:sz="4" w:space="0" w:color="auto"/>
              <w:bottom w:val="single" w:sz="4" w:space="0" w:color="auto"/>
              <w:right w:val="single" w:sz="4" w:space="0" w:color="auto"/>
            </w:tcBorders>
          </w:tcPr>
          <w:p w14:paraId="4A776641" w14:textId="77777777" w:rsidR="00FD797F" w:rsidRPr="00EA465D" w:rsidRDefault="00FD797F">
            <w:pPr>
              <w:tabs>
                <w:tab w:val="left" w:pos="851"/>
              </w:tabs>
              <w:ind w:left="851"/>
              <w:rPr>
                <w:sz w:val="22"/>
                <w:szCs w:val="22"/>
              </w:rPr>
            </w:pPr>
          </w:p>
        </w:tc>
        <w:tc>
          <w:tcPr>
            <w:tcW w:w="1017" w:type="pct"/>
            <w:tcBorders>
              <w:top w:val="single" w:sz="4" w:space="0" w:color="auto"/>
              <w:left w:val="single" w:sz="4" w:space="0" w:color="auto"/>
              <w:bottom w:val="single" w:sz="4" w:space="0" w:color="auto"/>
              <w:right w:val="single" w:sz="4" w:space="0" w:color="auto"/>
            </w:tcBorders>
          </w:tcPr>
          <w:p w14:paraId="619AAAB2" w14:textId="77777777" w:rsidR="00FD797F" w:rsidRPr="00EA465D" w:rsidRDefault="00FD797F">
            <w:pPr>
              <w:tabs>
                <w:tab w:val="left" w:pos="851"/>
              </w:tabs>
              <w:ind w:left="851"/>
              <w:rPr>
                <w:sz w:val="22"/>
                <w:szCs w:val="22"/>
              </w:rPr>
            </w:pPr>
          </w:p>
        </w:tc>
        <w:tc>
          <w:tcPr>
            <w:tcW w:w="1119" w:type="pct"/>
            <w:tcBorders>
              <w:top w:val="single" w:sz="4" w:space="0" w:color="auto"/>
              <w:left w:val="single" w:sz="4" w:space="0" w:color="auto"/>
              <w:bottom w:val="single" w:sz="4" w:space="0" w:color="auto"/>
              <w:right w:val="single" w:sz="4" w:space="0" w:color="auto"/>
            </w:tcBorders>
            <w:hideMark/>
          </w:tcPr>
          <w:p w14:paraId="05935BC3" w14:textId="77777777" w:rsidR="00FD797F" w:rsidRPr="00EA465D" w:rsidRDefault="00FD797F">
            <w:pPr>
              <w:tabs>
                <w:tab w:val="left" w:pos="851"/>
              </w:tabs>
              <w:rPr>
                <w:sz w:val="22"/>
                <w:szCs w:val="22"/>
              </w:rPr>
            </w:pPr>
            <w:r w:rsidRPr="00EA465D">
              <w:rPr>
                <w:sz w:val="22"/>
                <w:szCs w:val="22"/>
              </w:rPr>
              <w:t>Lokal smerte efter intramuskulær injektion</w:t>
            </w:r>
            <w:r w:rsidRPr="00EA465D">
              <w:rPr>
                <w:sz w:val="22"/>
                <w:szCs w:val="22"/>
                <w:vertAlign w:val="superscript"/>
              </w:rPr>
              <w:t>6</w:t>
            </w:r>
          </w:p>
        </w:tc>
      </w:tr>
      <w:tr w:rsidR="00FD797F" w:rsidRPr="00EA465D" w14:paraId="7F3D773F" w14:textId="77777777" w:rsidTr="006F789B">
        <w:tc>
          <w:tcPr>
            <w:tcW w:w="1279" w:type="pct"/>
            <w:tcBorders>
              <w:top w:val="single" w:sz="4" w:space="0" w:color="auto"/>
              <w:left w:val="single" w:sz="4" w:space="0" w:color="auto"/>
              <w:bottom w:val="single" w:sz="4" w:space="0" w:color="auto"/>
              <w:right w:val="single" w:sz="4" w:space="0" w:color="auto"/>
            </w:tcBorders>
            <w:hideMark/>
          </w:tcPr>
          <w:p w14:paraId="44EF050F" w14:textId="77777777" w:rsidR="00FD797F" w:rsidRPr="00EA465D" w:rsidRDefault="00FD797F">
            <w:pPr>
              <w:tabs>
                <w:tab w:val="left" w:pos="851"/>
              </w:tabs>
              <w:rPr>
                <w:b/>
                <w:sz w:val="22"/>
                <w:szCs w:val="22"/>
              </w:rPr>
            </w:pPr>
            <w:proofErr w:type="spellStart"/>
            <w:r w:rsidRPr="00EA465D">
              <w:rPr>
                <w:b/>
                <w:bCs/>
                <w:sz w:val="22"/>
                <w:szCs w:val="22"/>
              </w:rPr>
              <w:t>Vaskulære</w:t>
            </w:r>
            <w:proofErr w:type="spellEnd"/>
            <w:r w:rsidRPr="00EA465D">
              <w:rPr>
                <w:b/>
                <w:bCs/>
                <w:sz w:val="22"/>
                <w:szCs w:val="22"/>
              </w:rPr>
              <w:t xml:space="preserve"> sygdomme</w:t>
            </w:r>
          </w:p>
        </w:tc>
        <w:tc>
          <w:tcPr>
            <w:tcW w:w="931" w:type="pct"/>
            <w:tcBorders>
              <w:top w:val="single" w:sz="4" w:space="0" w:color="auto"/>
              <w:left w:val="single" w:sz="4" w:space="0" w:color="auto"/>
              <w:bottom w:val="single" w:sz="4" w:space="0" w:color="auto"/>
              <w:right w:val="single" w:sz="4" w:space="0" w:color="auto"/>
            </w:tcBorders>
            <w:hideMark/>
          </w:tcPr>
          <w:p w14:paraId="20A1F23C" w14:textId="77777777" w:rsidR="00FD797F" w:rsidRPr="00EA465D" w:rsidRDefault="00FD797F">
            <w:pPr>
              <w:tabs>
                <w:tab w:val="left" w:pos="851"/>
              </w:tabs>
              <w:rPr>
                <w:sz w:val="22"/>
                <w:szCs w:val="22"/>
              </w:rPr>
            </w:pPr>
            <w:proofErr w:type="spellStart"/>
            <w:r w:rsidRPr="00EA465D">
              <w:rPr>
                <w:sz w:val="22"/>
                <w:szCs w:val="22"/>
              </w:rPr>
              <w:t>Thromboflebitis</w:t>
            </w:r>
            <w:proofErr w:type="spellEnd"/>
            <w:r w:rsidRPr="00EA465D">
              <w:rPr>
                <w:sz w:val="22"/>
                <w:szCs w:val="22"/>
              </w:rPr>
              <w:t xml:space="preserve"> (efter intravenøs injektion)</w:t>
            </w:r>
          </w:p>
        </w:tc>
        <w:tc>
          <w:tcPr>
            <w:tcW w:w="654" w:type="pct"/>
            <w:tcBorders>
              <w:top w:val="single" w:sz="4" w:space="0" w:color="auto"/>
              <w:left w:val="single" w:sz="4" w:space="0" w:color="auto"/>
              <w:bottom w:val="single" w:sz="4" w:space="0" w:color="auto"/>
              <w:right w:val="single" w:sz="4" w:space="0" w:color="auto"/>
            </w:tcBorders>
          </w:tcPr>
          <w:p w14:paraId="7FD6A84E" w14:textId="77777777" w:rsidR="00FD797F" w:rsidRPr="00EA465D" w:rsidRDefault="00FD797F">
            <w:pPr>
              <w:tabs>
                <w:tab w:val="left" w:pos="851"/>
              </w:tabs>
              <w:ind w:left="851"/>
              <w:rPr>
                <w:sz w:val="22"/>
                <w:szCs w:val="22"/>
              </w:rPr>
            </w:pPr>
          </w:p>
        </w:tc>
        <w:tc>
          <w:tcPr>
            <w:tcW w:w="1017" w:type="pct"/>
            <w:tcBorders>
              <w:top w:val="single" w:sz="4" w:space="0" w:color="auto"/>
              <w:left w:val="single" w:sz="4" w:space="0" w:color="auto"/>
              <w:bottom w:val="single" w:sz="4" w:space="0" w:color="auto"/>
              <w:right w:val="single" w:sz="4" w:space="0" w:color="auto"/>
            </w:tcBorders>
          </w:tcPr>
          <w:p w14:paraId="6903C799" w14:textId="77777777" w:rsidR="00FD797F" w:rsidRPr="00EA465D" w:rsidRDefault="00FD797F">
            <w:pPr>
              <w:tabs>
                <w:tab w:val="left" w:pos="851"/>
              </w:tabs>
              <w:ind w:left="851"/>
              <w:rPr>
                <w:sz w:val="22"/>
                <w:szCs w:val="22"/>
              </w:rPr>
            </w:pPr>
          </w:p>
        </w:tc>
        <w:tc>
          <w:tcPr>
            <w:tcW w:w="1119" w:type="pct"/>
            <w:tcBorders>
              <w:top w:val="single" w:sz="4" w:space="0" w:color="auto"/>
              <w:left w:val="single" w:sz="4" w:space="0" w:color="auto"/>
              <w:bottom w:val="single" w:sz="4" w:space="0" w:color="auto"/>
              <w:right w:val="single" w:sz="4" w:space="0" w:color="auto"/>
            </w:tcBorders>
          </w:tcPr>
          <w:p w14:paraId="510D1DCF" w14:textId="77777777" w:rsidR="00FD797F" w:rsidRPr="00EA465D" w:rsidRDefault="00FD797F">
            <w:pPr>
              <w:tabs>
                <w:tab w:val="left" w:pos="851"/>
              </w:tabs>
              <w:ind w:left="851"/>
              <w:rPr>
                <w:sz w:val="22"/>
                <w:szCs w:val="22"/>
              </w:rPr>
            </w:pPr>
          </w:p>
        </w:tc>
      </w:tr>
    </w:tbl>
    <w:p w14:paraId="74149F0C" w14:textId="77777777" w:rsidR="00FD797F" w:rsidRPr="00EA465D" w:rsidRDefault="00FD797F" w:rsidP="007E3845">
      <w:pPr>
        <w:numPr>
          <w:ilvl w:val="0"/>
          <w:numId w:val="7"/>
        </w:numPr>
        <w:tabs>
          <w:tab w:val="left" w:pos="284"/>
        </w:tabs>
        <w:ind w:left="284" w:hanging="284"/>
        <w:rPr>
          <w:sz w:val="20"/>
        </w:rPr>
      </w:pPr>
      <w:r w:rsidRPr="00EA465D">
        <w:rPr>
          <w:sz w:val="20"/>
        </w:rPr>
        <w:t xml:space="preserve">Overfølsomhedsreaktioner ses oftere hos patienter, der får høje doser især parenteralt, hos patienter, som er allergiske over for mange allergener samt hos patienter med astma, høfeber eller </w:t>
      </w:r>
      <w:proofErr w:type="spellStart"/>
      <w:r w:rsidRPr="00EA465D">
        <w:rPr>
          <w:sz w:val="20"/>
        </w:rPr>
        <w:t>urticaria</w:t>
      </w:r>
      <w:proofErr w:type="spellEnd"/>
      <w:r w:rsidRPr="00EA465D">
        <w:rPr>
          <w:sz w:val="20"/>
        </w:rPr>
        <w:t xml:space="preserve"> i anamnesen. I tilfælde af en eller flere af ovenstående allergiske reaktioner skal behandlingen øjeblikkeligt seponeres (se pkt. 4.4).</w:t>
      </w:r>
    </w:p>
    <w:p w14:paraId="5626969B" w14:textId="77777777" w:rsidR="00FD797F" w:rsidRPr="00EA465D" w:rsidRDefault="00FD797F" w:rsidP="007E3845">
      <w:pPr>
        <w:numPr>
          <w:ilvl w:val="0"/>
          <w:numId w:val="7"/>
        </w:numPr>
        <w:tabs>
          <w:tab w:val="left" w:pos="284"/>
        </w:tabs>
        <w:ind w:left="284" w:hanging="284"/>
        <w:rPr>
          <w:sz w:val="20"/>
        </w:rPr>
      </w:pPr>
      <w:r w:rsidRPr="00EA465D">
        <w:rPr>
          <w:sz w:val="20"/>
        </w:rPr>
        <w:t>Disse symptomer optræder hovedsageligt hos patienter med nyresvigt, som får høje doser af lægemidlet.</w:t>
      </w:r>
    </w:p>
    <w:p w14:paraId="216C8CE8" w14:textId="77777777" w:rsidR="00FD797F" w:rsidRPr="00EA465D" w:rsidRDefault="00FD797F" w:rsidP="007E3845">
      <w:pPr>
        <w:numPr>
          <w:ilvl w:val="0"/>
          <w:numId w:val="7"/>
        </w:numPr>
        <w:tabs>
          <w:tab w:val="left" w:pos="284"/>
        </w:tabs>
        <w:ind w:left="284" w:hanging="284"/>
        <w:rPr>
          <w:sz w:val="20"/>
        </w:rPr>
      </w:pPr>
      <w:r w:rsidRPr="00EA465D">
        <w:rPr>
          <w:sz w:val="20"/>
        </w:rPr>
        <w:t>Symptomerne forsvinder, når produktet seponeres.</w:t>
      </w:r>
    </w:p>
    <w:p w14:paraId="5C665687" w14:textId="77777777" w:rsidR="00FD797F" w:rsidRPr="00EA465D" w:rsidRDefault="00FD797F" w:rsidP="007E3845">
      <w:pPr>
        <w:numPr>
          <w:ilvl w:val="0"/>
          <w:numId w:val="7"/>
        </w:numPr>
        <w:tabs>
          <w:tab w:val="left" w:pos="284"/>
        </w:tabs>
        <w:ind w:left="284" w:hanging="284"/>
        <w:rPr>
          <w:sz w:val="20"/>
        </w:rPr>
      </w:pPr>
      <w:r w:rsidRPr="00EA465D">
        <w:rPr>
          <w:sz w:val="20"/>
        </w:rPr>
        <w:t xml:space="preserve">Øjeblikkelig opståen af </w:t>
      </w:r>
      <w:proofErr w:type="spellStart"/>
      <w:r w:rsidRPr="00EA465D">
        <w:rPr>
          <w:sz w:val="20"/>
        </w:rPr>
        <w:t>urticaria</w:t>
      </w:r>
      <w:proofErr w:type="spellEnd"/>
      <w:r w:rsidRPr="00EA465D">
        <w:rPr>
          <w:sz w:val="20"/>
        </w:rPr>
        <w:t xml:space="preserve"> indikerer en allergisk reaktion over for </w:t>
      </w:r>
      <w:proofErr w:type="spellStart"/>
      <w:r w:rsidRPr="00EA465D">
        <w:rPr>
          <w:sz w:val="20"/>
        </w:rPr>
        <w:t>cloxacillin</w:t>
      </w:r>
      <w:proofErr w:type="spellEnd"/>
      <w:r w:rsidRPr="00EA465D">
        <w:rPr>
          <w:sz w:val="20"/>
        </w:rPr>
        <w:t>, og indebærer at behandlingen skal seponeres. Der kan optræde hududslæt fra 48 timer til 2-4 uger efter opstart af behandlingen som en forsinket allergisk reaktion.</w:t>
      </w:r>
    </w:p>
    <w:p w14:paraId="5D12665D" w14:textId="77777777" w:rsidR="00FD797F" w:rsidRPr="00EA465D" w:rsidRDefault="00FD797F" w:rsidP="007E3845">
      <w:pPr>
        <w:numPr>
          <w:ilvl w:val="0"/>
          <w:numId w:val="7"/>
        </w:numPr>
        <w:tabs>
          <w:tab w:val="left" w:pos="284"/>
        </w:tabs>
        <w:ind w:left="284" w:hanging="284"/>
        <w:rPr>
          <w:sz w:val="20"/>
        </w:rPr>
      </w:pPr>
      <w:r w:rsidRPr="00EA465D">
        <w:rPr>
          <w:sz w:val="20"/>
        </w:rPr>
        <w:t xml:space="preserve">Symptomerne på disse lidelser er i de fleste tilfælde udslæt, feber, </w:t>
      </w:r>
      <w:proofErr w:type="spellStart"/>
      <w:r w:rsidRPr="00EA465D">
        <w:rPr>
          <w:sz w:val="20"/>
        </w:rPr>
        <w:t>eosinofili</w:t>
      </w:r>
      <w:proofErr w:type="spellEnd"/>
      <w:r w:rsidRPr="00EA465D">
        <w:rPr>
          <w:sz w:val="20"/>
        </w:rPr>
        <w:t xml:space="preserve">, hæmaturi, </w:t>
      </w:r>
      <w:proofErr w:type="spellStart"/>
      <w:r w:rsidRPr="00EA465D">
        <w:rPr>
          <w:sz w:val="20"/>
        </w:rPr>
        <w:t>proteinuri</w:t>
      </w:r>
      <w:proofErr w:type="spellEnd"/>
      <w:r w:rsidRPr="00EA465D">
        <w:rPr>
          <w:sz w:val="20"/>
        </w:rPr>
        <w:t xml:space="preserve">. De forekommer hyppigst hos patienter, der får høje doser af lægemidlet og/eller med eksisterende nedsat nyrefunktion. De forsvinder efter </w:t>
      </w:r>
      <w:proofErr w:type="spellStart"/>
      <w:r w:rsidRPr="00EA465D">
        <w:rPr>
          <w:sz w:val="20"/>
        </w:rPr>
        <w:t>seponering</w:t>
      </w:r>
      <w:proofErr w:type="spellEnd"/>
      <w:r w:rsidRPr="00EA465D">
        <w:rPr>
          <w:sz w:val="20"/>
        </w:rPr>
        <w:t xml:space="preserve"> af lægemidlet. </w:t>
      </w:r>
    </w:p>
    <w:p w14:paraId="25EDD827" w14:textId="77777777" w:rsidR="00FD797F" w:rsidRPr="00EA465D" w:rsidRDefault="00FD797F" w:rsidP="007E3845">
      <w:pPr>
        <w:numPr>
          <w:ilvl w:val="0"/>
          <w:numId w:val="7"/>
        </w:numPr>
        <w:tabs>
          <w:tab w:val="left" w:pos="284"/>
        </w:tabs>
        <w:ind w:left="284" w:hanging="284"/>
        <w:rPr>
          <w:sz w:val="20"/>
        </w:rPr>
      </w:pPr>
      <w:r w:rsidRPr="00EA465D">
        <w:rPr>
          <w:sz w:val="20"/>
        </w:rPr>
        <w:t xml:space="preserve">Disse forsvinder efter </w:t>
      </w:r>
      <w:proofErr w:type="spellStart"/>
      <w:r w:rsidRPr="00EA465D">
        <w:rPr>
          <w:sz w:val="20"/>
        </w:rPr>
        <w:t>seponering</w:t>
      </w:r>
      <w:proofErr w:type="spellEnd"/>
      <w:r w:rsidRPr="00EA465D">
        <w:rPr>
          <w:sz w:val="20"/>
        </w:rPr>
        <w:t xml:space="preserve"> af lægemidlet. </w:t>
      </w:r>
    </w:p>
    <w:p w14:paraId="308A05E5" w14:textId="77777777" w:rsidR="00FD797F" w:rsidRPr="002E4320" w:rsidRDefault="00FD797F" w:rsidP="00FD797F">
      <w:pPr>
        <w:tabs>
          <w:tab w:val="left" w:pos="851"/>
        </w:tabs>
        <w:ind w:left="851"/>
        <w:rPr>
          <w:sz w:val="24"/>
          <w:szCs w:val="24"/>
        </w:rPr>
      </w:pPr>
    </w:p>
    <w:p w14:paraId="3A10DEBC" w14:textId="77777777" w:rsidR="00FD797F" w:rsidRPr="002E4320" w:rsidRDefault="00FD797F" w:rsidP="00FD797F">
      <w:pPr>
        <w:tabs>
          <w:tab w:val="left" w:pos="851"/>
        </w:tabs>
        <w:ind w:left="851"/>
        <w:rPr>
          <w:bCs/>
          <w:sz w:val="24"/>
          <w:szCs w:val="24"/>
          <w:u w:val="single"/>
        </w:rPr>
      </w:pPr>
      <w:r w:rsidRPr="002E4320">
        <w:rPr>
          <w:bCs/>
          <w:sz w:val="24"/>
          <w:szCs w:val="24"/>
          <w:u w:val="single"/>
        </w:rPr>
        <w:t>Indberetning af formodede bivirkninger</w:t>
      </w:r>
    </w:p>
    <w:p w14:paraId="343DA325" w14:textId="77777777" w:rsidR="00FD797F" w:rsidRPr="002E4320" w:rsidRDefault="00FD797F" w:rsidP="00FD797F">
      <w:pPr>
        <w:tabs>
          <w:tab w:val="left" w:pos="851"/>
        </w:tabs>
        <w:ind w:left="851"/>
        <w:rPr>
          <w:sz w:val="24"/>
          <w:szCs w:val="24"/>
        </w:rPr>
      </w:pPr>
      <w:r w:rsidRPr="002E4320">
        <w:rPr>
          <w:sz w:val="24"/>
          <w:szCs w:val="24"/>
        </w:rPr>
        <w:t>Når lægemidlet er godkendt, er indberetning af formodede bivirkninger vigtig. Det muliggør løbende overvågning af benefit/</w:t>
      </w:r>
      <w:proofErr w:type="spellStart"/>
      <w:r w:rsidRPr="002E4320">
        <w:rPr>
          <w:sz w:val="24"/>
          <w:szCs w:val="24"/>
        </w:rPr>
        <w:t>risk</w:t>
      </w:r>
      <w:proofErr w:type="spellEnd"/>
      <w:r w:rsidRPr="002E4320">
        <w:rPr>
          <w:sz w:val="24"/>
          <w:szCs w:val="24"/>
        </w:rPr>
        <w:t>-forholdet for lægemidlet. Sundhedspersoner anmodes om at indberette alle formodede bivirkninger via:</w:t>
      </w:r>
    </w:p>
    <w:p w14:paraId="3BA89BE8" w14:textId="77777777" w:rsidR="00FD797F" w:rsidRPr="002E4320" w:rsidRDefault="00FD797F" w:rsidP="00FD797F">
      <w:pPr>
        <w:tabs>
          <w:tab w:val="left" w:pos="851"/>
        </w:tabs>
        <w:ind w:left="851"/>
        <w:rPr>
          <w:sz w:val="24"/>
          <w:szCs w:val="24"/>
        </w:rPr>
      </w:pPr>
    </w:p>
    <w:p w14:paraId="4E71E879" w14:textId="77777777" w:rsidR="00FD797F" w:rsidRPr="002E4320" w:rsidRDefault="00FD797F" w:rsidP="00FD797F">
      <w:pPr>
        <w:tabs>
          <w:tab w:val="left" w:pos="851"/>
        </w:tabs>
        <w:ind w:left="851"/>
        <w:rPr>
          <w:sz w:val="24"/>
          <w:szCs w:val="24"/>
        </w:rPr>
      </w:pPr>
      <w:r w:rsidRPr="002E4320">
        <w:rPr>
          <w:sz w:val="24"/>
          <w:szCs w:val="24"/>
        </w:rPr>
        <w:t>Lægemiddelstyrelsen</w:t>
      </w:r>
    </w:p>
    <w:p w14:paraId="02F057F5" w14:textId="77777777" w:rsidR="00FD797F" w:rsidRPr="002E4320" w:rsidRDefault="00FD797F" w:rsidP="00FD797F">
      <w:pPr>
        <w:tabs>
          <w:tab w:val="left" w:pos="851"/>
        </w:tabs>
        <w:ind w:left="851"/>
        <w:rPr>
          <w:sz w:val="24"/>
          <w:szCs w:val="24"/>
        </w:rPr>
      </w:pPr>
      <w:r w:rsidRPr="002E4320">
        <w:rPr>
          <w:sz w:val="24"/>
          <w:szCs w:val="24"/>
        </w:rPr>
        <w:t>Axel Heides Gade 1</w:t>
      </w:r>
    </w:p>
    <w:p w14:paraId="596AF7FE" w14:textId="77777777" w:rsidR="00FD797F" w:rsidRPr="002E4320" w:rsidRDefault="00FD797F" w:rsidP="00FD797F">
      <w:pPr>
        <w:tabs>
          <w:tab w:val="left" w:pos="851"/>
        </w:tabs>
        <w:ind w:left="851"/>
        <w:rPr>
          <w:sz w:val="24"/>
          <w:szCs w:val="24"/>
        </w:rPr>
      </w:pPr>
      <w:r w:rsidRPr="002E4320">
        <w:rPr>
          <w:sz w:val="24"/>
          <w:szCs w:val="24"/>
        </w:rPr>
        <w:t>DK-2300 København S</w:t>
      </w:r>
    </w:p>
    <w:p w14:paraId="77B8A8A2" w14:textId="77777777" w:rsidR="00FD797F" w:rsidRPr="002E4320" w:rsidRDefault="00FD797F" w:rsidP="00FD797F">
      <w:pPr>
        <w:tabs>
          <w:tab w:val="left" w:pos="851"/>
        </w:tabs>
        <w:ind w:left="851"/>
        <w:rPr>
          <w:bCs/>
          <w:sz w:val="24"/>
          <w:szCs w:val="24"/>
        </w:rPr>
      </w:pPr>
      <w:r w:rsidRPr="002E4320">
        <w:rPr>
          <w:sz w:val="24"/>
          <w:szCs w:val="24"/>
        </w:rPr>
        <w:t xml:space="preserve">Websted: </w:t>
      </w:r>
      <w:hyperlink r:id="rId8" w:history="1">
        <w:r w:rsidRPr="002E4320">
          <w:rPr>
            <w:rStyle w:val="Hyperlink"/>
            <w:sz w:val="24"/>
            <w:szCs w:val="24"/>
          </w:rPr>
          <w:t>www.meldenbivirkning.dk</w:t>
        </w:r>
      </w:hyperlink>
    </w:p>
    <w:p w14:paraId="459402B5" w14:textId="77777777" w:rsidR="009260DE" w:rsidRPr="002E4320" w:rsidRDefault="009260DE" w:rsidP="00A10294">
      <w:pPr>
        <w:tabs>
          <w:tab w:val="left" w:pos="851"/>
        </w:tabs>
        <w:ind w:left="851"/>
        <w:rPr>
          <w:sz w:val="24"/>
          <w:szCs w:val="24"/>
        </w:rPr>
      </w:pPr>
    </w:p>
    <w:p w14:paraId="5A38A415" w14:textId="77777777" w:rsidR="009260DE" w:rsidRPr="002E4320" w:rsidRDefault="009260DE" w:rsidP="009260DE">
      <w:pPr>
        <w:tabs>
          <w:tab w:val="left" w:pos="851"/>
        </w:tabs>
        <w:ind w:left="851" w:hanging="851"/>
        <w:rPr>
          <w:b/>
          <w:sz w:val="24"/>
          <w:szCs w:val="24"/>
        </w:rPr>
      </w:pPr>
      <w:r w:rsidRPr="002E4320">
        <w:rPr>
          <w:b/>
          <w:sz w:val="24"/>
          <w:szCs w:val="24"/>
        </w:rPr>
        <w:t>4.9</w:t>
      </w:r>
      <w:r w:rsidRPr="002E4320">
        <w:rPr>
          <w:b/>
          <w:sz w:val="24"/>
          <w:szCs w:val="24"/>
        </w:rPr>
        <w:tab/>
        <w:t>Overdosering</w:t>
      </w:r>
    </w:p>
    <w:p w14:paraId="012D2412" w14:textId="45BF2CE7" w:rsidR="00FD797F" w:rsidRPr="002E4320" w:rsidRDefault="00FD797F" w:rsidP="00FD797F">
      <w:pPr>
        <w:tabs>
          <w:tab w:val="left" w:pos="851"/>
        </w:tabs>
        <w:ind w:left="851"/>
        <w:rPr>
          <w:sz w:val="24"/>
          <w:szCs w:val="24"/>
          <w:lang w:eastAsia="da-DK"/>
        </w:rPr>
      </w:pPr>
      <w:r w:rsidRPr="002E4320">
        <w:rPr>
          <w:sz w:val="24"/>
          <w:szCs w:val="24"/>
        </w:rPr>
        <w:t xml:space="preserve">Penicilliner kan, når de gives i høje doser til patienter med svær nyreinsufficiens eller en defekt blod-hjerne barriere, forårsage </w:t>
      </w:r>
      <w:proofErr w:type="spellStart"/>
      <w:r w:rsidRPr="002E4320">
        <w:rPr>
          <w:sz w:val="24"/>
          <w:szCs w:val="24"/>
        </w:rPr>
        <w:t>encephalopati</w:t>
      </w:r>
      <w:proofErr w:type="spellEnd"/>
      <w:r w:rsidRPr="002E4320">
        <w:rPr>
          <w:sz w:val="24"/>
          <w:szCs w:val="24"/>
        </w:rPr>
        <w:t>, som kan være ledsaget af forvirring, bevidsthedspåvirkning, anfald eller unormale bevægelser.</w:t>
      </w:r>
    </w:p>
    <w:p w14:paraId="3BCD6FD3" w14:textId="77777777" w:rsidR="00FD797F" w:rsidRPr="002E4320" w:rsidRDefault="00FD797F" w:rsidP="00FD797F">
      <w:pPr>
        <w:tabs>
          <w:tab w:val="left" w:pos="851"/>
        </w:tabs>
        <w:ind w:left="851"/>
        <w:rPr>
          <w:sz w:val="24"/>
          <w:szCs w:val="24"/>
        </w:rPr>
      </w:pPr>
    </w:p>
    <w:p w14:paraId="5347CEB7" w14:textId="1C55A727" w:rsidR="00FD797F" w:rsidRPr="002E4320" w:rsidRDefault="00FD797F" w:rsidP="00FD797F">
      <w:pPr>
        <w:tabs>
          <w:tab w:val="left" w:pos="851"/>
        </w:tabs>
        <w:ind w:left="851"/>
        <w:rPr>
          <w:sz w:val="24"/>
          <w:szCs w:val="24"/>
        </w:rPr>
      </w:pPr>
      <w:r w:rsidRPr="002E4320">
        <w:rPr>
          <w:sz w:val="24"/>
          <w:szCs w:val="24"/>
        </w:rPr>
        <w:t>Symptomer: Toksisk reaktion, utilpashed, opkastning, diarré, ændring i elektrolyt</w:t>
      </w:r>
      <w:r w:rsidR="00917E75">
        <w:rPr>
          <w:sz w:val="24"/>
          <w:szCs w:val="24"/>
        </w:rPr>
        <w:softHyphen/>
      </w:r>
      <w:r w:rsidRPr="002E4320">
        <w:rPr>
          <w:sz w:val="24"/>
          <w:szCs w:val="24"/>
        </w:rPr>
        <w:t xml:space="preserve">koncentrationen, koma, </w:t>
      </w:r>
      <w:proofErr w:type="spellStart"/>
      <w:r w:rsidRPr="002E4320">
        <w:rPr>
          <w:sz w:val="24"/>
          <w:szCs w:val="24"/>
        </w:rPr>
        <w:t>muskelfascikulationer</w:t>
      </w:r>
      <w:proofErr w:type="spellEnd"/>
      <w:r w:rsidRPr="002E4320">
        <w:rPr>
          <w:sz w:val="24"/>
          <w:szCs w:val="24"/>
        </w:rPr>
        <w:t xml:space="preserve">, </w:t>
      </w:r>
      <w:proofErr w:type="spellStart"/>
      <w:r w:rsidRPr="002E4320">
        <w:rPr>
          <w:sz w:val="24"/>
          <w:szCs w:val="24"/>
        </w:rPr>
        <w:t>myokloni</w:t>
      </w:r>
      <w:proofErr w:type="spellEnd"/>
      <w:r w:rsidRPr="002E4320">
        <w:rPr>
          <w:sz w:val="24"/>
          <w:szCs w:val="24"/>
        </w:rPr>
        <w:t xml:space="preserve">, kramper, koma, </w:t>
      </w:r>
      <w:proofErr w:type="spellStart"/>
      <w:r w:rsidRPr="002E4320">
        <w:rPr>
          <w:sz w:val="24"/>
          <w:szCs w:val="24"/>
        </w:rPr>
        <w:t>hæmolytisk</w:t>
      </w:r>
      <w:proofErr w:type="spellEnd"/>
      <w:r w:rsidRPr="002E4320">
        <w:rPr>
          <w:sz w:val="24"/>
          <w:szCs w:val="24"/>
        </w:rPr>
        <w:t xml:space="preserve"> reaktion, nyreinsufficiens, </w:t>
      </w:r>
      <w:proofErr w:type="spellStart"/>
      <w:r w:rsidRPr="002E4320">
        <w:rPr>
          <w:sz w:val="24"/>
          <w:szCs w:val="24"/>
        </w:rPr>
        <w:t>acidose</w:t>
      </w:r>
      <w:proofErr w:type="spellEnd"/>
      <w:r w:rsidRPr="002E4320">
        <w:rPr>
          <w:sz w:val="24"/>
          <w:szCs w:val="24"/>
        </w:rPr>
        <w:t>.</w:t>
      </w:r>
    </w:p>
    <w:p w14:paraId="04D2185A" w14:textId="77777777" w:rsidR="00FD797F" w:rsidRPr="002E4320" w:rsidRDefault="00FD797F" w:rsidP="00FD797F">
      <w:pPr>
        <w:tabs>
          <w:tab w:val="left" w:pos="851"/>
        </w:tabs>
        <w:ind w:left="851"/>
        <w:rPr>
          <w:sz w:val="24"/>
          <w:szCs w:val="24"/>
        </w:rPr>
      </w:pPr>
    </w:p>
    <w:p w14:paraId="0AFCEE52" w14:textId="77777777" w:rsidR="00FD797F" w:rsidRPr="002E4320" w:rsidRDefault="00FD797F" w:rsidP="00FD797F">
      <w:pPr>
        <w:tabs>
          <w:tab w:val="left" w:pos="851"/>
        </w:tabs>
        <w:ind w:left="851"/>
        <w:rPr>
          <w:sz w:val="24"/>
          <w:szCs w:val="24"/>
        </w:rPr>
      </w:pPr>
      <w:r w:rsidRPr="002E4320">
        <w:rPr>
          <w:sz w:val="24"/>
          <w:szCs w:val="24"/>
        </w:rPr>
        <w:t xml:space="preserve">Behandling: Symptomatisk behandling. I alvorlige tilfælde </w:t>
      </w:r>
      <w:proofErr w:type="spellStart"/>
      <w:r w:rsidRPr="002E4320">
        <w:rPr>
          <w:sz w:val="24"/>
          <w:szCs w:val="24"/>
        </w:rPr>
        <w:t>hæmoperfusion</w:t>
      </w:r>
      <w:proofErr w:type="spellEnd"/>
      <w:r w:rsidRPr="002E4320">
        <w:rPr>
          <w:sz w:val="24"/>
          <w:szCs w:val="24"/>
        </w:rPr>
        <w:t xml:space="preserve"> eller hæmodialyse.</w:t>
      </w:r>
    </w:p>
    <w:p w14:paraId="546927D9" w14:textId="356985D0" w:rsidR="007C125B" w:rsidRDefault="007C125B">
      <w:pPr>
        <w:rPr>
          <w:sz w:val="24"/>
          <w:szCs w:val="24"/>
        </w:rPr>
      </w:pPr>
      <w:r>
        <w:rPr>
          <w:sz w:val="24"/>
          <w:szCs w:val="24"/>
        </w:rPr>
        <w:br w:type="page"/>
      </w:r>
    </w:p>
    <w:p w14:paraId="2C3F5A60" w14:textId="77777777" w:rsidR="009260DE" w:rsidRPr="002E4320" w:rsidRDefault="009260DE" w:rsidP="009260DE">
      <w:pPr>
        <w:tabs>
          <w:tab w:val="left" w:pos="851"/>
        </w:tabs>
        <w:ind w:left="851"/>
        <w:rPr>
          <w:sz w:val="24"/>
          <w:szCs w:val="24"/>
        </w:rPr>
      </w:pPr>
    </w:p>
    <w:p w14:paraId="612AA398" w14:textId="77777777" w:rsidR="009260DE" w:rsidRPr="002E4320" w:rsidRDefault="009260DE" w:rsidP="009260DE">
      <w:pPr>
        <w:tabs>
          <w:tab w:val="left" w:pos="851"/>
        </w:tabs>
        <w:ind w:left="851" w:hanging="851"/>
        <w:rPr>
          <w:b/>
          <w:sz w:val="24"/>
          <w:szCs w:val="24"/>
        </w:rPr>
      </w:pPr>
      <w:r w:rsidRPr="002E4320">
        <w:rPr>
          <w:b/>
          <w:sz w:val="24"/>
          <w:szCs w:val="24"/>
        </w:rPr>
        <w:t>4.10</w:t>
      </w:r>
      <w:r w:rsidRPr="002E4320">
        <w:rPr>
          <w:b/>
          <w:sz w:val="24"/>
          <w:szCs w:val="24"/>
        </w:rPr>
        <w:tab/>
        <w:t>Udlevering</w:t>
      </w:r>
    </w:p>
    <w:p w14:paraId="3BD2F069" w14:textId="353C8AE1" w:rsidR="009260DE" w:rsidRPr="002E4320" w:rsidRDefault="00FD797F" w:rsidP="009260DE">
      <w:pPr>
        <w:tabs>
          <w:tab w:val="left" w:pos="851"/>
        </w:tabs>
        <w:ind w:left="851"/>
        <w:rPr>
          <w:sz w:val="24"/>
          <w:szCs w:val="24"/>
        </w:rPr>
      </w:pPr>
      <w:r w:rsidRPr="002E4320">
        <w:rPr>
          <w:sz w:val="24"/>
          <w:szCs w:val="24"/>
        </w:rPr>
        <w:t>B</w:t>
      </w:r>
    </w:p>
    <w:p w14:paraId="265DBF18" w14:textId="77777777" w:rsidR="009260DE" w:rsidRPr="002E4320" w:rsidRDefault="009260DE" w:rsidP="009260DE">
      <w:pPr>
        <w:tabs>
          <w:tab w:val="left" w:pos="851"/>
        </w:tabs>
        <w:ind w:left="851"/>
        <w:rPr>
          <w:sz w:val="24"/>
          <w:szCs w:val="24"/>
        </w:rPr>
      </w:pPr>
    </w:p>
    <w:p w14:paraId="7578B21D" w14:textId="77777777" w:rsidR="009260DE" w:rsidRPr="002E4320" w:rsidRDefault="009260DE" w:rsidP="009260DE">
      <w:pPr>
        <w:tabs>
          <w:tab w:val="left" w:pos="851"/>
        </w:tabs>
        <w:ind w:left="851"/>
        <w:rPr>
          <w:sz w:val="24"/>
          <w:szCs w:val="24"/>
        </w:rPr>
      </w:pPr>
    </w:p>
    <w:p w14:paraId="5C5ED7B6" w14:textId="77777777" w:rsidR="00111F9A" w:rsidRPr="00C84483" w:rsidRDefault="00111F9A" w:rsidP="00111F9A">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D86388F" w14:textId="77777777" w:rsidR="00111F9A" w:rsidRPr="00C84483" w:rsidRDefault="00111F9A" w:rsidP="00111F9A">
      <w:pPr>
        <w:tabs>
          <w:tab w:val="left" w:pos="851"/>
        </w:tabs>
        <w:ind w:left="851"/>
        <w:rPr>
          <w:sz w:val="24"/>
          <w:szCs w:val="24"/>
        </w:rPr>
      </w:pPr>
    </w:p>
    <w:p w14:paraId="61349ED0" w14:textId="77777777" w:rsidR="00111F9A" w:rsidRPr="00C84483" w:rsidRDefault="00111F9A" w:rsidP="00111F9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66A65B0" w14:textId="00BA19F9" w:rsidR="00111F9A" w:rsidRPr="00111F9A" w:rsidRDefault="00111F9A" w:rsidP="00111F9A">
      <w:pPr>
        <w:ind w:left="851"/>
        <w:rPr>
          <w:sz w:val="24"/>
          <w:szCs w:val="24"/>
          <w:lang w:eastAsia="da-DK"/>
        </w:rPr>
      </w:pPr>
      <w:proofErr w:type="spellStart"/>
      <w:r w:rsidRPr="00111F9A">
        <w:rPr>
          <w:sz w:val="24"/>
          <w:szCs w:val="24"/>
        </w:rPr>
        <w:t>Farmakoterapeutisk</w:t>
      </w:r>
      <w:proofErr w:type="spellEnd"/>
      <w:r w:rsidRPr="00111F9A">
        <w:rPr>
          <w:sz w:val="24"/>
          <w:szCs w:val="24"/>
        </w:rPr>
        <w:t xml:space="preserve"> klassifikation: Beta-</w:t>
      </w:r>
      <w:proofErr w:type="spellStart"/>
      <w:r w:rsidRPr="00111F9A">
        <w:rPr>
          <w:sz w:val="24"/>
          <w:szCs w:val="24"/>
        </w:rPr>
        <w:t>lactamaseresistente</w:t>
      </w:r>
      <w:proofErr w:type="spellEnd"/>
      <w:r w:rsidRPr="00111F9A">
        <w:rPr>
          <w:sz w:val="24"/>
          <w:szCs w:val="24"/>
        </w:rPr>
        <w:t xml:space="preserve"> penicilliner, ATC-kode: J01CF02.</w:t>
      </w:r>
    </w:p>
    <w:p w14:paraId="48598F3B" w14:textId="49F6A6D0" w:rsidR="00917E75" w:rsidRDefault="00917E75" w:rsidP="00FD797F">
      <w:pPr>
        <w:tabs>
          <w:tab w:val="left" w:pos="851"/>
        </w:tabs>
        <w:ind w:left="851"/>
        <w:rPr>
          <w:sz w:val="24"/>
          <w:szCs w:val="24"/>
          <w:u w:val="single"/>
        </w:rPr>
      </w:pPr>
    </w:p>
    <w:p w14:paraId="0752B2A5" w14:textId="1CFA45EE" w:rsidR="00FD797F" w:rsidRPr="002E4320" w:rsidRDefault="00FD797F" w:rsidP="00FD797F">
      <w:pPr>
        <w:tabs>
          <w:tab w:val="left" w:pos="851"/>
        </w:tabs>
        <w:ind w:left="851"/>
        <w:rPr>
          <w:sz w:val="24"/>
          <w:szCs w:val="24"/>
          <w:u w:val="single"/>
          <w:lang w:eastAsia="da-DK"/>
        </w:rPr>
      </w:pPr>
      <w:r w:rsidRPr="002E4320">
        <w:rPr>
          <w:sz w:val="24"/>
          <w:szCs w:val="24"/>
          <w:u w:val="single"/>
        </w:rPr>
        <w:t>Virkningsmekanisme</w:t>
      </w:r>
    </w:p>
    <w:p w14:paraId="0A9C1DA4" w14:textId="6B8A0FEF" w:rsidR="00FD797F" w:rsidRPr="002E4320" w:rsidRDefault="00FD797F" w:rsidP="00FD797F">
      <w:pPr>
        <w:tabs>
          <w:tab w:val="left" w:pos="851"/>
        </w:tabs>
        <w:ind w:left="851"/>
        <w:rPr>
          <w:sz w:val="24"/>
          <w:szCs w:val="24"/>
        </w:rPr>
      </w:pPr>
      <w:proofErr w:type="spellStart"/>
      <w:r w:rsidRPr="002E4320">
        <w:rPr>
          <w:sz w:val="24"/>
          <w:szCs w:val="24"/>
        </w:rPr>
        <w:t>Cloxacillin</w:t>
      </w:r>
      <w:proofErr w:type="spellEnd"/>
      <w:r w:rsidRPr="002E4320">
        <w:rPr>
          <w:sz w:val="24"/>
          <w:szCs w:val="24"/>
        </w:rPr>
        <w:t xml:space="preserve"> </w:t>
      </w:r>
      <w:r w:rsidR="00672124">
        <w:rPr>
          <w:sz w:val="24"/>
          <w:szCs w:val="24"/>
        </w:rPr>
        <w:t>"Vital Pharma Nordic"</w:t>
      </w:r>
      <w:r w:rsidRPr="002E4320">
        <w:rPr>
          <w:sz w:val="24"/>
          <w:szCs w:val="24"/>
        </w:rPr>
        <w:t xml:space="preserve"> tilhører gruppen af </w:t>
      </w:r>
      <w:proofErr w:type="spellStart"/>
      <w:r w:rsidRPr="002E4320">
        <w:rPr>
          <w:sz w:val="24"/>
          <w:szCs w:val="24"/>
        </w:rPr>
        <w:t>isoxazolylpenicilliner</w:t>
      </w:r>
      <w:proofErr w:type="spellEnd"/>
      <w:r w:rsidRPr="002E4320">
        <w:rPr>
          <w:sz w:val="24"/>
          <w:szCs w:val="24"/>
        </w:rPr>
        <w:t>, som kombinerer aktivitet mod beta-</w:t>
      </w:r>
      <w:proofErr w:type="spellStart"/>
      <w:r w:rsidRPr="002E4320">
        <w:rPr>
          <w:sz w:val="24"/>
          <w:szCs w:val="24"/>
        </w:rPr>
        <w:t>lactamaseproducerende</w:t>
      </w:r>
      <w:proofErr w:type="spellEnd"/>
      <w:r w:rsidRPr="002E4320">
        <w:rPr>
          <w:sz w:val="24"/>
          <w:szCs w:val="24"/>
        </w:rPr>
        <w:t xml:space="preserve"> stafylokokker med syrestabilitet. </w:t>
      </w:r>
      <w:proofErr w:type="spellStart"/>
      <w:r w:rsidRPr="002E4320">
        <w:rPr>
          <w:sz w:val="24"/>
          <w:szCs w:val="24"/>
        </w:rPr>
        <w:t>Cloxacillin</w:t>
      </w:r>
      <w:proofErr w:type="spellEnd"/>
      <w:r w:rsidRPr="002E4320">
        <w:rPr>
          <w:sz w:val="24"/>
          <w:szCs w:val="24"/>
        </w:rPr>
        <w:t xml:space="preserve"> hæmmer syntesen af bakteriens cellevæg. Denne effekt er baktericid.</w:t>
      </w:r>
    </w:p>
    <w:p w14:paraId="2229CAD0" w14:textId="77777777" w:rsidR="00FD797F" w:rsidRPr="002E4320" w:rsidRDefault="00FD797F" w:rsidP="00FD797F">
      <w:pPr>
        <w:tabs>
          <w:tab w:val="left" w:pos="851"/>
        </w:tabs>
        <w:ind w:left="851"/>
        <w:rPr>
          <w:sz w:val="24"/>
          <w:szCs w:val="24"/>
        </w:rPr>
      </w:pPr>
    </w:p>
    <w:p w14:paraId="385643D0" w14:textId="77777777" w:rsidR="00FD797F" w:rsidRPr="002E4320" w:rsidRDefault="00FD797F" w:rsidP="00FD797F">
      <w:pPr>
        <w:tabs>
          <w:tab w:val="left" w:pos="851"/>
        </w:tabs>
        <w:ind w:left="851"/>
        <w:rPr>
          <w:sz w:val="24"/>
          <w:szCs w:val="24"/>
        </w:rPr>
      </w:pPr>
      <w:r w:rsidRPr="002E4320">
        <w:rPr>
          <w:sz w:val="24"/>
          <w:szCs w:val="24"/>
          <w:u w:val="single"/>
        </w:rPr>
        <w:t>Antibakterielt spektrum</w:t>
      </w:r>
      <w:r w:rsidRPr="002E4320">
        <w:rPr>
          <w:sz w:val="24"/>
          <w:szCs w:val="24"/>
        </w:rPr>
        <w:t xml:space="preserve"> </w:t>
      </w:r>
    </w:p>
    <w:p w14:paraId="60744985" w14:textId="77777777" w:rsidR="00FD797F" w:rsidRPr="002E4320" w:rsidRDefault="00FD797F" w:rsidP="00FD797F">
      <w:pPr>
        <w:tabs>
          <w:tab w:val="left" w:pos="851"/>
        </w:tabs>
        <w:ind w:left="851"/>
        <w:rPr>
          <w:sz w:val="24"/>
          <w:szCs w:val="24"/>
        </w:rPr>
      </w:pPr>
    </w:p>
    <w:p w14:paraId="68354DAE" w14:textId="77777777" w:rsidR="00FD797F" w:rsidRPr="002E4320" w:rsidRDefault="00FD797F" w:rsidP="00FD797F">
      <w:pPr>
        <w:tabs>
          <w:tab w:val="left" w:pos="851"/>
        </w:tabs>
        <w:ind w:left="851"/>
        <w:rPr>
          <w:i/>
          <w:sz w:val="24"/>
          <w:szCs w:val="24"/>
        </w:rPr>
      </w:pPr>
      <w:r w:rsidRPr="002E4320">
        <w:rPr>
          <w:i/>
          <w:sz w:val="24"/>
          <w:szCs w:val="24"/>
        </w:rPr>
        <w:t xml:space="preserve">Sædvanligvis følsomme arter </w:t>
      </w:r>
    </w:p>
    <w:p w14:paraId="5FF1E84C" w14:textId="77777777" w:rsidR="00FD797F" w:rsidRPr="002E4320" w:rsidRDefault="00FD797F" w:rsidP="00FD797F">
      <w:pPr>
        <w:tabs>
          <w:tab w:val="left" w:pos="851"/>
        </w:tabs>
        <w:ind w:left="851"/>
        <w:rPr>
          <w:sz w:val="24"/>
          <w:szCs w:val="24"/>
        </w:rPr>
      </w:pPr>
      <w:proofErr w:type="spellStart"/>
      <w:r w:rsidRPr="002E4320">
        <w:rPr>
          <w:i/>
          <w:iCs/>
          <w:sz w:val="24"/>
          <w:szCs w:val="24"/>
        </w:rPr>
        <w:t>Staphyloccoccus</w:t>
      </w:r>
      <w:proofErr w:type="spellEnd"/>
      <w:r w:rsidRPr="002E4320">
        <w:rPr>
          <w:i/>
          <w:iCs/>
          <w:sz w:val="24"/>
          <w:szCs w:val="24"/>
        </w:rPr>
        <w:t xml:space="preserve"> aureus</w:t>
      </w:r>
      <w:r w:rsidRPr="002E4320">
        <w:rPr>
          <w:sz w:val="24"/>
          <w:szCs w:val="24"/>
        </w:rPr>
        <w:t xml:space="preserve"> inklusive beta-</w:t>
      </w:r>
      <w:proofErr w:type="spellStart"/>
      <w:r w:rsidRPr="002E4320">
        <w:rPr>
          <w:sz w:val="24"/>
          <w:szCs w:val="24"/>
        </w:rPr>
        <w:t>lactamaseproducerende</w:t>
      </w:r>
      <w:proofErr w:type="spellEnd"/>
      <w:r w:rsidRPr="002E4320">
        <w:rPr>
          <w:sz w:val="24"/>
          <w:szCs w:val="24"/>
        </w:rPr>
        <w:t xml:space="preserve"> arter streptokokker og </w:t>
      </w:r>
      <w:proofErr w:type="spellStart"/>
      <w:r w:rsidRPr="002E4320">
        <w:rPr>
          <w:sz w:val="24"/>
          <w:szCs w:val="24"/>
        </w:rPr>
        <w:t>pneumokokker</w:t>
      </w:r>
      <w:proofErr w:type="spellEnd"/>
      <w:r w:rsidRPr="002E4320">
        <w:rPr>
          <w:sz w:val="24"/>
          <w:szCs w:val="24"/>
        </w:rPr>
        <w:t xml:space="preserve">. </w:t>
      </w:r>
    </w:p>
    <w:p w14:paraId="5E698E83" w14:textId="77777777" w:rsidR="00FD797F" w:rsidRPr="002E4320" w:rsidRDefault="00FD797F" w:rsidP="00FD797F">
      <w:pPr>
        <w:tabs>
          <w:tab w:val="left" w:pos="851"/>
        </w:tabs>
        <w:ind w:left="851"/>
        <w:rPr>
          <w:sz w:val="24"/>
          <w:szCs w:val="24"/>
        </w:rPr>
      </w:pPr>
    </w:p>
    <w:p w14:paraId="128D2ECE" w14:textId="77777777" w:rsidR="00FD797F" w:rsidRPr="002E4320" w:rsidRDefault="00FD797F" w:rsidP="00FD797F">
      <w:pPr>
        <w:tabs>
          <w:tab w:val="left" w:pos="851"/>
        </w:tabs>
        <w:ind w:left="851"/>
        <w:rPr>
          <w:i/>
          <w:sz w:val="24"/>
          <w:szCs w:val="24"/>
        </w:rPr>
      </w:pPr>
      <w:r w:rsidRPr="002E4320">
        <w:rPr>
          <w:i/>
          <w:sz w:val="24"/>
          <w:szCs w:val="24"/>
        </w:rPr>
        <w:t xml:space="preserve">Arter for hvilke erhvervet resistens kan være et problem </w:t>
      </w:r>
    </w:p>
    <w:p w14:paraId="4D4947F0" w14:textId="77777777" w:rsidR="00FD797F" w:rsidRPr="002E4320" w:rsidRDefault="00FD797F" w:rsidP="00FD797F">
      <w:pPr>
        <w:tabs>
          <w:tab w:val="left" w:pos="851"/>
        </w:tabs>
        <w:ind w:left="851"/>
        <w:rPr>
          <w:sz w:val="24"/>
          <w:szCs w:val="24"/>
        </w:rPr>
      </w:pPr>
      <w:proofErr w:type="spellStart"/>
      <w:r w:rsidRPr="002E4320">
        <w:rPr>
          <w:sz w:val="24"/>
          <w:szCs w:val="24"/>
        </w:rPr>
        <w:t>Koagulasenegative</w:t>
      </w:r>
      <w:proofErr w:type="spellEnd"/>
      <w:r w:rsidRPr="002E4320">
        <w:rPr>
          <w:sz w:val="24"/>
          <w:szCs w:val="24"/>
        </w:rPr>
        <w:t xml:space="preserve"> stafylokokker. </w:t>
      </w:r>
    </w:p>
    <w:p w14:paraId="0F599762" w14:textId="77777777" w:rsidR="00FD797F" w:rsidRPr="002E4320" w:rsidRDefault="00FD797F" w:rsidP="00FD797F">
      <w:pPr>
        <w:tabs>
          <w:tab w:val="left" w:pos="851"/>
        </w:tabs>
        <w:ind w:left="851"/>
        <w:rPr>
          <w:sz w:val="24"/>
          <w:szCs w:val="24"/>
        </w:rPr>
      </w:pPr>
    </w:p>
    <w:p w14:paraId="7B11523B" w14:textId="77777777" w:rsidR="00FD797F" w:rsidRPr="002E4320" w:rsidRDefault="00FD797F" w:rsidP="00FD797F">
      <w:pPr>
        <w:tabs>
          <w:tab w:val="left" w:pos="851"/>
        </w:tabs>
        <w:ind w:left="851"/>
        <w:rPr>
          <w:i/>
          <w:sz w:val="24"/>
          <w:szCs w:val="24"/>
        </w:rPr>
      </w:pPr>
      <w:r w:rsidRPr="002E4320">
        <w:rPr>
          <w:i/>
          <w:sz w:val="24"/>
          <w:szCs w:val="24"/>
        </w:rPr>
        <w:t xml:space="preserve">Arter med medfødt resistens </w:t>
      </w:r>
    </w:p>
    <w:p w14:paraId="628C9426" w14:textId="77777777" w:rsidR="00FD797F" w:rsidRPr="002E4320" w:rsidRDefault="00FD797F" w:rsidP="00FD797F">
      <w:pPr>
        <w:tabs>
          <w:tab w:val="left" w:pos="851"/>
        </w:tabs>
        <w:ind w:left="851"/>
        <w:rPr>
          <w:sz w:val="24"/>
          <w:szCs w:val="24"/>
        </w:rPr>
      </w:pPr>
      <w:proofErr w:type="spellStart"/>
      <w:r w:rsidRPr="002E4320">
        <w:rPr>
          <w:sz w:val="24"/>
          <w:szCs w:val="24"/>
        </w:rPr>
        <w:t>Methicillinresistente</w:t>
      </w:r>
      <w:proofErr w:type="spellEnd"/>
      <w:r w:rsidRPr="002E4320">
        <w:rPr>
          <w:sz w:val="24"/>
          <w:szCs w:val="24"/>
        </w:rPr>
        <w:t xml:space="preserve"> stafylokokker, </w:t>
      </w:r>
      <w:proofErr w:type="spellStart"/>
      <w:r w:rsidRPr="002E4320">
        <w:rPr>
          <w:sz w:val="24"/>
          <w:szCs w:val="24"/>
        </w:rPr>
        <w:t>enterokokker</w:t>
      </w:r>
      <w:proofErr w:type="spellEnd"/>
      <w:r w:rsidRPr="002E4320">
        <w:rPr>
          <w:sz w:val="24"/>
          <w:szCs w:val="24"/>
        </w:rPr>
        <w:t xml:space="preserve">, </w:t>
      </w:r>
      <w:proofErr w:type="spellStart"/>
      <w:r w:rsidRPr="002E4320">
        <w:rPr>
          <w:sz w:val="24"/>
          <w:szCs w:val="24"/>
        </w:rPr>
        <w:t>gram-negative</w:t>
      </w:r>
      <w:proofErr w:type="spellEnd"/>
      <w:r w:rsidRPr="002E4320">
        <w:rPr>
          <w:sz w:val="24"/>
          <w:szCs w:val="24"/>
        </w:rPr>
        <w:t xml:space="preserve"> bakterier og </w:t>
      </w:r>
      <w:proofErr w:type="spellStart"/>
      <w:r w:rsidRPr="002E4320">
        <w:rPr>
          <w:i/>
          <w:iCs/>
          <w:sz w:val="24"/>
          <w:szCs w:val="24"/>
        </w:rPr>
        <w:t>Clostridium</w:t>
      </w:r>
      <w:proofErr w:type="spellEnd"/>
      <w:r w:rsidRPr="002E4320">
        <w:rPr>
          <w:i/>
          <w:iCs/>
          <w:sz w:val="24"/>
          <w:szCs w:val="24"/>
        </w:rPr>
        <w:t xml:space="preserve"> difficile</w:t>
      </w:r>
      <w:r w:rsidRPr="002E4320">
        <w:rPr>
          <w:sz w:val="24"/>
          <w:szCs w:val="24"/>
        </w:rPr>
        <w:t>.</w:t>
      </w:r>
    </w:p>
    <w:p w14:paraId="461C533D" w14:textId="77777777" w:rsidR="00FD797F" w:rsidRPr="002E4320" w:rsidRDefault="00FD797F" w:rsidP="00FD797F">
      <w:pPr>
        <w:tabs>
          <w:tab w:val="left" w:pos="851"/>
        </w:tabs>
        <w:ind w:left="851"/>
        <w:rPr>
          <w:sz w:val="24"/>
          <w:szCs w:val="24"/>
        </w:rPr>
      </w:pPr>
    </w:p>
    <w:p w14:paraId="47B23868" w14:textId="77777777" w:rsidR="00FD797F" w:rsidRPr="002E4320" w:rsidRDefault="00FD797F" w:rsidP="00FD797F">
      <w:pPr>
        <w:tabs>
          <w:tab w:val="left" w:pos="851"/>
        </w:tabs>
        <w:ind w:left="851"/>
        <w:rPr>
          <w:sz w:val="24"/>
          <w:szCs w:val="24"/>
        </w:rPr>
      </w:pPr>
      <w:r w:rsidRPr="002E4320">
        <w:rPr>
          <w:sz w:val="24"/>
          <w:szCs w:val="24"/>
        </w:rPr>
        <w:t xml:space="preserve">Resistens er almindeligt (ca. 40 %) hos </w:t>
      </w:r>
      <w:proofErr w:type="spellStart"/>
      <w:r w:rsidRPr="002E4320">
        <w:rPr>
          <w:sz w:val="24"/>
          <w:szCs w:val="24"/>
        </w:rPr>
        <w:t>koagulase</w:t>
      </w:r>
      <w:proofErr w:type="spellEnd"/>
      <w:r w:rsidRPr="002E4320">
        <w:rPr>
          <w:sz w:val="24"/>
          <w:szCs w:val="24"/>
        </w:rPr>
        <w:t xml:space="preserve">-negative stafylokokker på grund af </w:t>
      </w:r>
      <w:proofErr w:type="spellStart"/>
      <w:r w:rsidRPr="002E4320">
        <w:rPr>
          <w:sz w:val="24"/>
          <w:szCs w:val="24"/>
        </w:rPr>
        <w:t>methicillinresistensen</w:t>
      </w:r>
      <w:proofErr w:type="spellEnd"/>
      <w:r w:rsidRPr="002E4320">
        <w:rPr>
          <w:sz w:val="24"/>
          <w:szCs w:val="24"/>
        </w:rPr>
        <w:t xml:space="preserve">. Streptokokker og </w:t>
      </w:r>
      <w:proofErr w:type="spellStart"/>
      <w:r w:rsidRPr="002E4320">
        <w:rPr>
          <w:sz w:val="24"/>
          <w:szCs w:val="24"/>
        </w:rPr>
        <w:t>pneumokokker</w:t>
      </w:r>
      <w:proofErr w:type="spellEnd"/>
      <w:r w:rsidRPr="002E4320">
        <w:rPr>
          <w:sz w:val="24"/>
          <w:szCs w:val="24"/>
        </w:rPr>
        <w:t xml:space="preserve"> er mere følsomme over for </w:t>
      </w:r>
      <w:proofErr w:type="spellStart"/>
      <w:r w:rsidRPr="002E4320">
        <w:rPr>
          <w:sz w:val="24"/>
          <w:szCs w:val="24"/>
        </w:rPr>
        <w:t>benzyl</w:t>
      </w:r>
      <w:proofErr w:type="spellEnd"/>
      <w:r w:rsidRPr="002E4320">
        <w:rPr>
          <w:sz w:val="24"/>
          <w:szCs w:val="24"/>
        </w:rPr>
        <w:noBreakHyphen/>
        <w:t xml:space="preserve">penicillin og penicillin V end for </w:t>
      </w:r>
      <w:proofErr w:type="spellStart"/>
      <w:r w:rsidRPr="002E4320">
        <w:rPr>
          <w:sz w:val="24"/>
          <w:szCs w:val="24"/>
        </w:rPr>
        <w:t>cloxacillin</w:t>
      </w:r>
      <w:proofErr w:type="spellEnd"/>
      <w:r w:rsidRPr="002E4320">
        <w:rPr>
          <w:sz w:val="24"/>
          <w:szCs w:val="24"/>
        </w:rPr>
        <w:t xml:space="preserve">. </w:t>
      </w:r>
    </w:p>
    <w:p w14:paraId="1B2AC12E" w14:textId="77777777" w:rsidR="00FD797F" w:rsidRPr="002E4320" w:rsidRDefault="00FD797F" w:rsidP="00FD797F">
      <w:pPr>
        <w:tabs>
          <w:tab w:val="left" w:pos="851"/>
        </w:tabs>
        <w:ind w:left="851"/>
        <w:rPr>
          <w:sz w:val="24"/>
          <w:szCs w:val="24"/>
        </w:rPr>
      </w:pPr>
    </w:p>
    <w:p w14:paraId="5241BB8E" w14:textId="77777777" w:rsidR="00FD797F" w:rsidRPr="002E4320" w:rsidRDefault="00FD797F" w:rsidP="00FD797F">
      <w:pPr>
        <w:tabs>
          <w:tab w:val="left" w:pos="851"/>
        </w:tabs>
        <w:ind w:left="851"/>
        <w:rPr>
          <w:sz w:val="24"/>
          <w:szCs w:val="24"/>
        </w:rPr>
      </w:pPr>
      <w:r w:rsidRPr="002E4320">
        <w:rPr>
          <w:sz w:val="24"/>
          <w:szCs w:val="24"/>
          <w:u w:val="single"/>
        </w:rPr>
        <w:t>Resistensmekanisme</w:t>
      </w:r>
      <w:r w:rsidRPr="002E4320">
        <w:rPr>
          <w:sz w:val="24"/>
          <w:szCs w:val="24"/>
        </w:rPr>
        <w:t xml:space="preserve"> </w:t>
      </w:r>
    </w:p>
    <w:p w14:paraId="3EC5191E" w14:textId="77777777" w:rsidR="00FD797F" w:rsidRPr="002E4320" w:rsidRDefault="00FD797F" w:rsidP="00FD797F">
      <w:pPr>
        <w:tabs>
          <w:tab w:val="left" w:pos="851"/>
        </w:tabs>
        <w:ind w:left="851"/>
        <w:rPr>
          <w:sz w:val="24"/>
          <w:szCs w:val="24"/>
        </w:rPr>
      </w:pPr>
      <w:r w:rsidRPr="002E4320">
        <w:rPr>
          <w:sz w:val="24"/>
          <w:szCs w:val="24"/>
        </w:rPr>
        <w:t xml:space="preserve">Resistens mod </w:t>
      </w:r>
      <w:proofErr w:type="spellStart"/>
      <w:r w:rsidRPr="002E4320">
        <w:rPr>
          <w:sz w:val="24"/>
          <w:szCs w:val="24"/>
        </w:rPr>
        <w:t>isoxazolylpenicilliner</w:t>
      </w:r>
      <w:proofErr w:type="spellEnd"/>
      <w:r w:rsidRPr="002E4320">
        <w:rPr>
          <w:sz w:val="24"/>
          <w:szCs w:val="24"/>
        </w:rPr>
        <w:t xml:space="preserve"> (såkaldt </w:t>
      </w:r>
      <w:proofErr w:type="spellStart"/>
      <w:r w:rsidRPr="002E4320">
        <w:rPr>
          <w:sz w:val="24"/>
          <w:szCs w:val="24"/>
        </w:rPr>
        <w:t>methicillinresistens</w:t>
      </w:r>
      <w:proofErr w:type="spellEnd"/>
      <w:r w:rsidRPr="002E4320">
        <w:rPr>
          <w:sz w:val="24"/>
          <w:szCs w:val="24"/>
        </w:rPr>
        <w:t>) skyldes, at bakterierne producerer et ændret penicillinbindende protein. Krydsresistens forekommer i gruppen af beta-</w:t>
      </w:r>
      <w:proofErr w:type="spellStart"/>
      <w:r w:rsidRPr="002E4320">
        <w:rPr>
          <w:sz w:val="24"/>
          <w:szCs w:val="24"/>
        </w:rPr>
        <w:t>lactamer</w:t>
      </w:r>
      <w:proofErr w:type="spellEnd"/>
      <w:r w:rsidRPr="002E4320">
        <w:rPr>
          <w:sz w:val="24"/>
          <w:szCs w:val="24"/>
        </w:rPr>
        <w:t xml:space="preserve"> (penicilliner og </w:t>
      </w:r>
      <w:proofErr w:type="spellStart"/>
      <w:r w:rsidRPr="002E4320">
        <w:rPr>
          <w:sz w:val="24"/>
          <w:szCs w:val="24"/>
        </w:rPr>
        <w:t>cefalosporiner</w:t>
      </w:r>
      <w:proofErr w:type="spellEnd"/>
      <w:r w:rsidRPr="002E4320">
        <w:rPr>
          <w:sz w:val="24"/>
          <w:szCs w:val="24"/>
        </w:rPr>
        <w:t xml:space="preserve">). </w:t>
      </w:r>
      <w:proofErr w:type="spellStart"/>
      <w:r w:rsidRPr="002E4320">
        <w:rPr>
          <w:sz w:val="24"/>
          <w:szCs w:val="24"/>
        </w:rPr>
        <w:t>Methicillinresistente</w:t>
      </w:r>
      <w:proofErr w:type="spellEnd"/>
      <w:r w:rsidRPr="002E4320">
        <w:rPr>
          <w:sz w:val="24"/>
          <w:szCs w:val="24"/>
        </w:rPr>
        <w:t xml:space="preserve"> stafylokokker har generelt lav følsomhed over for alle beta-</w:t>
      </w:r>
      <w:proofErr w:type="spellStart"/>
      <w:r w:rsidRPr="002E4320">
        <w:rPr>
          <w:sz w:val="24"/>
          <w:szCs w:val="24"/>
        </w:rPr>
        <w:t>lactamantibiotika</w:t>
      </w:r>
      <w:proofErr w:type="spellEnd"/>
      <w:r w:rsidRPr="002E4320">
        <w:rPr>
          <w:sz w:val="24"/>
          <w:szCs w:val="24"/>
        </w:rPr>
        <w:t xml:space="preserve">. </w:t>
      </w:r>
    </w:p>
    <w:p w14:paraId="2A616845" w14:textId="77777777" w:rsidR="00FD797F" w:rsidRPr="002E4320" w:rsidRDefault="00FD797F" w:rsidP="00FD797F">
      <w:pPr>
        <w:tabs>
          <w:tab w:val="left" w:pos="851"/>
        </w:tabs>
        <w:ind w:left="851"/>
        <w:rPr>
          <w:sz w:val="24"/>
          <w:szCs w:val="24"/>
        </w:rPr>
      </w:pPr>
    </w:p>
    <w:p w14:paraId="75E9E6C5" w14:textId="77777777" w:rsidR="00FD797F" w:rsidRPr="002E4320" w:rsidRDefault="00FD797F" w:rsidP="00FD797F">
      <w:pPr>
        <w:tabs>
          <w:tab w:val="left" w:pos="851"/>
        </w:tabs>
        <w:ind w:left="851"/>
        <w:rPr>
          <w:sz w:val="24"/>
          <w:szCs w:val="24"/>
        </w:rPr>
      </w:pPr>
      <w:r w:rsidRPr="002E4320">
        <w:rPr>
          <w:sz w:val="24"/>
          <w:szCs w:val="24"/>
          <w:u w:val="single"/>
        </w:rPr>
        <w:t>Resistensudvikling</w:t>
      </w:r>
      <w:r w:rsidRPr="002E4320">
        <w:rPr>
          <w:sz w:val="24"/>
          <w:szCs w:val="24"/>
        </w:rPr>
        <w:t xml:space="preserve"> </w:t>
      </w:r>
    </w:p>
    <w:p w14:paraId="29470D40" w14:textId="77777777" w:rsidR="00FD797F" w:rsidRPr="002E4320" w:rsidRDefault="00FD797F" w:rsidP="00FD797F">
      <w:pPr>
        <w:tabs>
          <w:tab w:val="left" w:pos="851"/>
        </w:tabs>
        <w:ind w:left="851"/>
        <w:rPr>
          <w:sz w:val="24"/>
          <w:szCs w:val="24"/>
        </w:rPr>
      </w:pPr>
      <w:r w:rsidRPr="002E4320">
        <w:rPr>
          <w:sz w:val="24"/>
          <w:szCs w:val="24"/>
        </w:rPr>
        <w:t xml:space="preserve">I Skandinavien er niveauet af </w:t>
      </w:r>
      <w:proofErr w:type="spellStart"/>
      <w:r w:rsidRPr="002E4320">
        <w:rPr>
          <w:sz w:val="24"/>
          <w:szCs w:val="24"/>
        </w:rPr>
        <w:t>methicillinresistens</w:t>
      </w:r>
      <w:proofErr w:type="spellEnd"/>
      <w:r w:rsidRPr="002E4320">
        <w:rPr>
          <w:sz w:val="24"/>
          <w:szCs w:val="24"/>
        </w:rPr>
        <w:t xml:space="preserve"> hos </w:t>
      </w:r>
      <w:proofErr w:type="spellStart"/>
      <w:r w:rsidRPr="002E4320">
        <w:rPr>
          <w:i/>
          <w:iCs/>
          <w:sz w:val="24"/>
          <w:szCs w:val="24"/>
        </w:rPr>
        <w:t>Staphylococcus</w:t>
      </w:r>
      <w:proofErr w:type="spellEnd"/>
      <w:r w:rsidRPr="002E4320">
        <w:rPr>
          <w:i/>
          <w:iCs/>
          <w:sz w:val="24"/>
          <w:szCs w:val="24"/>
        </w:rPr>
        <w:t xml:space="preserve"> aureus</w:t>
      </w:r>
      <w:r w:rsidRPr="002E4320">
        <w:rPr>
          <w:sz w:val="24"/>
          <w:szCs w:val="24"/>
        </w:rPr>
        <w:t xml:space="preserve"> lavt, men det er mere almindeligt i større dele af Europa. Forekomsten af erhvervet resistens kan variere geografisk og over tid for udvalgte arter, og lokal information om resistens er derfor ønskeligt, særligt ved behandling af alvorlige infektioner. Efter behov bør der søges råd fra eksperter, når den lokale forekomst af resistens er sådan, at nytten af at anvende midlet, i det mindste ved visse infektionstyper, er tvivlsom.</w:t>
      </w:r>
    </w:p>
    <w:p w14:paraId="1CC215A4" w14:textId="1240C3E6" w:rsidR="00111F9A" w:rsidRDefault="00111F9A">
      <w:pPr>
        <w:rPr>
          <w:sz w:val="24"/>
          <w:szCs w:val="24"/>
        </w:rPr>
      </w:pPr>
      <w:r>
        <w:rPr>
          <w:sz w:val="24"/>
          <w:szCs w:val="24"/>
        </w:rPr>
        <w:br w:type="page"/>
      </w:r>
    </w:p>
    <w:p w14:paraId="59A817E9" w14:textId="77777777" w:rsidR="009260DE" w:rsidRPr="002E4320" w:rsidRDefault="009260DE" w:rsidP="009260DE">
      <w:pPr>
        <w:tabs>
          <w:tab w:val="left" w:pos="851"/>
        </w:tabs>
        <w:ind w:left="851"/>
        <w:rPr>
          <w:sz w:val="24"/>
          <w:szCs w:val="24"/>
        </w:rPr>
      </w:pPr>
    </w:p>
    <w:p w14:paraId="0243638F" w14:textId="77777777" w:rsidR="009260DE" w:rsidRPr="002E4320" w:rsidRDefault="009260DE" w:rsidP="009260DE">
      <w:pPr>
        <w:tabs>
          <w:tab w:val="left" w:pos="851"/>
        </w:tabs>
        <w:ind w:left="851" w:hanging="851"/>
        <w:rPr>
          <w:b/>
          <w:sz w:val="24"/>
          <w:szCs w:val="24"/>
        </w:rPr>
      </w:pPr>
      <w:r w:rsidRPr="002E4320">
        <w:rPr>
          <w:b/>
          <w:sz w:val="24"/>
          <w:szCs w:val="24"/>
        </w:rPr>
        <w:t>5.2</w:t>
      </w:r>
      <w:r w:rsidRPr="002E4320">
        <w:rPr>
          <w:b/>
          <w:sz w:val="24"/>
          <w:szCs w:val="24"/>
        </w:rPr>
        <w:tab/>
      </w:r>
      <w:proofErr w:type="spellStart"/>
      <w:r w:rsidRPr="002E4320">
        <w:rPr>
          <w:b/>
          <w:sz w:val="24"/>
          <w:szCs w:val="24"/>
        </w:rPr>
        <w:t>Farmakokinetiske</w:t>
      </w:r>
      <w:proofErr w:type="spellEnd"/>
      <w:r w:rsidRPr="002E4320">
        <w:rPr>
          <w:b/>
          <w:sz w:val="24"/>
          <w:szCs w:val="24"/>
        </w:rPr>
        <w:t xml:space="preserve"> egenskaber</w:t>
      </w:r>
    </w:p>
    <w:p w14:paraId="48901E30" w14:textId="77777777" w:rsidR="00917E75" w:rsidRDefault="00917E75" w:rsidP="00FD797F">
      <w:pPr>
        <w:tabs>
          <w:tab w:val="left" w:pos="851"/>
        </w:tabs>
        <w:ind w:left="851"/>
        <w:rPr>
          <w:sz w:val="24"/>
          <w:szCs w:val="24"/>
          <w:u w:val="single"/>
        </w:rPr>
      </w:pPr>
    </w:p>
    <w:p w14:paraId="179BD4F7" w14:textId="2ED8A71F" w:rsidR="00FD797F" w:rsidRPr="002E4320" w:rsidRDefault="00FD797F" w:rsidP="00FD797F">
      <w:pPr>
        <w:tabs>
          <w:tab w:val="left" w:pos="851"/>
        </w:tabs>
        <w:ind w:left="851"/>
        <w:rPr>
          <w:sz w:val="24"/>
          <w:szCs w:val="24"/>
          <w:lang w:eastAsia="da-DK"/>
        </w:rPr>
      </w:pPr>
      <w:r w:rsidRPr="002E4320">
        <w:rPr>
          <w:sz w:val="24"/>
          <w:szCs w:val="24"/>
          <w:u w:val="single"/>
        </w:rPr>
        <w:t>Absorption</w:t>
      </w:r>
      <w:r w:rsidRPr="002E4320">
        <w:rPr>
          <w:sz w:val="24"/>
          <w:szCs w:val="24"/>
        </w:rPr>
        <w:t xml:space="preserve"> </w:t>
      </w:r>
    </w:p>
    <w:p w14:paraId="5045C399" w14:textId="77777777" w:rsidR="00FD797F" w:rsidRPr="002E4320" w:rsidRDefault="00FD797F" w:rsidP="00FD797F">
      <w:pPr>
        <w:tabs>
          <w:tab w:val="left" w:pos="851"/>
        </w:tabs>
        <w:ind w:left="851"/>
        <w:rPr>
          <w:sz w:val="24"/>
          <w:szCs w:val="24"/>
        </w:rPr>
      </w:pPr>
      <w:r w:rsidRPr="002E4320">
        <w:rPr>
          <w:sz w:val="24"/>
          <w:szCs w:val="24"/>
        </w:rPr>
        <w:t xml:space="preserve">Efter en enkelt intramuskulær administration af 500 mg </w:t>
      </w:r>
      <w:proofErr w:type="spellStart"/>
      <w:r w:rsidRPr="002E4320">
        <w:rPr>
          <w:sz w:val="24"/>
          <w:szCs w:val="24"/>
        </w:rPr>
        <w:t>cloxacillin</w:t>
      </w:r>
      <w:proofErr w:type="spellEnd"/>
      <w:r w:rsidRPr="002E4320">
        <w:rPr>
          <w:sz w:val="24"/>
          <w:szCs w:val="24"/>
        </w:rPr>
        <w:t xml:space="preserve"> opnås der en maksimal serumkoncentration på 15 µg/ml inden for 30 minutter. Efter afslutningen af en 3-timers </w:t>
      </w:r>
      <w:proofErr w:type="spellStart"/>
      <w:r w:rsidRPr="002E4320">
        <w:rPr>
          <w:sz w:val="24"/>
          <w:szCs w:val="24"/>
        </w:rPr>
        <w:t>i.v</w:t>
      </w:r>
      <w:proofErr w:type="spellEnd"/>
      <w:r w:rsidRPr="002E4320">
        <w:rPr>
          <w:sz w:val="24"/>
          <w:szCs w:val="24"/>
        </w:rPr>
        <w:t xml:space="preserve">. infusion af 750 mg </w:t>
      </w:r>
      <w:proofErr w:type="spellStart"/>
      <w:r w:rsidRPr="002E4320">
        <w:rPr>
          <w:sz w:val="24"/>
          <w:szCs w:val="24"/>
        </w:rPr>
        <w:t>cloxacillin</w:t>
      </w:r>
      <w:proofErr w:type="spellEnd"/>
      <w:r w:rsidRPr="002E4320">
        <w:rPr>
          <w:sz w:val="24"/>
          <w:szCs w:val="24"/>
        </w:rPr>
        <w:t xml:space="preserve"> (250 mg/time) givet til raske forsøgspersoner var den gennemsnitlige koncentration af lægemidlet i plasma cirka 15 µg/ml. Efter 2 timer var plasmakoncentrationen af </w:t>
      </w:r>
      <w:proofErr w:type="spellStart"/>
      <w:r w:rsidRPr="002E4320">
        <w:rPr>
          <w:sz w:val="24"/>
          <w:szCs w:val="24"/>
        </w:rPr>
        <w:t>cloxacillin</w:t>
      </w:r>
      <w:proofErr w:type="spellEnd"/>
      <w:r w:rsidRPr="002E4320">
        <w:rPr>
          <w:sz w:val="24"/>
          <w:szCs w:val="24"/>
        </w:rPr>
        <w:t xml:space="preserve"> 0,6 µg/ml. </w:t>
      </w:r>
    </w:p>
    <w:p w14:paraId="1F6DA372" w14:textId="77777777" w:rsidR="00FD797F" w:rsidRPr="002E4320" w:rsidRDefault="00FD797F" w:rsidP="00FD797F">
      <w:pPr>
        <w:tabs>
          <w:tab w:val="left" w:pos="851"/>
        </w:tabs>
        <w:ind w:left="851"/>
        <w:rPr>
          <w:sz w:val="24"/>
          <w:szCs w:val="24"/>
        </w:rPr>
      </w:pPr>
      <w:r w:rsidRPr="002E4320">
        <w:rPr>
          <w:sz w:val="24"/>
          <w:szCs w:val="24"/>
        </w:rPr>
        <w:t xml:space="preserve">Proteinbinding: 94 % </w:t>
      </w:r>
    </w:p>
    <w:p w14:paraId="4C23FE3E" w14:textId="77777777" w:rsidR="00FD797F" w:rsidRPr="002E4320" w:rsidRDefault="00FD797F" w:rsidP="00FD797F">
      <w:pPr>
        <w:tabs>
          <w:tab w:val="left" w:pos="851"/>
        </w:tabs>
        <w:ind w:left="851"/>
        <w:rPr>
          <w:sz w:val="24"/>
          <w:szCs w:val="24"/>
          <w:u w:val="single"/>
        </w:rPr>
      </w:pPr>
    </w:p>
    <w:p w14:paraId="1BDD6259" w14:textId="77777777" w:rsidR="00FD797F" w:rsidRPr="002E4320" w:rsidRDefault="00FD797F" w:rsidP="00FD797F">
      <w:pPr>
        <w:tabs>
          <w:tab w:val="left" w:pos="851"/>
        </w:tabs>
        <w:ind w:left="851"/>
        <w:rPr>
          <w:sz w:val="24"/>
          <w:szCs w:val="24"/>
          <w:u w:val="single"/>
        </w:rPr>
      </w:pPr>
      <w:r w:rsidRPr="002E4320">
        <w:rPr>
          <w:sz w:val="24"/>
          <w:szCs w:val="24"/>
          <w:u w:val="single"/>
        </w:rPr>
        <w:t>Fordeling</w:t>
      </w:r>
    </w:p>
    <w:p w14:paraId="1712B14C" w14:textId="77777777" w:rsidR="00FD797F" w:rsidRPr="002E4320" w:rsidRDefault="00FD797F" w:rsidP="00FD797F">
      <w:pPr>
        <w:tabs>
          <w:tab w:val="left" w:pos="851"/>
        </w:tabs>
        <w:ind w:left="851"/>
        <w:rPr>
          <w:sz w:val="24"/>
          <w:szCs w:val="24"/>
        </w:rPr>
      </w:pPr>
      <w:r w:rsidRPr="002E4320">
        <w:rPr>
          <w:sz w:val="24"/>
          <w:szCs w:val="24"/>
        </w:rPr>
        <w:t xml:space="preserve">Giver gode koncentrationer i </w:t>
      </w:r>
      <w:proofErr w:type="spellStart"/>
      <w:r w:rsidRPr="002E4320">
        <w:rPr>
          <w:sz w:val="24"/>
          <w:szCs w:val="24"/>
        </w:rPr>
        <w:t>ledvæske</w:t>
      </w:r>
      <w:proofErr w:type="spellEnd"/>
      <w:r w:rsidRPr="002E4320">
        <w:rPr>
          <w:sz w:val="24"/>
          <w:szCs w:val="24"/>
        </w:rPr>
        <w:t>, urin og galde.</w:t>
      </w:r>
    </w:p>
    <w:p w14:paraId="43287698" w14:textId="77777777" w:rsidR="00FD797F" w:rsidRPr="002E4320" w:rsidRDefault="00FD797F" w:rsidP="00FD797F">
      <w:pPr>
        <w:tabs>
          <w:tab w:val="left" w:pos="851"/>
        </w:tabs>
        <w:ind w:left="851"/>
        <w:rPr>
          <w:sz w:val="24"/>
          <w:szCs w:val="24"/>
        </w:rPr>
      </w:pPr>
      <w:r w:rsidRPr="002E4320">
        <w:rPr>
          <w:sz w:val="24"/>
          <w:szCs w:val="24"/>
        </w:rPr>
        <w:t>Terapeutisk serumkoncentration: Terapeutisk niveau på omkring 1 µg/ml (2,1 µmol/l) opretholdes i omkring 4 timer.</w:t>
      </w:r>
    </w:p>
    <w:p w14:paraId="025A71BA" w14:textId="77777777" w:rsidR="00FD797F" w:rsidRPr="002E4320" w:rsidRDefault="00FD797F" w:rsidP="00FD797F">
      <w:pPr>
        <w:tabs>
          <w:tab w:val="left" w:pos="851"/>
        </w:tabs>
        <w:ind w:left="851"/>
        <w:rPr>
          <w:sz w:val="24"/>
          <w:szCs w:val="24"/>
          <w:u w:val="single"/>
        </w:rPr>
      </w:pPr>
    </w:p>
    <w:p w14:paraId="62C98B24" w14:textId="77777777" w:rsidR="00FD797F" w:rsidRPr="002E4320" w:rsidRDefault="00FD797F" w:rsidP="00FD797F">
      <w:pPr>
        <w:tabs>
          <w:tab w:val="left" w:pos="851"/>
        </w:tabs>
        <w:ind w:left="851"/>
        <w:rPr>
          <w:sz w:val="24"/>
          <w:szCs w:val="24"/>
          <w:u w:val="single"/>
        </w:rPr>
      </w:pPr>
      <w:r w:rsidRPr="002E4320">
        <w:rPr>
          <w:sz w:val="24"/>
          <w:szCs w:val="24"/>
          <w:u w:val="single"/>
        </w:rPr>
        <w:t>Biotransformation</w:t>
      </w:r>
    </w:p>
    <w:p w14:paraId="68EBC21D" w14:textId="77777777" w:rsidR="00FD797F" w:rsidRPr="002E4320" w:rsidRDefault="00FD797F" w:rsidP="00FD797F">
      <w:pPr>
        <w:tabs>
          <w:tab w:val="left" w:pos="851"/>
        </w:tabs>
        <w:ind w:left="851"/>
        <w:rPr>
          <w:sz w:val="24"/>
          <w:szCs w:val="24"/>
        </w:rPr>
      </w:pPr>
      <w:proofErr w:type="spellStart"/>
      <w:r w:rsidRPr="002E4320">
        <w:rPr>
          <w:sz w:val="24"/>
          <w:szCs w:val="24"/>
        </w:rPr>
        <w:t>Cloxacillin</w:t>
      </w:r>
      <w:proofErr w:type="spellEnd"/>
      <w:r w:rsidRPr="002E4320">
        <w:rPr>
          <w:sz w:val="24"/>
          <w:szCs w:val="24"/>
        </w:rPr>
        <w:t xml:space="preserve"> </w:t>
      </w:r>
      <w:proofErr w:type="spellStart"/>
      <w:r w:rsidRPr="002E4320">
        <w:rPr>
          <w:sz w:val="24"/>
          <w:szCs w:val="24"/>
        </w:rPr>
        <w:t>metaboliseres</w:t>
      </w:r>
      <w:proofErr w:type="spellEnd"/>
      <w:r w:rsidRPr="002E4320">
        <w:rPr>
          <w:sz w:val="24"/>
          <w:szCs w:val="24"/>
        </w:rPr>
        <w:t xml:space="preserve"> delvist til mikrobiologisk aktive og inaktive metabolitter.</w:t>
      </w:r>
    </w:p>
    <w:p w14:paraId="3782C1CE" w14:textId="77777777" w:rsidR="00FD797F" w:rsidRPr="002E4320" w:rsidRDefault="00FD797F" w:rsidP="00FD797F">
      <w:pPr>
        <w:tabs>
          <w:tab w:val="left" w:pos="851"/>
        </w:tabs>
        <w:ind w:left="851"/>
        <w:rPr>
          <w:sz w:val="24"/>
          <w:szCs w:val="24"/>
          <w:u w:val="single"/>
        </w:rPr>
      </w:pPr>
    </w:p>
    <w:p w14:paraId="2E51CB90" w14:textId="77777777" w:rsidR="00FD797F" w:rsidRPr="002E4320" w:rsidRDefault="00FD797F" w:rsidP="00FD797F">
      <w:pPr>
        <w:tabs>
          <w:tab w:val="left" w:pos="851"/>
        </w:tabs>
        <w:ind w:left="851"/>
        <w:rPr>
          <w:sz w:val="24"/>
          <w:szCs w:val="24"/>
          <w:u w:val="single"/>
        </w:rPr>
      </w:pPr>
      <w:r w:rsidRPr="002E4320">
        <w:rPr>
          <w:sz w:val="24"/>
          <w:szCs w:val="24"/>
          <w:u w:val="single"/>
        </w:rPr>
        <w:t>Elimination</w:t>
      </w:r>
    </w:p>
    <w:p w14:paraId="12FB10FB" w14:textId="77777777" w:rsidR="00FD797F" w:rsidRPr="002E4320" w:rsidRDefault="00FD797F" w:rsidP="00FD797F">
      <w:pPr>
        <w:tabs>
          <w:tab w:val="left" w:pos="851"/>
        </w:tabs>
        <w:ind w:left="851"/>
        <w:rPr>
          <w:sz w:val="24"/>
          <w:szCs w:val="24"/>
        </w:rPr>
      </w:pPr>
      <w:r w:rsidRPr="002E4320">
        <w:rPr>
          <w:sz w:val="24"/>
          <w:szCs w:val="24"/>
        </w:rPr>
        <w:t xml:space="preserve">Inden for 6 timer udskilles 30-50 % af den orale dosis i urinen. 10 % udskilles som aktiv metabolit i urinen. </w:t>
      </w:r>
    </w:p>
    <w:p w14:paraId="44C73377" w14:textId="77777777" w:rsidR="00FD797F" w:rsidRPr="002E4320" w:rsidRDefault="00FD797F" w:rsidP="00FD797F">
      <w:pPr>
        <w:tabs>
          <w:tab w:val="left" w:pos="851"/>
        </w:tabs>
        <w:ind w:left="851"/>
        <w:rPr>
          <w:sz w:val="24"/>
          <w:szCs w:val="24"/>
        </w:rPr>
      </w:pPr>
      <w:r w:rsidRPr="002E4320">
        <w:rPr>
          <w:sz w:val="24"/>
          <w:szCs w:val="24"/>
        </w:rPr>
        <w:t>Halveringstiden i serum er omkring 30 minutter.</w:t>
      </w:r>
    </w:p>
    <w:p w14:paraId="6A5AAB6D" w14:textId="77777777" w:rsidR="009260DE" w:rsidRPr="002E4320" w:rsidRDefault="009260DE" w:rsidP="009260DE">
      <w:pPr>
        <w:tabs>
          <w:tab w:val="left" w:pos="851"/>
        </w:tabs>
        <w:ind w:left="851"/>
        <w:rPr>
          <w:sz w:val="24"/>
          <w:szCs w:val="24"/>
        </w:rPr>
      </w:pPr>
    </w:p>
    <w:p w14:paraId="3886D53B" w14:textId="77777777" w:rsidR="00111F9A" w:rsidRPr="00C84483" w:rsidRDefault="00111F9A" w:rsidP="00111F9A">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67AB360A" w14:textId="77777777" w:rsidR="00FD797F" w:rsidRPr="002E4320" w:rsidRDefault="00FD797F" w:rsidP="00FD797F">
      <w:pPr>
        <w:tabs>
          <w:tab w:val="left" w:pos="851"/>
        </w:tabs>
        <w:ind w:left="851"/>
        <w:rPr>
          <w:sz w:val="24"/>
          <w:szCs w:val="24"/>
          <w:lang w:eastAsia="da-DK"/>
        </w:rPr>
      </w:pPr>
      <w:r w:rsidRPr="002E4320">
        <w:rPr>
          <w:sz w:val="24"/>
          <w:szCs w:val="24"/>
        </w:rPr>
        <w:t>Der findes ingen non-kliniske data med relevans for sikkerheden.</w:t>
      </w:r>
    </w:p>
    <w:p w14:paraId="3B836C53" w14:textId="77777777" w:rsidR="009260DE" w:rsidRPr="002E4320" w:rsidRDefault="009260DE" w:rsidP="009260DE">
      <w:pPr>
        <w:tabs>
          <w:tab w:val="left" w:pos="851"/>
        </w:tabs>
        <w:ind w:left="851"/>
        <w:rPr>
          <w:sz w:val="24"/>
          <w:szCs w:val="24"/>
        </w:rPr>
      </w:pPr>
    </w:p>
    <w:p w14:paraId="3BDF8B29" w14:textId="77777777" w:rsidR="009260DE" w:rsidRPr="002E4320" w:rsidRDefault="009260DE" w:rsidP="009260DE">
      <w:pPr>
        <w:tabs>
          <w:tab w:val="left" w:pos="851"/>
        </w:tabs>
        <w:ind w:left="851"/>
        <w:rPr>
          <w:sz w:val="24"/>
          <w:szCs w:val="24"/>
        </w:rPr>
      </w:pPr>
    </w:p>
    <w:p w14:paraId="09EA8A07" w14:textId="77777777" w:rsidR="009260DE" w:rsidRPr="002E4320" w:rsidRDefault="009260DE" w:rsidP="009260DE">
      <w:pPr>
        <w:tabs>
          <w:tab w:val="left" w:pos="851"/>
        </w:tabs>
        <w:ind w:left="851" w:hanging="851"/>
        <w:rPr>
          <w:b/>
          <w:sz w:val="24"/>
          <w:szCs w:val="24"/>
        </w:rPr>
      </w:pPr>
      <w:r w:rsidRPr="002E4320">
        <w:rPr>
          <w:b/>
          <w:sz w:val="24"/>
          <w:szCs w:val="24"/>
        </w:rPr>
        <w:t>6.</w:t>
      </w:r>
      <w:r w:rsidRPr="002E4320">
        <w:rPr>
          <w:b/>
          <w:sz w:val="24"/>
          <w:szCs w:val="24"/>
        </w:rPr>
        <w:tab/>
        <w:t>FARMACEUTISKE OPLYSNINGER</w:t>
      </w:r>
    </w:p>
    <w:p w14:paraId="05BDD1C3" w14:textId="77777777" w:rsidR="009260DE" w:rsidRPr="002E4320" w:rsidRDefault="009260DE" w:rsidP="009260DE">
      <w:pPr>
        <w:tabs>
          <w:tab w:val="left" w:pos="851"/>
        </w:tabs>
        <w:ind w:left="851"/>
        <w:rPr>
          <w:sz w:val="24"/>
          <w:szCs w:val="24"/>
        </w:rPr>
      </w:pPr>
    </w:p>
    <w:p w14:paraId="5E24E78D" w14:textId="77777777" w:rsidR="009260DE" w:rsidRPr="002E4320" w:rsidRDefault="009260DE" w:rsidP="009260DE">
      <w:pPr>
        <w:tabs>
          <w:tab w:val="left" w:pos="851"/>
        </w:tabs>
        <w:ind w:left="851" w:hanging="851"/>
        <w:rPr>
          <w:b/>
          <w:sz w:val="24"/>
          <w:szCs w:val="24"/>
        </w:rPr>
      </w:pPr>
      <w:r w:rsidRPr="002E4320">
        <w:rPr>
          <w:b/>
          <w:sz w:val="24"/>
          <w:szCs w:val="24"/>
        </w:rPr>
        <w:t>6.1</w:t>
      </w:r>
      <w:r w:rsidRPr="002E4320">
        <w:rPr>
          <w:b/>
          <w:sz w:val="24"/>
          <w:szCs w:val="24"/>
        </w:rPr>
        <w:tab/>
        <w:t>Hjælpestoffer</w:t>
      </w:r>
    </w:p>
    <w:p w14:paraId="72BC893D" w14:textId="77777777" w:rsidR="00FD797F" w:rsidRPr="002E4320" w:rsidRDefault="00FD797F" w:rsidP="00FD797F">
      <w:pPr>
        <w:tabs>
          <w:tab w:val="left" w:pos="851"/>
        </w:tabs>
        <w:ind w:left="851"/>
        <w:rPr>
          <w:sz w:val="24"/>
          <w:szCs w:val="24"/>
          <w:lang w:eastAsia="da-DK"/>
        </w:rPr>
      </w:pPr>
      <w:r w:rsidRPr="002E4320">
        <w:rPr>
          <w:sz w:val="24"/>
          <w:szCs w:val="24"/>
        </w:rPr>
        <w:t>Ingen.</w:t>
      </w:r>
    </w:p>
    <w:p w14:paraId="05E591B4" w14:textId="77777777" w:rsidR="009260DE" w:rsidRPr="002E4320" w:rsidRDefault="009260DE" w:rsidP="009260DE">
      <w:pPr>
        <w:tabs>
          <w:tab w:val="left" w:pos="851"/>
        </w:tabs>
        <w:ind w:left="851"/>
        <w:rPr>
          <w:sz w:val="24"/>
          <w:szCs w:val="24"/>
        </w:rPr>
      </w:pPr>
    </w:p>
    <w:p w14:paraId="531348B5" w14:textId="77777777" w:rsidR="009260DE" w:rsidRPr="002E4320" w:rsidRDefault="009260DE" w:rsidP="009260DE">
      <w:pPr>
        <w:tabs>
          <w:tab w:val="left" w:pos="851"/>
        </w:tabs>
        <w:ind w:left="851" w:hanging="851"/>
        <w:rPr>
          <w:b/>
          <w:sz w:val="24"/>
          <w:szCs w:val="24"/>
        </w:rPr>
      </w:pPr>
      <w:r w:rsidRPr="002E4320">
        <w:rPr>
          <w:b/>
          <w:sz w:val="24"/>
          <w:szCs w:val="24"/>
        </w:rPr>
        <w:t>6.2</w:t>
      </w:r>
      <w:r w:rsidRPr="002E4320">
        <w:rPr>
          <w:b/>
          <w:sz w:val="24"/>
          <w:szCs w:val="24"/>
        </w:rPr>
        <w:tab/>
        <w:t>Uforligeligheder</w:t>
      </w:r>
    </w:p>
    <w:p w14:paraId="00BB50BA" w14:textId="77777777" w:rsidR="00CD1A11" w:rsidRPr="002E4320" w:rsidRDefault="00CD1A11" w:rsidP="00CD1A11">
      <w:pPr>
        <w:tabs>
          <w:tab w:val="left" w:pos="851"/>
        </w:tabs>
        <w:ind w:left="851"/>
        <w:rPr>
          <w:sz w:val="24"/>
          <w:szCs w:val="24"/>
          <w:lang w:eastAsia="da-DK"/>
        </w:rPr>
      </w:pPr>
      <w:r w:rsidRPr="002E4320">
        <w:rPr>
          <w:sz w:val="24"/>
          <w:szCs w:val="24"/>
        </w:rPr>
        <w:t>Dette lægemiddel må ikke blandes med andre lægemidler end dem, der er anført under pkt. 6.6.</w:t>
      </w:r>
    </w:p>
    <w:p w14:paraId="17044938" w14:textId="77777777" w:rsidR="009260DE" w:rsidRPr="002E4320" w:rsidRDefault="009260DE" w:rsidP="009260DE">
      <w:pPr>
        <w:tabs>
          <w:tab w:val="left" w:pos="851"/>
        </w:tabs>
        <w:ind w:left="851"/>
        <w:rPr>
          <w:sz w:val="24"/>
          <w:szCs w:val="24"/>
        </w:rPr>
      </w:pPr>
    </w:p>
    <w:p w14:paraId="1A79AE81" w14:textId="77777777" w:rsidR="009260DE" w:rsidRPr="002E4320" w:rsidRDefault="009260DE" w:rsidP="009260DE">
      <w:pPr>
        <w:tabs>
          <w:tab w:val="left" w:pos="851"/>
        </w:tabs>
        <w:ind w:left="851" w:hanging="851"/>
        <w:rPr>
          <w:b/>
          <w:sz w:val="24"/>
          <w:szCs w:val="24"/>
        </w:rPr>
      </w:pPr>
      <w:r w:rsidRPr="002E4320">
        <w:rPr>
          <w:b/>
          <w:sz w:val="24"/>
          <w:szCs w:val="24"/>
        </w:rPr>
        <w:t>6.3</w:t>
      </w:r>
      <w:r w:rsidRPr="002E4320">
        <w:rPr>
          <w:b/>
          <w:sz w:val="24"/>
          <w:szCs w:val="24"/>
        </w:rPr>
        <w:tab/>
        <w:t>Opbevaringstid</w:t>
      </w:r>
    </w:p>
    <w:p w14:paraId="656DBBED" w14:textId="0D555BD2" w:rsidR="00CD1A11" w:rsidRPr="002E4320" w:rsidRDefault="008665FA" w:rsidP="00CD1A11">
      <w:pPr>
        <w:tabs>
          <w:tab w:val="left" w:pos="851"/>
        </w:tabs>
        <w:ind w:left="851"/>
        <w:rPr>
          <w:sz w:val="24"/>
          <w:szCs w:val="24"/>
          <w:lang w:eastAsia="da-DK"/>
        </w:rPr>
      </w:pPr>
      <w:r>
        <w:rPr>
          <w:sz w:val="24"/>
          <w:szCs w:val="24"/>
        </w:rPr>
        <w:t>3</w:t>
      </w:r>
      <w:r w:rsidR="00CD1A11" w:rsidRPr="002E4320">
        <w:rPr>
          <w:sz w:val="24"/>
          <w:szCs w:val="24"/>
        </w:rPr>
        <w:t> år</w:t>
      </w:r>
    </w:p>
    <w:p w14:paraId="3DCF5CD2" w14:textId="77777777" w:rsidR="00CD1A11" w:rsidRPr="002E4320" w:rsidRDefault="00CD1A11" w:rsidP="00CD1A11">
      <w:pPr>
        <w:tabs>
          <w:tab w:val="left" w:pos="851"/>
        </w:tabs>
        <w:ind w:left="851"/>
        <w:rPr>
          <w:sz w:val="24"/>
          <w:szCs w:val="24"/>
        </w:rPr>
      </w:pPr>
    </w:p>
    <w:p w14:paraId="5728C971" w14:textId="77777777" w:rsidR="00CD1A11" w:rsidRPr="002E4320" w:rsidRDefault="00CD1A11" w:rsidP="00CD1A11">
      <w:pPr>
        <w:tabs>
          <w:tab w:val="left" w:pos="851"/>
        </w:tabs>
        <w:ind w:left="851"/>
        <w:rPr>
          <w:sz w:val="24"/>
          <w:szCs w:val="24"/>
          <w:u w:val="single"/>
        </w:rPr>
      </w:pPr>
      <w:r w:rsidRPr="002E4320">
        <w:rPr>
          <w:sz w:val="24"/>
          <w:szCs w:val="24"/>
          <w:u w:val="single"/>
        </w:rPr>
        <w:t>Rekonstrueret opløsning</w:t>
      </w:r>
    </w:p>
    <w:p w14:paraId="52C4D622" w14:textId="77777777" w:rsidR="00CD1A11" w:rsidRPr="002E4320" w:rsidRDefault="00CD1A11" w:rsidP="00CD1A11">
      <w:pPr>
        <w:tabs>
          <w:tab w:val="left" w:pos="851"/>
        </w:tabs>
        <w:ind w:left="851"/>
        <w:rPr>
          <w:sz w:val="24"/>
          <w:szCs w:val="24"/>
        </w:rPr>
      </w:pPr>
      <w:r w:rsidRPr="002E4320">
        <w:rPr>
          <w:sz w:val="24"/>
          <w:szCs w:val="24"/>
        </w:rPr>
        <w:t xml:space="preserve">Den kemiske og fysiske stabilitet for </w:t>
      </w:r>
      <w:proofErr w:type="spellStart"/>
      <w:r w:rsidRPr="002E4320">
        <w:rPr>
          <w:sz w:val="24"/>
          <w:szCs w:val="24"/>
        </w:rPr>
        <w:t>cloxacillin</w:t>
      </w:r>
      <w:proofErr w:type="spellEnd"/>
      <w:r w:rsidRPr="002E4320">
        <w:rPr>
          <w:sz w:val="24"/>
          <w:szCs w:val="24"/>
        </w:rPr>
        <w:t xml:space="preserve"> injektionsvæske, opløsning opretholdes i 12 timer ved en temperatur på under 25 ℃. I tilfælde af infusionsvæsken er den ligeledes 12 timer ved en temperatur på under 25 ℃ eller i 48 timer ved 2-8 °C (i køleskab).</w:t>
      </w:r>
    </w:p>
    <w:p w14:paraId="6457A746" w14:textId="77777777" w:rsidR="00CD1A11" w:rsidRPr="002E4320" w:rsidRDefault="00CD1A11" w:rsidP="00CD1A11">
      <w:pPr>
        <w:tabs>
          <w:tab w:val="left" w:pos="851"/>
        </w:tabs>
        <w:ind w:left="851"/>
        <w:rPr>
          <w:sz w:val="24"/>
          <w:szCs w:val="24"/>
        </w:rPr>
      </w:pPr>
    </w:p>
    <w:p w14:paraId="11B908DE" w14:textId="77777777" w:rsidR="00CD1A11" w:rsidRPr="002E4320" w:rsidRDefault="00CD1A11" w:rsidP="00CD1A11">
      <w:pPr>
        <w:tabs>
          <w:tab w:val="left" w:pos="851"/>
        </w:tabs>
        <w:ind w:left="851"/>
        <w:rPr>
          <w:sz w:val="24"/>
          <w:szCs w:val="24"/>
        </w:rPr>
      </w:pPr>
      <w:r w:rsidRPr="002E4320">
        <w:rPr>
          <w:sz w:val="24"/>
          <w:szCs w:val="24"/>
        </w:rPr>
        <w:t xml:space="preserve">Fra et mikrobiologisk synspunkt bør den </w:t>
      </w:r>
      <w:proofErr w:type="spellStart"/>
      <w:r w:rsidRPr="002E4320">
        <w:rPr>
          <w:sz w:val="24"/>
          <w:szCs w:val="24"/>
        </w:rPr>
        <w:t>rekonstituerede</w:t>
      </w:r>
      <w:proofErr w:type="spellEnd"/>
      <w:r w:rsidRPr="002E4320">
        <w:rPr>
          <w:sz w:val="24"/>
          <w:szCs w:val="24"/>
        </w:rPr>
        <w:t xml:space="preserve"> opløsning bruges med det samme. Hvis præparatet ikke bruges med det samme, er brugsopbevaringstiden og -betingelserne brugerens ansvar og bør normalt ikke overstige 24 timer ved 2-8 ℃ med mindre </w:t>
      </w:r>
      <w:proofErr w:type="spellStart"/>
      <w:r w:rsidRPr="002E4320">
        <w:rPr>
          <w:sz w:val="24"/>
          <w:szCs w:val="24"/>
        </w:rPr>
        <w:t>rekonstitueringen</w:t>
      </w:r>
      <w:proofErr w:type="spellEnd"/>
      <w:r w:rsidRPr="002E4320">
        <w:rPr>
          <w:sz w:val="24"/>
          <w:szCs w:val="24"/>
        </w:rPr>
        <w:t xml:space="preserve"> har fundet sted under kontrollerede og validerede aseptiske betingelser.</w:t>
      </w:r>
    </w:p>
    <w:p w14:paraId="2BAF55F4" w14:textId="5CC5086C" w:rsidR="00F7656B" w:rsidRDefault="00F7656B">
      <w:pPr>
        <w:rPr>
          <w:sz w:val="24"/>
          <w:szCs w:val="24"/>
        </w:rPr>
      </w:pPr>
      <w:r>
        <w:rPr>
          <w:sz w:val="24"/>
          <w:szCs w:val="24"/>
        </w:rPr>
        <w:br w:type="page"/>
      </w:r>
    </w:p>
    <w:p w14:paraId="0DE0FAE4" w14:textId="77777777" w:rsidR="009260DE" w:rsidRPr="002E4320" w:rsidRDefault="009260DE" w:rsidP="009260DE">
      <w:pPr>
        <w:tabs>
          <w:tab w:val="left" w:pos="851"/>
        </w:tabs>
        <w:ind w:left="851"/>
        <w:rPr>
          <w:sz w:val="24"/>
          <w:szCs w:val="24"/>
        </w:rPr>
      </w:pPr>
    </w:p>
    <w:p w14:paraId="00814B8F" w14:textId="77777777" w:rsidR="009260DE" w:rsidRPr="002E4320" w:rsidRDefault="009260DE" w:rsidP="009260DE">
      <w:pPr>
        <w:tabs>
          <w:tab w:val="left" w:pos="851"/>
        </w:tabs>
        <w:ind w:left="851" w:hanging="851"/>
        <w:rPr>
          <w:b/>
          <w:sz w:val="24"/>
          <w:szCs w:val="24"/>
        </w:rPr>
      </w:pPr>
      <w:r w:rsidRPr="002E4320">
        <w:rPr>
          <w:b/>
          <w:sz w:val="24"/>
          <w:szCs w:val="24"/>
        </w:rPr>
        <w:t>6.4</w:t>
      </w:r>
      <w:r w:rsidRPr="002E4320">
        <w:rPr>
          <w:b/>
          <w:sz w:val="24"/>
          <w:szCs w:val="24"/>
        </w:rPr>
        <w:tab/>
        <w:t>Særlige opbevaringsforhold</w:t>
      </w:r>
    </w:p>
    <w:p w14:paraId="7D40AFCC" w14:textId="77777777" w:rsidR="00CD1A11" w:rsidRPr="002E4320" w:rsidRDefault="00CD1A11" w:rsidP="00CD1A11">
      <w:pPr>
        <w:tabs>
          <w:tab w:val="left" w:pos="851"/>
        </w:tabs>
        <w:ind w:left="851"/>
        <w:rPr>
          <w:sz w:val="24"/>
          <w:szCs w:val="24"/>
          <w:lang w:eastAsia="da-DK"/>
        </w:rPr>
      </w:pPr>
      <w:r w:rsidRPr="002E4320">
        <w:rPr>
          <w:sz w:val="24"/>
          <w:szCs w:val="24"/>
        </w:rPr>
        <w:t>Dette lægemiddel kræver ingen særlige forholdsregler vedrørende opbevaringen.</w:t>
      </w:r>
    </w:p>
    <w:p w14:paraId="35A51A26" w14:textId="77777777" w:rsidR="00CD1A11" w:rsidRPr="002E4320" w:rsidRDefault="00CD1A11" w:rsidP="00CD1A11">
      <w:pPr>
        <w:tabs>
          <w:tab w:val="left" w:pos="851"/>
        </w:tabs>
        <w:ind w:left="851"/>
        <w:rPr>
          <w:sz w:val="24"/>
          <w:szCs w:val="24"/>
        </w:rPr>
      </w:pPr>
    </w:p>
    <w:p w14:paraId="19E8F328" w14:textId="77777777" w:rsidR="00CD1A11" w:rsidRPr="002E4320" w:rsidRDefault="00CD1A11" w:rsidP="00CD1A11">
      <w:pPr>
        <w:tabs>
          <w:tab w:val="left" w:pos="851"/>
        </w:tabs>
        <w:ind w:left="851"/>
        <w:rPr>
          <w:sz w:val="24"/>
          <w:szCs w:val="24"/>
        </w:rPr>
      </w:pPr>
      <w:r w:rsidRPr="002E4320">
        <w:rPr>
          <w:sz w:val="24"/>
          <w:szCs w:val="24"/>
        </w:rPr>
        <w:t xml:space="preserve">Opbevaringsforhold efter </w:t>
      </w:r>
      <w:proofErr w:type="spellStart"/>
      <w:r w:rsidRPr="002E4320">
        <w:rPr>
          <w:sz w:val="24"/>
          <w:szCs w:val="24"/>
        </w:rPr>
        <w:t>rekonstitution</w:t>
      </w:r>
      <w:proofErr w:type="spellEnd"/>
      <w:r w:rsidRPr="002E4320">
        <w:rPr>
          <w:sz w:val="24"/>
          <w:szCs w:val="24"/>
        </w:rPr>
        <w:t xml:space="preserve"> af lægemidlet, se pkt. 6.3.</w:t>
      </w:r>
    </w:p>
    <w:p w14:paraId="561E0957" w14:textId="77777777" w:rsidR="009260DE" w:rsidRPr="002E4320" w:rsidRDefault="009260DE" w:rsidP="009260DE">
      <w:pPr>
        <w:tabs>
          <w:tab w:val="left" w:pos="851"/>
        </w:tabs>
        <w:ind w:left="851"/>
        <w:rPr>
          <w:sz w:val="24"/>
          <w:szCs w:val="24"/>
        </w:rPr>
      </w:pPr>
    </w:p>
    <w:p w14:paraId="7FC4D6F9" w14:textId="77777777" w:rsidR="00111F9A" w:rsidRPr="00C84483" w:rsidRDefault="00111F9A" w:rsidP="00111F9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4A79792" w14:textId="0B05C6A3" w:rsidR="00CD1A11" w:rsidRPr="002E4320" w:rsidRDefault="00CD1A11" w:rsidP="00CD1A11">
      <w:pPr>
        <w:tabs>
          <w:tab w:val="left" w:pos="851"/>
        </w:tabs>
        <w:ind w:left="851"/>
        <w:rPr>
          <w:sz w:val="24"/>
          <w:szCs w:val="24"/>
          <w:lang w:eastAsia="da-DK"/>
        </w:rPr>
      </w:pPr>
      <w:r w:rsidRPr="002E4320">
        <w:rPr>
          <w:sz w:val="24"/>
          <w:szCs w:val="24"/>
        </w:rPr>
        <w:t xml:space="preserve">20 ml hætteglas af klart glas uden farve </w:t>
      </w:r>
      <w:proofErr w:type="spellStart"/>
      <w:r w:rsidRPr="002E4320">
        <w:rPr>
          <w:sz w:val="24"/>
          <w:szCs w:val="24"/>
        </w:rPr>
        <w:t>Ph</w:t>
      </w:r>
      <w:proofErr w:type="spellEnd"/>
      <w:r w:rsidRPr="002E4320">
        <w:rPr>
          <w:sz w:val="24"/>
          <w:szCs w:val="24"/>
        </w:rPr>
        <w:t xml:space="preserve">. </w:t>
      </w:r>
      <w:proofErr w:type="spellStart"/>
      <w:r w:rsidRPr="002E4320">
        <w:rPr>
          <w:sz w:val="24"/>
          <w:szCs w:val="24"/>
        </w:rPr>
        <w:t>Eur</w:t>
      </w:r>
      <w:proofErr w:type="spellEnd"/>
      <w:r w:rsidRPr="002E4320">
        <w:rPr>
          <w:sz w:val="24"/>
          <w:szCs w:val="24"/>
        </w:rPr>
        <w:t xml:space="preserve"> type III, med </w:t>
      </w:r>
      <w:proofErr w:type="spellStart"/>
      <w:r w:rsidRPr="002E4320">
        <w:rPr>
          <w:sz w:val="24"/>
          <w:szCs w:val="24"/>
        </w:rPr>
        <w:t>brombutyl</w:t>
      </w:r>
      <w:proofErr w:type="spellEnd"/>
      <w:r w:rsidRPr="002E4320">
        <w:rPr>
          <w:sz w:val="24"/>
          <w:szCs w:val="24"/>
        </w:rPr>
        <w:t xml:space="preserve">- eller </w:t>
      </w:r>
      <w:proofErr w:type="spellStart"/>
      <w:r w:rsidRPr="002E4320">
        <w:rPr>
          <w:sz w:val="24"/>
          <w:szCs w:val="24"/>
        </w:rPr>
        <w:t>chlorbutyl</w:t>
      </w:r>
      <w:r w:rsidR="00F7656B">
        <w:rPr>
          <w:sz w:val="24"/>
          <w:szCs w:val="24"/>
        </w:rPr>
        <w:softHyphen/>
      </w:r>
      <w:r w:rsidRPr="002E4320">
        <w:rPr>
          <w:sz w:val="24"/>
          <w:szCs w:val="24"/>
        </w:rPr>
        <w:t>gummiprop</w:t>
      </w:r>
      <w:proofErr w:type="spellEnd"/>
      <w:r w:rsidRPr="002E4320">
        <w:rPr>
          <w:sz w:val="24"/>
          <w:szCs w:val="24"/>
        </w:rPr>
        <w:t xml:space="preserve"> og aluminiumshætte. </w:t>
      </w:r>
    </w:p>
    <w:p w14:paraId="1C6E97FB" w14:textId="77777777" w:rsidR="00CD1A11" w:rsidRPr="002E4320" w:rsidRDefault="00CD1A11" w:rsidP="00CD1A11">
      <w:pPr>
        <w:tabs>
          <w:tab w:val="left" w:pos="851"/>
        </w:tabs>
        <w:ind w:left="851"/>
        <w:rPr>
          <w:sz w:val="24"/>
          <w:szCs w:val="24"/>
        </w:rPr>
      </w:pPr>
    </w:p>
    <w:p w14:paraId="75D0090F" w14:textId="77777777" w:rsidR="00197017" w:rsidRDefault="00197017" w:rsidP="00197017">
      <w:pPr>
        <w:tabs>
          <w:tab w:val="left" w:pos="851"/>
        </w:tabs>
        <w:ind w:left="851"/>
        <w:rPr>
          <w:sz w:val="24"/>
          <w:szCs w:val="24"/>
        </w:rPr>
      </w:pPr>
      <w:r>
        <w:rPr>
          <w:sz w:val="24"/>
          <w:szCs w:val="24"/>
          <w:u w:val="single"/>
        </w:rPr>
        <w:t>Pakningsstørrelser</w:t>
      </w:r>
      <w:r>
        <w:rPr>
          <w:sz w:val="24"/>
          <w:szCs w:val="24"/>
        </w:rPr>
        <w:t xml:space="preserve"> </w:t>
      </w:r>
    </w:p>
    <w:p w14:paraId="48F88E64" w14:textId="21F19137" w:rsidR="00197017" w:rsidRDefault="00197017" w:rsidP="00197017">
      <w:pPr>
        <w:tabs>
          <w:tab w:val="left" w:pos="851"/>
        </w:tabs>
        <w:ind w:left="851"/>
        <w:rPr>
          <w:sz w:val="24"/>
          <w:szCs w:val="24"/>
        </w:rPr>
      </w:pPr>
      <w:r>
        <w:rPr>
          <w:sz w:val="24"/>
          <w:szCs w:val="24"/>
        </w:rPr>
        <w:t>1 × 2 g hætteglas</w:t>
      </w:r>
    </w:p>
    <w:p w14:paraId="027B7B9B" w14:textId="3E037FF9" w:rsidR="00197017" w:rsidRDefault="00197017" w:rsidP="00197017">
      <w:pPr>
        <w:tabs>
          <w:tab w:val="left" w:pos="851"/>
        </w:tabs>
        <w:ind w:left="851"/>
        <w:rPr>
          <w:sz w:val="24"/>
          <w:szCs w:val="24"/>
        </w:rPr>
      </w:pPr>
      <w:r>
        <w:rPr>
          <w:sz w:val="24"/>
          <w:szCs w:val="24"/>
        </w:rPr>
        <w:t>10 × 2 g hætteglas</w:t>
      </w:r>
    </w:p>
    <w:p w14:paraId="5641A4A7" w14:textId="77777777" w:rsidR="00197017" w:rsidRDefault="00197017" w:rsidP="00197017">
      <w:pPr>
        <w:tabs>
          <w:tab w:val="left" w:pos="851"/>
        </w:tabs>
        <w:ind w:left="851"/>
        <w:rPr>
          <w:sz w:val="24"/>
          <w:szCs w:val="24"/>
        </w:rPr>
      </w:pPr>
    </w:p>
    <w:p w14:paraId="3A39B6AC" w14:textId="77777777" w:rsidR="00CD1A11" w:rsidRPr="002E4320" w:rsidRDefault="00CD1A11" w:rsidP="00CD1A11">
      <w:pPr>
        <w:tabs>
          <w:tab w:val="left" w:pos="851"/>
        </w:tabs>
        <w:ind w:left="851"/>
        <w:rPr>
          <w:sz w:val="24"/>
          <w:szCs w:val="24"/>
        </w:rPr>
      </w:pPr>
      <w:r w:rsidRPr="002E4320">
        <w:rPr>
          <w:sz w:val="24"/>
          <w:szCs w:val="24"/>
        </w:rPr>
        <w:t>Ikke alle pakningsstørrelser er nødvendigvis markedsført.</w:t>
      </w:r>
    </w:p>
    <w:p w14:paraId="6FD91FF1" w14:textId="77777777" w:rsidR="009260DE" w:rsidRPr="002E4320" w:rsidRDefault="009260DE" w:rsidP="009260DE">
      <w:pPr>
        <w:tabs>
          <w:tab w:val="left" w:pos="851"/>
        </w:tabs>
        <w:ind w:left="851"/>
        <w:rPr>
          <w:sz w:val="24"/>
          <w:szCs w:val="24"/>
        </w:rPr>
      </w:pPr>
    </w:p>
    <w:p w14:paraId="40B4E847" w14:textId="77777777" w:rsidR="00111F9A" w:rsidRPr="00C84483" w:rsidRDefault="00111F9A" w:rsidP="00111F9A">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2BC508AD" w14:textId="77777777" w:rsidR="00917E75" w:rsidRDefault="00917E75" w:rsidP="00CD1A11">
      <w:pPr>
        <w:tabs>
          <w:tab w:val="left" w:pos="851"/>
        </w:tabs>
        <w:ind w:left="851"/>
        <w:rPr>
          <w:iCs/>
          <w:sz w:val="24"/>
          <w:szCs w:val="24"/>
          <w:u w:val="single"/>
        </w:rPr>
      </w:pPr>
    </w:p>
    <w:p w14:paraId="7D3A6C8A" w14:textId="5BE2EDAE" w:rsidR="00CD1A11" w:rsidRPr="002E4320" w:rsidRDefault="00CD1A11" w:rsidP="00CD1A11">
      <w:pPr>
        <w:tabs>
          <w:tab w:val="left" w:pos="851"/>
        </w:tabs>
        <w:ind w:left="851"/>
        <w:rPr>
          <w:iCs/>
          <w:sz w:val="24"/>
          <w:szCs w:val="24"/>
          <w:u w:val="single"/>
          <w:lang w:eastAsia="da-DK"/>
        </w:rPr>
      </w:pPr>
      <w:r w:rsidRPr="002E4320">
        <w:rPr>
          <w:iCs/>
          <w:sz w:val="24"/>
          <w:szCs w:val="24"/>
          <w:u w:val="single"/>
        </w:rPr>
        <w:t>Klargøring af opløsningen</w:t>
      </w:r>
    </w:p>
    <w:p w14:paraId="4562F187" w14:textId="77777777" w:rsidR="00CD1A11" w:rsidRPr="002E4320" w:rsidRDefault="00CD1A11" w:rsidP="00CD1A11">
      <w:pPr>
        <w:tabs>
          <w:tab w:val="left" w:pos="851"/>
        </w:tabs>
        <w:ind w:left="851"/>
        <w:rPr>
          <w:sz w:val="24"/>
          <w:szCs w:val="24"/>
        </w:rPr>
      </w:pPr>
      <w:r w:rsidRPr="002E4320">
        <w:rPr>
          <w:sz w:val="24"/>
          <w:szCs w:val="24"/>
        </w:rPr>
        <w:t xml:space="preserve">Der skal anvendes aseptisk teknik ved </w:t>
      </w:r>
      <w:proofErr w:type="spellStart"/>
      <w:r w:rsidRPr="002E4320">
        <w:rPr>
          <w:sz w:val="24"/>
          <w:szCs w:val="24"/>
        </w:rPr>
        <w:t>rekonstituering</w:t>
      </w:r>
      <w:proofErr w:type="spellEnd"/>
      <w:r w:rsidRPr="002E4320">
        <w:rPr>
          <w:sz w:val="24"/>
          <w:szCs w:val="24"/>
        </w:rPr>
        <w:t xml:space="preserve"> af opløsningen.</w:t>
      </w:r>
    </w:p>
    <w:p w14:paraId="7FD8AA92" w14:textId="77777777" w:rsidR="00CD1A11" w:rsidRPr="002E4320" w:rsidRDefault="00CD1A11" w:rsidP="00CD1A11">
      <w:pPr>
        <w:tabs>
          <w:tab w:val="left" w:pos="851"/>
        </w:tabs>
        <w:ind w:left="851"/>
        <w:rPr>
          <w:sz w:val="24"/>
          <w:szCs w:val="24"/>
        </w:rPr>
      </w:pPr>
    </w:p>
    <w:p w14:paraId="36149DC6" w14:textId="77777777" w:rsidR="00CD1A11" w:rsidRPr="002E4320" w:rsidRDefault="00CD1A11" w:rsidP="00CD1A11">
      <w:pPr>
        <w:tabs>
          <w:tab w:val="left" w:pos="851"/>
        </w:tabs>
        <w:ind w:left="851"/>
        <w:rPr>
          <w:sz w:val="24"/>
          <w:szCs w:val="24"/>
        </w:rPr>
      </w:pPr>
      <w:r w:rsidRPr="002E4320">
        <w:rPr>
          <w:sz w:val="24"/>
          <w:szCs w:val="24"/>
        </w:rPr>
        <w:t xml:space="preserve">Afhængig af mængden, der skal administreres, anbefales det at bruge vand til injektionsvæsker eller </w:t>
      </w:r>
      <w:proofErr w:type="spellStart"/>
      <w:r w:rsidRPr="002E4320">
        <w:rPr>
          <w:sz w:val="24"/>
          <w:szCs w:val="24"/>
        </w:rPr>
        <w:t>natriumchlorid</w:t>
      </w:r>
      <w:proofErr w:type="spellEnd"/>
      <w:r w:rsidRPr="002E4320">
        <w:rPr>
          <w:sz w:val="24"/>
          <w:szCs w:val="24"/>
        </w:rPr>
        <w:t xml:space="preserve"> 9 mg/ml (0,9 %) opløsning til injektionsvæsker til at opløse pulveret.</w:t>
      </w:r>
    </w:p>
    <w:p w14:paraId="4FF57CC9" w14:textId="77777777" w:rsidR="00CD1A11" w:rsidRPr="002E4320" w:rsidRDefault="00CD1A11" w:rsidP="00CD1A11">
      <w:pPr>
        <w:tabs>
          <w:tab w:val="left" w:pos="851"/>
        </w:tabs>
        <w:ind w:left="851"/>
        <w:rPr>
          <w:sz w:val="24"/>
          <w:szCs w:val="24"/>
        </w:rPr>
      </w:pPr>
    </w:p>
    <w:p w14:paraId="17C10C47" w14:textId="77777777" w:rsidR="00CD1A11" w:rsidRPr="002E4320" w:rsidRDefault="00CD1A11" w:rsidP="00CD1A11">
      <w:pPr>
        <w:tabs>
          <w:tab w:val="left" w:pos="851"/>
        </w:tabs>
        <w:ind w:left="851"/>
        <w:rPr>
          <w:iCs/>
          <w:sz w:val="24"/>
          <w:szCs w:val="24"/>
          <w:u w:val="single"/>
        </w:rPr>
      </w:pPr>
      <w:r w:rsidRPr="002E4320">
        <w:rPr>
          <w:iCs/>
          <w:sz w:val="24"/>
          <w:szCs w:val="24"/>
          <w:u w:val="single"/>
        </w:rPr>
        <w:t xml:space="preserve">Instruktioner til </w:t>
      </w:r>
      <w:proofErr w:type="spellStart"/>
      <w:r w:rsidRPr="002E4320">
        <w:rPr>
          <w:iCs/>
          <w:sz w:val="24"/>
          <w:szCs w:val="24"/>
          <w:u w:val="single"/>
        </w:rPr>
        <w:t>rekonstituering</w:t>
      </w:r>
      <w:proofErr w:type="spellEnd"/>
      <w:r w:rsidRPr="002E4320">
        <w:rPr>
          <w:iCs/>
          <w:sz w:val="24"/>
          <w:szCs w:val="24"/>
          <w:u w:val="single"/>
        </w:rPr>
        <w:t xml:space="preserve"> af injektions-/infusionsvæske, opløsning</w:t>
      </w:r>
    </w:p>
    <w:p w14:paraId="6400D0CA" w14:textId="77777777" w:rsidR="00CD1A11" w:rsidRPr="002E4320" w:rsidRDefault="00CD1A11" w:rsidP="00CD1A11">
      <w:pPr>
        <w:tabs>
          <w:tab w:val="left" w:pos="851"/>
        </w:tabs>
        <w:ind w:left="851"/>
        <w:rPr>
          <w:iCs/>
          <w:sz w:val="24"/>
          <w:szCs w:val="24"/>
          <w:u w:val="single"/>
        </w:rPr>
      </w:pPr>
    </w:p>
    <w:p w14:paraId="0E56BCCA" w14:textId="77777777" w:rsidR="00CD1A11" w:rsidRPr="002E4320" w:rsidRDefault="00CD1A11" w:rsidP="00CD1A11">
      <w:pPr>
        <w:tabs>
          <w:tab w:val="left" w:pos="851"/>
        </w:tabs>
        <w:ind w:left="851"/>
        <w:rPr>
          <w:i/>
          <w:sz w:val="24"/>
          <w:szCs w:val="24"/>
        </w:rPr>
      </w:pPr>
      <w:r w:rsidRPr="002E4320">
        <w:rPr>
          <w:i/>
          <w:sz w:val="24"/>
          <w:szCs w:val="24"/>
        </w:rPr>
        <w:t xml:space="preserve">Intramuskulær injektion </w:t>
      </w:r>
    </w:p>
    <w:p w14:paraId="309537F9" w14:textId="77777777" w:rsidR="00CD1A11" w:rsidRPr="002E4320" w:rsidRDefault="00CD1A11" w:rsidP="00CD1A11">
      <w:pPr>
        <w:tabs>
          <w:tab w:val="left" w:pos="851"/>
        </w:tabs>
        <w:ind w:left="851"/>
        <w:rPr>
          <w:b/>
          <w:bCs/>
          <w:sz w:val="24"/>
          <w:szCs w:val="24"/>
        </w:rPr>
      </w:pPr>
      <w:r w:rsidRPr="002E4320">
        <w:rPr>
          <w:sz w:val="24"/>
          <w:szCs w:val="24"/>
        </w:rPr>
        <w:t>Opløs 2 g i 8 ml vand til injektionsvæsker.</w:t>
      </w:r>
    </w:p>
    <w:p w14:paraId="679113D6" w14:textId="77777777" w:rsidR="00CD1A11" w:rsidRPr="002E4320" w:rsidRDefault="00CD1A11" w:rsidP="00CD1A11">
      <w:pPr>
        <w:tabs>
          <w:tab w:val="left" w:pos="851"/>
        </w:tabs>
        <w:ind w:left="851"/>
        <w:rPr>
          <w:sz w:val="24"/>
          <w:szCs w:val="24"/>
        </w:rPr>
      </w:pPr>
    </w:p>
    <w:p w14:paraId="43B2E46A" w14:textId="77777777" w:rsidR="00CD1A11" w:rsidRPr="002E4320" w:rsidRDefault="00CD1A11" w:rsidP="00CD1A11">
      <w:pPr>
        <w:tabs>
          <w:tab w:val="left" w:pos="851"/>
        </w:tabs>
        <w:ind w:left="851"/>
        <w:rPr>
          <w:i/>
          <w:sz w:val="24"/>
          <w:szCs w:val="24"/>
        </w:rPr>
      </w:pPr>
      <w:r w:rsidRPr="002E4320">
        <w:rPr>
          <w:i/>
          <w:sz w:val="24"/>
          <w:szCs w:val="24"/>
        </w:rPr>
        <w:t xml:space="preserve">Intravenøs injektion </w:t>
      </w:r>
    </w:p>
    <w:p w14:paraId="40F19105" w14:textId="77777777" w:rsidR="00CD1A11" w:rsidRPr="002E4320" w:rsidRDefault="00CD1A11" w:rsidP="00CD1A11">
      <w:pPr>
        <w:tabs>
          <w:tab w:val="left" w:pos="851"/>
        </w:tabs>
        <w:ind w:left="851"/>
        <w:rPr>
          <w:sz w:val="24"/>
          <w:szCs w:val="24"/>
        </w:rPr>
      </w:pPr>
      <w:r w:rsidRPr="002E4320">
        <w:rPr>
          <w:sz w:val="24"/>
          <w:szCs w:val="24"/>
        </w:rPr>
        <w:t xml:space="preserve">Opløs 2 g i 20 ml vand til injektionsvæsker. </w:t>
      </w:r>
    </w:p>
    <w:p w14:paraId="0E5556D8" w14:textId="77777777" w:rsidR="00CD1A11" w:rsidRPr="002E4320" w:rsidRDefault="00CD1A11" w:rsidP="00CD1A11">
      <w:pPr>
        <w:tabs>
          <w:tab w:val="left" w:pos="851"/>
        </w:tabs>
        <w:ind w:left="851"/>
        <w:rPr>
          <w:i/>
          <w:iCs/>
          <w:sz w:val="24"/>
          <w:szCs w:val="24"/>
          <w:u w:val="single"/>
        </w:rPr>
      </w:pPr>
    </w:p>
    <w:p w14:paraId="7AF150C4" w14:textId="77777777" w:rsidR="00CD1A11" w:rsidRPr="002E4320" w:rsidRDefault="00CD1A11" w:rsidP="00CD1A11">
      <w:pPr>
        <w:tabs>
          <w:tab w:val="left" w:pos="851"/>
        </w:tabs>
        <w:ind w:left="851"/>
        <w:rPr>
          <w:i/>
          <w:sz w:val="24"/>
          <w:szCs w:val="24"/>
        </w:rPr>
      </w:pPr>
      <w:r w:rsidRPr="002E4320">
        <w:rPr>
          <w:i/>
          <w:sz w:val="24"/>
          <w:szCs w:val="24"/>
        </w:rPr>
        <w:t xml:space="preserve">Kortvarig intravenøs infusion </w:t>
      </w:r>
    </w:p>
    <w:p w14:paraId="16B4672B" w14:textId="77777777" w:rsidR="00CD1A11" w:rsidRPr="002E4320" w:rsidRDefault="00CD1A11" w:rsidP="00CD1A11">
      <w:pPr>
        <w:tabs>
          <w:tab w:val="left" w:pos="851"/>
        </w:tabs>
        <w:ind w:left="851"/>
        <w:rPr>
          <w:sz w:val="24"/>
          <w:szCs w:val="24"/>
        </w:rPr>
      </w:pPr>
      <w:r w:rsidRPr="002E4320">
        <w:rPr>
          <w:sz w:val="24"/>
          <w:szCs w:val="24"/>
        </w:rPr>
        <w:t xml:space="preserve">Opløs 2 g i 8 ml vand til injektionsvæsker, og bland derefter med en egnet opløsning til infusionsvæsker op til 100 ml. </w:t>
      </w:r>
    </w:p>
    <w:p w14:paraId="21E688C2" w14:textId="77777777" w:rsidR="00CD1A11" w:rsidRPr="002E4320" w:rsidRDefault="00CD1A11" w:rsidP="00CD1A11">
      <w:pPr>
        <w:tabs>
          <w:tab w:val="left" w:pos="851"/>
        </w:tabs>
        <w:ind w:left="851"/>
        <w:rPr>
          <w:sz w:val="24"/>
          <w:szCs w:val="24"/>
        </w:rPr>
      </w:pPr>
    </w:p>
    <w:p w14:paraId="24192D6E" w14:textId="77777777" w:rsidR="00CD1A11" w:rsidRPr="002E4320" w:rsidRDefault="00CD1A11" w:rsidP="00CD1A11">
      <w:pPr>
        <w:tabs>
          <w:tab w:val="left" w:pos="851"/>
        </w:tabs>
        <w:ind w:left="851"/>
        <w:rPr>
          <w:sz w:val="24"/>
          <w:szCs w:val="24"/>
        </w:rPr>
      </w:pPr>
      <w:r w:rsidRPr="002E4320">
        <w:rPr>
          <w:sz w:val="24"/>
          <w:szCs w:val="24"/>
        </w:rPr>
        <w:t>Opløsningen tilberedes i Mini-Bag plastbeholdere ved hjælp af en overførselsadapter, eller i en 100 ml flaske ved hjælp af en overførselskanyle.</w:t>
      </w:r>
    </w:p>
    <w:p w14:paraId="74F09C37" w14:textId="77777777" w:rsidR="00CD1A11" w:rsidRPr="002E4320" w:rsidRDefault="00CD1A11" w:rsidP="00CD1A11">
      <w:pPr>
        <w:tabs>
          <w:tab w:val="left" w:pos="851"/>
        </w:tabs>
        <w:ind w:left="851"/>
        <w:rPr>
          <w:sz w:val="24"/>
          <w:szCs w:val="24"/>
        </w:rPr>
      </w:pPr>
    </w:p>
    <w:p w14:paraId="4DA5E038" w14:textId="77777777" w:rsidR="00CD1A11" w:rsidRPr="002E4320" w:rsidRDefault="00CD1A11" w:rsidP="00CD1A11">
      <w:pPr>
        <w:tabs>
          <w:tab w:val="left" w:pos="851"/>
        </w:tabs>
        <w:ind w:left="851"/>
        <w:rPr>
          <w:i/>
          <w:sz w:val="24"/>
          <w:szCs w:val="24"/>
        </w:rPr>
      </w:pPr>
      <w:r w:rsidRPr="002E4320">
        <w:rPr>
          <w:i/>
          <w:sz w:val="24"/>
          <w:szCs w:val="24"/>
        </w:rPr>
        <w:t>Langvarig intravenøs infusion</w:t>
      </w:r>
    </w:p>
    <w:p w14:paraId="6F979018" w14:textId="77777777" w:rsidR="00CD1A11" w:rsidRPr="002E4320" w:rsidRDefault="00CD1A11" w:rsidP="00CD1A11">
      <w:pPr>
        <w:tabs>
          <w:tab w:val="left" w:pos="851"/>
        </w:tabs>
        <w:ind w:left="851"/>
        <w:rPr>
          <w:sz w:val="24"/>
          <w:szCs w:val="24"/>
        </w:rPr>
      </w:pPr>
      <w:r w:rsidRPr="002E4320">
        <w:rPr>
          <w:sz w:val="24"/>
          <w:szCs w:val="24"/>
        </w:rPr>
        <w:t xml:space="preserve">Opløs 2 g i 8 ml vand til injektionsvæsker, og bland derefter med en egnet opløsning til infusionsvæsker op til et samlet volumen på 50-500 ml. Koncentrationen bør ikke overstige 40 mg/ml. </w:t>
      </w:r>
    </w:p>
    <w:p w14:paraId="247FDB10" w14:textId="77777777" w:rsidR="00CD1A11" w:rsidRPr="002E4320" w:rsidRDefault="00CD1A11" w:rsidP="00CD1A11">
      <w:pPr>
        <w:tabs>
          <w:tab w:val="left" w:pos="851"/>
        </w:tabs>
        <w:ind w:left="851"/>
        <w:rPr>
          <w:sz w:val="24"/>
          <w:szCs w:val="24"/>
        </w:rPr>
      </w:pPr>
    </w:p>
    <w:p w14:paraId="5803AF7B" w14:textId="77777777" w:rsidR="00CD1A11" w:rsidRPr="002E4320" w:rsidRDefault="00CD1A11" w:rsidP="00CD1A11">
      <w:pPr>
        <w:tabs>
          <w:tab w:val="left" w:pos="851"/>
        </w:tabs>
        <w:ind w:left="851"/>
        <w:rPr>
          <w:sz w:val="24"/>
          <w:szCs w:val="24"/>
        </w:rPr>
      </w:pPr>
      <w:r w:rsidRPr="002E4320">
        <w:rPr>
          <w:sz w:val="24"/>
          <w:szCs w:val="24"/>
        </w:rPr>
        <w:t xml:space="preserve">Efter </w:t>
      </w:r>
      <w:proofErr w:type="spellStart"/>
      <w:r w:rsidRPr="002E4320">
        <w:rPr>
          <w:sz w:val="24"/>
          <w:szCs w:val="24"/>
        </w:rPr>
        <w:t>rekonstituering</w:t>
      </w:r>
      <w:proofErr w:type="spellEnd"/>
      <w:r w:rsidRPr="002E4320">
        <w:rPr>
          <w:sz w:val="24"/>
          <w:szCs w:val="24"/>
        </w:rPr>
        <w:t xml:space="preserve"> skal opløsningen være klar. Brug ikke opløsningen, hvis der er synlige partikler i opløsningen. Træk kun en dosis op. Ubrugt opløsning skal bortskaffes.</w:t>
      </w:r>
    </w:p>
    <w:p w14:paraId="206FE424" w14:textId="77777777" w:rsidR="00CD1A11" w:rsidRPr="002E4320" w:rsidRDefault="00CD1A11" w:rsidP="00CD1A11">
      <w:pPr>
        <w:tabs>
          <w:tab w:val="left" w:pos="851"/>
        </w:tabs>
        <w:ind w:left="851"/>
        <w:rPr>
          <w:sz w:val="24"/>
          <w:szCs w:val="24"/>
        </w:rPr>
      </w:pPr>
    </w:p>
    <w:p w14:paraId="7F90067A" w14:textId="77777777" w:rsidR="00CD1A11" w:rsidRPr="002E4320" w:rsidRDefault="00CD1A11" w:rsidP="00CD1A11">
      <w:pPr>
        <w:tabs>
          <w:tab w:val="left" w:pos="851"/>
        </w:tabs>
        <w:ind w:left="851"/>
        <w:rPr>
          <w:sz w:val="24"/>
          <w:szCs w:val="24"/>
        </w:rPr>
      </w:pPr>
      <w:proofErr w:type="spellStart"/>
      <w:r w:rsidRPr="002E4320">
        <w:rPr>
          <w:sz w:val="24"/>
          <w:szCs w:val="24"/>
        </w:rPr>
        <w:t>Cloxacillin</w:t>
      </w:r>
      <w:proofErr w:type="spellEnd"/>
      <w:r w:rsidRPr="002E4320">
        <w:rPr>
          <w:sz w:val="24"/>
          <w:szCs w:val="24"/>
        </w:rPr>
        <w:t xml:space="preserve"> er kompatibel med følgende opløsninger til infusion:</w:t>
      </w:r>
    </w:p>
    <w:p w14:paraId="53556883" w14:textId="77777777" w:rsidR="00CD1A11" w:rsidRPr="002E4320" w:rsidRDefault="00CD1A11" w:rsidP="000D4AC3">
      <w:pPr>
        <w:numPr>
          <w:ilvl w:val="0"/>
          <w:numId w:val="8"/>
        </w:numPr>
        <w:tabs>
          <w:tab w:val="left" w:pos="851"/>
        </w:tabs>
        <w:ind w:left="1276" w:hanging="425"/>
        <w:rPr>
          <w:sz w:val="24"/>
          <w:szCs w:val="24"/>
        </w:rPr>
      </w:pPr>
      <w:r w:rsidRPr="002E4320">
        <w:rPr>
          <w:sz w:val="24"/>
          <w:szCs w:val="24"/>
        </w:rPr>
        <w:t>vand til injektionsvæsker</w:t>
      </w:r>
    </w:p>
    <w:p w14:paraId="0E973C8A" w14:textId="77777777" w:rsidR="00CD1A11" w:rsidRPr="002E4320" w:rsidRDefault="00CD1A11" w:rsidP="000D4AC3">
      <w:pPr>
        <w:numPr>
          <w:ilvl w:val="0"/>
          <w:numId w:val="8"/>
        </w:numPr>
        <w:tabs>
          <w:tab w:val="left" w:pos="851"/>
        </w:tabs>
        <w:ind w:left="1276" w:hanging="425"/>
        <w:rPr>
          <w:sz w:val="24"/>
          <w:szCs w:val="24"/>
        </w:rPr>
      </w:pPr>
      <w:proofErr w:type="spellStart"/>
      <w:r w:rsidRPr="002E4320">
        <w:rPr>
          <w:sz w:val="24"/>
          <w:szCs w:val="24"/>
        </w:rPr>
        <w:t>natriumchlorid</w:t>
      </w:r>
      <w:proofErr w:type="spellEnd"/>
      <w:r w:rsidRPr="002E4320">
        <w:rPr>
          <w:sz w:val="24"/>
          <w:szCs w:val="24"/>
        </w:rPr>
        <w:t xml:space="preserve"> 9 mg/ml (0,9 %) opløsning til injektionsvæsker</w:t>
      </w:r>
    </w:p>
    <w:p w14:paraId="5AFA3088" w14:textId="77777777" w:rsidR="00CD1A11" w:rsidRPr="002E4320" w:rsidRDefault="00CD1A11" w:rsidP="000D4AC3">
      <w:pPr>
        <w:numPr>
          <w:ilvl w:val="0"/>
          <w:numId w:val="8"/>
        </w:numPr>
        <w:tabs>
          <w:tab w:val="left" w:pos="851"/>
        </w:tabs>
        <w:ind w:left="1276" w:hanging="425"/>
        <w:rPr>
          <w:sz w:val="24"/>
          <w:szCs w:val="24"/>
        </w:rPr>
      </w:pPr>
      <w:proofErr w:type="spellStart"/>
      <w:r w:rsidRPr="002E4320">
        <w:rPr>
          <w:sz w:val="24"/>
          <w:szCs w:val="24"/>
        </w:rPr>
        <w:t>glucose</w:t>
      </w:r>
      <w:proofErr w:type="spellEnd"/>
      <w:r w:rsidRPr="002E4320">
        <w:rPr>
          <w:sz w:val="24"/>
          <w:szCs w:val="24"/>
        </w:rPr>
        <w:t xml:space="preserve"> 5 % opløsning til injektionsvæsker. </w:t>
      </w:r>
    </w:p>
    <w:p w14:paraId="4B24A64D" w14:textId="41A4CB47" w:rsidR="00CD1A11" w:rsidRPr="002E4320" w:rsidRDefault="00CD1A11" w:rsidP="00CD1A11">
      <w:pPr>
        <w:tabs>
          <w:tab w:val="left" w:pos="851"/>
        </w:tabs>
        <w:ind w:left="851"/>
        <w:rPr>
          <w:sz w:val="24"/>
          <w:szCs w:val="24"/>
        </w:rPr>
      </w:pPr>
    </w:p>
    <w:p w14:paraId="580CAA18" w14:textId="77777777" w:rsidR="00CD1A11" w:rsidRPr="002E4320" w:rsidRDefault="00CD1A11" w:rsidP="00CD1A11">
      <w:pPr>
        <w:tabs>
          <w:tab w:val="left" w:pos="851"/>
        </w:tabs>
        <w:ind w:left="851"/>
        <w:rPr>
          <w:sz w:val="24"/>
          <w:szCs w:val="24"/>
        </w:rPr>
      </w:pPr>
      <w:r w:rsidRPr="002E4320">
        <w:rPr>
          <w:sz w:val="24"/>
          <w:szCs w:val="24"/>
        </w:rPr>
        <w:t>Ikke anvendt lægemiddel samt affald heraf skal bortskaffes i henhold til lokale retningslinjer.</w:t>
      </w:r>
    </w:p>
    <w:p w14:paraId="1FAF2A3F" w14:textId="77777777" w:rsidR="009260DE" w:rsidRPr="002E4320" w:rsidRDefault="009260DE" w:rsidP="000730CA">
      <w:pPr>
        <w:tabs>
          <w:tab w:val="left" w:pos="851"/>
        </w:tabs>
        <w:ind w:left="851"/>
        <w:rPr>
          <w:sz w:val="24"/>
          <w:szCs w:val="24"/>
        </w:rPr>
      </w:pPr>
    </w:p>
    <w:p w14:paraId="1DF47BDF" w14:textId="77777777" w:rsidR="009260DE" w:rsidRPr="002E4320" w:rsidRDefault="009260DE" w:rsidP="009260DE">
      <w:pPr>
        <w:tabs>
          <w:tab w:val="left" w:pos="851"/>
        </w:tabs>
        <w:ind w:left="851" w:hanging="851"/>
        <w:rPr>
          <w:b/>
          <w:sz w:val="24"/>
          <w:szCs w:val="24"/>
        </w:rPr>
      </w:pPr>
      <w:r w:rsidRPr="002E4320">
        <w:rPr>
          <w:b/>
          <w:sz w:val="24"/>
          <w:szCs w:val="24"/>
        </w:rPr>
        <w:t>7.</w:t>
      </w:r>
      <w:r w:rsidRPr="002E4320">
        <w:rPr>
          <w:b/>
          <w:sz w:val="24"/>
          <w:szCs w:val="24"/>
        </w:rPr>
        <w:tab/>
        <w:t>INDEHAVER AF MARKEDSFØRINGSTILLADELSEN</w:t>
      </w:r>
    </w:p>
    <w:p w14:paraId="2BC3CAA4" w14:textId="77777777" w:rsidR="00CD1A11" w:rsidRPr="002E4320" w:rsidRDefault="00CD1A11" w:rsidP="00CD1A11">
      <w:pPr>
        <w:tabs>
          <w:tab w:val="left" w:pos="851"/>
        </w:tabs>
        <w:ind w:left="851"/>
        <w:rPr>
          <w:sz w:val="24"/>
          <w:szCs w:val="24"/>
          <w:lang w:eastAsia="da-DK" w:bidi="nn-NO"/>
        </w:rPr>
      </w:pPr>
      <w:r w:rsidRPr="002E4320">
        <w:rPr>
          <w:sz w:val="24"/>
          <w:szCs w:val="24"/>
          <w:lang w:bidi="nn-NO"/>
        </w:rPr>
        <w:t>Vital Pharma Nordic ApS</w:t>
      </w:r>
    </w:p>
    <w:p w14:paraId="1141C082" w14:textId="77777777" w:rsidR="00CD1A11" w:rsidRPr="002E4320" w:rsidRDefault="00CD1A11" w:rsidP="00CD1A11">
      <w:pPr>
        <w:tabs>
          <w:tab w:val="left" w:pos="851"/>
        </w:tabs>
        <w:ind w:left="851"/>
        <w:rPr>
          <w:sz w:val="24"/>
          <w:szCs w:val="24"/>
          <w:lang w:bidi="nn-NO"/>
        </w:rPr>
      </w:pPr>
      <w:r w:rsidRPr="002E4320">
        <w:rPr>
          <w:sz w:val="24"/>
          <w:szCs w:val="24"/>
          <w:lang w:bidi="nn-NO"/>
        </w:rPr>
        <w:t>Frederiksgade 11, st. th.</w:t>
      </w:r>
    </w:p>
    <w:p w14:paraId="1F11C3D0" w14:textId="4E25F99F" w:rsidR="00917E75" w:rsidRDefault="00CD1A11" w:rsidP="00F7656B">
      <w:pPr>
        <w:tabs>
          <w:tab w:val="left" w:pos="851"/>
        </w:tabs>
        <w:ind w:left="851"/>
        <w:rPr>
          <w:sz w:val="24"/>
          <w:szCs w:val="24"/>
        </w:rPr>
      </w:pPr>
      <w:r w:rsidRPr="002E4320">
        <w:rPr>
          <w:sz w:val="24"/>
          <w:szCs w:val="24"/>
          <w:lang w:bidi="nn-NO"/>
        </w:rPr>
        <w:t>1265 København K</w:t>
      </w:r>
    </w:p>
    <w:p w14:paraId="01516042" w14:textId="77777777" w:rsidR="009260DE" w:rsidRPr="002E4320" w:rsidRDefault="009260DE" w:rsidP="009260DE">
      <w:pPr>
        <w:tabs>
          <w:tab w:val="left" w:pos="851"/>
        </w:tabs>
        <w:ind w:left="851"/>
        <w:rPr>
          <w:sz w:val="24"/>
          <w:szCs w:val="24"/>
        </w:rPr>
      </w:pPr>
    </w:p>
    <w:p w14:paraId="65B5BC33" w14:textId="77777777" w:rsidR="00111F9A" w:rsidRPr="00C84483" w:rsidRDefault="00111F9A" w:rsidP="00111F9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7F00ECC5" w14:textId="1B653151" w:rsidR="009260DE" w:rsidRPr="002E4320" w:rsidRDefault="00CD1A11" w:rsidP="009260DE">
      <w:pPr>
        <w:tabs>
          <w:tab w:val="left" w:pos="851"/>
        </w:tabs>
        <w:ind w:left="851"/>
        <w:rPr>
          <w:sz w:val="24"/>
          <w:szCs w:val="24"/>
        </w:rPr>
      </w:pPr>
      <w:r w:rsidRPr="002E4320">
        <w:rPr>
          <w:sz w:val="24"/>
          <w:szCs w:val="24"/>
        </w:rPr>
        <w:t>65453</w:t>
      </w:r>
    </w:p>
    <w:p w14:paraId="61884D88" w14:textId="77777777" w:rsidR="009260DE" w:rsidRPr="002E4320" w:rsidRDefault="009260DE" w:rsidP="009260DE">
      <w:pPr>
        <w:tabs>
          <w:tab w:val="left" w:pos="851"/>
        </w:tabs>
        <w:ind w:left="851"/>
        <w:jc w:val="both"/>
        <w:rPr>
          <w:sz w:val="24"/>
          <w:szCs w:val="24"/>
        </w:rPr>
      </w:pPr>
    </w:p>
    <w:p w14:paraId="45133FEF" w14:textId="77777777" w:rsidR="009260DE" w:rsidRPr="002E4320" w:rsidRDefault="009260DE" w:rsidP="009260DE">
      <w:pPr>
        <w:tabs>
          <w:tab w:val="left" w:pos="851"/>
        </w:tabs>
        <w:ind w:left="851" w:hanging="851"/>
        <w:rPr>
          <w:b/>
          <w:sz w:val="24"/>
          <w:szCs w:val="24"/>
        </w:rPr>
      </w:pPr>
      <w:r w:rsidRPr="002E4320">
        <w:rPr>
          <w:b/>
          <w:sz w:val="24"/>
          <w:szCs w:val="24"/>
        </w:rPr>
        <w:t>9.</w:t>
      </w:r>
      <w:r w:rsidRPr="002E4320">
        <w:rPr>
          <w:b/>
          <w:sz w:val="24"/>
          <w:szCs w:val="24"/>
        </w:rPr>
        <w:tab/>
        <w:t>DATO FOR FØRSTE MARKEDSFØRINGSTILLADELSE</w:t>
      </w:r>
    </w:p>
    <w:p w14:paraId="0E889263" w14:textId="0E826A08" w:rsidR="009260DE" w:rsidRPr="002E4320" w:rsidRDefault="00275EE2" w:rsidP="009260DE">
      <w:pPr>
        <w:tabs>
          <w:tab w:val="left" w:pos="851"/>
        </w:tabs>
        <w:ind w:left="851"/>
        <w:rPr>
          <w:sz w:val="24"/>
          <w:szCs w:val="24"/>
        </w:rPr>
      </w:pPr>
      <w:r>
        <w:rPr>
          <w:sz w:val="24"/>
          <w:szCs w:val="24"/>
        </w:rPr>
        <w:t>23. marts 2022</w:t>
      </w:r>
    </w:p>
    <w:p w14:paraId="28649C49" w14:textId="77777777" w:rsidR="009260DE" w:rsidRPr="002E4320" w:rsidRDefault="009260DE" w:rsidP="009260DE">
      <w:pPr>
        <w:tabs>
          <w:tab w:val="left" w:pos="851"/>
        </w:tabs>
        <w:ind w:left="851"/>
        <w:rPr>
          <w:sz w:val="24"/>
          <w:szCs w:val="24"/>
        </w:rPr>
      </w:pPr>
    </w:p>
    <w:p w14:paraId="36CC5877" w14:textId="77777777" w:rsidR="009260DE" w:rsidRPr="002E4320" w:rsidRDefault="009260DE" w:rsidP="009260DE">
      <w:pPr>
        <w:tabs>
          <w:tab w:val="left" w:pos="851"/>
        </w:tabs>
        <w:ind w:left="851" w:hanging="851"/>
        <w:rPr>
          <w:b/>
          <w:sz w:val="24"/>
          <w:szCs w:val="24"/>
        </w:rPr>
      </w:pPr>
      <w:r w:rsidRPr="002E4320">
        <w:rPr>
          <w:b/>
          <w:sz w:val="24"/>
          <w:szCs w:val="24"/>
        </w:rPr>
        <w:t>10.</w:t>
      </w:r>
      <w:r w:rsidRPr="002E4320">
        <w:rPr>
          <w:b/>
          <w:sz w:val="24"/>
          <w:szCs w:val="24"/>
        </w:rPr>
        <w:tab/>
        <w:t>DATO FOR ÆNDRING AF TEKSTEN</w:t>
      </w:r>
    </w:p>
    <w:p w14:paraId="586A8CB2" w14:textId="486BBD73" w:rsidR="009260DE" w:rsidRPr="002E4320" w:rsidRDefault="00197815" w:rsidP="009260DE">
      <w:pPr>
        <w:tabs>
          <w:tab w:val="left" w:pos="851"/>
        </w:tabs>
        <w:ind w:left="851"/>
        <w:rPr>
          <w:sz w:val="24"/>
          <w:szCs w:val="24"/>
        </w:rPr>
      </w:pPr>
      <w:r>
        <w:rPr>
          <w:sz w:val="24"/>
          <w:szCs w:val="24"/>
        </w:rPr>
        <w:t>31. marts 2025</w:t>
      </w:r>
    </w:p>
    <w:sectPr w:rsidR="009260DE" w:rsidRPr="002E432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1DD90" w14:textId="77777777" w:rsidR="00A7137B" w:rsidRDefault="00A7137B">
      <w:r>
        <w:separator/>
      </w:r>
    </w:p>
  </w:endnote>
  <w:endnote w:type="continuationSeparator" w:id="0">
    <w:p w14:paraId="66F31163" w14:textId="77777777" w:rsidR="00A7137B" w:rsidRDefault="00A7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1C0D" w14:textId="77777777" w:rsidR="000259B9" w:rsidRDefault="000259B9">
    <w:pPr>
      <w:pStyle w:val="Sidefod"/>
      <w:pBdr>
        <w:bottom w:val="single" w:sz="6" w:space="1" w:color="auto"/>
      </w:pBdr>
    </w:pPr>
  </w:p>
  <w:p w14:paraId="4A1FD32C" w14:textId="77777777" w:rsidR="000259B9" w:rsidRDefault="000259B9" w:rsidP="00C42586">
    <w:pPr>
      <w:pStyle w:val="Sidefod"/>
      <w:tabs>
        <w:tab w:val="clear" w:pos="4819"/>
        <w:tab w:val="left" w:pos="8505"/>
      </w:tabs>
      <w:rPr>
        <w:i/>
        <w:sz w:val="18"/>
        <w:szCs w:val="18"/>
      </w:rPr>
    </w:pPr>
  </w:p>
  <w:p w14:paraId="41F51E85" w14:textId="09BAEC3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17E75">
      <w:rPr>
        <w:i/>
        <w:noProof/>
        <w:sz w:val="18"/>
        <w:szCs w:val="18"/>
      </w:rPr>
      <w:t>Cloxacillin Vital Pharma Nordic, pulver til injektions--infusionsvæske, opløsning 2 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0DE9" w14:textId="77777777" w:rsidR="00A7137B" w:rsidRDefault="00A7137B">
      <w:r>
        <w:separator/>
      </w:r>
    </w:p>
  </w:footnote>
  <w:footnote w:type="continuationSeparator" w:id="0">
    <w:p w14:paraId="070D8510" w14:textId="77777777" w:rsidR="00A7137B" w:rsidRDefault="00A71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D775C8F"/>
    <w:multiLevelType w:val="hybridMultilevel"/>
    <w:tmpl w:val="3E26B6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4B0166"/>
    <w:multiLevelType w:val="hybridMultilevel"/>
    <w:tmpl w:val="A8764916"/>
    <w:lvl w:ilvl="0" w:tplc="1F3CBDD4">
      <w:start w:val="1"/>
      <w:numFmt w:val="bullet"/>
      <w:lvlText w:val="-"/>
      <w:lvlJc w:val="left"/>
      <w:pPr>
        <w:ind w:left="1571" w:hanging="360"/>
      </w:pPr>
      <w:rPr>
        <w:rFonts w:ascii="Times New Roman" w:hAnsi="Times New Roman" w:cs="Times New Roman" w:hint="default"/>
      </w:rPr>
    </w:lvl>
    <w:lvl w:ilvl="1" w:tplc="041A0003">
      <w:start w:val="1"/>
      <w:numFmt w:val="bullet"/>
      <w:lvlText w:val="o"/>
      <w:lvlJc w:val="left"/>
      <w:pPr>
        <w:ind w:left="2291" w:hanging="360"/>
      </w:pPr>
      <w:rPr>
        <w:rFonts w:ascii="Courier New" w:hAnsi="Courier New" w:cs="Courier New" w:hint="default"/>
      </w:rPr>
    </w:lvl>
    <w:lvl w:ilvl="2" w:tplc="041A0005">
      <w:start w:val="1"/>
      <w:numFmt w:val="bullet"/>
      <w:lvlText w:val=""/>
      <w:lvlJc w:val="left"/>
      <w:pPr>
        <w:ind w:left="3011" w:hanging="360"/>
      </w:pPr>
      <w:rPr>
        <w:rFonts w:ascii="Wingdings" w:hAnsi="Wingdings" w:hint="default"/>
      </w:rPr>
    </w:lvl>
    <w:lvl w:ilvl="3" w:tplc="041A0001">
      <w:start w:val="1"/>
      <w:numFmt w:val="bullet"/>
      <w:lvlText w:val=""/>
      <w:lvlJc w:val="left"/>
      <w:pPr>
        <w:ind w:left="3731" w:hanging="360"/>
      </w:pPr>
      <w:rPr>
        <w:rFonts w:ascii="Symbol" w:hAnsi="Symbol" w:hint="default"/>
      </w:rPr>
    </w:lvl>
    <w:lvl w:ilvl="4" w:tplc="041A0003">
      <w:start w:val="1"/>
      <w:numFmt w:val="bullet"/>
      <w:lvlText w:val="o"/>
      <w:lvlJc w:val="left"/>
      <w:pPr>
        <w:ind w:left="4451" w:hanging="360"/>
      </w:pPr>
      <w:rPr>
        <w:rFonts w:ascii="Courier New" w:hAnsi="Courier New" w:cs="Courier New" w:hint="default"/>
      </w:rPr>
    </w:lvl>
    <w:lvl w:ilvl="5" w:tplc="041A0005">
      <w:start w:val="1"/>
      <w:numFmt w:val="bullet"/>
      <w:lvlText w:val=""/>
      <w:lvlJc w:val="left"/>
      <w:pPr>
        <w:ind w:left="5171" w:hanging="360"/>
      </w:pPr>
      <w:rPr>
        <w:rFonts w:ascii="Wingdings" w:hAnsi="Wingdings" w:hint="default"/>
      </w:rPr>
    </w:lvl>
    <w:lvl w:ilvl="6" w:tplc="041A0001">
      <w:start w:val="1"/>
      <w:numFmt w:val="bullet"/>
      <w:lvlText w:val=""/>
      <w:lvlJc w:val="left"/>
      <w:pPr>
        <w:ind w:left="5891" w:hanging="360"/>
      </w:pPr>
      <w:rPr>
        <w:rFonts w:ascii="Symbol" w:hAnsi="Symbol" w:hint="default"/>
      </w:rPr>
    </w:lvl>
    <w:lvl w:ilvl="7" w:tplc="041A0003">
      <w:start w:val="1"/>
      <w:numFmt w:val="bullet"/>
      <w:lvlText w:val="o"/>
      <w:lvlJc w:val="left"/>
      <w:pPr>
        <w:ind w:left="6611" w:hanging="360"/>
      </w:pPr>
      <w:rPr>
        <w:rFonts w:ascii="Courier New" w:hAnsi="Courier New" w:cs="Courier New" w:hint="default"/>
      </w:rPr>
    </w:lvl>
    <w:lvl w:ilvl="8" w:tplc="041A0005">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CFE01D3"/>
    <w:multiLevelType w:val="hybridMultilevel"/>
    <w:tmpl w:val="53987682"/>
    <w:lvl w:ilvl="0" w:tplc="0CEC3CD0">
      <w:start w:val="1"/>
      <w:numFmt w:val="decimal"/>
      <w:lvlText w:val="%1"/>
      <w:lvlJc w:val="left"/>
      <w:pPr>
        <w:ind w:left="720" w:hanging="360"/>
      </w:pPr>
      <w:rPr>
        <w:vertAlign w:val="superscrip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7B"/>
    <w:rsid w:val="000259B9"/>
    <w:rsid w:val="00041491"/>
    <w:rsid w:val="00050D16"/>
    <w:rsid w:val="000730CA"/>
    <w:rsid w:val="00074F2A"/>
    <w:rsid w:val="0007749E"/>
    <w:rsid w:val="000A1CA8"/>
    <w:rsid w:val="000A466B"/>
    <w:rsid w:val="000B058C"/>
    <w:rsid w:val="000B25D9"/>
    <w:rsid w:val="000D4AC3"/>
    <w:rsid w:val="000E4EE6"/>
    <w:rsid w:val="00111F9A"/>
    <w:rsid w:val="001454E2"/>
    <w:rsid w:val="00197017"/>
    <w:rsid w:val="00197815"/>
    <w:rsid w:val="00206CE8"/>
    <w:rsid w:val="0021526C"/>
    <w:rsid w:val="00275EE2"/>
    <w:rsid w:val="00283A2B"/>
    <w:rsid w:val="002B30AD"/>
    <w:rsid w:val="002C2C01"/>
    <w:rsid w:val="002E4320"/>
    <w:rsid w:val="002E53E6"/>
    <w:rsid w:val="00331762"/>
    <w:rsid w:val="003A29AE"/>
    <w:rsid w:val="003A32D7"/>
    <w:rsid w:val="003B4074"/>
    <w:rsid w:val="003C769A"/>
    <w:rsid w:val="003F1838"/>
    <w:rsid w:val="00437A74"/>
    <w:rsid w:val="00441374"/>
    <w:rsid w:val="0045746C"/>
    <w:rsid w:val="0049104B"/>
    <w:rsid w:val="004E3B12"/>
    <w:rsid w:val="004F7343"/>
    <w:rsid w:val="00532310"/>
    <w:rsid w:val="005647CB"/>
    <w:rsid w:val="00565F0F"/>
    <w:rsid w:val="00594A86"/>
    <w:rsid w:val="00596D86"/>
    <w:rsid w:val="005B4B8E"/>
    <w:rsid w:val="00630336"/>
    <w:rsid w:val="00637F5A"/>
    <w:rsid w:val="006560B1"/>
    <w:rsid w:val="00672124"/>
    <w:rsid w:val="006756DD"/>
    <w:rsid w:val="006A41F2"/>
    <w:rsid w:val="006F789B"/>
    <w:rsid w:val="0070652B"/>
    <w:rsid w:val="00737275"/>
    <w:rsid w:val="00740EEC"/>
    <w:rsid w:val="0078011A"/>
    <w:rsid w:val="00782AF4"/>
    <w:rsid w:val="00790EE7"/>
    <w:rsid w:val="00792BD3"/>
    <w:rsid w:val="007B6649"/>
    <w:rsid w:val="007C125B"/>
    <w:rsid w:val="007E3845"/>
    <w:rsid w:val="0082576E"/>
    <w:rsid w:val="008665FA"/>
    <w:rsid w:val="00907F75"/>
    <w:rsid w:val="00917E75"/>
    <w:rsid w:val="009260DE"/>
    <w:rsid w:val="0093258A"/>
    <w:rsid w:val="0095172E"/>
    <w:rsid w:val="009C7BA3"/>
    <w:rsid w:val="009D1F5A"/>
    <w:rsid w:val="00A10294"/>
    <w:rsid w:val="00A7137B"/>
    <w:rsid w:val="00B003BF"/>
    <w:rsid w:val="00B373D7"/>
    <w:rsid w:val="00C36276"/>
    <w:rsid w:val="00C42586"/>
    <w:rsid w:val="00C60CCD"/>
    <w:rsid w:val="00C84483"/>
    <w:rsid w:val="00C95551"/>
    <w:rsid w:val="00CB20D7"/>
    <w:rsid w:val="00CD1A11"/>
    <w:rsid w:val="00D020B0"/>
    <w:rsid w:val="00D11748"/>
    <w:rsid w:val="00D366CF"/>
    <w:rsid w:val="00D50DE9"/>
    <w:rsid w:val="00E108AA"/>
    <w:rsid w:val="00E305D1"/>
    <w:rsid w:val="00E3749A"/>
    <w:rsid w:val="00E7437F"/>
    <w:rsid w:val="00E865B8"/>
    <w:rsid w:val="00EA465D"/>
    <w:rsid w:val="00EC0B9B"/>
    <w:rsid w:val="00ED5E9F"/>
    <w:rsid w:val="00F46FD9"/>
    <w:rsid w:val="00F66D4F"/>
    <w:rsid w:val="00F7656B"/>
    <w:rsid w:val="00FB6D01"/>
    <w:rsid w:val="00FD79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D47F3"/>
  <w15:chartTrackingRefBased/>
  <w15:docId w15:val="{226C9749-B4A8-4BC1-8C4E-1DA1EB8C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FD79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6142998">
      <w:bodyDiv w:val="1"/>
      <w:marLeft w:val="0"/>
      <w:marRight w:val="0"/>
      <w:marTop w:val="0"/>
      <w:marBottom w:val="0"/>
      <w:divBdr>
        <w:top w:val="none" w:sz="0" w:space="0" w:color="auto"/>
        <w:left w:val="none" w:sz="0" w:space="0" w:color="auto"/>
        <w:bottom w:val="none" w:sz="0" w:space="0" w:color="auto"/>
        <w:right w:val="none" w:sz="0" w:space="0" w:color="auto"/>
      </w:divBdr>
    </w:div>
    <w:div w:id="209806561">
      <w:bodyDiv w:val="1"/>
      <w:marLeft w:val="0"/>
      <w:marRight w:val="0"/>
      <w:marTop w:val="0"/>
      <w:marBottom w:val="0"/>
      <w:divBdr>
        <w:top w:val="none" w:sz="0" w:space="0" w:color="auto"/>
        <w:left w:val="none" w:sz="0" w:space="0" w:color="auto"/>
        <w:bottom w:val="none" w:sz="0" w:space="0" w:color="auto"/>
        <w:right w:val="none" w:sz="0" w:space="0" w:color="auto"/>
      </w:divBdr>
    </w:div>
    <w:div w:id="281151116">
      <w:bodyDiv w:val="1"/>
      <w:marLeft w:val="0"/>
      <w:marRight w:val="0"/>
      <w:marTop w:val="0"/>
      <w:marBottom w:val="0"/>
      <w:divBdr>
        <w:top w:val="none" w:sz="0" w:space="0" w:color="auto"/>
        <w:left w:val="none" w:sz="0" w:space="0" w:color="auto"/>
        <w:bottom w:val="none" w:sz="0" w:space="0" w:color="auto"/>
        <w:right w:val="none" w:sz="0" w:space="0" w:color="auto"/>
      </w:divBdr>
    </w:div>
    <w:div w:id="323702952">
      <w:bodyDiv w:val="1"/>
      <w:marLeft w:val="0"/>
      <w:marRight w:val="0"/>
      <w:marTop w:val="0"/>
      <w:marBottom w:val="0"/>
      <w:divBdr>
        <w:top w:val="none" w:sz="0" w:space="0" w:color="auto"/>
        <w:left w:val="none" w:sz="0" w:space="0" w:color="auto"/>
        <w:bottom w:val="none" w:sz="0" w:space="0" w:color="auto"/>
        <w:right w:val="none" w:sz="0" w:space="0" w:color="auto"/>
      </w:divBdr>
    </w:div>
    <w:div w:id="327947205">
      <w:bodyDiv w:val="1"/>
      <w:marLeft w:val="0"/>
      <w:marRight w:val="0"/>
      <w:marTop w:val="0"/>
      <w:marBottom w:val="0"/>
      <w:divBdr>
        <w:top w:val="none" w:sz="0" w:space="0" w:color="auto"/>
        <w:left w:val="none" w:sz="0" w:space="0" w:color="auto"/>
        <w:bottom w:val="none" w:sz="0" w:space="0" w:color="auto"/>
        <w:right w:val="none" w:sz="0" w:space="0" w:color="auto"/>
      </w:divBdr>
    </w:div>
    <w:div w:id="343047878">
      <w:bodyDiv w:val="1"/>
      <w:marLeft w:val="0"/>
      <w:marRight w:val="0"/>
      <w:marTop w:val="0"/>
      <w:marBottom w:val="0"/>
      <w:divBdr>
        <w:top w:val="none" w:sz="0" w:space="0" w:color="auto"/>
        <w:left w:val="none" w:sz="0" w:space="0" w:color="auto"/>
        <w:bottom w:val="none" w:sz="0" w:space="0" w:color="auto"/>
        <w:right w:val="none" w:sz="0" w:space="0" w:color="auto"/>
      </w:divBdr>
    </w:div>
    <w:div w:id="412822060">
      <w:bodyDiv w:val="1"/>
      <w:marLeft w:val="0"/>
      <w:marRight w:val="0"/>
      <w:marTop w:val="0"/>
      <w:marBottom w:val="0"/>
      <w:divBdr>
        <w:top w:val="none" w:sz="0" w:space="0" w:color="auto"/>
        <w:left w:val="none" w:sz="0" w:space="0" w:color="auto"/>
        <w:bottom w:val="none" w:sz="0" w:space="0" w:color="auto"/>
        <w:right w:val="none" w:sz="0" w:space="0" w:color="auto"/>
      </w:divBdr>
    </w:div>
    <w:div w:id="643587539">
      <w:bodyDiv w:val="1"/>
      <w:marLeft w:val="0"/>
      <w:marRight w:val="0"/>
      <w:marTop w:val="0"/>
      <w:marBottom w:val="0"/>
      <w:divBdr>
        <w:top w:val="none" w:sz="0" w:space="0" w:color="auto"/>
        <w:left w:val="none" w:sz="0" w:space="0" w:color="auto"/>
        <w:bottom w:val="none" w:sz="0" w:space="0" w:color="auto"/>
        <w:right w:val="none" w:sz="0" w:space="0" w:color="auto"/>
      </w:divBdr>
    </w:div>
    <w:div w:id="680350089">
      <w:bodyDiv w:val="1"/>
      <w:marLeft w:val="0"/>
      <w:marRight w:val="0"/>
      <w:marTop w:val="0"/>
      <w:marBottom w:val="0"/>
      <w:divBdr>
        <w:top w:val="none" w:sz="0" w:space="0" w:color="auto"/>
        <w:left w:val="none" w:sz="0" w:space="0" w:color="auto"/>
        <w:bottom w:val="none" w:sz="0" w:space="0" w:color="auto"/>
        <w:right w:val="none" w:sz="0" w:space="0" w:color="auto"/>
      </w:divBdr>
    </w:div>
    <w:div w:id="758258857">
      <w:bodyDiv w:val="1"/>
      <w:marLeft w:val="0"/>
      <w:marRight w:val="0"/>
      <w:marTop w:val="0"/>
      <w:marBottom w:val="0"/>
      <w:divBdr>
        <w:top w:val="none" w:sz="0" w:space="0" w:color="auto"/>
        <w:left w:val="none" w:sz="0" w:space="0" w:color="auto"/>
        <w:bottom w:val="none" w:sz="0" w:space="0" w:color="auto"/>
        <w:right w:val="none" w:sz="0" w:space="0" w:color="auto"/>
      </w:divBdr>
    </w:div>
    <w:div w:id="850532813">
      <w:bodyDiv w:val="1"/>
      <w:marLeft w:val="0"/>
      <w:marRight w:val="0"/>
      <w:marTop w:val="0"/>
      <w:marBottom w:val="0"/>
      <w:divBdr>
        <w:top w:val="none" w:sz="0" w:space="0" w:color="auto"/>
        <w:left w:val="none" w:sz="0" w:space="0" w:color="auto"/>
        <w:bottom w:val="none" w:sz="0" w:space="0" w:color="auto"/>
        <w:right w:val="none" w:sz="0" w:space="0" w:color="auto"/>
      </w:divBdr>
    </w:div>
    <w:div w:id="936211031">
      <w:bodyDiv w:val="1"/>
      <w:marLeft w:val="0"/>
      <w:marRight w:val="0"/>
      <w:marTop w:val="0"/>
      <w:marBottom w:val="0"/>
      <w:divBdr>
        <w:top w:val="none" w:sz="0" w:space="0" w:color="auto"/>
        <w:left w:val="none" w:sz="0" w:space="0" w:color="auto"/>
        <w:bottom w:val="none" w:sz="0" w:space="0" w:color="auto"/>
        <w:right w:val="none" w:sz="0" w:space="0" w:color="auto"/>
      </w:divBdr>
    </w:div>
    <w:div w:id="975257262">
      <w:bodyDiv w:val="1"/>
      <w:marLeft w:val="0"/>
      <w:marRight w:val="0"/>
      <w:marTop w:val="0"/>
      <w:marBottom w:val="0"/>
      <w:divBdr>
        <w:top w:val="none" w:sz="0" w:space="0" w:color="auto"/>
        <w:left w:val="none" w:sz="0" w:space="0" w:color="auto"/>
        <w:bottom w:val="none" w:sz="0" w:space="0" w:color="auto"/>
        <w:right w:val="none" w:sz="0" w:space="0" w:color="auto"/>
      </w:divBdr>
    </w:div>
    <w:div w:id="998996460">
      <w:bodyDiv w:val="1"/>
      <w:marLeft w:val="0"/>
      <w:marRight w:val="0"/>
      <w:marTop w:val="0"/>
      <w:marBottom w:val="0"/>
      <w:divBdr>
        <w:top w:val="none" w:sz="0" w:space="0" w:color="auto"/>
        <w:left w:val="none" w:sz="0" w:space="0" w:color="auto"/>
        <w:bottom w:val="none" w:sz="0" w:space="0" w:color="auto"/>
        <w:right w:val="none" w:sz="0" w:space="0" w:color="auto"/>
      </w:divBdr>
    </w:div>
    <w:div w:id="1126971693">
      <w:bodyDiv w:val="1"/>
      <w:marLeft w:val="0"/>
      <w:marRight w:val="0"/>
      <w:marTop w:val="0"/>
      <w:marBottom w:val="0"/>
      <w:divBdr>
        <w:top w:val="none" w:sz="0" w:space="0" w:color="auto"/>
        <w:left w:val="none" w:sz="0" w:space="0" w:color="auto"/>
        <w:bottom w:val="none" w:sz="0" w:space="0" w:color="auto"/>
        <w:right w:val="none" w:sz="0" w:space="0" w:color="auto"/>
      </w:divBdr>
    </w:div>
    <w:div w:id="1341540228">
      <w:bodyDiv w:val="1"/>
      <w:marLeft w:val="0"/>
      <w:marRight w:val="0"/>
      <w:marTop w:val="0"/>
      <w:marBottom w:val="0"/>
      <w:divBdr>
        <w:top w:val="none" w:sz="0" w:space="0" w:color="auto"/>
        <w:left w:val="none" w:sz="0" w:space="0" w:color="auto"/>
        <w:bottom w:val="none" w:sz="0" w:space="0" w:color="auto"/>
        <w:right w:val="none" w:sz="0" w:space="0" w:color="auto"/>
      </w:divBdr>
    </w:div>
    <w:div w:id="1529177283">
      <w:bodyDiv w:val="1"/>
      <w:marLeft w:val="0"/>
      <w:marRight w:val="0"/>
      <w:marTop w:val="0"/>
      <w:marBottom w:val="0"/>
      <w:divBdr>
        <w:top w:val="none" w:sz="0" w:space="0" w:color="auto"/>
        <w:left w:val="none" w:sz="0" w:space="0" w:color="auto"/>
        <w:bottom w:val="none" w:sz="0" w:space="0" w:color="auto"/>
        <w:right w:val="none" w:sz="0" w:space="0" w:color="auto"/>
      </w:divBdr>
    </w:div>
    <w:div w:id="1601065719">
      <w:bodyDiv w:val="1"/>
      <w:marLeft w:val="0"/>
      <w:marRight w:val="0"/>
      <w:marTop w:val="0"/>
      <w:marBottom w:val="0"/>
      <w:divBdr>
        <w:top w:val="none" w:sz="0" w:space="0" w:color="auto"/>
        <w:left w:val="none" w:sz="0" w:space="0" w:color="auto"/>
        <w:bottom w:val="none" w:sz="0" w:space="0" w:color="auto"/>
        <w:right w:val="none" w:sz="0" w:space="0" w:color="auto"/>
      </w:divBdr>
    </w:div>
    <w:div w:id="1947342220">
      <w:bodyDiv w:val="1"/>
      <w:marLeft w:val="0"/>
      <w:marRight w:val="0"/>
      <w:marTop w:val="0"/>
      <w:marBottom w:val="0"/>
      <w:divBdr>
        <w:top w:val="none" w:sz="0" w:space="0" w:color="auto"/>
        <w:left w:val="none" w:sz="0" w:space="0" w:color="auto"/>
        <w:bottom w:val="none" w:sz="0" w:space="0" w:color="auto"/>
        <w:right w:val="none" w:sz="0" w:space="0" w:color="auto"/>
      </w:divBdr>
    </w:div>
    <w:div w:id="1989048959">
      <w:bodyDiv w:val="1"/>
      <w:marLeft w:val="0"/>
      <w:marRight w:val="0"/>
      <w:marTop w:val="0"/>
      <w:marBottom w:val="0"/>
      <w:divBdr>
        <w:top w:val="none" w:sz="0" w:space="0" w:color="auto"/>
        <w:left w:val="none" w:sz="0" w:space="0" w:color="auto"/>
        <w:bottom w:val="none" w:sz="0" w:space="0" w:color="auto"/>
        <w:right w:val="none" w:sz="0" w:space="0" w:color="auto"/>
      </w:divBdr>
      <w:divsChild>
        <w:div w:id="67263758">
          <w:marLeft w:val="0"/>
          <w:marRight w:val="0"/>
          <w:marTop w:val="0"/>
          <w:marBottom w:val="0"/>
          <w:divBdr>
            <w:top w:val="none" w:sz="0" w:space="0" w:color="auto"/>
            <w:left w:val="none" w:sz="0" w:space="0" w:color="auto"/>
            <w:bottom w:val="none" w:sz="0" w:space="0" w:color="auto"/>
            <w:right w:val="none" w:sz="0" w:space="0" w:color="auto"/>
          </w:divBdr>
          <w:divsChild>
            <w:div w:id="3049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975">
      <w:bodyDiv w:val="1"/>
      <w:marLeft w:val="0"/>
      <w:marRight w:val="0"/>
      <w:marTop w:val="0"/>
      <w:marBottom w:val="0"/>
      <w:divBdr>
        <w:top w:val="none" w:sz="0" w:space="0" w:color="auto"/>
        <w:left w:val="none" w:sz="0" w:space="0" w:color="auto"/>
        <w:bottom w:val="none" w:sz="0" w:space="0" w:color="auto"/>
        <w:right w:val="none" w:sz="0" w:space="0" w:color="auto"/>
      </w:divBdr>
    </w:div>
    <w:div w:id="2043482540">
      <w:bodyDiv w:val="1"/>
      <w:marLeft w:val="0"/>
      <w:marRight w:val="0"/>
      <w:marTop w:val="0"/>
      <w:marBottom w:val="0"/>
      <w:divBdr>
        <w:top w:val="none" w:sz="0" w:space="0" w:color="auto"/>
        <w:left w:val="none" w:sz="0" w:space="0" w:color="auto"/>
        <w:bottom w:val="none" w:sz="0" w:space="0" w:color="auto"/>
        <w:right w:val="none" w:sz="0" w:space="0" w:color="auto"/>
      </w:divBdr>
    </w:div>
    <w:div w:id="2059737945">
      <w:bodyDiv w:val="1"/>
      <w:marLeft w:val="0"/>
      <w:marRight w:val="0"/>
      <w:marTop w:val="0"/>
      <w:marBottom w:val="0"/>
      <w:divBdr>
        <w:top w:val="none" w:sz="0" w:space="0" w:color="auto"/>
        <w:left w:val="none" w:sz="0" w:space="0" w:color="auto"/>
        <w:bottom w:val="none" w:sz="0" w:space="0" w:color="auto"/>
        <w:right w:val="none" w:sz="0" w:space="0" w:color="auto"/>
      </w:divBdr>
    </w:div>
    <w:div w:id="2062704755">
      <w:bodyDiv w:val="1"/>
      <w:marLeft w:val="0"/>
      <w:marRight w:val="0"/>
      <w:marTop w:val="0"/>
      <w:marBottom w:val="0"/>
      <w:divBdr>
        <w:top w:val="none" w:sz="0" w:space="0" w:color="auto"/>
        <w:left w:val="none" w:sz="0" w:space="0" w:color="auto"/>
        <w:bottom w:val="none" w:sz="0" w:space="0" w:color="auto"/>
        <w:right w:val="none" w:sz="0" w:space="0" w:color="auto"/>
      </w:divBdr>
    </w:div>
    <w:div w:id="213282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2203</Words>
  <Characters>14658</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2024053083, var. 6, pkt. 4.5</dc:description>
  <cp:lastModifiedBy>Gitte Jørgensen</cp:lastModifiedBy>
  <cp:revision>4</cp:revision>
  <cp:lastPrinted>2012-08-22T08:53:00Z</cp:lastPrinted>
  <dcterms:created xsi:type="dcterms:W3CDTF">2025-03-31T12:34:00Z</dcterms:created>
  <dcterms:modified xsi:type="dcterms:W3CDTF">2025-03-31T12:41:00Z</dcterms:modified>
</cp:coreProperties>
</file>