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Pr="008F49E1" w:rsidRDefault="00053155" w:rsidP="00053155">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3155" w:rsidRPr="00736D31" w:rsidRDefault="00053155" w:rsidP="00053155">
      <w:pPr>
        <w:pStyle w:val="Titel"/>
        <w:tabs>
          <w:tab w:val="right" w:pos="9356"/>
        </w:tabs>
        <w:jc w:val="left"/>
        <w:rPr>
          <w:b w:val="0"/>
          <w:szCs w:val="24"/>
          <w:lang w:eastAsia="en-US"/>
        </w:rPr>
      </w:pPr>
      <w:r w:rsidRPr="00C84483">
        <w:rPr>
          <w:b w:val="0"/>
          <w:szCs w:val="24"/>
          <w:lang w:eastAsia="en-US"/>
        </w:rPr>
        <w:tab/>
      </w:r>
      <w:r w:rsidR="008E34BF">
        <w:rPr>
          <w:szCs w:val="24"/>
        </w:rPr>
        <w:t>21. november 2022</w:t>
      </w:r>
    </w:p>
    <w:p w:rsidR="00053155" w:rsidRPr="00736D31" w:rsidRDefault="00053155" w:rsidP="00053155">
      <w:pPr>
        <w:pStyle w:val="Titel"/>
        <w:jc w:val="left"/>
        <w:rPr>
          <w:b w:val="0"/>
          <w:szCs w:val="24"/>
        </w:rPr>
      </w:pPr>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736D31" w:rsidRDefault="008E34BF" w:rsidP="00053155">
      <w:pPr>
        <w:jc w:val="center"/>
        <w:rPr>
          <w:b/>
          <w:sz w:val="24"/>
          <w:szCs w:val="24"/>
        </w:rPr>
      </w:pPr>
      <w:proofErr w:type="spellStart"/>
      <w:r>
        <w:rPr>
          <w:b/>
          <w:sz w:val="24"/>
          <w:szCs w:val="24"/>
        </w:rPr>
        <w:t>Clozapin</w:t>
      </w:r>
      <w:proofErr w:type="spellEnd"/>
      <w:r>
        <w:rPr>
          <w:b/>
          <w:sz w:val="24"/>
          <w:szCs w:val="24"/>
        </w:rPr>
        <w:t xml:space="preserve"> </w:t>
      </w:r>
      <w:proofErr w:type="spellStart"/>
      <w:r>
        <w:rPr>
          <w:b/>
          <w:sz w:val="24"/>
          <w:szCs w:val="24"/>
        </w:rPr>
        <w:t>Accord</w:t>
      </w:r>
      <w:proofErr w:type="spellEnd"/>
      <w:r w:rsidR="00053155" w:rsidRPr="00736D31">
        <w:rPr>
          <w:b/>
          <w:sz w:val="24"/>
          <w:szCs w:val="24"/>
        </w:rPr>
        <w:t>, tabletter</w:t>
      </w:r>
      <w:r>
        <w:rPr>
          <w:b/>
          <w:sz w:val="24"/>
          <w:szCs w:val="24"/>
        </w:rPr>
        <w:t xml:space="preserve"> (</w:t>
      </w:r>
      <w:proofErr w:type="spellStart"/>
      <w:r>
        <w:rPr>
          <w:b/>
          <w:sz w:val="24"/>
          <w:szCs w:val="24"/>
        </w:rPr>
        <w:t>Orifarm</w:t>
      </w:r>
      <w:proofErr w:type="spellEnd"/>
      <w:r>
        <w:rPr>
          <w:b/>
          <w:sz w:val="24"/>
          <w:szCs w:val="24"/>
        </w:rPr>
        <w:t>)</w:t>
      </w:r>
    </w:p>
    <w:p w:rsidR="00053155" w:rsidRPr="00736D31" w:rsidRDefault="00053155" w:rsidP="00053155">
      <w:pPr>
        <w:jc w:val="both"/>
        <w:rPr>
          <w:sz w:val="24"/>
          <w:szCs w:val="24"/>
        </w:rPr>
      </w:pPr>
    </w:p>
    <w:p w:rsidR="00053155" w:rsidRPr="00736D31" w:rsidRDefault="00053155" w:rsidP="00053155">
      <w:pPr>
        <w:rPr>
          <w:sz w:val="22"/>
          <w:szCs w:val="22"/>
          <w:lang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8E34BF">
      <w:pPr>
        <w:tabs>
          <w:tab w:val="left" w:pos="851"/>
        </w:tabs>
        <w:ind w:left="851" w:hanging="851"/>
        <w:rPr>
          <w:sz w:val="24"/>
          <w:szCs w:val="24"/>
        </w:rPr>
      </w:pPr>
      <w:r w:rsidRPr="00C84483">
        <w:rPr>
          <w:b/>
          <w:sz w:val="24"/>
          <w:szCs w:val="24"/>
        </w:rPr>
        <w:t>0.</w:t>
      </w:r>
      <w:r w:rsidRPr="00C84483">
        <w:rPr>
          <w:b/>
          <w:sz w:val="24"/>
          <w:szCs w:val="24"/>
        </w:rPr>
        <w:tab/>
        <w:t>D.SP.NR.</w:t>
      </w:r>
      <w:r w:rsidR="00981543">
        <w:rPr>
          <w:b/>
          <w:sz w:val="24"/>
          <w:szCs w:val="24"/>
        </w:rPr>
        <w:br/>
      </w: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8E34BF">
      <w:pPr>
        <w:tabs>
          <w:tab w:val="left" w:pos="851"/>
        </w:tabs>
        <w:ind w:left="851" w:hanging="851"/>
        <w:rPr>
          <w:sz w:val="24"/>
          <w:szCs w:val="24"/>
        </w:rPr>
      </w:pPr>
      <w:r w:rsidRPr="00C84483">
        <w:rPr>
          <w:b/>
          <w:sz w:val="24"/>
          <w:szCs w:val="24"/>
        </w:rPr>
        <w:t>1.</w:t>
      </w:r>
      <w:r w:rsidRPr="00C84483">
        <w:rPr>
          <w:b/>
          <w:sz w:val="24"/>
          <w:szCs w:val="24"/>
        </w:rPr>
        <w:tab/>
        <w:t>LÆGEMIDLETS NAVN</w:t>
      </w:r>
      <w:r w:rsidR="00981543">
        <w:rPr>
          <w:b/>
          <w:sz w:val="24"/>
          <w:szCs w:val="24"/>
        </w:rPr>
        <w:br/>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sidR="00981543">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3155" w:rsidRPr="00D777B6" w:rsidRDefault="00053155" w:rsidP="00053155">
      <w:pPr>
        <w:tabs>
          <w:tab w:val="left" w:pos="851"/>
        </w:tabs>
        <w:ind w:left="851"/>
        <w:rPr>
          <w:sz w:val="24"/>
          <w:szCs w:val="24"/>
        </w:rPr>
      </w:pPr>
      <w:r w:rsidRPr="00D777B6">
        <w:rPr>
          <w:sz w:val="24"/>
          <w:szCs w:val="24"/>
        </w:rPr>
        <w:t xml:space="preserve">Hver tablet indeholder 25 mg </w:t>
      </w:r>
      <w:proofErr w:type="spellStart"/>
      <w:r w:rsidRPr="00D777B6">
        <w:rPr>
          <w:sz w:val="24"/>
          <w:szCs w:val="24"/>
        </w:rPr>
        <w:t>clozapin</w:t>
      </w:r>
      <w:proofErr w:type="spellEnd"/>
      <w:r w:rsidRPr="00D777B6">
        <w:rPr>
          <w:sz w:val="24"/>
          <w:szCs w:val="24"/>
        </w:rPr>
        <w:t>.</w:t>
      </w:r>
    </w:p>
    <w:p w:rsidR="00053155" w:rsidRDefault="00053155" w:rsidP="00053155">
      <w:pPr>
        <w:tabs>
          <w:tab w:val="left" w:pos="851"/>
        </w:tabs>
        <w:ind w:left="851"/>
        <w:rPr>
          <w:sz w:val="24"/>
          <w:szCs w:val="24"/>
        </w:rPr>
      </w:pPr>
    </w:p>
    <w:p w:rsidR="00053155" w:rsidRPr="00B14AB6" w:rsidRDefault="00053155" w:rsidP="00053155">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053155" w:rsidRPr="00D777B6" w:rsidRDefault="00053155" w:rsidP="00053155">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053155" w:rsidRPr="00D777B6" w:rsidRDefault="00053155" w:rsidP="00053155">
      <w:pPr>
        <w:tabs>
          <w:tab w:val="left" w:pos="851"/>
        </w:tabs>
        <w:ind w:left="851"/>
        <w:rPr>
          <w:sz w:val="24"/>
          <w:szCs w:val="24"/>
        </w:rPr>
      </w:pPr>
      <w:r w:rsidRPr="00D777B6">
        <w:rPr>
          <w:sz w:val="24"/>
          <w:szCs w:val="24"/>
        </w:rPr>
        <w:t xml:space="preserve">Hver tablet indeholder 46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Default="00053155" w:rsidP="008E34BF">
      <w:pPr>
        <w:tabs>
          <w:tab w:val="left" w:pos="851"/>
          <w:tab w:val="left" w:pos="3795"/>
        </w:tabs>
        <w:ind w:left="851" w:hanging="851"/>
        <w:rPr>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r>
        <w:rPr>
          <w:sz w:val="24"/>
          <w:szCs w:val="24"/>
        </w:rPr>
        <w:t>Tabletter</w:t>
      </w:r>
      <w:r w:rsidR="008E34BF">
        <w:rPr>
          <w:sz w:val="24"/>
          <w:szCs w:val="24"/>
        </w:rPr>
        <w:t xml:space="preserve"> (</w:t>
      </w:r>
      <w:proofErr w:type="spellStart"/>
      <w:r w:rsidR="008E34BF">
        <w:rPr>
          <w:sz w:val="24"/>
          <w:szCs w:val="24"/>
        </w:rPr>
        <w:t>Orifarm</w:t>
      </w:r>
      <w:proofErr w:type="spellEnd"/>
      <w:r w:rsidR="008E34BF">
        <w:rPr>
          <w:sz w:val="24"/>
          <w:szCs w:val="24"/>
        </w:rPr>
        <w:t>)</w:t>
      </w:r>
    </w:p>
    <w:p w:rsidR="00053155"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EE1028" w:rsidRDefault="00053155" w:rsidP="008E34BF">
      <w:pPr>
        <w:tabs>
          <w:tab w:val="left" w:pos="851"/>
        </w:tabs>
        <w:ind w:left="851" w:hanging="851"/>
        <w:rPr>
          <w:sz w:val="24"/>
          <w:szCs w:val="24"/>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u w:val="single"/>
        </w:rPr>
      </w:pPr>
      <w:bookmarkStart w:id="1"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1"/>
    </w:p>
    <w:p w:rsidR="00053155" w:rsidRPr="00C84483" w:rsidRDefault="00053155" w:rsidP="00053155">
      <w:pPr>
        <w:tabs>
          <w:tab w:val="left" w:pos="851"/>
        </w:tabs>
        <w:ind w:left="851"/>
        <w:rPr>
          <w:sz w:val="24"/>
          <w:szCs w:val="24"/>
        </w:rPr>
      </w:pPr>
    </w:p>
    <w:p w:rsidR="00053155" w:rsidRDefault="00053155" w:rsidP="008E34B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81543">
        <w:rPr>
          <w:b/>
          <w:sz w:val="24"/>
          <w:szCs w:val="24"/>
        </w:rPr>
        <w:t>administration</w:t>
      </w:r>
    </w:p>
    <w:p w:rsidR="008E34BF" w:rsidRPr="00EE1028" w:rsidRDefault="008E34BF" w:rsidP="008E34BF">
      <w:pPr>
        <w:tabs>
          <w:tab w:val="left" w:pos="851"/>
        </w:tabs>
        <w:ind w:left="851" w:hanging="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Default="00053155" w:rsidP="00981543">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Psykotiske forstyrrelser i forbindelse med Parkinsons sygdom, i tilfælde af behandlingssvigt ved standardregime</w:t>
      </w:r>
    </w:p>
    <w:p w:rsidR="00053155" w:rsidRDefault="00053155" w:rsidP="00053155">
      <w:pPr>
        <w:tabs>
          <w:tab w:val="left" w:pos="851"/>
        </w:tabs>
        <w:ind w:left="851"/>
        <w:rPr>
          <w:sz w:val="24"/>
          <w:szCs w:val="24"/>
          <w:u w:val="single"/>
        </w:rPr>
      </w:pPr>
    </w:p>
    <w:p w:rsidR="008E34BF" w:rsidRDefault="008E34BF" w:rsidP="00053155">
      <w:pPr>
        <w:tabs>
          <w:tab w:val="left" w:pos="851"/>
        </w:tabs>
        <w:ind w:left="851"/>
        <w:rPr>
          <w:sz w:val="24"/>
          <w:szCs w:val="24"/>
          <w:u w:val="single"/>
        </w:rPr>
      </w:pPr>
    </w:p>
    <w:p w:rsidR="008E34BF" w:rsidRPr="00EE1028" w:rsidRDefault="008E34BF"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Default="00053155" w:rsidP="008E34BF">
      <w:pPr>
        <w:tabs>
          <w:tab w:val="left" w:pos="851"/>
        </w:tabs>
        <w:ind w:left="851"/>
        <w:rPr>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8E34BF" w:rsidRPr="00EE1028" w:rsidRDefault="008E34BF" w:rsidP="008E34BF">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981543" w:rsidRDefault="00053155" w:rsidP="00053155">
      <w:pPr>
        <w:tabs>
          <w:tab w:val="left" w:pos="851"/>
        </w:tabs>
        <w:ind w:left="851"/>
        <w:rPr>
          <w:iCs/>
          <w:sz w:val="24"/>
          <w:szCs w:val="24"/>
          <w:u w:val="single"/>
          <w:lang w:val="en-US"/>
        </w:rPr>
      </w:pPr>
      <w:r w:rsidRPr="00981543">
        <w:rPr>
          <w:sz w:val="24"/>
          <w:szCs w:val="24"/>
          <w:u w:val="single"/>
          <w:lang w:val="en-US"/>
        </w:rPr>
        <w:t>Administration</w:t>
      </w:r>
    </w:p>
    <w:p w:rsidR="00053155" w:rsidRPr="000954CD" w:rsidRDefault="008E34BF" w:rsidP="00053155">
      <w:pPr>
        <w:tabs>
          <w:tab w:val="left" w:pos="851"/>
        </w:tabs>
        <w:ind w:left="851"/>
        <w:rPr>
          <w:sz w:val="24"/>
          <w:szCs w:val="24"/>
          <w:lang w:val="en-US"/>
        </w:rPr>
      </w:pPr>
      <w:proofErr w:type="spellStart"/>
      <w:r>
        <w:rPr>
          <w:sz w:val="24"/>
          <w:szCs w:val="24"/>
          <w:lang w:val="en-US"/>
        </w:rPr>
        <w:t>Clozapin</w:t>
      </w:r>
      <w:proofErr w:type="spellEnd"/>
      <w:r>
        <w:rPr>
          <w:sz w:val="24"/>
          <w:szCs w:val="24"/>
          <w:lang w:val="en-US"/>
        </w:rPr>
        <w:t xml:space="preserve"> Accord</w:t>
      </w:r>
      <w:r w:rsidR="00053155">
        <w:rPr>
          <w:sz w:val="24"/>
          <w:szCs w:val="24"/>
          <w:lang w:val="en-US"/>
        </w:rPr>
        <w:t xml:space="preserve"> </w:t>
      </w:r>
      <w:proofErr w:type="spellStart"/>
      <w:r w:rsidR="00053155" w:rsidRPr="000954CD">
        <w:rPr>
          <w:sz w:val="24"/>
          <w:szCs w:val="24"/>
          <w:lang w:val="en-US"/>
        </w:rPr>
        <w:t>administreres</w:t>
      </w:r>
      <w:proofErr w:type="spellEnd"/>
      <w:r w:rsidR="00053155" w:rsidRPr="000954CD">
        <w:rPr>
          <w:sz w:val="24"/>
          <w:szCs w:val="24"/>
          <w:lang w:val="en-US"/>
        </w:rPr>
        <w:t xml:space="preserve"> </w:t>
      </w:r>
      <w:proofErr w:type="spellStart"/>
      <w:r w:rsidR="00053155" w:rsidRPr="000954CD">
        <w:rPr>
          <w:sz w:val="24"/>
          <w:szCs w:val="24"/>
          <w:lang w:val="en-US"/>
        </w:rPr>
        <w:t>oralt</w:t>
      </w:r>
      <w:proofErr w:type="spellEnd"/>
      <w:r w:rsidR="00053155" w:rsidRPr="000954CD">
        <w:rPr>
          <w:sz w:val="24"/>
          <w:szCs w:val="24"/>
          <w:lang w:val="en-US"/>
        </w:rPr>
        <w:t>.</w:t>
      </w:r>
    </w:p>
    <w:p w:rsidR="00053155" w:rsidRPr="00EE1028" w:rsidRDefault="00053155" w:rsidP="00053155">
      <w:pPr>
        <w:tabs>
          <w:tab w:val="left" w:pos="851"/>
        </w:tabs>
        <w:ind w:left="851"/>
        <w:rPr>
          <w:sz w:val="24"/>
          <w:szCs w:val="24"/>
          <w:lang w:val="en-US"/>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Default="00053155" w:rsidP="008E34BF">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til en specialist til yderligere undersøgelser, som kan inkludere et EKG, og patienten bør kun behandles hvis de forventede fordele klart opvejer risikoen (se pkt. 4.3). Den ordinerende læge bør overveje at foretage et EKG før behandling.</w:t>
      </w:r>
    </w:p>
    <w:p w:rsidR="00053155" w:rsidRDefault="00053155" w:rsidP="00053155">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Lavt 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008E34BF">
        <w:rPr>
          <w:sz w:val="24"/>
          <w:szCs w:val="22"/>
        </w:rPr>
        <w:t>Clozapin</w:t>
      </w:r>
      <w:proofErr w:type="spellEnd"/>
      <w:r w:rsidR="008E34BF">
        <w:rPr>
          <w:sz w:val="24"/>
          <w:szCs w:val="22"/>
        </w:rPr>
        <w:t xml:space="preserve"> </w:t>
      </w:r>
      <w:proofErr w:type="spellStart"/>
      <w:r w:rsidR="008E34BF">
        <w:rPr>
          <w:sz w:val="24"/>
          <w:szCs w:val="22"/>
        </w:rPr>
        <w:t>Accord</w:t>
      </w:r>
      <w:proofErr w:type="spellEnd"/>
      <w:r w:rsidRPr="00A96AAF">
        <w:rPr>
          <w:sz w:val="24"/>
          <w:szCs w:val="22"/>
        </w:rPr>
        <w:t xml:space="preserve">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Default="00053155" w:rsidP="008E34BF">
      <w:pPr>
        <w:tabs>
          <w:tab w:val="left" w:pos="851"/>
        </w:tabs>
        <w:ind w:left="851"/>
        <w:rPr>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træthed, dyspnø, </w:t>
      </w:r>
      <w:proofErr w:type="spellStart"/>
      <w:r w:rsidRPr="00E138C9">
        <w:rPr>
          <w:sz w:val="24"/>
          <w:szCs w:val="24"/>
        </w:rPr>
        <w:t>takypnø</w:t>
      </w:r>
      <w:proofErr w:type="spellEnd"/>
      <w:r w:rsidRPr="00E138C9">
        <w:rPr>
          <w:sz w:val="24"/>
          <w:szCs w:val="24"/>
        </w:rPr>
        <w:t xml:space="preserve">) eller symptomer, der ligner myokardieinfarkt. Andre symptomer 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8E34BF" w:rsidRDefault="008E34BF" w:rsidP="00053155">
      <w:pPr>
        <w:tabs>
          <w:tab w:val="left" w:pos="851"/>
        </w:tabs>
        <w:ind w:left="851"/>
        <w:rPr>
          <w:sz w:val="24"/>
          <w:szCs w:val="24"/>
          <w:u w:val="single"/>
        </w:rPr>
      </w:pPr>
    </w:p>
    <w:p w:rsidR="008E34BF" w:rsidRDefault="008E34BF"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Pr="00E138C9" w:rsidRDefault="00053155"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w:t>
      </w:r>
      <w:proofErr w:type="gramStart"/>
      <w:r w:rsidRPr="00E138C9">
        <w:rPr>
          <w:sz w:val="24"/>
          <w:szCs w:val="24"/>
        </w:rPr>
        <w:t>pludselig ophør</w:t>
      </w:r>
      <w:proofErr w:type="gramEnd"/>
      <w:r w:rsidRPr="00E138C9">
        <w:rPr>
          <w:sz w:val="24"/>
          <w:szCs w:val="24"/>
        </w:rPr>
        <w:t xml:space="preserve">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proofErr w:type="gramStart"/>
      <w:r w:rsidRPr="00E138C9">
        <w:rPr>
          <w:sz w:val="24"/>
          <w:szCs w:val="24"/>
        </w:rPr>
        <w:t>tilstrækkelig</w:t>
      </w:r>
      <w:proofErr w:type="gramEnd"/>
      <w:r w:rsidRPr="00E138C9">
        <w:rPr>
          <w:sz w:val="24"/>
          <w:szCs w:val="24"/>
        </w:rPr>
        <w:t xml:space="preserve"> data til at give et sikkert estimat på den præcise størrelse på risikoen og baggrunden for den øgede risiko er ikke kendt.</w:t>
      </w:r>
    </w:p>
    <w:p w:rsidR="00053155" w:rsidRPr="00C84483" w:rsidRDefault="008E34BF" w:rsidP="008E34BF">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Accord</w:t>
      </w:r>
      <w:proofErr w:type="spellEnd"/>
      <w:r w:rsidR="00053155" w:rsidRPr="00E138C9">
        <w:rPr>
          <w:rFonts w:hint="cs"/>
          <w:sz w:val="24"/>
          <w:szCs w:val="24"/>
        </w:rPr>
        <w:t xml:space="preserve"> </w:t>
      </w:r>
      <w:r w:rsidR="00053155" w:rsidRPr="00E138C9">
        <w:rPr>
          <w:sz w:val="24"/>
          <w:szCs w:val="24"/>
        </w:rPr>
        <w:t>er ikke godkendt til behandling af demensrelaterede adfærdsforstyrrelser.</w:t>
      </w:r>
      <w:r w:rsidR="00130BE1">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sidR="008E34BF">
        <w:rPr>
          <w:sz w:val="24"/>
          <w:szCs w:val="24"/>
        </w:rPr>
        <w:t>Clozapin</w:t>
      </w:r>
      <w:proofErr w:type="spellEnd"/>
      <w:r w:rsidR="008E34BF">
        <w:rPr>
          <w:sz w:val="24"/>
          <w:szCs w:val="24"/>
        </w:rPr>
        <w:t xml:space="preserve"> </w:t>
      </w:r>
      <w:proofErr w:type="spellStart"/>
      <w:r w:rsidR="008E34BF">
        <w:rPr>
          <w:sz w:val="24"/>
          <w:szCs w:val="24"/>
        </w:rPr>
        <w:t>Accord</w:t>
      </w:r>
      <w:proofErr w:type="spellEnd"/>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w:t>
      </w:r>
      <w:proofErr w:type="gramStart"/>
      <w:r w:rsidRPr="00C35267">
        <w:rPr>
          <w:sz w:val="24"/>
          <w:szCs w:val="24"/>
        </w:rPr>
        <w:t>lægemiddel interaktioner</w:t>
      </w:r>
      <w:proofErr w:type="gramEnd"/>
      <w:r w:rsidRPr="00C35267">
        <w:rPr>
          <w:sz w:val="24"/>
          <w:szCs w:val="24"/>
        </w:rPr>
        <w:t xml:space="preserve">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2721"/>
        <w:gridCol w:w="2703"/>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Forstærket central virkning. Additiv </w:t>
            </w:r>
            <w:proofErr w:type="gramStart"/>
            <w:r w:rsidRPr="00C35267">
              <w:rPr>
                <w:sz w:val="24"/>
                <w:szCs w:val="24"/>
              </w:rPr>
              <w:t>CNS depression</w:t>
            </w:r>
            <w:proofErr w:type="gramEnd"/>
            <w:r w:rsidRPr="00C35267">
              <w:rPr>
                <w:sz w:val="24"/>
                <w:szCs w:val="24"/>
              </w:rPr>
              <w:t xml:space="preserve">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Virkninger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130BE1"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053155" w:rsidRPr="00C84483" w:rsidRDefault="00053155" w:rsidP="00130BE1">
      <w:pPr>
        <w:tabs>
          <w:tab w:val="left" w:pos="851"/>
        </w:tabs>
        <w:rPr>
          <w:b/>
          <w:sz w:val="24"/>
          <w:szCs w:val="24"/>
        </w:rPr>
      </w:pPr>
      <w:r w:rsidRPr="00C84483">
        <w:rPr>
          <w:b/>
          <w:sz w:val="24"/>
          <w:szCs w:val="24"/>
        </w:rPr>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Default="00053155" w:rsidP="008E34BF">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8E34BF" w:rsidRDefault="008E34BF" w:rsidP="00053155">
      <w:pPr>
        <w:pStyle w:val="Sidehoved"/>
        <w:tabs>
          <w:tab w:val="left" w:pos="851"/>
        </w:tabs>
        <w:ind w:left="851"/>
        <w:rPr>
          <w:szCs w:val="24"/>
          <w:u w:val="single"/>
        </w:rPr>
      </w:pPr>
    </w:p>
    <w:p w:rsidR="008E34BF" w:rsidRDefault="008E34BF"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r w:rsidR="0051487A">
        <w:rPr>
          <w:szCs w:val="24"/>
        </w:rPr>
        <w:br/>
      </w:r>
      <w:r w:rsidR="0051487A">
        <w:rPr>
          <w:szCs w:val="24"/>
        </w:rPr>
        <w:br/>
      </w:r>
      <w:r w:rsidRPr="008C1BCC">
        <w:rPr>
          <w:szCs w:val="24"/>
        </w:rPr>
        <w:t>Bivirkningerne er opdelt efter hyppighed og efter følgende konvention: Meget almindelig (</w:t>
      </w:r>
      <w:r w:rsidRPr="008C1BCC">
        <w:rPr>
          <w:rFonts w:hint="cs"/>
          <w:szCs w:val="24"/>
        </w:rPr>
        <w:t xml:space="preserve">≥ </w:t>
      </w:r>
      <w:r w:rsidRPr="008C1BCC">
        <w:rPr>
          <w:szCs w:val="24"/>
        </w:rPr>
        <w:t>1/10), almindelig (</w:t>
      </w:r>
      <w:r w:rsidRPr="008C1BCC">
        <w:rPr>
          <w:rFonts w:hint="cs"/>
          <w:szCs w:val="24"/>
        </w:rPr>
        <w:t xml:space="preserve">≥ </w:t>
      </w:r>
      <w:r w:rsidRPr="008C1BCC">
        <w:rPr>
          <w:szCs w:val="24"/>
        </w:rPr>
        <w:t>1/100 til &lt; 1/10), ikke almindelig (</w:t>
      </w:r>
      <w:r w:rsidRPr="008C1BCC">
        <w:rPr>
          <w:rFonts w:hint="cs"/>
          <w:szCs w:val="24"/>
        </w:rPr>
        <w:t xml:space="preserve">≥ </w:t>
      </w:r>
      <w:r w:rsidRPr="008C1BCC">
        <w:rPr>
          <w:szCs w:val="24"/>
        </w:rPr>
        <w:t>1/1.000 til &lt; 1/100), sjælden (</w:t>
      </w:r>
      <w:r w:rsidRPr="008C1BCC">
        <w:rPr>
          <w:rFonts w:hint="cs"/>
          <w:szCs w:val="24"/>
        </w:rPr>
        <w:t xml:space="preserve">≥ </w:t>
      </w:r>
      <w:r w:rsidRPr="008C1BCC">
        <w:rPr>
          <w:szCs w:val="24"/>
        </w:rPr>
        <w:t>1/10.000 til &lt; 1/1.000), meget sjælden (&lt; 1/10.000), ikke kendt (kan ikke estimeres ud fra forhåndenværende data).</w:t>
      </w: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0B7608">
            <w:pPr>
              <w:pStyle w:val="Sidehoved"/>
              <w:rPr>
                <w:bCs/>
                <w:i/>
                <w:iCs/>
                <w:sz w:val="22"/>
                <w:szCs w:val="22"/>
              </w:rPr>
            </w:pP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proofErr w:type="spellStart"/>
            <w:r>
              <w:rPr>
                <w:b/>
                <w:snapToGrid w:val="0"/>
                <w:color w:val="000000"/>
                <w:szCs w:val="22"/>
                <w:lang w:val="en-GB"/>
              </w:rPr>
              <w:t>Infektioner</w:t>
            </w:r>
            <w:proofErr w:type="spellEnd"/>
            <w:r>
              <w:rPr>
                <w:b/>
                <w:snapToGrid w:val="0"/>
                <w:color w:val="000000"/>
                <w:szCs w:val="22"/>
                <w:lang w:val="en-GB"/>
              </w:rPr>
              <w:t xml:space="preserve"> og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Sepsis*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0B7608">
            <w:pPr>
              <w:pStyle w:val="Sidehoved"/>
              <w:rPr>
                <w:sz w:val="22"/>
                <w:szCs w:val="22"/>
              </w:rPr>
            </w:pPr>
            <w:r w:rsidRPr="000B7608">
              <w:rPr>
                <w:b/>
                <w:sz w:val="22"/>
                <w:szCs w:val="22"/>
              </w:rPr>
              <w:t>Blod- og lymfesystem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Agranulocytose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Anæmi</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Immunsystemet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endokrine 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Metabolisme og ernæring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Vægtøgning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Psykiske forstyrrelser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Dysartri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Dysfemi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Agitation, rastløshed</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Nervesystemet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Døsighed/sedation, svimmelhed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Forvirring, delirium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0B7608">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Øjne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Sløret syn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Hjerte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Takykardi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EKG-forandringer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Vaskulære</w:t>
            </w:r>
            <w:proofErr w:type="spellEnd"/>
            <w:r w:rsidRPr="000B7608">
              <w:rPr>
                <w:b/>
                <w:sz w:val="22"/>
                <w:szCs w:val="22"/>
              </w:rPr>
              <w:t xml:space="preserve"> sygdomme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Tromboembolisme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Respiratorisk depression/respirationsstop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Mave-tarmkanalen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Kvalme, opkastning, anoreksi, mundtørhed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Dysfagi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Lever og galdeveje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Forhøjede leverenzymer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Fulminant levernekrose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Hud og subkutane 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Hudreaktioner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Pigmenteringsforstyrrelser*</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Knogler, led, muskler og bindevæv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Nyrer og urinveje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Urinretention, urininkontinens</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Neonatalt abstinenssyndrom (se pkt. 4.6)</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reproduktive system og mammae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Priapisme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Almene symptomer og reaktioner på administrationsstedet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Undersøgelser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Øget CPK</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51487A" w:rsidP="00053155">
      <w:pPr>
        <w:ind w:left="851"/>
        <w:rPr>
          <w:sz w:val="24"/>
          <w:szCs w:val="24"/>
          <w:lang w:eastAsia="da-DK"/>
        </w:rPr>
      </w:pPr>
      <w:r>
        <w:rPr>
          <w:sz w:val="24"/>
          <w:szCs w:val="24"/>
          <w:lang w:eastAsia="da-DK"/>
        </w:rPr>
        <w:br/>
      </w:r>
      <w:r w:rsidR="00053155">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Pr="00A24178" w:rsidRDefault="00053155"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053155" w:rsidRPr="00C84483" w:rsidRDefault="00005964" w:rsidP="00053155">
      <w:pPr>
        <w:tabs>
          <w:tab w:val="left" w:pos="851"/>
        </w:tabs>
        <w:ind w:left="851"/>
        <w:rPr>
          <w:sz w:val="24"/>
          <w:szCs w:val="24"/>
        </w:rPr>
      </w:pPr>
      <w:r>
        <w:rPr>
          <w:sz w:val="24"/>
          <w:szCs w:val="24"/>
        </w:rPr>
        <w:t>N</w:t>
      </w:r>
      <w:r w:rsidR="00053155">
        <w:rPr>
          <w:sz w:val="24"/>
          <w:szCs w:val="24"/>
        </w:rPr>
        <w:t>BS (kun til sygehuse og speciallæger i neurologi og psykiatri)</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53155" w:rsidRPr="00832BFE" w:rsidRDefault="00053155" w:rsidP="00053155">
      <w:pPr>
        <w:tabs>
          <w:tab w:val="left" w:pos="851"/>
        </w:tabs>
        <w:ind w:left="851"/>
        <w:rPr>
          <w:sz w:val="24"/>
          <w:szCs w:val="24"/>
        </w:rPr>
      </w:pP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r>
        <w:rPr>
          <w:sz w:val="24"/>
          <w:szCs w:val="24"/>
        </w:rPr>
        <w:t xml:space="preserve">. 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w:t>
      </w: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p>
    <w:p w:rsidR="00053155" w:rsidRPr="00CC5F23" w:rsidRDefault="00053155" w:rsidP="00053155">
      <w:pPr>
        <w:tabs>
          <w:tab w:val="left" w:pos="851"/>
        </w:tabs>
        <w:ind w:left="851"/>
        <w:rPr>
          <w:sz w:val="24"/>
          <w:szCs w:val="24"/>
          <w:u w:val="single"/>
        </w:rPr>
      </w:pPr>
      <w:r w:rsidRPr="00CC5F23">
        <w:rPr>
          <w:sz w:val="24"/>
          <w:szCs w:val="24"/>
          <w:u w:val="single"/>
        </w:rPr>
        <w:t>Fordeling</w:t>
      </w:r>
    </w:p>
    <w:p w:rsidR="00053155" w:rsidRPr="00CC5F23" w:rsidRDefault="00053155" w:rsidP="00053155">
      <w:pPr>
        <w:tabs>
          <w:tab w:val="left" w:pos="851"/>
        </w:tabs>
        <w:ind w:left="851"/>
        <w:rPr>
          <w:sz w:val="24"/>
          <w:szCs w:val="24"/>
        </w:rPr>
      </w:pPr>
      <w:r w:rsidRPr="00CC5F23">
        <w:rPr>
          <w:sz w:val="24"/>
          <w:szCs w:val="24"/>
        </w:rPr>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53155" w:rsidRPr="00925099" w:rsidRDefault="008E34BF" w:rsidP="00053155">
      <w:pPr>
        <w:tabs>
          <w:tab w:val="left" w:pos="851"/>
        </w:tabs>
        <w:ind w:left="851"/>
        <w:rPr>
          <w:sz w:val="24"/>
          <w:szCs w:val="24"/>
        </w:rPr>
      </w:pPr>
      <w:r>
        <w:rPr>
          <w:sz w:val="24"/>
          <w:szCs w:val="24"/>
        </w:rPr>
        <w:t>Blister.</w:t>
      </w:r>
    </w:p>
    <w:p w:rsidR="00053155" w:rsidRPr="00925099"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53155" w:rsidRPr="00CB1E6D" w:rsidRDefault="00053155" w:rsidP="00053155">
      <w:pPr>
        <w:tabs>
          <w:tab w:val="left" w:pos="851"/>
        </w:tabs>
        <w:ind w:left="851"/>
        <w:jc w:val="both"/>
        <w:rPr>
          <w:sz w:val="24"/>
          <w:szCs w:val="24"/>
        </w:rPr>
      </w:pPr>
      <w:r w:rsidRPr="00CB1E6D">
        <w:rPr>
          <w:sz w:val="24"/>
          <w:szCs w:val="24"/>
        </w:rPr>
        <w:t>Ingen særlige krav til bortskaffelse.</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E34BF" w:rsidRPr="00617FDB" w:rsidRDefault="008E34B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8E34BF" w:rsidRPr="00617FDB" w:rsidRDefault="008E34B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8E34BF" w:rsidRPr="00617FDB" w:rsidRDefault="008E34BF">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053155" w:rsidRPr="008E34BF" w:rsidRDefault="00053155" w:rsidP="00053155">
      <w:pPr>
        <w:tabs>
          <w:tab w:val="left" w:pos="851"/>
        </w:tabs>
        <w:ind w:left="851"/>
        <w:rPr>
          <w:sz w:val="24"/>
          <w:szCs w:val="24"/>
          <w:lang w:val="en-US"/>
        </w:rPr>
      </w:pPr>
      <w:r w:rsidRPr="008E34BF">
        <w:rPr>
          <w:sz w:val="24"/>
          <w:szCs w:val="24"/>
          <w:lang w:val="en-US"/>
        </w:rPr>
        <w:t xml:space="preserve"> </w:t>
      </w:r>
    </w:p>
    <w:p w:rsidR="00053155" w:rsidRPr="00C84483" w:rsidRDefault="00053155" w:rsidP="0005315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53155" w:rsidRDefault="008E34BF" w:rsidP="00053155">
      <w:pPr>
        <w:tabs>
          <w:tab w:val="left" w:pos="851"/>
        </w:tabs>
        <w:ind w:left="851"/>
        <w:jc w:val="both"/>
        <w:rPr>
          <w:sz w:val="24"/>
          <w:szCs w:val="24"/>
        </w:rPr>
      </w:pPr>
      <w:r w:rsidRPr="008E34BF">
        <w:rPr>
          <w:sz w:val="24"/>
          <w:szCs w:val="24"/>
        </w:rPr>
        <w:t>68371</w:t>
      </w:r>
    </w:p>
    <w:p w:rsidR="008E34BF" w:rsidRPr="00C84483" w:rsidRDefault="008E34BF"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8E34BF" w:rsidP="00053155">
      <w:pPr>
        <w:tabs>
          <w:tab w:val="left" w:pos="851"/>
        </w:tabs>
        <w:ind w:left="851"/>
        <w:rPr>
          <w:sz w:val="24"/>
          <w:szCs w:val="24"/>
        </w:rPr>
      </w:pPr>
      <w:r>
        <w:rPr>
          <w:sz w:val="24"/>
          <w:szCs w:val="24"/>
        </w:rPr>
        <w:t>21. november 2022</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8E34BF" w:rsidP="00981543">
      <w:pPr>
        <w:ind w:firstLine="851"/>
      </w:pPr>
      <w:r>
        <w:rPr>
          <w:sz w:val="24"/>
          <w:szCs w:val="24"/>
        </w:rPr>
        <w:t>-</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543" w:rsidRDefault="00981543">
      <w:r>
        <w:separator/>
      </w:r>
    </w:p>
  </w:endnote>
  <w:endnote w:type="continuationSeparator" w:id="0">
    <w:p w:rsidR="00981543" w:rsidRDefault="0098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43" w:rsidRDefault="00981543">
    <w:pPr>
      <w:pStyle w:val="Sidefod"/>
      <w:pBdr>
        <w:bottom w:val="single" w:sz="6" w:space="1" w:color="auto"/>
      </w:pBdr>
    </w:pPr>
  </w:p>
  <w:p w:rsidR="00981543" w:rsidRDefault="00981543" w:rsidP="00C42586">
    <w:pPr>
      <w:pStyle w:val="Sidefod"/>
      <w:tabs>
        <w:tab w:val="clear" w:pos="4819"/>
        <w:tab w:val="left" w:pos="8505"/>
      </w:tabs>
      <w:rPr>
        <w:i/>
        <w:sz w:val="18"/>
        <w:szCs w:val="18"/>
      </w:rPr>
    </w:pPr>
  </w:p>
  <w:p w:rsidR="00981543" w:rsidRPr="00B373D7" w:rsidRDefault="0098154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E34BF">
      <w:rPr>
        <w:i/>
        <w:noProof/>
        <w:sz w:val="18"/>
        <w:szCs w:val="18"/>
      </w:rPr>
      <w:t>Clozapin Accord (Orifarm),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543" w:rsidRDefault="00981543">
      <w:r>
        <w:separator/>
      </w:r>
    </w:p>
  </w:footnote>
  <w:footnote w:type="continuationSeparator" w:id="0">
    <w:p w:rsidR="00981543" w:rsidRDefault="0098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130BE1"/>
    <w:rsid w:val="001454E2"/>
    <w:rsid w:val="00206CE8"/>
    <w:rsid w:val="0021526C"/>
    <w:rsid w:val="00283A2B"/>
    <w:rsid w:val="002B30AD"/>
    <w:rsid w:val="002C2C01"/>
    <w:rsid w:val="003A069D"/>
    <w:rsid w:val="003A29AE"/>
    <w:rsid w:val="003A32D7"/>
    <w:rsid w:val="003B4074"/>
    <w:rsid w:val="003C769A"/>
    <w:rsid w:val="003E0EAE"/>
    <w:rsid w:val="003F1838"/>
    <w:rsid w:val="0045746C"/>
    <w:rsid w:val="00490AFA"/>
    <w:rsid w:val="0049104B"/>
    <w:rsid w:val="004E3B12"/>
    <w:rsid w:val="0051487A"/>
    <w:rsid w:val="00532310"/>
    <w:rsid w:val="005563DC"/>
    <w:rsid w:val="00560ECC"/>
    <w:rsid w:val="00565F0F"/>
    <w:rsid w:val="00594A86"/>
    <w:rsid w:val="00596D86"/>
    <w:rsid w:val="00612AB3"/>
    <w:rsid w:val="00637F5A"/>
    <w:rsid w:val="006560B1"/>
    <w:rsid w:val="006756DD"/>
    <w:rsid w:val="00736D31"/>
    <w:rsid w:val="00737275"/>
    <w:rsid w:val="00740EEC"/>
    <w:rsid w:val="0078011A"/>
    <w:rsid w:val="00782AF4"/>
    <w:rsid w:val="00790EE7"/>
    <w:rsid w:val="007B6649"/>
    <w:rsid w:val="0081546F"/>
    <w:rsid w:val="0082576E"/>
    <w:rsid w:val="00862CBB"/>
    <w:rsid w:val="008A03C7"/>
    <w:rsid w:val="008E34BF"/>
    <w:rsid w:val="00902CAB"/>
    <w:rsid w:val="00907F75"/>
    <w:rsid w:val="009260DE"/>
    <w:rsid w:val="0093258A"/>
    <w:rsid w:val="00981543"/>
    <w:rsid w:val="009C7BA3"/>
    <w:rsid w:val="009D1F5A"/>
    <w:rsid w:val="00A24178"/>
    <w:rsid w:val="00A61D63"/>
    <w:rsid w:val="00A83B3C"/>
    <w:rsid w:val="00A96AAF"/>
    <w:rsid w:val="00B003BF"/>
    <w:rsid w:val="00B373D7"/>
    <w:rsid w:val="00C36276"/>
    <w:rsid w:val="00C42586"/>
    <w:rsid w:val="00C60CCD"/>
    <w:rsid w:val="00C84483"/>
    <w:rsid w:val="00C95551"/>
    <w:rsid w:val="00CB20D7"/>
    <w:rsid w:val="00CD28E8"/>
    <w:rsid w:val="00D01483"/>
    <w:rsid w:val="00D020B0"/>
    <w:rsid w:val="00D11748"/>
    <w:rsid w:val="00D366CF"/>
    <w:rsid w:val="00DC5986"/>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3FDE1"/>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23</Pages>
  <Words>7493</Words>
  <Characters>49712</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2022092019 - nyt PI-SPC</dc:description>
  <cp:lastModifiedBy>Annette Malmros</cp:lastModifiedBy>
  <cp:revision>3</cp:revision>
  <cp:lastPrinted>2012-08-22T08:53:00Z</cp:lastPrinted>
  <dcterms:created xsi:type="dcterms:W3CDTF">2022-11-21T09:25:00Z</dcterms:created>
  <dcterms:modified xsi:type="dcterms:W3CDTF">2022-11-21T09:35:00Z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