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23" w:rsidRPr="00A97069" w:rsidRDefault="006D6E23" w:rsidP="006D6E23">
      <w:pPr>
        <w:rPr>
          <w:sz w:val="24"/>
          <w:szCs w:val="24"/>
        </w:rPr>
      </w:pPr>
      <w:r w:rsidRPr="00A97069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77F4306" wp14:editId="183B343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069">
        <w:rPr>
          <w:sz w:val="24"/>
          <w:szCs w:val="24"/>
        </w:rPr>
        <w:br w:type="textWrapping" w:clear="all"/>
      </w:r>
    </w:p>
    <w:p w:rsidR="006D6E23" w:rsidRPr="00A97069" w:rsidRDefault="006D6E23" w:rsidP="006D6E2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A97069">
        <w:rPr>
          <w:b w:val="0"/>
          <w:szCs w:val="24"/>
          <w:lang w:eastAsia="en-US"/>
        </w:rPr>
        <w:tab/>
      </w:r>
      <w:r w:rsidR="00870B37">
        <w:rPr>
          <w:szCs w:val="24"/>
        </w:rPr>
        <w:t>5. januar 2022</w:t>
      </w:r>
    </w:p>
    <w:p w:rsidR="006D6E23" w:rsidRPr="00A97069" w:rsidRDefault="006D6E23" w:rsidP="006D6E2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6D6E23" w:rsidRDefault="006D6E23" w:rsidP="006D6E23">
      <w:pPr>
        <w:pStyle w:val="Titel"/>
        <w:jc w:val="left"/>
        <w:rPr>
          <w:b w:val="0"/>
          <w:szCs w:val="24"/>
        </w:rPr>
      </w:pPr>
    </w:p>
    <w:p w:rsidR="00870B37" w:rsidRPr="00A97069" w:rsidRDefault="00870B37" w:rsidP="006D6E23">
      <w:pPr>
        <w:pStyle w:val="Titel"/>
        <w:jc w:val="left"/>
        <w:rPr>
          <w:b w:val="0"/>
          <w:szCs w:val="24"/>
        </w:rPr>
      </w:pPr>
    </w:p>
    <w:p w:rsidR="006D6E23" w:rsidRPr="00A97069" w:rsidRDefault="006D6E23" w:rsidP="006D6E23">
      <w:pPr>
        <w:jc w:val="center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PRODUKTRESUMÉ</w:t>
      </w:r>
    </w:p>
    <w:p w:rsidR="006D6E23" w:rsidRPr="00A97069" w:rsidRDefault="006D6E23" w:rsidP="006D6E23">
      <w:pPr>
        <w:jc w:val="center"/>
        <w:rPr>
          <w:b/>
          <w:sz w:val="24"/>
          <w:szCs w:val="24"/>
        </w:rPr>
      </w:pPr>
    </w:p>
    <w:p w:rsidR="006D6E23" w:rsidRPr="00A97069" w:rsidRDefault="006D6E23" w:rsidP="006D6E23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97069">
        <w:rPr>
          <w:b/>
          <w:sz w:val="24"/>
          <w:szCs w:val="24"/>
        </w:rPr>
        <w:t>for</w:t>
      </w:r>
    </w:p>
    <w:p w:rsidR="006D6E23" w:rsidRPr="00A97069" w:rsidRDefault="006D6E23" w:rsidP="006D6E23">
      <w:pPr>
        <w:jc w:val="center"/>
        <w:rPr>
          <w:b/>
          <w:sz w:val="24"/>
          <w:szCs w:val="24"/>
        </w:rPr>
      </w:pPr>
    </w:p>
    <w:p w:rsidR="006D6E23" w:rsidRPr="00A97069" w:rsidRDefault="006D6E23" w:rsidP="006D6E23">
      <w:pPr>
        <w:jc w:val="center"/>
        <w:rPr>
          <w:b/>
          <w:sz w:val="24"/>
          <w:szCs w:val="24"/>
        </w:rPr>
      </w:pPr>
      <w:proofErr w:type="spellStart"/>
      <w:r w:rsidRPr="00A97069">
        <w:rPr>
          <w:b/>
          <w:sz w:val="24"/>
          <w:szCs w:val="24"/>
        </w:rPr>
        <w:t>Colchicin</w:t>
      </w:r>
      <w:proofErr w:type="spellEnd"/>
      <w:r w:rsidRPr="00A97069">
        <w:rPr>
          <w:b/>
          <w:sz w:val="24"/>
          <w:szCs w:val="24"/>
        </w:rPr>
        <w:t xml:space="preserve"> "</w:t>
      </w:r>
      <w:proofErr w:type="spellStart"/>
      <w:r w:rsidRPr="00A97069">
        <w:rPr>
          <w:b/>
          <w:sz w:val="24"/>
          <w:szCs w:val="24"/>
        </w:rPr>
        <w:t>Tiofarma</w:t>
      </w:r>
      <w:proofErr w:type="spellEnd"/>
      <w:r w:rsidRPr="00A97069">
        <w:rPr>
          <w:b/>
          <w:sz w:val="24"/>
          <w:szCs w:val="24"/>
        </w:rPr>
        <w:t>", tabletter</w:t>
      </w:r>
    </w:p>
    <w:p w:rsidR="006D6E23" w:rsidRDefault="006D6E23" w:rsidP="006D6E23">
      <w:pPr>
        <w:jc w:val="both"/>
        <w:rPr>
          <w:sz w:val="24"/>
          <w:szCs w:val="24"/>
        </w:rPr>
      </w:pPr>
    </w:p>
    <w:p w:rsidR="006D6E23" w:rsidRPr="00007CA1" w:rsidRDefault="006D6E23" w:rsidP="006D6E23">
      <w:pPr>
        <w:rPr>
          <w:i/>
          <w:sz w:val="24"/>
          <w:szCs w:val="24"/>
          <w:u w:val="single"/>
        </w:rPr>
      </w:pPr>
      <w:r w:rsidRPr="00007CA1">
        <w:rPr>
          <w:i/>
          <w:sz w:val="24"/>
          <w:szCs w:val="24"/>
          <w:u w:val="single"/>
        </w:rPr>
        <w:t>Vigtig advarsel!</w:t>
      </w:r>
    </w:p>
    <w:p w:rsidR="006D6E23" w:rsidRPr="00007CA1" w:rsidRDefault="006D6E23" w:rsidP="006D6E23">
      <w:pPr>
        <w:rPr>
          <w:i/>
          <w:sz w:val="24"/>
          <w:szCs w:val="24"/>
          <w:u w:val="single"/>
        </w:rPr>
      </w:pPr>
      <w:r w:rsidRPr="00007CA1">
        <w:rPr>
          <w:i/>
          <w:sz w:val="24"/>
          <w:szCs w:val="24"/>
          <w:u w:val="single"/>
        </w:rPr>
        <w:t xml:space="preserve">På grund af det snævre terapeutiske område for </w:t>
      </w:r>
      <w:proofErr w:type="spellStart"/>
      <w:r w:rsidRPr="00007CA1">
        <w:rPr>
          <w:i/>
          <w:sz w:val="24"/>
          <w:szCs w:val="24"/>
          <w:u w:val="single"/>
        </w:rPr>
        <w:t>colchicin</w:t>
      </w:r>
      <w:proofErr w:type="spellEnd"/>
      <w:r w:rsidRPr="00007CA1">
        <w:rPr>
          <w:i/>
          <w:sz w:val="24"/>
          <w:szCs w:val="24"/>
          <w:u w:val="single"/>
        </w:rPr>
        <w:t xml:space="preserve"> må den anbefalede maksimale dosis ikke overskrides. Overdosering, herunder ignorering af interaktioner, kan føre til en fatal</w:t>
      </w:r>
      <w:r>
        <w:rPr>
          <w:i/>
          <w:sz w:val="24"/>
          <w:szCs w:val="24"/>
          <w:u w:val="single"/>
        </w:rPr>
        <w:t xml:space="preserve">, </w:t>
      </w:r>
      <w:r w:rsidRPr="00007CA1">
        <w:rPr>
          <w:i/>
          <w:sz w:val="24"/>
          <w:szCs w:val="24"/>
          <w:u w:val="single"/>
        </w:rPr>
        <w:t>yderst smertefuld og irreversibel forgiftning med død som følge. Der henvises til pkt. 4.4, 4.5, 4.8 og 4.9 i dette produktresumé.</w:t>
      </w:r>
    </w:p>
    <w:p w:rsidR="006D6E23" w:rsidRPr="00007CA1" w:rsidRDefault="006D6E23" w:rsidP="006D6E23">
      <w:pPr>
        <w:rPr>
          <w:i/>
          <w:sz w:val="24"/>
          <w:szCs w:val="24"/>
          <w:u w:val="single"/>
        </w:rPr>
      </w:pPr>
      <w:r w:rsidRPr="00007CA1">
        <w:rPr>
          <w:i/>
          <w:sz w:val="24"/>
          <w:szCs w:val="24"/>
          <w:u w:val="single"/>
        </w:rPr>
        <w:t>Lægemidlet skal holdes uden</w:t>
      </w:r>
      <w:r>
        <w:rPr>
          <w:i/>
          <w:sz w:val="24"/>
          <w:szCs w:val="24"/>
          <w:u w:val="single"/>
        </w:rPr>
        <w:t xml:space="preserve"> </w:t>
      </w:r>
      <w:r w:rsidRPr="00007CA1">
        <w:rPr>
          <w:i/>
          <w:sz w:val="24"/>
          <w:szCs w:val="24"/>
          <w:u w:val="single"/>
        </w:rPr>
        <w:t xml:space="preserve">for andres rækkevidde før eller efter brug. </w:t>
      </w:r>
    </w:p>
    <w:p w:rsidR="006D6E23" w:rsidRPr="00A97069" w:rsidRDefault="006D6E23" w:rsidP="006D6E23">
      <w:pPr>
        <w:ind w:left="851" w:hanging="851"/>
        <w:jc w:val="both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0.</w:t>
      </w:r>
      <w:r w:rsidRPr="00A97069">
        <w:rPr>
          <w:b/>
          <w:sz w:val="24"/>
          <w:szCs w:val="24"/>
        </w:rPr>
        <w:tab/>
        <w:t>D.SP.NR.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  <w:r w:rsidRPr="00A97069">
        <w:rPr>
          <w:sz w:val="24"/>
          <w:szCs w:val="24"/>
        </w:rPr>
        <w:tab/>
        <w:t>30758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1.</w:t>
      </w:r>
      <w:r w:rsidRPr="00A97069">
        <w:rPr>
          <w:b/>
          <w:sz w:val="24"/>
          <w:szCs w:val="24"/>
        </w:rPr>
        <w:tab/>
        <w:t>LÆGEMIDLETS NAVN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  <w:r w:rsidRPr="00A97069">
        <w:rPr>
          <w:sz w:val="24"/>
          <w:szCs w:val="24"/>
        </w:rPr>
        <w:tab/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"</w:t>
      </w:r>
      <w:proofErr w:type="spellStart"/>
      <w:r w:rsidRPr="00A97069">
        <w:rPr>
          <w:sz w:val="24"/>
          <w:szCs w:val="24"/>
        </w:rPr>
        <w:t>Tiofarma</w:t>
      </w:r>
      <w:proofErr w:type="spellEnd"/>
      <w:r w:rsidRPr="00A97069">
        <w:rPr>
          <w:sz w:val="24"/>
          <w:szCs w:val="24"/>
        </w:rPr>
        <w:t>"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2.</w:t>
      </w:r>
      <w:r w:rsidRPr="00A97069">
        <w:rPr>
          <w:b/>
          <w:sz w:val="24"/>
          <w:szCs w:val="24"/>
        </w:rPr>
        <w:tab/>
        <w:t>KVALITATIV OG KVANTITATIV SAMMENSÆTNING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 xml:space="preserve">Hver </w:t>
      </w:r>
      <w:proofErr w:type="spellStart"/>
      <w:r w:rsidRPr="00A97069">
        <w:rPr>
          <w:bCs/>
          <w:sz w:val="24"/>
          <w:szCs w:val="24"/>
        </w:rPr>
        <w:t>Colchicin</w:t>
      </w:r>
      <w:proofErr w:type="spellEnd"/>
      <w:r w:rsidRPr="00A970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</w:t>
      </w:r>
      <w:proofErr w:type="spellStart"/>
      <w:r>
        <w:rPr>
          <w:bCs/>
          <w:sz w:val="24"/>
          <w:szCs w:val="24"/>
        </w:rPr>
        <w:t>Tiofarma</w:t>
      </w:r>
      <w:proofErr w:type="spellEnd"/>
      <w:r>
        <w:rPr>
          <w:bCs/>
          <w:sz w:val="24"/>
          <w:szCs w:val="24"/>
        </w:rPr>
        <w:t>"</w:t>
      </w:r>
      <w:r w:rsidRPr="00A97069">
        <w:rPr>
          <w:bCs/>
          <w:sz w:val="24"/>
          <w:szCs w:val="24"/>
        </w:rPr>
        <w:t xml:space="preserve"> 0,5 mg tabletter </w:t>
      </w:r>
      <w:r w:rsidRPr="00A97069">
        <w:rPr>
          <w:sz w:val="24"/>
          <w:szCs w:val="24"/>
        </w:rPr>
        <w:t xml:space="preserve">indeholder 0,5 mg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Hver </w:t>
      </w:r>
      <w:proofErr w:type="spellStart"/>
      <w:r w:rsidRPr="00A97069">
        <w:rPr>
          <w:bCs/>
          <w:sz w:val="24"/>
          <w:szCs w:val="24"/>
        </w:rPr>
        <w:t>Colchicin</w:t>
      </w:r>
      <w:proofErr w:type="spellEnd"/>
      <w:r w:rsidRPr="00A970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</w:t>
      </w:r>
      <w:proofErr w:type="spellStart"/>
      <w:r>
        <w:rPr>
          <w:bCs/>
          <w:sz w:val="24"/>
          <w:szCs w:val="24"/>
        </w:rPr>
        <w:t>Tiofarma</w:t>
      </w:r>
      <w:proofErr w:type="spellEnd"/>
      <w:r>
        <w:rPr>
          <w:bCs/>
          <w:sz w:val="24"/>
          <w:szCs w:val="24"/>
        </w:rPr>
        <w:t>"</w:t>
      </w:r>
      <w:r w:rsidRPr="00A97069">
        <w:rPr>
          <w:bCs/>
          <w:sz w:val="24"/>
          <w:szCs w:val="24"/>
        </w:rPr>
        <w:t xml:space="preserve"> 1 mg tabletter</w:t>
      </w:r>
      <w:r w:rsidRPr="00A97069">
        <w:rPr>
          <w:sz w:val="24"/>
          <w:szCs w:val="24"/>
        </w:rPr>
        <w:t xml:space="preserve"> indeholder 1 mg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2741AE" w:rsidRDefault="006D6E23" w:rsidP="006D6E23">
      <w:pPr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Hjælpestof, som behandleren skal være opmærksom på: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Hver </w:t>
      </w:r>
      <w:r w:rsidRPr="00A97069">
        <w:rPr>
          <w:bCs/>
          <w:sz w:val="24"/>
          <w:szCs w:val="24"/>
        </w:rPr>
        <w:t xml:space="preserve">0,5 mg tablet </w:t>
      </w:r>
      <w:r w:rsidRPr="00A97069">
        <w:rPr>
          <w:sz w:val="24"/>
          <w:szCs w:val="24"/>
        </w:rPr>
        <w:t xml:space="preserve">indeholder 83 mg </w:t>
      </w:r>
      <w:proofErr w:type="spellStart"/>
      <w:r w:rsidRPr="00A97069">
        <w:rPr>
          <w:sz w:val="24"/>
          <w:szCs w:val="24"/>
        </w:rPr>
        <w:t>lactosemonohydrat</w:t>
      </w:r>
      <w:proofErr w:type="spellEnd"/>
      <w:r w:rsidRPr="00A97069">
        <w:rPr>
          <w:sz w:val="24"/>
          <w:szCs w:val="24"/>
        </w:rPr>
        <w:t xml:space="preserve">, svarende til 78,6 mg </w:t>
      </w:r>
      <w:proofErr w:type="spellStart"/>
      <w:r w:rsidRPr="00A97069">
        <w:rPr>
          <w:sz w:val="24"/>
          <w:szCs w:val="24"/>
        </w:rPr>
        <w:t>lactose</w:t>
      </w:r>
      <w:proofErr w:type="spellEnd"/>
      <w:r w:rsidRPr="00A97069">
        <w:rPr>
          <w:sz w:val="24"/>
          <w:szCs w:val="24"/>
        </w:rPr>
        <w:t>, vandfri.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Hver </w:t>
      </w:r>
      <w:r w:rsidRPr="00A97069">
        <w:rPr>
          <w:bCs/>
          <w:sz w:val="24"/>
          <w:szCs w:val="24"/>
        </w:rPr>
        <w:t xml:space="preserve">1 mg tablet </w:t>
      </w:r>
      <w:r w:rsidRPr="00A97069">
        <w:rPr>
          <w:sz w:val="24"/>
          <w:szCs w:val="24"/>
        </w:rPr>
        <w:t xml:space="preserve">indeholder 166 mg </w:t>
      </w:r>
      <w:proofErr w:type="spellStart"/>
      <w:r w:rsidRPr="00A97069">
        <w:rPr>
          <w:sz w:val="24"/>
          <w:szCs w:val="24"/>
        </w:rPr>
        <w:t>lactosemonohydrat</w:t>
      </w:r>
      <w:proofErr w:type="spellEnd"/>
      <w:r w:rsidRPr="00A97069">
        <w:rPr>
          <w:sz w:val="24"/>
          <w:szCs w:val="24"/>
        </w:rPr>
        <w:t xml:space="preserve">, svarende til 157,2 mg </w:t>
      </w:r>
      <w:proofErr w:type="spellStart"/>
      <w:r w:rsidRPr="00A97069">
        <w:rPr>
          <w:sz w:val="24"/>
          <w:szCs w:val="24"/>
        </w:rPr>
        <w:t>lactose</w:t>
      </w:r>
      <w:proofErr w:type="spellEnd"/>
      <w:r w:rsidRPr="00A97069">
        <w:rPr>
          <w:sz w:val="24"/>
          <w:szCs w:val="24"/>
        </w:rPr>
        <w:t>, vandfri.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Alle hjælpestoffer er anført under pkt. 6.1.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3.</w:t>
      </w:r>
      <w:r w:rsidRPr="00A97069">
        <w:rPr>
          <w:b/>
          <w:sz w:val="24"/>
          <w:szCs w:val="24"/>
        </w:rPr>
        <w:tab/>
        <w:t>LÆGEMIDDELFORM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>Tabletter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bCs/>
          <w:sz w:val="24"/>
          <w:szCs w:val="24"/>
        </w:rPr>
        <w:t>Colchicin</w:t>
      </w:r>
      <w:proofErr w:type="spellEnd"/>
      <w:r w:rsidRPr="00A970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</w:t>
      </w:r>
      <w:proofErr w:type="spellStart"/>
      <w:r>
        <w:rPr>
          <w:bCs/>
          <w:sz w:val="24"/>
          <w:szCs w:val="24"/>
        </w:rPr>
        <w:t>Tiofarma</w:t>
      </w:r>
      <w:proofErr w:type="spellEnd"/>
      <w:r>
        <w:rPr>
          <w:bCs/>
          <w:sz w:val="24"/>
          <w:szCs w:val="24"/>
        </w:rPr>
        <w:t>"</w:t>
      </w:r>
      <w:r w:rsidRPr="00A97069">
        <w:rPr>
          <w:bCs/>
          <w:sz w:val="24"/>
          <w:szCs w:val="24"/>
        </w:rPr>
        <w:t xml:space="preserve"> 0,5 mg tabletter</w:t>
      </w:r>
      <w:r w:rsidRPr="00A97069">
        <w:rPr>
          <w:sz w:val="24"/>
          <w:szCs w:val="24"/>
        </w:rPr>
        <w:t xml:space="preserve"> er runde, flade, offwhite tabletter med facet, ca. 6 mm i diameter, ca. 3 mm tykke og præget med </w:t>
      </w:r>
      <w:r>
        <w:rPr>
          <w:sz w:val="24"/>
          <w:szCs w:val="24"/>
        </w:rPr>
        <w:t>"</w:t>
      </w:r>
      <w:r w:rsidRPr="00A97069">
        <w:rPr>
          <w:sz w:val="24"/>
          <w:szCs w:val="24"/>
        </w:rPr>
        <w:t>0,5</w:t>
      </w:r>
      <w:r>
        <w:rPr>
          <w:sz w:val="24"/>
          <w:szCs w:val="24"/>
        </w:rPr>
        <w:t>"</w:t>
      </w:r>
      <w:r w:rsidRPr="00A97069">
        <w:rPr>
          <w:sz w:val="24"/>
          <w:szCs w:val="24"/>
        </w:rPr>
        <w:t xml:space="preserve"> på den ene side.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bCs/>
          <w:sz w:val="24"/>
          <w:szCs w:val="24"/>
        </w:rPr>
        <w:t>Colchicin</w:t>
      </w:r>
      <w:proofErr w:type="spellEnd"/>
      <w:r w:rsidRPr="00A970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</w:t>
      </w:r>
      <w:proofErr w:type="spellStart"/>
      <w:r>
        <w:rPr>
          <w:bCs/>
          <w:sz w:val="24"/>
          <w:szCs w:val="24"/>
        </w:rPr>
        <w:t>Tiofarma</w:t>
      </w:r>
      <w:proofErr w:type="spellEnd"/>
      <w:r>
        <w:rPr>
          <w:bCs/>
          <w:sz w:val="24"/>
          <w:szCs w:val="24"/>
        </w:rPr>
        <w:t>"</w:t>
      </w:r>
      <w:r w:rsidRPr="00A97069">
        <w:rPr>
          <w:bCs/>
          <w:sz w:val="24"/>
          <w:szCs w:val="24"/>
        </w:rPr>
        <w:t xml:space="preserve"> 1 mg tabletter</w:t>
      </w:r>
      <w:r w:rsidRPr="00A97069">
        <w:rPr>
          <w:sz w:val="24"/>
          <w:szCs w:val="24"/>
        </w:rPr>
        <w:t xml:space="preserve"> er ovale offwhite tabletter, ca. 12 mm lange, ca. 3 mm tykke og præget med </w:t>
      </w:r>
      <w:r>
        <w:rPr>
          <w:sz w:val="24"/>
          <w:szCs w:val="24"/>
        </w:rPr>
        <w:t>"</w:t>
      </w:r>
      <w:r w:rsidRPr="00A97069">
        <w:rPr>
          <w:sz w:val="24"/>
          <w:szCs w:val="24"/>
        </w:rPr>
        <w:t>C1C</w:t>
      </w:r>
      <w:r>
        <w:rPr>
          <w:sz w:val="24"/>
          <w:szCs w:val="24"/>
        </w:rPr>
        <w:t>"</w:t>
      </w:r>
      <w:r w:rsidRPr="00A97069">
        <w:rPr>
          <w:sz w:val="24"/>
          <w:szCs w:val="24"/>
        </w:rPr>
        <w:t xml:space="preserve"> på den ene side.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Default="006D6E23" w:rsidP="006D6E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</w:t>
      </w:r>
      <w:r w:rsidRPr="00A97069">
        <w:rPr>
          <w:b/>
          <w:sz w:val="24"/>
          <w:szCs w:val="24"/>
        </w:rPr>
        <w:tab/>
        <w:t>KLINISKE OPLYSNINGER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A97069">
        <w:rPr>
          <w:b/>
          <w:sz w:val="24"/>
          <w:szCs w:val="24"/>
        </w:rPr>
        <w:t>4.1</w:t>
      </w:r>
      <w:r w:rsidRPr="00A97069">
        <w:rPr>
          <w:b/>
          <w:sz w:val="24"/>
          <w:szCs w:val="24"/>
        </w:rPr>
        <w:tab/>
        <w:t>Terapeutiske indikationer</w:t>
      </w:r>
    </w:p>
    <w:p w:rsidR="006D6E23" w:rsidRPr="00A97069" w:rsidRDefault="006D6E23" w:rsidP="006D6E23">
      <w:pPr>
        <w:ind w:left="851"/>
        <w:rPr>
          <w:i/>
          <w:iCs/>
          <w:sz w:val="24"/>
          <w:szCs w:val="24"/>
        </w:rPr>
      </w:pPr>
    </w:p>
    <w:p w:rsidR="0056744D" w:rsidRDefault="0056744D" w:rsidP="0056744D">
      <w:pPr>
        <w:ind w:left="851"/>
        <w:rPr>
          <w:i/>
          <w:sz w:val="24"/>
          <w:szCs w:val="24"/>
          <w:lang w:eastAsia="nl-NL"/>
        </w:rPr>
      </w:pPr>
      <w:r>
        <w:rPr>
          <w:i/>
          <w:iCs/>
          <w:sz w:val="24"/>
          <w:szCs w:val="24"/>
        </w:rPr>
        <w:t>Voksne</w:t>
      </w:r>
    </w:p>
    <w:p w:rsidR="0056744D" w:rsidRDefault="0056744D" w:rsidP="0056744D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Colchicin</w:t>
      </w:r>
      <w:proofErr w:type="spellEnd"/>
      <w:r>
        <w:rPr>
          <w:rFonts w:ascii="Times New Roman" w:hAnsi="Times New Roman" w:cs="Times New Roman"/>
          <w:sz w:val="24"/>
          <w:szCs w:val="24"/>
          <w:lang w:val="da-DK"/>
        </w:rPr>
        <w:t xml:space="preserve"> er indiceret til behandling af akut urinsyregigt</w:t>
      </w:r>
    </w:p>
    <w:p w:rsidR="0056744D" w:rsidRDefault="0056744D" w:rsidP="0056744D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Colchicin</w:t>
      </w:r>
      <w:proofErr w:type="spellEnd"/>
      <w:r>
        <w:rPr>
          <w:rFonts w:ascii="Times New Roman" w:hAnsi="Times New Roman" w:cs="Times New Roman"/>
          <w:sz w:val="24"/>
          <w:szCs w:val="24"/>
          <w:lang w:val="da-DK"/>
        </w:rPr>
        <w:t xml:space="preserve"> er indiceret til profylakse af urinsyregigtanfald under indledning af uratsænkende behandling.</w:t>
      </w:r>
    </w:p>
    <w:p w:rsidR="006D6E23" w:rsidRPr="0056744D" w:rsidRDefault="0056744D" w:rsidP="0056744D">
      <w:pPr>
        <w:pStyle w:val="Kommentartekst"/>
        <w:rPr>
          <w:sz w:val="24"/>
          <w:szCs w:val="24"/>
        </w:rPr>
      </w:pPr>
      <w:r>
        <w:rPr>
          <w:rStyle w:val="Kommentarhenvisning"/>
        </w:rPr>
        <w:t/>
      </w: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Voksne og pædiatriske patienter</w:t>
      </w:r>
    </w:p>
    <w:p w:rsidR="006D6E23" w:rsidRPr="00A97069" w:rsidRDefault="006D6E23" w:rsidP="006D6E23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A97069">
        <w:rPr>
          <w:rFonts w:ascii="Times New Roman" w:hAnsi="Times New Roman" w:cs="Times New Roman"/>
          <w:sz w:val="24"/>
          <w:szCs w:val="24"/>
          <w:lang w:val="da-DK"/>
        </w:rPr>
        <w:t>Colchicin</w:t>
      </w:r>
      <w:proofErr w:type="spellEnd"/>
      <w:r w:rsidRPr="00A97069">
        <w:rPr>
          <w:rFonts w:ascii="Times New Roman" w:hAnsi="Times New Roman" w:cs="Times New Roman"/>
          <w:sz w:val="24"/>
          <w:szCs w:val="24"/>
          <w:lang w:val="da-DK"/>
        </w:rPr>
        <w:t xml:space="preserve"> er indiceret til familiær middelhavsfeber til profylakse af anfald og forebyggelse af </w:t>
      </w:r>
      <w:proofErr w:type="spellStart"/>
      <w:r w:rsidRPr="00A97069">
        <w:rPr>
          <w:rFonts w:ascii="Times New Roman" w:hAnsi="Times New Roman" w:cs="Times New Roman"/>
          <w:sz w:val="24"/>
          <w:szCs w:val="24"/>
          <w:lang w:val="da-DK"/>
        </w:rPr>
        <w:t>amyloidose</w:t>
      </w:r>
      <w:proofErr w:type="spellEnd"/>
      <w:r w:rsidRPr="00A97069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4.2</w:t>
      </w:r>
      <w:r w:rsidRPr="00A97069">
        <w:rPr>
          <w:b/>
          <w:sz w:val="24"/>
          <w:szCs w:val="24"/>
        </w:rPr>
        <w:tab/>
        <w:t>Dosering og indgivelsesmåde</w:t>
      </w:r>
    </w:p>
    <w:p w:rsidR="006D6E23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nl-NL"/>
        </w:rPr>
      </w:pPr>
      <w:r w:rsidRPr="00A97069">
        <w:rPr>
          <w:sz w:val="24"/>
          <w:szCs w:val="24"/>
          <w:u w:val="single"/>
        </w:rPr>
        <w:t>Dosering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i/>
          <w:iCs/>
          <w:sz w:val="24"/>
          <w:szCs w:val="24"/>
        </w:rPr>
        <w:t>Urinsyregigt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Akut urinsyregigtanfald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0,5 mg 2 til 3 gange </w:t>
      </w:r>
      <w:r>
        <w:rPr>
          <w:sz w:val="24"/>
          <w:szCs w:val="24"/>
        </w:rPr>
        <w:t>daglig</w:t>
      </w:r>
      <w:r w:rsidRPr="00A97069">
        <w:rPr>
          <w:sz w:val="24"/>
          <w:szCs w:val="24"/>
        </w:rPr>
        <w:t xml:space="preserve">, muligvis med en initial dosis på 1 mg før det. Behandlingen skal seponeres, når det akutte anfald er overstået, eller tidligere, i tilfælde af </w:t>
      </w:r>
      <w:proofErr w:type="spellStart"/>
      <w:r w:rsidRPr="00A97069">
        <w:rPr>
          <w:sz w:val="24"/>
          <w:szCs w:val="24"/>
        </w:rPr>
        <w:t>gastrointestinale</w:t>
      </w:r>
      <w:proofErr w:type="spellEnd"/>
      <w:r w:rsidRPr="00A97069">
        <w:rPr>
          <w:sz w:val="24"/>
          <w:szCs w:val="24"/>
        </w:rPr>
        <w:t xml:space="preserve"> symptomer og ingen forbedring efter 2 til 3 dage.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>I behandlingsforløbet må der ikke tages mere end 6 mg. Efter afslutning af et behandlingsforløb bør et andet forløb ikke påbegyndes inden for mindst 3 dage (72 timer).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Hvis diarré eller opkastning forekommer, skal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Tiofarma</w:t>
      </w:r>
      <w:proofErr w:type="spellEnd"/>
      <w:r>
        <w:rPr>
          <w:sz w:val="24"/>
          <w:szCs w:val="24"/>
        </w:rPr>
        <w:t>"</w:t>
      </w:r>
      <w:r w:rsidRPr="00A97069">
        <w:rPr>
          <w:sz w:val="24"/>
          <w:szCs w:val="24"/>
        </w:rPr>
        <w:t xml:space="preserve"> seponeres omgående, eftersom disse kan være de første tegn på forgiftning.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 xml:space="preserve">Profylakse af urinsyregigtanfald 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>0,5-1 mg pr. dag (tages om aftenen).</w:t>
      </w:r>
    </w:p>
    <w:p w:rsidR="006D6E23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Pædiatrisk population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Tiofarma</w:t>
      </w:r>
      <w:proofErr w:type="spellEnd"/>
      <w:r>
        <w:rPr>
          <w:sz w:val="24"/>
          <w:szCs w:val="24"/>
        </w:rPr>
        <w:t>"</w:t>
      </w:r>
      <w:r w:rsidRPr="00A97069">
        <w:rPr>
          <w:sz w:val="24"/>
          <w:szCs w:val="24"/>
        </w:rPr>
        <w:t xml:space="preserve"> bør ikke anvendes til børn og unge.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2741AE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Særlige grupper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Samtidig administration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sammen med flere andre lægemidler, oftest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</w:t>
      </w:r>
      <w:proofErr w:type="spellStart"/>
      <w:r w:rsidRPr="00A97069">
        <w:rPr>
          <w:sz w:val="24"/>
          <w:szCs w:val="24"/>
        </w:rPr>
        <w:t>cytokrom</w:t>
      </w:r>
      <w:proofErr w:type="spellEnd"/>
      <w:r w:rsidRPr="00A97069">
        <w:rPr>
          <w:sz w:val="24"/>
          <w:szCs w:val="24"/>
        </w:rPr>
        <w:t xml:space="preserve"> P450 3A4 (CYP3A</w:t>
      </w:r>
      <w:proofErr w:type="gramStart"/>
      <w:r w:rsidRPr="00A97069">
        <w:rPr>
          <w:sz w:val="24"/>
          <w:szCs w:val="24"/>
        </w:rPr>
        <w:t>4)/</w:t>
      </w:r>
      <w:proofErr w:type="gramEnd"/>
      <w:r w:rsidRPr="00A97069">
        <w:rPr>
          <w:sz w:val="24"/>
          <w:szCs w:val="24"/>
        </w:rPr>
        <w:t>P-</w:t>
      </w:r>
      <w:proofErr w:type="spellStart"/>
      <w:r w:rsidRPr="00A97069">
        <w:rPr>
          <w:sz w:val="24"/>
          <w:szCs w:val="24"/>
        </w:rPr>
        <w:t>glykoprotein</w:t>
      </w:r>
      <w:proofErr w:type="spellEnd"/>
      <w:r w:rsidRPr="00A97069">
        <w:rPr>
          <w:sz w:val="24"/>
          <w:szCs w:val="24"/>
        </w:rPr>
        <w:t xml:space="preserve"> har vist at øge risikoen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-toksicitet. Hvis en patient har modtaget samtidig behandling med en moderat eller potent hæmmer af CYP3A4 eller med en hæmmer af P-</w:t>
      </w:r>
      <w:proofErr w:type="spellStart"/>
      <w:r w:rsidRPr="00A97069">
        <w:rPr>
          <w:sz w:val="24"/>
          <w:szCs w:val="24"/>
        </w:rPr>
        <w:t>glykoprotein</w:t>
      </w:r>
      <w:proofErr w:type="spellEnd"/>
      <w:r w:rsidRPr="00A97069">
        <w:rPr>
          <w:sz w:val="24"/>
          <w:szCs w:val="24"/>
        </w:rPr>
        <w:t xml:space="preserve">, skal den maksimale dosis af oralt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mindskes og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2741AE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Patienter med nyresygdom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patienter med mild til moderat nyresygdom, er dosis 0,5 mg </w:t>
      </w:r>
      <w:r>
        <w:rPr>
          <w:sz w:val="24"/>
          <w:szCs w:val="24"/>
        </w:rPr>
        <w:t>daglig</w:t>
      </w:r>
      <w:r w:rsidRPr="00A97069">
        <w:rPr>
          <w:sz w:val="24"/>
          <w:szCs w:val="24"/>
        </w:rPr>
        <w:t xml:space="preserve">, og dosis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 Ved alvorlig nyresygdom, se kontraindikationer, pkt. 4.3.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2741AE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Patienter med leversygdom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patienter med mild til moderat leversygdom er dosis 0,5 mg </w:t>
      </w:r>
      <w:r>
        <w:rPr>
          <w:sz w:val="24"/>
          <w:szCs w:val="24"/>
        </w:rPr>
        <w:t>daglig</w:t>
      </w:r>
      <w:r w:rsidRPr="00A97069">
        <w:rPr>
          <w:sz w:val="24"/>
          <w:szCs w:val="24"/>
        </w:rPr>
        <w:t xml:space="preserve">, og dosis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 Ved alvorlig leversygdom, se kontraindikationer, pkt. 4.3.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Familiær middelhavsfeber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i/>
          <w:sz w:val="24"/>
          <w:szCs w:val="24"/>
        </w:rPr>
      </w:pP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Dosis kan gives som en enkelt dosis, eller doser på over 1 mg/dag kan opdeles og gives to gange </w:t>
      </w:r>
      <w:r>
        <w:rPr>
          <w:sz w:val="24"/>
          <w:szCs w:val="24"/>
        </w:rPr>
        <w:t>daglig</w:t>
      </w:r>
      <w:r w:rsidRPr="00A97069">
        <w:rPr>
          <w:sz w:val="24"/>
          <w:szCs w:val="24"/>
        </w:rPr>
        <w:t>.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Colchicindosis</w:t>
      </w:r>
      <w:proofErr w:type="spellEnd"/>
      <w:r w:rsidRPr="00A97069">
        <w:rPr>
          <w:sz w:val="24"/>
          <w:szCs w:val="24"/>
        </w:rPr>
        <w:t xml:space="preserve"> bør sættes op trinvist til maksimalt 3 mg/dag for at kontrollere sygdom hos patienter, som ikke klinisk reagerer på standarddosis. En stigning i den daglige dosis monitoreres tæt for bivirkninger. Omhyggelig monitorering er nødvendig ved nedsat nyre- eller leverfunktion. Hos disse patienter bør startdosis sættes ned med 50 % (f.eks. ≤1 mg/dag).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Voksne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1 til 3 mg pr. dag.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Pædiatrisk population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Til pædiatrisk brug bør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kun ordineres under supervision af en læge med den nødvendige viden og erfaring.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Der bør gives en startdosis oralt på basis af alder:</w:t>
      </w:r>
    </w:p>
    <w:p w:rsidR="006D6E23" w:rsidRPr="00A97069" w:rsidRDefault="006D6E23" w:rsidP="006D6E23">
      <w:pPr>
        <w:pStyle w:val="Listeafsnit"/>
        <w:numPr>
          <w:ilvl w:val="0"/>
          <w:numId w:val="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0,5 mg/dag hos børn under 5 år</w:t>
      </w:r>
    </w:p>
    <w:p w:rsidR="006D6E23" w:rsidRPr="00A97069" w:rsidRDefault="006D6E23" w:rsidP="006D6E23">
      <w:pPr>
        <w:pStyle w:val="Listeafsnit"/>
        <w:numPr>
          <w:ilvl w:val="0"/>
          <w:numId w:val="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1 mg/dag hos børn fra 5 til 10 år</w:t>
      </w:r>
    </w:p>
    <w:p w:rsidR="006D6E23" w:rsidRPr="00A97069" w:rsidRDefault="006D6E23" w:rsidP="006D6E23">
      <w:pPr>
        <w:pStyle w:val="Listeafsnit"/>
        <w:numPr>
          <w:ilvl w:val="0"/>
          <w:numId w:val="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1,5 mg/dag hos børn over 10 år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børn med </w:t>
      </w:r>
      <w:proofErr w:type="spellStart"/>
      <w:r w:rsidRPr="00A97069">
        <w:rPr>
          <w:sz w:val="24"/>
          <w:szCs w:val="24"/>
        </w:rPr>
        <w:t>amyloid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nefropati</w:t>
      </w:r>
      <w:proofErr w:type="spellEnd"/>
      <w:r w:rsidRPr="00A97069">
        <w:rPr>
          <w:sz w:val="24"/>
          <w:szCs w:val="24"/>
        </w:rPr>
        <w:t xml:space="preserve"> kan der være behov for højere daglige doser på op til 2 mg/dag.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Når der er behov for doser på 0,25 mg, f.eks. for at kontrollere sygdom hos patienter, som ikke responderer klinisk på en standarddosis, er tabletten på 0,5 mg og 1 mg ikke relevant.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2741AE" w:rsidRDefault="006D6E23" w:rsidP="006D6E23">
      <w:pPr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Særlige grupper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Samtidig administration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sammen med flere andre lægemidler, oftest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</w:t>
      </w:r>
      <w:proofErr w:type="spellStart"/>
      <w:r w:rsidRPr="00A97069">
        <w:rPr>
          <w:sz w:val="24"/>
          <w:szCs w:val="24"/>
        </w:rPr>
        <w:t>cytokrom</w:t>
      </w:r>
      <w:proofErr w:type="spellEnd"/>
      <w:r w:rsidRPr="00A97069">
        <w:rPr>
          <w:sz w:val="24"/>
          <w:szCs w:val="24"/>
        </w:rPr>
        <w:t xml:space="preserve"> P450 3A4 (CYP3A</w:t>
      </w:r>
      <w:proofErr w:type="gramStart"/>
      <w:r w:rsidRPr="00A97069">
        <w:rPr>
          <w:sz w:val="24"/>
          <w:szCs w:val="24"/>
        </w:rPr>
        <w:t>4)/</w:t>
      </w:r>
      <w:proofErr w:type="gramEnd"/>
      <w:r w:rsidRPr="00A97069">
        <w:rPr>
          <w:sz w:val="24"/>
          <w:szCs w:val="24"/>
        </w:rPr>
        <w:t>P-</w:t>
      </w:r>
      <w:proofErr w:type="spellStart"/>
      <w:r w:rsidRPr="00A97069">
        <w:rPr>
          <w:sz w:val="24"/>
          <w:szCs w:val="24"/>
        </w:rPr>
        <w:t>glykoprotein</w:t>
      </w:r>
      <w:proofErr w:type="spellEnd"/>
      <w:r w:rsidRPr="00A97069">
        <w:rPr>
          <w:sz w:val="24"/>
          <w:szCs w:val="24"/>
        </w:rPr>
        <w:t xml:space="preserve">, har vist at øge risikoen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-toksicitet. Hvis en patient har modtaget samtidig behandling med en moderat eller potent hæmmer af CYP3A4 eller med en hæmmer af P-</w:t>
      </w:r>
      <w:proofErr w:type="spellStart"/>
      <w:r w:rsidRPr="00A97069">
        <w:rPr>
          <w:sz w:val="24"/>
          <w:szCs w:val="24"/>
        </w:rPr>
        <w:t>glykoprotein</w:t>
      </w:r>
      <w:proofErr w:type="spellEnd"/>
      <w:r w:rsidRPr="00A97069">
        <w:rPr>
          <w:sz w:val="24"/>
          <w:szCs w:val="24"/>
        </w:rPr>
        <w:t xml:space="preserve">, skal den maksimale dosis af oralt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mindskes og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2741AE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Patienter med nyresygdom</w:t>
      </w:r>
    </w:p>
    <w:p w:rsidR="006D6E23" w:rsidRPr="00A97069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patienter med mild til moderat nyresygdom, skal startdosis reduceres med 50 % (f.eks. ≤ 1 mg/dag), og dosis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 Se kontraindikationer, pkt. 4.3 vedrørende alvorlig nyresygdom.</w:t>
      </w:r>
    </w:p>
    <w:p w:rsidR="006D6E23" w:rsidRPr="00A97069" w:rsidRDefault="006D6E23" w:rsidP="006D6E23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6D6E23" w:rsidRPr="002741AE" w:rsidRDefault="006D6E23" w:rsidP="006D6E2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2741AE">
        <w:rPr>
          <w:sz w:val="24"/>
          <w:szCs w:val="24"/>
          <w:u w:val="single"/>
        </w:rPr>
        <w:t>Patienter med leversygdom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patienter med mild til moderat leversygdom, skal startdosis reduceres med 50 % (f.eks. ≤ 1 mg/dag), og dosis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 Se kontraindikationer pkt. 4.3 vedrørende alvorlig leversygdom.</w:t>
      </w:r>
    </w:p>
    <w:p w:rsidR="006D6E23" w:rsidRPr="00A97069" w:rsidRDefault="006D6E23" w:rsidP="006D6E23">
      <w:pPr>
        <w:ind w:left="851" w:hanging="851"/>
        <w:rPr>
          <w:sz w:val="24"/>
          <w:szCs w:val="24"/>
          <w:u w:val="single"/>
        </w:rPr>
      </w:pPr>
    </w:p>
    <w:p w:rsidR="006D6E23" w:rsidRPr="00A97069" w:rsidRDefault="006D6E23" w:rsidP="006D6E23">
      <w:pPr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Administration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>
        <w:rPr>
          <w:sz w:val="24"/>
          <w:szCs w:val="24"/>
        </w:rPr>
        <w:t>Oral anvendelse.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Tabletten synkes med et glas vand.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Hos børn under 1 år kan en oral opløsning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overvejes.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lastRenderedPageBreak/>
        <w:t>4.3</w:t>
      </w:r>
      <w:r w:rsidRPr="00A97069">
        <w:rPr>
          <w:b/>
          <w:sz w:val="24"/>
          <w:szCs w:val="24"/>
        </w:rPr>
        <w:tab/>
        <w:t>Kontraindikationer</w:t>
      </w:r>
    </w:p>
    <w:p w:rsidR="006D6E23" w:rsidRPr="00A97069" w:rsidRDefault="006D6E23" w:rsidP="006D6E23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Overfølsomhed over for det aktive stof eller over for et eller flere af hjælpestofferne anført i pkt. 6.1.</w:t>
      </w:r>
    </w:p>
    <w:p w:rsidR="006D6E23" w:rsidRPr="00A97069" w:rsidRDefault="006D6E23" w:rsidP="006D6E23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 xml:space="preserve">Patienter med </w:t>
      </w:r>
      <w:proofErr w:type="spellStart"/>
      <w:r w:rsidRPr="00A97069">
        <w:rPr>
          <w:rFonts w:ascii="Times New Roman" w:hAnsi="Times New Roman" w:cs="Times New Roman"/>
          <w:sz w:val="24"/>
          <w:szCs w:val="24"/>
          <w:lang w:val="da-DK"/>
        </w:rPr>
        <w:t>bloddyskrasier</w:t>
      </w:r>
      <w:proofErr w:type="spellEnd"/>
    </w:p>
    <w:p w:rsidR="006D6E23" w:rsidRPr="00A97069" w:rsidRDefault="006D6E23" w:rsidP="006D6E23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Patienter med svært nedsat nyrefunktion</w:t>
      </w:r>
    </w:p>
    <w:p w:rsidR="006D6E23" w:rsidRPr="00A97069" w:rsidRDefault="006D6E23" w:rsidP="006D6E23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Patienter med svært nedsat leverfunktion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4.4</w:t>
      </w:r>
      <w:r w:rsidRPr="00A97069">
        <w:rPr>
          <w:b/>
          <w:sz w:val="24"/>
          <w:szCs w:val="24"/>
        </w:rPr>
        <w:tab/>
        <w:t>Særlige advarsler og forsigtighedsregler vedrørende brugen</w:t>
      </w:r>
    </w:p>
    <w:p w:rsidR="00297D17" w:rsidRPr="00A97069" w:rsidRDefault="00297D17" w:rsidP="00297D17">
      <w:pPr>
        <w:ind w:left="851"/>
        <w:rPr>
          <w:sz w:val="24"/>
          <w:szCs w:val="24"/>
          <w:lang w:eastAsia="nl-NL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er potentielt toksisk, og det er derfor vigtigt ikke at overskride den dosis, der er ordineret af en læge med den nødvendige viden og erfaring.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har et smalt terapeutisk vindue. Administrationen bør ophøre, hvis der opstår toksiske symptomer som f.eks. kvalme, opkastning, mavesmerter og diarré.</w:t>
      </w:r>
    </w:p>
    <w:p w:rsidR="00297D17" w:rsidRPr="00A97069" w:rsidRDefault="00297D17" w:rsidP="00297D17">
      <w:pPr>
        <w:ind w:left="851" w:hanging="851"/>
        <w:rPr>
          <w:sz w:val="24"/>
          <w:szCs w:val="24"/>
        </w:rPr>
      </w:pPr>
    </w:p>
    <w:p w:rsidR="00297D17" w:rsidRPr="00A97069" w:rsidRDefault="00297D17" w:rsidP="00297D17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Hvis patienterne udvikler tegn eller symptomer, der kunne indicere en </w:t>
      </w:r>
      <w:proofErr w:type="spellStart"/>
      <w:r w:rsidRPr="00A97069">
        <w:rPr>
          <w:sz w:val="24"/>
          <w:szCs w:val="24"/>
        </w:rPr>
        <w:t>blodcelledyskrasi</w:t>
      </w:r>
      <w:proofErr w:type="spellEnd"/>
      <w:r w:rsidRPr="00A97069">
        <w:rPr>
          <w:sz w:val="24"/>
          <w:szCs w:val="24"/>
        </w:rPr>
        <w:t xml:space="preserve">, f.eks. feber, </w:t>
      </w:r>
      <w:proofErr w:type="spellStart"/>
      <w:r w:rsidRPr="00A97069">
        <w:rPr>
          <w:sz w:val="24"/>
          <w:szCs w:val="24"/>
        </w:rPr>
        <w:t>stomatitis</w:t>
      </w:r>
      <w:proofErr w:type="spellEnd"/>
      <w:r w:rsidRPr="00A97069">
        <w:rPr>
          <w:sz w:val="24"/>
          <w:szCs w:val="24"/>
        </w:rPr>
        <w:t xml:space="preserve">, ondt i halsen eller længerevarende blødning, bør behandling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ophøre omgående, og der bør straks foretages en fuldstændig hæmatologisk undersøgelse.</w:t>
      </w:r>
    </w:p>
    <w:p w:rsidR="00297D17" w:rsidRPr="00A97069" w:rsidRDefault="00297D17" w:rsidP="00297D17">
      <w:pPr>
        <w:ind w:left="851" w:hanging="851"/>
        <w:rPr>
          <w:sz w:val="24"/>
          <w:szCs w:val="24"/>
        </w:rPr>
      </w:pPr>
    </w:p>
    <w:p w:rsidR="00297D17" w:rsidRPr="00A97069" w:rsidRDefault="00297D17" w:rsidP="00297D17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Der rådes til forsigtighed i tilfælde af:</w:t>
      </w:r>
    </w:p>
    <w:p w:rsidR="00297D17" w:rsidRPr="00A97069" w:rsidRDefault="00297D17" w:rsidP="00297D1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Nedsat lever- eller nyrefunktion</w:t>
      </w:r>
    </w:p>
    <w:p w:rsidR="00297D17" w:rsidRPr="00A97069" w:rsidRDefault="00297D17" w:rsidP="00297D1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A97069">
        <w:rPr>
          <w:rFonts w:ascii="Times New Roman" w:hAnsi="Times New Roman" w:cs="Times New Roman"/>
          <w:sz w:val="24"/>
          <w:szCs w:val="24"/>
          <w:lang w:val="da-DK"/>
        </w:rPr>
        <w:t>Kardiovaskulær</w:t>
      </w:r>
      <w:proofErr w:type="spellEnd"/>
      <w:r w:rsidRPr="00A97069">
        <w:rPr>
          <w:rFonts w:ascii="Times New Roman" w:hAnsi="Times New Roman" w:cs="Times New Roman"/>
          <w:sz w:val="24"/>
          <w:szCs w:val="24"/>
          <w:lang w:val="da-DK"/>
        </w:rPr>
        <w:t xml:space="preserve"> sygdom</w:t>
      </w:r>
    </w:p>
    <w:p w:rsidR="00297D17" w:rsidRPr="00A97069" w:rsidRDefault="00297D17" w:rsidP="00297D1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A97069">
        <w:rPr>
          <w:rFonts w:ascii="Times New Roman" w:hAnsi="Times New Roman" w:cs="Times New Roman"/>
          <w:sz w:val="24"/>
          <w:szCs w:val="24"/>
          <w:lang w:val="da-DK"/>
        </w:rPr>
        <w:t>Gastrointestinale</w:t>
      </w:r>
      <w:proofErr w:type="spellEnd"/>
      <w:r w:rsidRPr="00A97069">
        <w:rPr>
          <w:rFonts w:ascii="Times New Roman" w:hAnsi="Times New Roman" w:cs="Times New Roman"/>
          <w:sz w:val="24"/>
          <w:szCs w:val="24"/>
          <w:lang w:val="da-DK"/>
        </w:rPr>
        <w:t xml:space="preserve"> lidelser</w:t>
      </w:r>
    </w:p>
    <w:p w:rsidR="00297D17" w:rsidRPr="00A97069" w:rsidRDefault="00297D17" w:rsidP="00297D1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Ældre og svækkede patienter</w:t>
      </w:r>
    </w:p>
    <w:p w:rsidR="00297D17" w:rsidRPr="00A97069" w:rsidRDefault="00297D17" w:rsidP="00297D1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A97069">
        <w:rPr>
          <w:rFonts w:ascii="Times New Roman" w:hAnsi="Times New Roman" w:cs="Times New Roman"/>
          <w:sz w:val="24"/>
          <w:szCs w:val="24"/>
          <w:lang w:val="da-DK"/>
        </w:rPr>
        <w:t>Patienter med unormale blodtællinger</w:t>
      </w:r>
    </w:p>
    <w:p w:rsidR="00297D17" w:rsidRPr="00A97069" w:rsidRDefault="00297D17" w:rsidP="00297D17">
      <w:pPr>
        <w:ind w:left="851" w:hanging="851"/>
        <w:rPr>
          <w:sz w:val="24"/>
          <w:szCs w:val="24"/>
        </w:rPr>
      </w:pPr>
    </w:p>
    <w:p w:rsidR="00297D17" w:rsidRPr="00A97069" w:rsidRDefault="00297D17" w:rsidP="00297D17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kan medføre alvorlig knoglemarvsdepression (</w:t>
      </w:r>
      <w:proofErr w:type="spellStart"/>
      <w:r w:rsidRPr="00A97069">
        <w:rPr>
          <w:sz w:val="24"/>
          <w:szCs w:val="24"/>
        </w:rPr>
        <w:t>agranulocytose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aplastisk</w:t>
      </w:r>
      <w:proofErr w:type="spellEnd"/>
      <w:r w:rsidRPr="00A97069">
        <w:rPr>
          <w:sz w:val="24"/>
          <w:szCs w:val="24"/>
        </w:rPr>
        <w:t xml:space="preserve"> anæmi, </w:t>
      </w:r>
      <w:proofErr w:type="spellStart"/>
      <w:r w:rsidRPr="00A97069">
        <w:rPr>
          <w:sz w:val="24"/>
          <w:szCs w:val="24"/>
        </w:rPr>
        <w:t>trombocytopeni</w:t>
      </w:r>
      <w:proofErr w:type="spellEnd"/>
      <w:r w:rsidRPr="00A97069">
        <w:rPr>
          <w:sz w:val="24"/>
          <w:szCs w:val="24"/>
        </w:rPr>
        <w:t xml:space="preserve">). Forandringer i blodtællinger kan være gradvise eller meget pludselige. Særligt </w:t>
      </w:r>
      <w:proofErr w:type="spellStart"/>
      <w:r w:rsidRPr="00A97069">
        <w:rPr>
          <w:sz w:val="24"/>
          <w:szCs w:val="24"/>
        </w:rPr>
        <w:t>aplastisk</w:t>
      </w:r>
      <w:proofErr w:type="spellEnd"/>
      <w:r w:rsidRPr="00A97069">
        <w:rPr>
          <w:sz w:val="24"/>
          <w:szCs w:val="24"/>
        </w:rPr>
        <w:t xml:space="preserve"> anæmi har en høj dødelighed. Periodiske kontroller af blodtællinger er essentielt. Hvis der forekommer hudabnormiteter (</w:t>
      </w:r>
      <w:proofErr w:type="spellStart"/>
      <w:r w:rsidRPr="00A97069">
        <w:rPr>
          <w:sz w:val="24"/>
          <w:szCs w:val="24"/>
        </w:rPr>
        <w:t>petekkier</w:t>
      </w:r>
      <w:proofErr w:type="spellEnd"/>
      <w:r w:rsidRPr="00A97069">
        <w:rPr>
          <w:sz w:val="24"/>
          <w:szCs w:val="24"/>
        </w:rPr>
        <w:t>), bør blodtællingen kontrolleres omgående.</w:t>
      </w:r>
    </w:p>
    <w:p w:rsidR="00297D17" w:rsidRPr="00A97069" w:rsidRDefault="00297D17" w:rsidP="00297D17">
      <w:pPr>
        <w:ind w:left="851" w:hanging="851"/>
        <w:rPr>
          <w:sz w:val="24"/>
          <w:szCs w:val="24"/>
        </w:rPr>
      </w:pPr>
    </w:p>
    <w:p w:rsidR="00297D17" w:rsidRPr="00A97069" w:rsidRDefault="00297D17" w:rsidP="00297D17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Makrolider, CYP3A4-hæmmere, </w:t>
      </w:r>
      <w:proofErr w:type="spellStart"/>
      <w:r w:rsidRPr="00A97069">
        <w:rPr>
          <w:sz w:val="24"/>
          <w:szCs w:val="24"/>
        </w:rPr>
        <w:t>ciclosporin</w:t>
      </w:r>
      <w:proofErr w:type="spellEnd"/>
      <w:r w:rsidRPr="00A97069">
        <w:rPr>
          <w:sz w:val="24"/>
          <w:szCs w:val="24"/>
        </w:rPr>
        <w:t>, HIV-</w:t>
      </w:r>
      <w:proofErr w:type="spellStart"/>
      <w:r w:rsidRPr="00A97069">
        <w:rPr>
          <w:sz w:val="24"/>
          <w:szCs w:val="24"/>
        </w:rPr>
        <w:t>proteasehæmmere</w:t>
      </w:r>
      <w:proofErr w:type="spellEnd"/>
      <w:r w:rsidRPr="00A97069">
        <w:rPr>
          <w:sz w:val="24"/>
          <w:szCs w:val="24"/>
        </w:rPr>
        <w:t>, calciumkanal</w:t>
      </w:r>
      <w:r>
        <w:rPr>
          <w:sz w:val="24"/>
          <w:szCs w:val="24"/>
        </w:rPr>
        <w:softHyphen/>
      </w:r>
      <w:r w:rsidRPr="00A97069">
        <w:rPr>
          <w:sz w:val="24"/>
          <w:szCs w:val="24"/>
        </w:rPr>
        <w:t xml:space="preserve">blokkere og </w:t>
      </w:r>
      <w:proofErr w:type="spellStart"/>
      <w:r w:rsidRPr="00A97069">
        <w:rPr>
          <w:sz w:val="24"/>
          <w:szCs w:val="24"/>
        </w:rPr>
        <w:t>statiner</w:t>
      </w:r>
      <w:proofErr w:type="spellEnd"/>
      <w:r w:rsidRPr="00A97069">
        <w:rPr>
          <w:sz w:val="24"/>
          <w:szCs w:val="24"/>
        </w:rPr>
        <w:t xml:space="preserve"> kan forårsage klinisk signifikante interaktioner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, som kan føre til </w:t>
      </w:r>
      <w:proofErr w:type="spellStart"/>
      <w:r w:rsidRPr="00A97069">
        <w:rPr>
          <w:sz w:val="24"/>
          <w:szCs w:val="24"/>
        </w:rPr>
        <w:t>colchicininduceret</w:t>
      </w:r>
      <w:proofErr w:type="spellEnd"/>
      <w:r w:rsidRPr="00A97069">
        <w:rPr>
          <w:sz w:val="24"/>
          <w:szCs w:val="24"/>
        </w:rPr>
        <w:t xml:space="preserve"> toksicitet (se pkt. 4.5).</w:t>
      </w:r>
    </w:p>
    <w:p w:rsidR="00297D17" w:rsidRPr="00A97069" w:rsidRDefault="00297D17" w:rsidP="00297D17">
      <w:pPr>
        <w:ind w:left="851" w:hanging="851"/>
        <w:rPr>
          <w:sz w:val="24"/>
          <w:szCs w:val="24"/>
        </w:rPr>
      </w:pPr>
    </w:p>
    <w:p w:rsidR="00297D17" w:rsidRPr="00A97069" w:rsidRDefault="00297D17" w:rsidP="00297D17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Samtidig administration med P-gp-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og/eller stærke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CYP3A4 vil øge eksponeringen over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som kan føre til </w:t>
      </w:r>
      <w:proofErr w:type="spellStart"/>
      <w:r w:rsidRPr="00A97069">
        <w:rPr>
          <w:sz w:val="24"/>
          <w:szCs w:val="24"/>
        </w:rPr>
        <w:t>colchicininduceret</w:t>
      </w:r>
      <w:proofErr w:type="spellEnd"/>
      <w:r w:rsidRPr="00A97069">
        <w:rPr>
          <w:sz w:val="24"/>
          <w:szCs w:val="24"/>
        </w:rPr>
        <w:t xml:space="preserve"> toksicitet og dødsfald. Hvis behandlingen med en P-gp-hæmmer eller en stærk hæmmer af CYP3A4 kræves for patienter med normal nyre- og/eller leverfunktion, anbefales en reduktion i dosis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4.2 og pkt. 4.5), og patienter skal overvåges nøje for bivirkninger i forbindelse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297D17" w:rsidRPr="00A97069" w:rsidRDefault="00297D17" w:rsidP="00297D17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For patienter med svækket nyre- eller leverfunktion skal kombinationen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og P-gp-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og/eller kraftige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CYP3A4 undgås, hvis det på nogen måde er muligt, eftersom det kan være vanskeligt at forudsige og kontrollere systemisk eksponering over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. I de særlige tilfælde, hvor det kan være fordelagtigt at fortsætte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, når der startes på P-gp-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og/eller stærke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af CYP3A4, på trods af den potentielle risiko for overdosis, skal signifikante dosisreduktioner af dosis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og nøje klinisk overvågning anvendes.</w:t>
      </w:r>
    </w:p>
    <w:p w:rsidR="00297D17" w:rsidRPr="00A97069" w:rsidRDefault="00297D17" w:rsidP="00297D17">
      <w:pPr>
        <w:ind w:left="851" w:hanging="851"/>
        <w:rPr>
          <w:sz w:val="24"/>
          <w:szCs w:val="24"/>
        </w:rPr>
      </w:pPr>
    </w:p>
    <w:p w:rsidR="00297D17" w:rsidRPr="00A97069" w:rsidRDefault="00297D17" w:rsidP="00297D17">
      <w:pPr>
        <w:ind w:left="851"/>
        <w:rPr>
          <w:i/>
          <w:sz w:val="24"/>
          <w:szCs w:val="24"/>
        </w:rPr>
      </w:pPr>
      <w:r w:rsidRPr="00A97069">
        <w:rPr>
          <w:i/>
          <w:sz w:val="24"/>
          <w:szCs w:val="24"/>
        </w:rPr>
        <w:t xml:space="preserve">I tilfælde af 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til akut urinsur gigt eller som profylakse i behandlingen af et urinsyregigtanfald under indledning af uratsyrenedsættende behandling</w:t>
      </w:r>
    </w:p>
    <w:p w:rsidR="00297D17" w:rsidRPr="00A97069" w:rsidRDefault="00297D17" w:rsidP="00297D17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lastRenderedPageBreak/>
        <w:t>Patienter bør informeres grundigt om de potentielle risici</w:t>
      </w:r>
      <w:r w:rsidRPr="00A97069">
        <w:rPr>
          <w:i/>
          <w:sz w:val="24"/>
          <w:szCs w:val="24"/>
        </w:rPr>
        <w:t xml:space="preserve"> </w:t>
      </w:r>
      <w:r w:rsidRPr="00A97069">
        <w:rPr>
          <w:sz w:val="24"/>
          <w:szCs w:val="24"/>
        </w:rPr>
        <w:t xml:space="preserve">i forbindelse med en eventuel graviditet og om de præventive forholdsregler, der skal følges. Kvindelige patienter skal anvende effektive præventionsmidler under og i mindst tre måneder efter </w:t>
      </w:r>
      <w:proofErr w:type="spellStart"/>
      <w:r w:rsidRPr="00A97069">
        <w:rPr>
          <w:sz w:val="24"/>
          <w:szCs w:val="24"/>
        </w:rPr>
        <w:t>seponeringen</w:t>
      </w:r>
      <w:proofErr w:type="spellEnd"/>
      <w:r w:rsidRPr="00A97069">
        <w:rPr>
          <w:sz w:val="24"/>
          <w:szCs w:val="24"/>
        </w:rPr>
        <w:t xml:space="preserve"> af behandlingen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4.6). På grundlag af bekymringer vedrørende en potentiel beskadigelse af sædceller (se pkt. 5.3) må mandlige patienter ikke få børn under og i mindst tre måneder efter afbrydelse af behandlingen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4.6).</w:t>
      </w:r>
    </w:p>
    <w:p w:rsidR="00297D17" w:rsidRPr="00A97069" w:rsidRDefault="00297D17" w:rsidP="00297D17">
      <w:pPr>
        <w:ind w:left="851" w:hanging="851"/>
        <w:rPr>
          <w:sz w:val="24"/>
          <w:szCs w:val="24"/>
        </w:rPr>
      </w:pPr>
    </w:p>
    <w:p w:rsidR="00297D17" w:rsidRPr="00A97069" w:rsidRDefault="00297D17" w:rsidP="00297D17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Langvarig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kan være forbundet med mangel på B12-vitamin.</w:t>
      </w:r>
    </w:p>
    <w:p w:rsidR="00297D17" w:rsidRPr="00A97069" w:rsidRDefault="00297D17" w:rsidP="00297D17">
      <w:pPr>
        <w:ind w:left="851" w:hanging="851"/>
        <w:rPr>
          <w:sz w:val="24"/>
          <w:szCs w:val="24"/>
        </w:rPr>
      </w:pPr>
    </w:p>
    <w:p w:rsidR="00297D17" w:rsidRPr="00A97069" w:rsidRDefault="00297D17" w:rsidP="00297D17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Pædiatrisk population</w:t>
      </w:r>
    </w:p>
    <w:p w:rsidR="00297D17" w:rsidRPr="00A97069" w:rsidRDefault="00297D17" w:rsidP="00297D17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Der foreligger ikke langtidssikkerhedsdata hos pædiatriske patienter.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hos børn er primært indiceret for indikationen familiær middelhavsfeber.</w:t>
      </w:r>
    </w:p>
    <w:p w:rsidR="00297D17" w:rsidRPr="003113A0" w:rsidRDefault="00297D17" w:rsidP="00297D17">
      <w:pPr>
        <w:tabs>
          <w:tab w:val="left" w:pos="851"/>
        </w:tabs>
        <w:ind w:left="851"/>
        <w:rPr>
          <w:sz w:val="24"/>
          <w:szCs w:val="24"/>
        </w:rPr>
      </w:pPr>
    </w:p>
    <w:p w:rsidR="00297D17" w:rsidRPr="00260F90" w:rsidRDefault="00297D17" w:rsidP="00297D17">
      <w:pPr>
        <w:tabs>
          <w:tab w:val="left" w:pos="-1440"/>
          <w:tab w:val="left" w:pos="-720"/>
          <w:tab w:val="left" w:pos="0"/>
          <w:tab w:val="left" w:pos="340"/>
          <w:tab w:val="left" w:pos="1440"/>
        </w:tabs>
        <w:ind w:left="851"/>
        <w:rPr>
          <w:b/>
          <w:sz w:val="24"/>
          <w:szCs w:val="24"/>
        </w:rPr>
      </w:pPr>
      <w:r w:rsidRPr="00260F90">
        <w:rPr>
          <w:b/>
          <w:bCs/>
          <w:sz w:val="24"/>
          <w:szCs w:val="24"/>
          <w:lang w:val="nl-NL"/>
        </w:rPr>
        <w:t>Colchicin Tiofarma indeholder lactose</w:t>
      </w:r>
    </w:p>
    <w:p w:rsidR="00297D17" w:rsidRPr="00260F90" w:rsidRDefault="00297D17" w:rsidP="00297D17">
      <w:pPr>
        <w:ind w:left="851"/>
        <w:rPr>
          <w:sz w:val="24"/>
          <w:szCs w:val="24"/>
        </w:rPr>
      </w:pPr>
      <w:r w:rsidRPr="00260F90">
        <w:rPr>
          <w:sz w:val="24"/>
          <w:szCs w:val="24"/>
        </w:rPr>
        <w:t xml:space="preserve">Bør ikke anvendes til </w:t>
      </w:r>
      <w:r w:rsidRPr="00260F90">
        <w:rPr>
          <w:sz w:val="24"/>
          <w:szCs w:val="24"/>
        </w:rPr>
        <w:t xml:space="preserve">patienter med hereditær </w:t>
      </w:r>
      <w:proofErr w:type="spellStart"/>
      <w:r w:rsidRPr="00260F90">
        <w:rPr>
          <w:sz w:val="24"/>
          <w:szCs w:val="24"/>
        </w:rPr>
        <w:t>galactoseintolerans</w:t>
      </w:r>
      <w:proofErr w:type="spellEnd"/>
      <w:r w:rsidRPr="00260F90">
        <w:rPr>
          <w:sz w:val="24"/>
          <w:szCs w:val="24"/>
        </w:rPr>
        <w:t xml:space="preserve">, total </w:t>
      </w:r>
      <w:proofErr w:type="spellStart"/>
      <w:r w:rsidRPr="00260F90">
        <w:rPr>
          <w:sz w:val="24"/>
          <w:szCs w:val="24"/>
        </w:rPr>
        <w:t>lactasemangel</w:t>
      </w:r>
      <w:proofErr w:type="spellEnd"/>
      <w:r w:rsidRPr="00260F90">
        <w:rPr>
          <w:sz w:val="24"/>
          <w:szCs w:val="24"/>
        </w:rPr>
        <w:t xml:space="preserve"> eller </w:t>
      </w:r>
      <w:proofErr w:type="spellStart"/>
      <w:r w:rsidRPr="00260F90">
        <w:rPr>
          <w:sz w:val="24"/>
          <w:szCs w:val="24"/>
        </w:rPr>
        <w:t>glucose</w:t>
      </w:r>
      <w:proofErr w:type="spellEnd"/>
      <w:r w:rsidRPr="00260F90">
        <w:rPr>
          <w:sz w:val="24"/>
          <w:szCs w:val="24"/>
        </w:rPr>
        <w:t>/</w:t>
      </w:r>
      <w:proofErr w:type="spellStart"/>
      <w:r w:rsidRPr="00260F90">
        <w:rPr>
          <w:sz w:val="24"/>
          <w:szCs w:val="24"/>
        </w:rPr>
        <w:t>galactosemalabsorption</w:t>
      </w:r>
      <w:proofErr w:type="spellEnd"/>
      <w:r w:rsidRPr="00260F90">
        <w:rPr>
          <w:sz w:val="24"/>
          <w:szCs w:val="24"/>
        </w:rPr>
        <w:t>.</w:t>
      </w:r>
    </w:p>
    <w:p w:rsidR="00297D17" w:rsidRPr="00260F90" w:rsidRDefault="00297D17" w:rsidP="00297D17">
      <w:pPr>
        <w:tabs>
          <w:tab w:val="left" w:pos="-1440"/>
          <w:tab w:val="left" w:pos="-720"/>
          <w:tab w:val="left" w:pos="0"/>
          <w:tab w:val="left" w:pos="340"/>
          <w:tab w:val="left" w:pos="1440"/>
        </w:tabs>
        <w:rPr>
          <w:sz w:val="24"/>
          <w:szCs w:val="24"/>
        </w:rPr>
      </w:pPr>
    </w:p>
    <w:p w:rsidR="00297D17" w:rsidRPr="00260F90" w:rsidRDefault="00297D17" w:rsidP="00297D17">
      <w:pPr>
        <w:tabs>
          <w:tab w:val="left" w:pos="-1440"/>
          <w:tab w:val="left" w:pos="-720"/>
          <w:tab w:val="left" w:pos="0"/>
          <w:tab w:val="left" w:pos="340"/>
          <w:tab w:val="left" w:pos="1440"/>
        </w:tabs>
        <w:ind w:left="851"/>
        <w:rPr>
          <w:sz w:val="24"/>
          <w:szCs w:val="24"/>
          <w:lang w:val="nl-NL"/>
        </w:rPr>
      </w:pPr>
      <w:r w:rsidRPr="00260F90">
        <w:rPr>
          <w:b/>
          <w:sz w:val="24"/>
          <w:szCs w:val="24"/>
          <w:lang w:val="nl-NL"/>
        </w:rPr>
        <w:t>Colchicin Tiofarma indeholder natrium</w:t>
      </w:r>
    </w:p>
    <w:p w:rsidR="00297D17" w:rsidRPr="003113A0" w:rsidRDefault="00297D17" w:rsidP="00297D17">
      <w:pPr>
        <w:tabs>
          <w:tab w:val="left" w:pos="-1440"/>
          <w:tab w:val="left" w:pos="-720"/>
          <w:tab w:val="left" w:pos="0"/>
          <w:tab w:val="left" w:pos="340"/>
          <w:tab w:val="left" w:pos="1440"/>
        </w:tabs>
        <w:ind w:left="851"/>
        <w:rPr>
          <w:sz w:val="24"/>
          <w:szCs w:val="24"/>
        </w:rPr>
      </w:pPr>
      <w:r w:rsidRPr="00260F90">
        <w:rPr>
          <w:sz w:val="24"/>
          <w:szCs w:val="24"/>
          <w:lang w:val="nl-NL"/>
        </w:rPr>
        <w:t>Dette lægemiddel indeholder mindre end 1 mmol (23 mg) natrium pr. tablet, dvs. det er i det væsentlige natriumfrit.</w:t>
      </w:r>
    </w:p>
    <w:p w:rsidR="00297D17" w:rsidRPr="003113A0" w:rsidRDefault="00297D17" w:rsidP="00297D17">
      <w:pPr>
        <w:tabs>
          <w:tab w:val="left" w:pos="851"/>
        </w:tabs>
        <w:ind w:left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4.5</w:t>
      </w:r>
      <w:r w:rsidRPr="00A97069">
        <w:rPr>
          <w:b/>
          <w:sz w:val="24"/>
          <w:szCs w:val="24"/>
        </w:rPr>
        <w:tab/>
        <w:t>Interaktion med andre lægemidler og andre former for interaktion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>Interaktioner med andre lægemidler er kun sparsomt eller slet ikke dokumenteret. Set i lyset af typen af bivirkninger bør der udvises forsigtighed ved samtidig administration af lægemidler, som kan påvirke blodtællingen eller har en negativ indvirkning på lever- og/eller nyrefunktionen.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Desuden kan stoffer som </w:t>
      </w:r>
      <w:proofErr w:type="spellStart"/>
      <w:r w:rsidRPr="00A97069">
        <w:rPr>
          <w:sz w:val="24"/>
          <w:szCs w:val="24"/>
        </w:rPr>
        <w:t>cimetidin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tolbutamid</w:t>
      </w:r>
      <w:proofErr w:type="spellEnd"/>
      <w:r w:rsidRPr="00A97069">
        <w:rPr>
          <w:sz w:val="24"/>
          <w:szCs w:val="24"/>
        </w:rPr>
        <w:t xml:space="preserve"> reducere </w:t>
      </w:r>
      <w:proofErr w:type="spellStart"/>
      <w:r w:rsidRPr="00A97069">
        <w:rPr>
          <w:sz w:val="24"/>
          <w:szCs w:val="24"/>
        </w:rPr>
        <w:t>colchicins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metabolisering</w:t>
      </w:r>
      <w:proofErr w:type="spellEnd"/>
      <w:r w:rsidRPr="00A97069">
        <w:rPr>
          <w:sz w:val="24"/>
          <w:szCs w:val="24"/>
        </w:rPr>
        <w:t xml:space="preserve">, og derved stiger plasmaniveauerne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er et substrat for både CYP3A4 og transportproteinet P-gp. Ved tilstedeværelse af CYP3A4- eller P-gp-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kan koncentrationen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i blodet stige. Toksicitet, inklusive fatale tilfælde, er rapporteret ved samtidig brug af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som makrolider (</w:t>
      </w:r>
      <w:proofErr w:type="spellStart"/>
      <w:r w:rsidRPr="00A97069">
        <w:rPr>
          <w:sz w:val="24"/>
          <w:szCs w:val="24"/>
        </w:rPr>
        <w:t>clarithromycin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erythromycin</w:t>
      </w:r>
      <w:proofErr w:type="spellEnd"/>
      <w:r w:rsidRPr="00A97069">
        <w:rPr>
          <w:sz w:val="24"/>
          <w:szCs w:val="24"/>
        </w:rPr>
        <w:t xml:space="preserve">), </w:t>
      </w:r>
      <w:proofErr w:type="spellStart"/>
      <w:r w:rsidRPr="00A97069">
        <w:rPr>
          <w:sz w:val="24"/>
          <w:szCs w:val="24"/>
        </w:rPr>
        <w:t>ciclosporin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ketoconazol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itraconazol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voriconazol</w:t>
      </w:r>
      <w:proofErr w:type="spellEnd"/>
      <w:r w:rsidRPr="00A97069">
        <w:rPr>
          <w:sz w:val="24"/>
          <w:szCs w:val="24"/>
        </w:rPr>
        <w:t>, HIV-</w:t>
      </w:r>
      <w:proofErr w:type="spellStart"/>
      <w:r w:rsidRPr="00A97069">
        <w:rPr>
          <w:sz w:val="24"/>
          <w:szCs w:val="24"/>
        </w:rPr>
        <w:t>proteasehæmmere</w:t>
      </w:r>
      <w:proofErr w:type="spellEnd"/>
      <w:r w:rsidRPr="00A97069">
        <w:rPr>
          <w:sz w:val="24"/>
          <w:szCs w:val="24"/>
        </w:rPr>
        <w:t xml:space="preserve"> og calciumkanalantagonister som </w:t>
      </w:r>
      <w:proofErr w:type="spellStart"/>
      <w:r w:rsidRPr="00A97069">
        <w:rPr>
          <w:sz w:val="24"/>
          <w:szCs w:val="24"/>
        </w:rPr>
        <w:t>verapamil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diltiazem</w:t>
      </w:r>
      <w:proofErr w:type="spellEnd"/>
      <w:r>
        <w:rPr>
          <w:sz w:val="24"/>
          <w:szCs w:val="24"/>
        </w:rPr>
        <w:t xml:space="preserve">. Det er blevet rapporteret, at samtidig administration af </w:t>
      </w: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colchicin</w:t>
      </w:r>
      <w:proofErr w:type="spellEnd"/>
      <w:r>
        <w:rPr>
          <w:sz w:val="24"/>
          <w:szCs w:val="24"/>
        </w:rPr>
        <w:t xml:space="preserve"> fører til forhøjede serumniveauer af </w:t>
      </w:r>
      <w:proofErr w:type="spellStart"/>
      <w:r>
        <w:rPr>
          <w:sz w:val="24"/>
          <w:szCs w:val="24"/>
        </w:rPr>
        <w:t>colchicin</w:t>
      </w:r>
      <w:proofErr w:type="spellEnd"/>
      <w:r>
        <w:rPr>
          <w:sz w:val="24"/>
          <w:szCs w:val="24"/>
        </w:rPr>
        <w:t xml:space="preserve">. Under behandling med </w:t>
      </w:r>
      <w:proofErr w:type="spellStart"/>
      <w:r>
        <w:rPr>
          <w:sz w:val="24"/>
          <w:szCs w:val="24"/>
        </w:rPr>
        <w:t>azithromycin</w:t>
      </w:r>
      <w:proofErr w:type="spellEnd"/>
      <w:r>
        <w:rPr>
          <w:sz w:val="24"/>
          <w:szCs w:val="24"/>
        </w:rPr>
        <w:t xml:space="preserve"> og efter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er klinisk opfølgning og potentiel opfølgning af serumniveauer af </w:t>
      </w:r>
      <w:proofErr w:type="spellStart"/>
      <w:r>
        <w:rPr>
          <w:sz w:val="24"/>
          <w:szCs w:val="24"/>
        </w:rPr>
        <w:t>colchicin</w:t>
      </w:r>
      <w:proofErr w:type="spellEnd"/>
      <w:r>
        <w:rPr>
          <w:sz w:val="24"/>
          <w:szCs w:val="24"/>
        </w:rPr>
        <w:t xml:space="preserve"> nødvendig</w:t>
      </w:r>
      <w:r w:rsidRPr="00A97069">
        <w:rPr>
          <w:sz w:val="24"/>
          <w:szCs w:val="24"/>
        </w:rPr>
        <w:t xml:space="preserve"> (se pkt. 4.4).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Grapefrugtjuice kan øge plasmaniveauerne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. Grapefrugtjuice bør derfor ikke tages sammen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>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Hvis behandling med en P-gp-hæmmer (f.eks. </w:t>
      </w:r>
      <w:proofErr w:type="spellStart"/>
      <w:r w:rsidRPr="00A97069">
        <w:rPr>
          <w:sz w:val="24"/>
          <w:szCs w:val="24"/>
        </w:rPr>
        <w:t>ciclosporin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verapamil</w:t>
      </w:r>
      <w:proofErr w:type="spellEnd"/>
      <w:r w:rsidRPr="00A97069">
        <w:rPr>
          <w:sz w:val="24"/>
          <w:szCs w:val="24"/>
        </w:rPr>
        <w:t xml:space="preserve"> eller </w:t>
      </w:r>
      <w:proofErr w:type="spellStart"/>
      <w:r w:rsidRPr="00A97069">
        <w:rPr>
          <w:sz w:val="24"/>
          <w:szCs w:val="24"/>
        </w:rPr>
        <w:t>quinidin</w:t>
      </w:r>
      <w:proofErr w:type="spellEnd"/>
      <w:r w:rsidRPr="00A97069">
        <w:rPr>
          <w:sz w:val="24"/>
          <w:szCs w:val="24"/>
        </w:rPr>
        <w:t xml:space="preserve">) eller stærk CYP3A4-hæmmer (f.eks. </w:t>
      </w:r>
      <w:proofErr w:type="spellStart"/>
      <w:r w:rsidRPr="00A97069">
        <w:rPr>
          <w:sz w:val="24"/>
          <w:szCs w:val="24"/>
        </w:rPr>
        <w:t>ritonavir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atazanavir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indinavir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clarithromycin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telithromycin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itraconazol</w:t>
      </w:r>
      <w:proofErr w:type="spellEnd"/>
      <w:r w:rsidRPr="00A97069">
        <w:rPr>
          <w:sz w:val="24"/>
          <w:szCs w:val="24"/>
        </w:rPr>
        <w:t xml:space="preserve"> eller </w:t>
      </w:r>
      <w:proofErr w:type="spellStart"/>
      <w:r w:rsidRPr="00A97069">
        <w:rPr>
          <w:sz w:val="24"/>
          <w:szCs w:val="24"/>
        </w:rPr>
        <w:t>ketaconazol</w:t>
      </w:r>
      <w:proofErr w:type="spellEnd"/>
      <w:r w:rsidRPr="00A97069">
        <w:rPr>
          <w:sz w:val="24"/>
          <w:szCs w:val="24"/>
        </w:rPr>
        <w:t xml:space="preserve">) er nødvendig hos patienter med normal nyre- eller leverfunktion, kan justering af </w:t>
      </w:r>
      <w:proofErr w:type="spellStart"/>
      <w:r w:rsidRPr="00A97069">
        <w:rPr>
          <w:sz w:val="24"/>
          <w:szCs w:val="24"/>
        </w:rPr>
        <w:t>colchicindosis</w:t>
      </w:r>
      <w:proofErr w:type="spellEnd"/>
      <w:r w:rsidRPr="00A97069">
        <w:rPr>
          <w:sz w:val="24"/>
          <w:szCs w:val="24"/>
        </w:rPr>
        <w:t xml:space="preserve"> være nødvendig. Samtidig brug af sådanne </w:t>
      </w:r>
      <w:proofErr w:type="spellStart"/>
      <w:r w:rsidRPr="00A97069">
        <w:rPr>
          <w:sz w:val="24"/>
          <w:szCs w:val="24"/>
        </w:rPr>
        <w:t>hæmmere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bør undgås hos patienter med nyre- eller leverskade (se pkt. 4.4).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lastRenderedPageBreak/>
        <w:t xml:space="preserve">Reversibel </w:t>
      </w:r>
      <w:proofErr w:type="spellStart"/>
      <w:r w:rsidRPr="00A97069">
        <w:rPr>
          <w:sz w:val="24"/>
          <w:szCs w:val="24"/>
        </w:rPr>
        <w:t>malabsorption</w:t>
      </w:r>
      <w:proofErr w:type="spellEnd"/>
      <w:r w:rsidRPr="00A97069">
        <w:rPr>
          <w:sz w:val="24"/>
          <w:szCs w:val="24"/>
        </w:rPr>
        <w:t xml:space="preserve"> af </w:t>
      </w:r>
      <w:proofErr w:type="spellStart"/>
      <w:r w:rsidRPr="00A97069">
        <w:rPr>
          <w:sz w:val="24"/>
          <w:szCs w:val="24"/>
        </w:rPr>
        <w:t>cyanocobalamin</w:t>
      </w:r>
      <w:proofErr w:type="spellEnd"/>
      <w:r w:rsidRPr="00A97069">
        <w:rPr>
          <w:sz w:val="24"/>
          <w:szCs w:val="24"/>
        </w:rPr>
        <w:t xml:space="preserve"> (B12-vitamin) kan induceres af en ændret funktion i tarmslimhinden.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Risikoen for </w:t>
      </w:r>
      <w:proofErr w:type="spellStart"/>
      <w:r w:rsidRPr="00A97069">
        <w:rPr>
          <w:sz w:val="24"/>
          <w:szCs w:val="24"/>
        </w:rPr>
        <w:t>myopati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rhabdomyolyse</w:t>
      </w:r>
      <w:proofErr w:type="spellEnd"/>
      <w:r w:rsidRPr="00A97069">
        <w:rPr>
          <w:sz w:val="24"/>
          <w:szCs w:val="24"/>
        </w:rPr>
        <w:t xml:space="preserve"> øges, når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kombineres med </w:t>
      </w:r>
      <w:proofErr w:type="spellStart"/>
      <w:r w:rsidRPr="00A97069">
        <w:rPr>
          <w:sz w:val="24"/>
          <w:szCs w:val="24"/>
        </w:rPr>
        <w:t>statiner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fibrater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ciclosporin</w:t>
      </w:r>
      <w:proofErr w:type="spellEnd"/>
      <w:r w:rsidRPr="00A97069">
        <w:rPr>
          <w:sz w:val="24"/>
          <w:szCs w:val="24"/>
        </w:rPr>
        <w:t xml:space="preserve"> eller </w:t>
      </w:r>
      <w:proofErr w:type="spellStart"/>
      <w:r w:rsidRPr="00A97069">
        <w:rPr>
          <w:sz w:val="24"/>
          <w:szCs w:val="24"/>
        </w:rPr>
        <w:t>digoxin</w:t>
      </w:r>
      <w:proofErr w:type="spellEnd"/>
      <w:r w:rsidRPr="00A97069">
        <w:rPr>
          <w:sz w:val="24"/>
          <w:szCs w:val="24"/>
        </w:rPr>
        <w:t xml:space="preserve">. 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4.6</w:t>
      </w:r>
      <w:r w:rsidRPr="00A97069">
        <w:rPr>
          <w:b/>
          <w:sz w:val="24"/>
          <w:szCs w:val="24"/>
        </w:rPr>
        <w:tab/>
        <w:t>Graviditet og amning</w:t>
      </w:r>
    </w:p>
    <w:p w:rsidR="006D6E23" w:rsidRDefault="006D6E23" w:rsidP="006D6E23">
      <w:pPr>
        <w:ind w:left="851" w:hanging="851"/>
        <w:rPr>
          <w:sz w:val="24"/>
          <w:szCs w:val="24"/>
          <w:u w:val="single"/>
        </w:rPr>
      </w:pPr>
    </w:p>
    <w:p w:rsidR="006D6E23" w:rsidRPr="00A97069" w:rsidRDefault="006D6E23" w:rsidP="006D6E23">
      <w:pPr>
        <w:ind w:left="851"/>
        <w:rPr>
          <w:sz w:val="24"/>
          <w:szCs w:val="24"/>
          <w:u w:val="single"/>
          <w:lang w:eastAsia="nl-NL"/>
        </w:rPr>
      </w:pPr>
      <w:r w:rsidRPr="00A97069">
        <w:rPr>
          <w:sz w:val="24"/>
          <w:szCs w:val="24"/>
          <w:u w:val="single"/>
        </w:rPr>
        <w:t>Fertilitet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Dyreforsøg har påvist, at administration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kan påvirke </w:t>
      </w:r>
      <w:proofErr w:type="spellStart"/>
      <w:r w:rsidRPr="00A97069">
        <w:rPr>
          <w:sz w:val="24"/>
          <w:szCs w:val="24"/>
        </w:rPr>
        <w:t>spermatogenesen</w:t>
      </w:r>
      <w:proofErr w:type="spellEnd"/>
      <w:r w:rsidRPr="00A97069">
        <w:rPr>
          <w:sz w:val="24"/>
          <w:szCs w:val="24"/>
        </w:rPr>
        <w:t xml:space="preserve"> negativt (se pkt. 5.3). Der kendes sjældne tilfælde af reversibel </w:t>
      </w:r>
      <w:proofErr w:type="spellStart"/>
      <w:r w:rsidRPr="00A97069">
        <w:rPr>
          <w:sz w:val="24"/>
          <w:szCs w:val="24"/>
        </w:rPr>
        <w:t>oligospermi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azoospermi</w:t>
      </w:r>
      <w:proofErr w:type="spellEnd"/>
      <w:r w:rsidRPr="00A97069">
        <w:rPr>
          <w:sz w:val="24"/>
          <w:szCs w:val="24"/>
        </w:rPr>
        <w:t xml:space="preserve"> hos mænd i litteraturen.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bookmarkStart w:id="0" w:name="_Hlk491279347"/>
      <w:bookmarkStart w:id="1" w:name="_Hlk491278583"/>
      <w:r w:rsidRPr="00A97069">
        <w:rPr>
          <w:i/>
          <w:sz w:val="24"/>
          <w:szCs w:val="24"/>
        </w:rPr>
        <w:t xml:space="preserve">I tilfælde af 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i behandlingen af familiær middelhavsfeber</w:t>
      </w:r>
      <w:bookmarkEnd w:id="0"/>
      <w:r w:rsidRPr="00A97069">
        <w:rPr>
          <w:i/>
          <w:sz w:val="24"/>
          <w:szCs w:val="24"/>
        </w:rPr>
        <w:t xml:space="preserve"> (FMF)</w:t>
      </w:r>
    </w:p>
    <w:bookmarkEnd w:id="1"/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Da forløbet af familiær middelhavsfeber uden behandling også kan føre til </w:t>
      </w:r>
      <w:proofErr w:type="spellStart"/>
      <w:r w:rsidRPr="00A97069">
        <w:rPr>
          <w:sz w:val="24"/>
          <w:szCs w:val="24"/>
        </w:rPr>
        <w:t>infertilitet</w:t>
      </w:r>
      <w:proofErr w:type="spellEnd"/>
      <w:r w:rsidRPr="00A97069">
        <w:rPr>
          <w:sz w:val="24"/>
          <w:szCs w:val="24"/>
        </w:rPr>
        <w:t xml:space="preserve">, bør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afvejes med de potentielle risici og kan overvejes, hvis der findes kliniske tegn på, at behandling er nødvendig.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i/>
          <w:sz w:val="24"/>
          <w:szCs w:val="24"/>
        </w:rPr>
        <w:t xml:space="preserve">I </w:t>
      </w:r>
      <w:bookmarkStart w:id="2" w:name="_Hlk491278505"/>
      <w:r w:rsidRPr="00A97069">
        <w:rPr>
          <w:i/>
          <w:sz w:val="24"/>
          <w:szCs w:val="24"/>
        </w:rPr>
        <w:t xml:space="preserve">tilfælde af </w:t>
      </w:r>
      <w:bookmarkEnd w:id="2"/>
      <w:r w:rsidRPr="00A97069">
        <w:rPr>
          <w:i/>
          <w:sz w:val="24"/>
          <w:szCs w:val="24"/>
        </w:rPr>
        <w:t xml:space="preserve">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i behandlingen af akut urinsur gigt eller som profylakse i behandlingen af et urinsyregigtanfald under indledning af uratsyrenedsættende behandling</w:t>
      </w:r>
      <w:r>
        <w:rPr>
          <w:i/>
          <w:sz w:val="24"/>
          <w:szCs w:val="24"/>
        </w:rPr>
        <w:br/>
      </w:r>
      <w:r w:rsidRPr="00A97069">
        <w:rPr>
          <w:sz w:val="24"/>
          <w:szCs w:val="24"/>
        </w:rPr>
        <w:t xml:space="preserve">Mandlige patienter bør ikke blive fædre til et barn under og i mindst 6 måneder efter </w:t>
      </w:r>
      <w:proofErr w:type="spellStart"/>
      <w:r w:rsidRPr="00A97069">
        <w:rPr>
          <w:sz w:val="24"/>
          <w:szCs w:val="24"/>
        </w:rPr>
        <w:t>seponeringen</w:t>
      </w:r>
      <w:proofErr w:type="spellEnd"/>
      <w:r w:rsidRPr="00A97069">
        <w:rPr>
          <w:sz w:val="24"/>
          <w:szCs w:val="24"/>
        </w:rPr>
        <w:t xml:space="preserve"> af behandlingen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4.4). Hvis graviditet imidlertid forekommer inden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for denne tidsperiode, skal der gives genetisk rådgivning.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Graviditet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Dyreforsøg har påvist reproduktionstoksicitet (se pkt. 5.3). </w:t>
      </w: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sz w:val="24"/>
          <w:szCs w:val="24"/>
        </w:rPr>
        <w:t xml:space="preserve">I tilfælde af 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i behandlingen af FMF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En moderat mængde data fra gravide kvinder med FMF indikerer, at der ikke opstår misdannende eller </w:t>
      </w:r>
      <w:proofErr w:type="spellStart"/>
      <w:r w:rsidRPr="00A97069">
        <w:rPr>
          <w:sz w:val="24"/>
          <w:szCs w:val="24"/>
        </w:rPr>
        <w:t>føtal</w:t>
      </w:r>
      <w:proofErr w:type="spellEnd"/>
      <w:r w:rsidRPr="00A97069">
        <w:rPr>
          <w:sz w:val="24"/>
          <w:szCs w:val="24"/>
        </w:rPr>
        <w:t xml:space="preserve">/neonatal toksicitet på grund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. Da forløbet af ubehandlet FMF også kan indvirke negativt på graviditeten, skal brugen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under graviditet afvejes mod de potentielle risici og kan overvejes, hvis der findes kliniske tegn på, at behandling er nødvendig.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sz w:val="24"/>
          <w:szCs w:val="24"/>
        </w:rPr>
        <w:t xml:space="preserve">I tilfælde af at </w:t>
      </w:r>
      <w:proofErr w:type="spellStart"/>
      <w:r w:rsidRPr="00A97069">
        <w:rPr>
          <w:i/>
          <w:sz w:val="24"/>
          <w:szCs w:val="24"/>
        </w:rPr>
        <w:t>colchicin</w:t>
      </w:r>
      <w:proofErr w:type="spellEnd"/>
      <w:r w:rsidRPr="00A97069">
        <w:rPr>
          <w:i/>
          <w:sz w:val="24"/>
          <w:szCs w:val="24"/>
        </w:rPr>
        <w:t xml:space="preserve"> anvendes i behandlingen af akut urinsur gigt eller som profylakse i behandlingen af et urinsyregigtanfald under indledning af uratsyrenedsættende behandling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Der er utilstrækkelige data fra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til gravide kvinder med urinsur gigt. Som en sikkerhedsforanstaltning bør anvendelse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hos denne patientpopulation og hos kvinder i den fertile alder, som ikke anvender effektive svangerskabsforebyggende midler undgås, og må kun overvejes hvis andre muligheder, herunder </w:t>
      </w:r>
      <w:proofErr w:type="spellStart"/>
      <w:r w:rsidRPr="00A97069">
        <w:rPr>
          <w:sz w:val="24"/>
          <w:szCs w:val="24"/>
        </w:rPr>
        <w:t>NSAID’er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glukokortikoider</w:t>
      </w:r>
      <w:proofErr w:type="spellEnd"/>
      <w:r w:rsidRPr="00A97069">
        <w:rPr>
          <w:sz w:val="24"/>
          <w:szCs w:val="24"/>
        </w:rPr>
        <w:t xml:space="preserve"> ikke er relevante. Kvindelige patienter skal anvende effektive svangerskabsforebyggende midler under og i mindst tre måneder efter </w:t>
      </w:r>
      <w:proofErr w:type="spellStart"/>
      <w:r w:rsidRPr="00A97069">
        <w:rPr>
          <w:sz w:val="24"/>
          <w:szCs w:val="24"/>
        </w:rPr>
        <w:t>seponering</w:t>
      </w:r>
      <w:proofErr w:type="spellEnd"/>
      <w:r w:rsidRPr="00A97069">
        <w:rPr>
          <w:sz w:val="24"/>
          <w:szCs w:val="24"/>
        </w:rPr>
        <w:t xml:space="preserve"> af behandling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(se pkt. 4.4). Hvis graviditet imidlertid forekommer inden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for denne tidsperiode, skal der gives genetisk rådgivning.</w:t>
      </w:r>
    </w:p>
    <w:p w:rsidR="006D6E23" w:rsidRDefault="006D6E23" w:rsidP="006D6E23">
      <w:pPr>
        <w:ind w:left="851"/>
        <w:rPr>
          <w:sz w:val="24"/>
          <w:szCs w:val="24"/>
          <w:u w:val="single"/>
        </w:rPr>
      </w:pPr>
    </w:p>
    <w:p w:rsidR="006D6E23" w:rsidRPr="00A97069" w:rsidRDefault="006D6E23" w:rsidP="006D6E23">
      <w:pPr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Amning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/metabolitter findes hos nyfødte/spædbørn, der ammes af kvinder i behandling. Der foreligger utilstrækkelig information om </w:t>
      </w:r>
      <w:proofErr w:type="spellStart"/>
      <w:r w:rsidRPr="00A97069">
        <w:rPr>
          <w:sz w:val="24"/>
          <w:szCs w:val="24"/>
        </w:rPr>
        <w:t>colchicins</w:t>
      </w:r>
      <w:proofErr w:type="spellEnd"/>
      <w:r w:rsidRPr="00A97069">
        <w:rPr>
          <w:sz w:val="24"/>
          <w:szCs w:val="24"/>
        </w:rPr>
        <w:t xml:space="preserve"> virkning hos nyfødte/spædbørn. 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bør ikke anvendes til ammende kvinder med urinsur gigt. Hos ammende kvinder </w:t>
      </w:r>
      <w:r w:rsidRPr="00A97069">
        <w:rPr>
          <w:sz w:val="24"/>
          <w:szCs w:val="24"/>
        </w:rPr>
        <w:lastRenderedPageBreak/>
        <w:t xml:space="preserve">med FMF skal der tages en beslutning om, hvorvidt amning skal afbrydes, eller om behandlingen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Tiofarma</w:t>
      </w:r>
      <w:proofErr w:type="spellEnd"/>
      <w:r>
        <w:rPr>
          <w:sz w:val="24"/>
          <w:szCs w:val="24"/>
        </w:rPr>
        <w:t>"</w:t>
      </w:r>
      <w:r w:rsidRPr="00A97069">
        <w:rPr>
          <w:sz w:val="24"/>
          <w:szCs w:val="24"/>
        </w:rPr>
        <w:t xml:space="preserve"> skal seponeres/fravælges, mens fordelene ved amning for barnet og fordelene for kvinden ved behandlingen tages i betragtning.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4.7</w:t>
      </w:r>
      <w:r w:rsidRPr="00A97069">
        <w:rPr>
          <w:b/>
          <w:sz w:val="24"/>
          <w:szCs w:val="24"/>
        </w:rPr>
        <w:tab/>
        <w:t>Virkninger på evnen til at føre motorkøretøj eller betjene maskiner</w:t>
      </w:r>
    </w:p>
    <w:p w:rsidR="006D6E23" w:rsidRDefault="006D6E23" w:rsidP="006D6E23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 xml:space="preserve">Der foreligger ingen data vedrørende </w:t>
      </w:r>
      <w:proofErr w:type="spellStart"/>
      <w:r w:rsidRPr="00A97069">
        <w:rPr>
          <w:sz w:val="24"/>
          <w:szCs w:val="24"/>
        </w:rPr>
        <w:t>colchicins</w:t>
      </w:r>
      <w:proofErr w:type="spellEnd"/>
      <w:r w:rsidRPr="00A97069">
        <w:rPr>
          <w:sz w:val="24"/>
          <w:szCs w:val="24"/>
        </w:rPr>
        <w:t xml:space="preserve"> påvirkning af evnen til at føre motorkøretøj og betjene maskiner. Der bør dog tages højde for muligheden for døsighed eller svimmelhed.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4.8</w:t>
      </w:r>
      <w:r w:rsidRPr="00A97069">
        <w:rPr>
          <w:b/>
          <w:sz w:val="24"/>
          <w:szCs w:val="24"/>
        </w:rPr>
        <w:tab/>
        <w:t>Bivirkninger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>Der er observeret følgende bivirkninger.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Hyppighederne er ukendt, medmindre de er anført under en af følgende klassifikationer: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Meget almindelig (≥1/10)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Almindelig (≥1/100 til &lt;1/10)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Ikke almindelig (≥1/1.000 til &lt;1/100)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Sjælden (≥1/10.000 til &lt;1/1.000)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Meget sjælden (&lt;1/10.000)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Blod og lymfesystem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Knoglemarvsdepression med </w:t>
      </w:r>
      <w:proofErr w:type="spellStart"/>
      <w:r w:rsidRPr="00A97069">
        <w:rPr>
          <w:sz w:val="24"/>
          <w:szCs w:val="24"/>
        </w:rPr>
        <w:t>agranulocytose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aplastisk</w:t>
      </w:r>
      <w:proofErr w:type="spellEnd"/>
      <w:r w:rsidRPr="00A97069">
        <w:rPr>
          <w:sz w:val="24"/>
          <w:szCs w:val="24"/>
        </w:rPr>
        <w:t xml:space="preserve"> anæmi.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i/>
          <w:iCs/>
          <w:sz w:val="24"/>
          <w:szCs w:val="24"/>
        </w:rPr>
        <w:t>Nervesystemet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Perifer </w:t>
      </w:r>
      <w:proofErr w:type="spellStart"/>
      <w:r w:rsidRPr="00A97069">
        <w:rPr>
          <w:sz w:val="24"/>
          <w:szCs w:val="24"/>
        </w:rPr>
        <w:t>neuritis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neuropati</w:t>
      </w:r>
      <w:proofErr w:type="spellEnd"/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Mave-tarm-kanalen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Almindelig: mavesmerter, kvalme, opkastning og diarré</w:t>
      </w:r>
    </w:p>
    <w:p w:rsidR="006D6E23" w:rsidRDefault="006D6E23" w:rsidP="006D6E23">
      <w:pPr>
        <w:ind w:left="851"/>
        <w:rPr>
          <w:sz w:val="24"/>
          <w:szCs w:val="24"/>
        </w:rPr>
      </w:pPr>
    </w:p>
    <w:p w:rsidR="00615C76" w:rsidRDefault="00615C76" w:rsidP="00615C76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Lever og galdeveje </w:t>
      </w:r>
    </w:p>
    <w:p w:rsidR="00615C76" w:rsidRDefault="00615C76" w:rsidP="00615C76">
      <w:pPr>
        <w:pStyle w:val="Default"/>
        <w:ind w:left="851"/>
        <w:rPr>
          <w:rFonts w:ascii="Times New Roman" w:hAnsi="Times New Roman" w:cs="Times New Roman"/>
          <w:color w:val="auto"/>
          <w:lang w:val="da-DK" w:eastAsia="en-US"/>
        </w:rPr>
      </w:pPr>
      <w:r>
        <w:rPr>
          <w:rFonts w:ascii="Times New Roman" w:hAnsi="Times New Roman" w:cs="Times New Roman"/>
          <w:color w:val="auto"/>
          <w:lang w:val="da-DK" w:eastAsia="en-US"/>
        </w:rPr>
        <w:t xml:space="preserve">Levertoksicitet </w:t>
      </w:r>
    </w:p>
    <w:p w:rsidR="00615C76" w:rsidRPr="00A97069" w:rsidRDefault="00615C76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Hud og subkutane væv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Alopeci</w:t>
      </w:r>
      <w:proofErr w:type="spellEnd"/>
      <w:r w:rsidRPr="00A97069">
        <w:rPr>
          <w:sz w:val="24"/>
          <w:szCs w:val="24"/>
        </w:rPr>
        <w:t>, udslæt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Knogler, led, muskler og bindevæv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Myopati</w:t>
      </w:r>
      <w:proofErr w:type="spellEnd"/>
      <w:r w:rsidRPr="00A97069">
        <w:rPr>
          <w:sz w:val="24"/>
          <w:szCs w:val="24"/>
        </w:rPr>
        <w:t xml:space="preserve"> og </w:t>
      </w:r>
      <w:proofErr w:type="spellStart"/>
      <w:r w:rsidRPr="00A97069">
        <w:rPr>
          <w:sz w:val="24"/>
          <w:szCs w:val="24"/>
        </w:rPr>
        <w:t>rhabdomyolyse</w:t>
      </w:r>
      <w:proofErr w:type="spellEnd"/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i/>
          <w:iCs/>
          <w:sz w:val="24"/>
          <w:szCs w:val="24"/>
        </w:rPr>
        <w:t>Det reproduktive system og mammae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Amenoré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dysmenoré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oligospermi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azoospermi</w:t>
      </w:r>
      <w:proofErr w:type="spellEnd"/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 xml:space="preserve">Luftveje, thorax og </w:t>
      </w:r>
      <w:proofErr w:type="spellStart"/>
      <w:r w:rsidRPr="00A97069">
        <w:rPr>
          <w:i/>
          <w:iCs/>
          <w:sz w:val="24"/>
          <w:szCs w:val="24"/>
        </w:rPr>
        <w:t>mediastinum</w:t>
      </w:r>
      <w:proofErr w:type="spellEnd"/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Faryngolaryngeale</w:t>
      </w:r>
      <w:proofErr w:type="spellEnd"/>
      <w:r w:rsidRPr="00A97069">
        <w:rPr>
          <w:sz w:val="24"/>
          <w:szCs w:val="24"/>
        </w:rPr>
        <w:t xml:space="preserve"> smerter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Metabolisme og ernæring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Mangel på B12-vitamin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i/>
          <w:sz w:val="24"/>
          <w:szCs w:val="24"/>
        </w:rPr>
      </w:pPr>
      <w:r w:rsidRPr="00A97069">
        <w:rPr>
          <w:i/>
          <w:iCs/>
          <w:sz w:val="24"/>
          <w:szCs w:val="24"/>
        </w:rPr>
        <w:t>Pædiatrisk population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Der foreligger ikke langtidssikkerhedsdata hos pædiatriske patienter. </w:t>
      </w:r>
    </w:p>
    <w:p w:rsidR="006D6E23" w:rsidRDefault="006D6E23" w:rsidP="006D6E23">
      <w:pPr>
        <w:rPr>
          <w:sz w:val="24"/>
          <w:szCs w:val="24"/>
        </w:rPr>
      </w:pPr>
    </w:p>
    <w:p w:rsidR="006D6E23" w:rsidRDefault="006D6E23" w:rsidP="006D6E23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6D6E23" w:rsidRDefault="006D6E23" w:rsidP="006D6E23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79242F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1413A3">
        <w:rPr>
          <w:sz w:val="24"/>
          <w:szCs w:val="24"/>
        </w:rPr>
        <w:t>er</w:t>
      </w:r>
      <w:bookmarkStart w:id="3" w:name="_GoBack"/>
      <w:bookmarkEnd w:id="3"/>
      <w:r>
        <w:rPr>
          <w:sz w:val="24"/>
          <w:szCs w:val="24"/>
        </w:rPr>
        <w:t xml:space="preserve"> anmodes om at indberette alle formodede bivirkninger via:</w:t>
      </w:r>
    </w:p>
    <w:p w:rsidR="006D6E23" w:rsidRDefault="006D6E23" w:rsidP="006D6E23">
      <w:pPr>
        <w:ind w:left="851"/>
        <w:rPr>
          <w:sz w:val="24"/>
          <w:szCs w:val="24"/>
        </w:rPr>
      </w:pPr>
    </w:p>
    <w:p w:rsidR="006D6E23" w:rsidRDefault="006D6E23" w:rsidP="006D6E23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6D6E23" w:rsidRDefault="006D6E23" w:rsidP="006D6E23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6D6E23" w:rsidRDefault="006D6E23" w:rsidP="006D6E23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6D6E23" w:rsidRPr="00C26596" w:rsidRDefault="006D6E23" w:rsidP="00B50C45">
      <w:pPr>
        <w:ind w:left="851"/>
        <w:rPr>
          <w:sz w:val="24"/>
          <w:szCs w:val="24"/>
        </w:rPr>
      </w:pPr>
      <w:r w:rsidRPr="00C26596">
        <w:rPr>
          <w:sz w:val="24"/>
          <w:szCs w:val="24"/>
        </w:rPr>
        <w:t>Websted: www.meldenbivirkning.dk</w:t>
      </w:r>
    </w:p>
    <w:p w:rsidR="006D6E23" w:rsidRPr="00C26596" w:rsidRDefault="006D6E23" w:rsidP="006D6E23">
      <w:pPr>
        <w:pStyle w:val="Sidehoved"/>
        <w:tabs>
          <w:tab w:val="left" w:pos="851"/>
        </w:tabs>
        <w:rPr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4.9</w:t>
      </w:r>
      <w:r w:rsidRPr="00A97069">
        <w:rPr>
          <w:b/>
          <w:sz w:val="24"/>
          <w:szCs w:val="24"/>
        </w:rPr>
        <w:tab/>
        <w:t>Overdosering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har et smalt terapeutisk vindue og er ekstremt toksisk ved overdosering. Patienter med særlig toksicitetsrisiko er dem med nedsat nyre- eller leverfunktion, </w:t>
      </w:r>
      <w:proofErr w:type="spellStart"/>
      <w:r w:rsidRPr="00A97069">
        <w:rPr>
          <w:sz w:val="24"/>
          <w:szCs w:val="24"/>
        </w:rPr>
        <w:t>gastrointestinal</w:t>
      </w:r>
      <w:proofErr w:type="spellEnd"/>
      <w:r w:rsidRPr="00A97069">
        <w:rPr>
          <w:sz w:val="24"/>
          <w:szCs w:val="24"/>
        </w:rPr>
        <w:t xml:space="preserve"> sygdom eller hjertesygdom og patienter med meget høj alder. Efter overdosis med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bør alle patienter, selv ved manglende tidlige symptomer, henvises til omgående medicinsk undersøgelse.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Klinisk: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Symptomer ved akut overdosis kan være forsinkede (i gennemsnit 3 timer): kvalme, opkastning, mavesmerter, blødende </w:t>
      </w:r>
      <w:proofErr w:type="spellStart"/>
      <w:r w:rsidRPr="00A97069">
        <w:rPr>
          <w:sz w:val="24"/>
          <w:szCs w:val="24"/>
        </w:rPr>
        <w:t>gastroenteritis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volumendepletion</w:t>
      </w:r>
      <w:proofErr w:type="spellEnd"/>
      <w:r w:rsidRPr="00A97069">
        <w:rPr>
          <w:sz w:val="24"/>
          <w:szCs w:val="24"/>
        </w:rPr>
        <w:t xml:space="preserve">, unormale elektrolytter, leukocytose, hypotension i alvorlige tilfælde. Den anden fase med livstruende komplikationer udvikles 24 til 72 timer efter administration af lægemidlet: multisystemisk organdysfunktion, akut nyresvigt, konfusion, koma, </w:t>
      </w:r>
      <w:proofErr w:type="spellStart"/>
      <w:r w:rsidRPr="00A97069">
        <w:rPr>
          <w:sz w:val="24"/>
          <w:szCs w:val="24"/>
        </w:rPr>
        <w:t>ascenderende</w:t>
      </w:r>
      <w:proofErr w:type="spellEnd"/>
      <w:r w:rsidRPr="00A97069">
        <w:rPr>
          <w:sz w:val="24"/>
          <w:szCs w:val="24"/>
        </w:rPr>
        <w:t xml:space="preserve"> perifer motorisk og sensorisk </w:t>
      </w:r>
      <w:proofErr w:type="spellStart"/>
      <w:r w:rsidRPr="00A97069">
        <w:rPr>
          <w:sz w:val="24"/>
          <w:szCs w:val="24"/>
        </w:rPr>
        <w:t>neuropati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myokardiedepression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pancytopeni</w:t>
      </w:r>
      <w:proofErr w:type="spellEnd"/>
      <w:r w:rsidRPr="00A97069">
        <w:rPr>
          <w:sz w:val="24"/>
          <w:szCs w:val="24"/>
        </w:rPr>
        <w:t xml:space="preserve">, </w:t>
      </w:r>
      <w:proofErr w:type="spellStart"/>
      <w:r w:rsidRPr="00A97069">
        <w:rPr>
          <w:sz w:val="24"/>
          <w:szCs w:val="24"/>
        </w:rPr>
        <w:t>arytmier</w:t>
      </w:r>
      <w:proofErr w:type="spellEnd"/>
      <w:r w:rsidRPr="00A97069">
        <w:rPr>
          <w:sz w:val="24"/>
          <w:szCs w:val="24"/>
        </w:rPr>
        <w:t xml:space="preserve">, respirationssvigt, </w:t>
      </w:r>
      <w:proofErr w:type="spellStart"/>
      <w:r w:rsidRPr="00A97069">
        <w:rPr>
          <w:sz w:val="24"/>
          <w:szCs w:val="24"/>
        </w:rPr>
        <w:t>konsumptionskoagulopati</w:t>
      </w:r>
      <w:proofErr w:type="spellEnd"/>
      <w:r w:rsidRPr="00A97069">
        <w:rPr>
          <w:sz w:val="24"/>
          <w:szCs w:val="24"/>
        </w:rPr>
        <w:t xml:space="preserve">. Dødsfald er ofte på grund af respirationsdepression og </w:t>
      </w:r>
      <w:proofErr w:type="spellStart"/>
      <w:r w:rsidRPr="00A97069">
        <w:rPr>
          <w:sz w:val="24"/>
          <w:szCs w:val="24"/>
        </w:rPr>
        <w:t>kardiovaskulær</w:t>
      </w:r>
      <w:proofErr w:type="spellEnd"/>
      <w:r w:rsidRPr="00A97069">
        <w:rPr>
          <w:sz w:val="24"/>
          <w:szCs w:val="24"/>
        </w:rPr>
        <w:t xml:space="preserve"> kollaps. Hvis patienten overlever, kan restitution være ledsaget af </w:t>
      </w:r>
      <w:proofErr w:type="spellStart"/>
      <w:r w:rsidRPr="00A97069">
        <w:rPr>
          <w:sz w:val="24"/>
          <w:szCs w:val="24"/>
        </w:rPr>
        <w:t>rebound</w:t>
      </w:r>
      <w:proofErr w:type="spellEnd"/>
      <w:r w:rsidRPr="00A97069">
        <w:rPr>
          <w:sz w:val="24"/>
          <w:szCs w:val="24"/>
        </w:rPr>
        <w:t xml:space="preserve">-leukocytose og reversibel </w:t>
      </w:r>
      <w:proofErr w:type="spellStart"/>
      <w:r w:rsidRPr="00A97069">
        <w:rPr>
          <w:sz w:val="24"/>
          <w:szCs w:val="24"/>
        </w:rPr>
        <w:t>alopeci</w:t>
      </w:r>
      <w:proofErr w:type="spellEnd"/>
      <w:r w:rsidRPr="00A97069">
        <w:rPr>
          <w:sz w:val="24"/>
          <w:szCs w:val="24"/>
        </w:rPr>
        <w:t>, der starter omkring 1 uge efter den initiale indtagelse.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  <w:u w:val="single"/>
        </w:rPr>
        <w:t>Behandling: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Der er ingen tilgængelig </w:t>
      </w:r>
      <w:proofErr w:type="spellStart"/>
      <w:r w:rsidRPr="00A97069">
        <w:rPr>
          <w:sz w:val="24"/>
          <w:szCs w:val="24"/>
        </w:rPr>
        <w:t>antidot</w:t>
      </w:r>
      <w:proofErr w:type="spellEnd"/>
      <w:r w:rsidRPr="00A97069">
        <w:rPr>
          <w:sz w:val="24"/>
          <w:szCs w:val="24"/>
        </w:rPr>
        <w:t>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Elimination af toksiner ved ventrikelskylning inden for 1 time efter akut forgiftning.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Overvej aktivt kul oralt hos voksne, der har indtaget mere end 0,1 mg/kg kropsvægt inden for 1 time fra modtagelsen, og ved indtagelse af enhver mængde hos børn inden for 1 time fra modtagelsen.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Hæmodialyse har ingen virkning (tilsyneladende højt distributionsvolumen).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Tæt klinisk og biologisk monitorering på hospitalet.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Symptomatisk og understøttende behandling: respirationskontrol, opretholdelse af blodtryk og cirkulation, korrektion af væske- og elektrolytforstyrrelser.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Den dødelige dosis varierer bredt (7-65 mg enkeltdosis) hos voksne, men er generelt omkring 20 mg. 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4.10</w:t>
      </w:r>
      <w:r w:rsidRPr="00A97069">
        <w:rPr>
          <w:b/>
          <w:sz w:val="24"/>
          <w:szCs w:val="24"/>
        </w:rPr>
        <w:tab/>
        <w:t>Udlevering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97069">
        <w:rPr>
          <w:sz w:val="24"/>
          <w:szCs w:val="24"/>
        </w:rPr>
        <w:t>B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5.</w:t>
      </w:r>
      <w:r w:rsidRPr="00A97069">
        <w:rPr>
          <w:b/>
          <w:sz w:val="24"/>
          <w:szCs w:val="24"/>
        </w:rPr>
        <w:tab/>
        <w:t>FARMAKOLOGISKE EGENSKABER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5.0</w:t>
      </w:r>
      <w:r w:rsidRPr="00A97069">
        <w:rPr>
          <w:b/>
          <w:sz w:val="24"/>
          <w:szCs w:val="24"/>
        </w:rPr>
        <w:tab/>
        <w:t>Terapeutisk klassifikation</w:t>
      </w:r>
    </w:p>
    <w:p w:rsidR="006D6E23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ATC-kode: M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AC</w:t>
      </w:r>
      <w:r>
        <w:rPr>
          <w:sz w:val="24"/>
          <w:szCs w:val="24"/>
        </w:rPr>
        <w:t xml:space="preserve"> </w:t>
      </w:r>
      <w:r w:rsidRPr="00A97069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A97069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A97069">
        <w:rPr>
          <w:sz w:val="24"/>
          <w:szCs w:val="24"/>
        </w:rPr>
        <w:t xml:space="preserve">idler mod </w:t>
      </w:r>
      <w:proofErr w:type="spellStart"/>
      <w:r w:rsidRPr="00A97069">
        <w:rPr>
          <w:sz w:val="24"/>
          <w:szCs w:val="24"/>
        </w:rPr>
        <w:t>arthritis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urica</w:t>
      </w:r>
      <w:proofErr w:type="spellEnd"/>
      <w:r w:rsidRPr="00A97069">
        <w:rPr>
          <w:sz w:val="24"/>
          <w:szCs w:val="24"/>
        </w:rPr>
        <w:t>, midler uden virkning på urinsyre-metabolismen.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79242F">
      <w:pPr>
        <w:keepNext/>
        <w:tabs>
          <w:tab w:val="num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lastRenderedPageBreak/>
        <w:t>5.1</w:t>
      </w:r>
      <w:r w:rsidRPr="00A97069">
        <w:rPr>
          <w:b/>
          <w:sz w:val="24"/>
          <w:szCs w:val="24"/>
        </w:rPr>
        <w:tab/>
      </w:r>
      <w:proofErr w:type="spellStart"/>
      <w:r w:rsidRPr="00A97069">
        <w:rPr>
          <w:b/>
          <w:sz w:val="24"/>
          <w:szCs w:val="24"/>
        </w:rPr>
        <w:t>Farmakodynamiske</w:t>
      </w:r>
      <w:proofErr w:type="spellEnd"/>
      <w:r w:rsidRPr="00A97069">
        <w:rPr>
          <w:b/>
          <w:sz w:val="24"/>
          <w:szCs w:val="24"/>
        </w:rPr>
        <w:t xml:space="preserve"> egenskaber</w:t>
      </w:r>
    </w:p>
    <w:p w:rsidR="006D6E23" w:rsidRDefault="006D6E23" w:rsidP="0079242F">
      <w:pPr>
        <w:keepNext/>
        <w:ind w:left="851" w:hanging="851"/>
        <w:rPr>
          <w:sz w:val="24"/>
          <w:szCs w:val="24"/>
          <w:u w:val="single"/>
        </w:rPr>
      </w:pPr>
    </w:p>
    <w:p w:rsidR="006D6E23" w:rsidRPr="00A97069" w:rsidRDefault="006D6E23" w:rsidP="0079242F">
      <w:pPr>
        <w:keepNext/>
        <w:ind w:left="851"/>
        <w:rPr>
          <w:sz w:val="24"/>
          <w:szCs w:val="24"/>
          <w:u w:val="single"/>
          <w:lang w:eastAsia="nl-NL"/>
        </w:rPr>
      </w:pPr>
      <w:r w:rsidRPr="00A97069">
        <w:rPr>
          <w:sz w:val="24"/>
          <w:szCs w:val="24"/>
          <w:u w:val="single"/>
        </w:rPr>
        <w:t>Virkningsmekanisme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Colchicins</w:t>
      </w:r>
      <w:proofErr w:type="spellEnd"/>
      <w:r w:rsidRPr="00A97069">
        <w:rPr>
          <w:sz w:val="24"/>
          <w:szCs w:val="24"/>
        </w:rPr>
        <w:t xml:space="preserve"> virkningsmekanisme ved behandling af urinsyregigt er ikke fuldstændig kendt. Uratkrystaller fagocyteres af leukocytter. Herved udløses inflammatoriske faktorer.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hæmmer disse processer. Andre egenskaber ved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, f.eks. interaktion med </w:t>
      </w:r>
      <w:proofErr w:type="spellStart"/>
      <w:r w:rsidRPr="00A97069">
        <w:rPr>
          <w:sz w:val="24"/>
          <w:szCs w:val="24"/>
        </w:rPr>
        <w:t>mikrotubuli</w:t>
      </w:r>
      <w:proofErr w:type="spellEnd"/>
      <w:r w:rsidRPr="00A97069">
        <w:rPr>
          <w:sz w:val="24"/>
          <w:szCs w:val="24"/>
        </w:rPr>
        <w:t>, kan også bidrage til dets virkning.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Virkningen indtræder ca. 12 timer efter oral administration og er maksimal efter 1 til 2 dage.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5.2</w:t>
      </w:r>
      <w:r w:rsidRPr="00A97069">
        <w:rPr>
          <w:b/>
          <w:sz w:val="24"/>
          <w:szCs w:val="24"/>
        </w:rPr>
        <w:tab/>
      </w:r>
      <w:proofErr w:type="spellStart"/>
      <w:r w:rsidRPr="00A97069">
        <w:rPr>
          <w:b/>
          <w:sz w:val="24"/>
          <w:szCs w:val="24"/>
        </w:rPr>
        <w:t>Farmakokinetiske</w:t>
      </w:r>
      <w:proofErr w:type="spellEnd"/>
      <w:r w:rsidRPr="00A97069">
        <w:rPr>
          <w:b/>
          <w:sz w:val="24"/>
          <w:szCs w:val="24"/>
        </w:rPr>
        <w:t xml:space="preserve"> egenskaber</w:t>
      </w:r>
    </w:p>
    <w:p w:rsidR="006D6E23" w:rsidRDefault="006D6E23" w:rsidP="006D6E23">
      <w:pPr>
        <w:ind w:left="851" w:hanging="851"/>
        <w:rPr>
          <w:sz w:val="24"/>
          <w:szCs w:val="24"/>
          <w:u w:val="single"/>
        </w:rPr>
      </w:pPr>
    </w:p>
    <w:p w:rsidR="006D6E23" w:rsidRPr="00A97069" w:rsidRDefault="006D6E23" w:rsidP="006D6E23">
      <w:pPr>
        <w:ind w:left="851"/>
        <w:rPr>
          <w:sz w:val="24"/>
          <w:szCs w:val="24"/>
          <w:u w:val="single"/>
          <w:lang w:eastAsia="nl-NL"/>
        </w:rPr>
      </w:pPr>
      <w:r w:rsidRPr="00A97069">
        <w:rPr>
          <w:sz w:val="24"/>
          <w:szCs w:val="24"/>
          <w:u w:val="single"/>
        </w:rPr>
        <w:t>Absorption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absorberes hurtigt og næsten fuldstændigt efter oral administration. Maksimale plasmakoncentrationer opnås normalt efter 30 til 120 minutter.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Fordeling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Plasmaproteinbinding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er ca. 30 %. Det akkumuleres i leukocytter.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  <w:u w:val="single"/>
        </w:rPr>
      </w:pPr>
      <w:r w:rsidRPr="00A97069">
        <w:rPr>
          <w:sz w:val="24"/>
          <w:szCs w:val="24"/>
          <w:u w:val="single"/>
        </w:rPr>
        <w:t>Elimination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metaboliseres</w:t>
      </w:r>
      <w:proofErr w:type="spellEnd"/>
      <w:r w:rsidRPr="00A97069">
        <w:rPr>
          <w:sz w:val="24"/>
          <w:szCs w:val="24"/>
        </w:rPr>
        <w:t xml:space="preserve"> i leveren og derefter delvist via galden. Det udskilles i omfattende grad (80 %) i </w:t>
      </w:r>
      <w:proofErr w:type="spellStart"/>
      <w:r w:rsidRPr="00A97069">
        <w:rPr>
          <w:sz w:val="24"/>
          <w:szCs w:val="24"/>
        </w:rPr>
        <w:t>uomdannet</w:t>
      </w:r>
      <w:proofErr w:type="spellEnd"/>
      <w:r w:rsidRPr="00A97069">
        <w:rPr>
          <w:sz w:val="24"/>
          <w:szCs w:val="24"/>
        </w:rPr>
        <w:t xml:space="preserve"> form og som metabolitter i fæces, 10-20 % udskilles i urinen. Plasmahalveringstiden er 30-60 minutter og ca. 60 timer i leukocytter.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i/>
          <w:iCs/>
          <w:sz w:val="24"/>
          <w:szCs w:val="24"/>
        </w:rPr>
        <w:t>Pædiatrisk population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Der foreligger ingen </w:t>
      </w:r>
      <w:proofErr w:type="spellStart"/>
      <w:r w:rsidRPr="00A97069">
        <w:rPr>
          <w:sz w:val="24"/>
          <w:szCs w:val="24"/>
        </w:rPr>
        <w:t>farmakokinetiske</w:t>
      </w:r>
      <w:proofErr w:type="spellEnd"/>
      <w:r w:rsidRPr="00A97069">
        <w:rPr>
          <w:sz w:val="24"/>
          <w:szCs w:val="24"/>
        </w:rPr>
        <w:t xml:space="preserve"> data hos børn.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5.3</w:t>
      </w:r>
      <w:r w:rsidRPr="00A97069">
        <w:rPr>
          <w:b/>
          <w:sz w:val="24"/>
          <w:szCs w:val="24"/>
        </w:rPr>
        <w:tab/>
        <w:t>Prækliniske sikkerhedsdata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forårsager DNA-skader </w:t>
      </w:r>
      <w:r w:rsidRPr="00A97069">
        <w:rPr>
          <w:i/>
          <w:iCs/>
          <w:sz w:val="24"/>
          <w:szCs w:val="24"/>
        </w:rPr>
        <w:t xml:space="preserve">in </w:t>
      </w:r>
      <w:proofErr w:type="spellStart"/>
      <w:r w:rsidRPr="00A97069">
        <w:rPr>
          <w:i/>
          <w:iCs/>
          <w:sz w:val="24"/>
          <w:szCs w:val="24"/>
        </w:rPr>
        <w:t>vitro</w:t>
      </w:r>
      <w:proofErr w:type="spellEnd"/>
      <w:r w:rsidRPr="00A97069">
        <w:rPr>
          <w:i/>
          <w:iCs/>
          <w:sz w:val="24"/>
          <w:szCs w:val="24"/>
        </w:rPr>
        <w:t>,</w:t>
      </w:r>
      <w:r w:rsidRPr="00A97069">
        <w:rPr>
          <w:sz w:val="24"/>
          <w:szCs w:val="24"/>
        </w:rPr>
        <w:t xml:space="preserve"> og der er observeret kromosomafvigelser </w:t>
      </w:r>
      <w:r w:rsidRPr="00A97069">
        <w:rPr>
          <w:i/>
          <w:iCs/>
          <w:sz w:val="24"/>
          <w:szCs w:val="24"/>
        </w:rPr>
        <w:t xml:space="preserve">in </w:t>
      </w:r>
      <w:proofErr w:type="spellStart"/>
      <w:r w:rsidRPr="00A97069">
        <w:rPr>
          <w:i/>
          <w:iCs/>
          <w:sz w:val="24"/>
          <w:szCs w:val="24"/>
        </w:rPr>
        <w:t>vivo</w:t>
      </w:r>
      <w:proofErr w:type="spellEnd"/>
      <w:r w:rsidRPr="00A97069">
        <w:rPr>
          <w:sz w:val="24"/>
          <w:szCs w:val="24"/>
        </w:rPr>
        <w:t>. Der foreligger ingen toksicitetsdata fra egen præklinisk forskning.</w:t>
      </w:r>
    </w:p>
    <w:p w:rsidR="006D6E23" w:rsidRPr="00A97069" w:rsidRDefault="006D6E23" w:rsidP="006D6E23">
      <w:pPr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Dyreforsøg har vist, at </w:t>
      </w:r>
      <w:proofErr w:type="spellStart"/>
      <w:r w:rsidRPr="00A97069">
        <w:rPr>
          <w:sz w:val="24"/>
          <w:szCs w:val="24"/>
        </w:rPr>
        <w:t>colchicininduceret</w:t>
      </w:r>
      <w:proofErr w:type="spellEnd"/>
      <w:r w:rsidRPr="00A97069">
        <w:rPr>
          <w:sz w:val="24"/>
          <w:szCs w:val="24"/>
        </w:rPr>
        <w:t xml:space="preserve"> </w:t>
      </w:r>
      <w:proofErr w:type="spellStart"/>
      <w:r w:rsidRPr="00A97069">
        <w:rPr>
          <w:sz w:val="24"/>
          <w:szCs w:val="24"/>
        </w:rPr>
        <w:t>disruption</w:t>
      </w:r>
      <w:proofErr w:type="spellEnd"/>
      <w:r w:rsidRPr="00A97069">
        <w:rPr>
          <w:sz w:val="24"/>
          <w:szCs w:val="24"/>
        </w:rPr>
        <w:t xml:space="preserve"> af </w:t>
      </w:r>
      <w:proofErr w:type="spellStart"/>
      <w:r w:rsidRPr="00A97069">
        <w:rPr>
          <w:sz w:val="24"/>
          <w:szCs w:val="24"/>
        </w:rPr>
        <w:t>mikrotubulidannelse</w:t>
      </w:r>
      <w:proofErr w:type="spellEnd"/>
      <w:r w:rsidRPr="00A97069">
        <w:rPr>
          <w:sz w:val="24"/>
          <w:szCs w:val="24"/>
        </w:rPr>
        <w:t xml:space="preserve"> har en effekt på meiosen og mitosen. Efter eksponering for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er der påvist reduceret sædcelletal, og der er påvist sædceller med unormal morfologi hos handyr. De doser, der er anvendt i disse forsøg, er betydeligt højere end den dosis, der ordineres til patienter. Høje doser af </w:t>
      </w:r>
      <w:proofErr w:type="spellStart"/>
      <w:r w:rsidRPr="00A97069">
        <w:rPr>
          <w:sz w:val="24"/>
          <w:szCs w:val="24"/>
        </w:rPr>
        <w:t>colchicin</w:t>
      </w:r>
      <w:proofErr w:type="spellEnd"/>
      <w:r w:rsidRPr="00A97069">
        <w:rPr>
          <w:sz w:val="24"/>
          <w:szCs w:val="24"/>
        </w:rPr>
        <w:t xml:space="preserve"> kan forårsage </w:t>
      </w:r>
      <w:proofErr w:type="spellStart"/>
      <w:r w:rsidRPr="00A97069">
        <w:rPr>
          <w:sz w:val="24"/>
          <w:szCs w:val="24"/>
        </w:rPr>
        <w:t>teratogenicitet</w:t>
      </w:r>
      <w:proofErr w:type="spellEnd"/>
      <w:r w:rsidRPr="00A97069">
        <w:rPr>
          <w:sz w:val="24"/>
          <w:szCs w:val="24"/>
        </w:rPr>
        <w:t xml:space="preserve"> og embryotoksicitet hos mus, rotter og kaniner.</w:t>
      </w:r>
    </w:p>
    <w:p w:rsidR="006D6E23" w:rsidRDefault="006D6E23" w:rsidP="006D6E23">
      <w:pPr>
        <w:rPr>
          <w:sz w:val="24"/>
          <w:szCs w:val="24"/>
        </w:rPr>
      </w:pPr>
    </w:p>
    <w:p w:rsidR="0079242F" w:rsidRDefault="0079242F" w:rsidP="006D6E23">
      <w:pPr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6.</w:t>
      </w:r>
      <w:r w:rsidRPr="00A97069">
        <w:rPr>
          <w:b/>
          <w:sz w:val="24"/>
          <w:szCs w:val="24"/>
        </w:rPr>
        <w:tab/>
        <w:t>FARMACEUTISKE OPLYSNINGER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6.1</w:t>
      </w:r>
      <w:r w:rsidRPr="00A97069">
        <w:rPr>
          <w:b/>
          <w:sz w:val="24"/>
          <w:szCs w:val="24"/>
        </w:rPr>
        <w:tab/>
        <w:t>Hjælpestoffer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>Mikrokrystallinsk cellulose E460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Lactosemonohydrat</w:t>
      </w:r>
      <w:proofErr w:type="spellEnd"/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Carboxymethylstivelsesnatrium</w:t>
      </w:r>
      <w:proofErr w:type="spellEnd"/>
    </w:p>
    <w:p w:rsidR="006D6E23" w:rsidRPr="00A97069" w:rsidRDefault="006D6E23" w:rsidP="006D6E23">
      <w:pPr>
        <w:ind w:left="851"/>
        <w:rPr>
          <w:sz w:val="24"/>
          <w:szCs w:val="24"/>
        </w:rPr>
      </w:pPr>
      <w:proofErr w:type="spellStart"/>
      <w:r w:rsidRPr="00A97069">
        <w:rPr>
          <w:sz w:val="24"/>
          <w:szCs w:val="24"/>
        </w:rPr>
        <w:t>Magnesiumstearat</w:t>
      </w:r>
      <w:proofErr w:type="spellEnd"/>
      <w:r w:rsidRPr="00A97069">
        <w:rPr>
          <w:sz w:val="24"/>
          <w:szCs w:val="24"/>
        </w:rPr>
        <w:t xml:space="preserve"> E572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6.2</w:t>
      </w:r>
      <w:r w:rsidRPr="00A97069">
        <w:rPr>
          <w:b/>
          <w:sz w:val="24"/>
          <w:szCs w:val="24"/>
        </w:rPr>
        <w:tab/>
        <w:t>Uforligeligheder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>Ikke relevant.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79242F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lastRenderedPageBreak/>
        <w:t>6.3</w:t>
      </w:r>
      <w:r w:rsidRPr="00A97069">
        <w:rPr>
          <w:b/>
          <w:sz w:val="24"/>
          <w:szCs w:val="24"/>
        </w:rPr>
        <w:tab/>
        <w:t>Opbevaringstid</w:t>
      </w:r>
    </w:p>
    <w:p w:rsidR="006D6E23" w:rsidRPr="00A97069" w:rsidRDefault="006D6E23" w:rsidP="0079242F">
      <w:pPr>
        <w:keepNext/>
        <w:ind w:left="851" w:hanging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ab/>
      </w:r>
      <w:r w:rsidR="00B50C45">
        <w:rPr>
          <w:sz w:val="24"/>
          <w:szCs w:val="24"/>
        </w:rPr>
        <w:t>5</w:t>
      </w:r>
      <w:r w:rsidRPr="00A97069">
        <w:rPr>
          <w:sz w:val="24"/>
          <w:szCs w:val="24"/>
        </w:rPr>
        <w:t> år.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Holdbarhed efter anbrud af tabletbeholder er 6 måneder.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6.4</w:t>
      </w:r>
      <w:r w:rsidRPr="00A97069">
        <w:rPr>
          <w:b/>
          <w:sz w:val="24"/>
          <w:szCs w:val="24"/>
        </w:rPr>
        <w:tab/>
        <w:t>Særlige opbevaringsforhold</w:t>
      </w:r>
    </w:p>
    <w:p w:rsidR="006D6E23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Opbevares ved temperaturer under 25 °C. 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Opbevares i den originale yderpakning for at beskytte mod lys.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6.5</w:t>
      </w:r>
      <w:r w:rsidRPr="00A97069">
        <w:rPr>
          <w:b/>
          <w:sz w:val="24"/>
          <w:szCs w:val="24"/>
        </w:rPr>
        <w:tab/>
        <w:t>Emballagetyper og pakningsstørrelser</w:t>
      </w:r>
    </w:p>
    <w:p w:rsidR="00910B98" w:rsidRPr="00910B98" w:rsidRDefault="00910B98" w:rsidP="00910B98">
      <w:pPr>
        <w:ind w:left="851"/>
        <w:rPr>
          <w:i/>
          <w:sz w:val="24"/>
          <w:szCs w:val="24"/>
        </w:rPr>
      </w:pPr>
      <w:proofErr w:type="spellStart"/>
      <w:r w:rsidRPr="00910B98">
        <w:rPr>
          <w:i/>
          <w:sz w:val="24"/>
          <w:szCs w:val="24"/>
        </w:rPr>
        <w:t>Colchicin</w:t>
      </w:r>
      <w:proofErr w:type="spellEnd"/>
      <w:r w:rsidRPr="00910B98">
        <w:rPr>
          <w:i/>
          <w:sz w:val="24"/>
          <w:szCs w:val="24"/>
        </w:rPr>
        <w:t xml:space="preserve"> ”</w:t>
      </w:r>
      <w:proofErr w:type="spellStart"/>
      <w:r w:rsidRPr="00910B98">
        <w:rPr>
          <w:i/>
          <w:sz w:val="24"/>
          <w:szCs w:val="24"/>
        </w:rPr>
        <w:t>Tiofarma</w:t>
      </w:r>
      <w:proofErr w:type="spellEnd"/>
      <w:r w:rsidRPr="00910B98">
        <w:rPr>
          <w:i/>
          <w:sz w:val="24"/>
          <w:szCs w:val="24"/>
        </w:rPr>
        <w:t>” 0,5 mg tabletter</w:t>
      </w:r>
    </w:p>
    <w:p w:rsidR="00910B98" w:rsidRPr="00910B98" w:rsidRDefault="00910B98" w:rsidP="00910B98">
      <w:pPr>
        <w:ind w:left="851"/>
        <w:rPr>
          <w:sz w:val="24"/>
          <w:szCs w:val="24"/>
        </w:rPr>
      </w:pPr>
    </w:p>
    <w:p w:rsidR="00910B98" w:rsidRPr="00892BFC" w:rsidRDefault="00910B98" w:rsidP="00910B98">
      <w:pPr>
        <w:ind w:left="851"/>
        <w:rPr>
          <w:sz w:val="24"/>
          <w:szCs w:val="24"/>
          <w:lang w:val="sv-SE" w:eastAsia="nl-NL"/>
        </w:rPr>
      </w:pPr>
      <w:proofErr w:type="spellStart"/>
      <w:r w:rsidRPr="00892BFC">
        <w:rPr>
          <w:sz w:val="24"/>
          <w:szCs w:val="24"/>
          <w:lang w:val="sv-SE"/>
        </w:rPr>
        <w:t>Colchicin</w:t>
      </w:r>
      <w:proofErr w:type="spellEnd"/>
      <w:r w:rsidRPr="00892BFC">
        <w:rPr>
          <w:sz w:val="24"/>
          <w:szCs w:val="24"/>
          <w:lang w:val="sv-SE"/>
        </w:rPr>
        <w:t xml:space="preserve"> "Tiofarma" 0,5 mg tabletter fås i:</w:t>
      </w:r>
    </w:p>
    <w:p w:rsidR="00910B98" w:rsidRPr="00910B98" w:rsidRDefault="00910B98" w:rsidP="00910B98">
      <w:pPr>
        <w:pStyle w:val="Listeafsnit"/>
        <w:numPr>
          <w:ilvl w:val="0"/>
          <w:numId w:val="11"/>
        </w:numPr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910B98">
        <w:rPr>
          <w:rFonts w:ascii="Times New Roman" w:hAnsi="Times New Roman" w:cs="Times New Roman"/>
          <w:sz w:val="24"/>
          <w:szCs w:val="24"/>
          <w:lang w:val="da-DK"/>
        </w:rPr>
        <w:t>PVC/</w:t>
      </w:r>
      <w:proofErr w:type="spellStart"/>
      <w:r w:rsidRPr="00910B98">
        <w:rPr>
          <w:rFonts w:ascii="Times New Roman" w:hAnsi="Times New Roman" w:cs="Times New Roman"/>
          <w:sz w:val="24"/>
          <w:szCs w:val="24"/>
          <w:lang w:val="da-DK"/>
        </w:rPr>
        <w:t>Alu</w:t>
      </w:r>
      <w:proofErr w:type="spellEnd"/>
      <w:r w:rsidRPr="00910B98">
        <w:rPr>
          <w:rFonts w:ascii="Times New Roman" w:hAnsi="Times New Roman" w:cs="Times New Roman"/>
          <w:sz w:val="24"/>
          <w:szCs w:val="24"/>
          <w:lang w:val="da-DK"/>
        </w:rPr>
        <w:t xml:space="preserve">-blistre (12 tabletter i hver blister) i en papæske </w:t>
      </w:r>
    </w:p>
    <w:p w:rsidR="00910B98" w:rsidRPr="00910B98" w:rsidRDefault="00910B98" w:rsidP="00910B98">
      <w:pPr>
        <w:pStyle w:val="Listeafsnit"/>
        <w:ind w:left="1208"/>
        <w:rPr>
          <w:rFonts w:ascii="Times New Roman" w:hAnsi="Times New Roman" w:cs="Times New Roman"/>
          <w:sz w:val="24"/>
          <w:szCs w:val="24"/>
          <w:lang w:val="en-US"/>
        </w:rPr>
      </w:pPr>
      <w:r w:rsidRPr="00910B98">
        <w:rPr>
          <w:rFonts w:ascii="Times New Roman" w:hAnsi="Times New Roman" w:cs="Times New Roman"/>
          <w:sz w:val="24"/>
          <w:szCs w:val="24"/>
        </w:rPr>
        <w:t>Pakningsstørrelser: 12 tabletter (1×12 stk.)</w:t>
      </w:r>
    </w:p>
    <w:p w:rsidR="00910B98" w:rsidRPr="00910B98" w:rsidRDefault="00910B98" w:rsidP="00910B98">
      <w:pPr>
        <w:pStyle w:val="Listeafsnit"/>
        <w:numPr>
          <w:ilvl w:val="0"/>
          <w:numId w:val="11"/>
        </w:numPr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910B98">
        <w:rPr>
          <w:rFonts w:ascii="Times New Roman" w:hAnsi="Times New Roman" w:cs="Times New Roman"/>
          <w:sz w:val="24"/>
          <w:szCs w:val="24"/>
          <w:lang w:val="da-DK"/>
        </w:rPr>
        <w:t>PVC/</w:t>
      </w:r>
      <w:proofErr w:type="spellStart"/>
      <w:r w:rsidRPr="00910B98">
        <w:rPr>
          <w:rFonts w:ascii="Times New Roman" w:hAnsi="Times New Roman" w:cs="Times New Roman"/>
          <w:sz w:val="24"/>
          <w:szCs w:val="24"/>
          <w:lang w:val="da-DK"/>
        </w:rPr>
        <w:t>Alu</w:t>
      </w:r>
      <w:proofErr w:type="spellEnd"/>
      <w:r w:rsidRPr="00910B98">
        <w:rPr>
          <w:rFonts w:ascii="Times New Roman" w:hAnsi="Times New Roman" w:cs="Times New Roman"/>
          <w:sz w:val="24"/>
          <w:szCs w:val="24"/>
          <w:lang w:val="da-DK"/>
        </w:rPr>
        <w:t>-blistre (10 tabletter i hver blister) i en papæske.</w:t>
      </w:r>
    </w:p>
    <w:p w:rsidR="00910B98" w:rsidRPr="00910B98" w:rsidRDefault="00910B98" w:rsidP="00910B98">
      <w:pPr>
        <w:pStyle w:val="Listeafsnit"/>
        <w:ind w:left="1208"/>
        <w:rPr>
          <w:rFonts w:ascii="Times New Roman" w:hAnsi="Times New Roman" w:cs="Times New Roman"/>
          <w:sz w:val="24"/>
          <w:szCs w:val="24"/>
        </w:rPr>
      </w:pPr>
      <w:r w:rsidRPr="00910B98">
        <w:rPr>
          <w:rFonts w:ascii="Times New Roman" w:hAnsi="Times New Roman" w:cs="Times New Roman"/>
          <w:sz w:val="24"/>
          <w:szCs w:val="24"/>
        </w:rPr>
        <w:t>Pakningsstørrelser: 30 tabletter (3×10 stk.) eller 100 tabletter (10 x10 stk.)</w:t>
      </w:r>
    </w:p>
    <w:p w:rsidR="00910B98" w:rsidRPr="00910B98" w:rsidRDefault="00910B98" w:rsidP="00910B98">
      <w:pPr>
        <w:pStyle w:val="Listeafsnit"/>
        <w:numPr>
          <w:ilvl w:val="0"/>
          <w:numId w:val="11"/>
        </w:numPr>
        <w:spacing w:after="0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910B98">
        <w:rPr>
          <w:rFonts w:ascii="Times New Roman" w:hAnsi="Times New Roman" w:cs="Times New Roman"/>
          <w:sz w:val="24"/>
          <w:szCs w:val="24"/>
        </w:rPr>
        <w:t>Polypropylenbeholder med låg i en papæske.</w:t>
      </w:r>
    </w:p>
    <w:p w:rsidR="00910B98" w:rsidRPr="00910B98" w:rsidRDefault="00910B98" w:rsidP="00910B98">
      <w:pPr>
        <w:ind w:left="1208"/>
        <w:rPr>
          <w:sz w:val="24"/>
          <w:szCs w:val="24"/>
        </w:rPr>
      </w:pPr>
      <w:r w:rsidRPr="00910B98">
        <w:rPr>
          <w:sz w:val="24"/>
          <w:szCs w:val="24"/>
        </w:rPr>
        <w:t>Pakningsstørrelser: 250 tabletter</w:t>
      </w:r>
    </w:p>
    <w:p w:rsidR="00910B98" w:rsidRPr="00910B98" w:rsidRDefault="00910B98" w:rsidP="00910B98">
      <w:pPr>
        <w:ind w:left="851"/>
        <w:rPr>
          <w:sz w:val="24"/>
          <w:szCs w:val="24"/>
        </w:rPr>
      </w:pPr>
    </w:p>
    <w:p w:rsidR="00910B98" w:rsidRPr="00910B98" w:rsidRDefault="00910B98" w:rsidP="00910B98">
      <w:pPr>
        <w:ind w:left="851"/>
        <w:rPr>
          <w:i/>
          <w:sz w:val="24"/>
          <w:szCs w:val="24"/>
        </w:rPr>
      </w:pPr>
      <w:proofErr w:type="spellStart"/>
      <w:r w:rsidRPr="00910B98">
        <w:rPr>
          <w:i/>
          <w:sz w:val="24"/>
          <w:szCs w:val="24"/>
        </w:rPr>
        <w:t>Colchicin</w:t>
      </w:r>
      <w:proofErr w:type="spellEnd"/>
      <w:r w:rsidRPr="00910B98">
        <w:rPr>
          <w:i/>
          <w:sz w:val="24"/>
          <w:szCs w:val="24"/>
        </w:rPr>
        <w:t xml:space="preserve"> ”</w:t>
      </w:r>
      <w:proofErr w:type="spellStart"/>
      <w:r w:rsidRPr="00910B98">
        <w:rPr>
          <w:i/>
          <w:sz w:val="24"/>
          <w:szCs w:val="24"/>
        </w:rPr>
        <w:t>Tiofarma</w:t>
      </w:r>
      <w:proofErr w:type="spellEnd"/>
      <w:r w:rsidRPr="00910B98">
        <w:rPr>
          <w:i/>
          <w:sz w:val="24"/>
          <w:szCs w:val="24"/>
        </w:rPr>
        <w:t>” 1 mg tabletter</w:t>
      </w:r>
    </w:p>
    <w:p w:rsidR="00910B98" w:rsidRPr="00910B98" w:rsidRDefault="00910B98" w:rsidP="00910B98">
      <w:pPr>
        <w:ind w:left="851"/>
        <w:rPr>
          <w:sz w:val="24"/>
          <w:szCs w:val="24"/>
        </w:rPr>
      </w:pPr>
    </w:p>
    <w:p w:rsidR="00910B98" w:rsidRPr="00892BFC" w:rsidRDefault="00910B98" w:rsidP="00910B98">
      <w:pPr>
        <w:ind w:left="851"/>
        <w:rPr>
          <w:sz w:val="24"/>
          <w:szCs w:val="24"/>
          <w:lang w:val="sv-SE" w:eastAsia="nl-NL"/>
        </w:rPr>
      </w:pPr>
      <w:proofErr w:type="spellStart"/>
      <w:r w:rsidRPr="00892BFC">
        <w:rPr>
          <w:sz w:val="24"/>
          <w:szCs w:val="24"/>
          <w:lang w:val="sv-SE"/>
        </w:rPr>
        <w:t>Colchicin</w:t>
      </w:r>
      <w:proofErr w:type="spellEnd"/>
      <w:r w:rsidRPr="00892BFC">
        <w:rPr>
          <w:sz w:val="24"/>
          <w:szCs w:val="24"/>
          <w:lang w:val="sv-SE"/>
        </w:rPr>
        <w:t xml:space="preserve"> "Tiofarma" 1 mg tabletter fås i:</w:t>
      </w:r>
    </w:p>
    <w:p w:rsidR="00910B98" w:rsidRPr="00910B98" w:rsidRDefault="00910B98" w:rsidP="00910B98">
      <w:pPr>
        <w:pStyle w:val="Listeafsnit"/>
        <w:numPr>
          <w:ilvl w:val="0"/>
          <w:numId w:val="11"/>
        </w:numPr>
        <w:ind w:left="1208" w:hanging="357"/>
        <w:rPr>
          <w:rFonts w:ascii="Times New Roman" w:hAnsi="Times New Roman" w:cs="Times New Roman"/>
          <w:sz w:val="24"/>
          <w:szCs w:val="24"/>
          <w:lang w:val="da-DK"/>
        </w:rPr>
      </w:pPr>
      <w:r w:rsidRPr="00910B98">
        <w:rPr>
          <w:rFonts w:ascii="Times New Roman" w:hAnsi="Times New Roman" w:cs="Times New Roman"/>
          <w:sz w:val="24"/>
          <w:szCs w:val="24"/>
          <w:lang w:val="da-DK"/>
        </w:rPr>
        <w:t>PVC/</w:t>
      </w:r>
      <w:proofErr w:type="spellStart"/>
      <w:r w:rsidRPr="00910B98">
        <w:rPr>
          <w:rFonts w:ascii="Times New Roman" w:hAnsi="Times New Roman" w:cs="Times New Roman"/>
          <w:sz w:val="24"/>
          <w:szCs w:val="24"/>
          <w:lang w:val="da-DK"/>
        </w:rPr>
        <w:t>Alu</w:t>
      </w:r>
      <w:proofErr w:type="spellEnd"/>
      <w:r w:rsidRPr="00910B98">
        <w:rPr>
          <w:rFonts w:ascii="Times New Roman" w:hAnsi="Times New Roman" w:cs="Times New Roman"/>
          <w:sz w:val="24"/>
          <w:szCs w:val="24"/>
          <w:lang w:val="da-DK"/>
        </w:rPr>
        <w:t>-blistre (10 tabletter i hver blister) i en papæske.</w:t>
      </w:r>
    </w:p>
    <w:p w:rsidR="00910B98" w:rsidRPr="00910B98" w:rsidRDefault="00910B98" w:rsidP="00910B98">
      <w:pPr>
        <w:pStyle w:val="Listeafsnit"/>
        <w:ind w:left="1208"/>
        <w:rPr>
          <w:rFonts w:ascii="Times New Roman" w:hAnsi="Times New Roman" w:cs="Times New Roman"/>
          <w:sz w:val="24"/>
          <w:szCs w:val="24"/>
        </w:rPr>
      </w:pPr>
      <w:r w:rsidRPr="00910B98">
        <w:rPr>
          <w:rFonts w:ascii="Times New Roman" w:hAnsi="Times New Roman" w:cs="Times New Roman"/>
          <w:sz w:val="24"/>
          <w:szCs w:val="24"/>
        </w:rPr>
        <w:t>Pakningsstørrelser: 30 tabletter (3×10 stk.) eller 100 tabletter (10 x10 stk.)</w:t>
      </w:r>
    </w:p>
    <w:p w:rsidR="00910B98" w:rsidRPr="00910B98" w:rsidRDefault="00910B98" w:rsidP="00910B98">
      <w:pPr>
        <w:pStyle w:val="Listeafsnit"/>
        <w:numPr>
          <w:ilvl w:val="0"/>
          <w:numId w:val="11"/>
        </w:numPr>
        <w:spacing w:after="0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910B98">
        <w:rPr>
          <w:rFonts w:ascii="Times New Roman" w:hAnsi="Times New Roman" w:cs="Times New Roman"/>
          <w:sz w:val="24"/>
          <w:szCs w:val="24"/>
        </w:rPr>
        <w:t>Polypropylenbeholder med låg i en papæske.</w:t>
      </w:r>
    </w:p>
    <w:p w:rsidR="00910B98" w:rsidRPr="00910B98" w:rsidRDefault="00910B98" w:rsidP="00910B98">
      <w:pPr>
        <w:ind w:left="1208"/>
        <w:rPr>
          <w:sz w:val="24"/>
          <w:szCs w:val="24"/>
        </w:rPr>
      </w:pPr>
      <w:r w:rsidRPr="00910B98">
        <w:rPr>
          <w:sz w:val="24"/>
          <w:szCs w:val="24"/>
        </w:rPr>
        <w:t>Pakningsstørrelser: 250 tabletter</w:t>
      </w:r>
    </w:p>
    <w:p w:rsidR="006D6E23" w:rsidRPr="00910B98" w:rsidRDefault="006D6E23" w:rsidP="006D6E23">
      <w:pPr>
        <w:ind w:left="851"/>
        <w:rPr>
          <w:sz w:val="24"/>
          <w:szCs w:val="24"/>
        </w:rPr>
      </w:pP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Ikke alle pakningsstørrelser er nødvendigvis markedsført.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6.6</w:t>
      </w:r>
      <w:r w:rsidRPr="00A97069">
        <w:rPr>
          <w:b/>
          <w:sz w:val="24"/>
          <w:szCs w:val="24"/>
        </w:rPr>
        <w:tab/>
        <w:t>Regler for destruktion og anden håndtering</w:t>
      </w:r>
    </w:p>
    <w:p w:rsidR="006D6E23" w:rsidRPr="00A97069" w:rsidRDefault="006D6E23" w:rsidP="006D6E23">
      <w:pPr>
        <w:ind w:left="851"/>
        <w:rPr>
          <w:sz w:val="24"/>
          <w:szCs w:val="24"/>
          <w:lang w:eastAsia="nl-NL"/>
        </w:rPr>
      </w:pPr>
      <w:r w:rsidRPr="00A97069">
        <w:rPr>
          <w:sz w:val="24"/>
          <w:szCs w:val="24"/>
        </w:rPr>
        <w:t>Ingen særlige forholdsregler.</w:t>
      </w:r>
    </w:p>
    <w:p w:rsidR="006D6E23" w:rsidRPr="00A97069" w:rsidRDefault="006D6E23" w:rsidP="006D6E23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7.</w:t>
      </w:r>
      <w:r w:rsidRPr="00A97069">
        <w:rPr>
          <w:b/>
          <w:sz w:val="24"/>
          <w:szCs w:val="24"/>
        </w:rPr>
        <w:tab/>
        <w:t>INDEHAVER AF MARKEDSFØRINGSTILLADELSEN</w:t>
      </w:r>
    </w:p>
    <w:p w:rsidR="006D6E23" w:rsidRPr="00892BFC" w:rsidRDefault="006D6E23" w:rsidP="006D6E23">
      <w:pPr>
        <w:ind w:left="851"/>
        <w:rPr>
          <w:sz w:val="24"/>
          <w:szCs w:val="24"/>
          <w:lang w:val="sv-SE" w:eastAsia="nl-NL"/>
        </w:rPr>
      </w:pPr>
      <w:r w:rsidRPr="00892BFC">
        <w:rPr>
          <w:sz w:val="24"/>
          <w:szCs w:val="24"/>
          <w:lang w:val="sv-SE"/>
        </w:rPr>
        <w:t>Tiofarma B.V.</w:t>
      </w:r>
    </w:p>
    <w:p w:rsidR="006D6E23" w:rsidRPr="00892BFC" w:rsidRDefault="006D6E23" w:rsidP="006D6E23">
      <w:pPr>
        <w:ind w:left="851"/>
        <w:rPr>
          <w:sz w:val="24"/>
          <w:szCs w:val="24"/>
          <w:lang w:val="sv-SE"/>
        </w:rPr>
      </w:pPr>
      <w:r w:rsidRPr="00892BFC">
        <w:rPr>
          <w:sz w:val="24"/>
          <w:szCs w:val="24"/>
          <w:lang w:val="sv-SE"/>
        </w:rPr>
        <w:t xml:space="preserve">Benjamin </w:t>
      </w:r>
      <w:proofErr w:type="spellStart"/>
      <w:r w:rsidRPr="00892BFC">
        <w:rPr>
          <w:sz w:val="24"/>
          <w:szCs w:val="24"/>
          <w:lang w:val="sv-SE"/>
        </w:rPr>
        <w:t>Franklinstraat</w:t>
      </w:r>
      <w:proofErr w:type="spellEnd"/>
      <w:r w:rsidRPr="00892BFC">
        <w:rPr>
          <w:sz w:val="24"/>
          <w:szCs w:val="24"/>
          <w:lang w:val="sv-SE"/>
        </w:rPr>
        <w:t xml:space="preserve"> 5 - 10 </w:t>
      </w:r>
    </w:p>
    <w:p w:rsidR="006D6E23" w:rsidRPr="00A97069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 xml:space="preserve">3261 LW </w:t>
      </w:r>
      <w:proofErr w:type="spellStart"/>
      <w:r w:rsidRPr="00A97069">
        <w:rPr>
          <w:sz w:val="24"/>
          <w:szCs w:val="24"/>
        </w:rPr>
        <w:t>Oud-Beijerland</w:t>
      </w:r>
      <w:proofErr w:type="spellEnd"/>
    </w:p>
    <w:p w:rsidR="006D6E23" w:rsidRDefault="006D6E23" w:rsidP="006D6E23">
      <w:pPr>
        <w:ind w:left="851"/>
        <w:rPr>
          <w:sz w:val="24"/>
          <w:szCs w:val="24"/>
        </w:rPr>
      </w:pPr>
      <w:r w:rsidRPr="00A97069">
        <w:rPr>
          <w:sz w:val="24"/>
          <w:szCs w:val="24"/>
        </w:rPr>
        <w:t>Holland</w:t>
      </w:r>
    </w:p>
    <w:p w:rsidR="006D6E23" w:rsidRDefault="006D6E23" w:rsidP="006D6E23">
      <w:pPr>
        <w:ind w:left="851"/>
        <w:rPr>
          <w:sz w:val="24"/>
          <w:szCs w:val="24"/>
        </w:rPr>
      </w:pPr>
    </w:p>
    <w:p w:rsidR="006D6E23" w:rsidRPr="000C2D6B" w:rsidRDefault="006D6E23" w:rsidP="006D6E23">
      <w:pPr>
        <w:ind w:left="851"/>
        <w:rPr>
          <w:b/>
          <w:sz w:val="24"/>
          <w:szCs w:val="24"/>
        </w:rPr>
      </w:pPr>
      <w:r w:rsidRPr="000C2D6B">
        <w:rPr>
          <w:b/>
          <w:sz w:val="24"/>
          <w:szCs w:val="24"/>
        </w:rPr>
        <w:t>Repræsentant</w:t>
      </w:r>
    </w:p>
    <w:p w:rsidR="006D6E23" w:rsidRDefault="006D6E23" w:rsidP="006D6E23">
      <w:pPr>
        <w:ind w:left="851"/>
        <w:rPr>
          <w:sz w:val="24"/>
          <w:szCs w:val="24"/>
        </w:rPr>
      </w:pPr>
      <w:proofErr w:type="spellStart"/>
      <w:r w:rsidRPr="00007CA1">
        <w:rPr>
          <w:sz w:val="24"/>
          <w:szCs w:val="24"/>
        </w:rPr>
        <w:t>Tiofarma</w:t>
      </w:r>
      <w:proofErr w:type="spellEnd"/>
      <w:r w:rsidRPr="00007CA1">
        <w:rPr>
          <w:sz w:val="24"/>
          <w:szCs w:val="24"/>
        </w:rPr>
        <w:t xml:space="preserve"> B.V.</w:t>
      </w:r>
    </w:p>
    <w:p w:rsidR="006D6E23" w:rsidRDefault="006D6E23" w:rsidP="006D6E23">
      <w:pPr>
        <w:ind w:left="851"/>
        <w:rPr>
          <w:sz w:val="24"/>
          <w:szCs w:val="24"/>
        </w:rPr>
      </w:pPr>
      <w:proofErr w:type="spellStart"/>
      <w:r w:rsidRPr="00007CA1">
        <w:rPr>
          <w:sz w:val="24"/>
          <w:szCs w:val="24"/>
        </w:rPr>
        <w:t>Hermanus</w:t>
      </w:r>
      <w:proofErr w:type="spellEnd"/>
      <w:r w:rsidRPr="00007CA1">
        <w:rPr>
          <w:sz w:val="24"/>
          <w:szCs w:val="24"/>
        </w:rPr>
        <w:t xml:space="preserve"> </w:t>
      </w:r>
      <w:proofErr w:type="spellStart"/>
      <w:r w:rsidRPr="00007CA1">
        <w:rPr>
          <w:sz w:val="24"/>
          <w:szCs w:val="24"/>
        </w:rPr>
        <w:t>Boerhaavestraat</w:t>
      </w:r>
      <w:proofErr w:type="spellEnd"/>
      <w:r w:rsidRPr="00007CA1">
        <w:rPr>
          <w:sz w:val="24"/>
          <w:szCs w:val="24"/>
        </w:rPr>
        <w:t xml:space="preserve"> 1</w:t>
      </w:r>
    </w:p>
    <w:p w:rsidR="006D6E23" w:rsidRDefault="006D6E23" w:rsidP="006D6E23">
      <w:pPr>
        <w:ind w:left="851"/>
        <w:rPr>
          <w:sz w:val="24"/>
          <w:szCs w:val="24"/>
        </w:rPr>
      </w:pPr>
      <w:r w:rsidRPr="00007CA1">
        <w:rPr>
          <w:sz w:val="24"/>
          <w:szCs w:val="24"/>
        </w:rPr>
        <w:t>3261 ME</w:t>
      </w:r>
      <w:r>
        <w:rPr>
          <w:sz w:val="24"/>
          <w:szCs w:val="24"/>
        </w:rPr>
        <w:t xml:space="preserve"> </w:t>
      </w:r>
      <w:proofErr w:type="spellStart"/>
      <w:r w:rsidRPr="00007CA1">
        <w:rPr>
          <w:sz w:val="24"/>
          <w:szCs w:val="24"/>
        </w:rPr>
        <w:t>Oud-Beijerland</w:t>
      </w:r>
      <w:proofErr w:type="spellEnd"/>
    </w:p>
    <w:p w:rsidR="006D6E23" w:rsidRPr="00A97069" w:rsidRDefault="006D6E23" w:rsidP="006D6E23">
      <w:pPr>
        <w:ind w:left="851"/>
        <w:rPr>
          <w:sz w:val="24"/>
          <w:szCs w:val="24"/>
        </w:rPr>
      </w:pPr>
      <w:r>
        <w:rPr>
          <w:sz w:val="24"/>
          <w:szCs w:val="24"/>
        </w:rPr>
        <w:t>Holland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8.</w:t>
      </w:r>
      <w:r w:rsidRPr="00A97069">
        <w:rPr>
          <w:b/>
          <w:sz w:val="24"/>
          <w:szCs w:val="24"/>
        </w:rPr>
        <w:tab/>
        <w:t>MARKEDSFØRINGSTILLADELSESNUMMER (NUMRE)</w:t>
      </w:r>
    </w:p>
    <w:p w:rsidR="006D6E23" w:rsidRPr="00A97069" w:rsidRDefault="006D6E23" w:rsidP="006D6E23">
      <w:pPr>
        <w:tabs>
          <w:tab w:val="left" w:pos="851"/>
          <w:tab w:val="left" w:pos="1843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97069">
        <w:rPr>
          <w:sz w:val="24"/>
          <w:szCs w:val="24"/>
        </w:rPr>
        <w:t>0,5 mg: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59482</w:t>
      </w:r>
    </w:p>
    <w:p w:rsidR="006D6E23" w:rsidRPr="00A97069" w:rsidRDefault="006D6E23" w:rsidP="006D6E23">
      <w:pPr>
        <w:tabs>
          <w:tab w:val="left" w:pos="851"/>
          <w:tab w:val="left" w:pos="1843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97069">
        <w:rPr>
          <w:sz w:val="24"/>
          <w:szCs w:val="24"/>
        </w:rPr>
        <w:t>1 mg: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59483</w:t>
      </w:r>
    </w:p>
    <w:p w:rsidR="006D6E23" w:rsidRPr="00A97069" w:rsidRDefault="006D6E23" w:rsidP="006D6E23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9.</w:t>
      </w:r>
      <w:r w:rsidRPr="00A97069">
        <w:rPr>
          <w:b/>
          <w:sz w:val="24"/>
          <w:szCs w:val="24"/>
        </w:rPr>
        <w:tab/>
        <w:t>DATO FOR FØRSTE MARKEDSFØRINGSTILLADELSE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13. oktober 2017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D6E23" w:rsidRPr="00A97069" w:rsidRDefault="006D6E23" w:rsidP="006D6E2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7069">
        <w:rPr>
          <w:b/>
          <w:sz w:val="24"/>
          <w:szCs w:val="24"/>
        </w:rPr>
        <w:t>10.</w:t>
      </w:r>
      <w:r w:rsidRPr="00A97069">
        <w:rPr>
          <w:b/>
          <w:sz w:val="24"/>
          <w:szCs w:val="24"/>
        </w:rPr>
        <w:tab/>
        <w:t>DATO FOR ÆNDRING AF TEKSTEN</w:t>
      </w:r>
    </w:p>
    <w:p w:rsidR="006D6E23" w:rsidRPr="00A97069" w:rsidRDefault="006D6E23" w:rsidP="006D6E23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70B37" w:rsidRPr="00870B37">
        <w:rPr>
          <w:sz w:val="24"/>
          <w:szCs w:val="24"/>
        </w:rPr>
        <w:t>5. januar 2022</w:t>
      </w:r>
    </w:p>
    <w:p w:rsidR="006D6E23" w:rsidRPr="004539DE" w:rsidRDefault="006D6E23" w:rsidP="006D6E23"/>
    <w:p w:rsidR="006D6E23" w:rsidRPr="002D1840" w:rsidRDefault="006D6E23" w:rsidP="006D6E23"/>
    <w:p w:rsidR="009260DE" w:rsidRPr="006D6E23" w:rsidRDefault="009260DE" w:rsidP="006D6E23"/>
    <w:sectPr w:rsidR="009260DE" w:rsidRPr="006D6E2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E23" w:rsidRDefault="006D6E23">
      <w:r>
        <w:separator/>
      </w:r>
    </w:p>
  </w:endnote>
  <w:endnote w:type="continuationSeparator" w:id="0">
    <w:p w:rsidR="006D6E23" w:rsidRDefault="006D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7419F">
      <w:rPr>
        <w:i/>
        <w:noProof/>
        <w:sz w:val="18"/>
        <w:szCs w:val="18"/>
      </w:rPr>
      <w:t>Colchicin Tiofarma, tabletter 0,5 mg og 1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E23" w:rsidRDefault="006D6E23">
      <w:r>
        <w:separator/>
      </w:r>
    </w:p>
  </w:footnote>
  <w:footnote w:type="continuationSeparator" w:id="0">
    <w:p w:rsidR="006D6E23" w:rsidRDefault="006D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1BD2FA8"/>
    <w:multiLevelType w:val="hybridMultilevel"/>
    <w:tmpl w:val="430C9070"/>
    <w:lvl w:ilvl="0" w:tplc="EEF255F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A803631"/>
    <w:multiLevelType w:val="hybridMultilevel"/>
    <w:tmpl w:val="8DF8CBE0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333272"/>
    <w:multiLevelType w:val="hybridMultilevel"/>
    <w:tmpl w:val="F32C87C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4A7CC1"/>
    <w:multiLevelType w:val="hybridMultilevel"/>
    <w:tmpl w:val="771851DC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BE7583"/>
    <w:multiLevelType w:val="hybridMultilevel"/>
    <w:tmpl w:val="C262CD54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23"/>
    <w:rsid w:val="000259B9"/>
    <w:rsid w:val="00041491"/>
    <w:rsid w:val="00050D16"/>
    <w:rsid w:val="00074F2A"/>
    <w:rsid w:val="000A1CA8"/>
    <w:rsid w:val="000A466B"/>
    <w:rsid w:val="000B058C"/>
    <w:rsid w:val="000E4EE6"/>
    <w:rsid w:val="001413A3"/>
    <w:rsid w:val="001454E2"/>
    <w:rsid w:val="00206CE8"/>
    <w:rsid w:val="0021526C"/>
    <w:rsid w:val="00283A2B"/>
    <w:rsid w:val="00297D17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6744D"/>
    <w:rsid w:val="00594A86"/>
    <w:rsid w:val="00596D86"/>
    <w:rsid w:val="00615C76"/>
    <w:rsid w:val="00637F5A"/>
    <w:rsid w:val="006560B1"/>
    <w:rsid w:val="006756DD"/>
    <w:rsid w:val="006D6E23"/>
    <w:rsid w:val="00737275"/>
    <w:rsid w:val="00740EEC"/>
    <w:rsid w:val="0078011A"/>
    <w:rsid w:val="00782AF4"/>
    <w:rsid w:val="00790EE7"/>
    <w:rsid w:val="0079242F"/>
    <w:rsid w:val="007B6649"/>
    <w:rsid w:val="0081546F"/>
    <w:rsid w:val="0082576E"/>
    <w:rsid w:val="00870B37"/>
    <w:rsid w:val="00892BFC"/>
    <w:rsid w:val="00907F75"/>
    <w:rsid w:val="00910B98"/>
    <w:rsid w:val="009260DE"/>
    <w:rsid w:val="0093258A"/>
    <w:rsid w:val="0097419F"/>
    <w:rsid w:val="009C7BA3"/>
    <w:rsid w:val="009D1F5A"/>
    <w:rsid w:val="00B003BF"/>
    <w:rsid w:val="00B02C28"/>
    <w:rsid w:val="00B373D7"/>
    <w:rsid w:val="00B50C45"/>
    <w:rsid w:val="00BC5386"/>
    <w:rsid w:val="00C26596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0645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AD7F3"/>
  <w15:chartTrackingRefBased/>
  <w15:docId w15:val="{1A16522B-171B-4ABB-9801-5DD17D50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6D6E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nl-NL" w:eastAsia="nl-NL"/>
    </w:rPr>
  </w:style>
  <w:style w:type="paragraph" w:customStyle="1" w:styleId="Default">
    <w:name w:val="Default"/>
    <w:rsid w:val="00615C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7</TotalTime>
  <Pages>11</Pages>
  <Words>2908</Words>
  <Characters>18587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Victoria Becker</dc:creator>
  <cp:keywords/>
  <dc:description>2021072434_x000d_
SPC pkt. 4.4 og 4.8</dc:description>
  <cp:lastModifiedBy>Victoria Becker</cp:lastModifiedBy>
  <cp:revision>8</cp:revision>
  <cp:lastPrinted>2012-08-22T08:53:00Z</cp:lastPrinted>
  <dcterms:created xsi:type="dcterms:W3CDTF">2021-12-29T08:36:00Z</dcterms:created>
  <dcterms:modified xsi:type="dcterms:W3CDTF">2021-12-29T08:43:00Z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